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F89B4" w14:textId="4C5E085C" w:rsidR="00B06E21" w:rsidRPr="00770FF9" w:rsidRDefault="007B2045" w:rsidP="00B06E21">
      <w:pPr>
        <w:jc w:val="center"/>
        <w:rPr>
          <w:rFonts w:ascii="Times New Roman" w:hAnsi="Times New Roman" w:cs="Times New Roman"/>
          <w:b/>
          <w:sz w:val="24"/>
          <w:szCs w:val="24"/>
        </w:rPr>
      </w:pPr>
      <w:bookmarkStart w:id="0" w:name="_Hlk133576893"/>
      <w:bookmarkStart w:id="1" w:name="_Hlk125541687"/>
      <w:r w:rsidRPr="00770FF9">
        <w:rPr>
          <w:rFonts w:ascii="Times New Roman" w:hAnsi="Times New Roman" w:cs="Times New Roman"/>
          <w:b/>
          <w:sz w:val="24"/>
          <w:szCs w:val="24"/>
        </w:rPr>
        <w:t>I</w:t>
      </w:r>
      <w:r w:rsidR="00B06E21" w:rsidRPr="00770FF9">
        <w:rPr>
          <w:rFonts w:ascii="Times New Roman" w:hAnsi="Times New Roman" w:cs="Times New Roman"/>
          <w:b/>
          <w:sz w:val="24"/>
          <w:szCs w:val="24"/>
        </w:rPr>
        <w:t xml:space="preserve">nsurance (prudential standard) determination No. </w:t>
      </w:r>
      <w:r w:rsidR="008770F5">
        <w:rPr>
          <w:rFonts w:ascii="Times New Roman" w:hAnsi="Times New Roman" w:cs="Times New Roman"/>
          <w:b/>
          <w:sz w:val="24"/>
          <w:szCs w:val="24"/>
        </w:rPr>
        <w:t>10</w:t>
      </w:r>
      <w:r w:rsidR="00073F77" w:rsidRPr="00770FF9">
        <w:rPr>
          <w:rFonts w:ascii="Times New Roman" w:hAnsi="Times New Roman" w:cs="Times New Roman"/>
          <w:b/>
          <w:sz w:val="24"/>
          <w:szCs w:val="24"/>
        </w:rPr>
        <w:t xml:space="preserve"> </w:t>
      </w:r>
      <w:r w:rsidR="00B06E21" w:rsidRPr="00770FF9">
        <w:rPr>
          <w:rFonts w:ascii="Times New Roman" w:hAnsi="Times New Roman" w:cs="Times New Roman"/>
          <w:b/>
          <w:sz w:val="24"/>
          <w:szCs w:val="24"/>
        </w:rPr>
        <w:t>of 202</w:t>
      </w:r>
      <w:r w:rsidR="006A30FA" w:rsidRPr="00770FF9">
        <w:rPr>
          <w:rFonts w:ascii="Times New Roman" w:hAnsi="Times New Roman" w:cs="Times New Roman"/>
          <w:b/>
          <w:sz w:val="24"/>
          <w:szCs w:val="24"/>
        </w:rPr>
        <w:t>3</w:t>
      </w:r>
    </w:p>
    <w:p w14:paraId="35F2A8B7" w14:textId="77777777" w:rsidR="00B06E21" w:rsidRPr="00770FF9" w:rsidRDefault="00B06E21" w:rsidP="00B06E21">
      <w:pPr>
        <w:shd w:val="clear" w:color="auto" w:fill="FFFFFF"/>
        <w:jc w:val="center"/>
        <w:rPr>
          <w:rFonts w:ascii="Times New Roman" w:hAnsi="Times New Roman" w:cs="Times New Roman"/>
          <w:sz w:val="24"/>
          <w:szCs w:val="24"/>
        </w:rPr>
      </w:pPr>
      <w:r w:rsidRPr="00770FF9">
        <w:rPr>
          <w:rFonts w:ascii="Times New Roman" w:hAnsi="Times New Roman" w:cs="Times New Roman"/>
          <w:b/>
          <w:bCs/>
          <w:sz w:val="24"/>
          <w:szCs w:val="24"/>
          <w:u w:val="single"/>
        </w:rPr>
        <w:t>EXPLANATORY STATEMENT</w:t>
      </w:r>
    </w:p>
    <w:p w14:paraId="393F44A8" w14:textId="77777777" w:rsidR="00B06E21" w:rsidRPr="00770FF9" w:rsidRDefault="00B06E21" w:rsidP="00B06E21">
      <w:pPr>
        <w:shd w:val="clear" w:color="auto" w:fill="FFFFFF"/>
        <w:jc w:val="center"/>
        <w:rPr>
          <w:rFonts w:ascii="Times New Roman" w:hAnsi="Times New Roman" w:cs="Times New Roman"/>
          <w:sz w:val="24"/>
          <w:szCs w:val="24"/>
        </w:rPr>
      </w:pPr>
      <w:r w:rsidRPr="00770FF9">
        <w:rPr>
          <w:rFonts w:ascii="Times New Roman" w:hAnsi="Times New Roman" w:cs="Times New Roman"/>
          <w:b/>
          <w:bCs/>
          <w:sz w:val="24"/>
          <w:szCs w:val="24"/>
        </w:rPr>
        <w:t>Prepared by the Australian Prudential Regulation Authority (APRA)</w:t>
      </w:r>
    </w:p>
    <w:p w14:paraId="4B39A225" w14:textId="1878D63E" w:rsidR="00B06E21" w:rsidRPr="00770FF9" w:rsidRDefault="00757385" w:rsidP="00B06E21">
      <w:pPr>
        <w:shd w:val="clear" w:color="auto" w:fill="FFFFFF"/>
        <w:jc w:val="center"/>
        <w:rPr>
          <w:rFonts w:ascii="Times New Roman" w:hAnsi="Times New Roman" w:cs="Times New Roman"/>
          <w:sz w:val="24"/>
          <w:szCs w:val="24"/>
        </w:rPr>
      </w:pPr>
      <w:bookmarkStart w:id="2" w:name="bkExplanatory"/>
      <w:bookmarkStart w:id="3" w:name="bkAct"/>
      <w:bookmarkEnd w:id="2"/>
      <w:bookmarkEnd w:id="3"/>
      <w:r w:rsidRPr="00770FF9">
        <w:rPr>
          <w:rFonts w:ascii="Times New Roman" w:hAnsi="Times New Roman" w:cs="Times New Roman"/>
          <w:i/>
          <w:iCs/>
          <w:sz w:val="24"/>
          <w:szCs w:val="24"/>
        </w:rPr>
        <w:t xml:space="preserve">Insurance Act 1973, section 32. </w:t>
      </w:r>
    </w:p>
    <w:p w14:paraId="1113ABF4" w14:textId="4C2B284F" w:rsidR="00A25E0D" w:rsidRDefault="00907BC4" w:rsidP="00A25E0D">
      <w:pPr>
        <w:pStyle w:val="Default"/>
      </w:pPr>
      <w:r w:rsidRPr="00770FF9">
        <w:t xml:space="preserve">APRA may, in writing, determine, </w:t>
      </w:r>
      <w:proofErr w:type="gramStart"/>
      <w:r w:rsidRPr="00770FF9">
        <w:t>vary</w:t>
      </w:r>
      <w:proofErr w:type="gramEnd"/>
      <w:r w:rsidRPr="00770FF9">
        <w:t xml:space="preserve"> or revoke a prudential standard that applies to an APRA-regulated institution under subsections 32(1) and (4) of the </w:t>
      </w:r>
      <w:r w:rsidRPr="00770FF9">
        <w:rPr>
          <w:i/>
          <w:iCs/>
        </w:rPr>
        <w:t xml:space="preserve">Insurance Act 1973 </w:t>
      </w:r>
      <w:r w:rsidRPr="00770FF9">
        <w:t xml:space="preserve">(the Act), in relation to general insurers, authorised non-operating holding companies (authorised insurance NOHCs), and subsidiaries of general insurers and authorised insurance NOHCs. </w:t>
      </w:r>
    </w:p>
    <w:p w14:paraId="5018380D" w14:textId="77777777" w:rsidR="00A25E0D" w:rsidRDefault="00A25E0D" w:rsidP="00A25E0D">
      <w:pPr>
        <w:pStyle w:val="Default"/>
      </w:pPr>
    </w:p>
    <w:p w14:paraId="244E8104" w14:textId="042769BB" w:rsidR="00A25E0D" w:rsidRDefault="00A25E0D" w:rsidP="009D6B58">
      <w:pPr>
        <w:pStyle w:val="Default"/>
        <w:jc w:val="both"/>
      </w:pPr>
      <w:r w:rsidRPr="009D6B58">
        <w:t>On</w:t>
      </w:r>
      <w:r w:rsidR="0092753B">
        <w:t xml:space="preserve"> 24 May</w:t>
      </w:r>
      <w:r w:rsidRPr="009D6B58">
        <w:t xml:space="preserve"> 2023, APRA made</w:t>
      </w:r>
      <w:r>
        <w:t xml:space="preserve"> </w:t>
      </w:r>
      <w:r w:rsidRPr="00770FF9">
        <w:t xml:space="preserve">Insurance (prudential standard) determination </w:t>
      </w:r>
      <w:r w:rsidR="008770F5">
        <w:t>N</w:t>
      </w:r>
      <w:r w:rsidRPr="00770FF9">
        <w:t xml:space="preserve">o. </w:t>
      </w:r>
      <w:r w:rsidR="008770F5">
        <w:t>10</w:t>
      </w:r>
      <w:r w:rsidRPr="00770FF9">
        <w:t xml:space="preserve"> of 2023 which </w:t>
      </w:r>
      <w:r w:rsidR="00930C5D">
        <w:t xml:space="preserve">revokes </w:t>
      </w:r>
      <w:r w:rsidR="008C7354" w:rsidRPr="008C7354">
        <w:rPr>
          <w:i/>
        </w:rPr>
        <w:t xml:space="preserve">Prudential Standard GPS 340 Insurance Liability Valuation </w:t>
      </w:r>
      <w:r w:rsidRPr="00770FF9">
        <w:t xml:space="preserve">made under Insurance </w:t>
      </w:r>
      <w:r w:rsidRPr="009D6B58">
        <w:t xml:space="preserve">determination No. </w:t>
      </w:r>
      <w:r w:rsidR="008C7354">
        <w:t>3</w:t>
      </w:r>
      <w:r w:rsidRPr="009D6B58">
        <w:t xml:space="preserve"> of </w:t>
      </w:r>
      <w:r w:rsidR="009D6B58" w:rsidRPr="009D6B58">
        <w:t>20</w:t>
      </w:r>
      <w:r w:rsidR="005879EE">
        <w:t>1</w:t>
      </w:r>
      <w:r w:rsidR="008C7354">
        <w:t>8</w:t>
      </w:r>
      <w:r w:rsidR="009D6B58" w:rsidRPr="009D6B58">
        <w:t xml:space="preserve"> </w:t>
      </w:r>
      <w:r w:rsidRPr="009D6B58">
        <w:t xml:space="preserve">and determines a new </w:t>
      </w:r>
      <w:r w:rsidR="008C7354" w:rsidRPr="008C7354">
        <w:rPr>
          <w:i/>
        </w:rPr>
        <w:t>Prudential Standard GPS 340 Insurance Liability Valuation</w:t>
      </w:r>
      <w:r w:rsidR="000C3EBC" w:rsidRPr="000C3EBC">
        <w:rPr>
          <w:i/>
        </w:rPr>
        <w:t xml:space="preserve"> </w:t>
      </w:r>
      <w:r w:rsidRPr="009D6B58">
        <w:t xml:space="preserve">(GPS </w:t>
      </w:r>
      <w:r w:rsidR="008C7354">
        <w:t>340</w:t>
      </w:r>
      <w:r w:rsidRPr="009D6B58">
        <w:t>).</w:t>
      </w:r>
    </w:p>
    <w:p w14:paraId="1FC58EC5" w14:textId="77777777" w:rsidR="00A25E0D" w:rsidRDefault="00A25E0D" w:rsidP="00A25E0D">
      <w:pPr>
        <w:pStyle w:val="Default"/>
      </w:pPr>
    </w:p>
    <w:p w14:paraId="243B2508" w14:textId="72B83491" w:rsidR="00A25E0D" w:rsidRDefault="00A25E0D" w:rsidP="00A25E0D">
      <w:pPr>
        <w:pStyle w:val="Default"/>
      </w:pPr>
      <w:r w:rsidRPr="00A06A6F">
        <w:t xml:space="preserve">The instrument commences on </w:t>
      </w:r>
      <w:r>
        <w:t>1 July 2023</w:t>
      </w:r>
      <w:r w:rsidRPr="00A06A6F">
        <w:t>.</w:t>
      </w:r>
    </w:p>
    <w:p w14:paraId="1EE34079" w14:textId="77777777" w:rsidR="00A25E0D" w:rsidRPr="000C4197" w:rsidRDefault="00A25E0D" w:rsidP="00A25E0D">
      <w:pPr>
        <w:pStyle w:val="Default"/>
      </w:pPr>
    </w:p>
    <w:p w14:paraId="323FBD13" w14:textId="77777777" w:rsidR="001F4D45" w:rsidRPr="00770FF9" w:rsidRDefault="001F4D45" w:rsidP="001F4D45">
      <w:pPr>
        <w:numPr>
          <w:ilvl w:val="0"/>
          <w:numId w:val="0"/>
        </w:numPr>
        <w:rPr>
          <w:rFonts w:ascii="Times New Roman" w:hAnsi="Times New Roman" w:cs="Times New Roman"/>
          <w:b/>
          <w:sz w:val="24"/>
          <w:szCs w:val="24"/>
        </w:rPr>
      </w:pPr>
      <w:bookmarkStart w:id="4" w:name="_Hlk133576913"/>
      <w:bookmarkEnd w:id="0"/>
      <w:r w:rsidRPr="00770FF9">
        <w:rPr>
          <w:rFonts w:ascii="Times New Roman" w:hAnsi="Times New Roman" w:cs="Times New Roman"/>
          <w:b/>
          <w:sz w:val="24"/>
          <w:szCs w:val="24"/>
        </w:rPr>
        <w:t>1.</w:t>
      </w:r>
      <w:r w:rsidRPr="00770FF9">
        <w:rPr>
          <w:rFonts w:ascii="Times New Roman" w:hAnsi="Times New Roman" w:cs="Times New Roman"/>
          <w:b/>
          <w:sz w:val="24"/>
          <w:szCs w:val="24"/>
        </w:rPr>
        <w:tab/>
        <w:t>Background</w:t>
      </w:r>
    </w:p>
    <w:p w14:paraId="41922AF6" w14:textId="0A37581C" w:rsidR="00907BC4" w:rsidRPr="00770FF9" w:rsidRDefault="001F4D45" w:rsidP="001F4D45">
      <w:pPr>
        <w:numPr>
          <w:ilvl w:val="0"/>
          <w:numId w:val="0"/>
        </w:numPr>
        <w:rPr>
          <w:rFonts w:ascii="Times New Roman" w:hAnsi="Times New Roman" w:cs="Times New Roman"/>
          <w:sz w:val="24"/>
          <w:szCs w:val="24"/>
        </w:rPr>
      </w:pPr>
      <w:bookmarkStart w:id="5" w:name="_Hlk133930632"/>
      <w:r w:rsidRPr="00770FF9">
        <w:rPr>
          <w:rFonts w:ascii="Times New Roman" w:hAnsi="Times New Roman" w:cs="Times New Roman"/>
          <w:sz w:val="24"/>
          <w:szCs w:val="24"/>
        </w:rPr>
        <w:t>On</w:t>
      </w:r>
      <w:r w:rsidR="0092753B">
        <w:rPr>
          <w:rFonts w:ascii="Times New Roman" w:hAnsi="Times New Roman" w:cs="Times New Roman"/>
          <w:sz w:val="24"/>
          <w:szCs w:val="24"/>
        </w:rPr>
        <w:t xml:space="preserve"> 24 May</w:t>
      </w:r>
      <w:r w:rsidR="00907BC4" w:rsidRPr="00770FF9">
        <w:rPr>
          <w:rFonts w:ascii="Times New Roman" w:hAnsi="Times New Roman" w:cs="Times New Roman"/>
          <w:sz w:val="24"/>
          <w:szCs w:val="24"/>
        </w:rPr>
        <w:t xml:space="preserve"> 2023, APRA </w:t>
      </w:r>
      <w:r w:rsidR="002B5714" w:rsidRPr="00770FF9">
        <w:rPr>
          <w:rFonts w:ascii="Times New Roman" w:hAnsi="Times New Roman" w:cs="Times New Roman"/>
          <w:sz w:val="24"/>
          <w:szCs w:val="24"/>
        </w:rPr>
        <w:t>determined 19 general insurance and life insurance prudential standards</w:t>
      </w:r>
      <w:r w:rsidR="00B50C5D" w:rsidRPr="00770FF9">
        <w:rPr>
          <w:rFonts w:ascii="Times New Roman" w:hAnsi="Times New Roman" w:cs="Times New Roman"/>
          <w:sz w:val="24"/>
          <w:szCs w:val="24"/>
        </w:rPr>
        <w:t xml:space="preserve"> </w:t>
      </w:r>
      <w:r w:rsidR="001F01A9" w:rsidRPr="00770FF9">
        <w:rPr>
          <w:rFonts w:ascii="Times New Roman" w:hAnsi="Times New Roman" w:cs="Times New Roman"/>
          <w:sz w:val="24"/>
          <w:szCs w:val="24"/>
        </w:rPr>
        <w:t>with</w:t>
      </w:r>
      <w:r w:rsidR="00B50C5D" w:rsidRPr="00770FF9">
        <w:rPr>
          <w:rFonts w:ascii="Times New Roman" w:hAnsi="Times New Roman" w:cs="Times New Roman"/>
          <w:sz w:val="24"/>
          <w:szCs w:val="24"/>
        </w:rPr>
        <w:t xml:space="preserve"> amendments </w:t>
      </w:r>
      <w:r w:rsidR="001F01A9" w:rsidRPr="00770FF9">
        <w:rPr>
          <w:rFonts w:ascii="Times New Roman" w:hAnsi="Times New Roman" w:cs="Times New Roman"/>
          <w:sz w:val="24"/>
          <w:szCs w:val="24"/>
        </w:rPr>
        <w:t>that relate to the</w:t>
      </w:r>
      <w:r w:rsidR="00B50C5D" w:rsidRPr="00770FF9">
        <w:rPr>
          <w:rFonts w:ascii="Times New Roman" w:hAnsi="Times New Roman" w:cs="Times New Roman"/>
          <w:sz w:val="24"/>
          <w:szCs w:val="24"/>
        </w:rPr>
        <w:t xml:space="preserve"> new accounting standard Australian Accounting Standards Board (AASB) 17 Insurance Contracts (AASB 17) and minor updates to the Life and General Insurance Capital (LAGIC) Framework. </w:t>
      </w:r>
    </w:p>
    <w:p w14:paraId="2F63714D" w14:textId="644E46BA" w:rsidR="002B5714" w:rsidRPr="00334B5E" w:rsidRDefault="004E61D8" w:rsidP="002B5714">
      <w:pPr>
        <w:numPr>
          <w:ilvl w:val="0"/>
          <w:numId w:val="0"/>
        </w:numPr>
        <w:rPr>
          <w:rFonts w:ascii="Times New Roman" w:hAnsi="Times New Roman" w:cs="Times New Roman"/>
          <w:sz w:val="24"/>
          <w:szCs w:val="24"/>
        </w:rPr>
      </w:pPr>
      <w:r w:rsidRPr="00770FF9">
        <w:rPr>
          <w:rFonts w:ascii="Times New Roman" w:hAnsi="Times New Roman" w:cs="Times New Roman"/>
          <w:sz w:val="24"/>
          <w:szCs w:val="24"/>
        </w:rPr>
        <w:t xml:space="preserve">Based on International Financial Reporting Standard 17 Insurance Contracts, </w:t>
      </w:r>
      <w:r w:rsidR="00B25E6E" w:rsidRPr="00770FF9">
        <w:rPr>
          <w:rFonts w:ascii="Times New Roman" w:hAnsi="Times New Roman" w:cs="Times New Roman"/>
          <w:sz w:val="24"/>
          <w:szCs w:val="24"/>
        </w:rPr>
        <w:t>AASB</w:t>
      </w:r>
      <w:r w:rsidRPr="00770FF9">
        <w:rPr>
          <w:rFonts w:ascii="Times New Roman" w:hAnsi="Times New Roman" w:cs="Times New Roman"/>
          <w:sz w:val="24"/>
          <w:szCs w:val="24"/>
        </w:rPr>
        <w:t xml:space="preserve"> 17 will see </w:t>
      </w:r>
      <w:r w:rsidR="00B25E6E" w:rsidRPr="00770FF9">
        <w:rPr>
          <w:rFonts w:ascii="Times New Roman" w:hAnsi="Times New Roman" w:cs="Times New Roman"/>
          <w:sz w:val="24"/>
          <w:szCs w:val="24"/>
        </w:rPr>
        <w:t xml:space="preserve">all insurance contracts accounted for in a consistent manner, thereby facilitating comparisons across similar insurance companies. The requirements are designed to help users of financial statements better understand an insurer’s exposure, </w:t>
      </w:r>
      <w:proofErr w:type="gramStart"/>
      <w:r w:rsidR="00B25E6E" w:rsidRPr="00770FF9">
        <w:rPr>
          <w:rFonts w:ascii="Times New Roman" w:hAnsi="Times New Roman" w:cs="Times New Roman"/>
          <w:sz w:val="24"/>
          <w:szCs w:val="24"/>
        </w:rPr>
        <w:t>profitability</w:t>
      </w:r>
      <w:proofErr w:type="gramEnd"/>
      <w:r w:rsidR="00B25E6E" w:rsidRPr="00770FF9">
        <w:rPr>
          <w:rFonts w:ascii="Times New Roman" w:hAnsi="Times New Roman" w:cs="Times New Roman"/>
          <w:sz w:val="24"/>
          <w:szCs w:val="24"/>
        </w:rPr>
        <w:t xml:space="preserve"> and financial </w:t>
      </w:r>
      <w:r w:rsidR="00B25E6E" w:rsidRPr="00334B5E">
        <w:rPr>
          <w:rFonts w:ascii="Times New Roman" w:hAnsi="Times New Roman" w:cs="Times New Roman"/>
          <w:sz w:val="24"/>
          <w:szCs w:val="24"/>
        </w:rPr>
        <w:t>position.</w:t>
      </w:r>
    </w:p>
    <w:p w14:paraId="2852F832" w14:textId="19C33AF3" w:rsidR="00C44059" w:rsidRPr="00334B5E" w:rsidRDefault="00C44059" w:rsidP="002B5714">
      <w:pPr>
        <w:numPr>
          <w:ilvl w:val="0"/>
          <w:numId w:val="0"/>
        </w:numPr>
        <w:rPr>
          <w:rFonts w:ascii="Times New Roman" w:hAnsi="Times New Roman" w:cs="Times New Roman"/>
          <w:sz w:val="24"/>
          <w:szCs w:val="24"/>
        </w:rPr>
      </w:pPr>
      <w:r w:rsidRPr="00334B5E">
        <w:rPr>
          <w:rFonts w:ascii="Times New Roman" w:hAnsi="Times New Roman" w:cs="Times New Roman"/>
          <w:sz w:val="24"/>
          <w:szCs w:val="24"/>
        </w:rPr>
        <w:t xml:space="preserve">APRA’s capital and reporting frameworks have close linkages with the accounting standards previously relied upon to determine the accounting treatment of insurance liabilities. As a result, APRA’s capital and reporting frameworks required substantial updates to ensure compatibility with </w:t>
      </w:r>
      <w:r w:rsidR="008770F5">
        <w:rPr>
          <w:rFonts w:ascii="Times New Roman" w:hAnsi="Times New Roman" w:cs="Times New Roman"/>
          <w:sz w:val="24"/>
          <w:szCs w:val="24"/>
        </w:rPr>
        <w:t>AASB 17</w:t>
      </w:r>
      <w:r w:rsidRPr="00334B5E">
        <w:rPr>
          <w:rFonts w:ascii="Times New Roman" w:hAnsi="Times New Roman" w:cs="Times New Roman"/>
          <w:sz w:val="24"/>
          <w:szCs w:val="24"/>
        </w:rPr>
        <w:t>.</w:t>
      </w:r>
    </w:p>
    <w:p w14:paraId="2F48C870" w14:textId="6F069A6D" w:rsidR="00D966DF" w:rsidRPr="00334B5E" w:rsidRDefault="00D966DF" w:rsidP="002B5714">
      <w:pPr>
        <w:numPr>
          <w:ilvl w:val="0"/>
          <w:numId w:val="0"/>
        </w:numPr>
        <w:rPr>
          <w:rFonts w:ascii="Times New Roman" w:hAnsi="Times New Roman" w:cs="Times New Roman"/>
          <w:sz w:val="24"/>
          <w:szCs w:val="24"/>
        </w:rPr>
      </w:pPr>
      <w:r w:rsidRPr="00334B5E">
        <w:rPr>
          <w:rFonts w:ascii="Times New Roman" w:hAnsi="Times New Roman" w:cs="Times New Roman"/>
          <w:sz w:val="24"/>
          <w:szCs w:val="24"/>
        </w:rPr>
        <w:t xml:space="preserve">Not </w:t>
      </w:r>
      <w:proofErr w:type="gramStart"/>
      <w:r w:rsidRPr="00334B5E">
        <w:rPr>
          <w:rFonts w:ascii="Times New Roman" w:hAnsi="Times New Roman" w:cs="Times New Roman"/>
          <w:sz w:val="24"/>
          <w:szCs w:val="24"/>
        </w:rPr>
        <w:t>making adjustments to</w:t>
      </w:r>
      <w:proofErr w:type="gramEnd"/>
      <w:r w:rsidRPr="00334B5E">
        <w:rPr>
          <w:rFonts w:ascii="Times New Roman" w:hAnsi="Times New Roman" w:cs="Times New Roman"/>
          <w:sz w:val="24"/>
          <w:szCs w:val="24"/>
        </w:rPr>
        <w:t xml:space="preserve"> APRA’s capital and reporting frameworks may have resulted in unintended changes to reported capital levels across the insurance industries. It may have also significantly increase</w:t>
      </w:r>
      <w:r w:rsidR="003E6315">
        <w:rPr>
          <w:rFonts w:ascii="Times New Roman" w:hAnsi="Times New Roman" w:cs="Times New Roman"/>
          <w:sz w:val="24"/>
          <w:szCs w:val="24"/>
        </w:rPr>
        <w:t>d</w:t>
      </w:r>
      <w:r w:rsidRPr="00334B5E">
        <w:rPr>
          <w:rFonts w:ascii="Times New Roman" w:hAnsi="Times New Roman" w:cs="Times New Roman"/>
          <w:sz w:val="24"/>
          <w:szCs w:val="24"/>
        </w:rPr>
        <w:t xml:space="preserve"> regulatory burden due to the need for insurers to maintain dual valuation, actuarial, accounting and reporting systems to meet the different requirements of </w:t>
      </w:r>
      <w:r w:rsidR="008770F5">
        <w:rPr>
          <w:rFonts w:ascii="Times New Roman" w:hAnsi="Times New Roman" w:cs="Times New Roman"/>
          <w:sz w:val="24"/>
          <w:szCs w:val="24"/>
        </w:rPr>
        <w:t>AASB 17</w:t>
      </w:r>
      <w:r w:rsidRPr="00334B5E">
        <w:rPr>
          <w:rFonts w:ascii="Times New Roman" w:hAnsi="Times New Roman" w:cs="Times New Roman"/>
          <w:sz w:val="24"/>
          <w:szCs w:val="24"/>
        </w:rPr>
        <w:t xml:space="preserve"> and APRA’s prudential framework.</w:t>
      </w:r>
    </w:p>
    <w:p w14:paraId="698741D7" w14:textId="2A4661D1" w:rsidR="002B5714" w:rsidRPr="00334B5E" w:rsidRDefault="004D654D" w:rsidP="002B5714">
      <w:pPr>
        <w:numPr>
          <w:ilvl w:val="0"/>
          <w:numId w:val="0"/>
        </w:numPr>
        <w:rPr>
          <w:rFonts w:ascii="Times New Roman" w:hAnsi="Times New Roman" w:cs="Times New Roman"/>
          <w:sz w:val="24"/>
          <w:szCs w:val="24"/>
        </w:rPr>
      </w:pPr>
      <w:bookmarkStart w:id="6" w:name="_Hlk133930654"/>
      <w:bookmarkEnd w:id="5"/>
      <w:r w:rsidRPr="00334B5E">
        <w:rPr>
          <w:rFonts w:ascii="Times New Roman" w:hAnsi="Times New Roman" w:cs="Times New Roman"/>
          <w:sz w:val="24"/>
          <w:szCs w:val="24"/>
        </w:rPr>
        <w:t xml:space="preserve">In addition to this, although the LAGIC framework continues to achieve its objectives, APRA </w:t>
      </w:r>
      <w:r w:rsidR="004E61D8" w:rsidRPr="00334B5E">
        <w:rPr>
          <w:rFonts w:ascii="Times New Roman" w:hAnsi="Times New Roman" w:cs="Times New Roman"/>
          <w:sz w:val="24"/>
          <w:szCs w:val="24"/>
        </w:rPr>
        <w:t>has taken the</w:t>
      </w:r>
      <w:r w:rsidRPr="00334B5E">
        <w:rPr>
          <w:rFonts w:ascii="Times New Roman" w:hAnsi="Times New Roman" w:cs="Times New Roman"/>
          <w:sz w:val="24"/>
          <w:szCs w:val="24"/>
        </w:rPr>
        <w:t xml:space="preserve"> opportunity </w:t>
      </w:r>
      <w:r w:rsidR="003E6315">
        <w:rPr>
          <w:rFonts w:ascii="Times New Roman" w:hAnsi="Times New Roman" w:cs="Times New Roman"/>
          <w:sz w:val="24"/>
          <w:szCs w:val="24"/>
        </w:rPr>
        <w:t xml:space="preserve">to </w:t>
      </w:r>
      <w:r w:rsidR="00EA6614" w:rsidRPr="00334B5E">
        <w:rPr>
          <w:rFonts w:ascii="Times New Roman" w:hAnsi="Times New Roman" w:cs="Times New Roman"/>
          <w:sz w:val="24"/>
          <w:szCs w:val="24"/>
        </w:rPr>
        <w:t xml:space="preserve">make </w:t>
      </w:r>
      <w:proofErr w:type="gramStart"/>
      <w:r w:rsidR="00EA6614" w:rsidRPr="00334B5E">
        <w:rPr>
          <w:rFonts w:ascii="Times New Roman" w:hAnsi="Times New Roman" w:cs="Times New Roman"/>
          <w:sz w:val="24"/>
          <w:szCs w:val="24"/>
        </w:rPr>
        <w:t>a number of</w:t>
      </w:r>
      <w:proofErr w:type="gramEnd"/>
      <w:r w:rsidR="00EA6614" w:rsidRPr="00334B5E">
        <w:rPr>
          <w:rFonts w:ascii="Times New Roman" w:hAnsi="Times New Roman" w:cs="Times New Roman"/>
          <w:sz w:val="24"/>
          <w:szCs w:val="24"/>
        </w:rPr>
        <w:t xml:space="preserve"> updates to LAGIC to ensure it remains fit-for-purpose. The key changes include: </w:t>
      </w:r>
    </w:p>
    <w:p w14:paraId="012E7C4C" w14:textId="18E0B453" w:rsidR="004D654D" w:rsidRPr="00334B5E" w:rsidRDefault="00CE5657" w:rsidP="004D654D">
      <w:pPr>
        <w:pStyle w:val="ListParagraph"/>
        <w:numPr>
          <w:ilvl w:val="0"/>
          <w:numId w:val="23"/>
        </w:numPr>
        <w:rPr>
          <w:rFonts w:ascii="Times New Roman" w:hAnsi="Times New Roman" w:cs="Times New Roman"/>
          <w:sz w:val="24"/>
          <w:szCs w:val="24"/>
        </w:rPr>
      </w:pPr>
      <w:bookmarkStart w:id="7" w:name="_Hlk133930731"/>
      <w:bookmarkEnd w:id="6"/>
      <w:r w:rsidRPr="00334B5E">
        <w:rPr>
          <w:rFonts w:ascii="Times New Roman" w:hAnsi="Times New Roman" w:cs="Times New Roman"/>
          <w:sz w:val="24"/>
          <w:szCs w:val="24"/>
        </w:rPr>
        <w:t>r</w:t>
      </w:r>
      <w:r w:rsidR="004D654D" w:rsidRPr="00334B5E">
        <w:rPr>
          <w:rFonts w:ascii="Times New Roman" w:hAnsi="Times New Roman" w:cs="Times New Roman"/>
          <w:sz w:val="24"/>
          <w:szCs w:val="24"/>
        </w:rPr>
        <w:t>emov</w:t>
      </w:r>
      <w:r w:rsidRPr="00334B5E">
        <w:rPr>
          <w:rFonts w:ascii="Times New Roman" w:hAnsi="Times New Roman" w:cs="Times New Roman"/>
          <w:sz w:val="24"/>
          <w:szCs w:val="24"/>
        </w:rPr>
        <w:t xml:space="preserve">ing the ability of insurers to use Internal Capital Models for regulatory capital </w:t>
      </w:r>
      <w:proofErr w:type="gramStart"/>
      <w:r w:rsidRPr="00334B5E">
        <w:rPr>
          <w:rFonts w:ascii="Times New Roman" w:hAnsi="Times New Roman" w:cs="Times New Roman"/>
          <w:sz w:val="24"/>
          <w:szCs w:val="24"/>
        </w:rPr>
        <w:t>purposes;</w:t>
      </w:r>
      <w:proofErr w:type="gramEnd"/>
      <w:r w:rsidR="0084459A" w:rsidRPr="00334B5E">
        <w:rPr>
          <w:rFonts w:ascii="Times New Roman" w:hAnsi="Times New Roman" w:cs="Times New Roman"/>
          <w:sz w:val="24"/>
          <w:szCs w:val="24"/>
        </w:rPr>
        <w:t xml:space="preserve"> </w:t>
      </w:r>
    </w:p>
    <w:bookmarkEnd w:id="7"/>
    <w:p w14:paraId="06BBC7EA" w14:textId="54E183D2" w:rsidR="00CE5657" w:rsidRPr="00334B5E" w:rsidRDefault="00CE5657" w:rsidP="0084459A">
      <w:pPr>
        <w:pStyle w:val="ListParagraph"/>
        <w:numPr>
          <w:ilvl w:val="0"/>
          <w:numId w:val="23"/>
        </w:numPr>
        <w:rPr>
          <w:rFonts w:ascii="Times New Roman" w:hAnsi="Times New Roman" w:cs="Times New Roman"/>
          <w:sz w:val="24"/>
          <w:szCs w:val="24"/>
        </w:rPr>
      </w:pPr>
      <w:r w:rsidRPr="00334B5E">
        <w:rPr>
          <w:rFonts w:ascii="Times New Roman" w:hAnsi="Times New Roman" w:cs="Times New Roman"/>
          <w:sz w:val="24"/>
          <w:szCs w:val="24"/>
        </w:rPr>
        <w:t>aligning the measurement of capital instruments for ADIs and Insurers</w:t>
      </w:r>
      <w:r w:rsidR="00AE2D9A" w:rsidRPr="00334B5E">
        <w:rPr>
          <w:rFonts w:ascii="Times New Roman" w:hAnsi="Times New Roman" w:cs="Times New Roman"/>
          <w:sz w:val="24"/>
          <w:szCs w:val="24"/>
        </w:rPr>
        <w:t xml:space="preserve">; and </w:t>
      </w:r>
    </w:p>
    <w:p w14:paraId="49AE85EC" w14:textId="49C3C4BF" w:rsidR="00F91B27" w:rsidRPr="00334B5E" w:rsidRDefault="001A34E9" w:rsidP="00F91B27">
      <w:pPr>
        <w:pStyle w:val="ListParagraph"/>
        <w:numPr>
          <w:ilvl w:val="0"/>
          <w:numId w:val="23"/>
        </w:numPr>
        <w:rPr>
          <w:rFonts w:ascii="Times New Roman" w:hAnsi="Times New Roman" w:cs="Times New Roman"/>
          <w:sz w:val="24"/>
          <w:szCs w:val="24"/>
        </w:rPr>
      </w:pPr>
      <w:r w:rsidRPr="00334B5E">
        <w:rPr>
          <w:rFonts w:ascii="Times New Roman" w:hAnsi="Times New Roman" w:cs="Times New Roman"/>
          <w:sz w:val="24"/>
          <w:szCs w:val="24"/>
        </w:rPr>
        <w:t xml:space="preserve">formalising </w:t>
      </w:r>
      <w:r w:rsidR="00DC23FC" w:rsidRPr="00334B5E">
        <w:rPr>
          <w:rFonts w:ascii="Times New Roman" w:hAnsi="Times New Roman" w:cs="Times New Roman"/>
          <w:sz w:val="24"/>
          <w:szCs w:val="24"/>
        </w:rPr>
        <w:t xml:space="preserve">reinsurance </w:t>
      </w:r>
      <w:r w:rsidRPr="00334B5E">
        <w:rPr>
          <w:rFonts w:ascii="Times New Roman" w:hAnsi="Times New Roman" w:cs="Times New Roman"/>
          <w:sz w:val="24"/>
          <w:szCs w:val="24"/>
        </w:rPr>
        <w:t xml:space="preserve">procedures and </w:t>
      </w:r>
      <w:r w:rsidR="00DC23FC" w:rsidRPr="00334B5E">
        <w:rPr>
          <w:rFonts w:ascii="Times New Roman" w:hAnsi="Times New Roman" w:cs="Times New Roman"/>
          <w:sz w:val="24"/>
          <w:szCs w:val="24"/>
        </w:rPr>
        <w:t>rules.</w:t>
      </w:r>
    </w:p>
    <w:p w14:paraId="2510B792" w14:textId="77777777" w:rsidR="00F91B27" w:rsidRPr="00334B5E" w:rsidRDefault="00B670E9" w:rsidP="00F91B27">
      <w:pPr>
        <w:numPr>
          <w:ilvl w:val="0"/>
          <w:numId w:val="0"/>
        </w:numPr>
        <w:rPr>
          <w:rFonts w:ascii="Times New Roman" w:hAnsi="Times New Roman" w:cs="Times New Roman"/>
          <w:b/>
          <w:sz w:val="24"/>
          <w:szCs w:val="24"/>
        </w:rPr>
      </w:pPr>
      <w:r w:rsidRPr="00334B5E">
        <w:rPr>
          <w:rFonts w:ascii="Times New Roman" w:hAnsi="Times New Roman" w:cs="Times New Roman"/>
          <w:b/>
          <w:sz w:val="24"/>
          <w:szCs w:val="24"/>
        </w:rPr>
        <w:lastRenderedPageBreak/>
        <w:t>2.</w:t>
      </w:r>
      <w:r w:rsidRPr="00334B5E">
        <w:rPr>
          <w:rFonts w:ascii="Times New Roman" w:hAnsi="Times New Roman" w:cs="Times New Roman"/>
          <w:b/>
          <w:sz w:val="24"/>
          <w:szCs w:val="24"/>
        </w:rPr>
        <w:tab/>
      </w:r>
      <w:r w:rsidR="00211AFD" w:rsidRPr="00334B5E">
        <w:rPr>
          <w:rFonts w:ascii="Times New Roman" w:hAnsi="Times New Roman" w:cs="Times New Roman"/>
          <w:b/>
          <w:sz w:val="24"/>
          <w:szCs w:val="24"/>
        </w:rPr>
        <w:t>Purpose and operation of the instrument</w:t>
      </w:r>
      <w:r w:rsidR="00B40434" w:rsidRPr="00334B5E">
        <w:rPr>
          <w:rFonts w:ascii="Times New Roman" w:hAnsi="Times New Roman" w:cs="Times New Roman"/>
          <w:b/>
          <w:sz w:val="24"/>
          <w:szCs w:val="24"/>
        </w:rPr>
        <w:t>s</w:t>
      </w:r>
      <w:r w:rsidR="00211AFD" w:rsidRPr="00334B5E">
        <w:rPr>
          <w:rFonts w:ascii="Times New Roman" w:hAnsi="Times New Roman" w:cs="Times New Roman"/>
          <w:b/>
          <w:sz w:val="24"/>
          <w:szCs w:val="24"/>
        </w:rPr>
        <w:t xml:space="preserve"> </w:t>
      </w:r>
      <w:bookmarkStart w:id="8" w:name="_Hlk112080807"/>
    </w:p>
    <w:bookmarkEnd w:id="8"/>
    <w:p w14:paraId="43669CFA" w14:textId="330012B5" w:rsidR="00EF32FA" w:rsidRDefault="000D73F7" w:rsidP="0084758E">
      <w:pPr>
        <w:rPr>
          <w:rFonts w:ascii="Times New Roman" w:hAnsi="Times New Roman" w:cs="Times New Roman"/>
          <w:sz w:val="24"/>
          <w:szCs w:val="24"/>
        </w:rPr>
      </w:pPr>
      <w:r w:rsidRPr="000D73F7">
        <w:rPr>
          <w:rFonts w:ascii="Times New Roman" w:hAnsi="Times New Roman" w:cs="Times New Roman"/>
          <w:sz w:val="24"/>
          <w:szCs w:val="24"/>
        </w:rPr>
        <w:t>The purpose of th</w:t>
      </w:r>
      <w:r w:rsidR="00D247A2">
        <w:rPr>
          <w:rFonts w:ascii="Times New Roman" w:hAnsi="Times New Roman" w:cs="Times New Roman"/>
          <w:sz w:val="24"/>
          <w:szCs w:val="24"/>
        </w:rPr>
        <w:t xml:space="preserve">is </w:t>
      </w:r>
      <w:r w:rsidRPr="000D73F7">
        <w:rPr>
          <w:rFonts w:ascii="Times New Roman" w:hAnsi="Times New Roman" w:cs="Times New Roman"/>
          <w:sz w:val="24"/>
          <w:szCs w:val="24"/>
        </w:rPr>
        <w:t xml:space="preserve">instrument is to revoke GPS </w:t>
      </w:r>
      <w:r w:rsidR="008C7354">
        <w:rPr>
          <w:rFonts w:ascii="Times New Roman" w:hAnsi="Times New Roman" w:cs="Times New Roman"/>
          <w:sz w:val="24"/>
          <w:szCs w:val="24"/>
        </w:rPr>
        <w:t>340</w:t>
      </w:r>
      <w:r w:rsidR="000C3EBC">
        <w:rPr>
          <w:rFonts w:ascii="Times New Roman" w:hAnsi="Times New Roman" w:cs="Times New Roman"/>
          <w:sz w:val="24"/>
          <w:szCs w:val="24"/>
        </w:rPr>
        <w:t xml:space="preserve"> </w:t>
      </w:r>
      <w:r w:rsidRPr="000D73F7">
        <w:rPr>
          <w:rFonts w:ascii="Times New Roman" w:hAnsi="Times New Roman" w:cs="Times New Roman"/>
          <w:sz w:val="24"/>
          <w:szCs w:val="24"/>
        </w:rPr>
        <w:t xml:space="preserve">and replace </w:t>
      </w:r>
      <w:r w:rsidR="00D247A2">
        <w:rPr>
          <w:rFonts w:ascii="Times New Roman" w:hAnsi="Times New Roman" w:cs="Times New Roman"/>
          <w:sz w:val="24"/>
          <w:szCs w:val="24"/>
        </w:rPr>
        <w:t xml:space="preserve">it </w:t>
      </w:r>
      <w:r w:rsidRPr="000D73F7">
        <w:rPr>
          <w:rFonts w:ascii="Times New Roman" w:hAnsi="Times New Roman" w:cs="Times New Roman"/>
          <w:sz w:val="24"/>
          <w:szCs w:val="24"/>
        </w:rPr>
        <w:t xml:space="preserve">with </w:t>
      </w:r>
      <w:r w:rsidR="00D247A2">
        <w:rPr>
          <w:rFonts w:ascii="Times New Roman" w:hAnsi="Times New Roman" w:cs="Times New Roman"/>
          <w:sz w:val="24"/>
          <w:szCs w:val="24"/>
        </w:rPr>
        <w:t xml:space="preserve">a </w:t>
      </w:r>
      <w:r w:rsidRPr="000D73F7">
        <w:rPr>
          <w:rFonts w:ascii="Times New Roman" w:hAnsi="Times New Roman" w:cs="Times New Roman"/>
          <w:sz w:val="24"/>
          <w:szCs w:val="24"/>
        </w:rPr>
        <w:t>corresponding new version of the prudential standards incorporating the amendments.</w:t>
      </w:r>
      <w:r w:rsidR="00EF32FA">
        <w:rPr>
          <w:rFonts w:ascii="Times New Roman" w:hAnsi="Times New Roman" w:cs="Times New Roman"/>
          <w:sz w:val="24"/>
          <w:szCs w:val="24"/>
        </w:rPr>
        <w:t xml:space="preserve"> </w:t>
      </w:r>
    </w:p>
    <w:p w14:paraId="37A68077" w14:textId="52A0FF6E" w:rsidR="00D247A2" w:rsidRDefault="00EF32FA" w:rsidP="00464D07">
      <w:pPr>
        <w:rPr>
          <w:rFonts w:ascii="Times New Roman" w:hAnsi="Times New Roman" w:cs="Times New Roman"/>
          <w:sz w:val="24"/>
          <w:szCs w:val="24"/>
        </w:rPr>
      </w:pPr>
      <w:r>
        <w:rPr>
          <w:rFonts w:ascii="Times New Roman" w:hAnsi="Times New Roman" w:cs="Times New Roman"/>
          <w:sz w:val="24"/>
          <w:szCs w:val="24"/>
        </w:rPr>
        <w:t xml:space="preserve">This </w:t>
      </w:r>
      <w:r w:rsidR="00D247A2">
        <w:rPr>
          <w:rFonts w:ascii="Times New Roman" w:hAnsi="Times New Roman" w:cs="Times New Roman"/>
          <w:sz w:val="24"/>
          <w:szCs w:val="24"/>
        </w:rPr>
        <w:t>instrument make</w:t>
      </w:r>
      <w:r>
        <w:rPr>
          <w:rFonts w:ascii="Times New Roman" w:hAnsi="Times New Roman" w:cs="Times New Roman"/>
          <w:sz w:val="24"/>
          <w:szCs w:val="24"/>
        </w:rPr>
        <w:t>s</w:t>
      </w:r>
      <w:r w:rsidR="00D247A2">
        <w:rPr>
          <w:rFonts w:ascii="Times New Roman" w:hAnsi="Times New Roman" w:cs="Times New Roman"/>
          <w:sz w:val="24"/>
          <w:szCs w:val="24"/>
        </w:rPr>
        <w:t xml:space="preserve"> changes to better align APRA’s prudential requirements with accounting concepts, as well as make a small number of other amendments to address minor prudential matters. T</w:t>
      </w:r>
      <w:r w:rsidR="00D247A2" w:rsidRPr="00334B5E">
        <w:rPr>
          <w:rFonts w:ascii="Times New Roman" w:hAnsi="Times New Roman" w:cs="Times New Roman"/>
          <w:sz w:val="24"/>
          <w:szCs w:val="24"/>
        </w:rPr>
        <w:t xml:space="preserve">he fundamental components </w:t>
      </w:r>
      <w:r w:rsidR="00D247A2">
        <w:rPr>
          <w:rFonts w:ascii="Times New Roman" w:hAnsi="Times New Roman" w:cs="Times New Roman"/>
          <w:sz w:val="24"/>
          <w:szCs w:val="24"/>
        </w:rPr>
        <w:t xml:space="preserve">or purpose </w:t>
      </w:r>
      <w:r w:rsidR="00D247A2" w:rsidRPr="00334B5E">
        <w:rPr>
          <w:rFonts w:ascii="Times New Roman" w:hAnsi="Times New Roman" w:cs="Times New Roman"/>
          <w:sz w:val="24"/>
          <w:szCs w:val="24"/>
        </w:rPr>
        <w:t xml:space="preserve">of each standard has not changed. </w:t>
      </w:r>
    </w:p>
    <w:p w14:paraId="223EFD6B" w14:textId="6D91AE90" w:rsidR="00495EDA" w:rsidRPr="00365B6A" w:rsidRDefault="006E1313" w:rsidP="00495EDA">
      <w:pPr>
        <w:pStyle w:val="heading0"/>
        <w:shd w:val="clear" w:color="auto" w:fill="FFFFFF"/>
        <w:jc w:val="both"/>
      </w:pPr>
      <w:r w:rsidRPr="006E1313">
        <w:rPr>
          <w:rFonts w:eastAsiaTheme="minorHAnsi"/>
          <w:color w:val="000000"/>
          <w:lang w:eastAsia="en-US"/>
        </w:rPr>
        <w:t xml:space="preserve">GPS 340 sets out requirements for the valuation of insurance liabilities of a general insurer or Level 2 insurance group. A general insurer or Level 2 insurance group must value its insurance liabilities in accordance with the principles and methodology set out in GPS 340, the responsibility for the valuation of insurance liabilities rests with the board. </w:t>
      </w:r>
    </w:p>
    <w:p w14:paraId="658CB89A" w14:textId="77777777" w:rsidR="00495EDA" w:rsidRPr="00B929E5" w:rsidRDefault="00495EDA" w:rsidP="00495EDA">
      <w:pPr>
        <w:pStyle w:val="Heading5"/>
        <w:rPr>
          <w:rFonts w:ascii="Times New Roman" w:hAnsi="Times New Roman" w:cs="Times New Roman"/>
          <w:sz w:val="24"/>
          <w:szCs w:val="24"/>
        </w:rPr>
      </w:pPr>
      <w:r w:rsidRPr="00B929E5">
        <w:rPr>
          <w:rFonts w:ascii="Times New Roman" w:hAnsi="Times New Roman" w:cs="Times New Roman"/>
          <w:sz w:val="24"/>
          <w:szCs w:val="24"/>
        </w:rPr>
        <w:t>Documents incorporated by reference</w:t>
      </w:r>
    </w:p>
    <w:p w14:paraId="6292D7C4" w14:textId="77777777" w:rsidR="00495EDA" w:rsidRPr="00B929E5" w:rsidRDefault="00495EDA" w:rsidP="00495EDA">
      <w:pPr>
        <w:rPr>
          <w:rFonts w:ascii="Times New Roman" w:hAnsi="Times New Roman" w:cs="Times New Roman"/>
          <w:sz w:val="24"/>
          <w:szCs w:val="24"/>
        </w:rPr>
      </w:pPr>
      <w:r w:rsidRPr="00B929E5">
        <w:rPr>
          <w:rFonts w:ascii="Times New Roman" w:hAnsi="Times New Roman" w:cs="Times New Roman"/>
          <w:sz w:val="24"/>
          <w:szCs w:val="24"/>
        </w:rPr>
        <w:t xml:space="preserve">Under paragraph 14(1)(a) of the </w:t>
      </w:r>
      <w:r w:rsidRPr="00B929E5">
        <w:rPr>
          <w:rFonts w:ascii="Times New Roman" w:hAnsi="Times New Roman" w:cs="Times New Roman"/>
          <w:i/>
          <w:sz w:val="24"/>
          <w:szCs w:val="24"/>
        </w:rPr>
        <w:t>Legislation Act 2003</w:t>
      </w:r>
      <w:r w:rsidRPr="00B929E5">
        <w:rPr>
          <w:rFonts w:ascii="Times New Roman" w:hAnsi="Times New Roman" w:cs="Times New Roman"/>
          <w:sz w:val="24"/>
          <w:szCs w:val="24"/>
        </w:rPr>
        <w:t xml:space="preserve">, the prudential standard incorporates by reference as in force from time to time: </w:t>
      </w:r>
    </w:p>
    <w:p w14:paraId="366C62A7" w14:textId="77777777" w:rsidR="00495EDA" w:rsidRPr="00B929E5" w:rsidRDefault="00495EDA" w:rsidP="00495EDA">
      <w:pPr>
        <w:numPr>
          <w:ilvl w:val="0"/>
          <w:numId w:val="27"/>
        </w:numPr>
        <w:rPr>
          <w:rFonts w:ascii="Times New Roman" w:hAnsi="Times New Roman" w:cs="Times New Roman"/>
          <w:sz w:val="24"/>
          <w:szCs w:val="24"/>
        </w:rPr>
      </w:pPr>
      <w:r w:rsidRPr="00B929E5">
        <w:rPr>
          <w:rFonts w:ascii="Times New Roman" w:hAnsi="Times New Roman" w:cs="Times New Roman"/>
          <w:sz w:val="24"/>
          <w:szCs w:val="24"/>
        </w:rPr>
        <w:t xml:space="preserve">Acts of Parliament and associated delegated </w:t>
      </w:r>
      <w:proofErr w:type="gramStart"/>
      <w:r w:rsidRPr="00B929E5">
        <w:rPr>
          <w:rFonts w:ascii="Times New Roman" w:hAnsi="Times New Roman" w:cs="Times New Roman"/>
          <w:sz w:val="24"/>
          <w:szCs w:val="24"/>
        </w:rPr>
        <w:t>legislation;</w:t>
      </w:r>
      <w:proofErr w:type="gramEnd"/>
    </w:p>
    <w:p w14:paraId="77118272" w14:textId="77777777" w:rsidR="00495EDA" w:rsidRPr="00B929E5" w:rsidRDefault="00495EDA" w:rsidP="00495EDA">
      <w:pPr>
        <w:numPr>
          <w:ilvl w:val="0"/>
          <w:numId w:val="27"/>
        </w:numPr>
        <w:rPr>
          <w:rFonts w:ascii="Times New Roman" w:hAnsi="Times New Roman" w:cs="Times New Roman"/>
          <w:sz w:val="24"/>
          <w:szCs w:val="24"/>
        </w:rPr>
      </w:pPr>
      <w:r w:rsidRPr="00B929E5">
        <w:rPr>
          <w:rFonts w:ascii="Times New Roman" w:hAnsi="Times New Roman" w:cs="Times New Roman"/>
          <w:sz w:val="24"/>
          <w:szCs w:val="24"/>
        </w:rPr>
        <w:t xml:space="preserve">Prudential Standards determined by APRA under: </w:t>
      </w:r>
    </w:p>
    <w:p w14:paraId="75C65130" w14:textId="77777777" w:rsidR="00495EDA" w:rsidRPr="00B929E5" w:rsidRDefault="00495EDA" w:rsidP="00495EDA">
      <w:pPr>
        <w:numPr>
          <w:ilvl w:val="1"/>
          <w:numId w:val="27"/>
        </w:numPr>
        <w:rPr>
          <w:rFonts w:ascii="Times New Roman" w:hAnsi="Times New Roman" w:cs="Times New Roman"/>
          <w:sz w:val="24"/>
          <w:szCs w:val="24"/>
        </w:rPr>
      </w:pPr>
      <w:r w:rsidRPr="00B929E5">
        <w:rPr>
          <w:rFonts w:ascii="Times New Roman" w:hAnsi="Times New Roman" w:cs="Times New Roman"/>
          <w:sz w:val="24"/>
          <w:szCs w:val="24"/>
        </w:rPr>
        <w:t>subsection 11</w:t>
      </w:r>
      <w:proofErr w:type="gramStart"/>
      <w:r w:rsidRPr="00B929E5">
        <w:rPr>
          <w:rFonts w:ascii="Times New Roman" w:hAnsi="Times New Roman" w:cs="Times New Roman"/>
          <w:sz w:val="24"/>
          <w:szCs w:val="24"/>
        </w:rPr>
        <w:t>AF(</w:t>
      </w:r>
      <w:proofErr w:type="gramEnd"/>
      <w:r w:rsidRPr="00B929E5">
        <w:rPr>
          <w:rFonts w:ascii="Times New Roman" w:hAnsi="Times New Roman" w:cs="Times New Roman"/>
          <w:sz w:val="24"/>
          <w:szCs w:val="24"/>
        </w:rPr>
        <w:t>1) of the</w:t>
      </w:r>
      <w:r w:rsidRPr="00B929E5">
        <w:rPr>
          <w:rFonts w:ascii="Times New Roman" w:hAnsi="Times New Roman" w:cs="Times New Roman"/>
          <w:i/>
          <w:iCs/>
          <w:sz w:val="24"/>
          <w:szCs w:val="24"/>
        </w:rPr>
        <w:t> Banking Act 1959</w:t>
      </w:r>
      <w:r w:rsidRPr="00B929E5">
        <w:rPr>
          <w:rFonts w:ascii="Times New Roman" w:hAnsi="Times New Roman" w:cs="Times New Roman"/>
          <w:iCs/>
          <w:sz w:val="24"/>
          <w:szCs w:val="24"/>
        </w:rPr>
        <w:t>;</w:t>
      </w:r>
    </w:p>
    <w:p w14:paraId="54258F5B" w14:textId="77777777" w:rsidR="00495EDA" w:rsidRPr="00B929E5" w:rsidRDefault="00495EDA" w:rsidP="00495EDA">
      <w:pPr>
        <w:numPr>
          <w:ilvl w:val="1"/>
          <w:numId w:val="27"/>
        </w:numPr>
        <w:rPr>
          <w:rFonts w:ascii="Times New Roman" w:hAnsi="Times New Roman" w:cs="Times New Roman"/>
          <w:sz w:val="24"/>
          <w:szCs w:val="24"/>
        </w:rPr>
      </w:pPr>
      <w:r w:rsidRPr="00B929E5">
        <w:rPr>
          <w:rFonts w:ascii="Times New Roman" w:hAnsi="Times New Roman" w:cs="Times New Roman"/>
          <w:sz w:val="24"/>
          <w:szCs w:val="24"/>
        </w:rPr>
        <w:t>subsection 32(1) of the </w:t>
      </w:r>
      <w:r w:rsidRPr="00B929E5">
        <w:rPr>
          <w:rFonts w:ascii="Times New Roman" w:hAnsi="Times New Roman" w:cs="Times New Roman"/>
          <w:i/>
          <w:iCs/>
          <w:sz w:val="24"/>
          <w:szCs w:val="24"/>
        </w:rPr>
        <w:t xml:space="preserve">Insurance Act </w:t>
      </w:r>
      <w:proofErr w:type="gramStart"/>
      <w:r w:rsidRPr="00B929E5">
        <w:rPr>
          <w:rFonts w:ascii="Times New Roman" w:hAnsi="Times New Roman" w:cs="Times New Roman"/>
          <w:i/>
          <w:iCs/>
          <w:sz w:val="24"/>
          <w:szCs w:val="24"/>
        </w:rPr>
        <w:t>1973</w:t>
      </w:r>
      <w:r w:rsidRPr="00B929E5">
        <w:rPr>
          <w:rFonts w:ascii="Times New Roman" w:hAnsi="Times New Roman" w:cs="Times New Roman"/>
          <w:sz w:val="24"/>
          <w:szCs w:val="24"/>
        </w:rPr>
        <w:t>;</w:t>
      </w:r>
      <w:proofErr w:type="gramEnd"/>
    </w:p>
    <w:p w14:paraId="3FF965B5" w14:textId="77777777" w:rsidR="00495EDA" w:rsidRPr="00B929E5" w:rsidRDefault="00495EDA" w:rsidP="00495EDA">
      <w:pPr>
        <w:numPr>
          <w:ilvl w:val="1"/>
          <w:numId w:val="27"/>
        </w:numPr>
        <w:rPr>
          <w:rFonts w:ascii="Times New Roman" w:hAnsi="Times New Roman" w:cs="Times New Roman"/>
          <w:sz w:val="24"/>
          <w:szCs w:val="24"/>
        </w:rPr>
      </w:pPr>
      <w:r w:rsidRPr="00B929E5">
        <w:rPr>
          <w:rFonts w:ascii="Times New Roman" w:hAnsi="Times New Roman" w:cs="Times New Roman"/>
          <w:sz w:val="24"/>
          <w:szCs w:val="24"/>
        </w:rPr>
        <w:t>subsection 230</w:t>
      </w:r>
      <w:proofErr w:type="gramStart"/>
      <w:r w:rsidRPr="00B929E5">
        <w:rPr>
          <w:rFonts w:ascii="Times New Roman" w:hAnsi="Times New Roman" w:cs="Times New Roman"/>
          <w:sz w:val="24"/>
          <w:szCs w:val="24"/>
        </w:rPr>
        <w:t>A(</w:t>
      </w:r>
      <w:proofErr w:type="gramEnd"/>
      <w:r w:rsidRPr="00B929E5">
        <w:rPr>
          <w:rFonts w:ascii="Times New Roman" w:hAnsi="Times New Roman" w:cs="Times New Roman"/>
          <w:sz w:val="24"/>
          <w:szCs w:val="24"/>
        </w:rPr>
        <w:t>1) of the </w:t>
      </w:r>
      <w:r w:rsidRPr="00B929E5">
        <w:rPr>
          <w:rFonts w:ascii="Times New Roman" w:hAnsi="Times New Roman" w:cs="Times New Roman"/>
          <w:i/>
          <w:iCs/>
          <w:sz w:val="24"/>
          <w:szCs w:val="24"/>
        </w:rPr>
        <w:t>Life Insurance Act 1995</w:t>
      </w:r>
      <w:r w:rsidRPr="00B929E5">
        <w:rPr>
          <w:rFonts w:ascii="Times New Roman" w:hAnsi="Times New Roman" w:cs="Times New Roman"/>
          <w:iCs/>
          <w:sz w:val="24"/>
          <w:szCs w:val="24"/>
        </w:rPr>
        <w:t>; and</w:t>
      </w:r>
    </w:p>
    <w:p w14:paraId="5DBFADD0" w14:textId="77777777" w:rsidR="00495EDA" w:rsidRPr="00B929E5" w:rsidRDefault="00495EDA" w:rsidP="00495EDA">
      <w:pPr>
        <w:numPr>
          <w:ilvl w:val="1"/>
          <w:numId w:val="27"/>
        </w:numPr>
        <w:rPr>
          <w:rFonts w:ascii="Times New Roman" w:hAnsi="Times New Roman" w:cs="Times New Roman"/>
          <w:sz w:val="24"/>
          <w:szCs w:val="24"/>
        </w:rPr>
      </w:pPr>
      <w:r w:rsidRPr="00B929E5">
        <w:rPr>
          <w:rFonts w:ascii="Times New Roman" w:hAnsi="Times New Roman" w:cs="Times New Roman"/>
          <w:sz w:val="24"/>
          <w:szCs w:val="24"/>
        </w:rPr>
        <w:t> subsection 92(1) of the </w:t>
      </w:r>
      <w:r w:rsidRPr="00B929E5">
        <w:rPr>
          <w:rFonts w:ascii="Times New Roman" w:hAnsi="Times New Roman" w:cs="Times New Roman"/>
          <w:i/>
          <w:iCs/>
          <w:sz w:val="24"/>
          <w:szCs w:val="24"/>
        </w:rPr>
        <w:t>Private Health Insurance (Prudential Supervision) Act 2015</w:t>
      </w:r>
      <w:r w:rsidRPr="00B929E5">
        <w:rPr>
          <w:rFonts w:ascii="Times New Roman" w:hAnsi="Times New Roman" w:cs="Times New Roman"/>
          <w:iCs/>
          <w:sz w:val="24"/>
          <w:szCs w:val="24"/>
        </w:rPr>
        <w:t>; and</w:t>
      </w:r>
    </w:p>
    <w:p w14:paraId="1D7BF555" w14:textId="77777777" w:rsidR="00495EDA" w:rsidRPr="00B929E5" w:rsidRDefault="00495EDA" w:rsidP="00495EDA">
      <w:pPr>
        <w:numPr>
          <w:ilvl w:val="0"/>
          <w:numId w:val="27"/>
        </w:numPr>
        <w:rPr>
          <w:rFonts w:ascii="Times New Roman" w:hAnsi="Times New Roman" w:cs="Times New Roman"/>
          <w:sz w:val="24"/>
          <w:szCs w:val="24"/>
        </w:rPr>
      </w:pPr>
      <w:r w:rsidRPr="00B929E5">
        <w:rPr>
          <w:rFonts w:ascii="Times New Roman" w:hAnsi="Times New Roman" w:cs="Times New Roman"/>
          <w:sz w:val="24"/>
          <w:szCs w:val="24"/>
        </w:rPr>
        <w:t xml:space="preserve">Reporting Standards determined by APRA under subsection 13(1) of the </w:t>
      </w:r>
      <w:proofErr w:type="gramStart"/>
      <w:r w:rsidRPr="00B929E5">
        <w:rPr>
          <w:rFonts w:ascii="Times New Roman" w:hAnsi="Times New Roman" w:cs="Times New Roman"/>
          <w:sz w:val="24"/>
          <w:szCs w:val="24"/>
        </w:rPr>
        <w:t>Act</w:t>
      </w:r>
      <w:r w:rsidRPr="00B929E5">
        <w:rPr>
          <w:rFonts w:ascii="Times New Roman" w:hAnsi="Times New Roman" w:cs="Times New Roman"/>
          <w:iCs/>
          <w:sz w:val="24"/>
          <w:szCs w:val="24"/>
          <w:lang w:val="en-US"/>
        </w:rPr>
        <w:t>;</w:t>
      </w:r>
      <w:proofErr w:type="gramEnd"/>
    </w:p>
    <w:p w14:paraId="377F7F84" w14:textId="77777777" w:rsidR="00495EDA" w:rsidRPr="00B929E5" w:rsidRDefault="00495EDA" w:rsidP="00495EDA">
      <w:pPr>
        <w:numPr>
          <w:ilvl w:val="0"/>
          <w:numId w:val="27"/>
        </w:numPr>
        <w:rPr>
          <w:rFonts w:ascii="Times New Roman" w:hAnsi="Times New Roman" w:cs="Times New Roman"/>
          <w:i/>
          <w:iCs/>
          <w:sz w:val="24"/>
          <w:szCs w:val="24"/>
        </w:rPr>
      </w:pPr>
      <w:r w:rsidRPr="00B929E5">
        <w:rPr>
          <w:rFonts w:ascii="Times New Roman" w:hAnsi="Times New Roman" w:cs="Times New Roman"/>
          <w:sz w:val="24"/>
          <w:szCs w:val="24"/>
        </w:rPr>
        <w:t xml:space="preserve">the Australian Accounting Standards determined by the Australian Accounting Standards Board under section 334 of the </w:t>
      </w:r>
      <w:r w:rsidRPr="00B929E5">
        <w:rPr>
          <w:rFonts w:ascii="Times New Roman" w:hAnsi="Times New Roman" w:cs="Times New Roman"/>
          <w:i/>
          <w:iCs/>
          <w:sz w:val="24"/>
          <w:szCs w:val="24"/>
        </w:rPr>
        <w:t xml:space="preserve">Corporations Act 2001 </w:t>
      </w:r>
      <w:r w:rsidRPr="00B929E5">
        <w:rPr>
          <w:rFonts w:ascii="Times New Roman" w:hAnsi="Times New Roman" w:cs="Times New Roman"/>
          <w:sz w:val="24"/>
          <w:szCs w:val="24"/>
        </w:rPr>
        <w:t>(</w:t>
      </w:r>
      <w:proofErr w:type="spellStart"/>
      <w:r w:rsidRPr="00B929E5">
        <w:rPr>
          <w:rFonts w:ascii="Times New Roman" w:hAnsi="Times New Roman" w:cs="Times New Roman"/>
          <w:sz w:val="24"/>
          <w:szCs w:val="24"/>
        </w:rPr>
        <w:t>Cth</w:t>
      </w:r>
      <w:proofErr w:type="spellEnd"/>
      <w:r w:rsidRPr="00B929E5">
        <w:rPr>
          <w:rFonts w:ascii="Times New Roman" w:hAnsi="Times New Roman" w:cs="Times New Roman"/>
          <w:sz w:val="24"/>
          <w:szCs w:val="24"/>
        </w:rPr>
        <w:t>); and</w:t>
      </w:r>
    </w:p>
    <w:p w14:paraId="314BC94A" w14:textId="77777777" w:rsidR="00495EDA" w:rsidRPr="00B929E5" w:rsidRDefault="00495EDA" w:rsidP="00495EDA">
      <w:pPr>
        <w:numPr>
          <w:ilvl w:val="0"/>
          <w:numId w:val="27"/>
        </w:numPr>
        <w:rPr>
          <w:rFonts w:ascii="Times New Roman" w:hAnsi="Times New Roman" w:cs="Times New Roman"/>
          <w:i/>
          <w:iCs/>
          <w:sz w:val="24"/>
          <w:szCs w:val="24"/>
        </w:rPr>
      </w:pPr>
      <w:r w:rsidRPr="00B929E5">
        <w:rPr>
          <w:rFonts w:ascii="Times New Roman" w:hAnsi="Times New Roman" w:cs="Times New Roman"/>
          <w:sz w:val="24"/>
          <w:szCs w:val="24"/>
        </w:rPr>
        <w:t xml:space="preserve">the Australian Auditing Standards determined by the Auditing and Assurance Standards Board under section 336 of the </w:t>
      </w:r>
      <w:r w:rsidRPr="00B929E5">
        <w:rPr>
          <w:rFonts w:ascii="Times New Roman" w:hAnsi="Times New Roman" w:cs="Times New Roman"/>
          <w:i/>
          <w:sz w:val="24"/>
          <w:szCs w:val="24"/>
        </w:rPr>
        <w:t>Corporations Act 2001</w:t>
      </w:r>
      <w:r w:rsidRPr="00B929E5">
        <w:rPr>
          <w:rFonts w:ascii="Times New Roman" w:hAnsi="Times New Roman" w:cs="Times New Roman"/>
          <w:sz w:val="24"/>
          <w:szCs w:val="24"/>
        </w:rPr>
        <w:t xml:space="preserve"> (</w:t>
      </w:r>
      <w:proofErr w:type="spellStart"/>
      <w:r w:rsidRPr="00B929E5">
        <w:rPr>
          <w:rFonts w:ascii="Times New Roman" w:hAnsi="Times New Roman" w:cs="Times New Roman"/>
          <w:sz w:val="24"/>
          <w:szCs w:val="24"/>
        </w:rPr>
        <w:t>Cth</w:t>
      </w:r>
      <w:proofErr w:type="spellEnd"/>
      <w:r w:rsidRPr="00B929E5">
        <w:rPr>
          <w:rFonts w:ascii="Times New Roman" w:hAnsi="Times New Roman" w:cs="Times New Roman"/>
          <w:sz w:val="24"/>
          <w:szCs w:val="24"/>
        </w:rPr>
        <w:t>).</w:t>
      </w:r>
    </w:p>
    <w:p w14:paraId="4375E9A9" w14:textId="08E2BFE1" w:rsidR="00495EDA" w:rsidRDefault="00495EDA" w:rsidP="00495EDA">
      <w:pPr>
        <w:numPr>
          <w:ilvl w:val="0"/>
          <w:numId w:val="0"/>
        </w:numPr>
        <w:rPr>
          <w:rFonts w:ascii="Times New Roman" w:hAnsi="Times New Roman" w:cs="Times New Roman"/>
          <w:sz w:val="24"/>
          <w:szCs w:val="24"/>
        </w:rPr>
      </w:pPr>
      <w:r w:rsidRPr="00B929E5">
        <w:rPr>
          <w:rFonts w:ascii="Times New Roman" w:hAnsi="Times New Roman" w:cs="Times New Roman"/>
          <w:sz w:val="24"/>
          <w:szCs w:val="24"/>
        </w:rPr>
        <w:t xml:space="preserve">These documents may be freely obtained at </w:t>
      </w:r>
      <w:hyperlink r:id="rId11" w:history="1">
        <w:r w:rsidRPr="00B929E5">
          <w:rPr>
            <w:rStyle w:val="Hyperlink"/>
            <w:rFonts w:ascii="Times New Roman" w:hAnsi="Times New Roman" w:cs="Times New Roman"/>
            <w:sz w:val="24"/>
            <w:szCs w:val="24"/>
          </w:rPr>
          <w:t>www.legislation.gov.au</w:t>
        </w:r>
      </w:hyperlink>
      <w:r w:rsidRPr="00B929E5">
        <w:rPr>
          <w:rFonts w:ascii="Times New Roman" w:hAnsi="Times New Roman" w:cs="Times New Roman"/>
          <w:sz w:val="24"/>
          <w:szCs w:val="24"/>
        </w:rPr>
        <w:t xml:space="preserve"> (all documents listed above except for Australian Accounting and Auditing Standards), </w:t>
      </w:r>
      <w:hyperlink r:id="rId12" w:history="1">
        <w:r w:rsidRPr="00B929E5">
          <w:rPr>
            <w:rStyle w:val="Hyperlink"/>
            <w:rFonts w:ascii="Times New Roman" w:hAnsi="Times New Roman" w:cs="Times New Roman"/>
            <w:sz w:val="24"/>
            <w:szCs w:val="24"/>
          </w:rPr>
          <w:t>https://www.aasb.gov.au/pronouncements/accounting-standards/</w:t>
        </w:r>
      </w:hyperlink>
      <w:r w:rsidRPr="00B929E5">
        <w:rPr>
          <w:rFonts w:ascii="Times New Roman" w:hAnsi="Times New Roman" w:cs="Times New Roman"/>
          <w:sz w:val="24"/>
          <w:szCs w:val="24"/>
        </w:rPr>
        <w:t xml:space="preserve"> (Australian Accounting Standards) and </w:t>
      </w:r>
      <w:hyperlink r:id="rId13" w:history="1">
        <w:r w:rsidRPr="00B929E5">
          <w:rPr>
            <w:rStyle w:val="Hyperlink"/>
            <w:rFonts w:ascii="Times New Roman" w:hAnsi="Times New Roman" w:cs="Times New Roman"/>
            <w:sz w:val="24"/>
            <w:szCs w:val="24"/>
          </w:rPr>
          <w:t>https://auasb.gov.au/standards-guidance/auasb-standards/auditing-standards/</w:t>
        </w:r>
      </w:hyperlink>
      <w:r w:rsidRPr="00B929E5">
        <w:rPr>
          <w:rFonts w:ascii="Times New Roman" w:hAnsi="Times New Roman" w:cs="Times New Roman"/>
          <w:sz w:val="24"/>
          <w:szCs w:val="24"/>
        </w:rPr>
        <w:t xml:space="preserve"> (Australian Auditing Standards).</w:t>
      </w:r>
    </w:p>
    <w:p w14:paraId="40D925E9" w14:textId="77777777" w:rsidR="00495EDA" w:rsidRDefault="00495EDA" w:rsidP="00495EDA">
      <w:pPr>
        <w:numPr>
          <w:ilvl w:val="0"/>
          <w:numId w:val="0"/>
        </w:numPr>
        <w:rPr>
          <w:rFonts w:ascii="Times New Roman" w:hAnsi="Times New Roman" w:cs="Times New Roman"/>
          <w:sz w:val="24"/>
          <w:szCs w:val="24"/>
          <w:shd w:val="clear" w:color="auto" w:fill="FFFFFF"/>
        </w:rPr>
      </w:pPr>
      <w:r w:rsidRPr="007731C3">
        <w:rPr>
          <w:rFonts w:ascii="Times New Roman" w:hAnsi="Times New Roman" w:cs="Times New Roman"/>
          <w:sz w:val="24"/>
          <w:szCs w:val="24"/>
          <w:shd w:val="clear" w:color="auto" w:fill="FFFFFF"/>
        </w:rPr>
        <w:t xml:space="preserve">In </w:t>
      </w:r>
      <w:r>
        <w:rPr>
          <w:rFonts w:ascii="Times New Roman" w:hAnsi="Times New Roman" w:cs="Times New Roman"/>
          <w:sz w:val="24"/>
          <w:szCs w:val="24"/>
          <w:shd w:val="clear" w:color="auto" w:fill="FFFFFF"/>
        </w:rPr>
        <w:t xml:space="preserve">GPS 340 </w:t>
      </w:r>
      <w:r w:rsidRPr="007731C3">
        <w:rPr>
          <w:rFonts w:ascii="Times New Roman" w:hAnsi="Times New Roman" w:cs="Times New Roman"/>
          <w:sz w:val="24"/>
          <w:szCs w:val="24"/>
          <w:shd w:val="clear" w:color="auto" w:fill="FFFFFF"/>
        </w:rPr>
        <w:t xml:space="preserve">reference is made to the “Commonwealth Government Securities (CGS)”. This referenced item is not incorporated into </w:t>
      </w:r>
      <w:r>
        <w:rPr>
          <w:rFonts w:ascii="Times New Roman" w:hAnsi="Times New Roman" w:cs="Times New Roman"/>
          <w:sz w:val="24"/>
          <w:szCs w:val="24"/>
          <w:shd w:val="clear" w:color="auto" w:fill="FFFFFF"/>
        </w:rPr>
        <w:t>GPS 340</w:t>
      </w:r>
      <w:r w:rsidRPr="007731C3">
        <w:rPr>
          <w:rFonts w:ascii="Times New Roman" w:hAnsi="Times New Roman" w:cs="Times New Roman"/>
          <w:sz w:val="24"/>
          <w:szCs w:val="24"/>
          <w:shd w:val="clear" w:color="auto" w:fill="FFFFFF"/>
        </w:rPr>
        <w:t>. There is no application of the content underpinning this item as a requirement on a</w:t>
      </w:r>
      <w:r>
        <w:rPr>
          <w:rFonts w:ascii="Times New Roman" w:hAnsi="Times New Roman" w:cs="Times New Roman"/>
          <w:sz w:val="24"/>
          <w:szCs w:val="24"/>
          <w:shd w:val="clear" w:color="auto" w:fill="FFFFFF"/>
        </w:rPr>
        <w:t>n</w:t>
      </w:r>
      <w:r w:rsidRPr="007731C3">
        <w:rPr>
          <w:rFonts w:ascii="Times New Roman" w:hAnsi="Times New Roman" w:cs="Times New Roman"/>
          <w:sz w:val="24"/>
          <w:szCs w:val="24"/>
          <w:shd w:val="clear" w:color="auto" w:fill="FFFFFF"/>
        </w:rPr>
        <w:t xml:space="preserve"> insurer. </w:t>
      </w:r>
    </w:p>
    <w:p w14:paraId="65903D46" w14:textId="77777777" w:rsidR="00495EDA" w:rsidRDefault="00495EDA" w:rsidP="00495EDA">
      <w:pPr>
        <w:numPr>
          <w:ilvl w:val="0"/>
          <w:numId w:val="0"/>
        </w:numPr>
        <w:rPr>
          <w:rFonts w:ascii="Times New Roman" w:hAnsi="Times New Roman" w:cs="Times New Roman"/>
          <w:sz w:val="24"/>
          <w:szCs w:val="24"/>
          <w:shd w:val="clear" w:color="auto" w:fill="FFFFFF"/>
        </w:rPr>
      </w:pPr>
      <w:r w:rsidRPr="007731C3">
        <w:rPr>
          <w:rFonts w:ascii="Times New Roman" w:hAnsi="Times New Roman" w:cs="Times New Roman"/>
          <w:sz w:val="24"/>
          <w:szCs w:val="24"/>
          <w:shd w:val="clear" w:color="auto" w:fill="FFFFFF"/>
        </w:rPr>
        <w:t xml:space="preserve">In </w:t>
      </w:r>
      <w:r>
        <w:rPr>
          <w:rFonts w:ascii="Times New Roman" w:hAnsi="Times New Roman" w:cs="Times New Roman"/>
          <w:sz w:val="24"/>
          <w:szCs w:val="24"/>
          <w:shd w:val="clear" w:color="auto" w:fill="FFFFFF"/>
        </w:rPr>
        <w:t xml:space="preserve">GPS 340 </w:t>
      </w:r>
      <w:r w:rsidRPr="007731C3">
        <w:rPr>
          <w:rFonts w:ascii="Times New Roman" w:hAnsi="Times New Roman" w:cs="Times New Roman"/>
          <w:sz w:val="24"/>
          <w:szCs w:val="24"/>
          <w:shd w:val="clear" w:color="auto" w:fill="FFFFFF"/>
        </w:rPr>
        <w:t xml:space="preserve">reference is made to the “Commonwealth Government Securities (CGS)”. This referenced item is not incorporated into </w:t>
      </w:r>
      <w:r>
        <w:rPr>
          <w:rFonts w:ascii="Times New Roman" w:hAnsi="Times New Roman" w:cs="Times New Roman"/>
          <w:sz w:val="24"/>
          <w:szCs w:val="24"/>
          <w:shd w:val="clear" w:color="auto" w:fill="FFFFFF"/>
        </w:rPr>
        <w:t>GPS 340</w:t>
      </w:r>
      <w:r w:rsidRPr="007731C3">
        <w:rPr>
          <w:rFonts w:ascii="Times New Roman" w:hAnsi="Times New Roman" w:cs="Times New Roman"/>
          <w:sz w:val="24"/>
          <w:szCs w:val="24"/>
          <w:shd w:val="clear" w:color="auto" w:fill="FFFFFF"/>
        </w:rPr>
        <w:t>. There is no application of the content underpinning this item as a requirement on a</w:t>
      </w:r>
      <w:r>
        <w:rPr>
          <w:rFonts w:ascii="Times New Roman" w:hAnsi="Times New Roman" w:cs="Times New Roman"/>
          <w:sz w:val="24"/>
          <w:szCs w:val="24"/>
          <w:shd w:val="clear" w:color="auto" w:fill="FFFFFF"/>
        </w:rPr>
        <w:t>n</w:t>
      </w:r>
      <w:r w:rsidRPr="007731C3">
        <w:rPr>
          <w:rFonts w:ascii="Times New Roman" w:hAnsi="Times New Roman" w:cs="Times New Roman"/>
          <w:sz w:val="24"/>
          <w:szCs w:val="24"/>
          <w:shd w:val="clear" w:color="auto" w:fill="FFFFFF"/>
        </w:rPr>
        <w:t xml:space="preserve"> insurer. </w:t>
      </w:r>
    </w:p>
    <w:p w14:paraId="1D91C0B4" w14:textId="77777777" w:rsidR="00495EDA" w:rsidRPr="00B929E5" w:rsidRDefault="00495EDA" w:rsidP="00495EDA">
      <w:pPr>
        <w:pStyle w:val="Heading5"/>
        <w:rPr>
          <w:rFonts w:ascii="Times New Roman" w:hAnsi="Times New Roman" w:cs="Times New Roman"/>
          <w:sz w:val="24"/>
          <w:szCs w:val="24"/>
        </w:rPr>
      </w:pPr>
      <w:r w:rsidRPr="00B929E5">
        <w:rPr>
          <w:rFonts w:ascii="Times New Roman" w:hAnsi="Times New Roman" w:cs="Times New Roman"/>
          <w:sz w:val="24"/>
          <w:szCs w:val="24"/>
        </w:rPr>
        <w:lastRenderedPageBreak/>
        <w:t>Review of decisions</w:t>
      </w:r>
    </w:p>
    <w:p w14:paraId="7B9A77BA" w14:textId="77777777" w:rsidR="00495EDA" w:rsidRPr="00B929E5" w:rsidRDefault="00495EDA" w:rsidP="00495EDA">
      <w:pPr>
        <w:numPr>
          <w:ilvl w:val="0"/>
          <w:numId w:val="0"/>
        </w:numPr>
        <w:rPr>
          <w:rFonts w:ascii="Times New Roman" w:hAnsi="Times New Roman" w:cs="Times New Roman"/>
          <w:sz w:val="24"/>
          <w:szCs w:val="24"/>
        </w:rPr>
      </w:pPr>
      <w:r w:rsidRPr="00B929E5">
        <w:rPr>
          <w:rFonts w:ascii="Times New Roman" w:hAnsi="Times New Roman" w:cs="Times New Roman"/>
          <w:sz w:val="24"/>
          <w:szCs w:val="24"/>
        </w:rPr>
        <w:t xml:space="preserve">There are several powers that may be exercised by APRA in prudential standards that involve an element of discretion, and which may impact the interests of insurers to which the prudential standards apply. </w:t>
      </w:r>
    </w:p>
    <w:p w14:paraId="6FF01F91" w14:textId="77777777" w:rsidR="00495EDA" w:rsidRPr="00B929E5" w:rsidRDefault="00495EDA" w:rsidP="00495EDA">
      <w:pPr>
        <w:numPr>
          <w:ilvl w:val="0"/>
          <w:numId w:val="0"/>
        </w:numPr>
        <w:rPr>
          <w:rFonts w:ascii="Times New Roman" w:hAnsi="Times New Roman" w:cs="Times New Roman"/>
          <w:sz w:val="24"/>
          <w:szCs w:val="24"/>
        </w:rPr>
      </w:pPr>
      <w:r w:rsidRPr="00B929E5">
        <w:rPr>
          <w:rFonts w:ascii="Times New Roman" w:hAnsi="Times New Roman" w:cs="Times New Roman"/>
          <w:sz w:val="24"/>
          <w:szCs w:val="24"/>
        </w:rPr>
        <w:t>Decisions made by APRA exercising those powers are not subject to merits review. APRA considers decisions made by APRA exercising discretions under its prudential standards should not be subject to merits review as they are financial decisions with a significant public interest element.</w:t>
      </w:r>
    </w:p>
    <w:p w14:paraId="69F7E766" w14:textId="72A2329B" w:rsidR="00495EDA" w:rsidRDefault="00495EDA" w:rsidP="00495EDA">
      <w:pPr>
        <w:numPr>
          <w:ilvl w:val="0"/>
          <w:numId w:val="0"/>
        </w:numPr>
        <w:autoSpaceDE w:val="0"/>
        <w:autoSpaceDN w:val="0"/>
        <w:adjustRightInd w:val="0"/>
        <w:spacing w:after="0"/>
        <w:rPr>
          <w:rFonts w:ascii="Times New Roman" w:hAnsi="Times New Roman" w:cs="Times New Roman"/>
          <w:sz w:val="24"/>
          <w:szCs w:val="24"/>
        </w:rPr>
      </w:pPr>
      <w:r w:rsidRPr="00B929E5">
        <w:rPr>
          <w:rFonts w:ascii="Times New Roman" w:hAnsi="Times New Roman" w:cs="Times New Roman"/>
          <w:sz w:val="24"/>
          <w:szCs w:val="24"/>
        </w:rPr>
        <w:t>A breach of a prudential standard is also a breach of the Act, as the Act provides that a</w:t>
      </w:r>
      <w:r>
        <w:rPr>
          <w:rFonts w:ascii="Times New Roman" w:hAnsi="Times New Roman" w:cs="Times New Roman"/>
          <w:sz w:val="24"/>
          <w:szCs w:val="24"/>
        </w:rPr>
        <w:t>n</w:t>
      </w:r>
      <w:r w:rsidRPr="00B929E5">
        <w:rPr>
          <w:rFonts w:ascii="Times New Roman" w:hAnsi="Times New Roman" w:cs="Times New Roman"/>
          <w:sz w:val="24"/>
          <w:szCs w:val="24"/>
        </w:rPr>
        <w:t xml:space="preserve"> insurer must comply with the prudential standard. However, there are no penalties prescribed for such breaches. Instead, a</w:t>
      </w:r>
      <w:r>
        <w:rPr>
          <w:rFonts w:ascii="Times New Roman" w:hAnsi="Times New Roman" w:cs="Times New Roman"/>
          <w:sz w:val="24"/>
          <w:szCs w:val="24"/>
        </w:rPr>
        <w:t>n</w:t>
      </w:r>
      <w:r w:rsidRPr="00B929E5">
        <w:rPr>
          <w:rFonts w:ascii="Times New Roman" w:hAnsi="Times New Roman" w:cs="Times New Roman"/>
          <w:sz w:val="24"/>
          <w:szCs w:val="24"/>
        </w:rPr>
        <w:t xml:space="preserve"> insurer’s breach of a provision in the Act is grounds for APRA to make further, substantive decisions under the Act. </w:t>
      </w:r>
    </w:p>
    <w:p w14:paraId="537C47AA" w14:textId="77777777" w:rsidR="00495EDA" w:rsidRDefault="00495EDA" w:rsidP="00495EDA">
      <w:pPr>
        <w:numPr>
          <w:ilvl w:val="0"/>
          <w:numId w:val="0"/>
        </w:numPr>
        <w:autoSpaceDE w:val="0"/>
        <w:autoSpaceDN w:val="0"/>
        <w:adjustRightInd w:val="0"/>
        <w:spacing w:after="0"/>
        <w:rPr>
          <w:rFonts w:ascii="Times New Roman" w:hAnsi="Times New Roman" w:cs="Times New Roman"/>
          <w:sz w:val="24"/>
          <w:szCs w:val="24"/>
        </w:rPr>
      </w:pPr>
    </w:p>
    <w:p w14:paraId="5759A1FD" w14:textId="6057EF3B" w:rsidR="00B25E6E" w:rsidRPr="00334B5E" w:rsidRDefault="00770FF9" w:rsidP="00B25E6E">
      <w:pPr>
        <w:numPr>
          <w:ilvl w:val="0"/>
          <w:numId w:val="0"/>
        </w:numPr>
        <w:autoSpaceDE w:val="0"/>
        <w:autoSpaceDN w:val="0"/>
        <w:adjustRightInd w:val="0"/>
        <w:spacing w:after="0"/>
        <w:jc w:val="left"/>
        <w:rPr>
          <w:rFonts w:ascii="Times New Roman" w:hAnsi="Times New Roman" w:cs="Times New Roman"/>
          <w:b/>
          <w:bCs/>
          <w:sz w:val="24"/>
          <w:szCs w:val="24"/>
        </w:rPr>
      </w:pPr>
      <w:r w:rsidRPr="00334B5E">
        <w:rPr>
          <w:rFonts w:ascii="Times New Roman" w:hAnsi="Times New Roman" w:cs="Times New Roman"/>
          <w:b/>
          <w:bCs/>
          <w:sz w:val="24"/>
          <w:szCs w:val="24"/>
        </w:rPr>
        <w:t>3</w:t>
      </w:r>
      <w:r w:rsidR="00B25E6E" w:rsidRPr="00334B5E">
        <w:rPr>
          <w:rFonts w:ascii="Times New Roman" w:hAnsi="Times New Roman" w:cs="Times New Roman"/>
          <w:b/>
          <w:bCs/>
          <w:sz w:val="24"/>
          <w:szCs w:val="24"/>
        </w:rPr>
        <w:t>. Consultation</w:t>
      </w:r>
    </w:p>
    <w:p w14:paraId="1053ECA3" w14:textId="77777777" w:rsidR="00E97CBA" w:rsidRPr="00334B5E" w:rsidRDefault="00E97CBA" w:rsidP="00B25E6E">
      <w:pPr>
        <w:numPr>
          <w:ilvl w:val="0"/>
          <w:numId w:val="0"/>
        </w:numPr>
        <w:autoSpaceDE w:val="0"/>
        <w:autoSpaceDN w:val="0"/>
        <w:adjustRightInd w:val="0"/>
        <w:spacing w:after="0"/>
        <w:jc w:val="left"/>
        <w:rPr>
          <w:rFonts w:ascii="Times New Roman" w:hAnsi="Times New Roman" w:cs="Times New Roman"/>
          <w:sz w:val="24"/>
          <w:szCs w:val="24"/>
        </w:rPr>
      </w:pPr>
    </w:p>
    <w:p w14:paraId="7E17B620" w14:textId="4E1E1260" w:rsidR="002A59E2" w:rsidRPr="00334B5E" w:rsidRDefault="00B25E6E" w:rsidP="00B25E6E">
      <w:pPr>
        <w:numPr>
          <w:ilvl w:val="0"/>
          <w:numId w:val="0"/>
        </w:numPr>
        <w:autoSpaceDE w:val="0"/>
        <w:autoSpaceDN w:val="0"/>
        <w:adjustRightInd w:val="0"/>
        <w:spacing w:after="0"/>
        <w:jc w:val="left"/>
        <w:rPr>
          <w:rFonts w:ascii="Times New Roman" w:hAnsi="Times New Roman" w:cs="Times New Roman"/>
          <w:sz w:val="24"/>
          <w:szCs w:val="24"/>
        </w:rPr>
      </w:pPr>
      <w:r w:rsidRPr="00334B5E">
        <w:rPr>
          <w:rFonts w:ascii="Times New Roman" w:hAnsi="Times New Roman" w:cs="Times New Roman"/>
          <w:sz w:val="24"/>
          <w:szCs w:val="24"/>
        </w:rPr>
        <w:t>APRA</w:t>
      </w:r>
      <w:r w:rsidR="00DD2971" w:rsidRPr="00334B5E">
        <w:rPr>
          <w:rFonts w:ascii="Times New Roman" w:hAnsi="Times New Roman" w:cs="Times New Roman"/>
          <w:sz w:val="24"/>
          <w:szCs w:val="24"/>
        </w:rPr>
        <w:t xml:space="preserve"> began its engagement with industry on AASB 17 in 2017</w:t>
      </w:r>
      <w:r w:rsidR="008310D2" w:rsidRPr="00334B5E">
        <w:rPr>
          <w:rFonts w:ascii="Times New Roman" w:hAnsi="Times New Roman" w:cs="Times New Roman"/>
          <w:sz w:val="24"/>
          <w:szCs w:val="24"/>
        </w:rPr>
        <w:t xml:space="preserve">, subsequent engagement has taken a range of forms </w:t>
      </w:r>
      <w:r w:rsidR="003F0DB2" w:rsidRPr="00334B5E">
        <w:rPr>
          <w:rFonts w:ascii="Times New Roman" w:hAnsi="Times New Roman" w:cs="Times New Roman"/>
          <w:sz w:val="24"/>
          <w:szCs w:val="24"/>
        </w:rPr>
        <w:t xml:space="preserve">including </w:t>
      </w:r>
      <w:r w:rsidR="008310D2" w:rsidRPr="00334B5E">
        <w:rPr>
          <w:rFonts w:ascii="Times New Roman" w:hAnsi="Times New Roman" w:cs="Times New Roman"/>
          <w:sz w:val="24"/>
          <w:szCs w:val="24"/>
        </w:rPr>
        <w:t xml:space="preserve">letters to industry, </w:t>
      </w:r>
      <w:r w:rsidR="00955091" w:rsidRPr="00334B5E">
        <w:rPr>
          <w:rFonts w:ascii="Times New Roman" w:hAnsi="Times New Roman" w:cs="Times New Roman"/>
          <w:sz w:val="24"/>
          <w:szCs w:val="24"/>
        </w:rPr>
        <w:t xml:space="preserve">information requests, </w:t>
      </w:r>
      <w:r w:rsidR="003F0DB2" w:rsidRPr="00334B5E">
        <w:rPr>
          <w:rFonts w:ascii="Times New Roman" w:hAnsi="Times New Roman" w:cs="Times New Roman"/>
          <w:sz w:val="24"/>
          <w:szCs w:val="24"/>
        </w:rPr>
        <w:t>quantitative impact studies</w:t>
      </w:r>
      <w:r w:rsidR="008310D2" w:rsidRPr="00334B5E">
        <w:rPr>
          <w:rFonts w:ascii="Times New Roman" w:hAnsi="Times New Roman" w:cs="Times New Roman"/>
          <w:sz w:val="24"/>
          <w:szCs w:val="24"/>
        </w:rPr>
        <w:t>,</w:t>
      </w:r>
      <w:r w:rsidR="00C77DCA" w:rsidRPr="00334B5E">
        <w:rPr>
          <w:rFonts w:ascii="Times New Roman" w:hAnsi="Times New Roman" w:cs="Times New Roman"/>
          <w:sz w:val="24"/>
          <w:szCs w:val="24"/>
        </w:rPr>
        <w:t xml:space="preserve"> and</w:t>
      </w:r>
      <w:r w:rsidR="002A59E2" w:rsidRPr="00334B5E">
        <w:rPr>
          <w:rFonts w:ascii="Times New Roman" w:hAnsi="Times New Roman" w:cs="Times New Roman"/>
          <w:sz w:val="24"/>
          <w:szCs w:val="24"/>
        </w:rPr>
        <w:t xml:space="preserve"> four rounds of consultation:</w:t>
      </w:r>
    </w:p>
    <w:p w14:paraId="610BF866" w14:textId="77777777" w:rsidR="002A59E2" w:rsidRPr="00334B5E" w:rsidRDefault="002A59E2" w:rsidP="00B25E6E">
      <w:pPr>
        <w:numPr>
          <w:ilvl w:val="0"/>
          <w:numId w:val="0"/>
        </w:numPr>
        <w:autoSpaceDE w:val="0"/>
        <w:autoSpaceDN w:val="0"/>
        <w:adjustRightInd w:val="0"/>
        <w:spacing w:after="0"/>
        <w:jc w:val="left"/>
        <w:rPr>
          <w:rFonts w:ascii="Times New Roman" w:hAnsi="Times New Roman" w:cs="Times New Roman"/>
          <w:sz w:val="24"/>
          <w:szCs w:val="24"/>
        </w:rPr>
      </w:pPr>
    </w:p>
    <w:p w14:paraId="341EDBC6" w14:textId="0187D074" w:rsidR="002A59E2" w:rsidRPr="00334B5E" w:rsidRDefault="002A59E2" w:rsidP="002A59E2">
      <w:pPr>
        <w:pStyle w:val="ListParagraph"/>
        <w:numPr>
          <w:ilvl w:val="0"/>
          <w:numId w:val="24"/>
        </w:numPr>
        <w:autoSpaceDE w:val="0"/>
        <w:autoSpaceDN w:val="0"/>
        <w:adjustRightInd w:val="0"/>
        <w:spacing w:after="0"/>
        <w:jc w:val="left"/>
        <w:rPr>
          <w:rFonts w:ascii="Times New Roman" w:hAnsi="Times New Roman" w:cs="Times New Roman"/>
          <w:sz w:val="24"/>
          <w:szCs w:val="24"/>
        </w:rPr>
      </w:pPr>
      <w:r w:rsidRPr="00334B5E">
        <w:rPr>
          <w:rFonts w:ascii="Times New Roman" w:hAnsi="Times New Roman" w:cs="Times New Roman"/>
          <w:sz w:val="24"/>
          <w:szCs w:val="24"/>
        </w:rPr>
        <w:t xml:space="preserve">September 2019 – </w:t>
      </w:r>
      <w:r w:rsidR="003E6315">
        <w:rPr>
          <w:rFonts w:ascii="Times New Roman" w:hAnsi="Times New Roman" w:cs="Times New Roman"/>
          <w:sz w:val="24"/>
          <w:szCs w:val="24"/>
        </w:rPr>
        <w:t>Letter issued</w:t>
      </w:r>
      <w:r w:rsidRPr="00334B5E">
        <w:rPr>
          <w:rFonts w:ascii="Times New Roman" w:hAnsi="Times New Roman" w:cs="Times New Roman"/>
          <w:sz w:val="24"/>
          <w:szCs w:val="24"/>
        </w:rPr>
        <w:t xml:space="preserve"> outlining APRA’s proposed directions and information request on </w:t>
      </w:r>
      <w:proofErr w:type="gramStart"/>
      <w:r w:rsidRPr="00334B5E">
        <w:rPr>
          <w:rFonts w:ascii="Times New Roman" w:hAnsi="Times New Roman" w:cs="Times New Roman"/>
          <w:sz w:val="24"/>
          <w:szCs w:val="24"/>
        </w:rPr>
        <w:t>preparedness</w:t>
      </w:r>
      <w:r w:rsidR="00E97CBA" w:rsidRPr="00334B5E">
        <w:rPr>
          <w:rFonts w:ascii="Times New Roman" w:hAnsi="Times New Roman" w:cs="Times New Roman"/>
          <w:sz w:val="24"/>
          <w:szCs w:val="24"/>
        </w:rPr>
        <w:t>;</w:t>
      </w:r>
      <w:proofErr w:type="gramEnd"/>
    </w:p>
    <w:p w14:paraId="3ED441E4" w14:textId="1AB819A6" w:rsidR="002A59E2" w:rsidRPr="00334B5E" w:rsidRDefault="00286878" w:rsidP="002A59E2">
      <w:pPr>
        <w:pStyle w:val="ListParagraph"/>
        <w:numPr>
          <w:ilvl w:val="0"/>
          <w:numId w:val="24"/>
        </w:numPr>
        <w:autoSpaceDE w:val="0"/>
        <w:autoSpaceDN w:val="0"/>
        <w:adjustRightInd w:val="0"/>
        <w:spacing w:after="0"/>
        <w:jc w:val="left"/>
        <w:rPr>
          <w:rFonts w:ascii="Times New Roman" w:hAnsi="Times New Roman" w:cs="Times New Roman"/>
          <w:sz w:val="24"/>
          <w:szCs w:val="24"/>
        </w:rPr>
      </w:pPr>
      <w:r w:rsidRPr="00334B5E">
        <w:rPr>
          <w:rFonts w:ascii="Times New Roman" w:hAnsi="Times New Roman" w:cs="Times New Roman"/>
          <w:sz w:val="24"/>
          <w:szCs w:val="24"/>
        </w:rPr>
        <w:t>November 2020 – Discussion paper ‘Integrating AASB 17 into the capital and reporting frameworks for insurers and updates to the LAGIC framework</w:t>
      </w:r>
      <w:proofErr w:type="gramStart"/>
      <w:r w:rsidRPr="00334B5E">
        <w:rPr>
          <w:rFonts w:ascii="Times New Roman" w:hAnsi="Times New Roman" w:cs="Times New Roman"/>
          <w:sz w:val="24"/>
          <w:szCs w:val="24"/>
        </w:rPr>
        <w:t>’</w:t>
      </w:r>
      <w:r w:rsidR="00E97CBA" w:rsidRPr="00334B5E">
        <w:rPr>
          <w:rFonts w:ascii="Times New Roman" w:hAnsi="Times New Roman" w:cs="Times New Roman"/>
          <w:sz w:val="24"/>
          <w:szCs w:val="24"/>
        </w:rPr>
        <w:t>;</w:t>
      </w:r>
      <w:proofErr w:type="gramEnd"/>
    </w:p>
    <w:p w14:paraId="6C9CA6DF" w14:textId="0F6AB3DE" w:rsidR="002A59E2" w:rsidRPr="00334B5E" w:rsidRDefault="00286878" w:rsidP="002A59E2">
      <w:pPr>
        <w:pStyle w:val="ListParagraph"/>
        <w:numPr>
          <w:ilvl w:val="0"/>
          <w:numId w:val="24"/>
        </w:numPr>
        <w:autoSpaceDE w:val="0"/>
        <w:autoSpaceDN w:val="0"/>
        <w:adjustRightInd w:val="0"/>
        <w:spacing w:after="0"/>
        <w:jc w:val="left"/>
        <w:rPr>
          <w:rFonts w:ascii="Times New Roman" w:hAnsi="Times New Roman" w:cs="Times New Roman"/>
          <w:sz w:val="24"/>
          <w:szCs w:val="24"/>
        </w:rPr>
      </w:pPr>
      <w:r w:rsidRPr="00334B5E">
        <w:rPr>
          <w:rFonts w:ascii="Times New Roman" w:hAnsi="Times New Roman" w:cs="Times New Roman"/>
          <w:sz w:val="24"/>
          <w:szCs w:val="24"/>
        </w:rPr>
        <w:t>December 2021 – Response paper ‘Integrating AASB 17 into the capital and reporting framework for insurers and updates to the LAGIC framework’</w:t>
      </w:r>
      <w:r w:rsidR="00E97CBA" w:rsidRPr="00334B5E">
        <w:rPr>
          <w:rFonts w:ascii="Times New Roman" w:hAnsi="Times New Roman" w:cs="Times New Roman"/>
          <w:sz w:val="24"/>
          <w:szCs w:val="24"/>
        </w:rPr>
        <w:t>; and</w:t>
      </w:r>
    </w:p>
    <w:p w14:paraId="365AE49E" w14:textId="0B83154E" w:rsidR="00E97CBA" w:rsidRPr="00334B5E" w:rsidRDefault="00E97CBA" w:rsidP="00E97CBA">
      <w:pPr>
        <w:pStyle w:val="ListParagraph"/>
        <w:numPr>
          <w:ilvl w:val="0"/>
          <w:numId w:val="24"/>
        </w:numPr>
        <w:autoSpaceDE w:val="0"/>
        <w:autoSpaceDN w:val="0"/>
        <w:adjustRightInd w:val="0"/>
        <w:spacing w:after="0"/>
        <w:jc w:val="left"/>
        <w:rPr>
          <w:rFonts w:ascii="Times New Roman" w:hAnsi="Times New Roman" w:cs="Times New Roman"/>
          <w:sz w:val="24"/>
          <w:szCs w:val="24"/>
        </w:rPr>
      </w:pPr>
      <w:r w:rsidRPr="00334B5E">
        <w:rPr>
          <w:rFonts w:ascii="Times New Roman" w:hAnsi="Times New Roman" w:cs="Times New Roman"/>
          <w:sz w:val="24"/>
          <w:szCs w:val="24"/>
        </w:rPr>
        <w:t>September 2022 – Response paper ‘Finalisation and the integration of AASB 17 into the capital and reporting frameworks for insurers and updates to the LAGIC framework’.</w:t>
      </w:r>
    </w:p>
    <w:p w14:paraId="18315017" w14:textId="77777777" w:rsidR="00E97CBA" w:rsidRPr="00334B5E" w:rsidRDefault="00E97CBA" w:rsidP="00B25E6E">
      <w:pPr>
        <w:numPr>
          <w:ilvl w:val="0"/>
          <w:numId w:val="0"/>
        </w:numPr>
        <w:autoSpaceDE w:val="0"/>
        <w:autoSpaceDN w:val="0"/>
        <w:adjustRightInd w:val="0"/>
        <w:spacing w:after="0"/>
        <w:jc w:val="left"/>
        <w:rPr>
          <w:rFonts w:ascii="Times New Roman" w:hAnsi="Times New Roman" w:cs="Times New Roman"/>
          <w:sz w:val="24"/>
          <w:szCs w:val="24"/>
        </w:rPr>
      </w:pPr>
    </w:p>
    <w:p w14:paraId="34D46C1E" w14:textId="2881A551" w:rsidR="00133578" w:rsidRPr="00334B5E" w:rsidRDefault="00955091" w:rsidP="0006638F">
      <w:pPr>
        <w:numPr>
          <w:ilvl w:val="0"/>
          <w:numId w:val="0"/>
        </w:numPr>
        <w:rPr>
          <w:rFonts w:ascii="Times New Roman" w:hAnsi="Times New Roman" w:cs="Times New Roman"/>
          <w:sz w:val="24"/>
          <w:szCs w:val="24"/>
        </w:rPr>
      </w:pPr>
      <w:r w:rsidRPr="00334B5E">
        <w:rPr>
          <w:rFonts w:ascii="Times New Roman" w:hAnsi="Times New Roman" w:cs="Times New Roman"/>
          <w:sz w:val="24"/>
          <w:szCs w:val="24"/>
        </w:rPr>
        <w:t>Significant stakeholder feedback was received by APRA over each round of consultations. Submissions were broadly supportive of APRA’s direction to align the prudential framework with AASB 17.</w:t>
      </w:r>
    </w:p>
    <w:p w14:paraId="4D3E0900" w14:textId="2EAFF4BF" w:rsidR="002405DE" w:rsidRPr="00334B5E" w:rsidRDefault="002405DE" w:rsidP="0006638F">
      <w:pPr>
        <w:numPr>
          <w:ilvl w:val="0"/>
          <w:numId w:val="0"/>
        </w:numPr>
        <w:rPr>
          <w:rFonts w:ascii="Times New Roman" w:hAnsi="Times New Roman" w:cs="Times New Roman"/>
          <w:sz w:val="24"/>
          <w:szCs w:val="24"/>
        </w:rPr>
      </w:pPr>
      <w:r w:rsidRPr="00334B5E">
        <w:rPr>
          <w:rFonts w:ascii="Times New Roman" w:hAnsi="Times New Roman" w:cs="Times New Roman"/>
          <w:sz w:val="24"/>
          <w:szCs w:val="24"/>
        </w:rPr>
        <w:t xml:space="preserve">APRA is satisfied </w:t>
      </w:r>
      <w:r w:rsidR="00CC2EB3">
        <w:rPr>
          <w:rFonts w:ascii="Times New Roman" w:hAnsi="Times New Roman" w:cs="Times New Roman"/>
          <w:sz w:val="24"/>
          <w:szCs w:val="24"/>
        </w:rPr>
        <w:t>the consultation was appropriate and reasonably practicable.</w:t>
      </w:r>
    </w:p>
    <w:p w14:paraId="1D2864CC" w14:textId="6FA9D0F3" w:rsidR="00211AFD" w:rsidRPr="00770FF9" w:rsidRDefault="00B670E9" w:rsidP="00211AFD">
      <w:pPr>
        <w:numPr>
          <w:ilvl w:val="0"/>
          <w:numId w:val="0"/>
        </w:numPr>
        <w:rPr>
          <w:rFonts w:ascii="Times New Roman" w:hAnsi="Times New Roman" w:cs="Times New Roman"/>
          <w:b/>
          <w:sz w:val="24"/>
          <w:szCs w:val="24"/>
        </w:rPr>
      </w:pPr>
      <w:r w:rsidRPr="00770FF9">
        <w:rPr>
          <w:rFonts w:ascii="Times New Roman" w:hAnsi="Times New Roman" w:cs="Times New Roman"/>
          <w:b/>
          <w:sz w:val="24"/>
          <w:szCs w:val="24"/>
        </w:rPr>
        <w:t>4.</w:t>
      </w:r>
      <w:r w:rsidRPr="00770FF9">
        <w:rPr>
          <w:rFonts w:ascii="Times New Roman" w:hAnsi="Times New Roman" w:cs="Times New Roman"/>
          <w:b/>
          <w:sz w:val="24"/>
          <w:szCs w:val="24"/>
        </w:rPr>
        <w:tab/>
      </w:r>
      <w:bookmarkStart w:id="9" w:name="_Hlk127283454"/>
      <w:r w:rsidR="00BD64ED" w:rsidRPr="00770FF9">
        <w:rPr>
          <w:rFonts w:ascii="Times New Roman" w:hAnsi="Times New Roman" w:cs="Times New Roman"/>
          <w:b/>
          <w:sz w:val="24"/>
          <w:szCs w:val="24"/>
        </w:rPr>
        <w:t>Impact Analysis (IA)</w:t>
      </w:r>
      <w:bookmarkEnd w:id="9"/>
    </w:p>
    <w:p w14:paraId="77477DFC" w14:textId="10AFEA12" w:rsidR="00B7401A" w:rsidRPr="00770FF9" w:rsidRDefault="00DD2971" w:rsidP="00211AFD">
      <w:pPr>
        <w:numPr>
          <w:ilvl w:val="0"/>
          <w:numId w:val="0"/>
        </w:numPr>
        <w:rPr>
          <w:rFonts w:ascii="Times New Roman" w:hAnsi="Times New Roman" w:cs="Times New Roman"/>
          <w:sz w:val="24"/>
          <w:szCs w:val="24"/>
        </w:rPr>
      </w:pPr>
      <w:r w:rsidRPr="00770FF9">
        <w:rPr>
          <w:rFonts w:ascii="Times New Roman" w:hAnsi="Times New Roman" w:cs="Times New Roman"/>
          <w:sz w:val="24"/>
          <w:szCs w:val="24"/>
        </w:rPr>
        <w:t>The Office of Impact Analysis advised that no Regulation Impact Statement was required for the consequential amendments as the changes to the prudential standards are minor and machinery.</w:t>
      </w:r>
    </w:p>
    <w:p w14:paraId="476EB71B" w14:textId="17812B34" w:rsidR="00B670E9" w:rsidRPr="00770FF9" w:rsidRDefault="00B670E9" w:rsidP="003163CB">
      <w:pPr>
        <w:pStyle w:val="Heading"/>
        <w:spacing w:before="0" w:after="240"/>
        <w:jc w:val="both"/>
        <w:rPr>
          <w:rFonts w:cs="Times New Roman"/>
          <w:i/>
          <w:sz w:val="24"/>
          <w:szCs w:val="24"/>
        </w:rPr>
      </w:pPr>
      <w:r w:rsidRPr="00770FF9">
        <w:rPr>
          <w:rFonts w:cs="Times New Roman"/>
          <w:sz w:val="24"/>
          <w:szCs w:val="24"/>
        </w:rPr>
        <w:t>5.</w:t>
      </w:r>
      <w:r w:rsidRPr="00770FF9">
        <w:rPr>
          <w:rFonts w:cs="Times New Roman"/>
          <w:sz w:val="24"/>
          <w:szCs w:val="24"/>
        </w:rPr>
        <w:tab/>
        <w:t xml:space="preserve">Statement of compatibility prepared in accordance with Part 3 of the </w:t>
      </w:r>
      <w:r w:rsidRPr="00770FF9">
        <w:rPr>
          <w:rFonts w:cs="Times New Roman"/>
          <w:i/>
          <w:sz w:val="24"/>
          <w:szCs w:val="24"/>
        </w:rPr>
        <w:t>Human Rights (Parliamentary Scrutiny) Act 2011</w:t>
      </w:r>
    </w:p>
    <w:p w14:paraId="7D7364B1" w14:textId="77777777" w:rsidR="00B670E9" w:rsidRPr="00770FF9" w:rsidRDefault="00B670E9" w:rsidP="00B670E9">
      <w:pPr>
        <w:pStyle w:val="Heading"/>
        <w:spacing w:before="0" w:after="240"/>
        <w:jc w:val="both"/>
        <w:rPr>
          <w:rFonts w:cs="Times New Roman"/>
          <w:b w:val="0"/>
          <w:kern w:val="0"/>
          <w:sz w:val="24"/>
          <w:szCs w:val="24"/>
          <w:lang w:val="en-GB"/>
        </w:rPr>
      </w:pPr>
      <w:r w:rsidRPr="00770FF9">
        <w:rPr>
          <w:rFonts w:cs="Times New Roman"/>
          <w:b w:val="0"/>
          <w:kern w:val="0"/>
          <w:sz w:val="24"/>
          <w:szCs w:val="24"/>
          <w:lang w:val="en-GB"/>
        </w:rPr>
        <w:t xml:space="preserve">A Statement of compatibility prepared in accordance with Part 3 of the </w:t>
      </w:r>
      <w:r w:rsidRPr="00770FF9">
        <w:rPr>
          <w:rFonts w:cs="Times New Roman"/>
          <w:b w:val="0"/>
          <w:i/>
          <w:sz w:val="24"/>
          <w:szCs w:val="24"/>
          <w:lang w:val="en-GB"/>
        </w:rPr>
        <w:t>Human Rights (Parliamentary Scrutiny) Act 2011</w:t>
      </w:r>
      <w:r w:rsidRPr="00770FF9">
        <w:rPr>
          <w:rFonts w:cs="Times New Roman"/>
          <w:b w:val="0"/>
          <w:kern w:val="0"/>
          <w:sz w:val="24"/>
          <w:szCs w:val="24"/>
          <w:lang w:val="en-GB"/>
        </w:rPr>
        <w:t xml:space="preserve"> is provided at Attachment A to this Explanatory Statement.</w:t>
      </w:r>
    </w:p>
    <w:p w14:paraId="06190B02" w14:textId="34819669" w:rsidR="00B670E9" w:rsidRPr="00770FF9" w:rsidRDefault="00B670E9" w:rsidP="00A34ADD">
      <w:pPr>
        <w:rPr>
          <w:rFonts w:ascii="Times New Roman" w:hAnsi="Times New Roman" w:cs="Times New Roman"/>
          <w:sz w:val="24"/>
          <w:szCs w:val="24"/>
        </w:rPr>
      </w:pPr>
      <w:r w:rsidRPr="00770FF9">
        <w:rPr>
          <w:rFonts w:ascii="Times New Roman" w:hAnsi="Times New Roman" w:cs="Times New Roman"/>
          <w:sz w:val="24"/>
          <w:szCs w:val="24"/>
        </w:rPr>
        <w:br w:type="page"/>
      </w:r>
    </w:p>
    <w:p w14:paraId="00B6ED2A" w14:textId="77777777" w:rsidR="00B670E9" w:rsidRPr="00770FF9" w:rsidRDefault="00B670E9" w:rsidP="00B670E9">
      <w:pPr>
        <w:pStyle w:val="Heading"/>
        <w:keepNext w:val="0"/>
        <w:spacing w:before="0" w:after="240"/>
        <w:jc w:val="center"/>
        <w:rPr>
          <w:rFonts w:cs="Times New Roman"/>
          <w:sz w:val="24"/>
          <w:szCs w:val="24"/>
        </w:rPr>
      </w:pPr>
      <w:r w:rsidRPr="00770FF9">
        <w:rPr>
          <w:rFonts w:cs="Times New Roman"/>
          <w:sz w:val="24"/>
          <w:szCs w:val="24"/>
          <w:lang w:val="en-GB"/>
        </w:rPr>
        <w:lastRenderedPageBreak/>
        <w:t>ATTACHMENT A</w:t>
      </w:r>
    </w:p>
    <w:p w14:paraId="04B51A0F" w14:textId="77777777" w:rsidR="00B670E9" w:rsidRPr="00770FF9" w:rsidRDefault="00B670E9" w:rsidP="00B670E9">
      <w:pPr>
        <w:pStyle w:val="Heading"/>
        <w:keepNext w:val="0"/>
        <w:spacing w:before="0" w:after="240"/>
        <w:jc w:val="center"/>
        <w:rPr>
          <w:rFonts w:cs="Times New Roman"/>
          <w:sz w:val="24"/>
          <w:szCs w:val="24"/>
        </w:rPr>
      </w:pPr>
      <w:r w:rsidRPr="00770FF9">
        <w:rPr>
          <w:rFonts w:cs="Times New Roman"/>
          <w:sz w:val="24"/>
          <w:szCs w:val="24"/>
        </w:rPr>
        <w:t>Statement of Compatibility with Human Rights</w:t>
      </w:r>
    </w:p>
    <w:p w14:paraId="32B574F6" w14:textId="77777777" w:rsidR="00B670E9" w:rsidRPr="00770FF9" w:rsidRDefault="00B670E9" w:rsidP="00B670E9">
      <w:pPr>
        <w:pStyle w:val="Heading1"/>
        <w:jc w:val="center"/>
        <w:rPr>
          <w:rFonts w:ascii="Times New Roman" w:hAnsi="Times New Roman" w:cs="Times New Roman"/>
          <w:b w:val="0"/>
          <w:i/>
          <w:sz w:val="24"/>
          <w:szCs w:val="24"/>
        </w:rPr>
      </w:pPr>
      <w:r w:rsidRPr="00770FF9">
        <w:rPr>
          <w:rFonts w:ascii="Times New Roman" w:hAnsi="Times New Roman" w:cs="Times New Roman"/>
          <w:b w:val="0"/>
          <w:sz w:val="24"/>
          <w:szCs w:val="24"/>
        </w:rPr>
        <w:t xml:space="preserve">Prepared in accordance with Part 3 of the </w:t>
      </w:r>
      <w:r w:rsidRPr="00770FF9">
        <w:rPr>
          <w:rFonts w:ascii="Times New Roman" w:hAnsi="Times New Roman" w:cs="Times New Roman"/>
          <w:b w:val="0"/>
          <w:i/>
          <w:sz w:val="24"/>
          <w:szCs w:val="24"/>
        </w:rPr>
        <w:t>Human Rights (Parliamentary Scrutiny) Act 2011</w:t>
      </w:r>
    </w:p>
    <w:p w14:paraId="302C56B4" w14:textId="0C40A6C2" w:rsidR="00B670E9" w:rsidRPr="00770FF9" w:rsidRDefault="001C7A1C" w:rsidP="00B670E9">
      <w:pPr>
        <w:jc w:val="center"/>
        <w:rPr>
          <w:rFonts w:ascii="Times New Roman" w:eastAsia="Times New Roman" w:hAnsi="Times New Roman" w:cs="Times New Roman"/>
          <w:b/>
          <w:sz w:val="24"/>
          <w:szCs w:val="24"/>
          <w:lang w:eastAsia="en-AU"/>
        </w:rPr>
      </w:pPr>
      <w:r w:rsidRPr="00770FF9">
        <w:rPr>
          <w:rFonts w:ascii="Times New Roman" w:eastAsia="Times New Roman" w:hAnsi="Times New Roman" w:cs="Times New Roman"/>
          <w:b/>
          <w:sz w:val="24"/>
          <w:szCs w:val="24"/>
          <w:lang w:eastAsia="en-AU"/>
        </w:rPr>
        <w:t>I</w:t>
      </w:r>
      <w:r w:rsidR="00B670E9" w:rsidRPr="00770FF9">
        <w:rPr>
          <w:rFonts w:ascii="Times New Roman" w:eastAsia="Times New Roman" w:hAnsi="Times New Roman" w:cs="Times New Roman"/>
          <w:b/>
          <w:sz w:val="24"/>
          <w:szCs w:val="24"/>
          <w:lang w:eastAsia="en-AU"/>
        </w:rPr>
        <w:t xml:space="preserve">nsurance (prudential standard) determination No. </w:t>
      </w:r>
      <w:r w:rsidR="003E6315">
        <w:rPr>
          <w:rFonts w:ascii="Times New Roman" w:eastAsia="Times New Roman" w:hAnsi="Times New Roman" w:cs="Times New Roman"/>
          <w:b/>
          <w:sz w:val="24"/>
          <w:szCs w:val="24"/>
          <w:lang w:eastAsia="en-AU"/>
        </w:rPr>
        <w:t>10</w:t>
      </w:r>
      <w:r w:rsidR="0025287F" w:rsidRPr="00770FF9">
        <w:rPr>
          <w:rFonts w:ascii="Times New Roman" w:eastAsia="Times New Roman" w:hAnsi="Times New Roman" w:cs="Times New Roman"/>
          <w:b/>
          <w:sz w:val="24"/>
          <w:szCs w:val="24"/>
          <w:lang w:eastAsia="en-AU"/>
        </w:rPr>
        <w:t xml:space="preserve"> of 202</w:t>
      </w:r>
      <w:r w:rsidR="00192668" w:rsidRPr="00770FF9">
        <w:rPr>
          <w:rFonts w:ascii="Times New Roman" w:eastAsia="Times New Roman" w:hAnsi="Times New Roman" w:cs="Times New Roman"/>
          <w:b/>
          <w:sz w:val="24"/>
          <w:szCs w:val="24"/>
          <w:lang w:eastAsia="en-AU"/>
        </w:rPr>
        <w:t>3</w:t>
      </w:r>
    </w:p>
    <w:p w14:paraId="06CCC3E0" w14:textId="383BDB97" w:rsidR="00B670E9" w:rsidRPr="00770FF9" w:rsidRDefault="00B670E9" w:rsidP="00B670E9">
      <w:pPr>
        <w:rPr>
          <w:rFonts w:ascii="Times New Roman" w:hAnsi="Times New Roman" w:cs="Times New Roman"/>
          <w:sz w:val="24"/>
          <w:szCs w:val="24"/>
        </w:rPr>
      </w:pPr>
      <w:r w:rsidRPr="00770FF9">
        <w:rPr>
          <w:rFonts w:ascii="Times New Roman" w:hAnsi="Times New Roman" w:cs="Times New Roman"/>
          <w:sz w:val="24"/>
          <w:szCs w:val="24"/>
        </w:rPr>
        <w:t>Th</w:t>
      </w:r>
      <w:r w:rsidR="00923828" w:rsidRPr="00770FF9">
        <w:rPr>
          <w:rFonts w:ascii="Times New Roman" w:hAnsi="Times New Roman" w:cs="Times New Roman"/>
          <w:sz w:val="24"/>
          <w:szCs w:val="24"/>
        </w:rPr>
        <w:t>i</w:t>
      </w:r>
      <w:r w:rsidRPr="00770FF9">
        <w:rPr>
          <w:rFonts w:ascii="Times New Roman" w:hAnsi="Times New Roman" w:cs="Times New Roman"/>
          <w:sz w:val="24"/>
          <w:szCs w:val="24"/>
        </w:rPr>
        <w:t>s Legislative Instrument</w:t>
      </w:r>
      <w:r w:rsidR="00497D8A" w:rsidRPr="00770FF9">
        <w:rPr>
          <w:rFonts w:ascii="Times New Roman" w:hAnsi="Times New Roman" w:cs="Times New Roman"/>
          <w:sz w:val="24"/>
          <w:szCs w:val="24"/>
        </w:rPr>
        <w:t xml:space="preserve"> is</w:t>
      </w:r>
      <w:r w:rsidRPr="00770FF9">
        <w:rPr>
          <w:rFonts w:ascii="Times New Roman" w:hAnsi="Times New Roman" w:cs="Times New Roman"/>
          <w:sz w:val="24"/>
          <w:szCs w:val="24"/>
        </w:rPr>
        <w:t xml:space="preserve"> compatible with the human rights and freedoms recognised or declared in the international instrument listed in section 3 of the </w:t>
      </w:r>
      <w:r w:rsidRPr="00770FF9">
        <w:rPr>
          <w:rFonts w:ascii="Times New Roman" w:hAnsi="Times New Roman" w:cs="Times New Roman"/>
          <w:i/>
          <w:sz w:val="24"/>
          <w:szCs w:val="24"/>
        </w:rPr>
        <w:t>Human Rights (Parliamentary Scrutiny) Act 2011</w:t>
      </w:r>
      <w:r w:rsidRPr="00770FF9">
        <w:rPr>
          <w:rFonts w:ascii="Times New Roman" w:hAnsi="Times New Roman" w:cs="Times New Roman"/>
          <w:sz w:val="24"/>
          <w:szCs w:val="24"/>
        </w:rPr>
        <w:t xml:space="preserve"> (HRPS Act).</w:t>
      </w:r>
    </w:p>
    <w:p w14:paraId="78831E52" w14:textId="31404BF6" w:rsidR="00B670E9" w:rsidRPr="00770FF9" w:rsidRDefault="00B670E9" w:rsidP="00B670E9">
      <w:pPr>
        <w:rPr>
          <w:rFonts w:ascii="Times New Roman" w:hAnsi="Times New Roman" w:cs="Times New Roman"/>
          <w:sz w:val="24"/>
          <w:szCs w:val="24"/>
        </w:rPr>
      </w:pPr>
      <w:r w:rsidRPr="00770FF9">
        <w:rPr>
          <w:rFonts w:ascii="Times New Roman" w:hAnsi="Times New Roman" w:cs="Times New Roman"/>
          <w:b/>
          <w:sz w:val="24"/>
          <w:szCs w:val="24"/>
        </w:rPr>
        <w:t>Overview of the Legislative Instrument</w:t>
      </w:r>
    </w:p>
    <w:p w14:paraId="054ED2F7" w14:textId="2FFB7297" w:rsidR="00D966DF" w:rsidRPr="00770FF9" w:rsidRDefault="00497D8A" w:rsidP="003F6AAF">
      <w:pPr>
        <w:rPr>
          <w:rFonts w:ascii="Times New Roman" w:hAnsi="Times New Roman" w:cs="Times New Roman"/>
          <w:sz w:val="24"/>
          <w:szCs w:val="24"/>
        </w:rPr>
      </w:pPr>
      <w:r w:rsidRPr="00770FF9">
        <w:rPr>
          <w:rFonts w:ascii="Times New Roman" w:hAnsi="Times New Roman" w:cs="Times New Roman"/>
          <w:sz w:val="24"/>
          <w:szCs w:val="24"/>
        </w:rPr>
        <w:t>The purpose of the</w:t>
      </w:r>
      <w:r w:rsidR="00955091" w:rsidRPr="00770FF9">
        <w:rPr>
          <w:rFonts w:ascii="Times New Roman" w:hAnsi="Times New Roman" w:cs="Times New Roman"/>
          <w:sz w:val="24"/>
          <w:szCs w:val="24"/>
        </w:rPr>
        <w:t xml:space="preserve">se instruments is to revoke, </w:t>
      </w:r>
      <w:r w:rsidR="008C7354" w:rsidRPr="008C7354">
        <w:rPr>
          <w:rFonts w:ascii="Times New Roman" w:hAnsi="Times New Roman" w:cs="Times New Roman"/>
          <w:i/>
          <w:sz w:val="24"/>
          <w:szCs w:val="24"/>
        </w:rPr>
        <w:t xml:space="preserve">Prudential Standard GPS 340 Insurance Liability Valuation </w:t>
      </w:r>
      <w:r w:rsidR="00D966DF" w:rsidRPr="00770FF9">
        <w:rPr>
          <w:rFonts w:ascii="Times New Roman" w:hAnsi="Times New Roman" w:cs="Times New Roman"/>
          <w:sz w:val="24"/>
          <w:szCs w:val="24"/>
        </w:rPr>
        <w:t xml:space="preserve">and replace </w:t>
      </w:r>
      <w:r w:rsidR="00C94C9C">
        <w:rPr>
          <w:rFonts w:ascii="Times New Roman" w:hAnsi="Times New Roman" w:cs="Times New Roman"/>
          <w:sz w:val="24"/>
          <w:szCs w:val="24"/>
        </w:rPr>
        <w:t xml:space="preserve">it </w:t>
      </w:r>
      <w:r w:rsidR="00D966DF" w:rsidRPr="00770FF9">
        <w:rPr>
          <w:rFonts w:ascii="Times New Roman" w:hAnsi="Times New Roman" w:cs="Times New Roman"/>
          <w:sz w:val="24"/>
          <w:szCs w:val="24"/>
        </w:rPr>
        <w:t xml:space="preserve">with </w:t>
      </w:r>
      <w:r w:rsidR="00C94C9C">
        <w:rPr>
          <w:rFonts w:ascii="Times New Roman" w:hAnsi="Times New Roman" w:cs="Times New Roman"/>
          <w:sz w:val="24"/>
          <w:szCs w:val="24"/>
        </w:rPr>
        <w:t xml:space="preserve">a </w:t>
      </w:r>
      <w:r w:rsidR="00D966DF" w:rsidRPr="00770FF9">
        <w:rPr>
          <w:rFonts w:ascii="Times New Roman" w:hAnsi="Times New Roman" w:cs="Times New Roman"/>
          <w:sz w:val="24"/>
          <w:szCs w:val="24"/>
        </w:rPr>
        <w:t xml:space="preserve">new version of the corresponding </w:t>
      </w:r>
      <w:r w:rsidR="001657DE" w:rsidRPr="006A77D9">
        <w:rPr>
          <w:rFonts w:ascii="Times New Roman" w:hAnsi="Times New Roman" w:cs="Times New Roman"/>
          <w:sz w:val="24"/>
          <w:szCs w:val="24"/>
        </w:rPr>
        <w:t>prudential standards with the appropriate amendments</w:t>
      </w:r>
      <w:r w:rsidR="00D966DF" w:rsidRPr="00770FF9">
        <w:rPr>
          <w:rFonts w:ascii="Times New Roman" w:hAnsi="Times New Roman" w:cs="Times New Roman"/>
          <w:sz w:val="24"/>
          <w:szCs w:val="24"/>
        </w:rPr>
        <w:t xml:space="preserve">. </w:t>
      </w:r>
    </w:p>
    <w:p w14:paraId="2AD2EE4E" w14:textId="06C1CB7A" w:rsidR="00757385" w:rsidRPr="00770FF9" w:rsidRDefault="003F6AAF" w:rsidP="00C24C8E">
      <w:pPr>
        <w:numPr>
          <w:ilvl w:val="0"/>
          <w:numId w:val="0"/>
        </w:numPr>
        <w:rPr>
          <w:rFonts w:ascii="Times New Roman" w:hAnsi="Times New Roman" w:cs="Times New Roman"/>
          <w:sz w:val="24"/>
          <w:szCs w:val="24"/>
        </w:rPr>
      </w:pPr>
      <w:r w:rsidRPr="00770FF9">
        <w:rPr>
          <w:rFonts w:ascii="Times New Roman" w:hAnsi="Times New Roman" w:cs="Times New Roman"/>
          <w:sz w:val="24"/>
          <w:szCs w:val="24"/>
        </w:rPr>
        <w:t>These instruments</w:t>
      </w:r>
      <w:r w:rsidR="00757385" w:rsidRPr="00770FF9">
        <w:rPr>
          <w:rFonts w:ascii="Times New Roman" w:hAnsi="Times New Roman" w:cs="Times New Roman"/>
          <w:sz w:val="24"/>
          <w:szCs w:val="24"/>
        </w:rPr>
        <w:t xml:space="preserve"> ensure that insurers are not subject to undue regulatory burden with the introduction of AASB 17 and set</w:t>
      </w:r>
      <w:r w:rsidR="00C811DC" w:rsidRPr="00770FF9">
        <w:rPr>
          <w:rFonts w:ascii="Times New Roman" w:hAnsi="Times New Roman" w:cs="Times New Roman"/>
          <w:sz w:val="24"/>
          <w:szCs w:val="24"/>
        </w:rPr>
        <w:t>s</w:t>
      </w:r>
      <w:r w:rsidR="00757385" w:rsidRPr="00770FF9">
        <w:rPr>
          <w:rFonts w:ascii="Times New Roman" w:hAnsi="Times New Roman" w:cs="Times New Roman"/>
          <w:sz w:val="24"/>
          <w:szCs w:val="24"/>
        </w:rPr>
        <w:t xml:space="preserve"> up the </w:t>
      </w:r>
      <w:r w:rsidR="00334B5E">
        <w:rPr>
          <w:rFonts w:ascii="Times New Roman" w:hAnsi="Times New Roman" w:cs="Times New Roman"/>
          <w:sz w:val="24"/>
          <w:szCs w:val="24"/>
        </w:rPr>
        <w:t xml:space="preserve">insurance </w:t>
      </w:r>
      <w:r w:rsidR="00757385" w:rsidRPr="00770FF9">
        <w:rPr>
          <w:rFonts w:ascii="Times New Roman" w:hAnsi="Times New Roman" w:cs="Times New Roman"/>
          <w:sz w:val="24"/>
          <w:szCs w:val="24"/>
        </w:rPr>
        <w:t xml:space="preserve">prudential framework to remain fit for purpose into the future.   </w:t>
      </w:r>
    </w:p>
    <w:p w14:paraId="010F0382" w14:textId="77777777" w:rsidR="00B670E9" w:rsidRPr="00770FF9" w:rsidRDefault="00B670E9" w:rsidP="00497D8A">
      <w:pPr>
        <w:rPr>
          <w:rFonts w:ascii="Times New Roman" w:hAnsi="Times New Roman" w:cs="Times New Roman"/>
          <w:sz w:val="24"/>
          <w:szCs w:val="24"/>
        </w:rPr>
      </w:pPr>
      <w:r w:rsidRPr="00770FF9">
        <w:rPr>
          <w:rFonts w:ascii="Times New Roman" w:hAnsi="Times New Roman" w:cs="Times New Roman"/>
          <w:b/>
          <w:sz w:val="24"/>
          <w:szCs w:val="24"/>
        </w:rPr>
        <w:t>Human rights implications</w:t>
      </w:r>
    </w:p>
    <w:p w14:paraId="23D2FE0E" w14:textId="327649EF" w:rsidR="009136D0" w:rsidRPr="00770FF9" w:rsidRDefault="009136D0" w:rsidP="00B670E9">
      <w:pPr>
        <w:rPr>
          <w:rFonts w:ascii="Times New Roman" w:eastAsia="Times New Roman" w:hAnsi="Times New Roman" w:cs="Times New Roman"/>
          <w:iCs/>
          <w:sz w:val="24"/>
          <w:szCs w:val="24"/>
          <w:lang w:eastAsia="en-AU"/>
        </w:rPr>
      </w:pPr>
      <w:r w:rsidRPr="00770FF9">
        <w:rPr>
          <w:rFonts w:ascii="Times New Roman" w:eastAsia="Times New Roman" w:hAnsi="Times New Roman" w:cs="Times New Roman"/>
          <w:iCs/>
          <w:sz w:val="24"/>
          <w:szCs w:val="24"/>
          <w:lang w:eastAsia="en-AU"/>
        </w:rPr>
        <w:t xml:space="preserve">APRA has assessed the Legislative Instrument and is of the view that </w:t>
      </w:r>
      <w:r w:rsidR="00923828" w:rsidRPr="00770FF9">
        <w:rPr>
          <w:rFonts w:ascii="Times New Roman" w:eastAsia="Times New Roman" w:hAnsi="Times New Roman" w:cs="Times New Roman"/>
          <w:iCs/>
          <w:sz w:val="24"/>
          <w:szCs w:val="24"/>
          <w:lang w:eastAsia="en-AU"/>
        </w:rPr>
        <w:t>it</w:t>
      </w:r>
      <w:r w:rsidRPr="00770FF9">
        <w:rPr>
          <w:rFonts w:ascii="Times New Roman" w:eastAsia="Times New Roman" w:hAnsi="Times New Roman" w:cs="Times New Roman"/>
          <w:iCs/>
          <w:sz w:val="24"/>
          <w:szCs w:val="24"/>
          <w:lang w:eastAsia="en-AU"/>
        </w:rPr>
        <w:t xml:space="preserve"> do</w:t>
      </w:r>
      <w:r w:rsidR="00923828" w:rsidRPr="00770FF9">
        <w:rPr>
          <w:rFonts w:ascii="Times New Roman" w:eastAsia="Times New Roman" w:hAnsi="Times New Roman" w:cs="Times New Roman"/>
          <w:iCs/>
          <w:sz w:val="24"/>
          <w:szCs w:val="24"/>
          <w:lang w:eastAsia="en-AU"/>
        </w:rPr>
        <w:t>es</w:t>
      </w:r>
      <w:r w:rsidRPr="00770FF9">
        <w:rPr>
          <w:rFonts w:ascii="Times New Roman" w:eastAsia="Times New Roman" w:hAnsi="Times New Roman" w:cs="Times New Roman"/>
          <w:iCs/>
          <w:sz w:val="24"/>
          <w:szCs w:val="24"/>
          <w:lang w:eastAsia="en-AU"/>
        </w:rPr>
        <w:t xml:space="preserve"> not engage any of the applicable rights or freedoms recognised or declared in the international instruments listed in section 3 of the HRPS Act. Accordingly, in APRA's assessment, the Instrument </w:t>
      </w:r>
      <w:r w:rsidR="00923828" w:rsidRPr="00770FF9">
        <w:rPr>
          <w:rFonts w:ascii="Times New Roman" w:eastAsia="Times New Roman" w:hAnsi="Times New Roman" w:cs="Times New Roman"/>
          <w:iCs/>
          <w:sz w:val="24"/>
          <w:szCs w:val="24"/>
          <w:lang w:eastAsia="en-AU"/>
        </w:rPr>
        <w:t>is</w:t>
      </w:r>
      <w:r w:rsidRPr="00770FF9">
        <w:rPr>
          <w:rFonts w:ascii="Times New Roman" w:eastAsia="Times New Roman" w:hAnsi="Times New Roman" w:cs="Times New Roman"/>
          <w:iCs/>
          <w:sz w:val="24"/>
          <w:szCs w:val="24"/>
          <w:lang w:eastAsia="en-AU"/>
        </w:rPr>
        <w:t xml:space="preserve"> compatible with human rights. </w:t>
      </w:r>
    </w:p>
    <w:p w14:paraId="64D4EEBE" w14:textId="77777777" w:rsidR="00B670E9" w:rsidRPr="00770FF9" w:rsidRDefault="00B670E9" w:rsidP="00B670E9">
      <w:pPr>
        <w:rPr>
          <w:rFonts w:ascii="Times New Roman" w:hAnsi="Times New Roman" w:cs="Times New Roman"/>
          <w:b/>
          <w:sz w:val="24"/>
          <w:szCs w:val="24"/>
        </w:rPr>
      </w:pPr>
      <w:r w:rsidRPr="00770FF9">
        <w:rPr>
          <w:rFonts w:ascii="Times New Roman" w:hAnsi="Times New Roman" w:cs="Times New Roman"/>
          <w:b/>
          <w:sz w:val="24"/>
          <w:szCs w:val="24"/>
        </w:rPr>
        <w:t>Conclusion</w:t>
      </w:r>
    </w:p>
    <w:p w14:paraId="57D7D167" w14:textId="48CA7E4F" w:rsidR="00B670E9" w:rsidRPr="00770FF9" w:rsidRDefault="00B670E9" w:rsidP="00B670E9">
      <w:pPr>
        <w:rPr>
          <w:rFonts w:ascii="Times New Roman" w:hAnsi="Times New Roman" w:cs="Times New Roman"/>
          <w:sz w:val="24"/>
          <w:szCs w:val="24"/>
        </w:rPr>
      </w:pPr>
      <w:r w:rsidRPr="00770FF9">
        <w:rPr>
          <w:rFonts w:ascii="Times New Roman" w:hAnsi="Times New Roman" w:cs="Times New Roman"/>
          <w:sz w:val="24"/>
          <w:szCs w:val="24"/>
        </w:rPr>
        <w:t>Th</w:t>
      </w:r>
      <w:r w:rsidR="00923828" w:rsidRPr="00770FF9">
        <w:rPr>
          <w:rFonts w:ascii="Times New Roman" w:hAnsi="Times New Roman" w:cs="Times New Roman"/>
          <w:sz w:val="24"/>
          <w:szCs w:val="24"/>
        </w:rPr>
        <w:t>i</w:t>
      </w:r>
      <w:r w:rsidRPr="00770FF9">
        <w:rPr>
          <w:rFonts w:ascii="Times New Roman" w:hAnsi="Times New Roman" w:cs="Times New Roman"/>
          <w:sz w:val="24"/>
          <w:szCs w:val="24"/>
        </w:rPr>
        <w:t xml:space="preserve">s Legislative Instrument </w:t>
      </w:r>
      <w:r w:rsidR="00923828" w:rsidRPr="00770FF9">
        <w:rPr>
          <w:rFonts w:ascii="Times New Roman" w:hAnsi="Times New Roman" w:cs="Times New Roman"/>
          <w:sz w:val="24"/>
          <w:szCs w:val="24"/>
        </w:rPr>
        <w:t>is</w:t>
      </w:r>
      <w:r w:rsidRPr="00770FF9">
        <w:rPr>
          <w:rFonts w:ascii="Times New Roman" w:hAnsi="Times New Roman" w:cs="Times New Roman"/>
          <w:sz w:val="24"/>
          <w:szCs w:val="24"/>
        </w:rPr>
        <w:t xml:space="preserve"> compatible with human rights as </w:t>
      </w:r>
      <w:r w:rsidR="00923828" w:rsidRPr="00770FF9">
        <w:rPr>
          <w:rFonts w:ascii="Times New Roman" w:hAnsi="Times New Roman" w:cs="Times New Roman"/>
          <w:sz w:val="24"/>
          <w:szCs w:val="24"/>
        </w:rPr>
        <w:t>it</w:t>
      </w:r>
      <w:r w:rsidRPr="00770FF9">
        <w:rPr>
          <w:rFonts w:ascii="Times New Roman" w:hAnsi="Times New Roman" w:cs="Times New Roman"/>
          <w:sz w:val="24"/>
          <w:szCs w:val="24"/>
        </w:rPr>
        <w:t xml:space="preserve"> do</w:t>
      </w:r>
      <w:r w:rsidR="00923828" w:rsidRPr="00770FF9">
        <w:rPr>
          <w:rFonts w:ascii="Times New Roman" w:hAnsi="Times New Roman" w:cs="Times New Roman"/>
          <w:sz w:val="24"/>
          <w:szCs w:val="24"/>
        </w:rPr>
        <w:t>es</w:t>
      </w:r>
      <w:r w:rsidRPr="00770FF9">
        <w:rPr>
          <w:rFonts w:ascii="Times New Roman" w:hAnsi="Times New Roman" w:cs="Times New Roman"/>
          <w:sz w:val="24"/>
          <w:szCs w:val="24"/>
        </w:rPr>
        <w:t xml:space="preserve"> not raise any human rights issues.</w:t>
      </w:r>
    </w:p>
    <w:bookmarkEnd w:id="1"/>
    <w:bookmarkEnd w:id="4"/>
    <w:p w14:paraId="6A740A2A" w14:textId="77777777" w:rsidR="00211AFD" w:rsidRPr="00B06E21" w:rsidRDefault="00211AFD" w:rsidP="00A34ADD">
      <w:pPr>
        <w:rPr>
          <w:rFonts w:ascii="Times New Roman" w:hAnsi="Times New Roman" w:cs="Times New Roman"/>
        </w:rPr>
      </w:pPr>
    </w:p>
    <w:sectPr w:rsidR="00211AFD" w:rsidRPr="00B06E21" w:rsidSect="00B06E21">
      <w:pgSz w:w="11906" w:h="16838" w:code="9"/>
      <w:pgMar w:top="993" w:right="1440" w:bottom="1440" w:left="1440"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C78AC" w14:textId="77777777" w:rsidR="00211AFD" w:rsidRPr="000D4EDE" w:rsidRDefault="00211AFD" w:rsidP="000D4EDE">
      <w:r>
        <w:separator/>
      </w:r>
    </w:p>
  </w:endnote>
  <w:endnote w:type="continuationSeparator" w:id="0">
    <w:p w14:paraId="299D6E42" w14:textId="77777777" w:rsidR="00211AFD" w:rsidRPr="000D4EDE" w:rsidRDefault="00211AFD" w:rsidP="000D4EDE">
      <w:r>
        <w:continuationSeparator/>
      </w:r>
    </w:p>
  </w:endnote>
  <w:endnote w:type="continuationNotice" w:id="1">
    <w:p w14:paraId="4B14AD2F" w14:textId="77777777" w:rsidR="00AC6B54" w:rsidRDefault="00AC6B5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altName w:val="Leelawadee UI"/>
    <w:panose1 w:val="020B0304020202020204"/>
    <w:charset w:val="DE"/>
    <w:family w:val="roman"/>
    <w:notTrueType/>
    <w:pitch w:val="variable"/>
    <w:sig w:usb0="01000000"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166C7" w14:textId="77777777" w:rsidR="00211AFD" w:rsidRPr="000D4EDE" w:rsidRDefault="00211AFD" w:rsidP="000D4EDE">
      <w:r>
        <w:separator/>
      </w:r>
    </w:p>
  </w:footnote>
  <w:footnote w:type="continuationSeparator" w:id="0">
    <w:p w14:paraId="719FFCC8" w14:textId="77777777" w:rsidR="00211AFD" w:rsidRPr="000D4EDE" w:rsidRDefault="00211AFD" w:rsidP="000D4EDE">
      <w:r>
        <w:continuationSeparator/>
      </w:r>
    </w:p>
  </w:footnote>
  <w:footnote w:type="continuationNotice" w:id="1">
    <w:p w14:paraId="2E184D93" w14:textId="77777777" w:rsidR="00AC6B54" w:rsidRDefault="00AC6B5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8"/>
    <w:multiLevelType w:val="singleLevel"/>
    <w:tmpl w:val="AC92ED90"/>
    <w:lvl w:ilvl="0">
      <w:start w:val="1"/>
      <w:numFmt w:val="decimal"/>
      <w:lvlText w:val="%1."/>
      <w:lvlJc w:val="left"/>
      <w:pPr>
        <w:tabs>
          <w:tab w:val="num" w:pos="360"/>
        </w:tabs>
        <w:ind w:left="360" w:hanging="360"/>
      </w:pPr>
    </w:lvl>
  </w:abstractNum>
  <w:abstractNum w:abstractNumId="3" w15:restartNumberingAfterBreak="0">
    <w:nsid w:val="02A3626B"/>
    <w:multiLevelType w:val="hybridMultilevel"/>
    <w:tmpl w:val="8D6E2C0C"/>
    <w:lvl w:ilvl="0" w:tplc="36F84146">
      <w:start w:val="1"/>
      <w:numFmt w:val="decimal"/>
      <w:lvlText w:val="(%1)"/>
      <w:lvlJc w:val="left"/>
      <w:pPr>
        <w:ind w:left="1020" w:hanging="6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3E93595"/>
    <w:multiLevelType w:val="multilevel"/>
    <w:tmpl w:val="44EEB5B2"/>
    <w:lvl w:ilvl="0">
      <w:start w:val="1"/>
      <w:numFmt w:val="decimal"/>
      <w:pStyle w:val="ListNumber"/>
      <w:lvlText w:val="%1."/>
      <w:lvlJc w:val="left"/>
      <w:pPr>
        <w:tabs>
          <w:tab w:val="num" w:pos="851"/>
        </w:tabs>
        <w:ind w:left="851" w:hanging="851"/>
      </w:pPr>
      <w:rPr>
        <w:rFonts w:hint="default"/>
      </w:rPr>
    </w:lvl>
    <w:lvl w:ilvl="1">
      <w:start w:val="1"/>
      <w:numFmt w:val="decimal"/>
      <w:pStyle w:val="ListNumber2"/>
      <w:lvlText w:val="%1.%2."/>
      <w:lvlJc w:val="left"/>
      <w:pPr>
        <w:tabs>
          <w:tab w:val="num" w:pos="1701"/>
        </w:tabs>
        <w:ind w:left="1701" w:hanging="850"/>
      </w:pPr>
      <w:rPr>
        <w:rFonts w:hint="default"/>
      </w:rPr>
    </w:lvl>
    <w:lvl w:ilvl="2">
      <w:start w:val="1"/>
      <w:numFmt w:val="decimal"/>
      <w:pStyle w:val="ListNumber3"/>
      <w:lvlText w:val="%1.%2.%3."/>
      <w:lvlJc w:val="left"/>
      <w:pPr>
        <w:tabs>
          <w:tab w:val="num" w:pos="2552"/>
        </w:tabs>
        <w:ind w:left="2552"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073A5CAE"/>
    <w:multiLevelType w:val="multilevel"/>
    <w:tmpl w:val="845645BE"/>
    <w:lvl w:ilvl="0">
      <w:start w:val="1"/>
      <w:numFmt w:val="decimal"/>
      <w:pStyle w:val="Heading1Numbers"/>
      <w:lvlText w:val="%1."/>
      <w:lvlJc w:val="left"/>
      <w:pPr>
        <w:tabs>
          <w:tab w:val="num" w:pos="851"/>
        </w:tabs>
        <w:ind w:left="851" w:hanging="851"/>
      </w:pPr>
      <w:rPr>
        <w:rFonts w:hint="default"/>
      </w:rPr>
    </w:lvl>
    <w:lvl w:ilvl="1">
      <w:start w:val="1"/>
      <w:numFmt w:val="decimal"/>
      <w:pStyle w:val="Heading2Numbers"/>
      <w:lvlText w:val="%1.%2"/>
      <w:lvlJc w:val="left"/>
      <w:pPr>
        <w:tabs>
          <w:tab w:val="num" w:pos="851"/>
        </w:tabs>
        <w:ind w:left="851" w:hanging="851"/>
      </w:pPr>
      <w:rPr>
        <w:rFonts w:hint="default"/>
      </w:rPr>
    </w:lvl>
    <w:lvl w:ilvl="2">
      <w:start w:val="1"/>
      <w:numFmt w:val="decimal"/>
      <w:pStyle w:val="Heading3Numbers"/>
      <w:lvlText w:val="%1.%2.%3"/>
      <w:lvlJc w:val="left"/>
      <w:pPr>
        <w:tabs>
          <w:tab w:val="num" w:pos="1276"/>
        </w:tabs>
        <w:ind w:left="851" w:hanging="851"/>
      </w:pPr>
      <w:rPr>
        <w:rFonts w:hint="default"/>
      </w:rPr>
    </w:lvl>
    <w:lvl w:ilvl="3">
      <w:start w:val="1"/>
      <w:numFmt w:val="decimal"/>
      <w:pStyle w:val="Heading4NoNumber"/>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0D5E11C7"/>
    <w:multiLevelType w:val="hybridMultilevel"/>
    <w:tmpl w:val="7E1C9F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862360"/>
    <w:multiLevelType w:val="hybridMultilevel"/>
    <w:tmpl w:val="C58874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C8A00ED"/>
    <w:multiLevelType w:val="hybridMultilevel"/>
    <w:tmpl w:val="64E416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03B2DF9"/>
    <w:multiLevelType w:val="hybridMultilevel"/>
    <w:tmpl w:val="CC3821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01F50AC"/>
    <w:multiLevelType w:val="multilevel"/>
    <w:tmpl w:val="AC5E151C"/>
    <w:styleLink w:val="BulletList"/>
    <w:lvl w:ilvl="0">
      <w:start w:val="1"/>
      <w:numFmt w:val="bullet"/>
      <w:pStyle w:val="ListBullet"/>
      <w:lvlText w:val=""/>
      <w:lvlJc w:val="left"/>
      <w:pPr>
        <w:tabs>
          <w:tab w:val="num" w:pos="425"/>
        </w:tabs>
        <w:ind w:left="425" w:hanging="425"/>
      </w:pPr>
      <w:rPr>
        <w:rFonts w:ascii="Symbol" w:hAnsi="Symbol" w:hint="default"/>
        <w:color w:val="000000" w:themeColor="text1"/>
      </w:rPr>
    </w:lvl>
    <w:lvl w:ilvl="1">
      <w:start w:val="1"/>
      <w:numFmt w:val="bullet"/>
      <w:pStyle w:val="ListBullet2"/>
      <w:lvlText w:val="-"/>
      <w:lvlJc w:val="left"/>
      <w:pPr>
        <w:tabs>
          <w:tab w:val="num" w:pos="851"/>
        </w:tabs>
        <w:ind w:left="851" w:hanging="426"/>
      </w:pPr>
      <w:rPr>
        <w:rFonts w:ascii="Arial" w:hAnsi="Arial" w:hint="default"/>
        <w:color w:val="000000" w:themeColor="text1"/>
      </w:rPr>
    </w:lvl>
    <w:lvl w:ilvl="2">
      <w:start w:val="1"/>
      <w:numFmt w:val="bullet"/>
      <w:pStyle w:val="ListBullet3"/>
      <w:lvlText w:val="o"/>
      <w:lvlJc w:val="left"/>
      <w:pPr>
        <w:tabs>
          <w:tab w:val="num" w:pos="1276"/>
        </w:tabs>
        <w:ind w:left="1276" w:hanging="425"/>
      </w:pPr>
      <w:rPr>
        <w:rFonts w:ascii="Courier New" w:hAnsi="Courier New" w:hint="default"/>
        <w:color w:val="000000" w:themeColor="text1"/>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12" w15:restartNumberingAfterBreak="0">
    <w:nsid w:val="34130106"/>
    <w:multiLevelType w:val="hybridMultilevel"/>
    <w:tmpl w:val="E82EC54C"/>
    <w:lvl w:ilvl="0" w:tplc="379E151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98035FF"/>
    <w:multiLevelType w:val="hybridMultilevel"/>
    <w:tmpl w:val="E28E1352"/>
    <w:lvl w:ilvl="0" w:tplc="186431EE">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9942F9F"/>
    <w:multiLevelType w:val="hybridMultilevel"/>
    <w:tmpl w:val="FEDE0D5A"/>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5" w15:restartNumberingAfterBreak="0">
    <w:nsid w:val="3E771738"/>
    <w:multiLevelType w:val="hybridMultilevel"/>
    <w:tmpl w:val="E19811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0FE1B54"/>
    <w:multiLevelType w:val="multilevel"/>
    <w:tmpl w:val="03EA69FC"/>
    <w:styleLink w:val="HeadingList"/>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851"/>
        </w:tabs>
        <w:ind w:left="425" w:hanging="425"/>
      </w:pPr>
      <w:rPr>
        <w:rFonts w:hint="default"/>
      </w:rPr>
    </w:lvl>
    <w:lvl w:ilvl="2">
      <w:start w:val="1"/>
      <w:numFmt w:val="decimal"/>
      <w:lvlText w:val="%1.%2.%3"/>
      <w:lvlJc w:val="left"/>
      <w:pPr>
        <w:tabs>
          <w:tab w:val="num" w:pos="1276"/>
        </w:tabs>
        <w:ind w:left="851" w:hanging="851"/>
      </w:pPr>
      <w:rPr>
        <w:rFonts w:hint="default"/>
      </w:rPr>
    </w:lvl>
    <w:lvl w:ilvl="3">
      <w:start w:val="1"/>
      <w:numFmt w:val="decimal"/>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44C6AE01"/>
    <w:multiLevelType w:val="multilevel"/>
    <w:tmpl w:val="35A4641E"/>
    <w:lvl w:ilvl="0">
      <w:start w:val="1"/>
      <w:numFmt w:val="decimal"/>
      <w:lvlText w:val=""/>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A83C59"/>
    <w:multiLevelType w:val="hybridMultilevel"/>
    <w:tmpl w:val="E162FB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40E5588"/>
    <w:multiLevelType w:val="multilevel"/>
    <w:tmpl w:val="060A2B94"/>
    <w:styleLink w:val="111111"/>
    <w:lvl w:ilvl="0">
      <w:start w:val="1"/>
      <w:numFmt w:val="decimal"/>
      <w:lvlText w:val="%1."/>
      <w:lvlJc w:val="left"/>
      <w:pPr>
        <w:tabs>
          <w:tab w:val="num" w:pos="851"/>
        </w:tabs>
        <w:ind w:left="425" w:hanging="425"/>
      </w:pPr>
      <w:rPr>
        <w:rFonts w:hint="default"/>
      </w:rPr>
    </w:lvl>
    <w:lvl w:ilvl="1">
      <w:start w:val="1"/>
      <w:numFmt w:val="decimal"/>
      <w:lvlText w:val="%1.%2."/>
      <w:lvlJc w:val="left"/>
      <w:pPr>
        <w:tabs>
          <w:tab w:val="num" w:pos="1276"/>
        </w:tabs>
        <w:ind w:left="851" w:hanging="426"/>
      </w:pPr>
      <w:rPr>
        <w:rFonts w:hint="default"/>
      </w:rPr>
    </w:lvl>
    <w:lvl w:ilvl="2">
      <w:start w:val="1"/>
      <w:numFmt w:val="decimal"/>
      <w:lvlText w:val="%1.%2.%3."/>
      <w:lvlJc w:val="left"/>
      <w:pPr>
        <w:tabs>
          <w:tab w:val="num" w:pos="1276"/>
        </w:tabs>
        <w:ind w:left="1276" w:hanging="425"/>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5ADF54BB"/>
    <w:multiLevelType w:val="hybridMultilevel"/>
    <w:tmpl w:val="9DF89A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DF4124F"/>
    <w:multiLevelType w:val="hybridMultilevel"/>
    <w:tmpl w:val="F8AC6C28"/>
    <w:lvl w:ilvl="0" w:tplc="92289F6A">
      <w:start w:val="1"/>
      <w:numFmt w:val="decimal"/>
      <w:lvlText w:val="%1."/>
      <w:lvlJc w:val="left"/>
      <w:pPr>
        <w:tabs>
          <w:tab w:val="num" w:pos="567"/>
        </w:tabs>
        <w:ind w:left="567" w:hanging="567"/>
      </w:pPr>
      <w:rPr>
        <w:rFonts w:ascii="Times New Roman" w:hAnsi="Times New Roman" w:hint="default"/>
        <w:i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3C970EB"/>
    <w:multiLevelType w:val="hybridMultilevel"/>
    <w:tmpl w:val="80363C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9B17A3F"/>
    <w:multiLevelType w:val="multilevel"/>
    <w:tmpl w:val="E9E22D38"/>
    <w:styleLink w:val="1ai"/>
    <w:lvl w:ilvl="0">
      <w:start w:val="1"/>
      <w:numFmt w:val="decimal"/>
      <w:pStyle w:val="Normal"/>
      <w:suff w:val="nothing"/>
      <w:lvlText w:val=""/>
      <w:lvlJc w:val="left"/>
      <w:pPr>
        <w:ind w:left="0" w:firstLine="0"/>
      </w:pPr>
    </w:lvl>
    <w:lvl w:ilvl="1">
      <w:start w:val="1"/>
      <w:numFmt w:val="decimal"/>
      <w:pStyle w:val="List"/>
      <w:lvlText w:val="%2."/>
      <w:lvlJc w:val="left"/>
      <w:pPr>
        <w:tabs>
          <w:tab w:val="num" w:pos="425"/>
        </w:tabs>
        <w:ind w:left="425" w:hanging="425"/>
      </w:pPr>
      <w:rPr>
        <w:rFonts w:hint="default"/>
      </w:rPr>
    </w:lvl>
    <w:lvl w:ilvl="2">
      <w:start w:val="1"/>
      <w:numFmt w:val="lowerLetter"/>
      <w:pStyle w:val="List2"/>
      <w:lvlText w:val="%3."/>
      <w:lvlJc w:val="left"/>
      <w:pPr>
        <w:tabs>
          <w:tab w:val="num" w:pos="851"/>
        </w:tabs>
        <w:ind w:left="851" w:hanging="426"/>
      </w:pPr>
      <w:rPr>
        <w:rFonts w:hint="default"/>
      </w:rPr>
    </w:lvl>
    <w:lvl w:ilvl="3">
      <w:start w:val="1"/>
      <w:numFmt w:val="lowerRoman"/>
      <w:pStyle w:val="List3"/>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6AD95ACD"/>
    <w:multiLevelType w:val="hybridMultilevel"/>
    <w:tmpl w:val="8B2EDD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784615684">
    <w:abstractNumId w:val="1"/>
  </w:num>
  <w:num w:numId="2" w16cid:durableId="568349451">
    <w:abstractNumId w:val="0"/>
  </w:num>
  <w:num w:numId="3" w16cid:durableId="1778407838">
    <w:abstractNumId w:val="5"/>
  </w:num>
  <w:num w:numId="4" w16cid:durableId="914782658">
    <w:abstractNumId w:val="19"/>
  </w:num>
  <w:num w:numId="5" w16cid:durableId="1761372901">
    <w:abstractNumId w:val="23"/>
  </w:num>
  <w:num w:numId="6" w16cid:durableId="1405184404">
    <w:abstractNumId w:val="16"/>
  </w:num>
  <w:num w:numId="7" w16cid:durableId="21294663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30413460">
    <w:abstractNumId w:val="11"/>
  </w:num>
  <w:num w:numId="9" w16cid:durableId="515853906">
    <w:abstractNumId w:val="2"/>
  </w:num>
  <w:num w:numId="10" w16cid:durableId="708576632">
    <w:abstractNumId w:val="6"/>
  </w:num>
  <w:num w:numId="11" w16cid:durableId="2026320155">
    <w:abstractNumId w:val="4"/>
  </w:num>
  <w:num w:numId="12" w16cid:durableId="78983245">
    <w:abstractNumId w:val="3"/>
  </w:num>
  <w:num w:numId="13" w16cid:durableId="1316059326">
    <w:abstractNumId w:val="24"/>
  </w:num>
  <w:num w:numId="14" w16cid:durableId="535124421">
    <w:abstractNumId w:val="15"/>
  </w:num>
  <w:num w:numId="15" w16cid:durableId="2004428120">
    <w:abstractNumId w:val="10"/>
  </w:num>
  <w:num w:numId="16" w16cid:durableId="415321881">
    <w:abstractNumId w:val="12"/>
  </w:num>
  <w:num w:numId="17" w16cid:durableId="1934125761">
    <w:abstractNumId w:val="21"/>
  </w:num>
  <w:num w:numId="18" w16cid:durableId="1752727309">
    <w:abstractNumId w:val="22"/>
  </w:num>
  <w:num w:numId="19" w16cid:durableId="1788819044">
    <w:abstractNumId w:val="20"/>
  </w:num>
  <w:num w:numId="20" w16cid:durableId="531454864">
    <w:abstractNumId w:val="13"/>
  </w:num>
  <w:num w:numId="21" w16cid:durableId="2104833735">
    <w:abstractNumId w:val="9"/>
  </w:num>
  <w:num w:numId="22" w16cid:durableId="560747589">
    <w:abstractNumId w:val="23"/>
  </w:num>
  <w:num w:numId="23" w16cid:durableId="474415370">
    <w:abstractNumId w:val="7"/>
  </w:num>
  <w:num w:numId="24" w16cid:durableId="1558777651">
    <w:abstractNumId w:val="18"/>
  </w:num>
  <w:num w:numId="25" w16cid:durableId="1777404888">
    <w:abstractNumId w:val="8"/>
  </w:num>
  <w:num w:numId="26" w16cid:durableId="889419418">
    <w:abstractNumId w:val="17"/>
  </w:num>
  <w:num w:numId="27" w16cid:durableId="504324907">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styleLockTheme/>
  <w:styleLockQFSet/>
  <w:defaultTabStop w:val="425"/>
  <w:characterSpacingControl w:val="doNotCompress"/>
  <w:hdrShapeDefaults>
    <o:shapedefaults v:ext="edit" spidmax="942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AFD"/>
    <w:rsid w:val="00004ED1"/>
    <w:rsid w:val="00005D98"/>
    <w:rsid w:val="00005F96"/>
    <w:rsid w:val="00007262"/>
    <w:rsid w:val="00010789"/>
    <w:rsid w:val="00011C96"/>
    <w:rsid w:val="000141B9"/>
    <w:rsid w:val="00020E4C"/>
    <w:rsid w:val="0002421D"/>
    <w:rsid w:val="000329BB"/>
    <w:rsid w:val="00034A19"/>
    <w:rsid w:val="00036F9E"/>
    <w:rsid w:val="000413B3"/>
    <w:rsid w:val="00043A13"/>
    <w:rsid w:val="000453D9"/>
    <w:rsid w:val="000573E5"/>
    <w:rsid w:val="00057B71"/>
    <w:rsid w:val="00065C04"/>
    <w:rsid w:val="0006638F"/>
    <w:rsid w:val="0007202C"/>
    <w:rsid w:val="00072B30"/>
    <w:rsid w:val="0007319C"/>
    <w:rsid w:val="000732AA"/>
    <w:rsid w:val="00073F77"/>
    <w:rsid w:val="000767DD"/>
    <w:rsid w:val="0008011A"/>
    <w:rsid w:val="00083B14"/>
    <w:rsid w:val="00084F8B"/>
    <w:rsid w:val="000851D0"/>
    <w:rsid w:val="00086D07"/>
    <w:rsid w:val="00086F71"/>
    <w:rsid w:val="00093915"/>
    <w:rsid w:val="000949AD"/>
    <w:rsid w:val="00095109"/>
    <w:rsid w:val="00096B0F"/>
    <w:rsid w:val="000A1A15"/>
    <w:rsid w:val="000A490E"/>
    <w:rsid w:val="000B04C5"/>
    <w:rsid w:val="000B2267"/>
    <w:rsid w:val="000B3052"/>
    <w:rsid w:val="000B63CA"/>
    <w:rsid w:val="000B752A"/>
    <w:rsid w:val="000C14D9"/>
    <w:rsid w:val="000C15C7"/>
    <w:rsid w:val="000C3EBC"/>
    <w:rsid w:val="000D4EDE"/>
    <w:rsid w:val="000D6EEB"/>
    <w:rsid w:val="000D73F7"/>
    <w:rsid w:val="000E2460"/>
    <w:rsid w:val="000E2D0A"/>
    <w:rsid w:val="000E43AC"/>
    <w:rsid w:val="000E6E37"/>
    <w:rsid w:val="000F0E6F"/>
    <w:rsid w:val="000F2638"/>
    <w:rsid w:val="001018A5"/>
    <w:rsid w:val="00106F56"/>
    <w:rsid w:val="00115A39"/>
    <w:rsid w:val="001172A8"/>
    <w:rsid w:val="00117479"/>
    <w:rsid w:val="00123576"/>
    <w:rsid w:val="001241CB"/>
    <w:rsid w:val="00124B21"/>
    <w:rsid w:val="001327B8"/>
    <w:rsid w:val="00133578"/>
    <w:rsid w:val="0013471B"/>
    <w:rsid w:val="00134B76"/>
    <w:rsid w:val="001352D4"/>
    <w:rsid w:val="00142132"/>
    <w:rsid w:val="001430F1"/>
    <w:rsid w:val="00153283"/>
    <w:rsid w:val="00155789"/>
    <w:rsid w:val="001579AD"/>
    <w:rsid w:val="00157C98"/>
    <w:rsid w:val="001647D1"/>
    <w:rsid w:val="00164F67"/>
    <w:rsid w:val="001653B6"/>
    <w:rsid w:val="001657DE"/>
    <w:rsid w:val="00165BF6"/>
    <w:rsid w:val="00174B0F"/>
    <w:rsid w:val="0018235E"/>
    <w:rsid w:val="00184187"/>
    <w:rsid w:val="00192668"/>
    <w:rsid w:val="001A34E9"/>
    <w:rsid w:val="001A4EA4"/>
    <w:rsid w:val="001A664F"/>
    <w:rsid w:val="001B2DB7"/>
    <w:rsid w:val="001B3A9F"/>
    <w:rsid w:val="001C7A1C"/>
    <w:rsid w:val="001D0C02"/>
    <w:rsid w:val="001D3D43"/>
    <w:rsid w:val="001E0F51"/>
    <w:rsid w:val="001E55BF"/>
    <w:rsid w:val="001F01A9"/>
    <w:rsid w:val="001F4D45"/>
    <w:rsid w:val="001F6E1A"/>
    <w:rsid w:val="001F780A"/>
    <w:rsid w:val="001F7917"/>
    <w:rsid w:val="00200613"/>
    <w:rsid w:val="00201649"/>
    <w:rsid w:val="00211AFD"/>
    <w:rsid w:val="00214883"/>
    <w:rsid w:val="002156F6"/>
    <w:rsid w:val="00220550"/>
    <w:rsid w:val="002206C7"/>
    <w:rsid w:val="00222497"/>
    <w:rsid w:val="002301A2"/>
    <w:rsid w:val="00231D6C"/>
    <w:rsid w:val="00236C2D"/>
    <w:rsid w:val="00237201"/>
    <w:rsid w:val="002374B7"/>
    <w:rsid w:val="00240126"/>
    <w:rsid w:val="002405DE"/>
    <w:rsid w:val="00241D16"/>
    <w:rsid w:val="00242384"/>
    <w:rsid w:val="0024304D"/>
    <w:rsid w:val="00244826"/>
    <w:rsid w:val="00247ACA"/>
    <w:rsid w:val="0025287F"/>
    <w:rsid w:val="00252E6A"/>
    <w:rsid w:val="002540FC"/>
    <w:rsid w:val="00255A20"/>
    <w:rsid w:val="0025782A"/>
    <w:rsid w:val="00263414"/>
    <w:rsid w:val="002661A6"/>
    <w:rsid w:val="00266C23"/>
    <w:rsid w:val="00277D6C"/>
    <w:rsid w:val="00283ECF"/>
    <w:rsid w:val="00286878"/>
    <w:rsid w:val="00286EAD"/>
    <w:rsid w:val="00292A60"/>
    <w:rsid w:val="0029389B"/>
    <w:rsid w:val="00293B7A"/>
    <w:rsid w:val="002A1894"/>
    <w:rsid w:val="002A2188"/>
    <w:rsid w:val="002A36F2"/>
    <w:rsid w:val="002A59E2"/>
    <w:rsid w:val="002A7D14"/>
    <w:rsid w:val="002B0913"/>
    <w:rsid w:val="002B28E4"/>
    <w:rsid w:val="002B2DD7"/>
    <w:rsid w:val="002B49A3"/>
    <w:rsid w:val="002B5714"/>
    <w:rsid w:val="002B7504"/>
    <w:rsid w:val="002C0D97"/>
    <w:rsid w:val="002C66D1"/>
    <w:rsid w:val="002C7065"/>
    <w:rsid w:val="002C7D73"/>
    <w:rsid w:val="002C7F4A"/>
    <w:rsid w:val="002D2804"/>
    <w:rsid w:val="002D317F"/>
    <w:rsid w:val="002D4B6C"/>
    <w:rsid w:val="002D5274"/>
    <w:rsid w:val="002E1EE3"/>
    <w:rsid w:val="002E7A61"/>
    <w:rsid w:val="002F0135"/>
    <w:rsid w:val="002F0C2C"/>
    <w:rsid w:val="002F2CAC"/>
    <w:rsid w:val="002F7C9A"/>
    <w:rsid w:val="00300655"/>
    <w:rsid w:val="00301BB1"/>
    <w:rsid w:val="00302B60"/>
    <w:rsid w:val="00303D18"/>
    <w:rsid w:val="003063FE"/>
    <w:rsid w:val="00307ADD"/>
    <w:rsid w:val="00307E55"/>
    <w:rsid w:val="0031227D"/>
    <w:rsid w:val="00312A66"/>
    <w:rsid w:val="003130CA"/>
    <w:rsid w:val="003141B3"/>
    <w:rsid w:val="003163CB"/>
    <w:rsid w:val="00321180"/>
    <w:rsid w:val="0032180D"/>
    <w:rsid w:val="003306A5"/>
    <w:rsid w:val="00334B5E"/>
    <w:rsid w:val="0034059D"/>
    <w:rsid w:val="00355D40"/>
    <w:rsid w:val="00371AAC"/>
    <w:rsid w:val="00371F54"/>
    <w:rsid w:val="0037770C"/>
    <w:rsid w:val="003778C7"/>
    <w:rsid w:val="00377ACF"/>
    <w:rsid w:val="00377C8B"/>
    <w:rsid w:val="00383A95"/>
    <w:rsid w:val="00385CA0"/>
    <w:rsid w:val="003916BC"/>
    <w:rsid w:val="00391855"/>
    <w:rsid w:val="0039585F"/>
    <w:rsid w:val="00395E64"/>
    <w:rsid w:val="003A2733"/>
    <w:rsid w:val="003A3021"/>
    <w:rsid w:val="003A4D41"/>
    <w:rsid w:val="003A627E"/>
    <w:rsid w:val="003A79EE"/>
    <w:rsid w:val="003A7F32"/>
    <w:rsid w:val="003B6E16"/>
    <w:rsid w:val="003C180A"/>
    <w:rsid w:val="003C1E25"/>
    <w:rsid w:val="003D27A7"/>
    <w:rsid w:val="003D27CB"/>
    <w:rsid w:val="003D292C"/>
    <w:rsid w:val="003D329D"/>
    <w:rsid w:val="003E29C5"/>
    <w:rsid w:val="003E6315"/>
    <w:rsid w:val="003E6BF6"/>
    <w:rsid w:val="003F0DB2"/>
    <w:rsid w:val="003F0F0D"/>
    <w:rsid w:val="003F6AAF"/>
    <w:rsid w:val="0040173E"/>
    <w:rsid w:val="00413456"/>
    <w:rsid w:val="00414A8F"/>
    <w:rsid w:val="0042055C"/>
    <w:rsid w:val="00425F01"/>
    <w:rsid w:val="00435339"/>
    <w:rsid w:val="0044005B"/>
    <w:rsid w:val="004410DC"/>
    <w:rsid w:val="0044447D"/>
    <w:rsid w:val="0044482D"/>
    <w:rsid w:val="00444EFF"/>
    <w:rsid w:val="00450C1B"/>
    <w:rsid w:val="00450C67"/>
    <w:rsid w:val="00457702"/>
    <w:rsid w:val="004601F2"/>
    <w:rsid w:val="0046020A"/>
    <w:rsid w:val="00460CF7"/>
    <w:rsid w:val="00463FA8"/>
    <w:rsid w:val="00464196"/>
    <w:rsid w:val="00464905"/>
    <w:rsid w:val="00464D07"/>
    <w:rsid w:val="00466648"/>
    <w:rsid w:val="00472CBC"/>
    <w:rsid w:val="00475D78"/>
    <w:rsid w:val="004765B3"/>
    <w:rsid w:val="004808E2"/>
    <w:rsid w:val="004809C5"/>
    <w:rsid w:val="004843CA"/>
    <w:rsid w:val="00493DAA"/>
    <w:rsid w:val="00494335"/>
    <w:rsid w:val="00495A4C"/>
    <w:rsid w:val="00495EDA"/>
    <w:rsid w:val="004967A1"/>
    <w:rsid w:val="00497D8A"/>
    <w:rsid w:val="004A0FE7"/>
    <w:rsid w:val="004B584E"/>
    <w:rsid w:val="004C1106"/>
    <w:rsid w:val="004C5F06"/>
    <w:rsid w:val="004C6D4B"/>
    <w:rsid w:val="004C766B"/>
    <w:rsid w:val="004D33E3"/>
    <w:rsid w:val="004D654D"/>
    <w:rsid w:val="004D76C1"/>
    <w:rsid w:val="004D7C22"/>
    <w:rsid w:val="004E2269"/>
    <w:rsid w:val="004E3925"/>
    <w:rsid w:val="004E451A"/>
    <w:rsid w:val="004E61D8"/>
    <w:rsid w:val="004F3339"/>
    <w:rsid w:val="004F72A2"/>
    <w:rsid w:val="004F78E5"/>
    <w:rsid w:val="005026D4"/>
    <w:rsid w:val="00503A51"/>
    <w:rsid w:val="00506774"/>
    <w:rsid w:val="00512309"/>
    <w:rsid w:val="00514A0D"/>
    <w:rsid w:val="00525C03"/>
    <w:rsid w:val="00530EDC"/>
    <w:rsid w:val="005405D5"/>
    <w:rsid w:val="00541D54"/>
    <w:rsid w:val="00542522"/>
    <w:rsid w:val="00543472"/>
    <w:rsid w:val="0054526E"/>
    <w:rsid w:val="00545CE1"/>
    <w:rsid w:val="00546297"/>
    <w:rsid w:val="005476B5"/>
    <w:rsid w:val="0055496A"/>
    <w:rsid w:val="005549D7"/>
    <w:rsid w:val="005602DA"/>
    <w:rsid w:val="00562087"/>
    <w:rsid w:val="00564FF8"/>
    <w:rsid w:val="005678FC"/>
    <w:rsid w:val="0057138A"/>
    <w:rsid w:val="00573327"/>
    <w:rsid w:val="00577D9B"/>
    <w:rsid w:val="005879EE"/>
    <w:rsid w:val="005921A3"/>
    <w:rsid w:val="00592F64"/>
    <w:rsid w:val="005A3F63"/>
    <w:rsid w:val="005A59D0"/>
    <w:rsid w:val="005B073E"/>
    <w:rsid w:val="005B227F"/>
    <w:rsid w:val="005B7801"/>
    <w:rsid w:val="005B7D5C"/>
    <w:rsid w:val="005C1785"/>
    <w:rsid w:val="005C5891"/>
    <w:rsid w:val="005C641B"/>
    <w:rsid w:val="005D04CC"/>
    <w:rsid w:val="005D5FAE"/>
    <w:rsid w:val="005E4BC9"/>
    <w:rsid w:val="005F29B7"/>
    <w:rsid w:val="005F68B0"/>
    <w:rsid w:val="006025FE"/>
    <w:rsid w:val="00606EB5"/>
    <w:rsid w:val="00606FC8"/>
    <w:rsid w:val="00616C90"/>
    <w:rsid w:val="00617FDA"/>
    <w:rsid w:val="00620146"/>
    <w:rsid w:val="0062116F"/>
    <w:rsid w:val="00623FD7"/>
    <w:rsid w:val="00626087"/>
    <w:rsid w:val="00634E4C"/>
    <w:rsid w:val="00636B8B"/>
    <w:rsid w:val="00637D5B"/>
    <w:rsid w:val="00641EAA"/>
    <w:rsid w:val="006427FE"/>
    <w:rsid w:val="006506C1"/>
    <w:rsid w:val="00651203"/>
    <w:rsid w:val="00651398"/>
    <w:rsid w:val="00657459"/>
    <w:rsid w:val="0065747A"/>
    <w:rsid w:val="00662E28"/>
    <w:rsid w:val="00663820"/>
    <w:rsid w:val="0066674D"/>
    <w:rsid w:val="00666A78"/>
    <w:rsid w:val="00670B59"/>
    <w:rsid w:val="00676C12"/>
    <w:rsid w:val="00682A74"/>
    <w:rsid w:val="0069313F"/>
    <w:rsid w:val="0069375D"/>
    <w:rsid w:val="0069407C"/>
    <w:rsid w:val="0069574E"/>
    <w:rsid w:val="006969C0"/>
    <w:rsid w:val="006A1921"/>
    <w:rsid w:val="006A1B8B"/>
    <w:rsid w:val="006A2303"/>
    <w:rsid w:val="006A2C82"/>
    <w:rsid w:val="006A30FA"/>
    <w:rsid w:val="006A6B79"/>
    <w:rsid w:val="006A7C15"/>
    <w:rsid w:val="006C6ED5"/>
    <w:rsid w:val="006D2A45"/>
    <w:rsid w:val="006D315C"/>
    <w:rsid w:val="006D4B03"/>
    <w:rsid w:val="006D71B8"/>
    <w:rsid w:val="006E1313"/>
    <w:rsid w:val="006E14D0"/>
    <w:rsid w:val="006E3895"/>
    <w:rsid w:val="006E4272"/>
    <w:rsid w:val="006F145A"/>
    <w:rsid w:val="006F27CB"/>
    <w:rsid w:val="006F359B"/>
    <w:rsid w:val="006F3774"/>
    <w:rsid w:val="006F4962"/>
    <w:rsid w:val="006F5865"/>
    <w:rsid w:val="00701EC6"/>
    <w:rsid w:val="00706179"/>
    <w:rsid w:val="007118A4"/>
    <w:rsid w:val="007123E7"/>
    <w:rsid w:val="00714F78"/>
    <w:rsid w:val="007152B0"/>
    <w:rsid w:val="007170F7"/>
    <w:rsid w:val="00717589"/>
    <w:rsid w:val="00722F9F"/>
    <w:rsid w:val="007253B8"/>
    <w:rsid w:val="00736E7D"/>
    <w:rsid w:val="007509A6"/>
    <w:rsid w:val="00753F83"/>
    <w:rsid w:val="007541B0"/>
    <w:rsid w:val="0075469B"/>
    <w:rsid w:val="00755163"/>
    <w:rsid w:val="007563DC"/>
    <w:rsid w:val="00756AAB"/>
    <w:rsid w:val="007571A4"/>
    <w:rsid w:val="00757385"/>
    <w:rsid w:val="00757F63"/>
    <w:rsid w:val="00761B3A"/>
    <w:rsid w:val="007645AE"/>
    <w:rsid w:val="00764992"/>
    <w:rsid w:val="00765749"/>
    <w:rsid w:val="00770FF9"/>
    <w:rsid w:val="007731C3"/>
    <w:rsid w:val="0077507F"/>
    <w:rsid w:val="00775583"/>
    <w:rsid w:val="00775AA0"/>
    <w:rsid w:val="007770FA"/>
    <w:rsid w:val="00791738"/>
    <w:rsid w:val="00791780"/>
    <w:rsid w:val="00792D37"/>
    <w:rsid w:val="0079398C"/>
    <w:rsid w:val="007A012F"/>
    <w:rsid w:val="007A0EB7"/>
    <w:rsid w:val="007B2045"/>
    <w:rsid w:val="007B2C90"/>
    <w:rsid w:val="007B6871"/>
    <w:rsid w:val="007B7899"/>
    <w:rsid w:val="007C08B1"/>
    <w:rsid w:val="007C2CC2"/>
    <w:rsid w:val="007C38BD"/>
    <w:rsid w:val="007C3E07"/>
    <w:rsid w:val="007C79AA"/>
    <w:rsid w:val="007D31DA"/>
    <w:rsid w:val="007D72C5"/>
    <w:rsid w:val="007E0931"/>
    <w:rsid w:val="007E1D1C"/>
    <w:rsid w:val="007E525D"/>
    <w:rsid w:val="007F0323"/>
    <w:rsid w:val="007F379E"/>
    <w:rsid w:val="007F471C"/>
    <w:rsid w:val="007F67B3"/>
    <w:rsid w:val="00800C90"/>
    <w:rsid w:val="008125F8"/>
    <w:rsid w:val="008208A8"/>
    <w:rsid w:val="00826012"/>
    <w:rsid w:val="008310D2"/>
    <w:rsid w:val="00834CE0"/>
    <w:rsid w:val="00835251"/>
    <w:rsid w:val="0084110F"/>
    <w:rsid w:val="0084459A"/>
    <w:rsid w:val="00844B1D"/>
    <w:rsid w:val="00844F5C"/>
    <w:rsid w:val="00845843"/>
    <w:rsid w:val="00846D34"/>
    <w:rsid w:val="0084758E"/>
    <w:rsid w:val="0085230C"/>
    <w:rsid w:val="008567D0"/>
    <w:rsid w:val="00863020"/>
    <w:rsid w:val="008633B5"/>
    <w:rsid w:val="008637EC"/>
    <w:rsid w:val="0086477E"/>
    <w:rsid w:val="00870BC6"/>
    <w:rsid w:val="00871D63"/>
    <w:rsid w:val="00873384"/>
    <w:rsid w:val="00875DAD"/>
    <w:rsid w:val="008770F5"/>
    <w:rsid w:val="00877B84"/>
    <w:rsid w:val="00877E5F"/>
    <w:rsid w:val="0088036D"/>
    <w:rsid w:val="00881155"/>
    <w:rsid w:val="00882892"/>
    <w:rsid w:val="00885A14"/>
    <w:rsid w:val="0088689B"/>
    <w:rsid w:val="00890FA0"/>
    <w:rsid w:val="00891CFA"/>
    <w:rsid w:val="008947BF"/>
    <w:rsid w:val="008A0CBE"/>
    <w:rsid w:val="008A1CA8"/>
    <w:rsid w:val="008A214D"/>
    <w:rsid w:val="008A5ADC"/>
    <w:rsid w:val="008A5CB6"/>
    <w:rsid w:val="008A6F4A"/>
    <w:rsid w:val="008A72D2"/>
    <w:rsid w:val="008A74A3"/>
    <w:rsid w:val="008B6868"/>
    <w:rsid w:val="008B6D24"/>
    <w:rsid w:val="008C0C13"/>
    <w:rsid w:val="008C2378"/>
    <w:rsid w:val="008C28F4"/>
    <w:rsid w:val="008C34F7"/>
    <w:rsid w:val="008C6A43"/>
    <w:rsid w:val="008C7354"/>
    <w:rsid w:val="008D080C"/>
    <w:rsid w:val="008D1867"/>
    <w:rsid w:val="008D6437"/>
    <w:rsid w:val="008D6EDF"/>
    <w:rsid w:val="008E3EF5"/>
    <w:rsid w:val="008E712A"/>
    <w:rsid w:val="008F33B5"/>
    <w:rsid w:val="00901414"/>
    <w:rsid w:val="00901735"/>
    <w:rsid w:val="00901D54"/>
    <w:rsid w:val="00906799"/>
    <w:rsid w:val="00907BC4"/>
    <w:rsid w:val="00910CB0"/>
    <w:rsid w:val="009136D0"/>
    <w:rsid w:val="00921B57"/>
    <w:rsid w:val="00922193"/>
    <w:rsid w:val="00922C7C"/>
    <w:rsid w:val="00923828"/>
    <w:rsid w:val="00924152"/>
    <w:rsid w:val="0092753B"/>
    <w:rsid w:val="00930C5D"/>
    <w:rsid w:val="0093194D"/>
    <w:rsid w:val="00934C3F"/>
    <w:rsid w:val="009417AE"/>
    <w:rsid w:val="009436D9"/>
    <w:rsid w:val="00945B3F"/>
    <w:rsid w:val="00950DCB"/>
    <w:rsid w:val="00952D47"/>
    <w:rsid w:val="00952D4C"/>
    <w:rsid w:val="00955091"/>
    <w:rsid w:val="0095532C"/>
    <w:rsid w:val="00960246"/>
    <w:rsid w:val="00970611"/>
    <w:rsid w:val="009720E1"/>
    <w:rsid w:val="00973620"/>
    <w:rsid w:val="0097366D"/>
    <w:rsid w:val="00973A93"/>
    <w:rsid w:val="00974F0E"/>
    <w:rsid w:val="00975CD7"/>
    <w:rsid w:val="009800DF"/>
    <w:rsid w:val="00980CA1"/>
    <w:rsid w:val="00985E70"/>
    <w:rsid w:val="0098783B"/>
    <w:rsid w:val="00993C2B"/>
    <w:rsid w:val="00996086"/>
    <w:rsid w:val="009979F4"/>
    <w:rsid w:val="009A246D"/>
    <w:rsid w:val="009A45B2"/>
    <w:rsid w:val="009A5585"/>
    <w:rsid w:val="009A59D5"/>
    <w:rsid w:val="009A7925"/>
    <w:rsid w:val="009B161B"/>
    <w:rsid w:val="009B2CB7"/>
    <w:rsid w:val="009B64A1"/>
    <w:rsid w:val="009C1AAB"/>
    <w:rsid w:val="009C2198"/>
    <w:rsid w:val="009D2DDD"/>
    <w:rsid w:val="009D5574"/>
    <w:rsid w:val="009D6B58"/>
    <w:rsid w:val="009E0C10"/>
    <w:rsid w:val="009E4116"/>
    <w:rsid w:val="009E529F"/>
    <w:rsid w:val="009F4D76"/>
    <w:rsid w:val="00A10DA6"/>
    <w:rsid w:val="00A13EBA"/>
    <w:rsid w:val="00A13EFE"/>
    <w:rsid w:val="00A151E9"/>
    <w:rsid w:val="00A1599B"/>
    <w:rsid w:val="00A15DBB"/>
    <w:rsid w:val="00A259F2"/>
    <w:rsid w:val="00A25E0D"/>
    <w:rsid w:val="00A2758A"/>
    <w:rsid w:val="00A3147C"/>
    <w:rsid w:val="00A33802"/>
    <w:rsid w:val="00A34ADD"/>
    <w:rsid w:val="00A37162"/>
    <w:rsid w:val="00A37E51"/>
    <w:rsid w:val="00A50B51"/>
    <w:rsid w:val="00A51E2D"/>
    <w:rsid w:val="00A5319F"/>
    <w:rsid w:val="00A533A9"/>
    <w:rsid w:val="00A53690"/>
    <w:rsid w:val="00A5530D"/>
    <w:rsid w:val="00A62D31"/>
    <w:rsid w:val="00A63380"/>
    <w:rsid w:val="00A8129D"/>
    <w:rsid w:val="00A82188"/>
    <w:rsid w:val="00A865C7"/>
    <w:rsid w:val="00A909CC"/>
    <w:rsid w:val="00A964A5"/>
    <w:rsid w:val="00A96FAA"/>
    <w:rsid w:val="00A97E3B"/>
    <w:rsid w:val="00AA00CB"/>
    <w:rsid w:val="00AA0976"/>
    <w:rsid w:val="00AA20A1"/>
    <w:rsid w:val="00AA41F2"/>
    <w:rsid w:val="00AA5D65"/>
    <w:rsid w:val="00AB039E"/>
    <w:rsid w:val="00AB1362"/>
    <w:rsid w:val="00AB4206"/>
    <w:rsid w:val="00AC58EC"/>
    <w:rsid w:val="00AC6B54"/>
    <w:rsid w:val="00AC7E54"/>
    <w:rsid w:val="00AD57F5"/>
    <w:rsid w:val="00AD72D9"/>
    <w:rsid w:val="00AE2D9A"/>
    <w:rsid w:val="00AE6A4E"/>
    <w:rsid w:val="00AE7B98"/>
    <w:rsid w:val="00AF129F"/>
    <w:rsid w:val="00AF2A72"/>
    <w:rsid w:val="00B06E21"/>
    <w:rsid w:val="00B12DC9"/>
    <w:rsid w:val="00B13F84"/>
    <w:rsid w:val="00B14604"/>
    <w:rsid w:val="00B15ABA"/>
    <w:rsid w:val="00B20FA0"/>
    <w:rsid w:val="00B24DD4"/>
    <w:rsid w:val="00B25E6E"/>
    <w:rsid w:val="00B34339"/>
    <w:rsid w:val="00B40434"/>
    <w:rsid w:val="00B40B7D"/>
    <w:rsid w:val="00B410A1"/>
    <w:rsid w:val="00B42B2F"/>
    <w:rsid w:val="00B44900"/>
    <w:rsid w:val="00B467F6"/>
    <w:rsid w:val="00B472E1"/>
    <w:rsid w:val="00B50C5D"/>
    <w:rsid w:val="00B52821"/>
    <w:rsid w:val="00B52DD7"/>
    <w:rsid w:val="00B56C63"/>
    <w:rsid w:val="00B62B72"/>
    <w:rsid w:val="00B6576F"/>
    <w:rsid w:val="00B664C7"/>
    <w:rsid w:val="00B670E9"/>
    <w:rsid w:val="00B71170"/>
    <w:rsid w:val="00B7401A"/>
    <w:rsid w:val="00B80BCE"/>
    <w:rsid w:val="00B81524"/>
    <w:rsid w:val="00B81740"/>
    <w:rsid w:val="00B82C13"/>
    <w:rsid w:val="00B83542"/>
    <w:rsid w:val="00B85D7B"/>
    <w:rsid w:val="00B87787"/>
    <w:rsid w:val="00B900EA"/>
    <w:rsid w:val="00B91069"/>
    <w:rsid w:val="00B92842"/>
    <w:rsid w:val="00BA2713"/>
    <w:rsid w:val="00BA2941"/>
    <w:rsid w:val="00BA4C61"/>
    <w:rsid w:val="00BA627A"/>
    <w:rsid w:val="00BB22FA"/>
    <w:rsid w:val="00BC1E70"/>
    <w:rsid w:val="00BC5B68"/>
    <w:rsid w:val="00BD12A1"/>
    <w:rsid w:val="00BD1D09"/>
    <w:rsid w:val="00BD2241"/>
    <w:rsid w:val="00BD64ED"/>
    <w:rsid w:val="00BD7B83"/>
    <w:rsid w:val="00BE625B"/>
    <w:rsid w:val="00BE6E76"/>
    <w:rsid w:val="00BF17C6"/>
    <w:rsid w:val="00BF6F09"/>
    <w:rsid w:val="00C00FDA"/>
    <w:rsid w:val="00C02EB9"/>
    <w:rsid w:val="00C0373C"/>
    <w:rsid w:val="00C04E4B"/>
    <w:rsid w:val="00C0599B"/>
    <w:rsid w:val="00C06938"/>
    <w:rsid w:val="00C114C6"/>
    <w:rsid w:val="00C11531"/>
    <w:rsid w:val="00C11B56"/>
    <w:rsid w:val="00C13324"/>
    <w:rsid w:val="00C14C04"/>
    <w:rsid w:val="00C1529E"/>
    <w:rsid w:val="00C16045"/>
    <w:rsid w:val="00C16226"/>
    <w:rsid w:val="00C21E27"/>
    <w:rsid w:val="00C2332A"/>
    <w:rsid w:val="00C24C8E"/>
    <w:rsid w:val="00C418B8"/>
    <w:rsid w:val="00C42EA5"/>
    <w:rsid w:val="00C44059"/>
    <w:rsid w:val="00C62BF5"/>
    <w:rsid w:val="00C636DA"/>
    <w:rsid w:val="00C67E22"/>
    <w:rsid w:val="00C72271"/>
    <w:rsid w:val="00C72A17"/>
    <w:rsid w:val="00C77DCA"/>
    <w:rsid w:val="00C811DC"/>
    <w:rsid w:val="00C81356"/>
    <w:rsid w:val="00C813CD"/>
    <w:rsid w:val="00C858D9"/>
    <w:rsid w:val="00C86949"/>
    <w:rsid w:val="00C86A64"/>
    <w:rsid w:val="00C87DA0"/>
    <w:rsid w:val="00C93C0F"/>
    <w:rsid w:val="00C94C9C"/>
    <w:rsid w:val="00CA4E4D"/>
    <w:rsid w:val="00CA6FF9"/>
    <w:rsid w:val="00CA73DA"/>
    <w:rsid w:val="00CB0335"/>
    <w:rsid w:val="00CB2E3D"/>
    <w:rsid w:val="00CB4238"/>
    <w:rsid w:val="00CB5938"/>
    <w:rsid w:val="00CB5B27"/>
    <w:rsid w:val="00CC13F5"/>
    <w:rsid w:val="00CC1A64"/>
    <w:rsid w:val="00CC26F0"/>
    <w:rsid w:val="00CC2EB3"/>
    <w:rsid w:val="00CC30A1"/>
    <w:rsid w:val="00CC34EB"/>
    <w:rsid w:val="00CC4C58"/>
    <w:rsid w:val="00CC64C8"/>
    <w:rsid w:val="00CC66EA"/>
    <w:rsid w:val="00CD1253"/>
    <w:rsid w:val="00CD3C17"/>
    <w:rsid w:val="00CD653C"/>
    <w:rsid w:val="00CD71DF"/>
    <w:rsid w:val="00CE1F9C"/>
    <w:rsid w:val="00CE2E48"/>
    <w:rsid w:val="00CE5657"/>
    <w:rsid w:val="00CF0184"/>
    <w:rsid w:val="00CF2D79"/>
    <w:rsid w:val="00CF4514"/>
    <w:rsid w:val="00CF55F6"/>
    <w:rsid w:val="00CF59E0"/>
    <w:rsid w:val="00CF6672"/>
    <w:rsid w:val="00D021F7"/>
    <w:rsid w:val="00D069C7"/>
    <w:rsid w:val="00D078A2"/>
    <w:rsid w:val="00D168CB"/>
    <w:rsid w:val="00D21123"/>
    <w:rsid w:val="00D247A2"/>
    <w:rsid w:val="00D26BB7"/>
    <w:rsid w:val="00D30B57"/>
    <w:rsid w:val="00D30BF8"/>
    <w:rsid w:val="00D367EB"/>
    <w:rsid w:val="00D36C91"/>
    <w:rsid w:val="00D41871"/>
    <w:rsid w:val="00D45954"/>
    <w:rsid w:val="00D461C2"/>
    <w:rsid w:val="00D5162F"/>
    <w:rsid w:val="00D575EC"/>
    <w:rsid w:val="00D615C7"/>
    <w:rsid w:val="00D61AAE"/>
    <w:rsid w:val="00D62602"/>
    <w:rsid w:val="00D64CB8"/>
    <w:rsid w:val="00D70E18"/>
    <w:rsid w:val="00D720AE"/>
    <w:rsid w:val="00D72FD8"/>
    <w:rsid w:val="00D86B19"/>
    <w:rsid w:val="00D92A45"/>
    <w:rsid w:val="00D966DF"/>
    <w:rsid w:val="00D96821"/>
    <w:rsid w:val="00D9697A"/>
    <w:rsid w:val="00D979E0"/>
    <w:rsid w:val="00DA2B14"/>
    <w:rsid w:val="00DA3023"/>
    <w:rsid w:val="00DA4C48"/>
    <w:rsid w:val="00DA727D"/>
    <w:rsid w:val="00DA7B27"/>
    <w:rsid w:val="00DB53A7"/>
    <w:rsid w:val="00DC23FC"/>
    <w:rsid w:val="00DD170F"/>
    <w:rsid w:val="00DD290B"/>
    <w:rsid w:val="00DD2971"/>
    <w:rsid w:val="00DE0A8A"/>
    <w:rsid w:val="00DE1106"/>
    <w:rsid w:val="00DE1D50"/>
    <w:rsid w:val="00DE23EE"/>
    <w:rsid w:val="00DE3E69"/>
    <w:rsid w:val="00DF2F12"/>
    <w:rsid w:val="00DF2F8B"/>
    <w:rsid w:val="00DF60D8"/>
    <w:rsid w:val="00DF6837"/>
    <w:rsid w:val="00DF68E4"/>
    <w:rsid w:val="00DF6E54"/>
    <w:rsid w:val="00E04228"/>
    <w:rsid w:val="00E04457"/>
    <w:rsid w:val="00E04BBC"/>
    <w:rsid w:val="00E05792"/>
    <w:rsid w:val="00E10450"/>
    <w:rsid w:val="00E1478E"/>
    <w:rsid w:val="00E159D7"/>
    <w:rsid w:val="00E213AB"/>
    <w:rsid w:val="00E21653"/>
    <w:rsid w:val="00E21C9B"/>
    <w:rsid w:val="00E22FD8"/>
    <w:rsid w:val="00E2414E"/>
    <w:rsid w:val="00E25E14"/>
    <w:rsid w:val="00E26830"/>
    <w:rsid w:val="00E26FAF"/>
    <w:rsid w:val="00E27997"/>
    <w:rsid w:val="00E3031F"/>
    <w:rsid w:val="00E40B36"/>
    <w:rsid w:val="00E45E54"/>
    <w:rsid w:val="00E47E11"/>
    <w:rsid w:val="00E51672"/>
    <w:rsid w:val="00E51C2C"/>
    <w:rsid w:val="00E522FC"/>
    <w:rsid w:val="00E55EE5"/>
    <w:rsid w:val="00E61784"/>
    <w:rsid w:val="00E625B3"/>
    <w:rsid w:val="00E63EB9"/>
    <w:rsid w:val="00E64254"/>
    <w:rsid w:val="00E64743"/>
    <w:rsid w:val="00E720D6"/>
    <w:rsid w:val="00E7257D"/>
    <w:rsid w:val="00E728CB"/>
    <w:rsid w:val="00E7336F"/>
    <w:rsid w:val="00E74F3B"/>
    <w:rsid w:val="00E7618C"/>
    <w:rsid w:val="00E76262"/>
    <w:rsid w:val="00E8101E"/>
    <w:rsid w:val="00E84A6B"/>
    <w:rsid w:val="00E92385"/>
    <w:rsid w:val="00E93F74"/>
    <w:rsid w:val="00E96DEA"/>
    <w:rsid w:val="00E97CBA"/>
    <w:rsid w:val="00EA1585"/>
    <w:rsid w:val="00EA48AE"/>
    <w:rsid w:val="00EA6614"/>
    <w:rsid w:val="00EB09E2"/>
    <w:rsid w:val="00EB74A5"/>
    <w:rsid w:val="00EC67E3"/>
    <w:rsid w:val="00ED151C"/>
    <w:rsid w:val="00ED4C82"/>
    <w:rsid w:val="00EE0126"/>
    <w:rsid w:val="00EE0C89"/>
    <w:rsid w:val="00EE47FE"/>
    <w:rsid w:val="00EE50C6"/>
    <w:rsid w:val="00EE5D41"/>
    <w:rsid w:val="00EE766D"/>
    <w:rsid w:val="00EF2A15"/>
    <w:rsid w:val="00EF32FA"/>
    <w:rsid w:val="00EF5210"/>
    <w:rsid w:val="00EF5BFD"/>
    <w:rsid w:val="00EF7B33"/>
    <w:rsid w:val="00F00470"/>
    <w:rsid w:val="00F01C6F"/>
    <w:rsid w:val="00F0509B"/>
    <w:rsid w:val="00F06B06"/>
    <w:rsid w:val="00F06EE2"/>
    <w:rsid w:val="00F074DC"/>
    <w:rsid w:val="00F15632"/>
    <w:rsid w:val="00F17535"/>
    <w:rsid w:val="00F20949"/>
    <w:rsid w:val="00F24F8F"/>
    <w:rsid w:val="00F303B2"/>
    <w:rsid w:val="00F307E0"/>
    <w:rsid w:val="00F34D63"/>
    <w:rsid w:val="00F46414"/>
    <w:rsid w:val="00F51029"/>
    <w:rsid w:val="00F575BB"/>
    <w:rsid w:val="00F57F7A"/>
    <w:rsid w:val="00F62D33"/>
    <w:rsid w:val="00F6301C"/>
    <w:rsid w:val="00F64AB3"/>
    <w:rsid w:val="00F655AA"/>
    <w:rsid w:val="00F6570B"/>
    <w:rsid w:val="00F66681"/>
    <w:rsid w:val="00F67615"/>
    <w:rsid w:val="00F76C98"/>
    <w:rsid w:val="00F804CD"/>
    <w:rsid w:val="00F80750"/>
    <w:rsid w:val="00F826F6"/>
    <w:rsid w:val="00F85F59"/>
    <w:rsid w:val="00F86538"/>
    <w:rsid w:val="00F86717"/>
    <w:rsid w:val="00F8691F"/>
    <w:rsid w:val="00F86DD4"/>
    <w:rsid w:val="00F91B27"/>
    <w:rsid w:val="00F93C5F"/>
    <w:rsid w:val="00F97C7A"/>
    <w:rsid w:val="00FA0F7D"/>
    <w:rsid w:val="00FA2909"/>
    <w:rsid w:val="00FA3CEC"/>
    <w:rsid w:val="00FA45D7"/>
    <w:rsid w:val="00FB4CF2"/>
    <w:rsid w:val="00FB77F8"/>
    <w:rsid w:val="00FB7F62"/>
    <w:rsid w:val="00FC071B"/>
    <w:rsid w:val="00FC19FF"/>
    <w:rsid w:val="00FC4845"/>
    <w:rsid w:val="00FC6B03"/>
    <w:rsid w:val="00FD06D5"/>
    <w:rsid w:val="00FD28FF"/>
    <w:rsid w:val="00FD68A1"/>
    <w:rsid w:val="00FE0985"/>
    <w:rsid w:val="00FE1901"/>
    <w:rsid w:val="00FE419E"/>
    <w:rsid w:val="00FF1227"/>
    <w:rsid w:val="00FF2484"/>
    <w:rsid w:val="00FF4201"/>
    <w:rsid w:val="0D183702"/>
    <w:rsid w:val="0DF334D1"/>
    <w:rsid w:val="3E34D84F"/>
    <w:rsid w:val="40ABA7ED"/>
    <w:rsid w:val="5594D833"/>
    <w:rsid w:val="640DB645"/>
    <w:rsid w:val="7173600B"/>
    <w:rsid w:val="798EF826"/>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3968DD4A"/>
  <w15:chartTrackingRefBased/>
  <w15:docId w15:val="{F2F67522-6D66-450A-9094-3EA41D331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sz w:val="22"/>
        <w:szCs w:val="22"/>
        <w:lang w:val="en-AU" w:eastAsia="en-US" w:bidi="ar-SA"/>
      </w:rPr>
    </w:rPrDefault>
    <w:pPrDefault>
      <w:pPr>
        <w:spacing w:after="240"/>
        <w:jc w:val="both"/>
      </w:pPr>
    </w:pPrDefault>
  </w:docDefaults>
  <w:latentStyles w:defLockedState="1" w:defUIPriority="99" w:defSemiHidden="0" w:defUnhideWhenUsed="0" w:defQFormat="0" w:count="376">
    <w:lsdException w:name="Normal" w:locked="0" w:uiPriority="0" w:qFormat="1"/>
    <w:lsdException w:name="heading 1" w:uiPriority="5"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iPriority="17" w:unhideWhenUsed="1" w:qFormat="1"/>
    <w:lsdException w:name="List Bullet" w:unhideWhenUsed="1" w:qFormat="1"/>
    <w:lsdException w:name="List Number" w:qFormat="1"/>
    <w:lsdException w:name="List 2" w:semiHidden="1" w:uiPriority="17" w:unhideWhenUsed="1" w:qFormat="1"/>
    <w:lsdException w:name="List 3" w:semiHidden="1" w:uiPriority="17"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nhideWhenUsed="1" w:qFormat="1"/>
    <w:lsdException w:name="List Number 3" w:unhideWhenUsed="1" w:qFormat="1"/>
    <w:lsdException w:name="List Number 4"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qFormat/>
    <w:rsid w:val="004D76C1"/>
    <w:pPr>
      <w:numPr>
        <w:numId w:val="5"/>
      </w:numPr>
    </w:pPr>
  </w:style>
  <w:style w:type="paragraph" w:styleId="Heading1">
    <w:name w:val="heading 1"/>
    <w:basedOn w:val="Normal"/>
    <w:next w:val="Normal"/>
    <w:link w:val="Heading1Char"/>
    <w:uiPriority w:val="5"/>
    <w:qFormat/>
    <w:rsid w:val="00004ED1"/>
    <w:pPr>
      <w:keepNext/>
      <w:keepLines/>
      <w:numPr>
        <w:numId w:val="0"/>
      </w:numPr>
      <w:spacing w:before="360"/>
      <w:outlineLvl w:val="0"/>
    </w:pPr>
    <w:rPr>
      <w:rFonts w:asciiTheme="majorHAnsi" w:eastAsiaTheme="majorEastAsia" w:hAnsiTheme="majorHAnsi" w:cstheme="majorBidi"/>
      <w:b/>
      <w:bCs/>
      <w:color w:val="000000" w:themeColor="text1"/>
      <w:sz w:val="32"/>
      <w:szCs w:val="28"/>
    </w:rPr>
  </w:style>
  <w:style w:type="paragraph" w:styleId="Heading2">
    <w:name w:val="heading 2"/>
    <w:basedOn w:val="Normal"/>
    <w:next w:val="Normal"/>
    <w:link w:val="Heading2Char"/>
    <w:uiPriority w:val="9"/>
    <w:qFormat/>
    <w:rsid w:val="00004ED1"/>
    <w:pPr>
      <w:keepNext/>
      <w:keepLines/>
      <w:numPr>
        <w:numId w:val="0"/>
      </w:numPr>
      <w:spacing w:before="360"/>
      <w:outlineLvl w:val="1"/>
    </w:pPr>
    <w:rPr>
      <w:rFonts w:asciiTheme="majorHAnsi" w:eastAsiaTheme="majorEastAsia" w:hAnsiTheme="majorHAnsi" w:cstheme="majorBidi"/>
      <w:b/>
      <w:bCs/>
      <w:i/>
      <w:color w:val="000000" w:themeColor="text1"/>
      <w:sz w:val="28"/>
      <w:szCs w:val="26"/>
    </w:rPr>
  </w:style>
  <w:style w:type="paragraph" w:styleId="Heading3">
    <w:name w:val="heading 3"/>
    <w:basedOn w:val="Normal"/>
    <w:next w:val="Normal"/>
    <w:link w:val="Heading3Char"/>
    <w:uiPriority w:val="9"/>
    <w:qFormat/>
    <w:rsid w:val="009E529F"/>
    <w:pPr>
      <w:keepNext/>
      <w:keepLines/>
      <w:numPr>
        <w:numId w:val="0"/>
      </w:numPr>
      <w:spacing w:before="240" w:after="12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qFormat/>
    <w:rsid w:val="005D04CC"/>
    <w:pPr>
      <w:keepNext/>
      <w:keepLines/>
      <w:numPr>
        <w:numId w:val="0"/>
      </w:numPr>
      <w:spacing w:before="240" w:after="12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qFormat/>
    <w:rsid w:val="009E529F"/>
    <w:pPr>
      <w:keepNext/>
      <w:keepLines/>
      <w:numPr>
        <w:numId w:val="0"/>
      </w:numPr>
      <w:spacing w:before="240" w:after="12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qFormat/>
    <w:rsid w:val="00E522FC"/>
    <w:pPr>
      <w:keepNext/>
      <w:keepLines/>
      <w:numPr>
        <w:numId w:val="0"/>
      </w:numPr>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qFormat/>
    <w:rsid w:val="00B56C63"/>
    <w:pPr>
      <w:keepNext/>
      <w:keepLines/>
      <w:numPr>
        <w:numId w:val="0"/>
      </w:numPr>
      <w:spacing w:before="240" w:after="12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B56C63"/>
    <w:pPr>
      <w:keepNext/>
      <w:keepLines/>
      <w:numPr>
        <w:numId w:val="0"/>
      </w:numPr>
      <w:spacing w:before="240" w:after="120"/>
      <w:outlineLvl w:val="7"/>
    </w:pPr>
    <w:rPr>
      <w:rFonts w:asciiTheme="majorHAnsi" w:eastAsiaTheme="majorEastAsia" w:hAnsiTheme="majorHAnsi" w:cstheme="majorBidi"/>
      <w:i/>
      <w:color w:val="000000" w:themeColor="text1"/>
    </w:rPr>
  </w:style>
  <w:style w:type="paragraph" w:styleId="Heading9">
    <w:name w:val="heading 9"/>
    <w:basedOn w:val="Normal"/>
    <w:next w:val="Normal"/>
    <w:link w:val="Heading9Char"/>
    <w:uiPriority w:val="9"/>
    <w:semiHidden/>
    <w:qFormat/>
    <w:rsid w:val="00B56C63"/>
    <w:pPr>
      <w:keepNext/>
      <w:keepLines/>
      <w:numPr>
        <w:numId w:val="0"/>
      </w:numPr>
      <w:spacing w:before="240" w:after="120"/>
      <w:outlineLvl w:val="8"/>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
    <w:rsid w:val="00004ED1"/>
    <w:rPr>
      <w:rFonts w:asciiTheme="majorHAnsi" w:eastAsiaTheme="majorEastAsia" w:hAnsiTheme="majorHAnsi" w:cstheme="majorBidi"/>
      <w:b/>
      <w:bCs/>
      <w:color w:val="000000" w:themeColor="text1"/>
      <w:sz w:val="32"/>
      <w:szCs w:val="28"/>
    </w:rPr>
  </w:style>
  <w:style w:type="character" w:customStyle="1" w:styleId="Heading2Char">
    <w:name w:val="Heading 2 Char"/>
    <w:basedOn w:val="DefaultParagraphFont"/>
    <w:link w:val="Heading2"/>
    <w:uiPriority w:val="9"/>
    <w:rsid w:val="00004ED1"/>
    <w:rPr>
      <w:rFonts w:asciiTheme="majorHAnsi" w:eastAsiaTheme="majorEastAsia" w:hAnsiTheme="majorHAnsi" w:cstheme="majorBidi"/>
      <w:b/>
      <w:bCs/>
      <w:i/>
      <w:color w:val="000000" w:themeColor="text1"/>
      <w:sz w:val="28"/>
      <w:szCs w:val="26"/>
    </w:rPr>
  </w:style>
  <w:style w:type="character" w:customStyle="1" w:styleId="Heading3Char">
    <w:name w:val="Heading 3 Char"/>
    <w:basedOn w:val="DefaultParagraphFont"/>
    <w:link w:val="Heading3"/>
    <w:uiPriority w:val="9"/>
    <w:rsid w:val="009E529F"/>
    <w:rPr>
      <w:rFonts w:asciiTheme="majorHAnsi" w:eastAsiaTheme="majorEastAsia" w:hAnsiTheme="majorHAnsi" w:cstheme="majorBidi"/>
      <w:b/>
      <w:bCs/>
      <w:color w:val="000000" w:themeColor="text1"/>
      <w:sz w:val="24"/>
    </w:rPr>
  </w:style>
  <w:style w:type="paragraph" w:customStyle="1" w:styleId="CoverSubtitle">
    <w:name w:val="Cover Subtitle"/>
    <w:basedOn w:val="Normal"/>
    <w:next w:val="Normal"/>
    <w:uiPriority w:val="21"/>
    <w:semiHidden/>
    <w:locked/>
    <w:rsid w:val="00072B30"/>
    <w:pPr>
      <w:numPr>
        <w:numId w:val="0"/>
      </w:numPr>
      <w:spacing w:after="0"/>
    </w:pPr>
    <w:rPr>
      <w:rFonts w:asciiTheme="majorHAnsi" w:hAnsiTheme="majorHAnsi"/>
      <w:b/>
      <w:color w:val="000000" w:themeColor="text1"/>
      <w:sz w:val="48"/>
    </w:rPr>
  </w:style>
  <w:style w:type="paragraph" w:customStyle="1" w:styleId="SubHeadingNoTOC">
    <w:name w:val="Sub Heading (No TOC)"/>
    <w:basedOn w:val="Normal"/>
    <w:next w:val="Normal"/>
    <w:uiPriority w:val="9"/>
    <w:qFormat/>
    <w:rsid w:val="00F64AB3"/>
    <w:pPr>
      <w:keepNext/>
      <w:keepLines/>
      <w:numPr>
        <w:numId w:val="0"/>
      </w:numPr>
      <w:spacing w:before="240" w:after="120"/>
    </w:pPr>
    <w:rPr>
      <w:b/>
      <w:color w:val="000000" w:themeColor="text1"/>
    </w:rPr>
  </w:style>
  <w:style w:type="character" w:customStyle="1" w:styleId="Heading4Char">
    <w:name w:val="Heading 4 Char"/>
    <w:basedOn w:val="DefaultParagraphFont"/>
    <w:link w:val="Heading4"/>
    <w:uiPriority w:val="9"/>
    <w:rsid w:val="005D04CC"/>
    <w:rPr>
      <w:rFonts w:asciiTheme="majorHAnsi" w:eastAsiaTheme="majorEastAsia" w:hAnsiTheme="majorHAnsi" w:cstheme="majorBidi"/>
      <w:b/>
      <w:bCs/>
      <w:i/>
      <w:iCs/>
      <w:color w:val="000000" w:themeColor="text1"/>
    </w:rPr>
  </w:style>
  <w:style w:type="paragraph" w:styleId="ListBullet">
    <w:name w:val="List Bullet"/>
    <w:basedOn w:val="Normal"/>
    <w:uiPriority w:val="13"/>
    <w:qFormat/>
    <w:rsid w:val="00641EAA"/>
    <w:pPr>
      <w:numPr>
        <w:numId w:val="8"/>
      </w:numPr>
    </w:pPr>
  </w:style>
  <w:style w:type="paragraph" w:styleId="ListBullet2">
    <w:name w:val="List Bullet 2"/>
    <w:basedOn w:val="ListBullet"/>
    <w:uiPriority w:val="13"/>
    <w:qFormat/>
    <w:rsid w:val="00641EAA"/>
    <w:pPr>
      <w:numPr>
        <w:ilvl w:val="1"/>
      </w:numPr>
    </w:pPr>
  </w:style>
  <w:style w:type="paragraph" w:styleId="ListNumber">
    <w:name w:val="List Number"/>
    <w:basedOn w:val="Normal"/>
    <w:uiPriority w:val="15"/>
    <w:qFormat/>
    <w:rsid w:val="00662E28"/>
    <w:pPr>
      <w:numPr>
        <w:numId w:val="11"/>
      </w:numPr>
    </w:pPr>
  </w:style>
  <w:style w:type="paragraph" w:styleId="ListNumber2">
    <w:name w:val="List Number 2"/>
    <w:basedOn w:val="Normal"/>
    <w:uiPriority w:val="16"/>
    <w:qFormat/>
    <w:rsid w:val="00662E28"/>
    <w:pPr>
      <w:numPr>
        <w:ilvl w:val="1"/>
        <w:numId w:val="11"/>
      </w:numPr>
    </w:pPr>
  </w:style>
  <w:style w:type="numbering" w:customStyle="1" w:styleId="HeadingList">
    <w:name w:val="Heading List"/>
    <w:uiPriority w:val="99"/>
    <w:rsid w:val="001241CB"/>
    <w:pPr>
      <w:numPr>
        <w:numId w:val="6"/>
      </w:numPr>
    </w:pPr>
  </w:style>
  <w:style w:type="paragraph" w:styleId="ListNumber3">
    <w:name w:val="List Number 3"/>
    <w:basedOn w:val="Normal"/>
    <w:uiPriority w:val="16"/>
    <w:qFormat/>
    <w:rsid w:val="00662E28"/>
    <w:pPr>
      <w:numPr>
        <w:ilvl w:val="2"/>
        <w:numId w:val="11"/>
      </w:numPr>
    </w:pPr>
  </w:style>
  <w:style w:type="paragraph" w:styleId="Title">
    <w:name w:val="Title"/>
    <w:basedOn w:val="Normal"/>
    <w:next w:val="Normal"/>
    <w:link w:val="TitleChar"/>
    <w:uiPriority w:val="1"/>
    <w:rsid w:val="0057138A"/>
    <w:pPr>
      <w:numPr>
        <w:numId w:val="0"/>
      </w:numPr>
    </w:pPr>
    <w:rPr>
      <w:rFonts w:asciiTheme="majorHAnsi" w:eastAsiaTheme="majorEastAsia" w:hAnsiTheme="majorHAnsi" w:cstheme="majorBidi"/>
      <w:b/>
      <w:caps/>
      <w:color w:val="000000" w:themeColor="text1"/>
      <w:sz w:val="40"/>
      <w:szCs w:val="52"/>
    </w:rPr>
  </w:style>
  <w:style w:type="character" w:customStyle="1" w:styleId="TitleChar">
    <w:name w:val="Title Char"/>
    <w:basedOn w:val="DefaultParagraphFont"/>
    <w:link w:val="Title"/>
    <w:uiPriority w:val="1"/>
    <w:rsid w:val="0057138A"/>
    <w:rPr>
      <w:rFonts w:asciiTheme="majorHAnsi" w:eastAsiaTheme="majorEastAsia" w:hAnsiTheme="majorHAnsi" w:cstheme="majorBidi"/>
      <w:b/>
      <w:caps/>
      <w:color w:val="000000" w:themeColor="text1"/>
      <w:sz w:val="40"/>
      <w:szCs w:val="52"/>
    </w:rPr>
  </w:style>
  <w:style w:type="numbering" w:styleId="111111">
    <w:name w:val="Outline List 2"/>
    <w:basedOn w:val="NoList"/>
    <w:uiPriority w:val="99"/>
    <w:semiHidden/>
    <w:unhideWhenUsed/>
    <w:locked/>
    <w:rsid w:val="00466648"/>
    <w:pPr>
      <w:numPr>
        <w:numId w:val="4"/>
      </w:numPr>
    </w:pPr>
  </w:style>
  <w:style w:type="paragraph" w:styleId="TOC1">
    <w:name w:val="toc 1"/>
    <w:basedOn w:val="Normal"/>
    <w:next w:val="Normal"/>
    <w:autoRedefine/>
    <w:uiPriority w:val="39"/>
    <w:unhideWhenUsed/>
    <w:rsid w:val="000453D9"/>
    <w:pPr>
      <w:numPr>
        <w:numId w:val="0"/>
      </w:numPr>
      <w:tabs>
        <w:tab w:val="left" w:pos="851"/>
        <w:tab w:val="right" w:pos="9027"/>
      </w:tabs>
      <w:ind w:left="851" w:hanging="851"/>
      <w:jc w:val="left"/>
    </w:pPr>
    <w:rPr>
      <w:i/>
      <w:sz w:val="28"/>
    </w:rPr>
  </w:style>
  <w:style w:type="paragraph" w:styleId="TOCHeading">
    <w:name w:val="TOC Heading"/>
    <w:basedOn w:val="Heading1"/>
    <w:next w:val="Normal"/>
    <w:uiPriority w:val="38"/>
    <w:unhideWhenUsed/>
    <w:rsid w:val="000453D9"/>
    <w:pPr>
      <w:outlineLvl w:val="9"/>
    </w:pPr>
    <w:rPr>
      <w:b w:val="0"/>
      <w:i/>
    </w:rPr>
  </w:style>
  <w:style w:type="paragraph" w:styleId="Footer">
    <w:name w:val="footer"/>
    <w:basedOn w:val="Normal"/>
    <w:link w:val="FooterChar"/>
    <w:uiPriority w:val="99"/>
    <w:rsid w:val="00722F9F"/>
    <w:pPr>
      <w:numPr>
        <w:numId w:val="0"/>
      </w:numPr>
      <w:tabs>
        <w:tab w:val="right" w:pos="9639"/>
      </w:tabs>
      <w:spacing w:after="0" w:line="200" w:lineRule="exact"/>
      <w:contextualSpacing/>
    </w:pPr>
    <w:rPr>
      <w:rFonts w:asciiTheme="majorHAnsi" w:hAnsiTheme="majorHAnsi"/>
      <w:sz w:val="16"/>
    </w:rPr>
  </w:style>
  <w:style w:type="character" w:customStyle="1" w:styleId="FooterChar">
    <w:name w:val="Footer Char"/>
    <w:basedOn w:val="DefaultParagraphFont"/>
    <w:link w:val="Footer"/>
    <w:uiPriority w:val="99"/>
    <w:rsid w:val="00714F78"/>
    <w:rPr>
      <w:rFonts w:asciiTheme="majorHAnsi" w:hAnsiTheme="majorHAnsi"/>
      <w:sz w:val="16"/>
    </w:rPr>
  </w:style>
  <w:style w:type="paragraph" w:styleId="ListBullet3">
    <w:name w:val="List Bullet 3"/>
    <w:basedOn w:val="Normal"/>
    <w:uiPriority w:val="13"/>
    <w:qFormat/>
    <w:rsid w:val="00641EAA"/>
    <w:pPr>
      <w:numPr>
        <w:ilvl w:val="2"/>
        <w:numId w:val="8"/>
      </w:numPr>
    </w:pPr>
  </w:style>
  <w:style w:type="table" w:styleId="TableGrid">
    <w:name w:val="Table Grid"/>
    <w:basedOn w:val="TableNormal"/>
    <w:uiPriority w:val="59"/>
    <w:rsid w:val="00826012"/>
    <w:pPr>
      <w:spacing w:before="60" w:after="60"/>
      <w:jc w:val="left"/>
    </w:pPr>
    <w:tblPr>
      <w:tblStyleRowBandSize w:val="1"/>
      <w:tblStyleColBandSize w:val="1"/>
      <w:tblBorders>
        <w:bottom w:val="single" w:sz="4" w:space="0" w:color="FFFFFF" w:themeColor="background1"/>
        <w:insideH w:val="single" w:sz="4" w:space="0" w:color="FFFFFF" w:themeColor="background1"/>
        <w:insideV w:val="single" w:sz="4" w:space="0" w:color="FFFFFF" w:themeColor="background1"/>
      </w:tblBorders>
      <w:tblCellMar>
        <w:top w:w="28" w:type="dxa"/>
        <w:bottom w:w="28" w:type="dxa"/>
      </w:tblCellMar>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color w:val="auto"/>
      </w:r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styleId="Caption">
    <w:name w:val="caption"/>
    <w:next w:val="Normal"/>
    <w:uiPriority w:val="34"/>
    <w:qFormat/>
    <w:rsid w:val="00F15632"/>
    <w:pPr>
      <w:spacing w:before="60" w:after="360"/>
    </w:pPr>
    <w:rPr>
      <w:bCs/>
      <w:i/>
      <w:sz w:val="16"/>
      <w:szCs w:val="18"/>
    </w:rPr>
  </w:style>
  <w:style w:type="paragraph" w:styleId="Header">
    <w:name w:val="header"/>
    <w:basedOn w:val="Normal"/>
    <w:link w:val="HeaderChar"/>
    <w:uiPriority w:val="99"/>
    <w:rsid w:val="00722F9F"/>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99"/>
    <w:rsid w:val="00E93F74"/>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semiHidden/>
    <w:rsid w:val="009E0C10"/>
    <w:rPr>
      <w:noProof w:val="0"/>
      <w:color w:val="000000" w:themeColor="text1"/>
      <w:sz w:val="22"/>
      <w:lang w:val="en-AU"/>
    </w:rPr>
  </w:style>
  <w:style w:type="paragraph" w:styleId="ListNumber4">
    <w:name w:val="List Number 4"/>
    <w:basedOn w:val="Normal"/>
    <w:uiPriority w:val="16"/>
    <w:semiHidden/>
    <w:qFormat/>
    <w:locked/>
    <w:rsid w:val="00A909CC"/>
    <w:pPr>
      <w:numPr>
        <w:numId w:val="0"/>
      </w:numPr>
    </w:pPr>
  </w:style>
  <w:style w:type="character" w:styleId="Hyperlink">
    <w:name w:val="Hyperlink"/>
    <w:basedOn w:val="DefaultParagraphFont"/>
    <w:uiPriority w:val="99"/>
    <w:rsid w:val="00616C90"/>
    <w:rPr>
      <w:noProof w:val="0"/>
      <w:color w:val="0000FF"/>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012169" w:themeColor="accent1"/>
        <w:left w:val="single" w:sz="2" w:space="10" w:color="012169" w:themeColor="accent1"/>
        <w:bottom w:val="single" w:sz="2" w:space="10" w:color="012169" w:themeColor="accent1"/>
        <w:right w:val="single" w:sz="2" w:space="10" w:color="012169" w:themeColor="accent1"/>
      </w:pBdr>
      <w:ind w:left="1152" w:right="1152"/>
    </w:pPr>
    <w:rPr>
      <w:rFonts w:asciiTheme="minorHAnsi" w:eastAsiaTheme="minorEastAsia" w:hAnsiTheme="minorHAnsi"/>
      <w:i/>
      <w:iCs/>
      <w:color w:val="01216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AEC7FE" w:themeFill="accent1" w:themeFillTint="33"/>
    </w:tcPr>
    <w:tblStylePr w:type="firstRow">
      <w:rPr>
        <w:b/>
        <w:bCs/>
      </w:rPr>
      <w:tblPr/>
      <w:tcPr>
        <w:shd w:val="clear" w:color="auto" w:fill="5E8FFD" w:themeFill="accent1" w:themeFillTint="66"/>
      </w:tcPr>
    </w:tblStylePr>
    <w:tblStylePr w:type="lastRow">
      <w:rPr>
        <w:b/>
        <w:bCs/>
        <w:color w:val="000000" w:themeColor="text1"/>
      </w:rPr>
      <w:tblPr/>
      <w:tcPr>
        <w:shd w:val="clear" w:color="auto" w:fill="5E8FFD" w:themeFill="accent1" w:themeFillTint="66"/>
      </w:tcPr>
    </w:tblStylePr>
    <w:tblStylePr w:type="firstCol">
      <w:rPr>
        <w:color w:val="FFFFFF" w:themeColor="background1"/>
      </w:rPr>
      <w:tblPr/>
      <w:tcPr>
        <w:shd w:val="clear" w:color="auto" w:fill="00184E" w:themeFill="accent1" w:themeFillShade="BF"/>
      </w:tcPr>
    </w:tblStylePr>
    <w:tblStylePr w:type="lastCol">
      <w:rPr>
        <w:color w:val="FFFFFF" w:themeColor="background1"/>
      </w:rPr>
      <w:tblPr/>
      <w:tcPr>
        <w:shd w:val="clear" w:color="auto" w:fill="00184E" w:themeFill="accent1" w:themeFillShade="BF"/>
      </w:tc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5F0FF" w:themeFill="accent2" w:themeFillTint="33"/>
    </w:tcPr>
    <w:tblStylePr w:type="firstRow">
      <w:rPr>
        <w:b/>
        <w:bCs/>
      </w:rPr>
      <w:tblPr/>
      <w:tcPr>
        <w:shd w:val="clear" w:color="auto" w:fill="8CE2FF" w:themeFill="accent2" w:themeFillTint="66"/>
      </w:tcPr>
    </w:tblStylePr>
    <w:tblStylePr w:type="lastRow">
      <w:rPr>
        <w:b/>
        <w:bCs/>
        <w:color w:val="000000" w:themeColor="text1"/>
      </w:rPr>
      <w:tblPr/>
      <w:tcPr>
        <w:shd w:val="clear" w:color="auto" w:fill="8CE2FF" w:themeFill="accent2" w:themeFillTint="66"/>
      </w:tcPr>
    </w:tblStylePr>
    <w:tblStylePr w:type="firstCol">
      <w:rPr>
        <w:color w:val="FFFFFF" w:themeColor="background1"/>
      </w:rPr>
      <w:tblPr/>
      <w:tcPr>
        <w:shd w:val="clear" w:color="auto" w:fill="007EA7" w:themeFill="accent2" w:themeFillShade="BF"/>
      </w:tcPr>
    </w:tblStylePr>
    <w:tblStylePr w:type="lastCol">
      <w:rPr>
        <w:color w:val="FFFFFF" w:themeColor="background1"/>
      </w:rPr>
      <w:tblPr/>
      <w:tcPr>
        <w:shd w:val="clear" w:color="auto" w:fill="007EA7" w:themeFill="accent2" w:themeFillShade="BF"/>
      </w:tc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E3FF" w:themeFill="accent3" w:themeFillTint="33"/>
    </w:tcPr>
    <w:tblStylePr w:type="firstRow">
      <w:rPr>
        <w:b/>
        <w:bCs/>
      </w:rPr>
      <w:tblPr/>
      <w:tcPr>
        <w:shd w:val="clear" w:color="auto" w:fill="85C8FF" w:themeFill="accent3" w:themeFillTint="66"/>
      </w:tcPr>
    </w:tblStylePr>
    <w:tblStylePr w:type="lastRow">
      <w:rPr>
        <w:b/>
        <w:bCs/>
        <w:color w:val="000000" w:themeColor="text1"/>
      </w:rPr>
      <w:tblPr/>
      <w:tcPr>
        <w:shd w:val="clear" w:color="auto" w:fill="85C8FF" w:themeFill="accent3" w:themeFillTint="66"/>
      </w:tcPr>
    </w:tblStylePr>
    <w:tblStylePr w:type="firstCol">
      <w:rPr>
        <w:color w:val="FFFFFF" w:themeColor="background1"/>
      </w:rPr>
      <w:tblPr/>
      <w:tcPr>
        <w:shd w:val="clear" w:color="auto" w:fill="00559A" w:themeFill="accent3" w:themeFillShade="BF"/>
      </w:tcPr>
    </w:tblStylePr>
    <w:tblStylePr w:type="lastCol">
      <w:rPr>
        <w:color w:val="FFFFFF" w:themeColor="background1"/>
      </w:rPr>
      <w:tblPr/>
      <w:tcPr>
        <w:shd w:val="clear" w:color="auto" w:fill="00559A" w:themeFill="accent3" w:themeFillShade="BF"/>
      </w:tc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AECEE" w:themeFill="accent4" w:themeFillTint="33"/>
    </w:tcPr>
    <w:tblStylePr w:type="firstRow">
      <w:rPr>
        <w:b/>
        <w:bCs/>
      </w:rPr>
      <w:tblPr/>
      <w:tcPr>
        <w:shd w:val="clear" w:color="auto" w:fill="D5DADE" w:themeFill="accent4" w:themeFillTint="66"/>
      </w:tcPr>
    </w:tblStylePr>
    <w:tblStylePr w:type="lastRow">
      <w:rPr>
        <w:b/>
        <w:bCs/>
        <w:color w:val="000000" w:themeColor="text1"/>
      </w:rPr>
      <w:tblPr/>
      <w:tcPr>
        <w:shd w:val="clear" w:color="auto" w:fill="D5DADE" w:themeFill="accent4" w:themeFillTint="66"/>
      </w:tcPr>
    </w:tblStylePr>
    <w:tblStylePr w:type="firstCol">
      <w:rPr>
        <w:color w:val="FFFFFF" w:themeColor="background1"/>
      </w:rPr>
      <w:tblPr/>
      <w:tcPr>
        <w:shd w:val="clear" w:color="auto" w:fill="6B7B88" w:themeFill="accent4" w:themeFillShade="BF"/>
      </w:tcPr>
    </w:tblStylePr>
    <w:tblStylePr w:type="lastCol">
      <w:rPr>
        <w:color w:val="FFFFFF" w:themeColor="background1"/>
      </w:rPr>
      <w:tblPr/>
      <w:tcPr>
        <w:shd w:val="clear" w:color="auto" w:fill="6B7B88" w:themeFill="accent4" w:themeFillShade="BF"/>
      </w:tc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9E3E9" w:themeFill="accent5" w:themeFillTint="33"/>
    </w:tcPr>
    <w:tblStylePr w:type="firstRow">
      <w:rPr>
        <w:b/>
        <w:bCs/>
      </w:rPr>
      <w:tblPr/>
      <w:tcPr>
        <w:shd w:val="clear" w:color="auto" w:fill="B4C8D4" w:themeFill="accent5" w:themeFillTint="66"/>
      </w:tcPr>
    </w:tblStylePr>
    <w:tblStylePr w:type="lastRow">
      <w:rPr>
        <w:b/>
        <w:bCs/>
        <w:color w:val="000000" w:themeColor="text1"/>
      </w:rPr>
      <w:tblPr/>
      <w:tcPr>
        <w:shd w:val="clear" w:color="auto" w:fill="B4C8D4" w:themeFill="accent5" w:themeFillTint="66"/>
      </w:tcPr>
    </w:tblStylePr>
    <w:tblStylePr w:type="firstCol">
      <w:rPr>
        <w:color w:val="FFFFFF" w:themeColor="background1"/>
      </w:rPr>
      <w:tblPr/>
      <w:tcPr>
        <w:shd w:val="clear" w:color="auto" w:fill="3B5767" w:themeFill="accent5" w:themeFillShade="BF"/>
      </w:tcPr>
    </w:tblStylePr>
    <w:tblStylePr w:type="lastCol">
      <w:rPr>
        <w:color w:val="FFFFFF" w:themeColor="background1"/>
      </w:rPr>
      <w:tblPr/>
      <w:tcPr>
        <w:shd w:val="clear" w:color="auto" w:fill="3B5767" w:themeFill="accent5" w:themeFillShade="BF"/>
      </w:tc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2F3FA" w:themeFill="accent6" w:themeFillTint="33"/>
    </w:tcPr>
    <w:tblStylePr w:type="firstRow">
      <w:rPr>
        <w:b/>
        <w:bCs/>
      </w:rPr>
      <w:tblPr/>
      <w:tcPr>
        <w:shd w:val="clear" w:color="auto" w:fill="C6E7F5" w:themeFill="accent6" w:themeFillTint="66"/>
      </w:tcPr>
    </w:tblStylePr>
    <w:tblStylePr w:type="lastRow">
      <w:rPr>
        <w:b/>
        <w:bCs/>
        <w:color w:val="000000" w:themeColor="text1"/>
      </w:rPr>
      <w:tblPr/>
      <w:tcPr>
        <w:shd w:val="clear" w:color="auto" w:fill="C6E7F5" w:themeFill="accent6" w:themeFillTint="66"/>
      </w:tcPr>
    </w:tblStylePr>
    <w:tblStylePr w:type="firstCol">
      <w:rPr>
        <w:color w:val="FFFFFF" w:themeColor="background1"/>
      </w:rPr>
      <w:tblPr/>
      <w:tcPr>
        <w:shd w:val="clear" w:color="auto" w:fill="26A6DC" w:themeFill="accent6" w:themeFillShade="BF"/>
      </w:tcPr>
    </w:tblStylePr>
    <w:tblStylePr w:type="lastCol">
      <w:rPr>
        <w:color w:val="FFFFFF" w:themeColor="background1"/>
      </w:rPr>
      <w:tblPr/>
      <w:tcPr>
        <w:shd w:val="clear" w:color="auto" w:fill="26A6DC" w:themeFill="accent6" w:themeFillShade="BF"/>
      </w:tc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D7E3FE" w:themeFill="accen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BB9FE" w:themeFill="accent1" w:themeFillTint="3F"/>
      </w:tcPr>
    </w:tblStylePr>
    <w:tblStylePr w:type="band1Horz">
      <w:tblPr/>
      <w:tcPr>
        <w:shd w:val="clear" w:color="auto" w:fill="AEC7FE"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2F8FF" w:themeFill="accent2"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DFF" w:themeFill="accent2" w:themeFillTint="3F"/>
      </w:tcPr>
    </w:tblStylePr>
    <w:tblStylePr w:type="band1Horz">
      <w:tblPr/>
      <w:tcPr>
        <w:shd w:val="clear" w:color="auto" w:fill="C5F0FF"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E1F1FF" w:themeFill="accent3" w:themeFillTint="19"/>
    </w:tcPr>
    <w:tblStylePr w:type="firstRow">
      <w:rPr>
        <w:b/>
        <w:bCs/>
        <w:color w:val="FFFFFF" w:themeColor="background1"/>
      </w:rPr>
      <w:tblPr/>
      <w:tcPr>
        <w:tcBorders>
          <w:bottom w:val="single" w:sz="12" w:space="0" w:color="FFFFFF" w:themeColor="background1"/>
        </w:tcBorders>
        <w:shd w:val="clear" w:color="auto" w:fill="738391" w:themeFill="accent4" w:themeFillShade="CC"/>
      </w:tcPr>
    </w:tblStylePr>
    <w:tblStylePr w:type="lastRow">
      <w:rPr>
        <w:b/>
        <w:bCs/>
        <w:color w:val="73839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DDFF" w:themeFill="accent3" w:themeFillTint="3F"/>
      </w:tcPr>
    </w:tblStylePr>
    <w:tblStylePr w:type="band1Horz">
      <w:tblPr/>
      <w:tcPr>
        <w:shd w:val="clear" w:color="auto" w:fill="C2E3FF"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F4F5F7" w:themeFill="accent4" w:themeFillTint="19"/>
    </w:tcPr>
    <w:tblStylePr w:type="firstRow">
      <w:rPr>
        <w:b/>
        <w:bCs/>
        <w:color w:val="FFFFFF" w:themeColor="background1"/>
      </w:rPr>
      <w:tblPr/>
      <w:tcPr>
        <w:tcBorders>
          <w:bottom w:val="single" w:sz="12" w:space="0" w:color="FFFFFF" w:themeColor="background1"/>
        </w:tcBorders>
        <w:shd w:val="clear" w:color="auto" w:fill="005BA4" w:themeFill="accent3" w:themeFillShade="CC"/>
      </w:tcPr>
    </w:tblStylePr>
    <w:tblStylePr w:type="lastRow">
      <w:rPr>
        <w:b/>
        <w:bCs/>
        <w:color w:val="005BA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8EB" w:themeFill="accent4" w:themeFillTint="3F"/>
      </w:tcPr>
    </w:tblStylePr>
    <w:tblStylePr w:type="band1Horz">
      <w:tblPr/>
      <w:tcPr>
        <w:shd w:val="clear" w:color="auto" w:fill="EAECEE"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ECF1F4" w:themeFill="accent5" w:themeFillTint="19"/>
    </w:tcPr>
    <w:tblStylePr w:type="firstRow">
      <w:rPr>
        <w:b/>
        <w:bCs/>
        <w:color w:val="FFFFFF" w:themeColor="background1"/>
      </w:rPr>
      <w:tblPr/>
      <w:tcPr>
        <w:tcBorders>
          <w:bottom w:val="single" w:sz="12" w:space="0" w:color="FFFFFF" w:themeColor="background1"/>
        </w:tcBorders>
        <w:shd w:val="clear" w:color="auto" w:fill="35ACDE" w:themeFill="accent6" w:themeFillShade="CC"/>
      </w:tcPr>
    </w:tblStylePr>
    <w:tblStylePr w:type="lastRow">
      <w:rPr>
        <w:b/>
        <w:bCs/>
        <w:color w:val="35ACD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DE4" w:themeFill="accent5" w:themeFillTint="3F"/>
      </w:tcPr>
    </w:tblStylePr>
    <w:tblStylePr w:type="band1Horz">
      <w:tblPr/>
      <w:tcPr>
        <w:shd w:val="clear" w:color="auto" w:fill="D9E3E9"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F0F9FC" w:themeFill="accent6" w:themeFillTint="19"/>
    </w:tcPr>
    <w:tblStylePr w:type="firstRow">
      <w:rPr>
        <w:b/>
        <w:bCs/>
        <w:color w:val="FFFFFF" w:themeColor="background1"/>
      </w:rPr>
      <w:tblPr/>
      <w:tcPr>
        <w:tcBorders>
          <w:bottom w:val="single" w:sz="12" w:space="0" w:color="FFFFFF" w:themeColor="background1"/>
        </w:tcBorders>
        <w:shd w:val="clear" w:color="auto" w:fill="3F5D6F" w:themeFill="accent5" w:themeFillShade="CC"/>
      </w:tcPr>
    </w:tblStylePr>
    <w:tblStylePr w:type="lastRow">
      <w:rPr>
        <w:b/>
        <w:bCs/>
        <w:color w:val="3F5D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0F9" w:themeFill="accent6" w:themeFillTint="3F"/>
      </w:tcPr>
    </w:tblStylePr>
    <w:tblStylePr w:type="band1Horz">
      <w:tblPr/>
      <w:tcPr>
        <w:shd w:val="clear" w:color="auto" w:fill="E2F3FA"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00A9E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00A9E0" w:themeColor="accent2"/>
        <w:left w:val="single" w:sz="4" w:space="0" w:color="012169" w:themeColor="accent1"/>
        <w:bottom w:val="single" w:sz="4" w:space="0" w:color="012169" w:themeColor="accent1"/>
        <w:right w:val="single" w:sz="4" w:space="0" w:color="012169" w:themeColor="accent1"/>
        <w:insideH w:val="single" w:sz="4" w:space="0" w:color="FFFFFF" w:themeColor="background1"/>
        <w:insideV w:val="single" w:sz="4" w:space="0" w:color="FFFFFF" w:themeColor="background1"/>
      </w:tblBorders>
    </w:tblPr>
    <w:tcPr>
      <w:shd w:val="clear" w:color="auto" w:fill="D7E3FE" w:themeFill="accen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33E" w:themeFill="accent1" w:themeFillShade="99"/>
      </w:tcPr>
    </w:tblStylePr>
    <w:tblStylePr w:type="firstCol">
      <w:rPr>
        <w:color w:val="FFFFFF" w:themeColor="background1"/>
      </w:rPr>
      <w:tblPr/>
      <w:tcPr>
        <w:tcBorders>
          <w:top w:val="nil"/>
          <w:left w:val="nil"/>
          <w:bottom w:val="nil"/>
          <w:right w:val="nil"/>
          <w:insideH w:val="single" w:sz="4" w:space="0" w:color="00133E" w:themeColor="accent1" w:themeShade="99"/>
          <w:insideV w:val="nil"/>
        </w:tcBorders>
        <w:shd w:val="clear" w:color="auto" w:fill="00133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33E" w:themeFill="accent1" w:themeFillShade="99"/>
      </w:tcPr>
    </w:tblStylePr>
    <w:tblStylePr w:type="band1Vert">
      <w:tblPr/>
      <w:tcPr>
        <w:shd w:val="clear" w:color="auto" w:fill="5E8FFD" w:themeFill="accent1" w:themeFillTint="66"/>
      </w:tcPr>
    </w:tblStylePr>
    <w:tblStylePr w:type="band1Horz">
      <w:tblPr/>
      <w:tcPr>
        <w:shd w:val="clear" w:color="auto" w:fill="3773F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00A9E0" w:themeColor="accent2"/>
        <w:left w:val="single" w:sz="4" w:space="0" w:color="00A9E0" w:themeColor="accent2"/>
        <w:bottom w:val="single" w:sz="4" w:space="0" w:color="00A9E0" w:themeColor="accent2"/>
        <w:right w:val="single" w:sz="4" w:space="0" w:color="00A9E0" w:themeColor="accent2"/>
        <w:insideH w:val="single" w:sz="4" w:space="0" w:color="FFFFFF" w:themeColor="background1"/>
        <w:insideV w:val="single" w:sz="4" w:space="0" w:color="FFFFFF" w:themeColor="background1"/>
      </w:tblBorders>
    </w:tblPr>
    <w:tcPr>
      <w:shd w:val="clear" w:color="auto" w:fill="E2F8FF" w:themeFill="accent2"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586" w:themeFill="accent2" w:themeFillShade="99"/>
      </w:tcPr>
    </w:tblStylePr>
    <w:tblStylePr w:type="firstCol">
      <w:rPr>
        <w:color w:val="FFFFFF" w:themeColor="background1"/>
      </w:rPr>
      <w:tblPr/>
      <w:tcPr>
        <w:tcBorders>
          <w:top w:val="nil"/>
          <w:left w:val="nil"/>
          <w:bottom w:val="nil"/>
          <w:right w:val="nil"/>
          <w:insideH w:val="single" w:sz="4" w:space="0" w:color="006586" w:themeColor="accent2" w:themeShade="99"/>
          <w:insideV w:val="nil"/>
        </w:tcBorders>
        <w:shd w:val="clear" w:color="auto" w:fill="00658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586" w:themeFill="accent2" w:themeFillShade="99"/>
      </w:tcPr>
    </w:tblStylePr>
    <w:tblStylePr w:type="band1Vert">
      <w:tblPr/>
      <w:tcPr>
        <w:shd w:val="clear" w:color="auto" w:fill="8CE2FF" w:themeFill="accent2" w:themeFillTint="66"/>
      </w:tcPr>
    </w:tblStylePr>
    <w:tblStylePr w:type="band1Horz">
      <w:tblPr/>
      <w:tcPr>
        <w:shd w:val="clear" w:color="auto" w:fill="70DB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98A4AE" w:themeColor="accent4"/>
        <w:left w:val="single" w:sz="4" w:space="0" w:color="0072CE" w:themeColor="accent3"/>
        <w:bottom w:val="single" w:sz="4" w:space="0" w:color="0072CE" w:themeColor="accent3"/>
        <w:right w:val="single" w:sz="4" w:space="0" w:color="0072CE" w:themeColor="accent3"/>
        <w:insideH w:val="single" w:sz="4" w:space="0" w:color="FFFFFF" w:themeColor="background1"/>
        <w:insideV w:val="single" w:sz="4" w:space="0" w:color="FFFFFF" w:themeColor="background1"/>
      </w:tblBorders>
    </w:tblPr>
    <w:tcPr>
      <w:shd w:val="clear" w:color="auto" w:fill="E1F1FF" w:themeFill="accent3" w:themeFillTint="19"/>
    </w:tcPr>
    <w:tblStylePr w:type="firstRow">
      <w:rPr>
        <w:b/>
        <w:bCs/>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B" w:themeFill="accent3" w:themeFillShade="99"/>
      </w:tcPr>
    </w:tblStylePr>
    <w:tblStylePr w:type="firstCol">
      <w:rPr>
        <w:color w:val="FFFFFF" w:themeColor="background1"/>
      </w:rPr>
      <w:tblPr/>
      <w:tcPr>
        <w:tcBorders>
          <w:top w:val="nil"/>
          <w:left w:val="nil"/>
          <w:bottom w:val="nil"/>
          <w:right w:val="nil"/>
          <w:insideH w:val="single" w:sz="4" w:space="0" w:color="00447B" w:themeColor="accent3" w:themeShade="99"/>
          <w:insideV w:val="nil"/>
        </w:tcBorders>
        <w:shd w:val="clear" w:color="auto" w:fill="00447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47B" w:themeFill="accent3" w:themeFillShade="99"/>
      </w:tcPr>
    </w:tblStylePr>
    <w:tblStylePr w:type="band1Vert">
      <w:tblPr/>
      <w:tcPr>
        <w:shd w:val="clear" w:color="auto" w:fill="85C8FF" w:themeFill="accent3" w:themeFillTint="66"/>
      </w:tcPr>
    </w:tblStylePr>
    <w:tblStylePr w:type="band1Horz">
      <w:tblPr/>
      <w:tcPr>
        <w:shd w:val="clear" w:color="auto" w:fill="67BBFF"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0072CE" w:themeColor="accent3"/>
        <w:left w:val="single" w:sz="4" w:space="0" w:color="98A4AE" w:themeColor="accent4"/>
        <w:bottom w:val="single" w:sz="4" w:space="0" w:color="98A4AE" w:themeColor="accent4"/>
        <w:right w:val="single" w:sz="4" w:space="0" w:color="98A4AE" w:themeColor="accent4"/>
        <w:insideH w:val="single" w:sz="4" w:space="0" w:color="FFFFFF" w:themeColor="background1"/>
        <w:insideV w:val="single" w:sz="4" w:space="0" w:color="FFFFFF" w:themeColor="background1"/>
      </w:tblBorders>
    </w:tblPr>
    <w:tcPr>
      <w:shd w:val="clear" w:color="auto" w:fill="F4F5F7" w:themeFill="accent4" w:themeFillTint="19"/>
    </w:tcPr>
    <w:tblStylePr w:type="firstRow">
      <w:rPr>
        <w:b/>
        <w:bCs/>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626D" w:themeFill="accent4" w:themeFillShade="99"/>
      </w:tcPr>
    </w:tblStylePr>
    <w:tblStylePr w:type="firstCol">
      <w:rPr>
        <w:color w:val="FFFFFF" w:themeColor="background1"/>
      </w:rPr>
      <w:tblPr/>
      <w:tcPr>
        <w:tcBorders>
          <w:top w:val="nil"/>
          <w:left w:val="nil"/>
          <w:bottom w:val="nil"/>
          <w:right w:val="nil"/>
          <w:insideH w:val="single" w:sz="4" w:space="0" w:color="56626D" w:themeColor="accent4" w:themeShade="99"/>
          <w:insideV w:val="nil"/>
        </w:tcBorders>
        <w:shd w:val="clear" w:color="auto" w:fill="56626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6626D" w:themeFill="accent4" w:themeFillShade="99"/>
      </w:tcPr>
    </w:tblStylePr>
    <w:tblStylePr w:type="band1Vert">
      <w:tblPr/>
      <w:tcPr>
        <w:shd w:val="clear" w:color="auto" w:fill="D5DADE" w:themeFill="accent4" w:themeFillTint="66"/>
      </w:tcPr>
    </w:tblStylePr>
    <w:tblStylePr w:type="band1Horz">
      <w:tblPr/>
      <w:tcPr>
        <w:shd w:val="clear" w:color="auto" w:fill="CBD1D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71C5E8" w:themeColor="accent6"/>
        <w:left w:val="single" w:sz="4" w:space="0" w:color="4F758B" w:themeColor="accent5"/>
        <w:bottom w:val="single" w:sz="4" w:space="0" w:color="4F758B" w:themeColor="accent5"/>
        <w:right w:val="single" w:sz="4" w:space="0" w:color="4F758B" w:themeColor="accent5"/>
        <w:insideH w:val="single" w:sz="4" w:space="0" w:color="FFFFFF" w:themeColor="background1"/>
        <w:insideV w:val="single" w:sz="4" w:space="0" w:color="FFFFFF" w:themeColor="background1"/>
      </w:tblBorders>
    </w:tblPr>
    <w:tcPr>
      <w:shd w:val="clear" w:color="auto" w:fill="ECF1F4" w:themeFill="accent5" w:themeFillTint="19"/>
    </w:tcPr>
    <w:tblStylePr w:type="firstRow">
      <w:rPr>
        <w:b/>
        <w:bCs/>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4653" w:themeFill="accent5" w:themeFillShade="99"/>
      </w:tcPr>
    </w:tblStylePr>
    <w:tblStylePr w:type="firstCol">
      <w:rPr>
        <w:color w:val="FFFFFF" w:themeColor="background1"/>
      </w:rPr>
      <w:tblPr/>
      <w:tcPr>
        <w:tcBorders>
          <w:top w:val="nil"/>
          <w:left w:val="nil"/>
          <w:bottom w:val="nil"/>
          <w:right w:val="nil"/>
          <w:insideH w:val="single" w:sz="4" w:space="0" w:color="2F4653" w:themeColor="accent5" w:themeShade="99"/>
          <w:insideV w:val="nil"/>
        </w:tcBorders>
        <w:shd w:val="clear" w:color="auto" w:fill="2F46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F4653" w:themeFill="accent5" w:themeFillShade="99"/>
      </w:tcPr>
    </w:tblStylePr>
    <w:tblStylePr w:type="band1Vert">
      <w:tblPr/>
      <w:tcPr>
        <w:shd w:val="clear" w:color="auto" w:fill="B4C8D4" w:themeFill="accent5" w:themeFillTint="66"/>
      </w:tcPr>
    </w:tblStylePr>
    <w:tblStylePr w:type="band1Horz">
      <w:tblPr/>
      <w:tcPr>
        <w:shd w:val="clear" w:color="auto" w:fill="A2BBC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4F758B" w:themeColor="accent5"/>
        <w:left w:val="single" w:sz="4" w:space="0" w:color="71C5E8" w:themeColor="accent6"/>
        <w:bottom w:val="single" w:sz="4" w:space="0" w:color="71C5E8" w:themeColor="accent6"/>
        <w:right w:val="single" w:sz="4" w:space="0" w:color="71C5E8" w:themeColor="accent6"/>
        <w:insideH w:val="single" w:sz="4" w:space="0" w:color="FFFFFF" w:themeColor="background1"/>
        <w:insideV w:val="single" w:sz="4" w:space="0" w:color="FFFFFF" w:themeColor="background1"/>
      </w:tblBorders>
    </w:tblPr>
    <w:tcPr>
      <w:shd w:val="clear" w:color="auto" w:fill="F0F9FC" w:themeFill="accent6" w:themeFillTint="19"/>
    </w:tcPr>
    <w:tblStylePr w:type="firstRow">
      <w:rPr>
        <w:b/>
        <w:bCs/>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D86B2" w:themeFill="accent6" w:themeFillShade="99"/>
      </w:tcPr>
    </w:tblStylePr>
    <w:tblStylePr w:type="firstCol">
      <w:rPr>
        <w:color w:val="FFFFFF" w:themeColor="background1"/>
      </w:rPr>
      <w:tblPr/>
      <w:tcPr>
        <w:tcBorders>
          <w:top w:val="nil"/>
          <w:left w:val="nil"/>
          <w:bottom w:val="nil"/>
          <w:right w:val="nil"/>
          <w:insideH w:val="single" w:sz="4" w:space="0" w:color="1D86B2" w:themeColor="accent6" w:themeShade="99"/>
          <w:insideV w:val="nil"/>
        </w:tcBorders>
        <w:shd w:val="clear" w:color="auto" w:fill="1D86B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D86B2" w:themeFill="accent6" w:themeFillShade="99"/>
      </w:tcPr>
    </w:tblStylePr>
    <w:tblStylePr w:type="band1Vert">
      <w:tblPr/>
      <w:tcPr>
        <w:shd w:val="clear" w:color="auto" w:fill="C6E7F5" w:themeFill="accent6" w:themeFillTint="66"/>
      </w:tcPr>
    </w:tblStylePr>
    <w:tblStylePr w:type="band1Horz">
      <w:tblPr/>
      <w:tcPr>
        <w:shd w:val="clear" w:color="auto" w:fill="B8E2F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semiHidden/>
    <w:unhideWhenUsed/>
    <w:locked/>
    <w:rsid w:val="00F80750"/>
  </w:style>
  <w:style w:type="character" w:customStyle="1" w:styleId="CommentTextChar">
    <w:name w:val="Comment Text Char"/>
    <w:basedOn w:val="DefaultParagraphFont"/>
    <w:link w:val="CommentText"/>
    <w:uiPriority w:val="99"/>
    <w:semiHidden/>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01216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03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84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84E" w:themeFill="accent1" w:themeFillShade="BF"/>
      </w:tcPr>
    </w:tblStylePr>
    <w:tblStylePr w:type="band1Vert">
      <w:tblPr/>
      <w:tcPr>
        <w:tcBorders>
          <w:top w:val="nil"/>
          <w:left w:val="nil"/>
          <w:bottom w:val="nil"/>
          <w:right w:val="nil"/>
          <w:insideH w:val="nil"/>
          <w:insideV w:val="nil"/>
        </w:tcBorders>
        <w:shd w:val="clear" w:color="auto" w:fill="00184E" w:themeFill="accent1" w:themeFillShade="BF"/>
      </w:tcPr>
    </w:tblStylePr>
    <w:tblStylePr w:type="band1Horz">
      <w:tblPr/>
      <w:tcPr>
        <w:tcBorders>
          <w:top w:val="nil"/>
          <w:left w:val="nil"/>
          <w:bottom w:val="nil"/>
          <w:right w:val="nil"/>
          <w:insideH w:val="nil"/>
          <w:insideV w:val="nil"/>
        </w:tcBorders>
        <w:shd w:val="clear" w:color="auto" w:fill="00184E"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00A9E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36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EA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EA7" w:themeFill="accent2" w:themeFillShade="BF"/>
      </w:tcPr>
    </w:tblStylePr>
    <w:tblStylePr w:type="band1Vert">
      <w:tblPr/>
      <w:tcPr>
        <w:tcBorders>
          <w:top w:val="nil"/>
          <w:left w:val="nil"/>
          <w:bottom w:val="nil"/>
          <w:right w:val="nil"/>
          <w:insideH w:val="nil"/>
          <w:insideV w:val="nil"/>
        </w:tcBorders>
        <w:shd w:val="clear" w:color="auto" w:fill="007EA7" w:themeFill="accent2" w:themeFillShade="BF"/>
      </w:tcPr>
    </w:tblStylePr>
    <w:tblStylePr w:type="band1Horz">
      <w:tblPr/>
      <w:tcPr>
        <w:tcBorders>
          <w:top w:val="nil"/>
          <w:left w:val="nil"/>
          <w:bottom w:val="nil"/>
          <w:right w:val="nil"/>
          <w:insideH w:val="nil"/>
          <w:insideV w:val="nil"/>
        </w:tcBorders>
        <w:shd w:val="clear" w:color="auto" w:fill="007EA7"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0072C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59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59A" w:themeFill="accent3" w:themeFillShade="BF"/>
      </w:tcPr>
    </w:tblStylePr>
    <w:tblStylePr w:type="band1Vert">
      <w:tblPr/>
      <w:tcPr>
        <w:tcBorders>
          <w:top w:val="nil"/>
          <w:left w:val="nil"/>
          <w:bottom w:val="nil"/>
          <w:right w:val="nil"/>
          <w:insideH w:val="nil"/>
          <w:insideV w:val="nil"/>
        </w:tcBorders>
        <w:shd w:val="clear" w:color="auto" w:fill="00559A" w:themeFill="accent3" w:themeFillShade="BF"/>
      </w:tcPr>
    </w:tblStylePr>
    <w:tblStylePr w:type="band1Horz">
      <w:tblPr/>
      <w:tcPr>
        <w:tcBorders>
          <w:top w:val="nil"/>
          <w:left w:val="nil"/>
          <w:bottom w:val="nil"/>
          <w:right w:val="nil"/>
          <w:insideH w:val="nil"/>
          <w:insideV w:val="nil"/>
        </w:tcBorders>
        <w:shd w:val="clear" w:color="auto" w:fill="00559A"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98A4A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7525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B7B8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B7B88" w:themeFill="accent4" w:themeFillShade="BF"/>
      </w:tcPr>
    </w:tblStylePr>
    <w:tblStylePr w:type="band1Vert">
      <w:tblPr/>
      <w:tcPr>
        <w:tcBorders>
          <w:top w:val="nil"/>
          <w:left w:val="nil"/>
          <w:bottom w:val="nil"/>
          <w:right w:val="nil"/>
          <w:insideH w:val="nil"/>
          <w:insideV w:val="nil"/>
        </w:tcBorders>
        <w:shd w:val="clear" w:color="auto" w:fill="6B7B88" w:themeFill="accent4" w:themeFillShade="BF"/>
      </w:tcPr>
    </w:tblStylePr>
    <w:tblStylePr w:type="band1Horz">
      <w:tblPr/>
      <w:tcPr>
        <w:tcBorders>
          <w:top w:val="nil"/>
          <w:left w:val="nil"/>
          <w:bottom w:val="nil"/>
          <w:right w:val="nil"/>
          <w:insideH w:val="nil"/>
          <w:insideV w:val="nil"/>
        </w:tcBorders>
        <w:shd w:val="clear" w:color="auto" w:fill="6B7B88"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4F758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3A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B576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B5767" w:themeFill="accent5" w:themeFillShade="BF"/>
      </w:tcPr>
    </w:tblStylePr>
    <w:tblStylePr w:type="band1Vert">
      <w:tblPr/>
      <w:tcPr>
        <w:tcBorders>
          <w:top w:val="nil"/>
          <w:left w:val="nil"/>
          <w:bottom w:val="nil"/>
          <w:right w:val="nil"/>
          <w:insideH w:val="nil"/>
          <w:insideV w:val="nil"/>
        </w:tcBorders>
        <w:shd w:val="clear" w:color="auto" w:fill="3B5767" w:themeFill="accent5" w:themeFillShade="BF"/>
      </w:tcPr>
    </w:tblStylePr>
    <w:tblStylePr w:type="band1Horz">
      <w:tblPr/>
      <w:tcPr>
        <w:tcBorders>
          <w:top w:val="nil"/>
          <w:left w:val="nil"/>
          <w:bottom w:val="nil"/>
          <w:right w:val="nil"/>
          <w:insideH w:val="nil"/>
          <w:insideV w:val="nil"/>
        </w:tcBorders>
        <w:shd w:val="clear" w:color="auto" w:fill="3B5767"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71C5E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6F9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6A6D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6A6DC" w:themeFill="accent6" w:themeFillShade="BF"/>
      </w:tcPr>
    </w:tblStylePr>
    <w:tblStylePr w:type="band1Vert">
      <w:tblPr/>
      <w:tcPr>
        <w:tcBorders>
          <w:top w:val="nil"/>
          <w:left w:val="nil"/>
          <w:bottom w:val="nil"/>
          <w:right w:val="nil"/>
          <w:insideH w:val="nil"/>
          <w:insideV w:val="nil"/>
        </w:tcBorders>
        <w:shd w:val="clear" w:color="auto" w:fill="26A6DC" w:themeFill="accent6" w:themeFillShade="BF"/>
      </w:tcPr>
    </w:tblStylePr>
    <w:tblStylePr w:type="band1Horz">
      <w:tblPr/>
      <w:tcPr>
        <w:tcBorders>
          <w:top w:val="nil"/>
          <w:left w:val="nil"/>
          <w:bottom w:val="nil"/>
          <w:right w:val="nil"/>
          <w:insideH w:val="nil"/>
          <w:insideV w:val="nil"/>
        </w:tcBorders>
        <w:shd w:val="clear" w:color="auto" w:fill="26A6DC" w:themeFill="accent6" w:themeFillShade="BF"/>
      </w:tcPr>
    </w:tblStylePr>
  </w:style>
  <w:style w:type="paragraph" w:styleId="Date">
    <w:name w:val="Date"/>
    <w:basedOn w:val="Normal"/>
    <w:next w:val="Normal"/>
    <w:link w:val="DateChar"/>
    <w:uiPriority w:val="99"/>
    <w:semiHidden/>
    <w:unhideWhenUsed/>
    <w:locked/>
    <w:rsid w:val="00F80750"/>
  </w:style>
  <w:style w:type="character" w:customStyle="1" w:styleId="DateChar">
    <w:name w:val="Date Char"/>
    <w:basedOn w:val="DefaultParagraphFont"/>
    <w:link w:val="Date"/>
    <w:uiPriority w:val="99"/>
    <w:semiHidden/>
    <w:rsid w:val="00F80750"/>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semiHidden/>
    <w:rsid w:val="00E64743"/>
    <w:rPr>
      <w:noProof w:val="0"/>
      <w:sz w:val="16"/>
      <w:vertAlign w:val="superscript"/>
      <w:lang w:val="en-AU"/>
    </w:rPr>
  </w:style>
  <w:style w:type="paragraph" w:styleId="EndnoteText">
    <w:name w:val="endnote text"/>
    <w:basedOn w:val="Normal"/>
    <w:link w:val="EndnoteTextChar"/>
    <w:uiPriority w:val="99"/>
    <w:semiHidden/>
    <w:rsid w:val="00722F9F"/>
    <w:pPr>
      <w:numPr>
        <w:numId w:val="0"/>
      </w:numPr>
      <w:spacing w:after="0"/>
    </w:pPr>
    <w:rPr>
      <w:sz w:val="16"/>
    </w:rPr>
  </w:style>
  <w:style w:type="character" w:customStyle="1" w:styleId="EndnoteTextChar">
    <w:name w:val="Endnote Text Char"/>
    <w:basedOn w:val="DefaultParagraphFont"/>
    <w:link w:val="EndnoteText"/>
    <w:uiPriority w:val="99"/>
    <w:semiHidden/>
    <w:rsid w:val="000573E5"/>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rsid w:val="00355D40"/>
    <w:rPr>
      <w:noProof w:val="0"/>
      <w:color w:val="7030A0"/>
      <w:u w:val="single"/>
      <w:lang w:val="en-AU"/>
    </w:rPr>
  </w:style>
  <w:style w:type="character" w:styleId="FootnoteReference">
    <w:name w:val="footnote reference"/>
    <w:basedOn w:val="DefaultParagraphFont"/>
    <w:uiPriority w:val="99"/>
    <w:rsid w:val="000573E5"/>
    <w:rPr>
      <w:noProof w:val="0"/>
      <w:sz w:val="18"/>
      <w:vertAlign w:val="superscript"/>
      <w:lang w:val="en-AU"/>
    </w:rPr>
  </w:style>
  <w:style w:type="paragraph" w:styleId="FootnoteText">
    <w:name w:val="footnote text"/>
    <w:basedOn w:val="Normal"/>
    <w:link w:val="FootnoteTextChar"/>
    <w:uiPriority w:val="99"/>
    <w:rsid w:val="00C0373C"/>
    <w:pPr>
      <w:numPr>
        <w:numId w:val="0"/>
      </w:numPr>
      <w:tabs>
        <w:tab w:val="left" w:pos="170"/>
      </w:tabs>
      <w:spacing w:after="120"/>
      <w:ind w:left="170" w:hanging="170"/>
    </w:pPr>
    <w:rPr>
      <w:sz w:val="18"/>
    </w:rPr>
  </w:style>
  <w:style w:type="character" w:customStyle="1" w:styleId="FootnoteTextChar">
    <w:name w:val="Footnote Text Char"/>
    <w:basedOn w:val="DefaultParagraphFont"/>
    <w:link w:val="FootnoteText"/>
    <w:uiPriority w:val="99"/>
    <w:rsid w:val="00C0373C"/>
    <w:rPr>
      <w:sz w:val="18"/>
    </w:rPr>
  </w:style>
  <w:style w:type="character" w:customStyle="1" w:styleId="Heading5Char">
    <w:name w:val="Heading 5 Char"/>
    <w:basedOn w:val="DefaultParagraphFont"/>
    <w:link w:val="Heading5"/>
    <w:uiPriority w:val="9"/>
    <w:rsid w:val="009E529F"/>
    <w:rPr>
      <w:rFonts w:asciiTheme="majorHAnsi" w:eastAsiaTheme="majorEastAsia" w:hAnsiTheme="majorHAnsi" w:cstheme="majorBidi"/>
      <w:b/>
      <w:color w:val="000000" w:themeColor="text1"/>
    </w:rPr>
  </w:style>
  <w:style w:type="character" w:customStyle="1" w:styleId="Heading6Char">
    <w:name w:val="Heading 6 Char"/>
    <w:basedOn w:val="DefaultParagraphFont"/>
    <w:link w:val="Heading6"/>
    <w:uiPriority w:val="9"/>
    <w:rsid w:val="00004ED1"/>
    <w:rPr>
      <w:rFonts w:asciiTheme="majorHAnsi" w:eastAsiaTheme="majorEastAsia" w:hAnsiTheme="majorHAnsi" w:cstheme="majorBidi"/>
      <w:i/>
      <w:iCs/>
    </w:rPr>
  </w:style>
  <w:style w:type="character" w:customStyle="1" w:styleId="Heading7Char">
    <w:name w:val="Heading 7 Char"/>
    <w:basedOn w:val="DefaultParagraphFont"/>
    <w:link w:val="Heading7"/>
    <w:uiPriority w:val="9"/>
    <w:semiHidden/>
    <w:rsid w:val="00B56C6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56C63"/>
    <w:rPr>
      <w:rFonts w:asciiTheme="majorHAnsi" w:eastAsiaTheme="majorEastAsia" w:hAnsiTheme="majorHAnsi" w:cstheme="majorBidi"/>
      <w:i/>
      <w:color w:val="000000" w:themeColor="text1"/>
    </w:rPr>
  </w:style>
  <w:style w:type="character" w:customStyle="1" w:styleId="Heading9Char">
    <w:name w:val="Heading 9 Char"/>
    <w:basedOn w:val="DefaultParagraphFont"/>
    <w:link w:val="Heading9"/>
    <w:uiPriority w:val="9"/>
    <w:semiHidden/>
    <w:rsid w:val="00B56C63"/>
    <w:rPr>
      <w:rFonts w:asciiTheme="majorHAnsi" w:eastAsiaTheme="majorEastAsia" w:hAnsiTheme="majorHAnsi" w:cstheme="majorBidi"/>
      <w:i/>
      <w:iCs/>
      <w:color w:val="000000" w:themeColor="text1"/>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01216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012169" w:themeColor="accent1"/>
      </w:pBdr>
      <w:spacing w:before="200" w:after="280"/>
      <w:ind w:left="936" w:right="936"/>
    </w:pPr>
    <w:rPr>
      <w:b/>
      <w:bCs/>
      <w:i/>
      <w:iCs/>
      <w:color w:val="012169" w:themeColor="accent1"/>
    </w:rPr>
  </w:style>
  <w:style w:type="character" w:customStyle="1" w:styleId="IntenseQuoteChar">
    <w:name w:val="Intense Quote Char"/>
    <w:basedOn w:val="DefaultParagraphFont"/>
    <w:link w:val="IntenseQuote"/>
    <w:uiPriority w:val="30"/>
    <w:semiHidden/>
    <w:rsid w:val="00F80750"/>
    <w:rPr>
      <w:b/>
      <w:bCs/>
      <w:i/>
      <w:iCs/>
      <w:color w:val="012169" w:themeColor="accent1"/>
    </w:rPr>
  </w:style>
  <w:style w:type="character" w:styleId="IntenseReference">
    <w:name w:val="Intense Reference"/>
    <w:basedOn w:val="DefaultParagraphFont"/>
    <w:uiPriority w:val="32"/>
    <w:semiHidden/>
    <w:qFormat/>
    <w:locked/>
    <w:rsid w:val="00F80750"/>
    <w:rPr>
      <w:b/>
      <w:bCs/>
      <w:smallCaps/>
      <w:noProof w:val="0"/>
      <w:color w:val="00A9E0"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18" w:space="0" w:color="012169" w:themeColor="accent1"/>
          <w:right w:val="single" w:sz="8" w:space="0" w:color="012169" w:themeColor="accent1"/>
          <w:insideH w:val="nil"/>
          <w:insideV w:val="single" w:sz="8" w:space="0" w:color="01216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insideH w:val="nil"/>
          <w:insideV w:val="single" w:sz="8" w:space="0" w:color="01216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shd w:val="clear" w:color="auto" w:fill="9BB9FE" w:themeFill="accent1" w:themeFillTint="3F"/>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shd w:val="clear" w:color="auto" w:fill="9BB9FE" w:themeFill="accent1" w:themeFillTint="3F"/>
      </w:tcPr>
    </w:tblStylePr>
    <w:tblStylePr w:type="band2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18" w:space="0" w:color="00A9E0" w:themeColor="accent2"/>
          <w:right w:val="single" w:sz="8" w:space="0" w:color="00A9E0" w:themeColor="accent2"/>
          <w:insideH w:val="nil"/>
          <w:insideV w:val="single" w:sz="8" w:space="0" w:color="00A9E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insideH w:val="nil"/>
          <w:insideV w:val="single" w:sz="8" w:space="0" w:color="00A9E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shd w:val="clear" w:color="auto" w:fill="B8EDFF" w:themeFill="accent2" w:themeFillTint="3F"/>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shd w:val="clear" w:color="auto" w:fill="B8EDFF" w:themeFill="accent2" w:themeFillTint="3F"/>
      </w:tcPr>
    </w:tblStylePr>
    <w:tblStylePr w:type="band2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18" w:space="0" w:color="0072CE" w:themeColor="accent3"/>
          <w:right w:val="single" w:sz="8" w:space="0" w:color="0072CE" w:themeColor="accent3"/>
          <w:insideH w:val="nil"/>
          <w:insideV w:val="single" w:sz="8" w:space="0" w:color="0072C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insideH w:val="nil"/>
          <w:insideV w:val="single" w:sz="8" w:space="0" w:color="0072C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shd w:val="clear" w:color="auto" w:fill="B3DDFF" w:themeFill="accent3" w:themeFillTint="3F"/>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shd w:val="clear" w:color="auto" w:fill="B3DDFF" w:themeFill="accent3" w:themeFillTint="3F"/>
      </w:tcPr>
    </w:tblStylePr>
    <w:tblStylePr w:type="band2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18" w:space="0" w:color="98A4AE" w:themeColor="accent4"/>
          <w:right w:val="single" w:sz="8" w:space="0" w:color="98A4AE" w:themeColor="accent4"/>
          <w:insideH w:val="nil"/>
          <w:insideV w:val="single" w:sz="8" w:space="0" w:color="98A4A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insideH w:val="nil"/>
          <w:insideV w:val="single" w:sz="8" w:space="0" w:color="98A4A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shd w:val="clear" w:color="auto" w:fill="E5E8EB" w:themeFill="accent4" w:themeFillTint="3F"/>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shd w:val="clear" w:color="auto" w:fill="E5E8EB" w:themeFill="accent4" w:themeFillTint="3F"/>
      </w:tcPr>
    </w:tblStylePr>
    <w:tblStylePr w:type="band2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18" w:space="0" w:color="4F758B" w:themeColor="accent5"/>
          <w:right w:val="single" w:sz="8" w:space="0" w:color="4F758B" w:themeColor="accent5"/>
          <w:insideH w:val="nil"/>
          <w:insideV w:val="single" w:sz="8" w:space="0" w:color="4F758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insideH w:val="nil"/>
          <w:insideV w:val="single" w:sz="8" w:space="0" w:color="4F758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shd w:val="clear" w:color="auto" w:fill="D0DDE4" w:themeFill="accent5" w:themeFillTint="3F"/>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shd w:val="clear" w:color="auto" w:fill="D0DDE4" w:themeFill="accent5" w:themeFillTint="3F"/>
      </w:tcPr>
    </w:tblStylePr>
    <w:tblStylePr w:type="band2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18" w:space="0" w:color="71C5E8" w:themeColor="accent6"/>
          <w:right w:val="single" w:sz="8" w:space="0" w:color="71C5E8" w:themeColor="accent6"/>
          <w:insideH w:val="nil"/>
          <w:insideV w:val="single" w:sz="8" w:space="0" w:color="71C5E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insideH w:val="nil"/>
          <w:insideV w:val="single" w:sz="8" w:space="0" w:color="71C5E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shd w:val="clear" w:color="auto" w:fill="DBF0F9" w:themeFill="accent6" w:themeFillTint="3F"/>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shd w:val="clear" w:color="auto" w:fill="DBF0F9" w:themeFill="accent6" w:themeFillTint="3F"/>
      </w:tcPr>
    </w:tblStylePr>
    <w:tblStylePr w:type="band2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pPr>
        <w:spacing w:before="0" w:after="0" w:line="240" w:lineRule="auto"/>
      </w:pPr>
      <w:rPr>
        <w:b/>
        <w:bCs/>
        <w:color w:val="FFFFFF" w:themeColor="background1"/>
      </w:rPr>
      <w:tblPr/>
      <w:tcPr>
        <w:shd w:val="clear" w:color="auto" w:fill="012169" w:themeFill="accent1"/>
      </w:tcPr>
    </w:tblStylePr>
    <w:tblStylePr w:type="lastRow">
      <w:pPr>
        <w:spacing w:before="0" w:after="0" w:line="240" w:lineRule="auto"/>
      </w:pPr>
      <w:rPr>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tcBorders>
      </w:tcPr>
    </w:tblStylePr>
    <w:tblStylePr w:type="firstCol">
      <w:rPr>
        <w:b/>
        <w:bCs/>
      </w:rPr>
    </w:tblStylePr>
    <w:tblStylePr w:type="lastCol">
      <w:rPr>
        <w:b/>
        <w:bCs/>
      </w:r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pPr>
        <w:spacing w:before="0" w:after="0" w:line="240" w:lineRule="auto"/>
      </w:pPr>
      <w:rPr>
        <w:b/>
        <w:bCs/>
        <w:color w:val="FFFFFF" w:themeColor="background1"/>
      </w:rPr>
      <w:tblPr/>
      <w:tcPr>
        <w:shd w:val="clear" w:color="auto" w:fill="00A9E0" w:themeFill="accent2"/>
      </w:tcPr>
    </w:tblStylePr>
    <w:tblStylePr w:type="lastRow">
      <w:pPr>
        <w:spacing w:before="0" w:after="0" w:line="240" w:lineRule="auto"/>
      </w:pPr>
      <w:rPr>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tcBorders>
      </w:tcPr>
    </w:tblStylePr>
    <w:tblStylePr w:type="firstCol">
      <w:rPr>
        <w:b/>
        <w:bCs/>
      </w:rPr>
    </w:tblStylePr>
    <w:tblStylePr w:type="lastCol">
      <w:rPr>
        <w:b/>
        <w:bCs/>
      </w:r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pPr>
        <w:spacing w:before="0" w:after="0" w:line="240" w:lineRule="auto"/>
      </w:pPr>
      <w:rPr>
        <w:b/>
        <w:bCs/>
        <w:color w:val="FFFFFF" w:themeColor="background1"/>
      </w:rPr>
      <w:tblPr/>
      <w:tcPr>
        <w:shd w:val="clear" w:color="auto" w:fill="0072CE" w:themeFill="accent3"/>
      </w:tcPr>
    </w:tblStylePr>
    <w:tblStylePr w:type="lastRow">
      <w:pPr>
        <w:spacing w:before="0" w:after="0" w:line="240" w:lineRule="auto"/>
      </w:pPr>
      <w:rPr>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tcBorders>
      </w:tcPr>
    </w:tblStylePr>
    <w:tblStylePr w:type="firstCol">
      <w:rPr>
        <w:b/>
        <w:bCs/>
      </w:rPr>
    </w:tblStylePr>
    <w:tblStylePr w:type="lastCol">
      <w:rPr>
        <w:b/>
        <w:bCs/>
      </w:r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pPr>
        <w:spacing w:before="0" w:after="0" w:line="240" w:lineRule="auto"/>
      </w:pPr>
      <w:rPr>
        <w:b/>
        <w:bCs/>
        <w:color w:val="FFFFFF" w:themeColor="background1"/>
      </w:rPr>
      <w:tblPr/>
      <w:tcPr>
        <w:shd w:val="clear" w:color="auto" w:fill="98A4AE" w:themeFill="accent4"/>
      </w:tcPr>
    </w:tblStylePr>
    <w:tblStylePr w:type="lastRow">
      <w:pPr>
        <w:spacing w:before="0" w:after="0" w:line="240" w:lineRule="auto"/>
      </w:pPr>
      <w:rPr>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tcBorders>
      </w:tcPr>
    </w:tblStylePr>
    <w:tblStylePr w:type="firstCol">
      <w:rPr>
        <w:b/>
        <w:bCs/>
      </w:rPr>
    </w:tblStylePr>
    <w:tblStylePr w:type="lastCol">
      <w:rPr>
        <w:b/>
        <w:bCs/>
      </w:r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pPr>
        <w:spacing w:before="0" w:after="0" w:line="240" w:lineRule="auto"/>
      </w:pPr>
      <w:rPr>
        <w:b/>
        <w:bCs/>
        <w:color w:val="FFFFFF" w:themeColor="background1"/>
      </w:rPr>
      <w:tblPr/>
      <w:tcPr>
        <w:shd w:val="clear" w:color="auto" w:fill="4F758B" w:themeFill="accent5"/>
      </w:tcPr>
    </w:tblStylePr>
    <w:tblStylePr w:type="lastRow">
      <w:pPr>
        <w:spacing w:before="0" w:after="0" w:line="240" w:lineRule="auto"/>
      </w:pPr>
      <w:rPr>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tcBorders>
      </w:tcPr>
    </w:tblStylePr>
    <w:tblStylePr w:type="firstCol">
      <w:rPr>
        <w:b/>
        <w:bCs/>
      </w:rPr>
    </w:tblStylePr>
    <w:tblStylePr w:type="lastCol">
      <w:rPr>
        <w:b/>
        <w:bCs/>
      </w:r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pPr>
        <w:spacing w:before="0" w:after="0" w:line="240" w:lineRule="auto"/>
      </w:pPr>
      <w:rPr>
        <w:b/>
        <w:bCs/>
        <w:color w:val="FFFFFF" w:themeColor="background1"/>
      </w:rPr>
      <w:tblPr/>
      <w:tcPr>
        <w:shd w:val="clear" w:color="auto" w:fill="71C5E8" w:themeFill="accent6"/>
      </w:tcPr>
    </w:tblStylePr>
    <w:tblStylePr w:type="lastRow">
      <w:pPr>
        <w:spacing w:before="0" w:after="0" w:line="240" w:lineRule="auto"/>
      </w:pPr>
      <w:rPr>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tcBorders>
      </w:tcPr>
    </w:tblStylePr>
    <w:tblStylePr w:type="firstCol">
      <w:rPr>
        <w:b/>
        <w:bCs/>
      </w:rPr>
    </w:tblStylePr>
    <w:tblStylePr w:type="lastCol">
      <w:rPr>
        <w:b/>
        <w:bCs/>
      </w:r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00184E" w:themeColor="accent1" w:themeShade="BF"/>
    </w:rPr>
    <w:tblPr>
      <w:tblStyleRowBandSize w:val="1"/>
      <w:tblStyleColBandSize w:val="1"/>
      <w:tblBorders>
        <w:top w:val="single" w:sz="8" w:space="0" w:color="012169" w:themeColor="accent1"/>
        <w:bottom w:val="single" w:sz="8" w:space="0" w:color="012169" w:themeColor="accent1"/>
      </w:tblBorders>
    </w:tblPr>
    <w:tblStylePr w:type="fir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la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left w:val="nil"/>
          <w:right w:val="nil"/>
          <w:insideH w:val="nil"/>
          <w:insideV w:val="nil"/>
        </w:tcBorders>
        <w:shd w:val="clear" w:color="auto" w:fill="9BB9FE" w:themeFill="accent1" w:themeFillTint="3F"/>
      </w:tcPr>
    </w:tblStylePr>
  </w:style>
  <w:style w:type="table" w:styleId="LightShading-Accent2">
    <w:name w:val="Light Shading Accent 2"/>
    <w:basedOn w:val="TableNormal"/>
    <w:uiPriority w:val="60"/>
    <w:locked/>
    <w:rsid w:val="00F80750"/>
    <w:pPr>
      <w:spacing w:after="0"/>
    </w:pPr>
    <w:rPr>
      <w:color w:val="007EA7" w:themeColor="accent2" w:themeShade="BF"/>
    </w:rPr>
    <w:tblPr>
      <w:tblStyleRowBandSize w:val="1"/>
      <w:tblStyleColBandSize w:val="1"/>
      <w:tblBorders>
        <w:top w:val="single" w:sz="8" w:space="0" w:color="00A9E0" w:themeColor="accent2"/>
        <w:bottom w:val="single" w:sz="8" w:space="0" w:color="00A9E0" w:themeColor="accent2"/>
      </w:tblBorders>
    </w:tblPr>
    <w:tblStylePr w:type="fir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la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left w:val="nil"/>
          <w:right w:val="nil"/>
          <w:insideH w:val="nil"/>
          <w:insideV w:val="nil"/>
        </w:tcBorders>
        <w:shd w:val="clear" w:color="auto" w:fill="B8EDFF" w:themeFill="accent2" w:themeFillTint="3F"/>
      </w:tcPr>
    </w:tblStylePr>
  </w:style>
  <w:style w:type="table" w:styleId="LightShading-Accent3">
    <w:name w:val="Light Shading Accent 3"/>
    <w:basedOn w:val="TableNormal"/>
    <w:uiPriority w:val="60"/>
    <w:locked/>
    <w:rsid w:val="00F80750"/>
    <w:pPr>
      <w:spacing w:after="0"/>
    </w:pPr>
    <w:rPr>
      <w:color w:val="00559A" w:themeColor="accent3" w:themeShade="BF"/>
    </w:rPr>
    <w:tblPr>
      <w:tblStyleRowBandSize w:val="1"/>
      <w:tblStyleColBandSize w:val="1"/>
      <w:tblBorders>
        <w:top w:val="single" w:sz="8" w:space="0" w:color="0072CE" w:themeColor="accent3"/>
        <w:bottom w:val="single" w:sz="8" w:space="0" w:color="0072CE" w:themeColor="accent3"/>
      </w:tblBorders>
    </w:tblPr>
    <w:tblStylePr w:type="fir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la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left w:val="nil"/>
          <w:right w:val="nil"/>
          <w:insideH w:val="nil"/>
          <w:insideV w:val="nil"/>
        </w:tcBorders>
        <w:shd w:val="clear" w:color="auto" w:fill="B3DDFF" w:themeFill="accent3" w:themeFillTint="3F"/>
      </w:tcPr>
    </w:tblStylePr>
  </w:style>
  <w:style w:type="table" w:styleId="LightShading-Accent4">
    <w:name w:val="Light Shading Accent 4"/>
    <w:basedOn w:val="TableNormal"/>
    <w:uiPriority w:val="60"/>
    <w:locked/>
    <w:rsid w:val="00F80750"/>
    <w:pPr>
      <w:spacing w:after="0"/>
    </w:pPr>
    <w:rPr>
      <w:color w:val="6B7B88" w:themeColor="accent4" w:themeShade="BF"/>
    </w:rPr>
    <w:tblPr>
      <w:tblStyleRowBandSize w:val="1"/>
      <w:tblStyleColBandSize w:val="1"/>
      <w:tblBorders>
        <w:top w:val="single" w:sz="8" w:space="0" w:color="98A4AE" w:themeColor="accent4"/>
        <w:bottom w:val="single" w:sz="8" w:space="0" w:color="98A4AE" w:themeColor="accent4"/>
      </w:tblBorders>
    </w:tblPr>
    <w:tblStylePr w:type="fir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la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left w:val="nil"/>
          <w:right w:val="nil"/>
          <w:insideH w:val="nil"/>
          <w:insideV w:val="nil"/>
        </w:tcBorders>
        <w:shd w:val="clear" w:color="auto" w:fill="E5E8EB" w:themeFill="accent4" w:themeFillTint="3F"/>
      </w:tcPr>
    </w:tblStylePr>
  </w:style>
  <w:style w:type="table" w:styleId="LightShading-Accent5">
    <w:name w:val="Light Shading Accent 5"/>
    <w:basedOn w:val="TableNormal"/>
    <w:uiPriority w:val="60"/>
    <w:locked/>
    <w:rsid w:val="00F80750"/>
    <w:pPr>
      <w:spacing w:after="0"/>
    </w:pPr>
    <w:rPr>
      <w:color w:val="3B5767" w:themeColor="accent5" w:themeShade="BF"/>
    </w:rPr>
    <w:tblPr>
      <w:tblStyleRowBandSize w:val="1"/>
      <w:tblStyleColBandSize w:val="1"/>
      <w:tblBorders>
        <w:top w:val="single" w:sz="8" w:space="0" w:color="4F758B" w:themeColor="accent5"/>
        <w:bottom w:val="single" w:sz="8" w:space="0" w:color="4F758B" w:themeColor="accent5"/>
      </w:tblBorders>
    </w:tblPr>
    <w:tblStylePr w:type="fir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la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left w:val="nil"/>
          <w:right w:val="nil"/>
          <w:insideH w:val="nil"/>
          <w:insideV w:val="nil"/>
        </w:tcBorders>
        <w:shd w:val="clear" w:color="auto" w:fill="D0DDE4" w:themeFill="accent5" w:themeFillTint="3F"/>
      </w:tcPr>
    </w:tblStylePr>
  </w:style>
  <w:style w:type="table" w:styleId="LightShading-Accent6">
    <w:name w:val="Light Shading Accent 6"/>
    <w:basedOn w:val="TableNormal"/>
    <w:uiPriority w:val="60"/>
    <w:locked/>
    <w:rsid w:val="00F80750"/>
    <w:pPr>
      <w:spacing w:after="0"/>
    </w:pPr>
    <w:rPr>
      <w:color w:val="26A6DC" w:themeColor="accent6" w:themeShade="BF"/>
    </w:rPr>
    <w:tblPr>
      <w:tblStyleRowBandSize w:val="1"/>
      <w:tblStyleColBandSize w:val="1"/>
      <w:tblBorders>
        <w:top w:val="single" w:sz="8" w:space="0" w:color="71C5E8" w:themeColor="accent6"/>
        <w:bottom w:val="single" w:sz="8" w:space="0" w:color="71C5E8" w:themeColor="accent6"/>
      </w:tblBorders>
    </w:tblPr>
    <w:tblStylePr w:type="fir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la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left w:val="nil"/>
          <w:right w:val="nil"/>
          <w:insideH w:val="nil"/>
          <w:insideV w:val="nil"/>
        </w:tcBorders>
        <w:shd w:val="clear" w:color="auto" w:fill="DBF0F9"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7"/>
    <w:qFormat/>
    <w:rsid w:val="00A8129D"/>
    <w:pPr>
      <w:numPr>
        <w:ilvl w:val="1"/>
      </w:numPr>
    </w:pPr>
  </w:style>
  <w:style w:type="paragraph" w:styleId="List2">
    <w:name w:val="List 2"/>
    <w:basedOn w:val="Normal"/>
    <w:uiPriority w:val="17"/>
    <w:qFormat/>
    <w:rsid w:val="00A8129D"/>
    <w:pPr>
      <w:numPr>
        <w:ilvl w:val="2"/>
      </w:numPr>
    </w:pPr>
  </w:style>
  <w:style w:type="paragraph" w:styleId="List3">
    <w:name w:val="List 3"/>
    <w:basedOn w:val="Normal"/>
    <w:uiPriority w:val="17"/>
    <w:qFormat/>
    <w:rsid w:val="00A8129D"/>
    <w:pPr>
      <w:numPr>
        <w:ilvl w:val="3"/>
      </w:numPr>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
      </w:numPr>
      <w:contextualSpacing/>
    </w:pPr>
  </w:style>
  <w:style w:type="paragraph" w:styleId="ListParagraph">
    <w:name w:val="List Paragraph"/>
    <w:uiPriority w:val="34"/>
    <w:qFormat/>
    <w:rsid w:val="006D315C"/>
    <w:pPr>
      <w:tabs>
        <w:tab w:val="left" w:pos="425"/>
        <w:tab w:val="left" w:pos="851"/>
      </w:tabs>
      <w:ind w:left="425"/>
      <w:contextualSpacing/>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insideV w:val="single" w:sz="8" w:space="0" w:color="0240CD" w:themeColor="accent1" w:themeTint="BF"/>
      </w:tblBorders>
    </w:tblPr>
    <w:tcPr>
      <w:shd w:val="clear" w:color="auto" w:fill="9BB9FE" w:themeFill="accent1" w:themeFillTint="3F"/>
    </w:tcPr>
    <w:tblStylePr w:type="firstRow">
      <w:rPr>
        <w:b/>
        <w:bCs/>
      </w:rPr>
    </w:tblStylePr>
    <w:tblStylePr w:type="lastRow">
      <w:rPr>
        <w:b/>
        <w:bCs/>
      </w:rPr>
      <w:tblPr/>
      <w:tcPr>
        <w:tcBorders>
          <w:top w:val="single" w:sz="18" w:space="0" w:color="0240CD" w:themeColor="accent1" w:themeTint="BF"/>
        </w:tcBorders>
      </w:tcPr>
    </w:tblStylePr>
    <w:tblStylePr w:type="firstCol">
      <w:rPr>
        <w:b/>
        <w:bCs/>
      </w:rPr>
    </w:tblStylePr>
    <w:tblStylePr w:type="lastCol">
      <w:rPr>
        <w:b/>
        <w:bCs/>
      </w:r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insideV w:val="single" w:sz="8" w:space="0" w:color="28CAFF" w:themeColor="accent2" w:themeTint="BF"/>
      </w:tblBorders>
    </w:tblPr>
    <w:tcPr>
      <w:shd w:val="clear" w:color="auto" w:fill="B8EDFF" w:themeFill="accent2" w:themeFillTint="3F"/>
    </w:tcPr>
    <w:tblStylePr w:type="firstRow">
      <w:rPr>
        <w:b/>
        <w:bCs/>
      </w:rPr>
    </w:tblStylePr>
    <w:tblStylePr w:type="lastRow">
      <w:rPr>
        <w:b/>
        <w:bCs/>
      </w:rPr>
      <w:tblPr/>
      <w:tcPr>
        <w:tcBorders>
          <w:top w:val="single" w:sz="18" w:space="0" w:color="28CAFF" w:themeColor="accent2" w:themeTint="BF"/>
        </w:tcBorders>
      </w:tcPr>
    </w:tblStylePr>
    <w:tblStylePr w:type="firstCol">
      <w:rPr>
        <w:b/>
        <w:bCs/>
      </w:rPr>
    </w:tblStylePr>
    <w:tblStylePr w:type="lastCol">
      <w:rPr>
        <w:b/>
        <w:bCs/>
      </w:r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insideV w:val="single" w:sz="8" w:space="0" w:color="1B99FF" w:themeColor="accent3" w:themeTint="BF"/>
      </w:tblBorders>
    </w:tblPr>
    <w:tcPr>
      <w:shd w:val="clear" w:color="auto" w:fill="B3DDFF" w:themeFill="accent3" w:themeFillTint="3F"/>
    </w:tcPr>
    <w:tblStylePr w:type="firstRow">
      <w:rPr>
        <w:b/>
        <w:bCs/>
      </w:rPr>
    </w:tblStylePr>
    <w:tblStylePr w:type="lastRow">
      <w:rPr>
        <w:b/>
        <w:bCs/>
      </w:rPr>
      <w:tblPr/>
      <w:tcPr>
        <w:tcBorders>
          <w:top w:val="single" w:sz="18" w:space="0" w:color="1B99FF" w:themeColor="accent3" w:themeTint="BF"/>
        </w:tcBorders>
      </w:tcPr>
    </w:tblStylePr>
    <w:tblStylePr w:type="firstCol">
      <w:rPr>
        <w:b/>
        <w:bCs/>
      </w:rPr>
    </w:tblStylePr>
    <w:tblStylePr w:type="lastCol">
      <w:rPr>
        <w:b/>
        <w:bCs/>
      </w:r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insideV w:val="single" w:sz="8" w:space="0" w:color="B1BAC2" w:themeColor="accent4" w:themeTint="BF"/>
      </w:tblBorders>
    </w:tblPr>
    <w:tcPr>
      <w:shd w:val="clear" w:color="auto" w:fill="E5E8EB" w:themeFill="accent4" w:themeFillTint="3F"/>
    </w:tcPr>
    <w:tblStylePr w:type="firstRow">
      <w:rPr>
        <w:b/>
        <w:bCs/>
      </w:rPr>
    </w:tblStylePr>
    <w:tblStylePr w:type="lastRow">
      <w:rPr>
        <w:b/>
        <w:bCs/>
      </w:rPr>
      <w:tblPr/>
      <w:tcPr>
        <w:tcBorders>
          <w:top w:val="single" w:sz="18" w:space="0" w:color="B1BAC2" w:themeColor="accent4" w:themeTint="BF"/>
        </w:tcBorders>
      </w:tcPr>
    </w:tblStylePr>
    <w:tblStylePr w:type="firstCol">
      <w:rPr>
        <w:b/>
        <w:bCs/>
      </w:rPr>
    </w:tblStylePr>
    <w:tblStylePr w:type="lastCol">
      <w:rPr>
        <w:b/>
        <w:bCs/>
      </w:r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insideV w:val="single" w:sz="8" w:space="0" w:color="7399AF" w:themeColor="accent5" w:themeTint="BF"/>
      </w:tblBorders>
    </w:tblPr>
    <w:tcPr>
      <w:shd w:val="clear" w:color="auto" w:fill="D0DDE4" w:themeFill="accent5" w:themeFillTint="3F"/>
    </w:tcPr>
    <w:tblStylePr w:type="firstRow">
      <w:rPr>
        <w:b/>
        <w:bCs/>
      </w:rPr>
    </w:tblStylePr>
    <w:tblStylePr w:type="lastRow">
      <w:rPr>
        <w:b/>
        <w:bCs/>
      </w:rPr>
      <w:tblPr/>
      <w:tcPr>
        <w:tcBorders>
          <w:top w:val="single" w:sz="18" w:space="0" w:color="7399AF" w:themeColor="accent5" w:themeTint="BF"/>
        </w:tcBorders>
      </w:tcPr>
    </w:tblStylePr>
    <w:tblStylePr w:type="firstCol">
      <w:rPr>
        <w:b/>
        <w:bCs/>
      </w:rPr>
    </w:tblStylePr>
    <w:tblStylePr w:type="lastCol">
      <w:rPr>
        <w:b/>
        <w:bCs/>
      </w:r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insideV w:val="single" w:sz="8" w:space="0" w:color="94D3ED" w:themeColor="accent6" w:themeTint="BF"/>
      </w:tblBorders>
    </w:tblPr>
    <w:tcPr>
      <w:shd w:val="clear" w:color="auto" w:fill="DBF0F9" w:themeFill="accent6" w:themeFillTint="3F"/>
    </w:tcPr>
    <w:tblStylePr w:type="firstRow">
      <w:rPr>
        <w:b/>
        <w:bCs/>
      </w:rPr>
    </w:tblStylePr>
    <w:tblStylePr w:type="lastRow">
      <w:rPr>
        <w:b/>
        <w:bCs/>
      </w:rPr>
      <w:tblPr/>
      <w:tcPr>
        <w:tcBorders>
          <w:top w:val="single" w:sz="18" w:space="0" w:color="94D3ED" w:themeColor="accent6" w:themeTint="BF"/>
        </w:tcBorders>
      </w:tcPr>
    </w:tblStylePr>
    <w:tblStylePr w:type="firstCol">
      <w:rPr>
        <w:b/>
        <w:bCs/>
      </w:rPr>
    </w:tblStylePr>
    <w:tblStylePr w:type="lastCol">
      <w:rPr>
        <w:b/>
        <w:bCs/>
      </w:r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cPr>
      <w:shd w:val="clear" w:color="auto" w:fill="9BB9FE" w:themeFill="accent1" w:themeFillTint="3F"/>
    </w:tcPr>
    <w:tblStylePr w:type="firstRow">
      <w:rPr>
        <w:b/>
        <w:bCs/>
        <w:color w:val="000000" w:themeColor="text1"/>
      </w:rPr>
      <w:tblPr/>
      <w:tcPr>
        <w:shd w:val="clear" w:color="auto" w:fill="D7E3F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EC7FE" w:themeFill="accent1" w:themeFillTint="33"/>
      </w:tcPr>
    </w:tblStylePr>
    <w:tblStylePr w:type="band1Vert">
      <w:tblPr/>
      <w:tcPr>
        <w:shd w:val="clear" w:color="auto" w:fill="3773FD" w:themeFill="accent1" w:themeFillTint="7F"/>
      </w:tcPr>
    </w:tblStylePr>
    <w:tblStylePr w:type="band1Horz">
      <w:tblPr/>
      <w:tcPr>
        <w:tcBorders>
          <w:insideH w:val="single" w:sz="6" w:space="0" w:color="012169" w:themeColor="accent1"/>
          <w:insideV w:val="single" w:sz="6" w:space="0" w:color="012169" w:themeColor="accent1"/>
        </w:tcBorders>
        <w:shd w:val="clear" w:color="auto" w:fill="3773F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cPr>
      <w:shd w:val="clear" w:color="auto" w:fill="B8EDFF" w:themeFill="accent2" w:themeFillTint="3F"/>
    </w:tcPr>
    <w:tblStylePr w:type="firstRow">
      <w:rPr>
        <w:b/>
        <w:bCs/>
        <w:color w:val="000000" w:themeColor="text1"/>
      </w:rPr>
      <w:tblPr/>
      <w:tcPr>
        <w:shd w:val="clear" w:color="auto" w:fill="E2F8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0FF" w:themeFill="accent2" w:themeFillTint="33"/>
      </w:tcPr>
    </w:tblStylePr>
    <w:tblStylePr w:type="band1Vert">
      <w:tblPr/>
      <w:tcPr>
        <w:shd w:val="clear" w:color="auto" w:fill="70DBFF" w:themeFill="accent2" w:themeFillTint="7F"/>
      </w:tcPr>
    </w:tblStylePr>
    <w:tblStylePr w:type="band1Horz">
      <w:tblPr/>
      <w:tcPr>
        <w:tcBorders>
          <w:insideH w:val="single" w:sz="6" w:space="0" w:color="00A9E0" w:themeColor="accent2"/>
          <w:insideV w:val="single" w:sz="6" w:space="0" w:color="00A9E0" w:themeColor="accent2"/>
        </w:tcBorders>
        <w:shd w:val="clear" w:color="auto" w:fill="70DB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cPr>
      <w:shd w:val="clear" w:color="auto" w:fill="B3DDFF" w:themeFill="accent3" w:themeFillTint="3F"/>
    </w:tcPr>
    <w:tblStylePr w:type="firstRow">
      <w:rPr>
        <w:b/>
        <w:bCs/>
        <w:color w:val="000000" w:themeColor="text1"/>
      </w:rPr>
      <w:tblPr/>
      <w:tcPr>
        <w:shd w:val="clear" w:color="auto" w:fill="E1F1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3" w:themeFillTint="33"/>
      </w:tcPr>
    </w:tblStylePr>
    <w:tblStylePr w:type="band1Vert">
      <w:tblPr/>
      <w:tcPr>
        <w:shd w:val="clear" w:color="auto" w:fill="67BBFF" w:themeFill="accent3" w:themeFillTint="7F"/>
      </w:tcPr>
    </w:tblStylePr>
    <w:tblStylePr w:type="band1Horz">
      <w:tblPr/>
      <w:tcPr>
        <w:tcBorders>
          <w:insideH w:val="single" w:sz="6" w:space="0" w:color="0072CE" w:themeColor="accent3"/>
          <w:insideV w:val="single" w:sz="6" w:space="0" w:color="0072CE" w:themeColor="accent3"/>
        </w:tcBorders>
        <w:shd w:val="clear" w:color="auto" w:fill="67BB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cPr>
      <w:shd w:val="clear" w:color="auto" w:fill="E5E8EB" w:themeFill="accent4" w:themeFillTint="3F"/>
    </w:tcPr>
    <w:tblStylePr w:type="firstRow">
      <w:rPr>
        <w:b/>
        <w:bCs/>
        <w:color w:val="000000" w:themeColor="text1"/>
      </w:rPr>
      <w:tblPr/>
      <w:tcPr>
        <w:shd w:val="clear" w:color="auto" w:fill="F4F5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CEE" w:themeFill="accent4" w:themeFillTint="33"/>
      </w:tcPr>
    </w:tblStylePr>
    <w:tblStylePr w:type="band1Vert">
      <w:tblPr/>
      <w:tcPr>
        <w:shd w:val="clear" w:color="auto" w:fill="CBD1D6" w:themeFill="accent4" w:themeFillTint="7F"/>
      </w:tcPr>
    </w:tblStylePr>
    <w:tblStylePr w:type="band1Horz">
      <w:tblPr/>
      <w:tcPr>
        <w:tcBorders>
          <w:insideH w:val="single" w:sz="6" w:space="0" w:color="98A4AE" w:themeColor="accent4"/>
          <w:insideV w:val="single" w:sz="6" w:space="0" w:color="98A4AE" w:themeColor="accent4"/>
        </w:tcBorders>
        <w:shd w:val="clear" w:color="auto" w:fill="CBD1D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cPr>
      <w:shd w:val="clear" w:color="auto" w:fill="D0DDE4" w:themeFill="accent5" w:themeFillTint="3F"/>
    </w:tcPr>
    <w:tblStylePr w:type="firstRow">
      <w:rPr>
        <w:b/>
        <w:bCs/>
        <w:color w:val="000000" w:themeColor="text1"/>
      </w:rPr>
      <w:tblPr/>
      <w:tcPr>
        <w:shd w:val="clear" w:color="auto" w:fill="ECF1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3E9" w:themeFill="accent5" w:themeFillTint="33"/>
      </w:tcPr>
    </w:tblStylePr>
    <w:tblStylePr w:type="band1Vert">
      <w:tblPr/>
      <w:tcPr>
        <w:shd w:val="clear" w:color="auto" w:fill="A2BBCA" w:themeFill="accent5" w:themeFillTint="7F"/>
      </w:tcPr>
    </w:tblStylePr>
    <w:tblStylePr w:type="band1Horz">
      <w:tblPr/>
      <w:tcPr>
        <w:tcBorders>
          <w:insideH w:val="single" w:sz="6" w:space="0" w:color="4F758B" w:themeColor="accent5"/>
          <w:insideV w:val="single" w:sz="6" w:space="0" w:color="4F758B" w:themeColor="accent5"/>
        </w:tcBorders>
        <w:shd w:val="clear" w:color="auto" w:fill="A2BBC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cPr>
      <w:shd w:val="clear" w:color="auto" w:fill="DBF0F9" w:themeFill="accent6" w:themeFillTint="3F"/>
    </w:tcPr>
    <w:tblStylePr w:type="firstRow">
      <w:rPr>
        <w:b/>
        <w:bCs/>
        <w:color w:val="000000" w:themeColor="text1"/>
      </w:rPr>
      <w:tblPr/>
      <w:tcPr>
        <w:shd w:val="clear" w:color="auto" w:fill="F0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F3FA" w:themeFill="accent6" w:themeFillTint="33"/>
      </w:tcPr>
    </w:tblStylePr>
    <w:tblStylePr w:type="band1Vert">
      <w:tblPr/>
      <w:tcPr>
        <w:shd w:val="clear" w:color="auto" w:fill="B8E2F3" w:themeFill="accent6" w:themeFillTint="7F"/>
      </w:tcPr>
    </w:tblStylePr>
    <w:tblStylePr w:type="band1Horz">
      <w:tblPr/>
      <w:tcPr>
        <w:tcBorders>
          <w:insideH w:val="single" w:sz="6" w:space="0" w:color="71C5E8" w:themeColor="accent6"/>
          <w:insideV w:val="single" w:sz="6" w:space="0" w:color="71C5E8" w:themeColor="accent6"/>
        </w:tcBorders>
        <w:shd w:val="clear" w:color="auto" w:fill="B8E2F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BB9F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216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216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773F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773FD"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E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9E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9E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0DB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0DBF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DD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C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C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BB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BBFF"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8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8A4A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8A4A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D1D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D1D6"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DE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758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758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BBC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BBCA"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F0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C5E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C5E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8E2F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8E2F3"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1216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012169" w:themeColor="accent1"/>
        <w:bottom w:val="single" w:sz="8" w:space="0" w:color="012169" w:themeColor="accent1"/>
      </w:tblBorders>
    </w:tblPr>
    <w:tblStylePr w:type="firstRow">
      <w:rPr>
        <w:rFonts w:asciiTheme="majorHAnsi" w:eastAsiaTheme="majorEastAsia" w:hAnsiTheme="majorHAnsi" w:cstheme="majorBidi"/>
      </w:rPr>
      <w:tblPr/>
      <w:tcPr>
        <w:tcBorders>
          <w:top w:val="nil"/>
          <w:bottom w:val="single" w:sz="8" w:space="0" w:color="012169" w:themeColor="accent1"/>
        </w:tcBorders>
      </w:tcPr>
    </w:tblStylePr>
    <w:tblStylePr w:type="lastRow">
      <w:rPr>
        <w:b/>
        <w:bCs/>
        <w:color w:val="012169" w:themeColor="text2"/>
      </w:rPr>
      <w:tblPr/>
      <w:tcPr>
        <w:tcBorders>
          <w:top w:val="single" w:sz="8" w:space="0" w:color="012169" w:themeColor="accent1"/>
          <w:bottom w:val="single" w:sz="8" w:space="0" w:color="012169" w:themeColor="accent1"/>
        </w:tcBorders>
      </w:tcPr>
    </w:tblStylePr>
    <w:tblStylePr w:type="firstCol">
      <w:rPr>
        <w:b/>
        <w:bCs/>
      </w:rPr>
    </w:tblStylePr>
    <w:tblStylePr w:type="lastCol">
      <w:rPr>
        <w:b/>
        <w:bCs/>
      </w:rPr>
      <w:tblPr/>
      <w:tcPr>
        <w:tcBorders>
          <w:top w:val="single" w:sz="8" w:space="0" w:color="012169" w:themeColor="accent1"/>
          <w:bottom w:val="single" w:sz="8" w:space="0" w:color="012169" w:themeColor="accent1"/>
        </w:tcBorders>
      </w:tcPr>
    </w:tblStylePr>
    <w:tblStylePr w:type="band1Vert">
      <w:tblPr/>
      <w:tcPr>
        <w:shd w:val="clear" w:color="auto" w:fill="9BB9FE" w:themeFill="accent1" w:themeFillTint="3F"/>
      </w:tcPr>
    </w:tblStylePr>
    <w:tblStylePr w:type="band1Horz">
      <w:tblPr/>
      <w:tcPr>
        <w:shd w:val="clear" w:color="auto" w:fill="9BB9FE"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00A9E0" w:themeColor="accent2"/>
        <w:bottom w:val="single" w:sz="8" w:space="0" w:color="00A9E0" w:themeColor="accent2"/>
      </w:tblBorders>
    </w:tblPr>
    <w:tblStylePr w:type="firstRow">
      <w:rPr>
        <w:rFonts w:asciiTheme="majorHAnsi" w:eastAsiaTheme="majorEastAsia" w:hAnsiTheme="majorHAnsi" w:cstheme="majorBidi"/>
      </w:rPr>
      <w:tblPr/>
      <w:tcPr>
        <w:tcBorders>
          <w:top w:val="nil"/>
          <w:bottom w:val="single" w:sz="8" w:space="0" w:color="00A9E0" w:themeColor="accent2"/>
        </w:tcBorders>
      </w:tcPr>
    </w:tblStylePr>
    <w:tblStylePr w:type="lastRow">
      <w:rPr>
        <w:b/>
        <w:bCs/>
        <w:color w:val="012169" w:themeColor="text2"/>
      </w:rPr>
      <w:tblPr/>
      <w:tcPr>
        <w:tcBorders>
          <w:top w:val="single" w:sz="8" w:space="0" w:color="00A9E0" w:themeColor="accent2"/>
          <w:bottom w:val="single" w:sz="8" w:space="0" w:color="00A9E0" w:themeColor="accent2"/>
        </w:tcBorders>
      </w:tcPr>
    </w:tblStylePr>
    <w:tblStylePr w:type="firstCol">
      <w:rPr>
        <w:b/>
        <w:bCs/>
      </w:rPr>
    </w:tblStylePr>
    <w:tblStylePr w:type="lastCol">
      <w:rPr>
        <w:b/>
        <w:bCs/>
      </w:rPr>
      <w:tblPr/>
      <w:tcPr>
        <w:tcBorders>
          <w:top w:val="single" w:sz="8" w:space="0" w:color="00A9E0" w:themeColor="accent2"/>
          <w:bottom w:val="single" w:sz="8" w:space="0" w:color="00A9E0" w:themeColor="accent2"/>
        </w:tcBorders>
      </w:tcPr>
    </w:tblStylePr>
    <w:tblStylePr w:type="band1Vert">
      <w:tblPr/>
      <w:tcPr>
        <w:shd w:val="clear" w:color="auto" w:fill="B8EDFF" w:themeFill="accent2" w:themeFillTint="3F"/>
      </w:tcPr>
    </w:tblStylePr>
    <w:tblStylePr w:type="band1Horz">
      <w:tblPr/>
      <w:tcPr>
        <w:shd w:val="clear" w:color="auto" w:fill="B8EDFF"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0072CE" w:themeColor="accent3"/>
        <w:bottom w:val="single" w:sz="8" w:space="0" w:color="0072CE" w:themeColor="accent3"/>
      </w:tblBorders>
    </w:tblPr>
    <w:tblStylePr w:type="firstRow">
      <w:rPr>
        <w:rFonts w:asciiTheme="majorHAnsi" w:eastAsiaTheme="majorEastAsia" w:hAnsiTheme="majorHAnsi" w:cstheme="majorBidi"/>
      </w:rPr>
      <w:tblPr/>
      <w:tcPr>
        <w:tcBorders>
          <w:top w:val="nil"/>
          <w:bottom w:val="single" w:sz="8" w:space="0" w:color="0072CE" w:themeColor="accent3"/>
        </w:tcBorders>
      </w:tcPr>
    </w:tblStylePr>
    <w:tblStylePr w:type="lastRow">
      <w:rPr>
        <w:b/>
        <w:bCs/>
        <w:color w:val="012169" w:themeColor="text2"/>
      </w:rPr>
      <w:tblPr/>
      <w:tcPr>
        <w:tcBorders>
          <w:top w:val="single" w:sz="8" w:space="0" w:color="0072CE" w:themeColor="accent3"/>
          <w:bottom w:val="single" w:sz="8" w:space="0" w:color="0072CE" w:themeColor="accent3"/>
        </w:tcBorders>
      </w:tcPr>
    </w:tblStylePr>
    <w:tblStylePr w:type="firstCol">
      <w:rPr>
        <w:b/>
        <w:bCs/>
      </w:rPr>
    </w:tblStylePr>
    <w:tblStylePr w:type="lastCol">
      <w:rPr>
        <w:b/>
        <w:bCs/>
      </w:rPr>
      <w:tblPr/>
      <w:tcPr>
        <w:tcBorders>
          <w:top w:val="single" w:sz="8" w:space="0" w:color="0072CE" w:themeColor="accent3"/>
          <w:bottom w:val="single" w:sz="8" w:space="0" w:color="0072CE" w:themeColor="accent3"/>
        </w:tcBorders>
      </w:tcPr>
    </w:tblStylePr>
    <w:tblStylePr w:type="band1Vert">
      <w:tblPr/>
      <w:tcPr>
        <w:shd w:val="clear" w:color="auto" w:fill="B3DDFF" w:themeFill="accent3" w:themeFillTint="3F"/>
      </w:tcPr>
    </w:tblStylePr>
    <w:tblStylePr w:type="band1Horz">
      <w:tblPr/>
      <w:tcPr>
        <w:shd w:val="clear" w:color="auto" w:fill="B3DDFF"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98A4AE" w:themeColor="accent4"/>
        <w:bottom w:val="single" w:sz="8" w:space="0" w:color="98A4AE" w:themeColor="accent4"/>
      </w:tblBorders>
    </w:tblPr>
    <w:tblStylePr w:type="firstRow">
      <w:rPr>
        <w:rFonts w:asciiTheme="majorHAnsi" w:eastAsiaTheme="majorEastAsia" w:hAnsiTheme="majorHAnsi" w:cstheme="majorBidi"/>
      </w:rPr>
      <w:tblPr/>
      <w:tcPr>
        <w:tcBorders>
          <w:top w:val="nil"/>
          <w:bottom w:val="single" w:sz="8" w:space="0" w:color="98A4AE" w:themeColor="accent4"/>
        </w:tcBorders>
      </w:tcPr>
    </w:tblStylePr>
    <w:tblStylePr w:type="lastRow">
      <w:rPr>
        <w:b/>
        <w:bCs/>
        <w:color w:val="012169" w:themeColor="text2"/>
      </w:rPr>
      <w:tblPr/>
      <w:tcPr>
        <w:tcBorders>
          <w:top w:val="single" w:sz="8" w:space="0" w:color="98A4AE" w:themeColor="accent4"/>
          <w:bottom w:val="single" w:sz="8" w:space="0" w:color="98A4AE" w:themeColor="accent4"/>
        </w:tcBorders>
      </w:tcPr>
    </w:tblStylePr>
    <w:tblStylePr w:type="firstCol">
      <w:rPr>
        <w:b/>
        <w:bCs/>
      </w:rPr>
    </w:tblStylePr>
    <w:tblStylePr w:type="lastCol">
      <w:rPr>
        <w:b/>
        <w:bCs/>
      </w:rPr>
      <w:tblPr/>
      <w:tcPr>
        <w:tcBorders>
          <w:top w:val="single" w:sz="8" w:space="0" w:color="98A4AE" w:themeColor="accent4"/>
          <w:bottom w:val="single" w:sz="8" w:space="0" w:color="98A4AE" w:themeColor="accent4"/>
        </w:tcBorders>
      </w:tcPr>
    </w:tblStylePr>
    <w:tblStylePr w:type="band1Vert">
      <w:tblPr/>
      <w:tcPr>
        <w:shd w:val="clear" w:color="auto" w:fill="E5E8EB" w:themeFill="accent4" w:themeFillTint="3F"/>
      </w:tcPr>
    </w:tblStylePr>
    <w:tblStylePr w:type="band1Horz">
      <w:tblPr/>
      <w:tcPr>
        <w:shd w:val="clear" w:color="auto" w:fill="E5E8EB"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4F758B" w:themeColor="accent5"/>
        <w:bottom w:val="single" w:sz="8" w:space="0" w:color="4F758B" w:themeColor="accent5"/>
      </w:tblBorders>
    </w:tblPr>
    <w:tblStylePr w:type="firstRow">
      <w:rPr>
        <w:rFonts w:asciiTheme="majorHAnsi" w:eastAsiaTheme="majorEastAsia" w:hAnsiTheme="majorHAnsi" w:cstheme="majorBidi"/>
      </w:rPr>
      <w:tblPr/>
      <w:tcPr>
        <w:tcBorders>
          <w:top w:val="nil"/>
          <w:bottom w:val="single" w:sz="8" w:space="0" w:color="4F758B" w:themeColor="accent5"/>
        </w:tcBorders>
      </w:tcPr>
    </w:tblStylePr>
    <w:tblStylePr w:type="lastRow">
      <w:rPr>
        <w:b/>
        <w:bCs/>
        <w:color w:val="012169" w:themeColor="text2"/>
      </w:rPr>
      <w:tblPr/>
      <w:tcPr>
        <w:tcBorders>
          <w:top w:val="single" w:sz="8" w:space="0" w:color="4F758B" w:themeColor="accent5"/>
          <w:bottom w:val="single" w:sz="8" w:space="0" w:color="4F758B" w:themeColor="accent5"/>
        </w:tcBorders>
      </w:tcPr>
    </w:tblStylePr>
    <w:tblStylePr w:type="firstCol">
      <w:rPr>
        <w:b/>
        <w:bCs/>
      </w:rPr>
    </w:tblStylePr>
    <w:tblStylePr w:type="lastCol">
      <w:rPr>
        <w:b/>
        <w:bCs/>
      </w:rPr>
      <w:tblPr/>
      <w:tcPr>
        <w:tcBorders>
          <w:top w:val="single" w:sz="8" w:space="0" w:color="4F758B" w:themeColor="accent5"/>
          <w:bottom w:val="single" w:sz="8" w:space="0" w:color="4F758B" w:themeColor="accent5"/>
        </w:tcBorders>
      </w:tcPr>
    </w:tblStylePr>
    <w:tblStylePr w:type="band1Vert">
      <w:tblPr/>
      <w:tcPr>
        <w:shd w:val="clear" w:color="auto" w:fill="D0DDE4" w:themeFill="accent5" w:themeFillTint="3F"/>
      </w:tcPr>
    </w:tblStylePr>
    <w:tblStylePr w:type="band1Horz">
      <w:tblPr/>
      <w:tcPr>
        <w:shd w:val="clear" w:color="auto" w:fill="D0DDE4"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71C5E8" w:themeColor="accent6"/>
        <w:bottom w:val="single" w:sz="8" w:space="0" w:color="71C5E8" w:themeColor="accent6"/>
      </w:tblBorders>
    </w:tblPr>
    <w:tblStylePr w:type="firstRow">
      <w:rPr>
        <w:rFonts w:asciiTheme="majorHAnsi" w:eastAsiaTheme="majorEastAsia" w:hAnsiTheme="majorHAnsi" w:cstheme="majorBidi"/>
      </w:rPr>
      <w:tblPr/>
      <w:tcPr>
        <w:tcBorders>
          <w:top w:val="nil"/>
          <w:bottom w:val="single" w:sz="8" w:space="0" w:color="71C5E8" w:themeColor="accent6"/>
        </w:tcBorders>
      </w:tcPr>
    </w:tblStylePr>
    <w:tblStylePr w:type="lastRow">
      <w:rPr>
        <w:b/>
        <w:bCs/>
        <w:color w:val="012169" w:themeColor="text2"/>
      </w:rPr>
      <w:tblPr/>
      <w:tcPr>
        <w:tcBorders>
          <w:top w:val="single" w:sz="8" w:space="0" w:color="71C5E8" w:themeColor="accent6"/>
          <w:bottom w:val="single" w:sz="8" w:space="0" w:color="71C5E8" w:themeColor="accent6"/>
        </w:tcBorders>
      </w:tcPr>
    </w:tblStylePr>
    <w:tblStylePr w:type="firstCol">
      <w:rPr>
        <w:b/>
        <w:bCs/>
      </w:rPr>
    </w:tblStylePr>
    <w:tblStylePr w:type="lastCol">
      <w:rPr>
        <w:b/>
        <w:bCs/>
      </w:rPr>
      <w:tblPr/>
      <w:tcPr>
        <w:tcBorders>
          <w:top w:val="single" w:sz="8" w:space="0" w:color="71C5E8" w:themeColor="accent6"/>
          <w:bottom w:val="single" w:sz="8" w:space="0" w:color="71C5E8" w:themeColor="accent6"/>
        </w:tcBorders>
      </w:tcPr>
    </w:tblStylePr>
    <w:tblStylePr w:type="band1Vert">
      <w:tblPr/>
      <w:tcPr>
        <w:shd w:val="clear" w:color="auto" w:fill="DBF0F9" w:themeFill="accent6" w:themeFillTint="3F"/>
      </w:tcPr>
    </w:tblStylePr>
    <w:tblStylePr w:type="band1Horz">
      <w:tblPr/>
      <w:tcPr>
        <w:shd w:val="clear" w:color="auto" w:fill="DBF0F9"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rPr>
        <w:sz w:val="24"/>
        <w:szCs w:val="24"/>
      </w:rPr>
      <w:tblPr/>
      <w:tcPr>
        <w:tcBorders>
          <w:top w:val="nil"/>
          <w:left w:val="nil"/>
          <w:bottom w:val="single" w:sz="24" w:space="0" w:color="012169" w:themeColor="accent1"/>
          <w:right w:val="nil"/>
          <w:insideH w:val="nil"/>
          <w:insideV w:val="nil"/>
        </w:tcBorders>
        <w:shd w:val="clear" w:color="auto" w:fill="FFFFFF" w:themeFill="background1"/>
      </w:tcPr>
    </w:tblStylePr>
    <w:tblStylePr w:type="lastRow">
      <w:tblPr/>
      <w:tcPr>
        <w:tcBorders>
          <w:top w:val="single" w:sz="8" w:space="0" w:color="01216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2169" w:themeColor="accent1"/>
          <w:insideH w:val="nil"/>
          <w:insideV w:val="nil"/>
        </w:tcBorders>
        <w:shd w:val="clear" w:color="auto" w:fill="FFFFFF" w:themeFill="background1"/>
      </w:tcPr>
    </w:tblStylePr>
    <w:tblStylePr w:type="lastCol">
      <w:tblPr/>
      <w:tcPr>
        <w:tcBorders>
          <w:top w:val="nil"/>
          <w:left w:val="single" w:sz="8" w:space="0" w:color="01216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top w:val="nil"/>
          <w:bottom w:val="nil"/>
          <w:insideH w:val="nil"/>
          <w:insideV w:val="nil"/>
        </w:tcBorders>
        <w:shd w:val="clear" w:color="auto" w:fill="9BB9F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rPr>
        <w:sz w:val="24"/>
        <w:szCs w:val="24"/>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tblPr/>
      <w:tcPr>
        <w:tcBorders>
          <w:top w:val="single" w:sz="8" w:space="0" w:color="00A9E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9E0" w:themeColor="accent2"/>
          <w:insideH w:val="nil"/>
          <w:insideV w:val="nil"/>
        </w:tcBorders>
        <w:shd w:val="clear" w:color="auto" w:fill="FFFFFF" w:themeFill="background1"/>
      </w:tcPr>
    </w:tblStylePr>
    <w:tblStylePr w:type="lastCol">
      <w:tblPr/>
      <w:tcPr>
        <w:tcBorders>
          <w:top w:val="nil"/>
          <w:left w:val="single" w:sz="8" w:space="0" w:color="00A9E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top w:val="nil"/>
          <w:bottom w:val="nil"/>
          <w:insideH w:val="nil"/>
          <w:insideV w:val="nil"/>
        </w:tcBorders>
        <w:shd w:val="clear" w:color="auto" w:fill="B8E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rPr>
        <w:sz w:val="24"/>
        <w:szCs w:val="24"/>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tblPr/>
      <w:tcPr>
        <w:tcBorders>
          <w:top w:val="single" w:sz="8" w:space="0" w:color="0072C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CE" w:themeColor="accent3"/>
          <w:insideH w:val="nil"/>
          <w:insideV w:val="nil"/>
        </w:tcBorders>
        <w:shd w:val="clear" w:color="auto" w:fill="FFFFFF" w:themeFill="background1"/>
      </w:tcPr>
    </w:tblStylePr>
    <w:tblStylePr w:type="lastCol">
      <w:tblPr/>
      <w:tcPr>
        <w:tcBorders>
          <w:top w:val="nil"/>
          <w:left w:val="single" w:sz="8" w:space="0" w:color="0072C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top w:val="nil"/>
          <w:bottom w:val="nil"/>
          <w:insideH w:val="nil"/>
          <w:insideV w:val="nil"/>
        </w:tcBorders>
        <w:shd w:val="clear" w:color="auto" w:fill="B3DD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rPr>
        <w:sz w:val="24"/>
        <w:szCs w:val="24"/>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tblPr/>
      <w:tcPr>
        <w:tcBorders>
          <w:top w:val="single" w:sz="8" w:space="0" w:color="98A4A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8A4AE" w:themeColor="accent4"/>
          <w:insideH w:val="nil"/>
          <w:insideV w:val="nil"/>
        </w:tcBorders>
        <w:shd w:val="clear" w:color="auto" w:fill="FFFFFF" w:themeFill="background1"/>
      </w:tcPr>
    </w:tblStylePr>
    <w:tblStylePr w:type="lastCol">
      <w:tblPr/>
      <w:tcPr>
        <w:tcBorders>
          <w:top w:val="nil"/>
          <w:left w:val="single" w:sz="8" w:space="0" w:color="98A4A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top w:val="nil"/>
          <w:bottom w:val="nil"/>
          <w:insideH w:val="nil"/>
          <w:insideV w:val="nil"/>
        </w:tcBorders>
        <w:shd w:val="clear" w:color="auto" w:fill="E5E8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rPr>
        <w:sz w:val="24"/>
        <w:szCs w:val="24"/>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tblPr/>
      <w:tcPr>
        <w:tcBorders>
          <w:top w:val="single" w:sz="8" w:space="0" w:color="4F758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758B" w:themeColor="accent5"/>
          <w:insideH w:val="nil"/>
          <w:insideV w:val="nil"/>
        </w:tcBorders>
        <w:shd w:val="clear" w:color="auto" w:fill="FFFFFF" w:themeFill="background1"/>
      </w:tcPr>
    </w:tblStylePr>
    <w:tblStylePr w:type="lastCol">
      <w:tblPr/>
      <w:tcPr>
        <w:tcBorders>
          <w:top w:val="nil"/>
          <w:left w:val="single" w:sz="8" w:space="0" w:color="4F758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top w:val="nil"/>
          <w:bottom w:val="nil"/>
          <w:insideH w:val="nil"/>
          <w:insideV w:val="nil"/>
        </w:tcBorders>
        <w:shd w:val="clear" w:color="auto" w:fill="D0DDE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rPr>
        <w:sz w:val="24"/>
        <w:szCs w:val="24"/>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tblPr/>
      <w:tcPr>
        <w:tcBorders>
          <w:top w:val="single" w:sz="8" w:space="0" w:color="71C5E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C5E8" w:themeColor="accent6"/>
          <w:insideH w:val="nil"/>
          <w:insideV w:val="nil"/>
        </w:tcBorders>
        <w:shd w:val="clear" w:color="auto" w:fill="FFFFFF" w:themeFill="background1"/>
      </w:tcPr>
    </w:tblStylePr>
    <w:tblStylePr w:type="lastCol">
      <w:tblPr/>
      <w:tcPr>
        <w:tcBorders>
          <w:top w:val="nil"/>
          <w:left w:val="single" w:sz="8" w:space="0" w:color="71C5E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top w:val="nil"/>
          <w:bottom w:val="nil"/>
          <w:insideH w:val="nil"/>
          <w:insideV w:val="nil"/>
        </w:tcBorders>
        <w:shd w:val="clear" w:color="auto" w:fill="DBF0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tblBorders>
    </w:tblPr>
    <w:tblStylePr w:type="firstRow">
      <w:pPr>
        <w:spacing w:before="0" w:after="0" w:line="240" w:lineRule="auto"/>
      </w:pPr>
      <w:rPr>
        <w:b/>
        <w:bCs/>
        <w:color w:val="FFFFFF" w:themeColor="background1"/>
      </w:rPr>
      <w:tblPr/>
      <w:tcPr>
        <w:tc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shd w:val="clear" w:color="auto" w:fill="012169" w:themeFill="accent1"/>
      </w:tcPr>
    </w:tblStylePr>
    <w:tblStylePr w:type="lastRow">
      <w:pPr>
        <w:spacing w:before="0" w:after="0" w:line="240" w:lineRule="auto"/>
      </w:pPr>
      <w:rPr>
        <w:b/>
        <w:bCs/>
      </w:rPr>
      <w:tblPr/>
      <w:tcPr>
        <w:tcBorders>
          <w:top w:val="double" w:sz="6"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9BB9FE" w:themeFill="accent1" w:themeFillTint="3F"/>
      </w:tcPr>
    </w:tblStylePr>
    <w:tblStylePr w:type="band1Horz">
      <w:tblPr/>
      <w:tcPr>
        <w:tcBorders>
          <w:insideH w:val="nil"/>
          <w:insideV w:val="nil"/>
        </w:tcBorders>
        <w:shd w:val="clear" w:color="auto" w:fill="9BB9F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tblBorders>
    </w:tblPr>
    <w:tblStylePr w:type="firstRow">
      <w:pPr>
        <w:spacing w:before="0" w:after="0" w:line="240" w:lineRule="auto"/>
      </w:pPr>
      <w:rPr>
        <w:b/>
        <w:bCs/>
        <w:color w:val="FFFFFF" w:themeColor="background1"/>
      </w:rPr>
      <w:tblPr/>
      <w:tcPr>
        <w:tc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shd w:val="clear" w:color="auto" w:fill="00A9E0" w:themeFill="accent2"/>
      </w:tcPr>
    </w:tblStylePr>
    <w:tblStylePr w:type="lastRow">
      <w:pPr>
        <w:spacing w:before="0" w:after="0" w:line="240" w:lineRule="auto"/>
      </w:pPr>
      <w:rPr>
        <w:b/>
        <w:bCs/>
      </w:rPr>
      <w:tblPr/>
      <w:tcPr>
        <w:tcBorders>
          <w:top w:val="double" w:sz="6"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8EDFF" w:themeFill="accent2" w:themeFillTint="3F"/>
      </w:tcPr>
    </w:tblStylePr>
    <w:tblStylePr w:type="band1Horz">
      <w:tblPr/>
      <w:tcPr>
        <w:tcBorders>
          <w:insideH w:val="nil"/>
          <w:insideV w:val="nil"/>
        </w:tcBorders>
        <w:shd w:val="clear" w:color="auto" w:fill="B8E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tblBorders>
    </w:tblPr>
    <w:tblStylePr w:type="firstRow">
      <w:pPr>
        <w:spacing w:before="0" w:after="0" w:line="240" w:lineRule="auto"/>
      </w:pPr>
      <w:rPr>
        <w:b/>
        <w:bCs/>
        <w:color w:val="FFFFFF" w:themeColor="background1"/>
      </w:rPr>
      <w:tblPr/>
      <w:tcPr>
        <w:tc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shd w:val="clear" w:color="auto" w:fill="0072CE" w:themeFill="accent3"/>
      </w:tcPr>
    </w:tblStylePr>
    <w:tblStylePr w:type="lastRow">
      <w:pPr>
        <w:spacing w:before="0" w:after="0" w:line="240" w:lineRule="auto"/>
      </w:pPr>
      <w:rPr>
        <w:b/>
        <w:bCs/>
      </w:rPr>
      <w:tblPr/>
      <w:tcPr>
        <w:tcBorders>
          <w:top w:val="double" w:sz="6"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DDFF" w:themeFill="accent3" w:themeFillTint="3F"/>
      </w:tcPr>
    </w:tblStylePr>
    <w:tblStylePr w:type="band1Horz">
      <w:tblPr/>
      <w:tcPr>
        <w:tcBorders>
          <w:insideH w:val="nil"/>
          <w:insideV w:val="nil"/>
        </w:tcBorders>
        <w:shd w:val="clear" w:color="auto" w:fill="B3D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tblBorders>
    </w:tblPr>
    <w:tblStylePr w:type="firstRow">
      <w:pPr>
        <w:spacing w:before="0" w:after="0" w:line="240" w:lineRule="auto"/>
      </w:pPr>
      <w:rPr>
        <w:b/>
        <w:bCs/>
        <w:color w:val="FFFFFF" w:themeColor="background1"/>
      </w:rPr>
      <w:tblPr/>
      <w:tcPr>
        <w:tc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shd w:val="clear" w:color="auto" w:fill="98A4AE" w:themeFill="accent4"/>
      </w:tcPr>
    </w:tblStylePr>
    <w:tblStylePr w:type="lastRow">
      <w:pPr>
        <w:spacing w:before="0" w:after="0" w:line="240" w:lineRule="auto"/>
      </w:pPr>
      <w:rPr>
        <w:b/>
        <w:bCs/>
      </w:rPr>
      <w:tblPr/>
      <w:tcPr>
        <w:tcBorders>
          <w:top w:val="double" w:sz="6"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8EB" w:themeFill="accent4" w:themeFillTint="3F"/>
      </w:tcPr>
    </w:tblStylePr>
    <w:tblStylePr w:type="band1Horz">
      <w:tblPr/>
      <w:tcPr>
        <w:tcBorders>
          <w:insideH w:val="nil"/>
          <w:insideV w:val="nil"/>
        </w:tcBorders>
        <w:shd w:val="clear" w:color="auto" w:fill="E5E8E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tblBorders>
    </w:tblPr>
    <w:tblStylePr w:type="firstRow">
      <w:pPr>
        <w:spacing w:before="0" w:after="0" w:line="240" w:lineRule="auto"/>
      </w:pPr>
      <w:rPr>
        <w:b/>
        <w:bCs/>
        <w:color w:val="FFFFFF" w:themeColor="background1"/>
      </w:rPr>
      <w:tblPr/>
      <w:tcPr>
        <w:tc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shd w:val="clear" w:color="auto" w:fill="4F758B" w:themeFill="accent5"/>
      </w:tcPr>
    </w:tblStylePr>
    <w:tblStylePr w:type="lastRow">
      <w:pPr>
        <w:spacing w:before="0" w:after="0" w:line="240" w:lineRule="auto"/>
      </w:pPr>
      <w:rPr>
        <w:b/>
        <w:bCs/>
      </w:rPr>
      <w:tblPr/>
      <w:tcPr>
        <w:tcBorders>
          <w:top w:val="double" w:sz="6"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DE4" w:themeFill="accent5" w:themeFillTint="3F"/>
      </w:tcPr>
    </w:tblStylePr>
    <w:tblStylePr w:type="band1Horz">
      <w:tblPr/>
      <w:tcPr>
        <w:tcBorders>
          <w:insideH w:val="nil"/>
          <w:insideV w:val="nil"/>
        </w:tcBorders>
        <w:shd w:val="clear" w:color="auto" w:fill="D0DDE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tblBorders>
    </w:tblPr>
    <w:tblStylePr w:type="firstRow">
      <w:pPr>
        <w:spacing w:before="0" w:after="0" w:line="240" w:lineRule="auto"/>
      </w:pPr>
      <w:rPr>
        <w:b/>
        <w:bCs/>
        <w:color w:val="FFFFFF" w:themeColor="background1"/>
      </w:rPr>
      <w:tblPr/>
      <w:tcPr>
        <w:tc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shd w:val="clear" w:color="auto" w:fill="71C5E8" w:themeFill="accent6"/>
      </w:tcPr>
    </w:tblStylePr>
    <w:tblStylePr w:type="lastRow">
      <w:pPr>
        <w:spacing w:before="0" w:after="0" w:line="240" w:lineRule="auto"/>
      </w:pPr>
      <w:rPr>
        <w:b/>
        <w:bCs/>
      </w:rPr>
      <w:tblPr/>
      <w:tcPr>
        <w:tcBorders>
          <w:top w:val="double" w:sz="6"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F0F9" w:themeFill="accent6" w:themeFillTint="3F"/>
      </w:tcPr>
    </w:tblStylePr>
    <w:tblStylePr w:type="band1Horz">
      <w:tblPr/>
      <w:tcPr>
        <w:tcBorders>
          <w:insideH w:val="nil"/>
          <w:insideV w:val="nil"/>
        </w:tcBorders>
        <w:shd w:val="clear" w:color="auto" w:fill="DBF0F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216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12169" w:themeFill="accent1"/>
      </w:tcPr>
    </w:tblStylePr>
    <w:tblStylePr w:type="lastCol">
      <w:rPr>
        <w:b/>
        <w:bCs/>
        <w:color w:val="FFFFFF" w:themeColor="background1"/>
      </w:rPr>
      <w:tblPr/>
      <w:tcPr>
        <w:tcBorders>
          <w:left w:val="nil"/>
          <w:right w:val="nil"/>
          <w:insideH w:val="nil"/>
          <w:insideV w:val="nil"/>
        </w:tcBorders>
        <w:shd w:val="clear" w:color="auto" w:fill="01216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9E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9E0" w:themeFill="accent2"/>
      </w:tcPr>
    </w:tblStylePr>
    <w:tblStylePr w:type="lastCol">
      <w:rPr>
        <w:b/>
        <w:bCs/>
        <w:color w:val="FFFFFF" w:themeColor="background1"/>
      </w:rPr>
      <w:tblPr/>
      <w:tcPr>
        <w:tcBorders>
          <w:left w:val="nil"/>
          <w:right w:val="nil"/>
          <w:insideH w:val="nil"/>
          <w:insideV w:val="nil"/>
        </w:tcBorders>
        <w:shd w:val="clear" w:color="auto" w:fill="00A9E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C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CE" w:themeFill="accent3"/>
      </w:tcPr>
    </w:tblStylePr>
    <w:tblStylePr w:type="lastCol">
      <w:rPr>
        <w:b/>
        <w:bCs/>
        <w:color w:val="FFFFFF" w:themeColor="background1"/>
      </w:rPr>
      <w:tblPr/>
      <w:tcPr>
        <w:tcBorders>
          <w:left w:val="nil"/>
          <w:right w:val="nil"/>
          <w:insideH w:val="nil"/>
          <w:insideV w:val="nil"/>
        </w:tcBorders>
        <w:shd w:val="clear" w:color="auto" w:fill="0072C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8A4A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8A4AE" w:themeFill="accent4"/>
      </w:tcPr>
    </w:tblStylePr>
    <w:tblStylePr w:type="lastCol">
      <w:rPr>
        <w:b/>
        <w:bCs/>
        <w:color w:val="FFFFFF" w:themeColor="background1"/>
      </w:rPr>
      <w:tblPr/>
      <w:tcPr>
        <w:tcBorders>
          <w:left w:val="nil"/>
          <w:right w:val="nil"/>
          <w:insideH w:val="nil"/>
          <w:insideV w:val="nil"/>
        </w:tcBorders>
        <w:shd w:val="clear" w:color="auto" w:fill="98A4A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758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758B" w:themeFill="accent5"/>
      </w:tcPr>
    </w:tblStylePr>
    <w:tblStylePr w:type="lastCol">
      <w:rPr>
        <w:b/>
        <w:bCs/>
        <w:color w:val="FFFFFF" w:themeColor="background1"/>
      </w:rPr>
      <w:tblPr/>
      <w:tcPr>
        <w:tcBorders>
          <w:left w:val="nil"/>
          <w:right w:val="nil"/>
          <w:insideH w:val="nil"/>
          <w:insideV w:val="nil"/>
        </w:tcBorders>
        <w:shd w:val="clear" w:color="auto" w:fill="4F758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C5E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1C5E8" w:themeFill="accent6"/>
      </w:tcPr>
    </w:tblStylePr>
    <w:tblStylePr w:type="lastCol">
      <w:rPr>
        <w:b/>
        <w:bCs/>
        <w:color w:val="FFFFFF" w:themeColor="background1"/>
      </w:rPr>
      <w:tblPr/>
      <w:tcPr>
        <w:tcBorders>
          <w:left w:val="nil"/>
          <w:right w:val="nil"/>
          <w:insideH w:val="nil"/>
          <w:insideV w:val="nil"/>
        </w:tcBorders>
        <w:shd w:val="clear" w:color="auto" w:fill="71C5E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uiPriority w:val="1"/>
    <w:qFormat/>
    <w:rsid w:val="00F80750"/>
    <w:pPr>
      <w:spacing w:after="0"/>
    </w:pPr>
  </w:style>
  <w:style w:type="paragraph" w:styleId="NormalWeb">
    <w:name w:val="Normal (Web)"/>
    <w:basedOn w:val="Normal"/>
    <w:uiPriority w:val="20"/>
    <w:rsid w:val="00606FC8"/>
    <w:pPr>
      <w:numPr>
        <w:numId w:val="0"/>
      </w:numPr>
    </w:pPr>
    <w:rPr>
      <w:rFonts w:asciiTheme="minorHAnsi" w:hAnsiTheme="minorHAnsi"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19"/>
    <w:qFormat/>
    <w:rsid w:val="005D04CC"/>
    <w:pPr>
      <w:numPr>
        <w:numId w:val="0"/>
      </w:numPr>
      <w:ind w:left="425" w:right="425"/>
    </w:pPr>
    <w:rPr>
      <w:i/>
      <w:iCs/>
    </w:rPr>
  </w:style>
  <w:style w:type="character" w:customStyle="1" w:styleId="QuoteChar">
    <w:name w:val="Quote Char"/>
    <w:basedOn w:val="DefaultParagraphFont"/>
    <w:link w:val="Quote"/>
    <w:uiPriority w:val="19"/>
    <w:rsid w:val="005D04CC"/>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29"/>
    <w:semiHidden/>
    <w:locked/>
    <w:rsid w:val="00F00470"/>
    <w:pPr>
      <w:numPr>
        <w:numId w:val="0"/>
      </w:numPr>
      <w:contextualSpacing/>
      <w:jc w:val="left"/>
    </w:pPr>
  </w:style>
  <w:style w:type="character" w:customStyle="1" w:styleId="SignatureChar">
    <w:name w:val="Signature Char"/>
    <w:basedOn w:val="DefaultParagraphFont"/>
    <w:link w:val="Signature"/>
    <w:uiPriority w:val="29"/>
    <w:semiHidden/>
    <w:rsid w:val="00EE50C6"/>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01216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01216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00A9E0"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unhideWhenUsed/>
    <w:rsid w:val="000453D9"/>
    <w:pPr>
      <w:numPr>
        <w:numId w:val="0"/>
      </w:numPr>
      <w:tabs>
        <w:tab w:val="left" w:pos="851"/>
        <w:tab w:val="right" w:pos="9027"/>
      </w:tabs>
      <w:ind w:left="851" w:hanging="851"/>
      <w:jc w:val="left"/>
    </w:pPr>
    <w:rPr>
      <w:b/>
      <w:sz w:val="24"/>
    </w:rPr>
  </w:style>
  <w:style w:type="paragraph" w:styleId="TOC3">
    <w:name w:val="toc 3"/>
    <w:basedOn w:val="Normal"/>
    <w:next w:val="Normal"/>
    <w:autoRedefine/>
    <w:uiPriority w:val="39"/>
    <w:unhideWhenUsed/>
    <w:rsid w:val="00E21C9B"/>
    <w:pPr>
      <w:numPr>
        <w:numId w:val="0"/>
      </w:numPr>
      <w:tabs>
        <w:tab w:val="left" w:pos="851"/>
        <w:tab w:val="right" w:pos="9038"/>
      </w:tabs>
      <w:ind w:left="851" w:hanging="851"/>
      <w:jc w:val="left"/>
    </w:pPr>
    <w:rPr>
      <w:b/>
    </w:rPr>
  </w:style>
  <w:style w:type="paragraph" w:styleId="TOC4">
    <w:name w:val="toc 4"/>
    <w:basedOn w:val="Normal"/>
    <w:next w:val="Normal"/>
    <w:autoRedefine/>
    <w:uiPriority w:val="39"/>
    <w:unhideWhenUsed/>
    <w:locked/>
    <w:rsid w:val="000453D9"/>
    <w:pPr>
      <w:numPr>
        <w:numId w:val="0"/>
      </w:numPr>
      <w:tabs>
        <w:tab w:val="left" w:pos="851"/>
        <w:tab w:val="right" w:pos="9027"/>
      </w:tabs>
    </w:pPr>
    <w:rPr>
      <w:i/>
      <w:sz w:val="28"/>
    </w:rPr>
  </w:style>
  <w:style w:type="paragraph" w:styleId="TOC5">
    <w:name w:val="toc 5"/>
    <w:basedOn w:val="Normal"/>
    <w:next w:val="Normal"/>
    <w:autoRedefine/>
    <w:uiPriority w:val="39"/>
    <w:unhideWhenUsed/>
    <w:locked/>
    <w:rsid w:val="000453D9"/>
    <w:pPr>
      <w:numPr>
        <w:numId w:val="0"/>
      </w:numPr>
      <w:tabs>
        <w:tab w:val="left" w:pos="851"/>
        <w:tab w:val="right" w:pos="9027"/>
      </w:tabs>
    </w:pPr>
    <w:rPr>
      <w:b/>
      <w:sz w:val="24"/>
    </w:rPr>
  </w:style>
  <w:style w:type="paragraph" w:styleId="TOC6">
    <w:name w:val="toc 6"/>
    <w:basedOn w:val="Normal"/>
    <w:next w:val="Normal"/>
    <w:autoRedefine/>
    <w:uiPriority w:val="39"/>
    <w:unhideWhenUsed/>
    <w:locked/>
    <w:rsid w:val="00E21C9B"/>
    <w:pPr>
      <w:numPr>
        <w:numId w:val="0"/>
      </w:numPr>
      <w:tabs>
        <w:tab w:val="left" w:pos="851"/>
        <w:tab w:val="right" w:pos="9027"/>
      </w:tabs>
    </w:pPr>
    <w:rPr>
      <w:b/>
    </w:r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ai">
    <w:name w:val="Outline List 1"/>
    <w:basedOn w:val="NoList"/>
    <w:uiPriority w:val="99"/>
    <w:semiHidden/>
    <w:unhideWhenUsed/>
    <w:rsid w:val="00A8129D"/>
    <w:pPr>
      <w:numPr>
        <w:numId w:val="5"/>
      </w:numPr>
    </w:pPr>
  </w:style>
  <w:style w:type="numbering" w:customStyle="1" w:styleId="BulletList">
    <w:name w:val="Bullet List"/>
    <w:uiPriority w:val="99"/>
    <w:rsid w:val="00641EAA"/>
    <w:pPr>
      <w:numPr>
        <w:numId w:val="8"/>
      </w:numPr>
    </w:pPr>
  </w:style>
  <w:style w:type="paragraph" w:customStyle="1" w:styleId="Introduction">
    <w:name w:val="Introduction"/>
    <w:basedOn w:val="Normal"/>
    <w:uiPriority w:val="11"/>
    <w:semiHidden/>
    <w:qFormat/>
    <w:rsid w:val="00072B30"/>
    <w:pPr>
      <w:numPr>
        <w:numId w:val="0"/>
      </w:numPr>
    </w:pPr>
    <w:rPr>
      <w:b/>
      <w:color w:val="000000" w:themeColor="text1"/>
    </w:rPr>
  </w:style>
  <w:style w:type="table" w:styleId="TableGridLight">
    <w:name w:val="Grid Table Light"/>
    <w:aliases w:val="Hidden"/>
    <w:basedOn w:val="TableNormal"/>
    <w:uiPriority w:val="40"/>
    <w:locked/>
    <w:rsid w:val="00592F64"/>
    <w:tblPr>
      <w:tblCellMar>
        <w:left w:w="0" w:type="dxa"/>
        <w:right w:w="0" w:type="dxa"/>
      </w:tblCellMar>
    </w:tblPr>
  </w:style>
  <w:style w:type="numbering" w:customStyle="1" w:styleId="AppendixList">
    <w:name w:val="Appendix List"/>
    <w:uiPriority w:val="99"/>
    <w:rsid w:val="00495A4C"/>
    <w:pPr>
      <w:numPr>
        <w:numId w:val="3"/>
      </w:numPr>
    </w:pPr>
  </w:style>
  <w:style w:type="paragraph" w:customStyle="1" w:styleId="AppendixHeading">
    <w:name w:val="Appendix Heading"/>
    <w:basedOn w:val="Heading1"/>
    <w:uiPriority w:val="10"/>
    <w:semiHidden/>
    <w:qFormat/>
    <w:rsid w:val="003A2733"/>
    <w:pPr>
      <w:numPr>
        <w:numId w:val="3"/>
      </w:numPr>
    </w:pPr>
  </w:style>
  <w:style w:type="paragraph" w:customStyle="1" w:styleId="AppendixSubHeading">
    <w:name w:val="Appendix Sub Heading"/>
    <w:basedOn w:val="Heading2"/>
    <w:uiPriority w:val="10"/>
    <w:semiHidden/>
    <w:qFormat/>
    <w:rsid w:val="003A2733"/>
  </w:style>
  <w:style w:type="paragraph" w:customStyle="1" w:styleId="Heading1Numbers">
    <w:name w:val="Heading 1 Numbers"/>
    <w:basedOn w:val="Heading1"/>
    <w:next w:val="Normal"/>
    <w:uiPriority w:val="9"/>
    <w:qFormat/>
    <w:rsid w:val="00BA627A"/>
    <w:pPr>
      <w:numPr>
        <w:numId w:val="10"/>
      </w:numPr>
    </w:pPr>
  </w:style>
  <w:style w:type="paragraph" w:customStyle="1" w:styleId="Heading2Numbers">
    <w:name w:val="Heading 2 Numbers"/>
    <w:basedOn w:val="Heading2"/>
    <w:next w:val="Normal"/>
    <w:uiPriority w:val="9"/>
    <w:qFormat/>
    <w:rsid w:val="00E61784"/>
    <w:pPr>
      <w:numPr>
        <w:ilvl w:val="1"/>
        <w:numId w:val="10"/>
      </w:numPr>
    </w:pPr>
    <w:rPr>
      <w:bCs w:val="0"/>
    </w:rPr>
  </w:style>
  <w:style w:type="paragraph" w:customStyle="1" w:styleId="Heading3Numbers">
    <w:name w:val="Heading 3 Numbers"/>
    <w:basedOn w:val="Heading3"/>
    <w:next w:val="Normal"/>
    <w:uiPriority w:val="9"/>
    <w:qFormat/>
    <w:rsid w:val="00BA627A"/>
    <w:pPr>
      <w:numPr>
        <w:ilvl w:val="2"/>
        <w:numId w:val="10"/>
      </w:numPr>
    </w:pPr>
  </w:style>
  <w:style w:type="paragraph" w:customStyle="1" w:styleId="Heading4NoNumber">
    <w:name w:val="Heading 4 No Number"/>
    <w:basedOn w:val="Heading4"/>
    <w:uiPriority w:val="9"/>
    <w:qFormat/>
    <w:rsid w:val="00BA627A"/>
    <w:pPr>
      <w:numPr>
        <w:ilvl w:val="3"/>
        <w:numId w:val="10"/>
      </w:numPr>
    </w:pPr>
  </w:style>
  <w:style w:type="paragraph" w:customStyle="1" w:styleId="JanusSeal">
    <w:name w:val="Janus Seal"/>
    <w:basedOn w:val="Normal"/>
    <w:uiPriority w:val="18"/>
    <w:qFormat/>
    <w:rsid w:val="00877B84"/>
    <w:pPr>
      <w:jc w:val="center"/>
    </w:pPr>
    <w:rPr>
      <w:b/>
      <w:color w:val="FF0000"/>
      <w:sz w:val="24"/>
    </w:rPr>
  </w:style>
  <w:style w:type="paragraph" w:customStyle="1" w:styleId="LetterCAPSTitle">
    <w:name w:val="Letter CAPS Title"/>
    <w:basedOn w:val="Normal"/>
    <w:uiPriority w:val="19"/>
    <w:qFormat/>
    <w:rsid w:val="00722F9F"/>
    <w:pPr>
      <w:numPr>
        <w:numId w:val="0"/>
      </w:numPr>
    </w:pPr>
    <w:rPr>
      <w:b/>
      <w:caps/>
      <w:shd w:val="clear" w:color="auto" w:fill="FFFFFF"/>
    </w:rPr>
  </w:style>
  <w:style w:type="table" w:styleId="PlainTable5">
    <w:name w:val="Plain Table 5"/>
    <w:basedOn w:val="TableNormal"/>
    <w:uiPriority w:val="45"/>
    <w:locked/>
    <w:rsid w:val="00F0509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Coverdate">
    <w:name w:val="Cover date"/>
    <w:basedOn w:val="Address"/>
    <w:uiPriority w:val="29"/>
    <w:semiHidden/>
    <w:qFormat/>
    <w:rsid w:val="00592F64"/>
  </w:style>
  <w:style w:type="paragraph" w:customStyle="1" w:styleId="Address">
    <w:name w:val="Address"/>
    <w:basedOn w:val="Normal"/>
    <w:uiPriority w:val="19"/>
    <w:qFormat/>
    <w:rsid w:val="00592F64"/>
    <w:pPr>
      <w:numPr>
        <w:numId w:val="0"/>
      </w:numPr>
      <w:spacing w:after="840"/>
      <w:contextualSpacing/>
    </w:pPr>
  </w:style>
  <w:style w:type="paragraph" w:customStyle="1" w:styleId="Sincerely">
    <w:name w:val="Sincerely"/>
    <w:basedOn w:val="Normal"/>
    <w:uiPriority w:val="29"/>
    <w:semiHidden/>
    <w:qFormat/>
    <w:rsid w:val="00592F64"/>
    <w:pPr>
      <w:numPr>
        <w:numId w:val="0"/>
      </w:numPr>
      <w:spacing w:before="720" w:after="600"/>
    </w:pPr>
  </w:style>
  <w:style w:type="paragraph" w:customStyle="1" w:styleId="Subject">
    <w:name w:val="Subject"/>
    <w:basedOn w:val="Normal"/>
    <w:uiPriority w:val="29"/>
    <w:semiHidden/>
    <w:qFormat/>
    <w:rsid w:val="00592F64"/>
    <w:pPr>
      <w:numPr>
        <w:numId w:val="0"/>
      </w:numPr>
      <w:spacing w:before="480" w:after="480"/>
    </w:pPr>
    <w:rPr>
      <w:b/>
    </w:rPr>
  </w:style>
  <w:style w:type="table" w:customStyle="1" w:styleId="TableOption2">
    <w:name w:val="Table Option 2"/>
    <w:basedOn w:val="TableGrid"/>
    <w:uiPriority w:val="99"/>
    <w:rsid w:val="00826012"/>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val="0"/>
        <w:color w:val="auto"/>
      </w:rPr>
      <w:tblPr/>
      <w:tcPr>
        <w:shd w:val="clear" w:color="auto" w:fill="012169" w:themeFill="accent1"/>
      </w:tc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customStyle="1" w:styleId="TableHeading">
    <w:name w:val="Table Heading"/>
    <w:basedOn w:val="Normal"/>
    <w:next w:val="Normal"/>
    <w:uiPriority w:val="10"/>
    <w:qFormat/>
    <w:rsid w:val="004C766B"/>
    <w:pPr>
      <w:keepNext/>
      <w:numPr>
        <w:numId w:val="0"/>
      </w:numPr>
      <w:spacing w:before="240" w:after="120"/>
    </w:pPr>
    <w:rPr>
      <w:b/>
      <w:i/>
    </w:rPr>
  </w:style>
  <w:style w:type="paragraph" w:customStyle="1" w:styleId="NameTitleDivision">
    <w:name w:val="Name/Title/Division"/>
    <w:basedOn w:val="Normal"/>
    <w:uiPriority w:val="18"/>
    <w:qFormat/>
    <w:rsid w:val="000573E5"/>
    <w:pPr>
      <w:numPr>
        <w:numId w:val="0"/>
      </w:numPr>
      <w:contextualSpacing/>
    </w:pPr>
    <w:rPr>
      <w:i/>
    </w:rPr>
  </w:style>
  <w:style w:type="paragraph" w:customStyle="1" w:styleId="TableText">
    <w:name w:val="Table Text"/>
    <w:basedOn w:val="Normal"/>
    <w:uiPriority w:val="10"/>
    <w:qFormat/>
    <w:rsid w:val="009E529F"/>
    <w:pPr>
      <w:numPr>
        <w:numId w:val="0"/>
      </w:numPr>
      <w:spacing w:before="60" w:after="60"/>
      <w:jc w:val="left"/>
    </w:pPr>
  </w:style>
  <w:style w:type="paragraph" w:customStyle="1" w:styleId="Postscript">
    <w:name w:val="Postscript"/>
    <w:basedOn w:val="Normal"/>
    <w:uiPriority w:val="19"/>
    <w:qFormat/>
    <w:rsid w:val="00B40B7D"/>
    <w:pPr>
      <w:numPr>
        <w:numId w:val="0"/>
      </w:numPr>
    </w:pPr>
    <w:rPr>
      <w:sz w:val="20"/>
    </w:rPr>
  </w:style>
  <w:style w:type="paragraph" w:customStyle="1" w:styleId="Heading">
    <w:name w:val="Heading"/>
    <w:basedOn w:val="Normal"/>
    <w:rsid w:val="00B670E9"/>
    <w:pPr>
      <w:keepNext/>
      <w:numPr>
        <w:numId w:val="0"/>
      </w:numPr>
      <w:spacing w:before="240" w:after="60"/>
      <w:jc w:val="left"/>
      <w:outlineLvl w:val="0"/>
    </w:pPr>
    <w:rPr>
      <w:rFonts w:ascii="Times New Roman" w:eastAsia="Times New Roman" w:hAnsi="Times New Roman" w:cs="Arial"/>
      <w:b/>
      <w:color w:val="auto"/>
      <w:kern w:val="32"/>
      <w:sz w:val="26"/>
      <w:szCs w:val="32"/>
    </w:rPr>
  </w:style>
  <w:style w:type="paragraph" w:styleId="Revision">
    <w:name w:val="Revision"/>
    <w:hidden/>
    <w:uiPriority w:val="99"/>
    <w:semiHidden/>
    <w:rsid w:val="00C86949"/>
    <w:pPr>
      <w:spacing w:after="0"/>
      <w:jc w:val="left"/>
    </w:pPr>
  </w:style>
  <w:style w:type="paragraph" w:customStyle="1" w:styleId="Default">
    <w:name w:val="Default"/>
    <w:rsid w:val="00907BC4"/>
    <w:pPr>
      <w:autoSpaceDE w:val="0"/>
      <w:autoSpaceDN w:val="0"/>
      <w:adjustRightInd w:val="0"/>
      <w:spacing w:after="0"/>
      <w:jc w:val="left"/>
    </w:pPr>
    <w:rPr>
      <w:rFonts w:ascii="Times New Roman" w:hAnsi="Times New Roman" w:cs="Times New Roman"/>
      <w:sz w:val="24"/>
      <w:szCs w:val="24"/>
    </w:rPr>
  </w:style>
  <w:style w:type="paragraph" w:customStyle="1" w:styleId="heading0">
    <w:name w:val="heading"/>
    <w:basedOn w:val="Normal"/>
    <w:rsid w:val="00B25E6E"/>
    <w:pPr>
      <w:numPr>
        <w:numId w:val="0"/>
      </w:numPr>
      <w:spacing w:before="100" w:beforeAutospacing="1" w:after="100" w:afterAutospacing="1"/>
      <w:jc w:val="left"/>
    </w:pPr>
    <w:rPr>
      <w:rFonts w:ascii="Times New Roman" w:eastAsia="Times New Roman" w:hAnsi="Times New Roman" w:cs="Times New Roman"/>
      <w:color w:val="auto"/>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653264877">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998120530">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212307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uasb.gov.au/standards-guidance/auasb-standards/auditing-standard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asb.gov.au/pronouncements/accounting-standard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a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APRA">
      <a:dk1>
        <a:sysClr val="windowText" lastClr="000000"/>
      </a:dk1>
      <a:lt1>
        <a:sysClr val="window" lastClr="FFFFFF"/>
      </a:lt1>
      <a:dk2>
        <a:srgbClr val="012169"/>
      </a:dk2>
      <a:lt2>
        <a:srgbClr val="00A9E0"/>
      </a:lt2>
      <a:accent1>
        <a:srgbClr val="012169"/>
      </a:accent1>
      <a:accent2>
        <a:srgbClr val="00A9E0"/>
      </a:accent2>
      <a:accent3>
        <a:srgbClr val="0072CE"/>
      </a:accent3>
      <a:accent4>
        <a:srgbClr val="98A4AE"/>
      </a:accent4>
      <a:accent5>
        <a:srgbClr val="4F758B"/>
      </a:accent5>
      <a:accent6>
        <a:srgbClr val="71C5E8"/>
      </a:accent6>
      <a:hlink>
        <a:srgbClr val="0000FF"/>
      </a:hlink>
      <a:folHlink>
        <a:srgbClr val="7030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E831F15EEA47429C4A0837D916ED91" ma:contentTypeVersion="10" ma:contentTypeDescription="Create a new document." ma:contentTypeScope="" ma:versionID="3217bb2e8243fb4c4e1a5f8247c6c879">
  <xsd:schema xmlns:xsd="http://www.w3.org/2001/XMLSchema" xmlns:xs="http://www.w3.org/2001/XMLSchema" xmlns:p="http://schemas.microsoft.com/office/2006/metadata/properties" xmlns:ns2="5664482d-1961-4d38-bfc2-b109b3418834" xmlns:ns3="79530295-9eea-494d-b82a-9ff74409eafc" targetNamespace="http://schemas.microsoft.com/office/2006/metadata/properties" ma:root="true" ma:fieldsID="99dfed44dddfc3bf463407ec98affee9" ns2:_="" ns3:_="">
    <xsd:import namespace="5664482d-1961-4d38-bfc2-b109b3418834"/>
    <xsd:import namespace="79530295-9eea-494d-b82a-9ff74409eaf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4482d-1961-4d38-bfc2-b109b34188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ff776a0-f2ac-455d-9889-a581410000f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530295-9eea-494d-b82a-9ff74409eaf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8538fce-e890-4b7b-80be-36737fc852f6}" ma:internalName="TaxCatchAll" ma:showField="CatchAllData" ma:web="79530295-9eea-494d-b82a-9ff74409ea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9530295-9eea-494d-b82a-9ff74409eafc" xsi:nil="true"/>
    <lcf76f155ced4ddcb4097134ff3c332f xmlns="5664482d-1961-4d38-bfc2-b109b3418834">
      <Terms xmlns="http://schemas.microsoft.com/office/infopath/2007/PartnerControls"/>
    </lcf76f155ced4ddcb4097134ff3c332f>
    <SharedWithUsers xmlns="79530295-9eea-494d-b82a-9ff74409eafc">
      <UserInfo>
        <DisplayName>Benjamin Fogwell</DisplayName>
        <AccountId>80</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2C6391-6478-4F96-8299-48832D182D77}">
  <ds:schemaRefs>
    <ds:schemaRef ds:uri="http://schemas.openxmlformats.org/officeDocument/2006/bibliography"/>
  </ds:schemaRefs>
</ds:datastoreItem>
</file>

<file path=customXml/itemProps2.xml><?xml version="1.0" encoding="utf-8"?>
<ds:datastoreItem xmlns:ds="http://schemas.openxmlformats.org/officeDocument/2006/customXml" ds:itemID="{335EBDD3-70C7-4CC7-84B6-96D5A2DF0B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64482d-1961-4d38-bfc2-b109b3418834"/>
    <ds:schemaRef ds:uri="79530295-9eea-494d-b82a-9ff74409ea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8A39F2-5068-45BF-85CC-A816CCABDD3E}">
  <ds:schemaRefs>
    <ds:schemaRef ds:uri="79530295-9eea-494d-b82a-9ff74409eafc"/>
    <ds:schemaRef ds:uri="http://schemas.microsoft.com/office/2006/metadata/properties"/>
    <ds:schemaRef ds:uri="5664482d-1961-4d38-bfc2-b109b3418834"/>
    <ds:schemaRef ds:uri="http://www.w3.org/XML/1998/namespace"/>
    <ds:schemaRef ds:uri="http://purl.org/dc/terms/"/>
    <ds:schemaRef ds:uri="http://purl.org/dc/dcmityp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F99F6737-CFE8-42D7-AD31-851C77546D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1343</Words>
  <Characters>7899</Characters>
  <Application>Microsoft Office Word</Application>
  <DocSecurity>0</DocSecurity>
  <Lines>146</Lines>
  <Paragraphs>73</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
  <LinksUpToDate>false</LinksUpToDate>
  <CharactersWithSpaces>9169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subject/>
  <dc:creator>Eleanor Earl</dc:creator>
  <cp:keywords>[SEC=OFFICIAL]</cp:keywords>
  <dc:description/>
  <cp:lastModifiedBy>Toni Michalis</cp:lastModifiedBy>
  <cp:revision>2</cp:revision>
  <cp:lastPrinted>2014-02-02T12:10:00Z</cp:lastPrinted>
  <dcterms:created xsi:type="dcterms:W3CDTF">2023-05-31T12:02:00Z</dcterms:created>
  <dcterms:modified xsi:type="dcterms:W3CDTF">2023-05-31T12:02:00Z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73BB359DE67C4467B113C70A6C8971F2</vt:lpwstr>
  </property>
  <property fmtid="{D5CDD505-2E9C-101B-9397-08002B2CF9AE}" pid="9" name="PM_ProtectiveMarkingValue_Footer">
    <vt:lpwstr>OFFICIAL</vt:lpwstr>
  </property>
  <property fmtid="{D5CDD505-2E9C-101B-9397-08002B2CF9AE}" pid="10" name="PM_Originator_Hash_SHA1">
    <vt:lpwstr>C3AD57350F36D8E1BD75F8F67CB06D435C9C43CA</vt:lpwstr>
  </property>
  <property fmtid="{D5CDD505-2E9C-101B-9397-08002B2CF9AE}" pid="11" name="PM_OriginationTimeStamp">
    <vt:lpwstr>2022-06-16T05:11:15Z</vt:lpwstr>
  </property>
  <property fmtid="{D5CDD505-2E9C-101B-9397-08002B2CF9AE}" pid="12" name="PM_ProtectiveMarkingValue_Header">
    <vt:lpwstr>OFFICIAL</vt:lpwstr>
  </property>
  <property fmtid="{D5CDD505-2E9C-101B-9397-08002B2CF9AE}" pid="13" name="PM_ProtectiveMarkingImage_Footer">
    <vt:lpwstr>C:\Program Files\Common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Uuid">
    <vt:lpwstr>v=2022.2;d=gov.au;g=46DD6D7C-8107-577B-BC6E-F348953B2E44</vt:lpwstr>
  </property>
  <property fmtid="{D5CDD505-2E9C-101B-9397-08002B2CF9AE}" pid="20" name="PM_Hash_Version">
    <vt:lpwstr>2022.1</vt:lpwstr>
  </property>
  <property fmtid="{D5CDD505-2E9C-101B-9397-08002B2CF9AE}" pid="21" name="PM_OriginatorUserAccountName_SHA256">
    <vt:lpwstr>6E3018F28A186D2E5FF5207C041E7A82E907C3008E071057026A53705873B72E</vt:lpwstr>
  </property>
  <property fmtid="{D5CDD505-2E9C-101B-9397-08002B2CF9AE}" pid="22" name="PM_OriginatorDomainName_SHA256">
    <vt:lpwstr>ECBDE2B44A971754412B3FB70606937A119CC0D4B6C1B658A40FBD41C30BE3EC</vt:lpwstr>
  </property>
  <property fmtid="{D5CDD505-2E9C-101B-9397-08002B2CF9AE}" pid="23" name="ContentTypeId">
    <vt:lpwstr>0x010100E5E831F15EEA47429C4A0837D916ED91</vt:lpwstr>
  </property>
  <property fmtid="{D5CDD505-2E9C-101B-9397-08002B2CF9AE}" pid="24" name="APRAPeriod">
    <vt:lpwstr/>
  </property>
  <property fmtid="{D5CDD505-2E9C-101B-9397-08002B2CF9AE}" pid="25" name="APRAPRSG">
    <vt:lpwstr/>
  </property>
  <property fmtid="{D5CDD505-2E9C-101B-9397-08002B2CF9AE}" pid="26" name="APRAYear">
    <vt:lpwstr>401;#2022|c15887ee-fc3e-4879-bd3d-5a13724ac42c</vt:lpwstr>
  </property>
  <property fmtid="{D5CDD505-2E9C-101B-9397-08002B2CF9AE}" pid="27" name="APRAIndustry">
    <vt:lpwstr>272;#Insurance|d1257cad-5902-48d4-84ea-13f71a3edbb9</vt:lpwstr>
  </property>
  <property fmtid="{D5CDD505-2E9C-101B-9397-08002B2CF9AE}" pid="28" name="_dlc_DocIdItemGuid">
    <vt:lpwstr>864850dd-f24e-4f9b-a312-7e370a5ab9c4</vt:lpwstr>
  </property>
  <property fmtid="{D5CDD505-2E9C-101B-9397-08002B2CF9AE}" pid="29" name="IsLocked">
    <vt:lpwstr>Yes</vt:lpwstr>
  </property>
  <property fmtid="{D5CDD505-2E9C-101B-9397-08002B2CF9AE}" pid="30" name="APRACostCentre">
    <vt:lpwstr/>
  </property>
  <property fmtid="{D5CDD505-2E9C-101B-9397-08002B2CF9AE}" pid="31" name="IT system type">
    <vt:lpwstr/>
  </property>
  <property fmtid="{D5CDD505-2E9C-101B-9397-08002B2CF9AE}" pid="32" name="APRACategory">
    <vt:lpwstr/>
  </property>
  <property fmtid="{D5CDD505-2E9C-101B-9397-08002B2CF9AE}" pid="33" name="APRADocumentType">
    <vt:lpwstr>91;#Note|a8212199-d195-4313-a455-11ff5a77bf8e</vt:lpwstr>
  </property>
  <property fmtid="{D5CDD505-2E9C-101B-9397-08002B2CF9AE}" pid="34" name="APRAStatus">
    <vt:lpwstr>1;#Draft|0e1556d2-3fe8-443a-ada7-3620563b46b3</vt:lpwstr>
  </property>
  <property fmtid="{D5CDD505-2E9C-101B-9397-08002B2CF9AE}" pid="35" name="APRAActivity">
    <vt:lpwstr>8;#Prudential policy development|4cf81ba0-32a2-4f8f-8216-9e632903331b;#406;#Sunsetting|98278325-a176-4ea4-b452-eb743378e537</vt:lpwstr>
  </property>
  <property fmtid="{D5CDD505-2E9C-101B-9397-08002B2CF9AE}" pid="36" name="APRAEntityAdviceSupport">
    <vt:lpwstr/>
  </property>
  <property fmtid="{D5CDD505-2E9C-101B-9397-08002B2CF9AE}" pid="37" name="APRALegislation">
    <vt:lpwstr/>
  </property>
  <property fmtid="{D5CDD505-2E9C-101B-9397-08002B2CF9AE}" pid="38" name="APRAExternalOrganisation">
    <vt:lpwstr/>
  </property>
  <property fmtid="{D5CDD505-2E9C-101B-9397-08002B2CF9AE}" pid="39" name="APRAIRTR">
    <vt:lpwstr/>
  </property>
  <property fmtid="{D5CDD505-2E9C-101B-9397-08002B2CF9AE}" pid="40" name="RecordPoint_WorkflowType">
    <vt:lpwstr>ActiveSubmitStub</vt:lpwstr>
  </property>
  <property fmtid="{D5CDD505-2E9C-101B-9397-08002B2CF9AE}" pid="41" name="RecordPoint_ActiveItemSiteId">
    <vt:lpwstr>{0108aca2-193a-480a-9365-26eca985c6f0}</vt:lpwstr>
  </property>
  <property fmtid="{D5CDD505-2E9C-101B-9397-08002B2CF9AE}" pid="42" name="RecordPoint_ActiveItemListId">
    <vt:lpwstr>{8524f2be-f3e8-4e4e-b114-b0bf6497a529}</vt:lpwstr>
  </property>
  <property fmtid="{D5CDD505-2E9C-101B-9397-08002B2CF9AE}" pid="43" name="RecordPoint_ActiveItemUniqueId">
    <vt:lpwstr>{864850dd-f24e-4f9b-a312-7e370a5ab9c4}</vt:lpwstr>
  </property>
  <property fmtid="{D5CDD505-2E9C-101B-9397-08002B2CF9AE}" pid="44" name="RecordPoint_ActiveItemWebId">
    <vt:lpwstr>{b7c132af-ef8f-43c8-b784-c343c8358833}</vt:lpwstr>
  </property>
  <property fmtid="{D5CDD505-2E9C-101B-9397-08002B2CF9AE}" pid="45" name="RecordPoint_RecordNumberSubmitted">
    <vt:lpwstr>R0001743233</vt:lpwstr>
  </property>
  <property fmtid="{D5CDD505-2E9C-101B-9397-08002B2CF9AE}" pid="46" name="RecordPoint_SubmissionCompleted">
    <vt:lpwstr>2023-03-02T12:27:39.7299473+11:00</vt:lpwstr>
  </property>
  <property fmtid="{D5CDD505-2E9C-101B-9397-08002B2CF9AE}" pid="47" name="PM_SecurityClassification_Prev">
    <vt:lpwstr>OFFICIAL</vt:lpwstr>
  </property>
  <property fmtid="{D5CDD505-2E9C-101B-9397-08002B2CF9AE}" pid="48" name="PM_Qualifier_Prev">
    <vt:lpwstr/>
  </property>
  <property fmtid="{D5CDD505-2E9C-101B-9397-08002B2CF9AE}" pid="49" name="MSIP_Label_c0129afb-6481-4f92-bc9f-5a4a6346364d_Method">
    <vt:lpwstr>Privileged</vt:lpwstr>
  </property>
  <property fmtid="{D5CDD505-2E9C-101B-9397-08002B2CF9AE}" pid="50" name="MSIP_Label_c0129afb-6481-4f92-bc9f-5a4a6346364d_SetDate">
    <vt:lpwstr>2022-06-16T05:11:15Z</vt:lpwstr>
  </property>
  <property fmtid="{D5CDD505-2E9C-101B-9397-08002B2CF9AE}" pid="51" name="MSIP_Label_c0129afb-6481-4f92-bc9f-5a4a6346364d_Name">
    <vt:lpwstr>OFFICIAL</vt:lpwstr>
  </property>
  <property fmtid="{D5CDD505-2E9C-101B-9397-08002B2CF9AE}" pid="52" name="MSIP_Label_c0129afb-6481-4f92-bc9f-5a4a6346364d_SiteId">
    <vt:lpwstr>c05e3ffd-b491-4431-9809-e61d4dc78816</vt:lpwstr>
  </property>
  <property fmtid="{D5CDD505-2E9C-101B-9397-08002B2CF9AE}" pid="53" name="MSIP_Label_c0129afb-6481-4f92-bc9f-5a4a6346364d_ContentBits">
    <vt:lpwstr>0</vt:lpwstr>
  </property>
  <property fmtid="{D5CDD505-2E9C-101B-9397-08002B2CF9AE}" pid="54" name="MSIP_Label_c0129afb-6481-4f92-bc9f-5a4a6346364d_Enabled">
    <vt:lpwstr>true</vt:lpwstr>
  </property>
  <property fmtid="{D5CDD505-2E9C-101B-9397-08002B2CF9AE}" pid="55" name="RecordPoint_SubmissionDate">
    <vt:lpwstr/>
  </property>
  <property fmtid="{D5CDD505-2E9C-101B-9397-08002B2CF9AE}" pid="56" name="RecordPoint_ActiveItemMoved">
    <vt:lpwstr/>
  </property>
  <property fmtid="{D5CDD505-2E9C-101B-9397-08002B2CF9AE}" pid="57" name="RecordPoint_RecordFormat">
    <vt:lpwstr/>
  </property>
  <property fmtid="{D5CDD505-2E9C-101B-9397-08002B2CF9AE}" pid="58" name="MediaServiceImageTags">
    <vt:lpwstr/>
  </property>
  <property fmtid="{D5CDD505-2E9C-101B-9397-08002B2CF9AE}" pid="59" name="PM_Hash_Salt_Prev">
    <vt:lpwstr>3D4EE3C5728ADAC491D6C9C46F2B6396</vt:lpwstr>
  </property>
  <property fmtid="{D5CDD505-2E9C-101B-9397-08002B2CF9AE}" pid="60" name="PM_Hash_Salt">
    <vt:lpwstr>0F36DB94EC1F82CFDFFD5C7AE5292234</vt:lpwstr>
  </property>
  <property fmtid="{D5CDD505-2E9C-101B-9397-08002B2CF9AE}" pid="61" name="PM_Hash_SHA1">
    <vt:lpwstr>9CFC083A55D1DB67A859AB2EA4A4AA201173858C</vt:lpwstr>
  </property>
  <property fmtid="{D5CDD505-2E9C-101B-9397-08002B2CF9AE}" pid="62" name="PMHMAC">
    <vt:lpwstr>v=2022.1;a=SHA256;h=2F3506E0F02390719A9D3719948DD3DE76D7BBE079891ADBD44C39F5FE260C9D</vt:lpwstr>
  </property>
  <property fmtid="{D5CDD505-2E9C-101B-9397-08002B2CF9AE}" pid="63" name="MSIP_Label_c0129afb-6481-4f92-bc9f-5a4a6346364d_ActionId">
    <vt:lpwstr>99ea2c8ef8924bfc908e84bddb0bcd0a</vt:lpwstr>
  </property>
</Properties>
</file>