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16B3" w14:textId="0BC4FE2A" w:rsidR="00272569" w:rsidRPr="00A516E7" w:rsidRDefault="00272569" w:rsidP="00272569">
      <w:pPr>
        <w:numPr>
          <w:ilvl w:val="0"/>
          <w:numId w:val="12"/>
        </w:numPr>
        <w:jc w:val="center"/>
        <w:rPr>
          <w:rFonts w:ascii="Times New Roman" w:hAnsi="Times New Roman" w:cs="Times New Roman"/>
          <w:b/>
          <w:sz w:val="24"/>
          <w:szCs w:val="24"/>
        </w:rPr>
      </w:pPr>
      <w:r w:rsidRPr="00A516E7">
        <w:rPr>
          <w:rFonts w:ascii="Times New Roman" w:hAnsi="Times New Roman" w:cs="Times New Roman"/>
          <w:b/>
          <w:sz w:val="24"/>
          <w:szCs w:val="24"/>
        </w:rPr>
        <w:t xml:space="preserve">Life Insurance (prudential standard) determination No. </w:t>
      </w:r>
      <w:r w:rsidR="00C5366B">
        <w:rPr>
          <w:rFonts w:ascii="Times New Roman" w:hAnsi="Times New Roman" w:cs="Times New Roman"/>
          <w:b/>
          <w:sz w:val="24"/>
          <w:szCs w:val="24"/>
        </w:rPr>
        <w:t>8</w:t>
      </w:r>
      <w:r w:rsidRPr="00A516E7">
        <w:rPr>
          <w:rFonts w:ascii="Times New Roman" w:hAnsi="Times New Roman" w:cs="Times New Roman"/>
          <w:b/>
          <w:sz w:val="24"/>
          <w:szCs w:val="24"/>
        </w:rPr>
        <w:t xml:space="preserve"> of 2023</w:t>
      </w:r>
    </w:p>
    <w:p w14:paraId="69BAABC3" w14:textId="77777777" w:rsidR="00272569" w:rsidRPr="00A516E7" w:rsidRDefault="00272569" w:rsidP="00272569">
      <w:pPr>
        <w:numPr>
          <w:ilvl w:val="0"/>
          <w:numId w:val="12"/>
        </w:numPr>
        <w:shd w:val="clear" w:color="auto" w:fill="FFFFFF"/>
        <w:jc w:val="center"/>
        <w:rPr>
          <w:rFonts w:ascii="Times New Roman" w:hAnsi="Times New Roman" w:cs="Times New Roman"/>
          <w:sz w:val="24"/>
          <w:szCs w:val="24"/>
        </w:rPr>
      </w:pPr>
      <w:r w:rsidRPr="00A516E7">
        <w:rPr>
          <w:rFonts w:ascii="Times New Roman" w:hAnsi="Times New Roman" w:cs="Times New Roman"/>
          <w:b/>
          <w:bCs/>
          <w:sz w:val="24"/>
          <w:szCs w:val="24"/>
          <w:u w:val="single"/>
        </w:rPr>
        <w:t>EXPLANATORY STATEMENT</w:t>
      </w:r>
    </w:p>
    <w:p w14:paraId="395C56C5" w14:textId="77777777" w:rsidR="00272569" w:rsidRPr="00A516E7" w:rsidRDefault="00272569" w:rsidP="00272569">
      <w:pPr>
        <w:numPr>
          <w:ilvl w:val="0"/>
          <w:numId w:val="12"/>
        </w:numPr>
        <w:shd w:val="clear" w:color="auto" w:fill="FFFFFF"/>
        <w:jc w:val="center"/>
        <w:rPr>
          <w:rFonts w:ascii="Times New Roman" w:hAnsi="Times New Roman" w:cs="Times New Roman"/>
          <w:sz w:val="24"/>
          <w:szCs w:val="24"/>
        </w:rPr>
      </w:pPr>
      <w:r w:rsidRPr="00A516E7">
        <w:rPr>
          <w:rFonts w:ascii="Times New Roman" w:hAnsi="Times New Roman" w:cs="Times New Roman"/>
          <w:b/>
          <w:bCs/>
          <w:sz w:val="24"/>
          <w:szCs w:val="24"/>
        </w:rPr>
        <w:t>Prepared by the Australian Prudential Regulation Authority (APRA)</w:t>
      </w:r>
    </w:p>
    <w:p w14:paraId="267991DE" w14:textId="10F7003D" w:rsidR="00272569" w:rsidRPr="00A516E7" w:rsidRDefault="00272569" w:rsidP="00272569">
      <w:pPr>
        <w:numPr>
          <w:ilvl w:val="0"/>
          <w:numId w:val="12"/>
        </w:numPr>
        <w:shd w:val="clear" w:color="auto" w:fill="FFFFFF"/>
        <w:jc w:val="center"/>
        <w:rPr>
          <w:rFonts w:ascii="Times New Roman" w:hAnsi="Times New Roman" w:cs="Times New Roman"/>
          <w:sz w:val="24"/>
          <w:szCs w:val="24"/>
        </w:rPr>
      </w:pPr>
      <w:bookmarkStart w:id="0" w:name="bkExplanatory"/>
      <w:bookmarkStart w:id="1" w:name="bkAct"/>
      <w:bookmarkEnd w:id="0"/>
      <w:bookmarkEnd w:id="1"/>
      <w:r w:rsidRPr="00A516E7">
        <w:rPr>
          <w:rFonts w:ascii="Times New Roman" w:hAnsi="Times New Roman" w:cs="Times New Roman"/>
          <w:i/>
          <w:iCs/>
          <w:sz w:val="24"/>
          <w:szCs w:val="24"/>
        </w:rPr>
        <w:t>Life Insurance Act 1995</w:t>
      </w:r>
      <w:r w:rsidRPr="00A516E7">
        <w:rPr>
          <w:rFonts w:ascii="Times New Roman" w:hAnsi="Times New Roman" w:cs="Times New Roman"/>
          <w:sz w:val="24"/>
          <w:szCs w:val="24"/>
        </w:rPr>
        <w:t>, section 230A</w:t>
      </w:r>
    </w:p>
    <w:p w14:paraId="41208929" w14:textId="77777777" w:rsidR="000C4197" w:rsidRDefault="00272569" w:rsidP="000C4197">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r w:rsidRPr="00A516E7">
        <w:rPr>
          <w:rFonts w:ascii="Times New Roman" w:hAnsi="Times New Roman" w:cs="Times New Roman"/>
          <w:sz w:val="24"/>
          <w:szCs w:val="24"/>
        </w:rPr>
        <w:t>Under</w:t>
      </w:r>
      <w:bookmarkStart w:id="2" w:name="_Hlk128141819"/>
      <w:bookmarkStart w:id="3" w:name="_Hlk128145224"/>
      <w:r w:rsidRPr="00A516E7">
        <w:rPr>
          <w:rFonts w:ascii="Times New Roman" w:hAnsi="Times New Roman" w:cs="Times New Roman"/>
          <w:sz w:val="24"/>
          <w:szCs w:val="24"/>
        </w:rPr>
        <w:t xml:space="preserve"> </w:t>
      </w:r>
      <w:r w:rsidRPr="00A516E7">
        <w:rPr>
          <w:rFonts w:ascii="Times New Roman" w:hAnsi="Times New Roman" w:cs="Times New Roman"/>
          <w:sz w:val="24"/>
          <w:szCs w:val="24"/>
          <w:shd w:val="clear" w:color="auto" w:fill="FFFFFF"/>
        </w:rPr>
        <w:t>subsection 230</w:t>
      </w:r>
      <w:proofErr w:type="gramStart"/>
      <w:r w:rsidRPr="00A516E7">
        <w:rPr>
          <w:rFonts w:ascii="Times New Roman" w:hAnsi="Times New Roman" w:cs="Times New Roman"/>
          <w:sz w:val="24"/>
          <w:szCs w:val="24"/>
          <w:shd w:val="clear" w:color="auto" w:fill="FFFFFF"/>
        </w:rPr>
        <w:t>A(</w:t>
      </w:r>
      <w:proofErr w:type="gramEnd"/>
      <w:r w:rsidRPr="00A516E7">
        <w:rPr>
          <w:rFonts w:ascii="Times New Roman" w:hAnsi="Times New Roman" w:cs="Times New Roman"/>
          <w:sz w:val="24"/>
          <w:szCs w:val="24"/>
          <w:shd w:val="clear" w:color="auto" w:fill="FFFFFF"/>
        </w:rPr>
        <w:t xml:space="preserve">1) of the </w:t>
      </w:r>
      <w:r w:rsidRPr="00A516E7">
        <w:rPr>
          <w:rFonts w:ascii="Times New Roman" w:hAnsi="Times New Roman" w:cs="Times New Roman"/>
          <w:i/>
          <w:iCs/>
          <w:sz w:val="24"/>
          <w:szCs w:val="24"/>
          <w:shd w:val="clear" w:color="auto" w:fill="FFFFFF"/>
        </w:rPr>
        <w:t xml:space="preserve">Life Insurance Act 1995 </w:t>
      </w:r>
      <w:r w:rsidRPr="00A516E7">
        <w:rPr>
          <w:rFonts w:ascii="Times New Roman" w:hAnsi="Times New Roman" w:cs="Times New Roman"/>
          <w:sz w:val="24"/>
          <w:szCs w:val="24"/>
          <w:shd w:val="clear" w:color="auto" w:fill="FFFFFF"/>
        </w:rPr>
        <w:t>(the Act), APRA has power to determine standards (prudential standards), in writing, in relation to prudential matters to be complied with by life companies, including friendly societies, registered non-operating holding companies (registered NOHCs) and subsidiaries of life companies and registered NOHCs.</w:t>
      </w:r>
      <w:bookmarkEnd w:id="2"/>
      <w:bookmarkEnd w:id="3"/>
      <w:r w:rsidRPr="00A516E7">
        <w:rPr>
          <w:rFonts w:ascii="Times New Roman" w:hAnsi="Times New Roman" w:cs="Times New Roman"/>
          <w:sz w:val="24"/>
          <w:szCs w:val="24"/>
        </w:rPr>
        <w:t xml:space="preserve"> Under subsection 230</w:t>
      </w:r>
      <w:proofErr w:type="gramStart"/>
      <w:r w:rsidRPr="00A516E7">
        <w:rPr>
          <w:rFonts w:ascii="Times New Roman" w:hAnsi="Times New Roman" w:cs="Times New Roman"/>
          <w:sz w:val="24"/>
          <w:szCs w:val="24"/>
        </w:rPr>
        <w:t>A(</w:t>
      </w:r>
      <w:proofErr w:type="gramEnd"/>
      <w:r w:rsidRPr="00A516E7">
        <w:rPr>
          <w:rFonts w:ascii="Times New Roman" w:hAnsi="Times New Roman" w:cs="Times New Roman"/>
          <w:sz w:val="24"/>
          <w:szCs w:val="24"/>
        </w:rPr>
        <w:t>5) of the Act, APRA may, in writing, vary or revoke a prudential standard.</w:t>
      </w:r>
    </w:p>
    <w:p w14:paraId="22F223C5" w14:textId="77777777" w:rsidR="000C4197" w:rsidRDefault="000C4197" w:rsidP="000C4197">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p>
    <w:p w14:paraId="248BB2B6" w14:textId="3346F6B5" w:rsidR="002F7D67" w:rsidRPr="000C4197" w:rsidRDefault="002F7D67" w:rsidP="000C4197">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r w:rsidRPr="000C4197">
        <w:rPr>
          <w:rFonts w:ascii="Times New Roman" w:hAnsi="Times New Roman" w:cs="Times New Roman"/>
          <w:sz w:val="24"/>
          <w:szCs w:val="24"/>
        </w:rPr>
        <w:t xml:space="preserve">On </w:t>
      </w:r>
      <w:r w:rsidR="005A2148">
        <w:rPr>
          <w:rFonts w:ascii="Times New Roman" w:hAnsi="Times New Roman" w:cs="Times New Roman"/>
          <w:sz w:val="24"/>
          <w:szCs w:val="24"/>
        </w:rPr>
        <w:t xml:space="preserve">24 May </w:t>
      </w:r>
      <w:r w:rsidR="000C4197" w:rsidRPr="000C4197">
        <w:rPr>
          <w:rFonts w:ascii="Times New Roman" w:hAnsi="Times New Roman" w:cs="Times New Roman"/>
          <w:sz w:val="24"/>
          <w:szCs w:val="24"/>
        </w:rPr>
        <w:t>2023</w:t>
      </w:r>
      <w:r w:rsidRPr="000C4197">
        <w:rPr>
          <w:rFonts w:ascii="Times New Roman" w:hAnsi="Times New Roman" w:cs="Times New Roman"/>
          <w:sz w:val="24"/>
          <w:szCs w:val="24"/>
        </w:rPr>
        <w:t xml:space="preserve">, APRA made Insurance (prudential standard) determination </w:t>
      </w:r>
      <w:r w:rsidR="00C5366B">
        <w:rPr>
          <w:rFonts w:ascii="Times New Roman" w:hAnsi="Times New Roman" w:cs="Times New Roman"/>
          <w:sz w:val="24"/>
          <w:szCs w:val="24"/>
        </w:rPr>
        <w:t>N</w:t>
      </w:r>
      <w:r w:rsidRPr="000C4197">
        <w:rPr>
          <w:rFonts w:ascii="Times New Roman" w:hAnsi="Times New Roman" w:cs="Times New Roman"/>
          <w:sz w:val="24"/>
          <w:szCs w:val="24"/>
        </w:rPr>
        <w:t xml:space="preserve">o. </w:t>
      </w:r>
      <w:r w:rsidR="00C5366B">
        <w:rPr>
          <w:rFonts w:ascii="Times New Roman" w:hAnsi="Times New Roman" w:cs="Times New Roman"/>
          <w:sz w:val="24"/>
          <w:szCs w:val="24"/>
        </w:rPr>
        <w:t>8</w:t>
      </w:r>
      <w:r w:rsidRPr="000C4197">
        <w:rPr>
          <w:rFonts w:ascii="Times New Roman" w:hAnsi="Times New Roman" w:cs="Times New Roman"/>
          <w:sz w:val="24"/>
          <w:szCs w:val="24"/>
        </w:rPr>
        <w:t xml:space="preserve"> of 2023 </w:t>
      </w:r>
      <w:r w:rsidR="00B83E32">
        <w:rPr>
          <w:rFonts w:ascii="Times New Roman" w:hAnsi="Times New Roman" w:cs="Times New Roman"/>
          <w:sz w:val="24"/>
          <w:szCs w:val="24"/>
        </w:rPr>
        <w:t xml:space="preserve">(the instrument), </w:t>
      </w:r>
      <w:r w:rsidRPr="000C4197">
        <w:rPr>
          <w:rFonts w:ascii="Times New Roman" w:hAnsi="Times New Roman" w:cs="Times New Roman"/>
          <w:sz w:val="24"/>
          <w:szCs w:val="24"/>
        </w:rPr>
        <w:t xml:space="preserve">which revokes </w:t>
      </w:r>
      <w:r w:rsidR="00921D70" w:rsidRPr="00921D70">
        <w:rPr>
          <w:rFonts w:ascii="Times New Roman" w:hAnsi="Times New Roman" w:cs="Times New Roman"/>
          <w:i/>
          <w:sz w:val="24"/>
          <w:szCs w:val="24"/>
        </w:rPr>
        <w:t>Prudential Standard LPS 114 Capital Adequacy: Asset Risk Charge</w:t>
      </w:r>
      <w:r w:rsidR="00921D70">
        <w:rPr>
          <w:rFonts w:ascii="Times New Roman" w:hAnsi="Times New Roman" w:cs="Times New Roman"/>
          <w:i/>
          <w:sz w:val="24"/>
          <w:szCs w:val="24"/>
        </w:rPr>
        <w:t xml:space="preserve"> </w:t>
      </w:r>
      <w:r w:rsidRPr="000C4197">
        <w:rPr>
          <w:rFonts w:ascii="Times New Roman" w:hAnsi="Times New Roman" w:cs="Times New Roman"/>
          <w:sz w:val="24"/>
          <w:szCs w:val="24"/>
        </w:rPr>
        <w:t>made under</w:t>
      </w:r>
      <w:r w:rsidR="000C4197" w:rsidRPr="000C4197">
        <w:rPr>
          <w:rFonts w:ascii="Times New Roman" w:hAnsi="Times New Roman" w:cs="Times New Roman"/>
          <w:sz w:val="24"/>
          <w:szCs w:val="24"/>
        </w:rPr>
        <w:t xml:space="preserve"> Life</w:t>
      </w:r>
      <w:r w:rsidRPr="000C4197">
        <w:rPr>
          <w:rFonts w:ascii="Times New Roman" w:hAnsi="Times New Roman" w:cs="Times New Roman"/>
          <w:sz w:val="24"/>
          <w:szCs w:val="24"/>
        </w:rPr>
        <w:t xml:space="preserve"> Insurance determination No. </w:t>
      </w:r>
      <w:r w:rsidR="00921D70">
        <w:rPr>
          <w:rFonts w:ascii="Times New Roman" w:hAnsi="Times New Roman" w:cs="Times New Roman"/>
          <w:sz w:val="24"/>
          <w:szCs w:val="24"/>
        </w:rPr>
        <w:t>4</w:t>
      </w:r>
      <w:r w:rsidR="000C4197" w:rsidRPr="000C4197">
        <w:rPr>
          <w:rFonts w:ascii="Times New Roman" w:hAnsi="Times New Roman" w:cs="Times New Roman"/>
          <w:sz w:val="24"/>
          <w:szCs w:val="24"/>
        </w:rPr>
        <w:t xml:space="preserve"> </w:t>
      </w:r>
      <w:r w:rsidRPr="000C4197">
        <w:rPr>
          <w:rFonts w:ascii="Times New Roman" w:hAnsi="Times New Roman" w:cs="Times New Roman"/>
          <w:sz w:val="24"/>
          <w:szCs w:val="24"/>
        </w:rPr>
        <w:t xml:space="preserve">of </w:t>
      </w:r>
      <w:r w:rsidR="000C4197" w:rsidRPr="000C4197">
        <w:rPr>
          <w:rFonts w:ascii="Times New Roman" w:hAnsi="Times New Roman" w:cs="Times New Roman"/>
          <w:sz w:val="24"/>
          <w:szCs w:val="24"/>
        </w:rPr>
        <w:t>20</w:t>
      </w:r>
      <w:r w:rsidR="00BD4E31">
        <w:rPr>
          <w:rFonts w:ascii="Times New Roman" w:hAnsi="Times New Roman" w:cs="Times New Roman"/>
          <w:sz w:val="24"/>
          <w:szCs w:val="24"/>
        </w:rPr>
        <w:t>1</w:t>
      </w:r>
      <w:r w:rsidR="000C4197" w:rsidRPr="000C4197">
        <w:rPr>
          <w:rFonts w:ascii="Times New Roman" w:hAnsi="Times New Roman" w:cs="Times New Roman"/>
          <w:sz w:val="24"/>
          <w:szCs w:val="24"/>
        </w:rPr>
        <w:t xml:space="preserve">2 </w:t>
      </w:r>
      <w:r w:rsidRPr="000C4197">
        <w:rPr>
          <w:rFonts w:ascii="Times New Roman" w:hAnsi="Times New Roman" w:cs="Times New Roman"/>
          <w:sz w:val="24"/>
          <w:szCs w:val="24"/>
        </w:rPr>
        <w:t xml:space="preserve">and determines a new </w:t>
      </w:r>
      <w:r w:rsidR="00921D70" w:rsidRPr="00921D70">
        <w:rPr>
          <w:rFonts w:ascii="Times New Roman" w:hAnsi="Times New Roman" w:cs="Times New Roman"/>
          <w:i/>
          <w:sz w:val="24"/>
          <w:szCs w:val="24"/>
        </w:rPr>
        <w:t xml:space="preserve">Prudential Standard LPS 114 Capital Adequacy: Asset Risk Charge </w:t>
      </w:r>
      <w:r w:rsidRPr="000C4197">
        <w:rPr>
          <w:rFonts w:ascii="Times New Roman" w:hAnsi="Times New Roman" w:cs="Times New Roman"/>
          <w:sz w:val="24"/>
          <w:szCs w:val="24"/>
        </w:rPr>
        <w:t>(LPS 1</w:t>
      </w:r>
      <w:r w:rsidR="00BD4E31">
        <w:rPr>
          <w:rFonts w:ascii="Times New Roman" w:hAnsi="Times New Roman" w:cs="Times New Roman"/>
          <w:sz w:val="24"/>
          <w:szCs w:val="24"/>
        </w:rPr>
        <w:t>1</w:t>
      </w:r>
      <w:r w:rsidR="00921D70">
        <w:rPr>
          <w:rFonts w:ascii="Times New Roman" w:hAnsi="Times New Roman" w:cs="Times New Roman"/>
          <w:sz w:val="24"/>
          <w:szCs w:val="24"/>
        </w:rPr>
        <w:t>4</w:t>
      </w:r>
      <w:r w:rsidRPr="000C4197">
        <w:rPr>
          <w:rFonts w:ascii="Times New Roman" w:hAnsi="Times New Roman" w:cs="Times New Roman"/>
          <w:sz w:val="24"/>
          <w:szCs w:val="24"/>
        </w:rPr>
        <w:t>).</w:t>
      </w:r>
    </w:p>
    <w:p w14:paraId="1E53BD4C" w14:textId="77777777" w:rsidR="002F7D67" w:rsidRDefault="002F7D67" w:rsidP="002F7D6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A06A6F">
        <w:rPr>
          <w:rFonts w:ascii="Times New Roman" w:hAnsi="Times New Roman" w:cs="Times New Roman"/>
          <w:sz w:val="24"/>
          <w:szCs w:val="24"/>
        </w:rPr>
        <w:t xml:space="preserve">The instrument commences on </w:t>
      </w:r>
      <w:r>
        <w:rPr>
          <w:rFonts w:ascii="Times New Roman" w:hAnsi="Times New Roman" w:cs="Times New Roman"/>
          <w:sz w:val="24"/>
          <w:szCs w:val="24"/>
        </w:rPr>
        <w:t>1 July 2023</w:t>
      </w:r>
      <w:r w:rsidRPr="00A06A6F">
        <w:rPr>
          <w:rFonts w:ascii="Times New Roman" w:hAnsi="Times New Roman" w:cs="Times New Roman"/>
          <w:sz w:val="24"/>
          <w:szCs w:val="24"/>
        </w:rPr>
        <w:t>.</w:t>
      </w:r>
    </w:p>
    <w:p w14:paraId="7D9CBB99" w14:textId="7777777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1.</w:t>
      </w:r>
      <w:r w:rsidRPr="00A516E7">
        <w:rPr>
          <w:rFonts w:ascii="Times New Roman" w:hAnsi="Times New Roman" w:cs="Times New Roman"/>
          <w:b/>
          <w:sz w:val="24"/>
          <w:szCs w:val="24"/>
        </w:rPr>
        <w:tab/>
        <w:t>Background</w:t>
      </w:r>
    </w:p>
    <w:p w14:paraId="581B0950" w14:textId="63F7782C"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On </w:t>
      </w:r>
      <w:r w:rsidR="005A2148">
        <w:rPr>
          <w:rFonts w:ascii="Times New Roman" w:hAnsi="Times New Roman" w:cs="Times New Roman"/>
          <w:sz w:val="24"/>
          <w:szCs w:val="24"/>
        </w:rPr>
        <w:t xml:space="preserve">24 May </w:t>
      </w:r>
      <w:r w:rsidRPr="00A516E7">
        <w:rPr>
          <w:rFonts w:ascii="Times New Roman" w:hAnsi="Times New Roman" w:cs="Times New Roman"/>
          <w:sz w:val="24"/>
          <w:szCs w:val="24"/>
        </w:rPr>
        <w:t xml:space="preserve">2023, APRA determined 19 general insurance and life insurance prudential standards with amendments that relate to the new accounting standard Australian Accounting Standards Board (AASB) 17 Insurance Contracts (AASB 17) and minor updates to the Life and General Insurance Capital (LAGIC) Framework. </w:t>
      </w:r>
    </w:p>
    <w:p w14:paraId="20412B30" w14:textId="77777777"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Based on International Financial Reporting Standard 17 Insurance Contracts, AASB 17 will see all insurance contracts accounted for in a consistent manner, thereby facilitating comparisons across similar insurance companies. The requirements are designed to help users of financial statements better understand an insurer’s exposure, </w:t>
      </w:r>
      <w:proofErr w:type="gramStart"/>
      <w:r w:rsidRPr="00A516E7">
        <w:rPr>
          <w:rFonts w:ascii="Times New Roman" w:hAnsi="Times New Roman" w:cs="Times New Roman"/>
          <w:sz w:val="24"/>
          <w:szCs w:val="24"/>
        </w:rPr>
        <w:t>profitability</w:t>
      </w:r>
      <w:proofErr w:type="gramEnd"/>
      <w:r w:rsidRPr="00A516E7">
        <w:rPr>
          <w:rFonts w:ascii="Times New Roman" w:hAnsi="Times New Roman" w:cs="Times New Roman"/>
          <w:sz w:val="24"/>
          <w:szCs w:val="24"/>
        </w:rPr>
        <w:t xml:space="preserve"> and financial position.</w:t>
      </w:r>
    </w:p>
    <w:p w14:paraId="7F22A434" w14:textId="7BA6F355"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APRA’s capital and reporting frameworks have close linkages with the accounting standards previously relied upon to determine the accounting treatment of insurance liabilities. As a result, APRA’s capital and reporting frameworks required substantial updates to ensure compatibility with the </w:t>
      </w:r>
      <w:r w:rsidR="00C5366B">
        <w:rPr>
          <w:rFonts w:ascii="Times New Roman" w:hAnsi="Times New Roman" w:cs="Times New Roman"/>
          <w:sz w:val="24"/>
          <w:szCs w:val="24"/>
        </w:rPr>
        <w:t>AASB 17</w:t>
      </w:r>
      <w:r w:rsidRPr="00A516E7">
        <w:rPr>
          <w:rFonts w:ascii="Times New Roman" w:hAnsi="Times New Roman" w:cs="Times New Roman"/>
          <w:sz w:val="24"/>
          <w:szCs w:val="24"/>
        </w:rPr>
        <w:t>.</w:t>
      </w:r>
    </w:p>
    <w:p w14:paraId="6F0261F0" w14:textId="6CCDFFAA"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Not </w:t>
      </w:r>
      <w:proofErr w:type="gramStart"/>
      <w:r w:rsidRPr="00A516E7">
        <w:rPr>
          <w:rFonts w:ascii="Times New Roman" w:hAnsi="Times New Roman" w:cs="Times New Roman"/>
          <w:sz w:val="24"/>
          <w:szCs w:val="24"/>
        </w:rPr>
        <w:t>making adjustments to</w:t>
      </w:r>
      <w:proofErr w:type="gramEnd"/>
      <w:r w:rsidRPr="00A516E7">
        <w:rPr>
          <w:rFonts w:ascii="Times New Roman" w:hAnsi="Times New Roman" w:cs="Times New Roman"/>
          <w:sz w:val="24"/>
          <w:szCs w:val="24"/>
        </w:rPr>
        <w:t xml:space="preserve"> APRA’s capital and reporting frameworks may have resulted in unintended changes to reported capital levels across the insurance industries. It may have also significantly increase</w:t>
      </w:r>
      <w:r w:rsidR="00C5366B">
        <w:rPr>
          <w:rFonts w:ascii="Times New Roman" w:hAnsi="Times New Roman" w:cs="Times New Roman"/>
          <w:sz w:val="24"/>
          <w:szCs w:val="24"/>
        </w:rPr>
        <w:t>d</w:t>
      </w:r>
      <w:r w:rsidRPr="00A516E7">
        <w:rPr>
          <w:rFonts w:ascii="Times New Roman" w:hAnsi="Times New Roman" w:cs="Times New Roman"/>
          <w:sz w:val="24"/>
          <w:szCs w:val="24"/>
        </w:rPr>
        <w:t xml:space="preserve"> regulatory burden due to the need for insurers to maintain dual valuation, actuarial, accounting and reporting systems to meet the different requirements of </w:t>
      </w:r>
      <w:r w:rsidR="00C5366B">
        <w:rPr>
          <w:rFonts w:ascii="Times New Roman" w:hAnsi="Times New Roman" w:cs="Times New Roman"/>
          <w:sz w:val="24"/>
          <w:szCs w:val="24"/>
        </w:rPr>
        <w:t>AASB 17</w:t>
      </w:r>
      <w:r w:rsidRPr="00A516E7">
        <w:rPr>
          <w:rFonts w:ascii="Times New Roman" w:hAnsi="Times New Roman" w:cs="Times New Roman"/>
          <w:sz w:val="24"/>
          <w:szCs w:val="24"/>
        </w:rPr>
        <w:t xml:space="preserve"> and APRA’s prudential framework.</w:t>
      </w:r>
    </w:p>
    <w:p w14:paraId="6F003B36" w14:textId="219AD456"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In addition to this, although the LAGIC framework continues to achieve its objectives, APRA has taken the opportunity </w:t>
      </w:r>
      <w:r w:rsidR="00C5366B">
        <w:rPr>
          <w:rFonts w:ascii="Times New Roman" w:hAnsi="Times New Roman" w:cs="Times New Roman"/>
          <w:sz w:val="24"/>
          <w:szCs w:val="24"/>
        </w:rPr>
        <w:t xml:space="preserve">to </w:t>
      </w:r>
      <w:r w:rsidRPr="00A516E7">
        <w:rPr>
          <w:rFonts w:ascii="Times New Roman" w:hAnsi="Times New Roman" w:cs="Times New Roman"/>
          <w:sz w:val="24"/>
          <w:szCs w:val="24"/>
        </w:rPr>
        <w:t xml:space="preserve">make </w:t>
      </w:r>
      <w:proofErr w:type="gramStart"/>
      <w:r w:rsidRPr="00A516E7">
        <w:rPr>
          <w:rFonts w:ascii="Times New Roman" w:hAnsi="Times New Roman" w:cs="Times New Roman"/>
          <w:sz w:val="24"/>
          <w:szCs w:val="24"/>
        </w:rPr>
        <w:t>a number of</w:t>
      </w:r>
      <w:proofErr w:type="gramEnd"/>
      <w:r w:rsidRPr="00A516E7">
        <w:rPr>
          <w:rFonts w:ascii="Times New Roman" w:hAnsi="Times New Roman" w:cs="Times New Roman"/>
          <w:sz w:val="24"/>
          <w:szCs w:val="24"/>
        </w:rPr>
        <w:t xml:space="preserve"> updates to LAGIC to ensure it remains fit-for-purpose. The key changes include: </w:t>
      </w:r>
    </w:p>
    <w:p w14:paraId="7BDDEC25" w14:textId="77777777" w:rsidR="00960B32" w:rsidRPr="00A516E7" w:rsidRDefault="00960B32" w:rsidP="00960B32">
      <w:pPr>
        <w:pStyle w:val="ListParagraph"/>
        <w:numPr>
          <w:ilvl w:val="0"/>
          <w:numId w:val="14"/>
        </w:numPr>
        <w:rPr>
          <w:rFonts w:ascii="Times New Roman" w:hAnsi="Times New Roman" w:cs="Times New Roman"/>
          <w:sz w:val="24"/>
          <w:szCs w:val="24"/>
        </w:rPr>
      </w:pPr>
      <w:bookmarkStart w:id="4" w:name="_Hlk133930731"/>
      <w:r w:rsidRPr="00A516E7">
        <w:rPr>
          <w:rFonts w:ascii="Times New Roman" w:hAnsi="Times New Roman" w:cs="Times New Roman"/>
          <w:sz w:val="24"/>
          <w:szCs w:val="24"/>
        </w:rPr>
        <w:lastRenderedPageBreak/>
        <w:t xml:space="preserve">removing the ability of insurers to use Internal Capital Models for regulatory capital </w:t>
      </w:r>
      <w:proofErr w:type="gramStart"/>
      <w:r w:rsidRPr="00A516E7">
        <w:rPr>
          <w:rFonts w:ascii="Times New Roman" w:hAnsi="Times New Roman" w:cs="Times New Roman"/>
          <w:sz w:val="24"/>
          <w:szCs w:val="24"/>
        </w:rPr>
        <w:t>purposes;</w:t>
      </w:r>
      <w:proofErr w:type="gramEnd"/>
      <w:r w:rsidRPr="00A516E7">
        <w:rPr>
          <w:rFonts w:ascii="Times New Roman" w:hAnsi="Times New Roman" w:cs="Times New Roman"/>
          <w:sz w:val="24"/>
          <w:szCs w:val="24"/>
        </w:rPr>
        <w:t xml:space="preserve"> </w:t>
      </w:r>
    </w:p>
    <w:bookmarkEnd w:id="4"/>
    <w:p w14:paraId="0BB93225" w14:textId="77777777" w:rsidR="00960B32" w:rsidRPr="00A516E7" w:rsidRDefault="00960B32" w:rsidP="00960B32">
      <w:pPr>
        <w:pStyle w:val="ListParagraph"/>
        <w:numPr>
          <w:ilvl w:val="0"/>
          <w:numId w:val="14"/>
        </w:numPr>
        <w:rPr>
          <w:rFonts w:ascii="Times New Roman" w:hAnsi="Times New Roman" w:cs="Times New Roman"/>
          <w:sz w:val="24"/>
          <w:szCs w:val="24"/>
        </w:rPr>
      </w:pPr>
      <w:r w:rsidRPr="00A516E7">
        <w:rPr>
          <w:rFonts w:ascii="Times New Roman" w:hAnsi="Times New Roman" w:cs="Times New Roman"/>
          <w:sz w:val="24"/>
          <w:szCs w:val="24"/>
        </w:rPr>
        <w:t xml:space="preserve">aligning the measurement of capital instruments for ADIs and Insurers; and </w:t>
      </w:r>
    </w:p>
    <w:p w14:paraId="5AC55BBA" w14:textId="77777777" w:rsidR="00960B32" w:rsidRPr="00A516E7" w:rsidRDefault="00960B32" w:rsidP="00960B32">
      <w:pPr>
        <w:pStyle w:val="ListParagraph"/>
        <w:numPr>
          <w:ilvl w:val="0"/>
          <w:numId w:val="14"/>
        </w:numPr>
        <w:rPr>
          <w:rFonts w:ascii="Times New Roman" w:hAnsi="Times New Roman" w:cs="Times New Roman"/>
          <w:sz w:val="24"/>
          <w:szCs w:val="24"/>
        </w:rPr>
      </w:pPr>
      <w:r w:rsidRPr="00A516E7">
        <w:rPr>
          <w:rFonts w:ascii="Times New Roman" w:hAnsi="Times New Roman" w:cs="Times New Roman"/>
          <w:sz w:val="24"/>
          <w:szCs w:val="24"/>
        </w:rPr>
        <w:t xml:space="preserve">clarifying and strengthening APRA’s position on the use of offshore reinsurers (these proposals were initially consulted on separately but have since been subsumed into the AASB 17 and LAGIC updates project). </w:t>
      </w:r>
    </w:p>
    <w:p w14:paraId="055F8914" w14:textId="49EEC5A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2.</w:t>
      </w:r>
      <w:r w:rsidRPr="00A516E7">
        <w:rPr>
          <w:rFonts w:ascii="Times New Roman" w:hAnsi="Times New Roman" w:cs="Times New Roman"/>
          <w:b/>
          <w:sz w:val="24"/>
          <w:szCs w:val="24"/>
        </w:rPr>
        <w:tab/>
        <w:t xml:space="preserve">Purpose and operation of the instrument </w:t>
      </w:r>
    </w:p>
    <w:p w14:paraId="5E594CD6" w14:textId="069BD00F" w:rsidR="004F4400" w:rsidRDefault="004F4400" w:rsidP="004F4400">
      <w:pPr>
        <w:pStyle w:val="heading0"/>
        <w:shd w:val="clear" w:color="auto" w:fill="FFFFFF"/>
        <w:spacing w:before="0" w:beforeAutospacing="0" w:after="240" w:afterAutospacing="0"/>
        <w:jc w:val="both"/>
        <w:rPr>
          <w:color w:val="000000"/>
        </w:rPr>
      </w:pPr>
      <w:bookmarkStart w:id="5" w:name="_Hlk112080807"/>
      <w:r w:rsidRPr="00A516E7">
        <w:rPr>
          <w:color w:val="000000"/>
        </w:rPr>
        <w:t>The purpose of th</w:t>
      </w:r>
      <w:r>
        <w:rPr>
          <w:color w:val="000000"/>
        </w:rPr>
        <w:t xml:space="preserve">is </w:t>
      </w:r>
      <w:r w:rsidRPr="00A516E7">
        <w:rPr>
          <w:color w:val="000000"/>
        </w:rPr>
        <w:t>instrument is to revoke</w:t>
      </w:r>
      <w:r>
        <w:rPr>
          <w:color w:val="000000"/>
        </w:rPr>
        <w:t xml:space="preserve"> </w:t>
      </w:r>
      <w:r w:rsidRPr="00A516E7">
        <w:rPr>
          <w:color w:val="000000"/>
        </w:rPr>
        <w:t xml:space="preserve">LPS </w:t>
      </w:r>
      <w:r w:rsidR="00657E93">
        <w:rPr>
          <w:color w:val="000000"/>
        </w:rPr>
        <w:t>11</w:t>
      </w:r>
      <w:r w:rsidR="00192213">
        <w:rPr>
          <w:color w:val="000000"/>
        </w:rPr>
        <w:t>4</w:t>
      </w:r>
      <w:r w:rsidRPr="00A516E7">
        <w:rPr>
          <w:color w:val="000000"/>
        </w:rPr>
        <w:t xml:space="preserve"> and replace </w:t>
      </w:r>
      <w:r>
        <w:rPr>
          <w:color w:val="000000"/>
        </w:rPr>
        <w:t xml:space="preserve">it </w:t>
      </w:r>
      <w:r w:rsidRPr="00A516E7">
        <w:rPr>
          <w:color w:val="000000"/>
        </w:rPr>
        <w:t>with the corresponding new versions of the prudential standard incorporating the amendments</w:t>
      </w:r>
      <w:r>
        <w:rPr>
          <w:color w:val="000000"/>
        </w:rPr>
        <w:t>.</w:t>
      </w:r>
    </w:p>
    <w:p w14:paraId="643F92D4" w14:textId="1EB6D477" w:rsidR="004C2A20" w:rsidRDefault="004C2A20" w:rsidP="004C2A20">
      <w:pPr>
        <w:rPr>
          <w:rFonts w:ascii="Times New Roman" w:hAnsi="Times New Roman" w:cs="Times New Roman"/>
          <w:sz w:val="24"/>
          <w:szCs w:val="24"/>
        </w:rPr>
      </w:pPr>
      <w:r>
        <w:rPr>
          <w:rFonts w:ascii="Times New Roman" w:hAnsi="Times New Roman" w:cs="Times New Roman"/>
          <w:sz w:val="24"/>
          <w:szCs w:val="24"/>
        </w:rPr>
        <w:t>Th</w:t>
      </w:r>
      <w:r w:rsidR="00392928">
        <w:rPr>
          <w:rFonts w:ascii="Times New Roman" w:hAnsi="Times New Roman" w:cs="Times New Roman"/>
          <w:sz w:val="24"/>
          <w:szCs w:val="24"/>
        </w:rPr>
        <w:t>is</w:t>
      </w:r>
      <w:r>
        <w:rPr>
          <w:rFonts w:ascii="Times New Roman" w:hAnsi="Times New Roman" w:cs="Times New Roman"/>
          <w:sz w:val="24"/>
          <w:szCs w:val="24"/>
        </w:rPr>
        <w:t xml:space="preserve"> instrument </w:t>
      </w:r>
      <w:r w:rsidR="00573D88">
        <w:rPr>
          <w:rFonts w:ascii="Times New Roman" w:hAnsi="Times New Roman" w:cs="Times New Roman"/>
          <w:sz w:val="24"/>
          <w:szCs w:val="24"/>
        </w:rPr>
        <w:t>makes</w:t>
      </w:r>
      <w:r>
        <w:rPr>
          <w:rFonts w:ascii="Times New Roman" w:hAnsi="Times New Roman" w:cs="Times New Roman"/>
          <w:sz w:val="24"/>
          <w:szCs w:val="24"/>
        </w:rPr>
        <w:t xml:space="preserve"> changes to better align APRA’s prudential requirements with accounting concepts, as well as make a small number of other amendments to address minor prudential matters. T</w:t>
      </w:r>
      <w:r w:rsidRPr="00334B5E">
        <w:rPr>
          <w:rFonts w:ascii="Times New Roman" w:hAnsi="Times New Roman" w:cs="Times New Roman"/>
          <w:sz w:val="24"/>
          <w:szCs w:val="24"/>
        </w:rPr>
        <w:t xml:space="preserve">he fundamental components </w:t>
      </w:r>
      <w:r>
        <w:rPr>
          <w:rFonts w:ascii="Times New Roman" w:hAnsi="Times New Roman" w:cs="Times New Roman"/>
          <w:sz w:val="24"/>
          <w:szCs w:val="24"/>
        </w:rPr>
        <w:t xml:space="preserve">or purpose </w:t>
      </w:r>
      <w:r w:rsidRPr="00334B5E">
        <w:rPr>
          <w:rFonts w:ascii="Times New Roman" w:hAnsi="Times New Roman" w:cs="Times New Roman"/>
          <w:sz w:val="24"/>
          <w:szCs w:val="24"/>
        </w:rPr>
        <w:t xml:space="preserve">of each standard has not changed. </w:t>
      </w:r>
    </w:p>
    <w:bookmarkEnd w:id="5"/>
    <w:p w14:paraId="442D3366" w14:textId="1010AAD0" w:rsidR="00FE0471" w:rsidRPr="00365B6A" w:rsidRDefault="00192213" w:rsidP="00FE0471">
      <w:pPr>
        <w:pStyle w:val="heading0"/>
        <w:shd w:val="clear" w:color="auto" w:fill="FFFFFF"/>
        <w:spacing w:before="0" w:beforeAutospacing="0" w:after="240" w:afterAutospacing="0"/>
        <w:jc w:val="both"/>
      </w:pPr>
      <w:r w:rsidRPr="00192213">
        <w:rPr>
          <w:rFonts w:eastAsiaTheme="minorHAnsi"/>
          <w:color w:val="000000"/>
          <w:lang w:eastAsia="en-US"/>
        </w:rPr>
        <w:t>LPS 114 sets out the method for calculating the Asset Risk Charge, the minimum amount of capital a life company must hold against the asset risks associated with its activities. The Asset Risk Charge is one of the components of the Standard Method for calculating the prescribed capital amount for life company statutory funds and general funds and relates to the risk of adverse movements in the value of a fund’s on-balance sheet and off-balance sheet exposures.</w:t>
      </w:r>
      <w:bookmarkStart w:id="6" w:name="_Hlk135213529"/>
    </w:p>
    <w:p w14:paraId="151999B6" w14:textId="77777777" w:rsidR="00FE0471" w:rsidRPr="00B929E5" w:rsidRDefault="00FE0471" w:rsidP="00FE0471">
      <w:pPr>
        <w:pStyle w:val="Heading5"/>
        <w:rPr>
          <w:rFonts w:ascii="Times New Roman" w:hAnsi="Times New Roman" w:cs="Times New Roman"/>
          <w:sz w:val="24"/>
          <w:szCs w:val="24"/>
        </w:rPr>
      </w:pPr>
      <w:r w:rsidRPr="00B929E5">
        <w:rPr>
          <w:rFonts w:ascii="Times New Roman" w:hAnsi="Times New Roman" w:cs="Times New Roman"/>
          <w:sz w:val="24"/>
          <w:szCs w:val="24"/>
        </w:rPr>
        <w:t>Documents incorporated by reference</w:t>
      </w:r>
    </w:p>
    <w:p w14:paraId="122AA3CD" w14:textId="77777777" w:rsidR="00FE0471" w:rsidRPr="00B929E5" w:rsidRDefault="00FE0471" w:rsidP="00FE0471">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08DAAA4C" w14:textId="77777777" w:rsidR="00FE0471" w:rsidRPr="00B929E5" w:rsidRDefault="00FE0471" w:rsidP="00FE0471">
      <w:pPr>
        <w:numPr>
          <w:ilvl w:val="0"/>
          <w:numId w:val="17"/>
        </w:numPr>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47C3C946" w14:textId="77777777" w:rsidR="00FE0471" w:rsidRPr="00B929E5" w:rsidRDefault="00FE0471" w:rsidP="00FE0471">
      <w:pPr>
        <w:numPr>
          <w:ilvl w:val="0"/>
          <w:numId w:val="17"/>
        </w:numPr>
        <w:rPr>
          <w:rFonts w:ascii="Times New Roman" w:hAnsi="Times New Roman" w:cs="Times New Roman"/>
          <w:sz w:val="24"/>
          <w:szCs w:val="24"/>
        </w:rPr>
      </w:pPr>
      <w:r w:rsidRPr="00B929E5">
        <w:rPr>
          <w:rFonts w:ascii="Times New Roman" w:hAnsi="Times New Roman" w:cs="Times New Roman"/>
          <w:sz w:val="24"/>
          <w:szCs w:val="24"/>
        </w:rPr>
        <w:t xml:space="preserve">Prudential Standards determined by APRA under: </w:t>
      </w:r>
    </w:p>
    <w:p w14:paraId="3D0D6DF4" w14:textId="77777777" w:rsidR="00FE0471" w:rsidRPr="00B929E5" w:rsidRDefault="00FE0471" w:rsidP="00FE0471">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subsection 11</w:t>
      </w:r>
      <w:proofErr w:type="gramStart"/>
      <w:r w:rsidRPr="00B929E5">
        <w:rPr>
          <w:rFonts w:ascii="Times New Roman" w:hAnsi="Times New Roman" w:cs="Times New Roman"/>
          <w:sz w:val="24"/>
          <w:szCs w:val="24"/>
        </w:rPr>
        <w:t>AF(</w:t>
      </w:r>
      <w:proofErr w:type="gramEnd"/>
      <w:r w:rsidRPr="00B929E5">
        <w:rPr>
          <w:rFonts w:ascii="Times New Roman" w:hAnsi="Times New Roman" w:cs="Times New Roman"/>
          <w:sz w:val="24"/>
          <w:szCs w:val="24"/>
        </w:rPr>
        <w:t>1) of the</w:t>
      </w:r>
      <w:r w:rsidRPr="00B929E5">
        <w:rPr>
          <w:rFonts w:ascii="Times New Roman" w:hAnsi="Times New Roman" w:cs="Times New Roman"/>
          <w:i/>
          <w:iCs/>
          <w:sz w:val="24"/>
          <w:szCs w:val="24"/>
        </w:rPr>
        <w:t> Banking Act 1959</w:t>
      </w:r>
      <w:r w:rsidRPr="00B929E5">
        <w:rPr>
          <w:rFonts w:ascii="Times New Roman" w:hAnsi="Times New Roman" w:cs="Times New Roman"/>
          <w:iCs/>
          <w:sz w:val="24"/>
          <w:szCs w:val="24"/>
        </w:rPr>
        <w:t>;</w:t>
      </w:r>
    </w:p>
    <w:p w14:paraId="473FF638" w14:textId="77777777" w:rsidR="00FE0471" w:rsidRPr="00B929E5" w:rsidRDefault="00FE0471" w:rsidP="00FE0471">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subsection 32(1) of the </w:t>
      </w:r>
      <w:r w:rsidRPr="00B929E5">
        <w:rPr>
          <w:rFonts w:ascii="Times New Roman" w:hAnsi="Times New Roman" w:cs="Times New Roman"/>
          <w:i/>
          <w:iCs/>
          <w:sz w:val="24"/>
          <w:szCs w:val="24"/>
        </w:rPr>
        <w:t xml:space="preserve">Insurance Act </w:t>
      </w:r>
      <w:proofErr w:type="gramStart"/>
      <w:r w:rsidRPr="00B929E5">
        <w:rPr>
          <w:rFonts w:ascii="Times New Roman" w:hAnsi="Times New Roman" w:cs="Times New Roman"/>
          <w:i/>
          <w:iCs/>
          <w:sz w:val="24"/>
          <w:szCs w:val="24"/>
        </w:rPr>
        <w:t>1973</w:t>
      </w:r>
      <w:r w:rsidRPr="00B929E5">
        <w:rPr>
          <w:rFonts w:ascii="Times New Roman" w:hAnsi="Times New Roman" w:cs="Times New Roman"/>
          <w:sz w:val="24"/>
          <w:szCs w:val="24"/>
        </w:rPr>
        <w:t>;</w:t>
      </w:r>
      <w:proofErr w:type="gramEnd"/>
    </w:p>
    <w:p w14:paraId="7BD58E3E" w14:textId="77777777" w:rsidR="00FE0471" w:rsidRPr="00B929E5" w:rsidRDefault="00FE0471" w:rsidP="00FE0471">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subsection 230</w:t>
      </w:r>
      <w:proofErr w:type="gramStart"/>
      <w:r w:rsidRPr="00B929E5">
        <w:rPr>
          <w:rFonts w:ascii="Times New Roman" w:hAnsi="Times New Roman" w:cs="Times New Roman"/>
          <w:sz w:val="24"/>
          <w:szCs w:val="24"/>
        </w:rPr>
        <w:t>A(</w:t>
      </w:r>
      <w:proofErr w:type="gramEnd"/>
      <w:r w:rsidRPr="00B929E5">
        <w:rPr>
          <w:rFonts w:ascii="Times New Roman" w:hAnsi="Times New Roman" w:cs="Times New Roman"/>
          <w:sz w:val="24"/>
          <w:szCs w:val="24"/>
        </w:rPr>
        <w:t>1) of the </w:t>
      </w:r>
      <w:r w:rsidRPr="00B929E5">
        <w:rPr>
          <w:rFonts w:ascii="Times New Roman" w:hAnsi="Times New Roman" w:cs="Times New Roman"/>
          <w:i/>
          <w:iCs/>
          <w:sz w:val="24"/>
          <w:szCs w:val="24"/>
        </w:rPr>
        <w:t>Life Insurance Act 1995</w:t>
      </w:r>
      <w:r w:rsidRPr="00B929E5">
        <w:rPr>
          <w:rFonts w:ascii="Times New Roman" w:hAnsi="Times New Roman" w:cs="Times New Roman"/>
          <w:iCs/>
          <w:sz w:val="24"/>
          <w:szCs w:val="24"/>
        </w:rPr>
        <w:t>; and</w:t>
      </w:r>
    </w:p>
    <w:p w14:paraId="4ABEE0CD" w14:textId="77777777" w:rsidR="00FE0471" w:rsidRPr="00B929E5" w:rsidRDefault="00FE0471" w:rsidP="00FE0471">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 subsection 92(1) of the </w:t>
      </w:r>
      <w:r w:rsidRPr="00B929E5">
        <w:rPr>
          <w:rFonts w:ascii="Times New Roman" w:hAnsi="Times New Roman" w:cs="Times New Roman"/>
          <w:i/>
          <w:iCs/>
          <w:sz w:val="24"/>
          <w:szCs w:val="24"/>
        </w:rPr>
        <w:t>Private Health Insurance (Prudential Supervision) Act 2015</w:t>
      </w:r>
      <w:r w:rsidRPr="00B929E5">
        <w:rPr>
          <w:rFonts w:ascii="Times New Roman" w:hAnsi="Times New Roman" w:cs="Times New Roman"/>
          <w:iCs/>
          <w:sz w:val="24"/>
          <w:szCs w:val="24"/>
        </w:rPr>
        <w:t>; and</w:t>
      </w:r>
    </w:p>
    <w:p w14:paraId="17C2F11E" w14:textId="77777777" w:rsidR="00FE0471" w:rsidRPr="00B929E5" w:rsidRDefault="00FE0471" w:rsidP="00FE0471">
      <w:pPr>
        <w:numPr>
          <w:ilvl w:val="0"/>
          <w:numId w:val="17"/>
        </w:numPr>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proofErr w:type="gramStart"/>
      <w:r w:rsidRPr="00B929E5">
        <w:rPr>
          <w:rFonts w:ascii="Times New Roman" w:hAnsi="Times New Roman" w:cs="Times New Roman"/>
          <w:sz w:val="24"/>
          <w:szCs w:val="24"/>
        </w:rPr>
        <w:t>Act</w:t>
      </w:r>
      <w:r w:rsidRPr="00B929E5">
        <w:rPr>
          <w:rFonts w:ascii="Times New Roman" w:hAnsi="Times New Roman" w:cs="Times New Roman"/>
          <w:iCs/>
          <w:sz w:val="24"/>
          <w:szCs w:val="24"/>
          <w:lang w:val="en-US"/>
        </w:rPr>
        <w:t>;</w:t>
      </w:r>
      <w:proofErr w:type="gramEnd"/>
    </w:p>
    <w:p w14:paraId="2CA8BACE" w14:textId="77777777" w:rsidR="00FE0471" w:rsidRPr="00B929E5" w:rsidRDefault="00FE0471" w:rsidP="00FE0471">
      <w:pPr>
        <w:numPr>
          <w:ilvl w:val="0"/>
          <w:numId w:val="1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Accounting Standards determined by the Australian Accounting Standards Board under section 334 of the </w:t>
      </w:r>
      <w:r w:rsidRPr="00B929E5">
        <w:rPr>
          <w:rFonts w:ascii="Times New Roman" w:hAnsi="Times New Roman" w:cs="Times New Roman"/>
          <w:i/>
          <w:iCs/>
          <w:sz w:val="24"/>
          <w:szCs w:val="24"/>
        </w:rPr>
        <w:t xml:space="preserve">Corporations Act 2001 </w:t>
      </w:r>
      <w:r w:rsidRPr="00B929E5">
        <w:rPr>
          <w:rFonts w:ascii="Times New Roman" w:hAnsi="Times New Roman" w:cs="Times New Roman"/>
          <w:sz w:val="24"/>
          <w:szCs w:val="24"/>
        </w:rPr>
        <w:t>(</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 and</w:t>
      </w:r>
    </w:p>
    <w:p w14:paraId="60133F6F" w14:textId="77777777" w:rsidR="00FE0471" w:rsidRPr="00B929E5" w:rsidRDefault="00FE0471" w:rsidP="00FE0471">
      <w:pPr>
        <w:numPr>
          <w:ilvl w:val="0"/>
          <w:numId w:val="1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Auditing Standards determined by the Auditing and Assurance Standards Board under section 336 of the </w:t>
      </w:r>
      <w:r w:rsidRPr="00B929E5">
        <w:rPr>
          <w:rFonts w:ascii="Times New Roman" w:hAnsi="Times New Roman" w:cs="Times New Roman"/>
          <w:i/>
          <w:sz w:val="24"/>
          <w:szCs w:val="24"/>
        </w:rPr>
        <w:t>Corporations Act 2001</w:t>
      </w:r>
      <w:r w:rsidRPr="00B929E5">
        <w:rPr>
          <w:rFonts w:ascii="Times New Roman" w:hAnsi="Times New Roman" w:cs="Times New Roman"/>
          <w:sz w:val="24"/>
          <w:szCs w:val="24"/>
        </w:rPr>
        <w:t xml:space="preserve"> (</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w:t>
      </w:r>
    </w:p>
    <w:p w14:paraId="5D7573EB" w14:textId="3B287CAA" w:rsidR="00FE0471" w:rsidRDefault="00FE0471" w:rsidP="00FE0471">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These documents may be freely obtained at </w:t>
      </w:r>
      <w:hyperlink r:id="rId11" w:history="1">
        <w:r w:rsidRPr="00B929E5">
          <w:rPr>
            <w:rStyle w:val="Hyperlink"/>
            <w:rFonts w:ascii="Times New Roman" w:hAnsi="Times New Roman" w:cs="Times New Roman"/>
            <w:sz w:val="24"/>
            <w:szCs w:val="24"/>
          </w:rPr>
          <w:t>www.legislation.gov.au</w:t>
        </w:r>
      </w:hyperlink>
      <w:r w:rsidRPr="00B929E5">
        <w:rPr>
          <w:rFonts w:ascii="Times New Roman" w:hAnsi="Times New Roman" w:cs="Times New Roman"/>
          <w:sz w:val="24"/>
          <w:szCs w:val="24"/>
        </w:rPr>
        <w:t xml:space="preserve"> (all documents listed above except for Australian Accounting and Auditing Standards), </w:t>
      </w:r>
      <w:hyperlink r:id="rId12" w:history="1">
        <w:r w:rsidRPr="00B929E5">
          <w:rPr>
            <w:rStyle w:val="Hyperlink"/>
            <w:rFonts w:ascii="Times New Roman" w:hAnsi="Times New Roman" w:cs="Times New Roman"/>
            <w:sz w:val="24"/>
            <w:szCs w:val="24"/>
          </w:rPr>
          <w:t>https://www.aasb.gov.au/pronouncements/accounting-standards/</w:t>
        </w:r>
      </w:hyperlink>
      <w:r w:rsidRPr="00B929E5">
        <w:rPr>
          <w:rFonts w:ascii="Times New Roman" w:hAnsi="Times New Roman" w:cs="Times New Roman"/>
          <w:sz w:val="24"/>
          <w:szCs w:val="24"/>
        </w:rPr>
        <w:t xml:space="preserve"> (Australian Accounting </w:t>
      </w:r>
      <w:r w:rsidRPr="00B929E5">
        <w:rPr>
          <w:rFonts w:ascii="Times New Roman" w:hAnsi="Times New Roman" w:cs="Times New Roman"/>
          <w:sz w:val="24"/>
          <w:szCs w:val="24"/>
        </w:rPr>
        <w:lastRenderedPageBreak/>
        <w:t xml:space="preserve">Standards) and </w:t>
      </w:r>
      <w:hyperlink r:id="rId13" w:history="1">
        <w:r w:rsidRPr="00B929E5">
          <w:rPr>
            <w:rStyle w:val="Hyperlink"/>
            <w:rFonts w:ascii="Times New Roman" w:hAnsi="Times New Roman" w:cs="Times New Roman"/>
            <w:sz w:val="24"/>
            <w:szCs w:val="24"/>
          </w:rPr>
          <w:t>https://auasb.gov.au/standards-guidance/auasb-standards/auditing-standards/</w:t>
        </w:r>
      </w:hyperlink>
      <w:r w:rsidRPr="00B929E5">
        <w:rPr>
          <w:rFonts w:ascii="Times New Roman" w:hAnsi="Times New Roman" w:cs="Times New Roman"/>
          <w:sz w:val="24"/>
          <w:szCs w:val="24"/>
        </w:rPr>
        <w:t xml:space="preserve"> (Australian Auditing Standards).</w:t>
      </w:r>
    </w:p>
    <w:p w14:paraId="0058BD8C" w14:textId="77777777" w:rsidR="00FE0471" w:rsidRDefault="00FE0471" w:rsidP="00FE0471">
      <w:pPr>
        <w:pStyle w:val="heading0"/>
        <w:shd w:val="clear" w:color="auto" w:fill="FFFFFF"/>
        <w:spacing w:before="0" w:beforeAutospacing="0" w:after="240" w:afterAutospacing="0"/>
        <w:jc w:val="both"/>
        <w:rPr>
          <w:shd w:val="clear" w:color="auto" w:fill="FFFFFF"/>
        </w:rPr>
      </w:pPr>
      <w:r w:rsidRPr="00424CB8">
        <w:rPr>
          <w:shd w:val="clear" w:color="auto" w:fill="FFFFFF"/>
        </w:rPr>
        <w:t xml:space="preserve">In </w:t>
      </w:r>
      <w:r>
        <w:rPr>
          <w:shd w:val="clear" w:color="auto" w:fill="FFFFFF"/>
        </w:rPr>
        <w:t xml:space="preserve">LPS </w:t>
      </w:r>
      <w:r w:rsidRPr="00424CB8">
        <w:rPr>
          <w:shd w:val="clear" w:color="auto" w:fill="FFFFFF"/>
        </w:rPr>
        <w:t xml:space="preserve">114 reference is made to the “Consumer Price Index (CPI)” and to the “ASX 200 index”. These referenced items are not incorporated into </w:t>
      </w:r>
      <w:r>
        <w:rPr>
          <w:shd w:val="clear" w:color="auto" w:fill="FFFFFF"/>
        </w:rPr>
        <w:t xml:space="preserve">LPS </w:t>
      </w:r>
      <w:r w:rsidRPr="00424CB8">
        <w:rPr>
          <w:shd w:val="clear" w:color="auto" w:fill="FFFFFF"/>
        </w:rPr>
        <w:t xml:space="preserve">114. There is no application of the content underpinning these items as requirements under </w:t>
      </w:r>
      <w:r>
        <w:rPr>
          <w:shd w:val="clear" w:color="auto" w:fill="FFFFFF"/>
        </w:rPr>
        <w:t xml:space="preserve">LPS </w:t>
      </w:r>
      <w:r w:rsidRPr="00424CB8">
        <w:rPr>
          <w:shd w:val="clear" w:color="auto" w:fill="FFFFFF"/>
        </w:rPr>
        <w:t xml:space="preserve">114. These items do not impose any obligations on a </w:t>
      </w:r>
      <w:r>
        <w:rPr>
          <w:shd w:val="clear" w:color="auto" w:fill="FFFFFF"/>
        </w:rPr>
        <w:t xml:space="preserve">life company </w:t>
      </w:r>
      <w:r w:rsidRPr="00424CB8">
        <w:rPr>
          <w:shd w:val="clear" w:color="auto" w:fill="FFFFFF"/>
        </w:rPr>
        <w:t>and are included for scenario setting in relation to stress measures on the capital base.</w:t>
      </w:r>
    </w:p>
    <w:p w14:paraId="7DECDC1A" w14:textId="77777777" w:rsidR="00FE0471" w:rsidRPr="00B929E5" w:rsidRDefault="00FE0471" w:rsidP="00FE0471">
      <w:pPr>
        <w:pStyle w:val="Heading5"/>
        <w:rPr>
          <w:rFonts w:ascii="Times New Roman" w:hAnsi="Times New Roman" w:cs="Times New Roman"/>
          <w:sz w:val="24"/>
          <w:szCs w:val="24"/>
        </w:rPr>
      </w:pPr>
      <w:r w:rsidRPr="00B929E5">
        <w:rPr>
          <w:rFonts w:ascii="Times New Roman" w:hAnsi="Times New Roman" w:cs="Times New Roman"/>
          <w:sz w:val="24"/>
          <w:szCs w:val="24"/>
        </w:rPr>
        <w:t>Review of decisions</w:t>
      </w:r>
    </w:p>
    <w:p w14:paraId="02C4DA91" w14:textId="77777777" w:rsidR="00FE0471" w:rsidRPr="00B929E5" w:rsidRDefault="00FE0471" w:rsidP="00FE0471">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There are several powers that may be exercised by APRA in prudential standards that involve an element of discretion, and which may impact the interests of </w:t>
      </w:r>
      <w:r>
        <w:rPr>
          <w:rFonts w:ascii="Times New Roman" w:hAnsi="Times New Roman" w:cs="Times New Roman"/>
          <w:sz w:val="24"/>
          <w:szCs w:val="24"/>
        </w:rPr>
        <w:t xml:space="preserve">a life company </w:t>
      </w:r>
      <w:r w:rsidRPr="00B929E5">
        <w:rPr>
          <w:rFonts w:ascii="Times New Roman" w:hAnsi="Times New Roman" w:cs="Times New Roman"/>
          <w:sz w:val="24"/>
          <w:szCs w:val="24"/>
        </w:rPr>
        <w:t xml:space="preserve">to which the prudential standards apply. </w:t>
      </w:r>
    </w:p>
    <w:p w14:paraId="5501AFBC" w14:textId="77777777" w:rsidR="00FE0471" w:rsidRPr="00B929E5" w:rsidRDefault="00FE0471" w:rsidP="00FE0471">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Decisions made by APRA exercising those powers are not subject to merits review. APRA considers decisions made by APRA exercising discretions under its prudential standards should not be subject to merits review as they are financial decisions with a significant public interest element.</w:t>
      </w:r>
    </w:p>
    <w:p w14:paraId="177461AC" w14:textId="50779C9C" w:rsidR="00272569" w:rsidRDefault="00FE0471" w:rsidP="00FE0471">
      <w:pPr>
        <w:numPr>
          <w:ilvl w:val="0"/>
          <w:numId w:val="0"/>
        </w:numPr>
        <w:autoSpaceDE w:val="0"/>
        <w:autoSpaceDN w:val="0"/>
        <w:adjustRightInd w:val="0"/>
        <w:spacing w:after="0"/>
        <w:rPr>
          <w:rFonts w:ascii="Times New Roman" w:hAnsi="Times New Roman" w:cs="Times New Roman"/>
          <w:sz w:val="24"/>
          <w:szCs w:val="24"/>
        </w:rPr>
      </w:pPr>
      <w:r w:rsidRPr="00B929E5">
        <w:rPr>
          <w:rFonts w:ascii="Times New Roman" w:hAnsi="Times New Roman" w:cs="Times New Roman"/>
          <w:sz w:val="24"/>
          <w:szCs w:val="24"/>
        </w:rPr>
        <w:t>A breach of a prudential standard is also a breach of the Act, as the Act provides that a</w:t>
      </w:r>
      <w:r>
        <w:rPr>
          <w:rFonts w:ascii="Times New Roman" w:hAnsi="Times New Roman" w:cs="Times New Roman"/>
          <w:sz w:val="24"/>
          <w:szCs w:val="24"/>
        </w:rPr>
        <w:t xml:space="preserve"> life company </w:t>
      </w:r>
      <w:r w:rsidRPr="00B929E5">
        <w:rPr>
          <w:rFonts w:ascii="Times New Roman" w:hAnsi="Times New Roman" w:cs="Times New Roman"/>
          <w:sz w:val="24"/>
          <w:szCs w:val="24"/>
        </w:rPr>
        <w:t>must comply with the prudential standard. However, there are no penalties prescribed for such breaches. Instead, a</w:t>
      </w:r>
      <w:r>
        <w:rPr>
          <w:rFonts w:ascii="Times New Roman" w:hAnsi="Times New Roman" w:cs="Times New Roman"/>
          <w:sz w:val="24"/>
          <w:szCs w:val="24"/>
        </w:rPr>
        <w:t xml:space="preserve"> life company’s </w:t>
      </w:r>
      <w:r w:rsidRPr="00B929E5">
        <w:rPr>
          <w:rFonts w:ascii="Times New Roman" w:hAnsi="Times New Roman" w:cs="Times New Roman"/>
          <w:sz w:val="24"/>
          <w:szCs w:val="24"/>
        </w:rPr>
        <w:t xml:space="preserve">breach of a provision in the Act is grounds for APRA to make further, substantive decisions under the Act. </w:t>
      </w:r>
      <w:bookmarkEnd w:id="6"/>
    </w:p>
    <w:p w14:paraId="17BFFBB8" w14:textId="77777777" w:rsidR="00FE0471" w:rsidRDefault="00FE0471" w:rsidP="00FE0471">
      <w:pPr>
        <w:numPr>
          <w:ilvl w:val="0"/>
          <w:numId w:val="0"/>
        </w:numPr>
        <w:autoSpaceDE w:val="0"/>
        <w:autoSpaceDN w:val="0"/>
        <w:adjustRightInd w:val="0"/>
        <w:spacing w:after="0"/>
        <w:rPr>
          <w:shd w:val="clear" w:color="auto" w:fill="FFFFFF"/>
        </w:rPr>
      </w:pPr>
    </w:p>
    <w:p w14:paraId="43EC9D44" w14:textId="7777777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3.</w:t>
      </w:r>
      <w:r w:rsidRPr="00A516E7">
        <w:rPr>
          <w:rFonts w:ascii="Times New Roman" w:hAnsi="Times New Roman" w:cs="Times New Roman"/>
          <w:b/>
          <w:sz w:val="24"/>
          <w:szCs w:val="24"/>
        </w:rPr>
        <w:tab/>
        <w:t>Consultation</w:t>
      </w:r>
    </w:p>
    <w:p w14:paraId="14A28B37" w14:textId="77777777" w:rsidR="00D21053" w:rsidRPr="00334B5E" w:rsidRDefault="00D21053" w:rsidP="00D21053">
      <w:pPr>
        <w:numPr>
          <w:ilvl w:val="0"/>
          <w:numId w:val="0"/>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APRA began its engagement with industry on AASB 17 in 2017, subsequent engagement has taken a range of forms including letters to industry, information requests, quantitative impact studies, and four rounds of consultation:</w:t>
      </w:r>
    </w:p>
    <w:p w14:paraId="4B3EC1F4" w14:textId="77777777" w:rsidR="00272569" w:rsidRPr="00A516E7" w:rsidRDefault="00272569" w:rsidP="00272569">
      <w:pPr>
        <w:numPr>
          <w:ilvl w:val="0"/>
          <w:numId w:val="0"/>
        </w:numPr>
        <w:autoSpaceDE w:val="0"/>
        <w:autoSpaceDN w:val="0"/>
        <w:adjustRightInd w:val="0"/>
        <w:spacing w:after="0"/>
        <w:jc w:val="left"/>
        <w:rPr>
          <w:rFonts w:ascii="Times New Roman" w:hAnsi="Times New Roman" w:cs="Times New Roman"/>
          <w:sz w:val="24"/>
          <w:szCs w:val="24"/>
        </w:rPr>
      </w:pPr>
    </w:p>
    <w:p w14:paraId="41A39DA9" w14:textId="13ADD648"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 xml:space="preserve">September 2019 – </w:t>
      </w:r>
      <w:r w:rsidR="00C5366B">
        <w:rPr>
          <w:rFonts w:ascii="Times New Roman" w:hAnsi="Times New Roman" w:cs="Times New Roman"/>
          <w:sz w:val="24"/>
          <w:szCs w:val="24"/>
        </w:rPr>
        <w:t>Letter issued</w:t>
      </w:r>
      <w:r w:rsidRPr="00A516E7">
        <w:rPr>
          <w:rFonts w:ascii="Times New Roman" w:hAnsi="Times New Roman" w:cs="Times New Roman"/>
          <w:sz w:val="24"/>
          <w:szCs w:val="24"/>
        </w:rPr>
        <w:t xml:space="preserve"> outlining APRA’s proposed directions and information request on </w:t>
      </w:r>
      <w:proofErr w:type="gramStart"/>
      <w:r w:rsidRPr="00A516E7">
        <w:rPr>
          <w:rFonts w:ascii="Times New Roman" w:hAnsi="Times New Roman" w:cs="Times New Roman"/>
          <w:sz w:val="24"/>
          <w:szCs w:val="24"/>
        </w:rPr>
        <w:t>preparedness;</w:t>
      </w:r>
      <w:proofErr w:type="gramEnd"/>
    </w:p>
    <w:p w14:paraId="3CE42513" w14:textId="77777777"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November 2020 – Discussion paper ‘Integrating AASB 17 into the capital and reporting frameworks for insurers and updates to the LAGIC framework</w:t>
      </w:r>
      <w:proofErr w:type="gramStart"/>
      <w:r w:rsidRPr="00A516E7">
        <w:rPr>
          <w:rFonts w:ascii="Times New Roman" w:hAnsi="Times New Roman" w:cs="Times New Roman"/>
          <w:sz w:val="24"/>
          <w:szCs w:val="24"/>
        </w:rPr>
        <w:t>’;</w:t>
      </w:r>
      <w:proofErr w:type="gramEnd"/>
    </w:p>
    <w:p w14:paraId="176F2B16" w14:textId="77777777"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December 2021 – Response paper ‘Integrating AASB 17 into the capital and reporting framework for insurers and updates to the LAGIC framework’; and</w:t>
      </w:r>
    </w:p>
    <w:p w14:paraId="1ED4B506" w14:textId="77777777"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September 2022 – Response paper ‘Finalisation and the integration of AASB 17 into the capital and reporting frameworks for insurers and updates to the LAGIC framework’.</w:t>
      </w:r>
    </w:p>
    <w:p w14:paraId="61316C56" w14:textId="77777777" w:rsidR="00272569" w:rsidRPr="00A516E7" w:rsidRDefault="00272569" w:rsidP="00272569">
      <w:pPr>
        <w:numPr>
          <w:ilvl w:val="0"/>
          <w:numId w:val="0"/>
        </w:numPr>
        <w:autoSpaceDE w:val="0"/>
        <w:autoSpaceDN w:val="0"/>
        <w:adjustRightInd w:val="0"/>
        <w:spacing w:after="0"/>
        <w:jc w:val="left"/>
        <w:rPr>
          <w:rFonts w:ascii="Times New Roman" w:hAnsi="Times New Roman" w:cs="Times New Roman"/>
          <w:sz w:val="24"/>
          <w:szCs w:val="24"/>
        </w:rPr>
      </w:pPr>
    </w:p>
    <w:p w14:paraId="7C373ADA" w14:textId="2A874A00" w:rsidR="000A3C69" w:rsidRPr="00A516E7" w:rsidRDefault="00BC3EB7" w:rsidP="000A3C69">
      <w:pPr>
        <w:numPr>
          <w:ilvl w:val="0"/>
          <w:numId w:val="0"/>
        </w:numPr>
        <w:autoSpaceDE w:val="0"/>
        <w:autoSpaceDN w:val="0"/>
        <w:adjustRightInd w:val="0"/>
        <w:spacing w:after="0"/>
        <w:jc w:val="left"/>
        <w:rPr>
          <w:rFonts w:ascii="Times New Roman" w:hAnsi="Times New Roman" w:cs="Times New Roman"/>
          <w:sz w:val="24"/>
          <w:szCs w:val="24"/>
        </w:rPr>
      </w:pPr>
      <w:r>
        <w:rPr>
          <w:rFonts w:ascii="Times New Roman" w:hAnsi="Times New Roman" w:cs="Times New Roman"/>
          <w:sz w:val="24"/>
          <w:szCs w:val="24"/>
        </w:rPr>
        <w:t>A</w:t>
      </w:r>
      <w:r w:rsidR="00041A91" w:rsidRPr="00A516E7">
        <w:rPr>
          <w:rFonts w:ascii="Times New Roman" w:hAnsi="Times New Roman" w:cs="Times New Roman"/>
          <w:sz w:val="24"/>
          <w:szCs w:val="24"/>
        </w:rPr>
        <w:t xml:space="preserve">mendments to </w:t>
      </w:r>
      <w:r w:rsidR="00573D88" w:rsidRPr="00C5366B">
        <w:rPr>
          <w:rFonts w:ascii="Times New Roman" w:hAnsi="Times New Roman" w:cs="Times New Roman"/>
          <w:i/>
          <w:sz w:val="24"/>
          <w:szCs w:val="24"/>
        </w:rPr>
        <w:t>Prudential Standard LPS 117 Capital Adequacy: Asset Concentration Risk Charge</w:t>
      </w:r>
      <w:r w:rsidR="00573D88" w:rsidRPr="00C5366B">
        <w:rPr>
          <w:rFonts w:ascii="Times New Roman" w:hAnsi="Times New Roman" w:cs="Times New Roman"/>
          <w:sz w:val="24"/>
          <w:szCs w:val="24"/>
        </w:rPr>
        <w:t xml:space="preserve"> (</w:t>
      </w:r>
      <w:r w:rsidR="00041A91" w:rsidRPr="00C5366B">
        <w:rPr>
          <w:rFonts w:ascii="Times New Roman" w:hAnsi="Times New Roman" w:cs="Times New Roman"/>
          <w:sz w:val="24"/>
          <w:szCs w:val="24"/>
        </w:rPr>
        <w:t>LPS 117</w:t>
      </w:r>
      <w:r w:rsidR="00573D88" w:rsidRPr="00C5366B">
        <w:rPr>
          <w:rFonts w:ascii="Times New Roman" w:hAnsi="Times New Roman" w:cs="Times New Roman"/>
          <w:sz w:val="24"/>
          <w:szCs w:val="24"/>
        </w:rPr>
        <w:t>)</w:t>
      </w:r>
      <w:r w:rsidR="00041A91" w:rsidRPr="00A516E7">
        <w:rPr>
          <w:rFonts w:ascii="Times New Roman" w:hAnsi="Times New Roman" w:cs="Times New Roman"/>
          <w:sz w:val="24"/>
          <w:szCs w:val="24"/>
        </w:rPr>
        <w:t xml:space="preserve"> were </w:t>
      </w:r>
      <w:r w:rsidR="00D21053">
        <w:rPr>
          <w:rFonts w:ascii="Times New Roman" w:hAnsi="Times New Roman" w:cs="Times New Roman"/>
          <w:sz w:val="24"/>
          <w:szCs w:val="24"/>
        </w:rPr>
        <w:t xml:space="preserve">initially </w:t>
      </w:r>
      <w:r w:rsidR="00041A91" w:rsidRPr="00A516E7">
        <w:rPr>
          <w:rFonts w:ascii="Times New Roman" w:hAnsi="Times New Roman" w:cs="Times New Roman"/>
          <w:sz w:val="24"/>
          <w:szCs w:val="24"/>
        </w:rPr>
        <w:t>part of a separate consultation responding to prudential concerns from the increased use of offshore reinsurers</w:t>
      </w:r>
      <w:r w:rsidR="001E4181">
        <w:rPr>
          <w:rFonts w:ascii="Times New Roman" w:hAnsi="Times New Roman" w:cs="Times New Roman"/>
          <w:sz w:val="24"/>
          <w:szCs w:val="24"/>
        </w:rPr>
        <w:t>. As the standard</w:t>
      </w:r>
      <w:r w:rsidR="003A1B4C">
        <w:rPr>
          <w:rFonts w:ascii="Times New Roman" w:hAnsi="Times New Roman" w:cs="Times New Roman"/>
          <w:sz w:val="24"/>
          <w:szCs w:val="24"/>
        </w:rPr>
        <w:t xml:space="preserve"> was</w:t>
      </w:r>
      <w:r w:rsidR="001E4181">
        <w:rPr>
          <w:rFonts w:ascii="Times New Roman" w:hAnsi="Times New Roman" w:cs="Times New Roman"/>
          <w:sz w:val="24"/>
          <w:szCs w:val="24"/>
        </w:rPr>
        <w:t xml:space="preserve"> also affected by AASB 17 </w:t>
      </w:r>
      <w:r w:rsidR="003A1B4C">
        <w:rPr>
          <w:rFonts w:ascii="Times New Roman" w:hAnsi="Times New Roman" w:cs="Times New Roman"/>
          <w:sz w:val="24"/>
          <w:szCs w:val="24"/>
        </w:rPr>
        <w:t xml:space="preserve">changes, </w:t>
      </w:r>
      <w:r w:rsidR="00C94A7F">
        <w:rPr>
          <w:rFonts w:ascii="Times New Roman" w:hAnsi="Times New Roman" w:cs="Times New Roman"/>
          <w:sz w:val="24"/>
          <w:szCs w:val="24"/>
        </w:rPr>
        <w:t>it was</w:t>
      </w:r>
      <w:r w:rsidR="001E4181">
        <w:rPr>
          <w:rFonts w:ascii="Times New Roman" w:hAnsi="Times New Roman" w:cs="Times New Roman"/>
          <w:sz w:val="24"/>
          <w:szCs w:val="24"/>
        </w:rPr>
        <w:t xml:space="preserve"> </w:t>
      </w:r>
      <w:r>
        <w:rPr>
          <w:rFonts w:ascii="Times New Roman" w:hAnsi="Times New Roman" w:cs="Times New Roman"/>
          <w:sz w:val="24"/>
          <w:szCs w:val="24"/>
        </w:rPr>
        <w:t xml:space="preserve">later subsumed into the </w:t>
      </w:r>
      <w:r w:rsidR="00D21053">
        <w:rPr>
          <w:rFonts w:ascii="Times New Roman" w:hAnsi="Times New Roman" w:cs="Times New Roman"/>
          <w:sz w:val="24"/>
          <w:szCs w:val="24"/>
        </w:rPr>
        <w:t>AASB 17 project</w:t>
      </w:r>
      <w:r w:rsidR="00041A91" w:rsidRPr="00A516E7">
        <w:rPr>
          <w:rFonts w:ascii="Times New Roman" w:hAnsi="Times New Roman" w:cs="Times New Roman"/>
          <w:sz w:val="24"/>
          <w:szCs w:val="24"/>
        </w:rPr>
        <w:t xml:space="preserve">.  </w:t>
      </w:r>
    </w:p>
    <w:p w14:paraId="53413AE0" w14:textId="77777777" w:rsidR="000A3C69" w:rsidRPr="00A516E7" w:rsidRDefault="000A3C69" w:rsidP="000A3C69">
      <w:pPr>
        <w:numPr>
          <w:ilvl w:val="0"/>
          <w:numId w:val="0"/>
        </w:numPr>
        <w:autoSpaceDE w:val="0"/>
        <w:autoSpaceDN w:val="0"/>
        <w:adjustRightInd w:val="0"/>
        <w:spacing w:after="0"/>
        <w:jc w:val="left"/>
        <w:rPr>
          <w:rFonts w:ascii="Times New Roman" w:hAnsi="Times New Roman" w:cs="Times New Roman"/>
          <w:sz w:val="24"/>
          <w:szCs w:val="24"/>
        </w:rPr>
      </w:pPr>
    </w:p>
    <w:p w14:paraId="5CE81AC5" w14:textId="087C859C" w:rsidR="000A3C69" w:rsidRPr="00A516E7" w:rsidRDefault="000A3C69" w:rsidP="000A3C69">
      <w:pPr>
        <w:numPr>
          <w:ilvl w:val="0"/>
          <w:numId w:val="0"/>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APRA is satisfied the consultation was appropriate and reasonably practicable.</w:t>
      </w:r>
    </w:p>
    <w:p w14:paraId="2C1E6A2B" w14:textId="77777777" w:rsidR="000A3C69" w:rsidRPr="00A516E7" w:rsidRDefault="000A3C69" w:rsidP="000A3C69">
      <w:pPr>
        <w:numPr>
          <w:ilvl w:val="0"/>
          <w:numId w:val="0"/>
        </w:numPr>
        <w:autoSpaceDE w:val="0"/>
        <w:autoSpaceDN w:val="0"/>
        <w:adjustRightInd w:val="0"/>
        <w:spacing w:after="0"/>
        <w:jc w:val="left"/>
        <w:rPr>
          <w:rFonts w:ascii="Times New Roman" w:hAnsi="Times New Roman" w:cs="Times New Roman"/>
          <w:sz w:val="24"/>
          <w:szCs w:val="24"/>
        </w:rPr>
      </w:pPr>
    </w:p>
    <w:p w14:paraId="6DC930BB" w14:textId="7777777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4.</w:t>
      </w:r>
      <w:r w:rsidRPr="00A516E7">
        <w:rPr>
          <w:rFonts w:ascii="Times New Roman" w:hAnsi="Times New Roman" w:cs="Times New Roman"/>
          <w:b/>
          <w:sz w:val="24"/>
          <w:szCs w:val="24"/>
        </w:rPr>
        <w:tab/>
      </w:r>
      <w:bookmarkStart w:id="7" w:name="_Hlk127283454"/>
      <w:r w:rsidRPr="00A516E7">
        <w:rPr>
          <w:rFonts w:ascii="Times New Roman" w:hAnsi="Times New Roman" w:cs="Times New Roman"/>
          <w:b/>
          <w:sz w:val="24"/>
          <w:szCs w:val="24"/>
        </w:rPr>
        <w:t>Impact Analysis (IA)</w:t>
      </w:r>
      <w:bookmarkEnd w:id="7"/>
    </w:p>
    <w:p w14:paraId="5A5F74F0" w14:textId="77777777" w:rsidR="00272569" w:rsidRPr="00A516E7" w:rsidRDefault="00272569" w:rsidP="00272569">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lastRenderedPageBreak/>
        <w:t>The Office of Impact Analysis advised that no Regulation Impact Statement was required for the consequential amendments as the changes to the prudential standards are minor and machinery.</w:t>
      </w:r>
    </w:p>
    <w:p w14:paraId="1B15F089" w14:textId="77777777" w:rsidR="00272569" w:rsidRPr="00A516E7" w:rsidRDefault="00272569" w:rsidP="00272569">
      <w:pPr>
        <w:pStyle w:val="Heading"/>
        <w:spacing w:before="0" w:after="240"/>
        <w:jc w:val="both"/>
        <w:rPr>
          <w:rFonts w:cs="Times New Roman"/>
          <w:i/>
          <w:sz w:val="24"/>
          <w:szCs w:val="24"/>
        </w:rPr>
      </w:pPr>
      <w:r w:rsidRPr="00A516E7">
        <w:rPr>
          <w:rFonts w:cs="Times New Roman"/>
          <w:sz w:val="24"/>
          <w:szCs w:val="24"/>
        </w:rPr>
        <w:t>5.</w:t>
      </w:r>
      <w:r w:rsidRPr="00A516E7">
        <w:rPr>
          <w:rFonts w:cs="Times New Roman"/>
          <w:sz w:val="24"/>
          <w:szCs w:val="24"/>
        </w:rPr>
        <w:tab/>
        <w:t xml:space="preserve">Statement of compatibility prepared in accordance with Part 3 of the </w:t>
      </w:r>
      <w:r w:rsidRPr="00A516E7">
        <w:rPr>
          <w:rFonts w:cs="Times New Roman"/>
          <w:i/>
          <w:sz w:val="24"/>
          <w:szCs w:val="24"/>
        </w:rPr>
        <w:t>Human Rights (Parliamentary Scrutiny) Act 2011</w:t>
      </w:r>
    </w:p>
    <w:p w14:paraId="33B966FA" w14:textId="77777777" w:rsidR="00272569" w:rsidRPr="00A516E7" w:rsidRDefault="00272569" w:rsidP="00272569">
      <w:pPr>
        <w:pStyle w:val="Heading"/>
        <w:spacing w:before="0" w:after="240"/>
        <w:jc w:val="both"/>
        <w:rPr>
          <w:rFonts w:cs="Times New Roman"/>
          <w:b w:val="0"/>
          <w:kern w:val="0"/>
          <w:sz w:val="24"/>
          <w:szCs w:val="24"/>
          <w:lang w:val="en-GB"/>
        </w:rPr>
      </w:pPr>
      <w:r w:rsidRPr="00A516E7">
        <w:rPr>
          <w:rFonts w:cs="Times New Roman"/>
          <w:b w:val="0"/>
          <w:kern w:val="0"/>
          <w:sz w:val="24"/>
          <w:szCs w:val="24"/>
          <w:lang w:val="en-GB"/>
        </w:rPr>
        <w:t xml:space="preserve">A Statement of compatibility prepared in accordance with Part 3 of the </w:t>
      </w:r>
      <w:r w:rsidRPr="00A516E7">
        <w:rPr>
          <w:rFonts w:cs="Times New Roman"/>
          <w:b w:val="0"/>
          <w:i/>
          <w:sz w:val="24"/>
          <w:szCs w:val="24"/>
          <w:lang w:val="en-GB"/>
        </w:rPr>
        <w:t>Human Rights (Parliamentary Scrutiny) Act 2011</w:t>
      </w:r>
      <w:r w:rsidRPr="00A516E7">
        <w:rPr>
          <w:rFonts w:cs="Times New Roman"/>
          <w:b w:val="0"/>
          <w:kern w:val="0"/>
          <w:sz w:val="24"/>
          <w:szCs w:val="24"/>
          <w:lang w:val="en-GB"/>
        </w:rPr>
        <w:t xml:space="preserve"> is provided at Attachment A to this Explanatory Statement.</w:t>
      </w:r>
    </w:p>
    <w:p w14:paraId="6AB048EE"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sz w:val="24"/>
          <w:szCs w:val="24"/>
        </w:rPr>
        <w:br w:type="page"/>
      </w:r>
    </w:p>
    <w:p w14:paraId="07EAB093" w14:textId="77777777" w:rsidR="00272569" w:rsidRPr="00A516E7" w:rsidRDefault="00272569" w:rsidP="00272569">
      <w:pPr>
        <w:pStyle w:val="Heading"/>
        <w:keepNext w:val="0"/>
        <w:spacing w:before="0" w:after="240"/>
        <w:jc w:val="center"/>
        <w:rPr>
          <w:rFonts w:cs="Times New Roman"/>
          <w:sz w:val="24"/>
          <w:szCs w:val="24"/>
        </w:rPr>
      </w:pPr>
      <w:r w:rsidRPr="00A516E7">
        <w:rPr>
          <w:rFonts w:cs="Times New Roman"/>
          <w:sz w:val="24"/>
          <w:szCs w:val="24"/>
          <w:lang w:val="en-GB"/>
        </w:rPr>
        <w:lastRenderedPageBreak/>
        <w:t>ATTACHMENT A</w:t>
      </w:r>
    </w:p>
    <w:p w14:paraId="5184B046" w14:textId="77777777" w:rsidR="00272569" w:rsidRPr="00A516E7" w:rsidRDefault="00272569" w:rsidP="00272569">
      <w:pPr>
        <w:pStyle w:val="Heading"/>
        <w:keepNext w:val="0"/>
        <w:spacing w:before="0" w:after="240"/>
        <w:jc w:val="center"/>
        <w:rPr>
          <w:rFonts w:cs="Times New Roman"/>
          <w:sz w:val="24"/>
          <w:szCs w:val="24"/>
        </w:rPr>
      </w:pPr>
      <w:r w:rsidRPr="00A516E7">
        <w:rPr>
          <w:rFonts w:cs="Times New Roman"/>
          <w:sz w:val="24"/>
          <w:szCs w:val="24"/>
        </w:rPr>
        <w:t>Statement of Compatibility with Human Rights</w:t>
      </w:r>
    </w:p>
    <w:p w14:paraId="6A6B4219" w14:textId="77777777" w:rsidR="00272569" w:rsidRPr="00A516E7" w:rsidRDefault="00272569" w:rsidP="00272569">
      <w:pPr>
        <w:pStyle w:val="Heading1"/>
        <w:jc w:val="center"/>
        <w:rPr>
          <w:rFonts w:ascii="Times New Roman" w:hAnsi="Times New Roman" w:cs="Times New Roman"/>
          <w:b w:val="0"/>
          <w:i/>
          <w:sz w:val="24"/>
          <w:szCs w:val="24"/>
        </w:rPr>
      </w:pPr>
      <w:r w:rsidRPr="00A516E7">
        <w:rPr>
          <w:rFonts w:ascii="Times New Roman" w:hAnsi="Times New Roman" w:cs="Times New Roman"/>
          <w:b w:val="0"/>
          <w:sz w:val="24"/>
          <w:szCs w:val="24"/>
        </w:rPr>
        <w:t xml:space="preserve">Prepared in accordance with Part 3 of the </w:t>
      </w:r>
      <w:r w:rsidRPr="00A516E7">
        <w:rPr>
          <w:rFonts w:ascii="Times New Roman" w:hAnsi="Times New Roman" w:cs="Times New Roman"/>
          <w:b w:val="0"/>
          <w:i/>
          <w:sz w:val="24"/>
          <w:szCs w:val="24"/>
        </w:rPr>
        <w:t>Human Rights (Parliamentary Scrutiny) Act 2011</w:t>
      </w:r>
    </w:p>
    <w:p w14:paraId="2FD39CAA" w14:textId="67F1824C" w:rsidR="00272569" w:rsidRPr="00A516E7" w:rsidRDefault="00272569" w:rsidP="00272569">
      <w:pPr>
        <w:numPr>
          <w:ilvl w:val="0"/>
          <w:numId w:val="12"/>
        </w:numPr>
        <w:jc w:val="center"/>
        <w:rPr>
          <w:rFonts w:ascii="Times New Roman" w:eastAsia="Times New Roman" w:hAnsi="Times New Roman" w:cs="Times New Roman"/>
          <w:b/>
          <w:sz w:val="24"/>
          <w:szCs w:val="24"/>
          <w:lang w:eastAsia="en-AU"/>
        </w:rPr>
      </w:pPr>
      <w:r w:rsidRPr="00A516E7">
        <w:rPr>
          <w:rFonts w:ascii="Times New Roman" w:eastAsia="Times New Roman" w:hAnsi="Times New Roman" w:cs="Times New Roman"/>
          <w:b/>
          <w:sz w:val="24"/>
          <w:szCs w:val="24"/>
          <w:lang w:eastAsia="en-AU"/>
        </w:rPr>
        <w:t xml:space="preserve">Life Insurance (prudential standard) determination No. </w:t>
      </w:r>
      <w:r w:rsidR="00C5366B">
        <w:rPr>
          <w:rFonts w:ascii="Times New Roman" w:eastAsia="Times New Roman" w:hAnsi="Times New Roman" w:cs="Times New Roman"/>
          <w:b/>
          <w:sz w:val="24"/>
          <w:szCs w:val="24"/>
          <w:lang w:eastAsia="en-AU"/>
        </w:rPr>
        <w:t>8</w:t>
      </w:r>
      <w:r w:rsidRPr="00A516E7">
        <w:rPr>
          <w:rFonts w:ascii="Times New Roman" w:eastAsia="Times New Roman" w:hAnsi="Times New Roman" w:cs="Times New Roman"/>
          <w:b/>
          <w:sz w:val="24"/>
          <w:szCs w:val="24"/>
          <w:lang w:eastAsia="en-AU"/>
        </w:rPr>
        <w:t xml:space="preserve"> of 2023</w:t>
      </w:r>
    </w:p>
    <w:p w14:paraId="642DE898"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A516E7">
        <w:rPr>
          <w:rFonts w:ascii="Times New Roman" w:hAnsi="Times New Roman" w:cs="Times New Roman"/>
          <w:i/>
          <w:sz w:val="24"/>
          <w:szCs w:val="24"/>
        </w:rPr>
        <w:t>Human Rights (Parliamentary Scrutiny) Act 2011</w:t>
      </w:r>
      <w:r w:rsidRPr="00A516E7">
        <w:rPr>
          <w:rFonts w:ascii="Times New Roman" w:hAnsi="Times New Roman" w:cs="Times New Roman"/>
          <w:sz w:val="24"/>
          <w:szCs w:val="24"/>
        </w:rPr>
        <w:t xml:space="preserve"> (HRPS Act).</w:t>
      </w:r>
    </w:p>
    <w:p w14:paraId="5040E9F5"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b/>
          <w:sz w:val="24"/>
          <w:szCs w:val="24"/>
        </w:rPr>
        <w:t>Overview of the Legislative Instrument</w:t>
      </w:r>
    </w:p>
    <w:p w14:paraId="108224FF" w14:textId="069DDC39" w:rsidR="00694F59" w:rsidRPr="001C6A11" w:rsidRDefault="00272569" w:rsidP="00B14BF8">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r w:rsidRPr="001C6A11">
        <w:rPr>
          <w:rFonts w:ascii="Times New Roman" w:hAnsi="Times New Roman" w:cs="Times New Roman"/>
          <w:sz w:val="24"/>
          <w:szCs w:val="24"/>
        </w:rPr>
        <w:t>The purpose of the Legislative instrument is</w:t>
      </w:r>
      <w:r w:rsidR="006A77D9" w:rsidRPr="001C6A11">
        <w:rPr>
          <w:rFonts w:ascii="Times New Roman" w:hAnsi="Times New Roman" w:cs="Times New Roman"/>
          <w:sz w:val="24"/>
          <w:szCs w:val="24"/>
        </w:rPr>
        <w:t xml:space="preserve"> to</w:t>
      </w:r>
      <w:r w:rsidRPr="001C6A11">
        <w:rPr>
          <w:rFonts w:ascii="Times New Roman" w:hAnsi="Times New Roman" w:cs="Times New Roman"/>
          <w:sz w:val="24"/>
          <w:szCs w:val="24"/>
        </w:rPr>
        <w:t xml:space="preserve"> </w:t>
      </w:r>
      <w:r w:rsidR="006A77D9" w:rsidRPr="001C6A11">
        <w:rPr>
          <w:rFonts w:ascii="Times New Roman" w:hAnsi="Times New Roman" w:cs="Times New Roman"/>
          <w:sz w:val="24"/>
          <w:szCs w:val="24"/>
        </w:rPr>
        <w:t xml:space="preserve">revoke </w:t>
      </w:r>
      <w:r w:rsidR="004E3938" w:rsidRPr="004E3938">
        <w:rPr>
          <w:rFonts w:ascii="Times New Roman" w:hAnsi="Times New Roman" w:cs="Times New Roman"/>
          <w:i/>
          <w:sz w:val="24"/>
          <w:szCs w:val="24"/>
        </w:rPr>
        <w:t>Prudential Standard LPS 114 Capital Adequacy: Asset Risk Charge</w:t>
      </w:r>
      <w:r w:rsidR="004E3938">
        <w:rPr>
          <w:rFonts w:ascii="Times New Roman" w:hAnsi="Times New Roman" w:cs="Times New Roman"/>
          <w:i/>
          <w:sz w:val="24"/>
          <w:szCs w:val="24"/>
        </w:rPr>
        <w:t xml:space="preserve"> </w:t>
      </w:r>
      <w:r w:rsidR="006A77D9" w:rsidRPr="001C6A11">
        <w:rPr>
          <w:rFonts w:ascii="Times New Roman" w:hAnsi="Times New Roman" w:cs="Times New Roman"/>
          <w:sz w:val="24"/>
          <w:szCs w:val="24"/>
        </w:rPr>
        <w:t>a</w:t>
      </w:r>
      <w:r w:rsidR="00D6030A" w:rsidRPr="001C6A11">
        <w:rPr>
          <w:rFonts w:ascii="Times New Roman" w:hAnsi="Times New Roman" w:cs="Times New Roman"/>
          <w:sz w:val="24"/>
          <w:szCs w:val="24"/>
        </w:rPr>
        <w:t xml:space="preserve">nd replace </w:t>
      </w:r>
      <w:r w:rsidR="006A77D9" w:rsidRPr="001C6A11">
        <w:rPr>
          <w:rFonts w:ascii="Times New Roman" w:hAnsi="Times New Roman" w:cs="Times New Roman"/>
          <w:sz w:val="24"/>
          <w:szCs w:val="24"/>
        </w:rPr>
        <w:t xml:space="preserve">it </w:t>
      </w:r>
      <w:r w:rsidR="00D6030A" w:rsidRPr="001C6A11">
        <w:rPr>
          <w:rFonts w:ascii="Times New Roman" w:hAnsi="Times New Roman" w:cs="Times New Roman"/>
          <w:sz w:val="24"/>
          <w:szCs w:val="24"/>
        </w:rPr>
        <w:t xml:space="preserve">with </w:t>
      </w:r>
      <w:r w:rsidR="006A77D9" w:rsidRPr="001C6A11">
        <w:rPr>
          <w:rFonts w:ascii="Times New Roman" w:hAnsi="Times New Roman" w:cs="Times New Roman"/>
          <w:sz w:val="24"/>
          <w:szCs w:val="24"/>
        </w:rPr>
        <w:t xml:space="preserve">a </w:t>
      </w:r>
      <w:r w:rsidR="00D6030A" w:rsidRPr="001C6A11">
        <w:rPr>
          <w:rFonts w:ascii="Times New Roman" w:hAnsi="Times New Roman" w:cs="Times New Roman"/>
          <w:sz w:val="24"/>
          <w:szCs w:val="24"/>
        </w:rPr>
        <w:t>new version of the corresponding prudential standards with the appropriate amendments.</w:t>
      </w:r>
      <w:r w:rsidR="00694F59" w:rsidRPr="001C6A11">
        <w:rPr>
          <w:rFonts w:ascii="Times New Roman" w:hAnsi="Times New Roman" w:cs="Times New Roman"/>
          <w:i/>
          <w:sz w:val="24"/>
          <w:szCs w:val="24"/>
        </w:rPr>
        <w:t xml:space="preserve"> </w:t>
      </w:r>
    </w:p>
    <w:p w14:paraId="703022CE" w14:textId="18A48419" w:rsidR="00D6030A" w:rsidRPr="00A516E7" w:rsidRDefault="00D6030A" w:rsidP="00D6030A">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Th</w:t>
      </w:r>
      <w:r w:rsidR="00944BD7">
        <w:rPr>
          <w:rFonts w:ascii="Times New Roman" w:hAnsi="Times New Roman" w:cs="Times New Roman"/>
          <w:sz w:val="24"/>
          <w:szCs w:val="24"/>
        </w:rPr>
        <w:t xml:space="preserve">is </w:t>
      </w:r>
      <w:r w:rsidRPr="00A516E7">
        <w:rPr>
          <w:rFonts w:ascii="Times New Roman" w:hAnsi="Times New Roman" w:cs="Times New Roman"/>
          <w:sz w:val="24"/>
          <w:szCs w:val="24"/>
        </w:rPr>
        <w:t>instrument ensure</w:t>
      </w:r>
      <w:r w:rsidR="00944BD7">
        <w:rPr>
          <w:rFonts w:ascii="Times New Roman" w:hAnsi="Times New Roman" w:cs="Times New Roman"/>
          <w:sz w:val="24"/>
          <w:szCs w:val="24"/>
        </w:rPr>
        <w:t>s</w:t>
      </w:r>
      <w:r w:rsidRPr="00A516E7">
        <w:rPr>
          <w:rFonts w:ascii="Times New Roman" w:hAnsi="Times New Roman" w:cs="Times New Roman"/>
          <w:sz w:val="24"/>
          <w:szCs w:val="24"/>
        </w:rPr>
        <w:t xml:space="preserve"> insurers are not subject to undue regulatory burden with the introduction of AASB 17 and sets up the </w:t>
      </w:r>
      <w:r w:rsidR="00CF1346">
        <w:rPr>
          <w:rFonts w:ascii="Times New Roman" w:hAnsi="Times New Roman" w:cs="Times New Roman"/>
          <w:sz w:val="24"/>
          <w:szCs w:val="24"/>
        </w:rPr>
        <w:t xml:space="preserve">insurance </w:t>
      </w:r>
      <w:r w:rsidRPr="00A516E7">
        <w:rPr>
          <w:rFonts w:ascii="Times New Roman" w:hAnsi="Times New Roman" w:cs="Times New Roman"/>
          <w:sz w:val="24"/>
          <w:szCs w:val="24"/>
        </w:rPr>
        <w:t xml:space="preserve">prudential framework to remain fit for purpose into the future.   </w:t>
      </w:r>
    </w:p>
    <w:p w14:paraId="10764354" w14:textId="77777777" w:rsidR="00272569" w:rsidRPr="00A516E7" w:rsidRDefault="00272569" w:rsidP="00D6030A">
      <w:pPr>
        <w:numPr>
          <w:ilvl w:val="0"/>
          <w:numId w:val="12"/>
        </w:numPr>
        <w:rPr>
          <w:rFonts w:ascii="Times New Roman" w:hAnsi="Times New Roman" w:cs="Times New Roman"/>
          <w:sz w:val="24"/>
          <w:szCs w:val="24"/>
        </w:rPr>
      </w:pPr>
      <w:r w:rsidRPr="00A516E7">
        <w:rPr>
          <w:rFonts w:ascii="Times New Roman" w:hAnsi="Times New Roman" w:cs="Times New Roman"/>
          <w:b/>
          <w:sz w:val="24"/>
          <w:szCs w:val="24"/>
        </w:rPr>
        <w:t>Human rights implications</w:t>
      </w:r>
    </w:p>
    <w:p w14:paraId="2401B560" w14:textId="77777777" w:rsidR="00272569" w:rsidRPr="00A516E7" w:rsidRDefault="00272569" w:rsidP="00272569">
      <w:pPr>
        <w:numPr>
          <w:ilvl w:val="0"/>
          <w:numId w:val="12"/>
        </w:numPr>
        <w:rPr>
          <w:rFonts w:ascii="Times New Roman" w:eastAsia="Times New Roman" w:hAnsi="Times New Roman" w:cs="Times New Roman"/>
          <w:iCs/>
          <w:sz w:val="24"/>
          <w:szCs w:val="24"/>
          <w:lang w:eastAsia="en-AU"/>
        </w:rPr>
      </w:pPr>
      <w:r w:rsidRPr="00A516E7">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7097DEC4" w14:textId="77777777" w:rsidR="00272569" w:rsidRPr="00A516E7" w:rsidRDefault="00272569" w:rsidP="00272569">
      <w:pPr>
        <w:numPr>
          <w:ilvl w:val="0"/>
          <w:numId w:val="12"/>
        </w:numPr>
        <w:rPr>
          <w:rFonts w:ascii="Times New Roman" w:hAnsi="Times New Roman" w:cs="Times New Roman"/>
          <w:b/>
          <w:sz w:val="24"/>
          <w:szCs w:val="24"/>
        </w:rPr>
      </w:pPr>
      <w:r w:rsidRPr="00A516E7">
        <w:rPr>
          <w:rFonts w:ascii="Times New Roman" w:hAnsi="Times New Roman" w:cs="Times New Roman"/>
          <w:b/>
          <w:sz w:val="24"/>
          <w:szCs w:val="24"/>
        </w:rPr>
        <w:t>Conclusion</w:t>
      </w:r>
    </w:p>
    <w:p w14:paraId="0D49FC91"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sz w:val="24"/>
          <w:szCs w:val="24"/>
        </w:rPr>
        <w:t>This Legislative Instrument is compatible with human rights as it does not raise any human rights issues.</w:t>
      </w:r>
    </w:p>
    <w:p w14:paraId="5DD40F35" w14:textId="77777777" w:rsidR="00A533A9" w:rsidRPr="00A34ADD" w:rsidRDefault="00A533A9" w:rsidP="00A34ADD"/>
    <w:sectPr w:rsidR="00A533A9" w:rsidRPr="00A34ADD" w:rsidSect="00A34ADD">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BA01" w14:textId="77777777" w:rsidR="00272569" w:rsidRPr="000D4EDE" w:rsidRDefault="00272569" w:rsidP="000D4EDE">
      <w:r>
        <w:separator/>
      </w:r>
    </w:p>
  </w:endnote>
  <w:endnote w:type="continuationSeparator" w:id="0">
    <w:p w14:paraId="3208136C" w14:textId="77777777" w:rsidR="00272569" w:rsidRPr="000D4EDE" w:rsidRDefault="0027256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52C6" w14:textId="77777777" w:rsidR="00272569" w:rsidRPr="000D4EDE" w:rsidRDefault="00272569" w:rsidP="000D4EDE">
      <w:r>
        <w:separator/>
      </w:r>
    </w:p>
  </w:footnote>
  <w:footnote w:type="continuationSeparator" w:id="0">
    <w:p w14:paraId="33C72F8B" w14:textId="77777777" w:rsidR="00272569" w:rsidRPr="000D4EDE" w:rsidRDefault="00272569"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D5E11C7"/>
    <w:multiLevelType w:val="hybridMultilevel"/>
    <w:tmpl w:val="7E1C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669E3"/>
    <w:multiLevelType w:val="hybridMultilevel"/>
    <w:tmpl w:val="FF8C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9"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2A83C59"/>
    <w:multiLevelType w:val="hybridMultilevel"/>
    <w:tmpl w:val="E162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68957249">
    <w:abstractNumId w:val="1"/>
  </w:num>
  <w:num w:numId="2" w16cid:durableId="1441536378">
    <w:abstractNumId w:val="0"/>
  </w:num>
  <w:num w:numId="3" w16cid:durableId="611211567">
    <w:abstractNumId w:val="4"/>
  </w:num>
  <w:num w:numId="4" w16cid:durableId="677731202">
    <w:abstractNumId w:val="13"/>
  </w:num>
  <w:num w:numId="5" w16cid:durableId="529803188">
    <w:abstractNumId w:val="14"/>
  </w:num>
  <w:num w:numId="6" w16cid:durableId="1084692522">
    <w:abstractNumId w:val="11"/>
  </w:num>
  <w:num w:numId="7" w16cid:durableId="721709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1038546">
    <w:abstractNumId w:val="8"/>
  </w:num>
  <w:num w:numId="9" w16cid:durableId="1564442098">
    <w:abstractNumId w:val="2"/>
  </w:num>
  <w:num w:numId="10" w16cid:durableId="1381827123">
    <w:abstractNumId w:val="5"/>
  </w:num>
  <w:num w:numId="11" w16cid:durableId="1375690552">
    <w:abstractNumId w:val="3"/>
  </w:num>
  <w:num w:numId="12" w16cid:durableId="1761372901">
    <w:abstractNumId w:val="14"/>
  </w:num>
  <w:num w:numId="13" w16cid:durableId="1805200088">
    <w:abstractNumId w:val="9"/>
  </w:num>
  <w:num w:numId="14" w16cid:durableId="1467428109">
    <w:abstractNumId w:val="6"/>
  </w:num>
  <w:num w:numId="15" w16cid:durableId="106462308">
    <w:abstractNumId w:val="12"/>
  </w:num>
  <w:num w:numId="16" w16cid:durableId="1088767594">
    <w:abstractNumId w:val="7"/>
  </w:num>
  <w:num w:numId="17" w16cid:durableId="176896778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69"/>
    <w:rsid w:val="00004ED1"/>
    <w:rsid w:val="00005D98"/>
    <w:rsid w:val="00005F96"/>
    <w:rsid w:val="00007262"/>
    <w:rsid w:val="00011C96"/>
    <w:rsid w:val="000141B9"/>
    <w:rsid w:val="00034A19"/>
    <w:rsid w:val="00036F9E"/>
    <w:rsid w:val="000413B3"/>
    <w:rsid w:val="00041A91"/>
    <w:rsid w:val="000453D9"/>
    <w:rsid w:val="000573E5"/>
    <w:rsid w:val="00057B71"/>
    <w:rsid w:val="0007202C"/>
    <w:rsid w:val="00072B30"/>
    <w:rsid w:val="0007319C"/>
    <w:rsid w:val="000732AA"/>
    <w:rsid w:val="000767DD"/>
    <w:rsid w:val="0008011A"/>
    <w:rsid w:val="00084F8B"/>
    <w:rsid w:val="000851D0"/>
    <w:rsid w:val="00086D07"/>
    <w:rsid w:val="00086F71"/>
    <w:rsid w:val="00093915"/>
    <w:rsid w:val="000949AD"/>
    <w:rsid w:val="00095109"/>
    <w:rsid w:val="00096B0F"/>
    <w:rsid w:val="000A3C69"/>
    <w:rsid w:val="000A490E"/>
    <w:rsid w:val="000B04C5"/>
    <w:rsid w:val="000B63CA"/>
    <w:rsid w:val="000B752A"/>
    <w:rsid w:val="000C14D9"/>
    <w:rsid w:val="000C15C7"/>
    <w:rsid w:val="000C4197"/>
    <w:rsid w:val="000D388A"/>
    <w:rsid w:val="000D4EDE"/>
    <w:rsid w:val="000D5F47"/>
    <w:rsid w:val="000E2460"/>
    <w:rsid w:val="000E43AC"/>
    <w:rsid w:val="000E6E37"/>
    <w:rsid w:val="000F0E6F"/>
    <w:rsid w:val="001018A5"/>
    <w:rsid w:val="00106F56"/>
    <w:rsid w:val="00115A39"/>
    <w:rsid w:val="00117479"/>
    <w:rsid w:val="00123576"/>
    <w:rsid w:val="001241CB"/>
    <w:rsid w:val="00124B21"/>
    <w:rsid w:val="001327B8"/>
    <w:rsid w:val="0013471B"/>
    <w:rsid w:val="001352D4"/>
    <w:rsid w:val="0014033B"/>
    <w:rsid w:val="00155789"/>
    <w:rsid w:val="00157C98"/>
    <w:rsid w:val="001653B6"/>
    <w:rsid w:val="00165BF6"/>
    <w:rsid w:val="00174B0F"/>
    <w:rsid w:val="0018235E"/>
    <w:rsid w:val="00184187"/>
    <w:rsid w:val="00192213"/>
    <w:rsid w:val="001A4EA4"/>
    <w:rsid w:val="001A664F"/>
    <w:rsid w:val="001B2DB7"/>
    <w:rsid w:val="001B3A9F"/>
    <w:rsid w:val="001C6A11"/>
    <w:rsid w:val="001D0C02"/>
    <w:rsid w:val="001D3D43"/>
    <w:rsid w:val="001E0F51"/>
    <w:rsid w:val="001E4181"/>
    <w:rsid w:val="001E55BF"/>
    <w:rsid w:val="001F6E1A"/>
    <w:rsid w:val="001F780A"/>
    <w:rsid w:val="001F7917"/>
    <w:rsid w:val="00200613"/>
    <w:rsid w:val="002124BB"/>
    <w:rsid w:val="00214883"/>
    <w:rsid w:val="002156F6"/>
    <w:rsid w:val="00220550"/>
    <w:rsid w:val="002301A2"/>
    <w:rsid w:val="00236C2D"/>
    <w:rsid w:val="002374B7"/>
    <w:rsid w:val="00240126"/>
    <w:rsid w:val="00241D16"/>
    <w:rsid w:val="00242384"/>
    <w:rsid w:val="0024304D"/>
    <w:rsid w:val="00244826"/>
    <w:rsid w:val="00247ACA"/>
    <w:rsid w:val="00251E68"/>
    <w:rsid w:val="00252E6A"/>
    <w:rsid w:val="00254193"/>
    <w:rsid w:val="00255A20"/>
    <w:rsid w:val="0025782A"/>
    <w:rsid w:val="00263414"/>
    <w:rsid w:val="002661A6"/>
    <w:rsid w:val="00266C23"/>
    <w:rsid w:val="00272569"/>
    <w:rsid w:val="00274A9C"/>
    <w:rsid w:val="00277D6C"/>
    <w:rsid w:val="00286EAD"/>
    <w:rsid w:val="00292A60"/>
    <w:rsid w:val="0029389B"/>
    <w:rsid w:val="002A1894"/>
    <w:rsid w:val="002A2188"/>
    <w:rsid w:val="002A36F2"/>
    <w:rsid w:val="002A7D14"/>
    <w:rsid w:val="002B0913"/>
    <w:rsid w:val="002B28E4"/>
    <w:rsid w:val="002B48D9"/>
    <w:rsid w:val="002B7504"/>
    <w:rsid w:val="002C0D97"/>
    <w:rsid w:val="002C66D1"/>
    <w:rsid w:val="002C7065"/>
    <w:rsid w:val="002C7F4A"/>
    <w:rsid w:val="002D2804"/>
    <w:rsid w:val="002D4B6C"/>
    <w:rsid w:val="002D5274"/>
    <w:rsid w:val="002E1EE3"/>
    <w:rsid w:val="002F0135"/>
    <w:rsid w:val="002F0C2C"/>
    <w:rsid w:val="002F2798"/>
    <w:rsid w:val="002F7D67"/>
    <w:rsid w:val="00300655"/>
    <w:rsid w:val="00303D18"/>
    <w:rsid w:val="00307ADD"/>
    <w:rsid w:val="00307E55"/>
    <w:rsid w:val="00312A66"/>
    <w:rsid w:val="003130CA"/>
    <w:rsid w:val="0031786B"/>
    <w:rsid w:val="0032180D"/>
    <w:rsid w:val="003306A5"/>
    <w:rsid w:val="00355D40"/>
    <w:rsid w:val="00371AAC"/>
    <w:rsid w:val="00371F54"/>
    <w:rsid w:val="0037770C"/>
    <w:rsid w:val="00377C8B"/>
    <w:rsid w:val="00383A95"/>
    <w:rsid w:val="00385CA0"/>
    <w:rsid w:val="00392928"/>
    <w:rsid w:val="003A1B4C"/>
    <w:rsid w:val="003A2733"/>
    <w:rsid w:val="003A3021"/>
    <w:rsid w:val="003A627E"/>
    <w:rsid w:val="003A79EE"/>
    <w:rsid w:val="003B6E16"/>
    <w:rsid w:val="003C180A"/>
    <w:rsid w:val="003C1E25"/>
    <w:rsid w:val="003D27CB"/>
    <w:rsid w:val="003D329D"/>
    <w:rsid w:val="003E6BF6"/>
    <w:rsid w:val="003F0F0D"/>
    <w:rsid w:val="0040173E"/>
    <w:rsid w:val="00424CB8"/>
    <w:rsid w:val="00435339"/>
    <w:rsid w:val="004410DC"/>
    <w:rsid w:val="0044447D"/>
    <w:rsid w:val="00450C67"/>
    <w:rsid w:val="00460CF7"/>
    <w:rsid w:val="00463FA8"/>
    <w:rsid w:val="00466648"/>
    <w:rsid w:val="00472CBC"/>
    <w:rsid w:val="004765B3"/>
    <w:rsid w:val="004843CA"/>
    <w:rsid w:val="00493DAA"/>
    <w:rsid w:val="00494335"/>
    <w:rsid w:val="00495A4C"/>
    <w:rsid w:val="004967A1"/>
    <w:rsid w:val="004B584E"/>
    <w:rsid w:val="004C1106"/>
    <w:rsid w:val="004C2A20"/>
    <w:rsid w:val="004C6D4B"/>
    <w:rsid w:val="004C766B"/>
    <w:rsid w:val="004D33E3"/>
    <w:rsid w:val="004D69F4"/>
    <w:rsid w:val="004D76C1"/>
    <w:rsid w:val="004D7C22"/>
    <w:rsid w:val="004E2269"/>
    <w:rsid w:val="004E3938"/>
    <w:rsid w:val="004E451A"/>
    <w:rsid w:val="004F3339"/>
    <w:rsid w:val="004F4400"/>
    <w:rsid w:val="004F72A2"/>
    <w:rsid w:val="004F78E5"/>
    <w:rsid w:val="005026D4"/>
    <w:rsid w:val="00503A51"/>
    <w:rsid w:val="00506774"/>
    <w:rsid w:val="00512309"/>
    <w:rsid w:val="00541D54"/>
    <w:rsid w:val="00542522"/>
    <w:rsid w:val="0054526E"/>
    <w:rsid w:val="00545CE1"/>
    <w:rsid w:val="005476B5"/>
    <w:rsid w:val="005549D7"/>
    <w:rsid w:val="005602DA"/>
    <w:rsid w:val="00562087"/>
    <w:rsid w:val="005678FC"/>
    <w:rsid w:val="0057138A"/>
    <w:rsid w:val="00573327"/>
    <w:rsid w:val="00573D88"/>
    <w:rsid w:val="00592F64"/>
    <w:rsid w:val="005A2148"/>
    <w:rsid w:val="005A3F63"/>
    <w:rsid w:val="005A404F"/>
    <w:rsid w:val="005A59D0"/>
    <w:rsid w:val="005B073E"/>
    <w:rsid w:val="005B227F"/>
    <w:rsid w:val="005B7801"/>
    <w:rsid w:val="005C205B"/>
    <w:rsid w:val="005C5891"/>
    <w:rsid w:val="005D04CC"/>
    <w:rsid w:val="005D5FAE"/>
    <w:rsid w:val="005E4BC9"/>
    <w:rsid w:val="005F29B7"/>
    <w:rsid w:val="00606EB5"/>
    <w:rsid w:val="00606FC8"/>
    <w:rsid w:val="00610067"/>
    <w:rsid w:val="00616C90"/>
    <w:rsid w:val="00617FDA"/>
    <w:rsid w:val="0062116F"/>
    <w:rsid w:val="00623FD7"/>
    <w:rsid w:val="00626087"/>
    <w:rsid w:val="00634E4C"/>
    <w:rsid w:val="00636B8B"/>
    <w:rsid w:val="00641EAA"/>
    <w:rsid w:val="006427FE"/>
    <w:rsid w:val="006506C1"/>
    <w:rsid w:val="00657459"/>
    <w:rsid w:val="0065747A"/>
    <w:rsid w:val="00657E93"/>
    <w:rsid w:val="00662E28"/>
    <w:rsid w:val="0066674D"/>
    <w:rsid w:val="00666A78"/>
    <w:rsid w:val="00676C12"/>
    <w:rsid w:val="0069375D"/>
    <w:rsid w:val="0069407C"/>
    <w:rsid w:val="00694F59"/>
    <w:rsid w:val="0069574E"/>
    <w:rsid w:val="006969C0"/>
    <w:rsid w:val="006A1921"/>
    <w:rsid w:val="006A2303"/>
    <w:rsid w:val="006A2C82"/>
    <w:rsid w:val="006A77D9"/>
    <w:rsid w:val="006D2A45"/>
    <w:rsid w:val="006D315C"/>
    <w:rsid w:val="006D4541"/>
    <w:rsid w:val="006D71B8"/>
    <w:rsid w:val="006E4272"/>
    <w:rsid w:val="006E675C"/>
    <w:rsid w:val="006F145A"/>
    <w:rsid w:val="006F1B22"/>
    <w:rsid w:val="006F27CB"/>
    <w:rsid w:val="006F359B"/>
    <w:rsid w:val="006F5865"/>
    <w:rsid w:val="00701EC6"/>
    <w:rsid w:val="00706179"/>
    <w:rsid w:val="00714F78"/>
    <w:rsid w:val="007152B0"/>
    <w:rsid w:val="007170F7"/>
    <w:rsid w:val="00717589"/>
    <w:rsid w:val="00722F9F"/>
    <w:rsid w:val="007253B8"/>
    <w:rsid w:val="00736E7D"/>
    <w:rsid w:val="007509A6"/>
    <w:rsid w:val="00753F83"/>
    <w:rsid w:val="007541B0"/>
    <w:rsid w:val="0075469B"/>
    <w:rsid w:val="00755163"/>
    <w:rsid w:val="00756AAB"/>
    <w:rsid w:val="00757F63"/>
    <w:rsid w:val="007645AE"/>
    <w:rsid w:val="00764992"/>
    <w:rsid w:val="00765749"/>
    <w:rsid w:val="00775AA0"/>
    <w:rsid w:val="007770FA"/>
    <w:rsid w:val="00791738"/>
    <w:rsid w:val="00791780"/>
    <w:rsid w:val="00792D37"/>
    <w:rsid w:val="007A0E83"/>
    <w:rsid w:val="007A0EB7"/>
    <w:rsid w:val="007B6871"/>
    <w:rsid w:val="007B7899"/>
    <w:rsid w:val="007C08B1"/>
    <w:rsid w:val="007C2CC2"/>
    <w:rsid w:val="007C37DF"/>
    <w:rsid w:val="007C38BD"/>
    <w:rsid w:val="007C79AA"/>
    <w:rsid w:val="007D31DA"/>
    <w:rsid w:val="007D72C5"/>
    <w:rsid w:val="007E525D"/>
    <w:rsid w:val="007F0323"/>
    <w:rsid w:val="007F379E"/>
    <w:rsid w:val="007F471C"/>
    <w:rsid w:val="00800C90"/>
    <w:rsid w:val="008125F8"/>
    <w:rsid w:val="008208A8"/>
    <w:rsid w:val="00826012"/>
    <w:rsid w:val="008270FB"/>
    <w:rsid w:val="008340E1"/>
    <w:rsid w:val="00834CE0"/>
    <w:rsid w:val="0084110F"/>
    <w:rsid w:val="00844B1D"/>
    <w:rsid w:val="00844F5C"/>
    <w:rsid w:val="00845843"/>
    <w:rsid w:val="00846D34"/>
    <w:rsid w:val="00863020"/>
    <w:rsid w:val="008637EC"/>
    <w:rsid w:val="00870BC6"/>
    <w:rsid w:val="00875DAD"/>
    <w:rsid w:val="00877B84"/>
    <w:rsid w:val="00877E5F"/>
    <w:rsid w:val="0088036D"/>
    <w:rsid w:val="00881155"/>
    <w:rsid w:val="00882892"/>
    <w:rsid w:val="00885A14"/>
    <w:rsid w:val="0088689B"/>
    <w:rsid w:val="00890FA0"/>
    <w:rsid w:val="008947BF"/>
    <w:rsid w:val="008A0CBE"/>
    <w:rsid w:val="008A1CA8"/>
    <w:rsid w:val="008A214D"/>
    <w:rsid w:val="008A72D2"/>
    <w:rsid w:val="008A74A3"/>
    <w:rsid w:val="008B6868"/>
    <w:rsid w:val="008B6D24"/>
    <w:rsid w:val="008C34F7"/>
    <w:rsid w:val="008C6A43"/>
    <w:rsid w:val="008D080C"/>
    <w:rsid w:val="008D1867"/>
    <w:rsid w:val="008D6437"/>
    <w:rsid w:val="008D6EDF"/>
    <w:rsid w:val="008E182E"/>
    <w:rsid w:val="008E3EF5"/>
    <w:rsid w:val="008F33B5"/>
    <w:rsid w:val="00901414"/>
    <w:rsid w:val="00906799"/>
    <w:rsid w:val="00921D70"/>
    <w:rsid w:val="00922193"/>
    <w:rsid w:val="00924152"/>
    <w:rsid w:val="0093194D"/>
    <w:rsid w:val="00934C3F"/>
    <w:rsid w:val="009417AE"/>
    <w:rsid w:val="00944BD7"/>
    <w:rsid w:val="00945B3F"/>
    <w:rsid w:val="00950DCB"/>
    <w:rsid w:val="00952D47"/>
    <w:rsid w:val="00952D4C"/>
    <w:rsid w:val="00960246"/>
    <w:rsid w:val="00960B32"/>
    <w:rsid w:val="009720E1"/>
    <w:rsid w:val="00974F0E"/>
    <w:rsid w:val="00975CD7"/>
    <w:rsid w:val="00980CA1"/>
    <w:rsid w:val="00985E70"/>
    <w:rsid w:val="0098783B"/>
    <w:rsid w:val="00993C2B"/>
    <w:rsid w:val="009979F4"/>
    <w:rsid w:val="009A246D"/>
    <w:rsid w:val="009A45B2"/>
    <w:rsid w:val="009A5585"/>
    <w:rsid w:val="009A59D5"/>
    <w:rsid w:val="009B2CB7"/>
    <w:rsid w:val="009B3776"/>
    <w:rsid w:val="009C2198"/>
    <w:rsid w:val="009D1C8E"/>
    <w:rsid w:val="009D2DDD"/>
    <w:rsid w:val="009E0C10"/>
    <w:rsid w:val="009E4116"/>
    <w:rsid w:val="009E529F"/>
    <w:rsid w:val="00A10DA6"/>
    <w:rsid w:val="00A151E9"/>
    <w:rsid w:val="00A15DBB"/>
    <w:rsid w:val="00A259F2"/>
    <w:rsid w:val="00A2758A"/>
    <w:rsid w:val="00A33802"/>
    <w:rsid w:val="00A34ADD"/>
    <w:rsid w:val="00A37162"/>
    <w:rsid w:val="00A37E51"/>
    <w:rsid w:val="00A516E7"/>
    <w:rsid w:val="00A51E2D"/>
    <w:rsid w:val="00A5319F"/>
    <w:rsid w:val="00A533A9"/>
    <w:rsid w:val="00A53690"/>
    <w:rsid w:val="00A62D31"/>
    <w:rsid w:val="00A63380"/>
    <w:rsid w:val="00A8129D"/>
    <w:rsid w:val="00A82188"/>
    <w:rsid w:val="00A865C7"/>
    <w:rsid w:val="00A909CC"/>
    <w:rsid w:val="00A94D77"/>
    <w:rsid w:val="00A964A5"/>
    <w:rsid w:val="00A97E3B"/>
    <w:rsid w:val="00AA00CB"/>
    <w:rsid w:val="00AA20A1"/>
    <w:rsid w:val="00AA41F2"/>
    <w:rsid w:val="00AB039E"/>
    <w:rsid w:val="00AB4206"/>
    <w:rsid w:val="00AC1161"/>
    <w:rsid w:val="00AC7E54"/>
    <w:rsid w:val="00AE6A4E"/>
    <w:rsid w:val="00AE7B98"/>
    <w:rsid w:val="00AF129F"/>
    <w:rsid w:val="00B12DC9"/>
    <w:rsid w:val="00B13F84"/>
    <w:rsid w:val="00B14604"/>
    <w:rsid w:val="00B15ABA"/>
    <w:rsid w:val="00B20FA0"/>
    <w:rsid w:val="00B24DD4"/>
    <w:rsid w:val="00B34339"/>
    <w:rsid w:val="00B40B7D"/>
    <w:rsid w:val="00B42B2F"/>
    <w:rsid w:val="00B44900"/>
    <w:rsid w:val="00B467F6"/>
    <w:rsid w:val="00B472E1"/>
    <w:rsid w:val="00B52821"/>
    <w:rsid w:val="00B56C63"/>
    <w:rsid w:val="00B664C7"/>
    <w:rsid w:val="00B71170"/>
    <w:rsid w:val="00B80BCE"/>
    <w:rsid w:val="00B81524"/>
    <w:rsid w:val="00B81740"/>
    <w:rsid w:val="00B83542"/>
    <w:rsid w:val="00B83E32"/>
    <w:rsid w:val="00B85D7B"/>
    <w:rsid w:val="00B900EA"/>
    <w:rsid w:val="00B91069"/>
    <w:rsid w:val="00B92842"/>
    <w:rsid w:val="00BA2713"/>
    <w:rsid w:val="00BA2941"/>
    <w:rsid w:val="00BA4C61"/>
    <w:rsid w:val="00BA627A"/>
    <w:rsid w:val="00BA7820"/>
    <w:rsid w:val="00BB22FA"/>
    <w:rsid w:val="00BC3EB7"/>
    <w:rsid w:val="00BD12A1"/>
    <w:rsid w:val="00BD1D09"/>
    <w:rsid w:val="00BD4E31"/>
    <w:rsid w:val="00BD7B83"/>
    <w:rsid w:val="00BE625B"/>
    <w:rsid w:val="00BF17C6"/>
    <w:rsid w:val="00BF6F09"/>
    <w:rsid w:val="00C00FDA"/>
    <w:rsid w:val="00C02EB9"/>
    <w:rsid w:val="00C0373C"/>
    <w:rsid w:val="00C04E4B"/>
    <w:rsid w:val="00C11531"/>
    <w:rsid w:val="00C11B56"/>
    <w:rsid w:val="00C14C04"/>
    <w:rsid w:val="00C1529E"/>
    <w:rsid w:val="00C16045"/>
    <w:rsid w:val="00C21E27"/>
    <w:rsid w:val="00C2332A"/>
    <w:rsid w:val="00C42EA5"/>
    <w:rsid w:val="00C52B08"/>
    <w:rsid w:val="00C5366B"/>
    <w:rsid w:val="00C62BF5"/>
    <w:rsid w:val="00C635AD"/>
    <w:rsid w:val="00C636DA"/>
    <w:rsid w:val="00C67E22"/>
    <w:rsid w:val="00C72271"/>
    <w:rsid w:val="00C72A17"/>
    <w:rsid w:val="00C81356"/>
    <w:rsid w:val="00C813CD"/>
    <w:rsid w:val="00C858D9"/>
    <w:rsid w:val="00C87DA0"/>
    <w:rsid w:val="00C94A7F"/>
    <w:rsid w:val="00CA086C"/>
    <w:rsid w:val="00CA4E4D"/>
    <w:rsid w:val="00CA6F31"/>
    <w:rsid w:val="00CA6FF9"/>
    <w:rsid w:val="00CB4238"/>
    <w:rsid w:val="00CB5938"/>
    <w:rsid w:val="00CB5B27"/>
    <w:rsid w:val="00CC13F5"/>
    <w:rsid w:val="00CC1A64"/>
    <w:rsid w:val="00CC34EB"/>
    <w:rsid w:val="00CC66EA"/>
    <w:rsid w:val="00CD3C17"/>
    <w:rsid w:val="00CE1F9C"/>
    <w:rsid w:val="00CE2E48"/>
    <w:rsid w:val="00CF0184"/>
    <w:rsid w:val="00CF1346"/>
    <w:rsid w:val="00CF55F6"/>
    <w:rsid w:val="00CF59E0"/>
    <w:rsid w:val="00CF6672"/>
    <w:rsid w:val="00D021F7"/>
    <w:rsid w:val="00D069C7"/>
    <w:rsid w:val="00D078A2"/>
    <w:rsid w:val="00D13835"/>
    <w:rsid w:val="00D21053"/>
    <w:rsid w:val="00D21123"/>
    <w:rsid w:val="00D26BB7"/>
    <w:rsid w:val="00D367EB"/>
    <w:rsid w:val="00D36C91"/>
    <w:rsid w:val="00D41871"/>
    <w:rsid w:val="00D45954"/>
    <w:rsid w:val="00D461C2"/>
    <w:rsid w:val="00D6030A"/>
    <w:rsid w:val="00D61AAE"/>
    <w:rsid w:val="00D64CB8"/>
    <w:rsid w:val="00D720AE"/>
    <w:rsid w:val="00D72FD8"/>
    <w:rsid w:val="00D92A45"/>
    <w:rsid w:val="00D9697A"/>
    <w:rsid w:val="00DA3023"/>
    <w:rsid w:val="00DA4C48"/>
    <w:rsid w:val="00DA727D"/>
    <w:rsid w:val="00DB53A7"/>
    <w:rsid w:val="00DD170F"/>
    <w:rsid w:val="00DE0A8A"/>
    <w:rsid w:val="00DF0D39"/>
    <w:rsid w:val="00DF2F8B"/>
    <w:rsid w:val="00DF6837"/>
    <w:rsid w:val="00DF68E4"/>
    <w:rsid w:val="00DF6E54"/>
    <w:rsid w:val="00E04228"/>
    <w:rsid w:val="00E04457"/>
    <w:rsid w:val="00E04BBC"/>
    <w:rsid w:val="00E10450"/>
    <w:rsid w:val="00E1478E"/>
    <w:rsid w:val="00E159D7"/>
    <w:rsid w:val="00E213AB"/>
    <w:rsid w:val="00E21653"/>
    <w:rsid w:val="00E21C9B"/>
    <w:rsid w:val="00E2414E"/>
    <w:rsid w:val="00E26830"/>
    <w:rsid w:val="00E26FAF"/>
    <w:rsid w:val="00E40B36"/>
    <w:rsid w:val="00E51672"/>
    <w:rsid w:val="00E522FC"/>
    <w:rsid w:val="00E55EE5"/>
    <w:rsid w:val="00E61784"/>
    <w:rsid w:val="00E625B3"/>
    <w:rsid w:val="00E64743"/>
    <w:rsid w:val="00E7257D"/>
    <w:rsid w:val="00E728CB"/>
    <w:rsid w:val="00E7336F"/>
    <w:rsid w:val="00E74F3B"/>
    <w:rsid w:val="00E76262"/>
    <w:rsid w:val="00E84A6B"/>
    <w:rsid w:val="00E879CA"/>
    <w:rsid w:val="00E92385"/>
    <w:rsid w:val="00E93F74"/>
    <w:rsid w:val="00E96DEA"/>
    <w:rsid w:val="00EA1585"/>
    <w:rsid w:val="00EA48AE"/>
    <w:rsid w:val="00EB09E2"/>
    <w:rsid w:val="00EB74A5"/>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5632"/>
    <w:rsid w:val="00F17535"/>
    <w:rsid w:val="00F20949"/>
    <w:rsid w:val="00F24F8F"/>
    <w:rsid w:val="00F303B2"/>
    <w:rsid w:val="00F307E0"/>
    <w:rsid w:val="00F34D63"/>
    <w:rsid w:val="00F57F7A"/>
    <w:rsid w:val="00F62D33"/>
    <w:rsid w:val="00F64AB3"/>
    <w:rsid w:val="00F6570B"/>
    <w:rsid w:val="00F67615"/>
    <w:rsid w:val="00F76C98"/>
    <w:rsid w:val="00F804CD"/>
    <w:rsid w:val="00F80750"/>
    <w:rsid w:val="00F85F59"/>
    <w:rsid w:val="00F86538"/>
    <w:rsid w:val="00F86717"/>
    <w:rsid w:val="00F86DD4"/>
    <w:rsid w:val="00F97C7A"/>
    <w:rsid w:val="00FA2909"/>
    <w:rsid w:val="00FA3778"/>
    <w:rsid w:val="00FA3CEC"/>
    <w:rsid w:val="00FB4CF2"/>
    <w:rsid w:val="00FC4845"/>
    <w:rsid w:val="00FC6B03"/>
    <w:rsid w:val="00FD06D5"/>
    <w:rsid w:val="00FD28FF"/>
    <w:rsid w:val="00FD68A1"/>
    <w:rsid w:val="00FE0471"/>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12D4C"/>
  <w15:chartTrackingRefBased/>
  <w15:docId w15:val="{0ECCC35C-6C58-4879-8859-44F230D7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Default">
    <w:name w:val="Default"/>
    <w:rsid w:val="00272569"/>
    <w:pPr>
      <w:autoSpaceDE w:val="0"/>
      <w:autoSpaceDN w:val="0"/>
      <w:adjustRightInd w:val="0"/>
      <w:spacing w:after="0"/>
      <w:jc w:val="left"/>
    </w:pPr>
    <w:rPr>
      <w:rFonts w:ascii="Times New Roman" w:hAnsi="Times New Roman" w:cs="Times New Roman"/>
      <w:sz w:val="24"/>
      <w:szCs w:val="24"/>
    </w:rPr>
  </w:style>
  <w:style w:type="paragraph" w:customStyle="1" w:styleId="Heading">
    <w:name w:val="Heading"/>
    <w:basedOn w:val="Normal"/>
    <w:rsid w:val="0027256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272569"/>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sb.gov.au/standards-guidance/auasb-standards/audit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4482d-1961-4d38-bfc2-b109b3418834">
      <Terms xmlns="http://schemas.microsoft.com/office/infopath/2007/PartnerControls"/>
    </lcf76f155ced4ddcb4097134ff3c332f>
    <TaxCatchAll xmlns="79530295-9eea-494d-b82a-9ff74409eafc" xsi:nil="true"/>
    <SharedWithUsers xmlns="79530295-9eea-494d-b82a-9ff74409eafc">
      <UserInfo>
        <DisplayName>Benjamin Fogwell</DisplayName>
        <AccountId>80</AccountId>
        <AccountType/>
      </UserInfo>
    </SharedWithUsers>
  </documentManagement>
</p:properties>
</file>

<file path=customXml/itemProps1.xml><?xml version="1.0" encoding="utf-8"?>
<ds:datastoreItem xmlns:ds="http://schemas.openxmlformats.org/officeDocument/2006/customXml" ds:itemID="{20580399-6889-48E0-B203-078725561ADC}">
  <ds:schemaRefs>
    <ds:schemaRef ds:uri="http://schemas.openxmlformats.org/officeDocument/2006/bibliography"/>
  </ds:schemaRefs>
</ds:datastoreItem>
</file>

<file path=customXml/itemProps2.xml><?xml version="1.0" encoding="utf-8"?>
<ds:datastoreItem xmlns:ds="http://schemas.openxmlformats.org/officeDocument/2006/customXml" ds:itemID="{56220248-EB02-4E98-B7EA-DD6F18AED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1ACEC-5663-458D-B86B-266ABEDF6B09}">
  <ds:schemaRefs>
    <ds:schemaRef ds:uri="http://schemas.microsoft.com/sharepoint/v3/contenttype/forms"/>
  </ds:schemaRefs>
</ds:datastoreItem>
</file>

<file path=customXml/itemProps4.xml><?xml version="1.0" encoding="utf-8"?>
<ds:datastoreItem xmlns:ds="http://schemas.openxmlformats.org/officeDocument/2006/customXml" ds:itemID="{AC01F831-6B11-4773-B7CD-3DD10957DFAE}">
  <ds:schemaRef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5664482d-1961-4d38-bfc2-b109b3418834"/>
    <ds:schemaRef ds:uri="http://schemas.microsoft.com/office/2006/metadata/properties"/>
    <ds:schemaRef ds:uri="http://schemas.microsoft.com/office/infopath/2007/PartnerControls"/>
    <ds:schemaRef ds:uri="79530295-9eea-494d-b82a-9ff74409eaf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1439</Words>
  <Characters>8322</Characters>
  <Application>Microsoft Office Word</Application>
  <DocSecurity>0</DocSecurity>
  <Lines>151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2023-05-31T11:26:00Z</dcterms:created>
  <dcterms:modified xsi:type="dcterms:W3CDTF">2023-05-31T11:26:00Z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HMAC">
    <vt:lpwstr>v=2022.1;a=SHA256;h=069D0A048E4F672E74053A970961D2BD0E4BA41B389EC4501C97EAD6A47145AA</vt:lpwstr>
  </property>
  <property fmtid="{D5CDD505-2E9C-101B-9397-08002B2CF9AE}" pid="8" name="PM_Qualifier">
    <vt:lpwstr/>
  </property>
  <property fmtid="{D5CDD505-2E9C-101B-9397-08002B2CF9AE}" pid="9" name="MSIP_Label_c0129afb-6481-4f92-bc9f-5a4a6346364d_Method">
    <vt:lpwstr>Privileged</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2023-04-28T02:30:44Z</vt:lpwstr>
  </property>
  <property fmtid="{D5CDD505-2E9C-101B-9397-08002B2CF9AE}" pid="13" name="PM_Markers">
    <vt:lpwstr/>
  </property>
  <property fmtid="{D5CDD505-2E9C-101B-9397-08002B2CF9AE}" pid="14" name="MSIP_Label_c0129afb-6481-4f92-bc9f-5a4a6346364d_SiteId">
    <vt:lpwstr>c05e3ffd-b491-4431-9809-e61d4dc78816</vt:lpwstr>
  </property>
  <property fmtid="{D5CDD505-2E9C-101B-9397-08002B2CF9AE}" pid="15" name="MSIP_Label_c0129afb-6481-4f92-bc9f-5a4a6346364d_ContentBits">
    <vt:lpwstr>0</vt:lpwstr>
  </property>
  <property fmtid="{D5CDD505-2E9C-101B-9397-08002B2CF9AE}" pid="16" name="MSIP_Label_c0129afb-6481-4f92-bc9f-5a4a6346364d_Enabled">
    <vt:lpwstr>true</vt:lpwstr>
  </property>
  <property fmtid="{D5CDD505-2E9C-101B-9397-08002B2CF9AE}" pid="17" name="PM_Hash_Salt_Prev">
    <vt:lpwstr>48EE41101C1522FE5A94B04BB067F259</vt:lpwstr>
  </property>
  <property fmtid="{D5CDD505-2E9C-101B-9397-08002B2CF9AE}" pid="18" name="MSIP_Label_c0129afb-6481-4f92-bc9f-5a4a6346364d_SetDate">
    <vt:lpwstr>2023-04-28T02:30:44Z</vt:lpwstr>
  </property>
  <property fmtid="{D5CDD505-2E9C-101B-9397-08002B2CF9AE}" pid="19" name="MSIP_Label_c0129afb-6481-4f92-bc9f-5a4a6346364d_ActionId">
    <vt:lpwstr>f5e810ff79894add922dfbc1b5f0ad16</vt:lpwstr>
  </property>
  <property fmtid="{D5CDD505-2E9C-101B-9397-08002B2CF9AE}" pid="20" name="PM_InsertionValue">
    <vt:lpwstr>OFFICIAL</vt:lpwstr>
  </property>
  <property fmtid="{D5CDD505-2E9C-101B-9397-08002B2CF9AE}" pid="21" name="PM_Originator_Hash_SHA1">
    <vt:lpwstr>C3AD57350F36D8E1BD75F8F67CB06D435C9C43CA</vt:lpwstr>
  </property>
  <property fmtid="{D5CDD505-2E9C-101B-9397-08002B2CF9AE}" pid="22" name="PM_DisplayValueSecClassificationWithQualifier">
    <vt:lpwstr>OFFICIAL</vt:lpwstr>
  </property>
  <property fmtid="{D5CDD505-2E9C-101B-9397-08002B2CF9AE}" pid="23" name="PM_Originating_FileId">
    <vt:lpwstr>69E1C110D6A340808CE6217F1E8F5E82</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UserAccountName_SHA256">
    <vt:lpwstr>6E3018F28A186D2E5FF5207C041E7A82E907C3008E071057026A53705873B72E</vt:lpwstr>
  </property>
  <property fmtid="{D5CDD505-2E9C-101B-9397-08002B2CF9AE}" pid="29" name="PM_OriginatorDomainName_SHA256">
    <vt:lpwstr>ECBDE2B44A971754412B3FB70606937A119CC0D4B6C1B658A40FBD41C30BE3EC</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
    <vt:lpwstr>4A85EE7318822F6B74FC50B1A7266B95</vt:lpwstr>
  </property>
  <property fmtid="{D5CDD505-2E9C-101B-9397-08002B2CF9AE}" pid="33" name="PM_Hash_SHA1">
    <vt:lpwstr>346DB41F86F2B7EC0F6D715FFD0C2BC5B495138D</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0x010100E5E831F15EEA47429C4A0837D916ED91</vt:lpwstr>
  </property>
  <property fmtid="{D5CDD505-2E9C-101B-9397-08002B2CF9AE}" pid="37" name="MediaServiceImageTags">
    <vt:lpwstr/>
  </property>
</Properties>
</file>