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16A0497B" w:rsidR="00B06E21" w:rsidRPr="00770FF9" w:rsidRDefault="007B2045" w:rsidP="00B06E21">
      <w:pPr>
        <w:jc w:val="center"/>
        <w:rPr>
          <w:rFonts w:ascii="Times New Roman" w:hAnsi="Times New Roman" w:cs="Times New Roman"/>
          <w:b/>
          <w:sz w:val="24"/>
          <w:szCs w:val="24"/>
        </w:rPr>
      </w:pPr>
      <w:bookmarkStart w:id="0" w:name="_Hlk133576893"/>
      <w:bookmarkStart w:id="1" w:name="_Hlk125541687"/>
      <w:r w:rsidRPr="00770FF9">
        <w:rPr>
          <w:rFonts w:ascii="Times New Roman" w:hAnsi="Times New Roman" w:cs="Times New Roman"/>
          <w:b/>
          <w:sz w:val="24"/>
          <w:szCs w:val="24"/>
        </w:rPr>
        <w:t>I</w:t>
      </w:r>
      <w:r w:rsidR="00B06E21" w:rsidRPr="00770FF9">
        <w:rPr>
          <w:rFonts w:ascii="Times New Roman" w:hAnsi="Times New Roman" w:cs="Times New Roman"/>
          <w:b/>
          <w:sz w:val="24"/>
          <w:szCs w:val="24"/>
        </w:rPr>
        <w:t xml:space="preserve">nsurance (prudential standard) determination No. </w:t>
      </w:r>
      <w:r w:rsidR="00444B56">
        <w:rPr>
          <w:rFonts w:ascii="Times New Roman" w:hAnsi="Times New Roman" w:cs="Times New Roman"/>
          <w:b/>
          <w:sz w:val="24"/>
          <w:szCs w:val="24"/>
        </w:rPr>
        <w:t>6</w:t>
      </w:r>
      <w:r w:rsidR="00073F77" w:rsidRPr="00770FF9">
        <w:rPr>
          <w:rFonts w:ascii="Times New Roman" w:hAnsi="Times New Roman" w:cs="Times New Roman"/>
          <w:b/>
          <w:sz w:val="24"/>
          <w:szCs w:val="24"/>
        </w:rPr>
        <w:t xml:space="preserve"> </w:t>
      </w:r>
      <w:r w:rsidR="00B06E21" w:rsidRPr="00770FF9">
        <w:rPr>
          <w:rFonts w:ascii="Times New Roman" w:hAnsi="Times New Roman" w:cs="Times New Roman"/>
          <w:b/>
          <w:sz w:val="24"/>
          <w:szCs w:val="24"/>
        </w:rPr>
        <w:t>of 202</w:t>
      </w:r>
      <w:r w:rsidR="006A30FA" w:rsidRPr="00770FF9">
        <w:rPr>
          <w:rFonts w:ascii="Times New Roman" w:hAnsi="Times New Roman" w:cs="Times New Roman"/>
          <w:b/>
          <w:sz w:val="24"/>
          <w:szCs w:val="24"/>
        </w:rPr>
        <w:t>3</w:t>
      </w:r>
    </w:p>
    <w:p w14:paraId="35F2A8B7"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u w:val="single"/>
        </w:rPr>
        <w:t>EXPLANATORY STATEMENT</w:t>
      </w:r>
    </w:p>
    <w:p w14:paraId="393F44A8" w14:textId="77777777" w:rsidR="00B06E21" w:rsidRPr="00770FF9" w:rsidRDefault="00B06E21" w:rsidP="00B06E21">
      <w:pPr>
        <w:shd w:val="clear" w:color="auto" w:fill="FFFFFF"/>
        <w:jc w:val="center"/>
        <w:rPr>
          <w:rFonts w:ascii="Times New Roman" w:hAnsi="Times New Roman" w:cs="Times New Roman"/>
          <w:sz w:val="24"/>
          <w:szCs w:val="24"/>
        </w:rPr>
      </w:pPr>
      <w:r w:rsidRPr="00770FF9">
        <w:rPr>
          <w:rFonts w:ascii="Times New Roman" w:hAnsi="Times New Roman" w:cs="Times New Roman"/>
          <w:b/>
          <w:bCs/>
          <w:sz w:val="24"/>
          <w:szCs w:val="24"/>
        </w:rPr>
        <w:t>Prepared by the Australian Prudential Regulation Authority (APRA)</w:t>
      </w:r>
    </w:p>
    <w:p w14:paraId="4B39A225" w14:textId="1878D63E" w:rsidR="00B06E21" w:rsidRPr="00770FF9" w:rsidRDefault="00757385" w:rsidP="00B06E21">
      <w:pPr>
        <w:shd w:val="clear" w:color="auto" w:fill="FFFFFF"/>
        <w:jc w:val="center"/>
        <w:rPr>
          <w:rFonts w:ascii="Times New Roman" w:hAnsi="Times New Roman" w:cs="Times New Roman"/>
          <w:sz w:val="24"/>
          <w:szCs w:val="24"/>
        </w:rPr>
      </w:pPr>
      <w:bookmarkStart w:id="2" w:name="bkExplanatory"/>
      <w:bookmarkStart w:id="3" w:name="bkAct"/>
      <w:bookmarkEnd w:id="2"/>
      <w:bookmarkEnd w:id="3"/>
      <w:r w:rsidRPr="00770FF9">
        <w:rPr>
          <w:rFonts w:ascii="Times New Roman" w:hAnsi="Times New Roman" w:cs="Times New Roman"/>
          <w:i/>
          <w:iCs/>
          <w:sz w:val="24"/>
          <w:szCs w:val="24"/>
        </w:rPr>
        <w:t xml:space="preserve">Insurance Act 1973, section 32. </w:t>
      </w:r>
    </w:p>
    <w:p w14:paraId="1113ABF4" w14:textId="4C2B284F" w:rsidR="00A25E0D" w:rsidRDefault="00907BC4" w:rsidP="00A25E0D">
      <w:pPr>
        <w:pStyle w:val="Default"/>
      </w:pPr>
      <w:r w:rsidRPr="00770FF9">
        <w:t xml:space="preserve">APRA may, in writing, determine, </w:t>
      </w:r>
      <w:proofErr w:type="gramStart"/>
      <w:r w:rsidRPr="00770FF9">
        <w:t>vary</w:t>
      </w:r>
      <w:proofErr w:type="gramEnd"/>
      <w:r w:rsidRPr="00770FF9">
        <w:t xml:space="preserve"> or revoke a prudential standard that applies to an APRA-regulated institution under subsections 32(1) and (4) of the </w:t>
      </w:r>
      <w:r w:rsidRPr="00770FF9">
        <w:rPr>
          <w:i/>
          <w:iCs/>
        </w:rPr>
        <w:t xml:space="preserve">Insurance Act 1973 </w:t>
      </w:r>
      <w:r w:rsidRPr="00770FF9">
        <w:t xml:space="preserve">(the Act), in relation to general insurers, authorised non-operating holding companies (authorised insurance NOHCs), and subsidiaries of general insurers and authorised insurance NOHCs. </w:t>
      </w:r>
    </w:p>
    <w:p w14:paraId="5018380D" w14:textId="77777777" w:rsidR="00A25E0D" w:rsidRDefault="00A25E0D" w:rsidP="00A25E0D">
      <w:pPr>
        <w:pStyle w:val="Default"/>
      </w:pPr>
    </w:p>
    <w:p w14:paraId="244E8104" w14:textId="7317477A" w:rsidR="00A25E0D" w:rsidRDefault="00A25E0D" w:rsidP="009D6B58">
      <w:pPr>
        <w:pStyle w:val="Default"/>
        <w:jc w:val="both"/>
      </w:pPr>
      <w:r w:rsidRPr="009D6B58">
        <w:t>On</w:t>
      </w:r>
      <w:r w:rsidR="00E764B2">
        <w:t xml:space="preserve"> 24 May</w:t>
      </w:r>
      <w:r w:rsidRPr="009D6B58">
        <w:t xml:space="preserve"> 2023, APRA made</w:t>
      </w:r>
      <w:r>
        <w:t xml:space="preserve"> </w:t>
      </w:r>
      <w:r w:rsidRPr="00770FF9">
        <w:t xml:space="preserve">Insurance (prudential standard) determination </w:t>
      </w:r>
      <w:r w:rsidR="00444B56">
        <w:t>N</w:t>
      </w:r>
      <w:r w:rsidRPr="00770FF9">
        <w:t xml:space="preserve">o. </w:t>
      </w:r>
      <w:r w:rsidR="00444B56">
        <w:t>6</w:t>
      </w:r>
      <w:r w:rsidRPr="00770FF9">
        <w:t xml:space="preserve"> of 2023 which </w:t>
      </w:r>
      <w:r w:rsidR="00CC4063">
        <w:t xml:space="preserve">revokes </w:t>
      </w:r>
      <w:r w:rsidR="003063FE" w:rsidRPr="003063FE">
        <w:rPr>
          <w:i/>
        </w:rPr>
        <w:t>Prudential Standard GPS 116 Capital Adequacy: Insurance Concentration Risk Charge</w:t>
      </w:r>
      <w:r w:rsidR="003063FE">
        <w:rPr>
          <w:i/>
        </w:rPr>
        <w:t xml:space="preserve"> </w:t>
      </w:r>
      <w:r w:rsidRPr="00770FF9">
        <w:t xml:space="preserve">made under Insurance </w:t>
      </w:r>
      <w:r w:rsidRPr="009D6B58">
        <w:t xml:space="preserve">determination No. </w:t>
      </w:r>
      <w:r w:rsidR="003063FE">
        <w:t>3</w:t>
      </w:r>
      <w:r w:rsidRPr="009D6B58">
        <w:t xml:space="preserve"> of </w:t>
      </w:r>
      <w:r w:rsidR="009D6B58" w:rsidRPr="009D6B58">
        <w:t>20</w:t>
      </w:r>
      <w:r w:rsidR="003063FE">
        <w:t>22</w:t>
      </w:r>
      <w:r w:rsidR="009D6B58" w:rsidRPr="009D6B58">
        <w:t xml:space="preserve"> </w:t>
      </w:r>
      <w:r w:rsidRPr="009D6B58">
        <w:t xml:space="preserve">and determines a new </w:t>
      </w:r>
      <w:r w:rsidR="003063FE" w:rsidRPr="003063FE">
        <w:rPr>
          <w:i/>
        </w:rPr>
        <w:t>Prudential Standard GPS 116 Capital Adequacy: Insurance Concentration Risk Charge</w:t>
      </w:r>
      <w:r w:rsidR="00BD2241" w:rsidRPr="00BD2241">
        <w:rPr>
          <w:i/>
        </w:rPr>
        <w:t xml:space="preserve"> </w:t>
      </w:r>
      <w:r w:rsidRPr="009D6B58">
        <w:t>(GPS 1</w:t>
      </w:r>
      <w:r w:rsidR="0044005B">
        <w:t>1</w:t>
      </w:r>
      <w:r w:rsidR="003063FE">
        <w:t>6</w:t>
      </w:r>
      <w:r w:rsidRPr="009D6B58">
        <w:t>).</w:t>
      </w:r>
    </w:p>
    <w:p w14:paraId="1FC58EC5" w14:textId="77777777" w:rsidR="00A25E0D" w:rsidRDefault="00A25E0D" w:rsidP="00A25E0D">
      <w:pPr>
        <w:pStyle w:val="Default"/>
      </w:pPr>
    </w:p>
    <w:p w14:paraId="243B2508" w14:textId="72B83491" w:rsidR="00A25E0D" w:rsidRDefault="00A25E0D" w:rsidP="00A25E0D">
      <w:pPr>
        <w:pStyle w:val="Default"/>
      </w:pPr>
      <w:r w:rsidRPr="00A06A6F">
        <w:t xml:space="preserve">The instrument commences on </w:t>
      </w:r>
      <w:r>
        <w:t>1 July 2023</w:t>
      </w:r>
      <w:r w:rsidRPr="00A06A6F">
        <w:t>.</w:t>
      </w:r>
    </w:p>
    <w:p w14:paraId="1EE34079" w14:textId="77777777" w:rsidR="00A25E0D" w:rsidRPr="000C4197" w:rsidRDefault="00A25E0D" w:rsidP="00A25E0D">
      <w:pPr>
        <w:pStyle w:val="Default"/>
      </w:pPr>
    </w:p>
    <w:p w14:paraId="323FBD13" w14:textId="77777777" w:rsidR="001F4D45" w:rsidRPr="00770FF9" w:rsidRDefault="001F4D45" w:rsidP="001F4D45">
      <w:pPr>
        <w:numPr>
          <w:ilvl w:val="0"/>
          <w:numId w:val="0"/>
        </w:numPr>
        <w:rPr>
          <w:rFonts w:ascii="Times New Roman" w:hAnsi="Times New Roman" w:cs="Times New Roman"/>
          <w:b/>
          <w:sz w:val="24"/>
          <w:szCs w:val="24"/>
        </w:rPr>
      </w:pPr>
      <w:bookmarkStart w:id="4" w:name="_Hlk133576913"/>
      <w:bookmarkEnd w:id="0"/>
      <w:r w:rsidRPr="00770FF9">
        <w:rPr>
          <w:rFonts w:ascii="Times New Roman" w:hAnsi="Times New Roman" w:cs="Times New Roman"/>
          <w:b/>
          <w:sz w:val="24"/>
          <w:szCs w:val="24"/>
        </w:rPr>
        <w:t>1.</w:t>
      </w:r>
      <w:r w:rsidRPr="00770FF9">
        <w:rPr>
          <w:rFonts w:ascii="Times New Roman" w:hAnsi="Times New Roman" w:cs="Times New Roman"/>
          <w:b/>
          <w:sz w:val="24"/>
          <w:szCs w:val="24"/>
        </w:rPr>
        <w:tab/>
        <w:t>Background</w:t>
      </w:r>
    </w:p>
    <w:p w14:paraId="41922AF6" w14:textId="4BF7D979" w:rsidR="00907BC4" w:rsidRPr="00770FF9" w:rsidRDefault="001F4D45" w:rsidP="001F4D45">
      <w:pPr>
        <w:numPr>
          <w:ilvl w:val="0"/>
          <w:numId w:val="0"/>
        </w:numPr>
        <w:rPr>
          <w:rFonts w:ascii="Times New Roman" w:hAnsi="Times New Roman" w:cs="Times New Roman"/>
          <w:sz w:val="24"/>
          <w:szCs w:val="24"/>
        </w:rPr>
      </w:pPr>
      <w:bookmarkStart w:id="5" w:name="_Hlk133930632"/>
      <w:r w:rsidRPr="00770FF9">
        <w:rPr>
          <w:rFonts w:ascii="Times New Roman" w:hAnsi="Times New Roman" w:cs="Times New Roman"/>
          <w:sz w:val="24"/>
          <w:szCs w:val="24"/>
        </w:rPr>
        <w:t>On</w:t>
      </w:r>
      <w:r w:rsidR="00E764B2">
        <w:rPr>
          <w:rFonts w:ascii="Times New Roman" w:hAnsi="Times New Roman" w:cs="Times New Roman"/>
          <w:sz w:val="24"/>
          <w:szCs w:val="24"/>
        </w:rPr>
        <w:t xml:space="preserve"> 24 May</w:t>
      </w:r>
      <w:r w:rsidR="00907BC4" w:rsidRPr="00770FF9">
        <w:rPr>
          <w:rFonts w:ascii="Times New Roman" w:hAnsi="Times New Roman" w:cs="Times New Roman"/>
          <w:sz w:val="24"/>
          <w:szCs w:val="24"/>
        </w:rPr>
        <w:t xml:space="preserve"> 2023, APRA </w:t>
      </w:r>
      <w:r w:rsidR="002B5714" w:rsidRPr="00770FF9">
        <w:rPr>
          <w:rFonts w:ascii="Times New Roman" w:hAnsi="Times New Roman" w:cs="Times New Roman"/>
          <w:sz w:val="24"/>
          <w:szCs w:val="24"/>
        </w:rPr>
        <w:t>determined 19 general insurance and life insurance prudential standards</w:t>
      </w:r>
      <w:r w:rsidR="00B50C5D" w:rsidRPr="00770FF9">
        <w:rPr>
          <w:rFonts w:ascii="Times New Roman" w:hAnsi="Times New Roman" w:cs="Times New Roman"/>
          <w:sz w:val="24"/>
          <w:szCs w:val="24"/>
        </w:rPr>
        <w:t xml:space="preserve"> </w:t>
      </w:r>
      <w:r w:rsidR="001F01A9" w:rsidRPr="00770FF9">
        <w:rPr>
          <w:rFonts w:ascii="Times New Roman" w:hAnsi="Times New Roman" w:cs="Times New Roman"/>
          <w:sz w:val="24"/>
          <w:szCs w:val="24"/>
        </w:rPr>
        <w:t>with</w:t>
      </w:r>
      <w:r w:rsidR="00B50C5D" w:rsidRPr="00770FF9">
        <w:rPr>
          <w:rFonts w:ascii="Times New Roman" w:hAnsi="Times New Roman" w:cs="Times New Roman"/>
          <w:sz w:val="24"/>
          <w:szCs w:val="24"/>
        </w:rPr>
        <w:t xml:space="preserve"> amendments </w:t>
      </w:r>
      <w:r w:rsidR="001F01A9" w:rsidRPr="00770FF9">
        <w:rPr>
          <w:rFonts w:ascii="Times New Roman" w:hAnsi="Times New Roman" w:cs="Times New Roman"/>
          <w:sz w:val="24"/>
          <w:szCs w:val="24"/>
        </w:rPr>
        <w:t>that relate to the</w:t>
      </w:r>
      <w:r w:rsidR="00B50C5D" w:rsidRPr="00770FF9">
        <w:rPr>
          <w:rFonts w:ascii="Times New Roman" w:hAnsi="Times New Roman" w:cs="Times New Roman"/>
          <w:sz w:val="24"/>
          <w:szCs w:val="24"/>
        </w:rPr>
        <w:t xml:space="preserve"> new accounting standard Australian Accounting Standards Board (AASB) 17 Insurance Contracts (AASB 17) and minor updates to the Life and General Insurance Capital (LAGIC) Framework. </w:t>
      </w:r>
    </w:p>
    <w:p w14:paraId="2F63714D" w14:textId="644E46BA" w:rsidR="002B5714" w:rsidRPr="00334B5E" w:rsidRDefault="004E61D8" w:rsidP="002B5714">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 xml:space="preserve">Based on International Financial Reporting Standard 17 Insurance Contracts, </w:t>
      </w:r>
      <w:r w:rsidR="00B25E6E" w:rsidRPr="00770FF9">
        <w:rPr>
          <w:rFonts w:ascii="Times New Roman" w:hAnsi="Times New Roman" w:cs="Times New Roman"/>
          <w:sz w:val="24"/>
          <w:szCs w:val="24"/>
        </w:rPr>
        <w:t>AASB</w:t>
      </w:r>
      <w:r w:rsidRPr="00770FF9">
        <w:rPr>
          <w:rFonts w:ascii="Times New Roman" w:hAnsi="Times New Roman" w:cs="Times New Roman"/>
          <w:sz w:val="24"/>
          <w:szCs w:val="24"/>
        </w:rPr>
        <w:t xml:space="preserve"> 17 will see </w:t>
      </w:r>
      <w:r w:rsidR="00B25E6E" w:rsidRPr="00770FF9">
        <w:rPr>
          <w:rFonts w:ascii="Times New Roman" w:hAnsi="Times New Roman" w:cs="Times New Roman"/>
          <w:sz w:val="24"/>
          <w:szCs w:val="24"/>
        </w:rPr>
        <w:t xml:space="preserve">all insurance contracts accounted for in a consistent manner, thereby facilitating comparisons across similar insurance companies. The requirements are designed to help users of financial statements better understand an insurer’s exposure, </w:t>
      </w:r>
      <w:proofErr w:type="gramStart"/>
      <w:r w:rsidR="00B25E6E" w:rsidRPr="00770FF9">
        <w:rPr>
          <w:rFonts w:ascii="Times New Roman" w:hAnsi="Times New Roman" w:cs="Times New Roman"/>
          <w:sz w:val="24"/>
          <w:szCs w:val="24"/>
        </w:rPr>
        <w:t>profitability</w:t>
      </w:r>
      <w:proofErr w:type="gramEnd"/>
      <w:r w:rsidR="00B25E6E" w:rsidRPr="00770FF9">
        <w:rPr>
          <w:rFonts w:ascii="Times New Roman" w:hAnsi="Times New Roman" w:cs="Times New Roman"/>
          <w:sz w:val="24"/>
          <w:szCs w:val="24"/>
        </w:rPr>
        <w:t xml:space="preserve"> and financial </w:t>
      </w:r>
      <w:r w:rsidR="00B25E6E" w:rsidRPr="00334B5E">
        <w:rPr>
          <w:rFonts w:ascii="Times New Roman" w:hAnsi="Times New Roman" w:cs="Times New Roman"/>
          <w:sz w:val="24"/>
          <w:szCs w:val="24"/>
        </w:rPr>
        <w:t>position.</w:t>
      </w:r>
    </w:p>
    <w:p w14:paraId="2852F832" w14:textId="2A305D9C" w:rsidR="00C44059" w:rsidRPr="00334B5E" w:rsidRDefault="00C44059"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w:t>
      </w:r>
      <w:r w:rsidR="00E53DAD">
        <w:rPr>
          <w:rFonts w:ascii="Times New Roman" w:hAnsi="Times New Roman" w:cs="Times New Roman"/>
          <w:sz w:val="24"/>
          <w:szCs w:val="24"/>
        </w:rPr>
        <w:t>AASB 17</w:t>
      </w:r>
      <w:r w:rsidRPr="00334B5E">
        <w:rPr>
          <w:rFonts w:ascii="Times New Roman" w:hAnsi="Times New Roman" w:cs="Times New Roman"/>
          <w:sz w:val="24"/>
          <w:szCs w:val="24"/>
        </w:rPr>
        <w:t>.</w:t>
      </w:r>
    </w:p>
    <w:p w14:paraId="2F48C870" w14:textId="7E8F0086" w:rsidR="00D966DF" w:rsidRPr="00334B5E" w:rsidRDefault="00D966DF" w:rsidP="002B5714">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Not </w:t>
      </w:r>
      <w:proofErr w:type="gramStart"/>
      <w:r w:rsidRPr="00334B5E">
        <w:rPr>
          <w:rFonts w:ascii="Times New Roman" w:hAnsi="Times New Roman" w:cs="Times New Roman"/>
          <w:sz w:val="24"/>
          <w:szCs w:val="24"/>
        </w:rPr>
        <w:t>making adjustments to</w:t>
      </w:r>
      <w:proofErr w:type="gramEnd"/>
      <w:r w:rsidRPr="00334B5E">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E53DAD">
        <w:rPr>
          <w:rFonts w:ascii="Times New Roman" w:hAnsi="Times New Roman" w:cs="Times New Roman"/>
          <w:sz w:val="24"/>
          <w:szCs w:val="24"/>
        </w:rPr>
        <w:t>d</w:t>
      </w:r>
      <w:r w:rsidRPr="00334B5E">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E53DAD">
        <w:rPr>
          <w:rFonts w:ascii="Times New Roman" w:hAnsi="Times New Roman" w:cs="Times New Roman"/>
          <w:sz w:val="24"/>
          <w:szCs w:val="24"/>
        </w:rPr>
        <w:t xml:space="preserve">AASB 17 </w:t>
      </w:r>
      <w:r w:rsidRPr="00334B5E">
        <w:rPr>
          <w:rFonts w:ascii="Times New Roman" w:hAnsi="Times New Roman" w:cs="Times New Roman"/>
          <w:sz w:val="24"/>
          <w:szCs w:val="24"/>
        </w:rPr>
        <w:t>and APRA’s prudential framework.</w:t>
      </w:r>
    </w:p>
    <w:p w14:paraId="698741D7" w14:textId="25C5A452" w:rsidR="002B5714" w:rsidRPr="00334B5E" w:rsidRDefault="004D654D" w:rsidP="002B5714">
      <w:pPr>
        <w:numPr>
          <w:ilvl w:val="0"/>
          <w:numId w:val="0"/>
        </w:numPr>
        <w:rPr>
          <w:rFonts w:ascii="Times New Roman" w:hAnsi="Times New Roman" w:cs="Times New Roman"/>
          <w:sz w:val="24"/>
          <w:szCs w:val="24"/>
        </w:rPr>
      </w:pPr>
      <w:bookmarkStart w:id="6" w:name="_Hlk133930654"/>
      <w:bookmarkEnd w:id="5"/>
      <w:r w:rsidRPr="00334B5E">
        <w:rPr>
          <w:rFonts w:ascii="Times New Roman" w:hAnsi="Times New Roman" w:cs="Times New Roman"/>
          <w:sz w:val="24"/>
          <w:szCs w:val="24"/>
        </w:rPr>
        <w:t xml:space="preserve">In addition to this, although the LAGIC framework continues to achieve its objectives, APRA </w:t>
      </w:r>
      <w:r w:rsidR="004E61D8" w:rsidRPr="00334B5E">
        <w:rPr>
          <w:rFonts w:ascii="Times New Roman" w:hAnsi="Times New Roman" w:cs="Times New Roman"/>
          <w:sz w:val="24"/>
          <w:szCs w:val="24"/>
        </w:rPr>
        <w:t>has taken the</w:t>
      </w:r>
      <w:r w:rsidRPr="00334B5E">
        <w:rPr>
          <w:rFonts w:ascii="Times New Roman" w:hAnsi="Times New Roman" w:cs="Times New Roman"/>
          <w:sz w:val="24"/>
          <w:szCs w:val="24"/>
        </w:rPr>
        <w:t xml:space="preserve"> opportunity </w:t>
      </w:r>
      <w:r w:rsidR="00E53DAD">
        <w:rPr>
          <w:rFonts w:ascii="Times New Roman" w:hAnsi="Times New Roman" w:cs="Times New Roman"/>
          <w:sz w:val="24"/>
          <w:szCs w:val="24"/>
        </w:rPr>
        <w:t xml:space="preserve">to </w:t>
      </w:r>
      <w:r w:rsidR="00EA6614" w:rsidRPr="00334B5E">
        <w:rPr>
          <w:rFonts w:ascii="Times New Roman" w:hAnsi="Times New Roman" w:cs="Times New Roman"/>
          <w:sz w:val="24"/>
          <w:szCs w:val="24"/>
        </w:rPr>
        <w:t xml:space="preserve">make </w:t>
      </w:r>
      <w:proofErr w:type="gramStart"/>
      <w:r w:rsidR="00EA6614" w:rsidRPr="00334B5E">
        <w:rPr>
          <w:rFonts w:ascii="Times New Roman" w:hAnsi="Times New Roman" w:cs="Times New Roman"/>
          <w:sz w:val="24"/>
          <w:szCs w:val="24"/>
        </w:rPr>
        <w:t>a number of</w:t>
      </w:r>
      <w:proofErr w:type="gramEnd"/>
      <w:r w:rsidR="00EA6614" w:rsidRPr="00334B5E">
        <w:rPr>
          <w:rFonts w:ascii="Times New Roman" w:hAnsi="Times New Roman" w:cs="Times New Roman"/>
          <w:sz w:val="24"/>
          <w:szCs w:val="24"/>
        </w:rPr>
        <w:t xml:space="preserve"> updates to LAGIC to ensure it remains fit-for-purpose. The key changes include: </w:t>
      </w:r>
    </w:p>
    <w:p w14:paraId="012E7C4C" w14:textId="18E0B453" w:rsidR="004D654D" w:rsidRPr="00334B5E" w:rsidRDefault="00CE5657" w:rsidP="004D654D">
      <w:pPr>
        <w:pStyle w:val="ListParagraph"/>
        <w:numPr>
          <w:ilvl w:val="0"/>
          <w:numId w:val="23"/>
        </w:numPr>
        <w:rPr>
          <w:rFonts w:ascii="Times New Roman" w:hAnsi="Times New Roman" w:cs="Times New Roman"/>
          <w:sz w:val="24"/>
          <w:szCs w:val="24"/>
        </w:rPr>
      </w:pPr>
      <w:bookmarkStart w:id="7" w:name="_Hlk133930731"/>
      <w:bookmarkEnd w:id="6"/>
      <w:r w:rsidRPr="00334B5E">
        <w:rPr>
          <w:rFonts w:ascii="Times New Roman" w:hAnsi="Times New Roman" w:cs="Times New Roman"/>
          <w:sz w:val="24"/>
          <w:szCs w:val="24"/>
        </w:rPr>
        <w:t>r</w:t>
      </w:r>
      <w:r w:rsidR="004D654D" w:rsidRPr="00334B5E">
        <w:rPr>
          <w:rFonts w:ascii="Times New Roman" w:hAnsi="Times New Roman" w:cs="Times New Roman"/>
          <w:sz w:val="24"/>
          <w:szCs w:val="24"/>
        </w:rPr>
        <w:t>emov</w:t>
      </w:r>
      <w:r w:rsidRPr="00334B5E">
        <w:rPr>
          <w:rFonts w:ascii="Times New Roman" w:hAnsi="Times New Roman" w:cs="Times New Roman"/>
          <w:sz w:val="24"/>
          <w:szCs w:val="24"/>
        </w:rPr>
        <w:t xml:space="preserve">ing the ability of insurers to use Internal Capital Models for regulatory capital </w:t>
      </w:r>
      <w:proofErr w:type="gramStart"/>
      <w:r w:rsidRPr="00334B5E">
        <w:rPr>
          <w:rFonts w:ascii="Times New Roman" w:hAnsi="Times New Roman" w:cs="Times New Roman"/>
          <w:sz w:val="24"/>
          <w:szCs w:val="24"/>
        </w:rPr>
        <w:t>purposes;</w:t>
      </w:r>
      <w:proofErr w:type="gramEnd"/>
      <w:r w:rsidR="0084459A" w:rsidRPr="00334B5E">
        <w:rPr>
          <w:rFonts w:ascii="Times New Roman" w:hAnsi="Times New Roman" w:cs="Times New Roman"/>
          <w:sz w:val="24"/>
          <w:szCs w:val="24"/>
        </w:rPr>
        <w:t xml:space="preserve"> </w:t>
      </w:r>
    </w:p>
    <w:bookmarkEnd w:id="7"/>
    <w:p w14:paraId="06BBC7EA" w14:textId="54E183D2" w:rsidR="00CE5657" w:rsidRPr="00334B5E" w:rsidRDefault="00CE5657" w:rsidP="0084459A">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aligning the measurement of capital instruments for ADIs and Insurers</w:t>
      </w:r>
      <w:r w:rsidR="00AE2D9A" w:rsidRPr="00334B5E">
        <w:rPr>
          <w:rFonts w:ascii="Times New Roman" w:hAnsi="Times New Roman" w:cs="Times New Roman"/>
          <w:sz w:val="24"/>
          <w:szCs w:val="24"/>
        </w:rPr>
        <w:t xml:space="preserve">; and </w:t>
      </w:r>
    </w:p>
    <w:p w14:paraId="49AE85EC" w14:textId="49C3C4BF" w:rsidR="00F91B27" w:rsidRPr="00334B5E" w:rsidRDefault="001A34E9" w:rsidP="00F91B27">
      <w:pPr>
        <w:pStyle w:val="ListParagraph"/>
        <w:numPr>
          <w:ilvl w:val="0"/>
          <w:numId w:val="23"/>
        </w:numPr>
        <w:rPr>
          <w:rFonts w:ascii="Times New Roman" w:hAnsi="Times New Roman" w:cs="Times New Roman"/>
          <w:sz w:val="24"/>
          <w:szCs w:val="24"/>
        </w:rPr>
      </w:pPr>
      <w:r w:rsidRPr="00334B5E">
        <w:rPr>
          <w:rFonts w:ascii="Times New Roman" w:hAnsi="Times New Roman" w:cs="Times New Roman"/>
          <w:sz w:val="24"/>
          <w:szCs w:val="24"/>
        </w:rPr>
        <w:t xml:space="preserve">formalising </w:t>
      </w:r>
      <w:r w:rsidR="00DC23FC" w:rsidRPr="00334B5E">
        <w:rPr>
          <w:rFonts w:ascii="Times New Roman" w:hAnsi="Times New Roman" w:cs="Times New Roman"/>
          <w:sz w:val="24"/>
          <w:szCs w:val="24"/>
        </w:rPr>
        <w:t xml:space="preserve">reinsurance </w:t>
      </w:r>
      <w:r w:rsidRPr="00334B5E">
        <w:rPr>
          <w:rFonts w:ascii="Times New Roman" w:hAnsi="Times New Roman" w:cs="Times New Roman"/>
          <w:sz w:val="24"/>
          <w:szCs w:val="24"/>
        </w:rPr>
        <w:t xml:space="preserve">procedures and </w:t>
      </w:r>
      <w:r w:rsidR="00DC23FC" w:rsidRPr="00334B5E">
        <w:rPr>
          <w:rFonts w:ascii="Times New Roman" w:hAnsi="Times New Roman" w:cs="Times New Roman"/>
          <w:sz w:val="24"/>
          <w:szCs w:val="24"/>
        </w:rPr>
        <w:t>rules.</w:t>
      </w:r>
    </w:p>
    <w:p w14:paraId="2510B792" w14:textId="77777777" w:rsidR="00F91B27" w:rsidRPr="00334B5E" w:rsidRDefault="00B670E9" w:rsidP="00F91B27">
      <w:pPr>
        <w:numPr>
          <w:ilvl w:val="0"/>
          <w:numId w:val="0"/>
        </w:numPr>
        <w:rPr>
          <w:rFonts w:ascii="Times New Roman" w:hAnsi="Times New Roman" w:cs="Times New Roman"/>
          <w:b/>
          <w:sz w:val="24"/>
          <w:szCs w:val="24"/>
        </w:rPr>
      </w:pPr>
      <w:r w:rsidRPr="00334B5E">
        <w:rPr>
          <w:rFonts w:ascii="Times New Roman" w:hAnsi="Times New Roman" w:cs="Times New Roman"/>
          <w:b/>
          <w:sz w:val="24"/>
          <w:szCs w:val="24"/>
        </w:rPr>
        <w:lastRenderedPageBreak/>
        <w:t>2.</w:t>
      </w:r>
      <w:r w:rsidRPr="00334B5E">
        <w:rPr>
          <w:rFonts w:ascii="Times New Roman" w:hAnsi="Times New Roman" w:cs="Times New Roman"/>
          <w:b/>
          <w:sz w:val="24"/>
          <w:szCs w:val="24"/>
        </w:rPr>
        <w:tab/>
      </w:r>
      <w:r w:rsidR="00211AFD" w:rsidRPr="00334B5E">
        <w:rPr>
          <w:rFonts w:ascii="Times New Roman" w:hAnsi="Times New Roman" w:cs="Times New Roman"/>
          <w:b/>
          <w:sz w:val="24"/>
          <w:szCs w:val="24"/>
        </w:rPr>
        <w:t>Purpose and operation of the instrument</w:t>
      </w:r>
      <w:r w:rsidR="00B40434" w:rsidRPr="00334B5E">
        <w:rPr>
          <w:rFonts w:ascii="Times New Roman" w:hAnsi="Times New Roman" w:cs="Times New Roman"/>
          <w:b/>
          <w:sz w:val="24"/>
          <w:szCs w:val="24"/>
        </w:rPr>
        <w:t>s</w:t>
      </w:r>
      <w:r w:rsidR="00211AFD" w:rsidRPr="00334B5E">
        <w:rPr>
          <w:rFonts w:ascii="Times New Roman" w:hAnsi="Times New Roman" w:cs="Times New Roman"/>
          <w:b/>
          <w:sz w:val="24"/>
          <w:szCs w:val="24"/>
        </w:rPr>
        <w:t xml:space="preserve"> </w:t>
      </w:r>
      <w:bookmarkStart w:id="8" w:name="_Hlk112080807"/>
    </w:p>
    <w:bookmarkEnd w:id="8"/>
    <w:p w14:paraId="43669CFA" w14:textId="72B097BD" w:rsidR="00EF32FA" w:rsidRDefault="000D73F7" w:rsidP="007A012F">
      <w:pPr>
        <w:rPr>
          <w:rFonts w:ascii="Times New Roman" w:hAnsi="Times New Roman" w:cs="Times New Roman"/>
          <w:sz w:val="24"/>
          <w:szCs w:val="24"/>
        </w:rPr>
      </w:pPr>
      <w:r w:rsidRPr="000D73F7">
        <w:rPr>
          <w:rFonts w:ascii="Times New Roman" w:hAnsi="Times New Roman" w:cs="Times New Roman"/>
          <w:sz w:val="24"/>
          <w:szCs w:val="24"/>
        </w:rPr>
        <w:t>The purpose of th</w:t>
      </w:r>
      <w:r w:rsidR="00D247A2">
        <w:rPr>
          <w:rFonts w:ascii="Times New Roman" w:hAnsi="Times New Roman" w:cs="Times New Roman"/>
          <w:sz w:val="24"/>
          <w:szCs w:val="24"/>
        </w:rPr>
        <w:t xml:space="preserve">is </w:t>
      </w:r>
      <w:r w:rsidRPr="000D73F7">
        <w:rPr>
          <w:rFonts w:ascii="Times New Roman" w:hAnsi="Times New Roman" w:cs="Times New Roman"/>
          <w:sz w:val="24"/>
          <w:szCs w:val="24"/>
        </w:rPr>
        <w:t>instrument is to revoke GPS 1</w:t>
      </w:r>
      <w:r w:rsidR="0044005B">
        <w:rPr>
          <w:rFonts w:ascii="Times New Roman" w:hAnsi="Times New Roman" w:cs="Times New Roman"/>
          <w:sz w:val="24"/>
          <w:szCs w:val="24"/>
        </w:rPr>
        <w:t>1</w:t>
      </w:r>
      <w:r w:rsidR="009D5574">
        <w:rPr>
          <w:rFonts w:ascii="Times New Roman" w:hAnsi="Times New Roman" w:cs="Times New Roman"/>
          <w:sz w:val="24"/>
          <w:szCs w:val="24"/>
        </w:rPr>
        <w:t>6</w:t>
      </w:r>
      <w:r w:rsidR="00D247A2">
        <w:rPr>
          <w:rFonts w:ascii="Times New Roman" w:hAnsi="Times New Roman" w:cs="Times New Roman"/>
          <w:sz w:val="24"/>
          <w:szCs w:val="24"/>
        </w:rPr>
        <w:t xml:space="preserve"> </w:t>
      </w:r>
      <w:r w:rsidRPr="000D73F7">
        <w:rPr>
          <w:rFonts w:ascii="Times New Roman" w:hAnsi="Times New Roman" w:cs="Times New Roman"/>
          <w:sz w:val="24"/>
          <w:szCs w:val="24"/>
        </w:rPr>
        <w:t xml:space="preserve">and replace </w:t>
      </w:r>
      <w:r w:rsidR="00D247A2">
        <w:rPr>
          <w:rFonts w:ascii="Times New Roman" w:hAnsi="Times New Roman" w:cs="Times New Roman"/>
          <w:sz w:val="24"/>
          <w:szCs w:val="24"/>
        </w:rPr>
        <w:t xml:space="preserve">it </w:t>
      </w:r>
      <w:r w:rsidRPr="000D73F7">
        <w:rPr>
          <w:rFonts w:ascii="Times New Roman" w:hAnsi="Times New Roman" w:cs="Times New Roman"/>
          <w:sz w:val="24"/>
          <w:szCs w:val="24"/>
        </w:rPr>
        <w:t xml:space="preserve">with </w:t>
      </w:r>
      <w:r w:rsidR="00D247A2">
        <w:rPr>
          <w:rFonts w:ascii="Times New Roman" w:hAnsi="Times New Roman" w:cs="Times New Roman"/>
          <w:sz w:val="24"/>
          <w:szCs w:val="24"/>
        </w:rPr>
        <w:t xml:space="preserve">a </w:t>
      </w:r>
      <w:r w:rsidRPr="000D73F7">
        <w:rPr>
          <w:rFonts w:ascii="Times New Roman" w:hAnsi="Times New Roman" w:cs="Times New Roman"/>
          <w:sz w:val="24"/>
          <w:szCs w:val="24"/>
        </w:rPr>
        <w:t>corresponding new version of the prudential standards incorporating the amendments.</w:t>
      </w:r>
      <w:r w:rsidR="00EF32FA">
        <w:rPr>
          <w:rFonts w:ascii="Times New Roman" w:hAnsi="Times New Roman" w:cs="Times New Roman"/>
          <w:sz w:val="24"/>
          <w:szCs w:val="24"/>
        </w:rPr>
        <w:t xml:space="preserve"> </w:t>
      </w:r>
    </w:p>
    <w:p w14:paraId="37A68077" w14:textId="52A0FF6E" w:rsidR="00D247A2" w:rsidRDefault="00EF32FA" w:rsidP="005B7D5C">
      <w:pPr>
        <w:rPr>
          <w:rFonts w:ascii="Times New Roman" w:hAnsi="Times New Roman" w:cs="Times New Roman"/>
          <w:sz w:val="24"/>
          <w:szCs w:val="24"/>
        </w:rPr>
      </w:pPr>
      <w:r>
        <w:rPr>
          <w:rFonts w:ascii="Times New Roman" w:hAnsi="Times New Roman" w:cs="Times New Roman"/>
          <w:sz w:val="24"/>
          <w:szCs w:val="24"/>
        </w:rPr>
        <w:t xml:space="preserve">This </w:t>
      </w:r>
      <w:r w:rsidR="00D247A2">
        <w:rPr>
          <w:rFonts w:ascii="Times New Roman" w:hAnsi="Times New Roman" w:cs="Times New Roman"/>
          <w:sz w:val="24"/>
          <w:szCs w:val="24"/>
        </w:rPr>
        <w:t>instrument make</w:t>
      </w:r>
      <w:r>
        <w:rPr>
          <w:rFonts w:ascii="Times New Roman" w:hAnsi="Times New Roman" w:cs="Times New Roman"/>
          <w:sz w:val="24"/>
          <w:szCs w:val="24"/>
        </w:rPr>
        <w:t>s</w:t>
      </w:r>
      <w:r w:rsidR="00D247A2">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00D247A2" w:rsidRPr="00334B5E">
        <w:rPr>
          <w:rFonts w:ascii="Times New Roman" w:hAnsi="Times New Roman" w:cs="Times New Roman"/>
          <w:sz w:val="24"/>
          <w:szCs w:val="24"/>
        </w:rPr>
        <w:t xml:space="preserve">he fundamental components </w:t>
      </w:r>
      <w:r w:rsidR="00D247A2">
        <w:rPr>
          <w:rFonts w:ascii="Times New Roman" w:hAnsi="Times New Roman" w:cs="Times New Roman"/>
          <w:sz w:val="24"/>
          <w:szCs w:val="24"/>
        </w:rPr>
        <w:t xml:space="preserve">or purpose </w:t>
      </w:r>
      <w:r w:rsidR="00D247A2" w:rsidRPr="00334B5E">
        <w:rPr>
          <w:rFonts w:ascii="Times New Roman" w:hAnsi="Times New Roman" w:cs="Times New Roman"/>
          <w:sz w:val="24"/>
          <w:szCs w:val="24"/>
        </w:rPr>
        <w:t xml:space="preserve">of each standard has not changed. </w:t>
      </w:r>
    </w:p>
    <w:p w14:paraId="5C225E0A" w14:textId="77777777" w:rsidR="005B7D5C" w:rsidRDefault="00E05792" w:rsidP="005B7D5C">
      <w:pPr>
        <w:pStyle w:val="heading0"/>
        <w:shd w:val="clear" w:color="auto" w:fill="FFFFFF"/>
        <w:jc w:val="both"/>
        <w:rPr>
          <w:rFonts w:eastAsiaTheme="minorHAnsi"/>
          <w:color w:val="000000"/>
          <w:lang w:eastAsia="en-US"/>
        </w:rPr>
      </w:pPr>
      <w:r w:rsidRPr="00E05792">
        <w:rPr>
          <w:rFonts w:eastAsiaTheme="minorHAnsi"/>
          <w:color w:val="000000"/>
          <w:lang w:eastAsia="en-US"/>
        </w:rPr>
        <w:t>GPS 116 sets out the method for calculating the Insurance Concentration Risk Charge,</w:t>
      </w:r>
      <w:r>
        <w:rPr>
          <w:rFonts w:eastAsiaTheme="minorHAnsi"/>
          <w:color w:val="000000"/>
          <w:lang w:eastAsia="en-US"/>
        </w:rPr>
        <w:t xml:space="preserve"> </w:t>
      </w:r>
      <w:r w:rsidRPr="00E05792">
        <w:rPr>
          <w:rFonts w:eastAsiaTheme="minorHAnsi"/>
          <w:color w:val="000000"/>
          <w:lang w:eastAsia="en-US"/>
        </w:rPr>
        <w:t>the minimum amount of capital a general insurer or Level 2 insurance group must</w:t>
      </w:r>
      <w:r>
        <w:rPr>
          <w:rFonts w:eastAsiaTheme="minorHAnsi"/>
          <w:color w:val="000000"/>
          <w:lang w:eastAsia="en-US"/>
        </w:rPr>
        <w:t xml:space="preserve"> </w:t>
      </w:r>
      <w:r w:rsidRPr="00E05792">
        <w:rPr>
          <w:rFonts w:eastAsiaTheme="minorHAnsi"/>
          <w:color w:val="000000"/>
          <w:lang w:eastAsia="en-US"/>
        </w:rPr>
        <w:t xml:space="preserve">hold against insurance concentration risks. </w:t>
      </w:r>
    </w:p>
    <w:p w14:paraId="00626187" w14:textId="0DB96410" w:rsidR="00A747BE" w:rsidRPr="00365B6A" w:rsidRDefault="00E05792" w:rsidP="00A747BE">
      <w:pPr>
        <w:pStyle w:val="heading0"/>
        <w:shd w:val="clear" w:color="auto" w:fill="FFFFFF"/>
        <w:jc w:val="both"/>
      </w:pPr>
      <w:r w:rsidRPr="00E05792">
        <w:rPr>
          <w:rFonts w:eastAsiaTheme="minorHAnsi"/>
          <w:color w:val="000000"/>
          <w:lang w:eastAsia="en-US"/>
        </w:rPr>
        <w:t>The Insurance Concentration Risk Charge</w:t>
      </w:r>
      <w:r>
        <w:rPr>
          <w:rFonts w:eastAsiaTheme="minorHAnsi"/>
          <w:color w:val="000000"/>
          <w:lang w:eastAsia="en-US"/>
        </w:rPr>
        <w:t xml:space="preserve"> </w:t>
      </w:r>
      <w:r w:rsidRPr="00E05792">
        <w:rPr>
          <w:rFonts w:eastAsiaTheme="minorHAnsi"/>
          <w:color w:val="000000"/>
          <w:lang w:eastAsia="en-US"/>
        </w:rPr>
        <w:t>is one of the components of the Standard Method for calculating the prescribed capital</w:t>
      </w:r>
      <w:r>
        <w:rPr>
          <w:rFonts w:eastAsiaTheme="minorHAnsi"/>
          <w:color w:val="000000"/>
          <w:lang w:eastAsia="en-US"/>
        </w:rPr>
        <w:t xml:space="preserve"> </w:t>
      </w:r>
      <w:r w:rsidR="00637D5B" w:rsidRPr="00E05792">
        <w:rPr>
          <w:rFonts w:eastAsiaTheme="minorHAnsi"/>
          <w:color w:val="000000"/>
          <w:lang w:eastAsia="en-US"/>
        </w:rPr>
        <w:t>amount and</w:t>
      </w:r>
      <w:r w:rsidRPr="00E05792">
        <w:rPr>
          <w:rFonts w:eastAsiaTheme="minorHAnsi"/>
          <w:color w:val="000000"/>
          <w:lang w:eastAsia="en-US"/>
        </w:rPr>
        <w:t xml:space="preserve"> relates to the risk of an adverse movement in the capital base due to a</w:t>
      </w:r>
      <w:r>
        <w:rPr>
          <w:rFonts w:eastAsiaTheme="minorHAnsi"/>
          <w:color w:val="000000"/>
          <w:lang w:eastAsia="en-US"/>
        </w:rPr>
        <w:t xml:space="preserve"> </w:t>
      </w:r>
      <w:r w:rsidRPr="00E05792">
        <w:rPr>
          <w:rFonts w:eastAsiaTheme="minorHAnsi"/>
          <w:color w:val="000000"/>
          <w:lang w:eastAsia="en-US"/>
        </w:rPr>
        <w:t>single large loss or series of losses.</w:t>
      </w:r>
    </w:p>
    <w:p w14:paraId="594424B3" w14:textId="77777777" w:rsidR="00A747BE" w:rsidRPr="00B929E5" w:rsidRDefault="00A747BE" w:rsidP="00A747BE">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2640CAC3" w14:textId="77777777" w:rsidR="00A747BE" w:rsidRPr="00B929E5" w:rsidRDefault="00A747BE" w:rsidP="00A747BE">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1EAF53A3" w14:textId="77777777" w:rsidR="00A747BE" w:rsidRPr="00B929E5" w:rsidRDefault="00A747BE" w:rsidP="00A747BE">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472861EA" w14:textId="77777777" w:rsidR="00A747BE" w:rsidRPr="00B929E5" w:rsidRDefault="00A747BE" w:rsidP="00A747BE">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734135B5" w14:textId="77777777" w:rsidR="00A747BE" w:rsidRPr="00B929E5" w:rsidRDefault="00A747BE" w:rsidP="00A747BE">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27B64995" w14:textId="77777777" w:rsidR="00A747BE" w:rsidRPr="00B929E5" w:rsidRDefault="00A747BE" w:rsidP="00A747BE">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1731911A" w14:textId="77777777" w:rsidR="00A747BE" w:rsidRPr="00B929E5" w:rsidRDefault="00A747BE" w:rsidP="00A747BE">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63986038" w14:textId="77777777" w:rsidR="00A747BE" w:rsidRPr="00B929E5" w:rsidRDefault="00A747BE" w:rsidP="00A747BE">
      <w:pPr>
        <w:numPr>
          <w:ilvl w:val="1"/>
          <w:numId w:val="2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67B03303" w14:textId="77777777" w:rsidR="00A747BE" w:rsidRPr="00B929E5" w:rsidRDefault="00A747BE" w:rsidP="00A747BE">
      <w:pPr>
        <w:numPr>
          <w:ilvl w:val="0"/>
          <w:numId w:val="2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6DA1DECA" w14:textId="77777777" w:rsidR="00A747BE" w:rsidRPr="00B929E5" w:rsidRDefault="00A747BE" w:rsidP="00A747BE">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75ECF061" w14:textId="77777777" w:rsidR="00A747BE" w:rsidRPr="00B929E5" w:rsidRDefault="00A747BE" w:rsidP="00A747BE">
      <w:pPr>
        <w:numPr>
          <w:ilvl w:val="0"/>
          <w:numId w:val="2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1DCEA2F7" w14:textId="77777777" w:rsidR="00A747BE" w:rsidRPr="00B929E5" w:rsidRDefault="00A747BE" w:rsidP="00A747BE">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1B4E9C99" w14:textId="77777777" w:rsidR="00A747BE" w:rsidRPr="00B929E5" w:rsidRDefault="00A747BE" w:rsidP="00A747BE">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31DA5C45" w14:textId="77777777" w:rsidR="00A747BE" w:rsidRPr="00B929E5" w:rsidRDefault="00A747BE" w:rsidP="00A747BE">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insurers to which the prudential standards apply. </w:t>
      </w:r>
    </w:p>
    <w:p w14:paraId="21128FDF" w14:textId="77777777" w:rsidR="00A747BE" w:rsidRPr="00B929E5" w:rsidRDefault="00A747BE" w:rsidP="00A747BE">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lastRenderedPageBreak/>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60261874" w14:textId="1C408139" w:rsidR="00A747BE" w:rsidRDefault="00A747BE" w:rsidP="00A747BE">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n</w:t>
      </w:r>
      <w:r w:rsidRPr="00B929E5">
        <w:rPr>
          <w:rFonts w:ascii="Times New Roman" w:hAnsi="Times New Roman" w:cs="Times New Roman"/>
          <w:sz w:val="24"/>
          <w:szCs w:val="24"/>
        </w:rPr>
        <w:t xml:space="preserve"> insurer must comply with the prudential standard. However, there are no penalties prescribed for such breaches. Instead, a</w:t>
      </w:r>
      <w:r>
        <w:rPr>
          <w:rFonts w:ascii="Times New Roman" w:hAnsi="Times New Roman" w:cs="Times New Roman"/>
          <w:sz w:val="24"/>
          <w:szCs w:val="24"/>
        </w:rPr>
        <w:t>n</w:t>
      </w:r>
      <w:r w:rsidRPr="00B929E5">
        <w:rPr>
          <w:rFonts w:ascii="Times New Roman" w:hAnsi="Times New Roman" w:cs="Times New Roman"/>
          <w:sz w:val="24"/>
          <w:szCs w:val="24"/>
        </w:rPr>
        <w:t xml:space="preserve"> insurer’s breach of a provision in the Act is grounds for APRA to make further, substantive decisions under the Act. </w:t>
      </w:r>
    </w:p>
    <w:p w14:paraId="71AA1F27" w14:textId="77777777" w:rsidR="00A747BE" w:rsidRDefault="00A747BE" w:rsidP="00A747BE">
      <w:pPr>
        <w:numPr>
          <w:ilvl w:val="0"/>
          <w:numId w:val="0"/>
        </w:numPr>
        <w:autoSpaceDE w:val="0"/>
        <w:autoSpaceDN w:val="0"/>
        <w:adjustRightInd w:val="0"/>
        <w:spacing w:after="0"/>
        <w:rPr>
          <w:rFonts w:ascii="Times New Roman" w:hAnsi="Times New Roman" w:cs="Times New Roman"/>
          <w:sz w:val="24"/>
          <w:szCs w:val="24"/>
        </w:rPr>
      </w:pPr>
    </w:p>
    <w:p w14:paraId="5759A1FD" w14:textId="6057EF3B" w:rsidR="00B25E6E" w:rsidRPr="00334B5E" w:rsidRDefault="00770FF9" w:rsidP="00B25E6E">
      <w:pPr>
        <w:numPr>
          <w:ilvl w:val="0"/>
          <w:numId w:val="0"/>
        </w:numPr>
        <w:autoSpaceDE w:val="0"/>
        <w:autoSpaceDN w:val="0"/>
        <w:adjustRightInd w:val="0"/>
        <w:spacing w:after="0"/>
        <w:jc w:val="left"/>
        <w:rPr>
          <w:rFonts w:ascii="Times New Roman" w:hAnsi="Times New Roman" w:cs="Times New Roman"/>
          <w:b/>
          <w:bCs/>
          <w:sz w:val="24"/>
          <w:szCs w:val="24"/>
        </w:rPr>
      </w:pPr>
      <w:r w:rsidRPr="00334B5E">
        <w:rPr>
          <w:rFonts w:ascii="Times New Roman" w:hAnsi="Times New Roman" w:cs="Times New Roman"/>
          <w:b/>
          <w:bCs/>
          <w:sz w:val="24"/>
          <w:szCs w:val="24"/>
        </w:rPr>
        <w:t>3</w:t>
      </w:r>
      <w:r w:rsidR="00B25E6E" w:rsidRPr="00334B5E">
        <w:rPr>
          <w:rFonts w:ascii="Times New Roman" w:hAnsi="Times New Roman" w:cs="Times New Roman"/>
          <w:b/>
          <w:bCs/>
          <w:sz w:val="24"/>
          <w:szCs w:val="24"/>
        </w:rPr>
        <w:t>. Consultation</w:t>
      </w:r>
    </w:p>
    <w:p w14:paraId="1053ECA3"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7E17B620" w14:textId="4E1E1260" w:rsidR="002A59E2" w:rsidRPr="00334B5E" w:rsidRDefault="00B25E6E" w:rsidP="00B25E6E">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w:t>
      </w:r>
      <w:r w:rsidR="00DD2971" w:rsidRPr="00334B5E">
        <w:rPr>
          <w:rFonts w:ascii="Times New Roman" w:hAnsi="Times New Roman" w:cs="Times New Roman"/>
          <w:sz w:val="24"/>
          <w:szCs w:val="24"/>
        </w:rPr>
        <w:t xml:space="preserve"> began its engagement with industry on AASB 17 in 2017</w:t>
      </w:r>
      <w:r w:rsidR="008310D2" w:rsidRPr="00334B5E">
        <w:rPr>
          <w:rFonts w:ascii="Times New Roman" w:hAnsi="Times New Roman" w:cs="Times New Roman"/>
          <w:sz w:val="24"/>
          <w:szCs w:val="24"/>
        </w:rPr>
        <w:t xml:space="preserve">, subsequent engagement has taken a range of forms </w:t>
      </w:r>
      <w:r w:rsidR="003F0DB2" w:rsidRPr="00334B5E">
        <w:rPr>
          <w:rFonts w:ascii="Times New Roman" w:hAnsi="Times New Roman" w:cs="Times New Roman"/>
          <w:sz w:val="24"/>
          <w:szCs w:val="24"/>
        </w:rPr>
        <w:t xml:space="preserve">including </w:t>
      </w:r>
      <w:r w:rsidR="008310D2" w:rsidRPr="00334B5E">
        <w:rPr>
          <w:rFonts w:ascii="Times New Roman" w:hAnsi="Times New Roman" w:cs="Times New Roman"/>
          <w:sz w:val="24"/>
          <w:szCs w:val="24"/>
        </w:rPr>
        <w:t xml:space="preserve">letters to industry, </w:t>
      </w:r>
      <w:r w:rsidR="00955091" w:rsidRPr="00334B5E">
        <w:rPr>
          <w:rFonts w:ascii="Times New Roman" w:hAnsi="Times New Roman" w:cs="Times New Roman"/>
          <w:sz w:val="24"/>
          <w:szCs w:val="24"/>
        </w:rPr>
        <w:t xml:space="preserve">information requests, </w:t>
      </w:r>
      <w:r w:rsidR="003F0DB2" w:rsidRPr="00334B5E">
        <w:rPr>
          <w:rFonts w:ascii="Times New Roman" w:hAnsi="Times New Roman" w:cs="Times New Roman"/>
          <w:sz w:val="24"/>
          <w:szCs w:val="24"/>
        </w:rPr>
        <w:t>quantitative impact studies</w:t>
      </w:r>
      <w:r w:rsidR="008310D2" w:rsidRPr="00334B5E">
        <w:rPr>
          <w:rFonts w:ascii="Times New Roman" w:hAnsi="Times New Roman" w:cs="Times New Roman"/>
          <w:sz w:val="24"/>
          <w:szCs w:val="24"/>
        </w:rPr>
        <w:t>,</w:t>
      </w:r>
      <w:r w:rsidR="00C77DCA" w:rsidRPr="00334B5E">
        <w:rPr>
          <w:rFonts w:ascii="Times New Roman" w:hAnsi="Times New Roman" w:cs="Times New Roman"/>
          <w:sz w:val="24"/>
          <w:szCs w:val="24"/>
        </w:rPr>
        <w:t xml:space="preserve"> and</w:t>
      </w:r>
      <w:r w:rsidR="002A59E2" w:rsidRPr="00334B5E">
        <w:rPr>
          <w:rFonts w:ascii="Times New Roman" w:hAnsi="Times New Roman" w:cs="Times New Roman"/>
          <w:sz w:val="24"/>
          <w:szCs w:val="24"/>
        </w:rPr>
        <w:t xml:space="preserve"> four rounds of consultation:</w:t>
      </w:r>
    </w:p>
    <w:p w14:paraId="610BF866" w14:textId="77777777" w:rsidR="002A59E2" w:rsidRPr="00334B5E" w:rsidRDefault="002A59E2" w:rsidP="00B25E6E">
      <w:pPr>
        <w:numPr>
          <w:ilvl w:val="0"/>
          <w:numId w:val="0"/>
        </w:numPr>
        <w:autoSpaceDE w:val="0"/>
        <w:autoSpaceDN w:val="0"/>
        <w:adjustRightInd w:val="0"/>
        <w:spacing w:after="0"/>
        <w:jc w:val="left"/>
        <w:rPr>
          <w:rFonts w:ascii="Times New Roman" w:hAnsi="Times New Roman" w:cs="Times New Roman"/>
          <w:sz w:val="24"/>
          <w:szCs w:val="24"/>
        </w:rPr>
      </w:pPr>
    </w:p>
    <w:p w14:paraId="341EDBC6" w14:textId="576F56BA" w:rsidR="002A59E2" w:rsidRPr="00334B5E" w:rsidRDefault="002A59E2"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 xml:space="preserve">September 2019 – </w:t>
      </w:r>
      <w:r w:rsidR="00741B4B">
        <w:rPr>
          <w:rFonts w:ascii="Times New Roman" w:hAnsi="Times New Roman" w:cs="Times New Roman"/>
          <w:sz w:val="24"/>
          <w:szCs w:val="24"/>
        </w:rPr>
        <w:t xml:space="preserve">Letter </w:t>
      </w:r>
      <w:proofErr w:type="gramStart"/>
      <w:r w:rsidR="00741B4B">
        <w:rPr>
          <w:rFonts w:ascii="Times New Roman" w:hAnsi="Times New Roman" w:cs="Times New Roman"/>
          <w:sz w:val="24"/>
          <w:szCs w:val="24"/>
        </w:rPr>
        <w:t xml:space="preserve">issued </w:t>
      </w:r>
      <w:r w:rsidRPr="00334B5E">
        <w:rPr>
          <w:rFonts w:ascii="Times New Roman" w:hAnsi="Times New Roman" w:cs="Times New Roman"/>
          <w:sz w:val="24"/>
          <w:szCs w:val="24"/>
        </w:rPr>
        <w:t xml:space="preserve"> outlining</w:t>
      </w:r>
      <w:proofErr w:type="gramEnd"/>
      <w:r w:rsidRPr="00334B5E">
        <w:rPr>
          <w:rFonts w:ascii="Times New Roman" w:hAnsi="Times New Roman" w:cs="Times New Roman"/>
          <w:sz w:val="24"/>
          <w:szCs w:val="24"/>
        </w:rPr>
        <w:t xml:space="preserve"> APRA’s proposed directions and information request on preparedness</w:t>
      </w:r>
      <w:r w:rsidR="00E97CBA" w:rsidRPr="00334B5E">
        <w:rPr>
          <w:rFonts w:ascii="Times New Roman" w:hAnsi="Times New Roman" w:cs="Times New Roman"/>
          <w:sz w:val="24"/>
          <w:szCs w:val="24"/>
        </w:rPr>
        <w:t>;</w:t>
      </w:r>
    </w:p>
    <w:p w14:paraId="3ED441E4" w14:textId="1AB819A6"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334B5E">
        <w:rPr>
          <w:rFonts w:ascii="Times New Roman" w:hAnsi="Times New Roman" w:cs="Times New Roman"/>
          <w:sz w:val="24"/>
          <w:szCs w:val="24"/>
        </w:rPr>
        <w:t>’</w:t>
      </w:r>
      <w:r w:rsidR="00E97CBA" w:rsidRPr="00334B5E">
        <w:rPr>
          <w:rFonts w:ascii="Times New Roman" w:hAnsi="Times New Roman" w:cs="Times New Roman"/>
          <w:sz w:val="24"/>
          <w:szCs w:val="24"/>
        </w:rPr>
        <w:t>;</w:t>
      </w:r>
      <w:proofErr w:type="gramEnd"/>
    </w:p>
    <w:p w14:paraId="6C9CA6DF" w14:textId="0F6AB3DE" w:rsidR="002A59E2" w:rsidRPr="00334B5E" w:rsidRDefault="00286878" w:rsidP="002A59E2">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December 2021 – Response paper ‘Integrating AASB 17 into the capital and reporting framework for insurers and updates to the LAGIC framework’</w:t>
      </w:r>
      <w:r w:rsidR="00E97CBA" w:rsidRPr="00334B5E">
        <w:rPr>
          <w:rFonts w:ascii="Times New Roman" w:hAnsi="Times New Roman" w:cs="Times New Roman"/>
          <w:sz w:val="24"/>
          <w:szCs w:val="24"/>
        </w:rPr>
        <w:t>; and</w:t>
      </w:r>
    </w:p>
    <w:p w14:paraId="365AE49E" w14:textId="0B83154E" w:rsidR="00E97CBA" w:rsidRPr="00334B5E" w:rsidRDefault="00E97CBA" w:rsidP="00E97CBA">
      <w:pPr>
        <w:pStyle w:val="ListParagraph"/>
        <w:numPr>
          <w:ilvl w:val="0"/>
          <w:numId w:val="24"/>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18315017" w14:textId="77777777" w:rsidR="00E97CBA" w:rsidRPr="00334B5E" w:rsidRDefault="00E97CBA" w:rsidP="00B25E6E">
      <w:pPr>
        <w:numPr>
          <w:ilvl w:val="0"/>
          <w:numId w:val="0"/>
        </w:numPr>
        <w:autoSpaceDE w:val="0"/>
        <w:autoSpaceDN w:val="0"/>
        <w:adjustRightInd w:val="0"/>
        <w:spacing w:after="0"/>
        <w:jc w:val="left"/>
        <w:rPr>
          <w:rFonts w:ascii="Times New Roman" w:hAnsi="Times New Roman" w:cs="Times New Roman"/>
          <w:sz w:val="24"/>
          <w:szCs w:val="24"/>
        </w:rPr>
      </w:pPr>
    </w:p>
    <w:p w14:paraId="34D46C1E" w14:textId="2881A551" w:rsidR="00133578" w:rsidRPr="00334B5E" w:rsidRDefault="00955091"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Significant stakeholder feedback was received by APRA over each round of consultations. Submissions were broadly supportive of APRA’s direction to align the prudential framework with AASB 17.</w:t>
      </w:r>
    </w:p>
    <w:p w14:paraId="4D3E0900" w14:textId="2EAFF4BF" w:rsidR="002405DE" w:rsidRPr="00334B5E" w:rsidRDefault="002405DE" w:rsidP="0006638F">
      <w:pPr>
        <w:numPr>
          <w:ilvl w:val="0"/>
          <w:numId w:val="0"/>
        </w:numPr>
        <w:rPr>
          <w:rFonts w:ascii="Times New Roman" w:hAnsi="Times New Roman" w:cs="Times New Roman"/>
          <w:sz w:val="24"/>
          <w:szCs w:val="24"/>
        </w:rPr>
      </w:pPr>
      <w:r w:rsidRPr="00334B5E">
        <w:rPr>
          <w:rFonts w:ascii="Times New Roman" w:hAnsi="Times New Roman" w:cs="Times New Roman"/>
          <w:sz w:val="24"/>
          <w:szCs w:val="24"/>
        </w:rPr>
        <w:t xml:space="preserve">APRA is satisfied </w:t>
      </w:r>
      <w:r w:rsidR="00CC2EB3">
        <w:rPr>
          <w:rFonts w:ascii="Times New Roman" w:hAnsi="Times New Roman" w:cs="Times New Roman"/>
          <w:sz w:val="24"/>
          <w:szCs w:val="24"/>
        </w:rPr>
        <w:t>the consultation was appropriate and reasonably practicable.</w:t>
      </w:r>
    </w:p>
    <w:p w14:paraId="1D2864CC" w14:textId="6FA9D0F3" w:rsidR="00211AFD" w:rsidRPr="00770FF9" w:rsidRDefault="00B670E9" w:rsidP="00211AFD">
      <w:pPr>
        <w:numPr>
          <w:ilvl w:val="0"/>
          <w:numId w:val="0"/>
        </w:numPr>
        <w:rPr>
          <w:rFonts w:ascii="Times New Roman" w:hAnsi="Times New Roman" w:cs="Times New Roman"/>
          <w:b/>
          <w:sz w:val="24"/>
          <w:szCs w:val="24"/>
        </w:rPr>
      </w:pPr>
      <w:r w:rsidRPr="00770FF9">
        <w:rPr>
          <w:rFonts w:ascii="Times New Roman" w:hAnsi="Times New Roman" w:cs="Times New Roman"/>
          <w:b/>
          <w:sz w:val="24"/>
          <w:szCs w:val="24"/>
        </w:rPr>
        <w:t>4.</w:t>
      </w:r>
      <w:r w:rsidRPr="00770FF9">
        <w:rPr>
          <w:rFonts w:ascii="Times New Roman" w:hAnsi="Times New Roman" w:cs="Times New Roman"/>
          <w:b/>
          <w:sz w:val="24"/>
          <w:szCs w:val="24"/>
        </w:rPr>
        <w:tab/>
      </w:r>
      <w:bookmarkStart w:id="9" w:name="_Hlk127283454"/>
      <w:r w:rsidR="00BD64ED" w:rsidRPr="00770FF9">
        <w:rPr>
          <w:rFonts w:ascii="Times New Roman" w:hAnsi="Times New Roman" w:cs="Times New Roman"/>
          <w:b/>
          <w:sz w:val="24"/>
          <w:szCs w:val="24"/>
        </w:rPr>
        <w:t>Impact Analysis (IA)</w:t>
      </w:r>
      <w:bookmarkEnd w:id="9"/>
    </w:p>
    <w:p w14:paraId="77477DFC" w14:textId="10AFEA12" w:rsidR="00B7401A" w:rsidRPr="00770FF9" w:rsidRDefault="00DD2971" w:rsidP="00211AFD">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476EB71B" w14:textId="17812B34" w:rsidR="00B670E9" w:rsidRPr="00770FF9" w:rsidRDefault="00B670E9" w:rsidP="003163CB">
      <w:pPr>
        <w:pStyle w:val="Heading"/>
        <w:spacing w:before="0" w:after="240"/>
        <w:jc w:val="both"/>
        <w:rPr>
          <w:rFonts w:cs="Times New Roman"/>
          <w:i/>
          <w:sz w:val="24"/>
          <w:szCs w:val="24"/>
        </w:rPr>
      </w:pPr>
      <w:r w:rsidRPr="00770FF9">
        <w:rPr>
          <w:rFonts w:cs="Times New Roman"/>
          <w:sz w:val="24"/>
          <w:szCs w:val="24"/>
        </w:rPr>
        <w:t>5.</w:t>
      </w:r>
      <w:r w:rsidRPr="00770FF9">
        <w:rPr>
          <w:rFonts w:cs="Times New Roman"/>
          <w:sz w:val="24"/>
          <w:szCs w:val="24"/>
        </w:rPr>
        <w:tab/>
        <w:t xml:space="preserve">Statement of compatibility prepared in accordance with Part 3 of the </w:t>
      </w:r>
      <w:r w:rsidRPr="00770FF9">
        <w:rPr>
          <w:rFonts w:cs="Times New Roman"/>
          <w:i/>
          <w:sz w:val="24"/>
          <w:szCs w:val="24"/>
        </w:rPr>
        <w:t>Human Rights (Parliamentary Scrutiny) Act 2011</w:t>
      </w:r>
    </w:p>
    <w:p w14:paraId="7D7364B1" w14:textId="77777777" w:rsidR="00B670E9" w:rsidRPr="00770FF9" w:rsidRDefault="00B670E9" w:rsidP="00B670E9">
      <w:pPr>
        <w:pStyle w:val="Heading"/>
        <w:spacing w:before="0" w:after="240"/>
        <w:jc w:val="both"/>
        <w:rPr>
          <w:rFonts w:cs="Times New Roman"/>
          <w:b w:val="0"/>
          <w:kern w:val="0"/>
          <w:sz w:val="24"/>
          <w:szCs w:val="24"/>
          <w:lang w:val="en-GB"/>
        </w:rPr>
      </w:pPr>
      <w:r w:rsidRPr="00770FF9">
        <w:rPr>
          <w:rFonts w:cs="Times New Roman"/>
          <w:b w:val="0"/>
          <w:kern w:val="0"/>
          <w:sz w:val="24"/>
          <w:szCs w:val="24"/>
          <w:lang w:val="en-GB"/>
        </w:rPr>
        <w:t xml:space="preserve">A Statement of compatibility prepared in accordance with Part 3 of the </w:t>
      </w:r>
      <w:r w:rsidRPr="00770FF9">
        <w:rPr>
          <w:rFonts w:cs="Times New Roman"/>
          <w:b w:val="0"/>
          <w:i/>
          <w:sz w:val="24"/>
          <w:szCs w:val="24"/>
          <w:lang w:val="en-GB"/>
        </w:rPr>
        <w:t>Human Rights (Parliamentary Scrutiny) Act 2011</w:t>
      </w:r>
      <w:r w:rsidRPr="00770FF9">
        <w:rPr>
          <w:rFonts w:cs="Times New Roman"/>
          <w:b w:val="0"/>
          <w:kern w:val="0"/>
          <w:sz w:val="24"/>
          <w:szCs w:val="24"/>
          <w:lang w:val="en-GB"/>
        </w:rPr>
        <w:t xml:space="preserve"> is provided at Attachment A to this Explanatory Statement.</w:t>
      </w:r>
    </w:p>
    <w:p w14:paraId="06190B02" w14:textId="34819669" w:rsidR="00B670E9" w:rsidRPr="00770FF9" w:rsidRDefault="00B670E9" w:rsidP="00A34ADD">
      <w:pPr>
        <w:rPr>
          <w:rFonts w:ascii="Times New Roman" w:hAnsi="Times New Roman" w:cs="Times New Roman"/>
          <w:sz w:val="24"/>
          <w:szCs w:val="24"/>
        </w:rPr>
      </w:pPr>
      <w:r w:rsidRPr="00770FF9">
        <w:rPr>
          <w:rFonts w:ascii="Times New Roman" w:hAnsi="Times New Roman" w:cs="Times New Roman"/>
          <w:sz w:val="24"/>
          <w:szCs w:val="24"/>
        </w:rPr>
        <w:br w:type="page"/>
      </w:r>
    </w:p>
    <w:p w14:paraId="00B6ED2A"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lang w:val="en-GB"/>
        </w:rPr>
        <w:lastRenderedPageBreak/>
        <w:t>ATTACHMENT A</w:t>
      </w:r>
    </w:p>
    <w:p w14:paraId="04B51A0F" w14:textId="77777777" w:rsidR="00B670E9" w:rsidRPr="00770FF9" w:rsidRDefault="00B670E9" w:rsidP="00B670E9">
      <w:pPr>
        <w:pStyle w:val="Heading"/>
        <w:keepNext w:val="0"/>
        <w:spacing w:before="0" w:after="240"/>
        <w:jc w:val="center"/>
        <w:rPr>
          <w:rFonts w:cs="Times New Roman"/>
          <w:sz w:val="24"/>
          <w:szCs w:val="24"/>
        </w:rPr>
      </w:pPr>
      <w:r w:rsidRPr="00770FF9">
        <w:rPr>
          <w:rFonts w:cs="Times New Roman"/>
          <w:sz w:val="24"/>
          <w:szCs w:val="24"/>
        </w:rPr>
        <w:t>Statement of Compatibility with Human Rights</w:t>
      </w:r>
    </w:p>
    <w:p w14:paraId="32B574F6" w14:textId="77777777" w:rsidR="00B670E9" w:rsidRPr="00770FF9" w:rsidRDefault="00B670E9" w:rsidP="00B670E9">
      <w:pPr>
        <w:pStyle w:val="Heading1"/>
        <w:jc w:val="center"/>
        <w:rPr>
          <w:rFonts w:ascii="Times New Roman" w:hAnsi="Times New Roman" w:cs="Times New Roman"/>
          <w:b w:val="0"/>
          <w:i/>
          <w:sz w:val="24"/>
          <w:szCs w:val="24"/>
        </w:rPr>
      </w:pPr>
      <w:r w:rsidRPr="00770FF9">
        <w:rPr>
          <w:rFonts w:ascii="Times New Roman" w:hAnsi="Times New Roman" w:cs="Times New Roman"/>
          <w:b w:val="0"/>
          <w:sz w:val="24"/>
          <w:szCs w:val="24"/>
        </w:rPr>
        <w:t xml:space="preserve">Prepared in accordance with Part 3 of the </w:t>
      </w:r>
      <w:r w:rsidRPr="00770FF9">
        <w:rPr>
          <w:rFonts w:ascii="Times New Roman" w:hAnsi="Times New Roman" w:cs="Times New Roman"/>
          <w:b w:val="0"/>
          <w:i/>
          <w:sz w:val="24"/>
          <w:szCs w:val="24"/>
        </w:rPr>
        <w:t>Human Rights (Parliamentary Scrutiny) Act 2011</w:t>
      </w:r>
    </w:p>
    <w:p w14:paraId="302C56B4" w14:textId="1E18798B" w:rsidR="00B670E9" w:rsidRPr="00770FF9" w:rsidRDefault="001C7A1C" w:rsidP="00B670E9">
      <w:pPr>
        <w:jc w:val="center"/>
        <w:rPr>
          <w:rFonts w:ascii="Times New Roman" w:eastAsia="Times New Roman" w:hAnsi="Times New Roman" w:cs="Times New Roman"/>
          <w:b/>
          <w:sz w:val="24"/>
          <w:szCs w:val="24"/>
          <w:lang w:eastAsia="en-AU"/>
        </w:rPr>
      </w:pPr>
      <w:r w:rsidRPr="00770FF9">
        <w:rPr>
          <w:rFonts w:ascii="Times New Roman" w:eastAsia="Times New Roman" w:hAnsi="Times New Roman" w:cs="Times New Roman"/>
          <w:b/>
          <w:sz w:val="24"/>
          <w:szCs w:val="24"/>
          <w:lang w:eastAsia="en-AU"/>
        </w:rPr>
        <w:t>I</w:t>
      </w:r>
      <w:r w:rsidR="00B670E9" w:rsidRPr="00770FF9">
        <w:rPr>
          <w:rFonts w:ascii="Times New Roman" w:eastAsia="Times New Roman" w:hAnsi="Times New Roman" w:cs="Times New Roman"/>
          <w:b/>
          <w:sz w:val="24"/>
          <w:szCs w:val="24"/>
          <w:lang w:eastAsia="en-AU"/>
        </w:rPr>
        <w:t xml:space="preserve">nsurance (prudential standard) determination No. </w:t>
      </w:r>
      <w:r w:rsidR="00444B56">
        <w:rPr>
          <w:rFonts w:ascii="Times New Roman" w:eastAsia="Times New Roman" w:hAnsi="Times New Roman" w:cs="Times New Roman"/>
          <w:b/>
          <w:sz w:val="24"/>
          <w:szCs w:val="24"/>
          <w:lang w:eastAsia="en-AU"/>
        </w:rPr>
        <w:t>6</w:t>
      </w:r>
      <w:r w:rsidR="0025287F" w:rsidRPr="00770FF9">
        <w:rPr>
          <w:rFonts w:ascii="Times New Roman" w:eastAsia="Times New Roman" w:hAnsi="Times New Roman" w:cs="Times New Roman"/>
          <w:b/>
          <w:sz w:val="24"/>
          <w:szCs w:val="24"/>
          <w:lang w:eastAsia="en-AU"/>
        </w:rPr>
        <w:t xml:space="preserve"> of 202</w:t>
      </w:r>
      <w:r w:rsidR="00192668" w:rsidRPr="00770FF9">
        <w:rPr>
          <w:rFonts w:ascii="Times New Roman" w:eastAsia="Times New Roman" w:hAnsi="Times New Roman" w:cs="Times New Roman"/>
          <w:b/>
          <w:sz w:val="24"/>
          <w:szCs w:val="24"/>
          <w:lang w:eastAsia="en-AU"/>
        </w:rPr>
        <w:t>3</w:t>
      </w:r>
    </w:p>
    <w:p w14:paraId="06CCC3E0" w14:textId="383BDB97"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s Legislative Instrument</w:t>
      </w:r>
      <w:r w:rsidR="00497D8A" w:rsidRPr="00770FF9">
        <w:rPr>
          <w:rFonts w:ascii="Times New Roman" w:hAnsi="Times New Roman" w:cs="Times New Roman"/>
          <w:sz w:val="24"/>
          <w:szCs w:val="24"/>
        </w:rPr>
        <w:t xml:space="preserve"> is</w:t>
      </w:r>
      <w:r w:rsidRPr="00770FF9">
        <w:rPr>
          <w:rFonts w:ascii="Times New Roman" w:hAnsi="Times New Roman" w:cs="Times New Roman"/>
          <w:sz w:val="24"/>
          <w:szCs w:val="24"/>
        </w:rPr>
        <w:t xml:space="preserve"> compatible with the human rights and freedoms recognised or declared in the international instrument listed in section 3 of the </w:t>
      </w:r>
      <w:r w:rsidRPr="00770FF9">
        <w:rPr>
          <w:rFonts w:ascii="Times New Roman" w:hAnsi="Times New Roman" w:cs="Times New Roman"/>
          <w:i/>
          <w:sz w:val="24"/>
          <w:szCs w:val="24"/>
        </w:rPr>
        <w:t>Human Rights (Parliamentary Scrutiny) Act 2011</w:t>
      </w:r>
      <w:r w:rsidRPr="00770FF9">
        <w:rPr>
          <w:rFonts w:ascii="Times New Roman" w:hAnsi="Times New Roman" w:cs="Times New Roman"/>
          <w:sz w:val="24"/>
          <w:szCs w:val="24"/>
        </w:rPr>
        <w:t xml:space="preserve"> (HRPS Act).</w:t>
      </w:r>
    </w:p>
    <w:p w14:paraId="78831E52" w14:textId="31404BF6"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b/>
          <w:sz w:val="24"/>
          <w:szCs w:val="24"/>
        </w:rPr>
        <w:t>Overview of the Legislative Instrument</w:t>
      </w:r>
    </w:p>
    <w:p w14:paraId="054ED2F7" w14:textId="21B7676D" w:rsidR="00D966DF" w:rsidRPr="00770FF9" w:rsidRDefault="00497D8A" w:rsidP="003F6AAF">
      <w:pPr>
        <w:rPr>
          <w:rFonts w:ascii="Times New Roman" w:hAnsi="Times New Roman" w:cs="Times New Roman"/>
          <w:sz w:val="24"/>
          <w:szCs w:val="24"/>
        </w:rPr>
      </w:pPr>
      <w:r w:rsidRPr="00770FF9">
        <w:rPr>
          <w:rFonts w:ascii="Times New Roman" w:hAnsi="Times New Roman" w:cs="Times New Roman"/>
          <w:sz w:val="24"/>
          <w:szCs w:val="24"/>
        </w:rPr>
        <w:t>The purpose of the</w:t>
      </w:r>
      <w:r w:rsidR="00955091" w:rsidRPr="00770FF9">
        <w:rPr>
          <w:rFonts w:ascii="Times New Roman" w:hAnsi="Times New Roman" w:cs="Times New Roman"/>
          <w:sz w:val="24"/>
          <w:szCs w:val="24"/>
        </w:rPr>
        <w:t xml:space="preserve">se instruments is to revoke, </w:t>
      </w:r>
      <w:r w:rsidR="009D5574" w:rsidRPr="009D5574">
        <w:rPr>
          <w:rFonts w:ascii="Times New Roman" w:hAnsi="Times New Roman" w:cs="Times New Roman"/>
          <w:i/>
          <w:sz w:val="24"/>
          <w:szCs w:val="24"/>
        </w:rPr>
        <w:t xml:space="preserve">Prudential Standard GPS 116 Capital Adequacy: Insurance Concentration Risk Charge </w:t>
      </w:r>
      <w:r w:rsidR="00D966DF" w:rsidRPr="00770FF9">
        <w:rPr>
          <w:rFonts w:ascii="Times New Roman" w:hAnsi="Times New Roman" w:cs="Times New Roman"/>
          <w:sz w:val="24"/>
          <w:szCs w:val="24"/>
        </w:rPr>
        <w:t xml:space="preserve">and replace </w:t>
      </w:r>
      <w:r w:rsidR="00C94C9C">
        <w:rPr>
          <w:rFonts w:ascii="Times New Roman" w:hAnsi="Times New Roman" w:cs="Times New Roman"/>
          <w:sz w:val="24"/>
          <w:szCs w:val="24"/>
        </w:rPr>
        <w:t xml:space="preserve">it </w:t>
      </w:r>
      <w:r w:rsidR="00D966DF" w:rsidRPr="00770FF9">
        <w:rPr>
          <w:rFonts w:ascii="Times New Roman" w:hAnsi="Times New Roman" w:cs="Times New Roman"/>
          <w:sz w:val="24"/>
          <w:szCs w:val="24"/>
        </w:rPr>
        <w:t xml:space="preserve">with </w:t>
      </w:r>
      <w:r w:rsidR="00C94C9C">
        <w:rPr>
          <w:rFonts w:ascii="Times New Roman" w:hAnsi="Times New Roman" w:cs="Times New Roman"/>
          <w:sz w:val="24"/>
          <w:szCs w:val="24"/>
        </w:rPr>
        <w:t xml:space="preserve">a </w:t>
      </w:r>
      <w:r w:rsidR="00D966DF" w:rsidRPr="00770FF9">
        <w:rPr>
          <w:rFonts w:ascii="Times New Roman" w:hAnsi="Times New Roman" w:cs="Times New Roman"/>
          <w:sz w:val="24"/>
          <w:szCs w:val="24"/>
        </w:rPr>
        <w:t xml:space="preserve">new version of the corresponding </w:t>
      </w:r>
      <w:r w:rsidR="001657DE" w:rsidRPr="006A77D9">
        <w:rPr>
          <w:rFonts w:ascii="Times New Roman" w:hAnsi="Times New Roman" w:cs="Times New Roman"/>
          <w:sz w:val="24"/>
          <w:szCs w:val="24"/>
        </w:rPr>
        <w:t>prudential standards with the appropriate amendments</w:t>
      </w:r>
      <w:r w:rsidR="00D966DF" w:rsidRPr="00770FF9">
        <w:rPr>
          <w:rFonts w:ascii="Times New Roman" w:hAnsi="Times New Roman" w:cs="Times New Roman"/>
          <w:sz w:val="24"/>
          <w:szCs w:val="24"/>
        </w:rPr>
        <w:t xml:space="preserve">. </w:t>
      </w:r>
    </w:p>
    <w:p w14:paraId="2AD2EE4E" w14:textId="06C1CB7A" w:rsidR="00757385" w:rsidRPr="00770FF9" w:rsidRDefault="003F6AAF" w:rsidP="00C24C8E">
      <w:pPr>
        <w:numPr>
          <w:ilvl w:val="0"/>
          <w:numId w:val="0"/>
        </w:numPr>
        <w:rPr>
          <w:rFonts w:ascii="Times New Roman" w:hAnsi="Times New Roman" w:cs="Times New Roman"/>
          <w:sz w:val="24"/>
          <w:szCs w:val="24"/>
        </w:rPr>
      </w:pPr>
      <w:r w:rsidRPr="00770FF9">
        <w:rPr>
          <w:rFonts w:ascii="Times New Roman" w:hAnsi="Times New Roman" w:cs="Times New Roman"/>
          <w:sz w:val="24"/>
          <w:szCs w:val="24"/>
        </w:rPr>
        <w:t>These instruments</w:t>
      </w:r>
      <w:r w:rsidR="00757385" w:rsidRPr="00770FF9">
        <w:rPr>
          <w:rFonts w:ascii="Times New Roman" w:hAnsi="Times New Roman" w:cs="Times New Roman"/>
          <w:sz w:val="24"/>
          <w:szCs w:val="24"/>
        </w:rPr>
        <w:t xml:space="preserve"> ensure that insurers are not subject to undue regulatory burden with the introduction of AASB 17 and set</w:t>
      </w:r>
      <w:r w:rsidR="00C811DC" w:rsidRPr="00770FF9">
        <w:rPr>
          <w:rFonts w:ascii="Times New Roman" w:hAnsi="Times New Roman" w:cs="Times New Roman"/>
          <w:sz w:val="24"/>
          <w:szCs w:val="24"/>
        </w:rPr>
        <w:t>s</w:t>
      </w:r>
      <w:r w:rsidR="00757385" w:rsidRPr="00770FF9">
        <w:rPr>
          <w:rFonts w:ascii="Times New Roman" w:hAnsi="Times New Roman" w:cs="Times New Roman"/>
          <w:sz w:val="24"/>
          <w:szCs w:val="24"/>
        </w:rPr>
        <w:t xml:space="preserve"> up the </w:t>
      </w:r>
      <w:r w:rsidR="00334B5E">
        <w:rPr>
          <w:rFonts w:ascii="Times New Roman" w:hAnsi="Times New Roman" w:cs="Times New Roman"/>
          <w:sz w:val="24"/>
          <w:szCs w:val="24"/>
        </w:rPr>
        <w:t xml:space="preserve">insurance </w:t>
      </w:r>
      <w:r w:rsidR="00757385" w:rsidRPr="00770FF9">
        <w:rPr>
          <w:rFonts w:ascii="Times New Roman" w:hAnsi="Times New Roman" w:cs="Times New Roman"/>
          <w:sz w:val="24"/>
          <w:szCs w:val="24"/>
        </w:rPr>
        <w:t xml:space="preserve">prudential framework to remain fit for purpose into the future.   </w:t>
      </w:r>
    </w:p>
    <w:p w14:paraId="010F0382" w14:textId="77777777" w:rsidR="00B670E9" w:rsidRPr="00770FF9" w:rsidRDefault="00B670E9" w:rsidP="00497D8A">
      <w:pPr>
        <w:rPr>
          <w:rFonts w:ascii="Times New Roman" w:hAnsi="Times New Roman" w:cs="Times New Roman"/>
          <w:sz w:val="24"/>
          <w:szCs w:val="24"/>
        </w:rPr>
      </w:pPr>
      <w:r w:rsidRPr="00770FF9">
        <w:rPr>
          <w:rFonts w:ascii="Times New Roman" w:hAnsi="Times New Roman" w:cs="Times New Roman"/>
          <w:b/>
          <w:sz w:val="24"/>
          <w:szCs w:val="24"/>
        </w:rPr>
        <w:t>Human rights implications</w:t>
      </w:r>
    </w:p>
    <w:p w14:paraId="23D2FE0E" w14:textId="327649EF" w:rsidR="009136D0" w:rsidRPr="00770FF9" w:rsidRDefault="009136D0" w:rsidP="00B670E9">
      <w:pPr>
        <w:rPr>
          <w:rFonts w:ascii="Times New Roman" w:eastAsia="Times New Roman" w:hAnsi="Times New Roman" w:cs="Times New Roman"/>
          <w:iCs/>
          <w:sz w:val="24"/>
          <w:szCs w:val="24"/>
          <w:lang w:eastAsia="en-AU"/>
        </w:rPr>
      </w:pPr>
      <w:r w:rsidRPr="00770FF9">
        <w:rPr>
          <w:rFonts w:ascii="Times New Roman" w:eastAsia="Times New Roman" w:hAnsi="Times New Roman" w:cs="Times New Roman"/>
          <w:iCs/>
          <w:sz w:val="24"/>
          <w:szCs w:val="24"/>
          <w:lang w:eastAsia="en-AU"/>
        </w:rPr>
        <w:t xml:space="preserve">APRA has assessed the Legislative Instrument and is of the view that </w:t>
      </w:r>
      <w:r w:rsidR="00923828" w:rsidRPr="00770FF9">
        <w:rPr>
          <w:rFonts w:ascii="Times New Roman" w:eastAsia="Times New Roman" w:hAnsi="Times New Roman" w:cs="Times New Roman"/>
          <w:iCs/>
          <w:sz w:val="24"/>
          <w:szCs w:val="24"/>
          <w:lang w:eastAsia="en-AU"/>
        </w:rPr>
        <w:t>it</w:t>
      </w:r>
      <w:r w:rsidRPr="00770FF9">
        <w:rPr>
          <w:rFonts w:ascii="Times New Roman" w:eastAsia="Times New Roman" w:hAnsi="Times New Roman" w:cs="Times New Roman"/>
          <w:iCs/>
          <w:sz w:val="24"/>
          <w:szCs w:val="24"/>
          <w:lang w:eastAsia="en-AU"/>
        </w:rPr>
        <w:t xml:space="preserve"> do</w:t>
      </w:r>
      <w:r w:rsidR="00923828" w:rsidRPr="00770FF9">
        <w:rPr>
          <w:rFonts w:ascii="Times New Roman" w:eastAsia="Times New Roman" w:hAnsi="Times New Roman" w:cs="Times New Roman"/>
          <w:iCs/>
          <w:sz w:val="24"/>
          <w:szCs w:val="24"/>
          <w:lang w:eastAsia="en-AU"/>
        </w:rPr>
        <w:t>es</w:t>
      </w:r>
      <w:r w:rsidRPr="00770FF9">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sidRPr="00770FF9">
        <w:rPr>
          <w:rFonts w:ascii="Times New Roman" w:eastAsia="Times New Roman" w:hAnsi="Times New Roman" w:cs="Times New Roman"/>
          <w:iCs/>
          <w:sz w:val="24"/>
          <w:szCs w:val="24"/>
          <w:lang w:eastAsia="en-AU"/>
        </w:rPr>
        <w:t>is</w:t>
      </w:r>
      <w:r w:rsidRPr="00770FF9">
        <w:rPr>
          <w:rFonts w:ascii="Times New Roman" w:eastAsia="Times New Roman" w:hAnsi="Times New Roman" w:cs="Times New Roman"/>
          <w:iCs/>
          <w:sz w:val="24"/>
          <w:szCs w:val="24"/>
          <w:lang w:eastAsia="en-AU"/>
        </w:rPr>
        <w:t xml:space="preserve"> compatible with human rights. </w:t>
      </w:r>
    </w:p>
    <w:p w14:paraId="64D4EEBE" w14:textId="77777777" w:rsidR="00B670E9" w:rsidRPr="00770FF9" w:rsidRDefault="00B670E9" w:rsidP="00B670E9">
      <w:pPr>
        <w:rPr>
          <w:rFonts w:ascii="Times New Roman" w:hAnsi="Times New Roman" w:cs="Times New Roman"/>
          <w:b/>
          <w:sz w:val="24"/>
          <w:szCs w:val="24"/>
        </w:rPr>
      </w:pPr>
      <w:r w:rsidRPr="00770FF9">
        <w:rPr>
          <w:rFonts w:ascii="Times New Roman" w:hAnsi="Times New Roman" w:cs="Times New Roman"/>
          <w:b/>
          <w:sz w:val="24"/>
          <w:szCs w:val="24"/>
        </w:rPr>
        <w:t>Conclusion</w:t>
      </w:r>
    </w:p>
    <w:p w14:paraId="57D7D167" w14:textId="48CA7E4F" w:rsidR="00B670E9" w:rsidRPr="00770FF9" w:rsidRDefault="00B670E9" w:rsidP="00B670E9">
      <w:pPr>
        <w:rPr>
          <w:rFonts w:ascii="Times New Roman" w:hAnsi="Times New Roman" w:cs="Times New Roman"/>
          <w:sz w:val="24"/>
          <w:szCs w:val="24"/>
        </w:rPr>
      </w:pPr>
      <w:r w:rsidRPr="00770FF9">
        <w:rPr>
          <w:rFonts w:ascii="Times New Roman" w:hAnsi="Times New Roman" w:cs="Times New Roman"/>
          <w:sz w:val="24"/>
          <w:szCs w:val="24"/>
        </w:rPr>
        <w:t>Th</w:t>
      </w:r>
      <w:r w:rsidR="00923828" w:rsidRPr="00770FF9">
        <w:rPr>
          <w:rFonts w:ascii="Times New Roman" w:hAnsi="Times New Roman" w:cs="Times New Roman"/>
          <w:sz w:val="24"/>
          <w:szCs w:val="24"/>
        </w:rPr>
        <w:t>i</w:t>
      </w:r>
      <w:r w:rsidRPr="00770FF9">
        <w:rPr>
          <w:rFonts w:ascii="Times New Roman" w:hAnsi="Times New Roman" w:cs="Times New Roman"/>
          <w:sz w:val="24"/>
          <w:szCs w:val="24"/>
        </w:rPr>
        <w:t xml:space="preserve">s Legislative Instrument </w:t>
      </w:r>
      <w:r w:rsidR="00923828" w:rsidRPr="00770FF9">
        <w:rPr>
          <w:rFonts w:ascii="Times New Roman" w:hAnsi="Times New Roman" w:cs="Times New Roman"/>
          <w:sz w:val="24"/>
          <w:szCs w:val="24"/>
        </w:rPr>
        <w:t>is</w:t>
      </w:r>
      <w:r w:rsidRPr="00770FF9">
        <w:rPr>
          <w:rFonts w:ascii="Times New Roman" w:hAnsi="Times New Roman" w:cs="Times New Roman"/>
          <w:sz w:val="24"/>
          <w:szCs w:val="24"/>
        </w:rPr>
        <w:t xml:space="preserve"> compatible with human rights as </w:t>
      </w:r>
      <w:r w:rsidR="00923828" w:rsidRPr="00770FF9">
        <w:rPr>
          <w:rFonts w:ascii="Times New Roman" w:hAnsi="Times New Roman" w:cs="Times New Roman"/>
          <w:sz w:val="24"/>
          <w:szCs w:val="24"/>
        </w:rPr>
        <w:t>it</w:t>
      </w:r>
      <w:r w:rsidRPr="00770FF9">
        <w:rPr>
          <w:rFonts w:ascii="Times New Roman" w:hAnsi="Times New Roman" w:cs="Times New Roman"/>
          <w:sz w:val="24"/>
          <w:szCs w:val="24"/>
        </w:rPr>
        <w:t xml:space="preserve"> do</w:t>
      </w:r>
      <w:r w:rsidR="00923828" w:rsidRPr="00770FF9">
        <w:rPr>
          <w:rFonts w:ascii="Times New Roman" w:hAnsi="Times New Roman" w:cs="Times New Roman"/>
          <w:sz w:val="24"/>
          <w:szCs w:val="24"/>
        </w:rPr>
        <w:t>es</w:t>
      </w:r>
      <w:r w:rsidRPr="00770FF9">
        <w:rPr>
          <w:rFonts w:ascii="Times New Roman" w:hAnsi="Times New Roman" w:cs="Times New Roman"/>
          <w:sz w:val="24"/>
          <w:szCs w:val="24"/>
        </w:rPr>
        <w:t xml:space="preserve"> not raise any human rights issues.</w:t>
      </w:r>
    </w:p>
    <w:bookmarkEnd w:id="1"/>
    <w:bookmarkEnd w:id="4"/>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F546" w14:textId="77777777" w:rsidR="00211AFD" w:rsidRPr="000D4EDE" w:rsidRDefault="00211AFD" w:rsidP="000D4EDE">
      <w:r>
        <w:separator/>
      </w:r>
    </w:p>
  </w:endnote>
  <w:endnote w:type="continuationSeparator" w:id="0">
    <w:p w14:paraId="52507390" w14:textId="77777777" w:rsidR="00211AFD" w:rsidRPr="000D4EDE" w:rsidRDefault="00211AFD" w:rsidP="000D4EDE">
      <w:r>
        <w:continuationSeparator/>
      </w:r>
    </w:p>
  </w:endnote>
  <w:endnote w:type="continuationNotice" w:id="1">
    <w:p w14:paraId="6727BD42"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9D09" w14:textId="77777777" w:rsidR="00211AFD" w:rsidRPr="000D4EDE" w:rsidRDefault="00211AFD" w:rsidP="000D4EDE">
      <w:r>
        <w:separator/>
      </w:r>
    </w:p>
  </w:footnote>
  <w:footnote w:type="continuationSeparator" w:id="0">
    <w:p w14:paraId="10350C28" w14:textId="77777777" w:rsidR="00211AFD" w:rsidRPr="000D4EDE" w:rsidRDefault="00211AFD" w:rsidP="000D4EDE">
      <w:r>
        <w:continuationSeparator/>
      </w:r>
    </w:p>
  </w:footnote>
  <w:footnote w:type="continuationNotice" w:id="1">
    <w:p w14:paraId="0E16DC4A"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62360"/>
    <w:multiLevelType w:val="hybridMultilevel"/>
    <w:tmpl w:val="C588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A00ED"/>
    <w:multiLevelType w:val="hybridMultilevel"/>
    <w:tmpl w:val="64E41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4C6AE01"/>
    <w:multiLevelType w:val="multilevel"/>
    <w:tmpl w:val="35A4641E"/>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E9E22D38"/>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4615684">
    <w:abstractNumId w:val="1"/>
  </w:num>
  <w:num w:numId="2" w16cid:durableId="568349451">
    <w:abstractNumId w:val="0"/>
  </w:num>
  <w:num w:numId="3" w16cid:durableId="1778407838">
    <w:abstractNumId w:val="5"/>
  </w:num>
  <w:num w:numId="4" w16cid:durableId="914782658">
    <w:abstractNumId w:val="19"/>
  </w:num>
  <w:num w:numId="5" w16cid:durableId="1761372901">
    <w:abstractNumId w:val="23"/>
  </w:num>
  <w:num w:numId="6" w16cid:durableId="1405184404">
    <w:abstractNumId w:val="16"/>
  </w:num>
  <w:num w:numId="7" w16cid:durableId="2129466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11"/>
  </w:num>
  <w:num w:numId="9" w16cid:durableId="515853906">
    <w:abstractNumId w:val="2"/>
  </w:num>
  <w:num w:numId="10" w16cid:durableId="708576632">
    <w:abstractNumId w:val="6"/>
  </w:num>
  <w:num w:numId="11" w16cid:durableId="2026320155">
    <w:abstractNumId w:val="4"/>
  </w:num>
  <w:num w:numId="12" w16cid:durableId="78983245">
    <w:abstractNumId w:val="3"/>
  </w:num>
  <w:num w:numId="13" w16cid:durableId="1316059326">
    <w:abstractNumId w:val="24"/>
  </w:num>
  <w:num w:numId="14" w16cid:durableId="535124421">
    <w:abstractNumId w:val="15"/>
  </w:num>
  <w:num w:numId="15" w16cid:durableId="2004428120">
    <w:abstractNumId w:val="10"/>
  </w:num>
  <w:num w:numId="16" w16cid:durableId="415321881">
    <w:abstractNumId w:val="12"/>
  </w:num>
  <w:num w:numId="17" w16cid:durableId="1934125761">
    <w:abstractNumId w:val="21"/>
  </w:num>
  <w:num w:numId="18" w16cid:durableId="1752727309">
    <w:abstractNumId w:val="22"/>
  </w:num>
  <w:num w:numId="19" w16cid:durableId="1788819044">
    <w:abstractNumId w:val="20"/>
  </w:num>
  <w:num w:numId="20" w16cid:durableId="531454864">
    <w:abstractNumId w:val="13"/>
  </w:num>
  <w:num w:numId="21" w16cid:durableId="2104833735">
    <w:abstractNumId w:val="9"/>
  </w:num>
  <w:num w:numId="22" w16cid:durableId="560747589">
    <w:abstractNumId w:val="23"/>
  </w:num>
  <w:num w:numId="23" w16cid:durableId="474415370">
    <w:abstractNumId w:val="7"/>
  </w:num>
  <w:num w:numId="24" w16cid:durableId="1558777651">
    <w:abstractNumId w:val="18"/>
  </w:num>
  <w:num w:numId="25" w16cid:durableId="1777404888">
    <w:abstractNumId w:val="8"/>
  </w:num>
  <w:num w:numId="26" w16cid:durableId="889419418">
    <w:abstractNumId w:val="17"/>
  </w:num>
  <w:num w:numId="27" w16cid:durableId="17326528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20E4C"/>
    <w:rsid w:val="000329BB"/>
    <w:rsid w:val="00034A19"/>
    <w:rsid w:val="00036F9E"/>
    <w:rsid w:val="000413B3"/>
    <w:rsid w:val="00043A13"/>
    <w:rsid w:val="000453D9"/>
    <w:rsid w:val="000573E5"/>
    <w:rsid w:val="00057B71"/>
    <w:rsid w:val="00065C04"/>
    <w:rsid w:val="0006638F"/>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3052"/>
    <w:rsid w:val="000B63CA"/>
    <w:rsid w:val="000B752A"/>
    <w:rsid w:val="000C14D9"/>
    <w:rsid w:val="000C15C7"/>
    <w:rsid w:val="000D4EDE"/>
    <w:rsid w:val="000D6EEB"/>
    <w:rsid w:val="000D73F7"/>
    <w:rsid w:val="000E2460"/>
    <w:rsid w:val="000E43AC"/>
    <w:rsid w:val="000E6E37"/>
    <w:rsid w:val="000F0E6F"/>
    <w:rsid w:val="000F2638"/>
    <w:rsid w:val="001018A5"/>
    <w:rsid w:val="00106F56"/>
    <w:rsid w:val="00115A39"/>
    <w:rsid w:val="001172A8"/>
    <w:rsid w:val="00117479"/>
    <w:rsid w:val="00123576"/>
    <w:rsid w:val="001241CB"/>
    <w:rsid w:val="00124B21"/>
    <w:rsid w:val="001327B8"/>
    <w:rsid w:val="00133578"/>
    <w:rsid w:val="0013471B"/>
    <w:rsid w:val="00134B76"/>
    <w:rsid w:val="001352D4"/>
    <w:rsid w:val="00142132"/>
    <w:rsid w:val="001430F1"/>
    <w:rsid w:val="00153283"/>
    <w:rsid w:val="00155789"/>
    <w:rsid w:val="001579AD"/>
    <w:rsid w:val="00157C98"/>
    <w:rsid w:val="001647D1"/>
    <w:rsid w:val="00164F67"/>
    <w:rsid w:val="001653B6"/>
    <w:rsid w:val="001657DE"/>
    <w:rsid w:val="00165BF6"/>
    <w:rsid w:val="00174B0F"/>
    <w:rsid w:val="0018235E"/>
    <w:rsid w:val="00184187"/>
    <w:rsid w:val="00192668"/>
    <w:rsid w:val="001A34E9"/>
    <w:rsid w:val="001A4EA4"/>
    <w:rsid w:val="001A664F"/>
    <w:rsid w:val="001B2DB7"/>
    <w:rsid w:val="001B3A9F"/>
    <w:rsid w:val="001C7A1C"/>
    <w:rsid w:val="001D0C02"/>
    <w:rsid w:val="001D3D43"/>
    <w:rsid w:val="001E0F51"/>
    <w:rsid w:val="001E55BF"/>
    <w:rsid w:val="001F01A9"/>
    <w:rsid w:val="001F4D45"/>
    <w:rsid w:val="001F6E1A"/>
    <w:rsid w:val="001F780A"/>
    <w:rsid w:val="001F7917"/>
    <w:rsid w:val="00200613"/>
    <w:rsid w:val="00201649"/>
    <w:rsid w:val="00211AFD"/>
    <w:rsid w:val="00214883"/>
    <w:rsid w:val="002156F6"/>
    <w:rsid w:val="00220550"/>
    <w:rsid w:val="002206C7"/>
    <w:rsid w:val="00222497"/>
    <w:rsid w:val="002301A2"/>
    <w:rsid w:val="00236C2D"/>
    <w:rsid w:val="00237201"/>
    <w:rsid w:val="002374B7"/>
    <w:rsid w:val="00240126"/>
    <w:rsid w:val="002405DE"/>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3ECF"/>
    <w:rsid w:val="00286878"/>
    <w:rsid w:val="00286EAD"/>
    <w:rsid w:val="00292A60"/>
    <w:rsid w:val="0029389B"/>
    <w:rsid w:val="00293B7A"/>
    <w:rsid w:val="002A1894"/>
    <w:rsid w:val="002A2188"/>
    <w:rsid w:val="002A36F2"/>
    <w:rsid w:val="002A59E2"/>
    <w:rsid w:val="002A7D14"/>
    <w:rsid w:val="002B0913"/>
    <w:rsid w:val="002B28E4"/>
    <w:rsid w:val="002B2DD7"/>
    <w:rsid w:val="002B49A3"/>
    <w:rsid w:val="002B5714"/>
    <w:rsid w:val="002B7504"/>
    <w:rsid w:val="002C0D97"/>
    <w:rsid w:val="002C66D1"/>
    <w:rsid w:val="002C7065"/>
    <w:rsid w:val="002C7D73"/>
    <w:rsid w:val="002C7F4A"/>
    <w:rsid w:val="002D2804"/>
    <w:rsid w:val="002D317F"/>
    <w:rsid w:val="002D4B6C"/>
    <w:rsid w:val="002D5274"/>
    <w:rsid w:val="002E1EE3"/>
    <w:rsid w:val="002F0135"/>
    <w:rsid w:val="002F0C2C"/>
    <w:rsid w:val="002F7C9A"/>
    <w:rsid w:val="00300655"/>
    <w:rsid w:val="00301BB1"/>
    <w:rsid w:val="00302B60"/>
    <w:rsid w:val="00303D18"/>
    <w:rsid w:val="003063FE"/>
    <w:rsid w:val="00307ADD"/>
    <w:rsid w:val="00307E55"/>
    <w:rsid w:val="0031227D"/>
    <w:rsid w:val="00312A66"/>
    <w:rsid w:val="003130CA"/>
    <w:rsid w:val="003141B3"/>
    <w:rsid w:val="003163CB"/>
    <w:rsid w:val="00321180"/>
    <w:rsid w:val="0032180D"/>
    <w:rsid w:val="003306A5"/>
    <w:rsid w:val="00334B5E"/>
    <w:rsid w:val="0034059D"/>
    <w:rsid w:val="00355D40"/>
    <w:rsid w:val="00371AAC"/>
    <w:rsid w:val="00371F54"/>
    <w:rsid w:val="0037770C"/>
    <w:rsid w:val="003778C7"/>
    <w:rsid w:val="00377ACF"/>
    <w:rsid w:val="00377C8B"/>
    <w:rsid w:val="00383A95"/>
    <w:rsid w:val="00385CA0"/>
    <w:rsid w:val="003916BC"/>
    <w:rsid w:val="00391855"/>
    <w:rsid w:val="0039585F"/>
    <w:rsid w:val="00395E64"/>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DB2"/>
    <w:rsid w:val="003F0F0D"/>
    <w:rsid w:val="003F492D"/>
    <w:rsid w:val="003F6AAF"/>
    <w:rsid w:val="0040173E"/>
    <w:rsid w:val="00413456"/>
    <w:rsid w:val="00414A8F"/>
    <w:rsid w:val="0042055C"/>
    <w:rsid w:val="00425F01"/>
    <w:rsid w:val="00435339"/>
    <w:rsid w:val="0044005B"/>
    <w:rsid w:val="004410DC"/>
    <w:rsid w:val="0044447D"/>
    <w:rsid w:val="0044482D"/>
    <w:rsid w:val="00444B56"/>
    <w:rsid w:val="00444EFF"/>
    <w:rsid w:val="00450C1B"/>
    <w:rsid w:val="00450C67"/>
    <w:rsid w:val="00457702"/>
    <w:rsid w:val="004601F2"/>
    <w:rsid w:val="0046020A"/>
    <w:rsid w:val="00460CF7"/>
    <w:rsid w:val="00463FA8"/>
    <w:rsid w:val="00464196"/>
    <w:rsid w:val="00464905"/>
    <w:rsid w:val="00466648"/>
    <w:rsid w:val="00472CBC"/>
    <w:rsid w:val="00475D78"/>
    <w:rsid w:val="004765B3"/>
    <w:rsid w:val="004808E2"/>
    <w:rsid w:val="004843CA"/>
    <w:rsid w:val="00493DAA"/>
    <w:rsid w:val="00494335"/>
    <w:rsid w:val="00495A4C"/>
    <w:rsid w:val="004967A1"/>
    <w:rsid w:val="00497D8A"/>
    <w:rsid w:val="004A0FE7"/>
    <w:rsid w:val="004B584E"/>
    <w:rsid w:val="004C1106"/>
    <w:rsid w:val="004C5F06"/>
    <w:rsid w:val="004C6D4B"/>
    <w:rsid w:val="004C766B"/>
    <w:rsid w:val="004D33E3"/>
    <w:rsid w:val="004D654D"/>
    <w:rsid w:val="004D76C1"/>
    <w:rsid w:val="004D7C22"/>
    <w:rsid w:val="004E2269"/>
    <w:rsid w:val="004E3925"/>
    <w:rsid w:val="004E451A"/>
    <w:rsid w:val="004E61D8"/>
    <w:rsid w:val="004F3339"/>
    <w:rsid w:val="004F72A2"/>
    <w:rsid w:val="004F78E5"/>
    <w:rsid w:val="005026D4"/>
    <w:rsid w:val="00503A51"/>
    <w:rsid w:val="00506774"/>
    <w:rsid w:val="00512309"/>
    <w:rsid w:val="00514A0D"/>
    <w:rsid w:val="00525C03"/>
    <w:rsid w:val="00530EDC"/>
    <w:rsid w:val="005405D5"/>
    <w:rsid w:val="00541D54"/>
    <w:rsid w:val="00542522"/>
    <w:rsid w:val="00543472"/>
    <w:rsid w:val="0054526E"/>
    <w:rsid w:val="00545CE1"/>
    <w:rsid w:val="00546297"/>
    <w:rsid w:val="005476B5"/>
    <w:rsid w:val="0055496A"/>
    <w:rsid w:val="005549D7"/>
    <w:rsid w:val="005602DA"/>
    <w:rsid w:val="00562087"/>
    <w:rsid w:val="00564FF8"/>
    <w:rsid w:val="005678FC"/>
    <w:rsid w:val="0057138A"/>
    <w:rsid w:val="00573327"/>
    <w:rsid w:val="00577D9B"/>
    <w:rsid w:val="005921A3"/>
    <w:rsid w:val="00592F64"/>
    <w:rsid w:val="005A3F63"/>
    <w:rsid w:val="005A59D0"/>
    <w:rsid w:val="005B073E"/>
    <w:rsid w:val="005B227F"/>
    <w:rsid w:val="005B7801"/>
    <w:rsid w:val="005B7D5C"/>
    <w:rsid w:val="005C1785"/>
    <w:rsid w:val="005C5891"/>
    <w:rsid w:val="005C641B"/>
    <w:rsid w:val="005D04CC"/>
    <w:rsid w:val="005D5FAE"/>
    <w:rsid w:val="005E4BC9"/>
    <w:rsid w:val="005F29B7"/>
    <w:rsid w:val="006025FE"/>
    <w:rsid w:val="00606EB5"/>
    <w:rsid w:val="00606FC8"/>
    <w:rsid w:val="00616C90"/>
    <w:rsid w:val="00617FDA"/>
    <w:rsid w:val="00620146"/>
    <w:rsid w:val="0062116F"/>
    <w:rsid w:val="00623FD7"/>
    <w:rsid w:val="00626087"/>
    <w:rsid w:val="00634E4C"/>
    <w:rsid w:val="00636B8B"/>
    <w:rsid w:val="00637D5B"/>
    <w:rsid w:val="00641EAA"/>
    <w:rsid w:val="006427FE"/>
    <w:rsid w:val="006506C1"/>
    <w:rsid w:val="00651203"/>
    <w:rsid w:val="00651398"/>
    <w:rsid w:val="00657459"/>
    <w:rsid w:val="0065747A"/>
    <w:rsid w:val="006577D6"/>
    <w:rsid w:val="00662E28"/>
    <w:rsid w:val="00663820"/>
    <w:rsid w:val="0066674D"/>
    <w:rsid w:val="00666A78"/>
    <w:rsid w:val="00670B59"/>
    <w:rsid w:val="00676C12"/>
    <w:rsid w:val="00682A74"/>
    <w:rsid w:val="0069313F"/>
    <w:rsid w:val="0069375D"/>
    <w:rsid w:val="0069407C"/>
    <w:rsid w:val="0069574E"/>
    <w:rsid w:val="006969C0"/>
    <w:rsid w:val="006A1921"/>
    <w:rsid w:val="006A1B8B"/>
    <w:rsid w:val="006A2303"/>
    <w:rsid w:val="006A2C82"/>
    <w:rsid w:val="006A30FA"/>
    <w:rsid w:val="006A6B79"/>
    <w:rsid w:val="006A7C15"/>
    <w:rsid w:val="006C6ED5"/>
    <w:rsid w:val="006D2A45"/>
    <w:rsid w:val="006D315C"/>
    <w:rsid w:val="006D4B03"/>
    <w:rsid w:val="006D71B8"/>
    <w:rsid w:val="006E14D0"/>
    <w:rsid w:val="006E3895"/>
    <w:rsid w:val="006E4272"/>
    <w:rsid w:val="006F145A"/>
    <w:rsid w:val="006F27CB"/>
    <w:rsid w:val="006F359B"/>
    <w:rsid w:val="006F3774"/>
    <w:rsid w:val="006F4962"/>
    <w:rsid w:val="006F5865"/>
    <w:rsid w:val="00701EC6"/>
    <w:rsid w:val="00706179"/>
    <w:rsid w:val="007118A4"/>
    <w:rsid w:val="007123E7"/>
    <w:rsid w:val="00714F78"/>
    <w:rsid w:val="007152B0"/>
    <w:rsid w:val="007170F7"/>
    <w:rsid w:val="00717589"/>
    <w:rsid w:val="00722F9F"/>
    <w:rsid w:val="007253B8"/>
    <w:rsid w:val="00736E7D"/>
    <w:rsid w:val="00741B4B"/>
    <w:rsid w:val="007509A6"/>
    <w:rsid w:val="00753F83"/>
    <w:rsid w:val="007541B0"/>
    <w:rsid w:val="0075469B"/>
    <w:rsid w:val="00755163"/>
    <w:rsid w:val="00756AAB"/>
    <w:rsid w:val="007571A4"/>
    <w:rsid w:val="00757385"/>
    <w:rsid w:val="00757F63"/>
    <w:rsid w:val="00761B3A"/>
    <w:rsid w:val="007645AE"/>
    <w:rsid w:val="00764992"/>
    <w:rsid w:val="00765749"/>
    <w:rsid w:val="00770FF9"/>
    <w:rsid w:val="0077507F"/>
    <w:rsid w:val="00775583"/>
    <w:rsid w:val="00775AA0"/>
    <w:rsid w:val="007770FA"/>
    <w:rsid w:val="00791738"/>
    <w:rsid w:val="00791780"/>
    <w:rsid w:val="00792D37"/>
    <w:rsid w:val="0079398C"/>
    <w:rsid w:val="007A012F"/>
    <w:rsid w:val="007A0EB7"/>
    <w:rsid w:val="007B2045"/>
    <w:rsid w:val="007B2C90"/>
    <w:rsid w:val="007B6871"/>
    <w:rsid w:val="007B7899"/>
    <w:rsid w:val="007C08B1"/>
    <w:rsid w:val="007C2CC2"/>
    <w:rsid w:val="007C38BD"/>
    <w:rsid w:val="007C3E07"/>
    <w:rsid w:val="007C79AA"/>
    <w:rsid w:val="007D31DA"/>
    <w:rsid w:val="007D72C5"/>
    <w:rsid w:val="007E1D1C"/>
    <w:rsid w:val="007E525D"/>
    <w:rsid w:val="007F0323"/>
    <w:rsid w:val="007F379E"/>
    <w:rsid w:val="007F471C"/>
    <w:rsid w:val="00800C90"/>
    <w:rsid w:val="008125F8"/>
    <w:rsid w:val="008208A8"/>
    <w:rsid w:val="00826012"/>
    <w:rsid w:val="008310D2"/>
    <w:rsid w:val="00834CE0"/>
    <w:rsid w:val="00835251"/>
    <w:rsid w:val="0084110F"/>
    <w:rsid w:val="0084459A"/>
    <w:rsid w:val="00844B1D"/>
    <w:rsid w:val="00844F5C"/>
    <w:rsid w:val="00845843"/>
    <w:rsid w:val="00846D34"/>
    <w:rsid w:val="0085230C"/>
    <w:rsid w:val="008567D0"/>
    <w:rsid w:val="00863020"/>
    <w:rsid w:val="008633B5"/>
    <w:rsid w:val="008637EC"/>
    <w:rsid w:val="00870BC6"/>
    <w:rsid w:val="00871D63"/>
    <w:rsid w:val="00873384"/>
    <w:rsid w:val="00875DAD"/>
    <w:rsid w:val="00877B84"/>
    <w:rsid w:val="00877E5F"/>
    <w:rsid w:val="0088036D"/>
    <w:rsid w:val="00881155"/>
    <w:rsid w:val="00882892"/>
    <w:rsid w:val="00885A14"/>
    <w:rsid w:val="0088689B"/>
    <w:rsid w:val="00890FA0"/>
    <w:rsid w:val="00891CFA"/>
    <w:rsid w:val="008947BF"/>
    <w:rsid w:val="008A0CBE"/>
    <w:rsid w:val="008A1CA8"/>
    <w:rsid w:val="008A214D"/>
    <w:rsid w:val="008A5ADC"/>
    <w:rsid w:val="008A5CB6"/>
    <w:rsid w:val="008A6F4A"/>
    <w:rsid w:val="008A72D2"/>
    <w:rsid w:val="008A74A3"/>
    <w:rsid w:val="008B6868"/>
    <w:rsid w:val="008B6D24"/>
    <w:rsid w:val="008C0C13"/>
    <w:rsid w:val="008C2378"/>
    <w:rsid w:val="008C34F7"/>
    <w:rsid w:val="008C6A43"/>
    <w:rsid w:val="008D080C"/>
    <w:rsid w:val="008D1867"/>
    <w:rsid w:val="008D6437"/>
    <w:rsid w:val="008D6EDF"/>
    <w:rsid w:val="008E3EF5"/>
    <w:rsid w:val="008E712A"/>
    <w:rsid w:val="008F33B5"/>
    <w:rsid w:val="00901414"/>
    <w:rsid w:val="00901735"/>
    <w:rsid w:val="00901D54"/>
    <w:rsid w:val="00906799"/>
    <w:rsid w:val="00907BC4"/>
    <w:rsid w:val="00910B20"/>
    <w:rsid w:val="00910CB0"/>
    <w:rsid w:val="009136D0"/>
    <w:rsid w:val="00921B57"/>
    <w:rsid w:val="00922193"/>
    <w:rsid w:val="00922C7C"/>
    <w:rsid w:val="00923828"/>
    <w:rsid w:val="00924152"/>
    <w:rsid w:val="0093194D"/>
    <w:rsid w:val="00934C3F"/>
    <w:rsid w:val="009417AE"/>
    <w:rsid w:val="009436D9"/>
    <w:rsid w:val="00945B3F"/>
    <w:rsid w:val="00950DCB"/>
    <w:rsid w:val="00952D47"/>
    <w:rsid w:val="00952D4C"/>
    <w:rsid w:val="00955091"/>
    <w:rsid w:val="00960246"/>
    <w:rsid w:val="009676CA"/>
    <w:rsid w:val="00967805"/>
    <w:rsid w:val="009720E1"/>
    <w:rsid w:val="00973620"/>
    <w:rsid w:val="00973A93"/>
    <w:rsid w:val="00974F0E"/>
    <w:rsid w:val="00975CD7"/>
    <w:rsid w:val="009800DF"/>
    <w:rsid w:val="00980CA1"/>
    <w:rsid w:val="00985E70"/>
    <w:rsid w:val="0098783B"/>
    <w:rsid w:val="00993C2B"/>
    <w:rsid w:val="00996086"/>
    <w:rsid w:val="009979F4"/>
    <w:rsid w:val="009A246D"/>
    <w:rsid w:val="009A45B2"/>
    <w:rsid w:val="009A5585"/>
    <w:rsid w:val="009A59D5"/>
    <w:rsid w:val="009A7925"/>
    <w:rsid w:val="009B161B"/>
    <w:rsid w:val="009B2CB7"/>
    <w:rsid w:val="009C1AAB"/>
    <w:rsid w:val="009C2198"/>
    <w:rsid w:val="009D2DDD"/>
    <w:rsid w:val="009D5574"/>
    <w:rsid w:val="009D6B58"/>
    <w:rsid w:val="009E0C10"/>
    <w:rsid w:val="009E4116"/>
    <w:rsid w:val="009E529F"/>
    <w:rsid w:val="009F4D76"/>
    <w:rsid w:val="00A10DA6"/>
    <w:rsid w:val="00A13EBA"/>
    <w:rsid w:val="00A13EFE"/>
    <w:rsid w:val="00A151E9"/>
    <w:rsid w:val="00A1599B"/>
    <w:rsid w:val="00A15DBB"/>
    <w:rsid w:val="00A259F2"/>
    <w:rsid w:val="00A25E0D"/>
    <w:rsid w:val="00A2758A"/>
    <w:rsid w:val="00A3147C"/>
    <w:rsid w:val="00A33802"/>
    <w:rsid w:val="00A34ADD"/>
    <w:rsid w:val="00A37162"/>
    <w:rsid w:val="00A37E51"/>
    <w:rsid w:val="00A50B51"/>
    <w:rsid w:val="00A51E2D"/>
    <w:rsid w:val="00A5319F"/>
    <w:rsid w:val="00A533A9"/>
    <w:rsid w:val="00A53690"/>
    <w:rsid w:val="00A5530D"/>
    <w:rsid w:val="00A62D31"/>
    <w:rsid w:val="00A63380"/>
    <w:rsid w:val="00A747BE"/>
    <w:rsid w:val="00A8129D"/>
    <w:rsid w:val="00A82188"/>
    <w:rsid w:val="00A865C7"/>
    <w:rsid w:val="00A909CC"/>
    <w:rsid w:val="00A964A5"/>
    <w:rsid w:val="00A96FAA"/>
    <w:rsid w:val="00A97E3B"/>
    <w:rsid w:val="00AA00CB"/>
    <w:rsid w:val="00AA0976"/>
    <w:rsid w:val="00AA20A1"/>
    <w:rsid w:val="00AA41F2"/>
    <w:rsid w:val="00AA5D65"/>
    <w:rsid w:val="00AB039E"/>
    <w:rsid w:val="00AB1362"/>
    <w:rsid w:val="00AB4206"/>
    <w:rsid w:val="00AC58EC"/>
    <w:rsid w:val="00AC6B54"/>
    <w:rsid w:val="00AC7E54"/>
    <w:rsid w:val="00AD57F5"/>
    <w:rsid w:val="00AD72D9"/>
    <w:rsid w:val="00AE2D9A"/>
    <w:rsid w:val="00AE6A4E"/>
    <w:rsid w:val="00AE7B98"/>
    <w:rsid w:val="00AF129F"/>
    <w:rsid w:val="00AF2A72"/>
    <w:rsid w:val="00B06E21"/>
    <w:rsid w:val="00B12DC9"/>
    <w:rsid w:val="00B13F84"/>
    <w:rsid w:val="00B14604"/>
    <w:rsid w:val="00B15ABA"/>
    <w:rsid w:val="00B20FA0"/>
    <w:rsid w:val="00B24DD4"/>
    <w:rsid w:val="00B25E6E"/>
    <w:rsid w:val="00B34339"/>
    <w:rsid w:val="00B40434"/>
    <w:rsid w:val="00B40B7D"/>
    <w:rsid w:val="00B42B2F"/>
    <w:rsid w:val="00B44900"/>
    <w:rsid w:val="00B467F6"/>
    <w:rsid w:val="00B472E1"/>
    <w:rsid w:val="00B50C5D"/>
    <w:rsid w:val="00B52821"/>
    <w:rsid w:val="00B52DD7"/>
    <w:rsid w:val="00B56C63"/>
    <w:rsid w:val="00B62B72"/>
    <w:rsid w:val="00B6576F"/>
    <w:rsid w:val="00B664C7"/>
    <w:rsid w:val="00B670E9"/>
    <w:rsid w:val="00B71170"/>
    <w:rsid w:val="00B7401A"/>
    <w:rsid w:val="00B80BCE"/>
    <w:rsid w:val="00B81524"/>
    <w:rsid w:val="00B81740"/>
    <w:rsid w:val="00B82C13"/>
    <w:rsid w:val="00B83542"/>
    <w:rsid w:val="00B85D7B"/>
    <w:rsid w:val="00B87787"/>
    <w:rsid w:val="00B900EA"/>
    <w:rsid w:val="00B91069"/>
    <w:rsid w:val="00B92842"/>
    <w:rsid w:val="00BA2713"/>
    <w:rsid w:val="00BA2941"/>
    <w:rsid w:val="00BA4C61"/>
    <w:rsid w:val="00BA627A"/>
    <w:rsid w:val="00BB22FA"/>
    <w:rsid w:val="00BC1E70"/>
    <w:rsid w:val="00BD12A1"/>
    <w:rsid w:val="00BD1D09"/>
    <w:rsid w:val="00BD2241"/>
    <w:rsid w:val="00BD64ED"/>
    <w:rsid w:val="00BD7B83"/>
    <w:rsid w:val="00BE625B"/>
    <w:rsid w:val="00BF17C6"/>
    <w:rsid w:val="00BF6F09"/>
    <w:rsid w:val="00C00FDA"/>
    <w:rsid w:val="00C02EB9"/>
    <w:rsid w:val="00C0373C"/>
    <w:rsid w:val="00C04E4B"/>
    <w:rsid w:val="00C0599B"/>
    <w:rsid w:val="00C06938"/>
    <w:rsid w:val="00C114C6"/>
    <w:rsid w:val="00C11531"/>
    <w:rsid w:val="00C11B56"/>
    <w:rsid w:val="00C13324"/>
    <w:rsid w:val="00C14C04"/>
    <w:rsid w:val="00C1529E"/>
    <w:rsid w:val="00C16045"/>
    <w:rsid w:val="00C16226"/>
    <w:rsid w:val="00C21E27"/>
    <w:rsid w:val="00C2332A"/>
    <w:rsid w:val="00C24C8E"/>
    <w:rsid w:val="00C418B8"/>
    <w:rsid w:val="00C42EA5"/>
    <w:rsid w:val="00C44059"/>
    <w:rsid w:val="00C62BF5"/>
    <w:rsid w:val="00C636DA"/>
    <w:rsid w:val="00C67E22"/>
    <w:rsid w:val="00C72271"/>
    <w:rsid w:val="00C72A17"/>
    <w:rsid w:val="00C77DCA"/>
    <w:rsid w:val="00C811DC"/>
    <w:rsid w:val="00C81356"/>
    <w:rsid w:val="00C813CD"/>
    <w:rsid w:val="00C858D9"/>
    <w:rsid w:val="00C86949"/>
    <w:rsid w:val="00C86A64"/>
    <w:rsid w:val="00C87DA0"/>
    <w:rsid w:val="00C93C0F"/>
    <w:rsid w:val="00C94C9C"/>
    <w:rsid w:val="00CA4E4D"/>
    <w:rsid w:val="00CA6FF9"/>
    <w:rsid w:val="00CA73DA"/>
    <w:rsid w:val="00CB0335"/>
    <w:rsid w:val="00CB2E3D"/>
    <w:rsid w:val="00CB4238"/>
    <w:rsid w:val="00CB5938"/>
    <w:rsid w:val="00CB5B27"/>
    <w:rsid w:val="00CC13F5"/>
    <w:rsid w:val="00CC1A64"/>
    <w:rsid w:val="00CC26F0"/>
    <w:rsid w:val="00CC2EB3"/>
    <w:rsid w:val="00CC30A1"/>
    <w:rsid w:val="00CC34EB"/>
    <w:rsid w:val="00CC4063"/>
    <w:rsid w:val="00CC4C58"/>
    <w:rsid w:val="00CC64C8"/>
    <w:rsid w:val="00CC66EA"/>
    <w:rsid w:val="00CD1253"/>
    <w:rsid w:val="00CD3C17"/>
    <w:rsid w:val="00CD653C"/>
    <w:rsid w:val="00CD71DF"/>
    <w:rsid w:val="00CE1F9C"/>
    <w:rsid w:val="00CE2E48"/>
    <w:rsid w:val="00CE5657"/>
    <w:rsid w:val="00CF0184"/>
    <w:rsid w:val="00CF4514"/>
    <w:rsid w:val="00CF55F6"/>
    <w:rsid w:val="00CF59E0"/>
    <w:rsid w:val="00CF6672"/>
    <w:rsid w:val="00D021F7"/>
    <w:rsid w:val="00D069C7"/>
    <w:rsid w:val="00D078A2"/>
    <w:rsid w:val="00D21123"/>
    <w:rsid w:val="00D247A2"/>
    <w:rsid w:val="00D26BB7"/>
    <w:rsid w:val="00D30B57"/>
    <w:rsid w:val="00D30BF8"/>
    <w:rsid w:val="00D367EB"/>
    <w:rsid w:val="00D36C91"/>
    <w:rsid w:val="00D41871"/>
    <w:rsid w:val="00D45954"/>
    <w:rsid w:val="00D461C2"/>
    <w:rsid w:val="00D5162F"/>
    <w:rsid w:val="00D575EC"/>
    <w:rsid w:val="00D615C7"/>
    <w:rsid w:val="00D61AAE"/>
    <w:rsid w:val="00D62602"/>
    <w:rsid w:val="00D64CB8"/>
    <w:rsid w:val="00D70E18"/>
    <w:rsid w:val="00D720AE"/>
    <w:rsid w:val="00D72FD8"/>
    <w:rsid w:val="00D86B19"/>
    <w:rsid w:val="00D92A45"/>
    <w:rsid w:val="00D966DF"/>
    <w:rsid w:val="00D96821"/>
    <w:rsid w:val="00D9697A"/>
    <w:rsid w:val="00D979E0"/>
    <w:rsid w:val="00DA2B14"/>
    <w:rsid w:val="00DA3023"/>
    <w:rsid w:val="00DA4C48"/>
    <w:rsid w:val="00DA727D"/>
    <w:rsid w:val="00DA7B27"/>
    <w:rsid w:val="00DB53A7"/>
    <w:rsid w:val="00DC23FC"/>
    <w:rsid w:val="00DD170F"/>
    <w:rsid w:val="00DD290B"/>
    <w:rsid w:val="00DD2971"/>
    <w:rsid w:val="00DE0A8A"/>
    <w:rsid w:val="00DE1106"/>
    <w:rsid w:val="00DE1D50"/>
    <w:rsid w:val="00DE23EE"/>
    <w:rsid w:val="00DE3E69"/>
    <w:rsid w:val="00DF2F12"/>
    <w:rsid w:val="00DF2F8B"/>
    <w:rsid w:val="00DF6837"/>
    <w:rsid w:val="00DF68E4"/>
    <w:rsid w:val="00DF6E54"/>
    <w:rsid w:val="00E04228"/>
    <w:rsid w:val="00E04457"/>
    <w:rsid w:val="00E04BBC"/>
    <w:rsid w:val="00E05792"/>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47E11"/>
    <w:rsid w:val="00E51672"/>
    <w:rsid w:val="00E51C2C"/>
    <w:rsid w:val="00E522FC"/>
    <w:rsid w:val="00E53DAD"/>
    <w:rsid w:val="00E55EE5"/>
    <w:rsid w:val="00E61784"/>
    <w:rsid w:val="00E625B3"/>
    <w:rsid w:val="00E63EB9"/>
    <w:rsid w:val="00E64254"/>
    <w:rsid w:val="00E64743"/>
    <w:rsid w:val="00E720D6"/>
    <w:rsid w:val="00E7257D"/>
    <w:rsid w:val="00E728CB"/>
    <w:rsid w:val="00E7336F"/>
    <w:rsid w:val="00E74F3B"/>
    <w:rsid w:val="00E76262"/>
    <w:rsid w:val="00E764B2"/>
    <w:rsid w:val="00E8101E"/>
    <w:rsid w:val="00E84A6B"/>
    <w:rsid w:val="00E92385"/>
    <w:rsid w:val="00E93F74"/>
    <w:rsid w:val="00E96DEA"/>
    <w:rsid w:val="00E97CBA"/>
    <w:rsid w:val="00EA1585"/>
    <w:rsid w:val="00EA48AE"/>
    <w:rsid w:val="00EA6614"/>
    <w:rsid w:val="00EB09E2"/>
    <w:rsid w:val="00EB74A5"/>
    <w:rsid w:val="00EC67E3"/>
    <w:rsid w:val="00ED151C"/>
    <w:rsid w:val="00ED4C82"/>
    <w:rsid w:val="00EE0126"/>
    <w:rsid w:val="00EE0C89"/>
    <w:rsid w:val="00EE47FE"/>
    <w:rsid w:val="00EE50C6"/>
    <w:rsid w:val="00EE5D41"/>
    <w:rsid w:val="00EE766D"/>
    <w:rsid w:val="00EF2A15"/>
    <w:rsid w:val="00EF32FA"/>
    <w:rsid w:val="00EF5210"/>
    <w:rsid w:val="00EF5BFD"/>
    <w:rsid w:val="00EF7B33"/>
    <w:rsid w:val="00F00470"/>
    <w:rsid w:val="00F01C6F"/>
    <w:rsid w:val="00F0509B"/>
    <w:rsid w:val="00F06B06"/>
    <w:rsid w:val="00F06EE2"/>
    <w:rsid w:val="00F074DC"/>
    <w:rsid w:val="00F15632"/>
    <w:rsid w:val="00F17535"/>
    <w:rsid w:val="00F20949"/>
    <w:rsid w:val="00F24F8F"/>
    <w:rsid w:val="00F303B2"/>
    <w:rsid w:val="00F307E0"/>
    <w:rsid w:val="00F34D63"/>
    <w:rsid w:val="00F46414"/>
    <w:rsid w:val="00F51029"/>
    <w:rsid w:val="00F575BB"/>
    <w:rsid w:val="00F57F7A"/>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1B27"/>
    <w:rsid w:val="00F93C5F"/>
    <w:rsid w:val="00F97C7A"/>
    <w:rsid w:val="00FA0F7D"/>
    <w:rsid w:val="00FA2909"/>
    <w:rsid w:val="00FA3CEC"/>
    <w:rsid w:val="00FA45D7"/>
    <w:rsid w:val="00FB4CF2"/>
    <w:rsid w:val="00FB77F8"/>
    <w:rsid w:val="00FB7F62"/>
    <w:rsid w:val="00FC071B"/>
    <w:rsid w:val="00FC19FF"/>
    <w:rsid w:val="00FC4845"/>
    <w:rsid w:val="00FC6B03"/>
    <w:rsid w:val="00FD06D5"/>
    <w:rsid w:val="00FD28FF"/>
    <w:rsid w:val="00FD68A1"/>
    <w:rsid w:val="00FE0985"/>
    <w:rsid w:val="00FE1901"/>
    <w:rsid w:val="00FE419E"/>
    <w:rsid w:val="00FF1227"/>
    <w:rsid w:val="00FF2484"/>
    <w:rsid w:val="00FF4201"/>
    <w:rsid w:val="0D183702"/>
    <w:rsid w:val="0DF334D1"/>
    <w:rsid w:val="3E34D84F"/>
    <w:rsid w:val="40ABA7ED"/>
    <w:rsid w:val="5594D833"/>
    <w:rsid w:val="640DB645"/>
    <w:rsid w:val="7173600B"/>
    <w:rsid w:val="798EF82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Default">
    <w:name w:val="Default"/>
    <w:rsid w:val="00907BC4"/>
    <w:pPr>
      <w:autoSpaceDE w:val="0"/>
      <w:autoSpaceDN w:val="0"/>
      <w:adjustRightInd w:val="0"/>
      <w:spacing w:after="0"/>
      <w:jc w:val="left"/>
    </w:pPr>
    <w:rPr>
      <w:rFonts w:ascii="Times New Roman" w:hAnsi="Times New Roman" w:cs="Times New Roman"/>
      <w:sz w:val="24"/>
      <w:szCs w:val="24"/>
    </w:rPr>
  </w:style>
  <w:style w:type="paragraph" w:customStyle="1" w:styleId="heading0">
    <w:name w:val="heading"/>
    <w:basedOn w:val="Normal"/>
    <w:rsid w:val="00B25E6E"/>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1230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SharedWithUsers xmlns="79530295-9eea-494d-b82a-9ff74409eafc">
      <UserInfo>
        <DisplayName>Benjamin Fogwell</DisplayName>
        <AccountId>80</AccountId>
        <AccountType/>
      </UserInfo>
    </SharedWithUsers>
  </documentManagement>
</p:properties>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335EBDD3-70C7-4CC7-84B6-96D5A2DF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A39F2-5068-45BF-85CC-A816CCABDD3E}">
  <ds:schemaRefs>
    <ds:schemaRef ds:uri="http://schemas.openxmlformats.org/package/2006/metadata/core-properties"/>
    <ds:schemaRef ds:uri="http://www.w3.org/XML/1998/namespace"/>
    <ds:schemaRef ds:uri="http://purl.org/dc/elements/1.1/"/>
    <ds:schemaRef ds:uri="79530295-9eea-494d-b82a-9ff74409eafc"/>
    <ds:schemaRef ds:uri="http://purl.org/dc/terms/"/>
    <ds:schemaRef ds:uri="http://purl.org/dc/dcmitype/"/>
    <ds:schemaRef ds:uri="http://schemas.microsoft.com/office/2006/documentManagement/types"/>
    <ds:schemaRef ds:uri="http://schemas.microsoft.com/office/infopath/2007/PartnerControls"/>
    <ds:schemaRef ds:uri="5664482d-1961-4d38-bfc2-b109b341883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7657</Characters>
  <Application>Microsoft Office Word</Application>
  <DocSecurity>0</DocSecurity>
  <Lines>141</Lines>
  <Paragraphs>72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2023-05-31T11:59:00Z</dcterms:created>
  <dcterms:modified xsi:type="dcterms:W3CDTF">2023-05-31T11:59:00Z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OriginatorUserAccountName_SHA256">
    <vt:lpwstr>6E3018F28A186D2E5FF5207C041E7A82E907C3008E071057026A53705873B72E</vt:lpwstr>
  </property>
  <property fmtid="{D5CDD505-2E9C-101B-9397-08002B2CF9AE}" pid="22" name="PM_OriginatorDomainName_SHA256">
    <vt:lpwstr>ECBDE2B44A971754412B3FB70606937A119CC0D4B6C1B658A40FBD41C30BE3EC</vt:lpwstr>
  </property>
  <property fmtid="{D5CDD505-2E9C-101B-9397-08002B2CF9AE}" pid="23" name="ContentTypeId">
    <vt:lpwstr>0x010100E5E831F15EEA47429C4A0837D916ED91</vt:lpwstr>
  </property>
  <property fmtid="{D5CDD505-2E9C-101B-9397-08002B2CF9AE}" pid="24" name="APRAPeriod">
    <vt:lpwstr/>
  </property>
  <property fmtid="{D5CDD505-2E9C-101B-9397-08002B2CF9AE}" pid="25" name="APRAPRSG">
    <vt:lpwstr/>
  </property>
  <property fmtid="{D5CDD505-2E9C-101B-9397-08002B2CF9AE}" pid="26" name="APRAYear">
    <vt:lpwstr>401;#2022|c15887ee-fc3e-4879-bd3d-5a13724ac42c</vt:lpwstr>
  </property>
  <property fmtid="{D5CDD505-2E9C-101B-9397-08002B2CF9AE}" pid="27" name="APRAIndustry">
    <vt:lpwstr>272;#Insurance|d1257cad-5902-48d4-84ea-13f71a3edbb9</vt:lpwstr>
  </property>
  <property fmtid="{D5CDD505-2E9C-101B-9397-08002B2CF9AE}" pid="28" name="_dlc_DocIdItemGuid">
    <vt:lpwstr>864850dd-f24e-4f9b-a312-7e370a5ab9c4</vt:lpwstr>
  </property>
  <property fmtid="{D5CDD505-2E9C-101B-9397-08002B2CF9AE}" pid="29" name="IsLocked">
    <vt:lpwstr>Yes</vt:lpwstr>
  </property>
  <property fmtid="{D5CDD505-2E9C-101B-9397-08002B2CF9AE}" pid="30" name="APRACostCentre">
    <vt:lpwstr/>
  </property>
  <property fmtid="{D5CDD505-2E9C-101B-9397-08002B2CF9AE}" pid="31" name="IT system type">
    <vt:lpwstr/>
  </property>
  <property fmtid="{D5CDD505-2E9C-101B-9397-08002B2CF9AE}" pid="32" name="APRACategory">
    <vt:lpwstr/>
  </property>
  <property fmtid="{D5CDD505-2E9C-101B-9397-08002B2CF9AE}" pid="33" name="APRADocumentType">
    <vt:lpwstr>91;#Note|a8212199-d195-4313-a455-11ff5a77bf8e</vt:lpwstr>
  </property>
  <property fmtid="{D5CDD505-2E9C-101B-9397-08002B2CF9AE}" pid="34" name="APRAStatus">
    <vt:lpwstr>1;#Draft|0e1556d2-3fe8-443a-ada7-3620563b46b3</vt:lpwstr>
  </property>
  <property fmtid="{D5CDD505-2E9C-101B-9397-08002B2CF9AE}" pid="35" name="APRAActivity">
    <vt:lpwstr>8;#Prudential policy development|4cf81ba0-32a2-4f8f-8216-9e632903331b;#406;#Sunsetting|98278325-a176-4ea4-b452-eb743378e537</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{0108aca2-193a-480a-9365-26eca985c6f0}</vt:lpwstr>
  </property>
  <property fmtid="{D5CDD505-2E9C-101B-9397-08002B2CF9AE}" pid="42" name="RecordPoint_ActiveItemListId">
    <vt:lpwstr>{8524f2be-f3e8-4e4e-b114-b0bf6497a529}</vt:lpwstr>
  </property>
  <property fmtid="{D5CDD505-2E9C-101B-9397-08002B2CF9AE}" pid="43" name="RecordPoint_ActiveItemUniqueId">
    <vt:lpwstr>{864850dd-f24e-4f9b-a312-7e370a5ab9c4}</vt:lpwstr>
  </property>
  <property fmtid="{D5CDD505-2E9C-101B-9397-08002B2CF9AE}" pid="44" name="RecordPoint_ActiveItemWebId">
    <vt:lpwstr>{b7c132af-ef8f-43c8-b784-c343c8358833}</vt:lpwstr>
  </property>
  <property fmtid="{D5CDD505-2E9C-101B-9397-08002B2CF9AE}" pid="45" name="RecordPoint_RecordNumberSubmitted">
    <vt:lpwstr>R0001743233</vt:lpwstr>
  </property>
  <property fmtid="{D5CDD505-2E9C-101B-9397-08002B2CF9AE}" pid="46" name="RecordPoint_SubmissionCompleted">
    <vt:lpwstr>2023-03-02T12:27:39.7299473+11:00</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MSIP_Label_c0129afb-6481-4f92-bc9f-5a4a6346364d_Method">
    <vt:lpwstr>Privileged</vt:lpwstr>
  </property>
  <property fmtid="{D5CDD505-2E9C-101B-9397-08002B2CF9AE}" pid="50" name="MSIP_Label_c0129afb-6481-4f92-bc9f-5a4a6346364d_SetDate">
    <vt:lpwstr>2022-06-16T05:11:15Z</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ContentBits">
    <vt:lpwstr>0</vt:lpwstr>
  </property>
  <property fmtid="{D5CDD505-2E9C-101B-9397-08002B2CF9AE}" pid="54" name="MSIP_Label_c0129afb-6481-4f92-bc9f-5a4a6346364d_Enabled">
    <vt:lpwstr>true</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ediaServiceImageTags">
    <vt:lpwstr/>
  </property>
  <property fmtid="{D5CDD505-2E9C-101B-9397-08002B2CF9AE}" pid="59" name="PM_Hash_Salt_Prev">
    <vt:lpwstr>E539424231242CC20FF94B755D48AFF6</vt:lpwstr>
  </property>
  <property fmtid="{D5CDD505-2E9C-101B-9397-08002B2CF9AE}" pid="60" name="PM_Hash_Salt">
    <vt:lpwstr>00ECB6999EA12492EE49B74EBC731502</vt:lpwstr>
  </property>
  <property fmtid="{D5CDD505-2E9C-101B-9397-08002B2CF9AE}" pid="61" name="PM_Hash_SHA1">
    <vt:lpwstr>9DF0AAD37D4934F0A870CB8DEFE9F1563E31708F</vt:lpwstr>
  </property>
  <property fmtid="{D5CDD505-2E9C-101B-9397-08002B2CF9AE}" pid="62" name="PMHMAC">
    <vt:lpwstr>v=2022.1;a=SHA256;h=3D3BB2DAAF6A0D6146061042F4C63AEDA6FC06DA07A67FB39D60802CD5335076</vt:lpwstr>
  </property>
  <property fmtid="{D5CDD505-2E9C-101B-9397-08002B2CF9AE}" pid="63" name="MSIP_Label_c0129afb-6481-4f92-bc9f-5a4a6346364d_ActionId">
    <vt:lpwstr>b429b82f0fbb4e8999b09c2236ebbc9e</vt:lpwstr>
  </property>
</Properties>
</file>