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0304" w14:textId="77777777" w:rsidR="0058373B" w:rsidRPr="009D7EB6" w:rsidRDefault="0058373B" w:rsidP="0058373B">
      <w:pPr>
        <w:rPr>
          <w:rFonts w:ascii="Arial" w:hAnsi="Arial" w:cs="Arial"/>
        </w:rPr>
      </w:pPr>
      <w:bookmarkStart w:id="0" w:name="_Hlk134610298"/>
      <w:r w:rsidRPr="009D7EB6">
        <w:rPr>
          <w:rFonts w:ascii="Arial" w:hAnsi="Arial" w:cs="Arial"/>
          <w:noProof/>
        </w:rPr>
        <w:drawing>
          <wp:inline distT="0" distB="0" distL="0" distR="0" wp14:anchorId="40634BC1" wp14:editId="43F376E8">
            <wp:extent cx="1419225" cy="1104900"/>
            <wp:effectExtent l="0" t="0" r="9525" b="0"/>
            <wp:docPr id="6" name="Picture 6"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A3995AF" w14:textId="77777777" w:rsidR="0058373B" w:rsidRDefault="0058373B" w:rsidP="0058373B">
      <w:pPr>
        <w:pStyle w:val="Title"/>
        <w:spacing w:before="240" w:after="0"/>
        <w:jc w:val="both"/>
        <w:rPr>
          <w:rFonts w:ascii="Arial" w:hAnsi="Arial" w:cs="Arial"/>
          <w:color w:val="000000"/>
          <w:sz w:val="32"/>
          <w:szCs w:val="32"/>
        </w:rPr>
      </w:pPr>
      <w:r w:rsidRPr="00F441B1">
        <w:rPr>
          <w:rFonts w:ascii="Arial" w:hAnsi="Arial" w:cs="Arial"/>
          <w:color w:val="000000"/>
          <w:sz w:val="32"/>
          <w:szCs w:val="32"/>
        </w:rPr>
        <w:t>Life Insurance (prudential standard) determination</w:t>
      </w:r>
    </w:p>
    <w:p w14:paraId="7E301D42" w14:textId="6854B08A" w:rsidR="0058373B" w:rsidRDefault="0058373B" w:rsidP="0058373B">
      <w:pPr>
        <w:pStyle w:val="Title"/>
        <w:spacing w:before="240" w:after="0"/>
        <w:jc w:val="both"/>
        <w:rPr>
          <w:rFonts w:ascii="Arial" w:hAnsi="Arial" w:cs="Arial"/>
          <w:color w:val="000000"/>
          <w:sz w:val="32"/>
          <w:szCs w:val="32"/>
        </w:rPr>
      </w:pPr>
      <w:r w:rsidRPr="00F441B1">
        <w:rPr>
          <w:rFonts w:ascii="Arial" w:hAnsi="Arial" w:cs="Arial"/>
          <w:color w:val="000000"/>
          <w:sz w:val="32"/>
          <w:szCs w:val="32"/>
        </w:rPr>
        <w:t xml:space="preserve">No. </w:t>
      </w:r>
      <w:r w:rsidR="00F14CEB">
        <w:rPr>
          <w:rFonts w:ascii="Arial" w:hAnsi="Arial" w:cs="Arial"/>
          <w:color w:val="000000"/>
          <w:sz w:val="32"/>
          <w:szCs w:val="32"/>
        </w:rPr>
        <w:t>5</w:t>
      </w:r>
      <w:r w:rsidRPr="00F441B1">
        <w:rPr>
          <w:rFonts w:ascii="Arial" w:hAnsi="Arial" w:cs="Arial"/>
          <w:color w:val="000000"/>
          <w:sz w:val="32"/>
          <w:szCs w:val="32"/>
        </w:rPr>
        <w:t xml:space="preserve"> of 2023</w:t>
      </w:r>
    </w:p>
    <w:p w14:paraId="16DF6025" w14:textId="77777777" w:rsidR="0058373B" w:rsidRPr="00A13EF6" w:rsidRDefault="0058373B" w:rsidP="0058373B">
      <w:pPr>
        <w:pStyle w:val="Title"/>
        <w:spacing w:before="240" w:after="120"/>
        <w:jc w:val="both"/>
        <w:rPr>
          <w:rFonts w:ascii="Arial" w:hAnsi="Arial" w:cs="Arial"/>
          <w:color w:val="000000"/>
          <w:sz w:val="28"/>
          <w:szCs w:val="28"/>
        </w:rPr>
      </w:pPr>
      <w:r w:rsidRPr="00A13EF6">
        <w:rPr>
          <w:rFonts w:ascii="Arial" w:hAnsi="Arial" w:cs="Arial"/>
          <w:color w:val="000000"/>
          <w:sz w:val="28"/>
          <w:szCs w:val="28"/>
        </w:rPr>
        <w:t xml:space="preserve">Prudential Standard </w:t>
      </w:r>
      <w:r>
        <w:rPr>
          <w:rFonts w:ascii="Arial" w:hAnsi="Arial" w:cs="Arial"/>
          <w:color w:val="000000"/>
          <w:sz w:val="28"/>
          <w:szCs w:val="28"/>
        </w:rPr>
        <w:t>LPS</w:t>
      </w:r>
      <w:r w:rsidRPr="00A13EF6">
        <w:rPr>
          <w:rFonts w:ascii="Arial" w:hAnsi="Arial" w:cs="Arial"/>
          <w:color w:val="000000"/>
          <w:sz w:val="28"/>
          <w:szCs w:val="28"/>
        </w:rPr>
        <w:t xml:space="preserve"> 001 Definitions</w:t>
      </w:r>
    </w:p>
    <w:p w14:paraId="127825F7" w14:textId="77777777" w:rsidR="0058373B" w:rsidRPr="00C60305" w:rsidRDefault="0058373B" w:rsidP="0058373B">
      <w:pPr>
        <w:pStyle w:val="ActTitle"/>
        <w:spacing w:before="240"/>
        <w:rPr>
          <w:rFonts w:cs="Arial"/>
          <w:color w:val="000000"/>
        </w:rPr>
      </w:pPr>
      <w:r w:rsidRPr="00F441B1">
        <w:rPr>
          <w:rFonts w:cs="Arial"/>
          <w:color w:val="000000"/>
        </w:rPr>
        <w:t>Life Insurance Act 1995</w:t>
      </w:r>
    </w:p>
    <w:p w14:paraId="265522E3" w14:textId="5BA88162" w:rsidR="0058373B" w:rsidRPr="005C1D4E" w:rsidRDefault="0058373B" w:rsidP="0058373B">
      <w:pPr>
        <w:pStyle w:val="IntroTo"/>
        <w:spacing w:before="100" w:beforeAutospacing="1" w:after="240"/>
        <w:jc w:val="both"/>
        <w:rPr>
          <w:rFonts w:ascii="Arial" w:hAnsi="Arial" w:cs="Arial"/>
          <w:color w:val="000000"/>
          <w:sz w:val="22"/>
          <w:szCs w:val="22"/>
        </w:rPr>
      </w:pPr>
      <w:r w:rsidRPr="005C1D4E">
        <w:rPr>
          <w:rFonts w:ascii="Arial" w:hAnsi="Arial" w:cs="Arial"/>
          <w:sz w:val="22"/>
          <w:szCs w:val="22"/>
        </w:rPr>
        <w:t xml:space="preserve">I, </w:t>
      </w:r>
      <w:r w:rsidR="00F14CEB">
        <w:rPr>
          <w:rFonts w:ascii="Arial" w:hAnsi="Arial" w:cs="Arial"/>
          <w:sz w:val="22"/>
          <w:szCs w:val="22"/>
        </w:rPr>
        <w:t>Helen Rowell</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p>
    <w:p w14:paraId="2B28341C" w14:textId="77777777" w:rsidR="0058373B" w:rsidRDefault="0058373B" w:rsidP="0058373B">
      <w:pPr>
        <w:pStyle w:val="ListParagraph"/>
        <w:numPr>
          <w:ilvl w:val="0"/>
          <w:numId w:val="40"/>
        </w:numPr>
        <w:tabs>
          <w:tab w:val="left" w:pos="567"/>
        </w:tabs>
        <w:spacing w:before="100" w:beforeAutospacing="1"/>
        <w:ind w:left="567" w:hanging="567"/>
        <w:contextualSpacing/>
        <w:jc w:val="both"/>
        <w:rPr>
          <w:rFonts w:ascii="Arial" w:hAnsi="Arial" w:cs="Arial"/>
        </w:rPr>
      </w:pPr>
      <w:r w:rsidRPr="00B54551">
        <w:rPr>
          <w:rFonts w:ascii="Arial" w:hAnsi="Arial" w:cs="Arial"/>
        </w:rPr>
        <w:t xml:space="preserve">under subsection 230A(5) of the </w:t>
      </w:r>
      <w:r w:rsidRPr="00B54551">
        <w:rPr>
          <w:rFonts w:ascii="Arial" w:hAnsi="Arial" w:cs="Arial"/>
          <w:i/>
        </w:rPr>
        <w:t>Life Insurance Act 1995</w:t>
      </w:r>
      <w:r w:rsidRPr="00B54551">
        <w:rPr>
          <w:rFonts w:ascii="Arial" w:hAnsi="Arial" w:cs="Arial"/>
        </w:rPr>
        <w:t xml:space="preserve"> (the Act) </w:t>
      </w:r>
      <w:r>
        <w:rPr>
          <w:rFonts w:ascii="Arial" w:hAnsi="Arial" w:cs="Arial"/>
        </w:rPr>
        <w:t xml:space="preserve">revoke </w:t>
      </w:r>
      <w:r w:rsidRPr="00B54551">
        <w:rPr>
          <w:rFonts w:ascii="Arial" w:hAnsi="Arial" w:cs="Arial"/>
        </w:rPr>
        <w:t xml:space="preserve">Life Insurance (prudential standard) determination No. </w:t>
      </w:r>
      <w:r>
        <w:rPr>
          <w:rFonts w:ascii="Arial" w:hAnsi="Arial" w:cs="Arial"/>
        </w:rPr>
        <w:t>1</w:t>
      </w:r>
      <w:r w:rsidRPr="00B54551">
        <w:rPr>
          <w:rFonts w:ascii="Arial" w:hAnsi="Arial" w:cs="Arial"/>
        </w:rPr>
        <w:t xml:space="preserve"> of 20</w:t>
      </w:r>
      <w:r>
        <w:rPr>
          <w:rFonts w:ascii="Arial" w:hAnsi="Arial" w:cs="Arial"/>
        </w:rPr>
        <w:t>22</w:t>
      </w:r>
      <w:r w:rsidRPr="00B54551">
        <w:rPr>
          <w:rFonts w:ascii="Arial" w:hAnsi="Arial" w:cs="Arial"/>
        </w:rPr>
        <w:t xml:space="preserve">, including </w:t>
      </w:r>
      <w:r w:rsidRPr="00B54551">
        <w:rPr>
          <w:rFonts w:ascii="Arial" w:hAnsi="Arial" w:cs="Arial"/>
          <w:i/>
        </w:rPr>
        <w:t>Prudential Standard LPS 001 Definitions</w:t>
      </w:r>
      <w:r w:rsidRPr="00B54551">
        <w:rPr>
          <w:rFonts w:ascii="Arial" w:hAnsi="Arial" w:cs="Arial"/>
        </w:rPr>
        <w:t xml:space="preserve"> made under that Determination; an</w:t>
      </w:r>
      <w:r>
        <w:rPr>
          <w:rFonts w:ascii="Arial" w:hAnsi="Arial" w:cs="Arial"/>
        </w:rPr>
        <w:t>d</w:t>
      </w:r>
    </w:p>
    <w:p w14:paraId="0ABC2FB0" w14:textId="77777777" w:rsidR="00D62B4A" w:rsidRDefault="00D62B4A" w:rsidP="00D62B4A">
      <w:pPr>
        <w:pStyle w:val="ListParagraph"/>
        <w:tabs>
          <w:tab w:val="left" w:pos="567"/>
        </w:tabs>
        <w:spacing w:before="100" w:beforeAutospacing="1"/>
        <w:ind w:left="567"/>
        <w:contextualSpacing/>
        <w:jc w:val="both"/>
        <w:rPr>
          <w:rFonts w:ascii="Arial" w:hAnsi="Arial" w:cs="Arial"/>
        </w:rPr>
      </w:pPr>
    </w:p>
    <w:p w14:paraId="52C52E3D" w14:textId="07F2DAAF" w:rsidR="0058373B" w:rsidRPr="00B54551" w:rsidRDefault="0058373B" w:rsidP="0058373B">
      <w:pPr>
        <w:pStyle w:val="ListParagraph"/>
        <w:numPr>
          <w:ilvl w:val="0"/>
          <w:numId w:val="40"/>
        </w:numPr>
        <w:tabs>
          <w:tab w:val="left" w:pos="567"/>
        </w:tabs>
        <w:spacing w:before="100" w:beforeAutospacing="1"/>
        <w:ind w:left="567" w:hanging="567"/>
        <w:contextualSpacing/>
        <w:jc w:val="both"/>
        <w:rPr>
          <w:rFonts w:ascii="Arial" w:hAnsi="Arial" w:cs="Arial"/>
        </w:rPr>
      </w:pPr>
      <w:r w:rsidRPr="00B54551">
        <w:rPr>
          <w:rFonts w:ascii="Arial" w:hAnsi="Arial" w:cs="Arial"/>
        </w:rPr>
        <w:t xml:space="preserve">under subsection 230A(1) of the Act </w:t>
      </w:r>
      <w:r>
        <w:rPr>
          <w:rFonts w:ascii="Arial" w:hAnsi="Arial" w:cs="Arial"/>
        </w:rPr>
        <w:t xml:space="preserve">determine </w:t>
      </w:r>
      <w:r w:rsidRPr="00B54551">
        <w:rPr>
          <w:rFonts w:ascii="Arial" w:hAnsi="Arial" w:cs="Arial"/>
          <w:i/>
        </w:rPr>
        <w:t>Prudential Standard LPS 001 Definitions</w:t>
      </w:r>
      <w:r w:rsidRPr="00B54551">
        <w:rPr>
          <w:rFonts w:ascii="Arial" w:hAnsi="Arial" w:cs="Arial"/>
        </w:rPr>
        <w:t>, which applies to all life companies, including friendly societies, and registered non-operating holding companies (registered NOHCs) and subsidiaries of life companies or registered NOHCs.</w:t>
      </w:r>
    </w:p>
    <w:p w14:paraId="718BB9C4" w14:textId="77777777" w:rsidR="0058373B" w:rsidRPr="009D7EB6" w:rsidRDefault="0058373B" w:rsidP="0058373B">
      <w:pPr>
        <w:spacing w:before="100" w:beforeAutospacing="1"/>
        <w:jc w:val="both"/>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on 1 July 2023.</w:t>
      </w:r>
    </w:p>
    <w:p w14:paraId="18628BB7" w14:textId="336B78D7" w:rsidR="0058373B" w:rsidRPr="009D7EB6" w:rsidRDefault="0058373B" w:rsidP="0058373B">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9E23BD7F546644588DD12A11549A8776"/>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757A59">
            <w:rPr>
              <w:rFonts w:ascii="Arial" w:hAnsi="Arial" w:cs="Arial"/>
              <w:sz w:val="22"/>
              <w:szCs w:val="22"/>
            </w:rPr>
            <w:t>24 May 2023</w:t>
          </w:r>
        </w:sdtContent>
      </w:sdt>
    </w:p>
    <w:p w14:paraId="1796BA88" w14:textId="77777777" w:rsidR="0058373B" w:rsidRPr="009D7EB6" w:rsidRDefault="0058373B" w:rsidP="0058373B">
      <w:pPr>
        <w:pStyle w:val="IntroTo"/>
        <w:rPr>
          <w:rFonts w:ascii="Arial" w:hAnsi="Arial" w:cs="Arial"/>
          <w:sz w:val="22"/>
          <w:szCs w:val="22"/>
        </w:rPr>
      </w:pPr>
    </w:p>
    <w:p w14:paraId="4C3C6E17" w14:textId="171D65C2" w:rsidR="00011780" w:rsidRDefault="00011780" w:rsidP="0058373B">
      <w:pPr>
        <w:autoSpaceDE w:val="0"/>
        <w:autoSpaceDN w:val="0"/>
        <w:adjustRightInd w:val="0"/>
        <w:spacing w:after="0"/>
        <w:rPr>
          <w:rFonts w:ascii="Arial" w:hAnsi="Arial" w:cs="Arial"/>
          <w:sz w:val="22"/>
          <w:szCs w:val="22"/>
        </w:rPr>
      </w:pPr>
      <w:r>
        <w:rPr>
          <w:rFonts w:ascii="Arial" w:hAnsi="Arial" w:cs="Arial"/>
          <w:sz w:val="22"/>
          <w:szCs w:val="22"/>
        </w:rPr>
        <w:t>[Signed]</w:t>
      </w:r>
    </w:p>
    <w:p w14:paraId="4C87F20E" w14:textId="10161B20" w:rsidR="00011780" w:rsidRDefault="00011780" w:rsidP="0058373B">
      <w:pPr>
        <w:autoSpaceDE w:val="0"/>
        <w:autoSpaceDN w:val="0"/>
        <w:adjustRightInd w:val="0"/>
        <w:spacing w:after="0"/>
        <w:rPr>
          <w:rFonts w:ascii="Arial" w:hAnsi="Arial" w:cs="Arial"/>
          <w:sz w:val="22"/>
          <w:szCs w:val="22"/>
        </w:rPr>
      </w:pPr>
    </w:p>
    <w:p w14:paraId="28B0C30C" w14:textId="2ADF1DD3" w:rsidR="00F14CEB" w:rsidRDefault="00F14CEB" w:rsidP="0058373B">
      <w:pPr>
        <w:autoSpaceDE w:val="0"/>
        <w:autoSpaceDN w:val="0"/>
        <w:adjustRightInd w:val="0"/>
        <w:spacing w:after="0"/>
        <w:rPr>
          <w:rFonts w:ascii="Arial" w:hAnsi="Arial" w:cs="Arial"/>
          <w:sz w:val="22"/>
          <w:szCs w:val="22"/>
        </w:rPr>
      </w:pPr>
      <w:r>
        <w:rPr>
          <w:rFonts w:ascii="Arial" w:hAnsi="Arial" w:cs="Arial"/>
          <w:sz w:val="22"/>
          <w:szCs w:val="22"/>
        </w:rPr>
        <w:t>Helen Rowell</w:t>
      </w:r>
      <w:r w:rsidRPr="00B2530E">
        <w:rPr>
          <w:rFonts w:ascii="Arial" w:hAnsi="Arial" w:cs="Arial"/>
          <w:sz w:val="22"/>
          <w:szCs w:val="22"/>
        </w:rPr>
        <w:t xml:space="preserve"> </w:t>
      </w:r>
    </w:p>
    <w:p w14:paraId="75757400" w14:textId="332A88EA" w:rsidR="00F14CEB" w:rsidRPr="00B2530E" w:rsidRDefault="00F14CEB" w:rsidP="00F14CEB">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35F00901" w14:textId="5A8DD92C" w:rsidR="0058373B" w:rsidRPr="00B2530E" w:rsidRDefault="0058373B" w:rsidP="0058373B">
      <w:pPr>
        <w:autoSpaceDE w:val="0"/>
        <w:autoSpaceDN w:val="0"/>
        <w:adjustRightInd w:val="0"/>
        <w:spacing w:after="0"/>
        <w:rPr>
          <w:rFonts w:ascii="Arial" w:hAnsi="Arial" w:cs="Arial"/>
          <w:sz w:val="22"/>
          <w:szCs w:val="22"/>
        </w:rPr>
      </w:pPr>
    </w:p>
    <w:p w14:paraId="54963F82" w14:textId="77777777" w:rsidR="0058373B" w:rsidRPr="009D7EB6" w:rsidRDefault="0058373B" w:rsidP="0058373B">
      <w:pPr>
        <w:spacing w:before="480" w:after="0"/>
        <w:rPr>
          <w:rFonts w:ascii="Arial" w:hAnsi="Arial" w:cs="Arial"/>
          <w:b/>
        </w:rPr>
      </w:pPr>
      <w:r w:rsidRPr="009D7EB6">
        <w:rPr>
          <w:rFonts w:ascii="Arial" w:hAnsi="Arial" w:cs="Arial"/>
          <w:b/>
        </w:rPr>
        <w:t>Interpretation</w:t>
      </w:r>
    </w:p>
    <w:p w14:paraId="230F3765" w14:textId="77777777" w:rsidR="0058373B" w:rsidRDefault="0058373B" w:rsidP="0058373B">
      <w:pPr>
        <w:spacing w:before="120" w:after="0"/>
        <w:rPr>
          <w:rFonts w:ascii="Arial" w:hAnsi="Arial" w:cs="Arial"/>
        </w:rPr>
      </w:pPr>
      <w:r w:rsidRPr="009D7EB6">
        <w:rPr>
          <w:rFonts w:ascii="Arial" w:hAnsi="Arial" w:cs="Arial"/>
        </w:rPr>
        <w:t>In this instrument:</w:t>
      </w:r>
    </w:p>
    <w:p w14:paraId="19CCD704" w14:textId="77777777" w:rsidR="0058373B" w:rsidRPr="009D7EB6" w:rsidRDefault="0058373B" w:rsidP="0058373B">
      <w:pPr>
        <w:spacing w:before="120" w:after="0"/>
        <w:rPr>
          <w:rFonts w:ascii="Arial" w:hAnsi="Arial" w:cs="Arial"/>
        </w:rPr>
      </w:pPr>
    </w:p>
    <w:p w14:paraId="62616634" w14:textId="77777777" w:rsidR="0058373B" w:rsidRPr="00EA0A28" w:rsidRDefault="0058373B" w:rsidP="0058373B">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489D3348" w14:textId="77777777" w:rsidR="0058373B" w:rsidRPr="0058373B" w:rsidRDefault="0058373B" w:rsidP="0058373B">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friendly society </w:t>
      </w:r>
      <w:r w:rsidRPr="0058373B">
        <w:rPr>
          <w:rFonts w:ascii="Arial" w:hAnsi="Arial" w:cs="Arial"/>
          <w:color w:val="000000"/>
          <w:sz w:val="22"/>
          <w:szCs w:val="22"/>
          <w:lang w:eastAsia="en-US"/>
        </w:rPr>
        <w:t>has the meaning given in section 16C of the Act.</w:t>
      </w:r>
    </w:p>
    <w:p w14:paraId="14FAFFB5" w14:textId="77777777" w:rsidR="0058373B" w:rsidRPr="0058373B" w:rsidRDefault="0058373B" w:rsidP="0058373B">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life company </w:t>
      </w:r>
      <w:r w:rsidRPr="0058373B">
        <w:rPr>
          <w:rFonts w:ascii="Arial" w:hAnsi="Arial" w:cs="Arial"/>
          <w:color w:val="000000"/>
          <w:sz w:val="22"/>
          <w:szCs w:val="22"/>
          <w:lang w:eastAsia="en-US"/>
        </w:rPr>
        <w:t>has the meaning given in the Schedule to the Act.</w:t>
      </w:r>
    </w:p>
    <w:p w14:paraId="6B3CFB35" w14:textId="77777777" w:rsidR="0058373B" w:rsidRPr="0058373B" w:rsidRDefault="0058373B" w:rsidP="0058373B">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registered NOHC </w:t>
      </w:r>
      <w:r w:rsidRPr="0058373B">
        <w:rPr>
          <w:rFonts w:ascii="Arial" w:hAnsi="Arial" w:cs="Arial"/>
          <w:color w:val="000000"/>
          <w:sz w:val="22"/>
          <w:szCs w:val="22"/>
          <w:lang w:eastAsia="en-US"/>
        </w:rPr>
        <w:t>has the meaning in the Schedule to the Act.</w:t>
      </w:r>
    </w:p>
    <w:p w14:paraId="46485941" w14:textId="0591353A" w:rsidR="0058373B" w:rsidRPr="009D7EB6" w:rsidRDefault="0058373B" w:rsidP="0058373B">
      <w:pPr>
        <w:spacing w:before="120" w:after="0"/>
        <w:rPr>
          <w:rFonts w:ascii="Arial" w:hAnsi="Arial" w:cs="Arial"/>
        </w:rPr>
      </w:pPr>
      <w:r w:rsidRPr="0058373B">
        <w:rPr>
          <w:rFonts w:ascii="Arial" w:hAnsi="Arial" w:cs="Arial"/>
          <w:b/>
          <w:i/>
          <w:color w:val="000000"/>
          <w:sz w:val="22"/>
          <w:szCs w:val="22"/>
          <w:lang w:eastAsia="en-US"/>
        </w:rPr>
        <w:t xml:space="preserve">subsidiary </w:t>
      </w:r>
      <w:r w:rsidRPr="0058373B">
        <w:rPr>
          <w:rFonts w:ascii="Arial" w:hAnsi="Arial" w:cs="Arial"/>
          <w:color w:val="000000"/>
          <w:sz w:val="22"/>
          <w:szCs w:val="22"/>
          <w:lang w:eastAsia="en-US"/>
        </w:rPr>
        <w:t>has the meaning given in section 16 of the Act.</w:t>
      </w:r>
    </w:p>
    <w:p w14:paraId="6094FE95" w14:textId="77777777" w:rsidR="0058373B" w:rsidRPr="00C72C1A" w:rsidRDefault="0058373B" w:rsidP="0058373B">
      <w:pPr>
        <w:rPr>
          <w:rFonts w:cs="Arial"/>
        </w:rPr>
      </w:pPr>
      <w:r w:rsidRPr="00C72C1A">
        <w:rPr>
          <w:rFonts w:cs="Arial"/>
        </w:rPr>
        <w:br w:type="page"/>
      </w:r>
    </w:p>
    <w:p w14:paraId="4EF79084" w14:textId="77777777" w:rsidR="0058373B" w:rsidRPr="00EA0A28" w:rsidRDefault="0058373B" w:rsidP="0058373B">
      <w:pPr>
        <w:spacing w:after="0"/>
        <w:rPr>
          <w:rFonts w:ascii="Arial" w:hAnsi="Arial" w:cs="Arial"/>
          <w:b/>
          <w:sz w:val="32"/>
          <w:szCs w:val="32"/>
        </w:rPr>
      </w:pPr>
      <w:r w:rsidRPr="00EA0A28">
        <w:rPr>
          <w:rFonts w:ascii="Arial" w:hAnsi="Arial" w:cs="Arial"/>
          <w:b/>
          <w:sz w:val="32"/>
          <w:szCs w:val="32"/>
        </w:rPr>
        <w:lastRenderedPageBreak/>
        <w:t xml:space="preserve">Schedule </w:t>
      </w:r>
    </w:p>
    <w:p w14:paraId="0A6FF17F" w14:textId="77777777" w:rsidR="0058373B" w:rsidRDefault="0058373B" w:rsidP="0058373B">
      <w:pPr>
        <w:spacing w:after="0"/>
      </w:pPr>
    </w:p>
    <w:p w14:paraId="03904AF0" w14:textId="77777777" w:rsidR="0058373B" w:rsidRDefault="0058373B" w:rsidP="0058373B">
      <w:pPr>
        <w:jc w:val="both"/>
        <w:rPr>
          <w:rFonts w:ascii="Arial" w:hAnsi="Arial" w:cs="Arial"/>
          <w:sz w:val="22"/>
          <w:szCs w:val="22"/>
        </w:rPr>
      </w:pPr>
      <w:r w:rsidRPr="006A3108">
        <w:rPr>
          <w:rFonts w:ascii="Arial" w:hAnsi="Arial" w:cs="Arial"/>
          <w:i/>
          <w:sz w:val="22"/>
          <w:szCs w:val="22"/>
        </w:rPr>
        <w:t xml:space="preserve">Prudential Standard </w:t>
      </w:r>
      <w:r>
        <w:rPr>
          <w:rFonts w:ascii="Arial" w:hAnsi="Arial" w:cs="Arial"/>
          <w:i/>
          <w:sz w:val="22"/>
          <w:szCs w:val="22"/>
        </w:rPr>
        <w:t>LPS 001 Definitions,</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bookmarkEnd w:id="0"/>
    <w:p w14:paraId="57286EF7" w14:textId="77777777" w:rsidR="001546C1" w:rsidRDefault="001546C1" w:rsidP="003B52EB">
      <w:pPr>
        <w:spacing w:after="0"/>
      </w:pPr>
    </w:p>
    <w:p w14:paraId="47E0258E" w14:textId="77777777" w:rsidR="0058373B" w:rsidRDefault="0058373B" w:rsidP="003B52EB">
      <w:pPr>
        <w:spacing w:after="0"/>
      </w:pPr>
    </w:p>
    <w:p w14:paraId="7EB07956" w14:textId="68BA2311" w:rsidR="0058373B" w:rsidRDefault="0058373B" w:rsidP="003B52EB">
      <w:pPr>
        <w:spacing w:after="0"/>
        <w:sectPr w:rsidR="0058373B" w:rsidSect="000D63A8">
          <w:headerReference w:type="default" r:id="rId12"/>
          <w:pgSz w:w="11906" w:h="16838" w:code="9"/>
          <w:pgMar w:top="1440" w:right="1797" w:bottom="1440" w:left="1797" w:header="709" w:footer="709" w:gutter="0"/>
          <w:cols w:space="708"/>
          <w:docGrid w:linePitch="360"/>
        </w:sectPr>
      </w:pPr>
    </w:p>
    <w:p w14:paraId="6D2823BB" w14:textId="1181E331" w:rsidR="003B52EB" w:rsidRDefault="00506079" w:rsidP="003B52EB">
      <w:pPr>
        <w:spacing w:after="0"/>
      </w:pPr>
      <w:r>
        <w:rPr>
          <w:noProof/>
          <w:lang w:val="en-US" w:eastAsia="en-US"/>
        </w:rPr>
        <w:lastRenderedPageBreak/>
        <w:drawing>
          <wp:inline distT="0" distB="0" distL="0" distR="0" wp14:anchorId="598C4DA6" wp14:editId="69723CC6">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EF9D5E" w14:textId="7123083F"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9D0CCF">
        <w:rPr>
          <w:rStyle w:val="PSNofieldtext"/>
        </w:rPr>
        <w:t>LPS 001</w:t>
      </w:r>
      <w:r w:rsidR="009B6212" w:rsidRPr="009B6212">
        <w:t xml:space="preserve">  </w:t>
      </w:r>
    </w:p>
    <w:bookmarkEnd w:id="1"/>
    <w:p w14:paraId="7E74F04B" w14:textId="2FFD5194" w:rsidR="00BC2D08" w:rsidRPr="00110917" w:rsidRDefault="009D0CCF" w:rsidP="001F6B8D">
      <w:pPr>
        <w:pStyle w:val="Title"/>
      </w:pPr>
      <w:r>
        <w:rPr>
          <w:rStyle w:val="PSNamefieldtext"/>
        </w:rPr>
        <w:t>Definitions</w:t>
      </w:r>
    </w:p>
    <w:tbl>
      <w:tblPr>
        <w:tblStyle w:val="TableGrid"/>
        <w:tblW w:w="0" w:type="auto"/>
        <w:shd w:val="clear" w:color="auto" w:fill="DDDDDD"/>
        <w:tblLook w:val="04A0" w:firstRow="1" w:lastRow="0" w:firstColumn="1" w:lastColumn="0" w:noHBand="0" w:noVBand="1"/>
      </w:tblPr>
      <w:tblGrid>
        <w:gridCol w:w="8302"/>
      </w:tblGrid>
      <w:tr w:rsidR="0048511B" w14:paraId="4ED885C6" w14:textId="77777777" w:rsidTr="00DF539C">
        <w:tc>
          <w:tcPr>
            <w:tcW w:w="8528" w:type="dxa"/>
            <w:shd w:val="clear" w:color="auto" w:fill="DDDDDD"/>
          </w:tcPr>
          <w:p w14:paraId="67336295" w14:textId="77777777" w:rsidR="003C46D7" w:rsidRPr="00B37C03" w:rsidRDefault="003C46D7" w:rsidP="00656D42">
            <w:pPr>
              <w:pStyle w:val="BoxHeading"/>
            </w:pPr>
            <w:r w:rsidRPr="00B37C03">
              <w:t xml:space="preserve">Objectives and key requirements of this Prudential </w:t>
            </w:r>
            <w:r w:rsidRPr="00173A04">
              <w:t>Standard</w:t>
            </w:r>
          </w:p>
          <w:p w14:paraId="07B8927D" w14:textId="27207BAA" w:rsidR="00173A04" w:rsidRDefault="009D0CCF" w:rsidP="009D0CCF">
            <w:r w:rsidRPr="009D0CCF">
              <w:t>This Prudential Standard defines key terms referred to in other prudential standards applicable to life companies. All prudential standards applicable to life companies must be read in conjunction with this Prudential Standard.</w:t>
            </w:r>
          </w:p>
        </w:tc>
      </w:tr>
    </w:tbl>
    <w:p w14:paraId="6390D7E4" w14:textId="77777777" w:rsidR="00BC2D08" w:rsidRDefault="00BC2D08" w:rsidP="00BC2D08">
      <w:pPr>
        <w:spacing w:after="0"/>
      </w:pPr>
    </w:p>
    <w:p w14:paraId="46B7334C" w14:textId="77777777" w:rsidR="00C67A76" w:rsidRDefault="00C67A76" w:rsidP="00C67A76"/>
    <w:p w14:paraId="7D37D2E8" w14:textId="7B8B3C2A" w:rsidR="00C67A76" w:rsidRDefault="00C67A76" w:rsidP="00C67A76">
      <w:pPr>
        <w:sectPr w:rsidR="00C67A76" w:rsidSect="001546C1">
          <w:headerReference w:type="default" r:id="rId14"/>
          <w:footerReference w:type="default" r:id="rId15"/>
          <w:pgSz w:w="11906" w:h="16838" w:code="9"/>
          <w:pgMar w:top="1440" w:right="1797" w:bottom="1440" w:left="1797" w:header="709" w:footer="709" w:gutter="0"/>
          <w:pgNumType w:start="1"/>
          <w:cols w:space="708"/>
          <w:docGrid w:linePitch="360"/>
        </w:sectPr>
      </w:pPr>
    </w:p>
    <w:p w14:paraId="61A3087D"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49903F9E" w14:textId="387FE10D" w:rsidR="00D96370"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650599" w:history="1">
        <w:r w:rsidR="00D96370" w:rsidRPr="00FD0AA3">
          <w:rPr>
            <w:rStyle w:val="Hyperlink"/>
          </w:rPr>
          <w:t>Authority</w:t>
        </w:r>
        <w:r w:rsidR="00D96370">
          <w:rPr>
            <w:webHidden/>
          </w:rPr>
          <w:tab/>
        </w:r>
        <w:r w:rsidR="00D96370">
          <w:rPr>
            <w:webHidden/>
          </w:rPr>
          <w:fldChar w:fldCharType="begin"/>
        </w:r>
        <w:r w:rsidR="00D96370">
          <w:rPr>
            <w:webHidden/>
          </w:rPr>
          <w:instrText xml:space="preserve"> PAGEREF _Toc109650599 \h </w:instrText>
        </w:r>
        <w:r w:rsidR="00D96370">
          <w:rPr>
            <w:webHidden/>
          </w:rPr>
        </w:r>
        <w:r w:rsidR="00D96370">
          <w:rPr>
            <w:webHidden/>
          </w:rPr>
          <w:fldChar w:fldCharType="separate"/>
        </w:r>
        <w:r w:rsidR="00D96370">
          <w:rPr>
            <w:webHidden/>
          </w:rPr>
          <w:t>3</w:t>
        </w:r>
        <w:r w:rsidR="00D96370">
          <w:rPr>
            <w:webHidden/>
          </w:rPr>
          <w:fldChar w:fldCharType="end"/>
        </w:r>
      </w:hyperlink>
    </w:p>
    <w:p w14:paraId="3DE56A2A" w14:textId="015D880B" w:rsidR="00D96370" w:rsidRDefault="00AB1BFC">
      <w:pPr>
        <w:pStyle w:val="TOC1"/>
        <w:rPr>
          <w:rFonts w:asciiTheme="minorHAnsi" w:eastAsiaTheme="minorEastAsia" w:hAnsiTheme="minorHAnsi" w:cstheme="minorBidi"/>
          <w:sz w:val="22"/>
          <w:szCs w:val="22"/>
        </w:rPr>
      </w:pPr>
      <w:hyperlink w:anchor="_Toc109650600" w:history="1">
        <w:r w:rsidR="00D96370" w:rsidRPr="00FD0AA3">
          <w:rPr>
            <w:rStyle w:val="Hyperlink"/>
          </w:rPr>
          <w:t>Application and commencement</w:t>
        </w:r>
        <w:r w:rsidR="00D96370">
          <w:rPr>
            <w:webHidden/>
          </w:rPr>
          <w:tab/>
        </w:r>
        <w:r w:rsidR="00D96370">
          <w:rPr>
            <w:webHidden/>
          </w:rPr>
          <w:fldChar w:fldCharType="begin"/>
        </w:r>
        <w:r w:rsidR="00D96370">
          <w:rPr>
            <w:webHidden/>
          </w:rPr>
          <w:instrText xml:space="preserve"> PAGEREF _Toc109650600 \h </w:instrText>
        </w:r>
        <w:r w:rsidR="00D96370">
          <w:rPr>
            <w:webHidden/>
          </w:rPr>
        </w:r>
        <w:r w:rsidR="00D96370">
          <w:rPr>
            <w:webHidden/>
          </w:rPr>
          <w:fldChar w:fldCharType="separate"/>
        </w:r>
        <w:r w:rsidR="00D96370">
          <w:rPr>
            <w:webHidden/>
          </w:rPr>
          <w:t>3</w:t>
        </w:r>
        <w:r w:rsidR="00D96370">
          <w:rPr>
            <w:webHidden/>
          </w:rPr>
          <w:fldChar w:fldCharType="end"/>
        </w:r>
      </w:hyperlink>
    </w:p>
    <w:p w14:paraId="252697F7" w14:textId="6981B051" w:rsidR="00D96370" w:rsidRDefault="00AB1BFC">
      <w:pPr>
        <w:pStyle w:val="TOC1"/>
        <w:rPr>
          <w:rFonts w:asciiTheme="minorHAnsi" w:eastAsiaTheme="minorEastAsia" w:hAnsiTheme="minorHAnsi" w:cstheme="minorBidi"/>
          <w:sz w:val="22"/>
          <w:szCs w:val="22"/>
        </w:rPr>
      </w:pPr>
      <w:hyperlink w:anchor="_Toc109650601" w:history="1">
        <w:r w:rsidR="00D96370" w:rsidRPr="00FD0AA3">
          <w:rPr>
            <w:rStyle w:val="Hyperlink"/>
          </w:rPr>
          <w:t>Definitions</w:t>
        </w:r>
        <w:r w:rsidR="00D96370">
          <w:rPr>
            <w:webHidden/>
          </w:rPr>
          <w:tab/>
        </w:r>
        <w:r w:rsidR="00D96370">
          <w:rPr>
            <w:webHidden/>
          </w:rPr>
          <w:fldChar w:fldCharType="begin"/>
        </w:r>
        <w:r w:rsidR="00D96370">
          <w:rPr>
            <w:webHidden/>
          </w:rPr>
          <w:instrText xml:space="preserve"> PAGEREF _Toc109650601 \h </w:instrText>
        </w:r>
        <w:r w:rsidR="00D96370">
          <w:rPr>
            <w:webHidden/>
          </w:rPr>
        </w:r>
        <w:r w:rsidR="00D96370">
          <w:rPr>
            <w:webHidden/>
          </w:rPr>
          <w:fldChar w:fldCharType="separate"/>
        </w:r>
        <w:r w:rsidR="00D96370">
          <w:rPr>
            <w:webHidden/>
          </w:rPr>
          <w:t>3</w:t>
        </w:r>
        <w:r w:rsidR="00D96370">
          <w:rPr>
            <w:webHidden/>
          </w:rPr>
          <w:fldChar w:fldCharType="end"/>
        </w:r>
      </w:hyperlink>
    </w:p>
    <w:p w14:paraId="54A095E0" w14:textId="4E703029" w:rsidR="00D96370" w:rsidRDefault="00AB1BFC">
      <w:pPr>
        <w:pStyle w:val="TOC1"/>
        <w:rPr>
          <w:rFonts w:asciiTheme="minorHAnsi" w:eastAsiaTheme="minorEastAsia" w:hAnsiTheme="minorHAnsi" w:cstheme="minorBidi"/>
          <w:sz w:val="22"/>
          <w:szCs w:val="22"/>
        </w:rPr>
      </w:pPr>
      <w:hyperlink w:anchor="_Toc109650602" w:history="1">
        <w:r w:rsidR="00D96370" w:rsidRPr="00FD0AA3">
          <w:rPr>
            <w:rStyle w:val="Hyperlink"/>
          </w:rPr>
          <w:t>Adjustments and exclusions</w:t>
        </w:r>
        <w:r w:rsidR="00D96370">
          <w:rPr>
            <w:webHidden/>
          </w:rPr>
          <w:tab/>
        </w:r>
        <w:r w:rsidR="00D96370">
          <w:rPr>
            <w:webHidden/>
          </w:rPr>
          <w:fldChar w:fldCharType="begin"/>
        </w:r>
        <w:r w:rsidR="00D96370">
          <w:rPr>
            <w:webHidden/>
          </w:rPr>
          <w:instrText xml:space="preserve"> PAGEREF _Toc109650602 \h </w:instrText>
        </w:r>
        <w:r w:rsidR="00D96370">
          <w:rPr>
            <w:webHidden/>
          </w:rPr>
        </w:r>
        <w:r w:rsidR="00D96370">
          <w:rPr>
            <w:webHidden/>
          </w:rPr>
          <w:fldChar w:fldCharType="separate"/>
        </w:r>
        <w:r w:rsidR="00D96370">
          <w:rPr>
            <w:webHidden/>
          </w:rPr>
          <w:t>13</w:t>
        </w:r>
        <w:r w:rsidR="00D96370">
          <w:rPr>
            <w:webHidden/>
          </w:rPr>
          <w:fldChar w:fldCharType="end"/>
        </w:r>
      </w:hyperlink>
    </w:p>
    <w:p w14:paraId="2FA2A697" w14:textId="3ED4F227" w:rsidR="00D96370" w:rsidRDefault="00AB1BFC">
      <w:pPr>
        <w:pStyle w:val="TOC1"/>
        <w:rPr>
          <w:rFonts w:asciiTheme="minorHAnsi" w:eastAsiaTheme="minorEastAsia" w:hAnsiTheme="minorHAnsi" w:cstheme="minorBidi"/>
          <w:sz w:val="22"/>
          <w:szCs w:val="22"/>
        </w:rPr>
      </w:pPr>
      <w:hyperlink w:anchor="_Toc109650603" w:history="1">
        <w:r w:rsidR="00D96370" w:rsidRPr="00FD0AA3">
          <w:rPr>
            <w:rStyle w:val="Hyperlink"/>
          </w:rPr>
          <w:t>Previous exercise of discretion</w:t>
        </w:r>
        <w:r w:rsidR="00D96370">
          <w:rPr>
            <w:webHidden/>
          </w:rPr>
          <w:tab/>
        </w:r>
        <w:r w:rsidR="00D96370">
          <w:rPr>
            <w:webHidden/>
          </w:rPr>
          <w:fldChar w:fldCharType="begin"/>
        </w:r>
        <w:r w:rsidR="00D96370">
          <w:rPr>
            <w:webHidden/>
          </w:rPr>
          <w:instrText xml:space="preserve"> PAGEREF _Toc109650603 \h </w:instrText>
        </w:r>
        <w:r w:rsidR="00D96370">
          <w:rPr>
            <w:webHidden/>
          </w:rPr>
        </w:r>
        <w:r w:rsidR="00D96370">
          <w:rPr>
            <w:webHidden/>
          </w:rPr>
          <w:fldChar w:fldCharType="separate"/>
        </w:r>
        <w:r w:rsidR="00D96370">
          <w:rPr>
            <w:webHidden/>
          </w:rPr>
          <w:t>13</w:t>
        </w:r>
        <w:r w:rsidR="00D96370">
          <w:rPr>
            <w:webHidden/>
          </w:rPr>
          <w:fldChar w:fldCharType="end"/>
        </w:r>
      </w:hyperlink>
    </w:p>
    <w:p w14:paraId="0DDDBE22" w14:textId="53F44101" w:rsidR="00D96370" w:rsidRDefault="00AB1BFC">
      <w:pPr>
        <w:pStyle w:val="TOC2"/>
        <w:rPr>
          <w:rFonts w:asciiTheme="minorHAnsi" w:eastAsiaTheme="minorEastAsia" w:hAnsiTheme="minorHAnsi" w:cstheme="minorBidi"/>
          <w:sz w:val="22"/>
          <w:szCs w:val="22"/>
        </w:rPr>
      </w:pPr>
      <w:hyperlink w:anchor="_Toc109650604" w:history="1">
        <w:r w:rsidR="00D96370" w:rsidRPr="00FD0AA3">
          <w:rPr>
            <w:rStyle w:val="Hyperlink"/>
          </w:rPr>
          <w:t>Attachment A - Counterparty grades</w:t>
        </w:r>
        <w:r w:rsidR="00D96370">
          <w:rPr>
            <w:webHidden/>
          </w:rPr>
          <w:tab/>
        </w:r>
        <w:r w:rsidR="00D96370">
          <w:rPr>
            <w:webHidden/>
          </w:rPr>
          <w:fldChar w:fldCharType="begin"/>
        </w:r>
        <w:r w:rsidR="00D96370">
          <w:rPr>
            <w:webHidden/>
          </w:rPr>
          <w:instrText xml:space="preserve"> PAGEREF _Toc109650604 \h </w:instrText>
        </w:r>
        <w:r w:rsidR="00D96370">
          <w:rPr>
            <w:webHidden/>
          </w:rPr>
        </w:r>
        <w:r w:rsidR="00D96370">
          <w:rPr>
            <w:webHidden/>
          </w:rPr>
          <w:fldChar w:fldCharType="separate"/>
        </w:r>
        <w:r w:rsidR="00D96370">
          <w:rPr>
            <w:webHidden/>
          </w:rPr>
          <w:t>14</w:t>
        </w:r>
        <w:r w:rsidR="00D96370">
          <w:rPr>
            <w:webHidden/>
          </w:rPr>
          <w:fldChar w:fldCharType="end"/>
        </w:r>
      </w:hyperlink>
    </w:p>
    <w:p w14:paraId="4DF757E2" w14:textId="77777777"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24F35D82"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48DB590E" w14:textId="77777777" w:rsidR="009D0CCF" w:rsidRPr="008470BD" w:rsidRDefault="009D0CCF" w:rsidP="009D0CCF">
      <w:pPr>
        <w:pStyle w:val="Heading1"/>
        <w:rPr>
          <w:bCs/>
          <w:iCs/>
        </w:rPr>
      </w:pPr>
      <w:bookmarkStart w:id="10" w:name="_Toc180833918"/>
      <w:bookmarkStart w:id="11" w:name="_Toc109650599"/>
      <w:r w:rsidRPr="008470BD">
        <w:lastRenderedPageBreak/>
        <w:t>Authority</w:t>
      </w:r>
      <w:bookmarkEnd w:id="10"/>
      <w:bookmarkEnd w:id="11"/>
      <w:r w:rsidRPr="008470BD">
        <w:t xml:space="preserve"> </w:t>
      </w:r>
    </w:p>
    <w:p w14:paraId="21F44933" w14:textId="77777777" w:rsidR="009D0CCF" w:rsidRPr="00A2203E" w:rsidRDefault="009D0CCF" w:rsidP="009D0CCF">
      <w:pPr>
        <w:pStyle w:val="BodyText1"/>
      </w:pPr>
      <w:r w:rsidRPr="00F50FE8">
        <w:t>This Prudential Standard</w:t>
      </w:r>
      <w:r>
        <w:t xml:space="preserve"> is made under paragraph 230A(1)(a) of the </w:t>
      </w:r>
      <w:r w:rsidRPr="00F77898">
        <w:rPr>
          <w:i/>
        </w:rPr>
        <w:t>Life Insurance Act 1995</w:t>
      </w:r>
      <w:r>
        <w:t xml:space="preserve"> (</w:t>
      </w:r>
      <w:r w:rsidRPr="00331644">
        <w:t>the Act</w:t>
      </w:r>
      <w:r>
        <w:t xml:space="preserve">). </w:t>
      </w:r>
    </w:p>
    <w:p w14:paraId="33A8FE92" w14:textId="736FB202" w:rsidR="009D0CCF" w:rsidRPr="00D055F4" w:rsidRDefault="009D0CCF" w:rsidP="009D0CCF">
      <w:pPr>
        <w:pStyle w:val="Heading1"/>
      </w:pPr>
      <w:bookmarkStart w:id="12" w:name="_Toc180833919"/>
      <w:bookmarkStart w:id="13" w:name="_Toc109650600"/>
      <w:r w:rsidRPr="008470BD">
        <w:t>Application</w:t>
      </w:r>
      <w:bookmarkEnd w:id="12"/>
      <w:r w:rsidR="00D055F4">
        <w:t xml:space="preserve"> and commencement</w:t>
      </w:r>
      <w:bookmarkEnd w:id="13"/>
    </w:p>
    <w:p w14:paraId="753B0718" w14:textId="77777777" w:rsidR="009D0CCF" w:rsidRPr="0038120B" w:rsidRDefault="009D0CCF" w:rsidP="009D0CCF">
      <w:pPr>
        <w:pStyle w:val="BodyText1"/>
      </w:pPr>
      <w:r>
        <w:t>This Prudential Standard commences on 1 July 2023.</w:t>
      </w:r>
      <w:r w:rsidRPr="005F682C">
        <w:rPr>
          <w:szCs w:val="22"/>
        </w:rPr>
        <w:t xml:space="preserve"> </w:t>
      </w:r>
    </w:p>
    <w:p w14:paraId="748C1EAC" w14:textId="77777777" w:rsidR="009D0CCF" w:rsidRDefault="009D0CCF" w:rsidP="009D0CCF">
      <w:pPr>
        <w:pStyle w:val="BodyText1"/>
      </w:pPr>
      <w:r>
        <w:t>Unless the contrary intention appears, definitions in this Prudential Standard apply to all prudential standards made under paragraph 230A(1)(a) of the Act (collectively ‘</w:t>
      </w:r>
      <w:r w:rsidRPr="00331644">
        <w:t>LI Prudential Standards</w:t>
      </w:r>
      <w:r>
        <w:t>’).</w:t>
      </w:r>
    </w:p>
    <w:p w14:paraId="58102707" w14:textId="77777777" w:rsidR="009D0CCF" w:rsidRPr="008470BD" w:rsidRDefault="009D0CCF" w:rsidP="009D0CCF">
      <w:pPr>
        <w:pStyle w:val="Heading1"/>
      </w:pPr>
      <w:bookmarkStart w:id="14" w:name="_Toc109650601"/>
      <w:bookmarkStart w:id="15" w:name="_Toc180833922"/>
      <w:r w:rsidRPr="008470BD">
        <w:t>Definitions</w:t>
      </w:r>
      <w:bookmarkEnd w:id="14"/>
    </w:p>
    <w:p w14:paraId="7EB62502" w14:textId="77777777" w:rsidR="009D0CCF" w:rsidRDefault="009D0CCF" w:rsidP="009D0CCF">
      <w:pPr>
        <w:pStyle w:val="BodyText1"/>
        <w:rPr>
          <w:snapToGrid w:val="0"/>
        </w:rPr>
      </w:pPr>
      <w:r>
        <w:rPr>
          <w:snapToGrid w:val="0"/>
        </w:rPr>
        <w:t>K</w:t>
      </w:r>
      <w:r w:rsidRPr="0038120B">
        <w:rPr>
          <w:snapToGrid w:val="0"/>
        </w:rPr>
        <w:t xml:space="preserve">ey terms referred to in the </w:t>
      </w:r>
      <w:r>
        <w:rPr>
          <w:snapToGrid w:val="0"/>
        </w:rPr>
        <w:t>L</w:t>
      </w:r>
      <w:r w:rsidRPr="0038120B">
        <w:rPr>
          <w:snapToGrid w:val="0"/>
        </w:rPr>
        <w:t>I Prudential Standards are defined as follows</w:t>
      </w:r>
      <w:r>
        <w:rPr>
          <w:snapToGrid w:val="0"/>
        </w:rPr>
        <w:t>:</w:t>
      </w:r>
    </w:p>
    <w:bookmarkEnd w:id="15"/>
    <w:p w14:paraId="2CB6CC64" w14:textId="77777777" w:rsidR="009D0CCF" w:rsidRDefault="009D0CCF" w:rsidP="009D0CCF">
      <w:pPr>
        <w:ind w:left="567"/>
        <w:jc w:val="both"/>
        <w:rPr>
          <w:bCs/>
        </w:rPr>
      </w:pPr>
      <w:r w:rsidRPr="00D60937">
        <w:rPr>
          <w:b/>
          <w:bCs/>
        </w:rPr>
        <w:t>AASB</w:t>
      </w:r>
      <w:r>
        <w:rPr>
          <w:b/>
          <w:bCs/>
        </w:rPr>
        <w:t xml:space="preserve"> </w:t>
      </w:r>
      <w:r w:rsidRPr="00E1133D">
        <w:rPr>
          <w:bCs/>
        </w:rPr>
        <w:t>means</w:t>
      </w:r>
      <w:r>
        <w:rPr>
          <w:b/>
          <w:bCs/>
        </w:rPr>
        <w:t xml:space="preserve"> </w:t>
      </w:r>
      <w:r w:rsidRPr="00DC34C6">
        <w:rPr>
          <w:bCs/>
        </w:rPr>
        <w:t>Australian Accounting Standard</w:t>
      </w:r>
      <w:r>
        <w:rPr>
          <w:bCs/>
        </w:rPr>
        <w:t>s</w:t>
      </w:r>
      <w:r w:rsidRPr="00DC34C6">
        <w:rPr>
          <w:bCs/>
        </w:rPr>
        <w:t xml:space="preserve"> Board</w:t>
      </w:r>
      <w:r>
        <w:rPr>
          <w:bCs/>
        </w:rPr>
        <w:t>.</w:t>
      </w:r>
    </w:p>
    <w:p w14:paraId="7BCBEC2B" w14:textId="77777777" w:rsidR="009D0CCF" w:rsidRPr="00DC34C6" w:rsidRDefault="009D0CCF" w:rsidP="009D0CCF">
      <w:pPr>
        <w:ind w:left="567"/>
        <w:jc w:val="both"/>
        <w:rPr>
          <w:bCs/>
        </w:rPr>
      </w:pPr>
      <w:r w:rsidRPr="00D60937">
        <w:rPr>
          <w:b/>
          <w:bCs/>
        </w:rPr>
        <w:t xml:space="preserve">Acquisition </w:t>
      </w:r>
      <w:r>
        <w:rPr>
          <w:b/>
          <w:bCs/>
        </w:rPr>
        <w:t>e</w:t>
      </w:r>
      <w:r w:rsidRPr="00D60937">
        <w:rPr>
          <w:b/>
          <w:bCs/>
        </w:rPr>
        <w:t>xpenses</w:t>
      </w:r>
      <w:r>
        <w:rPr>
          <w:bCs/>
        </w:rPr>
        <w:t xml:space="preserve"> means the</w:t>
      </w:r>
      <w:r w:rsidRPr="00DC34C6">
        <w:rPr>
          <w:bCs/>
        </w:rPr>
        <w:t xml:space="preserve"> fixed and variable expenses of </w:t>
      </w:r>
      <w:r>
        <w:rPr>
          <w:bCs/>
        </w:rPr>
        <w:t xml:space="preserve">a life </w:t>
      </w:r>
      <w:r w:rsidRPr="00DC34C6">
        <w:rPr>
          <w:bCs/>
        </w:rPr>
        <w:t>company to the extent they are, either directly or indirectly,</w:t>
      </w:r>
      <w:r>
        <w:rPr>
          <w:bCs/>
        </w:rPr>
        <w:t xml:space="preserve"> </w:t>
      </w:r>
      <w:r w:rsidRPr="00DC34C6">
        <w:rPr>
          <w:bCs/>
        </w:rPr>
        <w:t>referable to those activities of the company related to the acquiring</w:t>
      </w:r>
      <w:r>
        <w:rPr>
          <w:bCs/>
        </w:rPr>
        <w:t xml:space="preserve"> </w:t>
      </w:r>
      <w:r w:rsidRPr="00DC34C6">
        <w:rPr>
          <w:bCs/>
        </w:rPr>
        <w:t>of that new business expected to derive from the expenditure.</w:t>
      </w:r>
    </w:p>
    <w:p w14:paraId="593037A3" w14:textId="77777777" w:rsidR="009D0CCF" w:rsidRPr="008E57EF" w:rsidRDefault="009D0CCF" w:rsidP="009D0CCF">
      <w:pPr>
        <w:pStyle w:val="BodyText"/>
        <w:ind w:left="567"/>
        <w:rPr>
          <w:highlight w:val="green"/>
        </w:rPr>
      </w:pPr>
      <w:r>
        <w:rPr>
          <w:b/>
        </w:rPr>
        <w:t>Actuarial</w:t>
      </w:r>
      <w:r w:rsidRPr="008E57EF">
        <w:rPr>
          <w:b/>
        </w:rPr>
        <w:t xml:space="preserve"> Valuation Report </w:t>
      </w:r>
      <w:r>
        <w:t>(A</w:t>
      </w:r>
      <w:r w:rsidRPr="00496352">
        <w:t>VR)</w:t>
      </w:r>
      <w:r w:rsidRPr="008E57EF">
        <w:rPr>
          <w:b/>
        </w:rPr>
        <w:t xml:space="preserve"> </w:t>
      </w:r>
      <w:r w:rsidRPr="008E57EF">
        <w:t xml:space="preserve">is as defined in </w:t>
      </w:r>
      <w:r w:rsidRPr="00B41CF0">
        <w:rPr>
          <w:i/>
        </w:rPr>
        <w:t>Prudential Standard CPS</w:t>
      </w:r>
      <w:r>
        <w:rPr>
          <w:i/>
        </w:rPr>
        <w:t> 320 Actuarial a</w:t>
      </w:r>
      <w:r w:rsidRPr="00B41CF0">
        <w:rPr>
          <w:i/>
        </w:rPr>
        <w:t>nd Related Matters</w:t>
      </w:r>
      <w:r>
        <w:t xml:space="preserve"> (C</w:t>
      </w:r>
      <w:r w:rsidRPr="008E57EF">
        <w:t>PS 320</w:t>
      </w:r>
      <w:r>
        <w:t>)</w:t>
      </w:r>
      <w:r w:rsidRPr="008E57EF">
        <w:rPr>
          <w:i/>
        </w:rPr>
        <w:t>.</w:t>
      </w:r>
    </w:p>
    <w:p w14:paraId="29D35889" w14:textId="77777777" w:rsidR="009D0CCF" w:rsidRPr="005A16C2" w:rsidRDefault="009D0CCF" w:rsidP="009D0CCF">
      <w:pPr>
        <w:ind w:left="567"/>
        <w:jc w:val="both"/>
        <w:rPr>
          <w:bCs/>
        </w:rPr>
      </w:pPr>
      <w:r w:rsidRPr="005A16C2">
        <w:rPr>
          <w:b/>
          <w:bCs/>
        </w:rPr>
        <w:t>Actuary</w:t>
      </w:r>
      <w:r w:rsidRPr="005A16C2">
        <w:rPr>
          <w:bCs/>
        </w:rPr>
        <w:t xml:space="preserve"> means an actuary appointed under section 93 of the Act.</w:t>
      </w:r>
    </w:p>
    <w:p w14:paraId="2BF83DF6" w14:textId="77777777" w:rsidR="009D0CCF" w:rsidRPr="005A16C2" w:rsidRDefault="009D0CCF" w:rsidP="009D0CCF">
      <w:pPr>
        <w:ind w:left="567"/>
        <w:jc w:val="both"/>
        <w:rPr>
          <w:b/>
          <w:bCs/>
        </w:rPr>
      </w:pPr>
      <w:r w:rsidRPr="00F77898">
        <w:rPr>
          <w:b/>
        </w:rPr>
        <w:t>Additional Tier 1</w:t>
      </w:r>
      <w:r>
        <w:rPr>
          <w:b/>
        </w:rPr>
        <w:t xml:space="preserve"> Capital</w:t>
      </w:r>
      <w:r w:rsidRPr="00F77898">
        <w:rPr>
          <w:b/>
        </w:rPr>
        <w:t xml:space="preserve"> </w:t>
      </w:r>
      <w:r w:rsidRPr="00F77898">
        <w:t xml:space="preserve">is as defined in </w:t>
      </w:r>
      <w:r>
        <w:rPr>
          <w:i/>
        </w:rPr>
        <w:t>Prudential Standard L</w:t>
      </w:r>
      <w:r w:rsidRPr="00F77898">
        <w:rPr>
          <w:i/>
        </w:rPr>
        <w:t>PS 112 Capital Adequacy: Measurement of Capita</w:t>
      </w:r>
      <w:r>
        <w:rPr>
          <w:i/>
        </w:rPr>
        <w:t>l</w:t>
      </w:r>
      <w:r>
        <w:rPr>
          <w:snapToGrid w:val="0"/>
          <w:color w:val="000000"/>
        </w:rPr>
        <w:t xml:space="preserve"> (</w:t>
      </w:r>
      <w:r w:rsidRPr="00331644">
        <w:rPr>
          <w:snapToGrid w:val="0"/>
          <w:color w:val="000000"/>
        </w:rPr>
        <w:t>LPS 112)</w:t>
      </w:r>
      <w:r w:rsidRPr="00331644">
        <w:rPr>
          <w:i/>
        </w:rPr>
        <w:t>.</w:t>
      </w:r>
    </w:p>
    <w:p w14:paraId="6D6DD710" w14:textId="0B5DADE9" w:rsidR="009D0CCF" w:rsidRPr="00DC34C6" w:rsidRDefault="009D0CCF" w:rsidP="009D0CCF">
      <w:pPr>
        <w:ind w:left="567"/>
        <w:jc w:val="both"/>
        <w:rPr>
          <w:bCs/>
        </w:rPr>
      </w:pPr>
      <w:r w:rsidRPr="005A16C2">
        <w:rPr>
          <w:b/>
          <w:bCs/>
        </w:rPr>
        <w:t xml:space="preserve">Adequacy threshold </w:t>
      </w:r>
      <w:r w:rsidRPr="005A16C2">
        <w:rPr>
          <w:bCs/>
        </w:rPr>
        <w:t>is</w:t>
      </w:r>
      <w:r w:rsidRPr="00DC34C6">
        <w:rPr>
          <w:bCs/>
        </w:rPr>
        <w:t xml:space="preserve"> the minimum</w:t>
      </w:r>
      <w:r>
        <w:rPr>
          <w:bCs/>
        </w:rPr>
        <w:t xml:space="preserve"> </w:t>
      </w:r>
      <w:r w:rsidRPr="00DC34C6">
        <w:rPr>
          <w:bCs/>
        </w:rPr>
        <w:t xml:space="preserve">value for </w:t>
      </w:r>
      <w:r w:rsidRPr="004915C6">
        <w:rPr>
          <w:bCs/>
        </w:rPr>
        <w:t>expected future profits</w:t>
      </w:r>
      <w:r>
        <w:rPr>
          <w:b/>
          <w:bCs/>
        </w:rPr>
        <w:t xml:space="preserve"> </w:t>
      </w:r>
      <w:r>
        <w:rPr>
          <w:bCs/>
        </w:rPr>
        <w:t>of a subcategory</w:t>
      </w:r>
      <w:r>
        <w:rPr>
          <w:rStyle w:val="FootnoteReference"/>
          <w:bCs/>
        </w:rPr>
        <w:footnoteReference w:id="2"/>
      </w:r>
      <w:r>
        <w:rPr>
          <w:bCs/>
        </w:rPr>
        <w:t xml:space="preserve"> </w:t>
      </w:r>
      <w:r w:rsidRPr="00DC34C6">
        <w:rPr>
          <w:bCs/>
        </w:rPr>
        <w:t xml:space="preserve">under </w:t>
      </w:r>
      <w:r w:rsidR="00074B95" w:rsidRPr="00074B95">
        <w:rPr>
          <w:bCs/>
          <w:i/>
        </w:rPr>
        <w:t>Prudential Standard LPS 340 Valuation of Policy Liabilities</w:t>
      </w:r>
      <w:r w:rsidR="00074B95">
        <w:rPr>
          <w:bCs/>
        </w:rPr>
        <w:t xml:space="preserve"> (</w:t>
      </w:r>
      <w:r>
        <w:rPr>
          <w:bCs/>
        </w:rPr>
        <w:t>LPS 340</w:t>
      </w:r>
      <w:r w:rsidR="00074B95">
        <w:rPr>
          <w:bCs/>
        </w:rPr>
        <w:t>)</w:t>
      </w:r>
      <w:r w:rsidRPr="00DC34C6">
        <w:rPr>
          <w:bCs/>
        </w:rPr>
        <w:t xml:space="preserve"> - i.e. it is the level at which losses must be</w:t>
      </w:r>
      <w:r>
        <w:rPr>
          <w:bCs/>
        </w:rPr>
        <w:t xml:space="preserve"> </w:t>
      </w:r>
      <w:r w:rsidRPr="00D21CA3">
        <w:rPr>
          <w:bCs/>
        </w:rPr>
        <w:t>recognised.</w:t>
      </w:r>
    </w:p>
    <w:p w14:paraId="29E072B5" w14:textId="4AD7CC3C" w:rsidR="009D0CCF" w:rsidRDefault="009D0CCF" w:rsidP="009D0CCF">
      <w:pPr>
        <w:ind w:left="567"/>
        <w:jc w:val="both"/>
        <w:rPr>
          <w:i/>
          <w:snapToGrid w:val="0"/>
          <w:color w:val="000000"/>
        </w:rPr>
      </w:pPr>
      <w:r w:rsidRPr="00D60937">
        <w:rPr>
          <w:b/>
          <w:snapToGrid w:val="0"/>
          <w:color w:val="000000"/>
        </w:rPr>
        <w:t>Adjusted policy liabilities</w:t>
      </w:r>
      <w:r>
        <w:rPr>
          <w:snapToGrid w:val="0"/>
          <w:color w:val="000000"/>
        </w:rPr>
        <w:t xml:space="preserve"> means</w:t>
      </w:r>
      <w:r w:rsidRPr="0038120B">
        <w:rPr>
          <w:snapToGrid w:val="0"/>
          <w:color w:val="000000"/>
        </w:rPr>
        <w:t xml:space="preserve"> </w:t>
      </w:r>
      <w:r>
        <w:rPr>
          <w:snapToGrid w:val="0"/>
          <w:color w:val="000000"/>
        </w:rPr>
        <w:t xml:space="preserve">the liabilities to policy owners as defined for the purpose of determining the capital base of a statutory fund </w:t>
      </w:r>
      <w:r w:rsidR="00A009B2">
        <w:rPr>
          <w:snapToGrid w:val="0"/>
          <w:color w:val="000000"/>
        </w:rPr>
        <w:t xml:space="preserve">and general fund </w:t>
      </w:r>
      <w:r w:rsidRPr="0038120B">
        <w:rPr>
          <w:snapToGrid w:val="0"/>
          <w:color w:val="000000"/>
        </w:rPr>
        <w:t>in</w:t>
      </w:r>
      <w:r w:rsidRPr="005A16C2">
        <w:rPr>
          <w:snapToGrid w:val="0"/>
          <w:color w:val="000000"/>
        </w:rPr>
        <w:t xml:space="preserve"> </w:t>
      </w:r>
      <w:r w:rsidRPr="00F77898">
        <w:rPr>
          <w:snapToGrid w:val="0"/>
          <w:color w:val="000000"/>
        </w:rPr>
        <w:t>LPS 112</w:t>
      </w:r>
      <w:r>
        <w:rPr>
          <w:i/>
          <w:snapToGrid w:val="0"/>
          <w:color w:val="000000"/>
        </w:rPr>
        <w:t>.</w:t>
      </w:r>
    </w:p>
    <w:p w14:paraId="229D40D4" w14:textId="77777777" w:rsidR="009D0CCF" w:rsidRPr="00A72840" w:rsidRDefault="009D0CCF" w:rsidP="009D0CCF">
      <w:pPr>
        <w:ind w:left="567"/>
        <w:jc w:val="both"/>
        <w:rPr>
          <w:bCs/>
        </w:rPr>
      </w:pPr>
      <w:r>
        <w:rPr>
          <w:b/>
          <w:bCs/>
        </w:rPr>
        <w:t xml:space="preserve">APRA product groups </w:t>
      </w:r>
      <w:r>
        <w:rPr>
          <w:bCs/>
        </w:rPr>
        <w:t xml:space="preserve">means the product groups listed and defined in </w:t>
      </w:r>
      <w:r>
        <w:rPr>
          <w:bCs/>
          <w:i/>
        </w:rPr>
        <w:t xml:space="preserve">Reporting Standard LRS 001 Reporting Requirements. </w:t>
      </w:r>
      <w:r w:rsidRPr="0089759D">
        <w:rPr>
          <w:bCs/>
        </w:rPr>
        <w:t>The product groups are to be used for the purpose of completing the information required under</w:t>
      </w:r>
      <w:r>
        <w:rPr>
          <w:bCs/>
          <w:i/>
        </w:rPr>
        <w:t xml:space="preserve"> Reporting Standard LRS 200.0 Capital Adequacy Supplementary Information. </w:t>
      </w:r>
    </w:p>
    <w:p w14:paraId="05CCCBE7" w14:textId="77777777" w:rsidR="009D0CCF" w:rsidRDefault="009D0CCF" w:rsidP="009D0CCF">
      <w:pPr>
        <w:ind w:left="567"/>
        <w:jc w:val="both"/>
        <w:rPr>
          <w:bCs/>
        </w:rPr>
      </w:pPr>
      <w:r w:rsidRPr="00505532">
        <w:rPr>
          <w:b/>
          <w:bCs/>
        </w:rPr>
        <w:t>Appointed Actuary</w:t>
      </w:r>
      <w:r>
        <w:rPr>
          <w:bCs/>
        </w:rPr>
        <w:t xml:space="preserve"> means a</w:t>
      </w:r>
      <w:r w:rsidRPr="00DC34C6">
        <w:rPr>
          <w:bCs/>
        </w:rPr>
        <w:t xml:space="preserve">n actuary </w:t>
      </w:r>
      <w:r>
        <w:rPr>
          <w:bCs/>
        </w:rPr>
        <w:t xml:space="preserve">appointed </w:t>
      </w:r>
      <w:r w:rsidRPr="00DC34C6">
        <w:rPr>
          <w:bCs/>
        </w:rPr>
        <w:t>under</w:t>
      </w:r>
      <w:r>
        <w:rPr>
          <w:bCs/>
        </w:rPr>
        <w:t xml:space="preserve"> section 93 of</w:t>
      </w:r>
      <w:r w:rsidRPr="00DC34C6">
        <w:rPr>
          <w:bCs/>
        </w:rPr>
        <w:t xml:space="preserve"> the Act.</w:t>
      </w:r>
    </w:p>
    <w:p w14:paraId="1CB709F4" w14:textId="77777777" w:rsidR="009D0CCF" w:rsidRDefault="009D0CCF" w:rsidP="009D0CCF">
      <w:pPr>
        <w:ind w:left="567"/>
        <w:jc w:val="both"/>
        <w:rPr>
          <w:b/>
          <w:bCs/>
        </w:rPr>
      </w:pPr>
      <w:r>
        <w:rPr>
          <w:b/>
          <w:bCs/>
        </w:rPr>
        <w:t xml:space="preserve">Approved benefit funds </w:t>
      </w:r>
      <w:r w:rsidRPr="00EF1435">
        <w:rPr>
          <w:bCs/>
        </w:rPr>
        <w:t>refer</w:t>
      </w:r>
      <w:r>
        <w:rPr>
          <w:bCs/>
        </w:rPr>
        <w:t>s</w:t>
      </w:r>
      <w:r w:rsidRPr="00EF1435">
        <w:rPr>
          <w:bCs/>
        </w:rPr>
        <w:t xml:space="preserve"> to friendly society benefit funds approved by APRA according to the provisions of </w:t>
      </w:r>
      <w:r w:rsidRPr="00DD4915">
        <w:rPr>
          <w:bCs/>
          <w:i/>
        </w:rPr>
        <w:t xml:space="preserve">Prudential </w:t>
      </w:r>
      <w:r w:rsidRPr="002B5897">
        <w:rPr>
          <w:bCs/>
          <w:i/>
        </w:rPr>
        <w:t xml:space="preserve">Standard LPS 700 Friendly Society Benefit </w:t>
      </w:r>
      <w:r w:rsidRPr="00331644">
        <w:rPr>
          <w:bCs/>
          <w:i/>
        </w:rPr>
        <w:t xml:space="preserve">Funds </w:t>
      </w:r>
      <w:r w:rsidRPr="00331644">
        <w:rPr>
          <w:bCs/>
        </w:rPr>
        <w:t>(LPS 700)</w:t>
      </w:r>
      <w:r w:rsidRPr="002B5897">
        <w:rPr>
          <w:bCs/>
          <w:i/>
        </w:rPr>
        <w:t xml:space="preserve"> </w:t>
      </w:r>
      <w:r w:rsidRPr="00EF1435">
        <w:rPr>
          <w:bCs/>
        </w:rPr>
        <w:t>and the Act.</w:t>
      </w:r>
    </w:p>
    <w:p w14:paraId="35058F7C" w14:textId="77777777" w:rsidR="009D0CCF" w:rsidRDefault="009D0CCF" w:rsidP="009D0CCF">
      <w:pPr>
        <w:ind w:left="567"/>
        <w:jc w:val="both"/>
        <w:rPr>
          <w:bCs/>
        </w:rPr>
      </w:pPr>
      <w:r w:rsidRPr="0043488A">
        <w:rPr>
          <w:b/>
          <w:bCs/>
        </w:rPr>
        <w:lastRenderedPageBreak/>
        <w:t>Asset Concentration Risk Charge</w:t>
      </w:r>
      <w:r>
        <w:rPr>
          <w:bCs/>
        </w:rPr>
        <w:t xml:space="preserve"> means the risk charge determined under </w:t>
      </w:r>
      <w:r w:rsidRPr="00DD4915">
        <w:rPr>
          <w:bCs/>
          <w:i/>
        </w:rPr>
        <w:t>Prudential Standard LPS 11</w:t>
      </w:r>
      <w:r>
        <w:rPr>
          <w:bCs/>
          <w:i/>
        </w:rPr>
        <w:t>7</w:t>
      </w:r>
      <w:r w:rsidRPr="00DD4915">
        <w:rPr>
          <w:bCs/>
          <w:i/>
        </w:rPr>
        <w:t xml:space="preserve"> </w:t>
      </w:r>
      <w:r>
        <w:rPr>
          <w:bCs/>
          <w:i/>
        </w:rPr>
        <w:t xml:space="preserve">Capital Adequacy: </w:t>
      </w:r>
      <w:r w:rsidRPr="00DD4915">
        <w:rPr>
          <w:bCs/>
          <w:i/>
        </w:rPr>
        <w:t>Asset</w:t>
      </w:r>
      <w:r>
        <w:rPr>
          <w:bCs/>
          <w:i/>
        </w:rPr>
        <w:t xml:space="preserve"> Concentration</w:t>
      </w:r>
      <w:r w:rsidRPr="00DD4915">
        <w:rPr>
          <w:bCs/>
          <w:i/>
        </w:rPr>
        <w:t xml:space="preserve"> Risk Charge</w:t>
      </w:r>
      <w:r>
        <w:rPr>
          <w:bCs/>
          <w:i/>
        </w:rPr>
        <w:t>.</w:t>
      </w:r>
    </w:p>
    <w:p w14:paraId="315E6A94" w14:textId="77777777" w:rsidR="009D0CCF" w:rsidRDefault="009D0CCF" w:rsidP="009D0CCF">
      <w:pPr>
        <w:ind w:left="567"/>
        <w:jc w:val="both"/>
        <w:rPr>
          <w:bCs/>
        </w:rPr>
      </w:pPr>
      <w:r w:rsidRPr="0043488A">
        <w:rPr>
          <w:b/>
          <w:bCs/>
        </w:rPr>
        <w:t>Asset Risk Charge</w:t>
      </w:r>
      <w:r>
        <w:rPr>
          <w:bCs/>
        </w:rPr>
        <w:t xml:space="preserve"> means the risk charge determined under </w:t>
      </w:r>
      <w:r w:rsidRPr="00DD4915">
        <w:rPr>
          <w:bCs/>
          <w:i/>
        </w:rPr>
        <w:t xml:space="preserve">Prudential Standard LPS 114 </w:t>
      </w:r>
      <w:r>
        <w:rPr>
          <w:bCs/>
          <w:i/>
        </w:rPr>
        <w:t xml:space="preserve">Capital Adequacy: </w:t>
      </w:r>
      <w:r w:rsidRPr="00DD4915">
        <w:rPr>
          <w:bCs/>
          <w:i/>
        </w:rPr>
        <w:t>Asset Risk Charge</w:t>
      </w:r>
      <w:r>
        <w:rPr>
          <w:bCs/>
        </w:rPr>
        <w:t>.</w:t>
      </w:r>
    </w:p>
    <w:p w14:paraId="0E2B8423" w14:textId="77777777" w:rsidR="009D0CCF" w:rsidRDefault="009D0CCF" w:rsidP="009D0CCF">
      <w:pPr>
        <w:pStyle w:val="BodyText"/>
        <w:ind w:left="567"/>
        <w:rPr>
          <w:i/>
        </w:rPr>
      </w:pPr>
      <w:r>
        <w:rPr>
          <w:b/>
        </w:rPr>
        <w:t xml:space="preserve">Associate </w:t>
      </w:r>
      <w:r>
        <w:t xml:space="preserve">means an associate as defined under </w:t>
      </w:r>
      <w:r>
        <w:rPr>
          <w:i/>
        </w:rPr>
        <w:t xml:space="preserve">Australian Accounting Standard AASB 128 Investments in Associates and Joint Ventures. </w:t>
      </w:r>
    </w:p>
    <w:p w14:paraId="3678FA6C" w14:textId="77777777" w:rsidR="009D0CCF" w:rsidRPr="00466187" w:rsidRDefault="009D0CCF" w:rsidP="009D0CCF">
      <w:pPr>
        <w:pStyle w:val="BodyText"/>
        <w:ind w:left="567"/>
        <w:rPr>
          <w:b/>
        </w:rPr>
      </w:pPr>
      <w:r w:rsidRPr="00466187">
        <w:rPr>
          <w:b/>
        </w:rPr>
        <w:t>Auditing and Assurance Standards </w:t>
      </w:r>
      <w:r w:rsidRPr="00466187">
        <w:t>is a reference to the Auditing and Assurance Standards issued by the Auditing and Assurance Standards Board (AUASB) as may be amended from time to time.</w:t>
      </w:r>
    </w:p>
    <w:p w14:paraId="5A2BD48E" w14:textId="77777777" w:rsidR="009D0CCF" w:rsidRDefault="009D0CCF" w:rsidP="009D0CCF">
      <w:pPr>
        <w:pStyle w:val="BodyText"/>
        <w:ind w:left="567"/>
        <w:jc w:val="both"/>
      </w:pPr>
      <w:r w:rsidRPr="003B393D">
        <w:rPr>
          <w:b/>
        </w:rPr>
        <w:t>Australian Accounting Standards</w:t>
      </w:r>
      <w:r w:rsidRPr="003B393D">
        <w:t xml:space="preserve"> is a reference to the Australian Accounting Standards issued by the </w:t>
      </w:r>
      <w:r w:rsidRPr="00417B9A">
        <w:rPr>
          <w:b/>
        </w:rPr>
        <w:t>AASB</w:t>
      </w:r>
      <w:r w:rsidRPr="00A4430A">
        <w:rPr>
          <w:b/>
        </w:rPr>
        <w:t xml:space="preserve"> </w:t>
      </w:r>
      <w:r w:rsidRPr="003B393D">
        <w:t>as may be amended from time to time.</w:t>
      </w:r>
    </w:p>
    <w:p w14:paraId="5E8624D3" w14:textId="77777777" w:rsidR="009D0CCF" w:rsidRPr="00D32767" w:rsidRDefault="009D0CCF" w:rsidP="009D0CCF">
      <w:pPr>
        <w:ind w:left="567"/>
        <w:jc w:val="both"/>
        <w:rPr>
          <w:bCs/>
        </w:rPr>
      </w:pPr>
      <w:bookmarkStart w:id="16" w:name="_Hlk85548341"/>
      <w:r>
        <w:rPr>
          <w:b/>
          <w:bCs/>
        </w:rPr>
        <w:t xml:space="preserve">Authorised deposit-taking institution </w:t>
      </w:r>
      <w:r w:rsidRPr="00D32767">
        <w:rPr>
          <w:bCs/>
        </w:rPr>
        <w:t>(ADI</w:t>
      </w:r>
      <w:r>
        <w:rPr>
          <w:bCs/>
        </w:rPr>
        <w:t xml:space="preserve">) means </w:t>
      </w:r>
      <w:r w:rsidRPr="00130A7A">
        <w:rPr>
          <w:bCs/>
        </w:rPr>
        <w:t xml:space="preserve">a deposit-taking institution authorised by APRA under the </w:t>
      </w:r>
      <w:r w:rsidRPr="00FA2EEC">
        <w:rPr>
          <w:bCs/>
          <w:i/>
        </w:rPr>
        <w:t>Banking Act 1959</w:t>
      </w:r>
      <w:r w:rsidRPr="00130A7A">
        <w:rPr>
          <w:bCs/>
        </w:rPr>
        <w:t xml:space="preserve"> (</w:t>
      </w:r>
      <w:r w:rsidRPr="00331644">
        <w:rPr>
          <w:bCs/>
        </w:rPr>
        <w:t>Banking Act</w:t>
      </w:r>
      <w:r w:rsidRPr="00130A7A">
        <w:rPr>
          <w:bCs/>
        </w:rPr>
        <w:t>)</w:t>
      </w:r>
      <w:r>
        <w:rPr>
          <w:bCs/>
        </w:rPr>
        <w:t>. It</w:t>
      </w:r>
      <w:r w:rsidRPr="00130A7A">
        <w:rPr>
          <w:bCs/>
        </w:rPr>
        <w:t xml:space="preserve"> includes foreign ADIs as defined in the Banking Act</w:t>
      </w:r>
      <w:r w:rsidRPr="00307BF2">
        <w:rPr>
          <w:bCs/>
        </w:rPr>
        <w:t>.</w:t>
      </w:r>
    </w:p>
    <w:bookmarkEnd w:id="16"/>
    <w:p w14:paraId="5B3F994E" w14:textId="77777777" w:rsidR="009D0CCF" w:rsidRPr="00DC34C6" w:rsidRDefault="009D0CCF" w:rsidP="009D0CCF">
      <w:pPr>
        <w:ind w:left="567"/>
        <w:jc w:val="both"/>
        <w:rPr>
          <w:bCs/>
        </w:rPr>
      </w:pPr>
      <w:r w:rsidRPr="0043488A">
        <w:rPr>
          <w:b/>
          <w:bCs/>
        </w:rPr>
        <w:t xml:space="preserve">Best </w:t>
      </w:r>
      <w:r>
        <w:rPr>
          <w:b/>
          <w:bCs/>
        </w:rPr>
        <w:t>e</w:t>
      </w:r>
      <w:r w:rsidRPr="0043488A">
        <w:rPr>
          <w:b/>
          <w:bCs/>
        </w:rPr>
        <w:t xml:space="preserve">stimate </w:t>
      </w:r>
      <w:r>
        <w:rPr>
          <w:b/>
          <w:bCs/>
        </w:rPr>
        <w:t>a</w:t>
      </w:r>
      <w:r w:rsidRPr="0043488A">
        <w:rPr>
          <w:b/>
          <w:bCs/>
        </w:rPr>
        <w:t>ssumptions</w:t>
      </w:r>
      <w:r>
        <w:rPr>
          <w:bCs/>
        </w:rPr>
        <w:t xml:space="preserve"> means a</w:t>
      </w:r>
      <w:r w:rsidRPr="00DC34C6">
        <w:rPr>
          <w:bCs/>
        </w:rPr>
        <w:t>ssumptions about future experience</w:t>
      </w:r>
      <w:r>
        <w:rPr>
          <w:bCs/>
        </w:rPr>
        <w:t xml:space="preserve"> </w:t>
      </w:r>
      <w:r w:rsidRPr="00DC34C6">
        <w:rPr>
          <w:bCs/>
        </w:rPr>
        <w:t xml:space="preserve">determined in accordance with </w:t>
      </w:r>
      <w:r>
        <w:rPr>
          <w:bCs/>
        </w:rPr>
        <w:t>LPS 340</w:t>
      </w:r>
      <w:r w:rsidRPr="00DC34C6">
        <w:rPr>
          <w:bCs/>
        </w:rPr>
        <w:t>.</w:t>
      </w:r>
    </w:p>
    <w:p w14:paraId="31E91955" w14:textId="77777777" w:rsidR="009D0CCF" w:rsidRPr="00DC34C6" w:rsidRDefault="009D0CCF" w:rsidP="009D0CCF">
      <w:pPr>
        <w:ind w:left="567"/>
        <w:jc w:val="both"/>
        <w:rPr>
          <w:bCs/>
        </w:rPr>
      </w:pPr>
      <w:r w:rsidRPr="0043488A">
        <w:rPr>
          <w:b/>
          <w:bCs/>
        </w:rPr>
        <w:t xml:space="preserve">Best </w:t>
      </w:r>
      <w:r>
        <w:rPr>
          <w:b/>
          <w:bCs/>
        </w:rPr>
        <w:t>e</w:t>
      </w:r>
      <w:r w:rsidRPr="0043488A">
        <w:rPr>
          <w:b/>
          <w:bCs/>
        </w:rPr>
        <w:t xml:space="preserve">stimate </w:t>
      </w:r>
      <w:r>
        <w:rPr>
          <w:b/>
          <w:bCs/>
        </w:rPr>
        <w:t>b</w:t>
      </w:r>
      <w:r w:rsidRPr="0043488A">
        <w:rPr>
          <w:b/>
          <w:bCs/>
        </w:rPr>
        <w:t>onus</w:t>
      </w:r>
      <w:r>
        <w:rPr>
          <w:bCs/>
        </w:rPr>
        <w:t xml:space="preserve"> refers to t</w:t>
      </w:r>
      <w:r w:rsidRPr="00DC34C6">
        <w:rPr>
          <w:bCs/>
        </w:rPr>
        <w:t xml:space="preserve">he maximum level of </w:t>
      </w:r>
      <w:r>
        <w:rPr>
          <w:b/>
          <w:bCs/>
        </w:rPr>
        <w:t>b</w:t>
      </w:r>
      <w:r w:rsidRPr="00F77898">
        <w:rPr>
          <w:b/>
          <w:bCs/>
        </w:rPr>
        <w:t>onus</w:t>
      </w:r>
      <w:r w:rsidRPr="00DC34C6">
        <w:rPr>
          <w:bCs/>
        </w:rPr>
        <w:t xml:space="preserve"> which (on </w:t>
      </w:r>
      <w:r>
        <w:rPr>
          <w:bCs/>
        </w:rPr>
        <w:t>b</w:t>
      </w:r>
      <w:r w:rsidRPr="00DC34C6">
        <w:rPr>
          <w:bCs/>
        </w:rPr>
        <w:t>est</w:t>
      </w:r>
      <w:r>
        <w:rPr>
          <w:bCs/>
        </w:rPr>
        <w:t xml:space="preserve"> e</w:t>
      </w:r>
      <w:r w:rsidRPr="00DC34C6">
        <w:rPr>
          <w:bCs/>
        </w:rPr>
        <w:t xml:space="preserve">stimate </w:t>
      </w:r>
      <w:r>
        <w:rPr>
          <w:bCs/>
        </w:rPr>
        <w:t>a</w:t>
      </w:r>
      <w:r w:rsidRPr="00DC34C6">
        <w:rPr>
          <w:bCs/>
        </w:rPr>
        <w:t xml:space="preserve">ssumptions and taking into account </w:t>
      </w:r>
      <w:r>
        <w:rPr>
          <w:bCs/>
        </w:rPr>
        <w:t>a life</w:t>
      </w:r>
      <w:r w:rsidRPr="00DC34C6">
        <w:rPr>
          <w:bCs/>
        </w:rPr>
        <w:t xml:space="preserve"> company’s</w:t>
      </w:r>
      <w:r>
        <w:rPr>
          <w:bCs/>
        </w:rPr>
        <w:t xml:space="preserve"> </w:t>
      </w:r>
      <w:r w:rsidRPr="00DC34C6">
        <w:rPr>
          <w:bCs/>
        </w:rPr>
        <w:t>profit distribution philosophy, including shareholder entitlements)</w:t>
      </w:r>
      <w:r>
        <w:rPr>
          <w:bCs/>
        </w:rPr>
        <w:t xml:space="preserve"> </w:t>
      </w:r>
      <w:r w:rsidRPr="00DC34C6">
        <w:rPr>
          <w:bCs/>
        </w:rPr>
        <w:t xml:space="preserve">can be added to a </w:t>
      </w:r>
      <w:r>
        <w:rPr>
          <w:b/>
          <w:bCs/>
        </w:rPr>
        <w:t>p</w:t>
      </w:r>
      <w:r w:rsidRPr="00F77898">
        <w:rPr>
          <w:b/>
          <w:bCs/>
        </w:rPr>
        <w:t xml:space="preserve">articipating </w:t>
      </w:r>
      <w:r>
        <w:rPr>
          <w:b/>
          <w:bCs/>
        </w:rPr>
        <w:t>b</w:t>
      </w:r>
      <w:r w:rsidRPr="00F77898">
        <w:rPr>
          <w:b/>
          <w:bCs/>
        </w:rPr>
        <w:t>enefit</w:t>
      </w:r>
      <w:r w:rsidRPr="00DC34C6">
        <w:rPr>
          <w:bCs/>
        </w:rPr>
        <w:t xml:space="preserve"> over its benefit life without</w:t>
      </w:r>
      <w:r>
        <w:rPr>
          <w:bCs/>
        </w:rPr>
        <w:t xml:space="preserve"> </w:t>
      </w:r>
      <w:r w:rsidRPr="00DC34C6">
        <w:rPr>
          <w:bCs/>
        </w:rPr>
        <w:t>supplementary income from other sources, including policy owner</w:t>
      </w:r>
      <w:r>
        <w:rPr>
          <w:bCs/>
        </w:rPr>
        <w:t xml:space="preserve"> </w:t>
      </w:r>
      <w:r w:rsidRPr="00DC34C6">
        <w:rPr>
          <w:bCs/>
        </w:rPr>
        <w:t>retained profits.</w:t>
      </w:r>
    </w:p>
    <w:p w14:paraId="567D9D1B" w14:textId="77777777" w:rsidR="009D0CCF" w:rsidRPr="00DC34C6" w:rsidRDefault="009D0CCF" w:rsidP="009D0CCF">
      <w:pPr>
        <w:ind w:left="567"/>
        <w:jc w:val="both"/>
        <w:rPr>
          <w:bCs/>
        </w:rPr>
      </w:pPr>
      <w:r w:rsidRPr="0043488A">
        <w:rPr>
          <w:b/>
          <w:bCs/>
        </w:rPr>
        <w:t xml:space="preserve">Best </w:t>
      </w:r>
      <w:r>
        <w:rPr>
          <w:b/>
          <w:bCs/>
        </w:rPr>
        <w:t>e</w:t>
      </w:r>
      <w:r w:rsidRPr="0043488A">
        <w:rPr>
          <w:b/>
          <w:bCs/>
        </w:rPr>
        <w:t xml:space="preserve">stimate </w:t>
      </w:r>
      <w:r>
        <w:rPr>
          <w:b/>
          <w:bCs/>
        </w:rPr>
        <w:t>d</w:t>
      </w:r>
      <w:r w:rsidRPr="0043488A">
        <w:rPr>
          <w:b/>
          <w:bCs/>
        </w:rPr>
        <w:t xml:space="preserve">iscretionary </w:t>
      </w:r>
      <w:r>
        <w:rPr>
          <w:b/>
          <w:bCs/>
        </w:rPr>
        <w:t>a</w:t>
      </w:r>
      <w:r w:rsidRPr="0043488A">
        <w:rPr>
          <w:b/>
          <w:bCs/>
        </w:rPr>
        <w:t>ddition</w:t>
      </w:r>
      <w:r>
        <w:rPr>
          <w:bCs/>
        </w:rPr>
        <w:t xml:space="preserve"> means t</w:t>
      </w:r>
      <w:r w:rsidRPr="00DC34C6">
        <w:rPr>
          <w:bCs/>
        </w:rPr>
        <w:t xml:space="preserve">he level of </w:t>
      </w:r>
      <w:r w:rsidRPr="00F77898">
        <w:rPr>
          <w:b/>
          <w:bCs/>
        </w:rPr>
        <w:t>discretionary addition</w:t>
      </w:r>
      <w:r w:rsidRPr="00DC34C6">
        <w:rPr>
          <w:bCs/>
        </w:rPr>
        <w:t xml:space="preserve"> which (on </w:t>
      </w:r>
      <w:r>
        <w:rPr>
          <w:bCs/>
        </w:rPr>
        <w:t>b</w:t>
      </w:r>
      <w:r w:rsidRPr="00DC34C6">
        <w:rPr>
          <w:bCs/>
        </w:rPr>
        <w:t xml:space="preserve">est </w:t>
      </w:r>
      <w:r>
        <w:rPr>
          <w:bCs/>
        </w:rPr>
        <w:t>e</w:t>
      </w:r>
      <w:r w:rsidRPr="00DC34C6">
        <w:rPr>
          <w:bCs/>
        </w:rPr>
        <w:t xml:space="preserve">stimate </w:t>
      </w:r>
      <w:r>
        <w:rPr>
          <w:bCs/>
        </w:rPr>
        <w:t>a</w:t>
      </w:r>
      <w:r w:rsidRPr="00DC34C6">
        <w:rPr>
          <w:bCs/>
        </w:rPr>
        <w:t>ssumptions and taking into</w:t>
      </w:r>
      <w:r>
        <w:rPr>
          <w:bCs/>
        </w:rPr>
        <w:t xml:space="preserve"> </w:t>
      </w:r>
      <w:r w:rsidRPr="00DC34C6">
        <w:rPr>
          <w:bCs/>
        </w:rPr>
        <w:t xml:space="preserve">account </w:t>
      </w:r>
      <w:r>
        <w:rPr>
          <w:bCs/>
        </w:rPr>
        <w:t>a life</w:t>
      </w:r>
      <w:r w:rsidRPr="00DC34C6">
        <w:rPr>
          <w:bCs/>
        </w:rPr>
        <w:t xml:space="preserve"> company’s crediting philosophy) can be added to a</w:t>
      </w:r>
      <w:r>
        <w:rPr>
          <w:bCs/>
        </w:rPr>
        <w:t xml:space="preserve"> </w:t>
      </w:r>
      <w:r>
        <w:rPr>
          <w:b/>
          <w:bCs/>
        </w:rPr>
        <w:t>n</w:t>
      </w:r>
      <w:r w:rsidRPr="00F77898">
        <w:rPr>
          <w:b/>
          <w:bCs/>
        </w:rPr>
        <w:t>on-</w:t>
      </w:r>
      <w:r>
        <w:rPr>
          <w:b/>
          <w:bCs/>
        </w:rPr>
        <w:t>p</w:t>
      </w:r>
      <w:r w:rsidRPr="00F77898">
        <w:rPr>
          <w:b/>
          <w:bCs/>
        </w:rPr>
        <w:t xml:space="preserve">articipating </w:t>
      </w:r>
      <w:r>
        <w:rPr>
          <w:b/>
          <w:bCs/>
        </w:rPr>
        <w:t>b</w:t>
      </w:r>
      <w:r w:rsidRPr="00F77898">
        <w:rPr>
          <w:b/>
          <w:bCs/>
        </w:rPr>
        <w:t>enefit</w:t>
      </w:r>
      <w:r w:rsidRPr="00DC34C6">
        <w:rPr>
          <w:bCs/>
        </w:rPr>
        <w:t xml:space="preserve"> over its benefit life without</w:t>
      </w:r>
      <w:r>
        <w:rPr>
          <w:bCs/>
        </w:rPr>
        <w:t xml:space="preserve"> </w:t>
      </w:r>
      <w:r w:rsidRPr="00DC34C6">
        <w:rPr>
          <w:bCs/>
        </w:rPr>
        <w:t>supplementary income from other sources, including policy owner</w:t>
      </w:r>
      <w:r>
        <w:rPr>
          <w:bCs/>
        </w:rPr>
        <w:t xml:space="preserve"> </w:t>
      </w:r>
      <w:r w:rsidRPr="00DC34C6">
        <w:rPr>
          <w:bCs/>
        </w:rPr>
        <w:t>retained profits.</w:t>
      </w:r>
    </w:p>
    <w:p w14:paraId="2C00FCBC" w14:textId="77777777" w:rsidR="009D0CCF" w:rsidRPr="00DC34C6" w:rsidRDefault="009D0CCF" w:rsidP="009D0CCF">
      <w:pPr>
        <w:ind w:left="567"/>
        <w:jc w:val="both"/>
        <w:rPr>
          <w:bCs/>
        </w:rPr>
      </w:pPr>
      <w:r w:rsidRPr="0043488A">
        <w:rPr>
          <w:b/>
          <w:bCs/>
        </w:rPr>
        <w:t xml:space="preserve">Best </w:t>
      </w:r>
      <w:r>
        <w:rPr>
          <w:b/>
          <w:bCs/>
        </w:rPr>
        <w:t>e</w:t>
      </w:r>
      <w:r w:rsidRPr="0043488A">
        <w:rPr>
          <w:b/>
          <w:bCs/>
        </w:rPr>
        <w:t xml:space="preserve">stimate </w:t>
      </w:r>
      <w:r>
        <w:rPr>
          <w:b/>
          <w:bCs/>
        </w:rPr>
        <w:t>l</w:t>
      </w:r>
      <w:r w:rsidRPr="0043488A">
        <w:rPr>
          <w:b/>
          <w:bCs/>
        </w:rPr>
        <w:t>iability</w:t>
      </w:r>
      <w:r>
        <w:rPr>
          <w:bCs/>
        </w:rPr>
        <w:t xml:space="preserve"> is calculated in accordance with LPS 340 and refers to t</w:t>
      </w:r>
      <w:r w:rsidRPr="00DC34C6">
        <w:rPr>
          <w:bCs/>
        </w:rPr>
        <w:t xml:space="preserve">he amount expected on </w:t>
      </w:r>
      <w:r>
        <w:rPr>
          <w:bCs/>
        </w:rPr>
        <w:t>b</w:t>
      </w:r>
      <w:r w:rsidRPr="00DC34C6">
        <w:rPr>
          <w:bCs/>
        </w:rPr>
        <w:t xml:space="preserve">est </w:t>
      </w:r>
      <w:r>
        <w:rPr>
          <w:bCs/>
        </w:rPr>
        <w:t>e</w:t>
      </w:r>
      <w:r w:rsidRPr="00DC34C6">
        <w:rPr>
          <w:bCs/>
        </w:rPr>
        <w:t>stimate</w:t>
      </w:r>
      <w:r>
        <w:rPr>
          <w:bCs/>
        </w:rPr>
        <w:t xml:space="preserve"> a</w:t>
      </w:r>
      <w:r w:rsidRPr="00DC34C6">
        <w:rPr>
          <w:bCs/>
        </w:rPr>
        <w:t>ssumptions to be required to the end of the benefit period to meet</w:t>
      </w:r>
      <w:r>
        <w:rPr>
          <w:bCs/>
        </w:rPr>
        <w:t xml:space="preserve"> </w:t>
      </w:r>
      <w:r w:rsidRPr="00DC34C6">
        <w:rPr>
          <w:bCs/>
        </w:rPr>
        <w:t>future benefits and expenses related to past transactions for the</w:t>
      </w:r>
      <w:r>
        <w:rPr>
          <w:bCs/>
        </w:rPr>
        <w:t xml:space="preserve"> </w:t>
      </w:r>
      <w:r w:rsidRPr="00DC34C6">
        <w:rPr>
          <w:bCs/>
        </w:rPr>
        <w:t>business in force. The calculation process will take into account all</w:t>
      </w:r>
      <w:r>
        <w:rPr>
          <w:bCs/>
        </w:rPr>
        <w:t xml:space="preserve"> </w:t>
      </w:r>
      <w:r w:rsidRPr="00DC34C6">
        <w:rPr>
          <w:bCs/>
        </w:rPr>
        <w:t>factors which are known to be material, including future</w:t>
      </w:r>
      <w:r>
        <w:rPr>
          <w:bCs/>
        </w:rPr>
        <w:t xml:space="preserve"> </w:t>
      </w:r>
      <w:r w:rsidRPr="00DC34C6">
        <w:rPr>
          <w:bCs/>
        </w:rPr>
        <w:t>investment earnings, taxation, any options under the policies and</w:t>
      </w:r>
      <w:r>
        <w:rPr>
          <w:bCs/>
        </w:rPr>
        <w:t xml:space="preserve"> </w:t>
      </w:r>
      <w:r w:rsidRPr="00DC34C6">
        <w:rPr>
          <w:bCs/>
        </w:rPr>
        <w:t>future premiums, where relevant to the calculation.</w:t>
      </w:r>
    </w:p>
    <w:p w14:paraId="3CEC8FAA" w14:textId="77777777" w:rsidR="009D0CCF" w:rsidRPr="00DC34C6" w:rsidRDefault="009D0CCF" w:rsidP="009D0CCF">
      <w:pPr>
        <w:ind w:left="567"/>
        <w:jc w:val="both"/>
        <w:rPr>
          <w:bCs/>
        </w:rPr>
      </w:pPr>
      <w:r w:rsidRPr="0043488A">
        <w:rPr>
          <w:b/>
          <w:bCs/>
        </w:rPr>
        <w:t xml:space="preserve">Best </w:t>
      </w:r>
      <w:r>
        <w:rPr>
          <w:b/>
          <w:bCs/>
        </w:rPr>
        <w:t>e</w:t>
      </w:r>
      <w:r w:rsidRPr="0043488A">
        <w:rPr>
          <w:b/>
          <w:bCs/>
        </w:rPr>
        <w:t xml:space="preserve">stimate </w:t>
      </w:r>
      <w:r>
        <w:rPr>
          <w:b/>
          <w:bCs/>
        </w:rPr>
        <w:t>s</w:t>
      </w:r>
      <w:r w:rsidRPr="0043488A">
        <w:rPr>
          <w:b/>
          <w:bCs/>
        </w:rPr>
        <w:t xml:space="preserve">hareholder </w:t>
      </w:r>
      <w:r>
        <w:rPr>
          <w:b/>
          <w:bCs/>
        </w:rPr>
        <w:t>p</w:t>
      </w:r>
      <w:r w:rsidRPr="0043488A">
        <w:rPr>
          <w:b/>
          <w:bCs/>
        </w:rPr>
        <w:t>rofit</w:t>
      </w:r>
      <w:r>
        <w:rPr>
          <w:bCs/>
        </w:rPr>
        <w:t xml:space="preserve"> refers to t</w:t>
      </w:r>
      <w:r w:rsidRPr="00DC34C6">
        <w:rPr>
          <w:bCs/>
        </w:rPr>
        <w:t>he maximum level of</w:t>
      </w:r>
      <w:r>
        <w:rPr>
          <w:bCs/>
        </w:rPr>
        <w:t xml:space="preserve"> </w:t>
      </w:r>
      <w:r>
        <w:rPr>
          <w:b/>
          <w:bCs/>
        </w:rPr>
        <w:t>s</w:t>
      </w:r>
      <w:r w:rsidRPr="00F77898">
        <w:rPr>
          <w:b/>
          <w:bCs/>
        </w:rPr>
        <w:t xml:space="preserve">hareholder </w:t>
      </w:r>
      <w:r>
        <w:rPr>
          <w:b/>
          <w:bCs/>
        </w:rPr>
        <w:t>p</w:t>
      </w:r>
      <w:r w:rsidRPr="00F77898">
        <w:rPr>
          <w:b/>
          <w:bCs/>
        </w:rPr>
        <w:t>rofit</w:t>
      </w:r>
      <w:r w:rsidRPr="00DC34C6">
        <w:rPr>
          <w:bCs/>
        </w:rPr>
        <w:t xml:space="preserve"> which (on </w:t>
      </w:r>
      <w:r>
        <w:rPr>
          <w:bCs/>
        </w:rPr>
        <w:t>b</w:t>
      </w:r>
      <w:r w:rsidRPr="00DC34C6">
        <w:rPr>
          <w:bCs/>
        </w:rPr>
        <w:t xml:space="preserve">est </w:t>
      </w:r>
      <w:r>
        <w:rPr>
          <w:bCs/>
        </w:rPr>
        <w:t>e</w:t>
      </w:r>
      <w:r w:rsidRPr="00DC34C6">
        <w:rPr>
          <w:bCs/>
        </w:rPr>
        <w:t xml:space="preserve">stimate </w:t>
      </w:r>
      <w:r>
        <w:rPr>
          <w:bCs/>
        </w:rPr>
        <w:t>a</w:t>
      </w:r>
      <w:r w:rsidRPr="00DC34C6">
        <w:rPr>
          <w:bCs/>
        </w:rPr>
        <w:t>ssumptions and</w:t>
      </w:r>
      <w:r>
        <w:rPr>
          <w:bCs/>
        </w:rPr>
        <w:t xml:space="preserve"> </w:t>
      </w:r>
      <w:r w:rsidRPr="00DC34C6">
        <w:rPr>
          <w:bCs/>
        </w:rPr>
        <w:t xml:space="preserve">taking into account </w:t>
      </w:r>
      <w:r>
        <w:rPr>
          <w:bCs/>
        </w:rPr>
        <w:t>a life</w:t>
      </w:r>
      <w:r w:rsidRPr="00DC34C6">
        <w:rPr>
          <w:bCs/>
        </w:rPr>
        <w:t xml:space="preserve"> company’s profit distribution philosophy,</w:t>
      </w:r>
      <w:r w:rsidRPr="00DC34C6">
        <w:t xml:space="preserve"> </w:t>
      </w:r>
      <w:r w:rsidRPr="00DC34C6">
        <w:rPr>
          <w:bCs/>
        </w:rPr>
        <w:t>including policy owner entitlements) can be attributed to</w:t>
      </w:r>
      <w:r>
        <w:rPr>
          <w:bCs/>
        </w:rPr>
        <w:t xml:space="preserve"> </w:t>
      </w:r>
      <w:r w:rsidRPr="00DC34C6">
        <w:rPr>
          <w:bCs/>
        </w:rPr>
        <w:t>shareholders without supplementary income from other sources,</w:t>
      </w:r>
      <w:r>
        <w:rPr>
          <w:bCs/>
        </w:rPr>
        <w:t xml:space="preserve"> </w:t>
      </w:r>
      <w:r w:rsidRPr="00DC34C6">
        <w:rPr>
          <w:bCs/>
        </w:rPr>
        <w:t xml:space="preserve">including </w:t>
      </w:r>
      <w:r>
        <w:rPr>
          <w:bCs/>
        </w:rPr>
        <w:t>s</w:t>
      </w:r>
      <w:r w:rsidRPr="00DC34C6">
        <w:rPr>
          <w:bCs/>
        </w:rPr>
        <w:t>hareholders’ retained profits.</w:t>
      </w:r>
    </w:p>
    <w:p w14:paraId="5A503EA7" w14:textId="77777777" w:rsidR="009D0CCF" w:rsidRPr="003F2DF6" w:rsidRDefault="009D0CCF" w:rsidP="009D0CCF">
      <w:pPr>
        <w:ind w:left="567"/>
        <w:jc w:val="both"/>
        <w:rPr>
          <w:bCs/>
        </w:rPr>
      </w:pPr>
      <w:r>
        <w:rPr>
          <w:b/>
          <w:bCs/>
        </w:rPr>
        <w:t xml:space="preserve">Board </w:t>
      </w:r>
      <w:r>
        <w:rPr>
          <w:bCs/>
        </w:rPr>
        <w:t xml:space="preserve">means the Board of directors and includes, for an </w:t>
      </w:r>
      <w:r w:rsidRPr="00725E3C">
        <w:rPr>
          <w:b/>
          <w:bCs/>
        </w:rPr>
        <w:t>Eligible Foreign Life Insurance Company</w:t>
      </w:r>
      <w:r>
        <w:rPr>
          <w:bCs/>
        </w:rPr>
        <w:t xml:space="preserve">, the Compliance Committee as required under subsection 16ZF(4) of the Act. </w:t>
      </w:r>
    </w:p>
    <w:p w14:paraId="53807AF6" w14:textId="77777777" w:rsidR="009D0CCF" w:rsidRDefault="009D0CCF" w:rsidP="009D0CCF">
      <w:pPr>
        <w:ind w:left="567"/>
        <w:jc w:val="both"/>
        <w:rPr>
          <w:bCs/>
        </w:rPr>
      </w:pPr>
      <w:r w:rsidRPr="0043488A">
        <w:rPr>
          <w:b/>
          <w:bCs/>
        </w:rPr>
        <w:lastRenderedPageBreak/>
        <w:t>Bonus</w:t>
      </w:r>
      <w:r>
        <w:rPr>
          <w:b/>
          <w:bCs/>
        </w:rPr>
        <w:t xml:space="preserve"> </w:t>
      </w:r>
      <w:r w:rsidRPr="00AC0762">
        <w:rPr>
          <w:bCs/>
        </w:rPr>
        <w:t>means a</w:t>
      </w:r>
      <w:r w:rsidRPr="00DC34C6">
        <w:rPr>
          <w:bCs/>
        </w:rPr>
        <w:t xml:space="preserve">n amount of profit added at the discretion of </w:t>
      </w:r>
      <w:r>
        <w:rPr>
          <w:bCs/>
        </w:rPr>
        <w:t xml:space="preserve">a life </w:t>
      </w:r>
      <w:r w:rsidRPr="00DC34C6">
        <w:rPr>
          <w:bCs/>
        </w:rPr>
        <w:t>company (including additions in respect of investment experience)</w:t>
      </w:r>
      <w:r>
        <w:rPr>
          <w:bCs/>
        </w:rPr>
        <w:t xml:space="preserve"> </w:t>
      </w:r>
      <w:r w:rsidRPr="00DC34C6">
        <w:rPr>
          <w:bCs/>
        </w:rPr>
        <w:t xml:space="preserve">to the benefits due under a </w:t>
      </w:r>
      <w:r>
        <w:rPr>
          <w:bCs/>
        </w:rPr>
        <w:t>p</w:t>
      </w:r>
      <w:r w:rsidRPr="00DC34C6">
        <w:rPr>
          <w:bCs/>
        </w:rPr>
        <w:t xml:space="preserve">articipating </w:t>
      </w:r>
      <w:r>
        <w:rPr>
          <w:bCs/>
        </w:rPr>
        <w:t>b</w:t>
      </w:r>
      <w:r w:rsidRPr="00DC34C6">
        <w:rPr>
          <w:bCs/>
        </w:rPr>
        <w:t>enefit, but excluding any</w:t>
      </w:r>
      <w:r>
        <w:rPr>
          <w:bCs/>
        </w:rPr>
        <w:t xml:space="preserve"> </w:t>
      </w:r>
      <w:r w:rsidRPr="00DC34C6">
        <w:rPr>
          <w:bCs/>
        </w:rPr>
        <w:t>guaranteed rate of addition also applicable to the benefit.</w:t>
      </w:r>
    </w:p>
    <w:p w14:paraId="02FA1799" w14:textId="77777777" w:rsidR="009D0CCF" w:rsidRPr="00747E63" w:rsidRDefault="009D0CCF" w:rsidP="009D0CCF">
      <w:pPr>
        <w:ind w:left="567"/>
        <w:jc w:val="both"/>
        <w:rPr>
          <w:bCs/>
        </w:rPr>
      </w:pPr>
      <w:r>
        <w:rPr>
          <w:b/>
          <w:bCs/>
        </w:rPr>
        <w:t xml:space="preserve">Business plan </w:t>
      </w:r>
      <w:r>
        <w:rPr>
          <w:bCs/>
        </w:rPr>
        <w:t xml:space="preserve">refers to a written business plan as part of a life company’s </w:t>
      </w:r>
      <w:r>
        <w:rPr>
          <w:b/>
          <w:bCs/>
        </w:rPr>
        <w:t>r</w:t>
      </w:r>
      <w:r w:rsidRPr="00C87753">
        <w:rPr>
          <w:b/>
          <w:bCs/>
        </w:rPr>
        <w:t xml:space="preserve">isk </w:t>
      </w:r>
      <w:r>
        <w:rPr>
          <w:b/>
          <w:bCs/>
        </w:rPr>
        <w:t>m</w:t>
      </w:r>
      <w:r w:rsidRPr="00C87753">
        <w:rPr>
          <w:b/>
          <w:bCs/>
        </w:rPr>
        <w:t xml:space="preserve">anagement </w:t>
      </w:r>
      <w:r>
        <w:rPr>
          <w:b/>
          <w:bCs/>
        </w:rPr>
        <w:t>f</w:t>
      </w:r>
      <w:r w:rsidRPr="00C87753">
        <w:rPr>
          <w:b/>
          <w:bCs/>
        </w:rPr>
        <w:t>ramework</w:t>
      </w:r>
      <w:r>
        <w:rPr>
          <w:bCs/>
        </w:rPr>
        <w:t xml:space="preserve"> as required under </w:t>
      </w:r>
      <w:r w:rsidRPr="002B5897">
        <w:rPr>
          <w:bCs/>
          <w:i/>
        </w:rPr>
        <w:t xml:space="preserve">Prudential Standard </w:t>
      </w:r>
      <w:r>
        <w:rPr>
          <w:bCs/>
          <w:i/>
        </w:rPr>
        <w:t>C</w:t>
      </w:r>
      <w:r w:rsidRPr="002B5897">
        <w:rPr>
          <w:bCs/>
          <w:i/>
        </w:rPr>
        <w:t xml:space="preserve">PS 220 Risk </w:t>
      </w:r>
      <w:r w:rsidRPr="00331644">
        <w:rPr>
          <w:bCs/>
          <w:i/>
        </w:rPr>
        <w:t xml:space="preserve">Management </w:t>
      </w:r>
      <w:r w:rsidRPr="00331644">
        <w:rPr>
          <w:bCs/>
        </w:rPr>
        <w:t>(</w:t>
      </w:r>
      <w:r>
        <w:rPr>
          <w:bCs/>
        </w:rPr>
        <w:t>C</w:t>
      </w:r>
      <w:r w:rsidRPr="00331644">
        <w:rPr>
          <w:bCs/>
        </w:rPr>
        <w:t>PS 220</w:t>
      </w:r>
      <w:r>
        <w:rPr>
          <w:bCs/>
        </w:rPr>
        <w:t>)</w:t>
      </w:r>
      <w:r w:rsidRPr="003A5C22">
        <w:rPr>
          <w:bCs/>
        </w:rPr>
        <w:t>.</w:t>
      </w:r>
    </w:p>
    <w:p w14:paraId="4F67EF18" w14:textId="77777777" w:rsidR="009D0CCF" w:rsidRPr="00DC34C6" w:rsidRDefault="009D0CCF" w:rsidP="009D0CCF">
      <w:pPr>
        <w:ind w:left="567"/>
        <w:jc w:val="both"/>
        <w:rPr>
          <w:bCs/>
        </w:rPr>
      </w:pPr>
      <w:r w:rsidRPr="0043488A">
        <w:rPr>
          <w:b/>
          <w:bCs/>
        </w:rPr>
        <w:t xml:space="preserve">Capital </w:t>
      </w:r>
      <w:r>
        <w:rPr>
          <w:b/>
          <w:bCs/>
        </w:rPr>
        <w:t>adequacy s</w:t>
      </w:r>
      <w:r w:rsidRPr="0043488A">
        <w:rPr>
          <w:b/>
          <w:bCs/>
        </w:rPr>
        <w:t>tandards</w:t>
      </w:r>
      <w:r>
        <w:rPr>
          <w:bCs/>
        </w:rPr>
        <w:t xml:space="preserve"> collectively refers to all prudential standards relating to the capital adequacy of life companies </w:t>
      </w:r>
      <w:r w:rsidRPr="00DC3EF8">
        <w:t xml:space="preserve">and falls within </w:t>
      </w:r>
      <w:r>
        <w:t>the meaning of prudential s</w:t>
      </w:r>
      <w:r w:rsidRPr="00DC3EF8">
        <w:t xml:space="preserve">tandards in relation to </w:t>
      </w:r>
      <w:r>
        <w:t>capital adequacy</w:t>
      </w:r>
      <w:r w:rsidRPr="00DC3EF8">
        <w:t xml:space="preserve"> </w:t>
      </w:r>
      <w:r>
        <w:t xml:space="preserve">referred to </w:t>
      </w:r>
      <w:r w:rsidRPr="00DC3EF8">
        <w:t>under the Act</w:t>
      </w:r>
      <w:r>
        <w:rPr>
          <w:bCs/>
        </w:rPr>
        <w:t>.</w:t>
      </w:r>
    </w:p>
    <w:p w14:paraId="614C537F" w14:textId="77777777" w:rsidR="009D0CCF" w:rsidRPr="002C5221" w:rsidRDefault="009D0CCF" w:rsidP="009D0CCF">
      <w:pPr>
        <w:ind w:left="567"/>
        <w:jc w:val="both"/>
        <w:rPr>
          <w:bCs/>
          <w:i/>
        </w:rPr>
      </w:pPr>
      <w:r>
        <w:rPr>
          <w:b/>
          <w:bCs/>
        </w:rPr>
        <w:t xml:space="preserve">Capital base </w:t>
      </w:r>
      <w:r>
        <w:rPr>
          <w:bCs/>
        </w:rPr>
        <w:t>is as defined in</w:t>
      </w:r>
      <w:r w:rsidRPr="00484F5D">
        <w:rPr>
          <w:bCs/>
        </w:rPr>
        <w:t xml:space="preserve"> </w:t>
      </w:r>
      <w:r w:rsidRPr="00F77898">
        <w:rPr>
          <w:bCs/>
        </w:rPr>
        <w:t>LPS 112</w:t>
      </w:r>
      <w:r>
        <w:rPr>
          <w:bCs/>
          <w:i/>
        </w:rPr>
        <w:t>.</w:t>
      </w:r>
    </w:p>
    <w:p w14:paraId="482C0F92" w14:textId="7C236ED9" w:rsidR="009D0CCF" w:rsidRPr="00C40BF6" w:rsidRDefault="009D0CCF" w:rsidP="009D0CCF">
      <w:pPr>
        <w:ind w:left="567"/>
        <w:jc w:val="both"/>
        <w:rPr>
          <w:bCs/>
        </w:rPr>
      </w:pPr>
      <w:r w:rsidRPr="0043488A">
        <w:rPr>
          <w:b/>
          <w:bCs/>
        </w:rPr>
        <w:t>Commencement</w:t>
      </w:r>
      <w:r>
        <w:rPr>
          <w:bCs/>
        </w:rPr>
        <w:t xml:space="preserve"> means the time from which a life company is at risk under a policy</w:t>
      </w:r>
      <w:r w:rsidRPr="00777CCB">
        <w:rPr>
          <w:bCs/>
        </w:rPr>
        <w:t>.</w:t>
      </w:r>
    </w:p>
    <w:p w14:paraId="5D5E251C" w14:textId="77777777" w:rsidR="009D0CCF" w:rsidRDefault="009D0CCF" w:rsidP="009D0CCF">
      <w:pPr>
        <w:ind w:left="567"/>
        <w:jc w:val="both"/>
        <w:rPr>
          <w:i/>
        </w:rPr>
      </w:pPr>
      <w:r w:rsidRPr="00F77898">
        <w:rPr>
          <w:b/>
        </w:rPr>
        <w:t xml:space="preserve">Common </w:t>
      </w:r>
      <w:r>
        <w:rPr>
          <w:b/>
        </w:rPr>
        <w:t>E</w:t>
      </w:r>
      <w:r w:rsidRPr="00F77898">
        <w:rPr>
          <w:b/>
        </w:rPr>
        <w:t>quity Tier 1</w:t>
      </w:r>
      <w:r>
        <w:rPr>
          <w:b/>
        </w:rPr>
        <w:t xml:space="preserve"> Capital</w:t>
      </w:r>
      <w:r w:rsidRPr="00F77898">
        <w:rPr>
          <w:b/>
        </w:rPr>
        <w:t xml:space="preserve"> </w:t>
      </w:r>
      <w:r w:rsidRPr="00F77898">
        <w:t xml:space="preserve">is as defined in </w:t>
      </w:r>
      <w:r>
        <w:t>L</w:t>
      </w:r>
      <w:r w:rsidRPr="00F77898">
        <w:t>PS 112</w:t>
      </w:r>
      <w:r w:rsidRPr="00F77898">
        <w:rPr>
          <w:i/>
        </w:rPr>
        <w:t>.</w:t>
      </w:r>
    </w:p>
    <w:p w14:paraId="7FC2918A" w14:textId="77777777" w:rsidR="009D0CCF" w:rsidRDefault="009D0CCF" w:rsidP="009D0CCF">
      <w:pPr>
        <w:ind w:left="567"/>
        <w:jc w:val="both"/>
      </w:pPr>
      <w:r>
        <w:rPr>
          <w:b/>
        </w:rPr>
        <w:t xml:space="preserve">Corporate group </w:t>
      </w:r>
      <w:r w:rsidRPr="00331644">
        <w:t xml:space="preserve">is a group of entities comprising two or more companies that are related bodies corporate within the meaning of section 50 of the </w:t>
      </w:r>
      <w:r w:rsidRPr="00331644">
        <w:rPr>
          <w:i/>
        </w:rPr>
        <w:t>Corporations Act 2001</w:t>
      </w:r>
      <w:r w:rsidRPr="00331644">
        <w:t>.</w:t>
      </w:r>
    </w:p>
    <w:p w14:paraId="66564A53" w14:textId="77777777" w:rsidR="009D0CCF" w:rsidRPr="00C40BF6" w:rsidRDefault="009D0CCF" w:rsidP="009D0CCF">
      <w:pPr>
        <w:ind w:left="567"/>
        <w:jc w:val="both"/>
        <w:rPr>
          <w:b/>
          <w:bCs/>
        </w:rPr>
      </w:pPr>
      <w:r w:rsidRPr="00FE0266">
        <w:rPr>
          <w:b/>
          <w:bCs/>
        </w:rPr>
        <w:t xml:space="preserve">Corporations Act </w:t>
      </w:r>
      <w:r w:rsidRPr="00FE0266">
        <w:rPr>
          <w:bCs/>
        </w:rPr>
        <w:t xml:space="preserve">refers to the </w:t>
      </w:r>
      <w:r w:rsidRPr="00FE0266">
        <w:rPr>
          <w:bCs/>
          <w:i/>
        </w:rPr>
        <w:t>Corporations Act 2001.</w:t>
      </w:r>
    </w:p>
    <w:p w14:paraId="176E4146" w14:textId="77777777" w:rsidR="009D0CCF" w:rsidRPr="00DC34C6" w:rsidRDefault="009D0CCF" w:rsidP="009D0CCF">
      <w:pPr>
        <w:ind w:left="567"/>
        <w:jc w:val="both"/>
        <w:rPr>
          <w:bCs/>
        </w:rPr>
      </w:pPr>
      <w:r w:rsidRPr="009557A6">
        <w:rPr>
          <w:b/>
          <w:bCs/>
        </w:rPr>
        <w:t xml:space="preserve">Counterparty </w:t>
      </w:r>
      <w:r>
        <w:rPr>
          <w:b/>
          <w:bCs/>
        </w:rPr>
        <w:t>g</w:t>
      </w:r>
      <w:r w:rsidRPr="009557A6">
        <w:rPr>
          <w:b/>
          <w:bCs/>
        </w:rPr>
        <w:t>rade</w:t>
      </w:r>
      <w:r>
        <w:rPr>
          <w:bCs/>
        </w:rPr>
        <w:t xml:space="preserve"> means t</w:t>
      </w:r>
      <w:r w:rsidRPr="00DC34C6">
        <w:rPr>
          <w:bCs/>
        </w:rPr>
        <w:t xml:space="preserve">he </w:t>
      </w:r>
      <w:r>
        <w:rPr>
          <w:bCs/>
        </w:rPr>
        <w:t>c</w:t>
      </w:r>
      <w:r w:rsidRPr="00DC34C6">
        <w:rPr>
          <w:bCs/>
        </w:rPr>
        <w:t xml:space="preserve">ounterparty </w:t>
      </w:r>
      <w:r>
        <w:rPr>
          <w:bCs/>
        </w:rPr>
        <w:t>g</w:t>
      </w:r>
      <w:r w:rsidRPr="00DC34C6">
        <w:rPr>
          <w:bCs/>
        </w:rPr>
        <w:t>rade of an</w:t>
      </w:r>
      <w:r>
        <w:rPr>
          <w:bCs/>
        </w:rPr>
        <w:t xml:space="preserve"> </w:t>
      </w:r>
      <w:r w:rsidRPr="00DC34C6">
        <w:rPr>
          <w:bCs/>
        </w:rPr>
        <w:t xml:space="preserve">investment </w:t>
      </w:r>
      <w:r>
        <w:rPr>
          <w:bCs/>
        </w:rPr>
        <w:t>set out</w:t>
      </w:r>
      <w:r w:rsidRPr="00DC34C6">
        <w:rPr>
          <w:bCs/>
        </w:rPr>
        <w:t xml:space="preserve"> under the first column of </w:t>
      </w:r>
      <w:r>
        <w:rPr>
          <w:bCs/>
        </w:rPr>
        <w:t>T</w:t>
      </w:r>
      <w:r w:rsidRPr="00DC34C6">
        <w:rPr>
          <w:bCs/>
        </w:rPr>
        <w:t>able</w:t>
      </w:r>
      <w:r>
        <w:rPr>
          <w:bCs/>
        </w:rPr>
        <w:t xml:space="preserve"> 1 and Table 2</w:t>
      </w:r>
      <w:r w:rsidRPr="00DC34C6">
        <w:rPr>
          <w:bCs/>
        </w:rPr>
        <w:t xml:space="preserve"> in Attachment </w:t>
      </w:r>
      <w:r>
        <w:rPr>
          <w:bCs/>
        </w:rPr>
        <w:t>A,</w:t>
      </w:r>
      <w:r w:rsidRPr="00DC34C6">
        <w:rPr>
          <w:bCs/>
        </w:rPr>
        <w:t xml:space="preserve"> </w:t>
      </w:r>
      <w:r>
        <w:rPr>
          <w:bCs/>
        </w:rPr>
        <w:t>which maps these grades to</w:t>
      </w:r>
      <w:r w:rsidRPr="00DC34C6">
        <w:rPr>
          <w:bCs/>
        </w:rPr>
        <w:t xml:space="preserve"> the equivalent Standard</w:t>
      </w:r>
      <w:r>
        <w:rPr>
          <w:bCs/>
        </w:rPr>
        <w:t xml:space="preserve"> </w:t>
      </w:r>
      <w:r w:rsidRPr="00DC34C6">
        <w:rPr>
          <w:bCs/>
        </w:rPr>
        <w:t xml:space="preserve">and Poor’s, Moody’s, AM Best </w:t>
      </w:r>
      <w:r>
        <w:rPr>
          <w:bCs/>
        </w:rPr>
        <w:t>and</w:t>
      </w:r>
      <w:r w:rsidRPr="00DC34C6">
        <w:rPr>
          <w:bCs/>
        </w:rPr>
        <w:t xml:space="preserve"> Fitch rat</w:t>
      </w:r>
      <w:r>
        <w:rPr>
          <w:bCs/>
        </w:rPr>
        <w:t>ing grades</w:t>
      </w:r>
      <w:r w:rsidRPr="00DC34C6">
        <w:rPr>
          <w:bCs/>
        </w:rPr>
        <w:t>.</w:t>
      </w:r>
    </w:p>
    <w:p w14:paraId="7BCADC37" w14:textId="77777777" w:rsidR="009D0CCF" w:rsidRDefault="009D0CCF" w:rsidP="009D0CCF">
      <w:pPr>
        <w:ind w:left="567"/>
        <w:jc w:val="both"/>
        <w:rPr>
          <w:bCs/>
        </w:rPr>
      </w:pPr>
      <w:r w:rsidRPr="009557A6">
        <w:rPr>
          <w:b/>
          <w:bCs/>
        </w:rPr>
        <w:t xml:space="preserve">Current </w:t>
      </w:r>
      <w:r>
        <w:rPr>
          <w:b/>
          <w:bCs/>
        </w:rPr>
        <w:t>t</w:t>
      </w:r>
      <w:r w:rsidRPr="009557A6">
        <w:rPr>
          <w:b/>
          <w:bCs/>
        </w:rPr>
        <w:t xml:space="preserve">ermination </w:t>
      </w:r>
      <w:r>
        <w:rPr>
          <w:b/>
          <w:bCs/>
        </w:rPr>
        <w:t>v</w:t>
      </w:r>
      <w:r w:rsidRPr="009557A6">
        <w:rPr>
          <w:b/>
          <w:bCs/>
        </w:rPr>
        <w:t>alue</w:t>
      </w:r>
      <w:r>
        <w:rPr>
          <w:bCs/>
        </w:rPr>
        <w:t xml:space="preserve"> refers to t</w:t>
      </w:r>
      <w:r w:rsidRPr="00DC34C6">
        <w:rPr>
          <w:bCs/>
        </w:rPr>
        <w:t xml:space="preserve">he </w:t>
      </w:r>
      <w:r w:rsidRPr="00AA29BF">
        <w:rPr>
          <w:b/>
          <w:bCs/>
        </w:rPr>
        <w:t>termination value</w:t>
      </w:r>
      <w:r w:rsidRPr="00DC34C6">
        <w:rPr>
          <w:bCs/>
        </w:rPr>
        <w:t xml:space="preserve"> of a policy at</w:t>
      </w:r>
      <w:r>
        <w:rPr>
          <w:bCs/>
        </w:rPr>
        <w:t xml:space="preserve"> </w:t>
      </w:r>
      <w:r w:rsidRPr="00DC34C6">
        <w:rPr>
          <w:bCs/>
        </w:rPr>
        <w:t>the reporting date.</w:t>
      </w:r>
    </w:p>
    <w:p w14:paraId="306F1641" w14:textId="77777777" w:rsidR="009D0CCF" w:rsidRDefault="009D0CCF" w:rsidP="009D0CCF">
      <w:pPr>
        <w:ind w:left="567"/>
        <w:jc w:val="both"/>
        <w:rPr>
          <w:b/>
          <w:bCs/>
        </w:rPr>
      </w:pPr>
      <w:r>
        <w:rPr>
          <w:b/>
          <w:bCs/>
        </w:rPr>
        <w:t>Defined benefit fund</w:t>
      </w:r>
      <w:r w:rsidRPr="00B15069">
        <w:rPr>
          <w:bCs/>
        </w:rPr>
        <w:t xml:space="preserve"> is as defined in LPS 700.</w:t>
      </w:r>
    </w:p>
    <w:p w14:paraId="30B58139" w14:textId="77777777" w:rsidR="009D0CCF" w:rsidRDefault="009D0CCF" w:rsidP="009D0CCF">
      <w:pPr>
        <w:ind w:left="567"/>
        <w:jc w:val="both"/>
      </w:pPr>
      <w:r>
        <w:rPr>
          <w:b/>
          <w:bCs/>
        </w:rPr>
        <w:t>Defined contribution fund</w:t>
      </w:r>
      <w:r w:rsidRPr="00B15069">
        <w:rPr>
          <w:bCs/>
        </w:rPr>
        <w:t xml:space="preserve"> is as defined in LPS 700.</w:t>
      </w:r>
    </w:p>
    <w:p w14:paraId="3E2B37BB" w14:textId="77777777" w:rsidR="009D0CCF" w:rsidRPr="00DC34C6" w:rsidRDefault="009D0CCF" w:rsidP="009D0CCF">
      <w:pPr>
        <w:ind w:left="567"/>
        <w:jc w:val="both"/>
        <w:rPr>
          <w:bCs/>
        </w:rPr>
      </w:pPr>
      <w:r w:rsidRPr="009557A6">
        <w:rPr>
          <w:b/>
        </w:rPr>
        <w:t>D</w:t>
      </w:r>
      <w:r w:rsidRPr="009557A6">
        <w:rPr>
          <w:b/>
          <w:bCs/>
        </w:rPr>
        <w:t xml:space="preserve">iscretionary </w:t>
      </w:r>
      <w:r>
        <w:rPr>
          <w:b/>
          <w:bCs/>
        </w:rPr>
        <w:t>a</w:t>
      </w:r>
      <w:r w:rsidRPr="009557A6">
        <w:rPr>
          <w:b/>
          <w:bCs/>
        </w:rPr>
        <w:t>ddition</w:t>
      </w:r>
      <w:r>
        <w:rPr>
          <w:bCs/>
        </w:rPr>
        <w:t xml:space="preserve"> means a</w:t>
      </w:r>
      <w:r w:rsidRPr="00DC34C6">
        <w:rPr>
          <w:bCs/>
        </w:rPr>
        <w:t xml:space="preserve">n amount added to a </w:t>
      </w:r>
      <w:r>
        <w:rPr>
          <w:bCs/>
        </w:rPr>
        <w:t>n</w:t>
      </w:r>
      <w:r w:rsidRPr="00DC34C6">
        <w:rPr>
          <w:bCs/>
        </w:rPr>
        <w:t>on-</w:t>
      </w:r>
      <w:r>
        <w:rPr>
          <w:bCs/>
        </w:rPr>
        <w:t>p</w:t>
      </w:r>
      <w:r w:rsidRPr="00DC34C6">
        <w:rPr>
          <w:bCs/>
        </w:rPr>
        <w:t>articipating</w:t>
      </w:r>
      <w:r>
        <w:rPr>
          <w:bCs/>
        </w:rPr>
        <w:t xml:space="preserve"> b</w:t>
      </w:r>
      <w:r w:rsidRPr="00DC34C6">
        <w:rPr>
          <w:bCs/>
        </w:rPr>
        <w:t xml:space="preserve">enefit, at the discretion of </w:t>
      </w:r>
      <w:r>
        <w:rPr>
          <w:bCs/>
        </w:rPr>
        <w:t>a life</w:t>
      </w:r>
      <w:r w:rsidRPr="00DC34C6">
        <w:rPr>
          <w:bCs/>
        </w:rPr>
        <w:t xml:space="preserve"> company, to reflect the investment</w:t>
      </w:r>
      <w:r>
        <w:rPr>
          <w:bCs/>
        </w:rPr>
        <w:t xml:space="preserve"> </w:t>
      </w:r>
      <w:r w:rsidRPr="00DC34C6">
        <w:rPr>
          <w:bCs/>
        </w:rPr>
        <w:t>experience of the assets backing the benefit, but excluding any</w:t>
      </w:r>
      <w:r>
        <w:rPr>
          <w:bCs/>
        </w:rPr>
        <w:t xml:space="preserve"> </w:t>
      </w:r>
      <w:r w:rsidRPr="00DC34C6">
        <w:rPr>
          <w:bCs/>
        </w:rPr>
        <w:t>guaranteed rate of addition also applicable to the benefit. For this</w:t>
      </w:r>
      <w:r>
        <w:rPr>
          <w:bCs/>
        </w:rPr>
        <w:t xml:space="preserve"> </w:t>
      </w:r>
      <w:r w:rsidRPr="00DC34C6">
        <w:rPr>
          <w:bCs/>
        </w:rPr>
        <w:t>definition an amount added to a benefit is defined to mean any</w:t>
      </w:r>
      <w:r>
        <w:rPr>
          <w:bCs/>
        </w:rPr>
        <w:t xml:space="preserve"> </w:t>
      </w:r>
      <w:r w:rsidRPr="00DC34C6">
        <w:rPr>
          <w:bCs/>
        </w:rPr>
        <w:t>change to the previously applying contractual conditions that is</w:t>
      </w:r>
      <w:r>
        <w:rPr>
          <w:bCs/>
        </w:rPr>
        <w:t xml:space="preserve"> </w:t>
      </w:r>
      <w:r w:rsidRPr="00DC34C6">
        <w:rPr>
          <w:bCs/>
        </w:rPr>
        <w:t>beneficial to the policy owner.</w:t>
      </w:r>
    </w:p>
    <w:p w14:paraId="0ACF983E" w14:textId="7A4B7905" w:rsidR="009D0CCF" w:rsidRDefault="009D0CCF" w:rsidP="00394238">
      <w:pPr>
        <w:ind w:left="567"/>
      </w:pPr>
      <w:r w:rsidRPr="009D0CCF">
        <w:rPr>
          <w:b/>
        </w:rPr>
        <w:t>Discretionary participation feature</w:t>
      </w:r>
      <w:r w:rsidRPr="009D0CCF">
        <w:t xml:space="preserve"> means a contractual right to receive, as a supplement to guaranteed benefits, additional benefits:</w:t>
      </w:r>
    </w:p>
    <w:p w14:paraId="32FB2EA1" w14:textId="77777777" w:rsidR="009D0CCF" w:rsidRPr="009557A6" w:rsidRDefault="009D0CCF" w:rsidP="009D0CCF">
      <w:pPr>
        <w:pStyle w:val="BodyText2"/>
      </w:pPr>
      <w:r w:rsidRPr="009557A6">
        <w:t xml:space="preserve">that are likely to be a significant portion of the total contractual benefits; </w:t>
      </w:r>
    </w:p>
    <w:p w14:paraId="69389CB2" w14:textId="77777777" w:rsidR="009D0CCF" w:rsidRPr="009557A6" w:rsidRDefault="009D0CCF" w:rsidP="009D0CCF">
      <w:pPr>
        <w:pStyle w:val="BodyText2"/>
      </w:pPr>
      <w:r w:rsidRPr="009557A6">
        <w:t>whose amount or timing is contractually at the discretion of the issuer; and</w:t>
      </w:r>
    </w:p>
    <w:p w14:paraId="3BE03A12" w14:textId="77777777" w:rsidR="009D0CCF" w:rsidRPr="009557A6" w:rsidRDefault="009D0CCF" w:rsidP="009D0CCF">
      <w:pPr>
        <w:pStyle w:val="BodyText2"/>
      </w:pPr>
      <w:r w:rsidRPr="009557A6">
        <w:lastRenderedPageBreak/>
        <w:t>that are contractually based on:</w:t>
      </w:r>
    </w:p>
    <w:p w14:paraId="2420A37A" w14:textId="77777777" w:rsidR="009D0CCF" w:rsidRPr="009557A6" w:rsidRDefault="009D0CCF" w:rsidP="009D0CCF">
      <w:pPr>
        <w:pStyle w:val="BodyText3"/>
      </w:pPr>
      <w:r w:rsidRPr="009557A6">
        <w:t>the performance of a specified pool of contracts or a specified type of contract;</w:t>
      </w:r>
      <w:r>
        <w:t xml:space="preserve"> </w:t>
      </w:r>
    </w:p>
    <w:p w14:paraId="132C381E" w14:textId="77777777" w:rsidR="009D0CCF" w:rsidRPr="009557A6" w:rsidRDefault="009D0CCF" w:rsidP="009D0CCF">
      <w:pPr>
        <w:pStyle w:val="BodyText3"/>
      </w:pPr>
      <w:r w:rsidRPr="009557A6">
        <w:t>realised and/or unrealised investment returns on a specified pool of assets held by the issuer; or</w:t>
      </w:r>
    </w:p>
    <w:p w14:paraId="2271A49A" w14:textId="77777777" w:rsidR="009D0CCF" w:rsidRPr="009557A6" w:rsidRDefault="009D0CCF" w:rsidP="009D0CCF">
      <w:pPr>
        <w:pStyle w:val="BodyText3"/>
      </w:pPr>
      <w:r w:rsidRPr="009557A6">
        <w:t>the profit or loss of the company, fund or other entity that issues the contract.</w:t>
      </w:r>
    </w:p>
    <w:p w14:paraId="44D3D475" w14:textId="77777777" w:rsidR="009D0CCF" w:rsidRPr="002B5897" w:rsidRDefault="009D0CCF" w:rsidP="009D0CCF">
      <w:pPr>
        <w:ind w:left="567"/>
      </w:pPr>
      <w:r>
        <w:t xml:space="preserve">A policy with a discretionary participation feature can provide benefits that are either </w:t>
      </w:r>
      <w:r w:rsidRPr="00E521DB">
        <w:t>participating benefits</w:t>
      </w:r>
      <w:r>
        <w:t xml:space="preserve"> or </w:t>
      </w:r>
      <w:r w:rsidRPr="00E521DB">
        <w:t>non-participating benefits</w:t>
      </w:r>
      <w:r>
        <w:t>.</w:t>
      </w:r>
    </w:p>
    <w:p w14:paraId="2D81549B" w14:textId="77777777" w:rsidR="009D0CCF" w:rsidRPr="00DC34C6" w:rsidRDefault="009D0CCF" w:rsidP="009D0CCF">
      <w:pPr>
        <w:ind w:left="567"/>
        <w:jc w:val="both"/>
        <w:rPr>
          <w:bCs/>
        </w:rPr>
      </w:pPr>
      <w:r w:rsidRPr="009557A6">
        <w:rPr>
          <w:b/>
          <w:bCs/>
        </w:rPr>
        <w:t xml:space="preserve">Education </w:t>
      </w:r>
      <w:r>
        <w:rPr>
          <w:b/>
          <w:bCs/>
        </w:rPr>
        <w:t>b</w:t>
      </w:r>
      <w:r w:rsidRPr="009557A6">
        <w:rPr>
          <w:b/>
          <w:bCs/>
        </w:rPr>
        <w:t xml:space="preserve">ond </w:t>
      </w:r>
      <w:r>
        <w:rPr>
          <w:b/>
          <w:bCs/>
        </w:rPr>
        <w:t>b</w:t>
      </w:r>
      <w:r w:rsidRPr="009557A6">
        <w:rPr>
          <w:b/>
          <w:bCs/>
        </w:rPr>
        <w:t>usiness</w:t>
      </w:r>
      <w:r>
        <w:rPr>
          <w:b/>
          <w:bCs/>
        </w:rPr>
        <w:t xml:space="preserve"> </w:t>
      </w:r>
      <w:r w:rsidRPr="00AC0762">
        <w:rPr>
          <w:bCs/>
        </w:rPr>
        <w:t>means a</w:t>
      </w:r>
      <w:r>
        <w:rPr>
          <w:b/>
          <w:bCs/>
        </w:rPr>
        <w:t xml:space="preserve"> </w:t>
      </w:r>
      <w:r w:rsidRPr="00DC34C6">
        <w:rPr>
          <w:bCs/>
        </w:rPr>
        <w:t xml:space="preserve">form of </w:t>
      </w:r>
      <w:r>
        <w:rPr>
          <w:b/>
          <w:bCs/>
        </w:rPr>
        <w:t>u</w:t>
      </w:r>
      <w:r w:rsidRPr="00F77898">
        <w:rPr>
          <w:b/>
          <w:bCs/>
        </w:rPr>
        <w:t xml:space="preserve">nbundled </w:t>
      </w:r>
      <w:r>
        <w:rPr>
          <w:b/>
          <w:bCs/>
        </w:rPr>
        <w:t>i</w:t>
      </w:r>
      <w:r w:rsidRPr="00F77898">
        <w:rPr>
          <w:b/>
          <w:bCs/>
        </w:rPr>
        <w:t xml:space="preserve">nvestment </w:t>
      </w:r>
      <w:r>
        <w:rPr>
          <w:b/>
          <w:bCs/>
        </w:rPr>
        <w:t>b</w:t>
      </w:r>
      <w:r w:rsidRPr="00F77898">
        <w:rPr>
          <w:b/>
          <w:bCs/>
        </w:rPr>
        <w:t>usiness</w:t>
      </w:r>
      <w:r w:rsidRPr="00DC34C6">
        <w:rPr>
          <w:bCs/>
        </w:rPr>
        <w:t xml:space="preserve"> where the policies provide for the payment </w:t>
      </w:r>
      <w:r w:rsidRPr="00B02991">
        <w:rPr>
          <w:bCs/>
        </w:rPr>
        <w:t>of a benefit for the specific purpose of contributing t</w:t>
      </w:r>
      <w:r w:rsidRPr="00DC34C6">
        <w:rPr>
          <w:bCs/>
        </w:rPr>
        <w:t>owards the</w:t>
      </w:r>
      <w:r>
        <w:rPr>
          <w:bCs/>
        </w:rPr>
        <w:t xml:space="preserve"> </w:t>
      </w:r>
      <w:r w:rsidRPr="00DC34C6">
        <w:rPr>
          <w:bCs/>
        </w:rPr>
        <w:t>expenses of</w:t>
      </w:r>
      <w:r>
        <w:rPr>
          <w:bCs/>
        </w:rPr>
        <w:t>,</w:t>
      </w:r>
      <w:r w:rsidRPr="00DC34C6">
        <w:rPr>
          <w:bCs/>
        </w:rPr>
        <w:t xml:space="preserve"> and incidental to</w:t>
      </w:r>
      <w:r>
        <w:rPr>
          <w:bCs/>
        </w:rPr>
        <w:t>,</w:t>
      </w:r>
      <w:r w:rsidRPr="00DC34C6">
        <w:rPr>
          <w:bCs/>
        </w:rPr>
        <w:t xml:space="preserve"> the education of the beneficiary.</w:t>
      </w:r>
    </w:p>
    <w:p w14:paraId="55977A07" w14:textId="77777777" w:rsidR="009D0CCF" w:rsidRDefault="009D0CCF" w:rsidP="009D0CCF">
      <w:pPr>
        <w:ind w:left="567"/>
        <w:jc w:val="both"/>
        <w:rPr>
          <w:bCs/>
        </w:rPr>
      </w:pPr>
      <w:r>
        <w:rPr>
          <w:b/>
          <w:bCs/>
        </w:rPr>
        <w:t xml:space="preserve">Eligible Foreign Life Insurance Company </w:t>
      </w:r>
      <w:r>
        <w:rPr>
          <w:bCs/>
        </w:rPr>
        <w:t>has the meaning given in section 16ZD of the Act.</w:t>
      </w:r>
    </w:p>
    <w:p w14:paraId="2F312F78" w14:textId="77777777" w:rsidR="009D0CCF" w:rsidRPr="009F0774" w:rsidRDefault="009D0CCF" w:rsidP="009D0CCF">
      <w:pPr>
        <w:ind w:left="567"/>
        <w:jc w:val="both"/>
        <w:rPr>
          <w:bCs/>
        </w:rPr>
      </w:pPr>
      <w:r>
        <w:rPr>
          <w:b/>
          <w:bCs/>
        </w:rPr>
        <w:t>Ensure</w:t>
      </w:r>
      <w:r>
        <w:rPr>
          <w:bCs/>
        </w:rPr>
        <w:t xml:space="preserve"> </w:t>
      </w:r>
      <w:r w:rsidRPr="009F0774">
        <w:rPr>
          <w:bCs/>
        </w:rPr>
        <w:t>when used in relation to a responsibility of the board, means to take all reasonable steps and make all reasonable enquiries as are appropriate for a board so that the board can determine, to the best of its knowledge, that the stated matter has been properly addressed.</w:t>
      </w:r>
    </w:p>
    <w:p w14:paraId="0CF6C8AB" w14:textId="77777777" w:rsidR="009D0CCF" w:rsidRPr="00DC34C6" w:rsidRDefault="009D0CCF" w:rsidP="009D0CCF">
      <w:pPr>
        <w:ind w:left="567"/>
        <w:jc w:val="both"/>
        <w:rPr>
          <w:bCs/>
        </w:rPr>
      </w:pPr>
      <w:r w:rsidRPr="009557A6">
        <w:rPr>
          <w:b/>
          <w:bCs/>
        </w:rPr>
        <w:t xml:space="preserve">Establishment </w:t>
      </w:r>
      <w:r>
        <w:rPr>
          <w:b/>
          <w:bCs/>
        </w:rPr>
        <w:t>f</w:t>
      </w:r>
      <w:r w:rsidRPr="009557A6">
        <w:rPr>
          <w:b/>
          <w:bCs/>
        </w:rPr>
        <w:t>ee</w:t>
      </w:r>
      <w:r>
        <w:rPr>
          <w:b/>
          <w:bCs/>
        </w:rPr>
        <w:t xml:space="preserve"> </w:t>
      </w:r>
      <w:r w:rsidRPr="00AC0762">
        <w:rPr>
          <w:bCs/>
        </w:rPr>
        <w:t>is a</w:t>
      </w:r>
      <w:r>
        <w:rPr>
          <w:b/>
          <w:bCs/>
        </w:rPr>
        <w:t xml:space="preserve"> </w:t>
      </w:r>
      <w:r w:rsidRPr="00DC34C6">
        <w:rPr>
          <w:bCs/>
        </w:rPr>
        <w:t xml:space="preserve">fee received at the </w:t>
      </w:r>
      <w:r>
        <w:rPr>
          <w:bCs/>
        </w:rPr>
        <w:t>c</w:t>
      </w:r>
      <w:r w:rsidRPr="00DC34C6">
        <w:rPr>
          <w:bCs/>
        </w:rPr>
        <w:t>ommencement of a</w:t>
      </w:r>
      <w:r>
        <w:rPr>
          <w:bCs/>
        </w:rPr>
        <w:t xml:space="preserve"> </w:t>
      </w:r>
      <w:r w:rsidRPr="00DC34C6">
        <w:rPr>
          <w:bCs/>
        </w:rPr>
        <w:t xml:space="preserve">policy which is intended to, at least partially, cover </w:t>
      </w:r>
      <w:r>
        <w:rPr>
          <w:bCs/>
        </w:rPr>
        <w:t>a</w:t>
      </w:r>
      <w:r w:rsidRPr="00DC34C6">
        <w:rPr>
          <w:bCs/>
        </w:rPr>
        <w:t>cquisition</w:t>
      </w:r>
      <w:r>
        <w:rPr>
          <w:bCs/>
        </w:rPr>
        <w:t xml:space="preserve"> e</w:t>
      </w:r>
      <w:r w:rsidRPr="00DC34C6">
        <w:rPr>
          <w:bCs/>
        </w:rPr>
        <w:t>xpenses. It does not include contingent entitlement to exit fees or</w:t>
      </w:r>
      <w:r>
        <w:rPr>
          <w:bCs/>
        </w:rPr>
        <w:t xml:space="preserve"> </w:t>
      </w:r>
      <w:r w:rsidRPr="00DC34C6">
        <w:rPr>
          <w:bCs/>
        </w:rPr>
        <w:t>surrender penalties.</w:t>
      </w:r>
    </w:p>
    <w:p w14:paraId="727CF2D4" w14:textId="77777777" w:rsidR="009D0CCF" w:rsidRDefault="009D0CCF" w:rsidP="009D0CCF">
      <w:pPr>
        <w:ind w:left="567"/>
        <w:jc w:val="both"/>
      </w:pPr>
      <w:r w:rsidRPr="009557A6">
        <w:rPr>
          <w:b/>
          <w:bCs/>
        </w:rPr>
        <w:t xml:space="preserve">Expense </w:t>
      </w:r>
      <w:r>
        <w:rPr>
          <w:b/>
          <w:bCs/>
        </w:rPr>
        <w:t>c</w:t>
      </w:r>
      <w:r w:rsidRPr="009557A6">
        <w:rPr>
          <w:b/>
          <w:bCs/>
        </w:rPr>
        <w:t>ategory</w:t>
      </w:r>
      <w:r>
        <w:rPr>
          <w:b/>
          <w:bCs/>
        </w:rPr>
        <w:t xml:space="preserve"> </w:t>
      </w:r>
      <w:r w:rsidRPr="00AC0762">
        <w:rPr>
          <w:bCs/>
        </w:rPr>
        <w:t>refers to a</w:t>
      </w:r>
      <w:r w:rsidRPr="00DC34C6">
        <w:rPr>
          <w:bCs/>
        </w:rPr>
        <w:t xml:space="preserve"> grouping of expenses directly or</w:t>
      </w:r>
      <w:r>
        <w:rPr>
          <w:bCs/>
        </w:rPr>
        <w:t xml:space="preserve"> </w:t>
      </w:r>
      <w:r w:rsidRPr="00DC34C6">
        <w:rPr>
          <w:bCs/>
        </w:rPr>
        <w:t xml:space="preserve">indirectly referable to life business. For the purposes of </w:t>
      </w:r>
      <w:r>
        <w:rPr>
          <w:bCs/>
        </w:rPr>
        <w:t xml:space="preserve">prudential </w:t>
      </w:r>
      <w:r w:rsidRPr="00DC34C6">
        <w:rPr>
          <w:bCs/>
        </w:rPr>
        <w:t xml:space="preserve">standards, three categories of expense are defined: </w:t>
      </w:r>
      <w:r>
        <w:rPr>
          <w:bCs/>
        </w:rPr>
        <w:t>a</w:t>
      </w:r>
      <w:r w:rsidRPr="00DC34C6">
        <w:rPr>
          <w:bCs/>
        </w:rPr>
        <w:t>cquisition</w:t>
      </w:r>
      <w:r>
        <w:rPr>
          <w:bCs/>
        </w:rPr>
        <w:t xml:space="preserve"> e</w:t>
      </w:r>
      <w:r w:rsidRPr="00DC34C6">
        <w:rPr>
          <w:bCs/>
        </w:rPr>
        <w:t xml:space="preserve">xpenses, </w:t>
      </w:r>
      <w:r>
        <w:rPr>
          <w:b/>
          <w:bCs/>
        </w:rPr>
        <w:t>m</w:t>
      </w:r>
      <w:r w:rsidRPr="00F77898">
        <w:rPr>
          <w:b/>
          <w:bCs/>
        </w:rPr>
        <w:t xml:space="preserve">aintenance </w:t>
      </w:r>
      <w:r>
        <w:rPr>
          <w:b/>
          <w:bCs/>
        </w:rPr>
        <w:t>e</w:t>
      </w:r>
      <w:r w:rsidRPr="00F77898">
        <w:rPr>
          <w:b/>
          <w:bCs/>
        </w:rPr>
        <w:t>xpenses</w:t>
      </w:r>
      <w:r w:rsidRPr="00DC34C6">
        <w:rPr>
          <w:bCs/>
        </w:rPr>
        <w:t xml:space="preserve"> and </w:t>
      </w:r>
      <w:r>
        <w:rPr>
          <w:b/>
          <w:bCs/>
        </w:rPr>
        <w:t>i</w:t>
      </w:r>
      <w:r w:rsidRPr="00F77898">
        <w:rPr>
          <w:b/>
          <w:bCs/>
        </w:rPr>
        <w:t xml:space="preserve">nvestment </w:t>
      </w:r>
      <w:r>
        <w:rPr>
          <w:b/>
          <w:bCs/>
        </w:rPr>
        <w:t>m</w:t>
      </w:r>
      <w:r w:rsidRPr="00F77898">
        <w:rPr>
          <w:b/>
          <w:bCs/>
        </w:rPr>
        <w:t xml:space="preserve">anagement </w:t>
      </w:r>
      <w:r>
        <w:rPr>
          <w:b/>
          <w:bCs/>
        </w:rPr>
        <w:t>e</w:t>
      </w:r>
      <w:r w:rsidRPr="00F77898">
        <w:rPr>
          <w:b/>
          <w:bCs/>
        </w:rPr>
        <w:t>xpenses</w:t>
      </w:r>
      <w:r w:rsidRPr="00DC34C6">
        <w:rPr>
          <w:bCs/>
        </w:rPr>
        <w:t>.</w:t>
      </w:r>
      <w:r w:rsidRPr="00DC34C6">
        <w:t xml:space="preserve"> </w:t>
      </w:r>
    </w:p>
    <w:p w14:paraId="3E7C9D63" w14:textId="77777777" w:rsidR="009D0CCF" w:rsidRPr="00DC34C6" w:rsidRDefault="009D0CCF" w:rsidP="009D0CCF">
      <w:pPr>
        <w:ind w:left="567"/>
        <w:jc w:val="both"/>
        <w:rPr>
          <w:bCs/>
        </w:rPr>
      </w:pPr>
      <w:r w:rsidRPr="009557A6">
        <w:rPr>
          <w:b/>
          <w:bCs/>
        </w:rPr>
        <w:t xml:space="preserve">Expense </w:t>
      </w:r>
      <w:r>
        <w:rPr>
          <w:b/>
          <w:bCs/>
        </w:rPr>
        <w:t>d</w:t>
      </w:r>
      <w:r w:rsidRPr="009557A6">
        <w:rPr>
          <w:b/>
          <w:bCs/>
        </w:rPr>
        <w:t>river</w:t>
      </w:r>
      <w:r>
        <w:rPr>
          <w:b/>
          <w:bCs/>
        </w:rPr>
        <w:t xml:space="preserve"> </w:t>
      </w:r>
      <w:r w:rsidRPr="00AC0762">
        <w:rPr>
          <w:bCs/>
        </w:rPr>
        <w:t>means a</w:t>
      </w:r>
      <w:r w:rsidRPr="00DC34C6">
        <w:rPr>
          <w:bCs/>
        </w:rPr>
        <w:t xml:space="preserve"> quantifiable measure in relation to which the</w:t>
      </w:r>
      <w:r>
        <w:rPr>
          <w:bCs/>
        </w:rPr>
        <w:t xml:space="preserve"> </w:t>
      </w:r>
      <w:r w:rsidRPr="00DC34C6">
        <w:rPr>
          <w:bCs/>
        </w:rPr>
        <w:t xml:space="preserve">relevant expenses of </w:t>
      </w:r>
      <w:r>
        <w:rPr>
          <w:bCs/>
        </w:rPr>
        <w:t>a life</w:t>
      </w:r>
      <w:r w:rsidRPr="00DC34C6">
        <w:rPr>
          <w:bCs/>
        </w:rPr>
        <w:t xml:space="preserve"> company are expected to vary.</w:t>
      </w:r>
    </w:p>
    <w:p w14:paraId="4DAEA7DF" w14:textId="77777777" w:rsidR="009D0CCF" w:rsidRDefault="009D0CCF" w:rsidP="009D0CCF">
      <w:pPr>
        <w:ind w:left="567"/>
        <w:jc w:val="both"/>
        <w:rPr>
          <w:bCs/>
        </w:rPr>
      </w:pPr>
      <w:r w:rsidRPr="009557A6">
        <w:rPr>
          <w:b/>
          <w:bCs/>
        </w:rPr>
        <w:t xml:space="preserve">Experience </w:t>
      </w:r>
      <w:r>
        <w:rPr>
          <w:b/>
          <w:bCs/>
        </w:rPr>
        <w:t>p</w:t>
      </w:r>
      <w:r w:rsidRPr="009557A6">
        <w:rPr>
          <w:b/>
          <w:bCs/>
        </w:rPr>
        <w:t>rofit</w:t>
      </w:r>
      <w:r>
        <w:rPr>
          <w:bCs/>
        </w:rPr>
        <w:t xml:space="preserve"> means t</w:t>
      </w:r>
      <w:r w:rsidRPr="00DC34C6">
        <w:rPr>
          <w:bCs/>
        </w:rPr>
        <w:t>he profit arising in a period from the</w:t>
      </w:r>
      <w:r>
        <w:rPr>
          <w:bCs/>
        </w:rPr>
        <w:t xml:space="preserve"> </w:t>
      </w:r>
      <w:r w:rsidRPr="00DC34C6">
        <w:rPr>
          <w:bCs/>
        </w:rPr>
        <w:t>difference between actual experience during that period and</w:t>
      </w:r>
      <w:r>
        <w:rPr>
          <w:bCs/>
        </w:rPr>
        <w:t xml:space="preserve"> </w:t>
      </w:r>
      <w:r w:rsidRPr="00DC34C6">
        <w:rPr>
          <w:bCs/>
        </w:rPr>
        <w:t xml:space="preserve">expected experience on the basis of </w:t>
      </w:r>
      <w:r>
        <w:rPr>
          <w:bCs/>
        </w:rPr>
        <w:t>b</w:t>
      </w:r>
      <w:r w:rsidRPr="00DC34C6">
        <w:rPr>
          <w:bCs/>
        </w:rPr>
        <w:t xml:space="preserve">est </w:t>
      </w:r>
      <w:r>
        <w:rPr>
          <w:bCs/>
        </w:rPr>
        <w:t>e</w:t>
      </w:r>
      <w:r w:rsidRPr="00DC34C6">
        <w:rPr>
          <w:bCs/>
        </w:rPr>
        <w:t xml:space="preserve">stimate </w:t>
      </w:r>
      <w:r>
        <w:rPr>
          <w:bCs/>
        </w:rPr>
        <w:t>a</w:t>
      </w:r>
      <w:r w:rsidRPr="00DC34C6">
        <w:rPr>
          <w:bCs/>
        </w:rPr>
        <w:t>ssumptions at</w:t>
      </w:r>
      <w:r>
        <w:rPr>
          <w:bCs/>
        </w:rPr>
        <w:t xml:space="preserve"> </w:t>
      </w:r>
      <w:r w:rsidRPr="00DC34C6">
        <w:rPr>
          <w:bCs/>
        </w:rPr>
        <w:t>the beginning of the period.</w:t>
      </w:r>
    </w:p>
    <w:p w14:paraId="406AE5BC" w14:textId="77777777" w:rsidR="009D0CCF" w:rsidRPr="007D22E8" w:rsidRDefault="009D0CCF" w:rsidP="009D0CCF">
      <w:pPr>
        <w:ind w:left="567"/>
        <w:jc w:val="both"/>
        <w:rPr>
          <w:bCs/>
        </w:rPr>
      </w:pPr>
      <w:r>
        <w:rPr>
          <w:b/>
          <w:bCs/>
        </w:rPr>
        <w:t xml:space="preserve">Fair value </w:t>
      </w:r>
      <w:r>
        <w:rPr>
          <w:bCs/>
        </w:rPr>
        <w:t>has the same meaning as it does in the Australian Accounting Standards and refers to t</w:t>
      </w:r>
      <w:r w:rsidRPr="007D22E8">
        <w:rPr>
          <w:bCs/>
        </w:rPr>
        <w:t xml:space="preserve">he amount for which an asset could be exchanged, </w:t>
      </w:r>
      <w:r>
        <w:rPr>
          <w:bCs/>
        </w:rPr>
        <w:t xml:space="preserve">or </w:t>
      </w:r>
      <w:r w:rsidRPr="007D22E8">
        <w:rPr>
          <w:bCs/>
        </w:rPr>
        <w:t>a liability settled, between knowledgeable, willing parties in an arm’s length transaction.</w:t>
      </w:r>
    </w:p>
    <w:p w14:paraId="5FFC4153" w14:textId="77777777" w:rsidR="009D0CCF" w:rsidRPr="0038281D" w:rsidRDefault="009D0CCF" w:rsidP="009D0CCF">
      <w:pPr>
        <w:ind w:left="567"/>
        <w:jc w:val="both"/>
        <w:rPr>
          <w:bCs/>
        </w:rPr>
      </w:pPr>
      <w:r>
        <w:rPr>
          <w:b/>
          <w:bCs/>
        </w:rPr>
        <w:t xml:space="preserve">Financial Condition Report </w:t>
      </w:r>
      <w:r w:rsidRPr="008F1963">
        <w:rPr>
          <w:bCs/>
        </w:rPr>
        <w:t>means a</w:t>
      </w:r>
      <w:r>
        <w:rPr>
          <w:b/>
          <w:bCs/>
        </w:rPr>
        <w:t xml:space="preserve"> </w:t>
      </w:r>
      <w:r>
        <w:rPr>
          <w:bCs/>
        </w:rPr>
        <w:t>report on the financial condition of a life company by its Appointed Actuary to meet the requirements of C</w:t>
      </w:r>
      <w:r w:rsidRPr="00331644">
        <w:rPr>
          <w:bCs/>
        </w:rPr>
        <w:t>PS 320</w:t>
      </w:r>
      <w:r>
        <w:rPr>
          <w:bCs/>
        </w:rPr>
        <w:t xml:space="preserve">. </w:t>
      </w:r>
    </w:p>
    <w:p w14:paraId="6B62F9CC" w14:textId="77777777" w:rsidR="009D0CCF" w:rsidRDefault="009D0CCF" w:rsidP="009D0CCF">
      <w:pPr>
        <w:ind w:left="567"/>
        <w:jc w:val="both"/>
      </w:pPr>
      <w:r w:rsidRPr="009C07E3">
        <w:rPr>
          <w:b/>
          <w:bCs/>
        </w:rPr>
        <w:lastRenderedPageBreak/>
        <w:t xml:space="preserve">Financial </w:t>
      </w:r>
      <w:r>
        <w:rPr>
          <w:b/>
          <w:bCs/>
        </w:rPr>
        <w:t>i</w:t>
      </w:r>
      <w:r w:rsidRPr="009C07E3">
        <w:rPr>
          <w:b/>
          <w:bCs/>
        </w:rPr>
        <w:t xml:space="preserve">nstrument </w:t>
      </w:r>
      <w:r>
        <w:rPr>
          <w:b/>
          <w:bCs/>
        </w:rPr>
        <w:t>e</w:t>
      </w:r>
      <w:r w:rsidRPr="009C07E3">
        <w:rPr>
          <w:b/>
          <w:bCs/>
        </w:rPr>
        <w:t>lement</w:t>
      </w:r>
      <w:r>
        <w:rPr>
          <w:bCs/>
        </w:rPr>
        <w:t xml:space="preserve"> means t</w:t>
      </w:r>
      <w:r w:rsidRPr="00DC34C6">
        <w:rPr>
          <w:bCs/>
        </w:rPr>
        <w:t>he activities and associated cash</w:t>
      </w:r>
      <w:r>
        <w:rPr>
          <w:bCs/>
        </w:rPr>
        <w:t xml:space="preserve"> </w:t>
      </w:r>
      <w:r w:rsidRPr="00DC34C6">
        <w:rPr>
          <w:bCs/>
        </w:rPr>
        <w:t xml:space="preserve">flows of a </w:t>
      </w:r>
      <w:r>
        <w:rPr>
          <w:b/>
          <w:bCs/>
        </w:rPr>
        <w:t>l</w:t>
      </w:r>
      <w:r w:rsidRPr="00F77898">
        <w:rPr>
          <w:b/>
          <w:bCs/>
        </w:rPr>
        <w:t xml:space="preserve">ife </w:t>
      </w:r>
      <w:r>
        <w:rPr>
          <w:b/>
          <w:bCs/>
        </w:rPr>
        <w:t>i</w:t>
      </w:r>
      <w:r w:rsidRPr="00F77898">
        <w:rPr>
          <w:b/>
          <w:bCs/>
        </w:rPr>
        <w:t xml:space="preserve">nvestment </w:t>
      </w:r>
      <w:r>
        <w:rPr>
          <w:b/>
          <w:bCs/>
        </w:rPr>
        <w:t>c</w:t>
      </w:r>
      <w:r w:rsidRPr="00F77898">
        <w:rPr>
          <w:b/>
          <w:bCs/>
        </w:rPr>
        <w:t>ontract</w:t>
      </w:r>
      <w:r w:rsidRPr="00DC34C6">
        <w:rPr>
          <w:bCs/>
        </w:rPr>
        <w:t xml:space="preserve"> that relate directly to the</w:t>
      </w:r>
      <w:r>
        <w:rPr>
          <w:bCs/>
        </w:rPr>
        <w:t xml:space="preserve"> </w:t>
      </w:r>
      <w:r w:rsidRPr="00DC34C6">
        <w:rPr>
          <w:bCs/>
        </w:rPr>
        <w:t>establishment of a financial asset or financial liability.</w:t>
      </w:r>
      <w:r w:rsidRPr="00DC34C6">
        <w:t xml:space="preserve"> </w:t>
      </w:r>
    </w:p>
    <w:p w14:paraId="4F15EF7C" w14:textId="77777777" w:rsidR="009D0CCF" w:rsidRDefault="009D0CCF" w:rsidP="009D0CCF">
      <w:pPr>
        <w:ind w:left="567"/>
        <w:jc w:val="both"/>
        <w:rPr>
          <w:bCs/>
        </w:rPr>
      </w:pPr>
      <w:r w:rsidRPr="009557A6">
        <w:rPr>
          <w:b/>
          <w:bCs/>
        </w:rPr>
        <w:t xml:space="preserve">Financial </w:t>
      </w:r>
      <w:r>
        <w:rPr>
          <w:b/>
          <w:bCs/>
        </w:rPr>
        <w:t>r</w:t>
      </w:r>
      <w:r w:rsidRPr="009557A6">
        <w:rPr>
          <w:b/>
          <w:bCs/>
        </w:rPr>
        <w:t>isk</w:t>
      </w:r>
      <w:r>
        <w:rPr>
          <w:bCs/>
        </w:rPr>
        <w:t xml:space="preserve"> refers to t</w:t>
      </w:r>
      <w:r w:rsidRPr="00DC34C6">
        <w:rPr>
          <w:bCs/>
        </w:rPr>
        <w:t>he risk of a possible future change in one or</w:t>
      </w:r>
      <w:r>
        <w:rPr>
          <w:bCs/>
        </w:rPr>
        <w:t xml:space="preserve"> </w:t>
      </w:r>
      <w:r w:rsidRPr="00DC34C6">
        <w:rPr>
          <w:bCs/>
        </w:rPr>
        <w:t xml:space="preserve">more </w:t>
      </w:r>
      <w:r>
        <w:rPr>
          <w:bCs/>
        </w:rPr>
        <w:t xml:space="preserve">specified economic variables - </w:t>
      </w:r>
      <w:r w:rsidRPr="00DC34C6">
        <w:rPr>
          <w:bCs/>
        </w:rPr>
        <w:t>a specified interest rate, financial instrument price,</w:t>
      </w:r>
      <w:r>
        <w:rPr>
          <w:bCs/>
        </w:rPr>
        <w:t xml:space="preserve"> </w:t>
      </w:r>
      <w:r w:rsidRPr="00DC34C6">
        <w:rPr>
          <w:bCs/>
        </w:rPr>
        <w:t>commodity price, foreign exchange rate, index of prices or rates, a</w:t>
      </w:r>
      <w:r>
        <w:rPr>
          <w:bCs/>
        </w:rPr>
        <w:t xml:space="preserve"> </w:t>
      </w:r>
      <w:r w:rsidRPr="00DC34C6">
        <w:rPr>
          <w:bCs/>
        </w:rPr>
        <w:t>credit rating or credit index or other variable, provided in the case</w:t>
      </w:r>
      <w:r>
        <w:rPr>
          <w:bCs/>
        </w:rPr>
        <w:t xml:space="preserve"> </w:t>
      </w:r>
      <w:r w:rsidRPr="00DC34C6">
        <w:rPr>
          <w:bCs/>
        </w:rPr>
        <w:t>of a non-financial variable that the variable is not specific to a</w:t>
      </w:r>
      <w:r>
        <w:rPr>
          <w:bCs/>
        </w:rPr>
        <w:t xml:space="preserve"> </w:t>
      </w:r>
      <w:r w:rsidRPr="00DC34C6">
        <w:rPr>
          <w:bCs/>
        </w:rPr>
        <w:t>party to the contract.</w:t>
      </w:r>
    </w:p>
    <w:p w14:paraId="179142F0" w14:textId="77777777" w:rsidR="009D0CCF" w:rsidRPr="00DC34C6" w:rsidRDefault="009D0CCF" w:rsidP="009D0CCF">
      <w:pPr>
        <w:ind w:left="567"/>
        <w:jc w:val="both"/>
        <w:rPr>
          <w:bCs/>
        </w:rPr>
      </w:pPr>
      <w:r w:rsidRPr="009C07E3">
        <w:rPr>
          <w:b/>
          <w:bCs/>
        </w:rPr>
        <w:t xml:space="preserve">Fixed </w:t>
      </w:r>
      <w:r>
        <w:rPr>
          <w:b/>
          <w:bCs/>
        </w:rPr>
        <w:t>t</w:t>
      </w:r>
      <w:r w:rsidRPr="009C07E3">
        <w:rPr>
          <w:b/>
          <w:bCs/>
        </w:rPr>
        <w:t>erm/</w:t>
      </w:r>
      <w:r>
        <w:rPr>
          <w:b/>
          <w:bCs/>
        </w:rPr>
        <w:t>r</w:t>
      </w:r>
      <w:r w:rsidRPr="009C07E3">
        <w:rPr>
          <w:b/>
          <w:bCs/>
        </w:rPr>
        <w:t xml:space="preserve">ate </w:t>
      </w:r>
      <w:r>
        <w:rPr>
          <w:b/>
          <w:bCs/>
        </w:rPr>
        <w:t>b</w:t>
      </w:r>
      <w:r w:rsidRPr="009C07E3">
        <w:rPr>
          <w:b/>
          <w:bCs/>
        </w:rPr>
        <w:t>usiness</w:t>
      </w:r>
      <w:r>
        <w:rPr>
          <w:bCs/>
        </w:rPr>
        <w:t xml:space="preserve"> means p</w:t>
      </w:r>
      <w:r w:rsidRPr="00DC34C6">
        <w:rPr>
          <w:bCs/>
        </w:rPr>
        <w:t>olicies which provide for guaranteed</w:t>
      </w:r>
      <w:r>
        <w:rPr>
          <w:bCs/>
        </w:rPr>
        <w:t xml:space="preserve"> </w:t>
      </w:r>
      <w:r w:rsidRPr="00DC34C6">
        <w:rPr>
          <w:bCs/>
        </w:rPr>
        <w:t>investment returns at a disclosed rate for a specified period. The</w:t>
      </w:r>
      <w:r>
        <w:rPr>
          <w:bCs/>
        </w:rPr>
        <w:t xml:space="preserve"> </w:t>
      </w:r>
      <w:r w:rsidRPr="00DC34C6">
        <w:rPr>
          <w:bCs/>
        </w:rPr>
        <w:t>guaranteed returns may be paid in the form of income or as capital</w:t>
      </w:r>
      <w:r>
        <w:rPr>
          <w:bCs/>
        </w:rPr>
        <w:t xml:space="preserve"> </w:t>
      </w:r>
      <w:r w:rsidRPr="00DC34C6">
        <w:rPr>
          <w:bCs/>
        </w:rPr>
        <w:t>at maturity. The specified period of the guarantee may be the full</w:t>
      </w:r>
      <w:r>
        <w:rPr>
          <w:bCs/>
        </w:rPr>
        <w:t xml:space="preserve"> </w:t>
      </w:r>
      <w:r w:rsidRPr="00DC34C6">
        <w:rPr>
          <w:bCs/>
        </w:rPr>
        <w:t>term of the policy, or may be to an interim point at which the</w:t>
      </w:r>
      <w:r>
        <w:rPr>
          <w:bCs/>
        </w:rPr>
        <w:t xml:space="preserve"> </w:t>
      </w:r>
      <w:r w:rsidRPr="00DC34C6">
        <w:rPr>
          <w:bCs/>
        </w:rPr>
        <w:t>option exists to ‘roll’ the policy for a further specified period at a</w:t>
      </w:r>
      <w:r>
        <w:rPr>
          <w:bCs/>
        </w:rPr>
        <w:t xml:space="preserve"> </w:t>
      </w:r>
      <w:r w:rsidRPr="00DC34C6">
        <w:rPr>
          <w:bCs/>
        </w:rPr>
        <w:t>new guaranteed return.</w:t>
      </w:r>
    </w:p>
    <w:p w14:paraId="3AC1B154" w14:textId="77777777" w:rsidR="009D0CCF" w:rsidRDefault="009D0CCF" w:rsidP="009D0CCF">
      <w:pPr>
        <w:ind w:left="567"/>
        <w:jc w:val="both"/>
        <w:rPr>
          <w:bCs/>
        </w:rPr>
      </w:pPr>
      <w:r w:rsidRPr="009C07E3">
        <w:rPr>
          <w:b/>
          <w:bCs/>
        </w:rPr>
        <w:t xml:space="preserve">Friendly </w:t>
      </w:r>
      <w:r>
        <w:rPr>
          <w:b/>
          <w:bCs/>
        </w:rPr>
        <w:t>s</w:t>
      </w:r>
      <w:r w:rsidRPr="009C07E3">
        <w:rPr>
          <w:b/>
          <w:bCs/>
        </w:rPr>
        <w:t>ocie</w:t>
      </w:r>
      <w:r w:rsidRPr="009C07E3">
        <w:rPr>
          <w:bCs/>
        </w:rPr>
        <w:t>t</w:t>
      </w:r>
      <w:r w:rsidRPr="009C07E3">
        <w:rPr>
          <w:b/>
          <w:bCs/>
        </w:rPr>
        <w:t>y</w:t>
      </w:r>
      <w:r>
        <w:rPr>
          <w:bCs/>
        </w:rPr>
        <w:t xml:space="preserve"> has the meaning given in section 16C of the Act.</w:t>
      </w:r>
    </w:p>
    <w:p w14:paraId="33BCA993" w14:textId="77777777" w:rsidR="009D0CCF" w:rsidRPr="00DC34C6" w:rsidRDefault="009D0CCF" w:rsidP="009D0CCF">
      <w:pPr>
        <w:ind w:left="567"/>
        <w:jc w:val="both"/>
        <w:rPr>
          <w:bCs/>
        </w:rPr>
      </w:pPr>
      <w:r w:rsidRPr="009C07E3">
        <w:rPr>
          <w:b/>
          <w:bCs/>
        </w:rPr>
        <w:t xml:space="preserve">Funeral </w:t>
      </w:r>
      <w:r>
        <w:rPr>
          <w:b/>
          <w:bCs/>
        </w:rPr>
        <w:t>b</w:t>
      </w:r>
      <w:r w:rsidRPr="009C07E3">
        <w:rPr>
          <w:b/>
          <w:bCs/>
        </w:rPr>
        <w:t xml:space="preserve">ond </w:t>
      </w:r>
      <w:r>
        <w:rPr>
          <w:b/>
          <w:bCs/>
        </w:rPr>
        <w:t>b</w:t>
      </w:r>
      <w:r w:rsidRPr="009C07E3">
        <w:rPr>
          <w:b/>
          <w:bCs/>
        </w:rPr>
        <w:t>usiness</w:t>
      </w:r>
      <w:r>
        <w:rPr>
          <w:bCs/>
        </w:rPr>
        <w:t xml:space="preserve"> means p</w:t>
      </w:r>
      <w:r w:rsidRPr="00DC34C6">
        <w:rPr>
          <w:bCs/>
        </w:rPr>
        <w:t>olicies providing continuous insurance</w:t>
      </w:r>
      <w:r>
        <w:rPr>
          <w:bCs/>
        </w:rPr>
        <w:t xml:space="preserve"> </w:t>
      </w:r>
      <w:r w:rsidRPr="00DC34C6">
        <w:rPr>
          <w:bCs/>
        </w:rPr>
        <w:t>against the contingency of death on terms and conditions agreed at</w:t>
      </w:r>
      <w:r>
        <w:rPr>
          <w:bCs/>
        </w:rPr>
        <w:t xml:space="preserve"> </w:t>
      </w:r>
      <w:r w:rsidRPr="00DC34C6">
        <w:rPr>
          <w:bCs/>
        </w:rPr>
        <w:t>the commencement of the policy, where:</w:t>
      </w:r>
    </w:p>
    <w:p w14:paraId="67C23FDF" w14:textId="77777777" w:rsidR="009D0CCF" w:rsidRPr="008734A2" w:rsidRDefault="009D0CCF" w:rsidP="009D0CCF">
      <w:pPr>
        <w:pStyle w:val="ListParagraph"/>
        <w:numPr>
          <w:ilvl w:val="0"/>
          <w:numId w:val="25"/>
        </w:numPr>
        <w:spacing w:after="240"/>
        <w:ind w:left="1134" w:hanging="567"/>
        <w:jc w:val="both"/>
        <w:rPr>
          <w:rFonts w:ascii="Times New Roman" w:hAnsi="Times New Roman"/>
          <w:bCs/>
          <w:sz w:val="24"/>
          <w:lang w:eastAsia="en-AU"/>
        </w:rPr>
      </w:pPr>
      <w:r w:rsidRPr="008734A2">
        <w:rPr>
          <w:rFonts w:ascii="Times New Roman" w:hAnsi="Times New Roman"/>
          <w:bCs/>
          <w:sz w:val="24"/>
          <w:lang w:eastAsia="en-AU"/>
        </w:rPr>
        <w:t>the primary purpose of the benefit is to meet the expenses of and incidental to the funeral of the policy owner, their spouse or children; and</w:t>
      </w:r>
    </w:p>
    <w:p w14:paraId="22193531" w14:textId="77777777" w:rsidR="009D0CCF" w:rsidRPr="00DC34C6" w:rsidRDefault="009D0CCF" w:rsidP="009D0CCF">
      <w:pPr>
        <w:pStyle w:val="ListParagraph"/>
        <w:numPr>
          <w:ilvl w:val="0"/>
          <w:numId w:val="25"/>
        </w:numPr>
        <w:spacing w:after="240"/>
        <w:ind w:left="1134" w:hanging="567"/>
        <w:jc w:val="both"/>
        <w:rPr>
          <w:rFonts w:ascii="Times New Roman" w:hAnsi="Times New Roman"/>
          <w:bCs/>
          <w:sz w:val="24"/>
          <w:lang w:eastAsia="en-AU"/>
        </w:rPr>
      </w:pPr>
      <w:r w:rsidRPr="00DC34C6">
        <w:rPr>
          <w:rFonts w:ascii="Times New Roman" w:hAnsi="Times New Roman"/>
          <w:bCs/>
          <w:sz w:val="24"/>
          <w:lang w:eastAsia="en-AU"/>
        </w:rPr>
        <w:t>the amount of the benefit (excluding any entitlement to bonus) is no greater than $15,000.</w:t>
      </w:r>
    </w:p>
    <w:p w14:paraId="3C1A50D9" w14:textId="77777777" w:rsidR="009D0CCF" w:rsidRDefault="009D0CCF" w:rsidP="009D0CCF">
      <w:pPr>
        <w:ind w:left="567"/>
        <w:jc w:val="both"/>
        <w:rPr>
          <w:bCs/>
        </w:rPr>
      </w:pPr>
      <w:r w:rsidRPr="009C07E3">
        <w:rPr>
          <w:b/>
          <w:bCs/>
        </w:rPr>
        <w:t xml:space="preserve">General </w:t>
      </w:r>
      <w:r>
        <w:rPr>
          <w:b/>
          <w:bCs/>
        </w:rPr>
        <w:t>f</w:t>
      </w:r>
      <w:r w:rsidRPr="009C07E3">
        <w:rPr>
          <w:b/>
          <w:bCs/>
        </w:rPr>
        <w:t>und</w:t>
      </w:r>
      <w:r>
        <w:rPr>
          <w:b/>
          <w:bCs/>
        </w:rPr>
        <w:t xml:space="preserve"> </w:t>
      </w:r>
      <w:r w:rsidRPr="00AC0762">
        <w:rPr>
          <w:bCs/>
        </w:rPr>
        <w:t>means t</w:t>
      </w:r>
      <w:r w:rsidRPr="00DC34C6">
        <w:rPr>
          <w:bCs/>
        </w:rPr>
        <w:t>he management fund for a friendly society or the</w:t>
      </w:r>
      <w:r>
        <w:rPr>
          <w:bCs/>
        </w:rPr>
        <w:t xml:space="preserve"> </w:t>
      </w:r>
      <w:r w:rsidRPr="00DC34C6">
        <w:rPr>
          <w:bCs/>
        </w:rPr>
        <w:t xml:space="preserve">shareholders’ fund for </w:t>
      </w:r>
      <w:r>
        <w:rPr>
          <w:bCs/>
        </w:rPr>
        <w:t>a life company other than a friendly society</w:t>
      </w:r>
      <w:r w:rsidRPr="00DC34C6">
        <w:rPr>
          <w:bCs/>
        </w:rPr>
        <w:t>.</w:t>
      </w:r>
    </w:p>
    <w:p w14:paraId="589C6993" w14:textId="77777777" w:rsidR="009D0CCF" w:rsidRDefault="009D0CCF" w:rsidP="009D0CCF">
      <w:pPr>
        <w:ind w:left="567"/>
        <w:jc w:val="both"/>
        <w:rPr>
          <w:bCs/>
        </w:rPr>
      </w:pPr>
      <w:r>
        <w:rPr>
          <w:b/>
          <w:bCs/>
        </w:rPr>
        <w:t>Gross</w:t>
      </w:r>
      <w:r w:rsidRPr="004118EC">
        <w:rPr>
          <w:b/>
          <w:bCs/>
        </w:rPr>
        <w:t xml:space="preserve"> </w:t>
      </w:r>
      <w:r>
        <w:rPr>
          <w:b/>
          <w:bCs/>
        </w:rPr>
        <w:t>p</w:t>
      </w:r>
      <w:r w:rsidRPr="004118EC">
        <w:rPr>
          <w:b/>
          <w:bCs/>
        </w:rPr>
        <w:t xml:space="preserve">olicy </w:t>
      </w:r>
      <w:r>
        <w:rPr>
          <w:b/>
          <w:bCs/>
        </w:rPr>
        <w:t>l</w:t>
      </w:r>
      <w:r w:rsidRPr="004118EC">
        <w:rPr>
          <w:b/>
          <w:bCs/>
        </w:rPr>
        <w:t>iability</w:t>
      </w:r>
      <w:r>
        <w:rPr>
          <w:b/>
          <w:bCs/>
        </w:rPr>
        <w:t xml:space="preserve"> </w:t>
      </w:r>
      <w:r>
        <w:rPr>
          <w:bCs/>
        </w:rPr>
        <w:t xml:space="preserve">is as defined in LPS 340. </w:t>
      </w:r>
    </w:p>
    <w:p w14:paraId="038B16F4" w14:textId="5C057D6B" w:rsidR="009D0CCF" w:rsidRPr="00C71F66" w:rsidRDefault="009D0CCF" w:rsidP="009D0CCF">
      <w:pPr>
        <w:pStyle w:val="BodyText"/>
        <w:ind w:left="567"/>
        <w:rPr>
          <w:i/>
        </w:rPr>
      </w:pPr>
      <w:r w:rsidRPr="00C71F66">
        <w:rPr>
          <w:b/>
        </w:rPr>
        <w:t>ICAAP summary statement</w:t>
      </w:r>
      <w:r w:rsidRPr="00C71F66">
        <w:t xml:space="preserve"> is as described in </w:t>
      </w:r>
      <w:r w:rsidR="0045579C">
        <w:rPr>
          <w:i/>
        </w:rPr>
        <w:t>Prudential Standard LPS 110 Capital</w:t>
      </w:r>
      <w:r w:rsidR="0045579C" w:rsidRPr="00E419EC">
        <w:rPr>
          <w:i/>
        </w:rPr>
        <w:t xml:space="preserve"> Adequacy</w:t>
      </w:r>
      <w:r w:rsidR="0045579C">
        <w:t xml:space="preserve"> (</w:t>
      </w:r>
      <w:r w:rsidRPr="0045579C">
        <w:t>LPS</w:t>
      </w:r>
      <w:r w:rsidRPr="00C71F66">
        <w:t xml:space="preserve"> 110</w:t>
      </w:r>
      <w:r w:rsidR="0045579C">
        <w:t>)</w:t>
      </w:r>
      <w:r w:rsidRPr="00C71F66">
        <w:rPr>
          <w:i/>
        </w:rPr>
        <w:t>.</w:t>
      </w:r>
    </w:p>
    <w:p w14:paraId="09FC4D5C" w14:textId="77777777" w:rsidR="009D0CCF" w:rsidRPr="00C71F66" w:rsidRDefault="009D0CCF" w:rsidP="009D0CCF">
      <w:pPr>
        <w:pStyle w:val="BodyText"/>
        <w:ind w:left="567"/>
      </w:pPr>
      <w:r w:rsidRPr="00C71F66">
        <w:rPr>
          <w:b/>
        </w:rPr>
        <w:t>ICAAP report</w:t>
      </w:r>
      <w:r w:rsidRPr="00C71F66">
        <w:t xml:space="preserve"> is as described in </w:t>
      </w:r>
      <w:r>
        <w:t>L</w:t>
      </w:r>
      <w:r w:rsidRPr="00C71F66">
        <w:t>PS 110</w:t>
      </w:r>
      <w:r w:rsidRPr="00C71F66">
        <w:rPr>
          <w:i/>
        </w:rPr>
        <w:t>.</w:t>
      </w:r>
    </w:p>
    <w:p w14:paraId="2F30772C" w14:textId="77777777" w:rsidR="009D0CCF" w:rsidRPr="00F736BF" w:rsidRDefault="009D0CCF" w:rsidP="009D0CCF">
      <w:pPr>
        <w:ind w:left="567"/>
        <w:jc w:val="both"/>
        <w:rPr>
          <w:bCs/>
        </w:rPr>
      </w:pPr>
      <w:r>
        <w:rPr>
          <w:b/>
          <w:bCs/>
        </w:rPr>
        <w:t>Illiquidity premium</w:t>
      </w:r>
      <w:r>
        <w:rPr>
          <w:bCs/>
        </w:rPr>
        <w:t xml:space="preserve"> is as defined in LPS 112.</w:t>
      </w:r>
    </w:p>
    <w:p w14:paraId="7158A806" w14:textId="77777777" w:rsidR="009D0CCF" w:rsidRPr="00636F61" w:rsidRDefault="009D0CCF" w:rsidP="009D0CCF">
      <w:pPr>
        <w:ind w:left="567"/>
        <w:jc w:val="both"/>
        <w:rPr>
          <w:bCs/>
        </w:rPr>
      </w:pPr>
      <w:r>
        <w:rPr>
          <w:b/>
          <w:bCs/>
        </w:rPr>
        <w:t>Immediate life annuity</w:t>
      </w:r>
      <w:r>
        <w:rPr>
          <w:bCs/>
        </w:rPr>
        <w:t xml:space="preserve"> is an annuity that is not unbundled investment business and is not a variable annuity, where the next annuity payment is due within 12 months and payments continue until the death of the life insured. This includes deferred annuities that have commenced payment. </w:t>
      </w:r>
    </w:p>
    <w:p w14:paraId="7132F499" w14:textId="77777777" w:rsidR="009D0CCF" w:rsidRDefault="009D0CCF" w:rsidP="009D0CCF">
      <w:pPr>
        <w:ind w:left="567"/>
        <w:jc w:val="both"/>
      </w:pPr>
      <w:r w:rsidRPr="009C07E3">
        <w:rPr>
          <w:b/>
          <w:bCs/>
        </w:rPr>
        <w:t xml:space="preserve">Insurance </w:t>
      </w:r>
      <w:r>
        <w:rPr>
          <w:b/>
          <w:bCs/>
        </w:rPr>
        <w:t>c</w:t>
      </w:r>
      <w:r w:rsidRPr="009C07E3">
        <w:rPr>
          <w:b/>
          <w:bCs/>
        </w:rPr>
        <w:t>ontract</w:t>
      </w:r>
      <w:r>
        <w:rPr>
          <w:bCs/>
        </w:rPr>
        <w:t xml:space="preserve"> means a </w:t>
      </w:r>
      <w:r w:rsidRPr="00DC34C6">
        <w:rPr>
          <w:bCs/>
        </w:rPr>
        <w:t>contract under which one party (the</w:t>
      </w:r>
      <w:r>
        <w:rPr>
          <w:bCs/>
        </w:rPr>
        <w:t xml:space="preserve"> </w:t>
      </w:r>
      <w:r w:rsidRPr="00DC34C6">
        <w:rPr>
          <w:bCs/>
        </w:rPr>
        <w:t>insurer) accepts significant insurance risk from another party (the</w:t>
      </w:r>
      <w:r>
        <w:rPr>
          <w:bCs/>
        </w:rPr>
        <w:t xml:space="preserve"> </w:t>
      </w:r>
      <w:r w:rsidRPr="00DC34C6">
        <w:rPr>
          <w:bCs/>
        </w:rPr>
        <w:t>policy</w:t>
      </w:r>
      <w:r>
        <w:rPr>
          <w:bCs/>
        </w:rPr>
        <w:t xml:space="preserve"> owner</w:t>
      </w:r>
      <w:r w:rsidRPr="00DC34C6">
        <w:rPr>
          <w:bCs/>
        </w:rPr>
        <w:t xml:space="preserve">) by agreeing to </w:t>
      </w:r>
      <w:r>
        <w:rPr>
          <w:bCs/>
        </w:rPr>
        <w:t>compensate the</w:t>
      </w:r>
      <w:r w:rsidRPr="00DC34C6">
        <w:rPr>
          <w:bCs/>
        </w:rPr>
        <w:t xml:space="preserve"> policy</w:t>
      </w:r>
      <w:r>
        <w:rPr>
          <w:bCs/>
        </w:rPr>
        <w:t xml:space="preserve"> owner</w:t>
      </w:r>
      <w:r w:rsidRPr="00DC34C6">
        <w:rPr>
          <w:bCs/>
        </w:rPr>
        <w:t xml:space="preserve"> </w:t>
      </w:r>
      <w:r>
        <w:rPr>
          <w:bCs/>
        </w:rPr>
        <w:t xml:space="preserve">if </w:t>
      </w:r>
      <w:r w:rsidRPr="00DC34C6">
        <w:rPr>
          <w:bCs/>
        </w:rPr>
        <w:t>a</w:t>
      </w:r>
      <w:r>
        <w:rPr>
          <w:bCs/>
        </w:rPr>
        <w:t xml:space="preserve"> </w:t>
      </w:r>
      <w:r w:rsidRPr="00DC34C6">
        <w:rPr>
          <w:bCs/>
        </w:rPr>
        <w:t>specified uncertain future event (the insured event) adverse</w:t>
      </w:r>
      <w:r>
        <w:rPr>
          <w:bCs/>
        </w:rPr>
        <w:t>ly affects</w:t>
      </w:r>
      <w:r w:rsidRPr="00DC34C6">
        <w:rPr>
          <w:bCs/>
        </w:rPr>
        <w:t xml:space="preserve"> the policy</w:t>
      </w:r>
      <w:r>
        <w:rPr>
          <w:bCs/>
        </w:rPr>
        <w:t xml:space="preserve"> owner</w:t>
      </w:r>
      <w:r w:rsidRPr="00DC34C6">
        <w:rPr>
          <w:bCs/>
        </w:rPr>
        <w:t>.</w:t>
      </w:r>
      <w:r w:rsidRPr="00DC34C6">
        <w:t xml:space="preserve"> </w:t>
      </w:r>
    </w:p>
    <w:p w14:paraId="4ADE8CB0" w14:textId="77777777" w:rsidR="009D0CCF" w:rsidRDefault="009D0CCF" w:rsidP="009D0CCF">
      <w:pPr>
        <w:ind w:left="567"/>
        <w:jc w:val="both"/>
        <w:rPr>
          <w:bCs/>
        </w:rPr>
      </w:pPr>
      <w:r w:rsidRPr="009C07E3">
        <w:rPr>
          <w:b/>
          <w:bCs/>
        </w:rPr>
        <w:t xml:space="preserve">Insurance </w:t>
      </w:r>
      <w:r>
        <w:rPr>
          <w:b/>
          <w:bCs/>
        </w:rPr>
        <w:t>r</w:t>
      </w:r>
      <w:r w:rsidRPr="009C07E3">
        <w:rPr>
          <w:b/>
          <w:bCs/>
        </w:rPr>
        <w:t>isk</w:t>
      </w:r>
      <w:r>
        <w:rPr>
          <w:b/>
          <w:bCs/>
        </w:rPr>
        <w:t xml:space="preserve"> </w:t>
      </w:r>
      <w:r w:rsidRPr="00AC0762">
        <w:rPr>
          <w:bCs/>
        </w:rPr>
        <w:t>refers to risk</w:t>
      </w:r>
      <w:r w:rsidRPr="00DC34C6">
        <w:rPr>
          <w:bCs/>
        </w:rPr>
        <w:t>, other than financial risk, transferred from</w:t>
      </w:r>
      <w:r>
        <w:rPr>
          <w:bCs/>
        </w:rPr>
        <w:t xml:space="preserve"> </w:t>
      </w:r>
      <w:r w:rsidRPr="00DC34C6">
        <w:rPr>
          <w:bCs/>
        </w:rPr>
        <w:t>the holder of a contract to the issuer.</w:t>
      </w:r>
    </w:p>
    <w:p w14:paraId="56C8268F" w14:textId="77777777" w:rsidR="009D0CCF" w:rsidRDefault="009D0CCF" w:rsidP="009D0CCF">
      <w:pPr>
        <w:ind w:left="567"/>
        <w:jc w:val="both"/>
        <w:rPr>
          <w:bCs/>
        </w:rPr>
      </w:pPr>
      <w:r w:rsidRPr="009C07E3">
        <w:rPr>
          <w:b/>
          <w:bCs/>
        </w:rPr>
        <w:lastRenderedPageBreak/>
        <w:t>Insurance Risk Charge</w:t>
      </w:r>
      <w:r>
        <w:rPr>
          <w:bCs/>
        </w:rPr>
        <w:t xml:space="preserve"> means the risk charge determined under </w:t>
      </w:r>
      <w:r w:rsidRPr="00DD4915">
        <w:rPr>
          <w:bCs/>
          <w:i/>
        </w:rPr>
        <w:t>Prudential Standard LPS 11</w:t>
      </w:r>
      <w:r>
        <w:rPr>
          <w:bCs/>
          <w:i/>
        </w:rPr>
        <w:t>5 Capital Adequacy:</w:t>
      </w:r>
      <w:r w:rsidRPr="00DD4915">
        <w:rPr>
          <w:bCs/>
          <w:i/>
        </w:rPr>
        <w:t xml:space="preserve"> </w:t>
      </w:r>
      <w:r>
        <w:rPr>
          <w:bCs/>
          <w:i/>
        </w:rPr>
        <w:t>Insurance</w:t>
      </w:r>
      <w:r w:rsidRPr="00DD4915">
        <w:rPr>
          <w:bCs/>
          <w:i/>
        </w:rPr>
        <w:t xml:space="preserve"> Risk Charge</w:t>
      </w:r>
      <w:r>
        <w:rPr>
          <w:bCs/>
          <w:i/>
        </w:rPr>
        <w:t xml:space="preserve"> </w:t>
      </w:r>
      <w:r>
        <w:rPr>
          <w:bCs/>
        </w:rPr>
        <w:t>(LPS 115).</w:t>
      </w:r>
    </w:p>
    <w:p w14:paraId="577C27FF" w14:textId="476053A5" w:rsidR="009D0CCF" w:rsidRDefault="009D0CCF" w:rsidP="009D0CCF">
      <w:pPr>
        <w:ind w:left="567"/>
        <w:jc w:val="both"/>
        <w:rPr>
          <w:color w:val="000000"/>
        </w:rPr>
      </w:pPr>
      <w:r w:rsidRPr="00041FF6">
        <w:rPr>
          <w:b/>
          <w:color w:val="000000"/>
        </w:rPr>
        <w:t xml:space="preserve">Internal Capital Adequacy Assessment Process </w:t>
      </w:r>
      <w:r w:rsidRPr="00041FF6">
        <w:rPr>
          <w:color w:val="000000"/>
        </w:rPr>
        <w:t xml:space="preserve">is as described in </w:t>
      </w:r>
      <w:r w:rsidRPr="000C2E87">
        <w:rPr>
          <w:color w:val="000000"/>
        </w:rPr>
        <w:t>LPS 110</w:t>
      </w:r>
      <w:r>
        <w:rPr>
          <w:color w:val="000000"/>
        </w:rPr>
        <w:t>.</w:t>
      </w:r>
    </w:p>
    <w:p w14:paraId="511738A1" w14:textId="77777777" w:rsidR="009D0CCF" w:rsidRDefault="009D0CCF" w:rsidP="009D0CCF">
      <w:pPr>
        <w:ind w:left="567"/>
        <w:jc w:val="both"/>
        <w:rPr>
          <w:bCs/>
        </w:rPr>
      </w:pPr>
      <w:r>
        <w:rPr>
          <w:b/>
          <w:bCs/>
        </w:rPr>
        <w:t xml:space="preserve">Investment account benefit </w:t>
      </w:r>
      <w:r w:rsidRPr="00D050DD">
        <w:rPr>
          <w:bCs/>
        </w:rPr>
        <w:t>has the meaning given in the Dictionary to the Act.</w:t>
      </w:r>
    </w:p>
    <w:p w14:paraId="02E44DE9" w14:textId="77777777" w:rsidR="009D0CCF" w:rsidRDefault="009D0CCF" w:rsidP="009D0CCF">
      <w:pPr>
        <w:ind w:left="567"/>
        <w:jc w:val="both"/>
        <w:rPr>
          <w:bCs/>
        </w:rPr>
      </w:pPr>
      <w:r>
        <w:rPr>
          <w:b/>
          <w:bCs/>
        </w:rPr>
        <w:t xml:space="preserve">Investment account contract </w:t>
      </w:r>
      <w:r w:rsidRPr="00D050DD">
        <w:rPr>
          <w:bCs/>
        </w:rPr>
        <w:t>has the meaning given in the Dictionary to the Act.</w:t>
      </w:r>
    </w:p>
    <w:p w14:paraId="0B8D99D2" w14:textId="77777777" w:rsidR="009D0CCF" w:rsidRDefault="009D0CCF" w:rsidP="009D0CCF">
      <w:pPr>
        <w:ind w:left="567"/>
        <w:jc w:val="both"/>
        <w:rPr>
          <w:bCs/>
        </w:rPr>
      </w:pPr>
      <w:r w:rsidRPr="00B340CB">
        <w:rPr>
          <w:b/>
          <w:bCs/>
        </w:rPr>
        <w:t xml:space="preserve">Investment </w:t>
      </w:r>
      <w:r>
        <w:rPr>
          <w:b/>
          <w:bCs/>
        </w:rPr>
        <w:t>f</w:t>
      </w:r>
      <w:r w:rsidRPr="00B340CB">
        <w:rPr>
          <w:b/>
          <w:bCs/>
        </w:rPr>
        <w:t xml:space="preserve">luctuation </w:t>
      </w:r>
      <w:r>
        <w:rPr>
          <w:b/>
          <w:bCs/>
        </w:rPr>
        <w:t>r</w:t>
      </w:r>
      <w:r w:rsidRPr="00B340CB">
        <w:rPr>
          <w:b/>
          <w:bCs/>
        </w:rPr>
        <w:t>eserve</w:t>
      </w:r>
      <w:r>
        <w:rPr>
          <w:bCs/>
        </w:rPr>
        <w:t xml:space="preserve"> means a reserve used for smoothing discretionary additions for non-participating benefits. For the purpose of the </w:t>
      </w:r>
      <w:r>
        <w:rPr>
          <w:bCs/>
          <w:szCs w:val="16"/>
        </w:rPr>
        <w:t>c</w:t>
      </w:r>
      <w:r w:rsidRPr="00F77898">
        <w:rPr>
          <w:bCs/>
          <w:szCs w:val="16"/>
        </w:rPr>
        <w:t xml:space="preserve">apital </w:t>
      </w:r>
      <w:r>
        <w:rPr>
          <w:bCs/>
          <w:szCs w:val="16"/>
        </w:rPr>
        <w:t>adequacy s</w:t>
      </w:r>
      <w:r w:rsidRPr="00F77898">
        <w:rPr>
          <w:bCs/>
          <w:szCs w:val="16"/>
        </w:rPr>
        <w:t>tandards</w:t>
      </w:r>
      <w:r>
        <w:rPr>
          <w:bCs/>
        </w:rPr>
        <w:t xml:space="preserve"> the investment fluctuation reserve is defined to be the difference between the value of the assets administered for the purpose of a subcategory and the </w:t>
      </w:r>
      <w:r w:rsidRPr="00EA4DA2">
        <w:rPr>
          <w:bCs/>
        </w:rPr>
        <w:t>aggregate value of the accounts under the policies belonging to</w:t>
      </w:r>
      <w:r>
        <w:rPr>
          <w:bCs/>
        </w:rPr>
        <w:t xml:space="preserve"> that subcategory. </w:t>
      </w:r>
    </w:p>
    <w:p w14:paraId="5252CD48" w14:textId="77777777" w:rsidR="009D0CCF" w:rsidRPr="00DC34C6" w:rsidRDefault="009D0CCF" w:rsidP="009D0CCF">
      <w:pPr>
        <w:ind w:left="567"/>
        <w:jc w:val="both"/>
        <w:rPr>
          <w:bCs/>
        </w:rPr>
      </w:pPr>
      <w:r w:rsidRPr="009C07E3">
        <w:rPr>
          <w:b/>
          <w:bCs/>
        </w:rPr>
        <w:t xml:space="preserve">Investment </w:t>
      </w:r>
      <w:r>
        <w:rPr>
          <w:b/>
          <w:bCs/>
        </w:rPr>
        <w:t>m</w:t>
      </w:r>
      <w:r w:rsidRPr="009C07E3">
        <w:rPr>
          <w:b/>
          <w:bCs/>
        </w:rPr>
        <w:t xml:space="preserve">anagement </w:t>
      </w:r>
      <w:r>
        <w:rPr>
          <w:b/>
          <w:bCs/>
        </w:rPr>
        <w:t>e</w:t>
      </w:r>
      <w:r w:rsidRPr="009C07E3">
        <w:rPr>
          <w:b/>
          <w:bCs/>
        </w:rPr>
        <w:t>xpenses</w:t>
      </w:r>
      <w:r>
        <w:rPr>
          <w:bCs/>
        </w:rPr>
        <w:t xml:space="preserve"> means t</w:t>
      </w:r>
      <w:r w:rsidRPr="00DC34C6">
        <w:rPr>
          <w:bCs/>
        </w:rPr>
        <w:t>he fixed and variable</w:t>
      </w:r>
      <w:r>
        <w:rPr>
          <w:bCs/>
        </w:rPr>
        <w:t xml:space="preserve"> </w:t>
      </w:r>
      <w:r w:rsidRPr="00DC34C6">
        <w:rPr>
          <w:bCs/>
        </w:rPr>
        <w:t xml:space="preserve">expenses of </w:t>
      </w:r>
      <w:r>
        <w:rPr>
          <w:bCs/>
        </w:rPr>
        <w:t>a life</w:t>
      </w:r>
      <w:r w:rsidRPr="00DC34C6">
        <w:rPr>
          <w:bCs/>
        </w:rPr>
        <w:t xml:space="preserve"> company to the extent they are, either directly or</w:t>
      </w:r>
      <w:r>
        <w:rPr>
          <w:bCs/>
        </w:rPr>
        <w:t xml:space="preserve"> </w:t>
      </w:r>
      <w:r w:rsidRPr="00DC34C6">
        <w:rPr>
          <w:bCs/>
        </w:rPr>
        <w:t>indirectly, referable to manag</w:t>
      </w:r>
      <w:r>
        <w:rPr>
          <w:bCs/>
        </w:rPr>
        <w:t>ing the company’s</w:t>
      </w:r>
      <w:r w:rsidRPr="00DC34C6">
        <w:rPr>
          <w:bCs/>
        </w:rPr>
        <w:t xml:space="preserve"> investment portfolio.</w:t>
      </w:r>
    </w:p>
    <w:p w14:paraId="4D9A1245" w14:textId="77777777" w:rsidR="009D0CCF" w:rsidRDefault="009D0CCF" w:rsidP="009D0CCF">
      <w:pPr>
        <w:ind w:left="567"/>
        <w:jc w:val="both"/>
        <w:rPr>
          <w:bCs/>
        </w:rPr>
      </w:pPr>
      <w:r w:rsidRPr="00B340CB">
        <w:rPr>
          <w:b/>
          <w:bCs/>
        </w:rPr>
        <w:t xml:space="preserve">Investment </w:t>
      </w:r>
      <w:r>
        <w:rPr>
          <w:b/>
          <w:bCs/>
        </w:rPr>
        <w:t>p</w:t>
      </w:r>
      <w:r w:rsidRPr="00B340CB">
        <w:rPr>
          <w:b/>
          <w:bCs/>
        </w:rPr>
        <w:t xml:space="preserve">erformance </w:t>
      </w:r>
      <w:r>
        <w:rPr>
          <w:b/>
          <w:bCs/>
        </w:rPr>
        <w:t>g</w:t>
      </w:r>
      <w:r w:rsidRPr="00B340CB">
        <w:rPr>
          <w:b/>
          <w:bCs/>
        </w:rPr>
        <w:t>uarantee</w:t>
      </w:r>
      <w:r>
        <w:rPr>
          <w:bCs/>
        </w:rPr>
        <w:t xml:space="preserve"> means a</w:t>
      </w:r>
      <w:r w:rsidRPr="00DC34C6">
        <w:rPr>
          <w:bCs/>
        </w:rPr>
        <w:t>n investment performance</w:t>
      </w:r>
      <w:r>
        <w:rPr>
          <w:bCs/>
        </w:rPr>
        <w:t xml:space="preserve"> </w:t>
      </w:r>
      <w:r w:rsidRPr="00DC34C6">
        <w:rPr>
          <w:bCs/>
        </w:rPr>
        <w:t>guarantee in accordance with section 42 of the Act.</w:t>
      </w:r>
    </w:p>
    <w:p w14:paraId="2ABBCACB" w14:textId="77777777" w:rsidR="009D0CCF" w:rsidRDefault="009D0CCF" w:rsidP="009D0CCF">
      <w:pPr>
        <w:ind w:left="567"/>
        <w:jc w:val="both"/>
        <w:rPr>
          <w:bCs/>
        </w:rPr>
      </w:pPr>
      <w:r>
        <w:rPr>
          <w:b/>
          <w:bCs/>
        </w:rPr>
        <w:t xml:space="preserve">Investment-linked benefit </w:t>
      </w:r>
      <w:r w:rsidRPr="00D050DD">
        <w:rPr>
          <w:bCs/>
        </w:rPr>
        <w:t>has the meaning given in the Dictionary to the Act.</w:t>
      </w:r>
    </w:p>
    <w:p w14:paraId="015F8C8A" w14:textId="77777777" w:rsidR="009D0CCF" w:rsidRPr="00062B74" w:rsidRDefault="009D0CCF" w:rsidP="009D0CCF">
      <w:pPr>
        <w:ind w:left="567"/>
        <w:jc w:val="both"/>
        <w:rPr>
          <w:bCs/>
        </w:rPr>
      </w:pPr>
      <w:r>
        <w:rPr>
          <w:b/>
          <w:bCs/>
        </w:rPr>
        <w:t xml:space="preserve">Investment-linked contract </w:t>
      </w:r>
      <w:r w:rsidRPr="00D050DD">
        <w:rPr>
          <w:bCs/>
        </w:rPr>
        <w:t>has the meaning given in the Dictionary to the Act.</w:t>
      </w:r>
    </w:p>
    <w:p w14:paraId="499F45DA" w14:textId="77777777" w:rsidR="009D0CCF" w:rsidRDefault="009D0CCF" w:rsidP="009D0CCF">
      <w:pPr>
        <w:ind w:left="567"/>
        <w:jc w:val="both"/>
        <w:rPr>
          <w:b/>
          <w:bCs/>
        </w:rPr>
      </w:pPr>
      <w:r>
        <w:rPr>
          <w:b/>
          <w:bCs/>
        </w:rPr>
        <w:t xml:space="preserve">Life business </w:t>
      </w:r>
      <w:r>
        <w:rPr>
          <w:bCs/>
        </w:rPr>
        <w:t>has the meaning given in the Dictionary to the Act.</w:t>
      </w:r>
    </w:p>
    <w:p w14:paraId="7E478D1E" w14:textId="77777777" w:rsidR="009D0CCF" w:rsidRDefault="009D0CCF" w:rsidP="009D0CCF">
      <w:pPr>
        <w:ind w:left="567"/>
        <w:jc w:val="both"/>
        <w:rPr>
          <w:bCs/>
        </w:rPr>
      </w:pPr>
      <w:r w:rsidRPr="00B340CB">
        <w:rPr>
          <w:b/>
          <w:bCs/>
        </w:rPr>
        <w:t xml:space="preserve">Life </w:t>
      </w:r>
      <w:r>
        <w:rPr>
          <w:b/>
          <w:bCs/>
        </w:rPr>
        <w:t>c</w:t>
      </w:r>
      <w:r w:rsidRPr="00B340CB">
        <w:rPr>
          <w:b/>
          <w:bCs/>
        </w:rPr>
        <w:t>ompany</w:t>
      </w:r>
      <w:r>
        <w:rPr>
          <w:bCs/>
        </w:rPr>
        <w:t xml:space="preserve"> has the meaning given in the Dictionary to the Act.</w:t>
      </w:r>
    </w:p>
    <w:p w14:paraId="19FDA3CC" w14:textId="77777777" w:rsidR="009D0CCF" w:rsidRPr="00DC34C6" w:rsidRDefault="009D0CCF" w:rsidP="009D0CCF">
      <w:pPr>
        <w:ind w:left="567"/>
        <w:jc w:val="both"/>
        <w:rPr>
          <w:bCs/>
        </w:rPr>
      </w:pPr>
      <w:r w:rsidRPr="00B340CB">
        <w:rPr>
          <w:b/>
          <w:bCs/>
        </w:rPr>
        <w:t xml:space="preserve">Life </w:t>
      </w:r>
      <w:r>
        <w:rPr>
          <w:b/>
          <w:bCs/>
        </w:rPr>
        <w:t>i</w:t>
      </w:r>
      <w:r w:rsidRPr="00B340CB">
        <w:rPr>
          <w:b/>
          <w:bCs/>
        </w:rPr>
        <w:t xml:space="preserve">nsurance </w:t>
      </w:r>
      <w:r>
        <w:rPr>
          <w:b/>
          <w:bCs/>
        </w:rPr>
        <w:t>c</w:t>
      </w:r>
      <w:r w:rsidRPr="00B340CB">
        <w:rPr>
          <w:b/>
          <w:bCs/>
        </w:rPr>
        <w:t>ontract</w:t>
      </w:r>
      <w:r>
        <w:rPr>
          <w:bCs/>
        </w:rPr>
        <w:t xml:space="preserve"> means a</w:t>
      </w:r>
      <w:r w:rsidRPr="00DC34C6">
        <w:rPr>
          <w:bCs/>
        </w:rPr>
        <w:t xml:space="preserve">n </w:t>
      </w:r>
      <w:r>
        <w:rPr>
          <w:bCs/>
        </w:rPr>
        <w:t>i</w:t>
      </w:r>
      <w:r w:rsidRPr="00F77898">
        <w:rPr>
          <w:bCs/>
        </w:rPr>
        <w:t xml:space="preserve">nsurance </w:t>
      </w:r>
      <w:r>
        <w:rPr>
          <w:bCs/>
        </w:rPr>
        <w:t>c</w:t>
      </w:r>
      <w:r w:rsidRPr="00F77898">
        <w:rPr>
          <w:bCs/>
        </w:rPr>
        <w:t>ontract</w:t>
      </w:r>
      <w:r>
        <w:rPr>
          <w:b/>
          <w:bCs/>
        </w:rPr>
        <w:t xml:space="preserve"> </w:t>
      </w:r>
      <w:r w:rsidRPr="00BF1FCB">
        <w:rPr>
          <w:bCs/>
        </w:rPr>
        <w:t xml:space="preserve">or </w:t>
      </w:r>
      <w:r w:rsidRPr="00DC34C6">
        <w:rPr>
          <w:bCs/>
        </w:rPr>
        <w:t>a financial</w:t>
      </w:r>
      <w:r>
        <w:rPr>
          <w:bCs/>
        </w:rPr>
        <w:t xml:space="preserve"> </w:t>
      </w:r>
      <w:r w:rsidRPr="00DC34C6">
        <w:rPr>
          <w:bCs/>
        </w:rPr>
        <w:t xml:space="preserve">instrument with a </w:t>
      </w:r>
      <w:r>
        <w:rPr>
          <w:bCs/>
        </w:rPr>
        <w:t>d</w:t>
      </w:r>
      <w:r w:rsidRPr="00F77898">
        <w:rPr>
          <w:bCs/>
        </w:rPr>
        <w:t xml:space="preserve">iscretionary </w:t>
      </w:r>
      <w:r>
        <w:rPr>
          <w:bCs/>
        </w:rPr>
        <w:t>p</w:t>
      </w:r>
      <w:r w:rsidRPr="00F77898">
        <w:rPr>
          <w:bCs/>
        </w:rPr>
        <w:t xml:space="preserve">articipation </w:t>
      </w:r>
      <w:r>
        <w:rPr>
          <w:bCs/>
        </w:rPr>
        <w:t>f</w:t>
      </w:r>
      <w:r w:rsidRPr="00F77898">
        <w:rPr>
          <w:bCs/>
        </w:rPr>
        <w:t>eature</w:t>
      </w:r>
      <w:r>
        <w:rPr>
          <w:b/>
          <w:bCs/>
        </w:rPr>
        <w:t xml:space="preserve"> </w:t>
      </w:r>
      <w:r w:rsidRPr="00BF1FCB">
        <w:rPr>
          <w:bCs/>
        </w:rPr>
        <w:t xml:space="preserve">which is </w:t>
      </w:r>
      <w:r>
        <w:rPr>
          <w:bCs/>
        </w:rPr>
        <w:t>regulated</w:t>
      </w:r>
      <w:r w:rsidRPr="00BF1FCB">
        <w:rPr>
          <w:bCs/>
        </w:rPr>
        <w:t xml:space="preserve"> under the Act</w:t>
      </w:r>
      <w:r>
        <w:rPr>
          <w:bCs/>
        </w:rPr>
        <w:t>.</w:t>
      </w:r>
    </w:p>
    <w:p w14:paraId="3281922A" w14:textId="77777777" w:rsidR="009D0CCF" w:rsidRDefault="009D0CCF" w:rsidP="009D0CCF">
      <w:pPr>
        <w:ind w:left="567"/>
        <w:jc w:val="both"/>
        <w:rPr>
          <w:bCs/>
        </w:rPr>
      </w:pPr>
      <w:r w:rsidRPr="00B340CB">
        <w:rPr>
          <w:b/>
          <w:bCs/>
        </w:rPr>
        <w:t xml:space="preserve">Life </w:t>
      </w:r>
      <w:r>
        <w:rPr>
          <w:b/>
          <w:bCs/>
        </w:rPr>
        <w:t>i</w:t>
      </w:r>
      <w:r w:rsidRPr="00B340CB">
        <w:rPr>
          <w:b/>
          <w:bCs/>
        </w:rPr>
        <w:t xml:space="preserve">nvestment </w:t>
      </w:r>
      <w:r>
        <w:rPr>
          <w:b/>
          <w:bCs/>
        </w:rPr>
        <w:t>c</w:t>
      </w:r>
      <w:r w:rsidRPr="00B340CB">
        <w:rPr>
          <w:b/>
          <w:bCs/>
        </w:rPr>
        <w:t>ontract</w:t>
      </w:r>
      <w:r>
        <w:rPr>
          <w:bCs/>
        </w:rPr>
        <w:t xml:space="preserve"> means a</w:t>
      </w:r>
      <w:r w:rsidRPr="00DC34C6">
        <w:rPr>
          <w:bCs/>
        </w:rPr>
        <w:t xml:space="preserve"> contract </w:t>
      </w:r>
      <w:r>
        <w:rPr>
          <w:bCs/>
        </w:rPr>
        <w:t>other than a l</w:t>
      </w:r>
      <w:r w:rsidRPr="00F77898">
        <w:rPr>
          <w:bCs/>
        </w:rPr>
        <w:t xml:space="preserve">ife </w:t>
      </w:r>
      <w:r>
        <w:rPr>
          <w:bCs/>
        </w:rPr>
        <w:t>i</w:t>
      </w:r>
      <w:r w:rsidRPr="00F77898">
        <w:rPr>
          <w:bCs/>
        </w:rPr>
        <w:t xml:space="preserve">nsurance </w:t>
      </w:r>
      <w:r>
        <w:rPr>
          <w:bCs/>
        </w:rPr>
        <w:t>c</w:t>
      </w:r>
      <w:r w:rsidRPr="00F77898">
        <w:rPr>
          <w:bCs/>
        </w:rPr>
        <w:t>ontract</w:t>
      </w:r>
      <w:r w:rsidRPr="00B0470D">
        <w:rPr>
          <w:bCs/>
        </w:rPr>
        <w:t xml:space="preserve"> </w:t>
      </w:r>
      <w:r w:rsidRPr="00DC34C6">
        <w:rPr>
          <w:bCs/>
        </w:rPr>
        <w:t xml:space="preserve">which </w:t>
      </w:r>
      <w:r>
        <w:rPr>
          <w:bCs/>
        </w:rPr>
        <w:t>is regulated under the Act</w:t>
      </w:r>
      <w:r w:rsidRPr="00DC34C6">
        <w:rPr>
          <w:bCs/>
        </w:rPr>
        <w:t>.</w:t>
      </w:r>
    </w:p>
    <w:p w14:paraId="2FD132EB" w14:textId="684BC4B6" w:rsidR="009D0CCF" w:rsidRDefault="009D0CCF" w:rsidP="009D0CCF">
      <w:pPr>
        <w:ind w:left="567"/>
        <w:jc w:val="both"/>
        <w:rPr>
          <w:bCs/>
        </w:rPr>
      </w:pPr>
      <w:r w:rsidRPr="004118EC">
        <w:rPr>
          <w:b/>
          <w:bCs/>
        </w:rPr>
        <w:t xml:space="preserve">Long </w:t>
      </w:r>
      <w:r>
        <w:rPr>
          <w:b/>
          <w:bCs/>
        </w:rPr>
        <w:t>t</w:t>
      </w:r>
      <w:r w:rsidRPr="004118EC">
        <w:rPr>
          <w:b/>
          <w:bCs/>
        </w:rPr>
        <w:t xml:space="preserve">erm </w:t>
      </w:r>
      <w:r>
        <w:rPr>
          <w:b/>
          <w:bCs/>
        </w:rPr>
        <w:t>r</w:t>
      </w:r>
      <w:r w:rsidRPr="004118EC">
        <w:rPr>
          <w:b/>
          <w:bCs/>
        </w:rPr>
        <w:t xml:space="preserve">isk </w:t>
      </w:r>
      <w:r>
        <w:rPr>
          <w:b/>
          <w:bCs/>
        </w:rPr>
        <w:t>b</w:t>
      </w:r>
      <w:r w:rsidRPr="004118EC">
        <w:rPr>
          <w:b/>
          <w:bCs/>
        </w:rPr>
        <w:t>usiness</w:t>
      </w:r>
      <w:r>
        <w:rPr>
          <w:bCs/>
        </w:rPr>
        <w:t xml:space="preserve"> refers to p</w:t>
      </w:r>
      <w:r w:rsidRPr="00DC34C6">
        <w:rPr>
          <w:bCs/>
        </w:rPr>
        <w:t>olicies providing continuous</w:t>
      </w:r>
      <w:r>
        <w:rPr>
          <w:bCs/>
        </w:rPr>
        <w:t xml:space="preserve"> </w:t>
      </w:r>
      <w:r w:rsidRPr="00DC34C6">
        <w:rPr>
          <w:bCs/>
        </w:rPr>
        <w:t>insurance against the contingency of death, other than solely by</w:t>
      </w:r>
      <w:r>
        <w:rPr>
          <w:bCs/>
        </w:rPr>
        <w:t xml:space="preserve"> </w:t>
      </w:r>
      <w:r w:rsidRPr="00DC34C6">
        <w:rPr>
          <w:bCs/>
        </w:rPr>
        <w:t>accident, on terms and conditions agreed at the commencement of</w:t>
      </w:r>
      <w:r>
        <w:rPr>
          <w:bCs/>
        </w:rPr>
        <w:t xml:space="preserve"> </w:t>
      </w:r>
      <w:r w:rsidRPr="00DC34C6">
        <w:rPr>
          <w:bCs/>
        </w:rPr>
        <w:t>the policy, where:</w:t>
      </w:r>
    </w:p>
    <w:p w14:paraId="2CB0F027" w14:textId="77777777" w:rsidR="009D0CCF" w:rsidRPr="008470BD" w:rsidRDefault="009D0CCF" w:rsidP="009D0CCF">
      <w:pPr>
        <w:pStyle w:val="BodyText2"/>
        <w:numPr>
          <w:ilvl w:val="1"/>
          <w:numId w:val="28"/>
        </w:numPr>
      </w:pPr>
      <w:r w:rsidRPr="008470BD">
        <w:t xml:space="preserve">a level premium is paid through the term of the policy; </w:t>
      </w:r>
    </w:p>
    <w:p w14:paraId="1AF9CC5B" w14:textId="77777777" w:rsidR="009D0CCF" w:rsidRPr="008470BD" w:rsidRDefault="009D0CCF" w:rsidP="009D0CCF">
      <w:pPr>
        <w:pStyle w:val="BodyText2"/>
      </w:pPr>
      <w:r w:rsidRPr="008470BD">
        <w:t>the term of the policy is:</w:t>
      </w:r>
    </w:p>
    <w:p w14:paraId="7C217DC5" w14:textId="77777777" w:rsidR="009D0CCF" w:rsidRDefault="009D0CCF" w:rsidP="009D0CCF">
      <w:pPr>
        <w:pStyle w:val="BodyText3"/>
      </w:pPr>
      <w:r w:rsidRPr="00C75CFD">
        <w:t>greater than or equal to 15 years; and</w:t>
      </w:r>
    </w:p>
    <w:p w14:paraId="2BE2F00B" w14:textId="77777777" w:rsidR="009D0CCF" w:rsidRPr="00C75CFD" w:rsidRDefault="009D0CCF" w:rsidP="009D0CCF">
      <w:pPr>
        <w:pStyle w:val="BodyText3"/>
      </w:pPr>
      <w:r w:rsidRPr="00C75CFD">
        <w:t xml:space="preserve">such that the </w:t>
      </w:r>
      <w:r>
        <w:t>life insured</w:t>
      </w:r>
      <w:r w:rsidRPr="00C75CFD">
        <w:t xml:space="preserve"> is aged greater than 70 at the</w:t>
      </w:r>
      <w:r>
        <w:t xml:space="preserve"> </w:t>
      </w:r>
      <w:r w:rsidRPr="00C75CFD">
        <w:t>expiry of that term; and</w:t>
      </w:r>
    </w:p>
    <w:p w14:paraId="3C1FAB0A" w14:textId="77777777" w:rsidR="009D0CCF" w:rsidRDefault="009D0CCF" w:rsidP="009D0CCF">
      <w:pPr>
        <w:pStyle w:val="BodyText2"/>
      </w:pPr>
      <w:r w:rsidRPr="00C75CFD">
        <w:t>the amount of insurance (excluding any entitlement to bonus) is</w:t>
      </w:r>
      <w:r>
        <w:t xml:space="preserve"> </w:t>
      </w:r>
      <w:r w:rsidRPr="00C75CFD">
        <w:t>greater than $15,000.</w:t>
      </w:r>
    </w:p>
    <w:p w14:paraId="4ABF7757" w14:textId="77777777" w:rsidR="00D252F5" w:rsidRPr="00DC34C6" w:rsidRDefault="00D252F5" w:rsidP="00D252F5">
      <w:pPr>
        <w:keepNext/>
        <w:ind w:left="567"/>
        <w:jc w:val="both"/>
        <w:rPr>
          <w:bCs/>
        </w:rPr>
      </w:pPr>
      <w:r w:rsidRPr="004118EC">
        <w:rPr>
          <w:b/>
          <w:bCs/>
        </w:rPr>
        <w:lastRenderedPageBreak/>
        <w:t xml:space="preserve">Maintenance </w:t>
      </w:r>
      <w:r>
        <w:rPr>
          <w:b/>
          <w:bCs/>
        </w:rPr>
        <w:t>e</w:t>
      </w:r>
      <w:r w:rsidRPr="004118EC">
        <w:rPr>
          <w:b/>
          <w:bCs/>
        </w:rPr>
        <w:t>xpenses</w:t>
      </w:r>
      <w:r>
        <w:rPr>
          <w:bCs/>
        </w:rPr>
        <w:t xml:space="preserve"> means t</w:t>
      </w:r>
      <w:r w:rsidRPr="00DC34C6">
        <w:rPr>
          <w:bCs/>
        </w:rPr>
        <w:t xml:space="preserve">he fixed and variable expenses of </w:t>
      </w:r>
      <w:r>
        <w:rPr>
          <w:bCs/>
        </w:rPr>
        <w:t xml:space="preserve">a life </w:t>
      </w:r>
      <w:r w:rsidRPr="00DC34C6">
        <w:rPr>
          <w:bCs/>
        </w:rPr>
        <w:t>company to the extent they are, either directly or indirectly,</w:t>
      </w:r>
      <w:r>
        <w:rPr>
          <w:bCs/>
        </w:rPr>
        <w:t xml:space="preserve"> associated with</w:t>
      </w:r>
      <w:r w:rsidRPr="00DC34C6">
        <w:rPr>
          <w:bCs/>
        </w:rPr>
        <w:t>:</w:t>
      </w:r>
    </w:p>
    <w:p w14:paraId="2E5225B7" w14:textId="77777777" w:rsidR="00D252F5" w:rsidRPr="00C75CFD" w:rsidRDefault="00D252F5" w:rsidP="002709D5">
      <w:pPr>
        <w:pStyle w:val="BodyText2"/>
        <w:numPr>
          <w:ilvl w:val="1"/>
          <w:numId w:val="38"/>
        </w:numPr>
      </w:pPr>
      <w:r>
        <w:t xml:space="preserve">the company’s </w:t>
      </w:r>
      <w:r w:rsidRPr="00DC34C6">
        <w:t>administration of</w:t>
      </w:r>
      <w:r w:rsidRPr="00C75CFD">
        <w:t xml:space="preserve"> policies subsequent to their sale, including policies subject to claim; and</w:t>
      </w:r>
    </w:p>
    <w:p w14:paraId="207DA08B" w14:textId="77777777" w:rsidR="00D252F5" w:rsidRPr="00C75CFD" w:rsidRDefault="00D252F5" w:rsidP="002709D5">
      <w:pPr>
        <w:pStyle w:val="BodyText2"/>
      </w:pPr>
      <w:r w:rsidRPr="00C75CFD">
        <w:t>the general operations, including maintenance of the overall</w:t>
      </w:r>
      <w:r>
        <w:t xml:space="preserve"> </w:t>
      </w:r>
      <w:r w:rsidRPr="00C75CFD">
        <w:t>health, of the company.</w:t>
      </w:r>
    </w:p>
    <w:p w14:paraId="0E84BDC8" w14:textId="77777777" w:rsidR="00D252F5" w:rsidRPr="00DC34C6" w:rsidRDefault="00D252F5" w:rsidP="00D252F5">
      <w:pPr>
        <w:ind w:left="567"/>
        <w:jc w:val="both"/>
        <w:rPr>
          <w:bCs/>
        </w:rPr>
      </w:pPr>
      <w:r w:rsidRPr="00EF04EC">
        <w:rPr>
          <w:bCs/>
        </w:rPr>
        <w:t xml:space="preserve">Maintenance </w:t>
      </w:r>
      <w:r>
        <w:rPr>
          <w:bCs/>
        </w:rPr>
        <w:t>e</w:t>
      </w:r>
      <w:r w:rsidRPr="00EF04EC">
        <w:rPr>
          <w:bCs/>
        </w:rPr>
        <w:t>xpenses</w:t>
      </w:r>
      <w:r w:rsidRPr="00DC34C6">
        <w:rPr>
          <w:bCs/>
        </w:rPr>
        <w:t xml:space="preserve"> include all operating costs and expenses</w:t>
      </w:r>
      <w:r>
        <w:rPr>
          <w:bCs/>
        </w:rPr>
        <w:t xml:space="preserve"> </w:t>
      </w:r>
      <w:r w:rsidRPr="00DC34C6">
        <w:rPr>
          <w:bCs/>
        </w:rPr>
        <w:t xml:space="preserve">other than </w:t>
      </w:r>
      <w:r>
        <w:rPr>
          <w:bCs/>
        </w:rPr>
        <w:t>a</w:t>
      </w:r>
      <w:r w:rsidRPr="00DC34C6">
        <w:rPr>
          <w:bCs/>
        </w:rPr>
        <w:t xml:space="preserve">cquisition </w:t>
      </w:r>
      <w:r>
        <w:rPr>
          <w:bCs/>
        </w:rPr>
        <w:t>e</w:t>
      </w:r>
      <w:r w:rsidRPr="00DC34C6">
        <w:rPr>
          <w:bCs/>
        </w:rPr>
        <w:t xml:space="preserve">xpenses and </w:t>
      </w:r>
      <w:r>
        <w:rPr>
          <w:bCs/>
        </w:rPr>
        <w:t>i</w:t>
      </w:r>
      <w:r w:rsidRPr="00DC34C6">
        <w:rPr>
          <w:bCs/>
        </w:rPr>
        <w:t xml:space="preserve">nvestment </w:t>
      </w:r>
      <w:r>
        <w:rPr>
          <w:bCs/>
        </w:rPr>
        <w:t>m</w:t>
      </w:r>
      <w:r w:rsidRPr="00DC34C6">
        <w:rPr>
          <w:bCs/>
        </w:rPr>
        <w:t>anagement</w:t>
      </w:r>
      <w:r>
        <w:rPr>
          <w:bCs/>
        </w:rPr>
        <w:t xml:space="preserve"> e</w:t>
      </w:r>
      <w:r w:rsidRPr="00DC34C6">
        <w:rPr>
          <w:bCs/>
        </w:rPr>
        <w:t>xpenses.</w:t>
      </w:r>
    </w:p>
    <w:p w14:paraId="1571477F" w14:textId="77777777" w:rsidR="00D252F5" w:rsidRPr="00DC34C6" w:rsidRDefault="00D252F5" w:rsidP="00D252F5">
      <w:pPr>
        <w:ind w:left="567"/>
        <w:jc w:val="both"/>
        <w:rPr>
          <w:bCs/>
        </w:rPr>
      </w:pPr>
      <w:r w:rsidRPr="004118EC">
        <w:rPr>
          <w:b/>
          <w:bCs/>
        </w:rPr>
        <w:t xml:space="preserve">Minimum </w:t>
      </w:r>
      <w:r>
        <w:rPr>
          <w:b/>
          <w:bCs/>
        </w:rPr>
        <w:t>p</w:t>
      </w:r>
      <w:r w:rsidRPr="004118EC">
        <w:rPr>
          <w:b/>
          <w:bCs/>
        </w:rPr>
        <w:t xml:space="preserve">aid-up </w:t>
      </w:r>
      <w:r>
        <w:rPr>
          <w:b/>
          <w:bCs/>
        </w:rPr>
        <w:t>v</w:t>
      </w:r>
      <w:r w:rsidRPr="004118EC">
        <w:rPr>
          <w:b/>
          <w:bCs/>
        </w:rPr>
        <w:t>alue</w:t>
      </w:r>
      <w:r>
        <w:rPr>
          <w:bCs/>
        </w:rPr>
        <w:t xml:space="preserve"> is as defined in </w:t>
      </w:r>
      <w:r w:rsidRPr="00AA29BF">
        <w:rPr>
          <w:bCs/>
          <w:i/>
        </w:rPr>
        <w:t xml:space="preserve">Prudential Standard LPS 360 </w:t>
      </w:r>
      <w:r>
        <w:rPr>
          <w:bCs/>
          <w:i/>
        </w:rPr>
        <w:t xml:space="preserve">Termination Values, </w:t>
      </w:r>
      <w:r w:rsidRPr="00AA29BF">
        <w:rPr>
          <w:bCs/>
          <w:i/>
        </w:rPr>
        <w:t>Minimum Surrender Values</w:t>
      </w:r>
      <w:r>
        <w:rPr>
          <w:bCs/>
          <w:i/>
        </w:rPr>
        <w:t xml:space="preserve"> and Paid-up Values</w:t>
      </w:r>
      <w:r w:rsidRPr="00AA29BF">
        <w:rPr>
          <w:bCs/>
          <w:i/>
        </w:rPr>
        <w:t xml:space="preserve"> </w:t>
      </w:r>
      <w:r>
        <w:rPr>
          <w:bCs/>
        </w:rPr>
        <w:t>(LPS 360)</w:t>
      </w:r>
      <w:r w:rsidRPr="00DC34C6">
        <w:rPr>
          <w:bCs/>
        </w:rPr>
        <w:t>.</w:t>
      </w:r>
    </w:p>
    <w:p w14:paraId="35D0A290" w14:textId="77777777" w:rsidR="00D252F5" w:rsidRPr="00DC34C6" w:rsidRDefault="00D252F5" w:rsidP="00D252F5">
      <w:pPr>
        <w:ind w:left="567"/>
        <w:jc w:val="both"/>
        <w:rPr>
          <w:bCs/>
        </w:rPr>
      </w:pPr>
      <w:r w:rsidRPr="004118EC">
        <w:rPr>
          <w:b/>
          <w:bCs/>
        </w:rPr>
        <w:t xml:space="preserve">Minimum </w:t>
      </w:r>
      <w:r>
        <w:rPr>
          <w:b/>
          <w:bCs/>
        </w:rPr>
        <w:t>s</w:t>
      </w:r>
      <w:r w:rsidRPr="004118EC">
        <w:rPr>
          <w:b/>
          <w:bCs/>
        </w:rPr>
        <w:t xml:space="preserve">urrender </w:t>
      </w:r>
      <w:r>
        <w:rPr>
          <w:b/>
          <w:bCs/>
        </w:rPr>
        <w:t>v</w:t>
      </w:r>
      <w:r w:rsidRPr="004118EC">
        <w:rPr>
          <w:b/>
          <w:bCs/>
        </w:rPr>
        <w:t>alue</w:t>
      </w:r>
      <w:r>
        <w:rPr>
          <w:bCs/>
        </w:rPr>
        <w:t xml:space="preserve"> is as defined in </w:t>
      </w:r>
      <w:r w:rsidRPr="00331644">
        <w:rPr>
          <w:bCs/>
        </w:rPr>
        <w:t>LPS 360</w:t>
      </w:r>
      <w:r w:rsidRPr="00DC34C6">
        <w:rPr>
          <w:bCs/>
        </w:rPr>
        <w:t>.</w:t>
      </w:r>
    </w:p>
    <w:p w14:paraId="1FF93679" w14:textId="77777777" w:rsidR="00D252F5" w:rsidRDefault="00D252F5" w:rsidP="00D252F5">
      <w:pPr>
        <w:ind w:left="567"/>
        <w:jc w:val="both"/>
        <w:rPr>
          <w:bCs/>
        </w:rPr>
      </w:pPr>
      <w:r w:rsidRPr="004118EC">
        <w:rPr>
          <w:b/>
          <w:bCs/>
        </w:rPr>
        <w:t xml:space="preserve">Minimum </w:t>
      </w:r>
      <w:r>
        <w:rPr>
          <w:b/>
          <w:bCs/>
        </w:rPr>
        <w:t>t</w:t>
      </w:r>
      <w:r w:rsidRPr="004118EC">
        <w:rPr>
          <w:b/>
          <w:bCs/>
        </w:rPr>
        <w:t xml:space="preserve">ermination </w:t>
      </w:r>
      <w:r>
        <w:rPr>
          <w:b/>
          <w:bCs/>
        </w:rPr>
        <w:t>v</w:t>
      </w:r>
      <w:r w:rsidRPr="004118EC">
        <w:rPr>
          <w:b/>
          <w:bCs/>
        </w:rPr>
        <w:t>alue</w:t>
      </w:r>
      <w:r>
        <w:rPr>
          <w:bCs/>
        </w:rPr>
        <w:t xml:space="preserve"> is as defined in LPS 360.</w:t>
      </w:r>
    </w:p>
    <w:p w14:paraId="36AB705D" w14:textId="3B4296C4" w:rsidR="00D252F5" w:rsidRDefault="00D252F5" w:rsidP="00D252F5">
      <w:pPr>
        <w:ind w:left="567"/>
        <w:jc w:val="both"/>
        <w:rPr>
          <w:bCs/>
        </w:rPr>
      </w:pPr>
      <w:r w:rsidRPr="00335B0B">
        <w:rPr>
          <w:b/>
          <w:bCs/>
        </w:rPr>
        <w:t xml:space="preserve">Net </w:t>
      </w:r>
      <w:r>
        <w:rPr>
          <w:b/>
          <w:bCs/>
        </w:rPr>
        <w:t xml:space="preserve">life contract </w:t>
      </w:r>
      <w:r w:rsidRPr="00335B0B">
        <w:rPr>
          <w:b/>
          <w:bCs/>
        </w:rPr>
        <w:t>liabilities</w:t>
      </w:r>
      <w:r w:rsidRPr="00335B0B">
        <w:rPr>
          <w:bCs/>
        </w:rPr>
        <w:t xml:space="preserve"> equals the sum of the insurance, reinsurance and investment contract liabilities (net of insurance and reinsurance assets) disclosed in the statutory accounts</w:t>
      </w:r>
      <w:r w:rsidR="003906BF">
        <w:rPr>
          <w:bCs/>
        </w:rPr>
        <w:t xml:space="preserve"> determined under Australian Accounting Standards</w:t>
      </w:r>
      <w:r w:rsidRPr="00335B0B">
        <w:rPr>
          <w:bCs/>
        </w:rPr>
        <w:t>.</w:t>
      </w:r>
    </w:p>
    <w:p w14:paraId="6A02604C" w14:textId="186AC579" w:rsidR="00D252F5" w:rsidRDefault="00D252F5" w:rsidP="00D252F5">
      <w:pPr>
        <w:pStyle w:val="BodyText"/>
        <w:ind w:left="567"/>
      </w:pPr>
      <w:r w:rsidRPr="003B393D">
        <w:rPr>
          <w:b/>
        </w:rPr>
        <w:t>Non-operating holding company</w:t>
      </w:r>
      <w:r>
        <w:t xml:space="preserve"> (</w:t>
      </w:r>
      <w:r w:rsidRPr="00331644">
        <w:t>NO</w:t>
      </w:r>
      <w:r w:rsidRPr="00C26AD5">
        <w:rPr>
          <w:bCs/>
        </w:rPr>
        <w:t>HC) has the same meaning as in the Dictionary of the Act.</w:t>
      </w:r>
    </w:p>
    <w:p w14:paraId="532671BF" w14:textId="7A0C8168" w:rsidR="00C26AD5" w:rsidRPr="00C26AD5" w:rsidRDefault="00C26AD5" w:rsidP="00C26AD5">
      <w:pPr>
        <w:ind w:left="567"/>
        <w:jc w:val="both"/>
        <w:rPr>
          <w:b/>
          <w:bCs/>
        </w:rPr>
      </w:pPr>
      <w:bookmarkStart w:id="17" w:name="_Hlk104535324"/>
      <w:r w:rsidRPr="00C26AD5">
        <w:rPr>
          <w:b/>
          <w:bCs/>
        </w:rPr>
        <w:t xml:space="preserve">Non-significant financial institution </w:t>
      </w:r>
      <w:r w:rsidRPr="00BC0CC4">
        <w:rPr>
          <w:bCs/>
        </w:rPr>
        <w:t>(non-SFI)</w:t>
      </w:r>
      <w:r w:rsidRPr="00C26AD5">
        <w:rPr>
          <w:b/>
          <w:bCs/>
        </w:rPr>
        <w:t xml:space="preserve"> </w:t>
      </w:r>
      <w:r w:rsidRPr="00C26AD5">
        <w:rPr>
          <w:bCs/>
        </w:rPr>
        <w:t xml:space="preserve">means a life company or </w:t>
      </w:r>
      <w:r w:rsidRPr="00C26AD5">
        <w:rPr>
          <w:b/>
          <w:bCs/>
        </w:rPr>
        <w:t xml:space="preserve">registered NOHC </w:t>
      </w:r>
      <w:r w:rsidRPr="00C26AD5">
        <w:rPr>
          <w:bCs/>
        </w:rPr>
        <w:t>that is not a</w:t>
      </w:r>
      <w:r w:rsidRPr="00C26AD5">
        <w:rPr>
          <w:b/>
          <w:bCs/>
        </w:rPr>
        <w:t xml:space="preserve"> significant financial institution.</w:t>
      </w:r>
      <w:bookmarkEnd w:id="17"/>
    </w:p>
    <w:p w14:paraId="78352C82" w14:textId="77777777" w:rsidR="00D252F5" w:rsidRPr="00DC34C6" w:rsidRDefault="00D252F5" w:rsidP="00D252F5">
      <w:pPr>
        <w:ind w:left="567"/>
        <w:jc w:val="both"/>
        <w:rPr>
          <w:bCs/>
        </w:rPr>
      </w:pPr>
      <w:r w:rsidRPr="004118EC">
        <w:rPr>
          <w:b/>
          <w:bCs/>
        </w:rPr>
        <w:t>Non-</w:t>
      </w:r>
      <w:r>
        <w:rPr>
          <w:b/>
          <w:bCs/>
        </w:rPr>
        <w:t>p</w:t>
      </w:r>
      <w:r w:rsidRPr="004118EC">
        <w:rPr>
          <w:b/>
          <w:bCs/>
        </w:rPr>
        <w:t xml:space="preserve">articipating </w:t>
      </w:r>
      <w:r>
        <w:rPr>
          <w:b/>
          <w:bCs/>
        </w:rPr>
        <w:t>b</w:t>
      </w:r>
      <w:r w:rsidRPr="004118EC">
        <w:rPr>
          <w:b/>
          <w:bCs/>
        </w:rPr>
        <w:t>enefit</w:t>
      </w:r>
      <w:r>
        <w:rPr>
          <w:b/>
          <w:bCs/>
        </w:rPr>
        <w:t xml:space="preserve"> </w:t>
      </w:r>
      <w:r w:rsidRPr="00F016F4">
        <w:rPr>
          <w:bCs/>
        </w:rPr>
        <w:t>has the meaning given</w:t>
      </w:r>
      <w:r>
        <w:rPr>
          <w:b/>
          <w:bCs/>
        </w:rPr>
        <w:t xml:space="preserve"> </w:t>
      </w:r>
      <w:r>
        <w:rPr>
          <w:bCs/>
        </w:rPr>
        <w:t>in</w:t>
      </w:r>
      <w:r w:rsidRPr="00DC34C6">
        <w:rPr>
          <w:bCs/>
        </w:rPr>
        <w:t xml:space="preserve"> section 15 of the Act.</w:t>
      </w:r>
    </w:p>
    <w:p w14:paraId="2AF95C75" w14:textId="77777777" w:rsidR="00D252F5" w:rsidRPr="00DC34C6" w:rsidRDefault="00D252F5" w:rsidP="00D252F5">
      <w:pPr>
        <w:ind w:left="567"/>
        <w:jc w:val="both"/>
        <w:rPr>
          <w:bCs/>
        </w:rPr>
      </w:pPr>
      <w:r w:rsidRPr="00A66BA7">
        <w:rPr>
          <w:b/>
          <w:bCs/>
        </w:rPr>
        <w:t xml:space="preserve">Operating </w:t>
      </w:r>
      <w:r>
        <w:rPr>
          <w:b/>
          <w:bCs/>
        </w:rPr>
        <w:t>p</w:t>
      </w:r>
      <w:r w:rsidRPr="00A66BA7">
        <w:rPr>
          <w:b/>
          <w:bCs/>
        </w:rPr>
        <w:t>rofit</w:t>
      </w:r>
      <w:r>
        <w:rPr>
          <w:bCs/>
        </w:rPr>
        <w:t xml:space="preserve"> has the same meaning as in</w:t>
      </w:r>
      <w:r w:rsidRPr="00DC34C6">
        <w:rPr>
          <w:bCs/>
        </w:rPr>
        <w:t xml:space="preserve"> section 58</w:t>
      </w:r>
      <w:r>
        <w:rPr>
          <w:bCs/>
        </w:rPr>
        <w:t xml:space="preserve"> </w:t>
      </w:r>
      <w:r w:rsidRPr="00DC34C6">
        <w:rPr>
          <w:bCs/>
        </w:rPr>
        <w:t>of the Act.</w:t>
      </w:r>
    </w:p>
    <w:p w14:paraId="3B5CB744" w14:textId="77777777" w:rsidR="00D252F5" w:rsidRDefault="00D252F5" w:rsidP="00D252F5">
      <w:pPr>
        <w:ind w:left="567"/>
        <w:jc w:val="both"/>
        <w:rPr>
          <w:bCs/>
        </w:rPr>
      </w:pPr>
      <w:r w:rsidRPr="00A66BA7">
        <w:rPr>
          <w:b/>
          <w:bCs/>
        </w:rPr>
        <w:t>Operational Risk Charge</w:t>
      </w:r>
      <w:r>
        <w:rPr>
          <w:bCs/>
        </w:rPr>
        <w:t xml:space="preserve"> is the risk charge determined under </w:t>
      </w:r>
      <w:r w:rsidRPr="00DD4915">
        <w:rPr>
          <w:bCs/>
          <w:i/>
        </w:rPr>
        <w:t>Prudential Standard LPS 11</w:t>
      </w:r>
      <w:r>
        <w:rPr>
          <w:bCs/>
          <w:i/>
        </w:rPr>
        <w:t>8</w:t>
      </w:r>
      <w:r w:rsidRPr="00DD4915">
        <w:rPr>
          <w:bCs/>
          <w:i/>
        </w:rPr>
        <w:t xml:space="preserve"> </w:t>
      </w:r>
      <w:r>
        <w:rPr>
          <w:bCs/>
          <w:i/>
        </w:rPr>
        <w:t>Capital Adequacy: Operational</w:t>
      </w:r>
      <w:r w:rsidRPr="00DD4915">
        <w:rPr>
          <w:bCs/>
          <w:i/>
        </w:rPr>
        <w:t xml:space="preserve"> Risk Charge</w:t>
      </w:r>
      <w:r>
        <w:rPr>
          <w:bCs/>
          <w:i/>
        </w:rPr>
        <w:t>.</w:t>
      </w:r>
    </w:p>
    <w:p w14:paraId="6EEF7F78" w14:textId="77777777" w:rsidR="00D252F5" w:rsidRPr="00DC34C6" w:rsidRDefault="00D252F5" w:rsidP="00D252F5">
      <w:pPr>
        <w:ind w:left="567"/>
        <w:jc w:val="both"/>
        <w:rPr>
          <w:bCs/>
        </w:rPr>
      </w:pPr>
      <w:r w:rsidRPr="00A66BA7">
        <w:rPr>
          <w:b/>
          <w:bCs/>
        </w:rPr>
        <w:t xml:space="preserve">Other </w:t>
      </w:r>
      <w:r>
        <w:rPr>
          <w:b/>
          <w:bCs/>
        </w:rPr>
        <w:t>l</w:t>
      </w:r>
      <w:r w:rsidRPr="00A66BA7">
        <w:rPr>
          <w:b/>
          <w:bCs/>
        </w:rPr>
        <w:t>iability</w:t>
      </w:r>
      <w:r>
        <w:rPr>
          <w:bCs/>
        </w:rPr>
        <w:t xml:space="preserve"> refers to a </w:t>
      </w:r>
      <w:r w:rsidRPr="00DC34C6">
        <w:rPr>
          <w:bCs/>
        </w:rPr>
        <w:t>liability according to general accounting</w:t>
      </w:r>
      <w:r>
        <w:rPr>
          <w:bCs/>
        </w:rPr>
        <w:t xml:space="preserve"> </w:t>
      </w:r>
      <w:r w:rsidRPr="00DC34C6">
        <w:rPr>
          <w:bCs/>
        </w:rPr>
        <w:t>concepts, other than a</w:t>
      </w:r>
      <w:r>
        <w:rPr>
          <w:bCs/>
        </w:rPr>
        <w:t xml:space="preserve"> p</w:t>
      </w:r>
      <w:r w:rsidRPr="00DC34C6">
        <w:rPr>
          <w:bCs/>
        </w:rPr>
        <w:t xml:space="preserve">olicy </w:t>
      </w:r>
      <w:r>
        <w:rPr>
          <w:bCs/>
        </w:rPr>
        <w:t>l</w:t>
      </w:r>
      <w:r w:rsidRPr="00DC34C6">
        <w:rPr>
          <w:bCs/>
        </w:rPr>
        <w:t xml:space="preserve">iability or </w:t>
      </w:r>
      <w:r>
        <w:rPr>
          <w:bCs/>
        </w:rPr>
        <w:t>a liability in respect of an instrument that is eligible to be included in the capital base</w:t>
      </w:r>
      <w:r w:rsidRPr="00DC34C6">
        <w:rPr>
          <w:bCs/>
        </w:rPr>
        <w:t>.</w:t>
      </w:r>
    </w:p>
    <w:p w14:paraId="74FA21A4" w14:textId="77777777" w:rsidR="00D252F5" w:rsidRDefault="00D252F5" w:rsidP="00D252F5">
      <w:pPr>
        <w:ind w:left="567"/>
        <w:jc w:val="both"/>
        <w:rPr>
          <w:bCs/>
        </w:rPr>
      </w:pPr>
      <w:r w:rsidRPr="00A66BA7">
        <w:rPr>
          <w:b/>
          <w:bCs/>
        </w:rPr>
        <w:t xml:space="preserve">Participating </w:t>
      </w:r>
      <w:r>
        <w:rPr>
          <w:b/>
          <w:bCs/>
        </w:rPr>
        <w:t>b</w:t>
      </w:r>
      <w:r w:rsidRPr="00A66BA7">
        <w:rPr>
          <w:b/>
          <w:bCs/>
        </w:rPr>
        <w:t>enefit</w:t>
      </w:r>
      <w:r>
        <w:rPr>
          <w:bCs/>
        </w:rPr>
        <w:t xml:space="preserve"> has the same meaning as in </w:t>
      </w:r>
      <w:r w:rsidRPr="00DC34C6">
        <w:rPr>
          <w:bCs/>
        </w:rPr>
        <w:t>section 15 of the Act.</w:t>
      </w:r>
    </w:p>
    <w:p w14:paraId="3AE984F1" w14:textId="77777777" w:rsidR="00D252F5" w:rsidRPr="00F0152F" w:rsidRDefault="00D252F5" w:rsidP="00D252F5">
      <w:pPr>
        <w:ind w:left="567"/>
        <w:jc w:val="both"/>
        <w:rPr>
          <w:bCs/>
        </w:rPr>
      </w:pPr>
      <w:r>
        <w:rPr>
          <w:b/>
          <w:bCs/>
        </w:rPr>
        <w:t>Participating policy liability</w:t>
      </w:r>
      <w:r>
        <w:rPr>
          <w:bCs/>
        </w:rPr>
        <w:t xml:space="preserve"> is as defined in LPS 112</w:t>
      </w:r>
      <w:r>
        <w:rPr>
          <w:bCs/>
          <w:i/>
        </w:rPr>
        <w:t>.</w:t>
      </w:r>
    </w:p>
    <w:p w14:paraId="2B9DEED7" w14:textId="20CEAA87" w:rsidR="00D252F5" w:rsidRPr="00DC34C6" w:rsidRDefault="00D252F5" w:rsidP="00D252F5">
      <w:pPr>
        <w:ind w:left="567"/>
        <w:jc w:val="both"/>
        <w:rPr>
          <w:bCs/>
        </w:rPr>
      </w:pPr>
      <w:r w:rsidRPr="00A66BA7">
        <w:rPr>
          <w:b/>
          <w:bCs/>
        </w:rPr>
        <w:t xml:space="preserve">Policy </w:t>
      </w:r>
      <w:r>
        <w:rPr>
          <w:b/>
          <w:bCs/>
        </w:rPr>
        <w:t>l</w:t>
      </w:r>
      <w:r w:rsidRPr="00A66BA7">
        <w:rPr>
          <w:b/>
          <w:bCs/>
        </w:rPr>
        <w:t>iability</w:t>
      </w:r>
      <w:r>
        <w:rPr>
          <w:b/>
          <w:bCs/>
        </w:rPr>
        <w:t xml:space="preserve"> </w:t>
      </w:r>
      <w:r w:rsidRPr="004454C3">
        <w:rPr>
          <w:bCs/>
        </w:rPr>
        <w:t>has the same meaning as</w:t>
      </w:r>
      <w:r>
        <w:rPr>
          <w:b/>
          <w:bCs/>
        </w:rPr>
        <w:t xml:space="preserve"> </w:t>
      </w:r>
      <w:r w:rsidRPr="004454C3">
        <w:rPr>
          <w:bCs/>
        </w:rPr>
        <w:t>in the Dictionary to the Act.</w:t>
      </w:r>
      <w:r>
        <w:rPr>
          <w:b/>
          <w:bCs/>
        </w:rPr>
        <w:t xml:space="preserve"> </w:t>
      </w:r>
    </w:p>
    <w:p w14:paraId="64E0670D" w14:textId="77777777" w:rsidR="00D252F5" w:rsidRPr="00DC34C6" w:rsidRDefault="00D252F5" w:rsidP="00D252F5">
      <w:pPr>
        <w:ind w:left="567"/>
        <w:jc w:val="both"/>
        <w:rPr>
          <w:bCs/>
        </w:rPr>
      </w:pPr>
      <w:r w:rsidRPr="00A66BA7">
        <w:rPr>
          <w:b/>
          <w:bCs/>
        </w:rPr>
        <w:t xml:space="preserve">Policy </w:t>
      </w:r>
      <w:r>
        <w:rPr>
          <w:b/>
          <w:bCs/>
        </w:rPr>
        <w:t>o</w:t>
      </w:r>
      <w:r w:rsidRPr="00A66BA7">
        <w:rPr>
          <w:b/>
          <w:bCs/>
        </w:rPr>
        <w:t xml:space="preserve">wner </w:t>
      </w:r>
      <w:r>
        <w:rPr>
          <w:b/>
          <w:bCs/>
        </w:rPr>
        <w:t>p</w:t>
      </w:r>
      <w:r w:rsidRPr="00A66BA7">
        <w:rPr>
          <w:b/>
          <w:bCs/>
        </w:rPr>
        <w:t xml:space="preserve">rofit </w:t>
      </w:r>
      <w:r>
        <w:rPr>
          <w:b/>
          <w:bCs/>
        </w:rPr>
        <w:t>s</w:t>
      </w:r>
      <w:r w:rsidRPr="00A66BA7">
        <w:rPr>
          <w:b/>
          <w:bCs/>
        </w:rPr>
        <w:t>hare</w:t>
      </w:r>
      <w:r>
        <w:rPr>
          <w:bCs/>
        </w:rPr>
        <w:t xml:space="preserve"> means t</w:t>
      </w:r>
      <w:r w:rsidRPr="00DC34C6">
        <w:rPr>
          <w:bCs/>
        </w:rPr>
        <w:t>he entitlement of the policy owner to</w:t>
      </w:r>
      <w:r>
        <w:rPr>
          <w:bCs/>
        </w:rPr>
        <w:t xml:space="preserve"> </w:t>
      </w:r>
      <w:r w:rsidRPr="00DC34C6">
        <w:rPr>
          <w:bCs/>
        </w:rPr>
        <w:t>share in the profits emerging from the benefits.</w:t>
      </w:r>
    </w:p>
    <w:p w14:paraId="0FDE395D" w14:textId="77777777" w:rsidR="00D252F5" w:rsidRDefault="00D252F5" w:rsidP="00D252F5">
      <w:pPr>
        <w:ind w:left="567"/>
        <w:jc w:val="both"/>
        <w:rPr>
          <w:bCs/>
        </w:rPr>
      </w:pPr>
      <w:r w:rsidRPr="00A66BA7">
        <w:rPr>
          <w:b/>
          <w:bCs/>
        </w:rPr>
        <w:t xml:space="preserve">Prescribed </w:t>
      </w:r>
      <w:r>
        <w:rPr>
          <w:b/>
          <w:bCs/>
        </w:rPr>
        <w:t>c</w:t>
      </w:r>
      <w:r w:rsidRPr="00A66BA7">
        <w:rPr>
          <w:b/>
          <w:bCs/>
        </w:rPr>
        <w:t xml:space="preserve">apital </w:t>
      </w:r>
      <w:r>
        <w:rPr>
          <w:b/>
          <w:bCs/>
        </w:rPr>
        <w:t>a</w:t>
      </w:r>
      <w:r w:rsidRPr="00A66BA7">
        <w:rPr>
          <w:b/>
          <w:bCs/>
        </w:rPr>
        <w:t>mount</w:t>
      </w:r>
      <w:r>
        <w:rPr>
          <w:bCs/>
        </w:rPr>
        <w:t xml:space="preserve"> is as defined in</w:t>
      </w:r>
      <w:r w:rsidRPr="00041FF6">
        <w:rPr>
          <w:bCs/>
        </w:rPr>
        <w:t xml:space="preserve"> LPS 110</w:t>
      </w:r>
      <w:r>
        <w:rPr>
          <w:bCs/>
        </w:rPr>
        <w:t>.</w:t>
      </w:r>
    </w:p>
    <w:p w14:paraId="5B4B5DE1" w14:textId="77777777" w:rsidR="00D252F5" w:rsidRDefault="00D252F5" w:rsidP="00D252F5">
      <w:pPr>
        <w:ind w:left="567"/>
        <w:jc w:val="both"/>
        <w:rPr>
          <w:bCs/>
        </w:rPr>
      </w:pPr>
      <w:r w:rsidRPr="00A66BA7">
        <w:rPr>
          <w:b/>
          <w:bCs/>
        </w:rPr>
        <w:t>Prudential Capital Requirement</w:t>
      </w:r>
      <w:r>
        <w:rPr>
          <w:b/>
          <w:bCs/>
        </w:rPr>
        <w:t xml:space="preserve"> </w:t>
      </w:r>
      <w:r>
        <w:rPr>
          <w:bCs/>
        </w:rPr>
        <w:t>is as defined in</w:t>
      </w:r>
      <w:r w:rsidRPr="00041FF6">
        <w:rPr>
          <w:bCs/>
        </w:rPr>
        <w:t xml:space="preserve"> LPS 110</w:t>
      </w:r>
      <w:r>
        <w:rPr>
          <w:bCs/>
        </w:rPr>
        <w:t>.</w:t>
      </w:r>
    </w:p>
    <w:p w14:paraId="755D6A4F" w14:textId="77777777" w:rsidR="00D252F5" w:rsidRPr="002F5DC5" w:rsidRDefault="00D252F5" w:rsidP="00D252F5">
      <w:pPr>
        <w:ind w:left="567"/>
        <w:jc w:val="both"/>
        <w:rPr>
          <w:bCs/>
        </w:rPr>
      </w:pPr>
      <w:r>
        <w:rPr>
          <w:b/>
          <w:bCs/>
        </w:rPr>
        <w:lastRenderedPageBreak/>
        <w:t>Prudential requirements</w:t>
      </w:r>
      <w:r w:rsidRPr="00726571">
        <w:rPr>
          <w:bCs/>
        </w:rPr>
        <w:t xml:space="preserve"> include requirements imposed by the Act, the </w:t>
      </w:r>
      <w:r w:rsidRPr="00726571">
        <w:rPr>
          <w:bCs/>
          <w:i/>
        </w:rPr>
        <w:t>Life Insurance Regulations 199</w:t>
      </w:r>
      <w:r w:rsidRPr="00726571">
        <w:rPr>
          <w:bCs/>
        </w:rPr>
        <w:t>5, prudential standards</w:t>
      </w:r>
      <w:r>
        <w:rPr>
          <w:bCs/>
        </w:rPr>
        <w:t xml:space="preserve"> determined under the Act</w:t>
      </w:r>
      <w:r w:rsidRPr="00726571">
        <w:rPr>
          <w:bCs/>
        </w:rPr>
        <w:t xml:space="preserve">, the </w:t>
      </w:r>
      <w:r w:rsidRPr="00726571">
        <w:rPr>
          <w:bCs/>
          <w:i/>
        </w:rPr>
        <w:t>Financial Sector (Collection of Data) Act 2001</w:t>
      </w:r>
      <w:r w:rsidRPr="00726571">
        <w:rPr>
          <w:bCs/>
        </w:rPr>
        <w:t xml:space="preserve"> (</w:t>
      </w:r>
      <w:r>
        <w:rPr>
          <w:bCs/>
        </w:rPr>
        <w:t>Collection of Data Act</w:t>
      </w:r>
      <w:r w:rsidRPr="00726571">
        <w:rPr>
          <w:bCs/>
        </w:rPr>
        <w:t xml:space="preserve">), reporting standards made under </w:t>
      </w:r>
      <w:r>
        <w:rPr>
          <w:bCs/>
        </w:rPr>
        <w:t>Collection of Data Act, conditions imposed under the Act on the life company’s authorisation, directions issued by APRA pursuant to the Act and other requirements imposed by APRA in writing</w:t>
      </w:r>
      <w:r w:rsidRPr="00726571">
        <w:rPr>
          <w:bCs/>
        </w:rPr>
        <w:t>.</w:t>
      </w:r>
    </w:p>
    <w:p w14:paraId="75028960" w14:textId="355BA14C" w:rsidR="00C26AD5" w:rsidRDefault="00C26AD5" w:rsidP="00C26AD5">
      <w:pPr>
        <w:ind w:left="567"/>
        <w:jc w:val="both"/>
        <w:rPr>
          <w:b/>
          <w:bCs/>
        </w:rPr>
      </w:pPr>
      <w:r>
        <w:rPr>
          <w:b/>
        </w:rPr>
        <w:t>Register</w:t>
      </w:r>
      <w:r w:rsidRPr="000A3717">
        <w:rPr>
          <w:b/>
        </w:rPr>
        <w:t>ed NOHC</w:t>
      </w:r>
      <w:r w:rsidRPr="000A3717">
        <w:t xml:space="preserve"> has the same meaning as in the Act.</w:t>
      </w:r>
    </w:p>
    <w:p w14:paraId="1BC45648" w14:textId="2A7C1370" w:rsidR="00D252F5" w:rsidRDefault="00D252F5" w:rsidP="00D252F5">
      <w:pPr>
        <w:ind w:left="567"/>
        <w:jc w:val="both"/>
        <w:rPr>
          <w:bCs/>
        </w:rPr>
      </w:pPr>
      <w:r w:rsidRPr="00A66BA7">
        <w:rPr>
          <w:b/>
          <w:bCs/>
        </w:rPr>
        <w:t xml:space="preserve">Regular </w:t>
      </w:r>
      <w:r>
        <w:rPr>
          <w:b/>
          <w:bCs/>
        </w:rPr>
        <w:t>p</w:t>
      </w:r>
      <w:r w:rsidRPr="00A66BA7">
        <w:rPr>
          <w:b/>
          <w:bCs/>
        </w:rPr>
        <w:t xml:space="preserve">remium </w:t>
      </w:r>
      <w:r>
        <w:rPr>
          <w:b/>
          <w:bCs/>
        </w:rPr>
        <w:t>b</w:t>
      </w:r>
      <w:r w:rsidRPr="00A66BA7">
        <w:rPr>
          <w:b/>
          <w:bCs/>
        </w:rPr>
        <w:t>usiness</w:t>
      </w:r>
      <w:r>
        <w:rPr>
          <w:bCs/>
        </w:rPr>
        <w:t xml:space="preserve"> means </w:t>
      </w:r>
      <w:r w:rsidRPr="00DC34C6">
        <w:rPr>
          <w:bCs/>
        </w:rPr>
        <w:t xml:space="preserve">business </w:t>
      </w:r>
      <w:r>
        <w:rPr>
          <w:bCs/>
        </w:rPr>
        <w:t xml:space="preserve">under life policies </w:t>
      </w:r>
      <w:r w:rsidRPr="00DC34C6">
        <w:rPr>
          <w:bCs/>
        </w:rPr>
        <w:t>where:</w:t>
      </w:r>
    </w:p>
    <w:p w14:paraId="562ECC1D" w14:textId="77777777" w:rsidR="00D252F5" w:rsidRPr="00C75CFD" w:rsidRDefault="00D252F5" w:rsidP="00A76C76">
      <w:pPr>
        <w:pStyle w:val="BodyText2"/>
        <w:numPr>
          <w:ilvl w:val="1"/>
          <w:numId w:val="31"/>
        </w:numPr>
      </w:pPr>
      <w:r w:rsidRPr="00C75CFD">
        <w:t>there exists a contractual obligation on the policy owner to make subsequent premium payments after the first premium payment; or</w:t>
      </w:r>
    </w:p>
    <w:p w14:paraId="5C596B12" w14:textId="77777777" w:rsidR="00D252F5" w:rsidRPr="00C75CFD" w:rsidRDefault="00D252F5" w:rsidP="00A76C76">
      <w:pPr>
        <w:pStyle w:val="BodyText2"/>
      </w:pPr>
      <w:r w:rsidRPr="00C75CFD">
        <w:t>the scale or level of charges levied against the policy distinguishes between first and subsequent premiums.</w:t>
      </w:r>
    </w:p>
    <w:p w14:paraId="6D6D7903" w14:textId="77777777" w:rsidR="00D252F5" w:rsidRDefault="00D252F5" w:rsidP="00D252F5">
      <w:pPr>
        <w:ind w:left="567"/>
        <w:jc w:val="both"/>
        <w:rPr>
          <w:bCs/>
        </w:rPr>
      </w:pPr>
      <w:bookmarkStart w:id="18" w:name="_Hlk85546934"/>
      <w:r w:rsidRPr="00A66BA7">
        <w:rPr>
          <w:b/>
          <w:bCs/>
        </w:rPr>
        <w:t>Reinsurance</w:t>
      </w:r>
      <w:r w:rsidRPr="00DC34C6">
        <w:rPr>
          <w:bCs/>
        </w:rPr>
        <w:t xml:space="preserve"> </w:t>
      </w:r>
      <w:r>
        <w:rPr>
          <w:bCs/>
        </w:rPr>
        <w:t>r</w:t>
      </w:r>
      <w:r w:rsidRPr="00DC34C6">
        <w:rPr>
          <w:bCs/>
        </w:rPr>
        <w:t>efers to all arrangements where some part of</w:t>
      </w:r>
      <w:r>
        <w:rPr>
          <w:bCs/>
        </w:rPr>
        <w:t xml:space="preserve"> </w:t>
      </w:r>
      <w:r w:rsidRPr="00DC34C6">
        <w:rPr>
          <w:bCs/>
        </w:rPr>
        <w:t>individual or aggregate insurance risks are ceded to another</w:t>
      </w:r>
      <w:r>
        <w:rPr>
          <w:bCs/>
        </w:rPr>
        <w:t xml:space="preserve"> </w:t>
      </w:r>
      <w:r w:rsidRPr="00DC34C6">
        <w:rPr>
          <w:bCs/>
        </w:rPr>
        <w:t>company or companies and include cessions of direct writing</w:t>
      </w:r>
      <w:r>
        <w:rPr>
          <w:bCs/>
        </w:rPr>
        <w:t xml:space="preserve"> </w:t>
      </w:r>
      <w:r w:rsidRPr="00DC34C6">
        <w:rPr>
          <w:bCs/>
        </w:rPr>
        <w:t>companies to reinsurance companies or other direct writing life</w:t>
      </w:r>
      <w:r>
        <w:rPr>
          <w:bCs/>
        </w:rPr>
        <w:t xml:space="preserve"> </w:t>
      </w:r>
      <w:r w:rsidRPr="00DC34C6">
        <w:rPr>
          <w:bCs/>
        </w:rPr>
        <w:t>companies and parent companies as well as retrocessions of</w:t>
      </w:r>
      <w:r>
        <w:rPr>
          <w:bCs/>
        </w:rPr>
        <w:t xml:space="preserve"> </w:t>
      </w:r>
      <w:r>
        <w:rPr>
          <w:b/>
          <w:bCs/>
        </w:rPr>
        <w:t>r</w:t>
      </w:r>
      <w:r w:rsidRPr="00F77898">
        <w:rPr>
          <w:b/>
          <w:bCs/>
        </w:rPr>
        <w:t>einsurers</w:t>
      </w:r>
      <w:r w:rsidRPr="00DC34C6">
        <w:rPr>
          <w:bCs/>
        </w:rPr>
        <w:t xml:space="preserve"> to t</w:t>
      </w:r>
      <w:r>
        <w:rPr>
          <w:bCs/>
        </w:rPr>
        <w:t>heir parent companies or other r</w:t>
      </w:r>
      <w:r w:rsidRPr="00DC34C6">
        <w:rPr>
          <w:bCs/>
        </w:rPr>
        <w:t>einsurers.</w:t>
      </w:r>
    </w:p>
    <w:bookmarkEnd w:id="18"/>
    <w:p w14:paraId="1BC86260" w14:textId="77777777" w:rsidR="00D252F5" w:rsidRDefault="00D252F5" w:rsidP="00D252F5">
      <w:pPr>
        <w:ind w:left="567"/>
        <w:jc w:val="both"/>
      </w:pPr>
      <w:r w:rsidRPr="00A66BA7">
        <w:rPr>
          <w:b/>
          <w:bCs/>
        </w:rPr>
        <w:t xml:space="preserve">Reinsured </w:t>
      </w:r>
      <w:r>
        <w:rPr>
          <w:b/>
          <w:bCs/>
        </w:rPr>
        <w:t>b</w:t>
      </w:r>
      <w:r w:rsidRPr="00A66BA7">
        <w:rPr>
          <w:b/>
          <w:bCs/>
        </w:rPr>
        <w:t xml:space="preserve">est </w:t>
      </w:r>
      <w:r>
        <w:rPr>
          <w:b/>
          <w:bCs/>
        </w:rPr>
        <w:t>e</w:t>
      </w:r>
      <w:r w:rsidRPr="00A66BA7">
        <w:rPr>
          <w:b/>
          <w:bCs/>
        </w:rPr>
        <w:t xml:space="preserve">stimate </w:t>
      </w:r>
      <w:r>
        <w:rPr>
          <w:b/>
          <w:bCs/>
        </w:rPr>
        <w:t>l</w:t>
      </w:r>
      <w:r w:rsidRPr="00A66BA7">
        <w:rPr>
          <w:b/>
          <w:bCs/>
        </w:rPr>
        <w:t>iability</w:t>
      </w:r>
      <w:r>
        <w:rPr>
          <w:b/>
          <w:bCs/>
        </w:rPr>
        <w:t xml:space="preserve"> </w:t>
      </w:r>
      <w:r>
        <w:rPr>
          <w:bCs/>
        </w:rPr>
        <w:t>means t</w:t>
      </w:r>
      <w:r w:rsidRPr="00DC34C6">
        <w:rPr>
          <w:bCs/>
        </w:rPr>
        <w:t>he component of the</w:t>
      </w:r>
      <w:r>
        <w:rPr>
          <w:bCs/>
        </w:rPr>
        <w:t xml:space="preserve"> </w:t>
      </w:r>
      <w:r>
        <w:rPr>
          <w:b/>
          <w:bCs/>
        </w:rPr>
        <w:t>r</w:t>
      </w:r>
      <w:r w:rsidRPr="00A66BA7">
        <w:rPr>
          <w:b/>
          <w:bCs/>
        </w:rPr>
        <w:t xml:space="preserve">einsured </w:t>
      </w:r>
      <w:r>
        <w:rPr>
          <w:b/>
          <w:bCs/>
        </w:rPr>
        <w:t>p</w:t>
      </w:r>
      <w:r w:rsidRPr="00A66BA7">
        <w:rPr>
          <w:b/>
          <w:bCs/>
        </w:rPr>
        <w:t xml:space="preserve">olicy </w:t>
      </w:r>
      <w:r>
        <w:rPr>
          <w:b/>
          <w:bCs/>
        </w:rPr>
        <w:t>l</w:t>
      </w:r>
      <w:r w:rsidRPr="00A66BA7">
        <w:rPr>
          <w:b/>
          <w:bCs/>
        </w:rPr>
        <w:t>iability</w:t>
      </w:r>
      <w:r w:rsidRPr="00DC34C6">
        <w:rPr>
          <w:bCs/>
        </w:rPr>
        <w:t xml:space="preserve">, being the </w:t>
      </w:r>
      <w:r>
        <w:rPr>
          <w:bCs/>
        </w:rPr>
        <w:t>b</w:t>
      </w:r>
      <w:r w:rsidRPr="00F77898">
        <w:rPr>
          <w:bCs/>
        </w:rPr>
        <w:t xml:space="preserve">est </w:t>
      </w:r>
      <w:r>
        <w:rPr>
          <w:bCs/>
        </w:rPr>
        <w:t>e</w:t>
      </w:r>
      <w:r w:rsidRPr="00F77898">
        <w:rPr>
          <w:bCs/>
        </w:rPr>
        <w:t xml:space="preserve">stimate </w:t>
      </w:r>
      <w:r>
        <w:rPr>
          <w:bCs/>
        </w:rPr>
        <w:t>l</w:t>
      </w:r>
      <w:r w:rsidRPr="00F77898">
        <w:rPr>
          <w:bCs/>
        </w:rPr>
        <w:t>iability</w:t>
      </w:r>
      <w:r w:rsidRPr="00DC34C6">
        <w:rPr>
          <w:bCs/>
        </w:rPr>
        <w:t xml:space="preserve"> in</w:t>
      </w:r>
      <w:r>
        <w:rPr>
          <w:bCs/>
        </w:rPr>
        <w:t xml:space="preserve"> </w:t>
      </w:r>
      <w:r w:rsidRPr="00DC34C6">
        <w:rPr>
          <w:bCs/>
        </w:rPr>
        <w:t>respect of outwards reinsurance business.</w:t>
      </w:r>
      <w:r w:rsidRPr="00DC34C6">
        <w:t xml:space="preserve"> </w:t>
      </w:r>
    </w:p>
    <w:p w14:paraId="7172C122" w14:textId="6209F1F9" w:rsidR="00D252F5" w:rsidRPr="00DC34C6" w:rsidRDefault="00D252F5" w:rsidP="00D252F5">
      <w:pPr>
        <w:ind w:left="567"/>
        <w:jc w:val="both"/>
        <w:rPr>
          <w:bCs/>
        </w:rPr>
      </w:pPr>
      <w:r w:rsidRPr="00213DAE">
        <w:rPr>
          <w:b/>
          <w:bCs/>
        </w:rPr>
        <w:t xml:space="preserve">Reinsured </w:t>
      </w:r>
      <w:r>
        <w:rPr>
          <w:b/>
          <w:bCs/>
        </w:rPr>
        <w:t>p</w:t>
      </w:r>
      <w:r w:rsidRPr="00213DAE">
        <w:rPr>
          <w:b/>
          <w:bCs/>
        </w:rPr>
        <w:t xml:space="preserve">olicy </w:t>
      </w:r>
      <w:r>
        <w:rPr>
          <w:b/>
          <w:bCs/>
        </w:rPr>
        <w:t>l</w:t>
      </w:r>
      <w:r w:rsidRPr="00213DAE">
        <w:rPr>
          <w:b/>
          <w:bCs/>
        </w:rPr>
        <w:t>iability</w:t>
      </w:r>
      <w:r>
        <w:rPr>
          <w:bCs/>
        </w:rPr>
        <w:t xml:space="preserve"> is as defined in LPS 340</w:t>
      </w:r>
      <w:r w:rsidRPr="00DC34C6">
        <w:rPr>
          <w:bCs/>
        </w:rPr>
        <w:t>.</w:t>
      </w:r>
    </w:p>
    <w:p w14:paraId="5A682166" w14:textId="77777777" w:rsidR="00D252F5" w:rsidRDefault="00D252F5" w:rsidP="00D252F5">
      <w:pPr>
        <w:ind w:left="567"/>
        <w:jc w:val="both"/>
        <w:rPr>
          <w:bCs/>
        </w:rPr>
      </w:pPr>
      <w:r w:rsidRPr="00213DAE">
        <w:rPr>
          <w:b/>
          <w:bCs/>
        </w:rPr>
        <w:t>Reinsurer</w:t>
      </w:r>
      <w:r>
        <w:rPr>
          <w:b/>
          <w:bCs/>
        </w:rPr>
        <w:t xml:space="preserve"> </w:t>
      </w:r>
      <w:r w:rsidRPr="00622378">
        <w:rPr>
          <w:bCs/>
        </w:rPr>
        <w:t>means a</w:t>
      </w:r>
      <w:r w:rsidRPr="00DC34C6">
        <w:rPr>
          <w:bCs/>
        </w:rPr>
        <w:t xml:space="preserve">ny company providing </w:t>
      </w:r>
      <w:r w:rsidRPr="00F77898">
        <w:rPr>
          <w:bCs/>
          <w:szCs w:val="16"/>
        </w:rPr>
        <w:t>rei</w:t>
      </w:r>
      <w:r w:rsidRPr="00F77898">
        <w:rPr>
          <w:bCs/>
        </w:rPr>
        <w:t>nsurance</w:t>
      </w:r>
      <w:r w:rsidRPr="00DC34C6">
        <w:rPr>
          <w:bCs/>
        </w:rPr>
        <w:t>, whether a</w:t>
      </w:r>
      <w:r>
        <w:rPr>
          <w:bCs/>
        </w:rPr>
        <w:t xml:space="preserve"> </w:t>
      </w:r>
      <w:r w:rsidRPr="00DC34C6">
        <w:rPr>
          <w:bCs/>
        </w:rPr>
        <w:t>parent life company, direct writing company or reinsurance</w:t>
      </w:r>
      <w:r>
        <w:rPr>
          <w:bCs/>
        </w:rPr>
        <w:t xml:space="preserve"> </w:t>
      </w:r>
      <w:r w:rsidRPr="00DC34C6">
        <w:rPr>
          <w:bCs/>
        </w:rPr>
        <w:t>company.</w:t>
      </w:r>
    </w:p>
    <w:p w14:paraId="67D61D32" w14:textId="5575B2E9" w:rsidR="00D252F5" w:rsidRDefault="00D252F5" w:rsidP="00D252F5">
      <w:pPr>
        <w:ind w:left="567"/>
        <w:jc w:val="both"/>
        <w:rPr>
          <w:bCs/>
        </w:rPr>
      </w:pPr>
      <w:r w:rsidRPr="002E1C72">
        <w:rPr>
          <w:b/>
          <w:bCs/>
        </w:rPr>
        <w:t>Related body corporate</w:t>
      </w:r>
      <w:r w:rsidRPr="002E1C72">
        <w:rPr>
          <w:bCs/>
        </w:rPr>
        <w:t xml:space="preserve">, or </w:t>
      </w:r>
      <w:r w:rsidRPr="002E1C72">
        <w:rPr>
          <w:b/>
          <w:bCs/>
        </w:rPr>
        <w:t>related company</w:t>
      </w:r>
      <w:r w:rsidRPr="002E1C72">
        <w:rPr>
          <w:bCs/>
        </w:rPr>
        <w:t>, has the same meaning as in section 50 of the Corporations Act</w:t>
      </w:r>
      <w:r>
        <w:rPr>
          <w:bCs/>
        </w:rPr>
        <w:t>.</w:t>
      </w:r>
    </w:p>
    <w:p w14:paraId="1C2AEA86" w14:textId="77777777" w:rsidR="00D252F5" w:rsidRDefault="00D252F5" w:rsidP="00D252F5">
      <w:pPr>
        <w:ind w:left="567"/>
        <w:jc w:val="both"/>
        <w:rPr>
          <w:bCs/>
        </w:rPr>
      </w:pPr>
      <w:r w:rsidRPr="00213DAE">
        <w:rPr>
          <w:b/>
          <w:bCs/>
        </w:rPr>
        <w:t xml:space="preserve">Related </w:t>
      </w:r>
      <w:r>
        <w:rPr>
          <w:b/>
          <w:bCs/>
        </w:rPr>
        <w:t>e</w:t>
      </w:r>
      <w:r w:rsidRPr="00213DAE">
        <w:rPr>
          <w:b/>
          <w:bCs/>
        </w:rPr>
        <w:t>ntity</w:t>
      </w:r>
      <w:r>
        <w:rPr>
          <w:bCs/>
        </w:rPr>
        <w:t xml:space="preserve"> </w:t>
      </w:r>
      <w:r w:rsidRPr="00645F36">
        <w:rPr>
          <w:bCs/>
        </w:rPr>
        <w:t>means an entity which is a ‘related party’ within the meaning of the relevant Australian Accounting Standards.</w:t>
      </w:r>
    </w:p>
    <w:p w14:paraId="3573C49D" w14:textId="77777777" w:rsidR="00D252F5" w:rsidRDefault="00D252F5" w:rsidP="00D252F5">
      <w:pPr>
        <w:pStyle w:val="BodyText"/>
        <w:ind w:left="567"/>
        <w:rPr>
          <w:b/>
          <w:bCs/>
        </w:rPr>
      </w:pPr>
      <w:r w:rsidRPr="00C71F66">
        <w:rPr>
          <w:b/>
        </w:rPr>
        <w:t xml:space="preserve">Reporting period </w:t>
      </w:r>
      <w:r w:rsidRPr="00C71F66">
        <w:t>is the period that the insurer is required to report under the relevant reporting standards made under the Collection of Data Act.</w:t>
      </w:r>
    </w:p>
    <w:p w14:paraId="354A7BC6" w14:textId="77777777" w:rsidR="00D252F5" w:rsidRPr="00DC34C6" w:rsidRDefault="00D252F5" w:rsidP="00D252F5">
      <w:pPr>
        <w:ind w:left="567"/>
        <w:jc w:val="both"/>
        <w:rPr>
          <w:bCs/>
        </w:rPr>
      </w:pPr>
      <w:r w:rsidRPr="00213DAE">
        <w:rPr>
          <w:b/>
          <w:bCs/>
        </w:rPr>
        <w:t xml:space="preserve">Retail </w:t>
      </w:r>
      <w:r>
        <w:rPr>
          <w:b/>
          <w:bCs/>
        </w:rPr>
        <w:t>b</w:t>
      </w:r>
      <w:r w:rsidRPr="00213DAE">
        <w:rPr>
          <w:b/>
          <w:bCs/>
        </w:rPr>
        <w:t>usiness</w:t>
      </w:r>
      <w:r>
        <w:rPr>
          <w:b/>
          <w:bCs/>
        </w:rPr>
        <w:t xml:space="preserve"> </w:t>
      </w:r>
      <w:r w:rsidRPr="00E53175">
        <w:rPr>
          <w:bCs/>
        </w:rPr>
        <w:t xml:space="preserve">means </w:t>
      </w:r>
      <w:r w:rsidRPr="00F77898">
        <w:rPr>
          <w:bCs/>
          <w:szCs w:val="16"/>
        </w:rPr>
        <w:t>life business</w:t>
      </w:r>
      <w:r w:rsidRPr="00DC34C6">
        <w:rPr>
          <w:bCs/>
        </w:rPr>
        <w:t xml:space="preserve"> which is not </w:t>
      </w:r>
      <w:r>
        <w:rPr>
          <w:b/>
          <w:bCs/>
        </w:rPr>
        <w:t>w</w:t>
      </w:r>
      <w:r w:rsidRPr="00213DAE">
        <w:rPr>
          <w:b/>
          <w:bCs/>
        </w:rPr>
        <w:t xml:space="preserve">holesale </w:t>
      </w:r>
      <w:r>
        <w:rPr>
          <w:b/>
          <w:bCs/>
        </w:rPr>
        <w:t>b</w:t>
      </w:r>
      <w:r w:rsidRPr="00213DAE">
        <w:rPr>
          <w:b/>
          <w:bCs/>
        </w:rPr>
        <w:t>usiness</w:t>
      </w:r>
      <w:r w:rsidRPr="00DC34C6">
        <w:rPr>
          <w:bCs/>
        </w:rPr>
        <w:t>.</w:t>
      </w:r>
    </w:p>
    <w:p w14:paraId="057B3260" w14:textId="77777777" w:rsidR="00D252F5" w:rsidRDefault="00D252F5" w:rsidP="00D252F5">
      <w:pPr>
        <w:ind w:left="567"/>
        <w:jc w:val="both"/>
        <w:rPr>
          <w:bCs/>
        </w:rPr>
      </w:pPr>
      <w:r w:rsidRPr="00213DAE">
        <w:rPr>
          <w:b/>
          <w:bCs/>
        </w:rPr>
        <w:t xml:space="preserve">Risk </w:t>
      </w:r>
      <w:r>
        <w:rPr>
          <w:b/>
          <w:bCs/>
        </w:rPr>
        <w:t>b</w:t>
      </w:r>
      <w:r w:rsidRPr="00213DAE">
        <w:rPr>
          <w:b/>
          <w:bCs/>
        </w:rPr>
        <w:t>usiness</w:t>
      </w:r>
      <w:r>
        <w:rPr>
          <w:b/>
          <w:bCs/>
        </w:rPr>
        <w:t xml:space="preserve"> </w:t>
      </w:r>
      <w:r w:rsidRPr="00AF2224">
        <w:rPr>
          <w:bCs/>
        </w:rPr>
        <w:t>refers to</w:t>
      </w:r>
      <w:r>
        <w:rPr>
          <w:b/>
          <w:bCs/>
        </w:rPr>
        <w:t xml:space="preserve"> </w:t>
      </w:r>
      <w:r>
        <w:rPr>
          <w:bCs/>
        </w:rPr>
        <w:t xml:space="preserve">policies that only provide for benefits to be paid to policy owners on the death or disability of the life insured, or if the life insured is found to have a specific disease or injury. The policies must not provide </w:t>
      </w:r>
      <w:r w:rsidRPr="00F77898">
        <w:rPr>
          <w:bCs/>
          <w:szCs w:val="16"/>
        </w:rPr>
        <w:t>participating benefits</w:t>
      </w:r>
      <w:r w:rsidRPr="00740136">
        <w:rPr>
          <w:bCs/>
        </w:rPr>
        <w:t xml:space="preserve"> or </w:t>
      </w:r>
      <w:r w:rsidRPr="00F77898">
        <w:rPr>
          <w:bCs/>
          <w:szCs w:val="16"/>
        </w:rPr>
        <w:t>discretionary additions</w:t>
      </w:r>
      <w:r>
        <w:rPr>
          <w:bCs/>
        </w:rPr>
        <w:t xml:space="preserve"> to benefits and must not be traditional business or funeral bond business.</w:t>
      </w:r>
    </w:p>
    <w:p w14:paraId="62483F60" w14:textId="77777777" w:rsidR="00D252F5" w:rsidRPr="00BB714E" w:rsidRDefault="00D252F5" w:rsidP="00D252F5">
      <w:pPr>
        <w:ind w:left="567"/>
        <w:jc w:val="both"/>
        <w:rPr>
          <w:bCs/>
        </w:rPr>
      </w:pPr>
      <w:r>
        <w:rPr>
          <w:b/>
          <w:bCs/>
        </w:rPr>
        <w:t xml:space="preserve">Risk management declaration </w:t>
      </w:r>
      <w:r w:rsidRPr="00BB714E">
        <w:rPr>
          <w:bCs/>
        </w:rPr>
        <w:t xml:space="preserve">is </w:t>
      </w:r>
      <w:r>
        <w:rPr>
          <w:bCs/>
        </w:rPr>
        <w:t xml:space="preserve">as defined in CPS 220. </w:t>
      </w:r>
    </w:p>
    <w:p w14:paraId="08B4300D" w14:textId="77777777" w:rsidR="00D252F5" w:rsidRDefault="00D252F5" w:rsidP="00D252F5">
      <w:pPr>
        <w:ind w:left="567"/>
        <w:jc w:val="both"/>
        <w:rPr>
          <w:bCs/>
        </w:rPr>
      </w:pPr>
      <w:r>
        <w:rPr>
          <w:b/>
          <w:bCs/>
        </w:rPr>
        <w:t>Risk management framework</w:t>
      </w:r>
      <w:r>
        <w:rPr>
          <w:bCs/>
        </w:rPr>
        <w:t xml:space="preserve"> is as defined in CPS 220.</w:t>
      </w:r>
    </w:p>
    <w:p w14:paraId="03A424F7" w14:textId="77777777" w:rsidR="00D252F5" w:rsidRPr="006C3305" w:rsidRDefault="00D252F5" w:rsidP="00D252F5">
      <w:pPr>
        <w:ind w:left="567"/>
        <w:jc w:val="both"/>
        <w:rPr>
          <w:bCs/>
        </w:rPr>
      </w:pPr>
      <w:r>
        <w:rPr>
          <w:b/>
          <w:bCs/>
        </w:rPr>
        <w:lastRenderedPageBreak/>
        <w:t xml:space="preserve">Risk management strategy </w:t>
      </w:r>
      <w:r w:rsidRPr="006C3305">
        <w:rPr>
          <w:bCs/>
        </w:rPr>
        <w:t xml:space="preserve">is </w:t>
      </w:r>
      <w:r>
        <w:rPr>
          <w:bCs/>
        </w:rPr>
        <w:t xml:space="preserve">as </w:t>
      </w:r>
      <w:r w:rsidRPr="006C3305">
        <w:rPr>
          <w:bCs/>
        </w:rPr>
        <w:t xml:space="preserve">defined in </w:t>
      </w:r>
      <w:r>
        <w:rPr>
          <w:bCs/>
        </w:rPr>
        <w:t>C</w:t>
      </w:r>
      <w:r w:rsidRPr="006C3305">
        <w:rPr>
          <w:bCs/>
        </w:rPr>
        <w:t>PS 220.</w:t>
      </w:r>
    </w:p>
    <w:p w14:paraId="4B2ABAB9" w14:textId="77777777" w:rsidR="00D252F5" w:rsidRDefault="00D252F5" w:rsidP="00D252F5">
      <w:pPr>
        <w:ind w:left="567"/>
        <w:jc w:val="both"/>
        <w:rPr>
          <w:bCs/>
          <w:i/>
        </w:rPr>
      </w:pPr>
      <w:r>
        <w:rPr>
          <w:b/>
          <w:bCs/>
        </w:rPr>
        <w:t xml:space="preserve">Risk-free best estimate liability </w:t>
      </w:r>
      <w:r>
        <w:rPr>
          <w:bCs/>
        </w:rPr>
        <w:t>is as defined in</w:t>
      </w:r>
      <w:r w:rsidRPr="00740136">
        <w:rPr>
          <w:bCs/>
        </w:rPr>
        <w:t xml:space="preserve"> </w:t>
      </w:r>
      <w:r w:rsidRPr="00F77898">
        <w:rPr>
          <w:bCs/>
        </w:rPr>
        <w:t>LPS 112</w:t>
      </w:r>
      <w:r>
        <w:rPr>
          <w:bCs/>
          <w:i/>
        </w:rPr>
        <w:t>.</w:t>
      </w:r>
    </w:p>
    <w:p w14:paraId="414A1E61" w14:textId="77777777" w:rsidR="00D252F5" w:rsidRPr="005503B1" w:rsidRDefault="00D252F5" w:rsidP="00D252F5">
      <w:pPr>
        <w:ind w:left="567"/>
        <w:jc w:val="both"/>
        <w:rPr>
          <w:bCs/>
        </w:rPr>
      </w:pPr>
      <w:r w:rsidRPr="00213DAE">
        <w:rPr>
          <w:b/>
          <w:bCs/>
        </w:rPr>
        <w:t>Risk-</w:t>
      </w:r>
      <w:r>
        <w:rPr>
          <w:b/>
          <w:bCs/>
        </w:rPr>
        <w:t>f</w:t>
      </w:r>
      <w:r w:rsidRPr="00213DAE">
        <w:rPr>
          <w:b/>
          <w:bCs/>
        </w:rPr>
        <w:t xml:space="preserve">ree </w:t>
      </w:r>
      <w:r>
        <w:rPr>
          <w:b/>
          <w:bCs/>
        </w:rPr>
        <w:t>d</w:t>
      </w:r>
      <w:r w:rsidRPr="00213DAE">
        <w:rPr>
          <w:b/>
          <w:bCs/>
        </w:rPr>
        <w:t xml:space="preserve">iscount </w:t>
      </w:r>
      <w:r>
        <w:rPr>
          <w:b/>
          <w:bCs/>
        </w:rPr>
        <w:t>r</w:t>
      </w:r>
      <w:r w:rsidRPr="00213DAE">
        <w:rPr>
          <w:b/>
          <w:bCs/>
        </w:rPr>
        <w:t>ate</w:t>
      </w:r>
      <w:r>
        <w:rPr>
          <w:bCs/>
        </w:rPr>
        <w:t xml:space="preserve"> </w:t>
      </w:r>
      <w:r>
        <w:t xml:space="preserve">for liabilities denominated in Australian currency </w:t>
      </w:r>
      <w:r>
        <w:rPr>
          <w:bCs/>
        </w:rPr>
        <w:t>means t</w:t>
      </w:r>
      <w:r w:rsidRPr="005503B1">
        <w:t xml:space="preserve">he </w:t>
      </w:r>
      <w:r>
        <w:t>rate (or rates)</w:t>
      </w:r>
      <w:r w:rsidRPr="005503B1">
        <w:t xml:space="preserve"> </w:t>
      </w:r>
      <w:r>
        <w:t>based on</w:t>
      </w:r>
      <w:r w:rsidRPr="005503B1">
        <w:t xml:space="preserve"> the yields of </w:t>
      </w:r>
      <w:r>
        <w:t>Commonwealth Government Securities that relate to the term of the future liability cash flows. I</w:t>
      </w:r>
      <w:r w:rsidRPr="005503B1">
        <w:t>f the</w:t>
      </w:r>
      <w:r>
        <w:t xml:space="preserve"> term of the liability cash flows exceeds the maximum available term of Commonwealth Government Securities, APRA expects </w:t>
      </w:r>
      <w:r w:rsidRPr="005503B1">
        <w:t xml:space="preserve">other instruments </w:t>
      </w:r>
      <w:r>
        <w:t>with longer terms to</w:t>
      </w:r>
      <w:r w:rsidRPr="005503B1">
        <w:t xml:space="preserve"> be used as a reference point</w:t>
      </w:r>
      <w:r>
        <w:t xml:space="preserve"> for the purpose of extrapolation unless the insurer can demonstrate there are no other suitable instruments</w:t>
      </w:r>
      <w:r w:rsidRPr="005503B1">
        <w:t xml:space="preserve">. </w:t>
      </w:r>
      <w:r>
        <w:t>A</w:t>
      </w:r>
      <w:r w:rsidRPr="005503B1">
        <w:t>djustments must be made to remove any allowances for credit risk and illiquidity that are implicit in the yields on these instruments.</w:t>
      </w:r>
      <w:r>
        <w:t xml:space="preserve"> For foreign liabilities, the rate (or rates) must be based on the yields of highly liquid s</w:t>
      </w:r>
      <w:r w:rsidRPr="005503B1">
        <w:t>overeign risk securities</w:t>
      </w:r>
      <w:r>
        <w:t xml:space="preserve"> </w:t>
      </w:r>
      <w:r w:rsidRPr="005503B1">
        <w:t>in the currency of the policy liabilities</w:t>
      </w:r>
      <w:r>
        <w:t xml:space="preserve"> and with counterparty grade 1.</w:t>
      </w:r>
      <w:r w:rsidRPr="005503B1">
        <w:t xml:space="preserve"> </w:t>
      </w:r>
      <w:r>
        <w:t>I</w:t>
      </w:r>
      <w:r w:rsidRPr="005503B1">
        <w:t>f there</w:t>
      </w:r>
      <w:r>
        <w:t xml:space="preserve"> are no securities satisfying these requirements</w:t>
      </w:r>
      <w:r w:rsidRPr="005503B1">
        <w:t xml:space="preserve">, other instruments may be used as a reference point. </w:t>
      </w:r>
      <w:r>
        <w:t>A</w:t>
      </w:r>
      <w:r w:rsidRPr="005503B1">
        <w:t>djustments must be made to remove any allowances for credit risk and illiquidity that are implicit in the yields on these instruments.</w:t>
      </w:r>
      <w:r>
        <w:t xml:space="preserve"> </w:t>
      </w:r>
    </w:p>
    <w:p w14:paraId="537C3A8A" w14:textId="77777777" w:rsidR="00D252F5" w:rsidRDefault="00D252F5" w:rsidP="00D252F5">
      <w:pPr>
        <w:ind w:left="567"/>
        <w:jc w:val="both"/>
        <w:rPr>
          <w:bCs/>
        </w:rPr>
      </w:pPr>
      <w:r w:rsidRPr="00213DAE">
        <w:rPr>
          <w:b/>
          <w:bCs/>
        </w:rPr>
        <w:t xml:space="preserve">Seed </w:t>
      </w:r>
      <w:r>
        <w:rPr>
          <w:b/>
          <w:bCs/>
        </w:rPr>
        <w:t>c</w:t>
      </w:r>
      <w:r w:rsidRPr="00213DAE">
        <w:rPr>
          <w:b/>
          <w:bCs/>
        </w:rPr>
        <w:t>apital</w:t>
      </w:r>
      <w:r>
        <w:rPr>
          <w:bCs/>
        </w:rPr>
        <w:t xml:space="preserve"> means an amount transferred, with the approval of APRA, from the management fund of a friendly society to one of its approved benefits funds for the purpose of meeting the c</w:t>
      </w:r>
      <w:r w:rsidRPr="00F77898">
        <w:rPr>
          <w:bCs/>
        </w:rPr>
        <w:t xml:space="preserve">apital </w:t>
      </w:r>
      <w:r>
        <w:rPr>
          <w:bCs/>
        </w:rPr>
        <w:t>s</w:t>
      </w:r>
      <w:r w:rsidRPr="00F77898">
        <w:rPr>
          <w:bCs/>
        </w:rPr>
        <w:t>tandards</w:t>
      </w:r>
      <w:r>
        <w:rPr>
          <w:bCs/>
        </w:rPr>
        <w:t xml:space="preserve"> for the benefit fund. </w:t>
      </w:r>
    </w:p>
    <w:p w14:paraId="5FDEAF06" w14:textId="77777777" w:rsidR="00D252F5" w:rsidRPr="002305C6" w:rsidRDefault="00D252F5" w:rsidP="00D252F5">
      <w:pPr>
        <w:ind w:left="567"/>
        <w:jc w:val="both"/>
        <w:rPr>
          <w:bCs/>
        </w:rPr>
      </w:pPr>
      <w:r w:rsidRPr="002305C6">
        <w:rPr>
          <w:b/>
          <w:bCs/>
        </w:rPr>
        <w:t xml:space="preserve">Senior manager </w:t>
      </w:r>
      <w:r w:rsidRPr="002305C6">
        <w:rPr>
          <w:bCs/>
        </w:rPr>
        <w:t>has the same meaning as in the Act.</w:t>
      </w:r>
    </w:p>
    <w:p w14:paraId="7CED72C9" w14:textId="77777777" w:rsidR="00D252F5" w:rsidRDefault="00D252F5" w:rsidP="00D252F5">
      <w:pPr>
        <w:ind w:left="567"/>
        <w:jc w:val="both"/>
        <w:rPr>
          <w:bCs/>
        </w:rPr>
      </w:pPr>
      <w:r w:rsidRPr="00213DAE">
        <w:rPr>
          <w:b/>
          <w:bCs/>
        </w:rPr>
        <w:t xml:space="preserve">Servicing </w:t>
      </w:r>
      <w:r>
        <w:rPr>
          <w:b/>
          <w:bCs/>
        </w:rPr>
        <w:t>e</w:t>
      </w:r>
      <w:r w:rsidRPr="00213DAE">
        <w:rPr>
          <w:b/>
          <w:bCs/>
        </w:rPr>
        <w:t>xpenses</w:t>
      </w:r>
      <w:r>
        <w:rPr>
          <w:b/>
          <w:bCs/>
        </w:rPr>
        <w:t xml:space="preserve"> </w:t>
      </w:r>
      <w:r w:rsidRPr="00AF2224">
        <w:rPr>
          <w:bCs/>
        </w:rPr>
        <w:t>refers to the</w:t>
      </w:r>
      <w:r w:rsidRPr="00DC34C6">
        <w:rPr>
          <w:bCs/>
        </w:rPr>
        <w:t xml:space="preserve"> combination of </w:t>
      </w:r>
      <w:r>
        <w:rPr>
          <w:bCs/>
        </w:rPr>
        <w:t>m</w:t>
      </w:r>
      <w:r w:rsidRPr="00F77898">
        <w:rPr>
          <w:bCs/>
        </w:rPr>
        <w:t>aintenance</w:t>
      </w:r>
      <w:r>
        <w:rPr>
          <w:bCs/>
        </w:rPr>
        <w:t xml:space="preserve"> expenses</w:t>
      </w:r>
      <w:r w:rsidRPr="00C87A0F">
        <w:rPr>
          <w:bCs/>
        </w:rPr>
        <w:t xml:space="preserve"> and </w:t>
      </w:r>
      <w:r>
        <w:rPr>
          <w:bCs/>
        </w:rPr>
        <w:t>i</w:t>
      </w:r>
      <w:r w:rsidRPr="00F77898">
        <w:rPr>
          <w:bCs/>
        </w:rPr>
        <w:t xml:space="preserve">nvestment </w:t>
      </w:r>
      <w:r>
        <w:rPr>
          <w:bCs/>
        </w:rPr>
        <w:t>m</w:t>
      </w:r>
      <w:r w:rsidRPr="00F77898">
        <w:rPr>
          <w:bCs/>
        </w:rPr>
        <w:t xml:space="preserve">anagement </w:t>
      </w:r>
      <w:r>
        <w:rPr>
          <w:bCs/>
        </w:rPr>
        <w:t>e</w:t>
      </w:r>
      <w:r w:rsidRPr="00F77898">
        <w:rPr>
          <w:bCs/>
        </w:rPr>
        <w:t>xpenses</w:t>
      </w:r>
      <w:r w:rsidRPr="00DC34C6">
        <w:rPr>
          <w:bCs/>
        </w:rPr>
        <w:t>.</w:t>
      </w:r>
    </w:p>
    <w:p w14:paraId="3C5981A8" w14:textId="77777777" w:rsidR="00D252F5" w:rsidRPr="00020148" w:rsidRDefault="00D252F5" w:rsidP="00D252F5">
      <w:pPr>
        <w:ind w:left="567"/>
        <w:jc w:val="both"/>
        <w:rPr>
          <w:bCs/>
        </w:rPr>
      </w:pPr>
      <w:r>
        <w:rPr>
          <w:b/>
          <w:bCs/>
        </w:rPr>
        <w:t>Servicing expense reserve</w:t>
      </w:r>
      <w:r>
        <w:rPr>
          <w:bCs/>
        </w:rPr>
        <w:t xml:space="preserve"> is as defined in LPS 115.</w:t>
      </w:r>
    </w:p>
    <w:p w14:paraId="50CFCE97" w14:textId="77777777" w:rsidR="00D252F5" w:rsidRDefault="00D252F5" w:rsidP="00D252F5">
      <w:pPr>
        <w:ind w:left="567"/>
        <w:jc w:val="both"/>
      </w:pPr>
      <w:r w:rsidRPr="00412FFA">
        <w:rPr>
          <w:b/>
          <w:bCs/>
        </w:rPr>
        <w:t xml:space="preserve">Shareholder </w:t>
      </w:r>
      <w:r>
        <w:rPr>
          <w:b/>
          <w:bCs/>
        </w:rPr>
        <w:t>p</w:t>
      </w:r>
      <w:r w:rsidRPr="00412FFA">
        <w:rPr>
          <w:b/>
          <w:bCs/>
        </w:rPr>
        <w:t>rofit</w:t>
      </w:r>
      <w:r>
        <w:rPr>
          <w:bCs/>
        </w:rPr>
        <w:t xml:space="preserve"> is the </w:t>
      </w:r>
      <w:r w:rsidRPr="00DC34C6">
        <w:rPr>
          <w:bCs/>
        </w:rPr>
        <w:t>amount of profit attributable to the</w:t>
      </w:r>
      <w:r>
        <w:rPr>
          <w:bCs/>
        </w:rPr>
        <w:t xml:space="preserve"> </w:t>
      </w:r>
      <w:r w:rsidRPr="00DC34C6">
        <w:rPr>
          <w:bCs/>
        </w:rPr>
        <w:t>shareholder</w:t>
      </w:r>
      <w:r>
        <w:rPr>
          <w:bCs/>
        </w:rPr>
        <w:t>s</w:t>
      </w:r>
      <w:r w:rsidRPr="00DC34C6">
        <w:rPr>
          <w:bCs/>
        </w:rPr>
        <w:t>.</w:t>
      </w:r>
      <w:r w:rsidRPr="00DC34C6">
        <w:t xml:space="preserve"> </w:t>
      </w:r>
    </w:p>
    <w:p w14:paraId="4F355869" w14:textId="77777777" w:rsidR="00D252F5" w:rsidRPr="00DC34C6" w:rsidRDefault="00D252F5" w:rsidP="00D252F5">
      <w:pPr>
        <w:ind w:left="567"/>
        <w:jc w:val="both"/>
        <w:rPr>
          <w:bCs/>
        </w:rPr>
      </w:pPr>
      <w:r w:rsidRPr="00412FFA">
        <w:rPr>
          <w:b/>
          <w:bCs/>
        </w:rPr>
        <w:t xml:space="preserve">Shareholder </w:t>
      </w:r>
      <w:r>
        <w:rPr>
          <w:b/>
          <w:bCs/>
        </w:rPr>
        <w:t>p</w:t>
      </w:r>
      <w:r w:rsidRPr="00412FFA">
        <w:rPr>
          <w:b/>
          <w:bCs/>
        </w:rPr>
        <w:t xml:space="preserve">rofit </w:t>
      </w:r>
      <w:r>
        <w:rPr>
          <w:b/>
          <w:bCs/>
        </w:rPr>
        <w:t>s</w:t>
      </w:r>
      <w:r w:rsidRPr="00412FFA">
        <w:rPr>
          <w:b/>
          <w:bCs/>
        </w:rPr>
        <w:t>hare</w:t>
      </w:r>
      <w:r>
        <w:rPr>
          <w:b/>
          <w:bCs/>
        </w:rPr>
        <w:t xml:space="preserve"> </w:t>
      </w:r>
      <w:r w:rsidRPr="00AF2224">
        <w:rPr>
          <w:bCs/>
        </w:rPr>
        <w:t>means the</w:t>
      </w:r>
      <w:r w:rsidRPr="00DC34C6">
        <w:rPr>
          <w:bCs/>
        </w:rPr>
        <w:t xml:space="preserve"> entitlement of the shareholder to</w:t>
      </w:r>
      <w:r>
        <w:rPr>
          <w:bCs/>
        </w:rPr>
        <w:t xml:space="preserve"> </w:t>
      </w:r>
      <w:r w:rsidRPr="00DC34C6">
        <w:rPr>
          <w:bCs/>
        </w:rPr>
        <w:t>share in the profit emerging from the benefits.</w:t>
      </w:r>
    </w:p>
    <w:p w14:paraId="4C8DA104" w14:textId="77777777" w:rsidR="00D252F5" w:rsidRDefault="00D252F5" w:rsidP="00D252F5">
      <w:pPr>
        <w:ind w:left="567"/>
        <w:jc w:val="both"/>
        <w:rPr>
          <w:bCs/>
        </w:rPr>
      </w:pPr>
      <w:r>
        <w:rPr>
          <w:b/>
          <w:bCs/>
        </w:rPr>
        <w:t xml:space="preserve">Shareholders’ retained profits (Australian participating) </w:t>
      </w:r>
      <w:r w:rsidRPr="00D050DD">
        <w:rPr>
          <w:bCs/>
        </w:rPr>
        <w:t>has the meaning given in the Dictionary to the Act.</w:t>
      </w:r>
    </w:p>
    <w:p w14:paraId="7066ED5E" w14:textId="2CA5B634" w:rsidR="00D252F5" w:rsidRDefault="00D252F5" w:rsidP="00D252F5">
      <w:pPr>
        <w:ind w:left="567"/>
        <w:jc w:val="both"/>
        <w:rPr>
          <w:bCs/>
        </w:rPr>
      </w:pPr>
      <w:r>
        <w:rPr>
          <w:b/>
          <w:bCs/>
        </w:rPr>
        <w:t xml:space="preserve">Shareholders’ retained profits (overseas and non-participating) </w:t>
      </w:r>
      <w:r w:rsidRPr="00D050DD">
        <w:rPr>
          <w:bCs/>
        </w:rPr>
        <w:t>has the meaning given in the Dictionary to the Act.</w:t>
      </w:r>
    </w:p>
    <w:p w14:paraId="5B6ADE10" w14:textId="77777777" w:rsidR="00C26AD5" w:rsidRPr="00FE6B9B" w:rsidRDefault="00C26AD5" w:rsidP="00C26AD5">
      <w:pPr>
        <w:autoSpaceDE w:val="0"/>
        <w:autoSpaceDN w:val="0"/>
        <w:adjustRightInd w:val="0"/>
        <w:ind w:left="567"/>
        <w:jc w:val="both"/>
        <w:rPr>
          <w:bCs/>
          <w:szCs w:val="20"/>
        </w:rPr>
      </w:pPr>
      <w:r w:rsidRPr="00FE6B9B">
        <w:rPr>
          <w:b/>
          <w:bCs/>
          <w:szCs w:val="20"/>
        </w:rPr>
        <w:t xml:space="preserve">Significant financial institution </w:t>
      </w:r>
      <w:r w:rsidRPr="00BC0CC4">
        <w:rPr>
          <w:bCs/>
          <w:szCs w:val="20"/>
        </w:rPr>
        <w:t xml:space="preserve">(SFI) </w:t>
      </w:r>
      <w:r w:rsidRPr="00FE6B9B">
        <w:rPr>
          <w:bCs/>
          <w:szCs w:val="20"/>
        </w:rPr>
        <w:t>means a</w:t>
      </w:r>
      <w:r>
        <w:rPr>
          <w:bCs/>
          <w:szCs w:val="20"/>
        </w:rPr>
        <w:t xml:space="preserve"> life company or registered NOHC</w:t>
      </w:r>
      <w:r w:rsidRPr="00FE6B9B">
        <w:rPr>
          <w:bCs/>
          <w:szCs w:val="20"/>
        </w:rPr>
        <w:t xml:space="preserve"> that is either:</w:t>
      </w:r>
    </w:p>
    <w:p w14:paraId="2DD5FF47" w14:textId="77777777" w:rsidR="00C26AD5" w:rsidRPr="00FE6B9B" w:rsidRDefault="00C26AD5" w:rsidP="00C26AD5">
      <w:pPr>
        <w:numPr>
          <w:ilvl w:val="0"/>
          <w:numId w:val="39"/>
        </w:numPr>
        <w:autoSpaceDE w:val="0"/>
        <w:autoSpaceDN w:val="0"/>
        <w:adjustRightInd w:val="0"/>
        <w:jc w:val="both"/>
        <w:rPr>
          <w:rFonts w:ascii="Arial" w:hAnsi="Arial" w:cs="Arial"/>
          <w:szCs w:val="20"/>
        </w:rPr>
      </w:pPr>
      <w:r w:rsidRPr="00FE6B9B">
        <w:rPr>
          <w:bCs/>
          <w:szCs w:val="20"/>
        </w:rPr>
        <w:t>not a</w:t>
      </w:r>
      <w:r>
        <w:rPr>
          <w:bCs/>
          <w:szCs w:val="20"/>
        </w:rPr>
        <w:t>n</w:t>
      </w:r>
      <w:r w:rsidRPr="00FE6B9B">
        <w:rPr>
          <w:bCs/>
          <w:szCs w:val="20"/>
        </w:rPr>
        <w:t xml:space="preserve"> </w:t>
      </w:r>
      <w:r w:rsidRPr="004C0C38">
        <w:rPr>
          <w:bCs/>
          <w:szCs w:val="20"/>
        </w:rPr>
        <w:t>Eligible Foreign Life Insurance Company</w:t>
      </w:r>
      <w:r>
        <w:rPr>
          <w:b/>
          <w:bCs/>
          <w:szCs w:val="20"/>
        </w:rPr>
        <w:t xml:space="preserve"> </w:t>
      </w:r>
      <w:r w:rsidRPr="00FE6B9B">
        <w:rPr>
          <w:szCs w:val="20"/>
        </w:rPr>
        <w:t>and has total assets in excess of AUD $10 billion; or</w:t>
      </w:r>
    </w:p>
    <w:p w14:paraId="6C4BA402" w14:textId="1DE74DBC" w:rsidR="00C26AD5" w:rsidRPr="00C26AD5" w:rsidRDefault="00C26AD5" w:rsidP="00C26AD5">
      <w:pPr>
        <w:numPr>
          <w:ilvl w:val="0"/>
          <w:numId w:val="39"/>
        </w:numPr>
        <w:autoSpaceDE w:val="0"/>
        <w:autoSpaceDN w:val="0"/>
        <w:adjustRightInd w:val="0"/>
        <w:jc w:val="both"/>
        <w:rPr>
          <w:b/>
          <w:bCs/>
        </w:rPr>
      </w:pPr>
      <w:r w:rsidRPr="00FE6B9B">
        <w:rPr>
          <w:szCs w:val="20"/>
        </w:rPr>
        <w:t>determined as such by APRA</w:t>
      </w:r>
      <w:r>
        <w:rPr>
          <w:szCs w:val="20"/>
        </w:rPr>
        <w:t>,</w:t>
      </w:r>
      <w:r w:rsidRPr="00FE6B9B">
        <w:rPr>
          <w:szCs w:val="20"/>
        </w:rPr>
        <w:t xml:space="preserve"> having regard to matters such as complexity in its operations or its membership of a group.</w:t>
      </w:r>
    </w:p>
    <w:p w14:paraId="37AD23F6" w14:textId="77777777" w:rsidR="00D252F5" w:rsidRDefault="00D252F5" w:rsidP="00D252F5">
      <w:pPr>
        <w:ind w:left="567"/>
        <w:jc w:val="both"/>
        <w:rPr>
          <w:bCs/>
        </w:rPr>
      </w:pPr>
      <w:r w:rsidRPr="00412FFA">
        <w:rPr>
          <w:b/>
          <w:bCs/>
        </w:rPr>
        <w:t xml:space="preserve">Single </w:t>
      </w:r>
      <w:r>
        <w:rPr>
          <w:b/>
          <w:bCs/>
        </w:rPr>
        <w:t>p</w:t>
      </w:r>
      <w:r w:rsidRPr="00412FFA">
        <w:rPr>
          <w:b/>
          <w:bCs/>
        </w:rPr>
        <w:t xml:space="preserve">remium </w:t>
      </w:r>
      <w:r>
        <w:rPr>
          <w:b/>
          <w:bCs/>
        </w:rPr>
        <w:t>b</w:t>
      </w:r>
      <w:r w:rsidRPr="00412FFA">
        <w:rPr>
          <w:b/>
          <w:bCs/>
        </w:rPr>
        <w:t>usiness</w:t>
      </w:r>
      <w:r>
        <w:rPr>
          <w:bCs/>
        </w:rPr>
        <w:t xml:space="preserve"> is l</w:t>
      </w:r>
      <w:r w:rsidRPr="00AF2224">
        <w:rPr>
          <w:bCs/>
        </w:rPr>
        <w:t>ife business</w:t>
      </w:r>
      <w:r w:rsidRPr="00DC34C6">
        <w:rPr>
          <w:bCs/>
        </w:rPr>
        <w:t xml:space="preserve"> which is not </w:t>
      </w:r>
      <w:r>
        <w:rPr>
          <w:bCs/>
        </w:rPr>
        <w:t>r</w:t>
      </w:r>
      <w:r w:rsidRPr="00F77898">
        <w:rPr>
          <w:bCs/>
        </w:rPr>
        <w:t xml:space="preserve">egular </w:t>
      </w:r>
      <w:r>
        <w:rPr>
          <w:bCs/>
        </w:rPr>
        <w:t>p</w:t>
      </w:r>
      <w:r w:rsidRPr="00F77898">
        <w:rPr>
          <w:bCs/>
        </w:rPr>
        <w:t xml:space="preserve">remium </w:t>
      </w:r>
      <w:r>
        <w:rPr>
          <w:bCs/>
        </w:rPr>
        <w:t>b</w:t>
      </w:r>
      <w:r w:rsidRPr="00F77898">
        <w:rPr>
          <w:bCs/>
        </w:rPr>
        <w:t>usiness</w:t>
      </w:r>
      <w:r w:rsidRPr="00DC34C6">
        <w:rPr>
          <w:bCs/>
        </w:rPr>
        <w:t>.</w:t>
      </w:r>
    </w:p>
    <w:p w14:paraId="0849751A" w14:textId="77777777" w:rsidR="00D252F5" w:rsidRPr="00DC3EF8" w:rsidRDefault="00D252F5" w:rsidP="00D252F5">
      <w:pPr>
        <w:ind w:left="567"/>
        <w:jc w:val="both"/>
        <w:rPr>
          <w:b/>
          <w:bCs/>
        </w:rPr>
      </w:pPr>
      <w:r w:rsidRPr="00DC3EF8">
        <w:rPr>
          <w:b/>
          <w:bCs/>
        </w:rPr>
        <w:lastRenderedPageBreak/>
        <w:t xml:space="preserve">Solvency standard </w:t>
      </w:r>
      <w:r w:rsidRPr="00DC3EF8">
        <w:rPr>
          <w:bCs/>
        </w:rPr>
        <w:t xml:space="preserve">refers to </w:t>
      </w:r>
      <w:r w:rsidRPr="00DC3EF8">
        <w:rPr>
          <w:bCs/>
          <w:i/>
        </w:rPr>
        <w:t xml:space="preserve">Prudential Standard LPS 100 Solvency Standard </w:t>
      </w:r>
      <w:r w:rsidRPr="00DC3EF8">
        <w:t xml:space="preserve">and falls within </w:t>
      </w:r>
      <w:r>
        <w:t>the meaning of prudential s</w:t>
      </w:r>
      <w:r w:rsidRPr="00DC3EF8">
        <w:t xml:space="preserve">tandards in relation to solvency </w:t>
      </w:r>
      <w:r>
        <w:t xml:space="preserve">referred to </w:t>
      </w:r>
      <w:r w:rsidRPr="00DC3EF8">
        <w:t>under the Act.</w:t>
      </w:r>
    </w:p>
    <w:p w14:paraId="051E2D08" w14:textId="77777777" w:rsidR="00D252F5" w:rsidRPr="0035084C" w:rsidRDefault="00D252F5" w:rsidP="00D252F5">
      <w:pPr>
        <w:ind w:left="567"/>
        <w:jc w:val="both"/>
        <w:rPr>
          <w:bCs/>
        </w:rPr>
      </w:pPr>
      <w:r>
        <w:rPr>
          <w:b/>
          <w:bCs/>
        </w:rPr>
        <w:t>Special purpose review</w:t>
      </w:r>
      <w:r w:rsidRPr="00023C20">
        <w:rPr>
          <w:bCs/>
        </w:rPr>
        <w:t xml:space="preserve"> </w:t>
      </w:r>
      <w:r>
        <w:rPr>
          <w:bCs/>
        </w:rPr>
        <w:t xml:space="preserve">is a review relating </w:t>
      </w:r>
      <w:r w:rsidRPr="00023C20">
        <w:rPr>
          <w:bCs/>
        </w:rPr>
        <w:t xml:space="preserve">to a life company’s operations, risk management or financial affairs </w:t>
      </w:r>
      <w:r>
        <w:rPr>
          <w:bCs/>
        </w:rPr>
        <w:t>and is conducted by an Appointed Actuary or another actuary when requested to do so in writing by APRA, under CPS 320.</w:t>
      </w:r>
    </w:p>
    <w:p w14:paraId="71B2436D" w14:textId="77777777" w:rsidR="00D252F5" w:rsidRDefault="00D252F5" w:rsidP="00D252F5">
      <w:pPr>
        <w:ind w:left="567"/>
        <w:jc w:val="both"/>
        <w:rPr>
          <w:bCs/>
        </w:rPr>
      </w:pPr>
      <w:r w:rsidRPr="00412FFA">
        <w:rPr>
          <w:b/>
          <w:bCs/>
        </w:rPr>
        <w:t>Special Purpose Vehicle</w:t>
      </w:r>
      <w:r>
        <w:rPr>
          <w:bCs/>
        </w:rPr>
        <w:t xml:space="preserve"> (SPV) refers to an entity that is not a related entity and whose activities are restricted to the acquisition and financing of specific assets.</w:t>
      </w:r>
    </w:p>
    <w:p w14:paraId="5ED19D4A" w14:textId="77777777" w:rsidR="00D252F5" w:rsidRDefault="00D252F5" w:rsidP="00D252F5">
      <w:pPr>
        <w:ind w:left="567"/>
        <w:jc w:val="both"/>
        <w:rPr>
          <w:bCs/>
        </w:rPr>
      </w:pPr>
      <w:r w:rsidRPr="00412FFA">
        <w:rPr>
          <w:b/>
          <w:bCs/>
        </w:rPr>
        <w:t xml:space="preserve">Specialist </w:t>
      </w:r>
      <w:r>
        <w:rPr>
          <w:b/>
          <w:bCs/>
        </w:rPr>
        <w:t>r</w:t>
      </w:r>
      <w:r w:rsidRPr="00412FFA">
        <w:rPr>
          <w:b/>
          <w:bCs/>
        </w:rPr>
        <w:t>einsurer</w:t>
      </w:r>
      <w:r>
        <w:rPr>
          <w:b/>
          <w:bCs/>
        </w:rPr>
        <w:t xml:space="preserve"> </w:t>
      </w:r>
      <w:r w:rsidRPr="00E1133D">
        <w:rPr>
          <w:bCs/>
        </w:rPr>
        <w:t>refers to a</w:t>
      </w:r>
      <w:r>
        <w:rPr>
          <w:b/>
          <w:bCs/>
        </w:rPr>
        <w:t xml:space="preserve"> </w:t>
      </w:r>
      <w:r>
        <w:rPr>
          <w:bCs/>
        </w:rPr>
        <w:t xml:space="preserve">statutory fund of a registered life company where all policies referable to the fund are reinsurance policies and none of the policies is owned by a related entity of the life company. </w:t>
      </w:r>
    </w:p>
    <w:p w14:paraId="2A8C00EB" w14:textId="77777777" w:rsidR="00D252F5" w:rsidRDefault="00D252F5" w:rsidP="00D252F5">
      <w:pPr>
        <w:ind w:left="567"/>
        <w:jc w:val="both"/>
        <w:rPr>
          <w:bCs/>
        </w:rPr>
      </w:pPr>
      <w:r w:rsidRPr="00412FFA">
        <w:rPr>
          <w:b/>
          <w:bCs/>
        </w:rPr>
        <w:t xml:space="preserve">Statutory </w:t>
      </w:r>
      <w:r>
        <w:rPr>
          <w:b/>
          <w:bCs/>
        </w:rPr>
        <w:t>a</w:t>
      </w:r>
      <w:r w:rsidRPr="00412FFA">
        <w:rPr>
          <w:b/>
          <w:bCs/>
        </w:rPr>
        <w:t>ccounts</w:t>
      </w:r>
      <w:r>
        <w:rPr>
          <w:b/>
          <w:bCs/>
        </w:rPr>
        <w:t xml:space="preserve"> </w:t>
      </w:r>
      <w:r w:rsidRPr="00E1133D">
        <w:rPr>
          <w:bCs/>
        </w:rPr>
        <w:t xml:space="preserve">means </w:t>
      </w:r>
      <w:r>
        <w:rPr>
          <w:bCs/>
        </w:rPr>
        <w:t>t</w:t>
      </w:r>
      <w:r w:rsidRPr="00772351">
        <w:rPr>
          <w:bCs/>
        </w:rPr>
        <w:t>he</w:t>
      </w:r>
      <w:r>
        <w:rPr>
          <w:bCs/>
        </w:rPr>
        <w:t xml:space="preserve"> </w:t>
      </w:r>
      <w:r w:rsidRPr="00772351">
        <w:rPr>
          <w:bCs/>
        </w:rPr>
        <w:t xml:space="preserve">reporting documents that </w:t>
      </w:r>
      <w:r>
        <w:rPr>
          <w:bCs/>
        </w:rPr>
        <w:t>a</w:t>
      </w:r>
      <w:r w:rsidRPr="00772351">
        <w:rPr>
          <w:bCs/>
        </w:rPr>
        <w:t xml:space="preserve"> </w:t>
      </w:r>
      <w:r>
        <w:rPr>
          <w:bCs/>
        </w:rPr>
        <w:t>life company</w:t>
      </w:r>
      <w:r w:rsidRPr="00772351">
        <w:rPr>
          <w:bCs/>
        </w:rPr>
        <w:t xml:space="preserve"> is required </w:t>
      </w:r>
      <w:r>
        <w:rPr>
          <w:bCs/>
        </w:rPr>
        <w:t xml:space="preserve">to lodge with APRA </w:t>
      </w:r>
      <w:r w:rsidRPr="00772351">
        <w:rPr>
          <w:bCs/>
        </w:rPr>
        <w:t>under</w:t>
      </w:r>
      <w:r>
        <w:rPr>
          <w:bCs/>
        </w:rPr>
        <w:t xml:space="preserve"> </w:t>
      </w:r>
      <w:r w:rsidRPr="00772351">
        <w:rPr>
          <w:bCs/>
        </w:rPr>
        <w:t xml:space="preserve">section 13 of </w:t>
      </w:r>
      <w:r>
        <w:rPr>
          <w:bCs/>
        </w:rPr>
        <w:t>Collection of Data Act</w:t>
      </w:r>
      <w:r w:rsidRPr="00772351">
        <w:rPr>
          <w:bCs/>
        </w:rPr>
        <w:t>.</w:t>
      </w:r>
    </w:p>
    <w:p w14:paraId="580BF376" w14:textId="77777777" w:rsidR="00D252F5" w:rsidRPr="001A2B09" w:rsidRDefault="00D252F5" w:rsidP="00D252F5">
      <w:pPr>
        <w:ind w:left="567"/>
        <w:jc w:val="both"/>
        <w:rPr>
          <w:bCs/>
        </w:rPr>
      </w:pPr>
      <w:r>
        <w:rPr>
          <w:b/>
          <w:bCs/>
        </w:rPr>
        <w:t>Statutory fund</w:t>
      </w:r>
      <w:r>
        <w:rPr>
          <w:bCs/>
        </w:rPr>
        <w:t xml:space="preserve"> means a statutory fund of a life company other than a friendly society, or an approved benefit fund of a friendly society.</w:t>
      </w:r>
    </w:p>
    <w:p w14:paraId="5D87E9A1" w14:textId="77777777" w:rsidR="00D252F5" w:rsidRPr="003155D6" w:rsidRDefault="00D252F5" w:rsidP="00D252F5">
      <w:pPr>
        <w:ind w:left="567"/>
        <w:jc w:val="both"/>
        <w:rPr>
          <w:bCs/>
        </w:rPr>
      </w:pPr>
      <w:r>
        <w:rPr>
          <w:b/>
          <w:bCs/>
        </w:rPr>
        <w:t xml:space="preserve">Stressed policy liabilities </w:t>
      </w:r>
      <w:r>
        <w:rPr>
          <w:bCs/>
        </w:rPr>
        <w:t>is as defined in LPS 115.</w:t>
      </w:r>
    </w:p>
    <w:p w14:paraId="421AB7AE" w14:textId="77777777" w:rsidR="00D252F5" w:rsidRDefault="00D252F5" w:rsidP="00D252F5">
      <w:pPr>
        <w:ind w:left="567"/>
        <w:jc w:val="both"/>
        <w:rPr>
          <w:bCs/>
        </w:rPr>
      </w:pPr>
      <w:r>
        <w:rPr>
          <w:b/>
          <w:bCs/>
        </w:rPr>
        <w:t xml:space="preserve">Superannuation business </w:t>
      </w:r>
      <w:r>
        <w:rPr>
          <w:bCs/>
        </w:rPr>
        <w:t>is as defined in the Act.</w:t>
      </w:r>
    </w:p>
    <w:p w14:paraId="16056129" w14:textId="77777777" w:rsidR="00D252F5" w:rsidRPr="00813B88" w:rsidRDefault="00D252F5" w:rsidP="00D252F5">
      <w:pPr>
        <w:ind w:left="567"/>
        <w:jc w:val="both"/>
        <w:rPr>
          <w:i/>
        </w:rPr>
      </w:pPr>
      <w:r w:rsidRPr="001E11F9">
        <w:rPr>
          <w:b/>
        </w:rPr>
        <w:t xml:space="preserve">Supervisory adjustment </w:t>
      </w:r>
      <w:r w:rsidRPr="00813B88">
        <w:t>is as defined under LPS 110</w:t>
      </w:r>
      <w:r w:rsidRPr="00813B88">
        <w:rPr>
          <w:i/>
        </w:rPr>
        <w:t>.</w:t>
      </w:r>
    </w:p>
    <w:p w14:paraId="676D184A" w14:textId="77777777" w:rsidR="00D252F5" w:rsidRPr="0082540E" w:rsidRDefault="00D252F5" w:rsidP="00D252F5">
      <w:pPr>
        <w:ind w:left="567"/>
        <w:jc w:val="both"/>
        <w:rPr>
          <w:bCs/>
        </w:rPr>
      </w:pPr>
      <w:r>
        <w:rPr>
          <w:b/>
          <w:bCs/>
        </w:rPr>
        <w:t>Term certain annuity</w:t>
      </w:r>
      <w:r>
        <w:rPr>
          <w:bCs/>
        </w:rPr>
        <w:t xml:space="preserve"> is an annuity that is not unbundled investment business and is not a variable annuity, where the next annuity payment is due within 12 months and payments continue for a fixed term that is not dependent on the survival of the life insured.</w:t>
      </w:r>
    </w:p>
    <w:p w14:paraId="5F49CA23" w14:textId="77777777" w:rsidR="00D252F5" w:rsidRPr="00C40BF6" w:rsidRDefault="00D252F5" w:rsidP="00D252F5">
      <w:pPr>
        <w:ind w:left="567"/>
        <w:jc w:val="both"/>
        <w:rPr>
          <w:bCs/>
        </w:rPr>
      </w:pPr>
      <w:r w:rsidRPr="00C40BF6">
        <w:rPr>
          <w:b/>
          <w:bCs/>
        </w:rPr>
        <w:t xml:space="preserve">Termination value </w:t>
      </w:r>
      <w:r w:rsidRPr="00C40BF6">
        <w:rPr>
          <w:bCs/>
        </w:rPr>
        <w:t xml:space="preserve">is </w:t>
      </w:r>
      <w:r>
        <w:rPr>
          <w:bCs/>
        </w:rPr>
        <w:t xml:space="preserve">as </w:t>
      </w:r>
      <w:r w:rsidRPr="00C40BF6">
        <w:rPr>
          <w:bCs/>
        </w:rPr>
        <w:t xml:space="preserve">defined in LPS </w:t>
      </w:r>
      <w:r>
        <w:rPr>
          <w:bCs/>
        </w:rPr>
        <w:t>360</w:t>
      </w:r>
      <w:r w:rsidRPr="00C40BF6">
        <w:rPr>
          <w:bCs/>
        </w:rPr>
        <w:t>.</w:t>
      </w:r>
    </w:p>
    <w:p w14:paraId="2CDC9933" w14:textId="77777777" w:rsidR="00D252F5" w:rsidRPr="00C40BF6" w:rsidRDefault="00D252F5" w:rsidP="00D252F5">
      <w:pPr>
        <w:ind w:left="567"/>
        <w:jc w:val="both"/>
        <w:rPr>
          <w:b/>
          <w:i/>
        </w:rPr>
      </w:pPr>
      <w:r w:rsidRPr="00F77898">
        <w:rPr>
          <w:b/>
        </w:rPr>
        <w:t xml:space="preserve">Tier 1 </w:t>
      </w:r>
      <w:r>
        <w:rPr>
          <w:b/>
        </w:rPr>
        <w:t>C</w:t>
      </w:r>
      <w:r w:rsidRPr="00F77898">
        <w:rPr>
          <w:b/>
        </w:rPr>
        <w:t xml:space="preserve">apital </w:t>
      </w:r>
      <w:r w:rsidRPr="00F77898">
        <w:t>is as</w:t>
      </w:r>
      <w:r w:rsidRPr="00F77898">
        <w:rPr>
          <w:b/>
        </w:rPr>
        <w:t xml:space="preserve"> </w:t>
      </w:r>
      <w:r w:rsidRPr="00F77898">
        <w:t xml:space="preserve">defined </w:t>
      </w:r>
      <w:r>
        <w:t>in</w:t>
      </w:r>
      <w:r w:rsidRPr="00F77898">
        <w:t xml:space="preserve"> </w:t>
      </w:r>
      <w:r>
        <w:t>L</w:t>
      </w:r>
      <w:r w:rsidRPr="00F77898">
        <w:t>PS 112</w:t>
      </w:r>
      <w:r w:rsidRPr="00F77898">
        <w:rPr>
          <w:i/>
        </w:rPr>
        <w:t>.</w:t>
      </w:r>
    </w:p>
    <w:p w14:paraId="25EE165E" w14:textId="77777777" w:rsidR="00D252F5" w:rsidRPr="00C40BF6" w:rsidRDefault="00D252F5" w:rsidP="00D252F5">
      <w:pPr>
        <w:ind w:left="567"/>
        <w:jc w:val="both"/>
        <w:rPr>
          <w:b/>
          <w:bCs/>
        </w:rPr>
      </w:pPr>
      <w:r w:rsidRPr="00F77898">
        <w:rPr>
          <w:b/>
        </w:rPr>
        <w:t xml:space="preserve">Tier 2 </w:t>
      </w:r>
      <w:r>
        <w:rPr>
          <w:b/>
        </w:rPr>
        <w:t>C</w:t>
      </w:r>
      <w:r w:rsidRPr="00F77898">
        <w:rPr>
          <w:b/>
        </w:rPr>
        <w:t xml:space="preserve">apital </w:t>
      </w:r>
      <w:r w:rsidRPr="00F77898">
        <w:t>is as</w:t>
      </w:r>
      <w:r w:rsidRPr="00F77898">
        <w:rPr>
          <w:b/>
        </w:rPr>
        <w:t xml:space="preserve"> </w:t>
      </w:r>
      <w:r w:rsidRPr="00F77898">
        <w:t xml:space="preserve">defined </w:t>
      </w:r>
      <w:r>
        <w:t>in</w:t>
      </w:r>
      <w:r w:rsidRPr="00F77898">
        <w:t xml:space="preserve"> </w:t>
      </w:r>
      <w:r>
        <w:t>L</w:t>
      </w:r>
      <w:r w:rsidRPr="00F77898">
        <w:t>PS 112</w:t>
      </w:r>
      <w:r w:rsidRPr="00F77898">
        <w:rPr>
          <w:i/>
        </w:rPr>
        <w:t>.</w:t>
      </w:r>
    </w:p>
    <w:p w14:paraId="39DCC9A6" w14:textId="77777777" w:rsidR="00D252F5" w:rsidRDefault="00D252F5" w:rsidP="00D252F5">
      <w:pPr>
        <w:ind w:left="567"/>
        <w:jc w:val="both"/>
        <w:rPr>
          <w:b/>
          <w:bCs/>
        </w:rPr>
      </w:pPr>
      <w:r w:rsidRPr="00C40BF6">
        <w:rPr>
          <w:b/>
          <w:bCs/>
        </w:rPr>
        <w:t>Traditional business</w:t>
      </w:r>
      <w:r w:rsidRPr="00C40BF6">
        <w:rPr>
          <w:bCs/>
        </w:rPr>
        <w:t xml:space="preserve"> </w:t>
      </w:r>
      <w:r w:rsidRPr="00424E77">
        <w:rPr>
          <w:color w:val="000000"/>
        </w:rPr>
        <w:t>refers to whole of life and endowment policies with either a single premium or with regular premiums that are level throughout the term for which premiums are payable. Regular premiums are level if each premium is the same, or if the premium can only be increased due to indexation of the sum insured or policy fee, or because the life company increases its premium rates. Traditional business excludes funeral bond business, unbundled investment business, fixed term/rate business and annuity business</w:t>
      </w:r>
      <w:r w:rsidRPr="00DC34C6">
        <w:rPr>
          <w:bCs/>
        </w:rPr>
        <w:t>.</w:t>
      </w:r>
      <w:r w:rsidRPr="00DC34C6">
        <w:t xml:space="preserve"> </w:t>
      </w:r>
    </w:p>
    <w:p w14:paraId="6630B34E" w14:textId="77777777" w:rsidR="00D252F5" w:rsidRDefault="00D252F5" w:rsidP="00D252F5">
      <w:pPr>
        <w:ind w:left="567"/>
        <w:jc w:val="both"/>
        <w:rPr>
          <w:bCs/>
        </w:rPr>
      </w:pPr>
      <w:r w:rsidRPr="00412FFA">
        <w:rPr>
          <w:b/>
          <w:bCs/>
        </w:rPr>
        <w:t xml:space="preserve">Unbundled </w:t>
      </w:r>
      <w:r>
        <w:rPr>
          <w:b/>
          <w:bCs/>
        </w:rPr>
        <w:t>i</w:t>
      </w:r>
      <w:r w:rsidRPr="00412FFA">
        <w:rPr>
          <w:b/>
          <w:bCs/>
        </w:rPr>
        <w:t xml:space="preserve">nvestment </w:t>
      </w:r>
      <w:r>
        <w:rPr>
          <w:b/>
          <w:bCs/>
        </w:rPr>
        <w:t>b</w:t>
      </w:r>
      <w:r w:rsidRPr="00412FFA">
        <w:rPr>
          <w:b/>
          <w:bCs/>
        </w:rPr>
        <w:t>usiness</w:t>
      </w:r>
      <w:r>
        <w:rPr>
          <w:bCs/>
        </w:rPr>
        <w:t xml:space="preserve"> refers to </w:t>
      </w:r>
      <w:r>
        <w:rPr>
          <w:bCs/>
          <w:szCs w:val="16"/>
        </w:rPr>
        <w:t>l</w:t>
      </w:r>
      <w:r w:rsidRPr="00F77898">
        <w:rPr>
          <w:bCs/>
          <w:szCs w:val="16"/>
        </w:rPr>
        <w:t>ife business</w:t>
      </w:r>
      <w:r w:rsidRPr="00DC34C6">
        <w:rPr>
          <w:bCs/>
        </w:rPr>
        <w:t xml:space="preserve"> </w:t>
      </w:r>
      <w:r>
        <w:rPr>
          <w:bCs/>
        </w:rPr>
        <w:t>that is not r</w:t>
      </w:r>
      <w:r w:rsidRPr="00F77898">
        <w:rPr>
          <w:bCs/>
        </w:rPr>
        <w:t>isk business</w:t>
      </w:r>
      <w:r w:rsidRPr="00DC34C6">
        <w:rPr>
          <w:bCs/>
        </w:rPr>
        <w:t>, where th</w:t>
      </w:r>
      <w:r>
        <w:rPr>
          <w:bCs/>
        </w:rPr>
        <w:t>e costs of the investment</w:t>
      </w:r>
      <w:r w:rsidRPr="00DC34C6">
        <w:rPr>
          <w:bCs/>
        </w:rPr>
        <w:t xml:space="preserve"> and the other service</w:t>
      </w:r>
      <w:r>
        <w:rPr>
          <w:bCs/>
        </w:rPr>
        <w:t>s</w:t>
      </w:r>
      <w:r w:rsidRPr="00DC34C6">
        <w:rPr>
          <w:bCs/>
        </w:rPr>
        <w:t xml:space="preserve"> provided under the policy </w:t>
      </w:r>
      <w:r>
        <w:rPr>
          <w:bCs/>
        </w:rPr>
        <w:t>are</w:t>
      </w:r>
      <w:r w:rsidRPr="00DC34C6">
        <w:rPr>
          <w:bCs/>
        </w:rPr>
        <w:t xml:space="preserve"> separately</w:t>
      </w:r>
      <w:r>
        <w:rPr>
          <w:bCs/>
        </w:rPr>
        <w:t xml:space="preserve"> </w:t>
      </w:r>
      <w:r w:rsidRPr="00DC34C6">
        <w:rPr>
          <w:bCs/>
        </w:rPr>
        <w:t>disclosed</w:t>
      </w:r>
      <w:r>
        <w:rPr>
          <w:bCs/>
        </w:rPr>
        <w:t xml:space="preserve"> to policy owners</w:t>
      </w:r>
      <w:r w:rsidRPr="00DC34C6">
        <w:rPr>
          <w:bCs/>
        </w:rPr>
        <w:t xml:space="preserve">. </w:t>
      </w:r>
      <w:r>
        <w:rPr>
          <w:bCs/>
        </w:rPr>
        <w:t>U</w:t>
      </w:r>
      <w:r w:rsidRPr="00F77898">
        <w:rPr>
          <w:bCs/>
        </w:rPr>
        <w:t xml:space="preserve">nbundled </w:t>
      </w:r>
      <w:r>
        <w:rPr>
          <w:bCs/>
        </w:rPr>
        <w:t>i</w:t>
      </w:r>
      <w:r w:rsidRPr="00F77898">
        <w:rPr>
          <w:bCs/>
        </w:rPr>
        <w:t xml:space="preserve">nvestment </w:t>
      </w:r>
      <w:r>
        <w:rPr>
          <w:bCs/>
        </w:rPr>
        <w:t>b</w:t>
      </w:r>
      <w:r w:rsidRPr="00F77898">
        <w:rPr>
          <w:bCs/>
        </w:rPr>
        <w:t>usiness</w:t>
      </w:r>
      <w:r w:rsidRPr="00DC34C6">
        <w:rPr>
          <w:bCs/>
        </w:rPr>
        <w:t xml:space="preserve"> </w:t>
      </w:r>
      <w:r>
        <w:rPr>
          <w:bCs/>
        </w:rPr>
        <w:t>excludes variable annuities</w:t>
      </w:r>
      <w:r w:rsidRPr="00DC34C6">
        <w:rPr>
          <w:bCs/>
        </w:rPr>
        <w:t xml:space="preserve"> </w:t>
      </w:r>
      <w:r>
        <w:rPr>
          <w:bCs/>
        </w:rPr>
        <w:t xml:space="preserve">and funeral bond business, but </w:t>
      </w:r>
      <w:r w:rsidRPr="00DC34C6">
        <w:rPr>
          <w:bCs/>
        </w:rPr>
        <w:t>includes</w:t>
      </w:r>
      <w:r>
        <w:rPr>
          <w:bCs/>
        </w:rPr>
        <w:t xml:space="preserve"> all other types of </w:t>
      </w:r>
      <w:r w:rsidRPr="00DC34C6">
        <w:rPr>
          <w:bCs/>
        </w:rPr>
        <w:t>investment account</w:t>
      </w:r>
      <w:r>
        <w:rPr>
          <w:bCs/>
        </w:rPr>
        <w:t xml:space="preserve"> business and</w:t>
      </w:r>
      <w:r w:rsidRPr="00DC34C6">
        <w:rPr>
          <w:bCs/>
        </w:rPr>
        <w:t xml:space="preserve"> investment-linked business.</w:t>
      </w:r>
      <w:r>
        <w:rPr>
          <w:bCs/>
        </w:rPr>
        <w:t xml:space="preserve"> </w:t>
      </w:r>
    </w:p>
    <w:p w14:paraId="755B948B" w14:textId="77777777" w:rsidR="00D252F5" w:rsidRPr="00222EB5" w:rsidRDefault="00D252F5" w:rsidP="00D252F5">
      <w:pPr>
        <w:ind w:left="567"/>
        <w:jc w:val="both"/>
        <w:rPr>
          <w:bCs/>
        </w:rPr>
      </w:pPr>
      <w:r w:rsidRPr="00377F90">
        <w:rPr>
          <w:b/>
          <w:bCs/>
        </w:rPr>
        <w:lastRenderedPageBreak/>
        <w:t>Unpaid</w:t>
      </w:r>
      <w:r>
        <w:rPr>
          <w:b/>
          <w:bCs/>
        </w:rPr>
        <w:t xml:space="preserve"> premium </w:t>
      </w:r>
      <w:r w:rsidRPr="00222EB5">
        <w:rPr>
          <w:bCs/>
        </w:rPr>
        <w:t>means</w:t>
      </w:r>
      <w:r>
        <w:rPr>
          <w:b/>
          <w:bCs/>
        </w:rPr>
        <w:t xml:space="preserve"> </w:t>
      </w:r>
      <w:r w:rsidRPr="00222EB5">
        <w:rPr>
          <w:bCs/>
        </w:rPr>
        <w:t>the value of</w:t>
      </w:r>
      <w:r>
        <w:rPr>
          <w:b/>
          <w:bCs/>
        </w:rPr>
        <w:t xml:space="preserve"> </w:t>
      </w:r>
      <w:r>
        <w:rPr>
          <w:bCs/>
        </w:rPr>
        <w:t xml:space="preserve">premiums due but not received. </w:t>
      </w:r>
      <w:r w:rsidRPr="009123AF">
        <w:rPr>
          <w:bCs/>
        </w:rPr>
        <w:t xml:space="preserve">Premiums </w:t>
      </w:r>
      <w:r>
        <w:rPr>
          <w:bCs/>
        </w:rPr>
        <w:t>are</w:t>
      </w:r>
      <w:r w:rsidRPr="009123AF">
        <w:rPr>
          <w:bCs/>
        </w:rPr>
        <w:t xml:space="preserve"> defined as gross of commissions and </w:t>
      </w:r>
      <w:r w:rsidRPr="00B02991">
        <w:rPr>
          <w:bCs/>
        </w:rPr>
        <w:t>before profit share rebates (for example included in group insurance and reinsurance contracts issued). Premiums must also be inclusive of stamp duty, policy fees, loadings and discounts.</w:t>
      </w:r>
    </w:p>
    <w:p w14:paraId="555E9733" w14:textId="4A7A8963" w:rsidR="00D252F5" w:rsidRPr="00DC34C6" w:rsidRDefault="00D252F5" w:rsidP="00D252F5">
      <w:pPr>
        <w:ind w:left="567"/>
        <w:jc w:val="both"/>
        <w:rPr>
          <w:bCs/>
        </w:rPr>
      </w:pPr>
      <w:r w:rsidRPr="00412FFA">
        <w:rPr>
          <w:b/>
          <w:bCs/>
        </w:rPr>
        <w:t xml:space="preserve">Value of </w:t>
      </w:r>
      <w:r>
        <w:rPr>
          <w:b/>
          <w:bCs/>
        </w:rPr>
        <w:t>s</w:t>
      </w:r>
      <w:r w:rsidRPr="00412FFA">
        <w:rPr>
          <w:b/>
          <w:bCs/>
        </w:rPr>
        <w:t xml:space="preserve">upporting </w:t>
      </w:r>
      <w:r>
        <w:rPr>
          <w:b/>
          <w:bCs/>
        </w:rPr>
        <w:t>a</w:t>
      </w:r>
      <w:r w:rsidRPr="00412FFA">
        <w:rPr>
          <w:b/>
          <w:bCs/>
        </w:rPr>
        <w:t>ssets</w:t>
      </w:r>
      <w:r>
        <w:rPr>
          <w:bCs/>
        </w:rPr>
        <w:t xml:space="preserve"> means t</w:t>
      </w:r>
      <w:r w:rsidRPr="00DC34C6">
        <w:rPr>
          <w:bCs/>
        </w:rPr>
        <w:t>he value of assets determined in</w:t>
      </w:r>
      <w:r>
        <w:rPr>
          <w:bCs/>
        </w:rPr>
        <w:t xml:space="preserve"> </w:t>
      </w:r>
      <w:r w:rsidRPr="00DC34C6">
        <w:rPr>
          <w:bCs/>
        </w:rPr>
        <w:t xml:space="preserve">accordance with </w:t>
      </w:r>
      <w:r>
        <w:rPr>
          <w:bCs/>
        </w:rPr>
        <w:t>Part C of LPS 340</w:t>
      </w:r>
      <w:r w:rsidRPr="00DC34C6">
        <w:rPr>
          <w:bCs/>
        </w:rPr>
        <w:t xml:space="preserve"> as being available to</w:t>
      </w:r>
      <w:r>
        <w:rPr>
          <w:bCs/>
        </w:rPr>
        <w:t xml:space="preserve"> </w:t>
      </w:r>
      <w:r w:rsidRPr="00DC34C6">
        <w:rPr>
          <w:bCs/>
        </w:rPr>
        <w:t xml:space="preserve">support </w:t>
      </w:r>
      <w:r>
        <w:rPr>
          <w:bCs/>
        </w:rPr>
        <w:t>life company’s participating business</w:t>
      </w:r>
      <w:r w:rsidRPr="00DC34C6">
        <w:rPr>
          <w:bCs/>
        </w:rPr>
        <w:t>.</w:t>
      </w:r>
    </w:p>
    <w:p w14:paraId="28DB5F5D" w14:textId="77777777" w:rsidR="00D252F5" w:rsidRPr="004D1A36" w:rsidRDefault="00D252F5" w:rsidP="00D252F5">
      <w:pPr>
        <w:ind w:left="567"/>
        <w:jc w:val="both"/>
        <w:rPr>
          <w:bCs/>
        </w:rPr>
      </w:pPr>
      <w:r>
        <w:rPr>
          <w:b/>
          <w:bCs/>
        </w:rPr>
        <w:t xml:space="preserve">Variable annuity </w:t>
      </w:r>
      <w:r>
        <w:rPr>
          <w:bCs/>
        </w:rPr>
        <w:t>means a policy with benefits calculated by reference to the value of the units allocated to the policy, but the benefits may exceed the value of those units in specified circumstances.</w:t>
      </w:r>
    </w:p>
    <w:p w14:paraId="02E6327A" w14:textId="77777777" w:rsidR="00D252F5" w:rsidRDefault="00D252F5" w:rsidP="00D252F5">
      <w:pPr>
        <w:ind w:left="567"/>
        <w:jc w:val="both"/>
        <w:rPr>
          <w:bCs/>
        </w:rPr>
      </w:pPr>
      <w:bookmarkStart w:id="19" w:name="_Hlk104881897"/>
      <w:r w:rsidRPr="008734A2">
        <w:rPr>
          <w:b/>
          <w:bCs/>
        </w:rPr>
        <w:t xml:space="preserve">Wholesale </w:t>
      </w:r>
      <w:r>
        <w:rPr>
          <w:b/>
          <w:bCs/>
        </w:rPr>
        <w:t>b</w:t>
      </w:r>
      <w:r w:rsidRPr="008734A2">
        <w:rPr>
          <w:b/>
          <w:bCs/>
        </w:rPr>
        <w:t>usiness</w:t>
      </w:r>
      <w:r>
        <w:rPr>
          <w:bCs/>
        </w:rPr>
        <w:t xml:space="preserve"> means </w:t>
      </w:r>
      <w:r>
        <w:rPr>
          <w:bCs/>
          <w:szCs w:val="16"/>
        </w:rPr>
        <w:t>s</w:t>
      </w:r>
      <w:r w:rsidRPr="00F77898">
        <w:rPr>
          <w:bCs/>
          <w:szCs w:val="16"/>
        </w:rPr>
        <w:t>uperannuation business</w:t>
      </w:r>
      <w:r w:rsidRPr="00DC34C6">
        <w:rPr>
          <w:bCs/>
        </w:rPr>
        <w:t xml:space="preserve"> where the effective</w:t>
      </w:r>
      <w:r>
        <w:rPr>
          <w:bCs/>
        </w:rPr>
        <w:t xml:space="preserve"> </w:t>
      </w:r>
      <w:r w:rsidRPr="00DC34C6">
        <w:rPr>
          <w:bCs/>
        </w:rPr>
        <w:t>purchasing decision is made by</w:t>
      </w:r>
      <w:r w:rsidRPr="00AF2224">
        <w:t xml:space="preserve"> </w:t>
      </w:r>
      <w:r w:rsidRPr="00AF2224">
        <w:rPr>
          <w:bCs/>
        </w:rPr>
        <w:t>a trustee or company except that</w:t>
      </w:r>
      <w:r>
        <w:rPr>
          <w:bCs/>
        </w:rPr>
        <w:t xml:space="preserve"> </w:t>
      </w:r>
      <w:r w:rsidRPr="00AF2224">
        <w:rPr>
          <w:bCs/>
        </w:rPr>
        <w:t xml:space="preserve">where the number of members has always been less than </w:t>
      </w:r>
      <w:r>
        <w:rPr>
          <w:bCs/>
        </w:rPr>
        <w:t>five</w:t>
      </w:r>
      <w:r w:rsidRPr="00AF2224">
        <w:rPr>
          <w:bCs/>
        </w:rPr>
        <w:t xml:space="preserve"> it is</w:t>
      </w:r>
      <w:r>
        <w:rPr>
          <w:bCs/>
        </w:rPr>
        <w:t xml:space="preserve"> </w:t>
      </w:r>
      <w:r w:rsidRPr="00AF2224">
        <w:rPr>
          <w:bCs/>
        </w:rPr>
        <w:t>retail business.</w:t>
      </w:r>
    </w:p>
    <w:p w14:paraId="505D314B" w14:textId="77777777" w:rsidR="00A76C76" w:rsidRPr="008470BD" w:rsidRDefault="00A76C76" w:rsidP="00A76C76">
      <w:pPr>
        <w:pStyle w:val="Heading1"/>
      </w:pPr>
      <w:bookmarkStart w:id="20" w:name="_Toc109650602"/>
      <w:bookmarkEnd w:id="19"/>
      <w:r>
        <w:t>Adjustments and exclusions</w:t>
      </w:r>
      <w:bookmarkEnd w:id="20"/>
    </w:p>
    <w:p w14:paraId="2238DF24" w14:textId="77777777" w:rsidR="00A76C76" w:rsidRPr="003D5385" w:rsidRDefault="00A76C76" w:rsidP="00A76C76">
      <w:pPr>
        <w:pStyle w:val="BodyText1"/>
        <w:rPr>
          <w:snapToGrid w:val="0"/>
        </w:rPr>
      </w:pPr>
      <w:r w:rsidRPr="003D5385">
        <w:rPr>
          <w:snapToGrid w:val="0"/>
        </w:rPr>
        <w:t>APRA may, by notice in writing to a life company, adjust or exclude a specific requirement in this Prudential Standard in relation to that life company.</w:t>
      </w:r>
    </w:p>
    <w:p w14:paraId="7AD53A32" w14:textId="1F5D89E9" w:rsidR="00A76C76" w:rsidRPr="00B8272D" w:rsidRDefault="006F3C9B" w:rsidP="00A76C76">
      <w:pPr>
        <w:pStyle w:val="Heading1"/>
      </w:pPr>
      <w:bookmarkStart w:id="21" w:name="_Toc109650603"/>
      <w:bookmarkStart w:id="22" w:name="_Hlk83665328"/>
      <w:r>
        <w:t>Previous exercise of discretion</w:t>
      </w:r>
      <w:bookmarkEnd w:id="21"/>
    </w:p>
    <w:p w14:paraId="6126935D" w14:textId="089FEE3D" w:rsidR="00A76C76" w:rsidRDefault="006F3C9B" w:rsidP="00A76C76">
      <w:pPr>
        <w:pStyle w:val="BodyText1"/>
        <w:rPr>
          <w:snapToGrid w:val="0"/>
        </w:rPr>
      </w:pPr>
      <w:r>
        <w:rPr>
          <w:snapToGrid w:val="0"/>
        </w:rPr>
        <w:t xml:space="preserve">A life company must contact APRA if it seeks to place reliance, for the purposes of complying with this Prudential Standard, on a previous exemption or other exercise of discretion </w:t>
      </w:r>
      <w:r w:rsidR="00172EAD">
        <w:rPr>
          <w:snapToGrid w:val="0"/>
        </w:rPr>
        <w:t xml:space="preserve">made </w:t>
      </w:r>
      <w:r>
        <w:rPr>
          <w:snapToGrid w:val="0"/>
        </w:rPr>
        <w:t>by APRA under a previous version of this Prudential Standard.</w:t>
      </w:r>
    </w:p>
    <w:bookmarkEnd w:id="8"/>
    <w:bookmarkEnd w:id="9"/>
    <w:bookmarkEnd w:id="22"/>
    <w:p w14:paraId="58F5F2A7" w14:textId="4F1E146B" w:rsidR="0038413F" w:rsidRDefault="00E96B6D" w:rsidP="00A76C76">
      <w:pPr>
        <w:pStyle w:val="BodyText1"/>
        <w:numPr>
          <w:ilvl w:val="0"/>
          <w:numId w:val="0"/>
        </w:numPr>
      </w:pPr>
      <w:r>
        <w:t xml:space="preserve"> </w:t>
      </w:r>
    </w:p>
    <w:p w14:paraId="6E6ACC3A"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1229CBED" w14:textId="50F1FC8F" w:rsidR="0038413F" w:rsidRPr="001F6B8D" w:rsidRDefault="00E16DD9" w:rsidP="001F6B8D">
      <w:pPr>
        <w:pStyle w:val="Heading2"/>
        <w:tabs>
          <w:tab w:val="left" w:pos="2910"/>
        </w:tabs>
      </w:pPr>
      <w:bookmarkStart w:id="23" w:name="_Toc109650604"/>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996C67">
        <w:rPr>
          <w:rStyle w:val="Attachmentfieldtext"/>
          <w:noProof/>
        </w:rPr>
        <w:t>A</w:t>
      </w:r>
      <w:r w:rsidR="00B766FA" w:rsidRPr="001F6B8D">
        <w:rPr>
          <w:rStyle w:val="Attachmentfieldtext"/>
        </w:rPr>
        <w:fldChar w:fldCharType="end"/>
      </w:r>
      <w:r w:rsidR="001F6B8D" w:rsidRPr="001F6B8D">
        <w:t xml:space="preserve"> - </w:t>
      </w:r>
      <w:r w:rsidR="00B172C7">
        <w:t>Counterparty grades</w:t>
      </w:r>
      <w:bookmarkEnd w:id="23"/>
    </w:p>
    <w:p w14:paraId="725E5067" w14:textId="77777777" w:rsidR="0080767F" w:rsidRPr="00385ABA" w:rsidRDefault="0080767F" w:rsidP="0080767F">
      <w:pPr>
        <w:pStyle w:val="BodyText1"/>
        <w:numPr>
          <w:ilvl w:val="0"/>
          <w:numId w:val="37"/>
        </w:numPr>
      </w:pPr>
      <w:bookmarkStart w:id="24" w:name="_Ref324866151"/>
      <w:r w:rsidRPr="00385ABA">
        <w:t>Assets subject to credit risk must be assigned a counterparty grade using one of the following methods:</w:t>
      </w:r>
      <w:bookmarkEnd w:id="24"/>
    </w:p>
    <w:p w14:paraId="273F6266" w14:textId="5FD7FAD8" w:rsidR="0080767F" w:rsidRPr="0080767F" w:rsidRDefault="0080767F" w:rsidP="0080767F">
      <w:pPr>
        <w:pStyle w:val="BodyText2"/>
      </w:pPr>
      <w:bookmarkStart w:id="25" w:name="_Ref335129565"/>
      <w:r w:rsidRPr="0080767F">
        <w:t xml:space="preserve">for publicly rated assets refer to paragraphs </w:t>
      </w:r>
      <w:r w:rsidRPr="0080767F">
        <w:fldChar w:fldCharType="begin"/>
      </w:r>
      <w:r w:rsidRPr="0080767F">
        <w:instrText xml:space="preserve"> REF _Ref324865914 \r \h  \* MERGEFORMAT </w:instrText>
      </w:r>
      <w:r w:rsidRPr="0080767F">
        <w:fldChar w:fldCharType="separate"/>
      </w:r>
      <w:r w:rsidR="007944F4">
        <w:t>2</w:t>
      </w:r>
      <w:r w:rsidRPr="0080767F">
        <w:fldChar w:fldCharType="end"/>
      </w:r>
      <w:r w:rsidRPr="0080767F">
        <w:t xml:space="preserve"> and </w:t>
      </w:r>
      <w:r w:rsidRPr="0080767F">
        <w:fldChar w:fldCharType="begin"/>
      </w:r>
      <w:r w:rsidRPr="0080767F">
        <w:instrText xml:space="preserve"> REF _Ref335129501 \r \h  \* MERGEFORMAT </w:instrText>
      </w:r>
      <w:r w:rsidRPr="0080767F">
        <w:fldChar w:fldCharType="separate"/>
      </w:r>
      <w:r w:rsidR="007944F4">
        <w:t>3</w:t>
      </w:r>
      <w:r w:rsidRPr="0080767F">
        <w:fldChar w:fldCharType="end"/>
      </w:r>
      <w:r w:rsidRPr="0080767F">
        <w:t xml:space="preserve"> of this Attachment; </w:t>
      </w:r>
      <w:bookmarkEnd w:id="25"/>
    </w:p>
    <w:p w14:paraId="45AEBAF2" w14:textId="667481B5" w:rsidR="0080767F" w:rsidRPr="0080767F" w:rsidRDefault="0080767F" w:rsidP="0080767F">
      <w:pPr>
        <w:pStyle w:val="BodyText2"/>
      </w:pPr>
      <w:bookmarkStart w:id="26" w:name="_Ref324866154"/>
      <w:bookmarkStart w:id="27" w:name="_Ref335129571"/>
      <w:r w:rsidRPr="0080767F">
        <w:t xml:space="preserve">for non-publicly rated assets secured by a residential mortgage refer to paragraphs </w:t>
      </w:r>
      <w:r w:rsidRPr="0080767F">
        <w:fldChar w:fldCharType="begin"/>
      </w:r>
      <w:r w:rsidRPr="0080767F">
        <w:instrText xml:space="preserve"> REF _Ref324865949 \r \h  \* MERGEFORMAT </w:instrText>
      </w:r>
      <w:r w:rsidRPr="0080767F">
        <w:fldChar w:fldCharType="separate"/>
      </w:r>
      <w:r w:rsidR="007944F4">
        <w:t>7</w:t>
      </w:r>
      <w:r w:rsidRPr="0080767F">
        <w:fldChar w:fldCharType="end"/>
      </w:r>
      <w:r w:rsidRPr="0080767F">
        <w:t xml:space="preserve"> to </w:t>
      </w:r>
      <w:r w:rsidRPr="0080767F">
        <w:fldChar w:fldCharType="begin"/>
      </w:r>
      <w:r w:rsidRPr="0080767F">
        <w:instrText xml:space="preserve"> REF _Ref334606470 \r \h  \* MERGEFORMAT </w:instrText>
      </w:r>
      <w:r w:rsidRPr="0080767F">
        <w:fldChar w:fldCharType="separate"/>
      </w:r>
      <w:r w:rsidR="007944F4">
        <w:t>11</w:t>
      </w:r>
      <w:r w:rsidRPr="0080767F">
        <w:fldChar w:fldCharType="end"/>
      </w:r>
      <w:r w:rsidRPr="0080767F">
        <w:t xml:space="preserve"> of this Attachment. An asset secured by a residential mortgage comprises an investment held by way of a registered lien, charge or mortgage over residential property. The valuation must have been performed by a qualified valuer. The property cannot be a speculative construction or a property development;</w:t>
      </w:r>
      <w:bookmarkEnd w:id="26"/>
      <w:r w:rsidRPr="0080767F">
        <w:t xml:space="preserve"> </w:t>
      </w:r>
      <w:bookmarkEnd w:id="27"/>
    </w:p>
    <w:p w14:paraId="5B46B239" w14:textId="551C156A" w:rsidR="0080767F" w:rsidRPr="0080767F" w:rsidRDefault="0080767F" w:rsidP="0080767F">
      <w:pPr>
        <w:pStyle w:val="BodyText2"/>
      </w:pPr>
      <w:r w:rsidRPr="0080767F">
        <w:t xml:space="preserve">assets other than those referred to in </w:t>
      </w:r>
      <w:r w:rsidRPr="0080767F">
        <w:fldChar w:fldCharType="begin"/>
      </w:r>
      <w:r w:rsidRPr="0080767F">
        <w:instrText xml:space="preserve"> REF _Ref335129565 \r \h  \* MERGEFORMAT </w:instrText>
      </w:r>
      <w:r w:rsidRPr="0080767F">
        <w:fldChar w:fldCharType="separate"/>
      </w:r>
      <w:r w:rsidR="007944F4">
        <w:t>(a)</w:t>
      </w:r>
      <w:r w:rsidRPr="0080767F">
        <w:fldChar w:fldCharType="end"/>
      </w:r>
      <w:r w:rsidRPr="0080767F">
        <w:t xml:space="preserve"> and </w:t>
      </w:r>
      <w:r w:rsidRPr="0080767F">
        <w:fldChar w:fldCharType="begin"/>
      </w:r>
      <w:r w:rsidRPr="0080767F">
        <w:instrText xml:space="preserve"> REF _Ref335129571 \r \h  \* MERGEFORMAT </w:instrText>
      </w:r>
      <w:r w:rsidRPr="0080767F">
        <w:fldChar w:fldCharType="separate"/>
      </w:r>
      <w:r w:rsidR="007944F4">
        <w:t>(b)</w:t>
      </w:r>
      <w:r w:rsidRPr="0080767F">
        <w:fldChar w:fldCharType="end"/>
      </w:r>
      <w:r w:rsidRPr="0080767F">
        <w:t xml:space="preserve"> may be rated using private external ratings or a life company’s own ratings, but only with the prior approval of APRA; or</w:t>
      </w:r>
    </w:p>
    <w:p w14:paraId="42302C84" w14:textId="5C6458EB" w:rsidR="0080767F" w:rsidRPr="0080767F" w:rsidRDefault="0080767F" w:rsidP="0080767F">
      <w:pPr>
        <w:pStyle w:val="BodyText2"/>
      </w:pPr>
      <w:r w:rsidRPr="0080767F">
        <w:t xml:space="preserve">assets other than those referred to in </w:t>
      </w:r>
      <w:r w:rsidRPr="0080767F">
        <w:fldChar w:fldCharType="begin"/>
      </w:r>
      <w:r w:rsidRPr="0080767F">
        <w:instrText xml:space="preserve"> REF _Ref335129565 \r \h  \* MERGEFORMAT </w:instrText>
      </w:r>
      <w:r w:rsidRPr="0080767F">
        <w:fldChar w:fldCharType="separate"/>
      </w:r>
      <w:r w:rsidR="007944F4">
        <w:t>(a)</w:t>
      </w:r>
      <w:r w:rsidRPr="0080767F">
        <w:fldChar w:fldCharType="end"/>
      </w:r>
      <w:r w:rsidRPr="0080767F">
        <w:t xml:space="preserve"> and </w:t>
      </w:r>
      <w:r w:rsidRPr="0080767F">
        <w:fldChar w:fldCharType="begin"/>
      </w:r>
      <w:r w:rsidRPr="0080767F">
        <w:instrText xml:space="preserve"> REF _Ref335129571 \r \h  \* MERGEFORMAT </w:instrText>
      </w:r>
      <w:r w:rsidRPr="0080767F">
        <w:fldChar w:fldCharType="separate"/>
      </w:r>
      <w:r w:rsidR="007944F4">
        <w:t>(b)</w:t>
      </w:r>
      <w:r w:rsidRPr="0080767F">
        <w:fldChar w:fldCharType="end"/>
      </w:r>
      <w:r w:rsidRPr="0080767F">
        <w:t xml:space="preserve"> that have not been rated using methods approved by APRA must be assigned a counterparty grade of 5.</w:t>
      </w:r>
    </w:p>
    <w:p w14:paraId="4D28AECD" w14:textId="0F576507" w:rsidR="0080767F" w:rsidRPr="00385ABA" w:rsidRDefault="0080767F" w:rsidP="0080767F">
      <w:pPr>
        <w:pStyle w:val="BodyText1"/>
      </w:pPr>
      <w:bookmarkStart w:id="28" w:name="_Ref324865914"/>
      <w:r w:rsidRPr="007A4563">
        <w:t xml:space="preserve">Publicly rated assets are assigned a counterparty grade based on </w:t>
      </w:r>
      <w:r w:rsidR="00C004CC">
        <w:t>Table 1 and Table 2</w:t>
      </w:r>
      <w:r w:rsidRPr="007A4563">
        <w:t>.</w:t>
      </w:r>
      <w:r w:rsidRPr="00385ABA">
        <w:t xml:space="preserve"> </w:t>
      </w:r>
      <w:r>
        <w:t>The s</w:t>
      </w:r>
      <w:r w:rsidRPr="00385ABA">
        <w:t xml:space="preserve">hort-term ratings </w:t>
      </w:r>
      <w:r>
        <w:t xml:space="preserve">in Table 1 </w:t>
      </w:r>
      <w:r w:rsidRPr="00385ABA">
        <w:t>are typically used for assets with original term to maturity of not more than 13 months. For other assets the long-term ratings</w:t>
      </w:r>
      <w:r>
        <w:t xml:space="preserve"> in Table 2</w:t>
      </w:r>
      <w:r w:rsidRPr="00385ABA">
        <w:t xml:space="preserve"> apply</w:t>
      </w:r>
      <w:r w:rsidRPr="007A4563">
        <w:t>. The credit ratings in Table 1 and Table 2 include structured finance ratings with the (sf) indicator.</w:t>
      </w:r>
      <w:bookmarkEnd w:id="28"/>
    </w:p>
    <w:p w14:paraId="2CC6C910" w14:textId="77777777" w:rsidR="0080767F" w:rsidRPr="00385ABA" w:rsidRDefault="0080767F" w:rsidP="0080767F">
      <w:pPr>
        <w:ind w:firstLine="567"/>
        <w:jc w:val="both"/>
        <w:rPr>
          <w:b/>
        </w:rPr>
      </w:pPr>
      <w:r>
        <w:rPr>
          <w:b/>
        </w:rPr>
        <w:t xml:space="preserve">Table 1: </w:t>
      </w:r>
      <w:r w:rsidRPr="00385ABA">
        <w:rPr>
          <w:b/>
        </w:rPr>
        <w:t>Short-term ratings</w:t>
      </w:r>
    </w:p>
    <w:tbl>
      <w:tblPr>
        <w:tblW w:w="7797" w:type="dxa"/>
        <w:tblInd w:w="675" w:type="dxa"/>
        <w:tblBorders>
          <w:top w:val="nil"/>
          <w:left w:val="nil"/>
          <w:bottom w:val="nil"/>
          <w:right w:val="nil"/>
        </w:tblBorders>
        <w:tblLayout w:type="fixed"/>
        <w:tblLook w:val="0000" w:firstRow="0" w:lastRow="0" w:firstColumn="0" w:lastColumn="0" w:noHBand="0" w:noVBand="0"/>
      </w:tblPr>
      <w:tblGrid>
        <w:gridCol w:w="993"/>
        <w:gridCol w:w="1701"/>
        <w:gridCol w:w="1701"/>
        <w:gridCol w:w="1701"/>
        <w:gridCol w:w="1701"/>
      </w:tblGrid>
      <w:tr w:rsidR="0080767F" w:rsidRPr="00385ABA" w14:paraId="2E5FF97A" w14:textId="77777777" w:rsidTr="0080767F">
        <w:trPr>
          <w:trHeight w:val="297"/>
        </w:trPr>
        <w:tc>
          <w:tcPr>
            <w:tcW w:w="993" w:type="dxa"/>
            <w:tcBorders>
              <w:top w:val="single" w:sz="8" w:space="0" w:color="000000"/>
              <w:left w:val="single" w:sz="8" w:space="0" w:color="000000"/>
              <w:bottom w:val="single" w:sz="8" w:space="0" w:color="000000"/>
              <w:right w:val="single" w:sz="8" w:space="0" w:color="000000"/>
            </w:tcBorders>
          </w:tcPr>
          <w:p w14:paraId="611C3570" w14:textId="77777777" w:rsidR="0080767F" w:rsidRDefault="0080767F" w:rsidP="0080767F">
            <w:pPr>
              <w:autoSpaceDE w:val="0"/>
              <w:autoSpaceDN w:val="0"/>
              <w:adjustRightInd w:val="0"/>
              <w:jc w:val="center"/>
              <w:rPr>
                <w:rFonts w:cs="Arial"/>
                <w:b/>
                <w:color w:val="000000"/>
                <w:kern w:val="32"/>
                <w:szCs w:val="32"/>
              </w:rPr>
            </w:pPr>
            <w:r w:rsidRPr="00385ABA">
              <w:rPr>
                <w:b/>
                <w:bCs/>
                <w:color w:val="000000"/>
              </w:rPr>
              <w:t>Grade</w:t>
            </w:r>
          </w:p>
        </w:tc>
        <w:tc>
          <w:tcPr>
            <w:tcW w:w="1701" w:type="dxa"/>
            <w:tcBorders>
              <w:top w:val="single" w:sz="8" w:space="0" w:color="000000"/>
              <w:right w:val="single" w:sz="8" w:space="0" w:color="000000"/>
            </w:tcBorders>
          </w:tcPr>
          <w:p w14:paraId="123B0699" w14:textId="77777777" w:rsidR="0080767F" w:rsidRDefault="0080767F" w:rsidP="0080767F">
            <w:pPr>
              <w:autoSpaceDE w:val="0"/>
              <w:autoSpaceDN w:val="0"/>
              <w:adjustRightInd w:val="0"/>
              <w:jc w:val="center"/>
              <w:rPr>
                <w:rFonts w:cs="Arial"/>
                <w:b/>
                <w:color w:val="000000"/>
                <w:kern w:val="32"/>
                <w:szCs w:val="32"/>
              </w:rPr>
            </w:pPr>
            <w:r w:rsidRPr="00385ABA">
              <w:rPr>
                <w:b/>
                <w:bCs/>
                <w:color w:val="000000"/>
              </w:rPr>
              <w:t>Standard &amp; Poor’s</w:t>
            </w:r>
          </w:p>
        </w:tc>
        <w:tc>
          <w:tcPr>
            <w:tcW w:w="1701" w:type="dxa"/>
            <w:tcBorders>
              <w:top w:val="single" w:sz="8" w:space="0" w:color="000000"/>
              <w:right w:val="single" w:sz="8" w:space="0" w:color="000000"/>
            </w:tcBorders>
          </w:tcPr>
          <w:p w14:paraId="7D78C730" w14:textId="77777777" w:rsidR="0080767F" w:rsidRDefault="0080767F" w:rsidP="0080767F">
            <w:pPr>
              <w:autoSpaceDE w:val="0"/>
              <w:autoSpaceDN w:val="0"/>
              <w:adjustRightInd w:val="0"/>
              <w:jc w:val="center"/>
              <w:rPr>
                <w:rFonts w:cs="Arial"/>
                <w:b/>
                <w:color w:val="000000"/>
                <w:kern w:val="32"/>
                <w:szCs w:val="32"/>
              </w:rPr>
            </w:pPr>
            <w:r w:rsidRPr="00385ABA">
              <w:rPr>
                <w:b/>
                <w:bCs/>
                <w:color w:val="000000"/>
              </w:rPr>
              <w:t>Moody’s</w:t>
            </w:r>
          </w:p>
        </w:tc>
        <w:tc>
          <w:tcPr>
            <w:tcW w:w="1701" w:type="dxa"/>
            <w:tcBorders>
              <w:top w:val="single" w:sz="8" w:space="0" w:color="000000"/>
              <w:right w:val="single" w:sz="8" w:space="0" w:color="000000"/>
            </w:tcBorders>
          </w:tcPr>
          <w:p w14:paraId="1D7E71B4" w14:textId="77777777" w:rsidR="0080767F" w:rsidRDefault="0080767F" w:rsidP="0080767F">
            <w:pPr>
              <w:autoSpaceDE w:val="0"/>
              <w:autoSpaceDN w:val="0"/>
              <w:adjustRightInd w:val="0"/>
              <w:jc w:val="center"/>
              <w:rPr>
                <w:rFonts w:cs="Arial"/>
                <w:b/>
                <w:color w:val="000000"/>
                <w:kern w:val="32"/>
                <w:szCs w:val="32"/>
              </w:rPr>
            </w:pPr>
            <w:r w:rsidRPr="00385ABA">
              <w:rPr>
                <w:b/>
                <w:bCs/>
                <w:color w:val="000000"/>
              </w:rPr>
              <w:t>AM Best</w:t>
            </w:r>
          </w:p>
        </w:tc>
        <w:tc>
          <w:tcPr>
            <w:tcW w:w="1701" w:type="dxa"/>
            <w:tcBorders>
              <w:top w:val="single" w:sz="8" w:space="0" w:color="000000"/>
              <w:bottom w:val="single" w:sz="8" w:space="0" w:color="000000"/>
              <w:right w:val="single" w:sz="8" w:space="0" w:color="000000"/>
            </w:tcBorders>
          </w:tcPr>
          <w:p w14:paraId="16DCC436" w14:textId="77777777" w:rsidR="0080767F" w:rsidRDefault="0080767F" w:rsidP="0080767F">
            <w:pPr>
              <w:autoSpaceDE w:val="0"/>
              <w:autoSpaceDN w:val="0"/>
              <w:adjustRightInd w:val="0"/>
              <w:jc w:val="center"/>
              <w:rPr>
                <w:rFonts w:cs="Arial"/>
                <w:b/>
                <w:color w:val="000000"/>
                <w:kern w:val="32"/>
                <w:szCs w:val="32"/>
              </w:rPr>
            </w:pPr>
            <w:r w:rsidRPr="00385ABA">
              <w:rPr>
                <w:b/>
                <w:bCs/>
                <w:color w:val="000000"/>
              </w:rPr>
              <w:t>Fitch</w:t>
            </w:r>
          </w:p>
        </w:tc>
      </w:tr>
      <w:tr w:rsidR="0080767F" w:rsidRPr="00385ABA" w14:paraId="4ADA2601" w14:textId="77777777" w:rsidTr="0080767F">
        <w:trPr>
          <w:trHeight w:val="157"/>
        </w:trPr>
        <w:tc>
          <w:tcPr>
            <w:tcW w:w="993" w:type="dxa"/>
            <w:tcBorders>
              <w:top w:val="single" w:sz="8" w:space="0" w:color="000000"/>
              <w:left w:val="single" w:sz="8" w:space="0" w:color="000000"/>
              <w:bottom w:val="single" w:sz="8" w:space="0" w:color="000000"/>
              <w:right w:val="single" w:sz="8" w:space="0" w:color="000000"/>
            </w:tcBorders>
          </w:tcPr>
          <w:p w14:paraId="32F27717" w14:textId="77777777" w:rsidR="0080767F" w:rsidRPr="00385ABA" w:rsidRDefault="0080767F" w:rsidP="0080767F">
            <w:pPr>
              <w:autoSpaceDE w:val="0"/>
              <w:autoSpaceDN w:val="0"/>
              <w:adjustRightInd w:val="0"/>
              <w:jc w:val="center"/>
              <w:rPr>
                <w:color w:val="000000"/>
              </w:rPr>
            </w:pPr>
            <w:r w:rsidRPr="00385ABA">
              <w:rPr>
                <w:color w:val="000000"/>
              </w:rPr>
              <w:t>1</w:t>
            </w:r>
          </w:p>
        </w:tc>
        <w:tc>
          <w:tcPr>
            <w:tcW w:w="1701" w:type="dxa"/>
            <w:tcBorders>
              <w:top w:val="single" w:sz="8" w:space="0" w:color="000000"/>
              <w:right w:val="single" w:sz="8" w:space="0" w:color="000000"/>
            </w:tcBorders>
          </w:tcPr>
          <w:p w14:paraId="1ACF88EC" w14:textId="77777777" w:rsidR="0080767F" w:rsidRPr="00385ABA" w:rsidRDefault="0080767F" w:rsidP="0080767F">
            <w:pPr>
              <w:autoSpaceDE w:val="0"/>
              <w:autoSpaceDN w:val="0"/>
              <w:adjustRightInd w:val="0"/>
              <w:jc w:val="center"/>
              <w:rPr>
                <w:color w:val="000000"/>
              </w:rPr>
            </w:pPr>
            <w:r w:rsidRPr="00385ABA">
              <w:rPr>
                <w:color w:val="000000"/>
              </w:rPr>
              <w:t>A1+</w:t>
            </w:r>
          </w:p>
        </w:tc>
        <w:tc>
          <w:tcPr>
            <w:tcW w:w="1701" w:type="dxa"/>
            <w:tcBorders>
              <w:top w:val="single" w:sz="8" w:space="0" w:color="000000"/>
              <w:right w:val="single" w:sz="8" w:space="0" w:color="000000"/>
            </w:tcBorders>
          </w:tcPr>
          <w:p w14:paraId="26C477DD" w14:textId="77777777" w:rsidR="0080767F" w:rsidRPr="00385ABA" w:rsidRDefault="0080767F" w:rsidP="0080767F">
            <w:pPr>
              <w:autoSpaceDE w:val="0"/>
              <w:autoSpaceDN w:val="0"/>
              <w:adjustRightInd w:val="0"/>
              <w:jc w:val="center"/>
              <w:rPr>
                <w:color w:val="000000"/>
              </w:rPr>
            </w:pPr>
          </w:p>
        </w:tc>
        <w:tc>
          <w:tcPr>
            <w:tcW w:w="1701" w:type="dxa"/>
            <w:tcBorders>
              <w:top w:val="single" w:sz="8" w:space="0" w:color="000000"/>
              <w:right w:val="single" w:sz="8" w:space="0" w:color="000000"/>
            </w:tcBorders>
          </w:tcPr>
          <w:p w14:paraId="5A37209E" w14:textId="77777777" w:rsidR="0080767F" w:rsidRPr="00385ABA" w:rsidRDefault="0080767F" w:rsidP="0080767F">
            <w:pPr>
              <w:autoSpaceDE w:val="0"/>
              <w:autoSpaceDN w:val="0"/>
              <w:adjustRightInd w:val="0"/>
              <w:jc w:val="center"/>
              <w:rPr>
                <w:color w:val="000000"/>
              </w:rPr>
            </w:pPr>
            <w:r w:rsidRPr="00385ABA">
              <w:rPr>
                <w:color w:val="000000"/>
              </w:rPr>
              <w:t>AMB-1+</w:t>
            </w:r>
          </w:p>
        </w:tc>
        <w:tc>
          <w:tcPr>
            <w:tcW w:w="1701" w:type="dxa"/>
            <w:tcBorders>
              <w:top w:val="single" w:sz="8" w:space="0" w:color="000000"/>
              <w:bottom w:val="single" w:sz="8" w:space="0" w:color="000000"/>
              <w:right w:val="single" w:sz="8" w:space="0" w:color="000000"/>
            </w:tcBorders>
          </w:tcPr>
          <w:p w14:paraId="0FEB243E" w14:textId="77777777" w:rsidR="0080767F" w:rsidRPr="00385ABA" w:rsidRDefault="0080767F" w:rsidP="0080767F">
            <w:pPr>
              <w:autoSpaceDE w:val="0"/>
              <w:autoSpaceDN w:val="0"/>
              <w:adjustRightInd w:val="0"/>
              <w:jc w:val="center"/>
              <w:rPr>
                <w:color w:val="000000"/>
              </w:rPr>
            </w:pPr>
            <w:r w:rsidRPr="00385ABA">
              <w:rPr>
                <w:color w:val="000000"/>
              </w:rPr>
              <w:t>F1+</w:t>
            </w:r>
          </w:p>
        </w:tc>
      </w:tr>
      <w:tr w:rsidR="0080767F" w:rsidRPr="00385ABA" w14:paraId="6268F33A" w14:textId="77777777" w:rsidTr="0080767F">
        <w:trPr>
          <w:trHeight w:val="433"/>
        </w:trPr>
        <w:tc>
          <w:tcPr>
            <w:tcW w:w="993" w:type="dxa"/>
            <w:tcBorders>
              <w:top w:val="single" w:sz="8" w:space="0" w:color="000000"/>
              <w:left w:val="single" w:sz="8" w:space="0" w:color="000000"/>
              <w:bottom w:val="single" w:sz="8" w:space="0" w:color="000000"/>
              <w:right w:val="single" w:sz="8" w:space="0" w:color="000000"/>
            </w:tcBorders>
          </w:tcPr>
          <w:p w14:paraId="2DF0D925" w14:textId="77777777" w:rsidR="0080767F" w:rsidRPr="00385ABA" w:rsidRDefault="0080767F" w:rsidP="0080767F">
            <w:pPr>
              <w:autoSpaceDE w:val="0"/>
              <w:autoSpaceDN w:val="0"/>
              <w:adjustRightInd w:val="0"/>
              <w:jc w:val="center"/>
              <w:rPr>
                <w:color w:val="000000"/>
              </w:rPr>
            </w:pPr>
            <w:r w:rsidRPr="00385ABA">
              <w:rPr>
                <w:color w:val="000000"/>
              </w:rPr>
              <w:t>2</w:t>
            </w:r>
          </w:p>
        </w:tc>
        <w:tc>
          <w:tcPr>
            <w:tcW w:w="1701" w:type="dxa"/>
            <w:tcBorders>
              <w:top w:val="single" w:sz="8" w:space="0" w:color="000000"/>
              <w:bottom w:val="single" w:sz="8" w:space="0" w:color="000000"/>
              <w:right w:val="single" w:sz="8" w:space="0" w:color="000000"/>
            </w:tcBorders>
          </w:tcPr>
          <w:p w14:paraId="0BC71FAF" w14:textId="77777777" w:rsidR="0080767F" w:rsidRPr="00385ABA" w:rsidRDefault="0080767F" w:rsidP="0080767F">
            <w:pPr>
              <w:autoSpaceDE w:val="0"/>
              <w:autoSpaceDN w:val="0"/>
              <w:adjustRightInd w:val="0"/>
              <w:jc w:val="center"/>
              <w:rPr>
                <w:color w:val="000000"/>
              </w:rPr>
            </w:pPr>
            <w:r w:rsidRPr="00385ABA">
              <w:rPr>
                <w:color w:val="000000"/>
              </w:rPr>
              <w:t>A1</w:t>
            </w:r>
          </w:p>
        </w:tc>
        <w:tc>
          <w:tcPr>
            <w:tcW w:w="1701" w:type="dxa"/>
            <w:tcBorders>
              <w:top w:val="single" w:sz="8" w:space="0" w:color="000000"/>
              <w:bottom w:val="single" w:sz="8" w:space="0" w:color="000000"/>
              <w:right w:val="single" w:sz="8" w:space="0" w:color="000000"/>
            </w:tcBorders>
          </w:tcPr>
          <w:p w14:paraId="71173BBC" w14:textId="77777777" w:rsidR="0080767F" w:rsidRPr="00385ABA" w:rsidRDefault="0080767F" w:rsidP="0080767F">
            <w:pPr>
              <w:autoSpaceDE w:val="0"/>
              <w:autoSpaceDN w:val="0"/>
              <w:adjustRightInd w:val="0"/>
              <w:jc w:val="center"/>
              <w:rPr>
                <w:color w:val="000000"/>
              </w:rPr>
            </w:pPr>
            <w:r w:rsidRPr="00385ABA">
              <w:rPr>
                <w:color w:val="000000"/>
              </w:rPr>
              <w:t>P1</w:t>
            </w:r>
          </w:p>
        </w:tc>
        <w:tc>
          <w:tcPr>
            <w:tcW w:w="1701" w:type="dxa"/>
            <w:tcBorders>
              <w:top w:val="single" w:sz="8" w:space="0" w:color="000000"/>
              <w:bottom w:val="single" w:sz="8" w:space="0" w:color="000000"/>
              <w:right w:val="single" w:sz="8" w:space="0" w:color="000000"/>
            </w:tcBorders>
          </w:tcPr>
          <w:p w14:paraId="235BA039" w14:textId="77777777" w:rsidR="0080767F" w:rsidRPr="00385ABA" w:rsidRDefault="0080767F" w:rsidP="0080767F">
            <w:pPr>
              <w:autoSpaceDE w:val="0"/>
              <w:autoSpaceDN w:val="0"/>
              <w:adjustRightInd w:val="0"/>
              <w:jc w:val="center"/>
              <w:rPr>
                <w:color w:val="000000"/>
              </w:rPr>
            </w:pPr>
            <w:r w:rsidRPr="00385ABA">
              <w:rPr>
                <w:color w:val="000000"/>
              </w:rPr>
              <w:t>AMB-1</w:t>
            </w:r>
          </w:p>
        </w:tc>
        <w:tc>
          <w:tcPr>
            <w:tcW w:w="1701" w:type="dxa"/>
            <w:tcBorders>
              <w:top w:val="single" w:sz="8" w:space="0" w:color="000000"/>
              <w:bottom w:val="single" w:sz="8" w:space="0" w:color="000000"/>
              <w:right w:val="single" w:sz="8" w:space="0" w:color="000000"/>
            </w:tcBorders>
          </w:tcPr>
          <w:p w14:paraId="0D1E672D" w14:textId="77777777" w:rsidR="0080767F" w:rsidRPr="00385ABA" w:rsidRDefault="0080767F" w:rsidP="0080767F">
            <w:pPr>
              <w:autoSpaceDE w:val="0"/>
              <w:autoSpaceDN w:val="0"/>
              <w:adjustRightInd w:val="0"/>
              <w:jc w:val="center"/>
              <w:rPr>
                <w:color w:val="000000"/>
              </w:rPr>
            </w:pPr>
            <w:r w:rsidRPr="00385ABA">
              <w:rPr>
                <w:color w:val="000000"/>
              </w:rPr>
              <w:t>F1</w:t>
            </w:r>
          </w:p>
        </w:tc>
      </w:tr>
      <w:tr w:rsidR="0080767F" w:rsidRPr="00385ABA" w14:paraId="1A5D36C7" w14:textId="77777777" w:rsidTr="0080767F">
        <w:trPr>
          <w:trHeight w:val="433"/>
        </w:trPr>
        <w:tc>
          <w:tcPr>
            <w:tcW w:w="993" w:type="dxa"/>
            <w:tcBorders>
              <w:top w:val="single" w:sz="8" w:space="0" w:color="000000"/>
              <w:left w:val="single" w:sz="8" w:space="0" w:color="000000"/>
              <w:bottom w:val="single" w:sz="8" w:space="0" w:color="000000"/>
              <w:right w:val="single" w:sz="8" w:space="0" w:color="000000"/>
            </w:tcBorders>
          </w:tcPr>
          <w:p w14:paraId="6F47D5A7" w14:textId="77777777" w:rsidR="0080767F" w:rsidRPr="00385ABA" w:rsidRDefault="0080767F" w:rsidP="0080767F">
            <w:pPr>
              <w:autoSpaceDE w:val="0"/>
              <w:autoSpaceDN w:val="0"/>
              <w:adjustRightInd w:val="0"/>
              <w:jc w:val="center"/>
              <w:rPr>
                <w:color w:val="000000"/>
              </w:rPr>
            </w:pPr>
            <w:r w:rsidRPr="00385ABA">
              <w:rPr>
                <w:color w:val="000000"/>
              </w:rPr>
              <w:t>3</w:t>
            </w:r>
          </w:p>
        </w:tc>
        <w:tc>
          <w:tcPr>
            <w:tcW w:w="1701" w:type="dxa"/>
            <w:tcBorders>
              <w:top w:val="single" w:sz="8" w:space="0" w:color="000000"/>
              <w:bottom w:val="single" w:sz="8" w:space="0" w:color="000000"/>
              <w:right w:val="single" w:sz="8" w:space="0" w:color="000000"/>
            </w:tcBorders>
          </w:tcPr>
          <w:p w14:paraId="31DC62DA" w14:textId="77777777" w:rsidR="0080767F" w:rsidRPr="00385ABA" w:rsidRDefault="0080767F" w:rsidP="0080767F">
            <w:pPr>
              <w:autoSpaceDE w:val="0"/>
              <w:autoSpaceDN w:val="0"/>
              <w:adjustRightInd w:val="0"/>
              <w:jc w:val="center"/>
              <w:rPr>
                <w:color w:val="000000"/>
              </w:rPr>
            </w:pPr>
            <w:r w:rsidRPr="00385ABA">
              <w:rPr>
                <w:color w:val="000000"/>
              </w:rPr>
              <w:t>A2</w:t>
            </w:r>
          </w:p>
        </w:tc>
        <w:tc>
          <w:tcPr>
            <w:tcW w:w="1701" w:type="dxa"/>
            <w:tcBorders>
              <w:top w:val="single" w:sz="8" w:space="0" w:color="000000"/>
              <w:bottom w:val="single" w:sz="8" w:space="0" w:color="000000"/>
              <w:right w:val="single" w:sz="8" w:space="0" w:color="000000"/>
            </w:tcBorders>
          </w:tcPr>
          <w:p w14:paraId="6EC91059" w14:textId="77777777" w:rsidR="0080767F" w:rsidRPr="00385ABA" w:rsidRDefault="0080767F" w:rsidP="0080767F">
            <w:pPr>
              <w:autoSpaceDE w:val="0"/>
              <w:autoSpaceDN w:val="0"/>
              <w:adjustRightInd w:val="0"/>
              <w:jc w:val="center"/>
              <w:rPr>
                <w:color w:val="000000"/>
              </w:rPr>
            </w:pPr>
            <w:r w:rsidRPr="00385ABA">
              <w:rPr>
                <w:color w:val="000000"/>
              </w:rPr>
              <w:t>P2</w:t>
            </w:r>
          </w:p>
        </w:tc>
        <w:tc>
          <w:tcPr>
            <w:tcW w:w="1701" w:type="dxa"/>
            <w:tcBorders>
              <w:top w:val="single" w:sz="8" w:space="0" w:color="000000"/>
              <w:bottom w:val="single" w:sz="8" w:space="0" w:color="000000"/>
              <w:right w:val="single" w:sz="8" w:space="0" w:color="000000"/>
            </w:tcBorders>
          </w:tcPr>
          <w:p w14:paraId="3285074A" w14:textId="77777777" w:rsidR="0080767F" w:rsidRPr="00385ABA" w:rsidRDefault="0080767F" w:rsidP="0080767F">
            <w:pPr>
              <w:autoSpaceDE w:val="0"/>
              <w:autoSpaceDN w:val="0"/>
              <w:adjustRightInd w:val="0"/>
              <w:jc w:val="center"/>
              <w:rPr>
                <w:color w:val="000000"/>
              </w:rPr>
            </w:pPr>
            <w:r w:rsidRPr="00385ABA">
              <w:rPr>
                <w:color w:val="000000"/>
              </w:rPr>
              <w:t>AMB-2</w:t>
            </w:r>
          </w:p>
        </w:tc>
        <w:tc>
          <w:tcPr>
            <w:tcW w:w="1701" w:type="dxa"/>
            <w:tcBorders>
              <w:top w:val="single" w:sz="8" w:space="0" w:color="000000"/>
              <w:bottom w:val="single" w:sz="8" w:space="0" w:color="000000"/>
              <w:right w:val="single" w:sz="8" w:space="0" w:color="000000"/>
            </w:tcBorders>
          </w:tcPr>
          <w:p w14:paraId="34757D85" w14:textId="77777777" w:rsidR="0080767F" w:rsidRPr="00385ABA" w:rsidRDefault="0080767F" w:rsidP="0080767F">
            <w:pPr>
              <w:autoSpaceDE w:val="0"/>
              <w:autoSpaceDN w:val="0"/>
              <w:adjustRightInd w:val="0"/>
              <w:jc w:val="center"/>
              <w:rPr>
                <w:color w:val="000000"/>
              </w:rPr>
            </w:pPr>
            <w:r w:rsidRPr="00385ABA">
              <w:rPr>
                <w:color w:val="000000"/>
              </w:rPr>
              <w:t>F2</w:t>
            </w:r>
          </w:p>
        </w:tc>
      </w:tr>
      <w:tr w:rsidR="0080767F" w:rsidRPr="00385ABA" w14:paraId="6FB9A0BC" w14:textId="77777777" w:rsidTr="0080767F">
        <w:trPr>
          <w:trHeight w:val="433"/>
        </w:trPr>
        <w:tc>
          <w:tcPr>
            <w:tcW w:w="993" w:type="dxa"/>
            <w:tcBorders>
              <w:top w:val="single" w:sz="8" w:space="0" w:color="000000"/>
              <w:left w:val="single" w:sz="8" w:space="0" w:color="000000"/>
              <w:bottom w:val="single" w:sz="8" w:space="0" w:color="000000"/>
              <w:right w:val="single" w:sz="8" w:space="0" w:color="000000"/>
            </w:tcBorders>
          </w:tcPr>
          <w:p w14:paraId="050B3382" w14:textId="77777777" w:rsidR="0080767F" w:rsidRPr="00385ABA" w:rsidRDefault="0080767F" w:rsidP="0080767F">
            <w:pPr>
              <w:autoSpaceDE w:val="0"/>
              <w:autoSpaceDN w:val="0"/>
              <w:adjustRightInd w:val="0"/>
              <w:jc w:val="center"/>
              <w:rPr>
                <w:color w:val="000000"/>
              </w:rPr>
            </w:pPr>
            <w:r w:rsidRPr="00385ABA">
              <w:rPr>
                <w:color w:val="000000"/>
              </w:rPr>
              <w:t>4</w:t>
            </w:r>
          </w:p>
        </w:tc>
        <w:tc>
          <w:tcPr>
            <w:tcW w:w="1701" w:type="dxa"/>
            <w:tcBorders>
              <w:top w:val="single" w:sz="8" w:space="0" w:color="000000"/>
              <w:bottom w:val="single" w:sz="8" w:space="0" w:color="000000"/>
              <w:right w:val="single" w:sz="8" w:space="0" w:color="000000"/>
            </w:tcBorders>
          </w:tcPr>
          <w:p w14:paraId="19C3B315" w14:textId="77777777" w:rsidR="0080767F" w:rsidRPr="00385ABA" w:rsidRDefault="0080767F" w:rsidP="0080767F">
            <w:pPr>
              <w:autoSpaceDE w:val="0"/>
              <w:autoSpaceDN w:val="0"/>
              <w:adjustRightInd w:val="0"/>
              <w:jc w:val="center"/>
              <w:rPr>
                <w:color w:val="000000"/>
              </w:rPr>
            </w:pPr>
            <w:r w:rsidRPr="00385ABA">
              <w:rPr>
                <w:color w:val="000000"/>
              </w:rPr>
              <w:t>A3</w:t>
            </w:r>
          </w:p>
        </w:tc>
        <w:tc>
          <w:tcPr>
            <w:tcW w:w="1701" w:type="dxa"/>
            <w:tcBorders>
              <w:top w:val="single" w:sz="8" w:space="0" w:color="000000"/>
              <w:bottom w:val="single" w:sz="8" w:space="0" w:color="000000"/>
              <w:right w:val="single" w:sz="8" w:space="0" w:color="000000"/>
            </w:tcBorders>
          </w:tcPr>
          <w:p w14:paraId="03B9F098" w14:textId="77777777" w:rsidR="0080767F" w:rsidRPr="00385ABA" w:rsidRDefault="0080767F" w:rsidP="0080767F">
            <w:pPr>
              <w:autoSpaceDE w:val="0"/>
              <w:autoSpaceDN w:val="0"/>
              <w:adjustRightInd w:val="0"/>
              <w:jc w:val="center"/>
              <w:rPr>
                <w:color w:val="000000"/>
              </w:rPr>
            </w:pPr>
            <w:r w:rsidRPr="00385ABA">
              <w:rPr>
                <w:color w:val="000000"/>
              </w:rPr>
              <w:t>P3</w:t>
            </w:r>
          </w:p>
        </w:tc>
        <w:tc>
          <w:tcPr>
            <w:tcW w:w="1701" w:type="dxa"/>
            <w:tcBorders>
              <w:top w:val="single" w:sz="8" w:space="0" w:color="000000"/>
              <w:bottom w:val="single" w:sz="8" w:space="0" w:color="000000"/>
              <w:right w:val="single" w:sz="8" w:space="0" w:color="000000"/>
            </w:tcBorders>
          </w:tcPr>
          <w:p w14:paraId="0F4FA108" w14:textId="77777777" w:rsidR="0080767F" w:rsidRPr="00385ABA" w:rsidRDefault="0080767F" w:rsidP="0080767F">
            <w:pPr>
              <w:autoSpaceDE w:val="0"/>
              <w:autoSpaceDN w:val="0"/>
              <w:adjustRightInd w:val="0"/>
              <w:jc w:val="center"/>
              <w:rPr>
                <w:color w:val="000000"/>
              </w:rPr>
            </w:pPr>
            <w:r w:rsidRPr="00385ABA">
              <w:rPr>
                <w:color w:val="000000"/>
              </w:rPr>
              <w:t>AMB-3</w:t>
            </w:r>
          </w:p>
        </w:tc>
        <w:tc>
          <w:tcPr>
            <w:tcW w:w="1701" w:type="dxa"/>
            <w:tcBorders>
              <w:top w:val="single" w:sz="8" w:space="0" w:color="000000"/>
              <w:bottom w:val="single" w:sz="8" w:space="0" w:color="000000"/>
              <w:right w:val="single" w:sz="8" w:space="0" w:color="000000"/>
            </w:tcBorders>
          </w:tcPr>
          <w:p w14:paraId="7CE17104" w14:textId="77777777" w:rsidR="0080767F" w:rsidRPr="00385ABA" w:rsidRDefault="0080767F" w:rsidP="0080767F">
            <w:pPr>
              <w:autoSpaceDE w:val="0"/>
              <w:autoSpaceDN w:val="0"/>
              <w:adjustRightInd w:val="0"/>
              <w:jc w:val="center"/>
              <w:rPr>
                <w:color w:val="000000"/>
              </w:rPr>
            </w:pPr>
            <w:r w:rsidRPr="00385ABA">
              <w:rPr>
                <w:color w:val="000000"/>
              </w:rPr>
              <w:t>F3</w:t>
            </w:r>
          </w:p>
        </w:tc>
      </w:tr>
      <w:tr w:rsidR="0080767F" w:rsidRPr="00385ABA" w14:paraId="6CDE59D1" w14:textId="77777777" w:rsidTr="0080767F">
        <w:trPr>
          <w:trHeight w:val="433"/>
        </w:trPr>
        <w:tc>
          <w:tcPr>
            <w:tcW w:w="993" w:type="dxa"/>
            <w:tcBorders>
              <w:top w:val="single" w:sz="8" w:space="0" w:color="000000"/>
              <w:left w:val="single" w:sz="8" w:space="0" w:color="000000"/>
              <w:bottom w:val="single" w:sz="8" w:space="0" w:color="000000"/>
              <w:right w:val="single" w:sz="8" w:space="0" w:color="000000"/>
            </w:tcBorders>
          </w:tcPr>
          <w:p w14:paraId="3F5836EC" w14:textId="77777777" w:rsidR="0080767F" w:rsidRPr="00385ABA" w:rsidRDefault="0080767F" w:rsidP="0080767F">
            <w:pPr>
              <w:autoSpaceDE w:val="0"/>
              <w:autoSpaceDN w:val="0"/>
              <w:adjustRightInd w:val="0"/>
              <w:jc w:val="center"/>
              <w:rPr>
                <w:color w:val="000000"/>
              </w:rPr>
            </w:pPr>
            <w:r>
              <w:rPr>
                <w:color w:val="000000"/>
              </w:rPr>
              <w:t>5</w:t>
            </w:r>
          </w:p>
        </w:tc>
        <w:tc>
          <w:tcPr>
            <w:tcW w:w="1701" w:type="dxa"/>
            <w:tcBorders>
              <w:top w:val="single" w:sz="8" w:space="0" w:color="000000"/>
              <w:bottom w:val="single" w:sz="8" w:space="0" w:color="000000"/>
              <w:right w:val="single" w:sz="8" w:space="0" w:color="000000"/>
            </w:tcBorders>
          </w:tcPr>
          <w:p w14:paraId="363FC17E" w14:textId="77777777" w:rsidR="0080767F" w:rsidRPr="00385ABA" w:rsidRDefault="0080767F" w:rsidP="0080767F">
            <w:pPr>
              <w:autoSpaceDE w:val="0"/>
              <w:autoSpaceDN w:val="0"/>
              <w:adjustRightInd w:val="0"/>
              <w:jc w:val="center"/>
              <w:rPr>
                <w:color w:val="000000"/>
              </w:rPr>
            </w:pPr>
            <w:r>
              <w:rPr>
                <w:color w:val="000000"/>
              </w:rPr>
              <w:t>-</w:t>
            </w:r>
          </w:p>
        </w:tc>
        <w:tc>
          <w:tcPr>
            <w:tcW w:w="1701" w:type="dxa"/>
            <w:tcBorders>
              <w:top w:val="single" w:sz="8" w:space="0" w:color="000000"/>
              <w:bottom w:val="single" w:sz="8" w:space="0" w:color="000000"/>
              <w:right w:val="single" w:sz="8" w:space="0" w:color="000000"/>
            </w:tcBorders>
          </w:tcPr>
          <w:p w14:paraId="46EEDCBC" w14:textId="77777777" w:rsidR="0080767F" w:rsidRPr="00385ABA" w:rsidRDefault="0080767F" w:rsidP="0080767F">
            <w:pPr>
              <w:autoSpaceDE w:val="0"/>
              <w:autoSpaceDN w:val="0"/>
              <w:adjustRightInd w:val="0"/>
              <w:jc w:val="center"/>
              <w:rPr>
                <w:color w:val="000000"/>
              </w:rPr>
            </w:pPr>
            <w:r>
              <w:rPr>
                <w:color w:val="000000"/>
              </w:rPr>
              <w:t>-</w:t>
            </w:r>
          </w:p>
        </w:tc>
        <w:tc>
          <w:tcPr>
            <w:tcW w:w="1701" w:type="dxa"/>
            <w:tcBorders>
              <w:top w:val="single" w:sz="8" w:space="0" w:color="000000"/>
              <w:bottom w:val="single" w:sz="8" w:space="0" w:color="000000"/>
              <w:right w:val="single" w:sz="8" w:space="0" w:color="000000"/>
            </w:tcBorders>
          </w:tcPr>
          <w:p w14:paraId="5496E998" w14:textId="77777777" w:rsidR="0080767F" w:rsidRPr="00385ABA" w:rsidRDefault="0080767F" w:rsidP="0080767F">
            <w:pPr>
              <w:autoSpaceDE w:val="0"/>
              <w:autoSpaceDN w:val="0"/>
              <w:adjustRightInd w:val="0"/>
              <w:jc w:val="center"/>
              <w:rPr>
                <w:color w:val="000000"/>
              </w:rPr>
            </w:pPr>
            <w:r>
              <w:rPr>
                <w:color w:val="000000"/>
              </w:rPr>
              <w:t>-</w:t>
            </w:r>
          </w:p>
        </w:tc>
        <w:tc>
          <w:tcPr>
            <w:tcW w:w="1701" w:type="dxa"/>
            <w:tcBorders>
              <w:top w:val="single" w:sz="8" w:space="0" w:color="000000"/>
              <w:bottom w:val="single" w:sz="8" w:space="0" w:color="000000"/>
              <w:right w:val="single" w:sz="8" w:space="0" w:color="000000"/>
            </w:tcBorders>
          </w:tcPr>
          <w:p w14:paraId="3C8C4921" w14:textId="77777777" w:rsidR="0080767F" w:rsidRPr="00385ABA" w:rsidRDefault="0080767F" w:rsidP="0080767F">
            <w:pPr>
              <w:autoSpaceDE w:val="0"/>
              <w:autoSpaceDN w:val="0"/>
              <w:adjustRightInd w:val="0"/>
              <w:jc w:val="center"/>
              <w:rPr>
                <w:color w:val="000000"/>
              </w:rPr>
            </w:pPr>
            <w:r>
              <w:rPr>
                <w:color w:val="000000"/>
              </w:rPr>
              <w:t>-</w:t>
            </w:r>
          </w:p>
        </w:tc>
      </w:tr>
      <w:tr w:rsidR="0080767F" w:rsidRPr="00385ABA" w14:paraId="2177B1CE" w14:textId="77777777" w:rsidTr="0080767F">
        <w:trPr>
          <w:trHeight w:val="157"/>
        </w:trPr>
        <w:tc>
          <w:tcPr>
            <w:tcW w:w="993" w:type="dxa"/>
            <w:tcBorders>
              <w:top w:val="single" w:sz="8" w:space="0" w:color="000000"/>
              <w:left w:val="single" w:sz="8" w:space="0" w:color="000000"/>
              <w:bottom w:val="single" w:sz="8" w:space="0" w:color="000000"/>
              <w:right w:val="single" w:sz="8" w:space="0" w:color="000000"/>
            </w:tcBorders>
          </w:tcPr>
          <w:p w14:paraId="2928972C" w14:textId="77777777" w:rsidR="0080767F" w:rsidRPr="00385ABA" w:rsidRDefault="0080767F" w:rsidP="0080767F">
            <w:pPr>
              <w:autoSpaceDE w:val="0"/>
              <w:autoSpaceDN w:val="0"/>
              <w:adjustRightInd w:val="0"/>
              <w:jc w:val="center"/>
              <w:rPr>
                <w:color w:val="000000"/>
              </w:rPr>
            </w:pPr>
            <w:r w:rsidRPr="00385ABA">
              <w:rPr>
                <w:color w:val="000000"/>
              </w:rPr>
              <w:t>6</w:t>
            </w:r>
          </w:p>
        </w:tc>
        <w:tc>
          <w:tcPr>
            <w:tcW w:w="1701" w:type="dxa"/>
            <w:tcBorders>
              <w:top w:val="single" w:sz="8" w:space="0" w:color="000000"/>
              <w:bottom w:val="single" w:sz="8" w:space="0" w:color="000000"/>
              <w:right w:val="single" w:sz="8" w:space="0" w:color="000000"/>
            </w:tcBorders>
          </w:tcPr>
          <w:p w14:paraId="153C2A5C" w14:textId="77777777" w:rsidR="0080767F" w:rsidRPr="00385ABA" w:rsidRDefault="0080767F" w:rsidP="0080767F">
            <w:pPr>
              <w:autoSpaceDE w:val="0"/>
              <w:autoSpaceDN w:val="0"/>
              <w:adjustRightInd w:val="0"/>
              <w:jc w:val="center"/>
              <w:rPr>
                <w:color w:val="000000"/>
              </w:rPr>
            </w:pPr>
            <w:r w:rsidRPr="00385ABA">
              <w:rPr>
                <w:color w:val="000000"/>
              </w:rPr>
              <w:t>B</w:t>
            </w:r>
          </w:p>
        </w:tc>
        <w:tc>
          <w:tcPr>
            <w:tcW w:w="1701" w:type="dxa"/>
            <w:tcBorders>
              <w:top w:val="single" w:sz="8" w:space="0" w:color="000000"/>
              <w:bottom w:val="single" w:sz="8" w:space="0" w:color="000000"/>
              <w:right w:val="single" w:sz="8" w:space="0" w:color="000000"/>
            </w:tcBorders>
          </w:tcPr>
          <w:p w14:paraId="4031C7D0" w14:textId="77777777" w:rsidR="0080767F" w:rsidRPr="00385ABA" w:rsidRDefault="0080767F" w:rsidP="0080767F">
            <w:pPr>
              <w:autoSpaceDE w:val="0"/>
              <w:autoSpaceDN w:val="0"/>
              <w:adjustRightInd w:val="0"/>
              <w:jc w:val="center"/>
              <w:rPr>
                <w:color w:val="000000"/>
              </w:rPr>
            </w:pPr>
            <w:r w:rsidRPr="00385ABA">
              <w:rPr>
                <w:color w:val="000000"/>
              </w:rPr>
              <w:t>NP Vulnerable</w:t>
            </w:r>
          </w:p>
        </w:tc>
        <w:tc>
          <w:tcPr>
            <w:tcW w:w="1701" w:type="dxa"/>
            <w:tcBorders>
              <w:top w:val="single" w:sz="8" w:space="0" w:color="000000"/>
              <w:bottom w:val="single" w:sz="8" w:space="0" w:color="000000"/>
              <w:right w:val="single" w:sz="8" w:space="0" w:color="000000"/>
            </w:tcBorders>
          </w:tcPr>
          <w:p w14:paraId="50CB5FD6" w14:textId="77777777" w:rsidR="0080767F" w:rsidRPr="00385ABA" w:rsidRDefault="0080767F" w:rsidP="0080767F">
            <w:pPr>
              <w:autoSpaceDE w:val="0"/>
              <w:autoSpaceDN w:val="0"/>
              <w:adjustRightInd w:val="0"/>
              <w:jc w:val="center"/>
              <w:rPr>
                <w:color w:val="000000"/>
              </w:rPr>
            </w:pPr>
            <w:r w:rsidRPr="00385ABA">
              <w:rPr>
                <w:color w:val="000000"/>
              </w:rPr>
              <w:t>AMB-4</w:t>
            </w:r>
          </w:p>
        </w:tc>
        <w:tc>
          <w:tcPr>
            <w:tcW w:w="1701" w:type="dxa"/>
            <w:tcBorders>
              <w:top w:val="single" w:sz="8" w:space="0" w:color="000000"/>
              <w:bottom w:val="single" w:sz="8" w:space="0" w:color="000000"/>
              <w:right w:val="single" w:sz="8" w:space="0" w:color="000000"/>
            </w:tcBorders>
          </w:tcPr>
          <w:p w14:paraId="0143CF63" w14:textId="1E9C0CDC" w:rsidR="0080767F" w:rsidRPr="00385ABA" w:rsidRDefault="0080767F" w:rsidP="00C16622">
            <w:pPr>
              <w:autoSpaceDE w:val="0"/>
              <w:autoSpaceDN w:val="0"/>
              <w:adjustRightInd w:val="0"/>
              <w:jc w:val="center"/>
              <w:rPr>
                <w:color w:val="000000"/>
              </w:rPr>
            </w:pPr>
            <w:r w:rsidRPr="00385ABA">
              <w:rPr>
                <w:color w:val="000000"/>
              </w:rPr>
              <w:t>B</w:t>
            </w:r>
          </w:p>
        </w:tc>
      </w:tr>
      <w:tr w:rsidR="0080767F" w:rsidRPr="00385ABA" w14:paraId="60453C6C" w14:textId="77777777" w:rsidTr="0080767F">
        <w:trPr>
          <w:trHeight w:val="157"/>
        </w:trPr>
        <w:tc>
          <w:tcPr>
            <w:tcW w:w="993" w:type="dxa"/>
            <w:tcBorders>
              <w:top w:val="single" w:sz="8" w:space="0" w:color="000000"/>
              <w:left w:val="single" w:sz="8" w:space="0" w:color="000000"/>
              <w:bottom w:val="single" w:sz="8" w:space="0" w:color="000000"/>
              <w:right w:val="single" w:sz="8" w:space="0" w:color="000000"/>
            </w:tcBorders>
          </w:tcPr>
          <w:p w14:paraId="07ECDF18" w14:textId="77777777" w:rsidR="0080767F" w:rsidRPr="00385ABA" w:rsidRDefault="0080767F" w:rsidP="0080767F">
            <w:pPr>
              <w:autoSpaceDE w:val="0"/>
              <w:autoSpaceDN w:val="0"/>
              <w:adjustRightInd w:val="0"/>
              <w:jc w:val="center"/>
              <w:rPr>
                <w:color w:val="000000"/>
              </w:rPr>
            </w:pPr>
            <w:r w:rsidRPr="00385ABA">
              <w:rPr>
                <w:color w:val="000000"/>
              </w:rPr>
              <w:t>7</w:t>
            </w:r>
          </w:p>
        </w:tc>
        <w:tc>
          <w:tcPr>
            <w:tcW w:w="1701" w:type="dxa"/>
            <w:tcBorders>
              <w:top w:val="single" w:sz="8" w:space="0" w:color="000000"/>
              <w:bottom w:val="single" w:sz="8" w:space="0" w:color="000000"/>
              <w:right w:val="single" w:sz="8" w:space="0" w:color="000000"/>
            </w:tcBorders>
          </w:tcPr>
          <w:p w14:paraId="25373DA0" w14:textId="77777777" w:rsidR="0080767F" w:rsidRPr="00385ABA" w:rsidRDefault="0080767F" w:rsidP="0080767F">
            <w:pPr>
              <w:autoSpaceDE w:val="0"/>
              <w:autoSpaceDN w:val="0"/>
              <w:adjustRightInd w:val="0"/>
              <w:jc w:val="center"/>
              <w:rPr>
                <w:color w:val="000000"/>
              </w:rPr>
            </w:pPr>
            <w:r w:rsidRPr="00385ABA">
              <w:rPr>
                <w:color w:val="000000"/>
              </w:rPr>
              <w:t>C</w:t>
            </w:r>
          </w:p>
        </w:tc>
        <w:tc>
          <w:tcPr>
            <w:tcW w:w="1701" w:type="dxa"/>
            <w:tcBorders>
              <w:top w:val="single" w:sz="8" w:space="0" w:color="000000"/>
              <w:bottom w:val="single" w:sz="8" w:space="0" w:color="000000"/>
              <w:right w:val="single" w:sz="8" w:space="0" w:color="000000"/>
            </w:tcBorders>
          </w:tcPr>
          <w:p w14:paraId="5343F129" w14:textId="77777777" w:rsidR="0080767F" w:rsidRPr="00385ABA" w:rsidRDefault="0080767F" w:rsidP="0080767F">
            <w:pPr>
              <w:autoSpaceDE w:val="0"/>
              <w:autoSpaceDN w:val="0"/>
              <w:adjustRightInd w:val="0"/>
              <w:jc w:val="center"/>
              <w:rPr>
                <w:color w:val="000000"/>
              </w:rPr>
            </w:pPr>
            <w:r w:rsidRPr="00385ABA">
              <w:rPr>
                <w:color w:val="000000"/>
              </w:rPr>
              <w:t>NP Currently Vulnerable</w:t>
            </w:r>
          </w:p>
        </w:tc>
        <w:tc>
          <w:tcPr>
            <w:tcW w:w="1701" w:type="dxa"/>
            <w:tcBorders>
              <w:top w:val="single" w:sz="8" w:space="0" w:color="000000"/>
              <w:bottom w:val="single" w:sz="8" w:space="0" w:color="000000"/>
              <w:right w:val="single" w:sz="8" w:space="0" w:color="000000"/>
            </w:tcBorders>
          </w:tcPr>
          <w:p w14:paraId="7087A5C5" w14:textId="77777777" w:rsidR="0080767F" w:rsidRPr="00385ABA" w:rsidRDefault="0080767F" w:rsidP="0080767F">
            <w:pPr>
              <w:autoSpaceDE w:val="0"/>
              <w:autoSpaceDN w:val="0"/>
              <w:adjustRightInd w:val="0"/>
              <w:jc w:val="center"/>
              <w:rPr>
                <w:color w:val="000000"/>
              </w:rPr>
            </w:pPr>
          </w:p>
        </w:tc>
        <w:tc>
          <w:tcPr>
            <w:tcW w:w="1701" w:type="dxa"/>
            <w:tcBorders>
              <w:top w:val="single" w:sz="8" w:space="0" w:color="000000"/>
              <w:bottom w:val="single" w:sz="8" w:space="0" w:color="000000"/>
              <w:right w:val="single" w:sz="8" w:space="0" w:color="000000"/>
            </w:tcBorders>
          </w:tcPr>
          <w:p w14:paraId="1EEF6011" w14:textId="77777777" w:rsidR="0080767F" w:rsidRPr="00385ABA" w:rsidRDefault="0080767F" w:rsidP="0080767F">
            <w:pPr>
              <w:autoSpaceDE w:val="0"/>
              <w:autoSpaceDN w:val="0"/>
              <w:adjustRightInd w:val="0"/>
              <w:jc w:val="center"/>
              <w:rPr>
                <w:color w:val="000000"/>
              </w:rPr>
            </w:pPr>
            <w:r w:rsidRPr="00385ABA">
              <w:rPr>
                <w:color w:val="000000"/>
              </w:rPr>
              <w:t>C</w:t>
            </w:r>
          </w:p>
        </w:tc>
      </w:tr>
    </w:tbl>
    <w:p w14:paraId="286EEE51" w14:textId="77777777" w:rsidR="004D17BF" w:rsidRDefault="0080767F" w:rsidP="004D17BF">
      <w:pPr>
        <w:jc w:val="both"/>
      </w:pPr>
      <w:r w:rsidRPr="00385ABA">
        <w:tab/>
      </w:r>
    </w:p>
    <w:p w14:paraId="3EB08803" w14:textId="2F45EBAC" w:rsidR="0080767F" w:rsidRPr="00385ABA" w:rsidRDefault="0080767F" w:rsidP="004D17BF">
      <w:pPr>
        <w:jc w:val="both"/>
        <w:rPr>
          <w:b/>
        </w:rPr>
      </w:pPr>
      <w:r>
        <w:rPr>
          <w:b/>
        </w:rPr>
        <w:t xml:space="preserve">Table 2: </w:t>
      </w:r>
      <w:r w:rsidRPr="00385ABA">
        <w:rPr>
          <w:b/>
        </w:rPr>
        <w:t>Long-term ratings</w:t>
      </w:r>
    </w:p>
    <w:tbl>
      <w:tblPr>
        <w:tblW w:w="7797" w:type="dxa"/>
        <w:tblInd w:w="675" w:type="dxa"/>
        <w:tblBorders>
          <w:top w:val="nil"/>
          <w:left w:val="nil"/>
          <w:bottom w:val="nil"/>
          <w:right w:val="nil"/>
        </w:tblBorders>
        <w:tblLayout w:type="fixed"/>
        <w:tblLook w:val="0000" w:firstRow="0" w:lastRow="0" w:firstColumn="0" w:lastColumn="0" w:noHBand="0" w:noVBand="0"/>
      </w:tblPr>
      <w:tblGrid>
        <w:gridCol w:w="992"/>
        <w:gridCol w:w="1361"/>
        <w:gridCol w:w="1361"/>
        <w:gridCol w:w="1361"/>
        <w:gridCol w:w="1361"/>
        <w:gridCol w:w="1361"/>
      </w:tblGrid>
      <w:tr w:rsidR="0080767F" w:rsidRPr="00385ABA" w14:paraId="11A046D2" w14:textId="77777777" w:rsidTr="0080767F">
        <w:trPr>
          <w:trHeight w:val="278"/>
        </w:trPr>
        <w:tc>
          <w:tcPr>
            <w:tcW w:w="993" w:type="dxa"/>
            <w:vMerge w:val="restart"/>
            <w:tcBorders>
              <w:top w:val="single" w:sz="8" w:space="0" w:color="000000"/>
              <w:left w:val="single" w:sz="8" w:space="0" w:color="000000"/>
              <w:right w:val="single" w:sz="8" w:space="0" w:color="000000"/>
            </w:tcBorders>
          </w:tcPr>
          <w:p w14:paraId="155E9FBA" w14:textId="77777777" w:rsidR="0080767F" w:rsidRPr="00AB3D0E" w:rsidRDefault="0080767F" w:rsidP="0080767F">
            <w:pPr>
              <w:autoSpaceDE w:val="0"/>
              <w:autoSpaceDN w:val="0"/>
              <w:adjustRightInd w:val="0"/>
              <w:jc w:val="center"/>
              <w:rPr>
                <w:color w:val="000000"/>
              </w:rPr>
            </w:pPr>
            <w:r w:rsidRPr="00AB3D0E">
              <w:rPr>
                <w:b/>
                <w:bCs/>
                <w:color w:val="000000"/>
              </w:rPr>
              <w:lastRenderedPageBreak/>
              <w:t>Grade</w:t>
            </w:r>
          </w:p>
        </w:tc>
        <w:tc>
          <w:tcPr>
            <w:tcW w:w="1361" w:type="dxa"/>
            <w:vMerge w:val="restart"/>
            <w:tcBorders>
              <w:top w:val="single" w:sz="8" w:space="0" w:color="000000"/>
              <w:left w:val="single" w:sz="4" w:space="0" w:color="auto"/>
              <w:right w:val="single" w:sz="8" w:space="0" w:color="000000"/>
            </w:tcBorders>
          </w:tcPr>
          <w:p w14:paraId="6A2264BB" w14:textId="77777777" w:rsidR="0080767F" w:rsidRPr="00AB3D0E" w:rsidRDefault="0080767F" w:rsidP="0080767F">
            <w:pPr>
              <w:autoSpaceDE w:val="0"/>
              <w:autoSpaceDN w:val="0"/>
              <w:adjustRightInd w:val="0"/>
              <w:jc w:val="center"/>
              <w:rPr>
                <w:color w:val="000000"/>
              </w:rPr>
            </w:pPr>
            <w:r w:rsidRPr="00AB3D0E">
              <w:rPr>
                <w:b/>
                <w:bCs/>
                <w:color w:val="000000"/>
              </w:rPr>
              <w:t>Standard &amp; Poor’s</w:t>
            </w:r>
          </w:p>
        </w:tc>
        <w:tc>
          <w:tcPr>
            <w:tcW w:w="1361" w:type="dxa"/>
            <w:vMerge w:val="restart"/>
            <w:tcBorders>
              <w:top w:val="single" w:sz="8" w:space="0" w:color="000000"/>
              <w:right w:val="single" w:sz="8" w:space="0" w:color="000000"/>
            </w:tcBorders>
          </w:tcPr>
          <w:p w14:paraId="447F42AF" w14:textId="77777777" w:rsidR="0080767F" w:rsidRPr="00AB3D0E" w:rsidRDefault="0080767F" w:rsidP="0080767F">
            <w:pPr>
              <w:autoSpaceDE w:val="0"/>
              <w:autoSpaceDN w:val="0"/>
              <w:adjustRightInd w:val="0"/>
              <w:jc w:val="center"/>
              <w:rPr>
                <w:color w:val="000000"/>
              </w:rPr>
            </w:pPr>
            <w:r w:rsidRPr="00AB3D0E">
              <w:rPr>
                <w:b/>
                <w:bCs/>
                <w:color w:val="000000"/>
              </w:rPr>
              <w:t>Moody’s</w:t>
            </w:r>
          </w:p>
        </w:tc>
        <w:tc>
          <w:tcPr>
            <w:tcW w:w="1361" w:type="dxa"/>
            <w:gridSpan w:val="2"/>
            <w:tcBorders>
              <w:top w:val="single" w:sz="8" w:space="0" w:color="000000"/>
              <w:right w:val="single" w:sz="8" w:space="0" w:color="000000"/>
            </w:tcBorders>
          </w:tcPr>
          <w:p w14:paraId="612E0ADD" w14:textId="77777777" w:rsidR="0080767F" w:rsidRPr="00AB3D0E" w:rsidRDefault="0080767F" w:rsidP="0080767F">
            <w:pPr>
              <w:autoSpaceDE w:val="0"/>
              <w:autoSpaceDN w:val="0"/>
              <w:adjustRightInd w:val="0"/>
              <w:jc w:val="center"/>
              <w:rPr>
                <w:color w:val="000000"/>
              </w:rPr>
            </w:pPr>
            <w:r w:rsidRPr="00AB3D0E">
              <w:rPr>
                <w:b/>
                <w:bCs/>
                <w:color w:val="000000"/>
              </w:rPr>
              <w:t>AM Best</w:t>
            </w:r>
          </w:p>
        </w:tc>
        <w:tc>
          <w:tcPr>
            <w:tcW w:w="1361" w:type="dxa"/>
            <w:vMerge w:val="restart"/>
            <w:tcBorders>
              <w:top w:val="single" w:sz="8" w:space="0" w:color="000000"/>
              <w:right w:val="single" w:sz="8" w:space="0" w:color="000000"/>
            </w:tcBorders>
          </w:tcPr>
          <w:p w14:paraId="3E63B194" w14:textId="77777777" w:rsidR="0080767F" w:rsidRPr="00AB3D0E" w:rsidRDefault="0080767F" w:rsidP="0080767F">
            <w:pPr>
              <w:autoSpaceDE w:val="0"/>
              <w:autoSpaceDN w:val="0"/>
              <w:adjustRightInd w:val="0"/>
              <w:jc w:val="center"/>
              <w:rPr>
                <w:color w:val="000000"/>
              </w:rPr>
            </w:pPr>
            <w:r w:rsidRPr="00AB3D0E">
              <w:rPr>
                <w:b/>
                <w:bCs/>
                <w:color w:val="000000"/>
              </w:rPr>
              <w:t>Fitch</w:t>
            </w:r>
          </w:p>
        </w:tc>
      </w:tr>
      <w:tr w:rsidR="0080767F" w:rsidRPr="00385ABA" w14:paraId="736EA944" w14:textId="77777777" w:rsidTr="0080767F">
        <w:trPr>
          <w:trHeight w:val="277"/>
        </w:trPr>
        <w:tc>
          <w:tcPr>
            <w:tcW w:w="993" w:type="dxa"/>
            <w:vMerge/>
            <w:tcBorders>
              <w:left w:val="single" w:sz="8" w:space="0" w:color="000000"/>
              <w:bottom w:val="single" w:sz="8" w:space="0" w:color="000000"/>
              <w:right w:val="single" w:sz="8" w:space="0" w:color="000000"/>
            </w:tcBorders>
          </w:tcPr>
          <w:p w14:paraId="4CC9A7C7" w14:textId="77777777" w:rsidR="0080767F" w:rsidRPr="00AB3D0E" w:rsidRDefault="0080767F" w:rsidP="0080767F">
            <w:pPr>
              <w:autoSpaceDE w:val="0"/>
              <w:autoSpaceDN w:val="0"/>
              <w:adjustRightInd w:val="0"/>
              <w:jc w:val="center"/>
              <w:rPr>
                <w:b/>
                <w:bCs/>
                <w:color w:val="000000"/>
              </w:rPr>
            </w:pPr>
          </w:p>
        </w:tc>
        <w:tc>
          <w:tcPr>
            <w:tcW w:w="1361" w:type="dxa"/>
            <w:vMerge/>
            <w:tcBorders>
              <w:left w:val="single" w:sz="4" w:space="0" w:color="auto"/>
              <w:right w:val="single" w:sz="8" w:space="0" w:color="000000"/>
            </w:tcBorders>
          </w:tcPr>
          <w:p w14:paraId="6F364DB0" w14:textId="77777777" w:rsidR="0080767F" w:rsidRPr="00AB3D0E" w:rsidRDefault="0080767F" w:rsidP="0080767F">
            <w:pPr>
              <w:autoSpaceDE w:val="0"/>
              <w:autoSpaceDN w:val="0"/>
              <w:adjustRightInd w:val="0"/>
              <w:jc w:val="center"/>
              <w:rPr>
                <w:b/>
                <w:bCs/>
                <w:color w:val="000000"/>
              </w:rPr>
            </w:pPr>
          </w:p>
        </w:tc>
        <w:tc>
          <w:tcPr>
            <w:tcW w:w="1361" w:type="dxa"/>
            <w:vMerge/>
            <w:tcBorders>
              <w:right w:val="single" w:sz="8" w:space="0" w:color="000000"/>
            </w:tcBorders>
          </w:tcPr>
          <w:p w14:paraId="114F5552" w14:textId="77777777" w:rsidR="0080767F" w:rsidRPr="00AB3D0E" w:rsidRDefault="0080767F" w:rsidP="0080767F">
            <w:pPr>
              <w:autoSpaceDE w:val="0"/>
              <w:autoSpaceDN w:val="0"/>
              <w:adjustRightInd w:val="0"/>
              <w:jc w:val="center"/>
              <w:rPr>
                <w:b/>
                <w:bCs/>
                <w:color w:val="000000"/>
              </w:rPr>
            </w:pPr>
          </w:p>
        </w:tc>
        <w:tc>
          <w:tcPr>
            <w:tcW w:w="1361" w:type="dxa"/>
            <w:tcBorders>
              <w:top w:val="single" w:sz="8" w:space="0" w:color="000000"/>
              <w:right w:val="single" w:sz="8" w:space="0" w:color="000000"/>
            </w:tcBorders>
          </w:tcPr>
          <w:p w14:paraId="2B88F259" w14:textId="77777777" w:rsidR="0080767F" w:rsidRPr="00AB3D0E" w:rsidRDefault="0080767F" w:rsidP="0080767F">
            <w:pPr>
              <w:autoSpaceDE w:val="0"/>
              <w:autoSpaceDN w:val="0"/>
              <w:adjustRightInd w:val="0"/>
              <w:jc w:val="center"/>
              <w:rPr>
                <w:b/>
                <w:bCs/>
                <w:color w:val="000000"/>
              </w:rPr>
            </w:pPr>
            <w:r w:rsidRPr="00AB3D0E">
              <w:rPr>
                <w:b/>
                <w:bCs/>
                <w:color w:val="000000"/>
              </w:rPr>
              <w:t>Debt</w:t>
            </w:r>
          </w:p>
        </w:tc>
        <w:tc>
          <w:tcPr>
            <w:tcW w:w="1361" w:type="dxa"/>
            <w:tcBorders>
              <w:top w:val="single" w:sz="8" w:space="0" w:color="000000"/>
              <w:right w:val="single" w:sz="8" w:space="0" w:color="000000"/>
            </w:tcBorders>
          </w:tcPr>
          <w:p w14:paraId="3FC605B7" w14:textId="77777777" w:rsidR="0080767F" w:rsidRPr="00AB3D0E" w:rsidRDefault="0080767F" w:rsidP="0080767F">
            <w:pPr>
              <w:autoSpaceDE w:val="0"/>
              <w:autoSpaceDN w:val="0"/>
              <w:adjustRightInd w:val="0"/>
              <w:jc w:val="center"/>
              <w:rPr>
                <w:b/>
                <w:bCs/>
                <w:color w:val="000000"/>
              </w:rPr>
            </w:pPr>
            <w:r w:rsidRPr="00AB3D0E">
              <w:rPr>
                <w:b/>
                <w:bCs/>
                <w:color w:val="000000"/>
              </w:rPr>
              <w:t>FSR</w:t>
            </w:r>
            <w:r w:rsidRPr="00EF3B5E">
              <w:rPr>
                <w:rStyle w:val="FootnoteReference"/>
                <w:bCs/>
                <w:color w:val="000000"/>
              </w:rPr>
              <w:footnoteReference w:id="3"/>
            </w:r>
          </w:p>
        </w:tc>
        <w:tc>
          <w:tcPr>
            <w:tcW w:w="1361" w:type="dxa"/>
            <w:vMerge/>
            <w:tcBorders>
              <w:bottom w:val="single" w:sz="8" w:space="0" w:color="000000"/>
              <w:right w:val="single" w:sz="8" w:space="0" w:color="000000"/>
            </w:tcBorders>
          </w:tcPr>
          <w:p w14:paraId="2AD61EF7" w14:textId="77777777" w:rsidR="0080767F" w:rsidRPr="00AB3D0E" w:rsidRDefault="0080767F" w:rsidP="0080767F">
            <w:pPr>
              <w:autoSpaceDE w:val="0"/>
              <w:autoSpaceDN w:val="0"/>
              <w:adjustRightInd w:val="0"/>
              <w:jc w:val="center"/>
              <w:rPr>
                <w:b/>
                <w:bCs/>
                <w:color w:val="000000"/>
              </w:rPr>
            </w:pPr>
          </w:p>
        </w:tc>
      </w:tr>
      <w:tr w:rsidR="0080767F" w:rsidRPr="00385ABA" w14:paraId="0FE948A7" w14:textId="77777777" w:rsidTr="0080767F">
        <w:trPr>
          <w:trHeight w:val="157"/>
        </w:trPr>
        <w:tc>
          <w:tcPr>
            <w:tcW w:w="993" w:type="dxa"/>
            <w:tcBorders>
              <w:top w:val="single" w:sz="8" w:space="0" w:color="000000"/>
              <w:left w:val="single" w:sz="8" w:space="0" w:color="000000"/>
              <w:bottom w:val="single" w:sz="8" w:space="0" w:color="000000"/>
              <w:right w:val="single" w:sz="8" w:space="0" w:color="000000"/>
            </w:tcBorders>
          </w:tcPr>
          <w:p w14:paraId="7760971A" w14:textId="77777777" w:rsidR="0080767F" w:rsidRPr="00AB3D0E" w:rsidRDefault="0080767F" w:rsidP="0080767F">
            <w:pPr>
              <w:autoSpaceDE w:val="0"/>
              <w:autoSpaceDN w:val="0"/>
              <w:adjustRightInd w:val="0"/>
              <w:jc w:val="center"/>
              <w:rPr>
                <w:color w:val="000000"/>
              </w:rPr>
            </w:pPr>
            <w:r w:rsidRPr="00AB3D0E">
              <w:rPr>
                <w:color w:val="000000"/>
              </w:rPr>
              <w:t>1</w:t>
            </w:r>
          </w:p>
        </w:tc>
        <w:tc>
          <w:tcPr>
            <w:tcW w:w="1361" w:type="dxa"/>
            <w:tcBorders>
              <w:top w:val="single" w:sz="8" w:space="0" w:color="000000"/>
              <w:left w:val="single" w:sz="4" w:space="0" w:color="auto"/>
              <w:bottom w:val="single" w:sz="4" w:space="0" w:color="auto"/>
              <w:right w:val="single" w:sz="8" w:space="0" w:color="000000"/>
            </w:tcBorders>
          </w:tcPr>
          <w:p w14:paraId="4F91B4F5" w14:textId="77777777" w:rsidR="0080767F" w:rsidRPr="00AB3D0E" w:rsidRDefault="0080767F" w:rsidP="0080767F">
            <w:pPr>
              <w:autoSpaceDE w:val="0"/>
              <w:autoSpaceDN w:val="0"/>
              <w:adjustRightInd w:val="0"/>
              <w:jc w:val="center"/>
              <w:rPr>
                <w:color w:val="000000"/>
              </w:rPr>
            </w:pPr>
            <w:r w:rsidRPr="00AB3D0E">
              <w:rPr>
                <w:color w:val="000000"/>
              </w:rPr>
              <w:t>AAA</w:t>
            </w:r>
          </w:p>
        </w:tc>
        <w:tc>
          <w:tcPr>
            <w:tcW w:w="1361" w:type="dxa"/>
            <w:tcBorders>
              <w:top w:val="single" w:sz="8" w:space="0" w:color="000000"/>
              <w:bottom w:val="single" w:sz="4" w:space="0" w:color="auto"/>
              <w:right w:val="single" w:sz="8" w:space="0" w:color="000000"/>
            </w:tcBorders>
          </w:tcPr>
          <w:p w14:paraId="23D8063A" w14:textId="77777777" w:rsidR="0080767F" w:rsidRPr="00AB3D0E" w:rsidRDefault="0080767F" w:rsidP="0080767F">
            <w:pPr>
              <w:autoSpaceDE w:val="0"/>
              <w:autoSpaceDN w:val="0"/>
              <w:adjustRightInd w:val="0"/>
              <w:jc w:val="center"/>
              <w:rPr>
                <w:color w:val="000000"/>
              </w:rPr>
            </w:pPr>
            <w:r w:rsidRPr="00AB3D0E">
              <w:rPr>
                <w:color w:val="000000"/>
              </w:rPr>
              <w:t>Aaa</w:t>
            </w:r>
          </w:p>
        </w:tc>
        <w:tc>
          <w:tcPr>
            <w:tcW w:w="1361" w:type="dxa"/>
            <w:tcBorders>
              <w:top w:val="single" w:sz="8" w:space="0" w:color="000000"/>
              <w:bottom w:val="single" w:sz="4" w:space="0" w:color="auto"/>
              <w:right w:val="single" w:sz="8" w:space="0" w:color="000000"/>
            </w:tcBorders>
          </w:tcPr>
          <w:p w14:paraId="3173B623" w14:textId="77777777" w:rsidR="0080767F" w:rsidRPr="00AB3D0E" w:rsidRDefault="0080767F" w:rsidP="0080767F">
            <w:pPr>
              <w:autoSpaceDE w:val="0"/>
              <w:autoSpaceDN w:val="0"/>
              <w:adjustRightInd w:val="0"/>
              <w:jc w:val="center"/>
              <w:rPr>
                <w:color w:val="000000"/>
              </w:rPr>
            </w:pPr>
            <w:r w:rsidRPr="00AB3D0E">
              <w:rPr>
                <w:color w:val="000000"/>
              </w:rPr>
              <w:t>aaa</w:t>
            </w:r>
          </w:p>
        </w:tc>
        <w:tc>
          <w:tcPr>
            <w:tcW w:w="1361" w:type="dxa"/>
            <w:tcBorders>
              <w:top w:val="single" w:sz="8" w:space="0" w:color="000000"/>
              <w:bottom w:val="single" w:sz="4" w:space="0" w:color="auto"/>
              <w:right w:val="single" w:sz="8" w:space="0" w:color="000000"/>
            </w:tcBorders>
          </w:tcPr>
          <w:p w14:paraId="3F1F391A" w14:textId="77777777" w:rsidR="0080767F" w:rsidRPr="00AB3D0E" w:rsidRDefault="0080767F" w:rsidP="0080767F">
            <w:pPr>
              <w:autoSpaceDE w:val="0"/>
              <w:autoSpaceDN w:val="0"/>
              <w:adjustRightInd w:val="0"/>
              <w:jc w:val="center"/>
              <w:rPr>
                <w:color w:val="000000"/>
              </w:rPr>
            </w:pPr>
            <w:r w:rsidRPr="00AB3D0E">
              <w:rPr>
                <w:color w:val="000000"/>
              </w:rPr>
              <w:t>A++</w:t>
            </w:r>
          </w:p>
        </w:tc>
        <w:tc>
          <w:tcPr>
            <w:tcW w:w="1361" w:type="dxa"/>
            <w:tcBorders>
              <w:top w:val="single" w:sz="8" w:space="0" w:color="000000"/>
              <w:bottom w:val="single" w:sz="4" w:space="0" w:color="auto"/>
              <w:right w:val="single" w:sz="8" w:space="0" w:color="000000"/>
            </w:tcBorders>
          </w:tcPr>
          <w:p w14:paraId="2BDE72DD" w14:textId="77777777" w:rsidR="0080767F" w:rsidRPr="00AB3D0E" w:rsidRDefault="0080767F" w:rsidP="0080767F">
            <w:pPr>
              <w:autoSpaceDE w:val="0"/>
              <w:autoSpaceDN w:val="0"/>
              <w:adjustRightInd w:val="0"/>
              <w:jc w:val="center"/>
              <w:rPr>
                <w:color w:val="000000"/>
              </w:rPr>
            </w:pPr>
            <w:r w:rsidRPr="00AB3D0E">
              <w:rPr>
                <w:color w:val="000000"/>
              </w:rPr>
              <w:t>AAA</w:t>
            </w:r>
          </w:p>
        </w:tc>
      </w:tr>
      <w:tr w:rsidR="0080767F" w:rsidRPr="00385ABA" w14:paraId="0F5EA637" w14:textId="77777777" w:rsidTr="0080767F">
        <w:trPr>
          <w:trHeight w:val="433"/>
        </w:trPr>
        <w:tc>
          <w:tcPr>
            <w:tcW w:w="993" w:type="dxa"/>
            <w:tcBorders>
              <w:top w:val="single" w:sz="8" w:space="0" w:color="000000"/>
              <w:left w:val="single" w:sz="8" w:space="0" w:color="000000"/>
              <w:bottom w:val="single" w:sz="8" w:space="0" w:color="000000"/>
              <w:right w:val="single" w:sz="8" w:space="0" w:color="000000"/>
            </w:tcBorders>
          </w:tcPr>
          <w:p w14:paraId="0394E346" w14:textId="77777777" w:rsidR="0080767F" w:rsidRPr="00AB3D0E" w:rsidRDefault="0080767F" w:rsidP="0080767F">
            <w:pPr>
              <w:autoSpaceDE w:val="0"/>
              <w:autoSpaceDN w:val="0"/>
              <w:adjustRightInd w:val="0"/>
              <w:jc w:val="center"/>
              <w:rPr>
                <w:color w:val="000000"/>
              </w:rPr>
            </w:pPr>
            <w:r w:rsidRPr="00AB3D0E">
              <w:rPr>
                <w:color w:val="000000"/>
              </w:rPr>
              <w:t>2</w:t>
            </w:r>
          </w:p>
        </w:tc>
        <w:tc>
          <w:tcPr>
            <w:tcW w:w="1361" w:type="dxa"/>
            <w:tcBorders>
              <w:top w:val="single" w:sz="4" w:space="0" w:color="auto"/>
              <w:left w:val="single" w:sz="4" w:space="0" w:color="auto"/>
              <w:bottom w:val="single" w:sz="8" w:space="0" w:color="000000"/>
              <w:right w:val="single" w:sz="8" w:space="0" w:color="000000"/>
            </w:tcBorders>
          </w:tcPr>
          <w:p w14:paraId="0ABA415F" w14:textId="0CBC98E2" w:rsidR="0080767F" w:rsidRPr="00AB3D0E" w:rsidRDefault="0080767F" w:rsidP="0073126C">
            <w:pPr>
              <w:autoSpaceDE w:val="0"/>
              <w:autoSpaceDN w:val="0"/>
              <w:adjustRightInd w:val="0"/>
              <w:jc w:val="center"/>
              <w:rPr>
                <w:color w:val="000000"/>
              </w:rPr>
            </w:pPr>
            <w:r w:rsidRPr="00AB3D0E">
              <w:rPr>
                <w:color w:val="000000"/>
              </w:rPr>
              <w:t>AA+</w:t>
            </w:r>
            <w:r w:rsidR="0073126C">
              <w:rPr>
                <w:color w:val="000000"/>
              </w:rPr>
              <w:br/>
            </w:r>
            <w:r w:rsidRPr="00AB3D0E">
              <w:rPr>
                <w:color w:val="000000"/>
              </w:rPr>
              <w:t>AA</w:t>
            </w:r>
            <w:r w:rsidR="0073126C">
              <w:rPr>
                <w:color w:val="000000"/>
              </w:rPr>
              <w:br/>
            </w:r>
            <w:r w:rsidRPr="00AB3D0E">
              <w:rPr>
                <w:color w:val="000000"/>
              </w:rPr>
              <w:t>AA-</w:t>
            </w:r>
          </w:p>
        </w:tc>
        <w:tc>
          <w:tcPr>
            <w:tcW w:w="1361" w:type="dxa"/>
            <w:tcBorders>
              <w:top w:val="single" w:sz="4" w:space="0" w:color="auto"/>
              <w:bottom w:val="single" w:sz="8" w:space="0" w:color="000000"/>
              <w:right w:val="single" w:sz="8" w:space="0" w:color="000000"/>
            </w:tcBorders>
          </w:tcPr>
          <w:p w14:paraId="6AFC6C9B" w14:textId="6EF30006" w:rsidR="0080767F" w:rsidRPr="00AB3D0E" w:rsidRDefault="0080767F" w:rsidP="0073126C">
            <w:pPr>
              <w:autoSpaceDE w:val="0"/>
              <w:autoSpaceDN w:val="0"/>
              <w:adjustRightInd w:val="0"/>
              <w:jc w:val="center"/>
              <w:rPr>
                <w:color w:val="000000"/>
              </w:rPr>
            </w:pPr>
            <w:r w:rsidRPr="00AB3D0E">
              <w:rPr>
                <w:color w:val="000000"/>
              </w:rPr>
              <w:t>Aa1</w:t>
            </w:r>
            <w:r w:rsidR="0073126C">
              <w:rPr>
                <w:color w:val="000000"/>
              </w:rPr>
              <w:br/>
            </w:r>
            <w:r w:rsidRPr="00AB3D0E">
              <w:rPr>
                <w:color w:val="000000"/>
              </w:rPr>
              <w:t>Aa2</w:t>
            </w:r>
            <w:r w:rsidR="0073126C">
              <w:rPr>
                <w:color w:val="000000"/>
              </w:rPr>
              <w:br/>
            </w:r>
            <w:r w:rsidRPr="00AB3D0E">
              <w:rPr>
                <w:color w:val="000000"/>
              </w:rPr>
              <w:t>Aa3</w:t>
            </w:r>
          </w:p>
        </w:tc>
        <w:tc>
          <w:tcPr>
            <w:tcW w:w="1361" w:type="dxa"/>
            <w:tcBorders>
              <w:top w:val="single" w:sz="4" w:space="0" w:color="auto"/>
              <w:bottom w:val="single" w:sz="8" w:space="0" w:color="000000"/>
              <w:right w:val="single" w:sz="8" w:space="0" w:color="000000"/>
            </w:tcBorders>
          </w:tcPr>
          <w:p w14:paraId="50F6AFF7" w14:textId="21A393D6" w:rsidR="0080767F" w:rsidRPr="00AB3D0E" w:rsidRDefault="0080767F" w:rsidP="0073126C">
            <w:pPr>
              <w:autoSpaceDE w:val="0"/>
              <w:autoSpaceDN w:val="0"/>
              <w:adjustRightInd w:val="0"/>
              <w:jc w:val="center"/>
              <w:rPr>
                <w:color w:val="000000"/>
              </w:rPr>
            </w:pPr>
            <w:r w:rsidRPr="00AB3D0E">
              <w:rPr>
                <w:color w:val="000000"/>
              </w:rPr>
              <w:t>aa+</w:t>
            </w:r>
            <w:r w:rsidR="0073126C">
              <w:rPr>
                <w:color w:val="000000"/>
              </w:rPr>
              <w:br/>
            </w:r>
            <w:r w:rsidRPr="00AB3D0E">
              <w:rPr>
                <w:color w:val="000000"/>
              </w:rPr>
              <w:t>aa</w:t>
            </w:r>
            <w:r w:rsidR="0073126C">
              <w:rPr>
                <w:color w:val="000000"/>
              </w:rPr>
              <w:br/>
            </w:r>
            <w:r w:rsidRPr="00AB3D0E">
              <w:rPr>
                <w:color w:val="000000"/>
              </w:rPr>
              <w:t>aa-</w:t>
            </w:r>
          </w:p>
        </w:tc>
        <w:tc>
          <w:tcPr>
            <w:tcW w:w="1361" w:type="dxa"/>
            <w:tcBorders>
              <w:top w:val="single" w:sz="4" w:space="0" w:color="auto"/>
              <w:bottom w:val="single" w:sz="8" w:space="0" w:color="000000"/>
              <w:right w:val="single" w:sz="8" w:space="0" w:color="000000"/>
            </w:tcBorders>
          </w:tcPr>
          <w:p w14:paraId="2806DF26" w14:textId="5078EDB6" w:rsidR="0080767F" w:rsidRPr="00AB3D0E" w:rsidRDefault="0073126C" w:rsidP="0073126C">
            <w:pPr>
              <w:autoSpaceDE w:val="0"/>
              <w:autoSpaceDN w:val="0"/>
              <w:adjustRightInd w:val="0"/>
              <w:jc w:val="center"/>
              <w:rPr>
                <w:color w:val="000000"/>
              </w:rPr>
            </w:pPr>
            <w:r>
              <w:rPr>
                <w:color w:val="000000"/>
              </w:rPr>
              <w:br/>
            </w:r>
            <w:r w:rsidR="0080767F" w:rsidRPr="00AB3D0E">
              <w:rPr>
                <w:color w:val="000000"/>
              </w:rPr>
              <w:t>A+</w:t>
            </w:r>
          </w:p>
        </w:tc>
        <w:tc>
          <w:tcPr>
            <w:tcW w:w="1361" w:type="dxa"/>
            <w:tcBorders>
              <w:top w:val="single" w:sz="4" w:space="0" w:color="auto"/>
              <w:bottom w:val="single" w:sz="8" w:space="0" w:color="000000"/>
              <w:right w:val="single" w:sz="8" w:space="0" w:color="000000"/>
            </w:tcBorders>
          </w:tcPr>
          <w:p w14:paraId="2AAB7971" w14:textId="770F2592" w:rsidR="0080767F" w:rsidRPr="00AB3D0E" w:rsidRDefault="0080767F" w:rsidP="0073126C">
            <w:pPr>
              <w:autoSpaceDE w:val="0"/>
              <w:autoSpaceDN w:val="0"/>
              <w:adjustRightInd w:val="0"/>
              <w:jc w:val="center"/>
              <w:rPr>
                <w:color w:val="000000"/>
              </w:rPr>
            </w:pPr>
            <w:r w:rsidRPr="00AB3D0E">
              <w:rPr>
                <w:color w:val="000000"/>
              </w:rPr>
              <w:t xml:space="preserve">AA+ </w:t>
            </w:r>
            <w:r w:rsidR="0073126C">
              <w:rPr>
                <w:color w:val="000000"/>
              </w:rPr>
              <w:br/>
            </w:r>
            <w:r w:rsidRPr="00AB3D0E">
              <w:rPr>
                <w:color w:val="000000"/>
              </w:rPr>
              <w:t>AA</w:t>
            </w:r>
            <w:r w:rsidRPr="00AB3D0E">
              <w:rPr>
                <w:color w:val="000000"/>
              </w:rPr>
              <w:br/>
              <w:t>AA-</w:t>
            </w:r>
          </w:p>
        </w:tc>
      </w:tr>
      <w:tr w:rsidR="0080767F" w:rsidRPr="00385ABA" w14:paraId="0DED252C" w14:textId="77777777" w:rsidTr="0080767F">
        <w:trPr>
          <w:trHeight w:val="433"/>
        </w:trPr>
        <w:tc>
          <w:tcPr>
            <w:tcW w:w="993" w:type="dxa"/>
            <w:tcBorders>
              <w:top w:val="single" w:sz="8" w:space="0" w:color="000000"/>
              <w:left w:val="single" w:sz="8" w:space="0" w:color="000000"/>
              <w:bottom w:val="single" w:sz="8" w:space="0" w:color="000000"/>
              <w:right w:val="single" w:sz="8" w:space="0" w:color="000000"/>
            </w:tcBorders>
          </w:tcPr>
          <w:p w14:paraId="3D1B4E5E" w14:textId="77777777" w:rsidR="0080767F" w:rsidRPr="00AB3D0E" w:rsidRDefault="0080767F" w:rsidP="0080767F">
            <w:pPr>
              <w:autoSpaceDE w:val="0"/>
              <w:autoSpaceDN w:val="0"/>
              <w:adjustRightInd w:val="0"/>
              <w:jc w:val="center"/>
              <w:rPr>
                <w:color w:val="000000"/>
              </w:rPr>
            </w:pPr>
            <w:r w:rsidRPr="00AB3D0E">
              <w:rPr>
                <w:color w:val="000000"/>
              </w:rPr>
              <w:t>3</w:t>
            </w:r>
          </w:p>
        </w:tc>
        <w:tc>
          <w:tcPr>
            <w:tcW w:w="1361" w:type="dxa"/>
            <w:tcBorders>
              <w:top w:val="single" w:sz="8" w:space="0" w:color="000000"/>
              <w:left w:val="single" w:sz="4" w:space="0" w:color="auto"/>
              <w:bottom w:val="single" w:sz="8" w:space="0" w:color="000000"/>
              <w:right w:val="single" w:sz="8" w:space="0" w:color="000000"/>
            </w:tcBorders>
          </w:tcPr>
          <w:p w14:paraId="2B0A393D" w14:textId="6CC4C65D" w:rsidR="0080767F" w:rsidRPr="00AB3D0E" w:rsidRDefault="0080767F" w:rsidP="0073126C">
            <w:pPr>
              <w:autoSpaceDE w:val="0"/>
              <w:autoSpaceDN w:val="0"/>
              <w:adjustRightInd w:val="0"/>
              <w:jc w:val="center"/>
              <w:rPr>
                <w:color w:val="000000"/>
              </w:rPr>
            </w:pPr>
            <w:r w:rsidRPr="00AB3D0E">
              <w:rPr>
                <w:color w:val="000000"/>
              </w:rPr>
              <w:t>A+</w:t>
            </w:r>
            <w:r w:rsidR="0073126C">
              <w:rPr>
                <w:color w:val="000000"/>
              </w:rPr>
              <w:br/>
            </w:r>
            <w:r w:rsidRPr="00AB3D0E">
              <w:rPr>
                <w:color w:val="000000"/>
              </w:rPr>
              <w:t>A</w:t>
            </w:r>
            <w:r w:rsidR="0073126C">
              <w:rPr>
                <w:color w:val="000000"/>
              </w:rPr>
              <w:br/>
            </w:r>
            <w:r w:rsidRPr="00AB3D0E">
              <w:rPr>
                <w:color w:val="000000"/>
              </w:rPr>
              <w:t>A-</w:t>
            </w:r>
          </w:p>
        </w:tc>
        <w:tc>
          <w:tcPr>
            <w:tcW w:w="1361" w:type="dxa"/>
            <w:tcBorders>
              <w:top w:val="single" w:sz="8" w:space="0" w:color="000000"/>
              <w:bottom w:val="single" w:sz="8" w:space="0" w:color="000000"/>
              <w:right w:val="single" w:sz="8" w:space="0" w:color="000000"/>
            </w:tcBorders>
          </w:tcPr>
          <w:p w14:paraId="27F5A969" w14:textId="496E83C9" w:rsidR="0080767F" w:rsidRPr="00AB3D0E" w:rsidRDefault="0080767F" w:rsidP="0073126C">
            <w:pPr>
              <w:autoSpaceDE w:val="0"/>
              <w:autoSpaceDN w:val="0"/>
              <w:adjustRightInd w:val="0"/>
              <w:jc w:val="center"/>
              <w:rPr>
                <w:color w:val="000000"/>
              </w:rPr>
            </w:pPr>
            <w:r w:rsidRPr="00AB3D0E">
              <w:rPr>
                <w:color w:val="000000"/>
              </w:rPr>
              <w:t>A1</w:t>
            </w:r>
            <w:r w:rsidR="0073126C">
              <w:rPr>
                <w:color w:val="000000"/>
              </w:rPr>
              <w:br/>
            </w:r>
            <w:r w:rsidRPr="00AB3D0E">
              <w:rPr>
                <w:color w:val="000000"/>
              </w:rPr>
              <w:t>A2</w:t>
            </w:r>
            <w:r w:rsidR="0073126C">
              <w:rPr>
                <w:color w:val="000000"/>
              </w:rPr>
              <w:br/>
            </w:r>
            <w:r w:rsidRPr="00AB3D0E">
              <w:rPr>
                <w:color w:val="000000"/>
              </w:rPr>
              <w:t>A3</w:t>
            </w:r>
          </w:p>
        </w:tc>
        <w:tc>
          <w:tcPr>
            <w:tcW w:w="1361" w:type="dxa"/>
            <w:tcBorders>
              <w:top w:val="single" w:sz="8" w:space="0" w:color="000000"/>
              <w:bottom w:val="single" w:sz="8" w:space="0" w:color="000000"/>
              <w:right w:val="single" w:sz="8" w:space="0" w:color="000000"/>
            </w:tcBorders>
          </w:tcPr>
          <w:p w14:paraId="049C06C7" w14:textId="4CEFDBF3" w:rsidR="0080767F" w:rsidRPr="00AB3D0E" w:rsidRDefault="0080767F" w:rsidP="0073126C">
            <w:pPr>
              <w:autoSpaceDE w:val="0"/>
              <w:autoSpaceDN w:val="0"/>
              <w:adjustRightInd w:val="0"/>
              <w:jc w:val="center"/>
              <w:rPr>
                <w:color w:val="000000"/>
              </w:rPr>
            </w:pPr>
            <w:r w:rsidRPr="00AB3D0E">
              <w:rPr>
                <w:color w:val="000000"/>
              </w:rPr>
              <w:t>a+</w:t>
            </w:r>
            <w:r w:rsidR="0073126C">
              <w:rPr>
                <w:color w:val="000000"/>
              </w:rPr>
              <w:br/>
            </w:r>
            <w:r w:rsidRPr="00AB3D0E">
              <w:rPr>
                <w:color w:val="000000"/>
              </w:rPr>
              <w:t>a</w:t>
            </w:r>
            <w:r w:rsidR="0073126C">
              <w:rPr>
                <w:color w:val="000000"/>
              </w:rPr>
              <w:br/>
            </w:r>
            <w:r w:rsidRPr="00AB3D0E">
              <w:rPr>
                <w:color w:val="000000"/>
              </w:rPr>
              <w:t>a-</w:t>
            </w:r>
          </w:p>
        </w:tc>
        <w:tc>
          <w:tcPr>
            <w:tcW w:w="1361" w:type="dxa"/>
            <w:tcBorders>
              <w:top w:val="single" w:sz="8" w:space="0" w:color="000000"/>
              <w:bottom w:val="single" w:sz="8" w:space="0" w:color="000000"/>
              <w:right w:val="single" w:sz="8" w:space="0" w:color="000000"/>
            </w:tcBorders>
          </w:tcPr>
          <w:p w14:paraId="13BF5466" w14:textId="17635FC2" w:rsidR="0080767F" w:rsidRPr="00AB3D0E" w:rsidRDefault="0073126C" w:rsidP="0073126C">
            <w:pPr>
              <w:autoSpaceDE w:val="0"/>
              <w:autoSpaceDN w:val="0"/>
              <w:adjustRightInd w:val="0"/>
              <w:jc w:val="center"/>
              <w:rPr>
                <w:color w:val="000000"/>
              </w:rPr>
            </w:pPr>
            <w:r>
              <w:rPr>
                <w:color w:val="000000"/>
              </w:rPr>
              <w:br/>
            </w:r>
            <w:r w:rsidR="0080767F" w:rsidRPr="00AB3D0E">
              <w:rPr>
                <w:color w:val="000000"/>
              </w:rPr>
              <w:t>A</w:t>
            </w:r>
            <w:r>
              <w:rPr>
                <w:color w:val="000000"/>
              </w:rPr>
              <w:br/>
            </w:r>
            <w:r w:rsidR="0080767F" w:rsidRPr="00AB3D0E">
              <w:rPr>
                <w:color w:val="000000"/>
              </w:rPr>
              <w:t>A-</w:t>
            </w:r>
          </w:p>
        </w:tc>
        <w:tc>
          <w:tcPr>
            <w:tcW w:w="1361" w:type="dxa"/>
            <w:tcBorders>
              <w:top w:val="single" w:sz="8" w:space="0" w:color="000000"/>
              <w:bottom w:val="single" w:sz="8" w:space="0" w:color="000000"/>
              <w:right w:val="single" w:sz="8" w:space="0" w:color="000000"/>
            </w:tcBorders>
          </w:tcPr>
          <w:p w14:paraId="2E159B22" w14:textId="77777777" w:rsidR="0080767F" w:rsidRPr="00AB3D0E" w:rsidRDefault="0080767F" w:rsidP="0080767F">
            <w:pPr>
              <w:autoSpaceDE w:val="0"/>
              <w:autoSpaceDN w:val="0"/>
              <w:adjustRightInd w:val="0"/>
              <w:jc w:val="center"/>
              <w:rPr>
                <w:color w:val="000000"/>
              </w:rPr>
            </w:pPr>
            <w:r w:rsidRPr="00AB3D0E">
              <w:rPr>
                <w:color w:val="000000"/>
              </w:rPr>
              <w:t>A+</w:t>
            </w:r>
            <w:r w:rsidRPr="00AB3D0E">
              <w:rPr>
                <w:color w:val="000000"/>
              </w:rPr>
              <w:br/>
              <w:t>A</w:t>
            </w:r>
            <w:r w:rsidRPr="00AB3D0E">
              <w:rPr>
                <w:color w:val="000000"/>
              </w:rPr>
              <w:br/>
              <w:t>A-</w:t>
            </w:r>
          </w:p>
        </w:tc>
      </w:tr>
      <w:tr w:rsidR="0080767F" w:rsidRPr="00385ABA" w14:paraId="15AB96DD" w14:textId="77777777" w:rsidTr="0080767F">
        <w:trPr>
          <w:trHeight w:val="433"/>
        </w:trPr>
        <w:tc>
          <w:tcPr>
            <w:tcW w:w="993" w:type="dxa"/>
            <w:tcBorders>
              <w:top w:val="single" w:sz="8" w:space="0" w:color="000000"/>
              <w:left w:val="single" w:sz="8" w:space="0" w:color="000000"/>
              <w:bottom w:val="single" w:sz="8" w:space="0" w:color="000000"/>
              <w:right w:val="single" w:sz="8" w:space="0" w:color="000000"/>
            </w:tcBorders>
          </w:tcPr>
          <w:p w14:paraId="5DB7B6D7" w14:textId="77777777" w:rsidR="0080767F" w:rsidRPr="00AB3D0E" w:rsidRDefault="0080767F" w:rsidP="0080767F">
            <w:pPr>
              <w:autoSpaceDE w:val="0"/>
              <w:autoSpaceDN w:val="0"/>
              <w:adjustRightInd w:val="0"/>
              <w:jc w:val="center"/>
              <w:rPr>
                <w:color w:val="000000"/>
              </w:rPr>
            </w:pPr>
            <w:r w:rsidRPr="00AB3D0E">
              <w:rPr>
                <w:color w:val="000000"/>
              </w:rPr>
              <w:t>4</w:t>
            </w:r>
          </w:p>
        </w:tc>
        <w:tc>
          <w:tcPr>
            <w:tcW w:w="1361" w:type="dxa"/>
            <w:tcBorders>
              <w:top w:val="single" w:sz="8" w:space="0" w:color="000000"/>
              <w:left w:val="single" w:sz="4" w:space="0" w:color="auto"/>
              <w:bottom w:val="single" w:sz="8" w:space="0" w:color="000000"/>
              <w:right w:val="single" w:sz="8" w:space="0" w:color="000000"/>
            </w:tcBorders>
          </w:tcPr>
          <w:p w14:paraId="6BEE363C" w14:textId="44BDBFE8" w:rsidR="0080767F" w:rsidRPr="00AB3D0E" w:rsidRDefault="0080767F" w:rsidP="0073126C">
            <w:pPr>
              <w:autoSpaceDE w:val="0"/>
              <w:autoSpaceDN w:val="0"/>
              <w:adjustRightInd w:val="0"/>
              <w:jc w:val="center"/>
              <w:rPr>
                <w:color w:val="000000"/>
              </w:rPr>
            </w:pPr>
            <w:r w:rsidRPr="00AB3D0E">
              <w:rPr>
                <w:color w:val="000000"/>
              </w:rPr>
              <w:t>BBB+</w:t>
            </w:r>
            <w:r w:rsidR="0073126C">
              <w:rPr>
                <w:color w:val="000000"/>
              </w:rPr>
              <w:br/>
            </w:r>
            <w:r w:rsidRPr="00AB3D0E">
              <w:rPr>
                <w:color w:val="000000"/>
              </w:rPr>
              <w:t>BBB</w:t>
            </w:r>
            <w:r w:rsidR="0073126C">
              <w:rPr>
                <w:color w:val="000000"/>
              </w:rPr>
              <w:br/>
            </w:r>
            <w:r w:rsidRPr="00AB3D0E">
              <w:rPr>
                <w:color w:val="000000"/>
              </w:rPr>
              <w:t>BBB-</w:t>
            </w:r>
          </w:p>
        </w:tc>
        <w:tc>
          <w:tcPr>
            <w:tcW w:w="1361" w:type="dxa"/>
            <w:tcBorders>
              <w:top w:val="single" w:sz="8" w:space="0" w:color="000000"/>
              <w:bottom w:val="single" w:sz="8" w:space="0" w:color="000000"/>
              <w:right w:val="single" w:sz="8" w:space="0" w:color="000000"/>
            </w:tcBorders>
          </w:tcPr>
          <w:p w14:paraId="1BE69ADA" w14:textId="51331030" w:rsidR="0080767F" w:rsidRPr="00AB3D0E" w:rsidRDefault="0080767F" w:rsidP="0073126C">
            <w:pPr>
              <w:autoSpaceDE w:val="0"/>
              <w:autoSpaceDN w:val="0"/>
              <w:adjustRightInd w:val="0"/>
              <w:jc w:val="center"/>
              <w:rPr>
                <w:color w:val="000000"/>
              </w:rPr>
            </w:pPr>
            <w:r w:rsidRPr="00AB3D0E">
              <w:rPr>
                <w:color w:val="000000"/>
              </w:rPr>
              <w:t>Baa1</w:t>
            </w:r>
            <w:r w:rsidR="0073126C">
              <w:rPr>
                <w:color w:val="000000"/>
              </w:rPr>
              <w:br/>
            </w:r>
            <w:r w:rsidRPr="00AB3D0E">
              <w:rPr>
                <w:color w:val="000000"/>
              </w:rPr>
              <w:t>Baa2</w:t>
            </w:r>
            <w:r w:rsidR="0073126C">
              <w:rPr>
                <w:color w:val="000000"/>
              </w:rPr>
              <w:br/>
            </w:r>
            <w:r w:rsidRPr="00AB3D0E">
              <w:rPr>
                <w:color w:val="000000"/>
              </w:rPr>
              <w:t>Baa3</w:t>
            </w:r>
          </w:p>
        </w:tc>
        <w:tc>
          <w:tcPr>
            <w:tcW w:w="1361" w:type="dxa"/>
            <w:tcBorders>
              <w:top w:val="single" w:sz="8" w:space="0" w:color="000000"/>
              <w:bottom w:val="single" w:sz="8" w:space="0" w:color="000000"/>
              <w:right w:val="single" w:sz="8" w:space="0" w:color="000000"/>
            </w:tcBorders>
          </w:tcPr>
          <w:p w14:paraId="43A7500C" w14:textId="0E66FE2D" w:rsidR="0080767F" w:rsidRPr="00AB3D0E" w:rsidRDefault="0080767F" w:rsidP="0073126C">
            <w:pPr>
              <w:autoSpaceDE w:val="0"/>
              <w:autoSpaceDN w:val="0"/>
              <w:adjustRightInd w:val="0"/>
              <w:jc w:val="center"/>
              <w:rPr>
                <w:color w:val="000000"/>
              </w:rPr>
            </w:pPr>
            <w:r w:rsidRPr="00AB3D0E">
              <w:rPr>
                <w:color w:val="000000"/>
              </w:rPr>
              <w:t>bbb+</w:t>
            </w:r>
            <w:r w:rsidR="0073126C">
              <w:rPr>
                <w:color w:val="000000"/>
              </w:rPr>
              <w:br/>
            </w:r>
            <w:r w:rsidRPr="00AB3D0E">
              <w:rPr>
                <w:color w:val="000000"/>
              </w:rPr>
              <w:t xml:space="preserve">bbb </w:t>
            </w:r>
            <w:r w:rsidR="0073126C">
              <w:rPr>
                <w:color w:val="000000"/>
              </w:rPr>
              <w:br/>
            </w:r>
            <w:r w:rsidRPr="00AB3D0E">
              <w:rPr>
                <w:color w:val="000000"/>
              </w:rPr>
              <w:t>bbb-</w:t>
            </w:r>
          </w:p>
        </w:tc>
        <w:tc>
          <w:tcPr>
            <w:tcW w:w="1361" w:type="dxa"/>
            <w:tcBorders>
              <w:top w:val="single" w:sz="8" w:space="0" w:color="000000"/>
              <w:bottom w:val="single" w:sz="8" w:space="0" w:color="000000"/>
              <w:right w:val="single" w:sz="8" w:space="0" w:color="000000"/>
            </w:tcBorders>
          </w:tcPr>
          <w:p w14:paraId="107D7781" w14:textId="07C40DD5" w:rsidR="0080767F" w:rsidRPr="00AB3D0E" w:rsidRDefault="0073126C" w:rsidP="0073126C">
            <w:pPr>
              <w:autoSpaceDE w:val="0"/>
              <w:autoSpaceDN w:val="0"/>
              <w:adjustRightInd w:val="0"/>
              <w:jc w:val="center"/>
              <w:rPr>
                <w:color w:val="000000"/>
              </w:rPr>
            </w:pPr>
            <w:r>
              <w:rPr>
                <w:color w:val="000000"/>
              </w:rPr>
              <w:br/>
            </w:r>
            <w:r w:rsidR="0080767F" w:rsidRPr="00AB3D0E">
              <w:rPr>
                <w:color w:val="000000"/>
              </w:rPr>
              <w:t>B++</w:t>
            </w:r>
            <w:r>
              <w:rPr>
                <w:color w:val="000000"/>
              </w:rPr>
              <w:br/>
            </w:r>
            <w:r w:rsidR="0080767F" w:rsidRPr="00AB3D0E">
              <w:rPr>
                <w:color w:val="000000"/>
              </w:rPr>
              <w:t>B+</w:t>
            </w:r>
          </w:p>
        </w:tc>
        <w:tc>
          <w:tcPr>
            <w:tcW w:w="1361" w:type="dxa"/>
            <w:tcBorders>
              <w:top w:val="single" w:sz="8" w:space="0" w:color="000000"/>
              <w:bottom w:val="single" w:sz="8" w:space="0" w:color="000000"/>
              <w:right w:val="single" w:sz="8" w:space="0" w:color="000000"/>
            </w:tcBorders>
          </w:tcPr>
          <w:p w14:paraId="385E533A" w14:textId="71DE6B0E" w:rsidR="0080767F" w:rsidRPr="00AB3D0E" w:rsidRDefault="0080767F" w:rsidP="0073126C">
            <w:pPr>
              <w:autoSpaceDE w:val="0"/>
              <w:autoSpaceDN w:val="0"/>
              <w:adjustRightInd w:val="0"/>
              <w:jc w:val="center"/>
              <w:rPr>
                <w:color w:val="000000"/>
              </w:rPr>
            </w:pPr>
            <w:r w:rsidRPr="00AB3D0E">
              <w:rPr>
                <w:color w:val="000000"/>
              </w:rPr>
              <w:t>BBB+</w:t>
            </w:r>
            <w:r w:rsidR="0073126C">
              <w:rPr>
                <w:color w:val="000000"/>
              </w:rPr>
              <w:br/>
            </w:r>
            <w:r w:rsidRPr="00AB3D0E">
              <w:rPr>
                <w:color w:val="000000"/>
              </w:rPr>
              <w:t>BBB</w:t>
            </w:r>
            <w:r w:rsidR="0073126C">
              <w:rPr>
                <w:color w:val="000000"/>
              </w:rPr>
              <w:br/>
            </w:r>
            <w:r w:rsidRPr="00AB3D0E">
              <w:rPr>
                <w:color w:val="000000"/>
              </w:rPr>
              <w:t>BBB-</w:t>
            </w:r>
          </w:p>
        </w:tc>
      </w:tr>
      <w:tr w:rsidR="0080767F" w:rsidRPr="00385ABA" w14:paraId="0870CBBA" w14:textId="77777777" w:rsidTr="0080767F">
        <w:trPr>
          <w:trHeight w:val="157"/>
        </w:trPr>
        <w:tc>
          <w:tcPr>
            <w:tcW w:w="993" w:type="dxa"/>
            <w:tcBorders>
              <w:top w:val="single" w:sz="8" w:space="0" w:color="000000"/>
              <w:left w:val="single" w:sz="8" w:space="0" w:color="000000"/>
              <w:bottom w:val="single" w:sz="8" w:space="0" w:color="000000"/>
              <w:right w:val="single" w:sz="8" w:space="0" w:color="000000"/>
            </w:tcBorders>
          </w:tcPr>
          <w:p w14:paraId="72C75800" w14:textId="77777777" w:rsidR="0080767F" w:rsidRPr="00AB3D0E" w:rsidRDefault="0080767F" w:rsidP="0080767F">
            <w:pPr>
              <w:autoSpaceDE w:val="0"/>
              <w:autoSpaceDN w:val="0"/>
              <w:adjustRightInd w:val="0"/>
              <w:jc w:val="center"/>
              <w:rPr>
                <w:color w:val="000000"/>
              </w:rPr>
            </w:pPr>
            <w:r w:rsidRPr="00AB3D0E">
              <w:rPr>
                <w:color w:val="000000"/>
              </w:rPr>
              <w:t>5</w:t>
            </w:r>
          </w:p>
        </w:tc>
        <w:tc>
          <w:tcPr>
            <w:tcW w:w="1361" w:type="dxa"/>
            <w:tcBorders>
              <w:top w:val="single" w:sz="8" w:space="0" w:color="000000"/>
              <w:left w:val="single" w:sz="4" w:space="0" w:color="auto"/>
              <w:bottom w:val="single" w:sz="8" w:space="0" w:color="000000"/>
              <w:right w:val="single" w:sz="8" w:space="0" w:color="000000"/>
            </w:tcBorders>
          </w:tcPr>
          <w:p w14:paraId="16E598B7" w14:textId="07187AF2" w:rsidR="0080767F" w:rsidRPr="00AB3D0E" w:rsidRDefault="0080767F" w:rsidP="0073126C">
            <w:pPr>
              <w:autoSpaceDE w:val="0"/>
              <w:autoSpaceDN w:val="0"/>
              <w:adjustRightInd w:val="0"/>
              <w:jc w:val="center"/>
              <w:rPr>
                <w:color w:val="000000"/>
              </w:rPr>
            </w:pPr>
            <w:r w:rsidRPr="00AB3D0E">
              <w:rPr>
                <w:color w:val="000000"/>
              </w:rPr>
              <w:t>BB+</w:t>
            </w:r>
            <w:r w:rsidR="0073126C">
              <w:rPr>
                <w:color w:val="000000"/>
              </w:rPr>
              <w:br/>
            </w:r>
            <w:r w:rsidRPr="00AB3D0E">
              <w:rPr>
                <w:color w:val="000000"/>
              </w:rPr>
              <w:t>BB</w:t>
            </w:r>
            <w:r w:rsidR="0073126C">
              <w:rPr>
                <w:color w:val="000000"/>
              </w:rPr>
              <w:br/>
            </w:r>
            <w:r w:rsidRPr="00AB3D0E">
              <w:rPr>
                <w:color w:val="000000"/>
              </w:rPr>
              <w:t>BB-</w:t>
            </w:r>
          </w:p>
        </w:tc>
        <w:tc>
          <w:tcPr>
            <w:tcW w:w="1361" w:type="dxa"/>
            <w:tcBorders>
              <w:top w:val="single" w:sz="8" w:space="0" w:color="000000"/>
              <w:bottom w:val="single" w:sz="8" w:space="0" w:color="000000"/>
              <w:right w:val="single" w:sz="8" w:space="0" w:color="000000"/>
            </w:tcBorders>
          </w:tcPr>
          <w:p w14:paraId="0951D349" w14:textId="3999F21F" w:rsidR="0080767F" w:rsidRPr="00AB3D0E" w:rsidRDefault="0080767F" w:rsidP="0073126C">
            <w:pPr>
              <w:autoSpaceDE w:val="0"/>
              <w:autoSpaceDN w:val="0"/>
              <w:adjustRightInd w:val="0"/>
              <w:jc w:val="center"/>
              <w:rPr>
                <w:color w:val="000000"/>
              </w:rPr>
            </w:pPr>
            <w:r w:rsidRPr="00AB3D0E">
              <w:rPr>
                <w:color w:val="000000"/>
              </w:rPr>
              <w:t>Ba1</w:t>
            </w:r>
            <w:r w:rsidR="0073126C">
              <w:rPr>
                <w:color w:val="000000"/>
              </w:rPr>
              <w:br/>
            </w:r>
            <w:r w:rsidRPr="00AB3D0E">
              <w:rPr>
                <w:color w:val="000000"/>
              </w:rPr>
              <w:t>Ba2</w:t>
            </w:r>
            <w:r w:rsidR="0073126C">
              <w:rPr>
                <w:color w:val="000000"/>
              </w:rPr>
              <w:br/>
            </w:r>
            <w:r w:rsidRPr="00AB3D0E">
              <w:rPr>
                <w:color w:val="000000"/>
              </w:rPr>
              <w:t>Ba3</w:t>
            </w:r>
          </w:p>
        </w:tc>
        <w:tc>
          <w:tcPr>
            <w:tcW w:w="1361" w:type="dxa"/>
            <w:tcBorders>
              <w:top w:val="single" w:sz="8" w:space="0" w:color="000000"/>
              <w:bottom w:val="single" w:sz="8" w:space="0" w:color="000000"/>
              <w:right w:val="single" w:sz="8" w:space="0" w:color="000000"/>
            </w:tcBorders>
          </w:tcPr>
          <w:p w14:paraId="0BF43476" w14:textId="1BBDEC76" w:rsidR="0080767F" w:rsidRPr="00AB3D0E" w:rsidRDefault="0080767F" w:rsidP="0073126C">
            <w:pPr>
              <w:autoSpaceDE w:val="0"/>
              <w:autoSpaceDN w:val="0"/>
              <w:adjustRightInd w:val="0"/>
              <w:jc w:val="center"/>
              <w:rPr>
                <w:color w:val="000000"/>
              </w:rPr>
            </w:pPr>
            <w:r w:rsidRPr="00AB3D0E">
              <w:rPr>
                <w:color w:val="000000"/>
              </w:rPr>
              <w:t>bb+</w:t>
            </w:r>
            <w:r w:rsidR="0073126C">
              <w:rPr>
                <w:color w:val="000000"/>
              </w:rPr>
              <w:br/>
            </w:r>
            <w:r w:rsidRPr="00AB3D0E">
              <w:rPr>
                <w:color w:val="000000"/>
              </w:rPr>
              <w:t>bb</w:t>
            </w:r>
            <w:r w:rsidR="0073126C">
              <w:rPr>
                <w:color w:val="000000"/>
              </w:rPr>
              <w:br/>
            </w:r>
            <w:r w:rsidRPr="00AB3D0E">
              <w:rPr>
                <w:color w:val="000000"/>
              </w:rPr>
              <w:t>bb-</w:t>
            </w:r>
          </w:p>
        </w:tc>
        <w:tc>
          <w:tcPr>
            <w:tcW w:w="1361" w:type="dxa"/>
            <w:tcBorders>
              <w:top w:val="single" w:sz="8" w:space="0" w:color="000000"/>
              <w:bottom w:val="single" w:sz="8" w:space="0" w:color="000000"/>
              <w:right w:val="single" w:sz="8" w:space="0" w:color="000000"/>
            </w:tcBorders>
          </w:tcPr>
          <w:p w14:paraId="0551BECD" w14:textId="691329B4" w:rsidR="0080767F" w:rsidRPr="00AB3D0E" w:rsidRDefault="0073126C" w:rsidP="0073126C">
            <w:pPr>
              <w:autoSpaceDE w:val="0"/>
              <w:autoSpaceDN w:val="0"/>
              <w:adjustRightInd w:val="0"/>
              <w:jc w:val="center"/>
              <w:rPr>
                <w:color w:val="000000"/>
              </w:rPr>
            </w:pPr>
            <w:r>
              <w:rPr>
                <w:color w:val="000000"/>
              </w:rPr>
              <w:br/>
            </w:r>
            <w:r w:rsidR="0080767F" w:rsidRPr="00AB3D0E">
              <w:rPr>
                <w:color w:val="000000"/>
              </w:rPr>
              <w:t>B</w:t>
            </w:r>
            <w:r>
              <w:rPr>
                <w:color w:val="000000"/>
              </w:rPr>
              <w:br/>
            </w:r>
            <w:r w:rsidR="0080767F" w:rsidRPr="00AB3D0E">
              <w:rPr>
                <w:color w:val="000000"/>
              </w:rPr>
              <w:t>B-</w:t>
            </w:r>
          </w:p>
        </w:tc>
        <w:tc>
          <w:tcPr>
            <w:tcW w:w="1361" w:type="dxa"/>
            <w:tcBorders>
              <w:top w:val="single" w:sz="8" w:space="0" w:color="000000"/>
              <w:bottom w:val="single" w:sz="8" w:space="0" w:color="000000"/>
              <w:right w:val="single" w:sz="8" w:space="0" w:color="000000"/>
            </w:tcBorders>
          </w:tcPr>
          <w:p w14:paraId="21C11C8B" w14:textId="4C4197E5" w:rsidR="0080767F" w:rsidRPr="00AB3D0E" w:rsidRDefault="0080767F" w:rsidP="0073126C">
            <w:pPr>
              <w:autoSpaceDE w:val="0"/>
              <w:autoSpaceDN w:val="0"/>
              <w:adjustRightInd w:val="0"/>
              <w:jc w:val="center"/>
              <w:rPr>
                <w:color w:val="000000"/>
              </w:rPr>
            </w:pPr>
            <w:r w:rsidRPr="00AB3D0E">
              <w:rPr>
                <w:color w:val="000000"/>
              </w:rPr>
              <w:t>BB+</w:t>
            </w:r>
            <w:r w:rsidR="0073126C">
              <w:rPr>
                <w:color w:val="000000"/>
              </w:rPr>
              <w:br/>
            </w:r>
            <w:r w:rsidRPr="00AB3D0E">
              <w:rPr>
                <w:color w:val="000000"/>
              </w:rPr>
              <w:t>BB</w:t>
            </w:r>
            <w:r w:rsidR="0073126C">
              <w:rPr>
                <w:color w:val="000000"/>
              </w:rPr>
              <w:br/>
            </w:r>
            <w:r w:rsidRPr="00AB3D0E">
              <w:rPr>
                <w:color w:val="000000"/>
              </w:rPr>
              <w:t>BB-</w:t>
            </w:r>
          </w:p>
        </w:tc>
      </w:tr>
      <w:tr w:rsidR="0080767F" w:rsidRPr="00385ABA" w14:paraId="5D45A94F" w14:textId="77777777" w:rsidTr="0080767F">
        <w:trPr>
          <w:trHeight w:val="157"/>
        </w:trPr>
        <w:tc>
          <w:tcPr>
            <w:tcW w:w="993" w:type="dxa"/>
            <w:tcBorders>
              <w:top w:val="single" w:sz="8" w:space="0" w:color="000000"/>
              <w:left w:val="single" w:sz="8" w:space="0" w:color="000000"/>
              <w:bottom w:val="single" w:sz="8" w:space="0" w:color="000000"/>
              <w:right w:val="single" w:sz="8" w:space="0" w:color="000000"/>
            </w:tcBorders>
          </w:tcPr>
          <w:p w14:paraId="6A446021" w14:textId="77777777" w:rsidR="0080767F" w:rsidRPr="00AB3D0E" w:rsidRDefault="0080767F" w:rsidP="0080767F">
            <w:pPr>
              <w:autoSpaceDE w:val="0"/>
              <w:autoSpaceDN w:val="0"/>
              <w:adjustRightInd w:val="0"/>
              <w:jc w:val="center"/>
              <w:rPr>
                <w:color w:val="000000"/>
              </w:rPr>
            </w:pPr>
            <w:r w:rsidRPr="00AB3D0E">
              <w:rPr>
                <w:color w:val="000000"/>
              </w:rPr>
              <w:t>6</w:t>
            </w:r>
          </w:p>
        </w:tc>
        <w:tc>
          <w:tcPr>
            <w:tcW w:w="1361" w:type="dxa"/>
            <w:tcBorders>
              <w:top w:val="single" w:sz="8" w:space="0" w:color="000000"/>
              <w:left w:val="single" w:sz="4" w:space="0" w:color="auto"/>
              <w:bottom w:val="single" w:sz="8" w:space="0" w:color="000000"/>
              <w:right w:val="single" w:sz="8" w:space="0" w:color="000000"/>
            </w:tcBorders>
          </w:tcPr>
          <w:p w14:paraId="658B1BF4" w14:textId="263A8FBC" w:rsidR="0080767F" w:rsidRPr="00AB3D0E" w:rsidRDefault="0080767F" w:rsidP="0073126C">
            <w:pPr>
              <w:autoSpaceDE w:val="0"/>
              <w:autoSpaceDN w:val="0"/>
              <w:adjustRightInd w:val="0"/>
              <w:jc w:val="center"/>
              <w:rPr>
                <w:color w:val="000000"/>
              </w:rPr>
            </w:pPr>
            <w:r w:rsidRPr="00AB3D0E">
              <w:rPr>
                <w:color w:val="000000"/>
              </w:rPr>
              <w:t>B+</w:t>
            </w:r>
            <w:r w:rsidR="0073126C">
              <w:rPr>
                <w:color w:val="000000"/>
              </w:rPr>
              <w:br/>
            </w:r>
            <w:r w:rsidRPr="00AB3D0E">
              <w:rPr>
                <w:color w:val="000000"/>
              </w:rPr>
              <w:t>B</w:t>
            </w:r>
            <w:r w:rsidR="0073126C">
              <w:rPr>
                <w:color w:val="000000"/>
              </w:rPr>
              <w:br/>
            </w:r>
            <w:r w:rsidRPr="00AB3D0E">
              <w:rPr>
                <w:color w:val="000000"/>
              </w:rPr>
              <w:t>B-</w:t>
            </w:r>
          </w:p>
        </w:tc>
        <w:tc>
          <w:tcPr>
            <w:tcW w:w="1361" w:type="dxa"/>
            <w:tcBorders>
              <w:top w:val="single" w:sz="8" w:space="0" w:color="000000"/>
              <w:bottom w:val="single" w:sz="8" w:space="0" w:color="000000"/>
              <w:right w:val="single" w:sz="8" w:space="0" w:color="000000"/>
            </w:tcBorders>
          </w:tcPr>
          <w:p w14:paraId="22A1E875" w14:textId="5AB5EDE0" w:rsidR="0080767F" w:rsidRPr="00AB3D0E" w:rsidRDefault="0080767F" w:rsidP="0073126C">
            <w:pPr>
              <w:autoSpaceDE w:val="0"/>
              <w:autoSpaceDN w:val="0"/>
              <w:adjustRightInd w:val="0"/>
              <w:jc w:val="center"/>
              <w:rPr>
                <w:color w:val="000000"/>
              </w:rPr>
            </w:pPr>
            <w:r w:rsidRPr="00AB3D0E">
              <w:rPr>
                <w:color w:val="000000"/>
              </w:rPr>
              <w:t>B1</w:t>
            </w:r>
            <w:r w:rsidR="0073126C">
              <w:rPr>
                <w:color w:val="000000"/>
              </w:rPr>
              <w:br/>
            </w:r>
            <w:r w:rsidRPr="00AB3D0E">
              <w:rPr>
                <w:color w:val="000000"/>
              </w:rPr>
              <w:t>B2</w:t>
            </w:r>
            <w:r w:rsidR="0073126C">
              <w:rPr>
                <w:color w:val="000000"/>
              </w:rPr>
              <w:br/>
            </w:r>
            <w:r w:rsidRPr="00AB3D0E">
              <w:rPr>
                <w:color w:val="000000"/>
              </w:rPr>
              <w:t>B3</w:t>
            </w:r>
          </w:p>
        </w:tc>
        <w:tc>
          <w:tcPr>
            <w:tcW w:w="1361" w:type="dxa"/>
            <w:tcBorders>
              <w:top w:val="single" w:sz="8" w:space="0" w:color="000000"/>
              <w:bottom w:val="single" w:sz="8" w:space="0" w:color="000000"/>
              <w:right w:val="single" w:sz="8" w:space="0" w:color="000000"/>
            </w:tcBorders>
          </w:tcPr>
          <w:p w14:paraId="331FADEA" w14:textId="3731D721" w:rsidR="0080767F" w:rsidRPr="00AB3D0E" w:rsidRDefault="0080767F" w:rsidP="0073126C">
            <w:pPr>
              <w:autoSpaceDE w:val="0"/>
              <w:autoSpaceDN w:val="0"/>
              <w:adjustRightInd w:val="0"/>
              <w:jc w:val="center"/>
              <w:rPr>
                <w:color w:val="000000"/>
              </w:rPr>
            </w:pPr>
            <w:r w:rsidRPr="00AB3D0E">
              <w:rPr>
                <w:color w:val="000000"/>
              </w:rPr>
              <w:t>b+</w:t>
            </w:r>
            <w:r w:rsidR="0073126C">
              <w:rPr>
                <w:color w:val="000000"/>
              </w:rPr>
              <w:br/>
            </w:r>
            <w:r w:rsidRPr="00AB3D0E">
              <w:rPr>
                <w:color w:val="000000"/>
              </w:rPr>
              <w:t>b</w:t>
            </w:r>
            <w:r w:rsidR="0073126C">
              <w:rPr>
                <w:color w:val="000000"/>
              </w:rPr>
              <w:br/>
            </w:r>
            <w:r w:rsidRPr="00AB3D0E">
              <w:rPr>
                <w:color w:val="000000"/>
              </w:rPr>
              <w:t>b-</w:t>
            </w:r>
          </w:p>
        </w:tc>
        <w:tc>
          <w:tcPr>
            <w:tcW w:w="1361" w:type="dxa"/>
            <w:tcBorders>
              <w:top w:val="single" w:sz="8" w:space="0" w:color="000000"/>
              <w:bottom w:val="single" w:sz="8" w:space="0" w:color="000000"/>
              <w:right w:val="single" w:sz="8" w:space="0" w:color="000000"/>
            </w:tcBorders>
          </w:tcPr>
          <w:p w14:paraId="7F5A0BF6" w14:textId="53F3DD50" w:rsidR="0080767F" w:rsidRPr="00AB3D0E" w:rsidRDefault="0080767F" w:rsidP="0073126C">
            <w:pPr>
              <w:autoSpaceDE w:val="0"/>
              <w:autoSpaceDN w:val="0"/>
              <w:adjustRightInd w:val="0"/>
              <w:jc w:val="center"/>
              <w:rPr>
                <w:color w:val="000000"/>
              </w:rPr>
            </w:pPr>
            <w:r w:rsidRPr="00AB3D0E">
              <w:rPr>
                <w:color w:val="000000"/>
              </w:rPr>
              <w:t>C++, C+</w:t>
            </w:r>
            <w:r w:rsidR="0073126C">
              <w:rPr>
                <w:color w:val="000000"/>
              </w:rPr>
              <w:br/>
            </w:r>
            <w:r w:rsidRPr="00AB3D0E">
              <w:rPr>
                <w:color w:val="000000"/>
              </w:rPr>
              <w:t xml:space="preserve">C </w:t>
            </w:r>
            <w:r w:rsidR="0073126C">
              <w:rPr>
                <w:color w:val="000000"/>
              </w:rPr>
              <w:br/>
            </w:r>
            <w:r w:rsidRPr="00AB3D0E">
              <w:rPr>
                <w:color w:val="000000"/>
              </w:rPr>
              <w:t>C-</w:t>
            </w:r>
          </w:p>
        </w:tc>
        <w:tc>
          <w:tcPr>
            <w:tcW w:w="1361" w:type="dxa"/>
            <w:tcBorders>
              <w:top w:val="single" w:sz="8" w:space="0" w:color="000000"/>
              <w:bottom w:val="single" w:sz="8" w:space="0" w:color="000000"/>
              <w:right w:val="single" w:sz="8" w:space="0" w:color="000000"/>
            </w:tcBorders>
          </w:tcPr>
          <w:p w14:paraId="23144FC9" w14:textId="41B52DD2" w:rsidR="0080767F" w:rsidRPr="00AB3D0E" w:rsidRDefault="0080767F" w:rsidP="0073126C">
            <w:pPr>
              <w:autoSpaceDE w:val="0"/>
              <w:autoSpaceDN w:val="0"/>
              <w:adjustRightInd w:val="0"/>
              <w:jc w:val="center"/>
              <w:rPr>
                <w:color w:val="000000"/>
              </w:rPr>
            </w:pPr>
            <w:r w:rsidRPr="00AB3D0E">
              <w:rPr>
                <w:color w:val="000000"/>
              </w:rPr>
              <w:t>B+</w:t>
            </w:r>
            <w:r w:rsidR="0073126C">
              <w:rPr>
                <w:color w:val="000000"/>
              </w:rPr>
              <w:br/>
            </w:r>
            <w:r w:rsidRPr="00AB3D0E">
              <w:rPr>
                <w:color w:val="000000"/>
              </w:rPr>
              <w:t>B</w:t>
            </w:r>
            <w:r w:rsidR="0073126C">
              <w:rPr>
                <w:color w:val="000000"/>
              </w:rPr>
              <w:br/>
            </w:r>
            <w:r w:rsidRPr="00AB3D0E">
              <w:rPr>
                <w:color w:val="000000"/>
              </w:rPr>
              <w:t>B-</w:t>
            </w:r>
          </w:p>
        </w:tc>
      </w:tr>
      <w:tr w:rsidR="0080767F" w:rsidRPr="00385ABA" w14:paraId="329B3325" w14:textId="77777777" w:rsidTr="0080767F">
        <w:trPr>
          <w:trHeight w:val="157"/>
        </w:trPr>
        <w:tc>
          <w:tcPr>
            <w:tcW w:w="993" w:type="dxa"/>
            <w:tcBorders>
              <w:top w:val="single" w:sz="8" w:space="0" w:color="000000"/>
              <w:left w:val="single" w:sz="8" w:space="0" w:color="000000"/>
              <w:bottom w:val="single" w:sz="8" w:space="0" w:color="000000"/>
              <w:right w:val="single" w:sz="8" w:space="0" w:color="000000"/>
            </w:tcBorders>
          </w:tcPr>
          <w:p w14:paraId="547D2CFD" w14:textId="77777777" w:rsidR="0080767F" w:rsidRPr="00AB3D0E" w:rsidRDefault="0080767F" w:rsidP="0080767F">
            <w:pPr>
              <w:autoSpaceDE w:val="0"/>
              <w:autoSpaceDN w:val="0"/>
              <w:adjustRightInd w:val="0"/>
              <w:jc w:val="center"/>
              <w:rPr>
                <w:color w:val="000000"/>
              </w:rPr>
            </w:pPr>
            <w:r w:rsidRPr="00AB3D0E">
              <w:rPr>
                <w:color w:val="000000"/>
              </w:rPr>
              <w:t>7</w:t>
            </w:r>
          </w:p>
        </w:tc>
        <w:tc>
          <w:tcPr>
            <w:tcW w:w="1361" w:type="dxa"/>
            <w:tcBorders>
              <w:top w:val="single" w:sz="8" w:space="0" w:color="000000"/>
              <w:left w:val="single" w:sz="4" w:space="0" w:color="auto"/>
              <w:bottom w:val="single" w:sz="8" w:space="0" w:color="000000"/>
              <w:right w:val="single" w:sz="8" w:space="0" w:color="000000"/>
            </w:tcBorders>
          </w:tcPr>
          <w:p w14:paraId="6133D853" w14:textId="77777777" w:rsidR="0080767F" w:rsidRPr="00AB3D0E" w:rsidRDefault="0080767F" w:rsidP="0080767F">
            <w:pPr>
              <w:autoSpaceDE w:val="0"/>
              <w:autoSpaceDN w:val="0"/>
              <w:adjustRightInd w:val="0"/>
              <w:jc w:val="center"/>
              <w:rPr>
                <w:color w:val="000000"/>
              </w:rPr>
            </w:pPr>
            <w:r w:rsidRPr="00AB3D0E">
              <w:rPr>
                <w:color w:val="000000"/>
              </w:rPr>
              <w:t>Below B-</w:t>
            </w:r>
          </w:p>
        </w:tc>
        <w:tc>
          <w:tcPr>
            <w:tcW w:w="1361" w:type="dxa"/>
            <w:tcBorders>
              <w:top w:val="single" w:sz="8" w:space="0" w:color="000000"/>
              <w:bottom w:val="single" w:sz="8" w:space="0" w:color="000000"/>
              <w:right w:val="single" w:sz="8" w:space="0" w:color="000000"/>
            </w:tcBorders>
          </w:tcPr>
          <w:p w14:paraId="1CFED001" w14:textId="77777777" w:rsidR="0080767F" w:rsidRPr="00AB3D0E" w:rsidRDefault="0080767F" w:rsidP="0080767F">
            <w:pPr>
              <w:autoSpaceDE w:val="0"/>
              <w:autoSpaceDN w:val="0"/>
              <w:adjustRightInd w:val="0"/>
              <w:jc w:val="center"/>
              <w:rPr>
                <w:color w:val="000000"/>
              </w:rPr>
            </w:pPr>
            <w:r w:rsidRPr="00AB3D0E">
              <w:rPr>
                <w:color w:val="000000"/>
              </w:rPr>
              <w:t>Below B3</w:t>
            </w:r>
          </w:p>
        </w:tc>
        <w:tc>
          <w:tcPr>
            <w:tcW w:w="1361" w:type="dxa"/>
            <w:tcBorders>
              <w:top w:val="single" w:sz="8" w:space="0" w:color="000000"/>
              <w:bottom w:val="single" w:sz="8" w:space="0" w:color="000000"/>
              <w:right w:val="single" w:sz="8" w:space="0" w:color="000000"/>
            </w:tcBorders>
          </w:tcPr>
          <w:p w14:paraId="767E86C2" w14:textId="77777777" w:rsidR="0080767F" w:rsidRPr="00AB3D0E" w:rsidRDefault="0080767F" w:rsidP="0080767F">
            <w:pPr>
              <w:autoSpaceDE w:val="0"/>
              <w:autoSpaceDN w:val="0"/>
              <w:adjustRightInd w:val="0"/>
              <w:jc w:val="center"/>
              <w:rPr>
                <w:color w:val="000000"/>
              </w:rPr>
            </w:pPr>
            <w:r w:rsidRPr="00AB3D0E">
              <w:rPr>
                <w:color w:val="000000"/>
              </w:rPr>
              <w:t>Below b-</w:t>
            </w:r>
          </w:p>
        </w:tc>
        <w:tc>
          <w:tcPr>
            <w:tcW w:w="1361" w:type="dxa"/>
            <w:tcBorders>
              <w:top w:val="single" w:sz="8" w:space="0" w:color="000000"/>
              <w:bottom w:val="single" w:sz="8" w:space="0" w:color="000000"/>
              <w:right w:val="single" w:sz="8" w:space="0" w:color="000000"/>
            </w:tcBorders>
          </w:tcPr>
          <w:p w14:paraId="6F04BCDB" w14:textId="77777777" w:rsidR="0080767F" w:rsidRPr="00AB3D0E" w:rsidRDefault="0080767F" w:rsidP="0080767F">
            <w:pPr>
              <w:autoSpaceDE w:val="0"/>
              <w:autoSpaceDN w:val="0"/>
              <w:adjustRightInd w:val="0"/>
              <w:jc w:val="center"/>
              <w:rPr>
                <w:color w:val="000000"/>
              </w:rPr>
            </w:pPr>
            <w:r w:rsidRPr="00AB3D0E">
              <w:rPr>
                <w:color w:val="000000"/>
              </w:rPr>
              <w:t>Below C-</w:t>
            </w:r>
          </w:p>
        </w:tc>
        <w:tc>
          <w:tcPr>
            <w:tcW w:w="1361" w:type="dxa"/>
            <w:tcBorders>
              <w:top w:val="single" w:sz="8" w:space="0" w:color="000000"/>
              <w:bottom w:val="single" w:sz="8" w:space="0" w:color="000000"/>
              <w:right w:val="single" w:sz="8" w:space="0" w:color="000000"/>
            </w:tcBorders>
          </w:tcPr>
          <w:p w14:paraId="23CE0B7B" w14:textId="77777777" w:rsidR="0080767F" w:rsidRPr="00AB3D0E" w:rsidRDefault="0080767F" w:rsidP="0080767F">
            <w:pPr>
              <w:autoSpaceDE w:val="0"/>
              <w:autoSpaceDN w:val="0"/>
              <w:adjustRightInd w:val="0"/>
              <w:jc w:val="center"/>
              <w:rPr>
                <w:color w:val="000000"/>
              </w:rPr>
            </w:pPr>
            <w:r w:rsidRPr="00AB3D0E">
              <w:rPr>
                <w:color w:val="000000"/>
              </w:rPr>
              <w:t>Below B-</w:t>
            </w:r>
          </w:p>
        </w:tc>
      </w:tr>
    </w:tbl>
    <w:p w14:paraId="0705D488" w14:textId="77777777" w:rsidR="0080767F" w:rsidRPr="00385ABA" w:rsidRDefault="0080767F" w:rsidP="0080767F">
      <w:pPr>
        <w:pStyle w:val="ListParagraph"/>
        <w:spacing w:after="240"/>
        <w:ind w:left="1287"/>
        <w:jc w:val="both"/>
        <w:rPr>
          <w:rFonts w:ascii="Times New Roman" w:hAnsi="Times New Roman"/>
          <w:sz w:val="24"/>
          <w:szCs w:val="24"/>
        </w:rPr>
      </w:pPr>
    </w:p>
    <w:p w14:paraId="05B720D4" w14:textId="77777777" w:rsidR="0080767F" w:rsidRPr="00385ABA" w:rsidRDefault="0080767F" w:rsidP="0080767F">
      <w:pPr>
        <w:pStyle w:val="BodyText1"/>
      </w:pPr>
      <w:bookmarkStart w:id="29" w:name="_Ref335129501"/>
      <w:r w:rsidRPr="00385ABA">
        <w:t xml:space="preserve">Where investments are held via a trust </w:t>
      </w:r>
      <w:r>
        <w:t>that</w:t>
      </w:r>
      <w:r w:rsidRPr="00385ABA">
        <w:t xml:space="preserve"> has itself been separately rated by a recognised rating agency, that rating may be applied to all the investments in the trust in lieu of the ratings of the individual trust assets, provided that the trust is treated as a single investment for asset concentration purposes and is not subject to ‘look-through’. When a ‘look-through’ approach is adopted the underlying assets need to be individually rated. If the trust is separately rated, that overall trust rating cannot be applied to the individual underlying assets.</w:t>
      </w:r>
      <w:bookmarkEnd w:id="29"/>
    </w:p>
    <w:p w14:paraId="5D731A10" w14:textId="77777777" w:rsidR="0080767F" w:rsidRPr="00385ABA" w:rsidRDefault="0080767F" w:rsidP="0080767F">
      <w:pPr>
        <w:pStyle w:val="BodyText1"/>
      </w:pPr>
      <w:bookmarkStart w:id="30" w:name="_Ref324866010"/>
      <w:r w:rsidRPr="00385ABA">
        <w:t xml:space="preserve">A life company must, in general, use the same rating agency for determining </w:t>
      </w:r>
      <w:r>
        <w:t xml:space="preserve">all </w:t>
      </w:r>
      <w:r w:rsidRPr="00385ABA">
        <w:t>counterparty grades. A life company may depart from this general rule where there are good reasons for doing so, such as under the following circumstances:</w:t>
      </w:r>
      <w:bookmarkEnd w:id="30"/>
    </w:p>
    <w:p w14:paraId="23BBC8BB" w14:textId="77777777" w:rsidR="0080767F" w:rsidRPr="00385ABA" w:rsidRDefault="0080767F" w:rsidP="0080767F">
      <w:pPr>
        <w:pStyle w:val="BodyText2"/>
      </w:pPr>
      <w:r w:rsidRPr="00385ABA">
        <w:t>where the rating agencies usually monitored by a life company do not issue a solicited credit rating</w:t>
      </w:r>
      <w:r w:rsidRPr="008A0935">
        <w:rPr>
          <w:rStyle w:val="FootnoteReference"/>
        </w:rPr>
        <w:footnoteReference w:id="4"/>
      </w:r>
      <w:r w:rsidRPr="00385ABA">
        <w:t xml:space="preserve"> for a particular debt obligation and only one other rating agency issues a solicited credit rating for that debt obligation, a life company may use that solicited credit rating; or</w:t>
      </w:r>
    </w:p>
    <w:p w14:paraId="76107D81" w14:textId="335A88CB" w:rsidR="0080767F" w:rsidRPr="00385ABA" w:rsidRDefault="0080767F" w:rsidP="0080767F">
      <w:pPr>
        <w:pStyle w:val="BodyText2"/>
      </w:pPr>
      <w:r w:rsidRPr="00385ABA">
        <w:lastRenderedPageBreak/>
        <w:t xml:space="preserve">where the rating agencies usually monitored by the insurer do not issue a solicited credit rating for a particular debt obligation, the credit ratings issued by all other rating agencies listed in </w:t>
      </w:r>
      <w:r w:rsidR="00074B95">
        <w:t xml:space="preserve">Table 1 and </w:t>
      </w:r>
      <w:r w:rsidR="0016109E">
        <w:t xml:space="preserve">Table 2 </w:t>
      </w:r>
      <w:r w:rsidRPr="00385ABA">
        <w:t xml:space="preserve">must be reviewed and the rule in paragraph </w:t>
      </w:r>
      <w:r>
        <w:fldChar w:fldCharType="begin"/>
      </w:r>
      <w:r>
        <w:instrText xml:space="preserve"> REF _Ref324866003 \r \h  \* MERGEFORMAT </w:instrText>
      </w:r>
      <w:r>
        <w:fldChar w:fldCharType="separate"/>
      </w:r>
      <w:r w:rsidR="007944F4">
        <w:t>5</w:t>
      </w:r>
      <w:r>
        <w:fldChar w:fldCharType="end"/>
      </w:r>
      <w:r w:rsidRPr="00385ABA">
        <w:t xml:space="preserve"> of this Attachment must be used to determine which rating agency will be used to determine the counterparty grade and therefore the credit spreads or default factors to be applied; or</w:t>
      </w:r>
    </w:p>
    <w:p w14:paraId="71ABBA51" w14:textId="1976AE0E" w:rsidR="0080767F" w:rsidRPr="00385ABA" w:rsidRDefault="0080767F" w:rsidP="0080767F">
      <w:pPr>
        <w:pStyle w:val="BodyText2"/>
      </w:pPr>
      <w:r w:rsidRPr="00385ABA">
        <w:t xml:space="preserve">the rule in paragraph </w:t>
      </w:r>
      <w:r>
        <w:fldChar w:fldCharType="begin"/>
      </w:r>
      <w:r>
        <w:instrText xml:space="preserve"> REF _Ref324866003 \r \h  \* MERGEFORMAT </w:instrText>
      </w:r>
      <w:r>
        <w:fldChar w:fldCharType="separate"/>
      </w:r>
      <w:r w:rsidR="007944F4">
        <w:t>5</w:t>
      </w:r>
      <w:r>
        <w:fldChar w:fldCharType="end"/>
      </w:r>
      <w:r w:rsidRPr="00385ABA">
        <w:t xml:space="preserve"> of this Attachment may also be applied where a life company monitors multiple rating agencies that provide different solicited credit ratings for a particular debt obligation.</w:t>
      </w:r>
    </w:p>
    <w:p w14:paraId="6417AA63" w14:textId="6205944A" w:rsidR="0080767F" w:rsidRPr="00385ABA" w:rsidRDefault="0080767F" w:rsidP="0080767F">
      <w:pPr>
        <w:pStyle w:val="BodyText1"/>
      </w:pPr>
      <w:bookmarkStart w:id="31" w:name="_Ref324866003"/>
      <w:r w:rsidRPr="00076A62">
        <w:t xml:space="preserve">For the purposes of paragraph </w:t>
      </w:r>
      <w:r>
        <w:fldChar w:fldCharType="begin"/>
      </w:r>
      <w:r>
        <w:instrText xml:space="preserve"> REF _Ref324866010 \r \h  \* MERGEFORMAT </w:instrText>
      </w:r>
      <w:r>
        <w:fldChar w:fldCharType="separate"/>
      </w:r>
      <w:r w:rsidR="007944F4">
        <w:t>4</w:t>
      </w:r>
      <w:r>
        <w:fldChar w:fldCharType="end"/>
      </w:r>
      <w:r w:rsidRPr="00076A62">
        <w:t xml:space="preserve"> </w:t>
      </w:r>
      <w:r>
        <w:t xml:space="preserve">of this Attachment </w:t>
      </w:r>
      <w:r w:rsidRPr="00076A62">
        <w:t>the following rule applies</w:t>
      </w:r>
      <w:r>
        <w:t>:</w:t>
      </w:r>
      <w:r w:rsidRPr="00076A62">
        <w:t xml:space="preserve"> </w:t>
      </w:r>
      <w:r>
        <w:t>w</w:t>
      </w:r>
      <w:r w:rsidRPr="00076A62">
        <w:t>here</w:t>
      </w:r>
      <w:r w:rsidRPr="00385ABA">
        <w:t xml:space="preserve"> a counterparty or debt obligation has solicited credit ratings from multiple rating agencies, the following guidelines </w:t>
      </w:r>
      <w:r>
        <w:t>must</w:t>
      </w:r>
      <w:r w:rsidRPr="00385ABA">
        <w:t xml:space="preserve"> be followed in determining the counterparty grade:</w:t>
      </w:r>
      <w:bookmarkEnd w:id="31"/>
    </w:p>
    <w:p w14:paraId="7AF086A1" w14:textId="77777777" w:rsidR="0080767F" w:rsidRPr="00385ABA" w:rsidRDefault="0080767F" w:rsidP="0080767F">
      <w:pPr>
        <w:pStyle w:val="BodyText2"/>
      </w:pPr>
      <w:r w:rsidRPr="00385ABA">
        <w:t>if there are two solicited ratings which correspond to different counterparty grade</w:t>
      </w:r>
      <w:r>
        <w:t>s</w:t>
      </w:r>
      <w:r w:rsidRPr="00385ABA">
        <w:t xml:space="preserve">, the </w:t>
      </w:r>
      <w:r>
        <w:t>lower</w:t>
      </w:r>
      <w:r w:rsidRPr="00385ABA">
        <w:t xml:space="preserve"> counterparty grade must be used for the debt obligation; or</w:t>
      </w:r>
    </w:p>
    <w:p w14:paraId="7869D98D" w14:textId="77777777" w:rsidR="0080767F" w:rsidRPr="00385ABA" w:rsidRDefault="0080767F" w:rsidP="0080767F">
      <w:pPr>
        <w:pStyle w:val="BodyText2"/>
      </w:pPr>
      <w:r w:rsidRPr="00385ABA">
        <w:t>if there are three or more solicited ratings that correspond to different counterparty grades, the ratings corresponding to the second-best of those counterparty grades must be used for the debt obligation.</w:t>
      </w:r>
    </w:p>
    <w:p w14:paraId="0FCBFB39" w14:textId="46F7775F" w:rsidR="0080767F" w:rsidRPr="00385ABA" w:rsidRDefault="0080767F" w:rsidP="0080767F">
      <w:pPr>
        <w:pStyle w:val="BodyText1"/>
      </w:pPr>
      <w:r w:rsidRPr="00385ABA">
        <w:t xml:space="preserve">APRA’s written approval must be sought if a life company wishes to use the rating determined by a rating agency not included in </w:t>
      </w:r>
      <w:r w:rsidR="0016109E">
        <w:t>Table 1 and Table 2</w:t>
      </w:r>
      <w:r w:rsidRPr="00385ABA">
        <w:t>.</w:t>
      </w:r>
    </w:p>
    <w:p w14:paraId="1F717D12" w14:textId="1EAB4298" w:rsidR="0080767F" w:rsidRDefault="0080767F" w:rsidP="0080767F">
      <w:pPr>
        <w:pStyle w:val="BodyText1"/>
      </w:pPr>
      <w:bookmarkStart w:id="32" w:name="_Ref324865949"/>
      <w:r w:rsidRPr="00385ABA">
        <w:t>The Counterparty Grade for assets</w:t>
      </w:r>
      <w:r>
        <w:t xml:space="preserve"> secured by residential mortgages (as defined in paragraph</w:t>
      </w:r>
      <w:r w:rsidR="007944F4">
        <w:t xml:space="preserve"> </w:t>
      </w:r>
      <w:r w:rsidR="007944F4">
        <w:fldChar w:fldCharType="begin"/>
      </w:r>
      <w:r w:rsidR="007944F4">
        <w:instrText xml:space="preserve"> REF _Ref324866154 \r \h </w:instrText>
      </w:r>
      <w:r w:rsidR="007944F4">
        <w:fldChar w:fldCharType="separate"/>
      </w:r>
      <w:r w:rsidR="004E662F">
        <w:t>1(b)</w:t>
      </w:r>
      <w:r w:rsidR="007944F4">
        <w:fldChar w:fldCharType="end"/>
      </w:r>
      <w:r w:rsidR="007944F4">
        <w:t xml:space="preserve"> </w:t>
      </w:r>
      <w:r>
        <w:t xml:space="preserve">of this Attachment) </w:t>
      </w:r>
      <w:r w:rsidRPr="00385ABA">
        <w:t xml:space="preserve">is determined from </w:t>
      </w:r>
      <w:r w:rsidR="0016109E">
        <w:t>Table 3</w:t>
      </w:r>
      <w:r w:rsidRPr="00385ABA">
        <w:t>.</w:t>
      </w:r>
      <w:bookmarkEnd w:id="32"/>
    </w:p>
    <w:p w14:paraId="5FD7DA54" w14:textId="77777777" w:rsidR="0080767F" w:rsidRPr="00BE1586" w:rsidRDefault="0080767F" w:rsidP="0080767F">
      <w:pPr>
        <w:pStyle w:val="ListParagraph"/>
        <w:keepNext/>
        <w:spacing w:after="240"/>
        <w:ind w:left="567"/>
        <w:jc w:val="both"/>
        <w:rPr>
          <w:rFonts w:ascii="Times New Roman" w:hAnsi="Times New Roman"/>
          <w:b/>
          <w:sz w:val="24"/>
          <w:szCs w:val="24"/>
        </w:rPr>
      </w:pPr>
      <w:r w:rsidRPr="00BE1586">
        <w:rPr>
          <w:rFonts w:ascii="Times New Roman" w:hAnsi="Times New Roman"/>
          <w:b/>
          <w:sz w:val="24"/>
          <w:szCs w:val="24"/>
        </w:rPr>
        <w:t xml:space="preserve">Table 3: </w:t>
      </w:r>
      <w:r>
        <w:rPr>
          <w:rFonts w:ascii="Times New Roman" w:hAnsi="Times New Roman"/>
          <w:b/>
          <w:sz w:val="24"/>
          <w:szCs w:val="24"/>
        </w:rPr>
        <w:t>A</w:t>
      </w:r>
      <w:r w:rsidRPr="00BE1586">
        <w:rPr>
          <w:rFonts w:ascii="Times New Roman" w:hAnsi="Times New Roman"/>
          <w:b/>
          <w:sz w:val="24"/>
          <w:szCs w:val="24"/>
        </w:rPr>
        <w:t>ssets</w:t>
      </w:r>
      <w:r>
        <w:rPr>
          <w:rFonts w:ascii="Times New Roman" w:hAnsi="Times New Roman"/>
          <w:b/>
          <w:sz w:val="24"/>
          <w:szCs w:val="24"/>
        </w:rPr>
        <w:t xml:space="preserve"> secured by residential mortgages</w:t>
      </w:r>
    </w:p>
    <w:tbl>
      <w:tblPr>
        <w:tblW w:w="7655" w:type="dxa"/>
        <w:tblInd w:w="675" w:type="dxa"/>
        <w:tblBorders>
          <w:top w:val="nil"/>
          <w:left w:val="nil"/>
          <w:bottom w:val="nil"/>
          <w:right w:val="nil"/>
        </w:tblBorders>
        <w:tblLayout w:type="fixed"/>
        <w:tblLook w:val="0000" w:firstRow="0" w:lastRow="0" w:firstColumn="0" w:lastColumn="0" w:noHBand="0" w:noVBand="0"/>
      </w:tblPr>
      <w:tblGrid>
        <w:gridCol w:w="2268"/>
        <w:gridCol w:w="1241"/>
        <w:gridCol w:w="1382"/>
        <w:gridCol w:w="1382"/>
        <w:gridCol w:w="1382"/>
      </w:tblGrid>
      <w:tr w:rsidR="0080767F" w:rsidRPr="00385ABA" w14:paraId="5F2DF5C1" w14:textId="77777777" w:rsidTr="0080767F">
        <w:trPr>
          <w:trHeight w:val="297"/>
        </w:trPr>
        <w:tc>
          <w:tcPr>
            <w:tcW w:w="2268" w:type="dxa"/>
            <w:tcBorders>
              <w:top w:val="single" w:sz="8" w:space="0" w:color="000000"/>
              <w:left w:val="single" w:sz="8" w:space="0" w:color="000000"/>
              <w:bottom w:val="single" w:sz="8" w:space="0" w:color="000000"/>
              <w:right w:val="single" w:sz="8" w:space="0" w:color="000000"/>
            </w:tcBorders>
          </w:tcPr>
          <w:p w14:paraId="76DFAA98" w14:textId="77777777" w:rsidR="0080767F" w:rsidRPr="00385ABA" w:rsidRDefault="0080767F" w:rsidP="0080767F">
            <w:pPr>
              <w:keepNext/>
              <w:autoSpaceDE w:val="0"/>
              <w:autoSpaceDN w:val="0"/>
              <w:adjustRightInd w:val="0"/>
              <w:jc w:val="center"/>
              <w:rPr>
                <w:color w:val="000000"/>
              </w:rPr>
            </w:pPr>
            <w:r w:rsidRPr="00385ABA">
              <w:rPr>
                <w:b/>
                <w:bCs/>
                <w:color w:val="000000"/>
              </w:rPr>
              <w:t>Counterparty Grade</w:t>
            </w:r>
          </w:p>
        </w:tc>
        <w:tc>
          <w:tcPr>
            <w:tcW w:w="2623" w:type="dxa"/>
            <w:gridSpan w:val="2"/>
            <w:tcBorders>
              <w:top w:val="single" w:sz="8" w:space="0" w:color="000000"/>
              <w:right w:val="single" w:sz="8" w:space="0" w:color="000000"/>
            </w:tcBorders>
          </w:tcPr>
          <w:p w14:paraId="7DA08080" w14:textId="77777777" w:rsidR="0080767F" w:rsidRPr="00385ABA" w:rsidRDefault="0080767F" w:rsidP="0080767F">
            <w:pPr>
              <w:keepNext/>
              <w:autoSpaceDE w:val="0"/>
              <w:autoSpaceDN w:val="0"/>
              <w:adjustRightInd w:val="0"/>
              <w:jc w:val="center"/>
              <w:rPr>
                <w:color w:val="000000"/>
              </w:rPr>
            </w:pPr>
            <w:r w:rsidRPr="00385ABA">
              <w:rPr>
                <w:b/>
                <w:bCs/>
                <w:color w:val="000000"/>
              </w:rPr>
              <w:t>Standard residential mortgages</w:t>
            </w:r>
          </w:p>
        </w:tc>
        <w:tc>
          <w:tcPr>
            <w:tcW w:w="2764" w:type="dxa"/>
            <w:gridSpan w:val="2"/>
            <w:tcBorders>
              <w:top w:val="single" w:sz="8" w:space="0" w:color="000000"/>
              <w:right w:val="single" w:sz="8" w:space="0" w:color="000000"/>
            </w:tcBorders>
          </w:tcPr>
          <w:p w14:paraId="116EB54D" w14:textId="77777777" w:rsidR="0080767F" w:rsidRPr="00385ABA" w:rsidRDefault="0080767F" w:rsidP="0080767F">
            <w:pPr>
              <w:keepNext/>
              <w:autoSpaceDE w:val="0"/>
              <w:autoSpaceDN w:val="0"/>
              <w:adjustRightInd w:val="0"/>
              <w:jc w:val="center"/>
              <w:rPr>
                <w:color w:val="000000"/>
              </w:rPr>
            </w:pPr>
            <w:r w:rsidRPr="00385ABA">
              <w:rPr>
                <w:b/>
                <w:bCs/>
                <w:color w:val="000000"/>
              </w:rPr>
              <w:t>Other</w:t>
            </w:r>
            <w:r>
              <w:rPr>
                <w:b/>
                <w:bCs/>
                <w:color w:val="000000"/>
              </w:rPr>
              <w:t xml:space="preserve"> residential mortgages</w:t>
            </w:r>
          </w:p>
        </w:tc>
      </w:tr>
      <w:tr w:rsidR="0080767F" w:rsidRPr="00385ABA" w14:paraId="05A02DB7" w14:textId="77777777" w:rsidTr="0080767F">
        <w:trPr>
          <w:trHeight w:val="157"/>
        </w:trPr>
        <w:tc>
          <w:tcPr>
            <w:tcW w:w="2268" w:type="dxa"/>
            <w:tcBorders>
              <w:top w:val="single" w:sz="8" w:space="0" w:color="000000"/>
              <w:left w:val="single" w:sz="8" w:space="0" w:color="000000"/>
              <w:bottom w:val="single" w:sz="8" w:space="0" w:color="000000"/>
              <w:right w:val="single" w:sz="8" w:space="0" w:color="000000"/>
            </w:tcBorders>
          </w:tcPr>
          <w:p w14:paraId="0139E275" w14:textId="77777777" w:rsidR="0080767F" w:rsidRPr="00385ABA" w:rsidRDefault="0080767F" w:rsidP="0080767F">
            <w:pPr>
              <w:keepNext/>
              <w:autoSpaceDE w:val="0"/>
              <w:autoSpaceDN w:val="0"/>
              <w:adjustRightInd w:val="0"/>
              <w:jc w:val="center"/>
              <w:rPr>
                <w:color w:val="000000"/>
              </w:rPr>
            </w:pPr>
            <w:r>
              <w:rPr>
                <w:color w:val="000000"/>
              </w:rPr>
              <w:t>‘</w:t>
            </w:r>
            <w:r w:rsidRPr="00385ABA">
              <w:rPr>
                <w:color w:val="000000"/>
              </w:rPr>
              <w:t>Loan to value ratio</w:t>
            </w:r>
            <w:r>
              <w:rPr>
                <w:color w:val="000000"/>
              </w:rPr>
              <w:t>’</w:t>
            </w:r>
          </w:p>
        </w:tc>
        <w:tc>
          <w:tcPr>
            <w:tcW w:w="1241" w:type="dxa"/>
            <w:tcBorders>
              <w:top w:val="single" w:sz="8" w:space="0" w:color="000000"/>
              <w:right w:val="single" w:sz="8" w:space="0" w:color="000000"/>
            </w:tcBorders>
          </w:tcPr>
          <w:p w14:paraId="24B140DA" w14:textId="77777777" w:rsidR="0080767F" w:rsidRPr="00385ABA" w:rsidRDefault="0080767F" w:rsidP="0080767F">
            <w:pPr>
              <w:keepNext/>
              <w:autoSpaceDE w:val="0"/>
              <w:autoSpaceDN w:val="0"/>
              <w:adjustRightInd w:val="0"/>
              <w:jc w:val="center"/>
              <w:rPr>
                <w:color w:val="000000"/>
              </w:rPr>
            </w:pPr>
            <w:r w:rsidRPr="00385ABA">
              <w:rPr>
                <w:color w:val="000000"/>
              </w:rPr>
              <w:t>No LMI</w:t>
            </w:r>
          </w:p>
        </w:tc>
        <w:tc>
          <w:tcPr>
            <w:tcW w:w="1382" w:type="dxa"/>
            <w:tcBorders>
              <w:top w:val="single" w:sz="8" w:space="0" w:color="000000"/>
              <w:right w:val="single" w:sz="8" w:space="0" w:color="000000"/>
            </w:tcBorders>
          </w:tcPr>
          <w:p w14:paraId="3F11B454" w14:textId="77777777" w:rsidR="0080767F" w:rsidRPr="00385ABA" w:rsidRDefault="0080767F" w:rsidP="0080767F">
            <w:pPr>
              <w:keepNext/>
              <w:autoSpaceDE w:val="0"/>
              <w:autoSpaceDN w:val="0"/>
              <w:adjustRightInd w:val="0"/>
              <w:jc w:val="center"/>
              <w:rPr>
                <w:color w:val="000000"/>
              </w:rPr>
            </w:pPr>
            <w:r w:rsidRPr="00385ABA">
              <w:rPr>
                <w:color w:val="000000"/>
              </w:rPr>
              <w:t>&gt;40% LMI</w:t>
            </w:r>
          </w:p>
        </w:tc>
        <w:tc>
          <w:tcPr>
            <w:tcW w:w="1382" w:type="dxa"/>
            <w:tcBorders>
              <w:top w:val="single" w:sz="8" w:space="0" w:color="000000"/>
              <w:right w:val="single" w:sz="8" w:space="0" w:color="000000"/>
            </w:tcBorders>
          </w:tcPr>
          <w:p w14:paraId="253FC449" w14:textId="77777777" w:rsidR="0080767F" w:rsidRPr="00385ABA" w:rsidRDefault="0080767F" w:rsidP="0080767F">
            <w:pPr>
              <w:keepNext/>
              <w:autoSpaceDE w:val="0"/>
              <w:autoSpaceDN w:val="0"/>
              <w:adjustRightInd w:val="0"/>
              <w:jc w:val="center"/>
              <w:rPr>
                <w:color w:val="000000"/>
              </w:rPr>
            </w:pPr>
            <w:r w:rsidRPr="00385ABA">
              <w:rPr>
                <w:color w:val="000000"/>
              </w:rPr>
              <w:t>No LMI</w:t>
            </w:r>
          </w:p>
        </w:tc>
        <w:tc>
          <w:tcPr>
            <w:tcW w:w="1382" w:type="dxa"/>
            <w:tcBorders>
              <w:top w:val="single" w:sz="8" w:space="0" w:color="000000"/>
              <w:bottom w:val="single" w:sz="8" w:space="0" w:color="000000"/>
              <w:right w:val="single" w:sz="8" w:space="0" w:color="000000"/>
            </w:tcBorders>
          </w:tcPr>
          <w:p w14:paraId="1A59E483" w14:textId="77777777" w:rsidR="0080767F" w:rsidRPr="00385ABA" w:rsidRDefault="0080767F" w:rsidP="0080767F">
            <w:pPr>
              <w:keepNext/>
              <w:autoSpaceDE w:val="0"/>
              <w:autoSpaceDN w:val="0"/>
              <w:adjustRightInd w:val="0"/>
              <w:jc w:val="center"/>
              <w:rPr>
                <w:color w:val="000000"/>
              </w:rPr>
            </w:pPr>
            <w:r w:rsidRPr="00385ABA">
              <w:rPr>
                <w:color w:val="000000"/>
              </w:rPr>
              <w:t>&gt;40% LMI</w:t>
            </w:r>
          </w:p>
        </w:tc>
      </w:tr>
      <w:tr w:rsidR="0080767F" w:rsidRPr="00385ABA" w14:paraId="0DFCB4B0" w14:textId="77777777" w:rsidTr="0080767F">
        <w:trPr>
          <w:trHeight w:val="157"/>
        </w:trPr>
        <w:tc>
          <w:tcPr>
            <w:tcW w:w="2268" w:type="dxa"/>
            <w:tcBorders>
              <w:top w:val="single" w:sz="8" w:space="0" w:color="000000"/>
              <w:left w:val="single" w:sz="8" w:space="0" w:color="000000"/>
              <w:bottom w:val="single" w:sz="8" w:space="0" w:color="000000"/>
              <w:right w:val="single" w:sz="8" w:space="0" w:color="000000"/>
            </w:tcBorders>
          </w:tcPr>
          <w:p w14:paraId="6D067AD4" w14:textId="77777777" w:rsidR="0080767F" w:rsidRPr="00385ABA" w:rsidRDefault="0080767F" w:rsidP="0080767F">
            <w:pPr>
              <w:keepNext/>
              <w:autoSpaceDE w:val="0"/>
              <w:autoSpaceDN w:val="0"/>
              <w:adjustRightInd w:val="0"/>
              <w:jc w:val="center"/>
              <w:rPr>
                <w:color w:val="000000"/>
              </w:rPr>
            </w:pPr>
            <w:r w:rsidRPr="00385ABA">
              <w:rPr>
                <w:color w:val="000000"/>
              </w:rPr>
              <w:t>≤ 60%</w:t>
            </w:r>
          </w:p>
        </w:tc>
        <w:tc>
          <w:tcPr>
            <w:tcW w:w="1241" w:type="dxa"/>
            <w:tcBorders>
              <w:top w:val="single" w:sz="8" w:space="0" w:color="000000"/>
              <w:right w:val="single" w:sz="8" w:space="0" w:color="000000"/>
            </w:tcBorders>
          </w:tcPr>
          <w:p w14:paraId="2CA2FD72" w14:textId="77777777" w:rsidR="0080767F" w:rsidRPr="00385ABA" w:rsidRDefault="0080767F" w:rsidP="0080767F">
            <w:pPr>
              <w:keepNext/>
              <w:autoSpaceDE w:val="0"/>
              <w:autoSpaceDN w:val="0"/>
              <w:adjustRightInd w:val="0"/>
              <w:jc w:val="center"/>
              <w:rPr>
                <w:color w:val="000000"/>
              </w:rPr>
            </w:pPr>
            <w:r w:rsidRPr="00385ABA">
              <w:rPr>
                <w:color w:val="000000"/>
              </w:rPr>
              <w:t>2</w:t>
            </w:r>
          </w:p>
        </w:tc>
        <w:tc>
          <w:tcPr>
            <w:tcW w:w="1382" w:type="dxa"/>
            <w:tcBorders>
              <w:top w:val="single" w:sz="8" w:space="0" w:color="000000"/>
              <w:right w:val="single" w:sz="8" w:space="0" w:color="000000"/>
            </w:tcBorders>
          </w:tcPr>
          <w:p w14:paraId="03E1BD95" w14:textId="77777777" w:rsidR="0080767F" w:rsidRPr="00385ABA" w:rsidRDefault="0080767F" w:rsidP="0080767F">
            <w:pPr>
              <w:keepNext/>
              <w:autoSpaceDE w:val="0"/>
              <w:autoSpaceDN w:val="0"/>
              <w:adjustRightInd w:val="0"/>
              <w:jc w:val="center"/>
              <w:rPr>
                <w:color w:val="000000"/>
              </w:rPr>
            </w:pPr>
            <w:r w:rsidRPr="00385ABA">
              <w:rPr>
                <w:color w:val="000000"/>
              </w:rPr>
              <w:t>2</w:t>
            </w:r>
          </w:p>
        </w:tc>
        <w:tc>
          <w:tcPr>
            <w:tcW w:w="1382" w:type="dxa"/>
            <w:tcBorders>
              <w:top w:val="single" w:sz="8" w:space="0" w:color="000000"/>
              <w:right w:val="single" w:sz="8" w:space="0" w:color="000000"/>
            </w:tcBorders>
          </w:tcPr>
          <w:p w14:paraId="0632B554" w14:textId="77777777" w:rsidR="0080767F" w:rsidRPr="00385ABA" w:rsidRDefault="0080767F" w:rsidP="0080767F">
            <w:pPr>
              <w:keepNext/>
              <w:autoSpaceDE w:val="0"/>
              <w:autoSpaceDN w:val="0"/>
              <w:adjustRightInd w:val="0"/>
              <w:jc w:val="center"/>
              <w:rPr>
                <w:color w:val="000000"/>
              </w:rPr>
            </w:pPr>
            <w:r w:rsidRPr="00385ABA">
              <w:rPr>
                <w:color w:val="000000"/>
              </w:rPr>
              <w:t>3</w:t>
            </w:r>
          </w:p>
        </w:tc>
        <w:tc>
          <w:tcPr>
            <w:tcW w:w="1382" w:type="dxa"/>
            <w:tcBorders>
              <w:top w:val="single" w:sz="8" w:space="0" w:color="000000"/>
              <w:bottom w:val="single" w:sz="8" w:space="0" w:color="000000"/>
              <w:right w:val="single" w:sz="8" w:space="0" w:color="000000"/>
            </w:tcBorders>
          </w:tcPr>
          <w:p w14:paraId="626313D5" w14:textId="77777777" w:rsidR="0080767F" w:rsidRPr="00385ABA" w:rsidRDefault="0080767F" w:rsidP="0080767F">
            <w:pPr>
              <w:keepNext/>
              <w:autoSpaceDE w:val="0"/>
              <w:autoSpaceDN w:val="0"/>
              <w:adjustRightInd w:val="0"/>
              <w:jc w:val="center"/>
              <w:rPr>
                <w:color w:val="000000"/>
              </w:rPr>
            </w:pPr>
            <w:r w:rsidRPr="00385ABA">
              <w:rPr>
                <w:color w:val="000000"/>
              </w:rPr>
              <w:t>2</w:t>
            </w:r>
          </w:p>
        </w:tc>
      </w:tr>
      <w:tr w:rsidR="0080767F" w:rsidRPr="00385ABA" w14:paraId="42AE2B2B" w14:textId="77777777" w:rsidTr="0080767F">
        <w:trPr>
          <w:trHeight w:val="433"/>
        </w:trPr>
        <w:tc>
          <w:tcPr>
            <w:tcW w:w="2268" w:type="dxa"/>
            <w:tcBorders>
              <w:top w:val="single" w:sz="8" w:space="0" w:color="000000"/>
              <w:left w:val="single" w:sz="8" w:space="0" w:color="000000"/>
              <w:bottom w:val="single" w:sz="8" w:space="0" w:color="000000"/>
              <w:right w:val="single" w:sz="8" w:space="0" w:color="000000"/>
            </w:tcBorders>
          </w:tcPr>
          <w:p w14:paraId="32AC8367" w14:textId="77777777" w:rsidR="0080767F" w:rsidRPr="00385ABA" w:rsidRDefault="0080767F" w:rsidP="0080767F">
            <w:pPr>
              <w:keepNext/>
              <w:autoSpaceDE w:val="0"/>
              <w:autoSpaceDN w:val="0"/>
              <w:adjustRightInd w:val="0"/>
              <w:jc w:val="center"/>
              <w:rPr>
                <w:color w:val="000000"/>
              </w:rPr>
            </w:pPr>
            <w:r w:rsidRPr="00385ABA">
              <w:rPr>
                <w:color w:val="000000"/>
              </w:rPr>
              <w:t>&gt; 60% but ≤ 80%</w:t>
            </w:r>
          </w:p>
        </w:tc>
        <w:tc>
          <w:tcPr>
            <w:tcW w:w="1241" w:type="dxa"/>
            <w:tcBorders>
              <w:top w:val="single" w:sz="8" w:space="0" w:color="000000"/>
              <w:bottom w:val="single" w:sz="8" w:space="0" w:color="000000"/>
              <w:right w:val="single" w:sz="8" w:space="0" w:color="000000"/>
            </w:tcBorders>
          </w:tcPr>
          <w:p w14:paraId="1F39DA7D" w14:textId="77777777" w:rsidR="0080767F" w:rsidRPr="00385ABA" w:rsidRDefault="0080767F" w:rsidP="0080767F">
            <w:pPr>
              <w:keepNext/>
              <w:autoSpaceDE w:val="0"/>
              <w:autoSpaceDN w:val="0"/>
              <w:adjustRightInd w:val="0"/>
              <w:jc w:val="center"/>
              <w:rPr>
                <w:color w:val="000000"/>
              </w:rPr>
            </w:pPr>
            <w:r w:rsidRPr="00385ABA">
              <w:rPr>
                <w:color w:val="000000"/>
              </w:rPr>
              <w:t>2</w:t>
            </w:r>
          </w:p>
        </w:tc>
        <w:tc>
          <w:tcPr>
            <w:tcW w:w="1382" w:type="dxa"/>
            <w:tcBorders>
              <w:top w:val="single" w:sz="8" w:space="0" w:color="000000"/>
              <w:bottom w:val="single" w:sz="8" w:space="0" w:color="000000"/>
              <w:right w:val="single" w:sz="8" w:space="0" w:color="000000"/>
            </w:tcBorders>
          </w:tcPr>
          <w:p w14:paraId="097FBF9C" w14:textId="77777777" w:rsidR="0080767F" w:rsidRPr="00385ABA" w:rsidRDefault="0080767F" w:rsidP="0080767F">
            <w:pPr>
              <w:keepNext/>
              <w:autoSpaceDE w:val="0"/>
              <w:autoSpaceDN w:val="0"/>
              <w:adjustRightInd w:val="0"/>
              <w:jc w:val="center"/>
              <w:rPr>
                <w:color w:val="000000"/>
              </w:rPr>
            </w:pPr>
            <w:r w:rsidRPr="00385ABA">
              <w:rPr>
                <w:color w:val="000000"/>
              </w:rPr>
              <w:t>2</w:t>
            </w:r>
          </w:p>
        </w:tc>
        <w:tc>
          <w:tcPr>
            <w:tcW w:w="1382" w:type="dxa"/>
            <w:tcBorders>
              <w:top w:val="single" w:sz="8" w:space="0" w:color="000000"/>
              <w:bottom w:val="single" w:sz="8" w:space="0" w:color="000000"/>
              <w:right w:val="single" w:sz="8" w:space="0" w:color="000000"/>
            </w:tcBorders>
          </w:tcPr>
          <w:p w14:paraId="04E6811E" w14:textId="77777777" w:rsidR="0080767F" w:rsidRPr="00385ABA" w:rsidRDefault="0080767F" w:rsidP="0080767F">
            <w:pPr>
              <w:keepNext/>
              <w:autoSpaceDE w:val="0"/>
              <w:autoSpaceDN w:val="0"/>
              <w:adjustRightInd w:val="0"/>
              <w:jc w:val="center"/>
              <w:rPr>
                <w:color w:val="000000"/>
              </w:rPr>
            </w:pPr>
            <w:r w:rsidRPr="00385ABA">
              <w:rPr>
                <w:color w:val="000000"/>
              </w:rPr>
              <w:t>4</w:t>
            </w:r>
          </w:p>
        </w:tc>
        <w:tc>
          <w:tcPr>
            <w:tcW w:w="1382" w:type="dxa"/>
            <w:tcBorders>
              <w:top w:val="single" w:sz="8" w:space="0" w:color="000000"/>
              <w:bottom w:val="single" w:sz="8" w:space="0" w:color="000000"/>
              <w:right w:val="single" w:sz="8" w:space="0" w:color="000000"/>
            </w:tcBorders>
          </w:tcPr>
          <w:p w14:paraId="19F40D47" w14:textId="77777777" w:rsidR="0080767F" w:rsidRPr="00385ABA" w:rsidRDefault="0080767F" w:rsidP="0080767F">
            <w:pPr>
              <w:keepNext/>
              <w:autoSpaceDE w:val="0"/>
              <w:autoSpaceDN w:val="0"/>
              <w:adjustRightInd w:val="0"/>
              <w:jc w:val="center"/>
              <w:rPr>
                <w:color w:val="000000"/>
              </w:rPr>
            </w:pPr>
            <w:r w:rsidRPr="00385ABA">
              <w:rPr>
                <w:color w:val="000000"/>
              </w:rPr>
              <w:t>3</w:t>
            </w:r>
          </w:p>
        </w:tc>
      </w:tr>
      <w:tr w:rsidR="0080767F" w:rsidRPr="00385ABA" w14:paraId="25FD2670" w14:textId="77777777" w:rsidTr="0080767F">
        <w:trPr>
          <w:trHeight w:val="433"/>
        </w:trPr>
        <w:tc>
          <w:tcPr>
            <w:tcW w:w="2268" w:type="dxa"/>
            <w:tcBorders>
              <w:top w:val="single" w:sz="8" w:space="0" w:color="000000"/>
              <w:left w:val="single" w:sz="8" w:space="0" w:color="000000"/>
              <w:bottom w:val="single" w:sz="8" w:space="0" w:color="000000"/>
              <w:right w:val="single" w:sz="8" w:space="0" w:color="000000"/>
            </w:tcBorders>
          </w:tcPr>
          <w:p w14:paraId="2EBAEA50" w14:textId="77777777" w:rsidR="0080767F" w:rsidRPr="00385ABA" w:rsidRDefault="0080767F" w:rsidP="0080767F">
            <w:pPr>
              <w:keepNext/>
              <w:autoSpaceDE w:val="0"/>
              <w:autoSpaceDN w:val="0"/>
              <w:adjustRightInd w:val="0"/>
              <w:jc w:val="center"/>
              <w:rPr>
                <w:color w:val="000000"/>
              </w:rPr>
            </w:pPr>
            <w:r w:rsidRPr="00385ABA">
              <w:rPr>
                <w:color w:val="000000"/>
              </w:rPr>
              <w:t>&gt; 80% but ≤ 90%</w:t>
            </w:r>
          </w:p>
        </w:tc>
        <w:tc>
          <w:tcPr>
            <w:tcW w:w="1241" w:type="dxa"/>
            <w:tcBorders>
              <w:top w:val="single" w:sz="8" w:space="0" w:color="000000"/>
              <w:bottom w:val="single" w:sz="8" w:space="0" w:color="000000"/>
              <w:right w:val="single" w:sz="8" w:space="0" w:color="000000"/>
            </w:tcBorders>
          </w:tcPr>
          <w:p w14:paraId="53BBC2CC" w14:textId="77777777" w:rsidR="0080767F" w:rsidRPr="00385ABA" w:rsidRDefault="0080767F" w:rsidP="0080767F">
            <w:pPr>
              <w:keepNext/>
              <w:autoSpaceDE w:val="0"/>
              <w:autoSpaceDN w:val="0"/>
              <w:adjustRightInd w:val="0"/>
              <w:jc w:val="center"/>
              <w:rPr>
                <w:color w:val="000000"/>
              </w:rPr>
            </w:pPr>
            <w:r w:rsidRPr="00385ABA">
              <w:rPr>
                <w:color w:val="000000"/>
              </w:rPr>
              <w:t>3</w:t>
            </w:r>
          </w:p>
        </w:tc>
        <w:tc>
          <w:tcPr>
            <w:tcW w:w="1382" w:type="dxa"/>
            <w:tcBorders>
              <w:top w:val="single" w:sz="8" w:space="0" w:color="000000"/>
              <w:bottom w:val="single" w:sz="8" w:space="0" w:color="000000"/>
              <w:right w:val="single" w:sz="8" w:space="0" w:color="000000"/>
            </w:tcBorders>
          </w:tcPr>
          <w:p w14:paraId="652CEDBD" w14:textId="77777777" w:rsidR="0080767F" w:rsidRPr="00385ABA" w:rsidRDefault="0080767F" w:rsidP="0080767F">
            <w:pPr>
              <w:keepNext/>
              <w:autoSpaceDE w:val="0"/>
              <w:autoSpaceDN w:val="0"/>
              <w:adjustRightInd w:val="0"/>
              <w:jc w:val="center"/>
              <w:rPr>
                <w:color w:val="000000"/>
              </w:rPr>
            </w:pPr>
            <w:r w:rsidRPr="00385ABA">
              <w:rPr>
                <w:color w:val="000000"/>
              </w:rPr>
              <w:t>2</w:t>
            </w:r>
          </w:p>
        </w:tc>
        <w:tc>
          <w:tcPr>
            <w:tcW w:w="1382" w:type="dxa"/>
            <w:tcBorders>
              <w:top w:val="single" w:sz="8" w:space="0" w:color="000000"/>
              <w:bottom w:val="single" w:sz="8" w:space="0" w:color="000000"/>
              <w:right w:val="single" w:sz="8" w:space="0" w:color="000000"/>
            </w:tcBorders>
          </w:tcPr>
          <w:p w14:paraId="07A95F81" w14:textId="77777777" w:rsidR="0080767F" w:rsidRPr="00385ABA" w:rsidRDefault="0080767F" w:rsidP="0080767F">
            <w:pPr>
              <w:keepNext/>
              <w:autoSpaceDE w:val="0"/>
              <w:autoSpaceDN w:val="0"/>
              <w:adjustRightInd w:val="0"/>
              <w:jc w:val="center"/>
              <w:rPr>
                <w:color w:val="000000"/>
              </w:rPr>
            </w:pPr>
            <w:r w:rsidRPr="00385ABA">
              <w:rPr>
                <w:color w:val="000000"/>
              </w:rPr>
              <w:t>5</w:t>
            </w:r>
          </w:p>
        </w:tc>
        <w:tc>
          <w:tcPr>
            <w:tcW w:w="1382" w:type="dxa"/>
            <w:tcBorders>
              <w:top w:val="single" w:sz="8" w:space="0" w:color="000000"/>
              <w:bottom w:val="single" w:sz="8" w:space="0" w:color="000000"/>
              <w:right w:val="single" w:sz="8" w:space="0" w:color="000000"/>
            </w:tcBorders>
          </w:tcPr>
          <w:p w14:paraId="07C1844D" w14:textId="77777777" w:rsidR="0080767F" w:rsidRPr="00385ABA" w:rsidRDefault="0080767F" w:rsidP="0080767F">
            <w:pPr>
              <w:keepNext/>
              <w:autoSpaceDE w:val="0"/>
              <w:autoSpaceDN w:val="0"/>
              <w:adjustRightInd w:val="0"/>
              <w:jc w:val="center"/>
              <w:rPr>
                <w:color w:val="000000"/>
              </w:rPr>
            </w:pPr>
            <w:r w:rsidRPr="00385ABA">
              <w:rPr>
                <w:color w:val="000000"/>
              </w:rPr>
              <w:t>4</w:t>
            </w:r>
          </w:p>
        </w:tc>
      </w:tr>
      <w:tr w:rsidR="0080767F" w:rsidRPr="00385ABA" w14:paraId="4827962D" w14:textId="77777777" w:rsidTr="0080767F">
        <w:trPr>
          <w:trHeight w:val="433"/>
        </w:trPr>
        <w:tc>
          <w:tcPr>
            <w:tcW w:w="2268" w:type="dxa"/>
            <w:tcBorders>
              <w:top w:val="single" w:sz="8" w:space="0" w:color="000000"/>
              <w:left w:val="single" w:sz="8" w:space="0" w:color="000000"/>
              <w:bottom w:val="single" w:sz="8" w:space="0" w:color="000000"/>
              <w:right w:val="single" w:sz="8" w:space="0" w:color="000000"/>
            </w:tcBorders>
          </w:tcPr>
          <w:p w14:paraId="7BB84D75" w14:textId="77777777" w:rsidR="0080767F" w:rsidRPr="00385ABA" w:rsidRDefault="0080767F" w:rsidP="0080767F">
            <w:pPr>
              <w:keepNext/>
              <w:autoSpaceDE w:val="0"/>
              <w:autoSpaceDN w:val="0"/>
              <w:adjustRightInd w:val="0"/>
              <w:jc w:val="center"/>
              <w:rPr>
                <w:color w:val="000000"/>
              </w:rPr>
            </w:pPr>
            <w:r w:rsidRPr="00385ABA">
              <w:rPr>
                <w:color w:val="000000"/>
              </w:rPr>
              <w:t>&gt; 90% but ≤ 100%</w:t>
            </w:r>
          </w:p>
        </w:tc>
        <w:tc>
          <w:tcPr>
            <w:tcW w:w="1241" w:type="dxa"/>
            <w:tcBorders>
              <w:top w:val="single" w:sz="8" w:space="0" w:color="000000"/>
              <w:bottom w:val="single" w:sz="8" w:space="0" w:color="000000"/>
              <w:right w:val="single" w:sz="8" w:space="0" w:color="000000"/>
            </w:tcBorders>
          </w:tcPr>
          <w:p w14:paraId="6880793D" w14:textId="77777777" w:rsidR="0080767F" w:rsidRPr="00385ABA" w:rsidRDefault="0080767F" w:rsidP="0080767F">
            <w:pPr>
              <w:keepNext/>
              <w:autoSpaceDE w:val="0"/>
              <w:autoSpaceDN w:val="0"/>
              <w:adjustRightInd w:val="0"/>
              <w:jc w:val="center"/>
              <w:rPr>
                <w:color w:val="000000"/>
              </w:rPr>
            </w:pPr>
            <w:r w:rsidRPr="00385ABA">
              <w:rPr>
                <w:color w:val="000000"/>
              </w:rPr>
              <w:t>4</w:t>
            </w:r>
          </w:p>
        </w:tc>
        <w:tc>
          <w:tcPr>
            <w:tcW w:w="1382" w:type="dxa"/>
            <w:tcBorders>
              <w:top w:val="single" w:sz="8" w:space="0" w:color="000000"/>
              <w:bottom w:val="single" w:sz="8" w:space="0" w:color="000000"/>
              <w:right w:val="single" w:sz="8" w:space="0" w:color="000000"/>
            </w:tcBorders>
          </w:tcPr>
          <w:p w14:paraId="23B7FD31" w14:textId="77777777" w:rsidR="0080767F" w:rsidRPr="00385ABA" w:rsidRDefault="0080767F" w:rsidP="0080767F">
            <w:pPr>
              <w:keepNext/>
              <w:autoSpaceDE w:val="0"/>
              <w:autoSpaceDN w:val="0"/>
              <w:adjustRightInd w:val="0"/>
              <w:jc w:val="center"/>
              <w:rPr>
                <w:color w:val="000000"/>
              </w:rPr>
            </w:pPr>
            <w:r w:rsidRPr="00385ABA">
              <w:rPr>
                <w:color w:val="000000"/>
              </w:rPr>
              <w:t>3</w:t>
            </w:r>
          </w:p>
        </w:tc>
        <w:tc>
          <w:tcPr>
            <w:tcW w:w="1382" w:type="dxa"/>
            <w:tcBorders>
              <w:top w:val="single" w:sz="8" w:space="0" w:color="000000"/>
              <w:bottom w:val="single" w:sz="8" w:space="0" w:color="000000"/>
              <w:right w:val="single" w:sz="8" w:space="0" w:color="000000"/>
            </w:tcBorders>
          </w:tcPr>
          <w:p w14:paraId="64790715" w14:textId="77777777" w:rsidR="0080767F" w:rsidRPr="00385ABA" w:rsidRDefault="0080767F" w:rsidP="0080767F">
            <w:pPr>
              <w:keepNext/>
              <w:autoSpaceDE w:val="0"/>
              <w:autoSpaceDN w:val="0"/>
              <w:adjustRightInd w:val="0"/>
              <w:jc w:val="center"/>
              <w:rPr>
                <w:color w:val="000000"/>
              </w:rPr>
            </w:pPr>
            <w:r w:rsidRPr="00385ABA">
              <w:rPr>
                <w:color w:val="000000"/>
              </w:rPr>
              <w:t>5</w:t>
            </w:r>
          </w:p>
        </w:tc>
        <w:tc>
          <w:tcPr>
            <w:tcW w:w="1382" w:type="dxa"/>
            <w:tcBorders>
              <w:top w:val="single" w:sz="8" w:space="0" w:color="000000"/>
              <w:bottom w:val="single" w:sz="8" w:space="0" w:color="000000"/>
              <w:right w:val="single" w:sz="8" w:space="0" w:color="000000"/>
            </w:tcBorders>
          </w:tcPr>
          <w:p w14:paraId="12119902" w14:textId="77777777" w:rsidR="0080767F" w:rsidRPr="00385ABA" w:rsidRDefault="0080767F" w:rsidP="0080767F">
            <w:pPr>
              <w:keepNext/>
              <w:autoSpaceDE w:val="0"/>
              <w:autoSpaceDN w:val="0"/>
              <w:adjustRightInd w:val="0"/>
              <w:jc w:val="center"/>
              <w:rPr>
                <w:color w:val="000000"/>
              </w:rPr>
            </w:pPr>
            <w:r w:rsidRPr="00385ABA">
              <w:rPr>
                <w:color w:val="000000"/>
              </w:rPr>
              <w:t>4</w:t>
            </w:r>
          </w:p>
        </w:tc>
      </w:tr>
      <w:tr w:rsidR="0080767F" w:rsidRPr="00385ABA" w14:paraId="14FC9C69" w14:textId="77777777" w:rsidTr="0080767F">
        <w:trPr>
          <w:trHeight w:val="157"/>
        </w:trPr>
        <w:tc>
          <w:tcPr>
            <w:tcW w:w="2268" w:type="dxa"/>
            <w:tcBorders>
              <w:top w:val="single" w:sz="8" w:space="0" w:color="000000"/>
              <w:left w:val="single" w:sz="8" w:space="0" w:color="000000"/>
              <w:bottom w:val="single" w:sz="8" w:space="0" w:color="000000"/>
              <w:right w:val="single" w:sz="8" w:space="0" w:color="000000"/>
            </w:tcBorders>
          </w:tcPr>
          <w:p w14:paraId="31B91BE2" w14:textId="77777777" w:rsidR="0080767F" w:rsidRPr="00385ABA" w:rsidRDefault="0080767F" w:rsidP="0080767F">
            <w:pPr>
              <w:keepNext/>
              <w:autoSpaceDE w:val="0"/>
              <w:autoSpaceDN w:val="0"/>
              <w:adjustRightInd w:val="0"/>
              <w:jc w:val="center"/>
              <w:rPr>
                <w:color w:val="000000"/>
              </w:rPr>
            </w:pPr>
            <w:r w:rsidRPr="00385ABA">
              <w:rPr>
                <w:color w:val="000000"/>
              </w:rPr>
              <w:t xml:space="preserve">&gt; 100% </w:t>
            </w:r>
          </w:p>
        </w:tc>
        <w:tc>
          <w:tcPr>
            <w:tcW w:w="1241" w:type="dxa"/>
            <w:tcBorders>
              <w:top w:val="single" w:sz="8" w:space="0" w:color="000000"/>
              <w:bottom w:val="single" w:sz="8" w:space="0" w:color="000000"/>
              <w:right w:val="single" w:sz="8" w:space="0" w:color="000000"/>
            </w:tcBorders>
          </w:tcPr>
          <w:p w14:paraId="256F7748" w14:textId="77777777" w:rsidR="0080767F" w:rsidRPr="00385ABA" w:rsidRDefault="0080767F" w:rsidP="0080767F">
            <w:pPr>
              <w:keepNext/>
              <w:autoSpaceDE w:val="0"/>
              <w:autoSpaceDN w:val="0"/>
              <w:adjustRightInd w:val="0"/>
              <w:jc w:val="center"/>
              <w:rPr>
                <w:color w:val="000000"/>
              </w:rPr>
            </w:pPr>
            <w:r w:rsidRPr="00385ABA">
              <w:rPr>
                <w:color w:val="000000"/>
              </w:rPr>
              <w:t>5</w:t>
            </w:r>
          </w:p>
        </w:tc>
        <w:tc>
          <w:tcPr>
            <w:tcW w:w="1382" w:type="dxa"/>
            <w:tcBorders>
              <w:top w:val="single" w:sz="8" w:space="0" w:color="000000"/>
              <w:bottom w:val="single" w:sz="8" w:space="0" w:color="000000"/>
              <w:right w:val="single" w:sz="8" w:space="0" w:color="000000"/>
            </w:tcBorders>
          </w:tcPr>
          <w:p w14:paraId="403FD841" w14:textId="77777777" w:rsidR="0080767F" w:rsidRPr="00385ABA" w:rsidRDefault="0080767F" w:rsidP="0080767F">
            <w:pPr>
              <w:keepNext/>
              <w:autoSpaceDE w:val="0"/>
              <w:autoSpaceDN w:val="0"/>
              <w:adjustRightInd w:val="0"/>
              <w:jc w:val="center"/>
              <w:rPr>
                <w:color w:val="000000"/>
              </w:rPr>
            </w:pPr>
            <w:r w:rsidRPr="00385ABA">
              <w:rPr>
                <w:color w:val="000000"/>
              </w:rPr>
              <w:t>4</w:t>
            </w:r>
          </w:p>
        </w:tc>
        <w:tc>
          <w:tcPr>
            <w:tcW w:w="1382" w:type="dxa"/>
            <w:tcBorders>
              <w:top w:val="single" w:sz="8" w:space="0" w:color="000000"/>
              <w:bottom w:val="single" w:sz="8" w:space="0" w:color="000000"/>
              <w:right w:val="single" w:sz="8" w:space="0" w:color="000000"/>
            </w:tcBorders>
          </w:tcPr>
          <w:p w14:paraId="6C57F9F2" w14:textId="77777777" w:rsidR="0080767F" w:rsidRPr="00385ABA" w:rsidRDefault="0080767F" w:rsidP="0080767F">
            <w:pPr>
              <w:keepNext/>
              <w:autoSpaceDE w:val="0"/>
              <w:autoSpaceDN w:val="0"/>
              <w:adjustRightInd w:val="0"/>
              <w:jc w:val="center"/>
              <w:rPr>
                <w:color w:val="000000"/>
              </w:rPr>
            </w:pPr>
            <w:r w:rsidRPr="00385ABA">
              <w:rPr>
                <w:color w:val="000000"/>
              </w:rPr>
              <w:t>5</w:t>
            </w:r>
          </w:p>
        </w:tc>
        <w:tc>
          <w:tcPr>
            <w:tcW w:w="1382" w:type="dxa"/>
            <w:tcBorders>
              <w:top w:val="single" w:sz="8" w:space="0" w:color="000000"/>
              <w:bottom w:val="single" w:sz="8" w:space="0" w:color="000000"/>
              <w:right w:val="single" w:sz="8" w:space="0" w:color="000000"/>
            </w:tcBorders>
          </w:tcPr>
          <w:p w14:paraId="061CABEF" w14:textId="77777777" w:rsidR="0080767F" w:rsidRPr="00385ABA" w:rsidRDefault="0080767F" w:rsidP="0080767F">
            <w:pPr>
              <w:keepNext/>
              <w:autoSpaceDE w:val="0"/>
              <w:autoSpaceDN w:val="0"/>
              <w:adjustRightInd w:val="0"/>
              <w:jc w:val="center"/>
              <w:rPr>
                <w:color w:val="000000"/>
              </w:rPr>
            </w:pPr>
            <w:r w:rsidRPr="00385ABA">
              <w:rPr>
                <w:color w:val="000000"/>
              </w:rPr>
              <w:t>5</w:t>
            </w:r>
          </w:p>
        </w:tc>
      </w:tr>
    </w:tbl>
    <w:p w14:paraId="3A091E8B" w14:textId="77777777" w:rsidR="0080767F" w:rsidRPr="00385ABA" w:rsidRDefault="0080767F" w:rsidP="0080767F">
      <w:pPr>
        <w:jc w:val="both"/>
      </w:pPr>
    </w:p>
    <w:p w14:paraId="0AE58F65" w14:textId="77777777" w:rsidR="0080767F" w:rsidRPr="00385ABA" w:rsidRDefault="0080767F" w:rsidP="0080767F">
      <w:pPr>
        <w:pStyle w:val="BodyText1"/>
      </w:pPr>
      <w:r>
        <w:t>‘</w:t>
      </w:r>
      <w:r w:rsidRPr="00385ABA">
        <w:t xml:space="preserve">Loan to </w:t>
      </w:r>
      <w:r>
        <w:t>v</w:t>
      </w:r>
      <w:r w:rsidRPr="00385ABA">
        <w:t xml:space="preserve">alue </w:t>
      </w:r>
      <w:r>
        <w:t>r</w:t>
      </w:r>
      <w:r w:rsidRPr="00385ABA">
        <w:t>atio</w:t>
      </w:r>
      <w:r>
        <w:t>’</w:t>
      </w:r>
      <w:r w:rsidRPr="00385ABA">
        <w:t xml:space="preserve"> is the ratio of the value of the asset (i.e. loan) to the market value of the collateral. The market value of the collateral is the value at inception </w:t>
      </w:r>
      <w:r w:rsidRPr="00385ABA">
        <w:lastRenderedPageBreak/>
        <w:t>or, where a substantive valuation has subsequently been carried out, this subsequent valuation.</w:t>
      </w:r>
    </w:p>
    <w:p w14:paraId="23BAC174" w14:textId="77777777" w:rsidR="0080767F" w:rsidRPr="00385ABA" w:rsidRDefault="0080767F" w:rsidP="0080767F">
      <w:pPr>
        <w:pStyle w:val="BodyText1"/>
      </w:pPr>
      <w:bookmarkStart w:id="33" w:name="_Ref324866066"/>
      <w:r w:rsidRPr="00385ABA">
        <w:t>A standard residential mortgage is defined as a mortgage on an existing residential property where the life company has:</w:t>
      </w:r>
      <w:bookmarkEnd w:id="33"/>
    </w:p>
    <w:p w14:paraId="4E9C359D" w14:textId="77777777" w:rsidR="0080767F" w:rsidRPr="00385ABA" w:rsidRDefault="0080767F" w:rsidP="004D17BF">
      <w:pPr>
        <w:pStyle w:val="BodyText2"/>
      </w:pPr>
      <w:r w:rsidRPr="00385ABA">
        <w:t>prior to loan approval and as part of the loan origination and approval process, documented, assessed and verified the ability of the borrowers to meet their repayment obligation;</w:t>
      </w:r>
    </w:p>
    <w:p w14:paraId="59C1A3E5" w14:textId="77777777" w:rsidR="0080767F" w:rsidRPr="00385ABA" w:rsidRDefault="0080767F" w:rsidP="004D17BF">
      <w:pPr>
        <w:pStyle w:val="BodyText2"/>
      </w:pPr>
      <w:r w:rsidRPr="00385ABA">
        <w:t>valued any residential property offered as security;</w:t>
      </w:r>
    </w:p>
    <w:p w14:paraId="74B97C8D" w14:textId="77777777" w:rsidR="0080767F" w:rsidRPr="00385ABA" w:rsidRDefault="0080767F" w:rsidP="004D17BF">
      <w:pPr>
        <w:pStyle w:val="BodyText2"/>
      </w:pPr>
      <w:r w:rsidRPr="00385ABA">
        <w:t>established that any property offered as security for the loan is readily marketable; and</w:t>
      </w:r>
    </w:p>
    <w:p w14:paraId="0AEC30CD" w14:textId="77777777" w:rsidR="0080767F" w:rsidRPr="00385ABA" w:rsidRDefault="0080767F" w:rsidP="004D17BF">
      <w:pPr>
        <w:pStyle w:val="BodyText2"/>
      </w:pPr>
      <w:r w:rsidRPr="00385ABA">
        <w:t>the life company has at all times unequivocal enforcement rights over the mortgaged property (including a power of sale and a right to possession) in the event of default by the borrower.</w:t>
      </w:r>
    </w:p>
    <w:p w14:paraId="2218DA74" w14:textId="77777777" w:rsidR="0080767F" w:rsidRPr="00385ABA" w:rsidRDefault="0080767F" w:rsidP="0080767F">
      <w:pPr>
        <w:ind w:left="567"/>
        <w:jc w:val="both"/>
      </w:pPr>
      <w:r w:rsidRPr="00385ABA">
        <w:t>The life company must also revalue any property offered as security for such loans when it becomes aware of a material change in the market value of property in an area or region.</w:t>
      </w:r>
    </w:p>
    <w:p w14:paraId="2E814D89" w14:textId="56E721BD" w:rsidR="0080767F" w:rsidRPr="00385ABA" w:rsidRDefault="0080767F" w:rsidP="0080767F">
      <w:pPr>
        <w:pStyle w:val="BodyText1"/>
      </w:pPr>
      <w:r w:rsidRPr="00385ABA">
        <w:t xml:space="preserve">Loans that are secured by residential properties but fail to meet the criteria detailed in paragraph </w:t>
      </w:r>
      <w:r>
        <w:fldChar w:fldCharType="begin"/>
      </w:r>
      <w:r>
        <w:instrText xml:space="preserve"> REF _Ref324866066 \r \h  \* MERGEFORMAT </w:instrText>
      </w:r>
      <w:r>
        <w:fldChar w:fldCharType="separate"/>
      </w:r>
      <w:r w:rsidR="001F3F36">
        <w:t>9</w:t>
      </w:r>
      <w:r>
        <w:fldChar w:fldCharType="end"/>
      </w:r>
      <w:r w:rsidRPr="00385ABA">
        <w:t xml:space="preserve"> of this Attachment must be classified as other </w:t>
      </w:r>
      <w:r>
        <w:t>residential mortgages</w:t>
      </w:r>
      <w:r w:rsidRPr="00385ABA">
        <w:t>. Such loans may be reclassified as standard residential mortgages where the borrowers have met their contractual loan repayments to the life company continuously over the previous 36 months.</w:t>
      </w:r>
    </w:p>
    <w:p w14:paraId="31885FDB" w14:textId="4D7123C1" w:rsidR="0080767F" w:rsidRPr="00DC34C6" w:rsidRDefault="0080767F" w:rsidP="0080767F">
      <w:pPr>
        <w:pStyle w:val="BodyText1"/>
      </w:pPr>
      <w:bookmarkStart w:id="34" w:name="_Ref334606470"/>
      <w:r w:rsidRPr="00385ABA">
        <w:t xml:space="preserve">LMI refers to lenders mortgage insurance. </w:t>
      </w:r>
      <w:r>
        <w:t>‘</w:t>
      </w:r>
      <w:r w:rsidRPr="00385ABA">
        <w:t>&gt;40% LMI</w:t>
      </w:r>
      <w:r>
        <w:t>’</w:t>
      </w:r>
      <w:r w:rsidRPr="00385ABA">
        <w:t xml:space="preserve"> refers to mortgages where insurance cover has been obtained for all realised losses up to at least 40 per cent of the higher of the original loan amount and outstanding loan amount if higher than the original loan amount. Such insurance must be with a lenders mortgage insurer that is regulated by APRA.</w:t>
      </w:r>
      <w:bookmarkEnd w:id="34"/>
    </w:p>
    <w:p w14:paraId="2612055C" w14:textId="77777777" w:rsidR="001F6B8D" w:rsidRPr="007D2D7F" w:rsidRDefault="001F6B8D" w:rsidP="004D17BF"/>
    <w:sectPr w:rsidR="001F6B8D" w:rsidRPr="007D2D7F" w:rsidSect="000D63A8">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105B" w14:textId="77777777" w:rsidR="00CB1969" w:rsidRDefault="00CB1969" w:rsidP="006A6A52">
      <w:pPr>
        <w:spacing w:after="0"/>
      </w:pPr>
      <w:r>
        <w:separator/>
      </w:r>
    </w:p>
  </w:endnote>
  <w:endnote w:type="continuationSeparator" w:id="0">
    <w:p w14:paraId="6DB1D9D8" w14:textId="77777777" w:rsidR="00CB1969" w:rsidRDefault="00CB1969" w:rsidP="006A6A52">
      <w:pPr>
        <w:spacing w:after="0"/>
      </w:pPr>
      <w:r>
        <w:continuationSeparator/>
      </w:r>
    </w:p>
  </w:endnote>
  <w:endnote w:type="continuationNotice" w:id="1">
    <w:p w14:paraId="08C7BDC1" w14:textId="77777777" w:rsidR="00CB1969" w:rsidRDefault="00CB19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5DF6" w14:textId="58B0977C" w:rsidR="001546C1" w:rsidRPr="00842FBD" w:rsidRDefault="00AB1BFC" w:rsidP="00842FBD">
    <w:pPr>
      <w:pStyle w:val="Footer"/>
    </w:pPr>
    <w:r>
      <w:fldChar w:fldCharType="begin"/>
    </w:r>
    <w:r>
      <w:instrText xml:space="preserve"> STYLEREF  "PS No. field text"  \* MERGEFORMAT </w:instrText>
    </w:r>
    <w:r>
      <w:fldChar w:fldCharType="separate"/>
    </w:r>
    <w:r>
      <w:rPr>
        <w:noProof/>
      </w:rPr>
      <w:t>LPS 001</w:t>
    </w:r>
    <w:r>
      <w:rPr>
        <w:noProof/>
      </w:rPr>
      <w:fldChar w:fldCharType="end"/>
    </w:r>
    <w:r w:rsidR="001546C1">
      <w:t xml:space="preserve"> - </w:t>
    </w:r>
    <w:r w:rsidR="001546C1" w:rsidRPr="00842FBD">
      <w:fldChar w:fldCharType="begin"/>
    </w:r>
    <w:r w:rsidR="001546C1" w:rsidRPr="00842FBD">
      <w:instrText xml:space="preserve"> PAGE </w:instrText>
    </w:r>
    <w:r w:rsidR="001546C1" w:rsidRPr="00842FBD">
      <w:fldChar w:fldCharType="separate"/>
    </w:r>
    <w:r w:rsidR="001546C1">
      <w:rPr>
        <w:noProof/>
      </w:rPr>
      <w:t>2</w:t>
    </w:r>
    <w:r w:rsidR="001546C1"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7D6A" w14:textId="5E033417" w:rsidR="009A44B7" w:rsidRPr="00842FBD" w:rsidRDefault="001A6261" w:rsidP="00842FBD">
    <w:pPr>
      <w:pStyle w:val="Footer"/>
    </w:pPr>
    <w:fldSimple w:instr=" STYLEREF  &quot;PS No. field text&quot;  \* MERGEFORMAT ">
      <w:r w:rsidR="00AB1BFC">
        <w:rPr>
          <w:noProof/>
        </w:rPr>
        <w:t>LPS 001</w:t>
      </w:r>
    </w:fldSimple>
    <w:r w:rsidR="009A44B7">
      <w:t xml:space="preserve"> – Attachment </w:t>
    </w:r>
    <w:fldSimple w:instr=" STYLEREF  &quot;Attachment field text&quot;  \* MERGEFORMAT ">
      <w:r w:rsidR="00AB1BFC">
        <w:rPr>
          <w:noProof/>
        </w:rPr>
        <w:t>A</w:t>
      </w:r>
    </w:fldSimple>
    <w:r w:rsidR="009A44B7">
      <w:t xml:space="preserve"> - </w:t>
    </w:r>
    <w:r w:rsidR="009A44B7" w:rsidRPr="00842FBD">
      <w:fldChar w:fldCharType="begin"/>
    </w:r>
    <w:r w:rsidR="009A44B7" w:rsidRPr="00842FBD">
      <w:instrText xml:space="preserve"> PAGE </w:instrText>
    </w:r>
    <w:r w:rsidR="009A44B7" w:rsidRPr="00842FBD">
      <w:fldChar w:fldCharType="separate"/>
    </w:r>
    <w:r w:rsidR="009A44B7">
      <w:rPr>
        <w:noProof/>
      </w:rPr>
      <w:t>5</w:t>
    </w:r>
    <w:r w:rsidR="009A44B7"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D3F0" w14:textId="77777777" w:rsidR="00CB1969" w:rsidRDefault="00CB1969" w:rsidP="006A6A52">
      <w:pPr>
        <w:spacing w:after="0"/>
      </w:pPr>
      <w:r>
        <w:separator/>
      </w:r>
    </w:p>
  </w:footnote>
  <w:footnote w:type="continuationSeparator" w:id="0">
    <w:p w14:paraId="70F46C13" w14:textId="77777777" w:rsidR="00CB1969" w:rsidRDefault="00CB1969" w:rsidP="006A6A52">
      <w:pPr>
        <w:spacing w:after="0"/>
      </w:pPr>
      <w:r>
        <w:continuationSeparator/>
      </w:r>
    </w:p>
  </w:footnote>
  <w:footnote w:type="continuationNotice" w:id="1">
    <w:p w14:paraId="7D3851F8" w14:textId="77777777" w:rsidR="00CB1969" w:rsidRDefault="00CB1969">
      <w:pPr>
        <w:spacing w:after="0"/>
      </w:pPr>
    </w:p>
  </w:footnote>
  <w:footnote w:id="2">
    <w:p w14:paraId="4A9B301E" w14:textId="77777777" w:rsidR="009A44B7" w:rsidRPr="002E7942" w:rsidRDefault="009A44B7" w:rsidP="009D0CCF">
      <w:pPr>
        <w:pStyle w:val="FootnoteText"/>
        <w:rPr>
          <w:lang w:val="en-US"/>
        </w:rPr>
      </w:pPr>
      <w:r w:rsidRPr="002E7942">
        <w:rPr>
          <w:rStyle w:val="FootnoteReference"/>
        </w:rPr>
        <w:footnoteRef/>
      </w:r>
      <w:r w:rsidRPr="002E7942">
        <w:t xml:space="preserve"> </w:t>
      </w:r>
      <w:r>
        <w:t>Su</w:t>
      </w:r>
      <w:r w:rsidRPr="002E7942">
        <w:t>bcategory is defined in the Act.</w:t>
      </w:r>
    </w:p>
  </w:footnote>
  <w:footnote w:id="3">
    <w:p w14:paraId="57D21B4A" w14:textId="77777777" w:rsidR="009A44B7" w:rsidRPr="00144D60" w:rsidRDefault="009A44B7" w:rsidP="0080767F">
      <w:pPr>
        <w:pStyle w:val="FootnoteText"/>
      </w:pPr>
      <w:r w:rsidRPr="008A0935">
        <w:rPr>
          <w:rStyle w:val="FootnoteReference"/>
        </w:rPr>
        <w:footnoteRef/>
      </w:r>
      <w:r>
        <w:t xml:space="preserve"> </w:t>
      </w:r>
      <w:r>
        <w:tab/>
        <w:t>‘</w:t>
      </w:r>
      <w:r w:rsidRPr="00144D60">
        <w:t>FSR’ refers to the Financial Strength Rating issued by AM Best.</w:t>
      </w:r>
    </w:p>
  </w:footnote>
  <w:footnote w:id="4">
    <w:p w14:paraId="326DD1B5" w14:textId="77777777" w:rsidR="009A44B7" w:rsidRPr="00C56043" w:rsidRDefault="009A44B7" w:rsidP="0080767F">
      <w:pPr>
        <w:pStyle w:val="FootnoteText"/>
      </w:pPr>
      <w:r w:rsidRPr="00C56043">
        <w:rPr>
          <w:rStyle w:val="FootnoteReference"/>
        </w:rPr>
        <w:footnoteRef/>
      </w:r>
      <w:r w:rsidRPr="00C56043">
        <w:t xml:space="preserve"> </w:t>
      </w:r>
      <w:r>
        <w:tab/>
      </w:r>
      <w:r w:rsidRPr="00C56043">
        <w:t xml:space="preserve">A solicited </w:t>
      </w:r>
      <w:r>
        <w:t xml:space="preserve">credit </w:t>
      </w:r>
      <w:r w:rsidRPr="00C56043">
        <w:t>rating is a rating that has been initiated and paid for by the issuer or rated counterparty or a commercial associate of the issuer or rated counterparty.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9A44B7" w14:paraId="7F22BEE9" w14:textId="77777777" w:rsidTr="000D63A8">
      <w:tc>
        <w:tcPr>
          <w:tcW w:w="4264" w:type="dxa"/>
          <w:tcBorders>
            <w:top w:val="nil"/>
            <w:left w:val="nil"/>
            <w:bottom w:val="nil"/>
            <w:right w:val="nil"/>
          </w:tcBorders>
        </w:tcPr>
        <w:p w14:paraId="17E11EAB" w14:textId="1FBAFCBB" w:rsidR="009A44B7" w:rsidRDefault="009A44B7" w:rsidP="00FF513E">
          <w:pPr>
            <w:pStyle w:val="Header"/>
          </w:pPr>
        </w:p>
      </w:tc>
      <w:tc>
        <w:tcPr>
          <w:tcW w:w="4264" w:type="dxa"/>
          <w:tcBorders>
            <w:top w:val="nil"/>
            <w:left w:val="nil"/>
            <w:bottom w:val="nil"/>
            <w:right w:val="nil"/>
          </w:tcBorders>
        </w:tcPr>
        <w:p w14:paraId="326245F6" w14:textId="3670ED0F" w:rsidR="009A44B7" w:rsidRDefault="009A44B7" w:rsidP="000D63A8">
          <w:pPr>
            <w:pStyle w:val="Header"/>
          </w:pPr>
        </w:p>
      </w:tc>
    </w:tr>
  </w:tbl>
  <w:p w14:paraId="7302FAF6" w14:textId="77777777" w:rsidR="009A44B7" w:rsidRDefault="009A4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1546C1" w14:paraId="534E626E" w14:textId="77777777" w:rsidTr="000D63A8">
      <w:tc>
        <w:tcPr>
          <w:tcW w:w="4264" w:type="dxa"/>
          <w:tcBorders>
            <w:top w:val="nil"/>
            <w:left w:val="nil"/>
            <w:bottom w:val="nil"/>
            <w:right w:val="nil"/>
          </w:tcBorders>
        </w:tcPr>
        <w:p w14:paraId="787D34CE" w14:textId="77777777" w:rsidR="001546C1" w:rsidRDefault="001546C1" w:rsidP="00FF513E">
          <w:pPr>
            <w:pStyle w:val="Header"/>
          </w:pPr>
        </w:p>
      </w:tc>
      <w:tc>
        <w:tcPr>
          <w:tcW w:w="4264" w:type="dxa"/>
          <w:tcBorders>
            <w:top w:val="nil"/>
            <w:left w:val="nil"/>
            <w:bottom w:val="nil"/>
            <w:right w:val="nil"/>
          </w:tcBorders>
        </w:tcPr>
        <w:p w14:paraId="765FC67B" w14:textId="77777777" w:rsidR="001546C1" w:rsidRDefault="001546C1" w:rsidP="000D63A8">
          <w:pPr>
            <w:pStyle w:val="Header"/>
          </w:pPr>
          <w:r>
            <w:t xml:space="preserve">July </w:t>
          </w:r>
          <w:r w:rsidRPr="00DE57D0">
            <w:t>202</w:t>
          </w:r>
          <w:r>
            <w:t>3</w:t>
          </w:r>
        </w:p>
      </w:tc>
    </w:tr>
  </w:tbl>
  <w:p w14:paraId="0122F8A5" w14:textId="77777777" w:rsidR="001546C1" w:rsidRDefault="00154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7A604F"/>
    <w:multiLevelType w:val="hybridMultilevel"/>
    <w:tmpl w:val="74BCE55A"/>
    <w:lvl w:ilvl="0" w:tplc="3F9830EE">
      <w:start w:val="1"/>
      <w:numFmt w:val="decimal"/>
      <w:lvlText w:val="%1."/>
      <w:lvlJc w:val="left"/>
      <w:pPr>
        <w:ind w:left="1287" w:hanging="360"/>
      </w:pPr>
      <w:rPr>
        <w:rFonts w:ascii="Times New Roman" w:hAnsi="Times New Roman" w:cs="Times New Roman" w:hint="default"/>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85F5251"/>
    <w:multiLevelType w:val="hybridMultilevel"/>
    <w:tmpl w:val="7F0C5A40"/>
    <w:lvl w:ilvl="0" w:tplc="C19887F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0E0C1700"/>
    <w:multiLevelType w:val="hybridMultilevel"/>
    <w:tmpl w:val="42CAA7C0"/>
    <w:lvl w:ilvl="0" w:tplc="ECE82828">
      <w:start w:val="1"/>
      <w:numFmt w:val="lowerLetter"/>
      <w:lvlText w:val="(%1)"/>
      <w:lvlJc w:val="left"/>
      <w:pPr>
        <w:ind w:left="927" w:hanging="360"/>
      </w:pPr>
      <w:rPr>
        <w:rFonts w:ascii="Times New Roman" w:hAnsi="Times New Roman" w:cs="Times New Roman"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0F153C1D"/>
    <w:multiLevelType w:val="hybridMultilevel"/>
    <w:tmpl w:val="C2E8BA96"/>
    <w:lvl w:ilvl="0" w:tplc="CFD23CC4">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35D7E"/>
    <w:multiLevelType w:val="hybridMultilevel"/>
    <w:tmpl w:val="F774DD32"/>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9038A2"/>
    <w:multiLevelType w:val="hybridMultilevel"/>
    <w:tmpl w:val="B3AAFFBA"/>
    <w:lvl w:ilvl="0" w:tplc="596288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FB57C4E"/>
    <w:multiLevelType w:val="hybridMultilevel"/>
    <w:tmpl w:val="911A309C"/>
    <w:lvl w:ilvl="0" w:tplc="596288C6">
      <w:start w:val="1"/>
      <w:numFmt w:val="lowerLetter"/>
      <w:lvlText w:val="(%1)"/>
      <w:lvlJc w:val="left"/>
      <w:pPr>
        <w:ind w:left="1440" w:hanging="360"/>
      </w:pPr>
      <w:rPr>
        <w:rFonts w:hint="default"/>
      </w:rPr>
    </w:lvl>
    <w:lvl w:ilvl="1" w:tplc="A0DA4762" w:tentative="1">
      <w:start w:val="1"/>
      <w:numFmt w:val="lowerLetter"/>
      <w:lvlText w:val="%2."/>
      <w:lvlJc w:val="left"/>
      <w:pPr>
        <w:ind w:left="2160" w:hanging="360"/>
      </w:pPr>
    </w:lvl>
    <w:lvl w:ilvl="2" w:tplc="C7BCFF26" w:tentative="1">
      <w:start w:val="1"/>
      <w:numFmt w:val="lowerRoman"/>
      <w:lvlText w:val="%3."/>
      <w:lvlJc w:val="right"/>
      <w:pPr>
        <w:ind w:left="2880" w:hanging="180"/>
      </w:pPr>
    </w:lvl>
    <w:lvl w:ilvl="3" w:tplc="01046750" w:tentative="1">
      <w:start w:val="1"/>
      <w:numFmt w:val="decimal"/>
      <w:lvlText w:val="%4."/>
      <w:lvlJc w:val="left"/>
      <w:pPr>
        <w:ind w:left="3600" w:hanging="360"/>
      </w:pPr>
    </w:lvl>
    <w:lvl w:ilvl="4" w:tplc="C03C37D6" w:tentative="1">
      <w:start w:val="1"/>
      <w:numFmt w:val="lowerLetter"/>
      <w:lvlText w:val="%5."/>
      <w:lvlJc w:val="left"/>
      <w:pPr>
        <w:ind w:left="4320" w:hanging="360"/>
      </w:pPr>
    </w:lvl>
    <w:lvl w:ilvl="5" w:tplc="8ADEED4C" w:tentative="1">
      <w:start w:val="1"/>
      <w:numFmt w:val="lowerRoman"/>
      <w:lvlText w:val="%6."/>
      <w:lvlJc w:val="right"/>
      <w:pPr>
        <w:ind w:left="5040" w:hanging="180"/>
      </w:pPr>
    </w:lvl>
    <w:lvl w:ilvl="6" w:tplc="FD82F3F6" w:tentative="1">
      <w:start w:val="1"/>
      <w:numFmt w:val="decimal"/>
      <w:lvlText w:val="%7."/>
      <w:lvlJc w:val="left"/>
      <w:pPr>
        <w:ind w:left="5760" w:hanging="360"/>
      </w:pPr>
    </w:lvl>
    <w:lvl w:ilvl="7" w:tplc="E3F6E4AC" w:tentative="1">
      <w:start w:val="1"/>
      <w:numFmt w:val="lowerLetter"/>
      <w:lvlText w:val="%8."/>
      <w:lvlJc w:val="left"/>
      <w:pPr>
        <w:ind w:left="6480" w:hanging="360"/>
      </w:pPr>
    </w:lvl>
    <w:lvl w:ilvl="8" w:tplc="33BAEC86" w:tentative="1">
      <w:start w:val="1"/>
      <w:numFmt w:val="lowerRoman"/>
      <w:lvlText w:val="%9."/>
      <w:lvlJc w:val="right"/>
      <w:pPr>
        <w:ind w:left="7200" w:hanging="180"/>
      </w:pPr>
    </w:lvl>
  </w:abstractNum>
  <w:abstractNum w:abstractNumId="15"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91650B4"/>
    <w:multiLevelType w:val="hybridMultilevel"/>
    <w:tmpl w:val="AF04C984"/>
    <w:lvl w:ilvl="0" w:tplc="9F12F83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A683471"/>
    <w:multiLevelType w:val="hybridMultilevel"/>
    <w:tmpl w:val="32E88056"/>
    <w:lvl w:ilvl="0" w:tplc="596288C6">
      <w:start w:val="1"/>
      <w:numFmt w:val="lowerLetter"/>
      <w:lvlText w:val="(%1)"/>
      <w:lvlJc w:val="left"/>
      <w:pPr>
        <w:ind w:left="1897" w:hanging="360"/>
      </w:pPr>
      <w:rPr>
        <w:rFonts w:hint="default"/>
      </w:rPr>
    </w:lvl>
    <w:lvl w:ilvl="1" w:tplc="0C090019" w:tentative="1">
      <w:start w:val="1"/>
      <w:numFmt w:val="lowerLetter"/>
      <w:lvlText w:val="%2."/>
      <w:lvlJc w:val="left"/>
      <w:pPr>
        <w:ind w:left="2617" w:hanging="360"/>
      </w:pPr>
    </w:lvl>
    <w:lvl w:ilvl="2" w:tplc="0C09001B" w:tentative="1">
      <w:start w:val="1"/>
      <w:numFmt w:val="lowerRoman"/>
      <w:lvlText w:val="%3."/>
      <w:lvlJc w:val="right"/>
      <w:pPr>
        <w:ind w:left="3337" w:hanging="180"/>
      </w:pPr>
    </w:lvl>
    <w:lvl w:ilvl="3" w:tplc="0C09000F" w:tentative="1">
      <w:start w:val="1"/>
      <w:numFmt w:val="decimal"/>
      <w:lvlText w:val="%4."/>
      <w:lvlJc w:val="left"/>
      <w:pPr>
        <w:ind w:left="4057" w:hanging="360"/>
      </w:pPr>
    </w:lvl>
    <w:lvl w:ilvl="4" w:tplc="0C090019" w:tentative="1">
      <w:start w:val="1"/>
      <w:numFmt w:val="lowerLetter"/>
      <w:lvlText w:val="%5."/>
      <w:lvlJc w:val="left"/>
      <w:pPr>
        <w:ind w:left="4777" w:hanging="360"/>
      </w:pPr>
    </w:lvl>
    <w:lvl w:ilvl="5" w:tplc="0C09001B" w:tentative="1">
      <w:start w:val="1"/>
      <w:numFmt w:val="lowerRoman"/>
      <w:lvlText w:val="%6."/>
      <w:lvlJc w:val="right"/>
      <w:pPr>
        <w:ind w:left="5497" w:hanging="180"/>
      </w:pPr>
    </w:lvl>
    <w:lvl w:ilvl="6" w:tplc="0C09000F" w:tentative="1">
      <w:start w:val="1"/>
      <w:numFmt w:val="decimal"/>
      <w:lvlText w:val="%7."/>
      <w:lvlJc w:val="left"/>
      <w:pPr>
        <w:ind w:left="6217" w:hanging="360"/>
      </w:pPr>
    </w:lvl>
    <w:lvl w:ilvl="7" w:tplc="0C090019" w:tentative="1">
      <w:start w:val="1"/>
      <w:numFmt w:val="lowerLetter"/>
      <w:lvlText w:val="%8."/>
      <w:lvlJc w:val="left"/>
      <w:pPr>
        <w:ind w:left="6937" w:hanging="360"/>
      </w:pPr>
    </w:lvl>
    <w:lvl w:ilvl="8" w:tplc="0C09001B" w:tentative="1">
      <w:start w:val="1"/>
      <w:numFmt w:val="lowerRoman"/>
      <w:lvlText w:val="%9."/>
      <w:lvlJc w:val="right"/>
      <w:pPr>
        <w:ind w:left="7657" w:hanging="180"/>
      </w:pPr>
    </w:lvl>
  </w:abstractNum>
  <w:abstractNum w:abstractNumId="22"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CE1B11"/>
    <w:multiLevelType w:val="hybridMultilevel"/>
    <w:tmpl w:val="1FB0271C"/>
    <w:lvl w:ilvl="0" w:tplc="CFD23CC4">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5D2F11A1"/>
    <w:multiLevelType w:val="hybridMultilevel"/>
    <w:tmpl w:val="19C0561A"/>
    <w:lvl w:ilvl="0" w:tplc="CD2A7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C55421"/>
    <w:multiLevelType w:val="hybridMultilevel"/>
    <w:tmpl w:val="BA609A98"/>
    <w:lvl w:ilvl="0" w:tplc="37FC47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2E2E93"/>
    <w:multiLevelType w:val="hybridMultilevel"/>
    <w:tmpl w:val="C44C51A2"/>
    <w:lvl w:ilvl="0" w:tplc="CFD23CC4">
      <w:start w:val="1"/>
      <w:numFmt w:val="lowerLetter"/>
      <w:lvlText w:val="(%1)"/>
      <w:lvlJc w:val="left"/>
      <w:pPr>
        <w:ind w:left="1287" w:hanging="360"/>
      </w:pPr>
      <w:rPr>
        <w:rFonts w:ascii="Times New Roman" w:eastAsia="Times New Roman" w:hAnsi="Times New Roman" w:cs="Times New Roman"/>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66786744"/>
    <w:multiLevelType w:val="hybridMultilevel"/>
    <w:tmpl w:val="695A1E28"/>
    <w:lvl w:ilvl="0" w:tplc="9F12F83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1" w15:restartNumberingAfterBreak="0">
    <w:nsid w:val="70220B03"/>
    <w:multiLevelType w:val="hybridMultilevel"/>
    <w:tmpl w:val="25BABD78"/>
    <w:lvl w:ilvl="0" w:tplc="6F208E4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2"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50757812">
    <w:abstractNumId w:val="17"/>
  </w:num>
  <w:num w:numId="2" w16cid:durableId="1924147875">
    <w:abstractNumId w:val="20"/>
  </w:num>
  <w:num w:numId="3" w16cid:durableId="1078551739">
    <w:abstractNumId w:val="8"/>
  </w:num>
  <w:num w:numId="4" w16cid:durableId="1739788412">
    <w:abstractNumId w:val="15"/>
  </w:num>
  <w:num w:numId="5" w16cid:durableId="862279995">
    <w:abstractNumId w:val="33"/>
  </w:num>
  <w:num w:numId="6" w16cid:durableId="1839342458">
    <w:abstractNumId w:val="13"/>
  </w:num>
  <w:num w:numId="7" w16cid:durableId="1706981403">
    <w:abstractNumId w:val="32"/>
  </w:num>
  <w:num w:numId="8" w16cid:durableId="1137987798">
    <w:abstractNumId w:val="25"/>
  </w:num>
  <w:num w:numId="9" w16cid:durableId="401173056">
    <w:abstractNumId w:val="30"/>
  </w:num>
  <w:num w:numId="10" w16cid:durableId="1399748557">
    <w:abstractNumId w:val="23"/>
  </w:num>
  <w:num w:numId="11" w16cid:durableId="487133354">
    <w:abstractNumId w:val="3"/>
  </w:num>
  <w:num w:numId="12" w16cid:durableId="2003461931">
    <w:abstractNumId w:val="0"/>
  </w:num>
  <w:num w:numId="13" w16cid:durableId="186257629">
    <w:abstractNumId w:val="2"/>
  </w:num>
  <w:num w:numId="14" w16cid:durableId="818812241">
    <w:abstractNumId w:val="1"/>
  </w:num>
  <w:num w:numId="15" w16cid:durableId="47607046">
    <w:abstractNumId w:val="22"/>
  </w:num>
  <w:num w:numId="16" w16cid:durableId="282226847">
    <w:abstractNumId w:val="9"/>
  </w:num>
  <w:num w:numId="17" w16cid:durableId="1998220818">
    <w:abstractNumId w:val="19"/>
  </w:num>
  <w:num w:numId="18" w16cid:durableId="207566959">
    <w:abstractNumId w:val="18"/>
  </w:num>
  <w:num w:numId="19" w16cid:durableId="1950896602">
    <w:abstractNumId w:val="11"/>
  </w:num>
  <w:num w:numId="20" w16cid:durableId="1630935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9853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2282512">
    <w:abstractNumId w:val="27"/>
  </w:num>
  <w:num w:numId="23" w16cid:durableId="969432993">
    <w:abstractNumId w:val="12"/>
  </w:num>
  <w:num w:numId="24" w16cid:durableId="2007515165">
    <w:abstractNumId w:val="29"/>
  </w:num>
  <w:num w:numId="25" w16cid:durableId="1011225660">
    <w:abstractNumId w:val="31"/>
  </w:num>
  <w:num w:numId="26" w16cid:durableId="345062471">
    <w:abstractNumId w:val="28"/>
  </w:num>
  <w:num w:numId="27" w16cid:durableId="1618755451">
    <w:abstractNumId w:val="16"/>
  </w:num>
  <w:num w:numId="28" w16cid:durableId="1586381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5106641">
    <w:abstractNumId w:val="7"/>
  </w:num>
  <w:num w:numId="30" w16cid:durableId="1052120249">
    <w:abstractNumId w:val="24"/>
  </w:num>
  <w:num w:numId="31" w16cid:durableId="1952935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6866984">
    <w:abstractNumId w:val="4"/>
  </w:num>
  <w:num w:numId="33" w16cid:durableId="1014725649">
    <w:abstractNumId w:val="14"/>
  </w:num>
  <w:num w:numId="34" w16cid:durableId="1566332246">
    <w:abstractNumId w:val="5"/>
  </w:num>
  <w:num w:numId="35" w16cid:durableId="1914730704">
    <w:abstractNumId w:val="10"/>
  </w:num>
  <w:num w:numId="36" w16cid:durableId="238753115">
    <w:abstractNumId w:val="21"/>
  </w:num>
  <w:num w:numId="37" w16cid:durableId="371079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955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5441459">
    <w:abstractNumId w:val="6"/>
  </w:num>
  <w:num w:numId="40" w16cid:durableId="9883669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7"/>
    <w:rsid w:val="0000183A"/>
    <w:rsid w:val="00001D43"/>
    <w:rsid w:val="00011780"/>
    <w:rsid w:val="00047718"/>
    <w:rsid w:val="000518B9"/>
    <w:rsid w:val="000537A0"/>
    <w:rsid w:val="0006337F"/>
    <w:rsid w:val="00074B95"/>
    <w:rsid w:val="00087D3E"/>
    <w:rsid w:val="000D63A8"/>
    <w:rsid w:val="000D7A9C"/>
    <w:rsid w:val="000D7B15"/>
    <w:rsid w:val="0010111B"/>
    <w:rsid w:val="00110917"/>
    <w:rsid w:val="00110A0F"/>
    <w:rsid w:val="00124CE0"/>
    <w:rsid w:val="0013237B"/>
    <w:rsid w:val="001410B4"/>
    <w:rsid w:val="00141CA6"/>
    <w:rsid w:val="001546C1"/>
    <w:rsid w:val="0016109E"/>
    <w:rsid w:val="00172EAD"/>
    <w:rsid w:val="00173A04"/>
    <w:rsid w:val="00182923"/>
    <w:rsid w:val="00182FA1"/>
    <w:rsid w:val="001A6261"/>
    <w:rsid w:val="001C297B"/>
    <w:rsid w:val="001C755C"/>
    <w:rsid w:val="001D789E"/>
    <w:rsid w:val="001E7EA9"/>
    <w:rsid w:val="001F3F36"/>
    <w:rsid w:val="001F6B8D"/>
    <w:rsid w:val="002500F9"/>
    <w:rsid w:val="002709D5"/>
    <w:rsid w:val="0029455F"/>
    <w:rsid w:val="002A07F8"/>
    <w:rsid w:val="002B060D"/>
    <w:rsid w:val="002B45A5"/>
    <w:rsid w:val="0037343B"/>
    <w:rsid w:val="0038413F"/>
    <w:rsid w:val="003906BF"/>
    <w:rsid w:val="00391AD7"/>
    <w:rsid w:val="003936EA"/>
    <w:rsid w:val="00394238"/>
    <w:rsid w:val="003B52EB"/>
    <w:rsid w:val="003C46D7"/>
    <w:rsid w:val="003D5032"/>
    <w:rsid w:val="00417B9A"/>
    <w:rsid w:val="004323FD"/>
    <w:rsid w:val="00453E3A"/>
    <w:rsid w:val="0045579C"/>
    <w:rsid w:val="004560E3"/>
    <w:rsid w:val="004776D4"/>
    <w:rsid w:val="0048511B"/>
    <w:rsid w:val="004A593E"/>
    <w:rsid w:val="004C3D07"/>
    <w:rsid w:val="004D17BF"/>
    <w:rsid w:val="004E662F"/>
    <w:rsid w:val="004F2AC1"/>
    <w:rsid w:val="005050E8"/>
    <w:rsid w:val="00506079"/>
    <w:rsid w:val="00521673"/>
    <w:rsid w:val="00534FFE"/>
    <w:rsid w:val="00544072"/>
    <w:rsid w:val="00551C22"/>
    <w:rsid w:val="005609DD"/>
    <w:rsid w:val="00576882"/>
    <w:rsid w:val="0058373B"/>
    <w:rsid w:val="005A386D"/>
    <w:rsid w:val="005A75C6"/>
    <w:rsid w:val="005B4BA3"/>
    <w:rsid w:val="005B6DC2"/>
    <w:rsid w:val="005E1E75"/>
    <w:rsid w:val="005E5663"/>
    <w:rsid w:val="005E5910"/>
    <w:rsid w:val="005F6F74"/>
    <w:rsid w:val="00622480"/>
    <w:rsid w:val="00632A5A"/>
    <w:rsid w:val="00647D58"/>
    <w:rsid w:val="00656D42"/>
    <w:rsid w:val="00684F73"/>
    <w:rsid w:val="00696E43"/>
    <w:rsid w:val="006A6A52"/>
    <w:rsid w:val="006B4C94"/>
    <w:rsid w:val="006B7324"/>
    <w:rsid w:val="006C06E6"/>
    <w:rsid w:val="006C5870"/>
    <w:rsid w:val="006E0851"/>
    <w:rsid w:val="006E5DD8"/>
    <w:rsid w:val="006F3C9B"/>
    <w:rsid w:val="0070081F"/>
    <w:rsid w:val="007031F4"/>
    <w:rsid w:val="00725AA6"/>
    <w:rsid w:val="0073126C"/>
    <w:rsid w:val="00742496"/>
    <w:rsid w:val="00745B81"/>
    <w:rsid w:val="00757A59"/>
    <w:rsid w:val="00776D66"/>
    <w:rsid w:val="00777ACD"/>
    <w:rsid w:val="00787FA9"/>
    <w:rsid w:val="007944F4"/>
    <w:rsid w:val="007A2B5C"/>
    <w:rsid w:val="007A3394"/>
    <w:rsid w:val="007A33E6"/>
    <w:rsid w:val="007A53AC"/>
    <w:rsid w:val="007C6CE6"/>
    <w:rsid w:val="007D2D7F"/>
    <w:rsid w:val="0080767F"/>
    <w:rsid w:val="008204C1"/>
    <w:rsid w:val="00842FBD"/>
    <w:rsid w:val="0085296F"/>
    <w:rsid w:val="0086194F"/>
    <w:rsid w:val="00867092"/>
    <w:rsid w:val="008846BD"/>
    <w:rsid w:val="00887222"/>
    <w:rsid w:val="008C3D9F"/>
    <w:rsid w:val="008D76C5"/>
    <w:rsid w:val="009101E1"/>
    <w:rsid w:val="00945059"/>
    <w:rsid w:val="00971180"/>
    <w:rsid w:val="009727F9"/>
    <w:rsid w:val="009871FB"/>
    <w:rsid w:val="00996C67"/>
    <w:rsid w:val="009A44B7"/>
    <w:rsid w:val="009B0A33"/>
    <w:rsid w:val="009B28A5"/>
    <w:rsid w:val="009B6212"/>
    <w:rsid w:val="009C5368"/>
    <w:rsid w:val="009C62A9"/>
    <w:rsid w:val="009C77A0"/>
    <w:rsid w:val="009D0CCF"/>
    <w:rsid w:val="009D467A"/>
    <w:rsid w:val="009E76B1"/>
    <w:rsid w:val="009F7699"/>
    <w:rsid w:val="00A009B2"/>
    <w:rsid w:val="00A33B41"/>
    <w:rsid w:val="00A50372"/>
    <w:rsid w:val="00A5159D"/>
    <w:rsid w:val="00A63A2B"/>
    <w:rsid w:val="00A76C76"/>
    <w:rsid w:val="00A97802"/>
    <w:rsid w:val="00AB1BFC"/>
    <w:rsid w:val="00AB37EC"/>
    <w:rsid w:val="00AC2517"/>
    <w:rsid w:val="00AC3B8E"/>
    <w:rsid w:val="00AE1650"/>
    <w:rsid w:val="00B04B20"/>
    <w:rsid w:val="00B172C7"/>
    <w:rsid w:val="00B30276"/>
    <w:rsid w:val="00B47BD7"/>
    <w:rsid w:val="00B6068B"/>
    <w:rsid w:val="00B766FA"/>
    <w:rsid w:val="00B77582"/>
    <w:rsid w:val="00B872F5"/>
    <w:rsid w:val="00BA4C45"/>
    <w:rsid w:val="00BA6D10"/>
    <w:rsid w:val="00BC0CC4"/>
    <w:rsid w:val="00BC2D08"/>
    <w:rsid w:val="00BD05CA"/>
    <w:rsid w:val="00BE59F9"/>
    <w:rsid w:val="00BF6CDF"/>
    <w:rsid w:val="00C004CC"/>
    <w:rsid w:val="00C0120F"/>
    <w:rsid w:val="00C14367"/>
    <w:rsid w:val="00C16622"/>
    <w:rsid w:val="00C21A2A"/>
    <w:rsid w:val="00C26AD5"/>
    <w:rsid w:val="00C302FA"/>
    <w:rsid w:val="00C5686C"/>
    <w:rsid w:val="00C568F2"/>
    <w:rsid w:val="00C6788C"/>
    <w:rsid w:val="00C67A76"/>
    <w:rsid w:val="00C74819"/>
    <w:rsid w:val="00C857A0"/>
    <w:rsid w:val="00C86748"/>
    <w:rsid w:val="00CA6032"/>
    <w:rsid w:val="00CA6CB3"/>
    <w:rsid w:val="00CB1969"/>
    <w:rsid w:val="00CB7762"/>
    <w:rsid w:val="00D01427"/>
    <w:rsid w:val="00D055F4"/>
    <w:rsid w:val="00D124EA"/>
    <w:rsid w:val="00D22147"/>
    <w:rsid w:val="00D252F5"/>
    <w:rsid w:val="00D3278A"/>
    <w:rsid w:val="00D47051"/>
    <w:rsid w:val="00D62B4A"/>
    <w:rsid w:val="00D62EFA"/>
    <w:rsid w:val="00D64906"/>
    <w:rsid w:val="00D835F7"/>
    <w:rsid w:val="00D857C7"/>
    <w:rsid w:val="00D96370"/>
    <w:rsid w:val="00DA253B"/>
    <w:rsid w:val="00DA3651"/>
    <w:rsid w:val="00DC52E3"/>
    <w:rsid w:val="00DD1BB1"/>
    <w:rsid w:val="00DE3174"/>
    <w:rsid w:val="00DE57D0"/>
    <w:rsid w:val="00DF539C"/>
    <w:rsid w:val="00E05BC3"/>
    <w:rsid w:val="00E07F40"/>
    <w:rsid w:val="00E15497"/>
    <w:rsid w:val="00E16DD9"/>
    <w:rsid w:val="00E201A8"/>
    <w:rsid w:val="00E419EC"/>
    <w:rsid w:val="00E633FB"/>
    <w:rsid w:val="00E83A76"/>
    <w:rsid w:val="00E90C89"/>
    <w:rsid w:val="00E96B6D"/>
    <w:rsid w:val="00EC5653"/>
    <w:rsid w:val="00F03694"/>
    <w:rsid w:val="00F14CEB"/>
    <w:rsid w:val="00F16D46"/>
    <w:rsid w:val="00F6431E"/>
    <w:rsid w:val="00F7706D"/>
    <w:rsid w:val="00F81DDA"/>
    <w:rsid w:val="00F86281"/>
    <w:rsid w:val="00FA5345"/>
    <w:rsid w:val="00FB3240"/>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A944"/>
  <w15:docId w15:val="{42BB7E18-BF20-4C25-8EF2-9F65B28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customStyle="1" w:styleId="numberedpara">
    <w:name w:val="numbered para"/>
    <w:basedOn w:val="Normal"/>
    <w:rsid w:val="009D0CCF"/>
    <w:rPr>
      <w:rFonts w:eastAsia="Times New Roman"/>
      <w:snapToGrid w:val="0"/>
      <w:color w:val="000000"/>
      <w:lang w:eastAsia="en-US"/>
    </w:rPr>
  </w:style>
  <w:style w:type="paragraph" w:styleId="BodyText">
    <w:name w:val="Body Text"/>
    <w:basedOn w:val="Normal"/>
    <w:link w:val="BodyTextChar"/>
    <w:uiPriority w:val="49"/>
    <w:semiHidden/>
    <w:unhideWhenUsed/>
    <w:rsid w:val="009D0CCF"/>
    <w:pPr>
      <w:spacing w:after="120"/>
    </w:pPr>
  </w:style>
  <w:style w:type="character" w:customStyle="1" w:styleId="BodyTextChar">
    <w:name w:val="Body Text Char"/>
    <w:basedOn w:val="DefaultParagraphFont"/>
    <w:link w:val="BodyText"/>
    <w:uiPriority w:val="49"/>
    <w:semiHidden/>
    <w:rsid w:val="009D0CCF"/>
  </w:style>
  <w:style w:type="paragraph" w:styleId="ListParagraph">
    <w:name w:val="List Paragraph"/>
    <w:basedOn w:val="Normal"/>
    <w:link w:val="ListParagraphChar"/>
    <w:uiPriority w:val="34"/>
    <w:qFormat/>
    <w:rsid w:val="009D0CCF"/>
    <w:pPr>
      <w:spacing w:after="0"/>
      <w:ind w:left="720"/>
    </w:pPr>
    <w:rPr>
      <w:rFonts w:ascii="Trebuchet MS" w:hAnsi="Trebuchet MS"/>
      <w:sz w:val="22"/>
      <w:szCs w:val="22"/>
      <w:lang w:eastAsia="en-US"/>
    </w:rPr>
  </w:style>
  <w:style w:type="character" w:styleId="CommentReference">
    <w:name w:val="annotation reference"/>
    <w:basedOn w:val="DefaultParagraphFont"/>
    <w:uiPriority w:val="49"/>
    <w:semiHidden/>
    <w:unhideWhenUsed/>
    <w:rsid w:val="00C26AD5"/>
    <w:rPr>
      <w:sz w:val="16"/>
      <w:szCs w:val="16"/>
    </w:rPr>
  </w:style>
  <w:style w:type="paragraph" w:styleId="CommentText">
    <w:name w:val="annotation text"/>
    <w:basedOn w:val="Normal"/>
    <w:link w:val="CommentTextChar"/>
    <w:uiPriority w:val="49"/>
    <w:semiHidden/>
    <w:unhideWhenUsed/>
    <w:rsid w:val="00C26AD5"/>
    <w:rPr>
      <w:sz w:val="20"/>
      <w:szCs w:val="20"/>
    </w:rPr>
  </w:style>
  <w:style w:type="character" w:customStyle="1" w:styleId="CommentTextChar">
    <w:name w:val="Comment Text Char"/>
    <w:basedOn w:val="DefaultParagraphFont"/>
    <w:link w:val="CommentText"/>
    <w:uiPriority w:val="49"/>
    <w:semiHidden/>
    <w:rsid w:val="00C26AD5"/>
    <w:rPr>
      <w:sz w:val="20"/>
      <w:szCs w:val="20"/>
    </w:rPr>
  </w:style>
  <w:style w:type="paragraph" w:styleId="CommentSubject">
    <w:name w:val="annotation subject"/>
    <w:basedOn w:val="CommentText"/>
    <w:next w:val="CommentText"/>
    <w:link w:val="CommentSubjectChar"/>
    <w:uiPriority w:val="49"/>
    <w:semiHidden/>
    <w:unhideWhenUsed/>
    <w:rsid w:val="00C26AD5"/>
    <w:rPr>
      <w:b/>
      <w:bCs/>
    </w:rPr>
  </w:style>
  <w:style w:type="character" w:customStyle="1" w:styleId="CommentSubjectChar">
    <w:name w:val="Comment Subject Char"/>
    <w:basedOn w:val="CommentTextChar"/>
    <w:link w:val="CommentSubject"/>
    <w:uiPriority w:val="49"/>
    <w:semiHidden/>
    <w:rsid w:val="00C26AD5"/>
    <w:rPr>
      <w:b/>
      <w:bCs/>
      <w:sz w:val="20"/>
      <w:szCs w:val="20"/>
    </w:rPr>
  </w:style>
  <w:style w:type="character" w:customStyle="1" w:styleId="ListParagraphChar">
    <w:name w:val="List Paragraph Char"/>
    <w:link w:val="ListParagraph"/>
    <w:uiPriority w:val="34"/>
    <w:rsid w:val="0058373B"/>
    <w:rPr>
      <w:rFonts w:ascii="Trebuchet MS" w:hAnsi="Trebuchet MS"/>
      <w:sz w:val="22"/>
      <w:szCs w:val="22"/>
      <w:lang w:eastAsia="en-US"/>
    </w:rPr>
  </w:style>
  <w:style w:type="paragraph" w:customStyle="1" w:styleId="ActTitle">
    <w:name w:val="Act Title"/>
    <w:basedOn w:val="Normal"/>
    <w:next w:val="Normal"/>
    <w:rsid w:val="0058373B"/>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58373B"/>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3BD7F546644588DD12A11549A8776"/>
        <w:category>
          <w:name w:val="General"/>
          <w:gallery w:val="placeholder"/>
        </w:category>
        <w:types>
          <w:type w:val="bbPlcHdr"/>
        </w:types>
        <w:behaviors>
          <w:behavior w:val="content"/>
        </w:behaviors>
        <w:guid w:val="{5212DB69-4D23-402F-A294-62D857553FD1}"/>
      </w:docPartPr>
      <w:docPartBody>
        <w:p w:rsidR="00EB738E" w:rsidRDefault="001765CD" w:rsidP="001765CD">
          <w:pPr>
            <w:pStyle w:val="9E23BD7F546644588DD12A11549A8776"/>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CD"/>
    <w:rsid w:val="001765CD"/>
    <w:rsid w:val="00EB7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5CD"/>
    <w:rPr>
      <w:noProof w:val="0"/>
      <w:color w:val="000000" w:themeColor="text1"/>
      <w:sz w:val="22"/>
      <w:lang w:val="en-AU"/>
    </w:rPr>
  </w:style>
  <w:style w:type="paragraph" w:customStyle="1" w:styleId="9E23BD7F546644588DD12A11549A8776">
    <w:name w:val="9E23BD7F546644588DD12A11549A8776"/>
    <w:rsid w:val="00176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FACA5-FF25-44EB-9F22-13BC540CEFF1}">
  <ds:schemaRefs>
    <ds:schemaRef ds:uri="5664482d-1961-4d38-bfc2-b109b3418834"/>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9530295-9eea-494d-b82a-9ff74409eafc"/>
    <ds:schemaRef ds:uri="http://www.w3.org/XML/1998/namespace"/>
  </ds:schemaRefs>
</ds:datastoreItem>
</file>

<file path=customXml/itemProps2.xml><?xml version="1.0" encoding="utf-8"?>
<ds:datastoreItem xmlns:ds="http://schemas.openxmlformats.org/officeDocument/2006/customXml" ds:itemID="{B1EE8951-EBAF-44B6-8EE7-7E0063D32AD6}">
  <ds:schemaRefs>
    <ds:schemaRef ds:uri="http://schemas.openxmlformats.org/officeDocument/2006/bibliography"/>
  </ds:schemaRefs>
</ds:datastoreItem>
</file>

<file path=customXml/itemProps3.xml><?xml version="1.0" encoding="utf-8"?>
<ds:datastoreItem xmlns:ds="http://schemas.openxmlformats.org/officeDocument/2006/customXml" ds:itemID="{F6ABEFA9-FC20-452C-B6D9-F53AAEE53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0898D-D98F-4D0B-A88C-C0BF835A1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5501</Words>
  <Characters>28831</Characters>
  <Application>Microsoft Office Word</Application>
  <DocSecurity>0</DocSecurity>
  <Lines>758</Lines>
  <Paragraphs>423</Paragraphs>
  <ScaleCrop>false</ScaleCrop>
  <HeadingPairs>
    <vt:vector size="2" baseType="variant">
      <vt:variant>
        <vt:lpstr>Title</vt:lpstr>
      </vt:variant>
      <vt:variant>
        <vt:i4>1</vt:i4>
      </vt:variant>
    </vt:vector>
  </HeadingPairs>
  <TitlesOfParts>
    <vt:vector size="1" baseType="lpstr">
      <vt:lpstr>Prudential Standard LPS 001</vt:lpstr>
    </vt:vector>
  </TitlesOfParts>
  <Company>APRA</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LPS 001</dc:title>
  <dc:creator>Kara Hooper</dc:creator>
  <cp:keywords>[SEC=UNOFFICIAL]</cp:keywords>
  <cp:lastModifiedBy>Toni Michalis</cp:lastModifiedBy>
  <cp:revision>2</cp:revision>
  <dcterms:created xsi:type="dcterms:W3CDTF">2023-05-31T11:12:00Z</dcterms:created>
  <dcterms:modified xsi:type="dcterms:W3CDTF">2023-05-31T11:12:00Z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Hash_Salt">
    <vt:lpwstr>365CAD5948EA07E73E6F50129D5D31C7</vt:lpwstr>
  </property>
  <property fmtid="{D5CDD505-2E9C-101B-9397-08002B2CF9AE}" pid="10" name="PM_Hash_SHA1">
    <vt:lpwstr>B60D8484837CC28CEB3E982CFC379753DBE8E1D7</vt:lpwstr>
  </property>
  <property fmtid="{D5CDD505-2E9C-101B-9397-08002B2CF9AE}" pid="11" name="PM_SecurityClassification_Prev">
    <vt:lpwstr>UNOFFICIAL</vt:lpwstr>
  </property>
  <property fmtid="{D5CDD505-2E9C-101B-9397-08002B2CF9AE}" pid="12" name="PM_Qualifier_Prev">
    <vt:lpwstr/>
  </property>
  <property fmtid="{D5CDD505-2E9C-101B-9397-08002B2CF9AE}" pid="13" name="PM_Hash_Salt_Prev">
    <vt:lpwstr>AEC7B239978E710B2EC3B7E71FFB56B8</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Personal</vt:lpwstr>
  </property>
  <property fmtid="{D5CDD505-2E9C-101B-9397-08002B2CF9AE}" pid="17" name="PM_ProtectiveMarkingValue_Footer">
    <vt:lpwstr>Personal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9CDD4A8A38FF4D3681F9F9DB8CFE362E</vt:lpwstr>
  </property>
  <property fmtid="{D5CDD505-2E9C-101B-9397-08002B2CF9AE}" pid="22" name="PM_OriginationTimeStamp">
    <vt:lpwstr>2022-09-12T22:25:49Z</vt:lpwstr>
  </property>
  <property fmtid="{D5CDD505-2E9C-101B-9397-08002B2CF9AE}" pid="23" name="ContentTypeId">
    <vt:lpwstr>0x010100E5E831F15EEA47429C4A0837D916ED91</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108;#Prudential standard|6ce5a155-9ab2-41e3-9b2a-5baab4b7f1d1</vt:lpwstr>
  </property>
  <property fmtid="{D5CDD505-2E9C-101B-9397-08002B2CF9AE}" pid="29" name="APRAStatus">
    <vt:lpwstr>1;#Draft|0e1556d2-3fe8-443a-ada7-3620563b46b3</vt:lpwstr>
  </property>
  <property fmtid="{D5CDD505-2E9C-101B-9397-08002B2CF9AE}" pid="30" name="APRAPRSG">
    <vt:lpwstr/>
  </property>
  <property fmtid="{D5CDD505-2E9C-101B-9397-08002B2CF9AE}" pid="31" name="APRAReportingGroup">
    <vt:lpwstr/>
  </property>
  <property fmtid="{D5CDD505-2E9C-101B-9397-08002B2CF9AE}" pid="32" name="APRAActivity">
    <vt:lpwstr>141;#Prudential standard development|fbeb3364-1425-47e2-8200-3b7f3a245dfe</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276;#2023|d5e8f808-70b3-4121-8a32-87755a7b2c91</vt:lpwstr>
  </property>
  <property fmtid="{D5CDD505-2E9C-101B-9397-08002B2CF9AE}" pid="36" name="APRAIndustry">
    <vt:lpwstr>5;#GI|9e6b8d6f-8851-e311-9e2e-005056b54f10;#6;#LI|aa6b8d6f-8851-e311-9e2e-005056b54f10;#23;#PHI|10657f9d-7e9a-e511-8d41-005056b54f10</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66811c48-4f23-4995-88ae-4db552e03201</vt:lpwstr>
  </property>
  <property fmtid="{D5CDD505-2E9C-101B-9397-08002B2CF9AE}" pid="42" name="PM_Note">
    <vt:lpwstr/>
  </property>
  <property fmtid="{D5CDD505-2E9C-101B-9397-08002B2CF9AE}" pid="43" name="PM_Markers">
    <vt:lpwstr/>
  </property>
  <property fmtid="{D5CDD505-2E9C-101B-9397-08002B2CF9AE}" pid="44" name="RecordPoint_WorkflowType">
    <vt:lpwstr>ActiveSubmitStub</vt:lpwstr>
  </property>
  <property fmtid="{D5CDD505-2E9C-101B-9397-08002B2CF9AE}" pid="45" name="RecordPoint_ActiveItemSiteId">
    <vt:lpwstr>{84af826e-2518-4772-bac2-7b8081da2087}</vt:lpwstr>
  </property>
  <property fmtid="{D5CDD505-2E9C-101B-9397-08002B2CF9AE}" pid="46" name="RecordPoint_ActiveItemListId">
    <vt:lpwstr>{fc59aca8-863e-4c39-b69a-97632099c4a0}</vt:lpwstr>
  </property>
  <property fmtid="{D5CDD505-2E9C-101B-9397-08002B2CF9AE}" pid="47" name="RecordPoint_ActiveItemUniqueId">
    <vt:lpwstr>{66811c48-4f23-4995-88ae-4db552e03201}</vt:lpwstr>
  </property>
  <property fmtid="{D5CDD505-2E9C-101B-9397-08002B2CF9AE}" pid="48" name="RecordPoint_ActiveItemWebId">
    <vt:lpwstr>{e3b62e1b-357d-4d42-becf-206c8aada0ef}</vt:lpwstr>
  </property>
  <property fmtid="{D5CDD505-2E9C-101B-9397-08002B2CF9AE}" pid="49" name="IsLocked">
    <vt:lpwstr>Yes</vt:lpwstr>
  </property>
  <property fmtid="{D5CDD505-2E9C-101B-9397-08002B2CF9AE}" pid="50" name="RecordPoint_SubmissionDate">
    <vt:lpwstr/>
  </property>
  <property fmtid="{D5CDD505-2E9C-101B-9397-08002B2CF9AE}" pid="51" name="RecordPoint_RecordNumberSubmitted">
    <vt:lpwstr/>
  </property>
  <property fmtid="{D5CDD505-2E9C-101B-9397-08002B2CF9AE}" pid="52" name="RecordPoint_ActiveItemMoved">
    <vt:lpwstr/>
  </property>
  <property fmtid="{D5CDD505-2E9C-101B-9397-08002B2CF9AE}" pid="53" name="RecordPoint_RecordFormat">
    <vt:lpwstr/>
  </property>
  <property fmtid="{D5CDD505-2E9C-101B-9397-08002B2CF9AE}" pid="54" name="RecordPoint_SubmissionCompleted">
    <vt:lpwstr/>
  </property>
  <property fmtid="{D5CDD505-2E9C-101B-9397-08002B2CF9AE}" pid="55" name="PM_Display">
    <vt:lpwstr>Personal</vt:lpwstr>
  </property>
  <property fmtid="{D5CDD505-2E9C-101B-9397-08002B2CF9AE}" pid="56" name="PMUuid">
    <vt:lpwstr>v=2022.2;d=gov.au;g=65417EFE-F3B9-5E66-BD91-1E689FEC2EA6</vt:lpwstr>
  </property>
  <property fmtid="{D5CDD505-2E9C-101B-9397-08002B2CF9AE}" pid="57" name="PM_OriginatorUserAccountName_SHA256">
    <vt:lpwstr>6E3018F28A186D2E5FF5207C041E7A82E907C3008E071057026A53705873B72E</vt:lpwstr>
  </property>
  <property fmtid="{D5CDD505-2E9C-101B-9397-08002B2CF9AE}" pid="58" name="PM_OriginatorDomainName_SHA256">
    <vt:lpwstr>ECBDE2B44A971754412B3FB70606937A119CC0D4B6C1B658A40FBD41C30BE3EC</vt:lpwstr>
  </property>
  <property fmtid="{D5CDD505-2E9C-101B-9397-08002B2CF9AE}" pid="59" name="MSIP_Label_bfd5df59-fc4a-42eb-ac4e-d9fda266b5d9_SetDate">
    <vt:lpwstr>2022-09-12T22:25:49Z</vt:lpwstr>
  </property>
  <property fmtid="{D5CDD505-2E9C-101B-9397-08002B2CF9AE}" pid="60" name="MSIP_Label_bfd5df59-fc4a-42eb-ac4e-d9fda266b5d9_Enabled">
    <vt:lpwstr>true</vt:lpwstr>
  </property>
  <property fmtid="{D5CDD505-2E9C-101B-9397-08002B2CF9AE}" pid="61" name="MSIP_Label_bfd5df59-fc4a-42eb-ac4e-d9fda266b5d9_Name">
    <vt:lpwstr>UNOFFICIAL</vt:lpwstr>
  </property>
  <property fmtid="{D5CDD505-2E9C-101B-9397-08002B2CF9AE}" pid="62" name="MSIP_Label_bfd5df59-fc4a-42eb-ac4e-d9fda266b5d9_SiteId">
    <vt:lpwstr>c05e3ffd-b491-4431-9809-e61d4dc78816</vt:lpwstr>
  </property>
  <property fmtid="{D5CDD505-2E9C-101B-9397-08002B2CF9AE}" pid="63" name="MSIP_Label_bfd5df59-fc4a-42eb-ac4e-d9fda266b5d9_ActionId">
    <vt:lpwstr>69d3c01b72c940cd942654fbe43b86f1</vt:lpwstr>
  </property>
  <property fmtid="{D5CDD505-2E9C-101B-9397-08002B2CF9AE}" pid="64" name="PMHMAC">
    <vt:lpwstr>v=2022.1;a=SHA256;h=B8E68C530F4FBACD46B4400527D51B1E751EF972DBF2DEBF69553A85C82E00EA</vt:lpwstr>
  </property>
  <property fmtid="{D5CDD505-2E9C-101B-9397-08002B2CF9AE}" pid="65" name="MSIP_Label_bfd5df59-fc4a-42eb-ac4e-d9fda266b5d9_ContentBits">
    <vt:lpwstr>0</vt:lpwstr>
  </property>
  <property fmtid="{D5CDD505-2E9C-101B-9397-08002B2CF9AE}" pid="66" name="MSIP_Label_bfd5df59-fc4a-42eb-ac4e-d9fda266b5d9_Method">
    <vt:lpwstr>Privileged</vt:lpwstr>
  </property>
  <property fmtid="{D5CDD505-2E9C-101B-9397-08002B2CF9AE}" pid="67" name="MediaServiceImageTags">
    <vt:lpwstr/>
  </property>
</Properties>
</file>