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D723" w14:textId="77777777" w:rsidR="00A31C1B" w:rsidRDefault="00394625" w:rsidP="007A26D7">
      <w:pPr>
        <w:pStyle w:val="Title"/>
        <w:spacing w:before="0"/>
        <w:rPr>
          <w:sz w:val="24"/>
          <w:szCs w:val="24"/>
        </w:rPr>
      </w:pPr>
      <w:r w:rsidRPr="00C62366">
        <w:rPr>
          <w:sz w:val="24"/>
          <w:szCs w:val="24"/>
        </w:rPr>
        <w:t>Australian Prudential Regulation Authority (confidentiality) determination</w:t>
      </w:r>
      <w:r w:rsidR="00F67F4E" w:rsidRPr="00C62366">
        <w:rPr>
          <w:sz w:val="24"/>
          <w:szCs w:val="24"/>
        </w:rPr>
        <w:t xml:space="preserve"> </w:t>
      </w:r>
    </w:p>
    <w:p w14:paraId="015C0939" w14:textId="541C8B2B" w:rsidR="004A3895" w:rsidRPr="00DA09A8" w:rsidRDefault="00E904F3" w:rsidP="007A26D7">
      <w:pPr>
        <w:pStyle w:val="Title"/>
        <w:spacing w:before="0"/>
        <w:rPr>
          <w:sz w:val="24"/>
          <w:szCs w:val="24"/>
          <w:lang w:val="en-AU"/>
        </w:rPr>
      </w:pPr>
      <w:r w:rsidRPr="00C62366">
        <w:rPr>
          <w:sz w:val="24"/>
          <w:szCs w:val="24"/>
        </w:rPr>
        <w:t>No</w:t>
      </w:r>
      <w:r w:rsidR="00D44D71">
        <w:rPr>
          <w:sz w:val="24"/>
          <w:szCs w:val="24"/>
          <w:lang w:val="en-AU"/>
        </w:rPr>
        <w:t>.</w:t>
      </w:r>
      <w:r w:rsidR="00492492">
        <w:rPr>
          <w:sz w:val="24"/>
          <w:szCs w:val="24"/>
          <w:lang w:val="en-AU"/>
        </w:rPr>
        <w:t xml:space="preserve"> </w:t>
      </w:r>
      <w:r w:rsidR="004A455B">
        <w:rPr>
          <w:sz w:val="24"/>
          <w:szCs w:val="24"/>
          <w:lang w:val="en-AU"/>
        </w:rPr>
        <w:t>2</w:t>
      </w:r>
      <w:r w:rsidR="007C0A54" w:rsidRPr="00D55730">
        <w:rPr>
          <w:sz w:val="24"/>
          <w:szCs w:val="24"/>
          <w:lang w:val="en-AU"/>
        </w:rPr>
        <w:t xml:space="preserve"> </w:t>
      </w:r>
      <w:r w:rsidR="00D55730" w:rsidRPr="00D55730">
        <w:rPr>
          <w:sz w:val="24"/>
          <w:szCs w:val="24"/>
          <w:lang w:val="en-AU"/>
        </w:rPr>
        <w:t xml:space="preserve">of </w:t>
      </w:r>
      <w:r w:rsidR="007C0A54">
        <w:rPr>
          <w:sz w:val="24"/>
          <w:szCs w:val="24"/>
          <w:lang w:val="en-AU"/>
        </w:rPr>
        <w:t>20</w:t>
      </w:r>
      <w:r w:rsidR="00262407">
        <w:rPr>
          <w:sz w:val="24"/>
          <w:szCs w:val="24"/>
          <w:lang w:val="en-AU"/>
        </w:rPr>
        <w:t>23</w:t>
      </w:r>
    </w:p>
    <w:p w14:paraId="42DA8954" w14:textId="77777777" w:rsidR="009F31BB" w:rsidRPr="00C62366" w:rsidRDefault="009F31BB" w:rsidP="007A26D7">
      <w:pPr>
        <w:pStyle w:val="Title"/>
        <w:spacing w:before="0"/>
        <w:rPr>
          <w:sz w:val="24"/>
          <w:szCs w:val="24"/>
        </w:rPr>
      </w:pPr>
    </w:p>
    <w:p w14:paraId="54D32924" w14:textId="4C7C1027" w:rsidR="009C2FD9" w:rsidRPr="00262407" w:rsidRDefault="00394625" w:rsidP="007A26D7">
      <w:pPr>
        <w:pStyle w:val="Title"/>
        <w:spacing w:before="0"/>
        <w:rPr>
          <w:sz w:val="24"/>
          <w:szCs w:val="24"/>
          <w:lang w:val="en-AU"/>
        </w:rPr>
      </w:pPr>
      <w:r w:rsidRPr="00C62366">
        <w:rPr>
          <w:sz w:val="24"/>
          <w:szCs w:val="24"/>
        </w:rPr>
        <w:t>I</w:t>
      </w:r>
      <w:r w:rsidR="00BF5714" w:rsidRPr="00C62366">
        <w:rPr>
          <w:sz w:val="24"/>
          <w:szCs w:val="24"/>
        </w:rPr>
        <w:t xml:space="preserve">nformation provided by </w:t>
      </w:r>
      <w:r w:rsidR="003C2145" w:rsidRPr="00C62366">
        <w:rPr>
          <w:sz w:val="24"/>
          <w:szCs w:val="24"/>
        </w:rPr>
        <w:t xml:space="preserve">authorised deposit-taking institutions </w:t>
      </w:r>
      <w:r w:rsidR="00BF5714" w:rsidRPr="00C62366">
        <w:rPr>
          <w:sz w:val="24"/>
          <w:szCs w:val="24"/>
        </w:rPr>
        <w:t>under Reporting Standard</w:t>
      </w:r>
      <w:r w:rsidR="00820513">
        <w:rPr>
          <w:sz w:val="24"/>
          <w:szCs w:val="24"/>
          <w:lang w:val="en-AU"/>
        </w:rPr>
        <w:t>s</w:t>
      </w:r>
      <w:r w:rsidR="00BF5714" w:rsidRPr="00C62366">
        <w:rPr>
          <w:sz w:val="24"/>
          <w:szCs w:val="24"/>
        </w:rPr>
        <w:t xml:space="preserve"> ARS </w:t>
      </w:r>
      <w:r w:rsidR="00262407">
        <w:rPr>
          <w:sz w:val="24"/>
          <w:szCs w:val="24"/>
          <w:lang w:val="en-AU"/>
        </w:rPr>
        <w:t>110</w:t>
      </w:r>
      <w:r w:rsidR="00820513" w:rsidRPr="00820513">
        <w:rPr>
          <w:sz w:val="24"/>
          <w:szCs w:val="24"/>
        </w:rPr>
        <w:t>.0</w:t>
      </w:r>
      <w:r w:rsidR="00262407">
        <w:rPr>
          <w:sz w:val="24"/>
          <w:szCs w:val="24"/>
          <w:lang w:val="en-AU"/>
        </w:rPr>
        <w:t xml:space="preserve"> </w:t>
      </w:r>
      <w:r w:rsidR="00820513" w:rsidRPr="00820513">
        <w:rPr>
          <w:sz w:val="24"/>
          <w:szCs w:val="24"/>
        </w:rPr>
        <w:t xml:space="preserve">and </w:t>
      </w:r>
      <w:r w:rsidR="008E5E3C" w:rsidRPr="00C62366">
        <w:rPr>
          <w:sz w:val="24"/>
          <w:szCs w:val="24"/>
        </w:rPr>
        <w:t>ARS</w:t>
      </w:r>
      <w:r w:rsidR="008E5E3C" w:rsidRPr="00820513">
        <w:rPr>
          <w:sz w:val="24"/>
          <w:szCs w:val="24"/>
        </w:rPr>
        <w:t xml:space="preserve"> </w:t>
      </w:r>
      <w:r w:rsidR="00262407">
        <w:rPr>
          <w:sz w:val="24"/>
          <w:szCs w:val="24"/>
          <w:lang w:val="en-AU"/>
        </w:rPr>
        <w:t>210.0</w:t>
      </w:r>
    </w:p>
    <w:p w14:paraId="43DE3646" w14:textId="77777777" w:rsidR="004D0D7F" w:rsidRPr="00B93829" w:rsidRDefault="004D0D7F" w:rsidP="00BF5714">
      <w:pPr>
        <w:pStyle w:val="Title"/>
        <w:spacing w:before="0"/>
        <w:jc w:val="left"/>
        <w:rPr>
          <w:sz w:val="24"/>
          <w:szCs w:val="24"/>
        </w:rPr>
      </w:pPr>
    </w:p>
    <w:p w14:paraId="3ED5005C" w14:textId="77777777" w:rsidR="00FC7971" w:rsidRPr="00C62366" w:rsidRDefault="00FC7971" w:rsidP="00FC7971">
      <w:pPr>
        <w:pStyle w:val="BodyText"/>
        <w:jc w:val="center"/>
        <w:rPr>
          <w:b/>
          <w:szCs w:val="24"/>
          <w:u w:val="single"/>
        </w:rPr>
      </w:pPr>
      <w:r w:rsidRPr="00C62366">
        <w:rPr>
          <w:b/>
          <w:szCs w:val="24"/>
          <w:u w:val="single"/>
        </w:rPr>
        <w:t>EXPLANATORY STATEMENT</w:t>
      </w:r>
    </w:p>
    <w:p w14:paraId="0C7B969A" w14:textId="77777777" w:rsidR="00BF5714" w:rsidRPr="00C62366" w:rsidRDefault="00C62366" w:rsidP="00377BA4">
      <w:pPr>
        <w:pStyle w:val="BodyText"/>
        <w:jc w:val="center"/>
        <w:rPr>
          <w:b/>
          <w:szCs w:val="24"/>
        </w:rPr>
      </w:pPr>
      <w:r w:rsidRPr="00C62366">
        <w:rPr>
          <w:b/>
          <w:szCs w:val="24"/>
        </w:rPr>
        <w:t xml:space="preserve">Prepared by </w:t>
      </w:r>
      <w:r w:rsidR="00BF5714" w:rsidRPr="00C62366">
        <w:rPr>
          <w:b/>
          <w:szCs w:val="24"/>
        </w:rPr>
        <w:t>the Australian Prudential Regulation Authority (APRA)</w:t>
      </w:r>
    </w:p>
    <w:p w14:paraId="7C4D48DD" w14:textId="0419F3E2" w:rsidR="00BF5714" w:rsidRPr="008E4355" w:rsidRDefault="00741509" w:rsidP="00377BA4">
      <w:pPr>
        <w:pStyle w:val="BodyText"/>
        <w:jc w:val="center"/>
        <w:rPr>
          <w:szCs w:val="24"/>
        </w:rPr>
      </w:pPr>
      <w:r w:rsidRPr="008E4355">
        <w:rPr>
          <w:i/>
          <w:szCs w:val="24"/>
        </w:rPr>
        <w:t>Australian Prudential Regulation Authority Act 1998</w:t>
      </w:r>
      <w:r w:rsidRPr="008E4355">
        <w:rPr>
          <w:szCs w:val="24"/>
        </w:rPr>
        <w:t xml:space="preserve">, </w:t>
      </w:r>
      <w:r w:rsidR="003403CE">
        <w:rPr>
          <w:szCs w:val="24"/>
          <w:lang w:val="en-AU"/>
        </w:rPr>
        <w:t>s</w:t>
      </w:r>
      <w:r w:rsidR="00D66325">
        <w:rPr>
          <w:szCs w:val="24"/>
          <w:lang w:val="en-AU"/>
        </w:rPr>
        <w:t>ection</w:t>
      </w:r>
      <w:r w:rsidR="003403CE" w:rsidRPr="008E4355">
        <w:rPr>
          <w:szCs w:val="24"/>
        </w:rPr>
        <w:t> </w:t>
      </w:r>
      <w:r w:rsidRPr="008E4355">
        <w:rPr>
          <w:szCs w:val="24"/>
        </w:rPr>
        <w:t>57</w:t>
      </w:r>
    </w:p>
    <w:p w14:paraId="569D225C" w14:textId="7BA52680" w:rsidR="00120BBB" w:rsidRPr="00120BBB" w:rsidRDefault="00120BBB" w:rsidP="00377BA4">
      <w:pPr>
        <w:pStyle w:val="BodyText"/>
        <w:jc w:val="both"/>
        <w:rPr>
          <w:szCs w:val="24"/>
        </w:rPr>
      </w:pPr>
      <w:r w:rsidRPr="00120BBB">
        <w:rPr>
          <w:szCs w:val="24"/>
        </w:rPr>
        <w:t xml:space="preserve">Under section 57 of the </w:t>
      </w:r>
      <w:r w:rsidRPr="00120BBB">
        <w:rPr>
          <w:i/>
          <w:szCs w:val="24"/>
        </w:rPr>
        <w:t>Australian Prudential Regulation Authority Act 1998</w:t>
      </w:r>
      <w:r w:rsidRPr="00120BBB">
        <w:rPr>
          <w:szCs w:val="24"/>
        </w:rPr>
        <w:t xml:space="preserve"> (the Act), APRA may determine, by legislative instrument, that all or a specified part</w:t>
      </w:r>
      <w:r w:rsidR="00AA7265">
        <w:rPr>
          <w:szCs w:val="24"/>
          <w:lang w:val="en-AU"/>
        </w:rPr>
        <w:t>s</w:t>
      </w:r>
      <w:r w:rsidRPr="00120BBB">
        <w:rPr>
          <w:szCs w:val="24"/>
        </w:rPr>
        <w:t xml:space="preserve"> of relevant reporting documents of a specified kind contain, or do not contain, confidential information.</w:t>
      </w:r>
    </w:p>
    <w:p w14:paraId="653C11F0" w14:textId="74D1758F" w:rsidR="00120BBB" w:rsidRDefault="00120BBB" w:rsidP="00377BA4">
      <w:pPr>
        <w:pStyle w:val="BodyText"/>
        <w:jc w:val="both"/>
      </w:pPr>
      <w:r>
        <w:t xml:space="preserve">On </w:t>
      </w:r>
      <w:r w:rsidR="006D1042">
        <w:rPr>
          <w:lang w:val="en-AU"/>
        </w:rPr>
        <w:t>2</w:t>
      </w:r>
      <w:r w:rsidR="00C27383">
        <w:rPr>
          <w:lang w:val="en-AU"/>
        </w:rPr>
        <w:t>9</w:t>
      </w:r>
      <w:r w:rsidR="006D1042">
        <w:t xml:space="preserve"> </w:t>
      </w:r>
      <w:r w:rsidR="00262407" w:rsidRPr="18A63CB3">
        <w:rPr>
          <w:lang w:val="en-AU"/>
        </w:rPr>
        <w:t>May</w:t>
      </w:r>
      <w:r>
        <w:t xml:space="preserve"> 20</w:t>
      </w:r>
      <w:r w:rsidR="00262407" w:rsidRPr="18A63CB3">
        <w:rPr>
          <w:lang w:val="en-AU"/>
        </w:rPr>
        <w:t>23</w:t>
      </w:r>
      <w:r>
        <w:t>, APRA made Australian Prudential Regulation Authority (conf</w:t>
      </w:r>
      <w:r w:rsidR="00717BD2">
        <w:t xml:space="preserve">identiality) determination No. </w:t>
      </w:r>
      <w:r w:rsidR="004A455B">
        <w:rPr>
          <w:lang w:val="en-AU"/>
        </w:rPr>
        <w:t>2</w:t>
      </w:r>
      <w:r w:rsidR="00717BD2">
        <w:t xml:space="preserve"> of 20</w:t>
      </w:r>
      <w:r w:rsidR="00262407" w:rsidRPr="18A63CB3">
        <w:rPr>
          <w:lang w:val="en-AU"/>
        </w:rPr>
        <w:t>23</w:t>
      </w:r>
      <w:r>
        <w:t xml:space="preserve"> (the instrument) which determines </w:t>
      </w:r>
      <w:r w:rsidR="00CC434A">
        <w:t xml:space="preserve">that certain information </w:t>
      </w:r>
      <w:r w:rsidR="00125B96" w:rsidRPr="18A63CB3">
        <w:rPr>
          <w:lang w:val="en-AU"/>
        </w:rPr>
        <w:t xml:space="preserve">in reporting documents </w:t>
      </w:r>
      <w:r w:rsidR="00CC434A">
        <w:t xml:space="preserve">provided to APRA under </w:t>
      </w:r>
      <w:r w:rsidR="00793E0C">
        <w:rPr>
          <w:lang w:val="en-AU"/>
        </w:rPr>
        <w:t xml:space="preserve">two </w:t>
      </w:r>
      <w:r w:rsidR="00CC434A">
        <w:t xml:space="preserve">specified reporting standards </w:t>
      </w:r>
      <w:r w:rsidR="4A437D92">
        <w:t>and any information that can be derived from that information</w:t>
      </w:r>
      <w:r w:rsidR="00CC434A" w:rsidRPr="18A63CB3">
        <w:rPr>
          <w:lang w:val="en-AU"/>
        </w:rPr>
        <w:t>,</w:t>
      </w:r>
      <w:r>
        <w:t xml:space="preserve"> </w:t>
      </w:r>
      <w:r w:rsidR="00CC434A" w:rsidRPr="18A63CB3">
        <w:rPr>
          <w:lang w:val="en-AU"/>
        </w:rPr>
        <w:t xml:space="preserve">is not </w:t>
      </w:r>
      <w:r>
        <w:t>confidential.</w:t>
      </w:r>
    </w:p>
    <w:p w14:paraId="4C892151" w14:textId="0868963C" w:rsidR="00120BBB" w:rsidRPr="00120BBB" w:rsidRDefault="00120BBB" w:rsidP="00377BA4">
      <w:pPr>
        <w:pStyle w:val="BodyText"/>
        <w:jc w:val="both"/>
        <w:rPr>
          <w:szCs w:val="24"/>
        </w:rPr>
      </w:pPr>
      <w:r w:rsidRPr="00120BBB">
        <w:rPr>
          <w:szCs w:val="24"/>
        </w:rPr>
        <w:t xml:space="preserve">The instrument commences </w:t>
      </w:r>
      <w:r w:rsidR="009A028A">
        <w:rPr>
          <w:szCs w:val="24"/>
          <w:lang w:val="en-AU"/>
        </w:rPr>
        <w:t>upon</w:t>
      </w:r>
      <w:r w:rsidRPr="00120BBB">
        <w:rPr>
          <w:szCs w:val="24"/>
        </w:rPr>
        <w:t xml:space="preserve"> registration on the Federal Register of Legislation.</w:t>
      </w:r>
    </w:p>
    <w:p w14:paraId="43D0074D" w14:textId="0EC83AA7" w:rsidR="009F31BB" w:rsidRPr="0030580F" w:rsidRDefault="004C2BEB" w:rsidP="00377BA4">
      <w:pPr>
        <w:pStyle w:val="BodyText"/>
        <w:numPr>
          <w:ilvl w:val="0"/>
          <w:numId w:val="11"/>
        </w:numPr>
        <w:jc w:val="both"/>
        <w:rPr>
          <w:b/>
          <w:szCs w:val="24"/>
        </w:rPr>
      </w:pPr>
      <w:r>
        <w:rPr>
          <w:b/>
          <w:szCs w:val="24"/>
          <w:lang w:val="en-AU"/>
        </w:rPr>
        <w:t>B</w:t>
      </w:r>
      <w:proofErr w:type="spellStart"/>
      <w:r w:rsidRPr="0030580F">
        <w:rPr>
          <w:b/>
          <w:szCs w:val="24"/>
        </w:rPr>
        <w:t>ackground</w:t>
      </w:r>
      <w:proofErr w:type="spellEnd"/>
    </w:p>
    <w:p w14:paraId="440188C2" w14:textId="352CA5FF" w:rsidR="00A253CB" w:rsidRDefault="6B7FBB6B" w:rsidP="00EF06EF">
      <w:pPr>
        <w:pStyle w:val="BodyText"/>
        <w:jc w:val="both"/>
      </w:pPr>
      <w:r w:rsidRPr="084EECA0">
        <w:t xml:space="preserve">Section 56 of the APRA Act </w:t>
      </w:r>
      <w:r w:rsidR="380EFC9C" w:rsidRPr="084EECA0">
        <w:t>contains a secrecy provision that that prohibits</w:t>
      </w:r>
      <w:r w:rsidR="39AACCFD" w:rsidRPr="084EECA0">
        <w:t xml:space="preserve"> </w:t>
      </w:r>
      <w:r w:rsidR="6F46D8B6" w:rsidRPr="084EECA0">
        <w:t xml:space="preserve">APRA staff members (among others) from </w:t>
      </w:r>
      <w:r w:rsidR="3B036CD7" w:rsidRPr="084EECA0">
        <w:t>disclosing</w:t>
      </w:r>
      <w:r w:rsidR="00BD4945" w:rsidRPr="084EECA0">
        <w:t xml:space="preserve"> “protected information”</w:t>
      </w:r>
      <w:r w:rsidR="00BD4945" w:rsidRPr="084EECA0">
        <w:rPr>
          <w:rStyle w:val="FootnoteReference"/>
        </w:rPr>
        <w:footnoteReference w:id="2"/>
      </w:r>
      <w:r w:rsidR="00BD4945" w:rsidRPr="084EECA0">
        <w:t xml:space="preserve"> or a “protected document”</w:t>
      </w:r>
      <w:r w:rsidR="00BD4945" w:rsidRPr="084EECA0">
        <w:rPr>
          <w:rStyle w:val="FootnoteReference"/>
        </w:rPr>
        <w:footnoteReference w:id="3"/>
      </w:r>
      <w:r w:rsidR="00CC434A" w:rsidRPr="084EECA0">
        <w:t xml:space="preserve">, being information or documents provided to APRA </w:t>
      </w:r>
      <w:r w:rsidR="50C79C5A" w:rsidRPr="084EECA0">
        <w:t xml:space="preserve">by a financial sector entity in relation to </w:t>
      </w:r>
      <w:r w:rsidR="06B31C3F" w:rsidRPr="084EECA0">
        <w:t xml:space="preserve">their </w:t>
      </w:r>
      <w:r w:rsidR="50C79C5A" w:rsidRPr="084EECA0">
        <w:t xml:space="preserve">affairs </w:t>
      </w:r>
      <w:r w:rsidR="00CC434A" w:rsidRPr="084EECA0">
        <w:t>under a “prudent</w:t>
      </w:r>
      <w:r w:rsidR="00BD4945" w:rsidRPr="084EECA0">
        <w:t>ial regulation framework law”</w:t>
      </w:r>
      <w:r w:rsidR="009E21B4" w:rsidRPr="084EECA0">
        <w:rPr>
          <w:lang w:val="en-AU"/>
        </w:rPr>
        <w:t>.</w:t>
      </w:r>
      <w:r w:rsidR="00BD4945" w:rsidRPr="084EECA0">
        <w:rPr>
          <w:rStyle w:val="FootnoteReference"/>
        </w:rPr>
        <w:footnoteReference w:id="4"/>
      </w:r>
      <w:r w:rsidR="009E21B4" w:rsidRPr="084EECA0">
        <w:rPr>
          <w:lang w:val="en-AU"/>
        </w:rPr>
        <w:t xml:space="preserve"> </w:t>
      </w:r>
      <w:proofErr w:type="spellStart"/>
      <w:r w:rsidR="00452B89" w:rsidRPr="0449142E">
        <w:rPr>
          <w:lang w:val="en-AU"/>
        </w:rPr>
        <w:t>T</w:t>
      </w:r>
      <w:r w:rsidR="00BF5714">
        <w:t>he</w:t>
      </w:r>
      <w:proofErr w:type="spellEnd"/>
      <w:r w:rsidR="00BF5714">
        <w:t xml:space="preserve"> </w:t>
      </w:r>
      <w:r w:rsidR="00BF5714" w:rsidRPr="0449142E">
        <w:rPr>
          <w:i/>
          <w:iCs/>
        </w:rPr>
        <w:t>Financial Sector (Collection of Data) Act 2001</w:t>
      </w:r>
      <w:r w:rsidR="00BF5714">
        <w:t xml:space="preserve"> </w:t>
      </w:r>
      <w:r w:rsidR="007A26D7">
        <w:t xml:space="preserve">(FSCOD Act) </w:t>
      </w:r>
      <w:r w:rsidR="00452B89">
        <w:t>is a prudential supervision framework law</w:t>
      </w:r>
      <w:r w:rsidR="6D0C90C3">
        <w:t xml:space="preserve">. </w:t>
      </w:r>
      <w:r w:rsidR="6DB9FEF8">
        <w:t xml:space="preserve">APRA is regularly provided with information </w:t>
      </w:r>
      <w:r w:rsidR="46C69924">
        <w:t>from</w:t>
      </w:r>
      <w:r w:rsidR="6DB9FEF8">
        <w:t xml:space="preserve"> financial sector entities through the submission of </w:t>
      </w:r>
      <w:r w:rsidR="00452B89">
        <w:t>reporting forms</w:t>
      </w:r>
      <w:r w:rsidR="4A7DC931">
        <w:t xml:space="preserve"> which </w:t>
      </w:r>
      <w:r w:rsidR="0FBC99AF">
        <w:t>are required to be submitted in accordance with</w:t>
      </w:r>
      <w:r w:rsidR="00452B89">
        <w:t xml:space="preserve"> </w:t>
      </w:r>
      <w:r w:rsidR="5B5E339F">
        <w:t xml:space="preserve">reporting standards made under section 13 of the FSCOD </w:t>
      </w:r>
      <w:r w:rsidR="55437283">
        <w:t>Act</w:t>
      </w:r>
      <w:r w:rsidR="2373EBA5">
        <w:t xml:space="preserve">. </w:t>
      </w:r>
      <w:r w:rsidR="61EA7DE4">
        <w:t xml:space="preserve">As these reporting forms </w:t>
      </w:r>
      <w:r w:rsidR="23F09ED3">
        <w:t xml:space="preserve">contain information about the affairs of the </w:t>
      </w:r>
      <w:r w:rsidR="61EA7DE4">
        <w:t xml:space="preserve">relevant </w:t>
      </w:r>
      <w:r w:rsidR="23F09ED3">
        <w:t>financial sector entit</w:t>
      </w:r>
      <w:r w:rsidR="3AB0A638">
        <w:t>y</w:t>
      </w:r>
      <w:r w:rsidR="739164FF">
        <w:t>,</w:t>
      </w:r>
      <w:r w:rsidR="61EA7DE4">
        <w:t xml:space="preserve"> they </w:t>
      </w:r>
      <w:r w:rsidR="00452B89">
        <w:t>are protected documents</w:t>
      </w:r>
      <w:r w:rsidR="2B74A371">
        <w:t xml:space="preserve"> and contain protected information</w:t>
      </w:r>
      <w:r w:rsidR="00634F73">
        <w:rPr>
          <w:lang w:val="en-AU"/>
        </w:rPr>
        <w:t>.</w:t>
      </w:r>
    </w:p>
    <w:p w14:paraId="5DCCA2C2" w14:textId="65273974" w:rsidR="004744BE" w:rsidRDefault="1660FE69" w:rsidP="00377BA4">
      <w:pPr>
        <w:pStyle w:val="BodyText"/>
        <w:jc w:val="both"/>
      </w:pPr>
      <w:r w:rsidRPr="084EECA0">
        <w:rPr>
          <w:lang w:val="en-AU"/>
        </w:rPr>
        <w:t xml:space="preserve">If APRA wishes to publish </w:t>
      </w:r>
      <w:r w:rsidR="4E29B1CD" w:rsidRPr="044093EC">
        <w:rPr>
          <w:lang w:val="en-AU"/>
        </w:rPr>
        <w:t xml:space="preserve">protected documents and/or protected </w:t>
      </w:r>
      <w:r w:rsidR="208F6316" w:rsidRPr="044093EC">
        <w:rPr>
          <w:lang w:val="en-AU"/>
        </w:rPr>
        <w:t>information</w:t>
      </w:r>
      <w:r w:rsidRPr="084EECA0">
        <w:rPr>
          <w:lang w:val="en-AU"/>
        </w:rPr>
        <w:t xml:space="preserve"> obtained from financial sector entities under the FSCOD Act, </w:t>
      </w:r>
      <w:r w:rsidR="17BA0FA0" w:rsidRPr="044093EC">
        <w:rPr>
          <w:lang w:val="en-AU"/>
        </w:rPr>
        <w:t>it is required to establish an exception to the secrecy provision under section 56 of the APRA Act.</w:t>
      </w:r>
      <w:r w:rsidR="6EEBAB32" w:rsidRPr="044093EC">
        <w:rPr>
          <w:lang w:val="en-AU"/>
        </w:rPr>
        <w:t xml:space="preserve"> </w:t>
      </w:r>
      <w:r w:rsidR="17B9360B" w:rsidRPr="044093EC">
        <w:rPr>
          <w:lang w:val="en-AU"/>
        </w:rPr>
        <w:t>S</w:t>
      </w:r>
      <w:r w:rsidR="002874A5" w:rsidRPr="044093EC">
        <w:rPr>
          <w:lang w:val="en-AU"/>
        </w:rPr>
        <w:t xml:space="preserve">ection 56(5C) of the Act </w:t>
      </w:r>
      <w:r w:rsidR="70BEEE7D" w:rsidRPr="044093EC">
        <w:rPr>
          <w:lang w:val="en-AU"/>
        </w:rPr>
        <w:t>provides an exemption to the secrecy provision</w:t>
      </w:r>
      <w:r w:rsidR="1A6F6BA8" w:rsidRPr="044093EC">
        <w:rPr>
          <w:lang w:val="en-AU"/>
        </w:rPr>
        <w:t xml:space="preserve"> to</w:t>
      </w:r>
      <w:r w:rsidR="778FDAC5" w:rsidRPr="044093EC">
        <w:rPr>
          <w:lang w:val="en-AU"/>
        </w:rPr>
        <w:t xml:space="preserve"> allow APRA to</w:t>
      </w:r>
      <w:r w:rsidR="1A6F6BA8" w:rsidRPr="044093EC">
        <w:rPr>
          <w:lang w:val="en-AU"/>
        </w:rPr>
        <w:t xml:space="preserve"> disclose information obtained </w:t>
      </w:r>
      <w:r w:rsidR="1D25A145" w:rsidRPr="044093EC">
        <w:rPr>
          <w:lang w:val="en-AU"/>
        </w:rPr>
        <w:t>under section 13 of the FSCOD Act</w:t>
      </w:r>
      <w:r w:rsidR="54322899" w:rsidRPr="044093EC">
        <w:rPr>
          <w:lang w:val="en-AU"/>
        </w:rPr>
        <w:t xml:space="preserve"> </w:t>
      </w:r>
      <w:r w:rsidR="29F2CE0D" w:rsidRPr="044093EC">
        <w:rPr>
          <w:lang w:val="en-AU"/>
        </w:rPr>
        <w:t>if</w:t>
      </w:r>
      <w:r w:rsidR="3713EDF6" w:rsidRPr="044093EC">
        <w:rPr>
          <w:lang w:val="en-AU"/>
        </w:rPr>
        <w:t xml:space="preserve"> </w:t>
      </w:r>
      <w:r w:rsidR="7A461062" w:rsidRPr="044093EC">
        <w:rPr>
          <w:lang w:val="en-AU"/>
        </w:rPr>
        <w:t>a</w:t>
      </w:r>
      <w:r w:rsidR="6E041E78" w:rsidRPr="044093EC">
        <w:rPr>
          <w:lang w:val="en-AU"/>
        </w:rPr>
        <w:t xml:space="preserve"> non-confidential</w:t>
      </w:r>
      <w:r w:rsidR="66B36A9F" w:rsidRPr="044093EC">
        <w:rPr>
          <w:lang w:val="en-AU"/>
        </w:rPr>
        <w:t>ity</w:t>
      </w:r>
      <w:r w:rsidR="6E041E78" w:rsidRPr="044093EC">
        <w:rPr>
          <w:lang w:val="en-AU"/>
        </w:rPr>
        <w:t xml:space="preserve"> </w:t>
      </w:r>
      <w:r w:rsidR="66B36A9F" w:rsidRPr="044093EC">
        <w:rPr>
          <w:lang w:val="en-AU"/>
        </w:rPr>
        <w:t xml:space="preserve">determination </w:t>
      </w:r>
      <w:r w:rsidR="29986DDF" w:rsidRPr="044093EC">
        <w:rPr>
          <w:lang w:val="en-AU"/>
        </w:rPr>
        <w:t xml:space="preserve">is made by APRA </w:t>
      </w:r>
      <w:r w:rsidR="350B4C4E" w:rsidRPr="044093EC">
        <w:rPr>
          <w:lang w:val="en-AU"/>
        </w:rPr>
        <w:t xml:space="preserve">in relation to that information </w:t>
      </w:r>
      <w:r w:rsidR="33A3F1B7" w:rsidRPr="044093EC">
        <w:rPr>
          <w:lang w:val="en-AU"/>
        </w:rPr>
        <w:t xml:space="preserve">in accordance with </w:t>
      </w:r>
      <w:r w:rsidR="6E041E78" w:rsidRPr="044093EC">
        <w:rPr>
          <w:lang w:val="en-AU"/>
        </w:rPr>
        <w:t>section 57 of the Act.</w:t>
      </w:r>
      <w:r w:rsidRPr="084EECA0">
        <w:rPr>
          <w:lang w:val="en-AU"/>
        </w:rPr>
        <w:t xml:space="preserve"> </w:t>
      </w:r>
    </w:p>
    <w:p w14:paraId="54AA6013" w14:textId="77777777" w:rsidR="00DD243A" w:rsidRDefault="00BD4945" w:rsidP="00377BA4">
      <w:pPr>
        <w:pStyle w:val="BodyText"/>
        <w:numPr>
          <w:ilvl w:val="0"/>
          <w:numId w:val="11"/>
        </w:numPr>
        <w:jc w:val="both"/>
        <w:rPr>
          <w:szCs w:val="24"/>
        </w:rPr>
      </w:pPr>
      <w:r>
        <w:rPr>
          <w:b/>
          <w:szCs w:val="24"/>
          <w:lang w:val="en-AU"/>
        </w:rPr>
        <w:lastRenderedPageBreak/>
        <w:t>Purpose and operation of the instrument</w:t>
      </w:r>
    </w:p>
    <w:p w14:paraId="3980A553" w14:textId="74CC9D6D" w:rsidR="00EF06EF" w:rsidRDefault="00A73D43" w:rsidP="00AF72CB">
      <w:pPr>
        <w:pStyle w:val="BodyText"/>
        <w:jc w:val="both"/>
      </w:pPr>
      <w:proofErr w:type="spellStart"/>
      <w:r>
        <w:rPr>
          <w:lang w:val="en-AU"/>
        </w:rPr>
        <w:t>T</w:t>
      </w:r>
      <w:r w:rsidR="00EF06EF">
        <w:t>he</w:t>
      </w:r>
      <w:proofErr w:type="spellEnd"/>
      <w:r w:rsidR="00EF06EF">
        <w:t xml:space="preserve"> effect of this instrument is to determine certain </w:t>
      </w:r>
      <w:r w:rsidR="00D178AC">
        <w:rPr>
          <w:lang w:val="en-AU"/>
        </w:rPr>
        <w:t>information</w:t>
      </w:r>
      <w:r w:rsidR="00D178AC">
        <w:t xml:space="preserve"> </w:t>
      </w:r>
      <w:r w:rsidR="00EF06EF">
        <w:t>that has been reported to APRA</w:t>
      </w:r>
      <w:r w:rsidR="00D178AC">
        <w:rPr>
          <w:lang w:val="en-AU"/>
        </w:rPr>
        <w:t>,</w:t>
      </w:r>
      <w:r w:rsidR="00EF06EF">
        <w:t xml:space="preserve"> </w:t>
      </w:r>
      <w:r w:rsidR="00D178AC">
        <w:rPr>
          <w:lang w:val="en-AU"/>
        </w:rPr>
        <w:t>and</w:t>
      </w:r>
      <w:r w:rsidR="00D178AC">
        <w:t xml:space="preserve"> </w:t>
      </w:r>
      <w:r w:rsidR="00EF06EF">
        <w:t>would otherwise be protected information</w:t>
      </w:r>
      <w:r w:rsidR="00D178AC">
        <w:rPr>
          <w:lang w:val="en-AU"/>
        </w:rPr>
        <w:t>,</w:t>
      </w:r>
      <w:r w:rsidR="00EF06EF">
        <w:t xml:space="preserve"> to be non-confidential so that APRA can </w:t>
      </w:r>
      <w:r w:rsidR="00D178AC">
        <w:rPr>
          <w:lang w:val="en-AU"/>
        </w:rPr>
        <w:t>disclose this information on behalf of supervised entities in a new entity-level publication.</w:t>
      </w:r>
    </w:p>
    <w:p w14:paraId="57A71155" w14:textId="7709B89E" w:rsidR="00D178AC" w:rsidRDefault="00D178AC" w:rsidP="00D359D2">
      <w:pPr>
        <w:pStyle w:val="BodyText"/>
        <w:jc w:val="both"/>
        <w:rPr>
          <w:iCs/>
          <w:szCs w:val="24"/>
          <w:lang w:val="en-AU"/>
        </w:rPr>
      </w:pPr>
      <w:r>
        <w:rPr>
          <w:iCs/>
          <w:szCs w:val="24"/>
          <w:lang w:val="en-AU"/>
        </w:rPr>
        <w:t>The information determined non-confidential relates to information on capital, risk weighted assets and liquidity ratios for selected individual authorised deposit-taking institutions (ADIs)</w:t>
      </w:r>
      <w:r w:rsidR="00405FBD">
        <w:rPr>
          <w:iCs/>
          <w:szCs w:val="24"/>
          <w:lang w:val="en-AU"/>
        </w:rPr>
        <w:t xml:space="preserve"> that APRA supervises</w:t>
      </w:r>
      <w:r>
        <w:rPr>
          <w:iCs/>
          <w:szCs w:val="24"/>
          <w:lang w:val="en-AU"/>
        </w:rPr>
        <w:t>.</w:t>
      </w:r>
    </w:p>
    <w:p w14:paraId="2CDB4C7E" w14:textId="3636F0F2" w:rsidR="006F4B31" w:rsidRPr="00DD243A" w:rsidRDefault="009C2FD9" w:rsidP="00EF06EF">
      <w:pPr>
        <w:pStyle w:val="BodyText"/>
        <w:jc w:val="both"/>
        <w:rPr>
          <w:lang w:val="en-AU"/>
        </w:rPr>
      </w:pPr>
      <w:r>
        <w:t>Th</w:t>
      </w:r>
      <w:r w:rsidR="00397B45">
        <w:t>e</w:t>
      </w:r>
      <w:r>
        <w:t xml:space="preserve"> </w:t>
      </w:r>
      <w:r w:rsidR="00DD243A" w:rsidRPr="18A63CB3">
        <w:rPr>
          <w:lang w:val="en-AU"/>
        </w:rPr>
        <w:t>instrument</w:t>
      </w:r>
      <w:r>
        <w:t xml:space="preserve"> provides that certain information given to APRA </w:t>
      </w:r>
      <w:r w:rsidR="002B1969" w:rsidRPr="18A63CB3">
        <w:rPr>
          <w:lang w:val="en-AU"/>
        </w:rPr>
        <w:t xml:space="preserve">in reporting forms </w:t>
      </w:r>
      <w:r>
        <w:t xml:space="preserve">under </w:t>
      </w:r>
      <w:r w:rsidR="006F346B" w:rsidRPr="18A63CB3">
        <w:rPr>
          <w:lang w:val="en-AU"/>
        </w:rPr>
        <w:t>the following reporting standards</w:t>
      </w:r>
      <w:r w:rsidR="0087094D" w:rsidRPr="18A63CB3">
        <w:rPr>
          <w:lang w:val="en-AU"/>
        </w:rPr>
        <w:t xml:space="preserve"> (the Reporting Standards)</w:t>
      </w:r>
      <w:r w:rsidR="006F346B" w:rsidRPr="18A63CB3">
        <w:rPr>
          <w:lang w:val="en-AU"/>
        </w:rPr>
        <w:t>,</w:t>
      </w:r>
      <w:r w:rsidR="6B8D3F60" w:rsidRPr="18A63CB3">
        <w:rPr>
          <w:lang w:val="en-AU"/>
        </w:rPr>
        <w:t xml:space="preserve"> and information that </w:t>
      </w:r>
      <w:r w:rsidR="75831FBD" w:rsidRPr="18A63CB3">
        <w:rPr>
          <w:lang w:val="en-AU"/>
        </w:rPr>
        <w:t>can</w:t>
      </w:r>
      <w:r w:rsidR="006F346B" w:rsidRPr="18A63CB3">
        <w:rPr>
          <w:lang w:val="en-AU"/>
        </w:rPr>
        <w:t xml:space="preserve"> </w:t>
      </w:r>
      <w:r w:rsidR="75831FBD" w:rsidRPr="18A63CB3">
        <w:rPr>
          <w:lang w:val="en-AU"/>
        </w:rPr>
        <w:t xml:space="preserve">be derived from that information, </w:t>
      </w:r>
      <w:r w:rsidR="00420B90">
        <w:t>is</w:t>
      </w:r>
      <w:r w:rsidR="009F31BB">
        <w:t xml:space="preserve"> </w:t>
      </w:r>
      <w:r w:rsidR="004D0D7F">
        <w:t>non-confidential</w:t>
      </w:r>
      <w:r w:rsidR="006071FC" w:rsidRPr="18A63CB3">
        <w:rPr>
          <w:lang w:val="en-AU"/>
        </w:rPr>
        <w:t>:</w:t>
      </w:r>
    </w:p>
    <w:p w14:paraId="0230EA30" w14:textId="2F44C15E" w:rsidR="006F4B31" w:rsidRPr="006F4B31" w:rsidRDefault="002B1969" w:rsidP="00377BA4">
      <w:pPr>
        <w:pStyle w:val="BodyText"/>
        <w:numPr>
          <w:ilvl w:val="0"/>
          <w:numId w:val="16"/>
        </w:numPr>
        <w:tabs>
          <w:tab w:val="left" w:pos="567"/>
        </w:tabs>
        <w:ind w:left="567" w:hanging="567"/>
      </w:pPr>
      <w:r w:rsidRPr="00377BA4">
        <w:rPr>
          <w:iCs/>
          <w:szCs w:val="24"/>
          <w:lang w:val="en-AU"/>
        </w:rPr>
        <w:t xml:space="preserve">Reporting Standard </w:t>
      </w:r>
      <w:r w:rsidR="006F4B31" w:rsidRPr="00377BA4">
        <w:rPr>
          <w:iCs/>
          <w:szCs w:val="24"/>
        </w:rPr>
        <w:t xml:space="preserve">ARS </w:t>
      </w:r>
      <w:r w:rsidR="00262407" w:rsidRPr="00377BA4">
        <w:rPr>
          <w:iCs/>
          <w:szCs w:val="24"/>
          <w:lang w:val="en-AU"/>
        </w:rPr>
        <w:t>110</w:t>
      </w:r>
      <w:r w:rsidR="00262407" w:rsidRPr="00377BA4">
        <w:rPr>
          <w:iCs/>
          <w:szCs w:val="24"/>
        </w:rPr>
        <w:t xml:space="preserve">.0 </w:t>
      </w:r>
      <w:r w:rsidR="00262407" w:rsidRPr="00377BA4">
        <w:rPr>
          <w:iCs/>
          <w:szCs w:val="24"/>
          <w:lang w:val="en-AU"/>
        </w:rPr>
        <w:t>Capital Adequacy</w:t>
      </w:r>
      <w:r w:rsidR="00405FBD">
        <w:rPr>
          <w:iCs/>
          <w:szCs w:val="24"/>
          <w:lang w:val="en-AU"/>
        </w:rPr>
        <w:t xml:space="preserve"> (ARS 110)</w:t>
      </w:r>
      <w:r w:rsidR="009D01C3" w:rsidRPr="00377BA4">
        <w:rPr>
          <w:iCs/>
          <w:szCs w:val="24"/>
          <w:lang w:val="en-AU"/>
        </w:rPr>
        <w:t>;</w:t>
      </w:r>
      <w:r w:rsidR="00377BA4" w:rsidRPr="00377BA4">
        <w:rPr>
          <w:iCs/>
          <w:szCs w:val="24"/>
          <w:lang w:val="en-AU"/>
        </w:rPr>
        <w:t xml:space="preserve"> </w:t>
      </w:r>
      <w:r w:rsidR="00377BA4">
        <w:rPr>
          <w:lang w:val="en-AU"/>
        </w:rPr>
        <w:t>a</w:t>
      </w:r>
      <w:r w:rsidR="009D01C3" w:rsidRPr="00377BA4">
        <w:rPr>
          <w:lang w:val="en-AU"/>
        </w:rPr>
        <w:t>nd</w:t>
      </w:r>
    </w:p>
    <w:p w14:paraId="500C94F3" w14:textId="2038AE47" w:rsidR="00BF5714" w:rsidRPr="004744BE" w:rsidRDefault="002B1969" w:rsidP="00377BA4">
      <w:pPr>
        <w:pStyle w:val="BodyText"/>
        <w:numPr>
          <w:ilvl w:val="0"/>
          <w:numId w:val="16"/>
        </w:numPr>
        <w:tabs>
          <w:tab w:val="left" w:pos="567"/>
        </w:tabs>
        <w:ind w:left="567" w:hanging="567"/>
        <w:rPr>
          <w:szCs w:val="24"/>
        </w:rPr>
      </w:pPr>
      <w:r>
        <w:rPr>
          <w:iCs/>
          <w:szCs w:val="24"/>
          <w:lang w:val="en-AU"/>
        </w:rPr>
        <w:t xml:space="preserve">Reporting Standard </w:t>
      </w:r>
      <w:r w:rsidR="00377BA4" w:rsidRPr="00A52BDF">
        <w:rPr>
          <w:iCs/>
          <w:szCs w:val="24"/>
          <w:lang w:val="en-AU"/>
        </w:rPr>
        <w:t xml:space="preserve">ARS </w:t>
      </w:r>
      <w:r w:rsidR="00377BA4">
        <w:rPr>
          <w:iCs/>
          <w:szCs w:val="24"/>
          <w:lang w:val="en-AU"/>
        </w:rPr>
        <w:t>210</w:t>
      </w:r>
      <w:r w:rsidR="00377BA4" w:rsidRPr="00A52BDF">
        <w:rPr>
          <w:iCs/>
          <w:szCs w:val="24"/>
          <w:lang w:val="en-AU"/>
        </w:rPr>
        <w:t>.</w:t>
      </w:r>
      <w:r w:rsidR="00377BA4" w:rsidRPr="00792853">
        <w:rPr>
          <w:iCs/>
          <w:szCs w:val="24"/>
          <w:lang w:val="en-AU"/>
        </w:rPr>
        <w:t>0 Liquidity</w:t>
      </w:r>
      <w:r w:rsidR="00405FBD">
        <w:rPr>
          <w:iCs/>
          <w:szCs w:val="24"/>
          <w:lang w:val="en-AU"/>
        </w:rPr>
        <w:t xml:space="preserve"> (ARS 210)</w:t>
      </w:r>
      <w:r>
        <w:rPr>
          <w:iCs/>
          <w:szCs w:val="24"/>
          <w:lang w:val="en-AU"/>
        </w:rPr>
        <w:t>.</w:t>
      </w:r>
      <w:r w:rsidR="006F4B31" w:rsidRPr="006F4B31">
        <w:rPr>
          <w:iCs/>
          <w:szCs w:val="24"/>
        </w:rPr>
        <w:t xml:space="preserve"> </w:t>
      </w:r>
    </w:p>
    <w:p w14:paraId="42B1A34D" w14:textId="30C258B5" w:rsidR="00A73D43" w:rsidRPr="00D178AC" w:rsidRDefault="00A73D43" w:rsidP="00A73D43">
      <w:pPr>
        <w:pStyle w:val="BodyText"/>
        <w:jc w:val="both"/>
        <w:rPr>
          <w:lang w:val="en-AU"/>
        </w:rPr>
      </w:pPr>
      <w:r w:rsidRPr="0449142E">
        <w:rPr>
          <w:lang w:val="en-AU"/>
        </w:rPr>
        <w:t>The</w:t>
      </w:r>
      <w:r>
        <w:t xml:space="preserve"> information will be disclosed by APRA under subsection 56(5C) of the Act</w:t>
      </w:r>
      <w:r w:rsidRPr="0449142E">
        <w:rPr>
          <w:lang w:val="en-AU"/>
        </w:rPr>
        <w:t xml:space="preserve"> to </w:t>
      </w:r>
      <w:r>
        <w:t>form the basis of</w:t>
      </w:r>
      <w:r w:rsidRPr="0449142E">
        <w:rPr>
          <w:lang w:val="en-AU"/>
        </w:rPr>
        <w:t xml:space="preserve"> APRA’s</w:t>
      </w:r>
      <w:r>
        <w:t xml:space="preserve"> </w:t>
      </w:r>
      <w:r w:rsidRPr="0449142E">
        <w:rPr>
          <w:lang w:val="en-AU"/>
        </w:rPr>
        <w:t xml:space="preserve">new </w:t>
      </w:r>
      <w:r>
        <w:t>statistical publication</w:t>
      </w:r>
      <w:r w:rsidRPr="0449142E">
        <w:rPr>
          <w:lang w:val="en-AU"/>
        </w:rPr>
        <w:t xml:space="preserve"> ADI Centralised Publication</w:t>
      </w:r>
      <w:r w:rsidR="00D178AC">
        <w:rPr>
          <w:lang w:val="en-AU"/>
        </w:rPr>
        <w:t xml:space="preserve"> (ADICP)</w:t>
      </w:r>
      <w:r w:rsidRPr="0449142E">
        <w:rPr>
          <w:lang w:val="en-AU"/>
        </w:rPr>
        <w:t>.</w:t>
      </w:r>
      <w:r>
        <w:t xml:space="preserve"> </w:t>
      </w:r>
      <w:r w:rsidRPr="0449142E">
        <w:rPr>
          <w:lang w:val="en-AU"/>
        </w:rPr>
        <w:t>The statistical publication</w:t>
      </w:r>
      <w:r>
        <w:t xml:space="preserve"> will be of use to regulators, policymakers, industry, researchers, </w:t>
      </w:r>
      <w:proofErr w:type="gramStart"/>
      <w:r>
        <w:t>analysts</w:t>
      </w:r>
      <w:proofErr w:type="gramEnd"/>
      <w:r>
        <w:t xml:space="preserve"> and other interested parties</w:t>
      </w:r>
      <w:r w:rsidRPr="00D178AC">
        <w:t>.</w:t>
      </w:r>
      <w:r w:rsidRPr="00D178AC">
        <w:rPr>
          <w:lang w:val="en-AU"/>
        </w:rPr>
        <w:t xml:space="preserve"> The development of this centralised publication is a key milestone in implementing Basel’s Pillar 3 requirements, aligning the </w:t>
      </w:r>
      <w:r w:rsidR="00D178AC" w:rsidRPr="00D178AC">
        <w:rPr>
          <w:lang w:val="en-AU"/>
        </w:rPr>
        <w:t>information</w:t>
      </w:r>
      <w:r w:rsidRPr="00D178AC">
        <w:rPr>
          <w:lang w:val="en-AU"/>
        </w:rPr>
        <w:t xml:space="preserve"> published with ADIs’ Pillar 3 disclosures and reducing burden on smaller ADIs who are exempted </w:t>
      </w:r>
      <w:r w:rsidR="00A64D96" w:rsidRPr="00D178AC">
        <w:rPr>
          <w:lang w:val="en-AU"/>
        </w:rPr>
        <w:t>f</w:t>
      </w:r>
      <w:r w:rsidR="00A64D96">
        <w:rPr>
          <w:lang w:val="en-AU"/>
        </w:rPr>
        <w:t>ro</w:t>
      </w:r>
      <w:r w:rsidR="00A64D96" w:rsidRPr="00D178AC">
        <w:rPr>
          <w:lang w:val="en-AU"/>
        </w:rPr>
        <w:t xml:space="preserve">m </w:t>
      </w:r>
      <w:r w:rsidRPr="00D178AC">
        <w:rPr>
          <w:lang w:val="en-AU"/>
        </w:rPr>
        <w:t xml:space="preserve">disclosures under APRA’s </w:t>
      </w:r>
      <w:r w:rsidRPr="00D178AC">
        <w:rPr>
          <w:i/>
          <w:lang w:val="en-AU"/>
        </w:rPr>
        <w:t>Prudential Standard</w:t>
      </w:r>
      <w:r w:rsidRPr="00D178AC">
        <w:rPr>
          <w:lang w:val="en-AU"/>
        </w:rPr>
        <w:t xml:space="preserve"> </w:t>
      </w:r>
      <w:r w:rsidRPr="00D178AC">
        <w:rPr>
          <w:i/>
          <w:lang w:val="en-AU"/>
        </w:rPr>
        <w:t>APS 330 Disclosure</w:t>
      </w:r>
      <w:r w:rsidRPr="00D178AC">
        <w:rPr>
          <w:lang w:val="en-AU"/>
        </w:rPr>
        <w:t>.</w:t>
      </w:r>
      <w:r w:rsidRPr="00D178AC">
        <w:rPr>
          <w:rStyle w:val="FootnoteReference"/>
          <w:lang w:val="en-AU"/>
        </w:rPr>
        <w:footnoteReference w:id="5"/>
      </w:r>
    </w:p>
    <w:p w14:paraId="0E16E4FA" w14:textId="77777777" w:rsidR="007C3752" w:rsidRPr="00D178AC" w:rsidRDefault="007C3752" w:rsidP="007C3752">
      <w:pPr>
        <w:pStyle w:val="BodyText"/>
        <w:jc w:val="both"/>
        <w:rPr>
          <w:lang w:val="en-AU"/>
        </w:rPr>
      </w:pPr>
      <w:r w:rsidRPr="00D178AC">
        <w:rPr>
          <w:lang w:val="en-AU"/>
        </w:rPr>
        <w:t>APRA considers that determining this information non-confidential improves the transparency of the ADI industry and is consistent with government open data policies and disclosure requirements. APRA considers that the benefit from the disclosure would outweigh any potential detriment to the commercial interests that disclosure might cause. On that basis, APRA has determined that the specified information collected under the Reporting Standards to be non-confidential.</w:t>
      </w:r>
    </w:p>
    <w:p w14:paraId="5ECFA391" w14:textId="6FA802D2" w:rsidR="60376551" w:rsidRPr="004A455B" w:rsidRDefault="004A455B" w:rsidP="004A455B">
      <w:pPr>
        <w:pStyle w:val="BodyText"/>
        <w:numPr>
          <w:ilvl w:val="0"/>
          <w:numId w:val="11"/>
        </w:numPr>
        <w:jc w:val="both"/>
        <w:rPr>
          <w:b/>
          <w:szCs w:val="24"/>
          <w:lang w:val="en-AU"/>
        </w:rPr>
      </w:pPr>
      <w:r>
        <w:rPr>
          <w:b/>
          <w:szCs w:val="24"/>
          <w:lang w:val="en-AU"/>
        </w:rPr>
        <w:t>D</w:t>
      </w:r>
      <w:r w:rsidR="60376551" w:rsidRPr="004A455B">
        <w:rPr>
          <w:b/>
          <w:szCs w:val="24"/>
          <w:lang w:val="en-AU"/>
        </w:rPr>
        <w:t>ocuments incorporated by reference</w:t>
      </w:r>
    </w:p>
    <w:p w14:paraId="1B655946" w14:textId="36930DF2" w:rsidR="00EF06EF" w:rsidRDefault="004A455B" w:rsidP="0449142E">
      <w:pPr>
        <w:pStyle w:val="BodyText"/>
        <w:jc w:val="both"/>
      </w:pPr>
      <w:r>
        <w:t xml:space="preserve">The </w:t>
      </w:r>
      <w:r w:rsidRPr="00585D0B">
        <w:rPr>
          <w:i/>
        </w:rPr>
        <w:t xml:space="preserve">Banking Act </w:t>
      </w:r>
      <w:r w:rsidR="00585D0B" w:rsidRPr="00585D0B">
        <w:rPr>
          <w:i/>
          <w:lang w:val="en-AU"/>
        </w:rPr>
        <w:t>1959</w:t>
      </w:r>
      <w:r w:rsidR="00585D0B">
        <w:rPr>
          <w:lang w:val="en-AU"/>
        </w:rPr>
        <w:t xml:space="preserve"> </w:t>
      </w:r>
      <w:r w:rsidR="00C65EC8">
        <w:rPr>
          <w:lang w:val="en-AU"/>
        </w:rPr>
        <w:t xml:space="preserve">(Banking Act) </w:t>
      </w:r>
      <w:r>
        <w:t>and FSCOD</w:t>
      </w:r>
      <w:r w:rsidR="00585D0B">
        <w:rPr>
          <w:lang w:val="en-AU"/>
        </w:rPr>
        <w:t xml:space="preserve"> </w:t>
      </w:r>
      <w:r>
        <w:t>A</w:t>
      </w:r>
      <w:r w:rsidR="00585D0B">
        <w:rPr>
          <w:lang w:val="en-AU"/>
        </w:rPr>
        <w:t>ct</w:t>
      </w:r>
      <w:r>
        <w:t xml:space="preserve"> are both incorporated by reference in the definitions</w:t>
      </w:r>
      <w:r w:rsidR="00585D0B">
        <w:rPr>
          <w:lang w:val="en-AU"/>
        </w:rPr>
        <w:t xml:space="preserve"> in the instrument</w:t>
      </w:r>
      <w:r>
        <w:t>.</w:t>
      </w:r>
      <w:r w:rsidR="00C71F69">
        <w:rPr>
          <w:rStyle w:val="FootnoteReference"/>
        </w:rPr>
        <w:footnoteReference w:id="6"/>
      </w:r>
      <w:r>
        <w:t xml:space="preserve"> These </w:t>
      </w:r>
      <w:r w:rsidR="00C71F69">
        <w:rPr>
          <w:lang w:val="en-AU"/>
        </w:rPr>
        <w:t xml:space="preserve">Acts </w:t>
      </w:r>
      <w:r>
        <w:t>are permitte</w:t>
      </w:r>
      <w:r>
        <w:rPr>
          <w:lang w:val="en-AU"/>
        </w:rPr>
        <w:t>d</w:t>
      </w:r>
      <w:r>
        <w:t xml:space="preserve"> to be incorporated from time to time under section 14(1)(a) of the Legislation Act. </w:t>
      </w:r>
    </w:p>
    <w:p w14:paraId="4CFECA25" w14:textId="75203E89" w:rsidR="00EF06EF" w:rsidRDefault="00EF06EF" w:rsidP="0449142E">
      <w:pPr>
        <w:pStyle w:val="BodyText"/>
        <w:jc w:val="both"/>
        <w:rPr>
          <w:lang w:val="en-AU"/>
        </w:rPr>
      </w:pPr>
      <w:r>
        <w:rPr>
          <w:lang w:val="en-AU"/>
        </w:rPr>
        <w:t>Reporting standards</w:t>
      </w:r>
      <w:r w:rsidR="00405FBD">
        <w:rPr>
          <w:lang w:val="en-AU"/>
        </w:rPr>
        <w:t xml:space="preserve"> ARS 110 and ARS 210</w:t>
      </w:r>
      <w:r>
        <w:rPr>
          <w:lang w:val="en-AU"/>
        </w:rPr>
        <w:t xml:space="preserve"> </w:t>
      </w:r>
      <w:r w:rsidR="00405FBD">
        <w:rPr>
          <w:lang w:val="en-AU"/>
        </w:rPr>
        <w:t xml:space="preserve">are </w:t>
      </w:r>
      <w:r w:rsidR="003132D2">
        <w:rPr>
          <w:lang w:val="en-AU"/>
        </w:rPr>
        <w:t xml:space="preserve">referred to for purposes of </w:t>
      </w:r>
      <w:r w:rsidR="4D94C9FB" w:rsidRPr="084EECA0">
        <w:rPr>
          <w:lang w:val="en-AU"/>
        </w:rPr>
        <w:t>identifying the material to be determined non-</w:t>
      </w:r>
      <w:proofErr w:type="gramStart"/>
      <w:r w:rsidR="4D94C9FB" w:rsidRPr="084EECA0">
        <w:rPr>
          <w:lang w:val="en-AU"/>
        </w:rPr>
        <w:t>confidential</w:t>
      </w:r>
      <w:r w:rsidR="003132D2" w:rsidRPr="084EECA0">
        <w:rPr>
          <w:lang w:val="en-AU"/>
        </w:rPr>
        <w:t xml:space="preserve">, </w:t>
      </w:r>
      <w:r w:rsidR="5217373C" w:rsidRPr="084EECA0">
        <w:rPr>
          <w:lang w:val="en-AU"/>
        </w:rPr>
        <w:t>but</w:t>
      </w:r>
      <w:proofErr w:type="gramEnd"/>
      <w:r w:rsidR="5217373C" w:rsidRPr="084EECA0">
        <w:rPr>
          <w:lang w:val="en-AU"/>
        </w:rPr>
        <w:t xml:space="preserve"> are</w:t>
      </w:r>
      <w:r w:rsidR="003132D2">
        <w:rPr>
          <w:lang w:val="en-AU"/>
        </w:rPr>
        <w:t xml:space="preserve"> not incorporating </w:t>
      </w:r>
      <w:r w:rsidR="008274E6">
        <w:rPr>
          <w:lang w:val="en-AU"/>
        </w:rPr>
        <w:t xml:space="preserve">material </w:t>
      </w:r>
      <w:r w:rsidR="003132D2">
        <w:rPr>
          <w:lang w:val="en-AU"/>
        </w:rPr>
        <w:t xml:space="preserve">by </w:t>
      </w:r>
      <w:r w:rsidR="003132D2" w:rsidRPr="084EECA0">
        <w:rPr>
          <w:lang w:val="en-AU"/>
        </w:rPr>
        <w:t>reference</w:t>
      </w:r>
      <w:r w:rsidR="025525E8" w:rsidRPr="084EECA0">
        <w:rPr>
          <w:lang w:val="en-AU"/>
        </w:rPr>
        <w:t xml:space="preserve"> into this instrument.</w:t>
      </w:r>
    </w:p>
    <w:p w14:paraId="4B06466A" w14:textId="77777777" w:rsidR="004D0D7F" w:rsidRPr="0030580F" w:rsidRDefault="00AB0808" w:rsidP="0449142E">
      <w:pPr>
        <w:pStyle w:val="BodyText"/>
        <w:numPr>
          <w:ilvl w:val="0"/>
          <w:numId w:val="11"/>
        </w:numPr>
        <w:jc w:val="both"/>
        <w:rPr>
          <w:b/>
          <w:bCs/>
          <w:color w:val="000000"/>
        </w:rPr>
      </w:pPr>
      <w:r w:rsidRPr="0449142E">
        <w:rPr>
          <w:b/>
          <w:bCs/>
          <w:color w:val="000000" w:themeColor="text1"/>
        </w:rPr>
        <w:lastRenderedPageBreak/>
        <w:t>Consul</w:t>
      </w:r>
      <w:r w:rsidR="004D0D7F" w:rsidRPr="0449142E">
        <w:rPr>
          <w:b/>
          <w:bCs/>
          <w:color w:val="000000" w:themeColor="text1"/>
        </w:rPr>
        <w:t>tation</w:t>
      </w:r>
    </w:p>
    <w:p w14:paraId="682D11B3" w14:textId="7432FC58" w:rsidR="00DC398F" w:rsidRDefault="00B04911" w:rsidP="00B04911">
      <w:pPr>
        <w:pStyle w:val="BodyText"/>
        <w:jc w:val="both"/>
        <w:rPr>
          <w:color w:val="000000"/>
          <w:szCs w:val="24"/>
        </w:rPr>
      </w:pPr>
      <w:r>
        <w:rPr>
          <w:color w:val="000000"/>
          <w:szCs w:val="24"/>
          <w:lang w:val="en-AU"/>
        </w:rPr>
        <w:t>APRA has consulted the ADI industry over a number of years in relation to this instrument.</w:t>
      </w:r>
      <w:r w:rsidR="00EB7931">
        <w:rPr>
          <w:rStyle w:val="FootnoteReference"/>
          <w:color w:val="000000"/>
          <w:szCs w:val="24"/>
          <w:lang w:val="en-AU"/>
        </w:rPr>
        <w:footnoteReference w:id="7"/>
      </w:r>
      <w:r>
        <w:rPr>
          <w:color w:val="000000"/>
          <w:szCs w:val="24"/>
          <w:lang w:val="en-AU"/>
        </w:rPr>
        <w:t xml:space="preserve"> </w:t>
      </w:r>
      <w:r w:rsidR="004744BE">
        <w:rPr>
          <w:color w:val="000000"/>
          <w:szCs w:val="24"/>
          <w:lang w:val="en-AU"/>
        </w:rPr>
        <w:t xml:space="preserve">APRA </w:t>
      </w:r>
      <w:r w:rsidR="005C4F5A" w:rsidRPr="0030580F">
        <w:rPr>
          <w:color w:val="000000"/>
          <w:szCs w:val="24"/>
        </w:rPr>
        <w:t xml:space="preserve">commenced consultations </w:t>
      </w:r>
      <w:r w:rsidR="008B1DBC">
        <w:rPr>
          <w:color w:val="000000"/>
          <w:szCs w:val="24"/>
          <w:lang w:val="en-AU"/>
        </w:rPr>
        <w:t>for this instrument</w:t>
      </w:r>
      <w:r w:rsidR="008B1DBC" w:rsidRPr="0030580F">
        <w:rPr>
          <w:color w:val="000000"/>
          <w:szCs w:val="24"/>
        </w:rPr>
        <w:t xml:space="preserve"> </w:t>
      </w:r>
      <w:r w:rsidR="005C4F5A" w:rsidRPr="0030580F">
        <w:rPr>
          <w:color w:val="000000"/>
          <w:szCs w:val="24"/>
        </w:rPr>
        <w:t xml:space="preserve">in relation to </w:t>
      </w:r>
      <w:r w:rsidR="004D0D7F" w:rsidRPr="0030580F">
        <w:rPr>
          <w:color w:val="000000"/>
          <w:szCs w:val="24"/>
        </w:rPr>
        <w:t>whether</w:t>
      </w:r>
      <w:r w:rsidR="0087094D">
        <w:rPr>
          <w:color w:val="000000"/>
          <w:szCs w:val="24"/>
          <w:lang w:val="en-AU"/>
        </w:rPr>
        <w:t xml:space="preserve"> specified</w:t>
      </w:r>
      <w:r w:rsidR="004D0D7F" w:rsidRPr="0030580F">
        <w:rPr>
          <w:color w:val="000000"/>
          <w:szCs w:val="24"/>
        </w:rPr>
        <w:t xml:space="preserve"> informa</w:t>
      </w:r>
      <w:r w:rsidR="0087094D">
        <w:rPr>
          <w:color w:val="000000"/>
          <w:szCs w:val="24"/>
        </w:rPr>
        <w:t>tion</w:t>
      </w:r>
      <w:r w:rsidR="0087094D">
        <w:rPr>
          <w:color w:val="000000"/>
          <w:szCs w:val="24"/>
          <w:lang w:val="en-AU"/>
        </w:rPr>
        <w:t xml:space="preserve"> in the </w:t>
      </w:r>
      <w:r w:rsidR="002B1969">
        <w:rPr>
          <w:color w:val="000000"/>
          <w:szCs w:val="24"/>
          <w:lang w:val="en-AU"/>
        </w:rPr>
        <w:t>Reporting</w:t>
      </w:r>
      <w:r w:rsidR="0087094D">
        <w:rPr>
          <w:color w:val="000000"/>
          <w:szCs w:val="24"/>
          <w:lang w:val="en-AU"/>
        </w:rPr>
        <w:t xml:space="preserve"> Standards</w:t>
      </w:r>
      <w:r w:rsidR="00C2291B">
        <w:rPr>
          <w:color w:val="000000"/>
          <w:szCs w:val="24"/>
          <w:lang w:val="en-AU"/>
        </w:rPr>
        <w:t xml:space="preserve"> </w:t>
      </w:r>
      <w:r w:rsidR="004D0D7F" w:rsidRPr="0030580F">
        <w:rPr>
          <w:color w:val="000000"/>
          <w:szCs w:val="24"/>
        </w:rPr>
        <w:t xml:space="preserve">should be </w:t>
      </w:r>
      <w:r w:rsidR="0087094D">
        <w:rPr>
          <w:color w:val="000000"/>
          <w:szCs w:val="24"/>
          <w:lang w:val="en-AU"/>
        </w:rPr>
        <w:t>determined</w:t>
      </w:r>
      <w:r w:rsidR="004D0D7F" w:rsidRPr="0030580F">
        <w:rPr>
          <w:color w:val="000000"/>
          <w:szCs w:val="24"/>
        </w:rPr>
        <w:t xml:space="preserve"> non-confidential</w:t>
      </w:r>
      <w:r w:rsidR="005C4F5A" w:rsidRPr="0030580F">
        <w:rPr>
          <w:color w:val="000000"/>
          <w:szCs w:val="24"/>
        </w:rPr>
        <w:t xml:space="preserve"> </w:t>
      </w:r>
      <w:r w:rsidR="00B757B8">
        <w:rPr>
          <w:color w:val="000000"/>
          <w:szCs w:val="24"/>
          <w:lang w:val="en-AU"/>
        </w:rPr>
        <w:t xml:space="preserve">for the purpose of publishing an entity-level publication of this </w:t>
      </w:r>
      <w:r w:rsidR="00405FBD">
        <w:rPr>
          <w:color w:val="000000"/>
          <w:szCs w:val="24"/>
          <w:lang w:val="en-AU"/>
        </w:rPr>
        <w:t>information</w:t>
      </w:r>
      <w:r w:rsidR="005C4F5A" w:rsidRPr="0030580F">
        <w:rPr>
          <w:color w:val="000000"/>
          <w:szCs w:val="24"/>
        </w:rPr>
        <w:t xml:space="preserve"> </w:t>
      </w:r>
      <w:r w:rsidR="008976C0">
        <w:rPr>
          <w:color w:val="000000"/>
          <w:szCs w:val="24"/>
          <w:lang w:val="en-AU"/>
        </w:rPr>
        <w:t>in</w:t>
      </w:r>
      <w:r w:rsidR="00820513" w:rsidRPr="0030580F">
        <w:rPr>
          <w:color w:val="000000"/>
          <w:szCs w:val="24"/>
        </w:rPr>
        <w:t xml:space="preserve"> </w:t>
      </w:r>
      <w:r w:rsidR="00C15A5B">
        <w:rPr>
          <w:color w:val="000000"/>
          <w:szCs w:val="24"/>
          <w:lang w:val="en-AU"/>
        </w:rPr>
        <w:t>Dec</w:t>
      </w:r>
      <w:r w:rsidR="00820513" w:rsidRPr="0030580F">
        <w:rPr>
          <w:color w:val="000000"/>
          <w:szCs w:val="24"/>
        </w:rPr>
        <w:t>ember 20</w:t>
      </w:r>
      <w:r w:rsidR="00820513">
        <w:rPr>
          <w:color w:val="000000"/>
          <w:szCs w:val="24"/>
          <w:lang w:val="en-AU"/>
        </w:rPr>
        <w:t>1</w:t>
      </w:r>
      <w:r w:rsidR="00C15A5B">
        <w:rPr>
          <w:color w:val="000000"/>
          <w:szCs w:val="24"/>
          <w:lang w:val="en-AU"/>
        </w:rPr>
        <w:t>9 and</w:t>
      </w:r>
      <w:r w:rsidR="00B757B8">
        <w:rPr>
          <w:color w:val="000000"/>
          <w:szCs w:val="24"/>
          <w:lang w:val="en-AU"/>
        </w:rPr>
        <w:t>,</w:t>
      </w:r>
      <w:r w:rsidR="00C15A5B">
        <w:rPr>
          <w:color w:val="000000"/>
          <w:szCs w:val="24"/>
          <w:lang w:val="en-AU"/>
        </w:rPr>
        <w:t xml:space="preserve"> </w:t>
      </w:r>
      <w:r w:rsidR="00B757B8">
        <w:rPr>
          <w:color w:val="000000"/>
          <w:szCs w:val="24"/>
          <w:lang w:val="en-AU"/>
        </w:rPr>
        <w:t xml:space="preserve">in response to industry feedback and concerns over the scope of the </w:t>
      </w:r>
      <w:r w:rsidR="001B1670">
        <w:rPr>
          <w:color w:val="000000"/>
          <w:szCs w:val="24"/>
          <w:lang w:val="en-AU"/>
        </w:rPr>
        <w:t xml:space="preserve">initial </w:t>
      </w:r>
      <w:r w:rsidR="00B757B8">
        <w:rPr>
          <w:color w:val="000000"/>
          <w:szCs w:val="24"/>
          <w:lang w:val="en-AU"/>
        </w:rPr>
        <w:t>consultation</w:t>
      </w:r>
      <w:r w:rsidR="001B1670">
        <w:rPr>
          <w:color w:val="000000"/>
          <w:szCs w:val="24"/>
          <w:lang w:val="en-AU"/>
        </w:rPr>
        <w:t>,</w:t>
      </w:r>
      <w:r w:rsidR="00B757B8">
        <w:rPr>
          <w:color w:val="000000"/>
          <w:szCs w:val="24"/>
          <w:lang w:val="en-AU"/>
        </w:rPr>
        <w:t xml:space="preserve"> a </w:t>
      </w:r>
      <w:r w:rsidR="00DC398F">
        <w:rPr>
          <w:color w:val="000000"/>
          <w:szCs w:val="24"/>
          <w:lang w:val="en-AU"/>
        </w:rPr>
        <w:t>follow-up consultation</w:t>
      </w:r>
      <w:r w:rsidR="00B757B8">
        <w:rPr>
          <w:color w:val="000000"/>
          <w:szCs w:val="24"/>
          <w:lang w:val="en-AU"/>
        </w:rPr>
        <w:t xml:space="preserve"> </w:t>
      </w:r>
      <w:r w:rsidR="008976C0">
        <w:rPr>
          <w:color w:val="000000"/>
          <w:szCs w:val="24"/>
          <w:lang w:val="en-AU"/>
        </w:rPr>
        <w:t>in</w:t>
      </w:r>
      <w:r w:rsidR="00C15A5B">
        <w:rPr>
          <w:color w:val="000000"/>
          <w:szCs w:val="24"/>
          <w:lang w:val="en-AU"/>
        </w:rPr>
        <w:t xml:space="preserve"> September 2020</w:t>
      </w:r>
      <w:r w:rsidR="00B757B8">
        <w:rPr>
          <w:color w:val="000000"/>
          <w:szCs w:val="24"/>
          <w:lang w:val="en-AU"/>
        </w:rPr>
        <w:t xml:space="preserve"> </w:t>
      </w:r>
      <w:r w:rsidR="00405FBD">
        <w:rPr>
          <w:color w:val="000000"/>
          <w:szCs w:val="24"/>
          <w:lang w:val="en-AU"/>
        </w:rPr>
        <w:t>containing</w:t>
      </w:r>
      <w:r w:rsidR="00B757B8">
        <w:rPr>
          <w:color w:val="000000"/>
          <w:szCs w:val="24"/>
          <w:lang w:val="en-AU"/>
        </w:rPr>
        <w:t xml:space="preserve"> fewer ADI metrics</w:t>
      </w:r>
      <w:r w:rsidR="00791EB3" w:rsidRPr="0030580F">
        <w:rPr>
          <w:color w:val="000000"/>
          <w:szCs w:val="24"/>
        </w:rPr>
        <w:t>.</w:t>
      </w:r>
    </w:p>
    <w:p w14:paraId="38927BA9" w14:textId="5047C580" w:rsidR="00B04911" w:rsidRDefault="0087094D" w:rsidP="00B04911">
      <w:pPr>
        <w:pStyle w:val="BodyText"/>
        <w:jc w:val="both"/>
      </w:pPr>
      <w:r>
        <w:rPr>
          <w:color w:val="000000"/>
          <w:szCs w:val="24"/>
          <w:lang w:val="en-AU"/>
        </w:rPr>
        <w:t xml:space="preserve">APRA </w:t>
      </w:r>
      <w:r w:rsidR="00DC398F">
        <w:rPr>
          <w:color w:val="000000"/>
          <w:szCs w:val="24"/>
          <w:lang w:val="en-AU"/>
        </w:rPr>
        <w:t>responded</w:t>
      </w:r>
      <w:r>
        <w:rPr>
          <w:color w:val="000000"/>
          <w:szCs w:val="24"/>
          <w:lang w:val="en-AU"/>
        </w:rPr>
        <w:t xml:space="preserve"> to industry </w:t>
      </w:r>
      <w:r w:rsidR="0092523E">
        <w:rPr>
          <w:color w:val="000000"/>
          <w:szCs w:val="24"/>
          <w:lang w:val="en-AU"/>
        </w:rPr>
        <w:t>in</w:t>
      </w:r>
      <w:r>
        <w:rPr>
          <w:color w:val="000000"/>
          <w:szCs w:val="24"/>
          <w:lang w:val="en-AU"/>
        </w:rPr>
        <w:t xml:space="preserve"> </w:t>
      </w:r>
      <w:r w:rsidR="00F5789E">
        <w:rPr>
          <w:color w:val="000000"/>
          <w:szCs w:val="24"/>
          <w:lang w:val="en-AU"/>
        </w:rPr>
        <w:t>September</w:t>
      </w:r>
      <w:r>
        <w:rPr>
          <w:color w:val="000000"/>
          <w:szCs w:val="24"/>
          <w:lang w:val="en-AU"/>
        </w:rPr>
        <w:t xml:space="preserve"> 20</w:t>
      </w:r>
      <w:r w:rsidR="00F5789E">
        <w:rPr>
          <w:color w:val="000000"/>
          <w:szCs w:val="24"/>
          <w:lang w:val="en-AU"/>
        </w:rPr>
        <w:t>21</w:t>
      </w:r>
      <w:r>
        <w:rPr>
          <w:color w:val="000000"/>
          <w:szCs w:val="24"/>
          <w:lang w:val="en-AU"/>
        </w:rPr>
        <w:t xml:space="preserve"> confirming that the specified information will be determined non-confidential. </w:t>
      </w:r>
      <w:r w:rsidR="00B757B8">
        <w:rPr>
          <w:color w:val="000000"/>
          <w:szCs w:val="24"/>
          <w:lang w:val="en-AU"/>
        </w:rPr>
        <w:t xml:space="preserve">In finalising the details for the </w:t>
      </w:r>
      <w:r w:rsidR="00B04911">
        <w:rPr>
          <w:color w:val="000000"/>
          <w:szCs w:val="24"/>
          <w:lang w:val="en-AU"/>
        </w:rPr>
        <w:t xml:space="preserve">initial </w:t>
      </w:r>
      <w:r w:rsidR="00405FBD">
        <w:rPr>
          <w:color w:val="000000"/>
          <w:szCs w:val="24"/>
          <w:lang w:val="en-AU"/>
        </w:rPr>
        <w:t>publication</w:t>
      </w:r>
      <w:r w:rsidR="00B757B8">
        <w:rPr>
          <w:color w:val="000000"/>
          <w:szCs w:val="24"/>
          <w:lang w:val="en-AU"/>
        </w:rPr>
        <w:t xml:space="preserve">, and to accommodate new data sources as a result on implementing a new </w:t>
      </w:r>
      <w:r w:rsidR="00DC398F">
        <w:rPr>
          <w:color w:val="000000"/>
          <w:szCs w:val="24"/>
          <w:lang w:val="en-AU"/>
        </w:rPr>
        <w:t xml:space="preserve">capital framework and </w:t>
      </w:r>
      <w:r w:rsidR="00B757B8">
        <w:rPr>
          <w:color w:val="000000"/>
          <w:szCs w:val="24"/>
          <w:lang w:val="en-AU"/>
        </w:rPr>
        <w:t>data collection system</w:t>
      </w:r>
      <w:r w:rsidR="00B04911">
        <w:rPr>
          <w:color w:val="000000"/>
          <w:szCs w:val="24"/>
          <w:lang w:val="en-AU"/>
        </w:rPr>
        <w:t>,</w:t>
      </w:r>
      <w:r w:rsidR="00B757B8">
        <w:rPr>
          <w:color w:val="000000"/>
          <w:szCs w:val="24"/>
          <w:lang w:val="en-AU"/>
        </w:rPr>
        <w:t xml:space="preserve"> APRA has undertaken further </w:t>
      </w:r>
      <w:r w:rsidR="00C83264">
        <w:rPr>
          <w:color w:val="000000"/>
          <w:szCs w:val="24"/>
          <w:lang w:val="en-AU"/>
        </w:rPr>
        <w:t xml:space="preserve">targeted </w:t>
      </w:r>
      <w:r w:rsidR="00B757B8">
        <w:rPr>
          <w:color w:val="000000"/>
          <w:szCs w:val="24"/>
          <w:lang w:val="en-AU"/>
        </w:rPr>
        <w:t>consultation with industry in early 2023</w:t>
      </w:r>
      <w:r w:rsidR="00B04911">
        <w:rPr>
          <w:color w:val="000000"/>
          <w:szCs w:val="24"/>
          <w:lang w:val="en-AU"/>
        </w:rPr>
        <w:t>.</w:t>
      </w:r>
      <w:r w:rsidR="00B04911" w:rsidRPr="00B04911">
        <w:rPr>
          <w:color w:val="000000" w:themeColor="text1"/>
          <w:lang w:val="en-AU"/>
        </w:rPr>
        <w:t xml:space="preserve"> </w:t>
      </w:r>
      <w:r w:rsidR="00B04911" w:rsidRPr="00B62E84">
        <w:rPr>
          <w:color w:val="000000" w:themeColor="text1"/>
          <w:lang w:val="en-AU"/>
        </w:rPr>
        <w:t xml:space="preserve">No objections were raised to the </w:t>
      </w:r>
      <w:r w:rsidR="008976C0">
        <w:rPr>
          <w:color w:val="000000" w:themeColor="text1"/>
          <w:lang w:val="en-AU"/>
        </w:rPr>
        <w:t>proposals</w:t>
      </w:r>
      <w:r w:rsidR="00B04911">
        <w:rPr>
          <w:color w:val="000000" w:themeColor="text1"/>
          <w:lang w:val="en-AU"/>
        </w:rPr>
        <w:t xml:space="preserve"> in these consultations</w:t>
      </w:r>
      <w:r w:rsidR="00B04911" w:rsidRPr="00B62E84">
        <w:t>.</w:t>
      </w:r>
      <w:r w:rsidR="00B04911">
        <w:t xml:space="preserve"> </w:t>
      </w:r>
    </w:p>
    <w:p w14:paraId="34849D6E" w14:textId="77777777" w:rsidR="00275383" w:rsidRDefault="00275383" w:rsidP="00377BA4">
      <w:pPr>
        <w:pStyle w:val="BodyText"/>
        <w:numPr>
          <w:ilvl w:val="0"/>
          <w:numId w:val="11"/>
        </w:numPr>
        <w:jc w:val="both"/>
        <w:rPr>
          <w:b/>
          <w:i/>
        </w:rPr>
      </w:pPr>
      <w:r w:rsidRPr="000E529A">
        <w:rPr>
          <w:b/>
          <w:color w:val="000000"/>
          <w:szCs w:val="24"/>
        </w:rPr>
        <w:t>Statement</w:t>
      </w:r>
      <w:r w:rsidRPr="000E529A">
        <w:rPr>
          <w:b/>
        </w:rPr>
        <w:t xml:space="preserve"> of compatibility prepared in accordance with Part 3 of the </w:t>
      </w:r>
      <w:r w:rsidRPr="000E529A">
        <w:rPr>
          <w:b/>
          <w:i/>
        </w:rPr>
        <w:t>Human Rights (Parliamentary Scrutiny) Act 2011</w:t>
      </w:r>
    </w:p>
    <w:p w14:paraId="163A72FE" w14:textId="62B52408" w:rsidR="00192765" w:rsidRDefault="00AE54A5" w:rsidP="00377BA4">
      <w:pPr>
        <w:pStyle w:val="BodyText"/>
      </w:pPr>
      <w:r w:rsidRPr="00AE54A5">
        <w:t xml:space="preserve">A Statement of compatibility prepared in accordance with Part 3 of the </w:t>
      </w:r>
      <w:r w:rsidRPr="00AE54A5">
        <w:rPr>
          <w:i/>
        </w:rPr>
        <w:t>Human Rights (Parliamentary Scrutiny) Act 2011</w:t>
      </w:r>
      <w:r w:rsidRPr="00AE54A5">
        <w:t xml:space="preserve"> is Attachment </w:t>
      </w:r>
      <w:r w:rsidR="00813E1D">
        <w:rPr>
          <w:lang w:val="en-AU"/>
        </w:rPr>
        <w:t>A</w:t>
      </w:r>
      <w:r w:rsidRPr="00AE54A5">
        <w:t xml:space="preserve"> to this Explanatory Statement.</w:t>
      </w:r>
    </w:p>
    <w:p w14:paraId="5EB5CC05" w14:textId="789BF83E" w:rsidR="00C22AEA" w:rsidRPr="007B713B" w:rsidRDefault="00192765" w:rsidP="00377BA4">
      <w:pPr>
        <w:spacing w:after="240"/>
        <w:rPr>
          <w:rFonts w:eastAsia="Times New Roman"/>
          <w:szCs w:val="24"/>
          <w:lang w:eastAsia="en-US"/>
        </w:rPr>
      </w:pPr>
      <w:r>
        <w:br w:type="page"/>
      </w:r>
      <w:r w:rsidR="00820513" w:rsidRPr="007B713B">
        <w:rPr>
          <w:b/>
          <w:szCs w:val="24"/>
        </w:rPr>
        <w:lastRenderedPageBreak/>
        <w:t>ATTACHMENT A</w:t>
      </w:r>
      <w:r w:rsidR="00EC41A4" w:rsidRPr="007B713B">
        <w:rPr>
          <w:b/>
          <w:szCs w:val="24"/>
        </w:rPr>
        <w:t xml:space="preserve"> </w:t>
      </w:r>
    </w:p>
    <w:p w14:paraId="7F60BFD8" w14:textId="77777777" w:rsidR="00C22AEA" w:rsidRPr="00C22AEA" w:rsidRDefault="00C22AEA" w:rsidP="00377BA4">
      <w:pPr>
        <w:keepNext/>
        <w:spacing w:after="240"/>
        <w:jc w:val="center"/>
        <w:outlineLvl w:val="0"/>
        <w:rPr>
          <w:rFonts w:eastAsia="Times New Roman"/>
          <w:b/>
          <w:kern w:val="32"/>
          <w:szCs w:val="24"/>
          <w:lang w:eastAsia="en-US"/>
        </w:rPr>
      </w:pPr>
      <w:r w:rsidRPr="00C22AEA">
        <w:rPr>
          <w:rFonts w:eastAsia="Times New Roman"/>
          <w:b/>
          <w:kern w:val="32"/>
          <w:szCs w:val="24"/>
          <w:lang w:eastAsia="en-US"/>
        </w:rPr>
        <w:t>Statement of Compatibility with Human Rights</w:t>
      </w:r>
    </w:p>
    <w:p w14:paraId="3DACAE1E" w14:textId="77777777" w:rsidR="00C22AEA" w:rsidRPr="00C22AEA" w:rsidRDefault="00C22AEA" w:rsidP="00377BA4">
      <w:pPr>
        <w:keepNext/>
        <w:spacing w:after="240"/>
        <w:jc w:val="center"/>
        <w:outlineLvl w:val="0"/>
        <w:rPr>
          <w:rFonts w:eastAsia="Times New Roman"/>
          <w:bCs/>
          <w:kern w:val="32"/>
          <w:szCs w:val="24"/>
          <w:lang w:eastAsia="en-US"/>
        </w:rPr>
      </w:pPr>
      <w:r w:rsidRPr="00C22AEA">
        <w:rPr>
          <w:rFonts w:eastAsia="Times New Roman"/>
          <w:bCs/>
          <w:kern w:val="32"/>
          <w:szCs w:val="24"/>
          <w:lang w:eastAsia="en-US"/>
        </w:rPr>
        <w:t xml:space="preserve">Prepared in accordance with Part 3 of the </w:t>
      </w:r>
      <w:r w:rsidRPr="00C22AEA">
        <w:rPr>
          <w:rFonts w:eastAsia="Times New Roman"/>
          <w:bCs/>
          <w:i/>
          <w:kern w:val="32"/>
          <w:szCs w:val="24"/>
          <w:lang w:eastAsia="en-US"/>
        </w:rPr>
        <w:t>Human Rights (Parliamentary Scrutiny) Act 2011</w:t>
      </w:r>
    </w:p>
    <w:p w14:paraId="24A07710" w14:textId="77777777" w:rsidR="00C22AEA" w:rsidRDefault="00C22AEA" w:rsidP="005624BE">
      <w:pPr>
        <w:pStyle w:val="Title"/>
        <w:spacing w:before="0"/>
        <w:rPr>
          <w:sz w:val="24"/>
          <w:szCs w:val="24"/>
        </w:rPr>
      </w:pPr>
      <w:r w:rsidRPr="00C62366">
        <w:rPr>
          <w:sz w:val="24"/>
          <w:szCs w:val="24"/>
        </w:rPr>
        <w:t xml:space="preserve">Australian Prudential Regulation Authority (confidentiality) determination </w:t>
      </w:r>
    </w:p>
    <w:p w14:paraId="3B046333" w14:textId="4E17BFA0" w:rsidR="00C22AEA" w:rsidRPr="000D335E" w:rsidRDefault="00C22AEA" w:rsidP="00377BA4">
      <w:pPr>
        <w:pStyle w:val="BodyText"/>
        <w:jc w:val="center"/>
        <w:rPr>
          <w:b/>
          <w:szCs w:val="24"/>
          <w:lang w:val="en-AU"/>
        </w:rPr>
      </w:pPr>
      <w:r w:rsidRPr="00C22AEA">
        <w:rPr>
          <w:b/>
          <w:szCs w:val="24"/>
        </w:rPr>
        <w:t>No</w:t>
      </w:r>
      <w:r w:rsidR="000D335E">
        <w:rPr>
          <w:b/>
          <w:szCs w:val="24"/>
          <w:lang w:val="en-AU"/>
        </w:rPr>
        <w:t>.</w:t>
      </w:r>
      <w:r w:rsidR="002B1969">
        <w:rPr>
          <w:b/>
          <w:szCs w:val="24"/>
          <w:lang w:val="en-AU"/>
        </w:rPr>
        <w:t xml:space="preserve"> </w:t>
      </w:r>
      <w:r w:rsidR="005624BE">
        <w:rPr>
          <w:b/>
          <w:szCs w:val="24"/>
          <w:lang w:val="en-AU"/>
        </w:rPr>
        <w:t xml:space="preserve">2 </w:t>
      </w:r>
      <w:r w:rsidR="005F7B73" w:rsidRPr="005F7B73">
        <w:rPr>
          <w:b/>
          <w:szCs w:val="24"/>
        </w:rPr>
        <w:t xml:space="preserve">of </w:t>
      </w:r>
      <w:r w:rsidR="00820513">
        <w:rPr>
          <w:b/>
          <w:szCs w:val="24"/>
          <w:lang w:val="en-AU"/>
        </w:rPr>
        <w:t>20</w:t>
      </w:r>
      <w:r w:rsidR="00C15A5B">
        <w:rPr>
          <w:b/>
          <w:szCs w:val="24"/>
          <w:lang w:val="en-AU"/>
        </w:rPr>
        <w:t>23</w:t>
      </w:r>
    </w:p>
    <w:p w14:paraId="325E72D2" w14:textId="5E41CED1" w:rsidR="00C22AEA" w:rsidRDefault="00C22AEA" w:rsidP="00377BA4">
      <w:pPr>
        <w:pStyle w:val="BodyText"/>
        <w:jc w:val="both"/>
      </w:pPr>
      <w:r w:rsidRPr="00C22AEA">
        <w:t>This Legislative Instrument is compatible with the human rights and freedoms recognised or declared in the international instrument</w:t>
      </w:r>
      <w:r w:rsidR="0044010D">
        <w:rPr>
          <w:lang w:val="en-AU"/>
        </w:rPr>
        <w:t>s</w:t>
      </w:r>
      <w:r w:rsidRPr="00C22AEA">
        <w:t xml:space="preserve"> listed in section 3 of the </w:t>
      </w:r>
      <w:r w:rsidRPr="008E4355">
        <w:rPr>
          <w:i/>
        </w:rPr>
        <w:t>Human Rights (Parliamentary Scrutiny) Act 2011</w:t>
      </w:r>
      <w:r w:rsidR="00AD0921">
        <w:rPr>
          <w:lang w:val="en-AU"/>
        </w:rPr>
        <w:t xml:space="preserve"> </w:t>
      </w:r>
      <w:r w:rsidR="00AD0921">
        <w:t>(HRPS Act)</w:t>
      </w:r>
      <w:r w:rsidRPr="00C22AEA">
        <w:t>.</w:t>
      </w:r>
    </w:p>
    <w:p w14:paraId="6C67AD37" w14:textId="77777777" w:rsidR="00C22AEA" w:rsidRPr="00C22AEA" w:rsidRDefault="00C22AEA" w:rsidP="00377BA4">
      <w:pPr>
        <w:spacing w:after="240"/>
        <w:jc w:val="both"/>
        <w:rPr>
          <w:rFonts w:eastAsia="Times New Roman"/>
          <w:szCs w:val="24"/>
          <w:lang w:eastAsia="en-US"/>
        </w:rPr>
      </w:pPr>
      <w:r w:rsidRPr="00C22AEA">
        <w:rPr>
          <w:rFonts w:eastAsia="Times New Roman"/>
          <w:b/>
          <w:szCs w:val="24"/>
          <w:lang w:eastAsia="en-US"/>
        </w:rPr>
        <w:t>Overview of the Legislative Instrument</w:t>
      </w:r>
    </w:p>
    <w:p w14:paraId="32F144F3" w14:textId="0F77C31E" w:rsidR="002B1969" w:rsidRDefault="00C22AEA" w:rsidP="00377BA4">
      <w:pPr>
        <w:spacing w:after="240"/>
        <w:jc w:val="both"/>
        <w:rPr>
          <w:rFonts w:eastAsia="Times New Roman"/>
          <w:szCs w:val="24"/>
          <w:lang w:eastAsia="en-US"/>
        </w:rPr>
      </w:pPr>
      <w:r w:rsidRPr="00C22AEA">
        <w:rPr>
          <w:rFonts w:eastAsia="Times New Roman"/>
          <w:szCs w:val="24"/>
          <w:lang w:eastAsia="en-US"/>
        </w:rPr>
        <w:t>The purpose of th</w:t>
      </w:r>
      <w:r w:rsidR="00693F89">
        <w:rPr>
          <w:rFonts w:eastAsia="Times New Roman"/>
          <w:szCs w:val="24"/>
          <w:lang w:eastAsia="en-US"/>
        </w:rPr>
        <w:t>is</w:t>
      </w:r>
      <w:r w:rsidR="00CF0C5E">
        <w:rPr>
          <w:rFonts w:eastAsia="Times New Roman"/>
          <w:szCs w:val="24"/>
          <w:lang w:eastAsia="en-US"/>
        </w:rPr>
        <w:t xml:space="preserve"> L</w:t>
      </w:r>
      <w:r w:rsidRPr="00C22AEA">
        <w:rPr>
          <w:rFonts w:eastAsia="Times New Roman"/>
          <w:szCs w:val="24"/>
          <w:lang w:eastAsia="en-US"/>
        </w:rPr>
        <w:t>egislative</w:t>
      </w:r>
      <w:r w:rsidR="00CF0C5E">
        <w:rPr>
          <w:rFonts w:eastAsia="Times New Roman"/>
          <w:szCs w:val="24"/>
          <w:lang w:eastAsia="en-US"/>
        </w:rPr>
        <w:t xml:space="preserve"> I</w:t>
      </w:r>
      <w:r w:rsidR="00693F89">
        <w:rPr>
          <w:rFonts w:eastAsia="Times New Roman"/>
          <w:szCs w:val="24"/>
          <w:lang w:eastAsia="en-US"/>
        </w:rPr>
        <w:t>nstrument</w:t>
      </w:r>
      <w:r w:rsidRPr="00C22AEA">
        <w:rPr>
          <w:rFonts w:eastAsia="Times New Roman"/>
          <w:szCs w:val="24"/>
          <w:lang w:eastAsia="en-US"/>
        </w:rPr>
        <w:t xml:space="preserve"> is to</w:t>
      </w:r>
      <w:r w:rsidR="002B1969">
        <w:rPr>
          <w:rFonts w:eastAsia="Times New Roman"/>
          <w:szCs w:val="24"/>
          <w:lang w:eastAsia="en-US"/>
        </w:rPr>
        <w:t xml:space="preserve"> determine </w:t>
      </w:r>
      <w:r w:rsidR="00641B14">
        <w:rPr>
          <w:rFonts w:eastAsia="Times New Roman"/>
          <w:szCs w:val="24"/>
          <w:lang w:eastAsia="en-US"/>
        </w:rPr>
        <w:t xml:space="preserve">non-confidential </w:t>
      </w:r>
      <w:r w:rsidR="002B1969">
        <w:rPr>
          <w:rFonts w:eastAsia="Times New Roman"/>
          <w:szCs w:val="24"/>
          <w:lang w:eastAsia="en-US"/>
        </w:rPr>
        <w:t xml:space="preserve">certain </w:t>
      </w:r>
      <w:r w:rsidR="002B1969" w:rsidRPr="006D1042">
        <w:rPr>
          <w:rFonts w:eastAsia="Times New Roman"/>
          <w:szCs w:val="24"/>
          <w:lang w:eastAsia="en-US"/>
        </w:rPr>
        <w:t>information</w:t>
      </w:r>
      <w:r w:rsidR="00E44444" w:rsidRPr="006D1042">
        <w:rPr>
          <w:rFonts w:eastAsia="Times New Roman"/>
          <w:szCs w:val="24"/>
          <w:lang w:eastAsia="en-US"/>
        </w:rPr>
        <w:t>,</w:t>
      </w:r>
      <w:r w:rsidR="002B1969" w:rsidRPr="006D1042">
        <w:rPr>
          <w:rFonts w:eastAsia="Times New Roman"/>
          <w:szCs w:val="24"/>
          <w:lang w:eastAsia="en-US"/>
        </w:rPr>
        <w:t xml:space="preserve"> </w:t>
      </w:r>
      <w:r w:rsidR="00E44444" w:rsidRPr="006D1042">
        <w:rPr>
          <w:rFonts w:eastAsia="Times New Roman"/>
          <w:szCs w:val="24"/>
          <w:lang w:eastAsia="en-US"/>
        </w:rPr>
        <w:t xml:space="preserve">and any information that can be derived from these items, </w:t>
      </w:r>
      <w:r w:rsidR="002B1969" w:rsidRPr="006D1042">
        <w:rPr>
          <w:rFonts w:eastAsia="Times New Roman"/>
          <w:szCs w:val="24"/>
          <w:lang w:eastAsia="en-US"/>
        </w:rPr>
        <w:t>provided</w:t>
      </w:r>
      <w:r w:rsidR="002B1969">
        <w:rPr>
          <w:rFonts w:eastAsia="Times New Roman"/>
          <w:szCs w:val="24"/>
          <w:lang w:eastAsia="en-US"/>
        </w:rPr>
        <w:t xml:space="preserve"> to APRA by ADIs </w:t>
      </w:r>
      <w:r w:rsidR="00641B14">
        <w:rPr>
          <w:rFonts w:eastAsia="Times New Roman"/>
          <w:szCs w:val="24"/>
          <w:lang w:eastAsia="en-US"/>
        </w:rPr>
        <w:t>under the following reporting standards:</w:t>
      </w:r>
    </w:p>
    <w:p w14:paraId="107AB93D" w14:textId="70C2DBFD" w:rsidR="00641B14" w:rsidRDefault="00641B14" w:rsidP="00377BA4">
      <w:pPr>
        <w:pStyle w:val="BodyText"/>
        <w:numPr>
          <w:ilvl w:val="0"/>
          <w:numId w:val="17"/>
        </w:numPr>
        <w:tabs>
          <w:tab w:val="left" w:pos="567"/>
        </w:tabs>
        <w:ind w:left="567" w:hanging="567"/>
        <w:jc w:val="both"/>
        <w:rPr>
          <w:iCs/>
          <w:szCs w:val="24"/>
        </w:rPr>
      </w:pPr>
      <w:r>
        <w:rPr>
          <w:iCs/>
          <w:szCs w:val="24"/>
          <w:lang w:val="en-AU"/>
        </w:rPr>
        <w:t xml:space="preserve">Reporting Standard </w:t>
      </w:r>
      <w:r w:rsidRPr="006F4B31">
        <w:rPr>
          <w:iCs/>
          <w:szCs w:val="24"/>
        </w:rPr>
        <w:t xml:space="preserve">ARS </w:t>
      </w:r>
      <w:r w:rsidR="00C15A5B" w:rsidRPr="00377BA4">
        <w:rPr>
          <w:iCs/>
          <w:szCs w:val="24"/>
          <w:lang w:val="en-AU"/>
        </w:rPr>
        <w:t>110</w:t>
      </w:r>
      <w:r w:rsidR="00C15A5B" w:rsidRPr="00377BA4">
        <w:rPr>
          <w:iCs/>
          <w:szCs w:val="24"/>
        </w:rPr>
        <w:t xml:space="preserve">.0 </w:t>
      </w:r>
      <w:r w:rsidR="00C15A5B" w:rsidRPr="00377BA4">
        <w:rPr>
          <w:iCs/>
          <w:szCs w:val="24"/>
          <w:lang w:val="en-AU"/>
        </w:rPr>
        <w:t>Capital Adequacy</w:t>
      </w:r>
      <w:r>
        <w:rPr>
          <w:iCs/>
          <w:szCs w:val="24"/>
          <w:lang w:val="en-AU"/>
        </w:rPr>
        <w:t>;</w:t>
      </w:r>
      <w:r w:rsidR="00C15A5B" w:rsidRPr="00C15A5B">
        <w:rPr>
          <w:lang w:val="en-AU"/>
        </w:rPr>
        <w:t xml:space="preserve"> </w:t>
      </w:r>
      <w:r w:rsidR="00C15A5B">
        <w:rPr>
          <w:lang w:val="en-AU"/>
        </w:rPr>
        <w:t>and</w:t>
      </w:r>
    </w:p>
    <w:p w14:paraId="4F211A6C" w14:textId="5818FD2D" w:rsidR="00641B14" w:rsidRPr="006F4B31" w:rsidRDefault="00641B14" w:rsidP="00377BA4">
      <w:pPr>
        <w:pStyle w:val="BodyText"/>
        <w:numPr>
          <w:ilvl w:val="0"/>
          <w:numId w:val="17"/>
        </w:numPr>
        <w:tabs>
          <w:tab w:val="left" w:pos="567"/>
        </w:tabs>
        <w:ind w:left="567" w:hanging="567"/>
        <w:jc w:val="both"/>
        <w:rPr>
          <w:iCs/>
          <w:szCs w:val="24"/>
        </w:rPr>
      </w:pPr>
      <w:r>
        <w:rPr>
          <w:iCs/>
          <w:szCs w:val="24"/>
          <w:lang w:val="en-AU"/>
        </w:rPr>
        <w:t xml:space="preserve">Reporting Standard </w:t>
      </w:r>
      <w:r w:rsidRPr="009D01C3">
        <w:rPr>
          <w:iCs/>
          <w:szCs w:val="24"/>
        </w:rPr>
        <w:t>AR</w:t>
      </w:r>
      <w:r w:rsidRPr="006F4B31">
        <w:rPr>
          <w:iCs/>
          <w:szCs w:val="24"/>
        </w:rPr>
        <w:t>S</w:t>
      </w:r>
      <w:r w:rsidR="00C15A5B" w:rsidRPr="00A52BDF">
        <w:rPr>
          <w:iCs/>
          <w:szCs w:val="24"/>
          <w:lang w:val="en-AU"/>
        </w:rPr>
        <w:t xml:space="preserve"> </w:t>
      </w:r>
      <w:r w:rsidR="00C15A5B">
        <w:rPr>
          <w:iCs/>
          <w:szCs w:val="24"/>
          <w:lang w:val="en-AU"/>
        </w:rPr>
        <w:t>210</w:t>
      </w:r>
      <w:r w:rsidR="00C15A5B" w:rsidRPr="00A52BDF">
        <w:rPr>
          <w:iCs/>
          <w:szCs w:val="24"/>
          <w:lang w:val="en-AU"/>
        </w:rPr>
        <w:t>.</w:t>
      </w:r>
      <w:r w:rsidR="00C15A5B" w:rsidRPr="00792853">
        <w:rPr>
          <w:iCs/>
          <w:szCs w:val="24"/>
          <w:lang w:val="en-AU"/>
        </w:rPr>
        <w:t>0 Liquidity</w:t>
      </w:r>
      <w:r w:rsidR="00C15A5B">
        <w:rPr>
          <w:iCs/>
          <w:szCs w:val="24"/>
          <w:lang w:val="en-AU"/>
        </w:rPr>
        <w:t>.</w:t>
      </w:r>
    </w:p>
    <w:p w14:paraId="520E4F9E" w14:textId="347C19C3" w:rsidR="00C22AEA" w:rsidRPr="00641B14" w:rsidRDefault="00CF0C5E" w:rsidP="00377BA4">
      <w:pPr>
        <w:spacing w:after="240"/>
        <w:jc w:val="both"/>
        <w:rPr>
          <w:rFonts w:eastAsia="Times New Roman"/>
          <w:b/>
          <w:szCs w:val="24"/>
          <w:lang w:eastAsia="en-US"/>
        </w:rPr>
      </w:pPr>
      <w:r>
        <w:rPr>
          <w:rFonts w:eastAsia="Times New Roman"/>
          <w:szCs w:val="24"/>
          <w:lang w:eastAsia="en-US"/>
        </w:rPr>
        <w:t>This Legislative I</w:t>
      </w:r>
      <w:r w:rsidR="00641B14">
        <w:rPr>
          <w:rFonts w:eastAsia="Times New Roman"/>
          <w:szCs w:val="24"/>
          <w:lang w:eastAsia="en-US"/>
        </w:rPr>
        <w:t xml:space="preserve">nstrument </w:t>
      </w:r>
      <w:r w:rsidR="004C2BEB">
        <w:rPr>
          <w:rFonts w:eastAsia="Times New Roman"/>
          <w:szCs w:val="24"/>
          <w:lang w:eastAsia="en-US"/>
        </w:rPr>
        <w:t>enables</w:t>
      </w:r>
      <w:r w:rsidR="00641B14">
        <w:rPr>
          <w:rFonts w:eastAsia="Times New Roman"/>
          <w:szCs w:val="24"/>
          <w:lang w:eastAsia="en-US"/>
        </w:rPr>
        <w:t xml:space="preserve"> APRA to disclose the information for publication. The information will be of use to </w:t>
      </w:r>
      <w:r w:rsidR="00641B14" w:rsidRPr="00A5747B">
        <w:rPr>
          <w:szCs w:val="24"/>
        </w:rPr>
        <w:t xml:space="preserve">regulators, policymakers, industry, researchers, </w:t>
      </w:r>
      <w:proofErr w:type="gramStart"/>
      <w:r w:rsidR="00641B14" w:rsidRPr="00A5747B">
        <w:rPr>
          <w:szCs w:val="24"/>
        </w:rPr>
        <w:t>analysts</w:t>
      </w:r>
      <w:proofErr w:type="gramEnd"/>
      <w:r w:rsidR="00641B14" w:rsidRPr="00A5747B">
        <w:rPr>
          <w:szCs w:val="24"/>
        </w:rPr>
        <w:t xml:space="preserve"> and other interested parties</w:t>
      </w:r>
      <w:r w:rsidR="00641B14">
        <w:rPr>
          <w:szCs w:val="24"/>
        </w:rPr>
        <w:t>.</w:t>
      </w:r>
    </w:p>
    <w:p w14:paraId="51952C19" w14:textId="77777777" w:rsidR="00C22AEA" w:rsidRDefault="00C22AEA" w:rsidP="00377BA4">
      <w:pPr>
        <w:spacing w:after="240"/>
        <w:jc w:val="both"/>
        <w:rPr>
          <w:rFonts w:eastAsia="Times New Roman"/>
          <w:b/>
          <w:szCs w:val="24"/>
          <w:lang w:eastAsia="en-US"/>
        </w:rPr>
      </w:pPr>
      <w:r w:rsidRPr="00C22AEA">
        <w:rPr>
          <w:rFonts w:eastAsia="Times New Roman"/>
          <w:b/>
          <w:szCs w:val="24"/>
          <w:lang w:eastAsia="en-US"/>
        </w:rPr>
        <w:t>Human rights implications</w:t>
      </w:r>
    </w:p>
    <w:p w14:paraId="6D73B019" w14:textId="5E1B25D5" w:rsidR="00C22AEA" w:rsidRDefault="00C22AEA" w:rsidP="00377BA4">
      <w:pPr>
        <w:pStyle w:val="BodyText"/>
        <w:jc w:val="both"/>
      </w:pPr>
      <w:r>
        <w:t>APRA has assessed th</w:t>
      </w:r>
      <w:r w:rsidR="00CF0C5E">
        <w:rPr>
          <w:lang w:val="en-AU"/>
        </w:rPr>
        <w:t>is Legislative I</w:t>
      </w:r>
      <w:r w:rsidR="005C7115">
        <w:rPr>
          <w:lang w:val="en-AU"/>
        </w:rPr>
        <w:t xml:space="preserve">nstrument </w:t>
      </w:r>
      <w:r>
        <w:t xml:space="preserve">against the international instruments listed in section 3 of the HRPS Act and determined that only Article 17 of the </w:t>
      </w:r>
      <w:bookmarkStart w:id="1" w:name="_Hlk134611731"/>
      <w:r>
        <w:t xml:space="preserve">International Covenant on Civil and Political Rights </w:t>
      </w:r>
      <w:bookmarkEnd w:id="1"/>
      <w:r>
        <w:t>(ICCPR) is conceivably of relevance</w:t>
      </w:r>
      <w:r w:rsidR="00747EBC">
        <w:rPr>
          <w:lang w:val="en-AU"/>
        </w:rPr>
        <w:t xml:space="preserve"> to this Determination</w:t>
      </w:r>
      <w:r>
        <w:t>.</w:t>
      </w:r>
    </w:p>
    <w:p w14:paraId="0A37A253" w14:textId="77777777" w:rsidR="00C22AEA" w:rsidRDefault="00C22AEA" w:rsidP="00377BA4">
      <w:pPr>
        <w:pStyle w:val="BodyText"/>
        <w:jc w:val="both"/>
      </w:pPr>
      <w:r>
        <w:t>Article 17 of the ICCPR prohibits the arbitrary or unlawful interference with a person’s privacy, family, home and correspondence, and attacks on reputation. Article 17 is exclusively concerned with prohibiting interference with the privacy and/or reputation of individual persons. It does not extend to the privacy and/or reputation of corporate entities.</w:t>
      </w:r>
    </w:p>
    <w:p w14:paraId="135B0BB8" w14:textId="75641583" w:rsidR="00C22AEA" w:rsidRDefault="005C7115" w:rsidP="00377BA4">
      <w:pPr>
        <w:pStyle w:val="BodyText"/>
        <w:jc w:val="both"/>
      </w:pPr>
      <w:r>
        <w:rPr>
          <w:lang w:val="en-AU"/>
        </w:rPr>
        <w:t xml:space="preserve">This Legislative </w:t>
      </w:r>
      <w:r w:rsidR="004C2BEB">
        <w:rPr>
          <w:lang w:val="en-AU"/>
        </w:rPr>
        <w:t xml:space="preserve">Instrument </w:t>
      </w:r>
      <w:r w:rsidR="004C2BEB">
        <w:t>will</w:t>
      </w:r>
      <w:r w:rsidR="00C22AEA">
        <w:t xml:space="preserve"> facilitate the disclosure of specific information to APRA by </w:t>
      </w:r>
      <w:r w:rsidR="00012FAE">
        <w:rPr>
          <w:lang w:val="en-AU"/>
        </w:rPr>
        <w:t>ADIs</w:t>
      </w:r>
      <w:r w:rsidR="00C22AEA" w:rsidRPr="00792245">
        <w:t xml:space="preserve"> </w:t>
      </w:r>
      <w:r w:rsidR="00C22AEA">
        <w:t xml:space="preserve">in accordance with certain reporting standards. </w:t>
      </w:r>
      <w:r>
        <w:rPr>
          <w:lang w:val="en-AU"/>
        </w:rPr>
        <w:t xml:space="preserve">This </w:t>
      </w:r>
      <w:r w:rsidR="00E30A19">
        <w:rPr>
          <w:lang w:val="en-AU"/>
        </w:rPr>
        <w:t>i</w:t>
      </w:r>
      <w:r>
        <w:rPr>
          <w:lang w:val="en-AU"/>
        </w:rPr>
        <w:t xml:space="preserve">nstrument </w:t>
      </w:r>
      <w:r w:rsidR="00C22AEA">
        <w:t xml:space="preserve">does not involve the disclosure of information directly relating to individual persons. Further, APRA reviews all releases of data received under reporting standards to ensure that no information pertaining to an individual person can be deduced from the data. </w:t>
      </w:r>
    </w:p>
    <w:p w14:paraId="26DD42D9" w14:textId="3D1F23DF" w:rsidR="00C22AEA" w:rsidRDefault="00C22AEA" w:rsidP="00377BA4">
      <w:pPr>
        <w:pStyle w:val="BodyText"/>
        <w:jc w:val="both"/>
      </w:pPr>
      <w:r>
        <w:t>Consequently th</w:t>
      </w:r>
      <w:r w:rsidR="005C7115">
        <w:rPr>
          <w:lang w:val="en-AU"/>
        </w:rPr>
        <w:t>is Legislative Instrument</w:t>
      </w:r>
      <w:r w:rsidR="00CF0C5E">
        <w:rPr>
          <w:lang w:val="en-AU"/>
        </w:rPr>
        <w:t xml:space="preserve"> </w:t>
      </w:r>
      <w:r>
        <w:t xml:space="preserve">does not engage any of the applicable rights or freedoms recognised or declared in the international instruments listed in section 3 of the HRPS Act. </w:t>
      </w:r>
      <w:r w:rsidR="00747EBC">
        <w:rPr>
          <w:color w:val="000000"/>
          <w:shd w:val="clear" w:color="auto" w:fill="FFFFFF"/>
        </w:rPr>
        <w:t xml:space="preserve">Accordingly, in APRA’s assessment, this </w:t>
      </w:r>
      <w:r w:rsidR="005C7115">
        <w:rPr>
          <w:color w:val="000000"/>
          <w:shd w:val="clear" w:color="auto" w:fill="FFFFFF"/>
          <w:lang w:val="en-AU"/>
        </w:rPr>
        <w:t>d</w:t>
      </w:r>
      <w:r w:rsidR="00747EBC">
        <w:rPr>
          <w:color w:val="000000"/>
          <w:shd w:val="clear" w:color="auto" w:fill="FFFFFF"/>
          <w:lang w:val="en-AU"/>
        </w:rPr>
        <w:t>etermination</w:t>
      </w:r>
      <w:r w:rsidR="00747EBC">
        <w:rPr>
          <w:color w:val="000000"/>
          <w:shd w:val="clear" w:color="auto" w:fill="FFFFFF"/>
        </w:rPr>
        <w:t xml:space="preserve"> is compatible with human rights.</w:t>
      </w:r>
    </w:p>
    <w:p w14:paraId="50D7DDDD" w14:textId="77777777" w:rsidR="007B713B" w:rsidRDefault="007B713B" w:rsidP="00377BA4">
      <w:pPr>
        <w:spacing w:after="240"/>
        <w:ind w:left="851" w:hanging="851"/>
        <w:jc w:val="both"/>
        <w:rPr>
          <w:b/>
          <w:szCs w:val="24"/>
        </w:rPr>
      </w:pPr>
      <w:r w:rsidRPr="007B713B">
        <w:rPr>
          <w:b/>
          <w:szCs w:val="24"/>
        </w:rPr>
        <w:lastRenderedPageBreak/>
        <w:t>Conclusion</w:t>
      </w:r>
    </w:p>
    <w:p w14:paraId="0A622178" w14:textId="398937A1" w:rsidR="00FC7971" w:rsidRPr="007B713B" w:rsidRDefault="007B713B" w:rsidP="00377BA4">
      <w:pPr>
        <w:spacing w:after="240"/>
        <w:jc w:val="both"/>
        <w:rPr>
          <w:szCs w:val="24"/>
        </w:rPr>
      </w:pPr>
      <w:r w:rsidRPr="007B713B">
        <w:rPr>
          <w:szCs w:val="24"/>
        </w:rPr>
        <w:t>This Legislative Instrument is compatible with human rights as it does not raise any human rights issues.</w:t>
      </w:r>
    </w:p>
    <w:sectPr w:rsidR="00FC7971" w:rsidRPr="007B713B">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8058" w14:textId="77777777" w:rsidR="00A36CC8" w:rsidRDefault="00A36CC8">
      <w:r>
        <w:separator/>
      </w:r>
    </w:p>
  </w:endnote>
  <w:endnote w:type="continuationSeparator" w:id="0">
    <w:p w14:paraId="68D5E38F" w14:textId="77777777" w:rsidR="00A36CC8" w:rsidRDefault="00A36CC8">
      <w:r>
        <w:continuationSeparator/>
      </w:r>
    </w:p>
  </w:endnote>
  <w:endnote w:type="continuationNotice" w:id="1">
    <w:p w14:paraId="249AA6F1" w14:textId="77777777" w:rsidR="00A36CC8" w:rsidRDefault="00A3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0224"/>
      <w:docPartObj>
        <w:docPartGallery w:val="Page Numbers (Bottom of Page)"/>
        <w:docPartUnique/>
      </w:docPartObj>
    </w:sdtPr>
    <w:sdtEndPr>
      <w:rPr>
        <w:noProof/>
      </w:rPr>
    </w:sdtEndPr>
    <w:sdtContent>
      <w:p w14:paraId="258EDE1B" w14:textId="2EAB731B" w:rsidR="00DB1207" w:rsidRDefault="00DB12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24F12" w14:textId="77777777" w:rsidR="00DB1207" w:rsidRDefault="00DB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9440" w14:textId="77777777" w:rsidR="00A36CC8" w:rsidRDefault="00A36CC8">
      <w:r>
        <w:separator/>
      </w:r>
    </w:p>
  </w:footnote>
  <w:footnote w:type="continuationSeparator" w:id="0">
    <w:p w14:paraId="33B0383E" w14:textId="77777777" w:rsidR="00A36CC8" w:rsidRDefault="00A36CC8">
      <w:r>
        <w:continuationSeparator/>
      </w:r>
    </w:p>
  </w:footnote>
  <w:footnote w:type="continuationNotice" w:id="1">
    <w:p w14:paraId="2F7A2CC1" w14:textId="77777777" w:rsidR="00A36CC8" w:rsidRDefault="00A36CC8"/>
  </w:footnote>
  <w:footnote w:id="2">
    <w:p w14:paraId="457694EC" w14:textId="383D1B32" w:rsidR="00BD4945" w:rsidRDefault="00BD4945">
      <w:pPr>
        <w:pStyle w:val="FootnoteText"/>
      </w:pPr>
      <w:r>
        <w:rPr>
          <w:rStyle w:val="FootnoteReference"/>
        </w:rPr>
        <w:footnoteRef/>
      </w:r>
      <w:r>
        <w:t xml:space="preserve"> </w:t>
      </w:r>
      <w:r w:rsidRPr="00BD4945">
        <w:t>Defined in s</w:t>
      </w:r>
      <w:r w:rsidR="0060681C">
        <w:t xml:space="preserve">ubsection </w:t>
      </w:r>
      <w:r w:rsidRPr="00BD4945">
        <w:t>56(1) of the Act</w:t>
      </w:r>
      <w:r>
        <w:t>.</w:t>
      </w:r>
    </w:p>
  </w:footnote>
  <w:footnote w:id="3">
    <w:p w14:paraId="713C078F" w14:textId="1B49189F" w:rsidR="00BD4945" w:rsidRDefault="00BD4945">
      <w:pPr>
        <w:pStyle w:val="FootnoteText"/>
      </w:pPr>
      <w:r>
        <w:rPr>
          <w:rStyle w:val="FootnoteReference"/>
        </w:rPr>
        <w:footnoteRef/>
      </w:r>
      <w:r>
        <w:t xml:space="preserve"> </w:t>
      </w:r>
      <w:r>
        <w:rPr>
          <w:color w:val="000000"/>
          <w:shd w:val="clear" w:color="auto" w:fill="FFFFFF"/>
        </w:rPr>
        <w:t>Defined in s</w:t>
      </w:r>
      <w:r w:rsidR="0060681C">
        <w:rPr>
          <w:color w:val="000000"/>
          <w:shd w:val="clear" w:color="auto" w:fill="FFFFFF"/>
        </w:rPr>
        <w:t xml:space="preserve">ubsection </w:t>
      </w:r>
      <w:r>
        <w:rPr>
          <w:color w:val="000000"/>
          <w:shd w:val="clear" w:color="auto" w:fill="FFFFFF"/>
        </w:rPr>
        <w:t>56(1) of the Act.</w:t>
      </w:r>
    </w:p>
  </w:footnote>
  <w:footnote w:id="4">
    <w:p w14:paraId="26FAF362" w14:textId="5E423BDD" w:rsidR="00BD4945" w:rsidRDefault="00BD4945">
      <w:pPr>
        <w:pStyle w:val="FootnoteText"/>
      </w:pPr>
      <w:r>
        <w:rPr>
          <w:rStyle w:val="FootnoteReference"/>
        </w:rPr>
        <w:footnoteRef/>
      </w:r>
      <w:r>
        <w:t xml:space="preserve"> </w:t>
      </w:r>
      <w:r>
        <w:rPr>
          <w:color w:val="000000"/>
          <w:shd w:val="clear" w:color="auto" w:fill="FFFFFF"/>
        </w:rPr>
        <w:t>Defined in s</w:t>
      </w:r>
      <w:r w:rsidR="0060681C">
        <w:rPr>
          <w:color w:val="000000"/>
          <w:shd w:val="clear" w:color="auto" w:fill="FFFFFF"/>
        </w:rPr>
        <w:t xml:space="preserve">ubsection </w:t>
      </w:r>
      <w:r>
        <w:rPr>
          <w:color w:val="000000"/>
          <w:shd w:val="clear" w:color="auto" w:fill="FFFFFF"/>
        </w:rPr>
        <w:t>3(1) of the Act.</w:t>
      </w:r>
    </w:p>
  </w:footnote>
  <w:footnote w:id="5">
    <w:p w14:paraId="13B643B6" w14:textId="1FF4DA5A" w:rsidR="00A73D43" w:rsidRDefault="00A73D43" w:rsidP="00A73D43">
      <w:pPr>
        <w:pStyle w:val="FootnoteText"/>
        <w:rPr>
          <w:color w:val="000000"/>
        </w:rPr>
      </w:pPr>
      <w:r>
        <w:rPr>
          <w:rStyle w:val="FootnoteReference"/>
        </w:rPr>
        <w:footnoteRef/>
      </w:r>
      <w:r>
        <w:t xml:space="preserve"> </w:t>
      </w:r>
      <w:r w:rsidRPr="008D41E5">
        <w:rPr>
          <w:color w:val="000000"/>
        </w:rPr>
        <w:t>Basel Committee on Banking Supervision’s Pillar 3 disclosure requirements:</w:t>
      </w:r>
      <w:r w:rsidR="004E69B6">
        <w:rPr>
          <w:color w:val="000000"/>
        </w:rPr>
        <w:t xml:space="preserve"> </w:t>
      </w:r>
      <w:hyperlink r:id="rId1" w:history="1">
        <w:r w:rsidRPr="004E69B6">
          <w:rPr>
            <w:rStyle w:val="Hyperlink"/>
          </w:rPr>
          <w:t>DIS - Disclosure requirements (bis.org)</w:t>
        </w:r>
      </w:hyperlink>
      <w:r w:rsidRPr="008D41E5">
        <w:rPr>
          <w:color w:val="000000"/>
        </w:rPr>
        <w:t>.</w:t>
      </w:r>
    </w:p>
    <w:p w14:paraId="732BF326" w14:textId="6CAE9608" w:rsidR="00A64D96" w:rsidRDefault="00DC398F" w:rsidP="00A73D43">
      <w:pPr>
        <w:pStyle w:val="FootnoteText"/>
      </w:pPr>
      <w:bookmarkStart w:id="0" w:name="_Hlk136322253"/>
      <w:r w:rsidRPr="00D178AC">
        <w:rPr>
          <w:i/>
        </w:rPr>
        <w:t>Prudential Standard</w:t>
      </w:r>
      <w:r w:rsidRPr="00D178AC">
        <w:t xml:space="preserve"> </w:t>
      </w:r>
      <w:r w:rsidRPr="00D178AC">
        <w:rPr>
          <w:i/>
        </w:rPr>
        <w:t>APS 330 Disclosure</w:t>
      </w:r>
      <w:r>
        <w:t xml:space="preserve">: </w:t>
      </w:r>
      <w:r w:rsidRPr="0018238F">
        <w:rPr>
          <w:color w:val="000000"/>
        </w:rPr>
        <w:t>Banking (prudential standard) determination No.</w:t>
      </w:r>
      <w:r w:rsidR="00DA697B">
        <w:rPr>
          <w:color w:val="000000"/>
        </w:rPr>
        <w:t>1</w:t>
      </w:r>
      <w:r w:rsidRPr="0018238F">
        <w:rPr>
          <w:color w:val="000000"/>
        </w:rPr>
        <w:t xml:space="preserve"> of 202</w:t>
      </w:r>
      <w:r w:rsidR="00DA697B">
        <w:rPr>
          <w:color w:val="000000"/>
        </w:rPr>
        <w:t>3</w:t>
      </w:r>
      <w:r w:rsidRPr="0018238F">
        <w:rPr>
          <w:color w:val="000000"/>
        </w:rPr>
        <w:t xml:space="preserve"> (</w:t>
      </w:r>
      <w:hyperlink r:id="rId2" w:history="1">
        <w:r w:rsidR="0018238F" w:rsidRPr="0018238F">
          <w:rPr>
            <w:rStyle w:val="Hyperlink"/>
          </w:rPr>
          <w:t>https://www.legislation.gov.au/Details/F2023L00160</w:t>
        </w:r>
      </w:hyperlink>
      <w:r w:rsidR="0018238F">
        <w:rPr>
          <w:color w:val="000000"/>
        </w:rPr>
        <w:t>).</w:t>
      </w:r>
      <w:bookmarkEnd w:id="0"/>
    </w:p>
  </w:footnote>
  <w:footnote w:id="6">
    <w:p w14:paraId="546C6634" w14:textId="53A9E00D" w:rsidR="00C71F69" w:rsidRDefault="00C71F69">
      <w:pPr>
        <w:pStyle w:val="FootnoteText"/>
      </w:pPr>
      <w:r>
        <w:rPr>
          <w:rStyle w:val="FootnoteReference"/>
        </w:rPr>
        <w:footnoteRef/>
      </w:r>
      <w:r>
        <w:t xml:space="preserve"> </w:t>
      </w:r>
      <w:r w:rsidR="00C65EC8">
        <w:t xml:space="preserve">See Banking Act </w:t>
      </w:r>
      <w:hyperlink r:id="rId3" w:history="1">
        <w:r w:rsidR="00C65EC8" w:rsidRPr="00030473">
          <w:rPr>
            <w:rStyle w:val="Hyperlink"/>
          </w:rPr>
          <w:t>https://www.legislation.gov.au/Series/C1959A00006</w:t>
        </w:r>
      </w:hyperlink>
      <w:r>
        <w:t xml:space="preserve"> and </w:t>
      </w:r>
      <w:r w:rsidR="00C65EC8">
        <w:t xml:space="preserve">FSCOD Act </w:t>
      </w:r>
      <w:hyperlink r:id="rId4" w:history="1">
        <w:r w:rsidR="00C65EC8" w:rsidRPr="00030473">
          <w:rPr>
            <w:rStyle w:val="Hyperlink"/>
          </w:rPr>
          <w:t>https://www.legislation.gov.au/Series/C2004A00871</w:t>
        </w:r>
      </w:hyperlink>
      <w:r w:rsidR="00C65EC8">
        <w:t>.</w:t>
      </w:r>
    </w:p>
  </w:footnote>
  <w:footnote w:id="7">
    <w:p w14:paraId="571806D1" w14:textId="654E76EB" w:rsidR="00EB7931" w:rsidRDefault="00EB7931">
      <w:pPr>
        <w:pStyle w:val="FootnoteText"/>
      </w:pPr>
      <w:r>
        <w:rPr>
          <w:rStyle w:val="FootnoteReference"/>
        </w:rPr>
        <w:footnoteRef/>
      </w:r>
      <w:r>
        <w:t xml:space="preserve"> Details of the consultations can be found on APRA’s website at </w:t>
      </w:r>
      <w:hyperlink r:id="rId5" w:history="1">
        <w:r w:rsidR="004E69B6" w:rsidRPr="004E69B6">
          <w:rPr>
            <w:rStyle w:val="Hyperlink"/>
          </w:rPr>
          <w:t>https://www.apra.gov.au/confidentiality-of-data-used-adi-quarterly-publications-and-additional-historical-data</w:t>
        </w:r>
      </w:hyperlink>
      <w:r w:rsidR="004E69B6">
        <w:t xml:space="preserve"> a</w:t>
      </w:r>
      <w:r w:rsidR="00695DBB" w:rsidRPr="004E69B6">
        <w:t>nd</w:t>
      </w:r>
      <w:r w:rsidR="004E69B6">
        <w:t xml:space="preserve"> </w:t>
      </w:r>
      <w:hyperlink r:id="rId6" w:history="1">
        <w:r w:rsidR="00695DBB" w:rsidRPr="004E69B6">
          <w:rPr>
            <w:rStyle w:val="Hyperlink"/>
          </w:rPr>
          <w:t>https://www.apra.gov.au/adi-centralised-publication-update-and-consultation-0</w:t>
        </w:r>
      </w:hyperlink>
      <w:r w:rsidR="00695DBB">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19C"/>
    <w:multiLevelType w:val="hybridMultilevel"/>
    <w:tmpl w:val="1722DAB2"/>
    <w:lvl w:ilvl="0" w:tplc="804EBC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C58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38F11F9"/>
    <w:multiLevelType w:val="hybridMultilevel"/>
    <w:tmpl w:val="68D2DFF6"/>
    <w:lvl w:ilvl="0" w:tplc="0C090005">
      <w:start w:val="1"/>
      <w:numFmt w:val="bullet"/>
      <w:lvlText w:val=""/>
      <w:lvlJc w:val="left"/>
      <w:pPr>
        <w:tabs>
          <w:tab w:val="num" w:pos="720"/>
        </w:tabs>
        <w:ind w:left="720" w:hanging="360"/>
      </w:pPr>
      <w:rPr>
        <w:rFonts w:ascii="Wingdings" w:hAnsi="Wingdings" w:hint="default"/>
        <w:b w:val="0"/>
        <w:i w:val="0"/>
        <w:sz w:val="24"/>
      </w:rPr>
    </w:lvl>
    <w:lvl w:ilvl="1" w:tplc="18D03062">
      <w:start w:val="1"/>
      <w:numFmt w:val="bullet"/>
      <w:lvlText w:val=""/>
      <w:lvlJc w:val="left"/>
      <w:pPr>
        <w:tabs>
          <w:tab w:val="num" w:pos="1477"/>
        </w:tabs>
        <w:ind w:left="147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0740F"/>
    <w:multiLevelType w:val="hybridMultilevel"/>
    <w:tmpl w:val="86B40AC8"/>
    <w:lvl w:ilvl="0" w:tplc="804EBC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EBE2615"/>
    <w:multiLevelType w:val="hybridMultilevel"/>
    <w:tmpl w:val="4E8A65D4"/>
    <w:lvl w:ilvl="0" w:tplc="305EDE34">
      <w:start w:val="1"/>
      <w:numFmt w:val="bullet"/>
      <w:lvlText w:val=""/>
      <w:lvlJc w:val="left"/>
      <w:pPr>
        <w:tabs>
          <w:tab w:val="num" w:pos="851"/>
        </w:tabs>
        <w:ind w:left="567" w:firstLine="0"/>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cs="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5" w15:restartNumberingAfterBreak="0">
    <w:nsid w:val="30033044"/>
    <w:multiLevelType w:val="hybridMultilevel"/>
    <w:tmpl w:val="A2925B8C"/>
    <w:lvl w:ilvl="0" w:tplc="305EDE34">
      <w:start w:val="1"/>
      <w:numFmt w:val="bullet"/>
      <w:lvlText w:val=""/>
      <w:lvlJc w:val="left"/>
      <w:pPr>
        <w:tabs>
          <w:tab w:val="num" w:pos="851"/>
        </w:tabs>
        <w:ind w:left="567" w:firstLine="0"/>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cs="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6" w15:restartNumberingAfterBreak="0">
    <w:nsid w:val="30404762"/>
    <w:multiLevelType w:val="hybridMultilevel"/>
    <w:tmpl w:val="5D8C3BDC"/>
    <w:lvl w:ilvl="0" w:tplc="804EBC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56D4B28"/>
    <w:multiLevelType w:val="hybridMultilevel"/>
    <w:tmpl w:val="0E867E90"/>
    <w:lvl w:ilvl="0" w:tplc="305EDE34">
      <w:start w:val="1"/>
      <w:numFmt w:val="bullet"/>
      <w:lvlText w:val=""/>
      <w:lvlJc w:val="left"/>
      <w:pPr>
        <w:tabs>
          <w:tab w:val="num" w:pos="851"/>
        </w:tabs>
        <w:ind w:left="567" w:firstLine="0"/>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cs="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8" w15:restartNumberingAfterBreak="0">
    <w:nsid w:val="3BB432A3"/>
    <w:multiLevelType w:val="hybridMultilevel"/>
    <w:tmpl w:val="867C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291E25"/>
    <w:multiLevelType w:val="hybridMultilevel"/>
    <w:tmpl w:val="D37CD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AB5A56"/>
    <w:multiLevelType w:val="hybridMultilevel"/>
    <w:tmpl w:val="AF084636"/>
    <w:lvl w:ilvl="0" w:tplc="E042E66C">
      <w:start w:val="1"/>
      <w:numFmt w:val="decimal"/>
      <w:lvlText w:val="%1."/>
      <w:lvlJc w:val="left"/>
      <w:pPr>
        <w:ind w:left="36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512349"/>
    <w:multiLevelType w:val="hybridMultilevel"/>
    <w:tmpl w:val="B314B706"/>
    <w:lvl w:ilvl="0" w:tplc="DBF25D6E">
      <w:start w:val="1"/>
      <w:numFmt w:val="lowerLetter"/>
      <w:lvlText w:val="(%1)"/>
      <w:lvlJc w:val="left"/>
      <w:pPr>
        <w:tabs>
          <w:tab w:val="num" w:pos="1368"/>
        </w:tabs>
        <w:ind w:left="1368" w:hanging="375"/>
      </w:pPr>
      <w:rPr>
        <w:rFonts w:hint="default"/>
      </w:rPr>
    </w:lvl>
    <w:lvl w:ilvl="1" w:tplc="0C090019" w:tentative="1">
      <w:start w:val="1"/>
      <w:numFmt w:val="lowerLetter"/>
      <w:lvlText w:val="%2."/>
      <w:lvlJc w:val="left"/>
      <w:pPr>
        <w:tabs>
          <w:tab w:val="num" w:pos="2073"/>
        </w:tabs>
        <w:ind w:left="2073" w:hanging="360"/>
      </w:pPr>
    </w:lvl>
    <w:lvl w:ilvl="2" w:tplc="0C09001B" w:tentative="1">
      <w:start w:val="1"/>
      <w:numFmt w:val="lowerRoman"/>
      <w:lvlText w:val="%3."/>
      <w:lvlJc w:val="right"/>
      <w:pPr>
        <w:tabs>
          <w:tab w:val="num" w:pos="2793"/>
        </w:tabs>
        <w:ind w:left="2793" w:hanging="180"/>
      </w:pPr>
    </w:lvl>
    <w:lvl w:ilvl="3" w:tplc="0C09000F" w:tentative="1">
      <w:start w:val="1"/>
      <w:numFmt w:val="decimal"/>
      <w:lvlText w:val="%4."/>
      <w:lvlJc w:val="left"/>
      <w:pPr>
        <w:tabs>
          <w:tab w:val="num" w:pos="3513"/>
        </w:tabs>
        <w:ind w:left="3513" w:hanging="360"/>
      </w:pPr>
    </w:lvl>
    <w:lvl w:ilvl="4" w:tplc="0C090019" w:tentative="1">
      <w:start w:val="1"/>
      <w:numFmt w:val="lowerLetter"/>
      <w:lvlText w:val="%5."/>
      <w:lvlJc w:val="left"/>
      <w:pPr>
        <w:tabs>
          <w:tab w:val="num" w:pos="4233"/>
        </w:tabs>
        <w:ind w:left="4233" w:hanging="360"/>
      </w:pPr>
    </w:lvl>
    <w:lvl w:ilvl="5" w:tplc="0C09001B" w:tentative="1">
      <w:start w:val="1"/>
      <w:numFmt w:val="lowerRoman"/>
      <w:lvlText w:val="%6."/>
      <w:lvlJc w:val="right"/>
      <w:pPr>
        <w:tabs>
          <w:tab w:val="num" w:pos="4953"/>
        </w:tabs>
        <w:ind w:left="4953" w:hanging="180"/>
      </w:pPr>
    </w:lvl>
    <w:lvl w:ilvl="6" w:tplc="0C09000F" w:tentative="1">
      <w:start w:val="1"/>
      <w:numFmt w:val="decimal"/>
      <w:lvlText w:val="%7."/>
      <w:lvlJc w:val="left"/>
      <w:pPr>
        <w:tabs>
          <w:tab w:val="num" w:pos="5673"/>
        </w:tabs>
        <w:ind w:left="5673" w:hanging="360"/>
      </w:pPr>
    </w:lvl>
    <w:lvl w:ilvl="7" w:tplc="0C090019" w:tentative="1">
      <w:start w:val="1"/>
      <w:numFmt w:val="lowerLetter"/>
      <w:lvlText w:val="%8."/>
      <w:lvlJc w:val="left"/>
      <w:pPr>
        <w:tabs>
          <w:tab w:val="num" w:pos="6393"/>
        </w:tabs>
        <w:ind w:left="6393" w:hanging="360"/>
      </w:pPr>
    </w:lvl>
    <w:lvl w:ilvl="8" w:tplc="0C09001B" w:tentative="1">
      <w:start w:val="1"/>
      <w:numFmt w:val="lowerRoman"/>
      <w:lvlText w:val="%9."/>
      <w:lvlJc w:val="right"/>
      <w:pPr>
        <w:tabs>
          <w:tab w:val="num" w:pos="7113"/>
        </w:tabs>
        <w:ind w:left="7113" w:hanging="180"/>
      </w:pPr>
    </w:lvl>
  </w:abstractNum>
  <w:abstractNum w:abstractNumId="12" w15:restartNumberingAfterBreak="0">
    <w:nsid w:val="65B52D6E"/>
    <w:multiLevelType w:val="hybridMultilevel"/>
    <w:tmpl w:val="1908BFE8"/>
    <w:lvl w:ilvl="0" w:tplc="48741406">
      <w:start w:val="1"/>
      <w:numFmt w:val="lowerLetter"/>
      <w:lvlText w:val="(%1)"/>
      <w:lvlJc w:val="left"/>
      <w:pPr>
        <w:tabs>
          <w:tab w:val="num" w:pos="1377"/>
        </w:tabs>
        <w:ind w:left="1377" w:hanging="405"/>
      </w:pPr>
      <w:rPr>
        <w:rFonts w:hint="default"/>
        <w:b w:val="0"/>
        <w:i w:val="0"/>
        <w:sz w:val="24"/>
      </w:rPr>
    </w:lvl>
    <w:lvl w:ilvl="1" w:tplc="0C090003" w:tentative="1">
      <w:start w:val="1"/>
      <w:numFmt w:val="bullet"/>
      <w:lvlText w:val="o"/>
      <w:lvlJc w:val="left"/>
      <w:pPr>
        <w:tabs>
          <w:tab w:val="num" w:pos="2299"/>
        </w:tabs>
        <w:ind w:left="2299" w:hanging="360"/>
      </w:pPr>
      <w:rPr>
        <w:rFonts w:ascii="Courier New" w:hAnsi="Courier New" w:cs="Courier New" w:hint="default"/>
      </w:rPr>
    </w:lvl>
    <w:lvl w:ilvl="2" w:tplc="0C090005" w:tentative="1">
      <w:start w:val="1"/>
      <w:numFmt w:val="bullet"/>
      <w:lvlText w:val=""/>
      <w:lvlJc w:val="left"/>
      <w:pPr>
        <w:tabs>
          <w:tab w:val="num" w:pos="3019"/>
        </w:tabs>
        <w:ind w:left="3019" w:hanging="360"/>
      </w:pPr>
      <w:rPr>
        <w:rFonts w:ascii="Wingdings" w:hAnsi="Wingdings" w:hint="default"/>
      </w:rPr>
    </w:lvl>
    <w:lvl w:ilvl="3" w:tplc="0C090001" w:tentative="1">
      <w:start w:val="1"/>
      <w:numFmt w:val="bullet"/>
      <w:lvlText w:val=""/>
      <w:lvlJc w:val="left"/>
      <w:pPr>
        <w:tabs>
          <w:tab w:val="num" w:pos="3739"/>
        </w:tabs>
        <w:ind w:left="3739" w:hanging="360"/>
      </w:pPr>
      <w:rPr>
        <w:rFonts w:ascii="Symbol" w:hAnsi="Symbol" w:hint="default"/>
      </w:rPr>
    </w:lvl>
    <w:lvl w:ilvl="4" w:tplc="0C090003" w:tentative="1">
      <w:start w:val="1"/>
      <w:numFmt w:val="bullet"/>
      <w:lvlText w:val="o"/>
      <w:lvlJc w:val="left"/>
      <w:pPr>
        <w:tabs>
          <w:tab w:val="num" w:pos="4459"/>
        </w:tabs>
        <w:ind w:left="4459" w:hanging="360"/>
      </w:pPr>
      <w:rPr>
        <w:rFonts w:ascii="Courier New" w:hAnsi="Courier New" w:cs="Courier New" w:hint="default"/>
      </w:rPr>
    </w:lvl>
    <w:lvl w:ilvl="5" w:tplc="0C090005" w:tentative="1">
      <w:start w:val="1"/>
      <w:numFmt w:val="bullet"/>
      <w:lvlText w:val=""/>
      <w:lvlJc w:val="left"/>
      <w:pPr>
        <w:tabs>
          <w:tab w:val="num" w:pos="5179"/>
        </w:tabs>
        <w:ind w:left="5179" w:hanging="360"/>
      </w:pPr>
      <w:rPr>
        <w:rFonts w:ascii="Wingdings" w:hAnsi="Wingdings" w:hint="default"/>
      </w:rPr>
    </w:lvl>
    <w:lvl w:ilvl="6" w:tplc="0C090001" w:tentative="1">
      <w:start w:val="1"/>
      <w:numFmt w:val="bullet"/>
      <w:lvlText w:val=""/>
      <w:lvlJc w:val="left"/>
      <w:pPr>
        <w:tabs>
          <w:tab w:val="num" w:pos="5899"/>
        </w:tabs>
        <w:ind w:left="5899" w:hanging="360"/>
      </w:pPr>
      <w:rPr>
        <w:rFonts w:ascii="Symbol" w:hAnsi="Symbol" w:hint="default"/>
      </w:rPr>
    </w:lvl>
    <w:lvl w:ilvl="7" w:tplc="0C090003" w:tentative="1">
      <w:start w:val="1"/>
      <w:numFmt w:val="bullet"/>
      <w:lvlText w:val="o"/>
      <w:lvlJc w:val="left"/>
      <w:pPr>
        <w:tabs>
          <w:tab w:val="num" w:pos="6619"/>
        </w:tabs>
        <w:ind w:left="6619" w:hanging="360"/>
      </w:pPr>
      <w:rPr>
        <w:rFonts w:ascii="Courier New" w:hAnsi="Courier New" w:cs="Courier New" w:hint="default"/>
      </w:rPr>
    </w:lvl>
    <w:lvl w:ilvl="8" w:tplc="0C090005" w:tentative="1">
      <w:start w:val="1"/>
      <w:numFmt w:val="bullet"/>
      <w:lvlText w:val=""/>
      <w:lvlJc w:val="left"/>
      <w:pPr>
        <w:tabs>
          <w:tab w:val="num" w:pos="7339"/>
        </w:tabs>
        <w:ind w:left="7339" w:hanging="360"/>
      </w:pPr>
      <w:rPr>
        <w:rFonts w:ascii="Wingdings" w:hAnsi="Wingdings" w:hint="default"/>
      </w:rPr>
    </w:lvl>
  </w:abstractNum>
  <w:abstractNum w:abstractNumId="13" w15:restartNumberingAfterBreak="0">
    <w:nsid w:val="6BC6483D"/>
    <w:multiLevelType w:val="hybridMultilevel"/>
    <w:tmpl w:val="D7BCE3CC"/>
    <w:lvl w:ilvl="0" w:tplc="915014F2">
      <w:start w:val="4"/>
      <w:numFmt w:val="bullet"/>
      <w:lvlText w:val=""/>
      <w:lvlJc w:val="left"/>
      <w:pPr>
        <w:ind w:left="720" w:hanging="360"/>
      </w:pPr>
      <w:rPr>
        <w:rFonts w:ascii="Symbol" w:eastAsia="SimSu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95501A"/>
    <w:multiLevelType w:val="hybridMultilevel"/>
    <w:tmpl w:val="D9DC4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6F2DF6"/>
    <w:multiLevelType w:val="hybridMultilevel"/>
    <w:tmpl w:val="E86E7238"/>
    <w:lvl w:ilvl="0" w:tplc="305EDE34">
      <w:start w:val="1"/>
      <w:numFmt w:val="bullet"/>
      <w:lvlText w:val=""/>
      <w:lvlJc w:val="left"/>
      <w:pPr>
        <w:tabs>
          <w:tab w:val="num" w:pos="851"/>
        </w:tabs>
        <w:ind w:left="567" w:firstLine="0"/>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cs="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7281062F"/>
    <w:multiLevelType w:val="hybridMultilevel"/>
    <w:tmpl w:val="EF1203C8"/>
    <w:lvl w:ilvl="0" w:tplc="305EDE34">
      <w:start w:val="1"/>
      <w:numFmt w:val="bullet"/>
      <w:lvlText w:val=""/>
      <w:lvlJc w:val="left"/>
      <w:pPr>
        <w:tabs>
          <w:tab w:val="num" w:pos="851"/>
        </w:tabs>
        <w:ind w:left="567" w:firstLine="0"/>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cs="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cs="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cs="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num w:numId="1" w16cid:durableId="805781906">
    <w:abstractNumId w:val="1"/>
  </w:num>
  <w:num w:numId="2" w16cid:durableId="13846449">
    <w:abstractNumId w:val="7"/>
  </w:num>
  <w:num w:numId="3" w16cid:durableId="1136413856">
    <w:abstractNumId w:val="15"/>
  </w:num>
  <w:num w:numId="4" w16cid:durableId="1162507876">
    <w:abstractNumId w:val="4"/>
  </w:num>
  <w:num w:numId="5" w16cid:durableId="1040130886">
    <w:abstractNumId w:val="16"/>
  </w:num>
  <w:num w:numId="6" w16cid:durableId="1740592667">
    <w:abstractNumId w:val="5"/>
  </w:num>
  <w:num w:numId="7" w16cid:durableId="304242898">
    <w:abstractNumId w:val="12"/>
  </w:num>
  <w:num w:numId="8" w16cid:durableId="1601716254">
    <w:abstractNumId w:val="2"/>
  </w:num>
  <w:num w:numId="9" w16cid:durableId="376785342">
    <w:abstractNumId w:val="11"/>
  </w:num>
  <w:num w:numId="10" w16cid:durableId="1042906222">
    <w:abstractNumId w:val="9"/>
  </w:num>
  <w:num w:numId="11" w16cid:durableId="1269196720">
    <w:abstractNumId w:val="10"/>
  </w:num>
  <w:num w:numId="12" w16cid:durableId="1106197855">
    <w:abstractNumId w:val="0"/>
  </w:num>
  <w:num w:numId="13" w16cid:durableId="1994285576">
    <w:abstractNumId w:val="13"/>
  </w:num>
  <w:num w:numId="14" w16cid:durableId="1048650448">
    <w:abstractNumId w:val="14"/>
  </w:num>
  <w:num w:numId="15" w16cid:durableId="318775060">
    <w:abstractNumId w:val="8"/>
  </w:num>
  <w:num w:numId="16" w16cid:durableId="1621374103">
    <w:abstractNumId w:val="6"/>
  </w:num>
  <w:num w:numId="17" w16cid:durableId="202755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97"/>
    <w:rsid w:val="0000339A"/>
    <w:rsid w:val="000119D1"/>
    <w:rsid w:val="00012FAE"/>
    <w:rsid w:val="0001707F"/>
    <w:rsid w:val="00020380"/>
    <w:rsid w:val="00021124"/>
    <w:rsid w:val="00026F17"/>
    <w:rsid w:val="000409C3"/>
    <w:rsid w:val="00042DD8"/>
    <w:rsid w:val="00046916"/>
    <w:rsid w:val="00051C37"/>
    <w:rsid w:val="000554BF"/>
    <w:rsid w:val="00060B9F"/>
    <w:rsid w:val="000643ED"/>
    <w:rsid w:val="00070837"/>
    <w:rsid w:val="00072376"/>
    <w:rsid w:val="000755B3"/>
    <w:rsid w:val="00075A7E"/>
    <w:rsid w:val="00080D81"/>
    <w:rsid w:val="00086885"/>
    <w:rsid w:val="00094381"/>
    <w:rsid w:val="000A6867"/>
    <w:rsid w:val="000A6B18"/>
    <w:rsid w:val="000B061F"/>
    <w:rsid w:val="000B3A86"/>
    <w:rsid w:val="000B77E8"/>
    <w:rsid w:val="000C0A74"/>
    <w:rsid w:val="000C1FB2"/>
    <w:rsid w:val="000C3210"/>
    <w:rsid w:val="000C3EDD"/>
    <w:rsid w:val="000D335E"/>
    <w:rsid w:val="000E56B1"/>
    <w:rsid w:val="000E7627"/>
    <w:rsid w:val="000F4C65"/>
    <w:rsid w:val="00111286"/>
    <w:rsid w:val="0011307D"/>
    <w:rsid w:val="00113AA4"/>
    <w:rsid w:val="00120BBB"/>
    <w:rsid w:val="00122DA8"/>
    <w:rsid w:val="00125B96"/>
    <w:rsid w:val="0012776C"/>
    <w:rsid w:val="0013029F"/>
    <w:rsid w:val="00134F3F"/>
    <w:rsid w:val="0014382B"/>
    <w:rsid w:val="00145CAC"/>
    <w:rsid w:val="00163002"/>
    <w:rsid w:val="00181548"/>
    <w:rsid w:val="0018238F"/>
    <w:rsid w:val="00183382"/>
    <w:rsid w:val="00191185"/>
    <w:rsid w:val="00191C2A"/>
    <w:rsid w:val="00192765"/>
    <w:rsid w:val="001977A4"/>
    <w:rsid w:val="00197A84"/>
    <w:rsid w:val="001A32E5"/>
    <w:rsid w:val="001A4508"/>
    <w:rsid w:val="001A4861"/>
    <w:rsid w:val="001B1670"/>
    <w:rsid w:val="001B38F0"/>
    <w:rsid w:val="001B4709"/>
    <w:rsid w:val="001C0EA1"/>
    <w:rsid w:val="001C68F5"/>
    <w:rsid w:val="001C743A"/>
    <w:rsid w:val="001D0CF5"/>
    <w:rsid w:val="001D3490"/>
    <w:rsid w:val="001D4989"/>
    <w:rsid w:val="001D58DC"/>
    <w:rsid w:val="001E1906"/>
    <w:rsid w:val="001E23F5"/>
    <w:rsid w:val="001E2A8D"/>
    <w:rsid w:val="001E6E80"/>
    <w:rsid w:val="001E77F0"/>
    <w:rsid w:val="001F7DA3"/>
    <w:rsid w:val="00207220"/>
    <w:rsid w:val="00213E18"/>
    <w:rsid w:val="0021446D"/>
    <w:rsid w:val="00214A1F"/>
    <w:rsid w:val="002232CD"/>
    <w:rsid w:val="002236CE"/>
    <w:rsid w:val="0023419E"/>
    <w:rsid w:val="002343B9"/>
    <w:rsid w:val="00235035"/>
    <w:rsid w:val="0023667B"/>
    <w:rsid w:val="00240ED9"/>
    <w:rsid w:val="00243A9C"/>
    <w:rsid w:val="002577A7"/>
    <w:rsid w:val="00262407"/>
    <w:rsid w:val="00263732"/>
    <w:rsid w:val="00266114"/>
    <w:rsid w:val="00272AAE"/>
    <w:rsid w:val="00275383"/>
    <w:rsid w:val="00285BD5"/>
    <w:rsid w:val="002874A5"/>
    <w:rsid w:val="00287DAB"/>
    <w:rsid w:val="002A373D"/>
    <w:rsid w:val="002A4488"/>
    <w:rsid w:val="002A7150"/>
    <w:rsid w:val="002A791C"/>
    <w:rsid w:val="002B0253"/>
    <w:rsid w:val="002B1969"/>
    <w:rsid w:val="002B6F21"/>
    <w:rsid w:val="002C1BCB"/>
    <w:rsid w:val="002D0841"/>
    <w:rsid w:val="002D4B56"/>
    <w:rsid w:val="002E2732"/>
    <w:rsid w:val="002E3D2D"/>
    <w:rsid w:val="002E596C"/>
    <w:rsid w:val="002E6B3A"/>
    <w:rsid w:val="002F03EB"/>
    <w:rsid w:val="002F3677"/>
    <w:rsid w:val="002F48D7"/>
    <w:rsid w:val="002F7FAC"/>
    <w:rsid w:val="00301A73"/>
    <w:rsid w:val="0030580F"/>
    <w:rsid w:val="003132D2"/>
    <w:rsid w:val="00315096"/>
    <w:rsid w:val="00315C03"/>
    <w:rsid w:val="00330016"/>
    <w:rsid w:val="00330F5A"/>
    <w:rsid w:val="003324AD"/>
    <w:rsid w:val="0033333F"/>
    <w:rsid w:val="0033476C"/>
    <w:rsid w:val="003403CE"/>
    <w:rsid w:val="00344B45"/>
    <w:rsid w:val="00367AF0"/>
    <w:rsid w:val="00370D2D"/>
    <w:rsid w:val="00377BA4"/>
    <w:rsid w:val="0038006A"/>
    <w:rsid w:val="0038100A"/>
    <w:rsid w:val="00384053"/>
    <w:rsid w:val="00386150"/>
    <w:rsid w:val="00391A69"/>
    <w:rsid w:val="00394625"/>
    <w:rsid w:val="00397B45"/>
    <w:rsid w:val="00397D44"/>
    <w:rsid w:val="003A04FE"/>
    <w:rsid w:val="003A1609"/>
    <w:rsid w:val="003A5A85"/>
    <w:rsid w:val="003B6AE0"/>
    <w:rsid w:val="003C1482"/>
    <w:rsid w:val="003C2145"/>
    <w:rsid w:val="003C324F"/>
    <w:rsid w:val="003C6718"/>
    <w:rsid w:val="003C76FF"/>
    <w:rsid w:val="003D01BC"/>
    <w:rsid w:val="003D7081"/>
    <w:rsid w:val="003E1961"/>
    <w:rsid w:val="003E3F1F"/>
    <w:rsid w:val="003E43A8"/>
    <w:rsid w:val="003E6365"/>
    <w:rsid w:val="003F366B"/>
    <w:rsid w:val="00405FBD"/>
    <w:rsid w:val="00412489"/>
    <w:rsid w:val="00420B90"/>
    <w:rsid w:val="0042402A"/>
    <w:rsid w:val="004240FB"/>
    <w:rsid w:val="00432437"/>
    <w:rsid w:val="0044010D"/>
    <w:rsid w:val="00452B89"/>
    <w:rsid w:val="004623A0"/>
    <w:rsid w:val="004744BE"/>
    <w:rsid w:val="004758B7"/>
    <w:rsid w:val="00483E39"/>
    <w:rsid w:val="00486AAA"/>
    <w:rsid w:val="0049095F"/>
    <w:rsid w:val="00492492"/>
    <w:rsid w:val="004A00A5"/>
    <w:rsid w:val="004A3895"/>
    <w:rsid w:val="004A3A2F"/>
    <w:rsid w:val="004A455B"/>
    <w:rsid w:val="004B04B3"/>
    <w:rsid w:val="004B0817"/>
    <w:rsid w:val="004B6C82"/>
    <w:rsid w:val="004C0391"/>
    <w:rsid w:val="004C2475"/>
    <w:rsid w:val="004C2BEB"/>
    <w:rsid w:val="004C33B4"/>
    <w:rsid w:val="004D0D7F"/>
    <w:rsid w:val="004D166E"/>
    <w:rsid w:val="004D6FE1"/>
    <w:rsid w:val="004E0B3C"/>
    <w:rsid w:val="004E1A91"/>
    <w:rsid w:val="004E342F"/>
    <w:rsid w:val="004E53E1"/>
    <w:rsid w:val="004E69B6"/>
    <w:rsid w:val="004F1FD2"/>
    <w:rsid w:val="004F551F"/>
    <w:rsid w:val="004F73F3"/>
    <w:rsid w:val="004F7475"/>
    <w:rsid w:val="00500D8C"/>
    <w:rsid w:val="00501BEF"/>
    <w:rsid w:val="00505C6F"/>
    <w:rsid w:val="00511528"/>
    <w:rsid w:val="00512164"/>
    <w:rsid w:val="005133AB"/>
    <w:rsid w:val="00515FF3"/>
    <w:rsid w:val="0051720A"/>
    <w:rsid w:val="00517354"/>
    <w:rsid w:val="00527A00"/>
    <w:rsid w:val="005323E8"/>
    <w:rsid w:val="00537A3E"/>
    <w:rsid w:val="00541152"/>
    <w:rsid w:val="005429B7"/>
    <w:rsid w:val="0054674E"/>
    <w:rsid w:val="00560B23"/>
    <w:rsid w:val="005620F3"/>
    <w:rsid w:val="005624BE"/>
    <w:rsid w:val="00563910"/>
    <w:rsid w:val="00564C54"/>
    <w:rsid w:val="0056523E"/>
    <w:rsid w:val="00572A01"/>
    <w:rsid w:val="00580076"/>
    <w:rsid w:val="00585D0B"/>
    <w:rsid w:val="00586B80"/>
    <w:rsid w:val="00587174"/>
    <w:rsid w:val="0058763A"/>
    <w:rsid w:val="00587C8E"/>
    <w:rsid w:val="005A4051"/>
    <w:rsid w:val="005A5484"/>
    <w:rsid w:val="005A6A4B"/>
    <w:rsid w:val="005C05C0"/>
    <w:rsid w:val="005C4F5A"/>
    <w:rsid w:val="005C585E"/>
    <w:rsid w:val="005C7115"/>
    <w:rsid w:val="005C7CD8"/>
    <w:rsid w:val="005E1DBE"/>
    <w:rsid w:val="005E2B49"/>
    <w:rsid w:val="005E6BE1"/>
    <w:rsid w:val="005F2C1B"/>
    <w:rsid w:val="005F4F56"/>
    <w:rsid w:val="005F7B73"/>
    <w:rsid w:val="006010E3"/>
    <w:rsid w:val="0060681C"/>
    <w:rsid w:val="006071FC"/>
    <w:rsid w:val="00611E5E"/>
    <w:rsid w:val="006134A9"/>
    <w:rsid w:val="006143F1"/>
    <w:rsid w:val="006212F6"/>
    <w:rsid w:val="00623969"/>
    <w:rsid w:val="00634045"/>
    <w:rsid w:val="006344DD"/>
    <w:rsid w:val="00634F73"/>
    <w:rsid w:val="00634FF0"/>
    <w:rsid w:val="00636C3B"/>
    <w:rsid w:val="00641B14"/>
    <w:rsid w:val="006425BD"/>
    <w:rsid w:val="00645F4B"/>
    <w:rsid w:val="006464C7"/>
    <w:rsid w:val="006501D9"/>
    <w:rsid w:val="00652397"/>
    <w:rsid w:val="006641ED"/>
    <w:rsid w:val="00666307"/>
    <w:rsid w:val="00667829"/>
    <w:rsid w:val="00676898"/>
    <w:rsid w:val="0067740E"/>
    <w:rsid w:val="006873BF"/>
    <w:rsid w:val="00691A1B"/>
    <w:rsid w:val="00693F89"/>
    <w:rsid w:val="00695DBB"/>
    <w:rsid w:val="006A1335"/>
    <w:rsid w:val="006A5681"/>
    <w:rsid w:val="006A5FB2"/>
    <w:rsid w:val="006B0367"/>
    <w:rsid w:val="006C05F4"/>
    <w:rsid w:val="006C134F"/>
    <w:rsid w:val="006C43C3"/>
    <w:rsid w:val="006C4DB9"/>
    <w:rsid w:val="006D1042"/>
    <w:rsid w:val="006D1CAA"/>
    <w:rsid w:val="006D4C19"/>
    <w:rsid w:val="006E08E6"/>
    <w:rsid w:val="006F0144"/>
    <w:rsid w:val="006F346B"/>
    <w:rsid w:val="006F38CC"/>
    <w:rsid w:val="006F4B31"/>
    <w:rsid w:val="00713452"/>
    <w:rsid w:val="00713AFA"/>
    <w:rsid w:val="00717BD2"/>
    <w:rsid w:val="00717CAB"/>
    <w:rsid w:val="0072140F"/>
    <w:rsid w:val="00726508"/>
    <w:rsid w:val="007309BD"/>
    <w:rsid w:val="007329D4"/>
    <w:rsid w:val="007356DA"/>
    <w:rsid w:val="00737575"/>
    <w:rsid w:val="0074048D"/>
    <w:rsid w:val="00741509"/>
    <w:rsid w:val="007438B8"/>
    <w:rsid w:val="007438CF"/>
    <w:rsid w:val="00744F93"/>
    <w:rsid w:val="00747EBC"/>
    <w:rsid w:val="007513D3"/>
    <w:rsid w:val="00753FDB"/>
    <w:rsid w:val="00755A96"/>
    <w:rsid w:val="0075768C"/>
    <w:rsid w:val="0076244B"/>
    <w:rsid w:val="007642F6"/>
    <w:rsid w:val="00776EB7"/>
    <w:rsid w:val="00777090"/>
    <w:rsid w:val="00791EB3"/>
    <w:rsid w:val="00792245"/>
    <w:rsid w:val="00793E0C"/>
    <w:rsid w:val="00795744"/>
    <w:rsid w:val="00797C69"/>
    <w:rsid w:val="007A26D7"/>
    <w:rsid w:val="007B2869"/>
    <w:rsid w:val="007B713B"/>
    <w:rsid w:val="007C0A54"/>
    <w:rsid w:val="007C2BB8"/>
    <w:rsid w:val="007C3752"/>
    <w:rsid w:val="007C4444"/>
    <w:rsid w:val="007D2698"/>
    <w:rsid w:val="007D4F4E"/>
    <w:rsid w:val="007D509F"/>
    <w:rsid w:val="007E23D5"/>
    <w:rsid w:val="007F139A"/>
    <w:rsid w:val="007F30BA"/>
    <w:rsid w:val="007F4777"/>
    <w:rsid w:val="007F4CDA"/>
    <w:rsid w:val="007F512A"/>
    <w:rsid w:val="00802A43"/>
    <w:rsid w:val="00813D87"/>
    <w:rsid w:val="00813E1D"/>
    <w:rsid w:val="00817E8F"/>
    <w:rsid w:val="00820513"/>
    <w:rsid w:val="008245B1"/>
    <w:rsid w:val="008274E6"/>
    <w:rsid w:val="008323F6"/>
    <w:rsid w:val="0083348C"/>
    <w:rsid w:val="00834CA1"/>
    <w:rsid w:val="008368DE"/>
    <w:rsid w:val="0084012D"/>
    <w:rsid w:val="0084579D"/>
    <w:rsid w:val="008548DA"/>
    <w:rsid w:val="008607AE"/>
    <w:rsid w:val="0086565F"/>
    <w:rsid w:val="00865D7F"/>
    <w:rsid w:val="0087094D"/>
    <w:rsid w:val="00876296"/>
    <w:rsid w:val="00882F7B"/>
    <w:rsid w:val="008861E3"/>
    <w:rsid w:val="00887B9A"/>
    <w:rsid w:val="00896168"/>
    <w:rsid w:val="00896B42"/>
    <w:rsid w:val="008976C0"/>
    <w:rsid w:val="008A3EBF"/>
    <w:rsid w:val="008A3FF4"/>
    <w:rsid w:val="008B0BC5"/>
    <w:rsid w:val="008B17A5"/>
    <w:rsid w:val="008B1DBC"/>
    <w:rsid w:val="008B44C4"/>
    <w:rsid w:val="008C3866"/>
    <w:rsid w:val="008C5177"/>
    <w:rsid w:val="008C61D3"/>
    <w:rsid w:val="008D3670"/>
    <w:rsid w:val="008D41E5"/>
    <w:rsid w:val="008D7931"/>
    <w:rsid w:val="008E4355"/>
    <w:rsid w:val="008E4F6D"/>
    <w:rsid w:val="008E5E3C"/>
    <w:rsid w:val="008E7AAF"/>
    <w:rsid w:val="008F09E2"/>
    <w:rsid w:val="008F2D3B"/>
    <w:rsid w:val="009217A8"/>
    <w:rsid w:val="0092523E"/>
    <w:rsid w:val="00930E49"/>
    <w:rsid w:val="00934C36"/>
    <w:rsid w:val="009408E5"/>
    <w:rsid w:val="00942082"/>
    <w:rsid w:val="00942244"/>
    <w:rsid w:val="00957206"/>
    <w:rsid w:val="009607F5"/>
    <w:rsid w:val="009706E3"/>
    <w:rsid w:val="00972FEA"/>
    <w:rsid w:val="00976470"/>
    <w:rsid w:val="009807B3"/>
    <w:rsid w:val="0098193C"/>
    <w:rsid w:val="00983D10"/>
    <w:rsid w:val="009908DA"/>
    <w:rsid w:val="009A028A"/>
    <w:rsid w:val="009A0749"/>
    <w:rsid w:val="009C2375"/>
    <w:rsid w:val="009C2FD9"/>
    <w:rsid w:val="009D01C3"/>
    <w:rsid w:val="009D0E08"/>
    <w:rsid w:val="009D5F16"/>
    <w:rsid w:val="009E21B4"/>
    <w:rsid w:val="009E2279"/>
    <w:rsid w:val="009E486B"/>
    <w:rsid w:val="009E5747"/>
    <w:rsid w:val="009E6992"/>
    <w:rsid w:val="009F31BB"/>
    <w:rsid w:val="00A02DD0"/>
    <w:rsid w:val="00A0394D"/>
    <w:rsid w:val="00A05B10"/>
    <w:rsid w:val="00A102C1"/>
    <w:rsid w:val="00A11775"/>
    <w:rsid w:val="00A17FA8"/>
    <w:rsid w:val="00A24CEC"/>
    <w:rsid w:val="00A253CB"/>
    <w:rsid w:val="00A26102"/>
    <w:rsid w:val="00A31C1B"/>
    <w:rsid w:val="00A330C4"/>
    <w:rsid w:val="00A33A8C"/>
    <w:rsid w:val="00A33B83"/>
    <w:rsid w:val="00A36CC8"/>
    <w:rsid w:val="00A3753E"/>
    <w:rsid w:val="00A42B13"/>
    <w:rsid w:val="00A444AB"/>
    <w:rsid w:val="00A51F64"/>
    <w:rsid w:val="00A52677"/>
    <w:rsid w:val="00A55006"/>
    <w:rsid w:val="00A57070"/>
    <w:rsid w:val="00A5747B"/>
    <w:rsid w:val="00A64D60"/>
    <w:rsid w:val="00A64D96"/>
    <w:rsid w:val="00A6756A"/>
    <w:rsid w:val="00A73D43"/>
    <w:rsid w:val="00A7607E"/>
    <w:rsid w:val="00A77623"/>
    <w:rsid w:val="00A80E2D"/>
    <w:rsid w:val="00A81067"/>
    <w:rsid w:val="00A814E0"/>
    <w:rsid w:val="00A9768D"/>
    <w:rsid w:val="00AA7265"/>
    <w:rsid w:val="00AA7E31"/>
    <w:rsid w:val="00AB0808"/>
    <w:rsid w:val="00AB206E"/>
    <w:rsid w:val="00AB62E5"/>
    <w:rsid w:val="00AD0921"/>
    <w:rsid w:val="00AD099F"/>
    <w:rsid w:val="00AD1F2E"/>
    <w:rsid w:val="00AD2A65"/>
    <w:rsid w:val="00AD2D49"/>
    <w:rsid w:val="00AD6097"/>
    <w:rsid w:val="00AE2087"/>
    <w:rsid w:val="00AE4C15"/>
    <w:rsid w:val="00AE54A5"/>
    <w:rsid w:val="00AF72CB"/>
    <w:rsid w:val="00B04911"/>
    <w:rsid w:val="00B1226E"/>
    <w:rsid w:val="00B14E16"/>
    <w:rsid w:val="00B2027A"/>
    <w:rsid w:val="00B35ADB"/>
    <w:rsid w:val="00B37DE1"/>
    <w:rsid w:val="00B456E7"/>
    <w:rsid w:val="00B5294D"/>
    <w:rsid w:val="00B57341"/>
    <w:rsid w:val="00B64E11"/>
    <w:rsid w:val="00B704E8"/>
    <w:rsid w:val="00B757B8"/>
    <w:rsid w:val="00B801C2"/>
    <w:rsid w:val="00B83D60"/>
    <w:rsid w:val="00B83EB4"/>
    <w:rsid w:val="00B841F1"/>
    <w:rsid w:val="00B84E5A"/>
    <w:rsid w:val="00B90B78"/>
    <w:rsid w:val="00B93829"/>
    <w:rsid w:val="00BA0BA6"/>
    <w:rsid w:val="00BA1D3C"/>
    <w:rsid w:val="00BA3A0F"/>
    <w:rsid w:val="00BB2AB6"/>
    <w:rsid w:val="00BC0341"/>
    <w:rsid w:val="00BC30E6"/>
    <w:rsid w:val="00BD4945"/>
    <w:rsid w:val="00BE3BD8"/>
    <w:rsid w:val="00BE4708"/>
    <w:rsid w:val="00BE7DFA"/>
    <w:rsid w:val="00BF2B4D"/>
    <w:rsid w:val="00BF3B5A"/>
    <w:rsid w:val="00BF5714"/>
    <w:rsid w:val="00BF7D68"/>
    <w:rsid w:val="00C004CE"/>
    <w:rsid w:val="00C02EE0"/>
    <w:rsid w:val="00C0577D"/>
    <w:rsid w:val="00C10FAF"/>
    <w:rsid w:val="00C15A5B"/>
    <w:rsid w:val="00C162DF"/>
    <w:rsid w:val="00C16F2B"/>
    <w:rsid w:val="00C2291B"/>
    <w:rsid w:val="00C22AEA"/>
    <w:rsid w:val="00C27383"/>
    <w:rsid w:val="00C365C6"/>
    <w:rsid w:val="00C36FEC"/>
    <w:rsid w:val="00C44F8A"/>
    <w:rsid w:val="00C4759A"/>
    <w:rsid w:val="00C4778F"/>
    <w:rsid w:val="00C56A71"/>
    <w:rsid w:val="00C62366"/>
    <w:rsid w:val="00C6278C"/>
    <w:rsid w:val="00C65EC8"/>
    <w:rsid w:val="00C669C4"/>
    <w:rsid w:val="00C67C40"/>
    <w:rsid w:val="00C71F69"/>
    <w:rsid w:val="00C7285F"/>
    <w:rsid w:val="00C72870"/>
    <w:rsid w:val="00C72B89"/>
    <w:rsid w:val="00C83264"/>
    <w:rsid w:val="00C83792"/>
    <w:rsid w:val="00C87CD1"/>
    <w:rsid w:val="00C87DF6"/>
    <w:rsid w:val="00C94D7B"/>
    <w:rsid w:val="00CA3757"/>
    <w:rsid w:val="00CA3AE1"/>
    <w:rsid w:val="00CB0923"/>
    <w:rsid w:val="00CB1053"/>
    <w:rsid w:val="00CB30F0"/>
    <w:rsid w:val="00CB392B"/>
    <w:rsid w:val="00CC1D4C"/>
    <w:rsid w:val="00CC434A"/>
    <w:rsid w:val="00CD2AB3"/>
    <w:rsid w:val="00CD6736"/>
    <w:rsid w:val="00CE0DA7"/>
    <w:rsid w:val="00CF0C5E"/>
    <w:rsid w:val="00CF4784"/>
    <w:rsid w:val="00CF4EA6"/>
    <w:rsid w:val="00CF78E2"/>
    <w:rsid w:val="00D009CF"/>
    <w:rsid w:val="00D037B5"/>
    <w:rsid w:val="00D04559"/>
    <w:rsid w:val="00D178AC"/>
    <w:rsid w:val="00D20888"/>
    <w:rsid w:val="00D22227"/>
    <w:rsid w:val="00D359D2"/>
    <w:rsid w:val="00D35B2F"/>
    <w:rsid w:val="00D41BBD"/>
    <w:rsid w:val="00D42ECC"/>
    <w:rsid w:val="00D44D71"/>
    <w:rsid w:val="00D54E86"/>
    <w:rsid w:val="00D55730"/>
    <w:rsid w:val="00D566C8"/>
    <w:rsid w:val="00D570D9"/>
    <w:rsid w:val="00D66325"/>
    <w:rsid w:val="00D66AD6"/>
    <w:rsid w:val="00D71F8F"/>
    <w:rsid w:val="00D74832"/>
    <w:rsid w:val="00D83A9A"/>
    <w:rsid w:val="00D84F10"/>
    <w:rsid w:val="00D86FE2"/>
    <w:rsid w:val="00D91129"/>
    <w:rsid w:val="00D91CE1"/>
    <w:rsid w:val="00DA0214"/>
    <w:rsid w:val="00DA09A8"/>
    <w:rsid w:val="00DA2248"/>
    <w:rsid w:val="00DA6649"/>
    <w:rsid w:val="00DA697B"/>
    <w:rsid w:val="00DA6ED5"/>
    <w:rsid w:val="00DB1207"/>
    <w:rsid w:val="00DB4922"/>
    <w:rsid w:val="00DC2E61"/>
    <w:rsid w:val="00DC398F"/>
    <w:rsid w:val="00DC6179"/>
    <w:rsid w:val="00DC6625"/>
    <w:rsid w:val="00DC7B45"/>
    <w:rsid w:val="00DD132A"/>
    <w:rsid w:val="00DD243A"/>
    <w:rsid w:val="00DD59E2"/>
    <w:rsid w:val="00DE15B6"/>
    <w:rsid w:val="00DE2850"/>
    <w:rsid w:val="00DE4065"/>
    <w:rsid w:val="00DE4C0C"/>
    <w:rsid w:val="00DF3618"/>
    <w:rsid w:val="00DF784E"/>
    <w:rsid w:val="00DF7BC5"/>
    <w:rsid w:val="00E01B65"/>
    <w:rsid w:val="00E043FB"/>
    <w:rsid w:val="00E046B2"/>
    <w:rsid w:val="00E0715D"/>
    <w:rsid w:val="00E104F4"/>
    <w:rsid w:val="00E10AFE"/>
    <w:rsid w:val="00E1217C"/>
    <w:rsid w:val="00E212F5"/>
    <w:rsid w:val="00E2383A"/>
    <w:rsid w:val="00E23E92"/>
    <w:rsid w:val="00E26074"/>
    <w:rsid w:val="00E30A19"/>
    <w:rsid w:val="00E31449"/>
    <w:rsid w:val="00E33B9B"/>
    <w:rsid w:val="00E35BCC"/>
    <w:rsid w:val="00E36852"/>
    <w:rsid w:val="00E42A91"/>
    <w:rsid w:val="00E43FB1"/>
    <w:rsid w:val="00E44444"/>
    <w:rsid w:val="00E45D2A"/>
    <w:rsid w:val="00E52DD1"/>
    <w:rsid w:val="00E5643C"/>
    <w:rsid w:val="00E67B7E"/>
    <w:rsid w:val="00E71216"/>
    <w:rsid w:val="00E904F3"/>
    <w:rsid w:val="00EA7D9F"/>
    <w:rsid w:val="00EB40F5"/>
    <w:rsid w:val="00EB6CAA"/>
    <w:rsid w:val="00EB7931"/>
    <w:rsid w:val="00EC41A4"/>
    <w:rsid w:val="00EC4470"/>
    <w:rsid w:val="00EC47FA"/>
    <w:rsid w:val="00EC5DDB"/>
    <w:rsid w:val="00ED0BB5"/>
    <w:rsid w:val="00ED0E2E"/>
    <w:rsid w:val="00ED1E39"/>
    <w:rsid w:val="00ED292E"/>
    <w:rsid w:val="00EE1D83"/>
    <w:rsid w:val="00EE7715"/>
    <w:rsid w:val="00EF0406"/>
    <w:rsid w:val="00EF06EF"/>
    <w:rsid w:val="00EF3013"/>
    <w:rsid w:val="00EF399E"/>
    <w:rsid w:val="00F01A70"/>
    <w:rsid w:val="00F0615C"/>
    <w:rsid w:val="00F1115C"/>
    <w:rsid w:val="00F227A1"/>
    <w:rsid w:val="00F23E5A"/>
    <w:rsid w:val="00F3107E"/>
    <w:rsid w:val="00F35555"/>
    <w:rsid w:val="00F366CB"/>
    <w:rsid w:val="00F376E6"/>
    <w:rsid w:val="00F5662D"/>
    <w:rsid w:val="00F5789E"/>
    <w:rsid w:val="00F61335"/>
    <w:rsid w:val="00F61F97"/>
    <w:rsid w:val="00F62536"/>
    <w:rsid w:val="00F67F4E"/>
    <w:rsid w:val="00F67F7D"/>
    <w:rsid w:val="00F7208D"/>
    <w:rsid w:val="00F72EAC"/>
    <w:rsid w:val="00F733CB"/>
    <w:rsid w:val="00F75CBD"/>
    <w:rsid w:val="00F75F39"/>
    <w:rsid w:val="00F8396E"/>
    <w:rsid w:val="00F839AF"/>
    <w:rsid w:val="00F85732"/>
    <w:rsid w:val="00F90344"/>
    <w:rsid w:val="00F933A9"/>
    <w:rsid w:val="00FA222A"/>
    <w:rsid w:val="00FA2586"/>
    <w:rsid w:val="00FA493C"/>
    <w:rsid w:val="00FA6DAA"/>
    <w:rsid w:val="00FB4734"/>
    <w:rsid w:val="00FB72B0"/>
    <w:rsid w:val="00FB7A2F"/>
    <w:rsid w:val="00FC045C"/>
    <w:rsid w:val="00FC0BE8"/>
    <w:rsid w:val="00FC6CAD"/>
    <w:rsid w:val="00FC7971"/>
    <w:rsid w:val="00FD77ED"/>
    <w:rsid w:val="00FE08F4"/>
    <w:rsid w:val="00FE17C4"/>
    <w:rsid w:val="00FE355D"/>
    <w:rsid w:val="00FE4D0E"/>
    <w:rsid w:val="00FE726C"/>
    <w:rsid w:val="00FF61D2"/>
    <w:rsid w:val="0218E9DF"/>
    <w:rsid w:val="0222115A"/>
    <w:rsid w:val="025525E8"/>
    <w:rsid w:val="032B2A74"/>
    <w:rsid w:val="032E7AD7"/>
    <w:rsid w:val="03EA68FD"/>
    <w:rsid w:val="03F0CF5D"/>
    <w:rsid w:val="044093EC"/>
    <w:rsid w:val="0449142E"/>
    <w:rsid w:val="048404E0"/>
    <w:rsid w:val="04F4AF49"/>
    <w:rsid w:val="051B2E82"/>
    <w:rsid w:val="06B31C3F"/>
    <w:rsid w:val="07A3C3BE"/>
    <w:rsid w:val="084EECA0"/>
    <w:rsid w:val="0863F0B5"/>
    <w:rsid w:val="0ADF412A"/>
    <w:rsid w:val="0B4F22A1"/>
    <w:rsid w:val="0EC210C8"/>
    <w:rsid w:val="0FBC99AF"/>
    <w:rsid w:val="14C36A34"/>
    <w:rsid w:val="156E9BF1"/>
    <w:rsid w:val="15E3AA03"/>
    <w:rsid w:val="1660FE69"/>
    <w:rsid w:val="17B9360B"/>
    <w:rsid w:val="17BA0FA0"/>
    <w:rsid w:val="18A63CB3"/>
    <w:rsid w:val="19C6464D"/>
    <w:rsid w:val="1A6F6BA8"/>
    <w:rsid w:val="1B2511C1"/>
    <w:rsid w:val="1BA093D0"/>
    <w:rsid w:val="1BA88156"/>
    <w:rsid w:val="1C8C4FD7"/>
    <w:rsid w:val="1D25A145"/>
    <w:rsid w:val="1D4451B7"/>
    <w:rsid w:val="1D5E995B"/>
    <w:rsid w:val="1DD530A5"/>
    <w:rsid w:val="1E282038"/>
    <w:rsid w:val="208F6316"/>
    <w:rsid w:val="2321193C"/>
    <w:rsid w:val="2373EBA5"/>
    <w:rsid w:val="238C37A9"/>
    <w:rsid w:val="23F09ED3"/>
    <w:rsid w:val="24A7F6A4"/>
    <w:rsid w:val="254F639C"/>
    <w:rsid w:val="26A025C2"/>
    <w:rsid w:val="27CF4D7D"/>
    <w:rsid w:val="28EFA5C7"/>
    <w:rsid w:val="29986DDF"/>
    <w:rsid w:val="29ABF98F"/>
    <w:rsid w:val="29F2CE0D"/>
    <w:rsid w:val="2B74A371"/>
    <w:rsid w:val="2BFCB008"/>
    <w:rsid w:val="329FA0BA"/>
    <w:rsid w:val="3370E712"/>
    <w:rsid w:val="33A3F1B7"/>
    <w:rsid w:val="34B5730C"/>
    <w:rsid w:val="350B4C4E"/>
    <w:rsid w:val="3713EDF6"/>
    <w:rsid w:val="37DBF25D"/>
    <w:rsid w:val="380EFC9C"/>
    <w:rsid w:val="393B17D4"/>
    <w:rsid w:val="39AACCFD"/>
    <w:rsid w:val="3AB0A638"/>
    <w:rsid w:val="3ABC066F"/>
    <w:rsid w:val="3B036CD7"/>
    <w:rsid w:val="3B13931F"/>
    <w:rsid w:val="3C1A2635"/>
    <w:rsid w:val="3C9F3D38"/>
    <w:rsid w:val="3ED4BD18"/>
    <w:rsid w:val="3FD6DDFA"/>
    <w:rsid w:val="410BF973"/>
    <w:rsid w:val="4182D4A3"/>
    <w:rsid w:val="42A85942"/>
    <w:rsid w:val="431EA504"/>
    <w:rsid w:val="4380ED79"/>
    <w:rsid w:val="46C69924"/>
    <w:rsid w:val="473FE2A8"/>
    <w:rsid w:val="48F60233"/>
    <w:rsid w:val="4923EFDE"/>
    <w:rsid w:val="49532320"/>
    <w:rsid w:val="49FE39E6"/>
    <w:rsid w:val="4A437D92"/>
    <w:rsid w:val="4A7DC931"/>
    <w:rsid w:val="4C2230D8"/>
    <w:rsid w:val="4D94C9FB"/>
    <w:rsid w:val="4E29B1CD"/>
    <w:rsid w:val="4E591EE9"/>
    <w:rsid w:val="4E92269D"/>
    <w:rsid w:val="50381FD1"/>
    <w:rsid w:val="50C79C5A"/>
    <w:rsid w:val="51CC7DDD"/>
    <w:rsid w:val="5217373C"/>
    <w:rsid w:val="5242E84A"/>
    <w:rsid w:val="52B054AD"/>
    <w:rsid w:val="532C900C"/>
    <w:rsid w:val="54322899"/>
    <w:rsid w:val="54BFF114"/>
    <w:rsid w:val="55437283"/>
    <w:rsid w:val="55843167"/>
    <w:rsid w:val="55E82234"/>
    <w:rsid w:val="5B391693"/>
    <w:rsid w:val="5B5E339F"/>
    <w:rsid w:val="60376551"/>
    <w:rsid w:val="61EA7DE4"/>
    <w:rsid w:val="6208D490"/>
    <w:rsid w:val="6593AE4D"/>
    <w:rsid w:val="66205198"/>
    <w:rsid w:val="66A5FA5F"/>
    <w:rsid w:val="66B36A9F"/>
    <w:rsid w:val="67651576"/>
    <w:rsid w:val="6A0569CD"/>
    <w:rsid w:val="6A1988A2"/>
    <w:rsid w:val="6B2B5698"/>
    <w:rsid w:val="6B7FBB6B"/>
    <w:rsid w:val="6B8D3F60"/>
    <w:rsid w:val="6C8A6918"/>
    <w:rsid w:val="6D0C90C3"/>
    <w:rsid w:val="6D407DBE"/>
    <w:rsid w:val="6DB9FEF8"/>
    <w:rsid w:val="6DD456FA"/>
    <w:rsid w:val="6E041E78"/>
    <w:rsid w:val="6EEBAB32"/>
    <w:rsid w:val="6F46D8B6"/>
    <w:rsid w:val="6F6B267F"/>
    <w:rsid w:val="6FEB7A8C"/>
    <w:rsid w:val="70BEEE7D"/>
    <w:rsid w:val="739164FF"/>
    <w:rsid w:val="7443987E"/>
    <w:rsid w:val="75831FBD"/>
    <w:rsid w:val="75990C6E"/>
    <w:rsid w:val="75CD9C6C"/>
    <w:rsid w:val="75DF68DF"/>
    <w:rsid w:val="778FDAC5"/>
    <w:rsid w:val="794BE538"/>
    <w:rsid w:val="7A461062"/>
    <w:rsid w:val="7C73F407"/>
    <w:rsid w:val="7DD15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84588"/>
  <w15:chartTrackingRefBased/>
  <w15:docId w15:val="{AD030B77-C737-44F1-9931-764043CD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971"/>
    <w:rPr>
      <w:sz w:val="24"/>
    </w:rPr>
  </w:style>
  <w:style w:type="paragraph" w:styleId="Heading1">
    <w:name w:val="heading 1"/>
    <w:basedOn w:val="Normal"/>
    <w:next w:val="Normal"/>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qFormat/>
    <w:rsid w:val="00FC797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rsid w:val="00B57341"/>
    <w:rPr>
      <w:sz w:val="26"/>
    </w:rPr>
  </w:style>
  <w:style w:type="paragraph" w:styleId="BodyText">
    <w:name w:val="Body Text"/>
    <w:basedOn w:val="Normal"/>
    <w:link w:val="BodyTextChar"/>
    <w:rsid w:val="00FC7971"/>
    <w:pPr>
      <w:spacing w:after="240"/>
    </w:pPr>
    <w:rPr>
      <w:lang w:val="x-none" w:eastAsia="x-none"/>
    </w:rPr>
  </w:style>
  <w:style w:type="paragraph" w:styleId="NormalWeb">
    <w:name w:val="Normal (Web)"/>
    <w:basedOn w:val="Normal"/>
    <w:rsid w:val="00FC7971"/>
    <w:pPr>
      <w:spacing w:before="100" w:beforeAutospacing="1" w:after="100" w:afterAutospacing="1"/>
    </w:pPr>
    <w:rPr>
      <w:szCs w:val="24"/>
    </w:rPr>
  </w:style>
  <w:style w:type="paragraph" w:customStyle="1" w:styleId="SubHeading">
    <w:name w:val="Sub Heading"/>
    <w:basedOn w:val="Normal"/>
    <w:next w:val="NormalWeb"/>
    <w:rsid w:val="00B57341"/>
    <w:pPr>
      <w:keepNext/>
      <w:spacing w:before="240" w:after="60"/>
      <w:outlineLvl w:val="0"/>
    </w:pPr>
    <w:rPr>
      <w:rFonts w:cs="Arial"/>
      <w:b/>
      <w:kern w:val="32"/>
      <w:szCs w:val="32"/>
    </w:rPr>
  </w:style>
  <w:style w:type="paragraph" w:styleId="Title">
    <w:name w:val="Title"/>
    <w:basedOn w:val="Normal"/>
    <w:link w:val="TitleChar"/>
    <w:qFormat/>
    <w:rsid w:val="00BF5714"/>
    <w:pPr>
      <w:spacing w:before="360"/>
      <w:jc w:val="center"/>
    </w:pPr>
    <w:rPr>
      <w:b/>
      <w:sz w:val="32"/>
      <w:lang w:val="x-none" w:eastAsia="x-none"/>
    </w:rPr>
  </w:style>
  <w:style w:type="paragraph" w:customStyle="1" w:styleId="ActTitle">
    <w:name w:val="Act Title"/>
    <w:basedOn w:val="Normal"/>
    <w:next w:val="Normal"/>
    <w:rsid w:val="00BF5714"/>
    <w:pPr>
      <w:pBdr>
        <w:bottom w:val="single" w:sz="4" w:space="3" w:color="auto"/>
      </w:pBdr>
      <w:spacing w:before="480" w:after="240"/>
    </w:pPr>
    <w:rPr>
      <w:rFonts w:ascii="Arial" w:hAnsi="Arial"/>
      <w:i/>
      <w:iCs/>
      <w:sz w:val="28"/>
    </w:rPr>
  </w:style>
  <w:style w:type="paragraph" w:styleId="BalloonText">
    <w:name w:val="Balloon Text"/>
    <w:basedOn w:val="Normal"/>
    <w:semiHidden/>
    <w:rsid w:val="00BE3BD8"/>
    <w:rPr>
      <w:rFonts w:ascii="Tahoma" w:hAnsi="Tahoma" w:cs="Tahoma"/>
      <w:sz w:val="16"/>
      <w:szCs w:val="16"/>
    </w:rPr>
  </w:style>
  <w:style w:type="paragraph" w:styleId="FootnoteText">
    <w:name w:val="footnote text"/>
    <w:basedOn w:val="Normal"/>
    <w:semiHidden/>
    <w:rsid w:val="00394625"/>
    <w:rPr>
      <w:sz w:val="20"/>
    </w:rPr>
  </w:style>
  <w:style w:type="character" w:styleId="FootnoteReference">
    <w:name w:val="footnote reference"/>
    <w:semiHidden/>
    <w:rsid w:val="00394625"/>
    <w:rPr>
      <w:vertAlign w:val="superscript"/>
    </w:rPr>
  </w:style>
  <w:style w:type="character" w:styleId="Hyperlink">
    <w:name w:val="Hyperlink"/>
    <w:uiPriority w:val="99"/>
    <w:rsid w:val="002F48D7"/>
    <w:rPr>
      <w:color w:val="0000FF"/>
      <w:u w:val="single"/>
    </w:rPr>
  </w:style>
  <w:style w:type="character" w:customStyle="1" w:styleId="BodyTextChar">
    <w:name w:val="Body Text Char"/>
    <w:link w:val="BodyText"/>
    <w:rsid w:val="00C22AEA"/>
    <w:rPr>
      <w:sz w:val="24"/>
    </w:rPr>
  </w:style>
  <w:style w:type="character" w:customStyle="1" w:styleId="TitleChar">
    <w:name w:val="Title Char"/>
    <w:link w:val="Title"/>
    <w:rsid w:val="00C22AEA"/>
    <w:rPr>
      <w:b/>
      <w:sz w:val="32"/>
    </w:rPr>
  </w:style>
  <w:style w:type="character" w:styleId="CommentReference">
    <w:name w:val="annotation reference"/>
    <w:uiPriority w:val="99"/>
    <w:semiHidden/>
    <w:unhideWhenUsed/>
    <w:rsid w:val="00820513"/>
    <w:rPr>
      <w:sz w:val="16"/>
      <w:szCs w:val="16"/>
    </w:rPr>
  </w:style>
  <w:style w:type="paragraph" w:styleId="CommentText">
    <w:name w:val="annotation text"/>
    <w:basedOn w:val="Normal"/>
    <w:link w:val="CommentTextChar"/>
    <w:uiPriority w:val="99"/>
    <w:semiHidden/>
    <w:unhideWhenUsed/>
    <w:rsid w:val="00820513"/>
    <w:rPr>
      <w:sz w:val="20"/>
    </w:rPr>
  </w:style>
  <w:style w:type="character" w:customStyle="1" w:styleId="CommentTextChar">
    <w:name w:val="Comment Text Char"/>
    <w:basedOn w:val="DefaultParagraphFont"/>
    <w:link w:val="CommentText"/>
    <w:uiPriority w:val="99"/>
    <w:semiHidden/>
    <w:rsid w:val="00820513"/>
  </w:style>
  <w:style w:type="paragraph" w:styleId="CommentSubject">
    <w:name w:val="annotation subject"/>
    <w:basedOn w:val="CommentText"/>
    <w:next w:val="CommentText"/>
    <w:link w:val="CommentSubjectChar"/>
    <w:uiPriority w:val="99"/>
    <w:semiHidden/>
    <w:unhideWhenUsed/>
    <w:rsid w:val="00820513"/>
    <w:rPr>
      <w:b/>
      <w:bCs/>
    </w:rPr>
  </w:style>
  <w:style w:type="character" w:customStyle="1" w:styleId="CommentSubjectChar">
    <w:name w:val="Comment Subject Char"/>
    <w:link w:val="CommentSubject"/>
    <w:uiPriority w:val="99"/>
    <w:semiHidden/>
    <w:rsid w:val="00820513"/>
    <w:rPr>
      <w:b/>
      <w:bCs/>
    </w:rPr>
  </w:style>
  <w:style w:type="paragraph" w:styleId="ListParagraph">
    <w:name w:val="List Paragraph"/>
    <w:basedOn w:val="Normal"/>
    <w:uiPriority w:val="34"/>
    <w:qFormat/>
    <w:rsid w:val="00452B89"/>
    <w:pPr>
      <w:spacing w:before="100" w:beforeAutospacing="1" w:after="100" w:afterAutospacing="1"/>
    </w:pPr>
    <w:rPr>
      <w:rFonts w:eastAsia="Times New Roman"/>
      <w:szCs w:val="24"/>
    </w:rPr>
  </w:style>
  <w:style w:type="paragraph" w:styleId="Revision">
    <w:name w:val="Revision"/>
    <w:hidden/>
    <w:uiPriority w:val="99"/>
    <w:semiHidden/>
    <w:rsid w:val="000409C3"/>
    <w:rPr>
      <w:sz w:val="24"/>
    </w:rPr>
  </w:style>
  <w:style w:type="paragraph" w:styleId="Header">
    <w:name w:val="header"/>
    <w:basedOn w:val="Normal"/>
    <w:link w:val="HeaderChar"/>
    <w:uiPriority w:val="99"/>
    <w:unhideWhenUsed/>
    <w:rsid w:val="001C68F5"/>
    <w:pPr>
      <w:tabs>
        <w:tab w:val="center" w:pos="4513"/>
        <w:tab w:val="right" w:pos="9026"/>
      </w:tabs>
    </w:pPr>
  </w:style>
  <w:style w:type="character" w:customStyle="1" w:styleId="HeaderChar">
    <w:name w:val="Header Char"/>
    <w:basedOn w:val="DefaultParagraphFont"/>
    <w:link w:val="Header"/>
    <w:uiPriority w:val="99"/>
    <w:rsid w:val="001C68F5"/>
    <w:rPr>
      <w:sz w:val="24"/>
    </w:rPr>
  </w:style>
  <w:style w:type="paragraph" w:styleId="Footer">
    <w:name w:val="footer"/>
    <w:basedOn w:val="Normal"/>
    <w:link w:val="FooterChar"/>
    <w:uiPriority w:val="99"/>
    <w:unhideWhenUsed/>
    <w:rsid w:val="001C68F5"/>
    <w:pPr>
      <w:tabs>
        <w:tab w:val="center" w:pos="4513"/>
        <w:tab w:val="right" w:pos="9026"/>
      </w:tabs>
    </w:pPr>
  </w:style>
  <w:style w:type="character" w:customStyle="1" w:styleId="FooterChar">
    <w:name w:val="Footer Char"/>
    <w:basedOn w:val="DefaultParagraphFont"/>
    <w:link w:val="Footer"/>
    <w:uiPriority w:val="99"/>
    <w:rsid w:val="001C68F5"/>
    <w:rPr>
      <w:sz w:val="24"/>
    </w:rPr>
  </w:style>
  <w:style w:type="character" w:styleId="UnresolvedMention">
    <w:name w:val="Unresolved Mention"/>
    <w:basedOn w:val="DefaultParagraphFont"/>
    <w:uiPriority w:val="99"/>
    <w:semiHidden/>
    <w:unhideWhenUsed/>
    <w:rsid w:val="00C71F69"/>
    <w:rPr>
      <w:color w:val="605E5C"/>
      <w:shd w:val="clear" w:color="auto" w:fill="E1DFDD"/>
    </w:rPr>
  </w:style>
  <w:style w:type="character" w:styleId="FollowedHyperlink">
    <w:name w:val="FollowedHyperlink"/>
    <w:basedOn w:val="DefaultParagraphFont"/>
    <w:uiPriority w:val="99"/>
    <w:semiHidden/>
    <w:unhideWhenUsed/>
    <w:rsid w:val="00C71F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06058">
      <w:bodyDiv w:val="1"/>
      <w:marLeft w:val="0"/>
      <w:marRight w:val="0"/>
      <w:marTop w:val="0"/>
      <w:marBottom w:val="0"/>
      <w:divBdr>
        <w:top w:val="none" w:sz="0" w:space="0" w:color="auto"/>
        <w:left w:val="none" w:sz="0" w:space="0" w:color="auto"/>
        <w:bottom w:val="none" w:sz="0" w:space="0" w:color="auto"/>
        <w:right w:val="none" w:sz="0" w:space="0" w:color="auto"/>
      </w:divBdr>
    </w:div>
    <w:div w:id="1003320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C1959A00006" TargetMode="External"/><Relationship Id="rId2" Type="http://schemas.openxmlformats.org/officeDocument/2006/relationships/hyperlink" Target="https://www.legislation.gov.au/Details/F2023L00160" TargetMode="External"/><Relationship Id="rId1" Type="http://schemas.openxmlformats.org/officeDocument/2006/relationships/hyperlink" Target="https://www.bis.org/basel_framework/standard/DIS.htm" TargetMode="External"/><Relationship Id="rId6" Type="http://schemas.openxmlformats.org/officeDocument/2006/relationships/hyperlink" Target="https://www.apra.gov.au/adi-centralised-publication-update-and-consultation-0" TargetMode="External"/><Relationship Id="rId5" Type="http://schemas.openxmlformats.org/officeDocument/2006/relationships/hyperlink" Target="https://www.apra.gov.au/confidentiality-of-data-used-adi-quarterly-publications-and-additional-historical-data%20" TargetMode="External"/><Relationship Id="rId4" Type="http://schemas.openxmlformats.org/officeDocument/2006/relationships/hyperlink" Target="https://www.legislation.gov.au/Series/C2004A00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Tim Sutton</DisplayName>
        <AccountId>475</AccountId>
        <AccountType/>
      </UserInfo>
      <UserInfo>
        <DisplayName>Alex Rusten</DisplayName>
        <AccountId>474</AccountId>
        <AccountType/>
      </UserInfo>
      <UserInfo>
        <DisplayName>Eisha Farrukh</DisplayName>
        <AccountId>773</AccountId>
        <AccountType/>
      </UserInfo>
    </SharedWithUsers>
    <_Flow_SignoffStatus xmlns="5e7d1d2f-1d1d-4328-b1c4-d23268d860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232;#2018/2019|270a5b4d-0984-4735-8131-38e5613520e5;#58;#Legal instrument|71fd6ed3-d6d6-4975-ba99-bfe45802e734;#94;#Publication|ab25b00f-2385-4d0f-89e2-cf0b96f3cce8;#7;#ADI|906b8d6f-8851-e311-9e2e-005056b54f10;#291;#Statutory instrument|fe68928c-5a9c-4caf-bc8c-6c18cedcb17f;#1;#Draft|0e1556d2-3fe8-443a-ada7-3620563b46b3]]></LongProp>
</LongProperties>
</file>

<file path=customXml/itemProps1.xml><?xml version="1.0" encoding="utf-8"?>
<ds:datastoreItem xmlns:ds="http://schemas.openxmlformats.org/officeDocument/2006/customXml" ds:itemID="{AFA54F15-C87D-4B6B-9308-33CEC99889BB}">
  <ds:schemaRefs>
    <ds:schemaRef ds:uri="http://schemas.microsoft.com/sharepoint/v3/contenttype/forms"/>
  </ds:schemaRefs>
</ds:datastoreItem>
</file>

<file path=customXml/itemProps2.xml><?xml version="1.0" encoding="utf-8"?>
<ds:datastoreItem xmlns:ds="http://schemas.openxmlformats.org/officeDocument/2006/customXml" ds:itemID="{750F6C3E-D36F-4394-872C-DA006090280C}">
  <ds:schemaRefs>
    <ds:schemaRef ds:uri="http://schemas.openxmlformats.org/officeDocument/2006/bibliography"/>
  </ds:schemaRefs>
</ds:datastoreItem>
</file>

<file path=customXml/itemProps3.xml><?xml version="1.0" encoding="utf-8"?>
<ds:datastoreItem xmlns:ds="http://schemas.openxmlformats.org/officeDocument/2006/customXml" ds:itemID="{3BEE9956-195E-48FF-8153-027DD04F62EE}">
  <ds:schemaRefs>
    <ds:schemaRef ds:uri="5e7d1d2f-1d1d-4328-b1c4-d23268d8602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0873f81f-5545-4105-9cf3-1e567ff68fe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FC4E873-ADDA-483E-9E73-AB12A4DB7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08D08B-3D5D-4C6C-BB79-E79A5CC31B2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7371</Characters>
  <Application>Microsoft Office Word</Application>
  <DocSecurity>4</DocSecurity>
  <Lines>131</Lines>
  <Paragraphs>46</Paragraphs>
  <ScaleCrop>false</ScaleCrop>
  <HeadingPairs>
    <vt:vector size="2" baseType="variant">
      <vt:variant>
        <vt:lpstr>Title</vt:lpstr>
      </vt:variant>
      <vt:variant>
        <vt:i4>1</vt:i4>
      </vt:variant>
    </vt:vector>
  </HeadingPairs>
  <TitlesOfParts>
    <vt:vector size="1" baseType="lpstr">
      <vt:lpstr>Determination that information is non-confidential (information provided by locally-incorporated banks and foreign ADIs under</vt:lpstr>
    </vt:vector>
  </TitlesOfParts>
  <Company>APRA</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that information is non-confidential (information provided by locally-incorporated banks and foreign ADIs under</dc:title>
  <dc:subject/>
  <dc:creator>Simon Taylor</dc:creator>
  <cp:keywords>[SEC=OFFICIAL]</cp:keywords>
  <cp:lastModifiedBy>Toni Michalis</cp:lastModifiedBy>
  <cp:revision>2</cp:revision>
  <cp:lastPrinted>2023-05-29T05:37:00Z</cp:lastPrinted>
  <dcterms:created xsi:type="dcterms:W3CDTF">2023-05-29T23:01:00Z</dcterms:created>
  <dcterms:modified xsi:type="dcterms:W3CDTF">2023-05-29T23:01:00Z</dcterms:modified>
  <cp:category/>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RAPeriod">
    <vt:lpwstr/>
  </property>
  <property fmtid="{D5CDD505-2E9C-101B-9397-08002B2CF9AE}" pid="3" name="APRAPRSG">
    <vt:lpwstr/>
  </property>
  <property fmtid="{D5CDD505-2E9C-101B-9397-08002B2CF9AE}" pid="4" name="APRAYear">
    <vt:lpwstr>174;#2018|337d548e-be9a-4363-bbb3-ec2b7c3daa90;#386;#2019|7f488d12-1aa7-4fe3-8821-bfe8262e80d0</vt:lpwstr>
  </property>
  <property fmtid="{D5CDD505-2E9C-101B-9397-08002B2CF9AE}" pid="5" name="APRAIndustry">
    <vt:lpwstr>7;#ADI|906b8d6f-8851-e311-9e2e-005056b54f10</vt:lpwstr>
  </property>
  <property fmtid="{D5CDD505-2E9C-101B-9397-08002B2CF9AE}" pid="6" name="_dlc_DocId">
    <vt:lpwstr>VQVUQ2WUPSKA-1683173573-43307</vt:lpwstr>
  </property>
  <property fmtid="{D5CDD505-2E9C-101B-9397-08002B2CF9AE}" pid="7" name="_dlc_DocIdItemGuid">
    <vt:lpwstr>fd12167b-41fc-4615-8215-2e920c96e72b</vt:lpwstr>
  </property>
  <property fmtid="{D5CDD505-2E9C-101B-9397-08002B2CF9AE}" pid="8" name="_dlc_DocIdUrl">
    <vt:lpwstr>https://im/teams/DA/_layouts/15/DocIdRedir.aspx?ID=VQVUQ2WUPSKA-1683173573-43307, VQVUQ2WUPSKA-1683173573-43307</vt:lpwstr>
  </property>
  <property fmtid="{D5CDD505-2E9C-101B-9397-08002B2CF9AE}" pid="9" name="IsLocked">
    <vt:lpwstr>False</vt:lpwstr>
  </property>
  <property fmtid="{D5CDD505-2E9C-101B-9397-08002B2CF9AE}" pid="10" name="APRAActivity">
    <vt:lpwstr>56;#Legal advice|47dcad67-54ec-4c15-a2f1-eec9cf2f5637;#303;#Confidentiality and privacy|53d24e46-22f3-4d96-99dd-f448fc442327</vt:lpwstr>
  </property>
  <property fmtid="{D5CDD505-2E9C-101B-9397-08002B2CF9AE}" pid="11" name="APRAEntityAdviceSupport">
    <vt:lpwstr/>
  </property>
  <property fmtid="{D5CDD505-2E9C-101B-9397-08002B2CF9AE}" pid="12" name="APRACostCentre">
    <vt:lpwstr/>
  </property>
  <property fmtid="{D5CDD505-2E9C-101B-9397-08002B2CF9AE}" pid="13" name="APRAExternalOrganisation">
    <vt:lpwstr/>
  </property>
  <property fmtid="{D5CDD505-2E9C-101B-9397-08002B2CF9AE}" pid="14" name="APRALegislation">
    <vt:lpwstr/>
  </property>
  <property fmtid="{D5CDD505-2E9C-101B-9397-08002B2CF9AE}" pid="15" name="APRAIRTR">
    <vt:lpwstr/>
  </property>
  <property fmtid="{D5CDD505-2E9C-101B-9397-08002B2CF9AE}" pid="16" name="APRACategory">
    <vt:lpwstr/>
  </property>
  <property fmtid="{D5CDD505-2E9C-101B-9397-08002B2CF9AE}" pid="17" name="APRADocumentType">
    <vt:lpwstr>58;#Legal instrument|71fd6ed3-d6d6-4975-ba99-bfe45802e734</vt:lpwstr>
  </property>
  <property fmtid="{D5CDD505-2E9C-101B-9397-08002B2CF9AE}" pid="18" name="APRAStatus">
    <vt:lpwstr>1;#Draft|0e1556d2-3fe8-443a-ada7-3620563b46b3</vt:lpwstr>
  </property>
  <property fmtid="{D5CDD505-2E9C-101B-9397-08002B2CF9AE}" pid="19" name="RecordPoint_WorkflowType">
    <vt:lpwstr>ActiveSubmitStub</vt:lpwstr>
  </property>
  <property fmtid="{D5CDD505-2E9C-101B-9397-08002B2CF9AE}" pid="20" name="RecordPoint_ActiveItemSiteId">
    <vt:lpwstr>{99f7d170-f886-4b78-8389-87e4657e4bc8}</vt:lpwstr>
  </property>
  <property fmtid="{D5CDD505-2E9C-101B-9397-08002B2CF9AE}" pid="21" name="RecordPoint_ActiveItemListId">
    <vt:lpwstr>{61fbfb6e-bac9-459c-9569-360598f35847}</vt:lpwstr>
  </property>
  <property fmtid="{D5CDD505-2E9C-101B-9397-08002B2CF9AE}" pid="22" name="RecordPoint_ActiveItemUniqueId">
    <vt:lpwstr>{fd12167b-41fc-4615-8215-2e920c96e72b}</vt:lpwstr>
  </property>
  <property fmtid="{D5CDD505-2E9C-101B-9397-08002B2CF9AE}" pid="23" name="RecordPoint_ActiveItemWebId">
    <vt:lpwstr>{ad6dddf9-383b-42a4-9cb2-33e024a97839}</vt:lpwstr>
  </property>
  <property fmtid="{D5CDD505-2E9C-101B-9397-08002B2CF9AE}" pid="24" name="IT system type">
    <vt:lpwstr/>
  </property>
  <property fmtid="{D5CDD505-2E9C-101B-9397-08002B2CF9AE}" pid="25" name="RecordPoint_SubmissionCompleted">
    <vt:lpwstr>2019-08-22T16:25:49.1381156+10:00</vt:lpwstr>
  </property>
  <property fmtid="{D5CDD505-2E9C-101B-9397-08002B2CF9AE}" pid="26" name="RecordPoint_RecordNumberSubmitted">
    <vt:lpwstr>R0000876909</vt:lpwstr>
  </property>
  <property fmtid="{D5CDD505-2E9C-101B-9397-08002B2CF9AE}" pid="27" name="ContentTypeId">
    <vt:lpwstr>0x01010055938772D2D18A4A95DEC4D9E6BF9669</vt:lpwstr>
  </property>
  <property fmtid="{D5CDD505-2E9C-101B-9397-08002B2CF9AE}" pid="28" name="RecordPoint_SubmissionDate">
    <vt:lpwstr/>
  </property>
  <property fmtid="{D5CDD505-2E9C-101B-9397-08002B2CF9AE}" pid="29" name="RecordPoint_ActiveItemMoved">
    <vt:lpwstr/>
  </property>
  <property fmtid="{D5CDD505-2E9C-101B-9397-08002B2CF9AE}" pid="30" name="RecordPoint_RecordFormat">
    <vt:lpwstr/>
  </property>
  <property fmtid="{D5CDD505-2E9C-101B-9397-08002B2CF9AE}" pid="31" name="PM_ProtectiveMarkingValue_Footer">
    <vt:lpwstr>OFFICIAL</vt:lpwstr>
  </property>
  <property fmtid="{D5CDD505-2E9C-101B-9397-08002B2CF9AE}" pid="32" name="PM_Caveats_Count">
    <vt:lpwstr>0</vt:lpwstr>
  </property>
  <property fmtid="{D5CDD505-2E9C-101B-9397-08002B2CF9AE}" pid="33" name="PM_Originator_Hash_SHA1">
    <vt:lpwstr>C3AD57350F36D8E1BD75F8F67CB06D435C9C43CA</vt:lpwstr>
  </property>
  <property fmtid="{D5CDD505-2E9C-101B-9397-08002B2CF9AE}" pid="34" name="PM_SecurityClassification">
    <vt:lpwstr>OFFICIAL</vt:lpwstr>
  </property>
  <property fmtid="{D5CDD505-2E9C-101B-9397-08002B2CF9AE}" pid="35" name="PM_DisplayValueSecClassificationWithQualifier">
    <vt:lpwstr>OFFICIAL</vt:lpwstr>
  </property>
  <property fmtid="{D5CDD505-2E9C-101B-9397-08002B2CF9AE}" pid="36" name="PM_Qualifier">
    <vt:lpwstr/>
  </property>
  <property fmtid="{D5CDD505-2E9C-101B-9397-08002B2CF9AE}" pid="37" name="PM_Hash_SHA1">
    <vt:lpwstr>27DA36D06D159AA97242975A7FBC0DD927FA36F8</vt:lpwstr>
  </property>
  <property fmtid="{D5CDD505-2E9C-101B-9397-08002B2CF9AE}" pid="38" name="PM_ProtectiveMarkingImage_Header">
    <vt:lpwstr>C:\Program Files\Common Files\janusNET Shared\janusSEAL\Images\DocumentSlashBlue.png</vt:lpwstr>
  </property>
  <property fmtid="{D5CDD505-2E9C-101B-9397-08002B2CF9AE}" pid="39" name="PM_InsertionValue">
    <vt:lpwstr>OFFICIAL</vt:lpwstr>
  </property>
  <property fmtid="{D5CDD505-2E9C-101B-9397-08002B2CF9AE}" pid="40" name="PM_ProtectiveMarkingValue_Header">
    <vt:lpwstr>OFFICIAL</vt:lpwstr>
  </property>
  <property fmtid="{D5CDD505-2E9C-101B-9397-08002B2CF9AE}" pid="41" name="PM_ProtectiveMarkingImage_Footer">
    <vt:lpwstr>C:\Program Files\Common Files\janusNET Shared\janusSEAL\Images\DocumentSlashBlue.png</vt:lpwstr>
  </property>
  <property fmtid="{D5CDD505-2E9C-101B-9397-08002B2CF9AE}" pid="42" name="PM_Namespace">
    <vt:lpwstr>gov.au</vt:lpwstr>
  </property>
  <property fmtid="{D5CDD505-2E9C-101B-9397-08002B2CF9AE}" pid="43" name="PM_Version">
    <vt:lpwstr>2018.4</vt:lpwstr>
  </property>
  <property fmtid="{D5CDD505-2E9C-101B-9397-08002B2CF9AE}" pid="44" name="PM_Originating_FileId">
    <vt:lpwstr>4E00E5826A56469A96D0AE6FF53C5B7B</vt:lpwstr>
  </property>
  <property fmtid="{D5CDD505-2E9C-101B-9397-08002B2CF9AE}" pid="45" name="PM_OriginationTimeStamp">
    <vt:lpwstr>2023-05-10T01:38:25Z</vt:lpwstr>
  </property>
  <property fmtid="{D5CDD505-2E9C-101B-9397-08002B2CF9AE}" pid="46" name="PM_Hash_Version">
    <vt:lpwstr>2022.1</vt:lpwstr>
  </property>
  <property fmtid="{D5CDD505-2E9C-101B-9397-08002B2CF9AE}" pid="47" name="PM_Hash_Salt_Prev">
    <vt:lpwstr>528DF7861524A5ABFFAE05B11CE3E231</vt:lpwstr>
  </property>
  <property fmtid="{D5CDD505-2E9C-101B-9397-08002B2CF9AE}" pid="48" name="PM_Hash_Salt">
    <vt:lpwstr>2D06BD1C0CF35F1B3ACA1B418C48F791</vt:lpwstr>
  </property>
  <property fmtid="{D5CDD505-2E9C-101B-9397-08002B2CF9AE}" pid="49" name="_docset_NoMedatataSyncRequired">
    <vt:lpwstr>False</vt:lpwstr>
  </property>
  <property fmtid="{D5CDD505-2E9C-101B-9397-08002B2CF9AE}" pid="50" name="MSIP_Label_979e419e-e8b2-4040-9aa9-4bb9c70090d7_Enabled">
    <vt:lpwstr>True</vt:lpwstr>
  </property>
  <property fmtid="{D5CDD505-2E9C-101B-9397-08002B2CF9AE}" pid="51" name="MSIP_Label_979e419e-e8b2-4040-9aa9-4bb9c70090d7_SiteId">
    <vt:lpwstr>c05e3ffd-b491-4431-9809-e61d4dc78816</vt:lpwstr>
  </property>
  <property fmtid="{D5CDD505-2E9C-101B-9397-08002B2CF9AE}" pid="52" name="MSIP_Label_979e419e-e8b2-4040-9aa9-4bb9c70090d7_SetDate">
    <vt:lpwstr>2023-04-26T02:51:54Z</vt:lpwstr>
  </property>
  <property fmtid="{D5CDD505-2E9C-101B-9397-08002B2CF9AE}" pid="53" name="MSIP_Label_979e419e-e8b2-4040-9aa9-4bb9c70090d7_Name">
    <vt:lpwstr>OFFICIAL - Sensitive</vt:lpwstr>
  </property>
  <property fmtid="{D5CDD505-2E9C-101B-9397-08002B2CF9AE}" pid="54" name="MSIP_Label_979e419e-e8b2-4040-9aa9-4bb9c70090d7_ActionId">
    <vt:lpwstr>64f41a67-7371-4d38-8381-d8c20a900306</vt:lpwstr>
  </property>
  <property fmtid="{D5CDD505-2E9C-101B-9397-08002B2CF9AE}" pid="55" name="MSIP_Label_979e419e-e8b2-4040-9aa9-4bb9c70090d7_Extended_MSFT_Method">
    <vt:lpwstr>Standard</vt:lpwstr>
  </property>
  <property fmtid="{D5CDD505-2E9C-101B-9397-08002B2CF9AE}" pid="56" name="Sensitivity">
    <vt:lpwstr>OFFICIAL - Sensitive \ OFFICIAL - Sensitive OFFICIAL - Sensitive</vt:lpwstr>
  </property>
  <property fmtid="{D5CDD505-2E9C-101B-9397-08002B2CF9AE}" pid="57" name="PM_Display">
    <vt:lpwstr>OFFICIAL</vt:lpwstr>
  </property>
  <property fmtid="{D5CDD505-2E9C-101B-9397-08002B2CF9AE}" pid="58" name="PMHMAC">
    <vt:lpwstr>v=2022.1;a=SHA256;h=0141AAB8E52812DA4B77C4E72A05C4DEB7308B005B106A5110AF239EBEFEBF4D</vt:lpwstr>
  </property>
  <property fmtid="{D5CDD505-2E9C-101B-9397-08002B2CF9AE}" pid="59" name="PM_Qualifier_Prev">
    <vt:lpwstr/>
  </property>
  <property fmtid="{D5CDD505-2E9C-101B-9397-08002B2CF9AE}" pid="60" name="PM_OriginatorUserAccountName_SHA256">
    <vt:lpwstr>6E3018F28A186D2E5FF5207C041E7A82E907C3008E071057026A53705873B72E</vt:lpwstr>
  </property>
  <property fmtid="{D5CDD505-2E9C-101B-9397-08002B2CF9AE}" pid="61" name="PM_Note">
    <vt:lpwstr/>
  </property>
  <property fmtid="{D5CDD505-2E9C-101B-9397-08002B2CF9AE}" pid="62" name="PM_Markers">
    <vt:lpwstr/>
  </property>
  <property fmtid="{D5CDD505-2E9C-101B-9397-08002B2CF9AE}" pid="63" name="PM_SecurityClassification_Prev">
    <vt:lpwstr>OFFICIAL</vt:lpwstr>
  </property>
  <property fmtid="{D5CDD505-2E9C-101B-9397-08002B2CF9AE}" pid="64" name="PM_OriginatorDomainName_SHA256">
    <vt:lpwstr>ECBDE2B44A971754412B3FB70606937A119CC0D4B6C1B658A40FBD41C30BE3EC</vt:lpwstr>
  </property>
  <property fmtid="{D5CDD505-2E9C-101B-9397-08002B2CF9AE}" pid="65" name="PMUuid">
    <vt:lpwstr>v=2022.2;d=gov.au;g=46DD6D7C-8107-577B-BC6E-F348953B2E44</vt:lpwstr>
  </property>
  <property fmtid="{D5CDD505-2E9C-101B-9397-08002B2CF9AE}" pid="66" name="MediaServiceImageTags">
    <vt:lpwstr/>
  </property>
  <property fmtid="{D5CDD505-2E9C-101B-9397-08002B2CF9AE}" pid="67" name="MSIP_Label_c0129afb-6481-4f92-bc9f-5a4a6346364d_Method">
    <vt:lpwstr>Privileged</vt:lpwstr>
  </property>
  <property fmtid="{D5CDD505-2E9C-101B-9397-08002B2CF9AE}" pid="68" name="MSIP_Label_c0129afb-6481-4f92-bc9f-5a4a6346364d_SetDate">
    <vt:lpwstr>2023-05-10T01:38:25Z</vt:lpwstr>
  </property>
  <property fmtid="{D5CDD505-2E9C-101B-9397-08002B2CF9AE}" pid="69" name="MSIP_Label_c0129afb-6481-4f92-bc9f-5a4a6346364d_ContentBits">
    <vt:lpwstr>0</vt:lpwstr>
  </property>
  <property fmtid="{D5CDD505-2E9C-101B-9397-08002B2CF9AE}" pid="70" name="MSIP_Label_c0129afb-6481-4f92-bc9f-5a4a6346364d_Enabled">
    <vt:lpwstr>true</vt:lpwstr>
  </property>
  <property fmtid="{D5CDD505-2E9C-101B-9397-08002B2CF9AE}" pid="71" name="MSIP_Label_c0129afb-6481-4f92-bc9f-5a4a6346364d_Name">
    <vt:lpwstr>OFFICIAL</vt:lpwstr>
  </property>
  <property fmtid="{D5CDD505-2E9C-101B-9397-08002B2CF9AE}" pid="72" name="MSIP_Label_c0129afb-6481-4f92-bc9f-5a4a6346364d_SiteId">
    <vt:lpwstr>c05e3ffd-b491-4431-9809-e61d4dc78816</vt:lpwstr>
  </property>
  <property fmtid="{D5CDD505-2E9C-101B-9397-08002B2CF9AE}" pid="73" name="MSIP_Label_c0129afb-6481-4f92-bc9f-5a4a6346364d_ActionId">
    <vt:lpwstr>13c27a128aa94ac9b3d84cbf206a104e</vt:lpwstr>
  </property>
</Properties>
</file>