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4481" w14:textId="77777777" w:rsidR="00B73649" w:rsidRPr="00550E42" w:rsidRDefault="00B73649" w:rsidP="00854C33">
      <w:pPr>
        <w:pStyle w:val="Heading"/>
        <w:spacing w:after="240"/>
        <w:jc w:val="center"/>
        <w:rPr>
          <w:sz w:val="24"/>
          <w:szCs w:val="24"/>
        </w:rPr>
      </w:pPr>
      <w:r w:rsidRPr="00550E42">
        <w:rPr>
          <w:sz w:val="24"/>
          <w:szCs w:val="24"/>
        </w:rPr>
        <w:t xml:space="preserve">Financial Sector (Collection of Data) (reporting standard) determination No. </w:t>
      </w:r>
      <w:r w:rsidRPr="00C65DD1">
        <w:rPr>
          <w:noProof/>
          <w:sz w:val="24"/>
          <w:szCs w:val="24"/>
        </w:rPr>
        <w:t>122</w:t>
      </w:r>
      <w:r w:rsidRPr="00550E42">
        <w:rPr>
          <w:sz w:val="24"/>
          <w:szCs w:val="24"/>
        </w:rPr>
        <w:t xml:space="preserve"> of 2023</w:t>
      </w:r>
    </w:p>
    <w:p w14:paraId="6F82D477" w14:textId="77777777" w:rsidR="00B73649" w:rsidRPr="00550E42" w:rsidRDefault="00B73649" w:rsidP="00854C33">
      <w:pPr>
        <w:pStyle w:val="Heading"/>
        <w:tabs>
          <w:tab w:val="left" w:pos="360"/>
        </w:tabs>
        <w:spacing w:after="240"/>
        <w:jc w:val="center"/>
        <w:rPr>
          <w:sz w:val="24"/>
          <w:szCs w:val="24"/>
          <w:u w:val="single"/>
        </w:rPr>
      </w:pPr>
      <w:r w:rsidRPr="00550E42">
        <w:rPr>
          <w:sz w:val="24"/>
          <w:szCs w:val="24"/>
          <w:u w:val="single"/>
        </w:rPr>
        <w:t>EXPLANATORY STATEMENT</w:t>
      </w:r>
    </w:p>
    <w:p w14:paraId="091DBDA3" w14:textId="77777777" w:rsidR="00B73649" w:rsidRPr="00550E42" w:rsidRDefault="00B73649" w:rsidP="00854C33">
      <w:pPr>
        <w:pStyle w:val="Heading"/>
        <w:spacing w:after="240"/>
        <w:jc w:val="center"/>
        <w:rPr>
          <w:sz w:val="24"/>
          <w:szCs w:val="24"/>
        </w:rPr>
      </w:pPr>
      <w:r w:rsidRPr="00550E42">
        <w:rPr>
          <w:sz w:val="24"/>
          <w:szCs w:val="24"/>
        </w:rPr>
        <w:t>Prepared by the Australian Prudential Regulation Authority (APRA)</w:t>
      </w:r>
    </w:p>
    <w:p w14:paraId="5500D8FA" w14:textId="77777777" w:rsidR="00B73649" w:rsidRPr="00550E42" w:rsidRDefault="00B73649" w:rsidP="00854C33">
      <w:pPr>
        <w:pStyle w:val="heading0"/>
        <w:spacing w:before="0" w:beforeAutospacing="0" w:after="240" w:afterAutospacing="0"/>
        <w:jc w:val="center"/>
      </w:pPr>
      <w:r w:rsidRPr="00550E42">
        <w:rPr>
          <w:i/>
          <w:iCs/>
        </w:rPr>
        <w:t>Financial Sector (Collection of Data) Act 2001</w:t>
      </w:r>
      <w:r w:rsidRPr="00550E42">
        <w:t>, sections 13 and 15</w:t>
      </w:r>
    </w:p>
    <w:p w14:paraId="1C90C298" w14:textId="77777777" w:rsidR="00B73649" w:rsidRPr="00550E42" w:rsidRDefault="00B73649" w:rsidP="00854C33">
      <w:pPr>
        <w:pStyle w:val="heading0"/>
        <w:spacing w:before="0" w:beforeAutospacing="0" w:after="240" w:afterAutospacing="0"/>
        <w:jc w:val="center"/>
      </w:pPr>
      <w:r w:rsidRPr="00550E42">
        <w:rPr>
          <w:i/>
        </w:rPr>
        <w:t>Acts Interpretation Act 1901</w:t>
      </w:r>
      <w:r w:rsidRPr="00550E42">
        <w:t>, section 33</w:t>
      </w:r>
    </w:p>
    <w:p w14:paraId="7885F78A" w14:textId="77777777" w:rsidR="00B73649" w:rsidRPr="00550E42" w:rsidRDefault="00B73649" w:rsidP="00854C33">
      <w:pPr>
        <w:widowControl w:val="0"/>
        <w:rPr>
          <w:rFonts w:ascii="Times New Roman" w:hAnsi="Times New Roman"/>
          <w:sz w:val="24"/>
          <w:szCs w:val="24"/>
        </w:rPr>
      </w:pPr>
      <w:r w:rsidRPr="00550E42">
        <w:rPr>
          <w:rFonts w:ascii="Times New Roman" w:hAnsi="Times New Roman"/>
          <w:sz w:val="24"/>
          <w:szCs w:val="24"/>
        </w:rPr>
        <w:t xml:space="preserve">Under subsection 13(1) of the </w:t>
      </w:r>
      <w:r w:rsidRPr="00550E42">
        <w:rPr>
          <w:rFonts w:ascii="Times New Roman" w:hAnsi="Times New Roman"/>
          <w:i/>
          <w:sz w:val="24"/>
          <w:szCs w:val="24"/>
        </w:rPr>
        <w:t>Financial Sector (Collection of Data) Act 2001</w:t>
      </w:r>
      <w:r w:rsidRPr="00550E42">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550E42">
        <w:rPr>
          <w:rFonts w:ascii="Times New Roman" w:hAnsi="Times New Roman"/>
          <w:i/>
          <w:sz w:val="24"/>
          <w:szCs w:val="24"/>
        </w:rPr>
        <w:t>Acts Interpretation Act 1901</w:t>
      </w:r>
      <w:r w:rsidRPr="00550E42">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46765D6C" w14:textId="77777777" w:rsidR="00B73649" w:rsidRPr="00550E42" w:rsidRDefault="00B73649" w:rsidP="00854C33">
      <w:pPr>
        <w:widowControl w:val="0"/>
        <w:rPr>
          <w:rFonts w:ascii="Times New Roman" w:hAnsi="Times New Roman"/>
          <w:sz w:val="24"/>
          <w:szCs w:val="24"/>
        </w:rPr>
      </w:pPr>
      <w:r w:rsidRPr="00550E42">
        <w:rPr>
          <w:rFonts w:ascii="Times New Roman" w:hAnsi="Times New Roman"/>
          <w:sz w:val="24"/>
          <w:szCs w:val="24"/>
        </w:rPr>
        <w:t xml:space="preserve">Subsection 15(1) of the Act provides that APRA may declare a day on and after which the reporting standards are to apply. </w:t>
      </w:r>
    </w:p>
    <w:p w14:paraId="45EACE7A" w14:textId="77777777" w:rsidR="00B73649" w:rsidRPr="00550E42" w:rsidRDefault="00B73649" w:rsidP="00211AFD">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On </w:t>
      </w:r>
      <w:r>
        <w:rPr>
          <w:rFonts w:ascii="Times New Roman" w:hAnsi="Times New Roman" w:cs="Times New Roman"/>
          <w:noProof/>
          <w:sz w:val="24"/>
          <w:szCs w:val="24"/>
        </w:rPr>
        <w:t>18 May 2023</w:t>
      </w:r>
      <w:r w:rsidRPr="00550E42">
        <w:rPr>
          <w:rFonts w:ascii="Times New Roman" w:hAnsi="Times New Roman" w:cs="Times New Roman"/>
          <w:sz w:val="24"/>
          <w:szCs w:val="24"/>
        </w:rPr>
        <w:t>, APRA made:</w:t>
      </w:r>
    </w:p>
    <w:p w14:paraId="5BFFFAC8" w14:textId="77777777" w:rsidR="00B73649" w:rsidRPr="00550E42" w:rsidRDefault="00B73649"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550E42">
        <w:rPr>
          <w:rFonts w:ascii="Times New Roman" w:hAnsi="Times New Roman"/>
          <w:sz w:val="24"/>
          <w:szCs w:val="24"/>
        </w:rPr>
        <w:t xml:space="preserve">Financial Sector (Collection of Data) (reporting standard) determination No. </w:t>
      </w:r>
      <w:r w:rsidRPr="00C65DD1">
        <w:rPr>
          <w:rFonts w:ascii="Times New Roman" w:eastAsia="Times New Roman" w:hAnsi="Times New Roman" w:cs="Times New Roman"/>
          <w:noProof/>
          <w:sz w:val="24"/>
          <w:szCs w:val="24"/>
          <w:lang w:eastAsia="en-AU"/>
        </w:rPr>
        <w:t>122</w:t>
      </w:r>
      <w:r w:rsidRPr="00550E42">
        <w:rPr>
          <w:rFonts w:ascii="Times New Roman" w:eastAsia="Times New Roman" w:hAnsi="Times New Roman" w:cs="Times New Roman"/>
          <w:b/>
          <w:sz w:val="24"/>
          <w:szCs w:val="24"/>
          <w:lang w:eastAsia="en-AU"/>
        </w:rPr>
        <w:t xml:space="preserve"> </w:t>
      </w:r>
      <w:r w:rsidRPr="00550E42">
        <w:rPr>
          <w:rFonts w:ascii="Times New Roman" w:hAnsi="Times New Roman"/>
          <w:sz w:val="24"/>
          <w:szCs w:val="24"/>
        </w:rPr>
        <w:t>of 2023 which:</w:t>
      </w:r>
    </w:p>
    <w:p w14:paraId="0644AA0B" w14:textId="77777777" w:rsidR="00B73649" w:rsidRPr="00550E42" w:rsidRDefault="00B73649" w:rsidP="008C7FD5">
      <w:pPr>
        <w:pStyle w:val="ListParagraph"/>
        <w:numPr>
          <w:ilvl w:val="1"/>
          <w:numId w:val="19"/>
        </w:numPr>
        <w:tabs>
          <w:tab w:val="clear" w:pos="425"/>
          <w:tab w:val="clear" w:pos="851"/>
        </w:tabs>
        <w:ind w:left="1134" w:hanging="567"/>
        <w:rPr>
          <w:rFonts w:ascii="Times New Roman" w:hAnsi="Times New Roman"/>
          <w:sz w:val="24"/>
          <w:szCs w:val="24"/>
        </w:rPr>
      </w:pPr>
      <w:r w:rsidRPr="00550E42">
        <w:rPr>
          <w:rFonts w:ascii="Times New Roman" w:hAnsi="Times New Roman"/>
          <w:sz w:val="24"/>
          <w:szCs w:val="24"/>
        </w:rPr>
        <w:t xml:space="preserve">revokes </w:t>
      </w:r>
      <w:r w:rsidRPr="00C65DD1">
        <w:rPr>
          <w:rFonts w:ascii="Times New Roman" w:hAnsi="Times New Roman"/>
          <w:i/>
          <w:noProof/>
          <w:sz w:val="24"/>
          <w:szCs w:val="24"/>
        </w:rPr>
        <w:t>Reporting Standard LRS 310.0 Income Statement</w:t>
      </w:r>
      <w:r w:rsidRPr="00550E42">
        <w:rPr>
          <w:rFonts w:ascii="Times New Roman" w:hAnsi="Times New Roman"/>
          <w:sz w:val="24"/>
          <w:szCs w:val="24"/>
        </w:rPr>
        <w:t xml:space="preserve"> made under Financial Sector (Collection of Data) (reporting standard) determination </w:t>
      </w:r>
      <w:r w:rsidRPr="00C65DD1">
        <w:rPr>
          <w:rFonts w:ascii="Times New Roman" w:hAnsi="Times New Roman"/>
          <w:noProof/>
          <w:sz w:val="24"/>
          <w:szCs w:val="24"/>
        </w:rPr>
        <w:t>No. 33 of 2023</w:t>
      </w:r>
      <w:r w:rsidRPr="00550E42">
        <w:rPr>
          <w:rFonts w:ascii="Times New Roman" w:hAnsi="Times New Roman"/>
          <w:sz w:val="24"/>
          <w:szCs w:val="24"/>
        </w:rPr>
        <w:t>; and</w:t>
      </w:r>
    </w:p>
    <w:p w14:paraId="133C243E" w14:textId="77777777" w:rsidR="00B73649" w:rsidRPr="00550E42" w:rsidRDefault="00B73649"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550E42">
        <w:rPr>
          <w:rFonts w:ascii="Times New Roman" w:hAnsi="Times New Roman"/>
          <w:sz w:val="24"/>
          <w:szCs w:val="24"/>
        </w:rPr>
        <w:t xml:space="preserve">determines a new </w:t>
      </w:r>
      <w:r w:rsidRPr="00550E42">
        <w:rPr>
          <w:rFonts w:ascii="Times New Roman" w:hAnsi="Times New Roman"/>
          <w:i/>
          <w:sz w:val="24"/>
          <w:szCs w:val="24"/>
        </w:rPr>
        <w:t xml:space="preserve">Reporting Standard </w:t>
      </w:r>
      <w:r w:rsidRPr="00C65DD1">
        <w:rPr>
          <w:rFonts w:ascii="Times New Roman" w:hAnsi="Times New Roman"/>
          <w:i/>
          <w:noProof/>
          <w:sz w:val="24"/>
          <w:szCs w:val="24"/>
        </w:rPr>
        <w:t>LRS 310.0 Statement of profit or loss and other comprehensive income</w:t>
      </w:r>
      <w:r w:rsidRPr="00550E42">
        <w:rPr>
          <w:rFonts w:ascii="Times New Roman" w:hAnsi="Times New Roman"/>
          <w:sz w:val="24"/>
          <w:szCs w:val="24"/>
        </w:rPr>
        <w:t>.</w:t>
      </w:r>
    </w:p>
    <w:p w14:paraId="05471380" w14:textId="77777777" w:rsidR="00B73649" w:rsidRPr="00550E42" w:rsidRDefault="00B73649" w:rsidP="00023CE3">
      <w:pPr>
        <w:widowControl w:val="0"/>
        <w:rPr>
          <w:rFonts w:ascii="Times New Roman" w:hAnsi="Times New Roman"/>
          <w:sz w:val="24"/>
          <w:szCs w:val="24"/>
        </w:rPr>
      </w:pPr>
      <w:r w:rsidRPr="00550E42">
        <w:rPr>
          <w:rFonts w:ascii="Times New Roman" w:hAnsi="Times New Roman"/>
          <w:sz w:val="24"/>
          <w:szCs w:val="24"/>
        </w:rPr>
        <w:t xml:space="preserve">The instrument commences upon registration on the Federal Register of Legislation. </w:t>
      </w:r>
    </w:p>
    <w:p w14:paraId="12C3D917" w14:textId="77777777" w:rsidR="00B73649" w:rsidRPr="00550E42" w:rsidRDefault="00B73649" w:rsidP="00211AFD">
      <w:pPr>
        <w:numPr>
          <w:ilvl w:val="0"/>
          <w:numId w:val="0"/>
        </w:numPr>
        <w:rPr>
          <w:rFonts w:ascii="Times New Roman" w:hAnsi="Times New Roman" w:cs="Times New Roman"/>
          <w:b/>
          <w:sz w:val="24"/>
          <w:szCs w:val="24"/>
        </w:rPr>
      </w:pPr>
      <w:r w:rsidRPr="00550E42">
        <w:rPr>
          <w:rFonts w:ascii="Times New Roman" w:hAnsi="Times New Roman" w:cs="Times New Roman"/>
          <w:b/>
          <w:sz w:val="24"/>
          <w:szCs w:val="24"/>
        </w:rPr>
        <w:t>1.</w:t>
      </w:r>
      <w:r w:rsidRPr="00550E42">
        <w:rPr>
          <w:rFonts w:ascii="Times New Roman" w:hAnsi="Times New Roman" w:cs="Times New Roman"/>
          <w:b/>
          <w:sz w:val="24"/>
          <w:szCs w:val="24"/>
        </w:rPr>
        <w:tab/>
        <w:t>Background</w:t>
      </w:r>
    </w:p>
    <w:p w14:paraId="7E6BF4AF" w14:textId="77777777" w:rsidR="00B73649" w:rsidRPr="00550E42" w:rsidRDefault="00B73649" w:rsidP="00114B50">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In July 2017, the Australian Accounting Standards Board (AASB) adopted the </w:t>
      </w:r>
      <w:r w:rsidRPr="00550E42">
        <w:rPr>
          <w:rFonts w:ascii="Times New Roman" w:hAnsi="Times New Roman" w:cs="Times New Roman"/>
          <w:i/>
          <w:sz w:val="24"/>
          <w:szCs w:val="24"/>
        </w:rPr>
        <w:t>International Financial Reporting Standard 17</w:t>
      </w:r>
      <w:r w:rsidRPr="00550E42">
        <w:rPr>
          <w:rFonts w:ascii="Times New Roman" w:hAnsi="Times New Roman" w:cs="Times New Roman"/>
          <w:sz w:val="24"/>
          <w:szCs w:val="24"/>
        </w:rPr>
        <w:t xml:space="preserve"> into </w:t>
      </w:r>
      <w:r w:rsidRPr="00550E42">
        <w:rPr>
          <w:rFonts w:ascii="Times New Roman" w:hAnsi="Times New Roman" w:cs="Times New Roman"/>
          <w:i/>
          <w:sz w:val="24"/>
          <w:szCs w:val="24"/>
        </w:rPr>
        <w:t>AASB 17 Insurance Contracts</w:t>
      </w:r>
      <w:r w:rsidRPr="00550E42">
        <w:rPr>
          <w:rFonts w:ascii="Times New Roman" w:hAnsi="Times New Roman" w:cs="Times New Roman"/>
          <w:sz w:val="24"/>
          <w:szCs w:val="24"/>
        </w:rPr>
        <w:t xml:space="preserve"> (AASB 17). AASB 17 commenced 1 January 2023. </w:t>
      </w:r>
    </w:p>
    <w:p w14:paraId="0E96D9A9" w14:textId="04D96E2D" w:rsidR="00B73649" w:rsidRPr="00550E42" w:rsidRDefault="00B73649" w:rsidP="00114B50">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AASB 17 replaces three existing accounting standards used by </w:t>
      </w:r>
      <w:r w:rsidR="001930AE">
        <w:rPr>
          <w:rFonts w:ascii="Times New Roman" w:hAnsi="Times New Roman" w:cs="Times New Roman"/>
          <w:sz w:val="24"/>
          <w:szCs w:val="24"/>
        </w:rPr>
        <w:t>life companies</w:t>
      </w:r>
      <w:r w:rsidRPr="00550E42">
        <w:rPr>
          <w:rFonts w:ascii="Times New Roman" w:hAnsi="Times New Roman" w:cs="Times New Roman"/>
          <w:sz w:val="24"/>
          <w:szCs w:val="24"/>
        </w:rPr>
        <w:t xml:space="preserve">. These accounting standards govern the performance and liability valuation reporting of insurance contracts. APRA’s capital and reporting frameworks have close linkages with the accounting standards that determine accounting of insurance liabilities. As a result, APRA has made substantial updates to the capital and reporting frameworks for </w:t>
      </w:r>
      <w:r w:rsidR="001930AE">
        <w:rPr>
          <w:rFonts w:ascii="Times New Roman" w:hAnsi="Times New Roman" w:cs="Times New Roman"/>
          <w:sz w:val="24"/>
          <w:szCs w:val="24"/>
        </w:rPr>
        <w:t>life companies</w:t>
      </w:r>
      <w:r w:rsidRPr="00550E42">
        <w:rPr>
          <w:rFonts w:ascii="Times New Roman" w:hAnsi="Times New Roman" w:cs="Times New Roman"/>
          <w:sz w:val="24"/>
          <w:szCs w:val="24"/>
        </w:rPr>
        <w:t xml:space="preserve"> to ensure compatibility with the new accounting standard from 2023 onwards. Aligning APRA’s prudential and reporting framework with AASB 17 also reduces regulatory burden by limiting the need for </w:t>
      </w:r>
      <w:r w:rsidR="001930AE">
        <w:rPr>
          <w:rFonts w:ascii="Times New Roman" w:hAnsi="Times New Roman" w:cs="Times New Roman"/>
          <w:sz w:val="24"/>
          <w:szCs w:val="24"/>
        </w:rPr>
        <w:t>life companies</w:t>
      </w:r>
      <w:r w:rsidRPr="00550E42">
        <w:rPr>
          <w:rFonts w:ascii="Times New Roman" w:hAnsi="Times New Roman" w:cs="Times New Roman"/>
          <w:sz w:val="24"/>
          <w:szCs w:val="24"/>
        </w:rPr>
        <w:t xml:space="preserve"> to maintain dual valuation, actuarial, accounting and reporting systems. </w:t>
      </w:r>
    </w:p>
    <w:p w14:paraId="4C28D414" w14:textId="603F4910" w:rsidR="00B73649" w:rsidRPr="00550E42" w:rsidRDefault="00B73649" w:rsidP="009205B7">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The new reporting standards apply to reporting periods </w:t>
      </w:r>
      <w:r w:rsidR="003A2645">
        <w:rPr>
          <w:rFonts w:ascii="Times New Roman" w:hAnsi="Times New Roman" w:cs="Times New Roman"/>
          <w:sz w:val="24"/>
          <w:szCs w:val="24"/>
        </w:rPr>
        <w:t>ending</w:t>
      </w:r>
      <w:r w:rsidRPr="00550E42">
        <w:rPr>
          <w:rFonts w:ascii="Times New Roman" w:hAnsi="Times New Roman" w:cs="Times New Roman"/>
          <w:sz w:val="24"/>
          <w:szCs w:val="24"/>
        </w:rPr>
        <w:t xml:space="preserve"> on or after 1 July 2023.</w:t>
      </w:r>
    </w:p>
    <w:p w14:paraId="555CD922" w14:textId="77777777" w:rsidR="00B73649" w:rsidRPr="00550E42" w:rsidRDefault="00B73649" w:rsidP="00BD6513">
      <w:pPr>
        <w:keepNext/>
        <w:numPr>
          <w:ilvl w:val="0"/>
          <w:numId w:val="0"/>
        </w:numPr>
        <w:rPr>
          <w:rFonts w:ascii="Times New Roman" w:hAnsi="Times New Roman" w:cs="Times New Roman"/>
          <w:b/>
          <w:sz w:val="24"/>
          <w:szCs w:val="24"/>
        </w:rPr>
      </w:pPr>
      <w:r w:rsidRPr="00550E42">
        <w:rPr>
          <w:rFonts w:ascii="Times New Roman" w:hAnsi="Times New Roman" w:cs="Times New Roman"/>
          <w:b/>
          <w:sz w:val="24"/>
          <w:szCs w:val="24"/>
        </w:rPr>
        <w:lastRenderedPageBreak/>
        <w:t>2.</w:t>
      </w:r>
      <w:r w:rsidRPr="00550E42">
        <w:rPr>
          <w:rFonts w:ascii="Times New Roman" w:hAnsi="Times New Roman" w:cs="Times New Roman"/>
          <w:b/>
          <w:sz w:val="24"/>
          <w:szCs w:val="24"/>
        </w:rPr>
        <w:tab/>
      </w:r>
      <w:r w:rsidRPr="00BD6513">
        <w:rPr>
          <w:rFonts w:ascii="Times New Roman" w:hAnsi="Times New Roman" w:cs="Times New Roman"/>
          <w:b/>
          <w:sz w:val="24"/>
          <w:szCs w:val="24"/>
        </w:rPr>
        <w:t>Purpose</w:t>
      </w:r>
      <w:r w:rsidRPr="00550E42">
        <w:rPr>
          <w:rFonts w:ascii="Times New Roman" w:hAnsi="Times New Roman" w:cs="Times New Roman"/>
          <w:b/>
          <w:sz w:val="24"/>
          <w:szCs w:val="24"/>
        </w:rPr>
        <w:t xml:space="preserve"> and operation of the instrument</w:t>
      </w:r>
    </w:p>
    <w:p w14:paraId="6602CD55" w14:textId="77777777" w:rsidR="00B73649" w:rsidRPr="00550E42" w:rsidRDefault="00B73649" w:rsidP="00211AFD">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The purpose of the instrument is to determine a new </w:t>
      </w:r>
      <w:r w:rsidRPr="00550E42">
        <w:rPr>
          <w:rFonts w:ascii="Times New Roman" w:hAnsi="Times New Roman" w:cs="Times New Roman"/>
          <w:i/>
          <w:sz w:val="24"/>
          <w:szCs w:val="24"/>
        </w:rPr>
        <w:t xml:space="preserve">Reporting Standard </w:t>
      </w:r>
      <w:r w:rsidRPr="00C65DD1">
        <w:rPr>
          <w:rFonts w:ascii="Times New Roman" w:hAnsi="Times New Roman" w:cs="Times New Roman"/>
          <w:i/>
          <w:noProof/>
          <w:sz w:val="24"/>
          <w:szCs w:val="24"/>
        </w:rPr>
        <w:t>LRS 310.0 Statement of profit or loss and other comprehensive income</w:t>
      </w:r>
      <w:r w:rsidRPr="00550E42">
        <w:rPr>
          <w:rFonts w:ascii="Times New Roman" w:hAnsi="Times New Roman" w:cs="Times New Roman"/>
          <w:sz w:val="24"/>
          <w:szCs w:val="24"/>
        </w:rPr>
        <w:t xml:space="preserve">. </w:t>
      </w:r>
      <w:r w:rsidRPr="00C65DD1">
        <w:rPr>
          <w:rFonts w:ascii="Times New Roman" w:hAnsi="Times New Roman" w:cs="Times New Roman"/>
          <w:noProof/>
          <w:sz w:val="24"/>
          <w:szCs w:val="24"/>
        </w:rPr>
        <w:t>This Reporting Standard sets out the requirements for the provision of information to APRA in relation to a life company’s profit or loss and other comprehensive income.</w:t>
      </w:r>
    </w:p>
    <w:p w14:paraId="148C29DF" w14:textId="77777777" w:rsidR="00B73649" w:rsidRPr="00550E42" w:rsidRDefault="00B73649" w:rsidP="00EA1FBD">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The new reporting standard will ensure that APRA’s reporting framework aligns with its prudential framework and Australian Accounting Standards. Life companies will be required to provide data to APRA in accordance with the standard, allowing APRA to supervise their compliance against the new capital requirements.</w:t>
      </w:r>
    </w:p>
    <w:p w14:paraId="602F0A61" w14:textId="77777777" w:rsidR="00B73649" w:rsidRPr="00550E42" w:rsidRDefault="00B73649" w:rsidP="00D274ED">
      <w:pPr>
        <w:pStyle w:val="Heading5"/>
        <w:rPr>
          <w:rFonts w:ascii="Times New Roman" w:hAnsi="Times New Roman" w:cs="Times New Roman"/>
          <w:i/>
          <w:sz w:val="24"/>
          <w:szCs w:val="24"/>
        </w:rPr>
      </w:pPr>
      <w:r w:rsidRPr="00550E42">
        <w:rPr>
          <w:rFonts w:ascii="Times New Roman" w:hAnsi="Times New Roman" w:cs="Times New Roman"/>
          <w:i/>
          <w:sz w:val="24"/>
          <w:szCs w:val="24"/>
        </w:rPr>
        <w:t>Explanation of each provision in the instrument</w:t>
      </w:r>
    </w:p>
    <w:p w14:paraId="07AE1830" w14:textId="77777777" w:rsidR="00B73649" w:rsidRPr="00550E42" w:rsidRDefault="00B73649"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Authority – paragraph 1</w:t>
      </w:r>
    </w:p>
    <w:p w14:paraId="3CE2A0F6" w14:textId="77777777" w:rsidR="00B73649" w:rsidRPr="00550E42" w:rsidRDefault="00B73649" w:rsidP="002E123D">
      <w:pPr>
        <w:rPr>
          <w:rFonts w:ascii="Times New Roman" w:hAnsi="Times New Roman" w:cs="Times New Roman"/>
          <w:sz w:val="24"/>
          <w:szCs w:val="24"/>
        </w:rPr>
      </w:pPr>
      <w:r w:rsidRPr="00550E42">
        <w:rPr>
          <w:rFonts w:ascii="Times New Roman" w:hAnsi="Times New Roman" w:cs="Times New Roman"/>
          <w:sz w:val="24"/>
          <w:szCs w:val="24"/>
        </w:rPr>
        <w:t>This paragraph outlines APRA’s power to determine reporting standards that are required to be complied with by financial sector entities under paragraph 13(1)(a) of the Act.</w:t>
      </w:r>
    </w:p>
    <w:p w14:paraId="5D45C7B2" w14:textId="77777777" w:rsidR="00B73649" w:rsidRPr="00550E42" w:rsidRDefault="00B73649"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Purpose – paragraph 2</w:t>
      </w:r>
    </w:p>
    <w:p w14:paraId="590AD8B2" w14:textId="77777777" w:rsidR="00B73649" w:rsidRPr="00550E42" w:rsidRDefault="00B73649" w:rsidP="002E123D">
      <w:pPr>
        <w:rPr>
          <w:rFonts w:ascii="Times New Roman" w:hAnsi="Times New Roman" w:cs="Times New Roman"/>
          <w:sz w:val="24"/>
          <w:szCs w:val="24"/>
        </w:rPr>
      </w:pPr>
      <w:r w:rsidRPr="00550E42">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 including assessing compliance with capital adequacy standards.</w:t>
      </w:r>
    </w:p>
    <w:p w14:paraId="10280720" w14:textId="77777777" w:rsidR="00B73649" w:rsidRPr="00550E42" w:rsidRDefault="00B73649"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Application and commencement – paragraph 3</w:t>
      </w:r>
    </w:p>
    <w:p w14:paraId="6AA5FDA9" w14:textId="77777777" w:rsidR="00B73649" w:rsidRPr="00550E42" w:rsidRDefault="00B73649" w:rsidP="002E123D">
      <w:pPr>
        <w:rPr>
          <w:rFonts w:ascii="Times New Roman" w:hAnsi="Times New Roman" w:cs="Times New Roman"/>
          <w:sz w:val="24"/>
          <w:szCs w:val="24"/>
        </w:rPr>
      </w:pPr>
      <w:r w:rsidRPr="00550E42">
        <w:rPr>
          <w:rFonts w:ascii="Times New Roman" w:hAnsi="Times New Roman" w:cs="Times New Roman"/>
          <w:sz w:val="24"/>
          <w:szCs w:val="24"/>
        </w:rPr>
        <w:t>This provision states which financial sector entities must comply with the reporting standard as permitted by section 13 of the Act, and when the reporting standard begins to apply to these financial sector entities as provided for in section 15 of the Act.</w:t>
      </w:r>
    </w:p>
    <w:p w14:paraId="7D012E95" w14:textId="77777777" w:rsidR="00B73649" w:rsidRPr="00550E42" w:rsidRDefault="00B73649"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Information required – paragraphs 4 and 5</w:t>
      </w:r>
    </w:p>
    <w:p w14:paraId="31650370" w14:textId="77777777" w:rsidR="00B73649" w:rsidRPr="00550E42" w:rsidRDefault="00B73649" w:rsidP="002E123D">
      <w:pPr>
        <w:rPr>
          <w:rFonts w:ascii="Times New Roman" w:hAnsi="Times New Roman" w:cs="Times New Roman"/>
          <w:sz w:val="24"/>
          <w:szCs w:val="24"/>
        </w:rPr>
      </w:pPr>
      <w:r w:rsidRPr="00550E42">
        <w:rPr>
          <w:rFonts w:ascii="Times New Roman" w:hAnsi="Times New Roman" w:cs="Times New Roman"/>
          <w:sz w:val="24"/>
          <w:szCs w:val="24"/>
        </w:rPr>
        <w:t xml:space="preserve">This provision states what information financial sector entities must provide to APRA for each reporting period as permitted by paragraph 13(2)(b) of the Act, and how information reported to APRA under this reporting standard is to be used under section 124 of the </w:t>
      </w:r>
      <w:r w:rsidRPr="00550E42">
        <w:rPr>
          <w:rFonts w:ascii="Times New Roman" w:hAnsi="Times New Roman" w:cs="Times New Roman"/>
          <w:i/>
          <w:sz w:val="24"/>
          <w:szCs w:val="24"/>
        </w:rPr>
        <w:t>Life Insurance Act 1995</w:t>
      </w:r>
      <w:r w:rsidRPr="00550E42">
        <w:rPr>
          <w:rFonts w:ascii="Times New Roman" w:hAnsi="Times New Roman" w:cs="Times New Roman"/>
          <w:sz w:val="24"/>
          <w:szCs w:val="24"/>
        </w:rPr>
        <w:t>.</w:t>
      </w:r>
    </w:p>
    <w:p w14:paraId="0B41BC87" w14:textId="77777777" w:rsidR="00B73649" w:rsidRPr="00550E42" w:rsidRDefault="00B73649"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Method of submission – paragraph 6</w:t>
      </w:r>
    </w:p>
    <w:p w14:paraId="73EA3C8A" w14:textId="77777777" w:rsidR="00B73649" w:rsidRPr="00550E42" w:rsidRDefault="00B73649" w:rsidP="002E123D">
      <w:pPr>
        <w:rPr>
          <w:rFonts w:ascii="Times New Roman" w:hAnsi="Times New Roman" w:cs="Times New Roman"/>
          <w:sz w:val="24"/>
          <w:szCs w:val="24"/>
        </w:rPr>
      </w:pPr>
      <w:r w:rsidRPr="00550E42">
        <w:rPr>
          <w:rFonts w:ascii="Times New Roman" w:hAnsi="Times New Roman" w:cs="Times New Roman"/>
          <w:sz w:val="24"/>
          <w:szCs w:val="24"/>
        </w:rPr>
        <w:t>This provision specifies how information required by the reporting standard must be given to APRA as permitted by paragraph 13(2)(e) of the Act.</w:t>
      </w:r>
    </w:p>
    <w:p w14:paraId="7C216E7E" w14:textId="77777777" w:rsidR="00B73649" w:rsidRPr="00550E42" w:rsidRDefault="00B73649"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 xml:space="preserve">Reporting periods </w:t>
      </w:r>
      <w:r w:rsidRPr="00550E42">
        <w:rPr>
          <w:rFonts w:ascii="Times New Roman" w:hAnsi="Times New Roman" w:cs="Times New Roman"/>
          <w:sz w:val="24"/>
          <w:szCs w:val="24"/>
        </w:rPr>
        <w:t>and</w:t>
      </w:r>
      <w:r w:rsidRPr="00550E42">
        <w:rPr>
          <w:rFonts w:ascii="Times New Roman" w:hAnsi="Times New Roman" w:cs="Times New Roman"/>
          <w:i/>
          <w:sz w:val="24"/>
          <w:szCs w:val="24"/>
        </w:rPr>
        <w:t xml:space="preserve"> due dates – paragraphs 7-10</w:t>
      </w:r>
    </w:p>
    <w:p w14:paraId="2998DB6D" w14:textId="77777777" w:rsidR="00B73649" w:rsidRPr="00550E42" w:rsidRDefault="00B73649" w:rsidP="00DF6BF0">
      <w:pPr>
        <w:numPr>
          <w:ilvl w:val="0"/>
          <w:numId w:val="0"/>
        </w:numPr>
        <w:outlineLvl w:val="5"/>
        <w:rPr>
          <w:rFonts w:ascii="Times New Roman" w:hAnsi="Times New Roman" w:cs="Times New Roman"/>
          <w:sz w:val="24"/>
          <w:szCs w:val="24"/>
        </w:rPr>
      </w:pPr>
      <w:r w:rsidRPr="00550E42">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Paragraph (13)(</w:t>
      </w:r>
      <w:proofErr w:type="gramStart"/>
      <w:r w:rsidRPr="00550E42">
        <w:rPr>
          <w:rFonts w:ascii="Times New Roman" w:hAnsi="Times New Roman" w:cs="Times New Roman"/>
          <w:sz w:val="24"/>
          <w:szCs w:val="24"/>
        </w:rPr>
        <w:t>2)(</w:t>
      </w:r>
      <w:proofErr w:type="gramEnd"/>
      <w:r w:rsidRPr="00550E42">
        <w:rPr>
          <w:rFonts w:ascii="Times New Roman" w:hAnsi="Times New Roman" w:cs="Times New Roman"/>
          <w:sz w:val="24"/>
          <w:szCs w:val="24"/>
        </w:rPr>
        <w:t>bb) of the Act permits reporting standards determined by APRA to include matters related to the auditing of reporting documents.</w:t>
      </w:r>
    </w:p>
    <w:p w14:paraId="68269D9E" w14:textId="77777777" w:rsidR="00B73649" w:rsidRPr="00550E42" w:rsidRDefault="00B73649" w:rsidP="002E123D">
      <w:r w:rsidRPr="00550E42">
        <w:rPr>
          <w:rFonts w:ascii="Times New Roman" w:hAnsi="Times New Roman" w:cs="Times New Roman"/>
          <w:sz w:val="24"/>
          <w:szCs w:val="24"/>
        </w:rPr>
        <w:lastRenderedPageBreak/>
        <w:t>Paragraphs 7-10 rely on these provisions. Paragraph 7 states that life companies are to provide the information required by this reporting standard</w:t>
      </w:r>
      <w:r w:rsidRPr="00550E42">
        <w:rPr>
          <w:rFonts w:ascii="Times New Roman" w:hAnsi="Times New Roman" w:cs="Times New Roman"/>
          <w:i/>
          <w:sz w:val="24"/>
          <w:szCs w:val="24"/>
        </w:rPr>
        <w:t xml:space="preserve"> </w:t>
      </w:r>
      <w:r w:rsidRPr="00C65DD1">
        <w:rPr>
          <w:rFonts w:ascii="Times New Roman" w:hAnsi="Times New Roman" w:cs="Times New Roman"/>
          <w:noProof/>
          <w:sz w:val="24"/>
          <w:szCs w:val="24"/>
        </w:rPr>
        <w:t>in respect of each quarter based on the financial year of the life company on an unaudited basis, and in respect of each financial year of the life company on an audited basis</w:t>
      </w:r>
      <w:r w:rsidRPr="00550E42">
        <w:rPr>
          <w:rFonts w:ascii="Times New Roman" w:hAnsi="Times New Roman" w:cs="Times New Roman"/>
          <w:sz w:val="24"/>
          <w:szCs w:val="24"/>
        </w:rPr>
        <w:t xml:space="preserve">. Paragraph 8 provides for APRA to vary the reporting periods mentioned in paragraph 7 in writing, if, having regard to the </w:t>
      </w:r>
      <w:proofErr w:type="gramStart"/>
      <w:r w:rsidRPr="00550E42">
        <w:rPr>
          <w:rFonts w:ascii="Times New Roman" w:hAnsi="Times New Roman" w:cs="Times New Roman"/>
          <w:sz w:val="24"/>
          <w:szCs w:val="24"/>
        </w:rPr>
        <w:t>particular circumstances</w:t>
      </w:r>
      <w:proofErr w:type="gramEnd"/>
      <w:r w:rsidRPr="00550E42">
        <w:rPr>
          <w:rFonts w:ascii="Times New Roman" w:hAnsi="Times New Roman" w:cs="Times New Roman"/>
          <w:sz w:val="24"/>
          <w:szCs w:val="24"/>
        </w:rPr>
        <w:t xml:space="preserve"> of a financial sector entity, APRA considers it necessary or desirable to obtain information at a different frequency than stated in paragraph 7. Paragraph 9 specifies the due dates for provision of information to APRA – </w:t>
      </w:r>
      <w:r w:rsidRPr="00C65DD1">
        <w:rPr>
          <w:rFonts w:ascii="Times New Roman" w:hAnsi="Times New Roman" w:cs="Times New Roman"/>
          <w:noProof/>
          <w:sz w:val="24"/>
          <w:szCs w:val="24"/>
        </w:rPr>
        <w:t>quarterly information must be provided to APRA within 20 business days after the end of the reporting period, and annual information within three months after the end of the reporting period</w:t>
      </w:r>
      <w:r w:rsidRPr="00550E42">
        <w:rPr>
          <w:rFonts w:ascii="Times New Roman" w:hAnsi="Times New Roman" w:cs="Times New Roman"/>
          <w:sz w:val="24"/>
          <w:szCs w:val="24"/>
        </w:rPr>
        <w:t>. Paragraph 9 also states that in the case of information provided in accordance with paragraph 8, the due date will be as stated on the written notice. Paragraph 10 states that APRA may grant an extension of a due date in paragraph 9 in writing.</w:t>
      </w:r>
    </w:p>
    <w:p w14:paraId="2C799901" w14:textId="77777777" w:rsidR="00B73649" w:rsidRPr="00550E42" w:rsidRDefault="00B73649"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Quality control – paragraphs 11-13</w:t>
      </w:r>
    </w:p>
    <w:p w14:paraId="4FEF96B3" w14:textId="77777777" w:rsidR="00B73649" w:rsidRPr="00550E42" w:rsidRDefault="00B73649" w:rsidP="002E123D">
      <w:pPr>
        <w:rPr>
          <w:rFonts w:ascii="Times New Roman" w:hAnsi="Times New Roman" w:cs="Times New Roman"/>
          <w:sz w:val="24"/>
          <w:szCs w:val="24"/>
        </w:rPr>
      </w:pPr>
      <w:r w:rsidRPr="00550E42">
        <w:rPr>
          <w:rFonts w:ascii="Times New Roman" w:hAnsi="Times New Roman" w:cs="Times New Roman"/>
          <w:sz w:val="24"/>
          <w:szCs w:val="24"/>
        </w:rPr>
        <w:t>Paragraphs 11-12 state that information provided under this reporting standard must be the product of and subject to systems, processes and controls developed by the entity for the internal review and authorisation of that information. Paragraph 13 states requirements for actuarial valuations and calculations included in or used in the preparation of the information provided to APRA.</w:t>
      </w:r>
    </w:p>
    <w:p w14:paraId="35753AFA" w14:textId="77777777" w:rsidR="00B73649" w:rsidRPr="00550E42" w:rsidRDefault="00B73649"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Authorisation – paragraphs 14-15</w:t>
      </w:r>
    </w:p>
    <w:p w14:paraId="6D645C83" w14:textId="77777777" w:rsidR="00B73649" w:rsidRPr="00550E42" w:rsidRDefault="00B73649" w:rsidP="002E123D">
      <w:pPr>
        <w:rPr>
          <w:rFonts w:ascii="Times New Roman" w:hAnsi="Times New Roman" w:cs="Times New Roman"/>
          <w:sz w:val="24"/>
          <w:szCs w:val="24"/>
        </w:rPr>
      </w:pPr>
      <w:r w:rsidRPr="00550E42">
        <w:rPr>
          <w:rFonts w:ascii="Times New Roman" w:hAnsi="Times New Roman" w:cs="Times New Roman"/>
          <w:sz w:val="24"/>
          <w:szCs w:val="24"/>
        </w:rPr>
        <w:t>Paragraphs 14 and 15 state how information provided to APRA should be authenticated and who is authorised to provide information to APRA for a financial sector entity.</w:t>
      </w:r>
    </w:p>
    <w:p w14:paraId="3E3E09AC" w14:textId="77777777" w:rsidR="00B73649" w:rsidRPr="00550E42" w:rsidRDefault="00B73649"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Variations – paragraph 16</w:t>
      </w:r>
    </w:p>
    <w:p w14:paraId="6D05DD87" w14:textId="77777777" w:rsidR="00B73649" w:rsidRPr="00550E42" w:rsidRDefault="00B73649" w:rsidP="002E123D">
      <w:pPr>
        <w:rPr>
          <w:rFonts w:ascii="Times New Roman" w:hAnsi="Times New Roman" w:cs="Times New Roman"/>
          <w:sz w:val="24"/>
          <w:szCs w:val="24"/>
        </w:rPr>
      </w:pPr>
      <w:r w:rsidRPr="00550E42">
        <w:rPr>
          <w:rFonts w:ascii="Times New Roman" w:hAnsi="Times New Roman" w:cs="Times New Roman"/>
          <w:sz w:val="24"/>
          <w:szCs w:val="24"/>
        </w:rPr>
        <w:t>Paragraph 16 states that APRA may vary the requirements of this reporting standard in relation to a financial sector entity in writing, as permitted by paragraph 13(2)(f) of the Act.</w:t>
      </w:r>
    </w:p>
    <w:p w14:paraId="15108047" w14:textId="77777777" w:rsidR="00B73649" w:rsidRPr="00550E42" w:rsidRDefault="00B73649" w:rsidP="00706E90">
      <w:pPr>
        <w:pStyle w:val="Heading6"/>
        <w:rPr>
          <w:rFonts w:ascii="Times New Roman" w:hAnsi="Times New Roman" w:cs="Times New Roman"/>
          <w:sz w:val="24"/>
          <w:szCs w:val="24"/>
        </w:rPr>
      </w:pPr>
      <w:r w:rsidRPr="00550E42">
        <w:rPr>
          <w:rFonts w:ascii="Times New Roman" w:hAnsi="Times New Roman" w:cs="Times New Roman"/>
          <w:sz w:val="24"/>
          <w:szCs w:val="24"/>
        </w:rPr>
        <w:t>Transition – paragraph 17</w:t>
      </w:r>
    </w:p>
    <w:p w14:paraId="3515DD90" w14:textId="08D2535F" w:rsidR="00B73649" w:rsidRPr="00550E42" w:rsidRDefault="00B73649" w:rsidP="00706E90">
      <w:pPr>
        <w:rPr>
          <w:rFonts w:ascii="Times New Roman" w:hAnsi="Times New Roman" w:cs="Times New Roman"/>
          <w:sz w:val="24"/>
          <w:szCs w:val="24"/>
        </w:rPr>
      </w:pPr>
      <w:r w:rsidRPr="00550E42">
        <w:rPr>
          <w:rFonts w:ascii="Times New Roman" w:hAnsi="Times New Roman" w:cs="Times New Roman"/>
          <w:sz w:val="24"/>
          <w:szCs w:val="24"/>
        </w:rPr>
        <w:t xml:space="preserve">Paragraphs 13(2)(d)-(e) of the Act provide for APRA to include matters relating to times and periods to which information in reporting documents is to relate, the provision of documents to APRA, and the time periods for provision of these documents to APRA. Paragraph 17 states that financial sector entities must report data under the reporting standard revoked in the determination making this reporting standard for reporting periods that </w:t>
      </w:r>
      <w:r w:rsidR="001930AE">
        <w:rPr>
          <w:rFonts w:ascii="Times New Roman" w:hAnsi="Times New Roman" w:cs="Times New Roman"/>
          <w:sz w:val="24"/>
          <w:szCs w:val="24"/>
        </w:rPr>
        <w:t>ended</w:t>
      </w:r>
      <w:r w:rsidRPr="00550E42">
        <w:rPr>
          <w:rFonts w:ascii="Times New Roman" w:hAnsi="Times New Roman" w:cs="Times New Roman"/>
          <w:sz w:val="24"/>
          <w:szCs w:val="24"/>
        </w:rPr>
        <w:t xml:space="preserve"> before </w:t>
      </w:r>
      <w:r w:rsidR="00011B1B">
        <w:rPr>
          <w:rFonts w:ascii="Times New Roman" w:hAnsi="Times New Roman" w:cs="Times New Roman"/>
          <w:sz w:val="24"/>
          <w:szCs w:val="24"/>
        </w:rPr>
        <w:t>1 July 2023</w:t>
      </w:r>
      <w:r w:rsidRPr="00550E42">
        <w:rPr>
          <w:rFonts w:ascii="Times New Roman" w:hAnsi="Times New Roman" w:cs="Times New Roman"/>
          <w:sz w:val="24"/>
          <w:szCs w:val="24"/>
        </w:rPr>
        <w:t xml:space="preserve">. </w:t>
      </w:r>
    </w:p>
    <w:p w14:paraId="22E1B8E1" w14:textId="77777777" w:rsidR="00B73649" w:rsidRPr="00550E42" w:rsidRDefault="00B73649"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Interpretation – paragraphs 18-19</w:t>
      </w:r>
    </w:p>
    <w:p w14:paraId="487E41DD" w14:textId="77777777" w:rsidR="00B73649" w:rsidRPr="00550E42" w:rsidRDefault="00B73649" w:rsidP="002E123D">
      <w:r w:rsidRPr="00550E42">
        <w:rPr>
          <w:rFonts w:ascii="Times New Roman" w:hAnsi="Times New Roman" w:cs="Times New Roman"/>
          <w:sz w:val="24"/>
          <w:szCs w:val="24"/>
        </w:rPr>
        <w:t>Paragraph 18 provides definitions of common terms used throughout this reporting standard. Paragraph 19 states that unless the contrary intention appears, a reference to an Act, Prudential Standard, Reporting Standard, Australian Accounting or Auditing Standard is a reference to the instrument as in force from time to time.</w:t>
      </w:r>
    </w:p>
    <w:p w14:paraId="2EB1A8FB" w14:textId="77777777" w:rsidR="00B73649" w:rsidRPr="00550E42" w:rsidRDefault="00B73649" w:rsidP="00D274ED">
      <w:pPr>
        <w:pStyle w:val="Heading6"/>
        <w:rPr>
          <w:rFonts w:ascii="Times New Roman" w:hAnsi="Times New Roman" w:cs="Times New Roman"/>
          <w:sz w:val="24"/>
          <w:szCs w:val="24"/>
        </w:rPr>
      </w:pPr>
      <w:r w:rsidRPr="00550E42">
        <w:rPr>
          <w:rFonts w:ascii="Times New Roman" w:hAnsi="Times New Roman" w:cs="Times New Roman"/>
          <w:sz w:val="24"/>
          <w:szCs w:val="24"/>
        </w:rPr>
        <w:t>General instructions</w:t>
      </w:r>
    </w:p>
    <w:p w14:paraId="70AC7C06" w14:textId="77777777" w:rsidR="00B73649" w:rsidRPr="00550E42" w:rsidRDefault="00B73649" w:rsidP="00D274ED">
      <w:pPr>
        <w:rPr>
          <w:rFonts w:ascii="Times New Roman" w:hAnsi="Times New Roman" w:cs="Times New Roman"/>
          <w:sz w:val="24"/>
          <w:szCs w:val="24"/>
        </w:rPr>
      </w:pPr>
      <w:r w:rsidRPr="00550E42">
        <w:rPr>
          <w:rFonts w:ascii="Times New Roman" w:hAnsi="Times New Roman" w:cs="Times New Roman"/>
          <w:sz w:val="24"/>
          <w:szCs w:val="24"/>
        </w:rPr>
        <w:t xml:space="preserve">The general instructions contain details on the data to be reported to APRA under this reporting standard. Information in the general instructions applies to all data items in this reporting </w:t>
      </w:r>
      <w:r w:rsidRPr="00550E42">
        <w:rPr>
          <w:rFonts w:ascii="Times New Roman" w:hAnsi="Times New Roman" w:cs="Times New Roman"/>
          <w:sz w:val="24"/>
          <w:szCs w:val="24"/>
        </w:rPr>
        <w:lastRenderedPageBreak/>
        <w:t>standard. This information includes definitions of terms that relate to the data reported to APRA under this reporting standard, and instructions on how to interpret the reporting tables.</w:t>
      </w:r>
    </w:p>
    <w:p w14:paraId="241EE007" w14:textId="77777777" w:rsidR="00B73649" w:rsidRPr="00550E42" w:rsidRDefault="00B73649" w:rsidP="00D274ED">
      <w:pPr>
        <w:pStyle w:val="Heading6"/>
        <w:rPr>
          <w:rFonts w:ascii="Times New Roman" w:hAnsi="Times New Roman" w:cs="Times New Roman"/>
          <w:sz w:val="24"/>
          <w:szCs w:val="24"/>
        </w:rPr>
      </w:pPr>
      <w:r w:rsidRPr="00550E42">
        <w:rPr>
          <w:rFonts w:ascii="Times New Roman" w:hAnsi="Times New Roman" w:cs="Times New Roman"/>
          <w:sz w:val="24"/>
          <w:szCs w:val="24"/>
        </w:rPr>
        <w:t>Specific instructions</w:t>
      </w:r>
    </w:p>
    <w:p w14:paraId="4F852B1C" w14:textId="77777777" w:rsidR="00B73649" w:rsidRPr="00550E42" w:rsidRDefault="00B73649" w:rsidP="00D274ED">
      <w:pPr>
        <w:rPr>
          <w:rFonts w:ascii="Times New Roman" w:hAnsi="Times New Roman" w:cs="Times New Roman"/>
          <w:sz w:val="24"/>
          <w:szCs w:val="24"/>
        </w:rPr>
      </w:pPr>
      <w:r w:rsidRPr="00550E42">
        <w:rPr>
          <w:rFonts w:ascii="Times New Roman" w:hAnsi="Times New Roman" w:cs="Times New Roman"/>
          <w:sz w:val="24"/>
          <w:szCs w:val="24"/>
        </w:rPr>
        <w:t>The specific instructions list the specific data items that must be reported to APRA and how financial sector entities should determine these items.</w:t>
      </w:r>
    </w:p>
    <w:p w14:paraId="42D39E59" w14:textId="77777777" w:rsidR="00B73649" w:rsidRPr="00550E42" w:rsidRDefault="00B73649" w:rsidP="00D274ED">
      <w:pPr>
        <w:pStyle w:val="Heading5"/>
        <w:rPr>
          <w:rFonts w:ascii="Times New Roman" w:hAnsi="Times New Roman" w:cs="Times New Roman"/>
          <w:i/>
          <w:sz w:val="24"/>
          <w:szCs w:val="24"/>
        </w:rPr>
      </w:pPr>
      <w:r w:rsidRPr="00550E42">
        <w:rPr>
          <w:rFonts w:ascii="Times New Roman" w:hAnsi="Times New Roman" w:cs="Times New Roman"/>
          <w:i/>
          <w:sz w:val="24"/>
          <w:szCs w:val="24"/>
        </w:rPr>
        <w:t>Documents incorporated by reference</w:t>
      </w:r>
    </w:p>
    <w:p w14:paraId="4B6E999E" w14:textId="77777777" w:rsidR="00B73649" w:rsidRPr="00550E42" w:rsidRDefault="00B73649" w:rsidP="00644872">
      <w:pPr>
        <w:rPr>
          <w:rFonts w:ascii="Times New Roman" w:hAnsi="Times New Roman" w:cs="Times New Roman"/>
          <w:sz w:val="24"/>
          <w:szCs w:val="24"/>
        </w:rPr>
      </w:pPr>
      <w:r w:rsidRPr="00550E42">
        <w:rPr>
          <w:rFonts w:ascii="Times New Roman" w:hAnsi="Times New Roman" w:cs="Times New Roman"/>
          <w:sz w:val="24"/>
          <w:szCs w:val="24"/>
        </w:rPr>
        <w:t xml:space="preserve">Under paragraph 14(1)(a) of the </w:t>
      </w:r>
      <w:r w:rsidRPr="00550E42">
        <w:rPr>
          <w:rFonts w:ascii="Times New Roman" w:hAnsi="Times New Roman" w:cs="Times New Roman"/>
          <w:i/>
          <w:sz w:val="24"/>
          <w:szCs w:val="24"/>
        </w:rPr>
        <w:t>Legislation Act 2003</w:t>
      </w:r>
      <w:r w:rsidRPr="00550E42">
        <w:rPr>
          <w:rFonts w:ascii="Times New Roman" w:hAnsi="Times New Roman" w:cs="Times New Roman"/>
          <w:sz w:val="24"/>
          <w:szCs w:val="24"/>
        </w:rPr>
        <w:t xml:space="preserve">, the standard incorporates by reference as in force from time to time: </w:t>
      </w:r>
    </w:p>
    <w:p w14:paraId="6D0821B4" w14:textId="77777777" w:rsidR="00B73649" w:rsidRPr="00550E42" w:rsidRDefault="00B73649" w:rsidP="00644872">
      <w:pPr>
        <w:numPr>
          <w:ilvl w:val="0"/>
          <w:numId w:val="21"/>
        </w:numPr>
        <w:rPr>
          <w:rFonts w:ascii="Times New Roman" w:hAnsi="Times New Roman" w:cs="Times New Roman"/>
          <w:sz w:val="24"/>
          <w:szCs w:val="24"/>
        </w:rPr>
      </w:pPr>
      <w:r w:rsidRPr="00550E42">
        <w:rPr>
          <w:rFonts w:ascii="Times New Roman" w:hAnsi="Times New Roman" w:cs="Times New Roman"/>
          <w:sz w:val="24"/>
          <w:szCs w:val="24"/>
        </w:rPr>
        <w:t xml:space="preserve">Acts of </w:t>
      </w:r>
      <w:proofErr w:type="gramStart"/>
      <w:r w:rsidRPr="00550E42">
        <w:rPr>
          <w:rFonts w:ascii="Times New Roman" w:hAnsi="Times New Roman" w:cs="Times New Roman"/>
          <w:sz w:val="24"/>
          <w:szCs w:val="24"/>
        </w:rPr>
        <w:t>Parliament;</w:t>
      </w:r>
      <w:proofErr w:type="gramEnd"/>
    </w:p>
    <w:p w14:paraId="6C01F864" w14:textId="77777777" w:rsidR="00B73649" w:rsidRPr="00550E42" w:rsidRDefault="00B73649" w:rsidP="003A7F99">
      <w:pPr>
        <w:numPr>
          <w:ilvl w:val="0"/>
          <w:numId w:val="21"/>
        </w:numPr>
        <w:rPr>
          <w:rFonts w:ascii="Times New Roman" w:hAnsi="Times New Roman" w:cs="Times New Roman"/>
          <w:sz w:val="24"/>
          <w:szCs w:val="24"/>
        </w:rPr>
      </w:pPr>
      <w:r w:rsidRPr="00550E42">
        <w:rPr>
          <w:rFonts w:ascii="Times New Roman" w:hAnsi="Times New Roman" w:cs="Times New Roman"/>
          <w:sz w:val="24"/>
          <w:szCs w:val="24"/>
        </w:rPr>
        <w:t>Prudential Standards determined by APRA under subsection 230</w:t>
      </w:r>
      <w:proofErr w:type="gramStart"/>
      <w:r w:rsidRPr="00550E42">
        <w:rPr>
          <w:rFonts w:ascii="Times New Roman" w:hAnsi="Times New Roman" w:cs="Times New Roman"/>
          <w:sz w:val="24"/>
          <w:szCs w:val="24"/>
        </w:rPr>
        <w:t>A(</w:t>
      </w:r>
      <w:proofErr w:type="gramEnd"/>
      <w:r w:rsidRPr="00550E42">
        <w:rPr>
          <w:rFonts w:ascii="Times New Roman" w:hAnsi="Times New Roman" w:cs="Times New Roman"/>
          <w:sz w:val="24"/>
          <w:szCs w:val="24"/>
        </w:rPr>
        <w:t>1) of the </w:t>
      </w:r>
      <w:r w:rsidRPr="00550E42">
        <w:rPr>
          <w:rFonts w:ascii="Times New Roman" w:hAnsi="Times New Roman" w:cs="Times New Roman"/>
          <w:i/>
          <w:iCs/>
          <w:sz w:val="24"/>
          <w:szCs w:val="24"/>
        </w:rPr>
        <w:t>Life Insurance Act 1995</w:t>
      </w:r>
      <w:r w:rsidRPr="00550E42">
        <w:rPr>
          <w:rFonts w:ascii="Times New Roman" w:hAnsi="Times New Roman" w:cs="Times New Roman"/>
          <w:iCs/>
          <w:sz w:val="24"/>
          <w:szCs w:val="24"/>
        </w:rPr>
        <w:t>;</w:t>
      </w:r>
    </w:p>
    <w:p w14:paraId="22A2F3DD" w14:textId="77777777" w:rsidR="00B73649" w:rsidRPr="00550E42" w:rsidRDefault="00B73649" w:rsidP="00644872">
      <w:pPr>
        <w:numPr>
          <w:ilvl w:val="0"/>
          <w:numId w:val="21"/>
        </w:numPr>
        <w:rPr>
          <w:rFonts w:ascii="Times New Roman" w:hAnsi="Times New Roman" w:cs="Times New Roman"/>
          <w:sz w:val="24"/>
          <w:szCs w:val="24"/>
        </w:rPr>
      </w:pPr>
      <w:r w:rsidRPr="00550E42">
        <w:rPr>
          <w:rFonts w:ascii="Times New Roman" w:hAnsi="Times New Roman" w:cs="Times New Roman"/>
          <w:sz w:val="24"/>
          <w:szCs w:val="24"/>
        </w:rPr>
        <w:t>Reporting Standards determined by APRA under subsection 13(1) of the Act</w:t>
      </w:r>
      <w:r w:rsidRPr="00550E42">
        <w:rPr>
          <w:rFonts w:ascii="Times New Roman" w:hAnsi="Times New Roman" w:cs="Times New Roman"/>
          <w:iCs/>
          <w:sz w:val="24"/>
          <w:szCs w:val="24"/>
          <w:lang w:val="en-US"/>
        </w:rPr>
        <w:t>; and</w:t>
      </w:r>
    </w:p>
    <w:p w14:paraId="60722F8A" w14:textId="77777777" w:rsidR="00B73649" w:rsidRPr="00550E42" w:rsidRDefault="00B73649" w:rsidP="00644872">
      <w:pPr>
        <w:numPr>
          <w:ilvl w:val="0"/>
          <w:numId w:val="21"/>
        </w:numPr>
        <w:rPr>
          <w:rFonts w:ascii="Times New Roman" w:hAnsi="Times New Roman" w:cs="Times New Roman"/>
          <w:i/>
          <w:iCs/>
          <w:sz w:val="24"/>
          <w:szCs w:val="24"/>
        </w:rPr>
      </w:pPr>
      <w:r w:rsidRPr="00550E42">
        <w:rPr>
          <w:rFonts w:ascii="Times New Roman" w:hAnsi="Times New Roman" w:cs="Times New Roman"/>
          <w:sz w:val="24"/>
          <w:szCs w:val="24"/>
        </w:rPr>
        <w:t xml:space="preserve">the Australian Accounting Standards determined by the Australian Accounting Standards Board under section 334 of the </w:t>
      </w:r>
      <w:r w:rsidRPr="00550E42">
        <w:rPr>
          <w:rFonts w:ascii="Times New Roman" w:hAnsi="Times New Roman" w:cs="Times New Roman"/>
          <w:i/>
          <w:iCs/>
          <w:sz w:val="24"/>
          <w:szCs w:val="24"/>
        </w:rPr>
        <w:t xml:space="preserve">Corporations Act 2001 </w:t>
      </w:r>
      <w:r w:rsidRPr="00550E42">
        <w:rPr>
          <w:rFonts w:ascii="Times New Roman" w:hAnsi="Times New Roman" w:cs="Times New Roman"/>
          <w:sz w:val="24"/>
          <w:szCs w:val="24"/>
        </w:rPr>
        <w:t>(</w:t>
      </w:r>
      <w:proofErr w:type="spellStart"/>
      <w:r w:rsidRPr="00550E42">
        <w:rPr>
          <w:rFonts w:ascii="Times New Roman" w:hAnsi="Times New Roman" w:cs="Times New Roman"/>
          <w:sz w:val="24"/>
          <w:szCs w:val="24"/>
        </w:rPr>
        <w:t>Cth</w:t>
      </w:r>
      <w:proofErr w:type="spellEnd"/>
      <w:r w:rsidRPr="00550E42">
        <w:rPr>
          <w:rFonts w:ascii="Times New Roman" w:hAnsi="Times New Roman" w:cs="Times New Roman"/>
          <w:sz w:val="24"/>
          <w:szCs w:val="24"/>
        </w:rPr>
        <w:t>).</w:t>
      </w:r>
    </w:p>
    <w:p w14:paraId="17969B33" w14:textId="77777777" w:rsidR="00B73649" w:rsidRPr="00550E42" w:rsidRDefault="00B73649" w:rsidP="00644872">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These documents may be freely obtained at </w:t>
      </w:r>
      <w:hyperlink r:id="rId11" w:history="1">
        <w:r w:rsidRPr="00550E42">
          <w:rPr>
            <w:rStyle w:val="Hyperlink"/>
            <w:rFonts w:ascii="Times New Roman" w:hAnsi="Times New Roman" w:cs="Times New Roman"/>
            <w:sz w:val="24"/>
            <w:szCs w:val="24"/>
          </w:rPr>
          <w:t>www.legislation.gov.au</w:t>
        </w:r>
      </w:hyperlink>
      <w:r w:rsidRPr="00550E42">
        <w:rPr>
          <w:rFonts w:ascii="Times New Roman" w:hAnsi="Times New Roman" w:cs="Times New Roman"/>
          <w:sz w:val="24"/>
          <w:szCs w:val="24"/>
        </w:rPr>
        <w:t xml:space="preserve"> (all documents listed above except for Australian Accounting Standards), and  </w:t>
      </w:r>
      <w:hyperlink r:id="rId12" w:history="1">
        <w:r w:rsidRPr="00550E42">
          <w:rPr>
            <w:rStyle w:val="Hyperlink"/>
            <w:rFonts w:ascii="Times New Roman" w:hAnsi="Times New Roman" w:cs="Times New Roman"/>
            <w:sz w:val="24"/>
            <w:szCs w:val="24"/>
          </w:rPr>
          <w:t>https://www.aasb.gov.au/pronouncements/accounting-standards/</w:t>
        </w:r>
      </w:hyperlink>
      <w:r w:rsidRPr="00550E42">
        <w:rPr>
          <w:rFonts w:ascii="Times New Roman" w:hAnsi="Times New Roman" w:cs="Times New Roman"/>
          <w:sz w:val="24"/>
          <w:szCs w:val="24"/>
        </w:rPr>
        <w:t xml:space="preserve"> (Australian Accounting Standards).</w:t>
      </w:r>
    </w:p>
    <w:p w14:paraId="07CCB3BF" w14:textId="77777777" w:rsidR="00B73649" w:rsidRPr="00550E42" w:rsidRDefault="00B73649" w:rsidP="00D274ED">
      <w:pPr>
        <w:pStyle w:val="Heading5"/>
        <w:rPr>
          <w:rFonts w:ascii="Times New Roman" w:hAnsi="Times New Roman" w:cs="Times New Roman"/>
          <w:i/>
          <w:sz w:val="24"/>
          <w:szCs w:val="24"/>
        </w:rPr>
      </w:pPr>
      <w:r w:rsidRPr="00550E42">
        <w:rPr>
          <w:rFonts w:ascii="Times New Roman" w:hAnsi="Times New Roman" w:cs="Times New Roman"/>
          <w:i/>
          <w:sz w:val="24"/>
          <w:szCs w:val="24"/>
        </w:rPr>
        <w:t>Review of decisions</w:t>
      </w:r>
    </w:p>
    <w:p w14:paraId="53184D0D" w14:textId="6A1F6404" w:rsidR="00B73649" w:rsidRPr="00550E42" w:rsidRDefault="00B73649" w:rsidP="00D274ED">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There are a number of powers that may be exercised by APRA in reporting standards that involve an element of </w:t>
      </w:r>
      <w:proofErr w:type="gramStart"/>
      <w:r w:rsidRPr="00550E42">
        <w:rPr>
          <w:rFonts w:ascii="Times New Roman" w:hAnsi="Times New Roman" w:cs="Times New Roman"/>
          <w:sz w:val="24"/>
          <w:szCs w:val="24"/>
        </w:rPr>
        <w:t>discretion</w:t>
      </w:r>
      <w:proofErr w:type="gramEnd"/>
      <w:r w:rsidRPr="00550E42">
        <w:rPr>
          <w:rFonts w:ascii="Times New Roman" w:hAnsi="Times New Roman" w:cs="Times New Roman"/>
          <w:sz w:val="24"/>
          <w:szCs w:val="24"/>
        </w:rPr>
        <w:t xml:space="preserve"> and which may impact the interests of the life companies to which the reporting standards apply. These decisions include APRA changing a reporting period or due date for a life company to provide information required by each of the instruments. Decisions made by APRA exercising those powers are not subject to merits review. </w:t>
      </w:r>
    </w:p>
    <w:p w14:paraId="6650BB12" w14:textId="77777777" w:rsidR="00B73649" w:rsidRPr="00550E42" w:rsidRDefault="00B73649" w:rsidP="00D274ED">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42258917" w14:textId="4CF45DB8" w:rsidR="00B73649" w:rsidRPr="00550E42" w:rsidRDefault="00B73649" w:rsidP="00D274ED">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sidR="001930AE">
        <w:rPr>
          <w:rFonts w:ascii="Times New Roman" w:hAnsi="Times New Roman" w:cs="Times New Roman"/>
          <w:sz w:val="24"/>
          <w:szCs w:val="24"/>
        </w:rPr>
        <w:t xml:space="preserve"> life company</w:t>
      </w:r>
      <w:r w:rsidR="001930AE" w:rsidRPr="00550E42">
        <w:rPr>
          <w:rFonts w:ascii="Times New Roman" w:hAnsi="Times New Roman" w:cs="Times New Roman"/>
          <w:sz w:val="24"/>
          <w:szCs w:val="24"/>
        </w:rPr>
        <w:t xml:space="preserve"> </w:t>
      </w:r>
      <w:r w:rsidRPr="00550E42">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3509123F" w14:textId="77777777" w:rsidR="00B73649" w:rsidRPr="00550E42" w:rsidRDefault="00B73649" w:rsidP="00BD6513">
      <w:pPr>
        <w:keepNext/>
        <w:numPr>
          <w:ilvl w:val="0"/>
          <w:numId w:val="0"/>
        </w:numPr>
        <w:rPr>
          <w:rFonts w:ascii="Times New Roman" w:hAnsi="Times New Roman" w:cs="Times New Roman"/>
          <w:b/>
          <w:sz w:val="24"/>
          <w:szCs w:val="24"/>
        </w:rPr>
      </w:pPr>
      <w:r w:rsidRPr="00550E42">
        <w:rPr>
          <w:rFonts w:ascii="Times New Roman" w:hAnsi="Times New Roman" w:cs="Times New Roman"/>
          <w:b/>
          <w:sz w:val="24"/>
          <w:szCs w:val="24"/>
        </w:rPr>
        <w:lastRenderedPageBreak/>
        <w:t>3.</w:t>
      </w:r>
      <w:r w:rsidRPr="00550E42">
        <w:rPr>
          <w:rFonts w:ascii="Times New Roman" w:hAnsi="Times New Roman" w:cs="Times New Roman"/>
          <w:b/>
          <w:sz w:val="24"/>
          <w:szCs w:val="24"/>
        </w:rPr>
        <w:tab/>
        <w:t>Consultation</w:t>
      </w:r>
    </w:p>
    <w:p w14:paraId="380DBB07" w14:textId="77777777" w:rsidR="00B73649" w:rsidRPr="00550E42" w:rsidRDefault="00B73649" w:rsidP="007B5325">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sidRPr="00550E42">
        <w:rPr>
          <w:rFonts w:ascii="Times New Roman" w:hAnsi="Times New Roman" w:cs="Times New Roman"/>
          <w:sz w:val="24"/>
          <w:szCs w:val="24"/>
        </w:rPr>
        <w:t>, when APRA released finalised changes to the reporting framework for insurance in response to the introduction of AASB 17, including finalised reporting standards</w:t>
      </w:r>
      <w:r w:rsidRPr="00550E42">
        <w:rPr>
          <w:rStyle w:val="FootnoteReference"/>
          <w:rFonts w:ascii="Times New Roman" w:hAnsi="Times New Roman" w:cs="Times New Roman"/>
          <w:szCs w:val="24"/>
        </w:rPr>
        <w:footnoteReference w:id="2"/>
      </w:r>
      <w:r w:rsidRPr="00550E42">
        <w:rPr>
          <w:rFonts w:ascii="Times New Roman" w:hAnsi="Times New Roman" w:cs="Times New Roman"/>
          <w:sz w:val="24"/>
          <w:szCs w:val="24"/>
        </w:rPr>
        <w:t>.</w:t>
      </w:r>
    </w:p>
    <w:p w14:paraId="01CCC19B" w14:textId="315B8120" w:rsidR="00B73649" w:rsidRPr="00550E42" w:rsidRDefault="00B73649" w:rsidP="007B5325">
      <w:pPr>
        <w:numPr>
          <w:ilvl w:val="0"/>
          <w:numId w:val="0"/>
        </w:numPr>
        <w:rPr>
          <w:rFonts w:ascii="Times New Roman" w:hAnsi="Times New Roman"/>
          <w:sz w:val="24"/>
          <w:szCs w:val="24"/>
        </w:rPr>
      </w:pPr>
      <w:r w:rsidRPr="00550E42">
        <w:rPr>
          <w:rFonts w:ascii="Times New Roman" w:hAnsi="Times New Roman"/>
          <w:sz w:val="24"/>
          <w:szCs w:val="24"/>
        </w:rPr>
        <w:t xml:space="preserve">Submissions were received from reporting </w:t>
      </w:r>
      <w:r w:rsidR="001930AE">
        <w:rPr>
          <w:rFonts w:ascii="Times New Roman" w:hAnsi="Times New Roman" w:cs="Times New Roman"/>
          <w:sz w:val="24"/>
          <w:szCs w:val="24"/>
        </w:rPr>
        <w:t>life companies</w:t>
      </w:r>
      <w:r w:rsidRPr="00550E42">
        <w:rPr>
          <w:rFonts w:ascii="Times New Roman" w:hAnsi="Times New Roman"/>
          <w:sz w:val="24"/>
          <w:szCs w:val="24"/>
        </w:rPr>
        <w:t>,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272C046B" w14:textId="77777777" w:rsidR="00B73649" w:rsidRPr="00550E42" w:rsidRDefault="00B73649" w:rsidP="007B5325">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APRA is satisfied the consultation was appropriate and reasonably practicable.</w:t>
      </w:r>
    </w:p>
    <w:p w14:paraId="5EB23DAF" w14:textId="77777777" w:rsidR="00B73649" w:rsidRPr="00550E42" w:rsidRDefault="00B73649" w:rsidP="00211AFD">
      <w:pPr>
        <w:numPr>
          <w:ilvl w:val="0"/>
          <w:numId w:val="0"/>
        </w:numPr>
        <w:rPr>
          <w:rFonts w:ascii="Times New Roman" w:hAnsi="Times New Roman" w:cs="Times New Roman"/>
          <w:b/>
          <w:sz w:val="24"/>
          <w:szCs w:val="24"/>
        </w:rPr>
      </w:pPr>
      <w:r w:rsidRPr="00550E42">
        <w:rPr>
          <w:rFonts w:ascii="Times New Roman" w:hAnsi="Times New Roman" w:cs="Times New Roman"/>
          <w:b/>
          <w:sz w:val="24"/>
          <w:szCs w:val="24"/>
        </w:rPr>
        <w:t>4.</w:t>
      </w:r>
      <w:r w:rsidRPr="00550E42">
        <w:rPr>
          <w:rFonts w:ascii="Times New Roman" w:hAnsi="Times New Roman" w:cs="Times New Roman"/>
          <w:b/>
          <w:sz w:val="24"/>
          <w:szCs w:val="24"/>
        </w:rPr>
        <w:tab/>
        <w:t>Regulation Impact Statement</w:t>
      </w:r>
    </w:p>
    <w:p w14:paraId="76F557FC" w14:textId="77777777" w:rsidR="00B73649" w:rsidRPr="00550E42" w:rsidRDefault="00B73649" w:rsidP="00A54193">
      <w:pPr>
        <w:rPr>
          <w:rFonts w:ascii="Times New Roman" w:hAnsi="Times New Roman"/>
          <w:sz w:val="24"/>
          <w:szCs w:val="24"/>
        </w:rPr>
      </w:pPr>
      <w:r w:rsidRPr="00550E42">
        <w:rPr>
          <w:rFonts w:ascii="Times New Roman" w:hAnsi="Times New Roman"/>
          <w:sz w:val="24"/>
          <w:szCs w:val="24"/>
        </w:rPr>
        <w:t>The Office of Impact Analysis confirmed that a Regulation Impact Statement was not required.</w:t>
      </w:r>
    </w:p>
    <w:p w14:paraId="3D3D5097" w14:textId="77777777" w:rsidR="00B73649" w:rsidRPr="00550E42" w:rsidRDefault="00B73649" w:rsidP="003163CB">
      <w:pPr>
        <w:pStyle w:val="Heading"/>
        <w:spacing w:before="0" w:after="240"/>
        <w:jc w:val="both"/>
        <w:rPr>
          <w:rFonts w:cs="Times New Roman"/>
          <w:i/>
          <w:sz w:val="24"/>
          <w:szCs w:val="24"/>
        </w:rPr>
      </w:pPr>
      <w:r w:rsidRPr="00550E42">
        <w:rPr>
          <w:rFonts w:cs="Times New Roman"/>
          <w:sz w:val="24"/>
          <w:szCs w:val="24"/>
        </w:rPr>
        <w:t>5.</w:t>
      </w:r>
      <w:r w:rsidRPr="00550E42">
        <w:rPr>
          <w:rFonts w:cs="Times New Roman"/>
          <w:sz w:val="24"/>
          <w:szCs w:val="24"/>
        </w:rPr>
        <w:tab/>
        <w:t xml:space="preserve">Statement of compatibility prepared in accordance with Part 3 of the </w:t>
      </w:r>
      <w:r w:rsidRPr="00550E42">
        <w:rPr>
          <w:rFonts w:cs="Times New Roman"/>
          <w:i/>
          <w:sz w:val="24"/>
          <w:szCs w:val="24"/>
        </w:rPr>
        <w:t>Human Rights (Parliamentary Scrutiny) Act 2011</w:t>
      </w:r>
    </w:p>
    <w:p w14:paraId="74497603" w14:textId="77777777" w:rsidR="00B73649" w:rsidRPr="00550E42" w:rsidRDefault="00B73649" w:rsidP="00B670E9">
      <w:pPr>
        <w:pStyle w:val="Heading"/>
        <w:spacing w:before="0" w:after="240"/>
        <w:jc w:val="both"/>
        <w:rPr>
          <w:rFonts w:cs="Times New Roman"/>
          <w:b w:val="0"/>
          <w:kern w:val="0"/>
          <w:sz w:val="24"/>
          <w:szCs w:val="24"/>
          <w:lang w:val="en-GB"/>
        </w:rPr>
      </w:pPr>
      <w:r w:rsidRPr="00550E42">
        <w:rPr>
          <w:rFonts w:cs="Times New Roman"/>
          <w:b w:val="0"/>
          <w:kern w:val="0"/>
          <w:sz w:val="24"/>
          <w:szCs w:val="24"/>
          <w:lang w:val="en-GB"/>
        </w:rPr>
        <w:t xml:space="preserve">A Statement of compatibility prepared in accordance with Part 3 of the </w:t>
      </w:r>
      <w:r w:rsidRPr="00550E42">
        <w:rPr>
          <w:rFonts w:cs="Times New Roman"/>
          <w:b w:val="0"/>
          <w:i/>
          <w:sz w:val="24"/>
          <w:szCs w:val="24"/>
          <w:lang w:val="en-GB"/>
        </w:rPr>
        <w:t>Human Rights (Parliamentary Scrutiny) Act 2011</w:t>
      </w:r>
      <w:r w:rsidRPr="00550E42">
        <w:rPr>
          <w:rFonts w:cs="Times New Roman"/>
          <w:b w:val="0"/>
          <w:kern w:val="0"/>
          <w:sz w:val="24"/>
          <w:szCs w:val="24"/>
          <w:lang w:val="en-GB"/>
        </w:rPr>
        <w:t xml:space="preserve"> is provided at Attachment A to this Explanatory Statement.</w:t>
      </w:r>
    </w:p>
    <w:p w14:paraId="41414408" w14:textId="77777777" w:rsidR="00B73649" w:rsidRPr="00550E42" w:rsidRDefault="00B73649" w:rsidP="00A34ADD">
      <w:pPr>
        <w:rPr>
          <w:rFonts w:ascii="Times New Roman" w:hAnsi="Times New Roman" w:cs="Times New Roman"/>
          <w:sz w:val="24"/>
          <w:szCs w:val="24"/>
        </w:rPr>
      </w:pPr>
      <w:r w:rsidRPr="00550E42">
        <w:rPr>
          <w:rFonts w:ascii="Times New Roman" w:hAnsi="Times New Roman" w:cs="Times New Roman"/>
          <w:sz w:val="24"/>
          <w:szCs w:val="24"/>
        </w:rPr>
        <w:br w:type="page"/>
      </w:r>
    </w:p>
    <w:p w14:paraId="7FDBB2F4" w14:textId="77777777" w:rsidR="00B73649" w:rsidRPr="00550E42" w:rsidRDefault="00B73649" w:rsidP="00B670E9">
      <w:pPr>
        <w:pStyle w:val="Heading"/>
        <w:keepNext w:val="0"/>
        <w:spacing w:before="0" w:after="240"/>
        <w:jc w:val="center"/>
        <w:rPr>
          <w:rFonts w:cs="Times New Roman"/>
          <w:sz w:val="24"/>
          <w:szCs w:val="24"/>
        </w:rPr>
      </w:pPr>
      <w:r w:rsidRPr="00550E42">
        <w:rPr>
          <w:rFonts w:cs="Times New Roman"/>
          <w:sz w:val="24"/>
          <w:szCs w:val="24"/>
          <w:lang w:val="en-GB"/>
        </w:rPr>
        <w:lastRenderedPageBreak/>
        <w:t>ATTACHMENT A</w:t>
      </w:r>
    </w:p>
    <w:p w14:paraId="2A6D48DB" w14:textId="77777777" w:rsidR="00B73649" w:rsidRPr="00550E42" w:rsidRDefault="00B73649" w:rsidP="00B670E9">
      <w:pPr>
        <w:pStyle w:val="Heading"/>
        <w:keepNext w:val="0"/>
        <w:spacing w:before="0" w:after="240"/>
        <w:jc w:val="center"/>
        <w:rPr>
          <w:rFonts w:cs="Times New Roman"/>
          <w:sz w:val="24"/>
          <w:szCs w:val="24"/>
        </w:rPr>
      </w:pPr>
      <w:r w:rsidRPr="00550E42">
        <w:rPr>
          <w:rFonts w:cs="Times New Roman"/>
          <w:sz w:val="24"/>
          <w:szCs w:val="24"/>
        </w:rPr>
        <w:t>Statement of Compatibility with Human Rights</w:t>
      </w:r>
    </w:p>
    <w:p w14:paraId="3D90CA1B" w14:textId="77777777" w:rsidR="00B73649" w:rsidRPr="00550E42" w:rsidRDefault="00B73649" w:rsidP="00B670E9">
      <w:pPr>
        <w:pStyle w:val="Heading1"/>
        <w:jc w:val="center"/>
        <w:rPr>
          <w:rFonts w:ascii="Times New Roman" w:hAnsi="Times New Roman" w:cs="Times New Roman"/>
          <w:b w:val="0"/>
          <w:i/>
          <w:sz w:val="24"/>
          <w:szCs w:val="24"/>
        </w:rPr>
      </w:pPr>
      <w:r w:rsidRPr="00550E42">
        <w:rPr>
          <w:rFonts w:ascii="Times New Roman" w:hAnsi="Times New Roman" w:cs="Times New Roman"/>
          <w:b w:val="0"/>
          <w:sz w:val="24"/>
          <w:szCs w:val="24"/>
        </w:rPr>
        <w:t xml:space="preserve">Prepared in accordance with Part 3 of the </w:t>
      </w:r>
      <w:r w:rsidRPr="00550E42">
        <w:rPr>
          <w:rFonts w:ascii="Times New Roman" w:hAnsi="Times New Roman" w:cs="Times New Roman"/>
          <w:b w:val="0"/>
          <w:i/>
          <w:sz w:val="24"/>
          <w:szCs w:val="24"/>
        </w:rPr>
        <w:t>Human Rights (Parliamentary Scrutiny) Act 2011</w:t>
      </w:r>
    </w:p>
    <w:p w14:paraId="76A651C3" w14:textId="77777777" w:rsidR="00B73649" w:rsidRPr="00550E42" w:rsidRDefault="00B73649" w:rsidP="00D0248E">
      <w:pPr>
        <w:jc w:val="center"/>
        <w:rPr>
          <w:rFonts w:ascii="Times New Roman" w:hAnsi="Times New Roman" w:cs="Times New Roman"/>
          <w:sz w:val="24"/>
          <w:szCs w:val="24"/>
        </w:rPr>
      </w:pPr>
      <w:r w:rsidRPr="00550E42">
        <w:rPr>
          <w:rFonts w:ascii="Times New Roman" w:eastAsia="Times New Roman" w:hAnsi="Times New Roman" w:cs="Times New Roman"/>
          <w:b/>
          <w:sz w:val="24"/>
          <w:szCs w:val="24"/>
          <w:lang w:eastAsia="en-AU"/>
        </w:rPr>
        <w:t xml:space="preserve">Financial Sector (Collection of Data) (reporting standard) determination No. </w:t>
      </w:r>
      <w:r w:rsidRPr="00C65DD1">
        <w:rPr>
          <w:rFonts w:ascii="Times New Roman" w:eastAsia="Times New Roman" w:hAnsi="Times New Roman" w:cs="Times New Roman"/>
          <w:b/>
          <w:noProof/>
          <w:sz w:val="24"/>
          <w:szCs w:val="24"/>
          <w:lang w:eastAsia="en-AU"/>
        </w:rPr>
        <w:t>122</w:t>
      </w:r>
      <w:r w:rsidRPr="00550E42">
        <w:rPr>
          <w:rFonts w:ascii="Times New Roman" w:eastAsia="Times New Roman" w:hAnsi="Times New Roman" w:cs="Times New Roman"/>
          <w:b/>
          <w:sz w:val="24"/>
          <w:szCs w:val="24"/>
          <w:lang w:eastAsia="en-AU"/>
        </w:rPr>
        <w:t xml:space="preserve"> of 2023</w:t>
      </w:r>
    </w:p>
    <w:p w14:paraId="659B8B84" w14:textId="77777777" w:rsidR="00B73649" w:rsidRPr="00550E42" w:rsidRDefault="00B73649" w:rsidP="00B670E9">
      <w:pPr>
        <w:rPr>
          <w:rFonts w:ascii="Times New Roman" w:hAnsi="Times New Roman" w:cs="Times New Roman"/>
          <w:sz w:val="24"/>
          <w:szCs w:val="24"/>
        </w:rPr>
      </w:pPr>
      <w:r w:rsidRPr="00550E42">
        <w:rPr>
          <w:rFonts w:ascii="Times New Roman" w:hAnsi="Times New Roman" w:cs="Times New Roman"/>
          <w:sz w:val="24"/>
          <w:szCs w:val="24"/>
        </w:rPr>
        <w:t xml:space="preserve">This Legislative Instrument is compatible with the human rights and freedoms recognised or declared in the international instrument listed in section 3 of the </w:t>
      </w:r>
      <w:r w:rsidRPr="00550E42">
        <w:rPr>
          <w:rFonts w:ascii="Times New Roman" w:hAnsi="Times New Roman" w:cs="Times New Roman"/>
          <w:i/>
          <w:sz w:val="24"/>
          <w:szCs w:val="24"/>
        </w:rPr>
        <w:t>Human Rights (Parliamentary Scrutiny) Act 2011</w:t>
      </w:r>
      <w:r w:rsidRPr="00550E42">
        <w:rPr>
          <w:rFonts w:ascii="Times New Roman" w:hAnsi="Times New Roman" w:cs="Times New Roman"/>
          <w:sz w:val="24"/>
          <w:szCs w:val="24"/>
        </w:rPr>
        <w:t xml:space="preserve"> (HRPS Act).</w:t>
      </w:r>
    </w:p>
    <w:p w14:paraId="1B443387" w14:textId="77777777" w:rsidR="00B73649" w:rsidRPr="00550E42" w:rsidRDefault="00B73649" w:rsidP="00B670E9">
      <w:pPr>
        <w:rPr>
          <w:rFonts w:ascii="Times New Roman" w:hAnsi="Times New Roman" w:cs="Times New Roman"/>
          <w:sz w:val="24"/>
          <w:szCs w:val="24"/>
        </w:rPr>
      </w:pPr>
      <w:r w:rsidRPr="00550E42">
        <w:rPr>
          <w:rFonts w:ascii="Times New Roman" w:hAnsi="Times New Roman" w:cs="Times New Roman"/>
          <w:b/>
          <w:sz w:val="24"/>
          <w:szCs w:val="24"/>
        </w:rPr>
        <w:t>Overview of the Legislative Instrument</w:t>
      </w:r>
    </w:p>
    <w:p w14:paraId="22797D17" w14:textId="4BE33ED6" w:rsidR="00B73649" w:rsidRPr="00550E42" w:rsidRDefault="00B73649" w:rsidP="00D56D61">
      <w:pPr>
        <w:rPr>
          <w:rFonts w:ascii="Times New Roman" w:hAnsi="Times New Roman" w:cs="Times New Roman"/>
          <w:sz w:val="24"/>
          <w:szCs w:val="24"/>
        </w:rPr>
      </w:pPr>
      <w:r w:rsidRPr="00550E42">
        <w:rPr>
          <w:rFonts w:ascii="Times New Roman" w:hAnsi="Times New Roman" w:cs="Times New Roman"/>
          <w:sz w:val="24"/>
          <w:szCs w:val="24"/>
        </w:rPr>
        <w:t xml:space="preserve">The purpose of the Legislative Instrument is to </w:t>
      </w:r>
      <w:r w:rsidRPr="00550E42">
        <w:rPr>
          <w:rFonts w:ascii="Times New Roman" w:hAnsi="Times New Roman"/>
          <w:sz w:val="24"/>
          <w:szCs w:val="24"/>
        </w:rPr>
        <w:t xml:space="preserve">revoke </w:t>
      </w:r>
      <w:r w:rsidRPr="00C65DD1">
        <w:rPr>
          <w:rFonts w:ascii="Times New Roman" w:hAnsi="Times New Roman"/>
          <w:i/>
          <w:noProof/>
          <w:sz w:val="24"/>
          <w:szCs w:val="24"/>
        </w:rPr>
        <w:t>Reporting Standard LRS 310.0 Income Statement</w:t>
      </w:r>
      <w:r w:rsidRPr="00550E42">
        <w:rPr>
          <w:rFonts w:ascii="Times New Roman" w:hAnsi="Times New Roman"/>
          <w:sz w:val="24"/>
          <w:szCs w:val="24"/>
        </w:rPr>
        <w:t xml:space="preserve"> made under Financial Sector (Collection of Data) (reporting standard) determination </w:t>
      </w:r>
      <w:r w:rsidRPr="00C65DD1">
        <w:rPr>
          <w:rFonts w:ascii="Times New Roman" w:hAnsi="Times New Roman"/>
          <w:noProof/>
          <w:sz w:val="24"/>
          <w:szCs w:val="24"/>
        </w:rPr>
        <w:t>No. 33 of 2023</w:t>
      </w:r>
      <w:r w:rsidRPr="00550E42">
        <w:rPr>
          <w:rFonts w:ascii="Times New Roman" w:hAnsi="Times New Roman"/>
          <w:sz w:val="24"/>
          <w:szCs w:val="24"/>
        </w:rPr>
        <w:t xml:space="preserve"> and replace it with </w:t>
      </w:r>
      <w:r w:rsidRPr="00550E42">
        <w:rPr>
          <w:rFonts w:ascii="Times New Roman" w:hAnsi="Times New Roman" w:cs="Times New Roman"/>
          <w:sz w:val="24"/>
          <w:szCs w:val="24"/>
        </w:rPr>
        <w:t xml:space="preserve">a new </w:t>
      </w:r>
      <w:r w:rsidRPr="00550E42">
        <w:rPr>
          <w:rFonts w:ascii="Times New Roman" w:hAnsi="Times New Roman" w:cs="Times New Roman"/>
          <w:i/>
          <w:sz w:val="24"/>
          <w:szCs w:val="24"/>
        </w:rPr>
        <w:t xml:space="preserve">Reporting Standard </w:t>
      </w:r>
      <w:r w:rsidRPr="00C65DD1">
        <w:rPr>
          <w:rFonts w:ascii="Times New Roman" w:hAnsi="Times New Roman" w:cs="Times New Roman"/>
          <w:i/>
          <w:noProof/>
          <w:sz w:val="24"/>
          <w:szCs w:val="24"/>
        </w:rPr>
        <w:t>LRS 310.0 Statement of profit or loss and other comprehensive income</w:t>
      </w:r>
      <w:r w:rsidRPr="00550E42">
        <w:rPr>
          <w:rFonts w:ascii="Times New Roman" w:hAnsi="Times New Roman" w:cs="Times New Roman"/>
          <w:sz w:val="24"/>
          <w:szCs w:val="24"/>
        </w:rPr>
        <w:t xml:space="preserve"> that incorporates updates to </w:t>
      </w:r>
      <w:r w:rsidRPr="00550E42">
        <w:rPr>
          <w:rFonts w:ascii="Times New Roman" w:hAnsi="Times New Roman" w:cs="Times New Roman"/>
          <w:i/>
          <w:sz w:val="24"/>
          <w:szCs w:val="24"/>
        </w:rPr>
        <w:t xml:space="preserve">Accounting Standard AASB 17 Insurance Contracts </w:t>
      </w:r>
      <w:r w:rsidRPr="00550E42">
        <w:rPr>
          <w:rFonts w:ascii="Times New Roman" w:hAnsi="Times New Roman" w:cs="Times New Roman"/>
          <w:sz w:val="24"/>
          <w:szCs w:val="24"/>
        </w:rPr>
        <w:t xml:space="preserve">and APRA’s prudential framework for life </w:t>
      </w:r>
      <w:r w:rsidR="0070307A">
        <w:rPr>
          <w:rFonts w:ascii="Times New Roman" w:hAnsi="Times New Roman" w:cs="Times New Roman"/>
          <w:sz w:val="24"/>
          <w:szCs w:val="24"/>
        </w:rPr>
        <w:t>companies</w:t>
      </w:r>
      <w:r w:rsidRPr="00550E42">
        <w:rPr>
          <w:rFonts w:ascii="Times New Roman" w:hAnsi="Times New Roman" w:cs="Times New Roman"/>
          <w:sz w:val="24"/>
          <w:szCs w:val="24"/>
        </w:rPr>
        <w:t xml:space="preserve">. </w:t>
      </w:r>
    </w:p>
    <w:p w14:paraId="29C093EE" w14:textId="77777777" w:rsidR="00B73649" w:rsidRPr="00550E42" w:rsidRDefault="00B73649" w:rsidP="00B670E9">
      <w:pPr>
        <w:rPr>
          <w:rFonts w:ascii="Times New Roman" w:hAnsi="Times New Roman" w:cs="Times New Roman"/>
          <w:sz w:val="24"/>
          <w:szCs w:val="24"/>
        </w:rPr>
      </w:pPr>
      <w:r w:rsidRPr="00550E42">
        <w:rPr>
          <w:rFonts w:ascii="Times New Roman" w:hAnsi="Times New Roman" w:cs="Times New Roman"/>
          <w:b/>
          <w:sz w:val="24"/>
          <w:szCs w:val="24"/>
        </w:rPr>
        <w:t>Human rights implications</w:t>
      </w:r>
    </w:p>
    <w:p w14:paraId="5BF7CA41" w14:textId="77777777" w:rsidR="00B73649" w:rsidRPr="00550E42" w:rsidRDefault="00B73649" w:rsidP="00B670E9">
      <w:pPr>
        <w:rPr>
          <w:rFonts w:ascii="Times New Roman" w:eastAsia="Times New Roman" w:hAnsi="Times New Roman" w:cs="Times New Roman"/>
          <w:iCs/>
          <w:sz w:val="24"/>
          <w:szCs w:val="24"/>
          <w:lang w:eastAsia="en-AU"/>
        </w:rPr>
      </w:pPr>
      <w:r w:rsidRPr="00550E42">
        <w:rPr>
          <w:rFonts w:ascii="Times New Roman" w:eastAsia="Times New Roman" w:hAnsi="Times New Roman" w:cs="Times New Roman"/>
          <w:iCs/>
          <w:sz w:val="24"/>
          <w:szCs w:val="24"/>
          <w:lang w:eastAsia="en-AU"/>
        </w:rPr>
        <w:t xml:space="preserve">APRA has assessed the Legislative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4C1713AD" w14:textId="77777777" w:rsidR="00B73649" w:rsidRPr="00550E42" w:rsidRDefault="00B73649" w:rsidP="00B670E9">
      <w:pPr>
        <w:rPr>
          <w:rFonts w:ascii="Times New Roman" w:hAnsi="Times New Roman" w:cs="Times New Roman"/>
          <w:b/>
          <w:sz w:val="24"/>
          <w:szCs w:val="24"/>
        </w:rPr>
      </w:pPr>
      <w:r w:rsidRPr="00550E42">
        <w:rPr>
          <w:rFonts w:ascii="Times New Roman" w:hAnsi="Times New Roman" w:cs="Times New Roman"/>
          <w:b/>
          <w:sz w:val="24"/>
          <w:szCs w:val="24"/>
        </w:rPr>
        <w:t>Conclusion</w:t>
      </w:r>
    </w:p>
    <w:p w14:paraId="2C5ABB8D" w14:textId="77777777" w:rsidR="00B73649" w:rsidRPr="00550E42" w:rsidRDefault="00B73649" w:rsidP="00B670E9">
      <w:pPr>
        <w:rPr>
          <w:rFonts w:ascii="Times New Roman" w:hAnsi="Times New Roman" w:cs="Times New Roman"/>
          <w:sz w:val="24"/>
          <w:szCs w:val="24"/>
        </w:rPr>
      </w:pPr>
      <w:r w:rsidRPr="00550E42">
        <w:rPr>
          <w:rFonts w:ascii="Times New Roman" w:hAnsi="Times New Roman" w:cs="Times New Roman"/>
          <w:sz w:val="24"/>
          <w:szCs w:val="24"/>
        </w:rPr>
        <w:t>This Legislative Instrument is compatible with human rights as it does not raise any human rights issues.</w:t>
      </w:r>
    </w:p>
    <w:p w14:paraId="2FD9D2AF" w14:textId="77777777" w:rsidR="00B73649" w:rsidRDefault="00B73649" w:rsidP="00A34ADD">
      <w:pPr>
        <w:rPr>
          <w:rFonts w:ascii="Times New Roman" w:hAnsi="Times New Roman" w:cs="Times New Roman"/>
        </w:rPr>
        <w:sectPr w:rsidR="00B73649" w:rsidSect="00B06E21">
          <w:footerReference w:type="default" r:id="rId13"/>
          <w:pgSz w:w="11906" w:h="16838" w:code="9"/>
          <w:pgMar w:top="993" w:right="1440" w:bottom="1440" w:left="1440" w:header="567" w:footer="567" w:gutter="0"/>
          <w:pgNumType w:start="1"/>
          <w:cols w:space="708"/>
          <w:docGrid w:linePitch="360"/>
        </w:sectPr>
      </w:pPr>
    </w:p>
    <w:p w14:paraId="527461D5" w14:textId="77777777" w:rsidR="00B73649" w:rsidRPr="00550E42" w:rsidRDefault="00B73649" w:rsidP="00A34ADD">
      <w:pPr>
        <w:rPr>
          <w:rFonts w:ascii="Times New Roman" w:hAnsi="Times New Roman" w:cs="Times New Roman"/>
        </w:rPr>
      </w:pPr>
    </w:p>
    <w:sectPr w:rsidR="00B73649" w:rsidRPr="00550E42" w:rsidSect="00B73649">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EA29" w14:textId="77777777" w:rsidR="00B73649" w:rsidRPr="000D4EDE" w:rsidRDefault="00B73649" w:rsidP="000D4EDE">
      <w:r>
        <w:separator/>
      </w:r>
    </w:p>
  </w:endnote>
  <w:endnote w:type="continuationSeparator" w:id="0">
    <w:p w14:paraId="68CED3AD" w14:textId="77777777" w:rsidR="00B73649" w:rsidRPr="000D4EDE" w:rsidRDefault="00B73649" w:rsidP="000D4EDE">
      <w:r>
        <w:continuationSeparator/>
      </w:r>
    </w:p>
  </w:endnote>
  <w:endnote w:type="continuationNotice" w:id="1">
    <w:p w14:paraId="26B41D9B" w14:textId="77777777" w:rsidR="00B73649" w:rsidRDefault="00B736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80651820"/>
      <w:docPartObj>
        <w:docPartGallery w:val="Page Numbers (Bottom of Page)"/>
        <w:docPartUnique/>
      </w:docPartObj>
    </w:sdtPr>
    <w:sdtEndPr>
      <w:rPr>
        <w:noProof/>
      </w:rPr>
    </w:sdtEndPr>
    <w:sdtContent>
      <w:p w14:paraId="2B23DE7C" w14:textId="01C343AA" w:rsidR="007419D3" w:rsidRPr="007419D3" w:rsidRDefault="007419D3">
        <w:pPr>
          <w:pStyle w:val="Footer"/>
          <w:jc w:val="right"/>
          <w:rPr>
            <w:rFonts w:ascii="Times New Roman" w:hAnsi="Times New Roman" w:cs="Times New Roman"/>
            <w:sz w:val="24"/>
            <w:szCs w:val="24"/>
          </w:rPr>
        </w:pPr>
        <w:r w:rsidRPr="007419D3">
          <w:rPr>
            <w:rFonts w:ascii="Times New Roman" w:hAnsi="Times New Roman" w:cs="Times New Roman"/>
            <w:sz w:val="24"/>
            <w:szCs w:val="24"/>
          </w:rPr>
          <w:fldChar w:fldCharType="begin"/>
        </w:r>
        <w:r w:rsidRPr="007419D3">
          <w:rPr>
            <w:rFonts w:ascii="Times New Roman" w:hAnsi="Times New Roman" w:cs="Times New Roman"/>
            <w:sz w:val="24"/>
            <w:szCs w:val="24"/>
          </w:rPr>
          <w:instrText xml:space="preserve"> PAGE   \* MERGEFORMAT </w:instrText>
        </w:r>
        <w:r w:rsidRPr="007419D3">
          <w:rPr>
            <w:rFonts w:ascii="Times New Roman" w:hAnsi="Times New Roman" w:cs="Times New Roman"/>
            <w:sz w:val="24"/>
            <w:szCs w:val="24"/>
          </w:rPr>
          <w:fldChar w:fldCharType="separate"/>
        </w:r>
        <w:r w:rsidRPr="007419D3">
          <w:rPr>
            <w:rFonts w:ascii="Times New Roman" w:hAnsi="Times New Roman" w:cs="Times New Roman"/>
            <w:noProof/>
            <w:sz w:val="24"/>
            <w:szCs w:val="24"/>
          </w:rPr>
          <w:t>2</w:t>
        </w:r>
        <w:r w:rsidRPr="007419D3">
          <w:rPr>
            <w:rFonts w:ascii="Times New Roman" w:hAnsi="Times New Roman" w:cs="Times New Roman"/>
            <w:noProof/>
            <w:sz w:val="24"/>
            <w:szCs w:val="24"/>
          </w:rPr>
          <w:fldChar w:fldCharType="end"/>
        </w:r>
      </w:p>
    </w:sdtContent>
  </w:sdt>
  <w:p w14:paraId="3A7F251E" w14:textId="77777777" w:rsidR="007419D3" w:rsidRDefault="00741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8EA7" w14:textId="77777777" w:rsidR="00B73649" w:rsidRPr="000D4EDE" w:rsidRDefault="00B73649" w:rsidP="000D4EDE">
      <w:r>
        <w:separator/>
      </w:r>
    </w:p>
  </w:footnote>
  <w:footnote w:type="continuationSeparator" w:id="0">
    <w:p w14:paraId="1C3BDB03" w14:textId="77777777" w:rsidR="00B73649" w:rsidRPr="000D4EDE" w:rsidRDefault="00B73649" w:rsidP="000D4EDE">
      <w:r>
        <w:continuationSeparator/>
      </w:r>
    </w:p>
  </w:footnote>
  <w:footnote w:type="continuationNotice" w:id="1">
    <w:p w14:paraId="22F090B6" w14:textId="77777777" w:rsidR="00B73649" w:rsidRDefault="00B73649">
      <w:pPr>
        <w:spacing w:after="0"/>
      </w:pPr>
    </w:p>
  </w:footnote>
  <w:footnote w:id="2">
    <w:p w14:paraId="69FF6FCB" w14:textId="77777777" w:rsidR="00B73649" w:rsidRDefault="00B73649"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B1B"/>
    <w:rsid w:val="00011C96"/>
    <w:rsid w:val="000141B9"/>
    <w:rsid w:val="00014E49"/>
    <w:rsid w:val="000162DF"/>
    <w:rsid w:val="00020E4C"/>
    <w:rsid w:val="000221F9"/>
    <w:rsid w:val="00023CE3"/>
    <w:rsid w:val="00034A19"/>
    <w:rsid w:val="00036F9E"/>
    <w:rsid w:val="000413B3"/>
    <w:rsid w:val="000453D9"/>
    <w:rsid w:val="00045D7D"/>
    <w:rsid w:val="000573E5"/>
    <w:rsid w:val="00057B71"/>
    <w:rsid w:val="0006126C"/>
    <w:rsid w:val="0006638F"/>
    <w:rsid w:val="00071300"/>
    <w:rsid w:val="0007202C"/>
    <w:rsid w:val="00072B30"/>
    <w:rsid w:val="0007319C"/>
    <w:rsid w:val="000732AA"/>
    <w:rsid w:val="00073F77"/>
    <w:rsid w:val="0007519C"/>
    <w:rsid w:val="000760BC"/>
    <w:rsid w:val="000767DD"/>
    <w:rsid w:val="0008011A"/>
    <w:rsid w:val="00084F8B"/>
    <w:rsid w:val="000851D0"/>
    <w:rsid w:val="00086D07"/>
    <w:rsid w:val="00086F71"/>
    <w:rsid w:val="00093915"/>
    <w:rsid w:val="000949AD"/>
    <w:rsid w:val="00095109"/>
    <w:rsid w:val="00096B0F"/>
    <w:rsid w:val="000A1760"/>
    <w:rsid w:val="000A1A15"/>
    <w:rsid w:val="000A490E"/>
    <w:rsid w:val="000B04C5"/>
    <w:rsid w:val="000B63CA"/>
    <w:rsid w:val="000B752A"/>
    <w:rsid w:val="000C14D9"/>
    <w:rsid w:val="000C15C7"/>
    <w:rsid w:val="000D4EDE"/>
    <w:rsid w:val="000E2460"/>
    <w:rsid w:val="000E43A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74039"/>
    <w:rsid w:val="00174B0F"/>
    <w:rsid w:val="00180361"/>
    <w:rsid w:val="0018235E"/>
    <w:rsid w:val="00184187"/>
    <w:rsid w:val="00184B1B"/>
    <w:rsid w:val="001900CF"/>
    <w:rsid w:val="001930AE"/>
    <w:rsid w:val="001A4EA4"/>
    <w:rsid w:val="001A664F"/>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343"/>
    <w:rsid w:val="00301BB1"/>
    <w:rsid w:val="00303D18"/>
    <w:rsid w:val="0030457E"/>
    <w:rsid w:val="00307ADD"/>
    <w:rsid w:val="00307E55"/>
    <w:rsid w:val="00311FD1"/>
    <w:rsid w:val="00312A66"/>
    <w:rsid w:val="003130CA"/>
    <w:rsid w:val="003163CB"/>
    <w:rsid w:val="00321180"/>
    <w:rsid w:val="00321646"/>
    <w:rsid w:val="0032180D"/>
    <w:rsid w:val="003306A5"/>
    <w:rsid w:val="00355D40"/>
    <w:rsid w:val="00371AAC"/>
    <w:rsid w:val="00371F54"/>
    <w:rsid w:val="0037223D"/>
    <w:rsid w:val="0037770C"/>
    <w:rsid w:val="00377C8B"/>
    <w:rsid w:val="00383A95"/>
    <w:rsid w:val="00385CA0"/>
    <w:rsid w:val="00390E33"/>
    <w:rsid w:val="0039585F"/>
    <w:rsid w:val="003A2645"/>
    <w:rsid w:val="003A2733"/>
    <w:rsid w:val="003A3021"/>
    <w:rsid w:val="003A4483"/>
    <w:rsid w:val="003A4D41"/>
    <w:rsid w:val="003A627E"/>
    <w:rsid w:val="003A79EE"/>
    <w:rsid w:val="003A7F99"/>
    <w:rsid w:val="003B45AB"/>
    <w:rsid w:val="003B5039"/>
    <w:rsid w:val="003B6E16"/>
    <w:rsid w:val="003C180A"/>
    <w:rsid w:val="003C1E25"/>
    <w:rsid w:val="003C3B28"/>
    <w:rsid w:val="003C76D4"/>
    <w:rsid w:val="003D24D3"/>
    <w:rsid w:val="003D27CB"/>
    <w:rsid w:val="003D292C"/>
    <w:rsid w:val="003D329D"/>
    <w:rsid w:val="003E1BB3"/>
    <w:rsid w:val="003E204A"/>
    <w:rsid w:val="003E626D"/>
    <w:rsid w:val="003E6BF6"/>
    <w:rsid w:val="003F0F0D"/>
    <w:rsid w:val="00401627"/>
    <w:rsid w:val="0040173E"/>
    <w:rsid w:val="0042295F"/>
    <w:rsid w:val="00424A42"/>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6C6"/>
    <w:rsid w:val="004D33E3"/>
    <w:rsid w:val="004D76C1"/>
    <w:rsid w:val="004D7C22"/>
    <w:rsid w:val="004E0AF5"/>
    <w:rsid w:val="004E2269"/>
    <w:rsid w:val="004E451A"/>
    <w:rsid w:val="004F0E3E"/>
    <w:rsid w:val="004F3339"/>
    <w:rsid w:val="004F5A0F"/>
    <w:rsid w:val="004F72A2"/>
    <w:rsid w:val="004F78E5"/>
    <w:rsid w:val="005020B3"/>
    <w:rsid w:val="005026D4"/>
    <w:rsid w:val="00503A51"/>
    <w:rsid w:val="00506774"/>
    <w:rsid w:val="00512309"/>
    <w:rsid w:val="00522B61"/>
    <w:rsid w:val="00530757"/>
    <w:rsid w:val="00541D54"/>
    <w:rsid w:val="00542244"/>
    <w:rsid w:val="00542522"/>
    <w:rsid w:val="00543472"/>
    <w:rsid w:val="0054526E"/>
    <w:rsid w:val="00545CE1"/>
    <w:rsid w:val="00546297"/>
    <w:rsid w:val="005476B5"/>
    <w:rsid w:val="00550E42"/>
    <w:rsid w:val="005549D7"/>
    <w:rsid w:val="0055690E"/>
    <w:rsid w:val="005602DA"/>
    <w:rsid w:val="00560CAF"/>
    <w:rsid w:val="00562087"/>
    <w:rsid w:val="005628DB"/>
    <w:rsid w:val="005663F6"/>
    <w:rsid w:val="005678FC"/>
    <w:rsid w:val="0057138A"/>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5FAE"/>
    <w:rsid w:val="005E155B"/>
    <w:rsid w:val="005E4BC9"/>
    <w:rsid w:val="005F0C9F"/>
    <w:rsid w:val="005F29B7"/>
    <w:rsid w:val="005F62C1"/>
    <w:rsid w:val="00606EB5"/>
    <w:rsid w:val="00606FC8"/>
    <w:rsid w:val="00616C90"/>
    <w:rsid w:val="00617663"/>
    <w:rsid w:val="00617FDA"/>
    <w:rsid w:val="0062116F"/>
    <w:rsid w:val="006212E3"/>
    <w:rsid w:val="00623FD7"/>
    <w:rsid w:val="00626087"/>
    <w:rsid w:val="00634E4C"/>
    <w:rsid w:val="00636B8B"/>
    <w:rsid w:val="00641EAA"/>
    <w:rsid w:val="006427FE"/>
    <w:rsid w:val="00644872"/>
    <w:rsid w:val="006506C1"/>
    <w:rsid w:val="00657459"/>
    <w:rsid w:val="0065747A"/>
    <w:rsid w:val="00657EAF"/>
    <w:rsid w:val="00662E28"/>
    <w:rsid w:val="00663820"/>
    <w:rsid w:val="0066674D"/>
    <w:rsid w:val="00666A78"/>
    <w:rsid w:val="00670B59"/>
    <w:rsid w:val="00676C12"/>
    <w:rsid w:val="006778BF"/>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307A"/>
    <w:rsid w:val="00706179"/>
    <w:rsid w:val="00706E90"/>
    <w:rsid w:val="007134F8"/>
    <w:rsid w:val="00714F78"/>
    <w:rsid w:val="007152B0"/>
    <w:rsid w:val="007170F7"/>
    <w:rsid w:val="00717589"/>
    <w:rsid w:val="00722F9F"/>
    <w:rsid w:val="007253B8"/>
    <w:rsid w:val="0073543C"/>
    <w:rsid w:val="00736E7D"/>
    <w:rsid w:val="007419D3"/>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20F8"/>
    <w:rsid w:val="0077507F"/>
    <w:rsid w:val="00775AA0"/>
    <w:rsid w:val="007770FA"/>
    <w:rsid w:val="00777AF4"/>
    <w:rsid w:val="00791738"/>
    <w:rsid w:val="00791780"/>
    <w:rsid w:val="00792D37"/>
    <w:rsid w:val="0079390C"/>
    <w:rsid w:val="007A09B9"/>
    <w:rsid w:val="007A0EB7"/>
    <w:rsid w:val="007B2C90"/>
    <w:rsid w:val="007B2E49"/>
    <w:rsid w:val="007B5325"/>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6437"/>
    <w:rsid w:val="008D6EDF"/>
    <w:rsid w:val="008D7428"/>
    <w:rsid w:val="008E3EF5"/>
    <w:rsid w:val="008E712A"/>
    <w:rsid w:val="008F33B5"/>
    <w:rsid w:val="00901414"/>
    <w:rsid w:val="009059C6"/>
    <w:rsid w:val="00906799"/>
    <w:rsid w:val="009136D0"/>
    <w:rsid w:val="009205B7"/>
    <w:rsid w:val="00921181"/>
    <w:rsid w:val="00922193"/>
    <w:rsid w:val="00922C7C"/>
    <w:rsid w:val="00924152"/>
    <w:rsid w:val="0093194D"/>
    <w:rsid w:val="00934C3F"/>
    <w:rsid w:val="00937846"/>
    <w:rsid w:val="00937D36"/>
    <w:rsid w:val="009417AE"/>
    <w:rsid w:val="00943811"/>
    <w:rsid w:val="00945B3F"/>
    <w:rsid w:val="00950DCB"/>
    <w:rsid w:val="00952D47"/>
    <w:rsid w:val="00952D4C"/>
    <w:rsid w:val="009535CD"/>
    <w:rsid w:val="00960246"/>
    <w:rsid w:val="009720E1"/>
    <w:rsid w:val="00974F0E"/>
    <w:rsid w:val="00975CD7"/>
    <w:rsid w:val="00980CA1"/>
    <w:rsid w:val="00981886"/>
    <w:rsid w:val="00982909"/>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690E"/>
    <w:rsid w:val="009D77B5"/>
    <w:rsid w:val="009E0C10"/>
    <w:rsid w:val="009E4116"/>
    <w:rsid w:val="009E42B9"/>
    <w:rsid w:val="009E529F"/>
    <w:rsid w:val="009E769D"/>
    <w:rsid w:val="009F05D9"/>
    <w:rsid w:val="009F3B38"/>
    <w:rsid w:val="00A10DA6"/>
    <w:rsid w:val="00A151E9"/>
    <w:rsid w:val="00A15DBB"/>
    <w:rsid w:val="00A22153"/>
    <w:rsid w:val="00A259F2"/>
    <w:rsid w:val="00A2758A"/>
    <w:rsid w:val="00A33802"/>
    <w:rsid w:val="00A34ADD"/>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FA0"/>
    <w:rsid w:val="00B24DD4"/>
    <w:rsid w:val="00B3253A"/>
    <w:rsid w:val="00B33A8A"/>
    <w:rsid w:val="00B34339"/>
    <w:rsid w:val="00B40B7D"/>
    <w:rsid w:val="00B42B2F"/>
    <w:rsid w:val="00B442DC"/>
    <w:rsid w:val="00B44900"/>
    <w:rsid w:val="00B467F6"/>
    <w:rsid w:val="00B472E1"/>
    <w:rsid w:val="00B52821"/>
    <w:rsid w:val="00B55F0B"/>
    <w:rsid w:val="00B56C63"/>
    <w:rsid w:val="00B664C7"/>
    <w:rsid w:val="00B670E9"/>
    <w:rsid w:val="00B678F6"/>
    <w:rsid w:val="00B71170"/>
    <w:rsid w:val="00B73649"/>
    <w:rsid w:val="00B736E7"/>
    <w:rsid w:val="00B7688A"/>
    <w:rsid w:val="00B80BCE"/>
    <w:rsid w:val="00B81524"/>
    <w:rsid w:val="00B81740"/>
    <w:rsid w:val="00B82726"/>
    <w:rsid w:val="00B83542"/>
    <w:rsid w:val="00B83763"/>
    <w:rsid w:val="00B85D7B"/>
    <w:rsid w:val="00B900EA"/>
    <w:rsid w:val="00B91069"/>
    <w:rsid w:val="00B92842"/>
    <w:rsid w:val="00B93C4B"/>
    <w:rsid w:val="00B96CBD"/>
    <w:rsid w:val="00BA2713"/>
    <w:rsid w:val="00BA2941"/>
    <w:rsid w:val="00BA3358"/>
    <w:rsid w:val="00BA4C61"/>
    <w:rsid w:val="00BA627A"/>
    <w:rsid w:val="00BB22FA"/>
    <w:rsid w:val="00BC1E70"/>
    <w:rsid w:val="00BD12A1"/>
    <w:rsid w:val="00BD1D09"/>
    <w:rsid w:val="00BD6513"/>
    <w:rsid w:val="00BD7B83"/>
    <w:rsid w:val="00BE0662"/>
    <w:rsid w:val="00BE0C04"/>
    <w:rsid w:val="00BE625B"/>
    <w:rsid w:val="00BF17C6"/>
    <w:rsid w:val="00BF6F09"/>
    <w:rsid w:val="00BF7F8A"/>
    <w:rsid w:val="00C00FDA"/>
    <w:rsid w:val="00C02EB9"/>
    <w:rsid w:val="00C0373C"/>
    <w:rsid w:val="00C04E4B"/>
    <w:rsid w:val="00C052D9"/>
    <w:rsid w:val="00C10194"/>
    <w:rsid w:val="00C11531"/>
    <w:rsid w:val="00C11B56"/>
    <w:rsid w:val="00C14C04"/>
    <w:rsid w:val="00C1529E"/>
    <w:rsid w:val="00C16045"/>
    <w:rsid w:val="00C16050"/>
    <w:rsid w:val="00C175CC"/>
    <w:rsid w:val="00C21E27"/>
    <w:rsid w:val="00C2332A"/>
    <w:rsid w:val="00C3686B"/>
    <w:rsid w:val="00C42EA5"/>
    <w:rsid w:val="00C50C68"/>
    <w:rsid w:val="00C56A2C"/>
    <w:rsid w:val="00C62BF5"/>
    <w:rsid w:val="00C636DA"/>
    <w:rsid w:val="00C67E22"/>
    <w:rsid w:val="00C72271"/>
    <w:rsid w:val="00C72A17"/>
    <w:rsid w:val="00C76671"/>
    <w:rsid w:val="00C81356"/>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0934"/>
    <w:rsid w:val="00D92A45"/>
    <w:rsid w:val="00D9697A"/>
    <w:rsid w:val="00DA2B14"/>
    <w:rsid w:val="00DA3023"/>
    <w:rsid w:val="00DA4C48"/>
    <w:rsid w:val="00DA5B10"/>
    <w:rsid w:val="00DA727D"/>
    <w:rsid w:val="00DB3022"/>
    <w:rsid w:val="00DB53A7"/>
    <w:rsid w:val="00DC1CB6"/>
    <w:rsid w:val="00DD170F"/>
    <w:rsid w:val="00DD3524"/>
    <w:rsid w:val="00DD7F67"/>
    <w:rsid w:val="00DE0A8A"/>
    <w:rsid w:val="00DE1106"/>
    <w:rsid w:val="00DE58B9"/>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74A5"/>
    <w:rsid w:val="00EC03A1"/>
    <w:rsid w:val="00EC67E3"/>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055"/>
    <w:rsid w:val="00F303B2"/>
    <w:rsid w:val="00F307E0"/>
    <w:rsid w:val="00F34D63"/>
    <w:rsid w:val="00F41BD7"/>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21A4"/>
    <w:rsid w:val="00F97C7A"/>
    <w:rsid w:val="00FA2909"/>
    <w:rsid w:val="00FA3CEC"/>
    <w:rsid w:val="00FB4CF2"/>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88E15"/>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EF8A39F2-5068-45BF-85CC-A816CCABDD3E}">
  <ds:schemaRefs>
    <ds:schemaRef ds:uri="http://schemas.microsoft.com/office/2006/metadata/properties"/>
    <ds:schemaRef ds:uri="http://schemas.microsoft.com/office/infopath/2007/PartnerControls"/>
    <ds:schemaRef ds:uri="5e7d1d2f-1d1d-4328-b1c4-d23268d86024"/>
    <ds:schemaRef ds:uri="0873f81f-5545-4105-9cf3-1e567ff68fe4"/>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57F50875-F996-476D-99AC-E9B79566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1999</Words>
  <Characters>11336</Characters>
  <Application>Microsoft Office Word</Application>
  <DocSecurity>4</DocSecurity>
  <Lines>192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2023-05-23T02:53:00Z</dcterms:created>
  <dcterms:modified xsi:type="dcterms:W3CDTF">2023-05-23T02:53:00Z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or_Hash_SHA1">
    <vt:lpwstr>C3AD57350F36D8E1BD75F8F67CB06D435C9C43CA</vt:lpwstr>
  </property>
  <property fmtid="{D5CDD505-2E9C-101B-9397-08002B2CF9AE}" pid="53" name="PM_OriginationTimeStamp">
    <vt:lpwstr>2022-10-12T04:54:32Z</vt:lpwstr>
  </property>
  <property fmtid="{D5CDD505-2E9C-101B-9397-08002B2CF9AE}" pid="54" name="PM_Hash_Salt_Prev">
    <vt:lpwstr>306AC2468127BFE6F9BEF2FFFFD1C77F</vt:lpwstr>
  </property>
  <property fmtid="{D5CDD505-2E9C-101B-9397-08002B2CF9AE}" pid="55" name="PM_Hash_Salt">
    <vt:lpwstr>319175C37802A969808BDC66AC465DBC</vt:lpwstr>
  </property>
  <property fmtid="{D5CDD505-2E9C-101B-9397-08002B2CF9AE}" pid="56" name="PM_Hash_SHA1">
    <vt:lpwstr>E942A23638F2B01D88627154811736F6F49F0143</vt:lpwstr>
  </property>
  <property fmtid="{D5CDD505-2E9C-101B-9397-08002B2CF9AE}" pid="57" name="PM_OriginatorUserAccountName_SHA256">
    <vt:lpwstr>6E3018F28A186D2E5FF5207C041E7A82E907C3008E071057026A53705873B72E</vt:lpwstr>
  </property>
  <property fmtid="{D5CDD505-2E9C-101B-9397-08002B2CF9AE}" pid="58" name="MSIP_Label_c0129afb-6481-4f92-bc9f-5a4a6346364d_SetDate">
    <vt:lpwstr>2022-10-12T04:54:32Z</vt:lpwstr>
  </property>
  <property fmtid="{D5CDD505-2E9C-101B-9397-08002B2CF9AE}" pid="59" name="MSIP_Label_c0129afb-6481-4f92-bc9f-5a4a6346364d_Method">
    <vt:lpwstr>Privileged</vt:lpwstr>
  </property>
  <property fmtid="{D5CDD505-2E9C-101B-9397-08002B2CF9AE}" pid="60" name="PMHMAC">
    <vt:lpwstr>v=2022.1;a=SHA256;h=B6F2D340BCA6191EE7A63B25C536FDC5C3C24806680069D17F89273E2CDF22D1</vt:lpwstr>
  </property>
  <property fmtid="{D5CDD505-2E9C-101B-9397-08002B2CF9AE}" pid="61" name="MSIP_Label_c0129afb-6481-4f92-bc9f-5a4a6346364d_ContentBits">
    <vt:lpwstr>0</vt:lpwstr>
  </property>
  <property fmtid="{D5CDD505-2E9C-101B-9397-08002B2CF9AE}" pid="62" name="MSIP_Label_c0129afb-6481-4f92-bc9f-5a4a6346364d_ActionId">
    <vt:lpwstr>efb91c21e344404ab7b04b7daa5e9b82</vt:lpwstr>
  </property>
  <property fmtid="{D5CDD505-2E9C-101B-9397-08002B2CF9AE}" pid="63" name="Order">
    <vt:r8>4100</vt:r8>
  </property>
  <property fmtid="{D5CDD505-2E9C-101B-9397-08002B2CF9AE}" pid="64" name="ComplianceAssetId">
    <vt:lpwstr/>
  </property>
  <property fmtid="{D5CDD505-2E9C-101B-9397-08002B2CF9AE}" pid="65" name="_ExtendedDescription">
    <vt:lpwstr/>
  </property>
  <property fmtid="{D5CDD505-2E9C-101B-9397-08002B2CF9AE}" pid="66" name="TriggerFlowInfo">
    <vt:lpwstr/>
  </property>
  <property fmtid="{D5CDD505-2E9C-101B-9397-08002B2CF9AE}" pid="67" name="MediaServiceImageTags">
    <vt:lpwstr/>
  </property>
</Properties>
</file>