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2BB0A88A"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3614E">
        <w:rPr>
          <w:sz w:val="24"/>
          <w:szCs w:val="24"/>
        </w:rPr>
        <w:t>No.</w:t>
      </w:r>
      <w:r w:rsidR="00CA1702">
        <w:rPr>
          <w:sz w:val="24"/>
          <w:szCs w:val="24"/>
        </w:rPr>
        <w:t xml:space="preserve"> </w:t>
      </w:r>
      <w:r w:rsidR="00B3614E" w:rsidRPr="00B3614E">
        <w:rPr>
          <w:sz w:val="24"/>
          <w:szCs w:val="24"/>
        </w:rPr>
        <w:t>39</w:t>
      </w:r>
      <w:r w:rsidRPr="00B3614E">
        <w:rPr>
          <w:sz w:val="24"/>
          <w:szCs w:val="24"/>
        </w:rPr>
        <w:t xml:space="preserve"> of 202</w:t>
      </w:r>
      <w:r w:rsidR="00F13B96" w:rsidRPr="00B3614E">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277B99D1"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161C7880" w:rsidR="00211AFD" w:rsidRDefault="00211AFD" w:rsidP="00211AFD">
      <w:p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A95A4A">
        <w:rPr>
          <w:rFonts w:ascii="Times New Roman" w:hAnsi="Times New Roman" w:cs="Times New Roman"/>
          <w:sz w:val="24"/>
          <w:szCs w:val="24"/>
        </w:rPr>
        <w:t>2</w:t>
      </w:r>
      <w:r w:rsidR="006D7E27">
        <w:rPr>
          <w:rFonts w:ascii="Times New Roman" w:hAnsi="Times New Roman" w:cs="Times New Roman"/>
          <w:sz w:val="24"/>
          <w:szCs w:val="24"/>
        </w:rPr>
        <w:t>3</w:t>
      </w:r>
      <w:r w:rsidR="00810AD4">
        <w:rPr>
          <w:rFonts w:ascii="Times New Roman" w:hAnsi="Times New Roman" w:cs="Times New Roman"/>
          <w:sz w:val="24"/>
          <w:szCs w:val="24"/>
        </w:rPr>
        <w:t xml:space="preserve"> </w:t>
      </w:r>
      <w:r w:rsidR="00901745">
        <w:rPr>
          <w:rFonts w:ascii="Times New Roman" w:hAnsi="Times New Roman" w:cs="Times New Roman"/>
          <w:sz w:val="24"/>
          <w:szCs w:val="24"/>
        </w:rPr>
        <w:t>May</w:t>
      </w:r>
      <w:r w:rsidR="00B83763">
        <w:rPr>
          <w:rFonts w:ascii="Times New Roman" w:hAnsi="Times New Roman" w:cs="Times New Roman"/>
          <w:sz w:val="24"/>
          <w:szCs w:val="24"/>
        </w:rPr>
        <w:t xml:space="preserv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13DF87A8" w14:textId="02EE5107" w:rsidR="00C96E33" w:rsidRPr="00DF2C01" w:rsidRDefault="00C96E33" w:rsidP="00C96E33">
      <w:pPr>
        <w:pStyle w:val="ListParagraph"/>
        <w:numPr>
          <w:ilvl w:val="0"/>
          <w:numId w:val="25"/>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Pr>
          <w:rFonts w:ascii="Times New Roman" w:hAnsi="Times New Roman"/>
          <w:sz w:val="24"/>
          <w:szCs w:val="24"/>
        </w:rPr>
        <w:t>39</w:t>
      </w:r>
      <w:r w:rsidRPr="00DF2C01">
        <w:rPr>
          <w:rFonts w:ascii="Times New Roman" w:hAnsi="Times New Roman"/>
          <w:sz w:val="24"/>
          <w:szCs w:val="24"/>
        </w:rPr>
        <w:t xml:space="preserve"> of 202</w:t>
      </w:r>
      <w:r>
        <w:rPr>
          <w:rFonts w:ascii="Times New Roman" w:hAnsi="Times New Roman"/>
          <w:sz w:val="24"/>
          <w:szCs w:val="24"/>
        </w:rPr>
        <w:t>3</w:t>
      </w:r>
      <w:r w:rsidRPr="00DF2C01">
        <w:rPr>
          <w:rFonts w:ascii="Times New Roman" w:hAnsi="Times New Roman"/>
          <w:sz w:val="24"/>
          <w:szCs w:val="24"/>
        </w:rPr>
        <w:t xml:space="preserve"> which:</w:t>
      </w:r>
    </w:p>
    <w:p w14:paraId="0163FE05" w14:textId="77777777" w:rsidR="00C96E33" w:rsidRPr="003B21E1" w:rsidRDefault="00C96E33" w:rsidP="00C96E33">
      <w:pPr>
        <w:pStyle w:val="ListParagraph"/>
        <w:numPr>
          <w:ilvl w:val="1"/>
          <w:numId w:val="25"/>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Pr>
          <w:rFonts w:ascii="Times New Roman" w:hAnsi="Times New Roman"/>
          <w:i/>
          <w:sz w:val="24"/>
          <w:szCs w:val="24"/>
        </w:rPr>
        <w:t>SRS 101.0 Definitions for Superannuation Data Collections</w:t>
      </w:r>
      <w:r w:rsidRPr="00DF2C01">
        <w:rPr>
          <w:rFonts w:ascii="Times New Roman" w:hAnsi="Times New Roman"/>
          <w:sz w:val="24"/>
          <w:szCs w:val="24"/>
        </w:rPr>
        <w:t xml:space="preserve"> </w:t>
      </w:r>
      <w:r>
        <w:rPr>
          <w:rFonts w:ascii="Times New Roman" w:hAnsi="Times New Roman"/>
          <w:sz w:val="24"/>
          <w:szCs w:val="24"/>
        </w:rPr>
        <w:t>(</w:t>
      </w:r>
      <w:r w:rsidRPr="003B21E1">
        <w:rPr>
          <w:rFonts w:ascii="Times New Roman" w:hAnsi="Times New Roman"/>
          <w:sz w:val="24"/>
          <w:szCs w:val="24"/>
        </w:rPr>
        <w:t>SRS 101.0) made under Financial Sector (Collection of Data) (reporting standard) determination No. 13 of 2021; and</w:t>
      </w:r>
    </w:p>
    <w:p w14:paraId="7414ABF4" w14:textId="77777777" w:rsidR="00C96E33" w:rsidRPr="003B21E1" w:rsidRDefault="00C96E33" w:rsidP="00C96E33">
      <w:pPr>
        <w:pStyle w:val="ListParagraph"/>
        <w:numPr>
          <w:ilvl w:val="1"/>
          <w:numId w:val="25"/>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determines a new version of SRS 101.0.</w:t>
      </w:r>
    </w:p>
    <w:p w14:paraId="00C69397" w14:textId="0FCB82A2" w:rsidR="00C96E33" w:rsidRPr="00C96E33" w:rsidRDefault="00C96E33" w:rsidP="00C96E33">
      <w:pPr>
        <w:rPr>
          <w:rFonts w:ascii="Times New Roman" w:hAnsi="Times New Roman"/>
          <w:sz w:val="24"/>
          <w:szCs w:val="24"/>
        </w:rPr>
      </w:pPr>
      <w:r w:rsidRPr="00BA70F4">
        <w:rPr>
          <w:rFonts w:ascii="Times New Roman" w:hAnsi="Times New Roman"/>
          <w:sz w:val="24"/>
          <w:szCs w:val="24"/>
        </w:rPr>
        <w:t xml:space="preserve">The instrument commences upon registration on the Federal Register of Legislation. </w:t>
      </w:r>
    </w:p>
    <w:p w14:paraId="44D216EA" w14:textId="4BC8B24E" w:rsidR="00B670E9" w:rsidRPr="009535CD" w:rsidRDefault="00B670E9" w:rsidP="00211AFD">
      <w:p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796153F2" w14:textId="2AF818FF" w:rsidR="001A70A9" w:rsidRPr="00B0008B" w:rsidRDefault="001A70A9" w:rsidP="001A70A9">
      <w:pPr>
        <w:rPr>
          <w:rFonts w:ascii="Times New Roman" w:hAnsi="Times New Roman" w:cs="Times New Roman"/>
          <w:sz w:val="24"/>
          <w:szCs w:val="24"/>
        </w:rPr>
      </w:pPr>
      <w:r w:rsidRPr="00B0008B">
        <w:rPr>
          <w:rFonts w:ascii="Times New Roman" w:hAnsi="Times New Roman" w:cs="Times New Roman"/>
          <w:sz w:val="24"/>
          <w:szCs w:val="24"/>
        </w:rPr>
        <w:t xml:space="preserve">APRA is empowered to make reporting standards under the Act, which require regulated institutions, including RSE licensees, to submit specified data through various reporting forms. Data from these forms is used by APRA to assist with APRA’s supervisory functions, </w:t>
      </w:r>
      <w:proofErr w:type="gramStart"/>
      <w:r w:rsidRPr="00B0008B">
        <w:rPr>
          <w:rFonts w:ascii="Times New Roman" w:hAnsi="Times New Roman" w:cs="Times New Roman"/>
          <w:sz w:val="24"/>
          <w:szCs w:val="24"/>
        </w:rPr>
        <w:t>and also</w:t>
      </w:r>
      <w:proofErr w:type="gramEnd"/>
      <w:r w:rsidRPr="00B0008B">
        <w:rPr>
          <w:rFonts w:ascii="Times New Roman" w:hAnsi="Times New Roman" w:cs="Times New Roman"/>
          <w:sz w:val="24"/>
          <w:szCs w:val="24"/>
        </w:rPr>
        <w:t xml:space="preserve"> by Government and other agencies such as the Australian Bureau of Statistics and the Australian Securities and Investments Commission.</w:t>
      </w:r>
    </w:p>
    <w:p w14:paraId="25DE5FBB" w14:textId="77777777" w:rsidR="001A70A9" w:rsidRPr="00B0008B" w:rsidRDefault="001A70A9" w:rsidP="001A70A9">
      <w:pPr>
        <w:rPr>
          <w:rFonts w:ascii="Times New Roman" w:hAnsi="Times New Roman" w:cs="Times New Roman"/>
          <w:sz w:val="24"/>
          <w:szCs w:val="24"/>
        </w:rPr>
      </w:pPr>
      <w:r w:rsidRPr="00B0008B">
        <w:rPr>
          <w:rFonts w:ascii="Times New Roman" w:hAnsi="Times New Roman" w:cs="Times New Roman"/>
          <w:sz w:val="24"/>
          <w:szCs w:val="24"/>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collection to include all products and investment options; and improved data in relation to </w:t>
      </w:r>
      <w:r w:rsidRPr="00B0008B">
        <w:rPr>
          <w:rFonts w:ascii="Times New Roman" w:hAnsi="Times New Roman" w:cs="Times New Roman"/>
          <w:sz w:val="24"/>
          <w:szCs w:val="24"/>
        </w:rPr>
        <w:lastRenderedPageBreak/>
        <w:t xml:space="preserve">performance, fees and costs, insurance arrangements, expenses, member demographics and asset allocation classifications. </w:t>
      </w:r>
    </w:p>
    <w:p w14:paraId="5F0B434D" w14:textId="77777777" w:rsidR="001A70A9" w:rsidRPr="00B0008B" w:rsidRDefault="001A70A9" w:rsidP="001A70A9">
      <w:pPr>
        <w:rPr>
          <w:rFonts w:ascii="Times New Roman" w:hAnsi="Times New Roman" w:cs="Times New Roman"/>
          <w:sz w:val="24"/>
          <w:szCs w:val="24"/>
        </w:rPr>
      </w:pPr>
      <w:r w:rsidRPr="00B0008B">
        <w:rPr>
          <w:rFonts w:ascii="Times New Roman" w:hAnsi="Times New Roman" w:cs="Times New Roman"/>
          <w:sz w:val="24"/>
          <w:szCs w:val="24"/>
        </w:rPr>
        <w:t xml:space="preserve">The new reporting standard will enable APRA to meet its new legislative obligations set out in the </w:t>
      </w:r>
      <w:r w:rsidRPr="00B0008B">
        <w:rPr>
          <w:rFonts w:ascii="Times New Roman" w:hAnsi="Times New Roman" w:cs="Times New Roman"/>
          <w:i/>
          <w:sz w:val="24"/>
          <w:szCs w:val="24"/>
        </w:rPr>
        <w:t>Superannuation Industry (Supervision) Act 1993</w:t>
      </w:r>
      <w:r w:rsidRPr="00B0008B">
        <w:rPr>
          <w:rFonts w:ascii="Times New Roman" w:hAnsi="Times New Roman" w:cs="Times New Roman"/>
          <w:sz w:val="24"/>
          <w:szCs w:val="24"/>
        </w:rPr>
        <w:t xml:space="preserve"> (SIS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w:t>
      </w:r>
      <w:proofErr w:type="gramStart"/>
      <w:r w:rsidRPr="00B0008B">
        <w:rPr>
          <w:rFonts w:ascii="Times New Roman" w:hAnsi="Times New Roman" w:cs="Times New Roman"/>
          <w:sz w:val="24"/>
          <w:szCs w:val="24"/>
        </w:rPr>
        <w:t>outcomes, and</w:t>
      </w:r>
      <w:proofErr w:type="gramEnd"/>
      <w:r w:rsidRPr="00B0008B">
        <w:rPr>
          <w:rFonts w:ascii="Times New Roman" w:hAnsi="Times New Roman" w:cs="Times New Roman"/>
          <w:sz w:val="24"/>
          <w:szCs w:val="24"/>
        </w:rPr>
        <w:t xml:space="preserve"> will also assist APRA in promoting transparency and comparability within the superannuation industry.</w:t>
      </w:r>
    </w:p>
    <w:p w14:paraId="4E21CDEB" w14:textId="77777777" w:rsidR="001A70A9" w:rsidRDefault="001A70A9" w:rsidP="001A70A9">
      <w:pPr>
        <w:rPr>
          <w:rFonts w:ascii="Times New Roman" w:hAnsi="Times New Roman" w:cs="Times New Roman"/>
          <w:sz w:val="24"/>
          <w:szCs w:val="24"/>
        </w:rPr>
      </w:pPr>
      <w:r w:rsidRPr="00B0008B">
        <w:rPr>
          <w:rFonts w:ascii="Times New Roman" w:hAnsi="Times New Roman" w:cs="Times New Roman"/>
          <w:sz w:val="24"/>
          <w:szCs w:val="24"/>
        </w:rPr>
        <w:t>Following the implementation of the new standards, APRA further released minor amendments to nine of the reporting standards. These minor amendments aim to clarify aspects of the standards based on industry feedback.</w:t>
      </w:r>
    </w:p>
    <w:p w14:paraId="349A167C" w14:textId="3E0087E3" w:rsidR="00211AFD" w:rsidRPr="00BC1E70" w:rsidRDefault="00B670E9" w:rsidP="00211AFD">
      <w:p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Purpose and operation of the instrument</w:t>
      </w:r>
    </w:p>
    <w:p w14:paraId="1343AEB0" w14:textId="0706FDC3" w:rsidR="00AD72D9" w:rsidRDefault="00211AFD" w:rsidP="00211AFD">
      <w:p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 xml:space="preserve">nstrument </w:t>
      </w:r>
      <w:r w:rsidRPr="001B31E2">
        <w:rPr>
          <w:rFonts w:ascii="Times New Roman" w:hAnsi="Times New Roman" w:cs="Times New Roman"/>
          <w:sz w:val="24"/>
          <w:szCs w:val="24"/>
        </w:rPr>
        <w:t xml:space="preserve">is to revoke </w:t>
      </w:r>
      <w:r w:rsidR="00C915DA" w:rsidRPr="001B31E2">
        <w:rPr>
          <w:rFonts w:ascii="Times New Roman" w:hAnsi="Times New Roman" w:cs="Times New Roman"/>
          <w:i/>
          <w:sz w:val="24"/>
          <w:szCs w:val="24"/>
        </w:rPr>
        <w:t>Reporting Standard</w:t>
      </w:r>
      <w:r w:rsidR="00431A99" w:rsidRPr="001B31E2">
        <w:rPr>
          <w:rFonts w:ascii="Times New Roman" w:hAnsi="Times New Roman" w:cs="Times New Roman"/>
          <w:i/>
          <w:sz w:val="24"/>
          <w:szCs w:val="24"/>
        </w:rPr>
        <w:t xml:space="preserve"> </w:t>
      </w:r>
      <w:r w:rsidR="00431A99" w:rsidRPr="001B31E2">
        <w:rPr>
          <w:rFonts w:ascii="Times New Roman" w:hAnsi="Times New Roman"/>
          <w:i/>
          <w:sz w:val="24"/>
          <w:szCs w:val="24"/>
        </w:rPr>
        <w:t xml:space="preserve">SRS 101.0 Definitions for Superannuation Data Collections </w:t>
      </w:r>
      <w:r w:rsidRPr="001B31E2">
        <w:rPr>
          <w:rFonts w:ascii="Times New Roman" w:hAnsi="Times New Roman" w:cs="Times New Roman"/>
          <w:sz w:val="24"/>
          <w:szCs w:val="24"/>
        </w:rPr>
        <w:t xml:space="preserve">and replace </w:t>
      </w:r>
      <w:r w:rsidR="00B82726" w:rsidRPr="001B31E2">
        <w:rPr>
          <w:rFonts w:ascii="Times New Roman" w:hAnsi="Times New Roman" w:cs="Times New Roman"/>
          <w:sz w:val="24"/>
          <w:szCs w:val="24"/>
        </w:rPr>
        <w:t>it</w:t>
      </w:r>
      <w:r w:rsidRPr="001B31E2">
        <w:rPr>
          <w:rFonts w:ascii="Times New Roman" w:hAnsi="Times New Roman" w:cs="Times New Roman"/>
          <w:sz w:val="24"/>
          <w:szCs w:val="24"/>
        </w:rPr>
        <w:t xml:space="preserve"> with</w:t>
      </w:r>
      <w:r w:rsidR="006212E3" w:rsidRPr="001B31E2">
        <w:rPr>
          <w:rFonts w:ascii="Times New Roman" w:hAnsi="Times New Roman" w:cs="Times New Roman"/>
          <w:sz w:val="24"/>
          <w:szCs w:val="24"/>
        </w:rPr>
        <w:t xml:space="preserve"> </w:t>
      </w:r>
      <w:r w:rsidR="001B31E2" w:rsidRPr="001B31E2">
        <w:rPr>
          <w:rFonts w:ascii="Times New Roman" w:hAnsi="Times New Roman" w:cs="Times New Roman"/>
          <w:sz w:val="24"/>
          <w:szCs w:val="24"/>
        </w:rPr>
        <w:t>a new version</w:t>
      </w:r>
      <w:r w:rsidRPr="001B31E2">
        <w:rPr>
          <w:rFonts w:ascii="Times New Roman" w:hAnsi="Times New Roman" w:cs="Times New Roman"/>
          <w:sz w:val="24"/>
          <w:szCs w:val="24"/>
        </w:rPr>
        <w:t>.</w:t>
      </w:r>
      <w:r w:rsidR="00452279">
        <w:rPr>
          <w:rFonts w:ascii="Times New Roman" w:hAnsi="Times New Roman" w:cs="Times New Roman"/>
          <w:sz w:val="24"/>
          <w:szCs w:val="24"/>
        </w:rPr>
        <w:t xml:space="preserve"> The reporting standard</w:t>
      </w:r>
      <w:r w:rsidR="0043361E" w:rsidRPr="0043361E">
        <w:t xml:space="preserve"> </w:t>
      </w:r>
      <w:r w:rsidR="0043361E" w:rsidRPr="0043361E">
        <w:rPr>
          <w:rFonts w:ascii="Times New Roman" w:hAnsi="Times New Roman" w:cs="Times New Roman"/>
          <w:sz w:val="24"/>
          <w:szCs w:val="24"/>
        </w:rPr>
        <w:t>outlines the definitions of data to be reported across the superannuation data collection.</w:t>
      </w:r>
    </w:p>
    <w:p w14:paraId="620F2449" w14:textId="028F9196" w:rsidR="005510C2" w:rsidRPr="000F06C1" w:rsidRDefault="00A97D1D" w:rsidP="000F06C1">
      <w:pPr>
        <w:pStyle w:val="Heading5"/>
      </w:pPr>
      <w:r w:rsidRPr="000F06C1">
        <w:t xml:space="preserve">Explanation of </w:t>
      </w:r>
      <w:r w:rsidR="000F06C1">
        <w:t>each provision</w:t>
      </w:r>
      <w:r w:rsidR="0042373F">
        <w:t xml:space="preserve"> in the instrument</w:t>
      </w:r>
    </w:p>
    <w:p w14:paraId="2C4DA8F2" w14:textId="19473A3C" w:rsidR="001877AB" w:rsidRPr="00691661" w:rsidRDefault="007A719D" w:rsidP="005510C2">
      <w:pPr>
        <w:pStyle w:val="Heading6"/>
      </w:pPr>
      <w:r w:rsidRPr="005510C2">
        <w:t>Authority</w:t>
      </w:r>
      <w:r w:rsidR="00901526">
        <w:t xml:space="preserve"> – </w:t>
      </w:r>
      <w:r w:rsidR="00901526" w:rsidRPr="00691661">
        <w:t>paragraph 1</w:t>
      </w:r>
    </w:p>
    <w:p w14:paraId="37C9DA50" w14:textId="39948FB4" w:rsidR="00324D88" w:rsidRPr="00691661" w:rsidRDefault="00324D88" w:rsidP="00324D88">
      <w:pPr>
        <w:rPr>
          <w:rFonts w:ascii="Times New Roman" w:hAnsi="Times New Roman" w:cs="Times New Roman"/>
          <w:sz w:val="24"/>
          <w:szCs w:val="24"/>
        </w:rPr>
      </w:pPr>
      <w:r w:rsidRPr="00691661">
        <w:rPr>
          <w:rFonts w:ascii="Times New Roman" w:hAnsi="Times New Roman" w:cs="Times New Roman"/>
          <w:sz w:val="24"/>
          <w:szCs w:val="24"/>
        </w:rPr>
        <w:t xml:space="preserve">This </w:t>
      </w:r>
      <w:r w:rsidR="009129C3" w:rsidRPr="00691661">
        <w:rPr>
          <w:rFonts w:ascii="Times New Roman" w:hAnsi="Times New Roman" w:cs="Times New Roman"/>
          <w:sz w:val="24"/>
          <w:szCs w:val="24"/>
        </w:rPr>
        <w:t>paragraph outlines APRA’s authority to determine reporting standards that are required to be complied with by financial sector entities under section 13 of the Act.</w:t>
      </w:r>
    </w:p>
    <w:p w14:paraId="2F4B9F24" w14:textId="3241D744" w:rsidR="00FC5023" w:rsidRPr="00691661" w:rsidRDefault="00FC5023" w:rsidP="00FC5023">
      <w:pPr>
        <w:pStyle w:val="Heading6"/>
      </w:pPr>
      <w:r w:rsidRPr="00691661">
        <w:t xml:space="preserve">Application and commencement – paragraphs 2 – 4 </w:t>
      </w:r>
    </w:p>
    <w:p w14:paraId="0324FED9" w14:textId="77777777" w:rsidR="00FC5023" w:rsidRPr="00691661" w:rsidRDefault="00FC5023" w:rsidP="00FC5023">
      <w:pPr>
        <w:rPr>
          <w:rFonts w:ascii="Times New Roman" w:hAnsi="Times New Roman" w:cs="Times New Roman"/>
          <w:sz w:val="24"/>
          <w:szCs w:val="24"/>
        </w:rPr>
      </w:pPr>
      <w:r w:rsidRPr="00691661">
        <w:rPr>
          <w:rFonts w:ascii="Times New Roman" w:hAnsi="Times New Roman" w:cs="Times New Roman"/>
          <w:sz w:val="24"/>
          <w:szCs w:val="24"/>
        </w:rPr>
        <w:t>This provision states which financial sector entities must comply with the reporting standard, and when the reporting standard begins to apply to these financial sector entities as provided for in section 15 of the Act.</w:t>
      </w:r>
    </w:p>
    <w:p w14:paraId="3D325266" w14:textId="70C3312B" w:rsidR="009129C3" w:rsidRPr="00691661" w:rsidRDefault="00FC5023" w:rsidP="009129C3">
      <w:pPr>
        <w:pStyle w:val="Heading6"/>
      </w:pPr>
      <w:r w:rsidRPr="00691661">
        <w:t>General</w:t>
      </w:r>
      <w:r w:rsidR="009129C3" w:rsidRPr="00691661">
        <w:t xml:space="preserve"> – paragraph </w:t>
      </w:r>
      <w:r w:rsidRPr="00691661">
        <w:t>5</w:t>
      </w:r>
      <w:r w:rsidR="00691661" w:rsidRPr="00691661">
        <w:t xml:space="preserve"> </w:t>
      </w:r>
    </w:p>
    <w:p w14:paraId="4F4EE49F" w14:textId="0927F3DF" w:rsidR="009129C3" w:rsidRPr="00691661" w:rsidRDefault="009129C3" w:rsidP="009129C3">
      <w:pPr>
        <w:rPr>
          <w:rFonts w:ascii="Times New Roman" w:hAnsi="Times New Roman" w:cs="Times New Roman"/>
          <w:sz w:val="24"/>
          <w:szCs w:val="24"/>
        </w:rPr>
      </w:pPr>
      <w:r w:rsidRPr="00691661">
        <w:rPr>
          <w:rFonts w:ascii="Times New Roman" w:hAnsi="Times New Roman" w:cs="Times New Roman"/>
          <w:sz w:val="24"/>
          <w:szCs w:val="24"/>
        </w:rPr>
        <w:t xml:space="preserve">This paragraph </w:t>
      </w:r>
      <w:r w:rsidR="006163ED">
        <w:rPr>
          <w:rFonts w:ascii="Times New Roman" w:hAnsi="Times New Roman" w:cs="Times New Roman"/>
          <w:sz w:val="24"/>
          <w:szCs w:val="24"/>
        </w:rPr>
        <w:t>provides a general instruction that terms defined in the reporting standard appear in bold italics</w:t>
      </w:r>
      <w:r w:rsidR="007B578F" w:rsidRPr="00691661">
        <w:rPr>
          <w:rFonts w:ascii="Times New Roman" w:hAnsi="Times New Roman" w:cs="Times New Roman"/>
          <w:sz w:val="24"/>
          <w:szCs w:val="24"/>
        </w:rPr>
        <w:t>.</w:t>
      </w:r>
    </w:p>
    <w:p w14:paraId="309864CD" w14:textId="0535185F" w:rsidR="00691661" w:rsidRPr="00691661" w:rsidRDefault="00691661" w:rsidP="00691661">
      <w:pPr>
        <w:pStyle w:val="Heading6"/>
      </w:pPr>
      <w:r w:rsidRPr="00691661">
        <w:t>Interpretation – paragraph 6</w:t>
      </w:r>
    </w:p>
    <w:p w14:paraId="7354AF51" w14:textId="510A87B5" w:rsidR="00691661" w:rsidRPr="00691661" w:rsidRDefault="00691661" w:rsidP="00691661">
      <w:r w:rsidRPr="00691661">
        <w:rPr>
          <w:rFonts w:ascii="Times New Roman" w:hAnsi="Times New Roman" w:cs="Times New Roman"/>
          <w:sz w:val="24"/>
          <w:szCs w:val="24"/>
        </w:rPr>
        <w:t xml:space="preserve">Paragraph </w:t>
      </w:r>
      <w:r w:rsidR="006163ED">
        <w:rPr>
          <w:rFonts w:ascii="Times New Roman" w:hAnsi="Times New Roman" w:cs="Times New Roman"/>
          <w:sz w:val="24"/>
          <w:szCs w:val="24"/>
        </w:rPr>
        <w:t>6</w:t>
      </w:r>
      <w:r w:rsidRPr="00691661">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p>
    <w:p w14:paraId="5EE3BCF5" w14:textId="2980D0AB" w:rsidR="00847646" w:rsidRDefault="00691661" w:rsidP="00847646">
      <w:pPr>
        <w:pStyle w:val="Heading6"/>
      </w:pPr>
      <w:r w:rsidRPr="00691661">
        <w:t>Overview</w:t>
      </w:r>
      <w:r w:rsidR="00847646" w:rsidRPr="00691661">
        <w:t xml:space="preserve"> – paragraph </w:t>
      </w:r>
      <w:r w:rsidRPr="00691661">
        <w:t>7</w:t>
      </w:r>
    </w:p>
    <w:p w14:paraId="7BE4B52B" w14:textId="41AEFF5D" w:rsidR="00847646" w:rsidRPr="00A4042C" w:rsidRDefault="00EC453D" w:rsidP="00147967">
      <w:pPr>
        <w:rPr>
          <w:rFonts w:ascii="Times New Roman" w:hAnsi="Times New Roman" w:cs="Times New Roman"/>
          <w:sz w:val="24"/>
          <w:szCs w:val="24"/>
        </w:rPr>
      </w:pPr>
      <w:r w:rsidRPr="00A4042C">
        <w:rPr>
          <w:rFonts w:ascii="Times New Roman" w:hAnsi="Times New Roman" w:cs="Times New Roman"/>
          <w:sz w:val="24"/>
          <w:szCs w:val="24"/>
        </w:rPr>
        <w:t xml:space="preserve">This provision </w:t>
      </w:r>
      <w:r w:rsidR="001A5432" w:rsidRPr="00A4042C">
        <w:rPr>
          <w:rFonts w:ascii="Times New Roman" w:hAnsi="Times New Roman" w:cs="Times New Roman"/>
          <w:sz w:val="24"/>
          <w:szCs w:val="24"/>
        </w:rPr>
        <w:t xml:space="preserve">states </w:t>
      </w:r>
      <w:r w:rsidR="006163ED">
        <w:rPr>
          <w:rFonts w:ascii="Times New Roman" w:hAnsi="Times New Roman" w:cs="Times New Roman"/>
          <w:sz w:val="24"/>
          <w:szCs w:val="24"/>
        </w:rPr>
        <w:t>that definitions provided in the reporting standard are listed alphabetically</w:t>
      </w:r>
      <w:r w:rsidR="00A4042C" w:rsidRPr="00A4042C">
        <w:rPr>
          <w:rFonts w:ascii="Times New Roman" w:hAnsi="Times New Roman" w:cs="Times New Roman"/>
          <w:sz w:val="24"/>
          <w:szCs w:val="24"/>
        </w:rPr>
        <w:t>.</w:t>
      </w:r>
    </w:p>
    <w:p w14:paraId="61D23832" w14:textId="097DA2AC" w:rsidR="00B52217" w:rsidRDefault="004A6585" w:rsidP="00147967">
      <w:pPr>
        <w:rPr>
          <w:rFonts w:ascii="Times New Roman" w:hAnsi="Times New Roman" w:cs="Times New Roman"/>
          <w:sz w:val="24"/>
          <w:szCs w:val="24"/>
        </w:rPr>
      </w:pPr>
      <w:r>
        <w:rPr>
          <w:rFonts w:ascii="Times New Roman" w:hAnsi="Times New Roman" w:cs="Times New Roman"/>
          <w:i/>
          <w:sz w:val="24"/>
          <w:szCs w:val="24"/>
        </w:rPr>
        <w:t>Definitions</w:t>
      </w:r>
    </w:p>
    <w:p w14:paraId="3DE7727E" w14:textId="0E7F45B1" w:rsidR="004A6585" w:rsidRPr="004A6585" w:rsidRDefault="004A6585" w:rsidP="00147967">
      <w:pPr>
        <w:rPr>
          <w:rFonts w:ascii="Times New Roman" w:hAnsi="Times New Roman" w:cs="Times New Roman"/>
          <w:sz w:val="24"/>
          <w:szCs w:val="24"/>
        </w:rPr>
      </w:pPr>
      <w:r>
        <w:rPr>
          <w:rFonts w:ascii="Times New Roman" w:hAnsi="Times New Roman" w:cs="Times New Roman"/>
          <w:sz w:val="24"/>
          <w:szCs w:val="24"/>
        </w:rPr>
        <w:t>The Definitions section lists key terms used throughout the SDT reporting standards and provides their definitions.</w:t>
      </w:r>
    </w:p>
    <w:p w14:paraId="1117D96B" w14:textId="77777777" w:rsidR="00DA06EF" w:rsidRPr="0044248C" w:rsidRDefault="00DA06EF" w:rsidP="00DA06EF">
      <w:pPr>
        <w:pStyle w:val="Heading5"/>
      </w:pPr>
      <w:r w:rsidRPr="0044248C">
        <w:lastRenderedPageBreak/>
        <w:t>Documents incorporated by reference</w:t>
      </w:r>
    </w:p>
    <w:p w14:paraId="5AFCA281" w14:textId="2DBE0E18" w:rsidR="00DA06EF" w:rsidRPr="003A08B8" w:rsidRDefault="6643CC79" w:rsidP="00DA06EF">
      <w:pPr>
        <w:numPr>
          <w:ilvl w:val="0"/>
          <w:numId w:val="11"/>
        </w:numPr>
        <w:rPr>
          <w:rFonts w:ascii="Times New Roman" w:hAnsi="Times New Roman" w:cs="Times New Roman"/>
          <w:sz w:val="24"/>
          <w:szCs w:val="24"/>
        </w:rPr>
      </w:pPr>
      <w:r w:rsidRPr="750CADAF">
        <w:rPr>
          <w:rFonts w:ascii="Times New Roman" w:hAnsi="Times New Roman" w:cs="Times New Roman"/>
          <w:sz w:val="24"/>
          <w:szCs w:val="24"/>
        </w:rPr>
        <w:t xml:space="preserve">Under section 14(1)(a) of the </w:t>
      </w:r>
      <w:r w:rsidRPr="750CADAF">
        <w:rPr>
          <w:rFonts w:ascii="Times New Roman" w:hAnsi="Times New Roman" w:cs="Times New Roman"/>
          <w:i/>
          <w:iCs/>
          <w:sz w:val="24"/>
          <w:szCs w:val="24"/>
        </w:rPr>
        <w:t>Legislation Act 2003</w:t>
      </w:r>
      <w:r w:rsidRPr="750CADAF">
        <w:rPr>
          <w:rFonts w:ascii="Times New Roman" w:hAnsi="Times New Roman" w:cs="Times New Roman"/>
          <w:sz w:val="24"/>
          <w:szCs w:val="24"/>
        </w:rPr>
        <w:t xml:space="preserve">, the standard incorporates </w:t>
      </w:r>
      <w:r w:rsidR="68A27694" w:rsidRPr="750CADAF">
        <w:rPr>
          <w:rFonts w:ascii="Times New Roman" w:hAnsi="Times New Roman" w:cs="Times New Roman"/>
          <w:sz w:val="24"/>
          <w:szCs w:val="24"/>
        </w:rPr>
        <w:t xml:space="preserve">the following documents </w:t>
      </w:r>
      <w:r w:rsidRPr="750CADAF">
        <w:rPr>
          <w:rFonts w:ascii="Times New Roman" w:hAnsi="Times New Roman" w:cs="Times New Roman"/>
          <w:sz w:val="24"/>
          <w:szCs w:val="24"/>
        </w:rPr>
        <w:t xml:space="preserve">by reference as in force from time to time: </w:t>
      </w:r>
    </w:p>
    <w:p w14:paraId="28F31764" w14:textId="718771A4" w:rsidR="00DA06EF" w:rsidRDefault="00DA06EF" w:rsidP="00DA06EF">
      <w:pPr>
        <w:numPr>
          <w:ilvl w:val="0"/>
          <w:numId w:val="28"/>
        </w:numPr>
        <w:rPr>
          <w:rFonts w:ascii="Times New Roman" w:hAnsi="Times New Roman" w:cs="Times New Roman"/>
          <w:sz w:val="24"/>
          <w:szCs w:val="24"/>
        </w:rPr>
      </w:pPr>
      <w:r>
        <w:rPr>
          <w:rFonts w:ascii="Times New Roman" w:hAnsi="Times New Roman" w:cs="Times New Roman"/>
          <w:sz w:val="24"/>
          <w:szCs w:val="24"/>
        </w:rPr>
        <w:t xml:space="preserve">Acts of Parliament and associated delegated </w:t>
      </w:r>
      <w:proofErr w:type="gramStart"/>
      <w:r w:rsidR="00500B1E">
        <w:rPr>
          <w:rFonts w:ascii="Times New Roman" w:hAnsi="Times New Roman" w:cs="Times New Roman"/>
          <w:sz w:val="24"/>
          <w:szCs w:val="24"/>
        </w:rPr>
        <w:t>legislation</w:t>
      </w:r>
      <w:r>
        <w:rPr>
          <w:rFonts w:ascii="Times New Roman" w:hAnsi="Times New Roman" w:cs="Times New Roman"/>
          <w:sz w:val="24"/>
          <w:szCs w:val="24"/>
        </w:rPr>
        <w:t>;</w:t>
      </w:r>
      <w:proofErr w:type="gramEnd"/>
    </w:p>
    <w:p w14:paraId="190A4430" w14:textId="5E675AC5" w:rsidR="0015394F" w:rsidRPr="00455BA9" w:rsidRDefault="00DA06EF" w:rsidP="00216D06">
      <w:pPr>
        <w:numPr>
          <w:ilvl w:val="0"/>
          <w:numId w:val="28"/>
        </w:numPr>
        <w:rPr>
          <w:rFonts w:ascii="Times New Roman" w:hAnsi="Times New Roman" w:cs="Times New Roman"/>
          <w:sz w:val="24"/>
          <w:szCs w:val="24"/>
        </w:rPr>
      </w:pPr>
      <w:r>
        <w:rPr>
          <w:rFonts w:ascii="Times New Roman" w:hAnsi="Times New Roman" w:cs="Times New Roman"/>
          <w:sz w:val="24"/>
          <w:szCs w:val="24"/>
        </w:rPr>
        <w:t>Prudential Standards determined by APRA</w:t>
      </w:r>
      <w:r w:rsidR="006179AA">
        <w:rPr>
          <w:rFonts w:ascii="Times New Roman" w:hAnsi="Times New Roman" w:cs="Times New Roman"/>
          <w:sz w:val="24"/>
          <w:szCs w:val="24"/>
        </w:rPr>
        <w:t xml:space="preserve">, </w:t>
      </w:r>
      <w:r w:rsidR="006D240D" w:rsidRPr="006179AA">
        <w:rPr>
          <w:rFonts w:ascii="Times New Roman" w:eastAsia="Times New Roman" w:hAnsi="Times New Roman" w:cs="Times New Roman"/>
          <w:iCs/>
          <w:color w:val="auto"/>
          <w:sz w:val="24"/>
          <w:szCs w:val="24"/>
        </w:rPr>
        <w:t>except Prudential Standards relating to superannuation</w:t>
      </w:r>
      <w:r w:rsidR="006179AA">
        <w:rPr>
          <w:rFonts w:ascii="Times New Roman" w:eastAsia="Times New Roman" w:hAnsi="Times New Roman" w:cs="Times New Roman"/>
          <w:i/>
          <w:iCs/>
          <w:color w:val="auto"/>
          <w:sz w:val="24"/>
          <w:szCs w:val="24"/>
        </w:rPr>
        <w:t xml:space="preserve">; </w:t>
      </w:r>
      <w:r w:rsidR="00216D06">
        <w:rPr>
          <w:rFonts w:ascii="Times New Roman" w:hAnsi="Times New Roman" w:cs="Times New Roman"/>
          <w:iCs/>
          <w:sz w:val="24"/>
          <w:szCs w:val="24"/>
        </w:rPr>
        <w:t>and</w:t>
      </w:r>
    </w:p>
    <w:p w14:paraId="39E69C10" w14:textId="77777777" w:rsidR="0015394F" w:rsidRPr="00215344" w:rsidRDefault="0015394F" w:rsidP="0015394F">
      <w:pPr>
        <w:numPr>
          <w:ilvl w:val="0"/>
          <w:numId w:val="28"/>
        </w:numPr>
        <w:rPr>
          <w:rFonts w:ascii="Times New Roman" w:hAnsi="Times New Roman" w:cs="Times New Roman"/>
          <w:i/>
          <w:iCs/>
          <w:sz w:val="24"/>
          <w:szCs w:val="24"/>
        </w:rPr>
      </w:pPr>
      <w:r w:rsidRPr="00215344">
        <w:rPr>
          <w:rFonts w:ascii="Times New Roman" w:hAnsi="Times New Roman" w:cs="Times New Roman"/>
          <w:sz w:val="24"/>
          <w:szCs w:val="24"/>
        </w:rPr>
        <w:t xml:space="preserve">Australian Accounting Standards determined by the Australian Accounting Standards Board under section 334 of the </w:t>
      </w:r>
      <w:r w:rsidRPr="00215344">
        <w:rPr>
          <w:rFonts w:ascii="Times New Roman" w:hAnsi="Times New Roman" w:cs="Times New Roman"/>
          <w:i/>
          <w:iCs/>
          <w:sz w:val="24"/>
          <w:szCs w:val="24"/>
        </w:rPr>
        <w:t xml:space="preserve">Corporations Act 2001 </w:t>
      </w:r>
      <w:r w:rsidRPr="00215344">
        <w:rPr>
          <w:rFonts w:ascii="Times New Roman" w:hAnsi="Times New Roman" w:cs="Times New Roman"/>
          <w:sz w:val="24"/>
          <w:szCs w:val="24"/>
        </w:rPr>
        <w:t>(</w:t>
      </w:r>
      <w:proofErr w:type="spellStart"/>
      <w:r w:rsidRPr="00215344">
        <w:rPr>
          <w:rFonts w:ascii="Times New Roman" w:hAnsi="Times New Roman" w:cs="Times New Roman"/>
          <w:sz w:val="24"/>
          <w:szCs w:val="24"/>
        </w:rPr>
        <w:t>Cth</w:t>
      </w:r>
      <w:proofErr w:type="spellEnd"/>
      <w:r w:rsidRPr="00215344">
        <w:rPr>
          <w:rFonts w:ascii="Times New Roman" w:hAnsi="Times New Roman" w:cs="Times New Roman"/>
          <w:sz w:val="24"/>
          <w:szCs w:val="24"/>
        </w:rPr>
        <w:t>).</w:t>
      </w:r>
    </w:p>
    <w:p w14:paraId="33C4DDDF" w14:textId="4D4BCE4B" w:rsidR="00DA06EF" w:rsidRDefault="0015394F" w:rsidP="0015394F">
      <w:p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B9377E">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79C414BE" w14:textId="7DFACFB2" w:rsidR="00AA1756" w:rsidRPr="00BD1608" w:rsidRDefault="435E1259" w:rsidP="00BD1608">
      <w:pPr>
        <w:rPr>
          <w:rFonts w:ascii="Times New Roman" w:hAnsi="Times New Roman" w:cs="Times New Roman"/>
          <w:sz w:val="24"/>
          <w:szCs w:val="24"/>
        </w:rPr>
      </w:pPr>
      <w:r w:rsidRPr="750CADAF">
        <w:rPr>
          <w:rFonts w:ascii="Times New Roman" w:hAnsi="Times New Roman" w:cs="Times New Roman"/>
          <w:sz w:val="24"/>
          <w:szCs w:val="24"/>
        </w:rPr>
        <w:t>Under section 14(1)(b) of the Legislation Act, the standard incorporates</w:t>
      </w:r>
      <w:r w:rsidR="50973544" w:rsidRPr="750CADAF">
        <w:rPr>
          <w:rFonts w:ascii="Times New Roman" w:hAnsi="Times New Roman" w:cs="Times New Roman"/>
          <w:sz w:val="24"/>
          <w:szCs w:val="24"/>
        </w:rPr>
        <w:t xml:space="preserve"> the following documents</w:t>
      </w:r>
      <w:r w:rsidR="1B76CF19" w:rsidRPr="750CADAF">
        <w:rPr>
          <w:rFonts w:ascii="Times New Roman" w:hAnsi="Times New Roman" w:cs="Times New Roman"/>
          <w:sz w:val="24"/>
          <w:szCs w:val="24"/>
        </w:rPr>
        <w:t xml:space="preserve"> from the time that the instrument commences</w:t>
      </w:r>
      <w:r w:rsidRPr="750CADAF">
        <w:rPr>
          <w:rFonts w:ascii="Times New Roman" w:hAnsi="Times New Roman" w:cs="Times New Roman"/>
          <w:sz w:val="24"/>
          <w:szCs w:val="24"/>
        </w:rPr>
        <w:t xml:space="preserve">: </w:t>
      </w:r>
    </w:p>
    <w:p w14:paraId="6904D396" w14:textId="61AC9A3E" w:rsidR="006921EE" w:rsidRPr="00344C85" w:rsidRDefault="006921EE" w:rsidP="006921EE">
      <w:pPr>
        <w:pStyle w:val="ListParagraph"/>
        <w:numPr>
          <w:ilvl w:val="0"/>
          <w:numId w:val="36"/>
        </w:numPr>
        <w:rPr>
          <w:rStyle w:val="Hyperlink"/>
          <w:rFonts w:ascii="Times New Roman" w:hAnsi="Times New Roman" w:cs="Times New Roman"/>
          <w:color w:val="auto"/>
          <w:sz w:val="24"/>
          <w:szCs w:val="24"/>
          <w:u w:val="none"/>
        </w:rPr>
      </w:pPr>
      <w:r w:rsidRPr="006B5661">
        <w:rPr>
          <w:rFonts w:ascii="Times New Roman" w:hAnsi="Times New Roman" w:cs="Times New Roman"/>
          <w:iCs/>
          <w:color w:val="auto"/>
          <w:sz w:val="24"/>
          <w:szCs w:val="24"/>
        </w:rPr>
        <w:t xml:space="preserve">Prudential Standards determined by APRA </w:t>
      </w:r>
      <w:r w:rsidR="44D79D22" w:rsidRPr="005F4892">
        <w:rPr>
          <w:rFonts w:ascii="Times New Roman" w:eastAsia="Times New Roman" w:hAnsi="Times New Roman" w:cs="Times New Roman"/>
          <w:color w:val="auto"/>
          <w:sz w:val="24"/>
          <w:szCs w:val="24"/>
        </w:rPr>
        <w:t>under subsection 34</w:t>
      </w:r>
      <w:proofErr w:type="gramStart"/>
      <w:r w:rsidR="44D79D22" w:rsidRPr="005F4892">
        <w:rPr>
          <w:rFonts w:ascii="Times New Roman" w:eastAsia="Times New Roman" w:hAnsi="Times New Roman" w:cs="Times New Roman"/>
          <w:color w:val="auto"/>
          <w:sz w:val="24"/>
          <w:szCs w:val="24"/>
        </w:rPr>
        <w:t>C(</w:t>
      </w:r>
      <w:proofErr w:type="gramEnd"/>
      <w:r w:rsidR="44D79D22" w:rsidRPr="005F4892">
        <w:rPr>
          <w:rFonts w:ascii="Times New Roman" w:eastAsia="Times New Roman" w:hAnsi="Times New Roman" w:cs="Times New Roman"/>
          <w:color w:val="auto"/>
          <w:sz w:val="24"/>
          <w:szCs w:val="24"/>
        </w:rPr>
        <w:t xml:space="preserve">1) of the </w:t>
      </w:r>
      <w:r w:rsidR="44D79D22" w:rsidRPr="005F4892">
        <w:rPr>
          <w:rFonts w:ascii="Times New Roman" w:eastAsia="Times New Roman" w:hAnsi="Times New Roman" w:cs="Times New Roman"/>
          <w:i/>
          <w:iCs/>
          <w:color w:val="auto"/>
          <w:sz w:val="24"/>
          <w:szCs w:val="24"/>
        </w:rPr>
        <w:t>Superannuation Industry (Supervision Act) 1993</w:t>
      </w:r>
      <w:r w:rsidRPr="005F4892">
        <w:rPr>
          <w:rFonts w:ascii="Times New Roman" w:hAnsi="Times New Roman" w:cs="Times New Roman"/>
          <w:color w:val="auto"/>
          <w:sz w:val="24"/>
          <w:szCs w:val="24"/>
        </w:rPr>
        <w:t xml:space="preserve"> </w:t>
      </w:r>
      <w:r w:rsidRPr="006B5661">
        <w:rPr>
          <w:rFonts w:ascii="Times New Roman" w:hAnsi="Times New Roman" w:cs="Times New Roman"/>
          <w:iCs/>
          <w:color w:val="auto"/>
          <w:sz w:val="24"/>
          <w:szCs w:val="24"/>
        </w:rPr>
        <w:t>relating to superannuation.</w:t>
      </w:r>
      <w:r w:rsidR="006B5661">
        <w:rPr>
          <w:rFonts w:ascii="Times New Roman" w:hAnsi="Times New Roman" w:cs="Times New Roman"/>
          <w:iCs/>
          <w:color w:val="auto"/>
          <w:sz w:val="24"/>
          <w:szCs w:val="24"/>
        </w:rPr>
        <w:t xml:space="preserve"> </w:t>
      </w:r>
      <w:r w:rsidRPr="006B5661">
        <w:rPr>
          <w:rFonts w:ascii="Times New Roman" w:hAnsi="Times New Roman" w:cs="Times New Roman"/>
          <w:iCs/>
          <w:color w:val="auto"/>
          <w:sz w:val="24"/>
          <w:szCs w:val="24"/>
        </w:rPr>
        <w:t xml:space="preserve">These Prudential Standards may be freely obtained at </w:t>
      </w:r>
      <w:hyperlink r:id="rId13">
        <w:r w:rsidRPr="62B3B92A">
          <w:rPr>
            <w:rStyle w:val="Hyperlink"/>
            <w:rFonts w:ascii="Times New Roman" w:hAnsi="Times New Roman" w:cs="Times New Roman"/>
            <w:color w:val="auto"/>
            <w:sz w:val="24"/>
            <w:szCs w:val="24"/>
          </w:rPr>
          <w:t>www.legislation.gov.au</w:t>
        </w:r>
      </w:hyperlink>
      <w:r w:rsidR="00344C85">
        <w:rPr>
          <w:rStyle w:val="Hyperlink"/>
          <w:rFonts w:ascii="Times New Roman" w:hAnsi="Times New Roman" w:cs="Times New Roman"/>
          <w:color w:val="auto"/>
          <w:sz w:val="24"/>
          <w:szCs w:val="24"/>
        </w:rPr>
        <w:t>.</w:t>
      </w:r>
    </w:p>
    <w:p w14:paraId="4263C08C" w14:textId="77777777" w:rsidR="00344C85" w:rsidRPr="006B5661" w:rsidRDefault="00344C85" w:rsidP="00344C85">
      <w:pPr>
        <w:pStyle w:val="ListParagraph"/>
        <w:ind w:left="720"/>
        <w:rPr>
          <w:rFonts w:ascii="Times New Roman" w:hAnsi="Times New Roman" w:cs="Times New Roman"/>
          <w:color w:val="auto"/>
          <w:sz w:val="24"/>
          <w:szCs w:val="24"/>
        </w:rPr>
      </w:pPr>
    </w:p>
    <w:p w14:paraId="68396BBE" w14:textId="32E72A27" w:rsidR="00344C85" w:rsidRPr="00344C85" w:rsidRDefault="005978ED" w:rsidP="00344C85">
      <w:pPr>
        <w:pStyle w:val="ListParagraph"/>
        <w:numPr>
          <w:ilvl w:val="0"/>
          <w:numId w:val="36"/>
        </w:numPr>
        <w:rPr>
          <w:rFonts w:ascii="Times New Roman" w:hAnsi="Times New Roman" w:cs="Times New Roman"/>
          <w:sz w:val="24"/>
          <w:szCs w:val="24"/>
        </w:rPr>
      </w:pPr>
      <w:r w:rsidRPr="00624D94">
        <w:rPr>
          <w:rFonts w:ascii="Times New Roman" w:hAnsi="Times New Roman" w:cs="Times New Roman"/>
          <w:sz w:val="24"/>
          <w:szCs w:val="24"/>
        </w:rPr>
        <w:t xml:space="preserve">ASIC Regulatory Guide 97: Disclosing fees and costs in PDSs and periodic statements (RG 97) March 2017 by reference as in force </w:t>
      </w:r>
      <w:proofErr w:type="gramStart"/>
      <w:r w:rsidRPr="00624D94">
        <w:rPr>
          <w:rFonts w:ascii="Times New Roman" w:hAnsi="Times New Roman" w:cs="Times New Roman"/>
          <w:sz w:val="24"/>
          <w:szCs w:val="24"/>
        </w:rPr>
        <w:t>at</w:t>
      </w:r>
      <w:proofErr w:type="gramEnd"/>
      <w:r w:rsidRPr="00624D94">
        <w:rPr>
          <w:rFonts w:ascii="Times New Roman" w:hAnsi="Times New Roman" w:cs="Times New Roman"/>
          <w:sz w:val="24"/>
          <w:szCs w:val="24"/>
        </w:rPr>
        <w:t xml:space="preserve"> March 2017. This document </w:t>
      </w:r>
      <w:r w:rsidR="006E7730" w:rsidRPr="00624D94">
        <w:rPr>
          <w:rFonts w:ascii="Times New Roman" w:hAnsi="Times New Roman" w:cs="Times New Roman"/>
          <w:sz w:val="24"/>
          <w:szCs w:val="24"/>
        </w:rPr>
        <w:t>provides guidance on how fees and costs should be disclosed in Product Disclosure Statements (PDSs) and periodic statements and can be freely accessed and used by members of the public at</w:t>
      </w:r>
      <w:r w:rsidR="004248E4" w:rsidRPr="00624D94">
        <w:rPr>
          <w:rFonts w:ascii="Times New Roman" w:hAnsi="Times New Roman" w:cs="Times New Roman"/>
          <w:sz w:val="24"/>
          <w:szCs w:val="24"/>
        </w:rPr>
        <w:t xml:space="preserve">: </w:t>
      </w:r>
      <w:hyperlink r:id="rId14">
        <w:r w:rsidR="00EC1B22" w:rsidRPr="62B3B92A">
          <w:rPr>
            <w:rStyle w:val="Hyperlink"/>
            <w:rFonts w:ascii="Times New Roman" w:hAnsi="Times New Roman" w:cs="Times New Roman"/>
            <w:sz w:val="24"/>
            <w:szCs w:val="24"/>
          </w:rPr>
          <w:t>https://asic.gov.au/regulatory-resources/find-a-document/regulatory-guides/rg-97-disclosing-fees-and-costs-in-pdss-and-periodic-statements</w:t>
        </w:r>
      </w:hyperlink>
      <w:r w:rsidR="004248E4" w:rsidRPr="009B1E4F">
        <w:rPr>
          <w:rFonts w:ascii="Times New Roman" w:hAnsi="Times New Roman" w:cs="Times New Roman"/>
          <w:sz w:val="24"/>
          <w:szCs w:val="24"/>
        </w:rPr>
        <w:t>.</w:t>
      </w:r>
    </w:p>
    <w:p w14:paraId="2AAC919B" w14:textId="77777777" w:rsidR="00344C85" w:rsidRDefault="00344C85" w:rsidP="00344C85">
      <w:pPr>
        <w:pStyle w:val="ListParagraph"/>
        <w:ind w:left="720"/>
        <w:rPr>
          <w:rFonts w:ascii="Times New Roman" w:hAnsi="Times New Roman" w:cs="Times New Roman"/>
          <w:sz w:val="24"/>
          <w:szCs w:val="24"/>
        </w:rPr>
      </w:pPr>
    </w:p>
    <w:p w14:paraId="5E701885" w14:textId="6948D8A8" w:rsidR="006E7730" w:rsidRPr="00624D94" w:rsidRDefault="006E7730" w:rsidP="00624D94">
      <w:pPr>
        <w:pStyle w:val="ListParagraph"/>
        <w:numPr>
          <w:ilvl w:val="0"/>
          <w:numId w:val="36"/>
        </w:numPr>
        <w:rPr>
          <w:rFonts w:ascii="Times New Roman" w:hAnsi="Times New Roman" w:cs="Times New Roman"/>
          <w:sz w:val="24"/>
          <w:szCs w:val="24"/>
        </w:rPr>
      </w:pPr>
      <w:r w:rsidRPr="00624D94">
        <w:rPr>
          <w:rFonts w:ascii="Times New Roman" w:hAnsi="Times New Roman" w:cs="Times New Roman"/>
          <w:sz w:val="24"/>
          <w:szCs w:val="24"/>
        </w:rPr>
        <w:t xml:space="preserve">ASIC Regulatory Guide 97: Disclosing fees and costs in PDSs and periodic statements (RG 97) </w:t>
      </w:r>
      <w:r w:rsidR="00BD77F4" w:rsidRPr="00624D94">
        <w:rPr>
          <w:rFonts w:ascii="Times New Roman" w:hAnsi="Times New Roman" w:cs="Times New Roman"/>
          <w:sz w:val="24"/>
          <w:szCs w:val="24"/>
        </w:rPr>
        <w:t>September</w:t>
      </w:r>
      <w:r w:rsidRPr="00624D94">
        <w:rPr>
          <w:rFonts w:ascii="Times New Roman" w:hAnsi="Times New Roman" w:cs="Times New Roman"/>
          <w:sz w:val="24"/>
          <w:szCs w:val="24"/>
        </w:rPr>
        <w:t xml:space="preserve"> 2020 by reference as in force </w:t>
      </w:r>
      <w:proofErr w:type="gramStart"/>
      <w:r w:rsidRPr="00624D94">
        <w:rPr>
          <w:rFonts w:ascii="Times New Roman" w:hAnsi="Times New Roman" w:cs="Times New Roman"/>
          <w:sz w:val="24"/>
          <w:szCs w:val="24"/>
        </w:rPr>
        <w:t>at</w:t>
      </w:r>
      <w:proofErr w:type="gramEnd"/>
      <w:r w:rsidRPr="00624D94">
        <w:rPr>
          <w:rFonts w:ascii="Times New Roman" w:hAnsi="Times New Roman" w:cs="Times New Roman"/>
          <w:sz w:val="24"/>
          <w:szCs w:val="24"/>
        </w:rPr>
        <w:t xml:space="preserve"> </w:t>
      </w:r>
      <w:r w:rsidR="00EC1B22" w:rsidRPr="00624D94">
        <w:rPr>
          <w:rFonts w:ascii="Times New Roman" w:hAnsi="Times New Roman" w:cs="Times New Roman"/>
          <w:sz w:val="24"/>
          <w:szCs w:val="24"/>
        </w:rPr>
        <w:t>September</w:t>
      </w:r>
      <w:r w:rsidRPr="00624D94">
        <w:rPr>
          <w:rFonts w:ascii="Times New Roman" w:hAnsi="Times New Roman" w:cs="Times New Roman"/>
          <w:sz w:val="24"/>
          <w:szCs w:val="24"/>
        </w:rPr>
        <w:t xml:space="preserve"> 2020. This document provides guidance on how fees and costs should be disclosed in Product Disclosure Statements (PDSs) and periodic statements and can be freely accessed and used by members of the public at</w:t>
      </w:r>
      <w:r w:rsidR="004248E4" w:rsidRPr="00624D94">
        <w:rPr>
          <w:rFonts w:ascii="Times New Roman" w:hAnsi="Times New Roman" w:cs="Times New Roman"/>
          <w:sz w:val="24"/>
          <w:szCs w:val="24"/>
        </w:rPr>
        <w:t xml:space="preserve">: </w:t>
      </w:r>
      <w:hyperlink r:id="rId15">
        <w:r w:rsidR="009B1E4F" w:rsidRPr="62B3B92A">
          <w:rPr>
            <w:rStyle w:val="Hyperlink"/>
            <w:rFonts w:ascii="Times New Roman" w:hAnsi="Times New Roman" w:cs="Times New Roman"/>
            <w:sz w:val="24"/>
            <w:szCs w:val="24"/>
          </w:rPr>
          <w:t>https://asic.gov.au/regulatory-resources/find-a-document/regulatory-guides/rg-97-disclosing-fees-and-costs-in-pdss-and-periodic-statements</w:t>
        </w:r>
      </w:hyperlink>
      <w:r w:rsidR="004248E4" w:rsidRPr="009B1E4F">
        <w:rPr>
          <w:rFonts w:ascii="Times New Roman" w:hAnsi="Times New Roman" w:cs="Times New Roman"/>
          <w:sz w:val="24"/>
          <w:szCs w:val="24"/>
        </w:rPr>
        <w:t>.</w:t>
      </w:r>
    </w:p>
    <w:p w14:paraId="52BCAC08" w14:textId="38D391B8" w:rsidR="2E137582" w:rsidRPr="00624D94" w:rsidRDefault="6F96CC55" w:rsidP="00A56690">
      <w:pPr>
        <w:rPr>
          <w:rFonts w:ascii="Times New Roman" w:eastAsia="Times New Roman" w:hAnsi="Times New Roman" w:cs="Times New Roman"/>
          <w:color w:val="000000" w:themeColor="text1"/>
          <w:sz w:val="24"/>
          <w:szCs w:val="24"/>
        </w:rPr>
      </w:pPr>
      <w:r w:rsidRPr="5246326F">
        <w:rPr>
          <w:rFonts w:ascii="Times New Roman" w:eastAsia="Times New Roman" w:hAnsi="Times New Roman" w:cs="Times New Roman"/>
          <w:color w:val="000000" w:themeColor="text1"/>
          <w:sz w:val="24"/>
          <w:szCs w:val="24"/>
        </w:rPr>
        <w:t xml:space="preserve">SRS 101.0 also requires entities to report against </w:t>
      </w:r>
      <w:r w:rsidR="4916E05E" w:rsidRPr="5246326F">
        <w:rPr>
          <w:rFonts w:ascii="Times New Roman" w:eastAsia="Times New Roman" w:hAnsi="Times New Roman" w:cs="Times New Roman"/>
          <w:color w:val="000000" w:themeColor="text1"/>
          <w:sz w:val="24"/>
          <w:szCs w:val="24"/>
        </w:rPr>
        <w:t>the following</w:t>
      </w:r>
      <w:r w:rsidR="133B0A40" w:rsidRPr="5246326F">
        <w:rPr>
          <w:rFonts w:ascii="Times New Roman" w:eastAsia="Times New Roman" w:hAnsi="Times New Roman" w:cs="Times New Roman"/>
          <w:color w:val="000000" w:themeColor="text1"/>
          <w:sz w:val="24"/>
          <w:szCs w:val="24"/>
        </w:rPr>
        <w:t xml:space="preserve"> standards </w:t>
      </w:r>
      <w:r w:rsidR="709675B3" w:rsidRPr="5246326F">
        <w:rPr>
          <w:rFonts w:ascii="Times New Roman" w:eastAsia="Times New Roman" w:hAnsi="Times New Roman" w:cs="Times New Roman"/>
          <w:color w:val="000000" w:themeColor="text1"/>
          <w:sz w:val="24"/>
          <w:szCs w:val="24"/>
        </w:rPr>
        <w:t xml:space="preserve">and codes </w:t>
      </w:r>
      <w:r w:rsidRPr="5246326F">
        <w:rPr>
          <w:rFonts w:ascii="Times New Roman" w:eastAsia="Times New Roman" w:hAnsi="Times New Roman" w:cs="Times New Roman"/>
          <w:color w:val="000000" w:themeColor="text1"/>
          <w:sz w:val="24"/>
          <w:szCs w:val="24"/>
        </w:rPr>
        <w:t>as a matter of fact</w:t>
      </w:r>
      <w:r w:rsidR="4916E05E" w:rsidRPr="5246326F">
        <w:rPr>
          <w:rFonts w:ascii="Times New Roman" w:eastAsia="Times New Roman" w:hAnsi="Times New Roman" w:cs="Times New Roman"/>
          <w:color w:val="000000" w:themeColor="text1"/>
          <w:sz w:val="24"/>
          <w:szCs w:val="24"/>
        </w:rPr>
        <w:t>:</w:t>
      </w:r>
    </w:p>
    <w:p w14:paraId="37B7EAF4" w14:textId="467F1EB7" w:rsidR="42D2D03B" w:rsidRDefault="42D2D03B" w:rsidP="00624D94">
      <w:pPr>
        <w:pStyle w:val="ListParagraph"/>
        <w:numPr>
          <w:ilvl w:val="0"/>
          <w:numId w:val="1"/>
        </w:numPr>
        <w:rPr>
          <w:rFonts w:ascii="Times New Roman" w:eastAsia="Times New Roman" w:hAnsi="Times New Roman" w:cs="Times New Roman"/>
          <w:color w:val="000000" w:themeColor="text1"/>
          <w:sz w:val="24"/>
          <w:szCs w:val="24"/>
        </w:rPr>
      </w:pPr>
      <w:r w:rsidRPr="750CADAF">
        <w:rPr>
          <w:rFonts w:ascii="Times New Roman" w:eastAsia="Times New Roman" w:hAnsi="Times New Roman" w:cs="Times New Roman"/>
          <w:color w:val="000000" w:themeColor="text1"/>
          <w:sz w:val="24"/>
          <w:szCs w:val="24"/>
        </w:rPr>
        <w:t xml:space="preserve">ISO 3166 and ISO 4217 - </w:t>
      </w:r>
      <w:r w:rsidR="220E759B" w:rsidRPr="750CADAF">
        <w:rPr>
          <w:rFonts w:ascii="Times New Roman" w:eastAsia="Times New Roman" w:hAnsi="Times New Roman" w:cs="Times New Roman"/>
          <w:color w:val="000000" w:themeColor="text1"/>
          <w:sz w:val="24"/>
          <w:szCs w:val="24"/>
        </w:rPr>
        <w:t>SRS 101.0 requires financial sector entities to report certain items with a two-letter ISO 3166 country code and a three-letter ISO 4217 currency code</w:t>
      </w:r>
      <w:r w:rsidR="00C73C20" w:rsidRPr="750CADAF">
        <w:rPr>
          <w:rFonts w:ascii="Times New Roman" w:eastAsia="Times New Roman" w:hAnsi="Times New Roman" w:cs="Times New Roman"/>
          <w:color w:val="000000" w:themeColor="text1"/>
          <w:sz w:val="24"/>
          <w:szCs w:val="24"/>
        </w:rPr>
        <w:t xml:space="preserve">. </w:t>
      </w:r>
      <w:r w:rsidR="220E759B" w:rsidRPr="750CADAF">
        <w:rPr>
          <w:rFonts w:ascii="Times New Roman" w:eastAsia="Times New Roman" w:hAnsi="Times New Roman" w:cs="Times New Roman"/>
          <w:color w:val="000000" w:themeColor="text1"/>
          <w:sz w:val="24"/>
          <w:szCs w:val="24"/>
        </w:rPr>
        <w:t>ISO 3166 and ISO 4217</w:t>
      </w:r>
      <w:r w:rsidR="00C73C20" w:rsidRPr="750CADAF">
        <w:rPr>
          <w:rFonts w:ascii="Times New Roman" w:eastAsia="Times New Roman" w:hAnsi="Times New Roman" w:cs="Times New Roman"/>
          <w:color w:val="000000" w:themeColor="text1"/>
          <w:sz w:val="24"/>
          <w:szCs w:val="24"/>
        </w:rPr>
        <w:t xml:space="preserve"> </w:t>
      </w:r>
      <w:r w:rsidR="220E759B" w:rsidRPr="750CADAF">
        <w:rPr>
          <w:rFonts w:ascii="Times New Roman" w:eastAsia="Times New Roman" w:hAnsi="Times New Roman" w:cs="Times New Roman"/>
          <w:color w:val="000000" w:themeColor="text1"/>
          <w:sz w:val="24"/>
          <w:szCs w:val="24"/>
        </w:rPr>
        <w:t xml:space="preserve">are internationally recognised codes for the representation of countries and currencies developed by the International Organization for Standardization (ISO). </w:t>
      </w:r>
      <w:r w:rsidR="4FF907E1" w:rsidRPr="750CADAF">
        <w:rPr>
          <w:rFonts w:ascii="Times New Roman" w:eastAsia="Times New Roman" w:hAnsi="Times New Roman" w:cs="Times New Roman"/>
          <w:color w:val="000000" w:themeColor="text1"/>
          <w:sz w:val="24"/>
          <w:szCs w:val="24"/>
        </w:rPr>
        <w:t>F</w:t>
      </w:r>
      <w:r w:rsidR="220E759B" w:rsidRPr="750CADAF">
        <w:rPr>
          <w:rFonts w:ascii="Times New Roman" w:eastAsia="Times New Roman" w:hAnsi="Times New Roman" w:cs="Times New Roman"/>
          <w:color w:val="000000" w:themeColor="text1"/>
          <w:sz w:val="24"/>
          <w:szCs w:val="24"/>
        </w:rPr>
        <w:t>inancial sector entities are aware information relevant to the two-letter ISO 3166 country code and to the three-letter ISO 4217 currency code is widely available online</w:t>
      </w:r>
      <w:r w:rsidR="3573B031" w:rsidRPr="750CADAF">
        <w:rPr>
          <w:rFonts w:ascii="Times New Roman" w:eastAsia="Times New Roman" w:hAnsi="Times New Roman" w:cs="Times New Roman"/>
          <w:color w:val="000000" w:themeColor="text1"/>
          <w:sz w:val="24"/>
          <w:szCs w:val="24"/>
        </w:rPr>
        <w:t xml:space="preserve"> </w:t>
      </w:r>
      <w:r w:rsidR="00566E15" w:rsidRPr="750CADAF">
        <w:rPr>
          <w:rFonts w:ascii="Times New Roman" w:eastAsia="Times New Roman" w:hAnsi="Times New Roman" w:cs="Times New Roman"/>
          <w:color w:val="000000" w:themeColor="text1"/>
          <w:sz w:val="24"/>
          <w:szCs w:val="24"/>
        </w:rPr>
        <w:t xml:space="preserve">with the </w:t>
      </w:r>
      <w:r w:rsidR="3573B031" w:rsidRPr="00624D94">
        <w:rPr>
          <w:rFonts w:ascii="Times New Roman" w:eastAsia="Times New Roman" w:hAnsi="Times New Roman" w:cs="Times New Roman"/>
          <w:color w:val="000000" w:themeColor="text1"/>
          <w:sz w:val="24"/>
          <w:szCs w:val="24"/>
        </w:rPr>
        <w:t>relevant links being available in the stand</w:t>
      </w:r>
      <w:r w:rsidR="00BE214D" w:rsidRPr="750CADAF">
        <w:rPr>
          <w:rFonts w:ascii="Times New Roman" w:eastAsia="Times New Roman" w:hAnsi="Times New Roman" w:cs="Times New Roman"/>
          <w:color w:val="000000" w:themeColor="text1"/>
          <w:sz w:val="24"/>
          <w:szCs w:val="24"/>
        </w:rPr>
        <w:t>a</w:t>
      </w:r>
      <w:r w:rsidR="3573B031" w:rsidRPr="00624D94">
        <w:rPr>
          <w:rFonts w:ascii="Times New Roman" w:eastAsia="Times New Roman" w:hAnsi="Times New Roman" w:cs="Times New Roman"/>
          <w:color w:val="000000" w:themeColor="text1"/>
          <w:sz w:val="24"/>
          <w:szCs w:val="24"/>
        </w:rPr>
        <w:t>rd</w:t>
      </w:r>
      <w:r w:rsidR="00566E15" w:rsidRPr="750CADAF">
        <w:rPr>
          <w:rFonts w:ascii="Times New Roman" w:eastAsia="Times New Roman" w:hAnsi="Times New Roman" w:cs="Times New Roman"/>
          <w:color w:val="000000" w:themeColor="text1"/>
          <w:sz w:val="24"/>
          <w:szCs w:val="24"/>
        </w:rPr>
        <w:t>.</w:t>
      </w:r>
    </w:p>
    <w:p w14:paraId="6566BABF" w14:textId="77777777" w:rsidR="00576503" w:rsidRDefault="00576503" w:rsidP="00576503">
      <w:pPr>
        <w:pStyle w:val="ListParagraph"/>
        <w:ind w:left="720"/>
        <w:rPr>
          <w:rFonts w:ascii="Times New Roman" w:eastAsia="Times New Roman" w:hAnsi="Times New Roman" w:cs="Times New Roman"/>
          <w:color w:val="000000" w:themeColor="text1"/>
          <w:sz w:val="24"/>
          <w:szCs w:val="24"/>
        </w:rPr>
      </w:pPr>
    </w:p>
    <w:p w14:paraId="568AE4D5" w14:textId="5130DE31" w:rsidR="00576503" w:rsidRPr="00344C85" w:rsidRDefault="5A6391A1" w:rsidP="00344C85">
      <w:pPr>
        <w:pStyle w:val="ListParagraph"/>
        <w:numPr>
          <w:ilvl w:val="0"/>
          <w:numId w:val="1"/>
        </w:numPr>
        <w:rPr>
          <w:rFonts w:ascii="Times New Roman" w:eastAsia="Times New Roman" w:hAnsi="Times New Roman" w:cs="Times New Roman"/>
          <w:color w:val="000000" w:themeColor="text1"/>
          <w:sz w:val="24"/>
          <w:szCs w:val="24"/>
        </w:rPr>
      </w:pPr>
      <w:r w:rsidRPr="750CADAF">
        <w:rPr>
          <w:rFonts w:ascii="Times New Roman" w:eastAsia="Times New Roman" w:hAnsi="Times New Roman" w:cs="Times New Roman"/>
          <w:color w:val="000000" w:themeColor="text1"/>
          <w:sz w:val="24"/>
          <w:szCs w:val="24"/>
        </w:rPr>
        <w:lastRenderedPageBreak/>
        <w:t xml:space="preserve">APIR codes – SRS 101.0 requires financial sector entities to report certain items using </w:t>
      </w:r>
      <w:r w:rsidRPr="00624D94">
        <w:rPr>
          <w:rFonts w:ascii="Times New Roman" w:eastAsia="Times New Roman" w:hAnsi="Times New Roman" w:cs="Times New Roman"/>
          <w:color w:val="000000" w:themeColor="text1"/>
          <w:sz w:val="24"/>
          <w:szCs w:val="24"/>
        </w:rPr>
        <w:t xml:space="preserve">standard identifiers for Responsible Entities, </w:t>
      </w:r>
      <w:proofErr w:type="gramStart"/>
      <w:r w:rsidRPr="00624D94">
        <w:rPr>
          <w:rFonts w:ascii="Times New Roman" w:eastAsia="Times New Roman" w:hAnsi="Times New Roman" w:cs="Times New Roman"/>
          <w:color w:val="000000" w:themeColor="text1"/>
          <w:sz w:val="24"/>
          <w:szCs w:val="24"/>
        </w:rPr>
        <w:t>Trustees</w:t>
      </w:r>
      <w:proofErr w:type="gramEnd"/>
      <w:r w:rsidRPr="00624D94">
        <w:rPr>
          <w:rFonts w:ascii="Times New Roman" w:eastAsia="Times New Roman" w:hAnsi="Times New Roman" w:cs="Times New Roman"/>
          <w:color w:val="000000" w:themeColor="text1"/>
          <w:sz w:val="24"/>
          <w:szCs w:val="24"/>
        </w:rPr>
        <w:t xml:space="preserve"> and other participants in the Australian wealth management industry. </w:t>
      </w:r>
      <w:r w:rsidR="0C48D37B" w:rsidRPr="00624D94">
        <w:rPr>
          <w:rFonts w:ascii="Times New Roman" w:eastAsia="Times New Roman" w:hAnsi="Times New Roman" w:cs="Times New Roman"/>
          <w:color w:val="000000" w:themeColor="text1"/>
          <w:sz w:val="24"/>
          <w:szCs w:val="24"/>
        </w:rPr>
        <w:t xml:space="preserve">Financial Sector entities are </w:t>
      </w:r>
      <w:r w:rsidR="2BB807DD" w:rsidRPr="00624D94">
        <w:rPr>
          <w:rFonts w:ascii="Times New Roman" w:eastAsia="Times New Roman" w:hAnsi="Times New Roman" w:cs="Times New Roman"/>
          <w:color w:val="000000" w:themeColor="text1"/>
          <w:sz w:val="24"/>
          <w:szCs w:val="24"/>
        </w:rPr>
        <w:t xml:space="preserve">aware that information relevant to the APRI codes is freely available online with relevant links being available in the standard. </w:t>
      </w:r>
    </w:p>
    <w:p w14:paraId="66337E2E" w14:textId="77777777" w:rsidR="00344C85" w:rsidRDefault="00344C85" w:rsidP="00344C85">
      <w:pPr>
        <w:pStyle w:val="ListParagraph"/>
        <w:ind w:left="720"/>
        <w:rPr>
          <w:rFonts w:ascii="Times New Roman" w:eastAsia="Times New Roman" w:hAnsi="Times New Roman" w:cs="Times New Roman"/>
          <w:color w:val="000000" w:themeColor="text1"/>
          <w:sz w:val="24"/>
          <w:szCs w:val="24"/>
        </w:rPr>
      </w:pPr>
    </w:p>
    <w:p w14:paraId="7A183FB7" w14:textId="5AC8D8D6" w:rsidR="0DB276F9" w:rsidRPr="00624D94" w:rsidRDefault="0DB276F9" w:rsidP="00624D94">
      <w:pPr>
        <w:pStyle w:val="ListParagraph"/>
        <w:numPr>
          <w:ilvl w:val="0"/>
          <w:numId w:val="1"/>
        </w:numPr>
        <w:rPr>
          <w:rFonts w:ascii="Times New Roman" w:eastAsia="Times New Roman" w:hAnsi="Times New Roman" w:cs="Times New Roman"/>
          <w:color w:val="000000" w:themeColor="text1"/>
          <w:sz w:val="24"/>
          <w:szCs w:val="24"/>
        </w:rPr>
      </w:pPr>
      <w:r w:rsidRPr="00624D94">
        <w:rPr>
          <w:rFonts w:ascii="Times New Roman" w:eastAsia="Times New Roman" w:hAnsi="Times New Roman" w:cs="Times New Roman"/>
          <w:color w:val="000000" w:themeColor="text1"/>
          <w:sz w:val="24"/>
          <w:szCs w:val="24"/>
        </w:rPr>
        <w:t xml:space="preserve">Development Status Groups </w:t>
      </w:r>
      <w:r w:rsidR="7D9617D5" w:rsidRPr="00624D94">
        <w:rPr>
          <w:rFonts w:ascii="Times New Roman" w:eastAsia="Times New Roman" w:hAnsi="Times New Roman" w:cs="Times New Roman"/>
          <w:color w:val="000000" w:themeColor="text1"/>
          <w:sz w:val="24"/>
          <w:szCs w:val="24"/>
        </w:rPr>
        <w:t>c</w:t>
      </w:r>
      <w:r w:rsidRPr="00624D94">
        <w:rPr>
          <w:rFonts w:ascii="Times New Roman" w:eastAsia="Times New Roman" w:hAnsi="Times New Roman" w:cs="Times New Roman"/>
          <w:color w:val="000000" w:themeColor="text1"/>
          <w:sz w:val="24"/>
          <w:szCs w:val="24"/>
        </w:rPr>
        <w:t>lassification</w:t>
      </w:r>
      <w:r w:rsidR="682DAF89" w:rsidRPr="00624D94">
        <w:rPr>
          <w:rFonts w:ascii="Times New Roman" w:eastAsia="Times New Roman" w:hAnsi="Times New Roman" w:cs="Times New Roman"/>
          <w:color w:val="000000" w:themeColor="text1"/>
          <w:sz w:val="24"/>
          <w:szCs w:val="24"/>
        </w:rPr>
        <w:t xml:space="preserve"> – SRS</w:t>
      </w:r>
      <w:r w:rsidRPr="00624D94">
        <w:rPr>
          <w:rFonts w:ascii="Times New Roman" w:eastAsia="Times New Roman" w:hAnsi="Times New Roman" w:cs="Times New Roman"/>
          <w:color w:val="000000" w:themeColor="text1"/>
          <w:sz w:val="24"/>
          <w:szCs w:val="24"/>
        </w:rPr>
        <w:t xml:space="preserve"> </w:t>
      </w:r>
      <w:r w:rsidR="682DAF89" w:rsidRPr="00624D94">
        <w:rPr>
          <w:rFonts w:ascii="Times New Roman" w:eastAsia="Times New Roman" w:hAnsi="Times New Roman" w:cs="Times New Roman"/>
          <w:color w:val="000000" w:themeColor="text1"/>
          <w:sz w:val="24"/>
          <w:szCs w:val="24"/>
        </w:rPr>
        <w:t>101.0 requires financial sector entities to report against an economy’s classification agai</w:t>
      </w:r>
      <w:r w:rsidR="0EC042D8" w:rsidRPr="00624D94">
        <w:rPr>
          <w:rFonts w:ascii="Times New Roman" w:eastAsia="Times New Roman" w:hAnsi="Times New Roman" w:cs="Times New Roman"/>
          <w:color w:val="000000" w:themeColor="text1"/>
          <w:sz w:val="24"/>
          <w:szCs w:val="24"/>
        </w:rPr>
        <w:t>nst the Development Status Group Classification developed by the</w:t>
      </w:r>
      <w:r w:rsidR="682DAF89" w:rsidRPr="00624D94">
        <w:rPr>
          <w:rFonts w:ascii="Times New Roman" w:eastAsia="Times New Roman" w:hAnsi="Times New Roman" w:cs="Times New Roman"/>
          <w:color w:val="000000" w:themeColor="text1"/>
          <w:sz w:val="24"/>
          <w:szCs w:val="24"/>
        </w:rPr>
        <w:t xml:space="preserve"> </w:t>
      </w:r>
      <w:r w:rsidR="750CADAF" w:rsidRPr="00624D94">
        <w:rPr>
          <w:rFonts w:ascii="Times New Roman" w:eastAsia="Times New Roman" w:hAnsi="Times New Roman" w:cs="Times New Roman"/>
          <w:color w:val="000000" w:themeColor="text1"/>
          <w:sz w:val="24"/>
          <w:szCs w:val="24"/>
        </w:rPr>
        <w:t>United Nations Conference on Trade and Development (UNCTAD)</w:t>
      </w:r>
      <w:r w:rsidR="53478C4B" w:rsidRPr="00624D94">
        <w:rPr>
          <w:rFonts w:ascii="Times New Roman" w:eastAsia="Times New Roman" w:hAnsi="Times New Roman" w:cs="Times New Roman"/>
          <w:color w:val="000000" w:themeColor="text1"/>
          <w:sz w:val="24"/>
          <w:szCs w:val="24"/>
        </w:rPr>
        <w:t xml:space="preserve">. Financial Sector Entities are aware that in </w:t>
      </w:r>
      <w:r w:rsidR="00624D94">
        <w:rPr>
          <w:rFonts w:ascii="Times New Roman" w:eastAsia="Times New Roman" w:hAnsi="Times New Roman" w:cs="Times New Roman"/>
          <w:color w:val="000000" w:themeColor="text1"/>
          <w:sz w:val="24"/>
          <w:szCs w:val="24"/>
        </w:rPr>
        <w:t>infor</w:t>
      </w:r>
      <w:r w:rsidR="53478C4B" w:rsidRPr="00624D94">
        <w:rPr>
          <w:rFonts w:ascii="Times New Roman" w:eastAsia="Times New Roman" w:hAnsi="Times New Roman" w:cs="Times New Roman"/>
          <w:color w:val="000000" w:themeColor="text1"/>
          <w:sz w:val="24"/>
          <w:szCs w:val="24"/>
        </w:rPr>
        <w:t xml:space="preserve">mation relevant to the Development Status Group classification is freely available online </w:t>
      </w:r>
      <w:r w:rsidR="43FE2939" w:rsidRPr="00624D94">
        <w:rPr>
          <w:rFonts w:ascii="Times New Roman" w:eastAsia="Times New Roman" w:hAnsi="Times New Roman" w:cs="Times New Roman"/>
          <w:color w:val="000000" w:themeColor="text1"/>
          <w:sz w:val="24"/>
          <w:szCs w:val="24"/>
        </w:rPr>
        <w:t>with the</w:t>
      </w:r>
      <w:r w:rsidR="53478C4B" w:rsidRPr="00624D94">
        <w:rPr>
          <w:rFonts w:ascii="Times New Roman" w:eastAsia="Times New Roman" w:hAnsi="Times New Roman" w:cs="Times New Roman"/>
          <w:color w:val="000000" w:themeColor="text1"/>
          <w:sz w:val="24"/>
          <w:szCs w:val="24"/>
        </w:rPr>
        <w:t xml:space="preserve"> </w:t>
      </w:r>
      <w:r w:rsidR="43FE2939" w:rsidRPr="00624D94">
        <w:rPr>
          <w:rFonts w:ascii="Times New Roman" w:eastAsia="Times New Roman" w:hAnsi="Times New Roman" w:cs="Times New Roman"/>
          <w:color w:val="000000" w:themeColor="text1"/>
          <w:sz w:val="24"/>
          <w:szCs w:val="24"/>
        </w:rPr>
        <w:t xml:space="preserve">relevant links </w:t>
      </w:r>
      <w:r w:rsidR="00624D94" w:rsidRPr="00624D94">
        <w:rPr>
          <w:rFonts w:ascii="Times New Roman" w:eastAsia="Times New Roman" w:hAnsi="Times New Roman" w:cs="Times New Roman"/>
          <w:color w:val="000000" w:themeColor="text1"/>
          <w:sz w:val="24"/>
          <w:szCs w:val="24"/>
        </w:rPr>
        <w:t>available</w:t>
      </w:r>
      <w:r w:rsidR="43FE2939" w:rsidRPr="00624D94">
        <w:rPr>
          <w:rFonts w:ascii="Times New Roman" w:eastAsia="Times New Roman" w:hAnsi="Times New Roman" w:cs="Times New Roman"/>
          <w:color w:val="000000" w:themeColor="text1"/>
          <w:sz w:val="24"/>
          <w:szCs w:val="24"/>
        </w:rPr>
        <w:t xml:space="preserve"> in the standard</w:t>
      </w:r>
      <w:r w:rsidR="00946B99">
        <w:rPr>
          <w:rFonts w:ascii="Times New Roman" w:eastAsia="Times New Roman" w:hAnsi="Times New Roman" w:cs="Times New Roman"/>
          <w:color w:val="000000" w:themeColor="text1"/>
          <w:sz w:val="24"/>
          <w:szCs w:val="24"/>
        </w:rPr>
        <w:t xml:space="preserve">. The link is: </w:t>
      </w:r>
      <w:hyperlink r:id="rId16" w:history="1">
        <w:r w:rsidR="00B52217" w:rsidRPr="00B660BA">
          <w:rPr>
            <w:rStyle w:val="Hyperlink"/>
            <w:rFonts w:ascii="Times New Roman" w:hAnsi="Times New Roman" w:cs="Times New Roman"/>
            <w:sz w:val="24"/>
            <w:szCs w:val="24"/>
          </w:rPr>
          <w:t>https://unctadstat.unctad.org/en/classifications.html</w:t>
        </w:r>
      </w:hyperlink>
      <w:hyperlink r:id="rId17" w:history="1">
        <w:r>
          <w:rPr>
            <w:rStyle w:val="Hyperlink"/>
          </w:rPr>
          <w:t>https://www.apir.com.au/</w:t>
        </w:r>
      </w:hyperlink>
    </w:p>
    <w:p w14:paraId="7F636B94" w14:textId="2BBB294B" w:rsidR="000B58B8" w:rsidRPr="001A0B55" w:rsidRDefault="4916E05E" w:rsidP="750CADAF">
      <w:pPr>
        <w:rPr>
          <w:rFonts w:ascii="Times New Roman" w:eastAsia="Times New Roman" w:hAnsi="Times New Roman" w:cs="Times New Roman"/>
          <w:color w:val="000000" w:themeColor="text1"/>
          <w:sz w:val="24"/>
          <w:szCs w:val="24"/>
        </w:rPr>
      </w:pPr>
      <w:r w:rsidRPr="5246326F">
        <w:rPr>
          <w:rFonts w:ascii="Times New Roman" w:eastAsia="Times New Roman" w:hAnsi="Times New Roman" w:cs="Times New Roman"/>
          <w:color w:val="000000" w:themeColor="text1"/>
          <w:sz w:val="24"/>
          <w:szCs w:val="24"/>
        </w:rPr>
        <w:t>The contents of these standards are not relevant to the understanding SRS 101.0 and accordingly SRS 101.0 does not incorporate by reference the contents of these standards.</w:t>
      </w:r>
    </w:p>
    <w:p w14:paraId="123A2B9C" w14:textId="616BD1D2" w:rsidR="00691661" w:rsidRDefault="00691661" w:rsidP="00691661">
      <w:p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27CA3367" w14:textId="4B39BAF5" w:rsidR="00691661" w:rsidRPr="00C829E7" w:rsidRDefault="004D0531" w:rsidP="00C829E7">
      <w:pPr>
        <w:rPr>
          <w:rFonts w:ascii="Times New Roman" w:eastAsia="Times New Roman" w:hAnsi="Times New Roman" w:cs="Times New Roman"/>
          <w:color w:val="000000" w:themeColor="text1"/>
          <w:sz w:val="24"/>
          <w:szCs w:val="24"/>
        </w:rPr>
      </w:pPr>
      <w:r>
        <w:rPr>
          <w:rFonts w:ascii="Times New Roman" w:hAnsi="Times New Roman"/>
          <w:sz w:val="24"/>
          <w:szCs w:val="24"/>
        </w:rPr>
        <w:t>In November 2022</w:t>
      </w:r>
      <w:r w:rsidR="00C829E7">
        <w:rPr>
          <w:rFonts w:ascii="Times New Roman" w:hAnsi="Times New Roman"/>
          <w:sz w:val="24"/>
          <w:szCs w:val="24"/>
        </w:rPr>
        <w:t xml:space="preserve">, </w:t>
      </w:r>
      <w:r w:rsidR="3499D831" w:rsidRPr="00C829E7">
        <w:rPr>
          <w:rFonts w:ascii="Times New Roman" w:eastAsia="Times New Roman" w:hAnsi="Times New Roman" w:cs="Times New Roman"/>
          <w:color w:val="000000" w:themeColor="text1"/>
          <w:sz w:val="24"/>
          <w:szCs w:val="24"/>
        </w:rPr>
        <w:t xml:space="preserve">APRA released </w:t>
      </w:r>
      <w:r w:rsidR="00C829E7" w:rsidRPr="00C829E7">
        <w:rPr>
          <w:rFonts w:ascii="Times New Roman" w:eastAsia="Times New Roman" w:hAnsi="Times New Roman" w:cs="Times New Roman"/>
          <w:color w:val="000000" w:themeColor="text1"/>
          <w:sz w:val="24"/>
          <w:szCs w:val="24"/>
        </w:rPr>
        <w:t xml:space="preserve">publicly, </w:t>
      </w:r>
      <w:r w:rsidR="3499D831" w:rsidRPr="00C829E7">
        <w:rPr>
          <w:rFonts w:ascii="Times New Roman" w:eastAsia="Times New Roman" w:hAnsi="Times New Roman" w:cs="Times New Roman"/>
          <w:color w:val="000000" w:themeColor="text1"/>
          <w:sz w:val="24"/>
          <w:szCs w:val="24"/>
        </w:rPr>
        <w:t>the consultation package on reporting requirements for the minor amendments to SDT Phase 1 reporting.</w:t>
      </w:r>
      <w:r w:rsidR="00A60393">
        <w:rPr>
          <w:rFonts w:ascii="Times New Roman" w:eastAsia="Times New Roman" w:hAnsi="Times New Roman" w:cs="Times New Roman"/>
          <w:color w:val="000000" w:themeColor="text1"/>
          <w:sz w:val="24"/>
          <w:szCs w:val="24"/>
        </w:rPr>
        <w:t xml:space="preserve"> </w:t>
      </w:r>
      <w:r w:rsidR="00A60393">
        <w:rPr>
          <w:rStyle w:val="FootnoteReference"/>
          <w:rFonts w:ascii="Times New Roman" w:eastAsia="Times New Roman" w:hAnsi="Times New Roman" w:cs="Times New Roman"/>
          <w:color w:val="000000" w:themeColor="text1"/>
          <w:szCs w:val="24"/>
        </w:rPr>
        <w:footnoteReference w:id="2"/>
      </w:r>
    </w:p>
    <w:p w14:paraId="1322B942" w14:textId="0E657738" w:rsidR="00691661" w:rsidRPr="00444162" w:rsidRDefault="00691661" w:rsidP="00B00689">
      <w:pPr>
        <w:pStyle w:val="Heading"/>
        <w:keepNext w:val="0"/>
        <w:tabs>
          <w:tab w:val="left" w:pos="360"/>
        </w:tabs>
        <w:spacing w:before="0" w:after="240"/>
        <w:jc w:val="both"/>
        <w:outlineLvl w:val="9"/>
        <w:rPr>
          <w:b w:val="0"/>
          <w:sz w:val="24"/>
          <w:szCs w:val="24"/>
        </w:rPr>
      </w:pPr>
      <w:r w:rsidRPr="00C829E7">
        <w:rPr>
          <w:rFonts w:cs="Times New Roman"/>
          <w:b w:val="0"/>
          <w:color w:val="000000" w:themeColor="text1"/>
          <w:kern w:val="0"/>
          <w:sz w:val="24"/>
          <w:szCs w:val="24"/>
        </w:rPr>
        <w:t>APRA held two roundtable consultation sessions</w:t>
      </w:r>
      <w:r w:rsidR="00B00689">
        <w:rPr>
          <w:rFonts w:cs="Times New Roman"/>
          <w:b w:val="0"/>
          <w:color w:val="000000" w:themeColor="text1"/>
          <w:kern w:val="0"/>
          <w:sz w:val="24"/>
          <w:szCs w:val="24"/>
        </w:rPr>
        <w:t>,</w:t>
      </w:r>
      <w:r w:rsidRPr="00C829E7">
        <w:rPr>
          <w:rFonts w:cs="Times New Roman"/>
          <w:b w:val="0"/>
          <w:color w:val="000000" w:themeColor="text1"/>
          <w:kern w:val="0"/>
          <w:sz w:val="24"/>
          <w:szCs w:val="24"/>
        </w:rPr>
        <w:t xml:space="preserve"> two working group meetings with industry,</w:t>
      </w:r>
      <w:r w:rsidR="00B00689">
        <w:rPr>
          <w:rFonts w:cs="Times New Roman"/>
          <w:b w:val="0"/>
          <w:color w:val="000000" w:themeColor="text1"/>
          <w:kern w:val="0"/>
          <w:sz w:val="24"/>
          <w:szCs w:val="24"/>
        </w:rPr>
        <w:t xml:space="preserve"> </w:t>
      </w:r>
      <w:r w:rsidRPr="00C829E7">
        <w:rPr>
          <w:rFonts w:cs="Times New Roman"/>
          <w:b w:val="0"/>
          <w:color w:val="000000" w:themeColor="text1"/>
          <w:kern w:val="0"/>
          <w:sz w:val="24"/>
          <w:szCs w:val="24"/>
        </w:rPr>
        <w:t>informal meetings with RSE licensees and released frequently asked questions (FAQs) and worked examples to address and provide clarification on issues</w:t>
      </w:r>
      <w:r w:rsidRPr="00444162">
        <w:rPr>
          <w:b w:val="0"/>
          <w:sz w:val="24"/>
          <w:szCs w:val="24"/>
        </w:rPr>
        <w:t xml:space="preserve"> raised by industry stakeholders.</w:t>
      </w:r>
    </w:p>
    <w:p w14:paraId="11273E6A" w14:textId="2138BABE" w:rsidR="00E62237" w:rsidRDefault="00B00689" w:rsidP="00B00689">
      <w:pPr>
        <w:pStyle w:val="Heading"/>
        <w:keepNext w:val="0"/>
        <w:tabs>
          <w:tab w:val="left" w:pos="360"/>
        </w:tabs>
        <w:spacing w:before="0" w:after="240"/>
        <w:jc w:val="both"/>
        <w:outlineLvl w:val="9"/>
      </w:pPr>
      <w:r>
        <w:rPr>
          <w:b w:val="0"/>
          <w:sz w:val="24"/>
          <w:szCs w:val="24"/>
        </w:rPr>
        <w:t>Submissions were</w:t>
      </w:r>
      <w:r w:rsidR="00691661">
        <w:rPr>
          <w:b w:val="0"/>
          <w:sz w:val="24"/>
          <w:szCs w:val="24"/>
        </w:rPr>
        <w:t xml:space="preserve"> received </w:t>
      </w:r>
      <w:r>
        <w:rPr>
          <w:b w:val="0"/>
          <w:sz w:val="24"/>
          <w:szCs w:val="24"/>
        </w:rPr>
        <w:t>from RSE licensees</w:t>
      </w:r>
      <w:r w:rsidR="00E62237">
        <w:rPr>
          <w:b w:val="0"/>
          <w:sz w:val="24"/>
          <w:szCs w:val="24"/>
        </w:rPr>
        <w:t xml:space="preserve"> and industry bodies</w:t>
      </w:r>
      <w:r w:rsidR="00691661">
        <w:rPr>
          <w:b w:val="0"/>
          <w:sz w:val="24"/>
          <w:szCs w:val="24"/>
        </w:rPr>
        <w:t xml:space="preserve"> in response to the consultation package.</w:t>
      </w:r>
      <w:r w:rsidR="00691661" w:rsidRPr="004015E8">
        <w:rPr>
          <w:b w:val="0"/>
          <w:sz w:val="24"/>
          <w:szCs w:val="24"/>
        </w:rPr>
        <w:t xml:space="preserve"> These</w:t>
      </w:r>
      <w:r w:rsidR="00691661">
        <w:rPr>
          <w:b w:val="0"/>
          <w:sz w:val="24"/>
          <w:szCs w:val="24"/>
        </w:rPr>
        <w:t xml:space="preserve"> were</w:t>
      </w:r>
      <w:r w:rsidR="00691661" w:rsidRPr="004015E8">
        <w:rPr>
          <w:b w:val="0"/>
          <w:sz w:val="24"/>
          <w:szCs w:val="24"/>
        </w:rPr>
        <w:t xml:space="preserve"> valuable in assessing whether the data w</w:t>
      </w:r>
      <w:r w:rsidR="00691661">
        <w:rPr>
          <w:b w:val="0"/>
          <w:sz w:val="24"/>
          <w:szCs w:val="24"/>
        </w:rPr>
        <w:t>ould</w:t>
      </w:r>
      <w:r w:rsidR="00691661" w:rsidRPr="004015E8">
        <w:rPr>
          <w:b w:val="0"/>
          <w:sz w:val="24"/>
          <w:szCs w:val="24"/>
        </w:rPr>
        <w:t xml:space="preserve"> meet the objectives of the SDT project, highlighting the practical issues that RSE licensees may experience in reporting and where additional guidance or improvements to definitions were requir</w:t>
      </w:r>
      <w:r w:rsidR="00C16053">
        <w:rPr>
          <w:b w:val="0"/>
          <w:sz w:val="24"/>
          <w:szCs w:val="24"/>
        </w:rPr>
        <w:t>ed.</w:t>
      </w:r>
    </w:p>
    <w:p w14:paraId="3629CD5A" w14:textId="77BBF3F9" w:rsidR="00691661" w:rsidRDefault="00F36C2A" w:rsidP="00B00689">
      <w:pPr>
        <w:pStyle w:val="Heading"/>
        <w:keepNext w:val="0"/>
        <w:tabs>
          <w:tab w:val="left" w:pos="360"/>
        </w:tabs>
        <w:spacing w:before="0" w:after="240"/>
        <w:jc w:val="both"/>
        <w:outlineLvl w:val="9"/>
        <w:rPr>
          <w:b w:val="0"/>
          <w:sz w:val="24"/>
          <w:szCs w:val="24"/>
        </w:rPr>
      </w:pPr>
      <w:r>
        <w:rPr>
          <w:b w:val="0"/>
          <w:sz w:val="24"/>
          <w:szCs w:val="24"/>
        </w:rPr>
        <w:t xml:space="preserve">In March 2023, </w:t>
      </w:r>
      <w:r w:rsidR="00E62237" w:rsidRPr="00E62237">
        <w:rPr>
          <w:b w:val="0"/>
          <w:sz w:val="24"/>
          <w:szCs w:val="24"/>
        </w:rPr>
        <w:t xml:space="preserve">APRA </w:t>
      </w:r>
      <w:r>
        <w:rPr>
          <w:b w:val="0"/>
          <w:sz w:val="24"/>
          <w:szCs w:val="24"/>
        </w:rPr>
        <w:t xml:space="preserve">released a response to consultation, </w:t>
      </w:r>
      <w:r w:rsidR="00E62237" w:rsidRPr="00E62237">
        <w:rPr>
          <w:b w:val="0"/>
          <w:sz w:val="24"/>
          <w:szCs w:val="24"/>
        </w:rPr>
        <w:t>incorporat</w:t>
      </w:r>
      <w:r>
        <w:rPr>
          <w:b w:val="0"/>
          <w:sz w:val="24"/>
          <w:szCs w:val="24"/>
        </w:rPr>
        <w:t>ing</w:t>
      </w:r>
      <w:r w:rsidR="00E62237" w:rsidRPr="00E62237">
        <w:rPr>
          <w:b w:val="0"/>
          <w:sz w:val="24"/>
          <w:szCs w:val="24"/>
        </w:rPr>
        <w:t xml:space="preserve"> </w:t>
      </w:r>
      <w:r>
        <w:rPr>
          <w:b w:val="0"/>
          <w:sz w:val="24"/>
          <w:szCs w:val="24"/>
        </w:rPr>
        <w:t xml:space="preserve">the </w:t>
      </w:r>
      <w:r w:rsidR="00E62237" w:rsidRPr="00E62237">
        <w:rPr>
          <w:b w:val="0"/>
          <w:sz w:val="24"/>
          <w:szCs w:val="24"/>
        </w:rPr>
        <w:t xml:space="preserve">feedback received </w:t>
      </w:r>
      <w:r w:rsidR="003907CB">
        <w:rPr>
          <w:b w:val="0"/>
          <w:sz w:val="24"/>
          <w:szCs w:val="24"/>
        </w:rPr>
        <w:t xml:space="preserve">from industry </w:t>
      </w:r>
      <w:r w:rsidR="00E62237" w:rsidRPr="00E62237">
        <w:rPr>
          <w:b w:val="0"/>
          <w:sz w:val="24"/>
          <w:szCs w:val="24"/>
        </w:rPr>
        <w:t>into the final versions of the reporting standards, adding clarification to reporting instructions and forms, and simplifying some reporting requirement</w:t>
      </w:r>
      <w:r>
        <w:rPr>
          <w:b w:val="0"/>
          <w:sz w:val="24"/>
          <w:szCs w:val="24"/>
        </w:rPr>
        <w:t>s.</w:t>
      </w:r>
    </w:p>
    <w:p w14:paraId="1FE5F9B1" w14:textId="24D06BED" w:rsidR="00B74F21" w:rsidRDefault="00691661" w:rsidP="00691661">
      <w:pPr>
        <w:rPr>
          <w:rFonts w:ascii="Times New Roman" w:eastAsia="Times New Roman" w:hAnsi="Times New Roman" w:cs="Arial"/>
          <w:color w:val="auto"/>
          <w:kern w:val="32"/>
          <w:sz w:val="24"/>
          <w:szCs w:val="24"/>
        </w:rPr>
      </w:pPr>
      <w:r w:rsidRPr="009D33FC">
        <w:rPr>
          <w:rFonts w:ascii="Times New Roman" w:eastAsia="Times New Roman" w:hAnsi="Times New Roman" w:cs="Arial"/>
          <w:color w:val="auto"/>
          <w:kern w:val="32"/>
          <w:sz w:val="24"/>
          <w:szCs w:val="24"/>
        </w:rPr>
        <w:t>APRA is satisfied the consultation was appropriate and reasonably practicable.</w:t>
      </w:r>
    </w:p>
    <w:p w14:paraId="11BB95B1" w14:textId="77777777" w:rsidR="00691661" w:rsidRDefault="00691661" w:rsidP="00691661">
      <w:p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t>Regulation Impact Statement</w:t>
      </w:r>
    </w:p>
    <w:p w14:paraId="646A58C0" w14:textId="77777777" w:rsidR="00691661" w:rsidRPr="00C01CF4" w:rsidRDefault="00691661" w:rsidP="00691661">
      <w:pPr>
        <w:rPr>
          <w:rFonts w:ascii="Times New Roman" w:hAnsi="Times New Roman"/>
          <w:sz w:val="24"/>
          <w:szCs w:val="24"/>
        </w:rPr>
      </w:pPr>
      <w:r w:rsidRPr="00C01CF4">
        <w:rPr>
          <w:rFonts w:ascii="Times New Roman" w:hAnsi="Times New Roman"/>
          <w:sz w:val="24"/>
          <w:szCs w:val="24"/>
        </w:rPr>
        <w:t>The Office of Impact Analysis advised that a Regulatory Impact Statement was not required for the SDT minor amendments to Phase 1 reporting standards.</w:t>
      </w:r>
    </w:p>
    <w:p w14:paraId="5EDBB974" w14:textId="77777777" w:rsidR="00691661" w:rsidRPr="00DE1106" w:rsidRDefault="00691661" w:rsidP="00691661">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2E669313" w14:textId="77777777" w:rsidR="00691661" w:rsidRPr="00D5162F" w:rsidRDefault="00691661" w:rsidP="00691661">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3E8997A8" w14:textId="77777777" w:rsidR="00754147" w:rsidRPr="00027DDB" w:rsidRDefault="00754147" w:rsidP="00754147">
      <w:pPr>
        <w:rPr>
          <w:rFonts w:ascii="Times New Roman" w:hAnsi="Times New Roman" w:cs="Times New Roman"/>
          <w:b/>
          <w:sz w:val="24"/>
          <w:szCs w:val="24"/>
        </w:rPr>
      </w:pPr>
      <w:r>
        <w:rPr>
          <w:rFonts w:ascii="Times New Roman" w:hAnsi="Times New Roman" w:cs="Times New Roman"/>
          <w:b/>
          <w:sz w:val="24"/>
          <w:szCs w:val="24"/>
        </w:rPr>
        <w:t>6</w:t>
      </w:r>
      <w:r w:rsidRPr="00BC1E70">
        <w:rPr>
          <w:rFonts w:ascii="Times New Roman" w:hAnsi="Times New Roman" w:cs="Times New Roman"/>
          <w:b/>
          <w:sz w:val="24"/>
          <w:szCs w:val="24"/>
        </w:rPr>
        <w:t>.</w:t>
      </w:r>
      <w:r w:rsidRPr="00BC1E70">
        <w:rPr>
          <w:rFonts w:ascii="Times New Roman" w:hAnsi="Times New Roman" w:cs="Times New Roman"/>
          <w:b/>
          <w:sz w:val="24"/>
          <w:szCs w:val="24"/>
        </w:rPr>
        <w:tab/>
      </w:r>
      <w:r w:rsidRPr="00027DDB">
        <w:rPr>
          <w:rFonts w:ascii="Times New Roman" w:hAnsi="Times New Roman" w:cs="Times New Roman"/>
          <w:b/>
          <w:color w:val="auto"/>
          <w:sz w:val="24"/>
          <w:szCs w:val="24"/>
        </w:rPr>
        <w:t>Legislative instruments – disallowance and sunsetting</w:t>
      </w:r>
    </w:p>
    <w:p w14:paraId="3F8BCFE3" w14:textId="23BC434F" w:rsidR="00754147" w:rsidRPr="00C72A0F" w:rsidRDefault="00754147" w:rsidP="00754147">
      <w:pPr>
        <w:pStyle w:val="Heading"/>
        <w:spacing w:before="0" w:after="240"/>
        <w:jc w:val="both"/>
        <w:rPr>
          <w:rFonts w:cs="Times New Roman"/>
          <w:b w:val="0"/>
          <w:sz w:val="24"/>
          <w:szCs w:val="24"/>
        </w:rPr>
      </w:pPr>
      <w:r w:rsidRPr="00C72A0F">
        <w:rPr>
          <w:rFonts w:cs="Times New Roman"/>
          <w:b w:val="0"/>
          <w:sz w:val="24"/>
          <w:szCs w:val="24"/>
        </w:rPr>
        <w:t>The instrument is a legislative instrument for the purposes of the </w:t>
      </w:r>
      <w:r w:rsidRPr="00344C85">
        <w:rPr>
          <w:rFonts w:cs="Times New Roman"/>
          <w:b w:val="0"/>
          <w:i/>
          <w:sz w:val="24"/>
          <w:szCs w:val="24"/>
        </w:rPr>
        <w:t>Legislation Act 2003</w:t>
      </w:r>
      <w:r w:rsidRPr="00C72A0F">
        <w:rPr>
          <w:rFonts w:cs="Times New Roman"/>
          <w:b w:val="0"/>
          <w:sz w:val="24"/>
          <w:szCs w:val="24"/>
        </w:rPr>
        <w:t> (</w:t>
      </w:r>
      <w:r w:rsidRPr="003541C2">
        <w:rPr>
          <w:rFonts w:cs="Times New Roman"/>
          <w:b w:val="0"/>
          <w:sz w:val="24"/>
          <w:szCs w:val="24"/>
        </w:rPr>
        <w:t>Legislation Act). In accordance with section 44 of the Legislation Act and item 3 in paragraphs 9 and item 6 in paragraph 11 of the</w:t>
      </w:r>
      <w:r w:rsidRPr="003541C2">
        <w:rPr>
          <w:rFonts w:cs="Times New Roman"/>
          <w:b w:val="0"/>
          <w:i/>
          <w:sz w:val="24"/>
          <w:szCs w:val="24"/>
        </w:rPr>
        <w:t> </w:t>
      </w:r>
      <w:bookmarkStart w:id="4" w:name="_Hlk103856226"/>
      <w:r w:rsidRPr="003541C2">
        <w:rPr>
          <w:rFonts w:cs="Times New Roman"/>
          <w:b w:val="0"/>
          <w:i/>
          <w:sz w:val="24"/>
          <w:szCs w:val="24"/>
        </w:rPr>
        <w:t>Legislation (Exemptions and Other Matters) Regulation 2015</w:t>
      </w:r>
      <w:r w:rsidRPr="003541C2">
        <w:rPr>
          <w:rFonts w:cs="Times New Roman"/>
          <w:b w:val="0"/>
          <w:sz w:val="24"/>
          <w:szCs w:val="24"/>
        </w:rPr>
        <w:t> </w:t>
      </w:r>
      <w:bookmarkEnd w:id="4"/>
      <w:r w:rsidRPr="003541C2">
        <w:rPr>
          <w:rFonts w:cs="Times New Roman"/>
          <w:b w:val="0"/>
          <w:sz w:val="24"/>
          <w:szCs w:val="24"/>
        </w:rPr>
        <w:t xml:space="preserve">(Legislation Regulation), the instrument </w:t>
      </w:r>
      <w:r w:rsidR="2F599283" w:rsidRPr="003541C2">
        <w:rPr>
          <w:rFonts w:cs="Times New Roman"/>
          <w:b w:val="0"/>
          <w:sz w:val="24"/>
          <w:szCs w:val="24"/>
        </w:rPr>
        <w:t>is</w:t>
      </w:r>
      <w:r w:rsidRPr="003541C2">
        <w:rPr>
          <w:rFonts w:cs="Times New Roman"/>
          <w:b w:val="0"/>
          <w:sz w:val="24"/>
          <w:szCs w:val="24"/>
        </w:rPr>
        <w:t xml:space="preserve"> not subject to disallowance or sunsetting under the Legislation Act on the grounds that the instrument </w:t>
      </w:r>
      <w:r w:rsidR="522F69AE" w:rsidRPr="003541C2">
        <w:rPr>
          <w:rFonts w:cs="Times New Roman"/>
          <w:b w:val="0"/>
          <w:sz w:val="24"/>
          <w:szCs w:val="24"/>
        </w:rPr>
        <w:t>relate</w:t>
      </w:r>
      <w:r w:rsidR="68D4E055" w:rsidRPr="003541C2">
        <w:rPr>
          <w:rFonts w:cs="Times New Roman"/>
          <w:b w:val="0"/>
          <w:sz w:val="24"/>
          <w:szCs w:val="24"/>
        </w:rPr>
        <w:t>s</w:t>
      </w:r>
      <w:r w:rsidRPr="003541C2">
        <w:rPr>
          <w:rFonts w:cs="Times New Roman"/>
          <w:b w:val="0"/>
          <w:sz w:val="24"/>
          <w:szCs w:val="24"/>
        </w:rPr>
        <w:t xml:space="preserve"> to superannuation. The instrument </w:t>
      </w:r>
      <w:r w:rsidR="446BBFB2" w:rsidRPr="003541C2">
        <w:rPr>
          <w:rFonts w:cs="Times New Roman"/>
          <w:b w:val="0"/>
          <w:sz w:val="24"/>
          <w:szCs w:val="24"/>
        </w:rPr>
        <w:t>is a</w:t>
      </w:r>
      <w:r w:rsidRPr="003541C2">
        <w:rPr>
          <w:rFonts w:cs="Times New Roman"/>
          <w:b w:val="0"/>
          <w:sz w:val="24"/>
          <w:szCs w:val="24"/>
        </w:rPr>
        <w:t xml:space="preserve"> reporting </w:t>
      </w:r>
      <w:r w:rsidR="522F69AE" w:rsidRPr="003541C2">
        <w:rPr>
          <w:rFonts w:cs="Times New Roman"/>
          <w:b w:val="0"/>
          <w:sz w:val="24"/>
          <w:szCs w:val="24"/>
        </w:rPr>
        <w:t>standar</w:t>
      </w:r>
      <w:r w:rsidR="5F11CDB3" w:rsidRPr="003541C2">
        <w:rPr>
          <w:rFonts w:cs="Times New Roman"/>
          <w:b w:val="0"/>
          <w:sz w:val="24"/>
          <w:szCs w:val="24"/>
        </w:rPr>
        <w:t>d</w:t>
      </w:r>
      <w:r w:rsidRPr="003541C2">
        <w:rPr>
          <w:rFonts w:cs="Times New Roman"/>
          <w:b w:val="0"/>
          <w:sz w:val="24"/>
          <w:szCs w:val="24"/>
        </w:rPr>
        <w:t>, which require registrable superannuation entity (RSE)</w:t>
      </w:r>
      <w:r w:rsidRPr="00C72A0F">
        <w:rPr>
          <w:rFonts w:cs="Times New Roman"/>
          <w:b w:val="0"/>
          <w:sz w:val="24"/>
          <w:szCs w:val="24"/>
        </w:rPr>
        <w:t xml:space="preserve"> licensees to provide information to APRA about their superannuation businesses and activities. The Explanatory Statement to the Legislation Regulation states:</w:t>
      </w:r>
    </w:p>
    <w:p w14:paraId="71B318B8" w14:textId="77777777" w:rsidR="00754147" w:rsidRPr="00713D80" w:rsidRDefault="00754147" w:rsidP="00344C85">
      <w:pPr>
        <w:pStyle w:val="Heading"/>
        <w:spacing w:before="0" w:after="240"/>
        <w:ind w:left="425"/>
        <w:jc w:val="both"/>
        <w:rPr>
          <w:rFonts w:cs="Times New Roman"/>
          <w:b w:val="0"/>
          <w:i/>
          <w:sz w:val="24"/>
          <w:szCs w:val="24"/>
        </w:rPr>
      </w:pPr>
      <w:r w:rsidRPr="00713D80">
        <w:rPr>
          <w:rFonts w:cs="Times New Roman"/>
          <w:b w:val="0"/>
          <w:i/>
          <w:sz w:val="24"/>
          <w:szCs w:val="24"/>
        </w:rPr>
        <w:t>“Item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p>
    <w:p w14:paraId="7EC84233" w14:textId="77777777" w:rsidR="00754147" w:rsidRPr="00713D80" w:rsidRDefault="00754147" w:rsidP="00344C85">
      <w:pPr>
        <w:pStyle w:val="Heading"/>
        <w:spacing w:before="0" w:after="240"/>
        <w:ind w:left="425"/>
        <w:jc w:val="both"/>
        <w:rPr>
          <w:rFonts w:cs="Times New Roman"/>
          <w:b w:val="0"/>
          <w:i/>
          <w:sz w:val="24"/>
          <w:szCs w:val="24"/>
        </w:rPr>
      </w:pPr>
      <w:r w:rsidRPr="00713D80">
        <w:rPr>
          <w:rFonts w:cs="Times New Roman"/>
          <w:b w:val="0"/>
          <w:i/>
          <w:sz w:val="24"/>
          <w:szCs w:val="24"/>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63A0AC5D" w14:textId="77777777" w:rsidR="00754147" w:rsidRDefault="00754147" w:rsidP="00754147">
      <w:pPr>
        <w:pStyle w:val="Heading"/>
        <w:spacing w:before="0" w:after="240"/>
        <w:jc w:val="both"/>
        <w:rPr>
          <w:rFonts w:cs="Times New Roman"/>
          <w:b w:val="0"/>
          <w:sz w:val="24"/>
          <w:szCs w:val="24"/>
        </w:rPr>
      </w:pPr>
      <w:r w:rsidRPr="00C72A0F">
        <w:rPr>
          <w:rFonts w:cs="Times New Roman"/>
          <w:b w:val="0"/>
          <w:sz w:val="24"/>
          <w:szCs w:val="24"/>
        </w:rPr>
        <w:t>As detailed above, extensive consultation with industry stakeholders occurred prior to the finalisation of the instrument. APRA conducts regular reviews on its reporting standards, which range from post-implementation reviews to targeted reviews of specific standards or aspects of standards. </w:t>
      </w:r>
    </w:p>
    <w:p w14:paraId="06190B02" w14:textId="7103EC35" w:rsidR="00B670E9" w:rsidRDefault="00B670E9" w:rsidP="00A34ADD">
      <w:pPr>
        <w:rPr>
          <w:rFonts w:ascii="Times New Roman" w:hAnsi="Times New Roman" w:cs="Times New Roman"/>
          <w:sz w:val="24"/>
          <w:szCs w:val="24"/>
        </w:rPr>
      </w:pPr>
    </w:p>
    <w:p w14:paraId="7E2F0DC9" w14:textId="77777777" w:rsidR="006D240D" w:rsidRDefault="006D240D" w:rsidP="00A34ADD">
      <w:pPr>
        <w:rPr>
          <w:rFonts w:ascii="Times New Roman" w:hAnsi="Times New Roman" w:cs="Times New Roman"/>
          <w:sz w:val="24"/>
          <w:szCs w:val="24"/>
        </w:rPr>
      </w:pPr>
    </w:p>
    <w:p w14:paraId="6148C6DF" w14:textId="77777777" w:rsidR="006D240D" w:rsidRDefault="006D240D" w:rsidP="00A34ADD">
      <w:pPr>
        <w:rPr>
          <w:rFonts w:ascii="Times New Roman" w:hAnsi="Times New Roman" w:cs="Times New Roman"/>
          <w:sz w:val="24"/>
          <w:szCs w:val="24"/>
        </w:rPr>
      </w:pPr>
    </w:p>
    <w:p w14:paraId="316B0F97" w14:textId="77777777" w:rsidR="006D240D" w:rsidRDefault="006D240D" w:rsidP="00A34ADD">
      <w:pPr>
        <w:rPr>
          <w:rFonts w:ascii="Times New Roman" w:hAnsi="Times New Roman" w:cs="Times New Roman"/>
          <w:sz w:val="24"/>
          <w:szCs w:val="24"/>
        </w:rPr>
      </w:pPr>
    </w:p>
    <w:p w14:paraId="0ED02BFD" w14:textId="77777777" w:rsidR="006D240D" w:rsidRDefault="006D240D" w:rsidP="00A34ADD">
      <w:pPr>
        <w:rPr>
          <w:rFonts w:ascii="Times New Roman" w:hAnsi="Times New Roman" w:cs="Times New Roman"/>
          <w:sz w:val="24"/>
          <w:szCs w:val="24"/>
        </w:rPr>
      </w:pPr>
    </w:p>
    <w:p w14:paraId="50CC5EB2" w14:textId="79C21096" w:rsidR="006D240D" w:rsidRDefault="006D240D" w:rsidP="00A34ADD">
      <w:pPr>
        <w:rPr>
          <w:rFonts w:ascii="Times New Roman" w:hAnsi="Times New Roman" w:cs="Times New Roman"/>
          <w:sz w:val="24"/>
          <w:szCs w:val="24"/>
        </w:rPr>
      </w:pPr>
    </w:p>
    <w:p w14:paraId="250334F8" w14:textId="0713C5EB" w:rsidR="00344C85" w:rsidRDefault="00344C85" w:rsidP="00A34ADD">
      <w:pPr>
        <w:rPr>
          <w:rFonts w:ascii="Times New Roman" w:hAnsi="Times New Roman" w:cs="Times New Roman"/>
          <w:sz w:val="24"/>
          <w:szCs w:val="24"/>
        </w:rPr>
      </w:pPr>
    </w:p>
    <w:p w14:paraId="1C9C8836" w14:textId="3C22502A" w:rsidR="00344C85" w:rsidRDefault="00344C85" w:rsidP="00A34ADD">
      <w:pPr>
        <w:rPr>
          <w:rFonts w:ascii="Times New Roman" w:hAnsi="Times New Roman" w:cs="Times New Roman"/>
          <w:sz w:val="24"/>
          <w:szCs w:val="24"/>
        </w:rPr>
      </w:pPr>
    </w:p>
    <w:p w14:paraId="0B6A3F37" w14:textId="77777777" w:rsidR="00344C85" w:rsidRPr="000A1A15" w:rsidRDefault="00344C85" w:rsidP="00A34ADD">
      <w:pPr>
        <w:rPr>
          <w:rFonts w:ascii="Times New Roman" w:hAnsi="Times New Roman" w:cs="Times New Roman"/>
          <w:sz w:val="24"/>
          <w:szCs w:val="24"/>
        </w:rPr>
      </w:pP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2563F2C9"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0002189B">
        <w:rPr>
          <w:rFonts w:ascii="Times New Roman" w:eastAsia="Times New Roman" w:hAnsi="Times New Roman" w:cs="Times New Roman"/>
          <w:b/>
          <w:sz w:val="24"/>
          <w:szCs w:val="24"/>
          <w:lang w:eastAsia="en-AU"/>
        </w:rPr>
        <w:t>39</w:t>
      </w:r>
      <w:r w:rsidRPr="008234D8">
        <w:rPr>
          <w:rFonts w:ascii="Times New Roman" w:eastAsia="Times New Roman" w:hAnsi="Times New Roman" w:cs="Times New Roman"/>
          <w:b/>
          <w:sz w:val="24"/>
          <w:szCs w:val="24"/>
          <w:lang w:eastAsia="en-AU"/>
        </w:rPr>
        <w:t xml:space="preserve"> of 202</w:t>
      </w:r>
      <w:r w:rsidR="006B76C6">
        <w:rPr>
          <w:rFonts w:ascii="Times New Roman" w:eastAsia="Times New Roman" w:hAnsi="Times New Roman" w:cs="Times New Roman"/>
          <w:b/>
          <w:sz w:val="24"/>
          <w:szCs w:val="24"/>
          <w:lang w:eastAsia="en-AU"/>
        </w:rPr>
        <w:t>3</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68C66625" w14:textId="496FF2D0" w:rsidR="0002189B" w:rsidRPr="0002189B" w:rsidRDefault="00CD1253" w:rsidP="0002189B">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D56D61">
        <w:rPr>
          <w:rFonts w:ascii="Times New Roman" w:hAnsi="Times New Roman" w:cs="Times New Roman"/>
          <w:sz w:val="24"/>
          <w:szCs w:val="24"/>
        </w:rPr>
        <w:t xml:space="preserve">determine </w:t>
      </w:r>
      <w:r w:rsidR="0002189B">
        <w:rPr>
          <w:rFonts w:ascii="Times New Roman" w:hAnsi="Times New Roman" w:cs="Times New Roman"/>
          <w:i/>
          <w:sz w:val="24"/>
          <w:szCs w:val="24"/>
        </w:rPr>
        <w:t xml:space="preserve">Reporting </w:t>
      </w:r>
      <w:r w:rsidR="0002189B" w:rsidRPr="002658E9">
        <w:rPr>
          <w:rFonts w:ascii="Times New Roman" w:hAnsi="Times New Roman" w:cs="Times New Roman"/>
          <w:i/>
          <w:sz w:val="24"/>
          <w:szCs w:val="24"/>
        </w:rPr>
        <w:t>Standard SRS 101.0 Definitions for Superannuation Data Collections</w:t>
      </w:r>
      <w:r w:rsidR="0002189B" w:rsidDel="0002189B">
        <w:rPr>
          <w:rFonts w:ascii="Times New Roman" w:hAnsi="Times New Roman" w:cs="Times New Roman"/>
          <w:i/>
          <w:sz w:val="24"/>
          <w:szCs w:val="24"/>
        </w:rPr>
        <w:t xml:space="preserve"> </w:t>
      </w:r>
      <w:r w:rsidR="00D56D61">
        <w:rPr>
          <w:rFonts w:ascii="Times New Roman" w:hAnsi="Times New Roman" w:cs="Times New Roman"/>
          <w:sz w:val="24"/>
          <w:szCs w:val="24"/>
        </w:rPr>
        <w:t>that incorporate</w:t>
      </w:r>
      <w:r w:rsidR="00574BA1">
        <w:rPr>
          <w:rFonts w:ascii="Times New Roman" w:hAnsi="Times New Roman" w:cs="Times New Roman"/>
          <w:sz w:val="24"/>
          <w:szCs w:val="24"/>
        </w:rPr>
        <w:t>s</w:t>
      </w:r>
      <w:r w:rsidR="00D56D61">
        <w:rPr>
          <w:rFonts w:ascii="Times New Roman" w:hAnsi="Times New Roman" w:cs="Times New Roman"/>
          <w:sz w:val="24"/>
          <w:szCs w:val="24"/>
        </w:rPr>
        <w:t xml:space="preserve"> updates t</w:t>
      </w:r>
      <w:r w:rsidR="0002189B">
        <w:rPr>
          <w:rFonts w:ascii="Times New Roman" w:hAnsi="Times New Roman" w:cs="Times New Roman"/>
          <w:sz w:val="24"/>
          <w:szCs w:val="24"/>
        </w:rPr>
        <w:t>o the</w:t>
      </w:r>
      <w:r w:rsidR="0002189B" w:rsidRPr="0002189B">
        <w:rPr>
          <w:rFonts w:ascii="Times New Roman" w:hAnsi="Times New Roman" w:cs="Times New Roman"/>
          <w:sz w:val="24"/>
          <w:szCs w:val="24"/>
        </w:rPr>
        <w:t xml:space="preserve"> defin</w:t>
      </w:r>
      <w:r w:rsidR="0002189B">
        <w:rPr>
          <w:rFonts w:ascii="Times New Roman" w:hAnsi="Times New Roman" w:cs="Times New Roman"/>
          <w:sz w:val="24"/>
          <w:szCs w:val="24"/>
        </w:rPr>
        <w:t xml:space="preserve">itions </w:t>
      </w:r>
      <w:r w:rsidR="0002189B" w:rsidRPr="0002189B">
        <w:rPr>
          <w:rFonts w:ascii="Times New Roman" w:hAnsi="Times New Roman" w:cs="Times New Roman"/>
          <w:sz w:val="24"/>
          <w:szCs w:val="24"/>
        </w:rPr>
        <w:t>in APRA’s superannuation data collections.</w:t>
      </w:r>
    </w:p>
    <w:p w14:paraId="010F0382" w14:textId="12C77380" w:rsidR="00B670E9" w:rsidRPr="0002189B" w:rsidRDefault="00D56D61" w:rsidP="00FB6544">
      <w:pPr>
        <w:rPr>
          <w:rFonts w:ascii="Times New Roman" w:hAnsi="Times New Roman" w:cs="Times New Roman"/>
          <w:sz w:val="24"/>
          <w:szCs w:val="24"/>
        </w:rPr>
      </w:pPr>
      <w:r w:rsidRPr="0002189B">
        <w:rPr>
          <w:rFonts w:ascii="Times New Roman" w:hAnsi="Times New Roman" w:cs="Times New Roman"/>
          <w:sz w:val="24"/>
          <w:szCs w:val="24"/>
        </w:rPr>
        <w:t xml:space="preserve"> </w:t>
      </w:r>
      <w:r w:rsidR="00B670E9" w:rsidRPr="0002189B">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8"/>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9A1C" w14:textId="77777777" w:rsidR="008C08AA" w:rsidRPr="000D4EDE" w:rsidRDefault="008C08AA" w:rsidP="000D4EDE">
      <w:r>
        <w:separator/>
      </w:r>
    </w:p>
  </w:endnote>
  <w:endnote w:type="continuationSeparator" w:id="0">
    <w:p w14:paraId="0CE3B426" w14:textId="77777777" w:rsidR="008C08AA" w:rsidRPr="000D4EDE" w:rsidRDefault="008C08AA" w:rsidP="000D4EDE">
      <w:r>
        <w:continuationSeparator/>
      </w:r>
    </w:p>
  </w:endnote>
  <w:endnote w:type="continuationNotice" w:id="1">
    <w:p w14:paraId="348748C6" w14:textId="77777777" w:rsidR="008C08AA" w:rsidRDefault="008C08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345019"/>
      <w:docPartObj>
        <w:docPartGallery w:val="Page Numbers (Bottom of Page)"/>
        <w:docPartUnique/>
      </w:docPartObj>
    </w:sdtPr>
    <w:sdtEndPr>
      <w:rPr>
        <w:rFonts w:ascii="Times New Roman" w:hAnsi="Times New Roman" w:cs="Times New Roman"/>
        <w:noProof/>
        <w:sz w:val="24"/>
        <w:szCs w:val="24"/>
      </w:rPr>
    </w:sdtEndPr>
    <w:sdtContent>
      <w:p w14:paraId="7BBD6BD1" w14:textId="249276BB" w:rsidR="00011AB3" w:rsidRPr="00011AB3" w:rsidRDefault="00011AB3">
        <w:pPr>
          <w:pStyle w:val="Footer"/>
          <w:jc w:val="right"/>
          <w:rPr>
            <w:rFonts w:ascii="Times New Roman" w:hAnsi="Times New Roman" w:cs="Times New Roman"/>
            <w:sz w:val="24"/>
            <w:szCs w:val="24"/>
          </w:rPr>
        </w:pPr>
        <w:r w:rsidRPr="00011AB3">
          <w:rPr>
            <w:rFonts w:ascii="Times New Roman" w:hAnsi="Times New Roman" w:cs="Times New Roman"/>
            <w:sz w:val="24"/>
            <w:szCs w:val="24"/>
          </w:rPr>
          <w:fldChar w:fldCharType="begin"/>
        </w:r>
        <w:r w:rsidRPr="00011AB3">
          <w:rPr>
            <w:rFonts w:ascii="Times New Roman" w:hAnsi="Times New Roman" w:cs="Times New Roman"/>
            <w:sz w:val="24"/>
            <w:szCs w:val="24"/>
          </w:rPr>
          <w:instrText xml:space="preserve"> PAGE   \* MERGEFORMAT </w:instrText>
        </w:r>
        <w:r w:rsidRPr="00011AB3">
          <w:rPr>
            <w:rFonts w:ascii="Times New Roman" w:hAnsi="Times New Roman" w:cs="Times New Roman"/>
            <w:sz w:val="24"/>
            <w:szCs w:val="24"/>
          </w:rPr>
          <w:fldChar w:fldCharType="separate"/>
        </w:r>
        <w:r w:rsidRPr="00011AB3">
          <w:rPr>
            <w:rFonts w:ascii="Times New Roman" w:hAnsi="Times New Roman" w:cs="Times New Roman"/>
            <w:noProof/>
            <w:sz w:val="24"/>
            <w:szCs w:val="24"/>
          </w:rPr>
          <w:t>2</w:t>
        </w:r>
        <w:r w:rsidRPr="00011AB3">
          <w:rPr>
            <w:rFonts w:ascii="Times New Roman" w:hAnsi="Times New Roman" w:cs="Times New Roman"/>
            <w:noProof/>
            <w:sz w:val="24"/>
            <w:szCs w:val="24"/>
          </w:rPr>
          <w:fldChar w:fldCharType="end"/>
        </w:r>
      </w:p>
    </w:sdtContent>
  </w:sdt>
  <w:p w14:paraId="24BAA6EA" w14:textId="77777777" w:rsidR="00011AB3" w:rsidRDefault="00011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2FB1" w14:textId="77777777" w:rsidR="008C08AA" w:rsidRPr="000D4EDE" w:rsidRDefault="008C08AA" w:rsidP="000D4EDE">
      <w:r>
        <w:separator/>
      </w:r>
    </w:p>
  </w:footnote>
  <w:footnote w:type="continuationSeparator" w:id="0">
    <w:p w14:paraId="6F99C9CA" w14:textId="77777777" w:rsidR="008C08AA" w:rsidRPr="000D4EDE" w:rsidRDefault="008C08AA" w:rsidP="000D4EDE">
      <w:r>
        <w:continuationSeparator/>
      </w:r>
    </w:p>
  </w:footnote>
  <w:footnote w:type="continuationNotice" w:id="1">
    <w:p w14:paraId="071D6428" w14:textId="77777777" w:rsidR="008C08AA" w:rsidRDefault="008C08AA">
      <w:pPr>
        <w:spacing w:after="0"/>
      </w:pPr>
    </w:p>
  </w:footnote>
  <w:footnote w:id="2">
    <w:p w14:paraId="7772407D" w14:textId="46022035" w:rsidR="00A60393" w:rsidRPr="00A60393" w:rsidRDefault="00A60393" w:rsidP="00A60393">
      <w:pPr>
        <w:pStyle w:val="FootnoteText"/>
        <w:rPr>
          <w:rFonts w:ascii="Times New Roman" w:hAnsi="Times New Roman"/>
          <w:sz w:val="20"/>
          <w:szCs w:val="20"/>
        </w:rPr>
      </w:pPr>
      <w:r>
        <w:rPr>
          <w:rStyle w:val="FootnoteReference"/>
        </w:rPr>
        <w:footnoteRef/>
      </w:r>
      <w:r>
        <w:rPr>
          <w:rFonts w:ascii="Times New Roman" w:hAnsi="Times New Roman"/>
          <w:sz w:val="20"/>
          <w:szCs w:val="20"/>
        </w:rPr>
        <w:t xml:space="preserve"> </w:t>
      </w:r>
      <w:r w:rsidRPr="00CC238B">
        <w:rPr>
          <w:rFonts w:ascii="Times New Roman" w:hAnsi="Times New Roman"/>
          <w:sz w:val="20"/>
          <w:szCs w:val="20"/>
        </w:rPr>
        <w:t xml:space="preserve">The discussion paper, topic papers and response to consultation together with proposed reporting standards are available on APRA’s website at </w:t>
      </w:r>
      <w:hyperlink r:id="rId1" w:history="1">
        <w:r w:rsidRPr="00CC238B">
          <w:rPr>
            <w:rStyle w:val="Hyperlink"/>
            <w:rFonts w:ascii="Times New Roman" w:hAnsi="Times New Roman"/>
            <w:sz w:val="20"/>
            <w:szCs w:val="20"/>
          </w:rPr>
          <w:t>Consultation on APRAs Superannuation Data Transformation</w:t>
        </w:r>
      </w:hyperlink>
      <w:r>
        <w:rPr>
          <w:rStyle w:val="Hyperlink"/>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D7AB4"/>
    <w:multiLevelType w:val="hybridMultilevel"/>
    <w:tmpl w:val="FFFFFFFF"/>
    <w:lvl w:ilvl="0" w:tplc="D714A03C">
      <w:start w:val="1"/>
      <w:numFmt w:val="decimal"/>
      <w:lvlText w:val=""/>
      <w:lvlJc w:val="left"/>
      <w:pPr>
        <w:ind w:left="720" w:hanging="360"/>
      </w:pPr>
    </w:lvl>
    <w:lvl w:ilvl="1" w:tplc="A3E4D83A">
      <w:start w:val="1"/>
      <w:numFmt w:val="lowerLetter"/>
      <w:lvlText w:val="%2."/>
      <w:lvlJc w:val="left"/>
      <w:pPr>
        <w:ind w:left="1440" w:hanging="360"/>
      </w:pPr>
    </w:lvl>
    <w:lvl w:ilvl="2" w:tplc="E19CBC44">
      <w:start w:val="1"/>
      <w:numFmt w:val="lowerRoman"/>
      <w:lvlText w:val="%3."/>
      <w:lvlJc w:val="right"/>
      <w:pPr>
        <w:ind w:left="2160" w:hanging="180"/>
      </w:pPr>
    </w:lvl>
    <w:lvl w:ilvl="3" w:tplc="EFC4CC5E">
      <w:start w:val="1"/>
      <w:numFmt w:val="decimal"/>
      <w:lvlText w:val="%4."/>
      <w:lvlJc w:val="left"/>
      <w:pPr>
        <w:ind w:left="2880" w:hanging="360"/>
      </w:pPr>
    </w:lvl>
    <w:lvl w:ilvl="4" w:tplc="C2084FF4">
      <w:start w:val="1"/>
      <w:numFmt w:val="lowerLetter"/>
      <w:lvlText w:val="%5."/>
      <w:lvlJc w:val="left"/>
      <w:pPr>
        <w:ind w:left="3600" w:hanging="360"/>
      </w:pPr>
    </w:lvl>
    <w:lvl w:ilvl="5" w:tplc="A1EE9D2A">
      <w:start w:val="1"/>
      <w:numFmt w:val="lowerRoman"/>
      <w:lvlText w:val="%6."/>
      <w:lvlJc w:val="right"/>
      <w:pPr>
        <w:ind w:left="4320" w:hanging="180"/>
      </w:pPr>
    </w:lvl>
    <w:lvl w:ilvl="6" w:tplc="D054D648">
      <w:start w:val="1"/>
      <w:numFmt w:val="decimal"/>
      <w:lvlText w:val="%7."/>
      <w:lvlJc w:val="left"/>
      <w:pPr>
        <w:ind w:left="5040" w:hanging="360"/>
      </w:pPr>
    </w:lvl>
    <w:lvl w:ilvl="7" w:tplc="0060D84A">
      <w:start w:val="1"/>
      <w:numFmt w:val="lowerLetter"/>
      <w:lvlText w:val="%8."/>
      <w:lvlJc w:val="left"/>
      <w:pPr>
        <w:ind w:left="5760" w:hanging="360"/>
      </w:pPr>
    </w:lvl>
    <w:lvl w:ilvl="8" w:tplc="522CF5BA">
      <w:start w:val="1"/>
      <w:numFmt w:val="lowerRoman"/>
      <w:lvlText w:val="%9."/>
      <w:lvlJc w:val="right"/>
      <w:pPr>
        <w:ind w:left="6480" w:hanging="180"/>
      </w:pPr>
    </w:lvl>
  </w:abstractNum>
  <w:abstractNum w:abstractNumId="7"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C86E840"/>
    <w:multiLevelType w:val="hybridMultilevel"/>
    <w:tmpl w:val="FFFFFFFF"/>
    <w:lvl w:ilvl="0" w:tplc="E1FC1C26">
      <w:start w:val="1"/>
      <w:numFmt w:val="decimal"/>
      <w:lvlText w:val=""/>
      <w:lvlJc w:val="left"/>
      <w:pPr>
        <w:ind w:left="720" w:hanging="360"/>
      </w:pPr>
    </w:lvl>
    <w:lvl w:ilvl="1" w:tplc="2542CBA4">
      <w:start w:val="1"/>
      <w:numFmt w:val="lowerLetter"/>
      <w:lvlText w:val="%2."/>
      <w:lvlJc w:val="left"/>
      <w:pPr>
        <w:ind w:left="1440" w:hanging="360"/>
      </w:pPr>
    </w:lvl>
    <w:lvl w:ilvl="2" w:tplc="D376E682">
      <w:start w:val="1"/>
      <w:numFmt w:val="lowerRoman"/>
      <w:lvlText w:val="%3."/>
      <w:lvlJc w:val="right"/>
      <w:pPr>
        <w:ind w:left="2160" w:hanging="180"/>
      </w:pPr>
    </w:lvl>
    <w:lvl w:ilvl="3" w:tplc="A6CECA86">
      <w:start w:val="1"/>
      <w:numFmt w:val="decimal"/>
      <w:lvlText w:val="%4."/>
      <w:lvlJc w:val="left"/>
      <w:pPr>
        <w:ind w:left="2880" w:hanging="360"/>
      </w:pPr>
    </w:lvl>
    <w:lvl w:ilvl="4" w:tplc="0AC0D976">
      <w:start w:val="1"/>
      <w:numFmt w:val="lowerLetter"/>
      <w:lvlText w:val="%5."/>
      <w:lvlJc w:val="left"/>
      <w:pPr>
        <w:ind w:left="3600" w:hanging="360"/>
      </w:pPr>
    </w:lvl>
    <w:lvl w:ilvl="5" w:tplc="FD1A8B70">
      <w:start w:val="1"/>
      <w:numFmt w:val="lowerRoman"/>
      <w:lvlText w:val="%6."/>
      <w:lvlJc w:val="right"/>
      <w:pPr>
        <w:ind w:left="4320" w:hanging="180"/>
      </w:pPr>
    </w:lvl>
    <w:lvl w:ilvl="6" w:tplc="B58064DE">
      <w:start w:val="1"/>
      <w:numFmt w:val="decimal"/>
      <w:lvlText w:val="%7."/>
      <w:lvlJc w:val="left"/>
      <w:pPr>
        <w:ind w:left="5040" w:hanging="360"/>
      </w:pPr>
    </w:lvl>
    <w:lvl w:ilvl="7" w:tplc="24726EDC">
      <w:start w:val="1"/>
      <w:numFmt w:val="lowerLetter"/>
      <w:lvlText w:val="%8."/>
      <w:lvlJc w:val="left"/>
      <w:pPr>
        <w:ind w:left="5760" w:hanging="360"/>
      </w:pPr>
    </w:lvl>
    <w:lvl w:ilvl="8" w:tplc="5022B5F6">
      <w:start w:val="1"/>
      <w:numFmt w:val="lowerRoman"/>
      <w:lvlText w:val="%9."/>
      <w:lvlJc w:val="right"/>
      <w:pPr>
        <w:ind w:left="6480" w:hanging="180"/>
      </w:pPr>
    </w:lvl>
  </w:abstractNum>
  <w:abstractNum w:abstractNumId="10"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6C03B1"/>
    <w:multiLevelType w:val="hybridMultilevel"/>
    <w:tmpl w:val="B7001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3"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31FDFF"/>
    <w:multiLevelType w:val="hybridMultilevel"/>
    <w:tmpl w:val="05284E26"/>
    <w:lvl w:ilvl="0" w:tplc="981C14E4">
      <w:start w:val="1"/>
      <w:numFmt w:val="bullet"/>
      <w:lvlText w:val=""/>
      <w:lvlJc w:val="left"/>
      <w:pPr>
        <w:ind w:left="720" w:hanging="360"/>
      </w:pPr>
      <w:rPr>
        <w:rFonts w:ascii="Symbol" w:hAnsi="Symbol" w:hint="default"/>
      </w:rPr>
    </w:lvl>
    <w:lvl w:ilvl="1" w:tplc="CA52224E">
      <w:start w:val="1"/>
      <w:numFmt w:val="bullet"/>
      <w:lvlText w:val="o"/>
      <w:lvlJc w:val="left"/>
      <w:pPr>
        <w:ind w:left="1440" w:hanging="360"/>
      </w:pPr>
      <w:rPr>
        <w:rFonts w:ascii="Courier New" w:hAnsi="Courier New" w:hint="default"/>
      </w:rPr>
    </w:lvl>
    <w:lvl w:ilvl="2" w:tplc="4DE01EC6">
      <w:start w:val="1"/>
      <w:numFmt w:val="bullet"/>
      <w:lvlText w:val=""/>
      <w:lvlJc w:val="left"/>
      <w:pPr>
        <w:ind w:left="2160" w:hanging="360"/>
      </w:pPr>
      <w:rPr>
        <w:rFonts w:ascii="Wingdings" w:hAnsi="Wingdings" w:hint="default"/>
      </w:rPr>
    </w:lvl>
    <w:lvl w:ilvl="3" w:tplc="D3E45AFA">
      <w:start w:val="1"/>
      <w:numFmt w:val="bullet"/>
      <w:lvlText w:val=""/>
      <w:lvlJc w:val="left"/>
      <w:pPr>
        <w:ind w:left="2880" w:hanging="360"/>
      </w:pPr>
      <w:rPr>
        <w:rFonts w:ascii="Symbol" w:hAnsi="Symbol" w:hint="default"/>
      </w:rPr>
    </w:lvl>
    <w:lvl w:ilvl="4" w:tplc="9CF616B2">
      <w:start w:val="1"/>
      <w:numFmt w:val="bullet"/>
      <w:lvlText w:val="o"/>
      <w:lvlJc w:val="left"/>
      <w:pPr>
        <w:ind w:left="3600" w:hanging="360"/>
      </w:pPr>
      <w:rPr>
        <w:rFonts w:ascii="Courier New" w:hAnsi="Courier New" w:hint="default"/>
      </w:rPr>
    </w:lvl>
    <w:lvl w:ilvl="5" w:tplc="FF34FF4E">
      <w:start w:val="1"/>
      <w:numFmt w:val="bullet"/>
      <w:lvlText w:val=""/>
      <w:lvlJc w:val="left"/>
      <w:pPr>
        <w:ind w:left="4320" w:hanging="360"/>
      </w:pPr>
      <w:rPr>
        <w:rFonts w:ascii="Wingdings" w:hAnsi="Wingdings" w:hint="default"/>
      </w:rPr>
    </w:lvl>
    <w:lvl w:ilvl="6" w:tplc="0C4E8E12">
      <w:start w:val="1"/>
      <w:numFmt w:val="bullet"/>
      <w:lvlText w:val=""/>
      <w:lvlJc w:val="left"/>
      <w:pPr>
        <w:ind w:left="5040" w:hanging="360"/>
      </w:pPr>
      <w:rPr>
        <w:rFonts w:ascii="Symbol" w:hAnsi="Symbol" w:hint="default"/>
      </w:rPr>
    </w:lvl>
    <w:lvl w:ilvl="7" w:tplc="CC707AD6">
      <w:start w:val="1"/>
      <w:numFmt w:val="bullet"/>
      <w:lvlText w:val="o"/>
      <w:lvlJc w:val="left"/>
      <w:pPr>
        <w:ind w:left="5760" w:hanging="360"/>
      </w:pPr>
      <w:rPr>
        <w:rFonts w:ascii="Courier New" w:hAnsi="Courier New" w:hint="default"/>
      </w:rPr>
    </w:lvl>
    <w:lvl w:ilvl="8" w:tplc="02A00690">
      <w:start w:val="1"/>
      <w:numFmt w:val="bullet"/>
      <w:lvlText w:val=""/>
      <w:lvlJc w:val="left"/>
      <w:pPr>
        <w:ind w:left="6480" w:hanging="360"/>
      </w:pPr>
      <w:rPr>
        <w:rFonts w:ascii="Wingdings" w:hAnsi="Wingdings" w:hint="default"/>
      </w:rPr>
    </w:lvl>
  </w:abstractNum>
  <w:abstractNum w:abstractNumId="15"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E298C08"/>
    <w:multiLevelType w:val="hybridMultilevel"/>
    <w:tmpl w:val="FFFFFFFF"/>
    <w:lvl w:ilvl="0" w:tplc="50E4D376">
      <w:start w:val="1"/>
      <w:numFmt w:val="bullet"/>
      <w:lvlText w:val="·"/>
      <w:lvlJc w:val="left"/>
      <w:pPr>
        <w:ind w:left="720" w:hanging="360"/>
      </w:pPr>
      <w:rPr>
        <w:rFonts w:ascii="Symbol" w:hAnsi="Symbol" w:hint="default"/>
      </w:rPr>
    </w:lvl>
    <w:lvl w:ilvl="1" w:tplc="010810EC">
      <w:start w:val="1"/>
      <w:numFmt w:val="bullet"/>
      <w:lvlText w:val="o"/>
      <w:lvlJc w:val="left"/>
      <w:pPr>
        <w:ind w:left="1440" w:hanging="360"/>
      </w:pPr>
      <w:rPr>
        <w:rFonts w:ascii="Courier New" w:hAnsi="Courier New" w:hint="default"/>
      </w:rPr>
    </w:lvl>
    <w:lvl w:ilvl="2" w:tplc="8954EDB2">
      <w:start w:val="1"/>
      <w:numFmt w:val="bullet"/>
      <w:lvlText w:val=""/>
      <w:lvlJc w:val="left"/>
      <w:pPr>
        <w:ind w:left="2160" w:hanging="360"/>
      </w:pPr>
      <w:rPr>
        <w:rFonts w:ascii="Wingdings" w:hAnsi="Wingdings" w:hint="default"/>
      </w:rPr>
    </w:lvl>
    <w:lvl w:ilvl="3" w:tplc="54BE86FA">
      <w:start w:val="1"/>
      <w:numFmt w:val="bullet"/>
      <w:lvlText w:val=""/>
      <w:lvlJc w:val="left"/>
      <w:pPr>
        <w:ind w:left="2880" w:hanging="360"/>
      </w:pPr>
      <w:rPr>
        <w:rFonts w:ascii="Symbol" w:hAnsi="Symbol" w:hint="default"/>
      </w:rPr>
    </w:lvl>
    <w:lvl w:ilvl="4" w:tplc="BA1C62E4">
      <w:start w:val="1"/>
      <w:numFmt w:val="bullet"/>
      <w:lvlText w:val="o"/>
      <w:lvlJc w:val="left"/>
      <w:pPr>
        <w:ind w:left="3600" w:hanging="360"/>
      </w:pPr>
      <w:rPr>
        <w:rFonts w:ascii="Courier New" w:hAnsi="Courier New" w:hint="default"/>
      </w:rPr>
    </w:lvl>
    <w:lvl w:ilvl="5" w:tplc="6310F046">
      <w:start w:val="1"/>
      <w:numFmt w:val="bullet"/>
      <w:lvlText w:val=""/>
      <w:lvlJc w:val="left"/>
      <w:pPr>
        <w:ind w:left="4320" w:hanging="360"/>
      </w:pPr>
      <w:rPr>
        <w:rFonts w:ascii="Wingdings" w:hAnsi="Wingdings" w:hint="default"/>
      </w:rPr>
    </w:lvl>
    <w:lvl w:ilvl="6" w:tplc="379E0AC8">
      <w:start w:val="1"/>
      <w:numFmt w:val="bullet"/>
      <w:lvlText w:val=""/>
      <w:lvlJc w:val="left"/>
      <w:pPr>
        <w:ind w:left="5040" w:hanging="360"/>
      </w:pPr>
      <w:rPr>
        <w:rFonts w:ascii="Symbol" w:hAnsi="Symbol" w:hint="default"/>
      </w:rPr>
    </w:lvl>
    <w:lvl w:ilvl="7" w:tplc="125465AE">
      <w:start w:val="1"/>
      <w:numFmt w:val="bullet"/>
      <w:lvlText w:val="o"/>
      <w:lvlJc w:val="left"/>
      <w:pPr>
        <w:ind w:left="5760" w:hanging="360"/>
      </w:pPr>
      <w:rPr>
        <w:rFonts w:ascii="Courier New" w:hAnsi="Courier New" w:hint="default"/>
      </w:rPr>
    </w:lvl>
    <w:lvl w:ilvl="8" w:tplc="29E6BEA4">
      <w:start w:val="1"/>
      <w:numFmt w:val="bullet"/>
      <w:lvlText w:val=""/>
      <w:lvlJc w:val="left"/>
      <w:pPr>
        <w:ind w:left="6480" w:hanging="360"/>
      </w:pPr>
      <w:rPr>
        <w:rFonts w:ascii="Wingdings" w:hAnsi="Wingdings" w:hint="default"/>
      </w:rPr>
    </w:lvl>
  </w:abstractNum>
  <w:abstractNum w:abstractNumId="17"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1"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44752E"/>
    <w:multiLevelType w:val="hybridMultilevel"/>
    <w:tmpl w:val="AA0E6C56"/>
    <w:lvl w:ilvl="0" w:tplc="C1F8D21A">
      <w:start w:val="1"/>
      <w:numFmt w:val="bullet"/>
      <w:lvlText w:val=""/>
      <w:lvlJc w:val="left"/>
      <w:pPr>
        <w:ind w:left="720" w:hanging="360"/>
      </w:pPr>
      <w:rPr>
        <w:rFonts w:ascii="Symbol" w:hAnsi="Symbol" w:hint="default"/>
      </w:rPr>
    </w:lvl>
    <w:lvl w:ilvl="1" w:tplc="E9062DB0">
      <w:start w:val="1"/>
      <w:numFmt w:val="bullet"/>
      <w:lvlText w:val="o"/>
      <w:lvlJc w:val="left"/>
      <w:pPr>
        <w:ind w:left="1440" w:hanging="360"/>
      </w:pPr>
      <w:rPr>
        <w:rFonts w:ascii="Courier New" w:hAnsi="Courier New" w:hint="default"/>
      </w:rPr>
    </w:lvl>
    <w:lvl w:ilvl="2" w:tplc="0DA6006A">
      <w:start w:val="1"/>
      <w:numFmt w:val="bullet"/>
      <w:lvlText w:val=""/>
      <w:lvlJc w:val="left"/>
      <w:pPr>
        <w:ind w:left="2160" w:hanging="360"/>
      </w:pPr>
      <w:rPr>
        <w:rFonts w:ascii="Wingdings" w:hAnsi="Wingdings" w:hint="default"/>
      </w:rPr>
    </w:lvl>
    <w:lvl w:ilvl="3" w:tplc="43A0B55E">
      <w:start w:val="1"/>
      <w:numFmt w:val="bullet"/>
      <w:lvlText w:val=""/>
      <w:lvlJc w:val="left"/>
      <w:pPr>
        <w:ind w:left="2880" w:hanging="360"/>
      </w:pPr>
      <w:rPr>
        <w:rFonts w:ascii="Symbol" w:hAnsi="Symbol" w:hint="default"/>
      </w:rPr>
    </w:lvl>
    <w:lvl w:ilvl="4" w:tplc="7FE87C3C">
      <w:start w:val="1"/>
      <w:numFmt w:val="bullet"/>
      <w:lvlText w:val="o"/>
      <w:lvlJc w:val="left"/>
      <w:pPr>
        <w:ind w:left="3600" w:hanging="360"/>
      </w:pPr>
      <w:rPr>
        <w:rFonts w:ascii="Courier New" w:hAnsi="Courier New" w:hint="default"/>
      </w:rPr>
    </w:lvl>
    <w:lvl w:ilvl="5" w:tplc="7B1C450C">
      <w:start w:val="1"/>
      <w:numFmt w:val="bullet"/>
      <w:lvlText w:val=""/>
      <w:lvlJc w:val="left"/>
      <w:pPr>
        <w:ind w:left="4320" w:hanging="360"/>
      </w:pPr>
      <w:rPr>
        <w:rFonts w:ascii="Wingdings" w:hAnsi="Wingdings" w:hint="default"/>
      </w:rPr>
    </w:lvl>
    <w:lvl w:ilvl="6" w:tplc="614C0710">
      <w:start w:val="1"/>
      <w:numFmt w:val="bullet"/>
      <w:lvlText w:val=""/>
      <w:lvlJc w:val="left"/>
      <w:pPr>
        <w:ind w:left="5040" w:hanging="360"/>
      </w:pPr>
      <w:rPr>
        <w:rFonts w:ascii="Symbol" w:hAnsi="Symbol" w:hint="default"/>
      </w:rPr>
    </w:lvl>
    <w:lvl w:ilvl="7" w:tplc="6E8C6F2E">
      <w:start w:val="1"/>
      <w:numFmt w:val="bullet"/>
      <w:lvlText w:val="o"/>
      <w:lvlJc w:val="left"/>
      <w:pPr>
        <w:ind w:left="5760" w:hanging="360"/>
      </w:pPr>
      <w:rPr>
        <w:rFonts w:ascii="Courier New" w:hAnsi="Courier New" w:hint="default"/>
      </w:rPr>
    </w:lvl>
    <w:lvl w:ilvl="8" w:tplc="9ADA3CB2">
      <w:start w:val="1"/>
      <w:numFmt w:val="bullet"/>
      <w:lvlText w:val=""/>
      <w:lvlJc w:val="left"/>
      <w:pPr>
        <w:ind w:left="6480" w:hanging="360"/>
      </w:pPr>
      <w:rPr>
        <w:rFonts w:ascii="Wingdings" w:hAnsi="Wingdings" w:hint="default"/>
      </w:rPr>
    </w:lvl>
  </w:abstractNum>
  <w:abstractNum w:abstractNumId="25" w15:restartNumberingAfterBreak="0">
    <w:nsid w:val="5E7FE678"/>
    <w:multiLevelType w:val="hybridMultilevel"/>
    <w:tmpl w:val="0A06EB9E"/>
    <w:lvl w:ilvl="0" w:tplc="D51C1EBA">
      <w:start w:val="1"/>
      <w:numFmt w:val="bullet"/>
      <w:lvlText w:val=""/>
      <w:lvlJc w:val="left"/>
      <w:pPr>
        <w:ind w:left="720" w:hanging="360"/>
      </w:pPr>
      <w:rPr>
        <w:rFonts w:ascii="Symbol" w:hAnsi="Symbol" w:hint="default"/>
      </w:rPr>
    </w:lvl>
    <w:lvl w:ilvl="1" w:tplc="4B4276AA">
      <w:start w:val="1"/>
      <w:numFmt w:val="bullet"/>
      <w:lvlText w:val="o"/>
      <w:lvlJc w:val="left"/>
      <w:pPr>
        <w:ind w:left="1440" w:hanging="360"/>
      </w:pPr>
      <w:rPr>
        <w:rFonts w:ascii="Courier New" w:hAnsi="Courier New" w:hint="default"/>
      </w:rPr>
    </w:lvl>
    <w:lvl w:ilvl="2" w:tplc="F6082128">
      <w:start w:val="1"/>
      <w:numFmt w:val="bullet"/>
      <w:lvlText w:val=""/>
      <w:lvlJc w:val="left"/>
      <w:pPr>
        <w:ind w:left="2160" w:hanging="360"/>
      </w:pPr>
      <w:rPr>
        <w:rFonts w:ascii="Wingdings" w:hAnsi="Wingdings" w:hint="default"/>
      </w:rPr>
    </w:lvl>
    <w:lvl w:ilvl="3" w:tplc="814A550A">
      <w:start w:val="1"/>
      <w:numFmt w:val="bullet"/>
      <w:lvlText w:val=""/>
      <w:lvlJc w:val="left"/>
      <w:pPr>
        <w:ind w:left="2880" w:hanging="360"/>
      </w:pPr>
      <w:rPr>
        <w:rFonts w:ascii="Symbol" w:hAnsi="Symbol" w:hint="default"/>
      </w:rPr>
    </w:lvl>
    <w:lvl w:ilvl="4" w:tplc="DB781F2A">
      <w:start w:val="1"/>
      <w:numFmt w:val="bullet"/>
      <w:lvlText w:val="o"/>
      <w:lvlJc w:val="left"/>
      <w:pPr>
        <w:ind w:left="3600" w:hanging="360"/>
      </w:pPr>
      <w:rPr>
        <w:rFonts w:ascii="Courier New" w:hAnsi="Courier New" w:hint="default"/>
      </w:rPr>
    </w:lvl>
    <w:lvl w:ilvl="5" w:tplc="E56A9700">
      <w:start w:val="1"/>
      <w:numFmt w:val="bullet"/>
      <w:lvlText w:val=""/>
      <w:lvlJc w:val="left"/>
      <w:pPr>
        <w:ind w:left="4320" w:hanging="360"/>
      </w:pPr>
      <w:rPr>
        <w:rFonts w:ascii="Wingdings" w:hAnsi="Wingdings" w:hint="default"/>
      </w:rPr>
    </w:lvl>
    <w:lvl w:ilvl="6" w:tplc="6C10FCEE">
      <w:start w:val="1"/>
      <w:numFmt w:val="bullet"/>
      <w:lvlText w:val=""/>
      <w:lvlJc w:val="left"/>
      <w:pPr>
        <w:ind w:left="5040" w:hanging="360"/>
      </w:pPr>
      <w:rPr>
        <w:rFonts w:ascii="Symbol" w:hAnsi="Symbol" w:hint="default"/>
      </w:rPr>
    </w:lvl>
    <w:lvl w:ilvl="7" w:tplc="E0E8C250">
      <w:start w:val="1"/>
      <w:numFmt w:val="bullet"/>
      <w:lvlText w:val="o"/>
      <w:lvlJc w:val="left"/>
      <w:pPr>
        <w:ind w:left="5760" w:hanging="360"/>
      </w:pPr>
      <w:rPr>
        <w:rFonts w:ascii="Courier New" w:hAnsi="Courier New" w:hint="default"/>
      </w:rPr>
    </w:lvl>
    <w:lvl w:ilvl="8" w:tplc="FA182486">
      <w:start w:val="1"/>
      <w:numFmt w:val="bullet"/>
      <w:lvlText w:val=""/>
      <w:lvlJc w:val="left"/>
      <w:pPr>
        <w:ind w:left="6480" w:hanging="360"/>
      </w:pPr>
      <w:rPr>
        <w:rFonts w:ascii="Wingdings" w:hAnsi="Wingdings" w:hint="default"/>
      </w:rPr>
    </w:lvl>
  </w:abstractNum>
  <w:abstractNum w:abstractNumId="26" w15:restartNumberingAfterBreak="0">
    <w:nsid w:val="5FF92721"/>
    <w:multiLevelType w:val="hybridMultilevel"/>
    <w:tmpl w:val="A394E9AA"/>
    <w:lvl w:ilvl="0" w:tplc="D51C1E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B17A3F"/>
    <w:multiLevelType w:val="multilevel"/>
    <w:tmpl w:val="8FE01998"/>
    <w:styleLink w:val="1ai"/>
    <w:lvl w:ilvl="0">
      <w:start w:val="1"/>
      <w:numFmt w:val="decimal"/>
      <w:suff w:val="nothing"/>
      <w:lvlText w:val=""/>
      <w:lvlJc w:val="left"/>
      <w:pPr>
        <w:ind w:left="0" w:firstLine="0"/>
      </w:p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CA296C"/>
    <w:multiLevelType w:val="multilevel"/>
    <w:tmpl w:val="FFFFFFFF"/>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D2FF08"/>
    <w:multiLevelType w:val="hybridMultilevel"/>
    <w:tmpl w:val="FFFFFFFF"/>
    <w:lvl w:ilvl="0" w:tplc="B46E9868">
      <w:start w:val="1"/>
      <w:numFmt w:val="bullet"/>
      <w:lvlText w:val="·"/>
      <w:lvlJc w:val="left"/>
      <w:pPr>
        <w:ind w:left="720" w:hanging="360"/>
      </w:pPr>
      <w:rPr>
        <w:rFonts w:ascii="Symbol" w:hAnsi="Symbol" w:hint="default"/>
      </w:rPr>
    </w:lvl>
    <w:lvl w:ilvl="1" w:tplc="43100AC0">
      <w:start w:val="1"/>
      <w:numFmt w:val="bullet"/>
      <w:lvlText w:val="o"/>
      <w:lvlJc w:val="left"/>
      <w:pPr>
        <w:ind w:left="1440" w:hanging="360"/>
      </w:pPr>
      <w:rPr>
        <w:rFonts w:ascii="Courier New" w:hAnsi="Courier New" w:hint="default"/>
      </w:rPr>
    </w:lvl>
    <w:lvl w:ilvl="2" w:tplc="D3BC90B8">
      <w:start w:val="1"/>
      <w:numFmt w:val="bullet"/>
      <w:lvlText w:val=""/>
      <w:lvlJc w:val="left"/>
      <w:pPr>
        <w:ind w:left="2160" w:hanging="360"/>
      </w:pPr>
      <w:rPr>
        <w:rFonts w:ascii="Wingdings" w:hAnsi="Wingdings" w:hint="default"/>
      </w:rPr>
    </w:lvl>
    <w:lvl w:ilvl="3" w:tplc="5C606556">
      <w:start w:val="1"/>
      <w:numFmt w:val="bullet"/>
      <w:lvlText w:val=""/>
      <w:lvlJc w:val="left"/>
      <w:pPr>
        <w:ind w:left="2880" w:hanging="360"/>
      </w:pPr>
      <w:rPr>
        <w:rFonts w:ascii="Symbol" w:hAnsi="Symbol" w:hint="default"/>
      </w:rPr>
    </w:lvl>
    <w:lvl w:ilvl="4" w:tplc="FAA2E67A">
      <w:start w:val="1"/>
      <w:numFmt w:val="bullet"/>
      <w:lvlText w:val="o"/>
      <w:lvlJc w:val="left"/>
      <w:pPr>
        <w:ind w:left="3600" w:hanging="360"/>
      </w:pPr>
      <w:rPr>
        <w:rFonts w:ascii="Courier New" w:hAnsi="Courier New" w:hint="default"/>
      </w:rPr>
    </w:lvl>
    <w:lvl w:ilvl="5" w:tplc="98965478">
      <w:start w:val="1"/>
      <w:numFmt w:val="bullet"/>
      <w:lvlText w:val=""/>
      <w:lvlJc w:val="left"/>
      <w:pPr>
        <w:ind w:left="4320" w:hanging="360"/>
      </w:pPr>
      <w:rPr>
        <w:rFonts w:ascii="Wingdings" w:hAnsi="Wingdings" w:hint="default"/>
      </w:rPr>
    </w:lvl>
    <w:lvl w:ilvl="6" w:tplc="E410BEA6">
      <w:start w:val="1"/>
      <w:numFmt w:val="bullet"/>
      <w:lvlText w:val=""/>
      <w:lvlJc w:val="left"/>
      <w:pPr>
        <w:ind w:left="5040" w:hanging="360"/>
      </w:pPr>
      <w:rPr>
        <w:rFonts w:ascii="Symbol" w:hAnsi="Symbol" w:hint="default"/>
      </w:rPr>
    </w:lvl>
    <w:lvl w:ilvl="7" w:tplc="9DA07C62">
      <w:start w:val="1"/>
      <w:numFmt w:val="bullet"/>
      <w:lvlText w:val="o"/>
      <w:lvlJc w:val="left"/>
      <w:pPr>
        <w:ind w:left="5760" w:hanging="360"/>
      </w:pPr>
      <w:rPr>
        <w:rFonts w:ascii="Courier New" w:hAnsi="Courier New" w:hint="default"/>
      </w:rPr>
    </w:lvl>
    <w:lvl w:ilvl="8" w:tplc="5C4E73BC">
      <w:start w:val="1"/>
      <w:numFmt w:val="bullet"/>
      <w:lvlText w:val=""/>
      <w:lvlJc w:val="left"/>
      <w:pPr>
        <w:ind w:left="6480" w:hanging="360"/>
      </w:pPr>
      <w:rPr>
        <w:rFonts w:ascii="Wingdings" w:hAnsi="Wingdings" w:hint="default"/>
      </w:rPr>
    </w:lvl>
  </w:abstractNum>
  <w:num w:numId="1" w16cid:durableId="1212352327">
    <w:abstractNumId w:val="25"/>
  </w:num>
  <w:num w:numId="2" w16cid:durableId="1563909004">
    <w:abstractNumId w:val="6"/>
  </w:num>
  <w:num w:numId="3" w16cid:durableId="211503002">
    <w:abstractNumId w:val="16"/>
  </w:num>
  <w:num w:numId="4" w16cid:durableId="1598489665">
    <w:abstractNumId w:val="9"/>
  </w:num>
  <w:num w:numId="5" w16cid:durableId="1894463098">
    <w:abstractNumId w:val="31"/>
  </w:num>
  <w:num w:numId="6" w16cid:durableId="94254696">
    <w:abstractNumId w:val="30"/>
  </w:num>
  <w:num w:numId="7" w16cid:durableId="1829248692">
    <w:abstractNumId w:val="1"/>
  </w:num>
  <w:num w:numId="8" w16cid:durableId="602110262">
    <w:abstractNumId w:val="0"/>
  </w:num>
  <w:num w:numId="9" w16cid:durableId="1339314048">
    <w:abstractNumId w:val="7"/>
  </w:num>
  <w:num w:numId="10" w16cid:durableId="2042590614">
    <w:abstractNumId w:val="22"/>
  </w:num>
  <w:num w:numId="11" w16cid:durableId="521478323">
    <w:abstractNumId w:val="28"/>
  </w:num>
  <w:num w:numId="12" w16cid:durableId="288823805">
    <w:abstractNumId w:val="18"/>
  </w:num>
  <w:num w:numId="13" w16cid:durableId="13809367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6478035">
    <w:abstractNumId w:val="12"/>
  </w:num>
  <w:num w:numId="15" w16cid:durableId="398133406">
    <w:abstractNumId w:val="2"/>
  </w:num>
  <w:num w:numId="16" w16cid:durableId="1790781280">
    <w:abstractNumId w:val="8"/>
  </w:num>
  <w:num w:numId="17" w16cid:durableId="785537199">
    <w:abstractNumId w:val="4"/>
  </w:num>
  <w:num w:numId="18" w16cid:durableId="2035961868">
    <w:abstractNumId w:val="3"/>
  </w:num>
  <w:num w:numId="19" w16cid:durableId="1725759766">
    <w:abstractNumId w:val="29"/>
  </w:num>
  <w:num w:numId="20" w16cid:durableId="168563981">
    <w:abstractNumId w:val="17"/>
  </w:num>
  <w:num w:numId="21" w16cid:durableId="2008093173">
    <w:abstractNumId w:val="10"/>
  </w:num>
  <w:num w:numId="22" w16cid:durableId="844632474">
    <w:abstractNumId w:val="13"/>
  </w:num>
  <w:num w:numId="23" w16cid:durableId="1251620339">
    <w:abstractNumId w:val="23"/>
  </w:num>
  <w:num w:numId="24" w16cid:durableId="1893076358">
    <w:abstractNumId w:val="27"/>
  </w:num>
  <w:num w:numId="25" w16cid:durableId="1667436918">
    <w:abstractNumId w:val="19"/>
  </w:num>
  <w:num w:numId="26" w16cid:durableId="351035494">
    <w:abstractNumId w:val="5"/>
  </w:num>
  <w:num w:numId="27" w16cid:durableId="12404062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8621560">
    <w:abstractNumId w:val="15"/>
  </w:num>
  <w:num w:numId="29" w16cid:durableId="778112549">
    <w:abstractNumId w:val="15"/>
  </w:num>
  <w:num w:numId="30" w16cid:durableId="1667199388">
    <w:abstractNumId w:val="21"/>
  </w:num>
  <w:num w:numId="31" w16cid:durableId="1545288170">
    <w:abstractNumId w:val="11"/>
  </w:num>
  <w:num w:numId="32" w16cid:durableId="2004581739">
    <w:abstractNumId w:val="20"/>
  </w:num>
  <w:num w:numId="33" w16cid:durableId="1223325118">
    <w:abstractNumId w:val="1"/>
  </w:num>
  <w:num w:numId="34" w16cid:durableId="777215331">
    <w:abstractNumId w:val="14"/>
  </w:num>
  <w:num w:numId="35" w16cid:durableId="1923104224">
    <w:abstractNumId w:val="24"/>
  </w:num>
  <w:num w:numId="36" w16cid:durableId="1218971390">
    <w:abstractNumId w:val="26"/>
  </w:num>
  <w:num w:numId="37" w16cid:durableId="176810954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AB3"/>
    <w:rsid w:val="00011C96"/>
    <w:rsid w:val="000141B9"/>
    <w:rsid w:val="00014E49"/>
    <w:rsid w:val="00020E4C"/>
    <w:rsid w:val="0002189B"/>
    <w:rsid w:val="000218AA"/>
    <w:rsid w:val="00023CE3"/>
    <w:rsid w:val="00026AFE"/>
    <w:rsid w:val="00030725"/>
    <w:rsid w:val="00034A19"/>
    <w:rsid w:val="00036F9E"/>
    <w:rsid w:val="000413B3"/>
    <w:rsid w:val="0004484D"/>
    <w:rsid w:val="000453D9"/>
    <w:rsid w:val="00045D7D"/>
    <w:rsid w:val="00051025"/>
    <w:rsid w:val="000541C7"/>
    <w:rsid w:val="00054774"/>
    <w:rsid w:val="000573E5"/>
    <w:rsid w:val="0005750C"/>
    <w:rsid w:val="00057B71"/>
    <w:rsid w:val="0006638F"/>
    <w:rsid w:val="00071CF7"/>
    <w:rsid w:val="0007202C"/>
    <w:rsid w:val="00072B30"/>
    <w:rsid w:val="0007319C"/>
    <w:rsid w:val="000732AA"/>
    <w:rsid w:val="00073978"/>
    <w:rsid w:val="00073D9D"/>
    <w:rsid w:val="00073F77"/>
    <w:rsid w:val="000767DD"/>
    <w:rsid w:val="0008011A"/>
    <w:rsid w:val="00084F8B"/>
    <w:rsid w:val="000851D0"/>
    <w:rsid w:val="00086D07"/>
    <w:rsid w:val="00086F71"/>
    <w:rsid w:val="00092E77"/>
    <w:rsid w:val="00093915"/>
    <w:rsid w:val="000949AD"/>
    <w:rsid w:val="00095109"/>
    <w:rsid w:val="00096B0F"/>
    <w:rsid w:val="000A1A15"/>
    <w:rsid w:val="000A490E"/>
    <w:rsid w:val="000A7FFC"/>
    <w:rsid w:val="000B04C5"/>
    <w:rsid w:val="000B58B8"/>
    <w:rsid w:val="000B612F"/>
    <w:rsid w:val="000B63CA"/>
    <w:rsid w:val="000B752A"/>
    <w:rsid w:val="000C14D9"/>
    <w:rsid w:val="000C15C7"/>
    <w:rsid w:val="000D4EDE"/>
    <w:rsid w:val="000D649C"/>
    <w:rsid w:val="000E2460"/>
    <w:rsid w:val="000E2B1C"/>
    <w:rsid w:val="000E43AC"/>
    <w:rsid w:val="000E49C1"/>
    <w:rsid w:val="000E5809"/>
    <w:rsid w:val="000E6E37"/>
    <w:rsid w:val="000F06C1"/>
    <w:rsid w:val="000F0E6F"/>
    <w:rsid w:val="000F2D57"/>
    <w:rsid w:val="000F62C5"/>
    <w:rsid w:val="001018A5"/>
    <w:rsid w:val="001025AE"/>
    <w:rsid w:val="00106500"/>
    <w:rsid w:val="00106F56"/>
    <w:rsid w:val="001141D8"/>
    <w:rsid w:val="00115A39"/>
    <w:rsid w:val="00115A53"/>
    <w:rsid w:val="00116AEF"/>
    <w:rsid w:val="00117479"/>
    <w:rsid w:val="00123576"/>
    <w:rsid w:val="001241CB"/>
    <w:rsid w:val="00124B21"/>
    <w:rsid w:val="001327B8"/>
    <w:rsid w:val="00132FE8"/>
    <w:rsid w:val="0013471B"/>
    <w:rsid w:val="00134B76"/>
    <w:rsid w:val="001352D4"/>
    <w:rsid w:val="001367EE"/>
    <w:rsid w:val="00140969"/>
    <w:rsid w:val="00142132"/>
    <w:rsid w:val="00147967"/>
    <w:rsid w:val="00152A72"/>
    <w:rsid w:val="0015394F"/>
    <w:rsid w:val="001541A7"/>
    <w:rsid w:val="00155789"/>
    <w:rsid w:val="0015680B"/>
    <w:rsid w:val="00157C98"/>
    <w:rsid w:val="0016318E"/>
    <w:rsid w:val="00163BD0"/>
    <w:rsid w:val="00163E00"/>
    <w:rsid w:val="001653B6"/>
    <w:rsid w:val="00165BF6"/>
    <w:rsid w:val="00172E33"/>
    <w:rsid w:val="00174039"/>
    <w:rsid w:val="00174B0F"/>
    <w:rsid w:val="00180361"/>
    <w:rsid w:val="0018235E"/>
    <w:rsid w:val="00182B33"/>
    <w:rsid w:val="00183CC1"/>
    <w:rsid w:val="00184187"/>
    <w:rsid w:val="00184669"/>
    <w:rsid w:val="00184B1B"/>
    <w:rsid w:val="001877AB"/>
    <w:rsid w:val="0019006C"/>
    <w:rsid w:val="001A0B55"/>
    <w:rsid w:val="001A4EA4"/>
    <w:rsid w:val="001A5432"/>
    <w:rsid w:val="001A664F"/>
    <w:rsid w:val="001A70A9"/>
    <w:rsid w:val="001A74A7"/>
    <w:rsid w:val="001B2DB7"/>
    <w:rsid w:val="001B31E2"/>
    <w:rsid w:val="001B3A9F"/>
    <w:rsid w:val="001B602C"/>
    <w:rsid w:val="001B7121"/>
    <w:rsid w:val="001B7879"/>
    <w:rsid w:val="001C276D"/>
    <w:rsid w:val="001C3BA9"/>
    <w:rsid w:val="001D0384"/>
    <w:rsid w:val="001D03E8"/>
    <w:rsid w:val="001D06B0"/>
    <w:rsid w:val="001D0C02"/>
    <w:rsid w:val="001D247D"/>
    <w:rsid w:val="001D3D43"/>
    <w:rsid w:val="001D4A47"/>
    <w:rsid w:val="001E0F51"/>
    <w:rsid w:val="001E55BF"/>
    <w:rsid w:val="001E6ACE"/>
    <w:rsid w:val="001E6BCB"/>
    <w:rsid w:val="001F6E1A"/>
    <w:rsid w:val="001F73AE"/>
    <w:rsid w:val="001F780A"/>
    <w:rsid w:val="001F7917"/>
    <w:rsid w:val="00200613"/>
    <w:rsid w:val="00202B32"/>
    <w:rsid w:val="002101C5"/>
    <w:rsid w:val="00211AFD"/>
    <w:rsid w:val="002143E2"/>
    <w:rsid w:val="00214883"/>
    <w:rsid w:val="002156F6"/>
    <w:rsid w:val="00216D06"/>
    <w:rsid w:val="00220550"/>
    <w:rsid w:val="00222497"/>
    <w:rsid w:val="00226BE0"/>
    <w:rsid w:val="002301A2"/>
    <w:rsid w:val="00233C61"/>
    <w:rsid w:val="00236B40"/>
    <w:rsid w:val="00236C2D"/>
    <w:rsid w:val="00237201"/>
    <w:rsid w:val="002374B7"/>
    <w:rsid w:val="002379C5"/>
    <w:rsid w:val="00240126"/>
    <w:rsid w:val="002411C7"/>
    <w:rsid w:val="0024177C"/>
    <w:rsid w:val="00241D16"/>
    <w:rsid w:val="00242384"/>
    <w:rsid w:val="0024304D"/>
    <w:rsid w:val="00244826"/>
    <w:rsid w:val="00244B0A"/>
    <w:rsid w:val="00247ACA"/>
    <w:rsid w:val="00252604"/>
    <w:rsid w:val="0025287F"/>
    <w:rsid w:val="00252E6A"/>
    <w:rsid w:val="00253DD2"/>
    <w:rsid w:val="00254015"/>
    <w:rsid w:val="00255A20"/>
    <w:rsid w:val="0025782A"/>
    <w:rsid w:val="00263414"/>
    <w:rsid w:val="002634AC"/>
    <w:rsid w:val="002661A6"/>
    <w:rsid w:val="00266C23"/>
    <w:rsid w:val="002670B4"/>
    <w:rsid w:val="0026722A"/>
    <w:rsid w:val="00267C9C"/>
    <w:rsid w:val="00272A2C"/>
    <w:rsid w:val="00277D6C"/>
    <w:rsid w:val="00283A92"/>
    <w:rsid w:val="00286EAD"/>
    <w:rsid w:val="00290789"/>
    <w:rsid w:val="00292A60"/>
    <w:rsid w:val="0029389B"/>
    <w:rsid w:val="00293DD7"/>
    <w:rsid w:val="002A1894"/>
    <w:rsid w:val="002A2188"/>
    <w:rsid w:val="002A36F2"/>
    <w:rsid w:val="002A5C73"/>
    <w:rsid w:val="002A7D14"/>
    <w:rsid w:val="002B0913"/>
    <w:rsid w:val="002B28E4"/>
    <w:rsid w:val="002B4322"/>
    <w:rsid w:val="002B49A3"/>
    <w:rsid w:val="002B5EBC"/>
    <w:rsid w:val="002B7504"/>
    <w:rsid w:val="002C0D97"/>
    <w:rsid w:val="002C66D1"/>
    <w:rsid w:val="002C7065"/>
    <w:rsid w:val="002C7D73"/>
    <w:rsid w:val="002C7F4A"/>
    <w:rsid w:val="002D012D"/>
    <w:rsid w:val="002D2804"/>
    <w:rsid w:val="002D3319"/>
    <w:rsid w:val="002D4B6C"/>
    <w:rsid w:val="002D5274"/>
    <w:rsid w:val="002E0086"/>
    <w:rsid w:val="002E0C86"/>
    <w:rsid w:val="002E1EE3"/>
    <w:rsid w:val="002E447D"/>
    <w:rsid w:val="002F0135"/>
    <w:rsid w:val="002F0C2C"/>
    <w:rsid w:val="00300655"/>
    <w:rsid w:val="0030075D"/>
    <w:rsid w:val="00300B33"/>
    <w:rsid w:val="00301BB1"/>
    <w:rsid w:val="00303D18"/>
    <w:rsid w:val="00304AA3"/>
    <w:rsid w:val="0030511E"/>
    <w:rsid w:val="00307ADD"/>
    <w:rsid w:val="00307E55"/>
    <w:rsid w:val="00312A66"/>
    <w:rsid w:val="003130CA"/>
    <w:rsid w:val="003163CB"/>
    <w:rsid w:val="00316C40"/>
    <w:rsid w:val="00317D3C"/>
    <w:rsid w:val="00321180"/>
    <w:rsid w:val="00321646"/>
    <w:rsid w:val="0032180D"/>
    <w:rsid w:val="00324D88"/>
    <w:rsid w:val="003306A5"/>
    <w:rsid w:val="00344C85"/>
    <w:rsid w:val="003454BC"/>
    <w:rsid w:val="003541C2"/>
    <w:rsid w:val="00355D40"/>
    <w:rsid w:val="00360C79"/>
    <w:rsid w:val="0036114A"/>
    <w:rsid w:val="00371AAC"/>
    <w:rsid w:val="00371F54"/>
    <w:rsid w:val="00374612"/>
    <w:rsid w:val="003775CD"/>
    <w:rsid w:val="0037770C"/>
    <w:rsid w:val="00377C8B"/>
    <w:rsid w:val="00383A95"/>
    <w:rsid w:val="00385CA0"/>
    <w:rsid w:val="003907CB"/>
    <w:rsid w:val="00392BC0"/>
    <w:rsid w:val="0039585F"/>
    <w:rsid w:val="003A08B8"/>
    <w:rsid w:val="003A2733"/>
    <w:rsid w:val="003A3021"/>
    <w:rsid w:val="003A3B8F"/>
    <w:rsid w:val="003A4483"/>
    <w:rsid w:val="003A4D41"/>
    <w:rsid w:val="003A627E"/>
    <w:rsid w:val="003A79EE"/>
    <w:rsid w:val="003B45AB"/>
    <w:rsid w:val="003B5039"/>
    <w:rsid w:val="003B6E16"/>
    <w:rsid w:val="003C180A"/>
    <w:rsid w:val="003C1E25"/>
    <w:rsid w:val="003C76D4"/>
    <w:rsid w:val="003C7902"/>
    <w:rsid w:val="003D27CB"/>
    <w:rsid w:val="003D292C"/>
    <w:rsid w:val="003D329D"/>
    <w:rsid w:val="003E1863"/>
    <w:rsid w:val="003E1BB3"/>
    <w:rsid w:val="003E204A"/>
    <w:rsid w:val="003E2609"/>
    <w:rsid w:val="003E38D4"/>
    <w:rsid w:val="003E4825"/>
    <w:rsid w:val="003E6BF6"/>
    <w:rsid w:val="003E72CD"/>
    <w:rsid w:val="003F0F0D"/>
    <w:rsid w:val="003F6DA6"/>
    <w:rsid w:val="00400776"/>
    <w:rsid w:val="0040173E"/>
    <w:rsid w:val="00410B5F"/>
    <w:rsid w:val="0041562A"/>
    <w:rsid w:val="00416B34"/>
    <w:rsid w:val="00421BDE"/>
    <w:rsid w:val="0042373F"/>
    <w:rsid w:val="004248E4"/>
    <w:rsid w:val="00426426"/>
    <w:rsid w:val="00431710"/>
    <w:rsid w:val="00431A99"/>
    <w:rsid w:val="0043361E"/>
    <w:rsid w:val="00434208"/>
    <w:rsid w:val="00434A5B"/>
    <w:rsid w:val="00435339"/>
    <w:rsid w:val="004410DC"/>
    <w:rsid w:val="0044248C"/>
    <w:rsid w:val="0044447D"/>
    <w:rsid w:val="0044482D"/>
    <w:rsid w:val="00450C67"/>
    <w:rsid w:val="00452279"/>
    <w:rsid w:val="00457611"/>
    <w:rsid w:val="0046020A"/>
    <w:rsid w:val="00460CF7"/>
    <w:rsid w:val="00462459"/>
    <w:rsid w:val="00463FA8"/>
    <w:rsid w:val="00464196"/>
    <w:rsid w:val="0046614E"/>
    <w:rsid w:val="00466648"/>
    <w:rsid w:val="004728FF"/>
    <w:rsid w:val="00472CBC"/>
    <w:rsid w:val="0047492D"/>
    <w:rsid w:val="004765B3"/>
    <w:rsid w:val="00480965"/>
    <w:rsid w:val="004843CA"/>
    <w:rsid w:val="00485AAD"/>
    <w:rsid w:val="00487AF0"/>
    <w:rsid w:val="00493374"/>
    <w:rsid w:val="00493DAA"/>
    <w:rsid w:val="00494335"/>
    <w:rsid w:val="00495A4C"/>
    <w:rsid w:val="004964A9"/>
    <w:rsid w:val="004967A1"/>
    <w:rsid w:val="004A0FE7"/>
    <w:rsid w:val="004A1269"/>
    <w:rsid w:val="004A18CF"/>
    <w:rsid w:val="004A1AB5"/>
    <w:rsid w:val="004A29F6"/>
    <w:rsid w:val="004A58E5"/>
    <w:rsid w:val="004A6585"/>
    <w:rsid w:val="004A6D37"/>
    <w:rsid w:val="004B584E"/>
    <w:rsid w:val="004B7609"/>
    <w:rsid w:val="004C1106"/>
    <w:rsid w:val="004C2A52"/>
    <w:rsid w:val="004C4D4F"/>
    <w:rsid w:val="004C50AC"/>
    <w:rsid w:val="004C6D4B"/>
    <w:rsid w:val="004C766B"/>
    <w:rsid w:val="004D0531"/>
    <w:rsid w:val="004D16C6"/>
    <w:rsid w:val="004D23C3"/>
    <w:rsid w:val="004D2DDE"/>
    <w:rsid w:val="004D33E3"/>
    <w:rsid w:val="004D76C1"/>
    <w:rsid w:val="004D7C22"/>
    <w:rsid w:val="004E2269"/>
    <w:rsid w:val="004E451A"/>
    <w:rsid w:val="004F0E3E"/>
    <w:rsid w:val="004F1433"/>
    <w:rsid w:val="004F16CA"/>
    <w:rsid w:val="004F277D"/>
    <w:rsid w:val="004F3339"/>
    <w:rsid w:val="004F7141"/>
    <w:rsid w:val="004F72A2"/>
    <w:rsid w:val="004F78E5"/>
    <w:rsid w:val="00500B1E"/>
    <w:rsid w:val="005020B3"/>
    <w:rsid w:val="005026D4"/>
    <w:rsid w:val="00503A51"/>
    <w:rsid w:val="005052F0"/>
    <w:rsid w:val="00506774"/>
    <w:rsid w:val="00506B32"/>
    <w:rsid w:val="00512309"/>
    <w:rsid w:val="00512EBF"/>
    <w:rsid w:val="00514042"/>
    <w:rsid w:val="0052710C"/>
    <w:rsid w:val="00541D54"/>
    <w:rsid w:val="00542522"/>
    <w:rsid w:val="00543472"/>
    <w:rsid w:val="0054526E"/>
    <w:rsid w:val="00545CE1"/>
    <w:rsid w:val="00546297"/>
    <w:rsid w:val="005476B5"/>
    <w:rsid w:val="005510C2"/>
    <w:rsid w:val="005549D7"/>
    <w:rsid w:val="00555A40"/>
    <w:rsid w:val="005602DA"/>
    <w:rsid w:val="00560CAF"/>
    <w:rsid w:val="00562087"/>
    <w:rsid w:val="005628DB"/>
    <w:rsid w:val="00566E15"/>
    <w:rsid w:val="005678FC"/>
    <w:rsid w:val="0057138A"/>
    <w:rsid w:val="0057160B"/>
    <w:rsid w:val="00573327"/>
    <w:rsid w:val="00573F5D"/>
    <w:rsid w:val="00574BA1"/>
    <w:rsid w:val="00575099"/>
    <w:rsid w:val="00576503"/>
    <w:rsid w:val="00577D9B"/>
    <w:rsid w:val="005868BC"/>
    <w:rsid w:val="005921A3"/>
    <w:rsid w:val="0059224A"/>
    <w:rsid w:val="00592F64"/>
    <w:rsid w:val="00593A9D"/>
    <w:rsid w:val="005978ED"/>
    <w:rsid w:val="005A3F63"/>
    <w:rsid w:val="005A59D0"/>
    <w:rsid w:val="005B073E"/>
    <w:rsid w:val="005B0749"/>
    <w:rsid w:val="005B227F"/>
    <w:rsid w:val="005B7801"/>
    <w:rsid w:val="005C0F32"/>
    <w:rsid w:val="005C5891"/>
    <w:rsid w:val="005C641B"/>
    <w:rsid w:val="005D04CC"/>
    <w:rsid w:val="005D3222"/>
    <w:rsid w:val="005D3584"/>
    <w:rsid w:val="005D5FAE"/>
    <w:rsid w:val="005E09EE"/>
    <w:rsid w:val="005E1077"/>
    <w:rsid w:val="005E362E"/>
    <w:rsid w:val="005E4BC9"/>
    <w:rsid w:val="005E6D81"/>
    <w:rsid w:val="005F0C9F"/>
    <w:rsid w:val="005F29B7"/>
    <w:rsid w:val="005F3EF2"/>
    <w:rsid w:val="005F4892"/>
    <w:rsid w:val="005F72D5"/>
    <w:rsid w:val="00600114"/>
    <w:rsid w:val="00601D70"/>
    <w:rsid w:val="0060250D"/>
    <w:rsid w:val="00606EB5"/>
    <w:rsid w:val="00606FC8"/>
    <w:rsid w:val="006163ED"/>
    <w:rsid w:val="006167D4"/>
    <w:rsid w:val="00616C90"/>
    <w:rsid w:val="006179AA"/>
    <w:rsid w:val="00617FDA"/>
    <w:rsid w:val="0062116F"/>
    <w:rsid w:val="006212E3"/>
    <w:rsid w:val="00623E74"/>
    <w:rsid w:val="00623FD7"/>
    <w:rsid w:val="00624D94"/>
    <w:rsid w:val="00626087"/>
    <w:rsid w:val="00631DD4"/>
    <w:rsid w:val="00634E4C"/>
    <w:rsid w:val="00636B8B"/>
    <w:rsid w:val="00641EAA"/>
    <w:rsid w:val="006427FE"/>
    <w:rsid w:val="0065007E"/>
    <w:rsid w:val="006506C1"/>
    <w:rsid w:val="00657459"/>
    <w:rsid w:val="0065747A"/>
    <w:rsid w:val="00661FE3"/>
    <w:rsid w:val="00662E28"/>
    <w:rsid w:val="00663820"/>
    <w:rsid w:val="006659BE"/>
    <w:rsid w:val="0066674D"/>
    <w:rsid w:val="00666A78"/>
    <w:rsid w:val="00670B59"/>
    <w:rsid w:val="00676C12"/>
    <w:rsid w:val="00683006"/>
    <w:rsid w:val="00687AED"/>
    <w:rsid w:val="00691661"/>
    <w:rsid w:val="00691774"/>
    <w:rsid w:val="006921EE"/>
    <w:rsid w:val="0069375D"/>
    <w:rsid w:val="0069407C"/>
    <w:rsid w:val="0069574E"/>
    <w:rsid w:val="006969C0"/>
    <w:rsid w:val="006A1921"/>
    <w:rsid w:val="006A1AE4"/>
    <w:rsid w:val="006A1B8B"/>
    <w:rsid w:val="006A2303"/>
    <w:rsid w:val="006A2C82"/>
    <w:rsid w:val="006A2E4A"/>
    <w:rsid w:val="006A4F92"/>
    <w:rsid w:val="006A555E"/>
    <w:rsid w:val="006B25E4"/>
    <w:rsid w:val="006B4C5B"/>
    <w:rsid w:val="006B5592"/>
    <w:rsid w:val="006B5661"/>
    <w:rsid w:val="006B5E55"/>
    <w:rsid w:val="006B76C6"/>
    <w:rsid w:val="006C1876"/>
    <w:rsid w:val="006C6476"/>
    <w:rsid w:val="006D240D"/>
    <w:rsid w:val="006D2A45"/>
    <w:rsid w:val="006D315C"/>
    <w:rsid w:val="006D71B8"/>
    <w:rsid w:val="006D7E27"/>
    <w:rsid w:val="006D7E44"/>
    <w:rsid w:val="006E0FB8"/>
    <w:rsid w:val="006E4206"/>
    <w:rsid w:val="006E4272"/>
    <w:rsid w:val="006E62BE"/>
    <w:rsid w:val="006E7730"/>
    <w:rsid w:val="006F145A"/>
    <w:rsid w:val="006F27CB"/>
    <w:rsid w:val="006F359B"/>
    <w:rsid w:val="006F4962"/>
    <w:rsid w:val="006F5865"/>
    <w:rsid w:val="0070031C"/>
    <w:rsid w:val="00701EC6"/>
    <w:rsid w:val="00705F10"/>
    <w:rsid w:val="00706179"/>
    <w:rsid w:val="00712980"/>
    <w:rsid w:val="00714F78"/>
    <w:rsid w:val="007152B0"/>
    <w:rsid w:val="007170F7"/>
    <w:rsid w:val="00717589"/>
    <w:rsid w:val="00722F9F"/>
    <w:rsid w:val="007250F5"/>
    <w:rsid w:val="007253B8"/>
    <w:rsid w:val="00727AF2"/>
    <w:rsid w:val="00730D33"/>
    <w:rsid w:val="0073641C"/>
    <w:rsid w:val="00736E7D"/>
    <w:rsid w:val="00741EDB"/>
    <w:rsid w:val="00743AE5"/>
    <w:rsid w:val="007509A6"/>
    <w:rsid w:val="0075171C"/>
    <w:rsid w:val="00751F50"/>
    <w:rsid w:val="00752B5B"/>
    <w:rsid w:val="00753F83"/>
    <w:rsid w:val="00754147"/>
    <w:rsid w:val="007541B0"/>
    <w:rsid w:val="0075469B"/>
    <w:rsid w:val="00754EF9"/>
    <w:rsid w:val="00755163"/>
    <w:rsid w:val="00756AAB"/>
    <w:rsid w:val="00756AAD"/>
    <w:rsid w:val="00757F63"/>
    <w:rsid w:val="007605EB"/>
    <w:rsid w:val="007645AE"/>
    <w:rsid w:val="00764992"/>
    <w:rsid w:val="00765749"/>
    <w:rsid w:val="00771075"/>
    <w:rsid w:val="007720F8"/>
    <w:rsid w:val="0077507F"/>
    <w:rsid w:val="00775AA0"/>
    <w:rsid w:val="007770FA"/>
    <w:rsid w:val="00783706"/>
    <w:rsid w:val="00785A6B"/>
    <w:rsid w:val="00791738"/>
    <w:rsid w:val="00791780"/>
    <w:rsid w:val="00792D37"/>
    <w:rsid w:val="0079390C"/>
    <w:rsid w:val="007964B9"/>
    <w:rsid w:val="007A0EB7"/>
    <w:rsid w:val="007A1BED"/>
    <w:rsid w:val="007A719D"/>
    <w:rsid w:val="007B100A"/>
    <w:rsid w:val="007B2C90"/>
    <w:rsid w:val="007B35CD"/>
    <w:rsid w:val="007B578F"/>
    <w:rsid w:val="007B6871"/>
    <w:rsid w:val="007B7899"/>
    <w:rsid w:val="007C08B1"/>
    <w:rsid w:val="007C2CC2"/>
    <w:rsid w:val="007C38BD"/>
    <w:rsid w:val="007C79AA"/>
    <w:rsid w:val="007D0364"/>
    <w:rsid w:val="007D1955"/>
    <w:rsid w:val="007D31DA"/>
    <w:rsid w:val="007D3B82"/>
    <w:rsid w:val="007D72C5"/>
    <w:rsid w:val="007E1D1C"/>
    <w:rsid w:val="007E525D"/>
    <w:rsid w:val="007E5A0D"/>
    <w:rsid w:val="007E7735"/>
    <w:rsid w:val="007E77DF"/>
    <w:rsid w:val="007F0323"/>
    <w:rsid w:val="007F379E"/>
    <w:rsid w:val="007F471C"/>
    <w:rsid w:val="00800C90"/>
    <w:rsid w:val="00807147"/>
    <w:rsid w:val="00810AD4"/>
    <w:rsid w:val="00811CBB"/>
    <w:rsid w:val="008125F8"/>
    <w:rsid w:val="00815AAC"/>
    <w:rsid w:val="008208A8"/>
    <w:rsid w:val="00821EFD"/>
    <w:rsid w:val="00822973"/>
    <w:rsid w:val="008234D8"/>
    <w:rsid w:val="00826012"/>
    <w:rsid w:val="00833C75"/>
    <w:rsid w:val="00834CE0"/>
    <w:rsid w:val="00835F9D"/>
    <w:rsid w:val="0084110F"/>
    <w:rsid w:val="008435C8"/>
    <w:rsid w:val="00844B1D"/>
    <w:rsid w:val="00844F5C"/>
    <w:rsid w:val="00845843"/>
    <w:rsid w:val="00846D34"/>
    <w:rsid w:val="00847646"/>
    <w:rsid w:val="00854C33"/>
    <w:rsid w:val="008567D0"/>
    <w:rsid w:val="008629B7"/>
    <w:rsid w:val="00863020"/>
    <w:rsid w:val="008637EC"/>
    <w:rsid w:val="00870BC6"/>
    <w:rsid w:val="00872B82"/>
    <w:rsid w:val="00873384"/>
    <w:rsid w:val="00875DAD"/>
    <w:rsid w:val="00876761"/>
    <w:rsid w:val="00877B84"/>
    <w:rsid w:val="00877E5F"/>
    <w:rsid w:val="0088036D"/>
    <w:rsid w:val="00881155"/>
    <w:rsid w:val="00882892"/>
    <w:rsid w:val="00885A14"/>
    <w:rsid w:val="0088689B"/>
    <w:rsid w:val="00890FA0"/>
    <w:rsid w:val="00891566"/>
    <w:rsid w:val="008947BF"/>
    <w:rsid w:val="00897351"/>
    <w:rsid w:val="008A0CAB"/>
    <w:rsid w:val="008A0CBE"/>
    <w:rsid w:val="008A1CA8"/>
    <w:rsid w:val="008A214D"/>
    <w:rsid w:val="008A3E8A"/>
    <w:rsid w:val="008A55D4"/>
    <w:rsid w:val="008A6F4A"/>
    <w:rsid w:val="008A72D2"/>
    <w:rsid w:val="008A74A3"/>
    <w:rsid w:val="008B6209"/>
    <w:rsid w:val="008B6868"/>
    <w:rsid w:val="008B6D24"/>
    <w:rsid w:val="008C0879"/>
    <w:rsid w:val="008C08AA"/>
    <w:rsid w:val="008C34F7"/>
    <w:rsid w:val="008C59F7"/>
    <w:rsid w:val="008C6A43"/>
    <w:rsid w:val="008D080C"/>
    <w:rsid w:val="008D1867"/>
    <w:rsid w:val="008D213B"/>
    <w:rsid w:val="008D6437"/>
    <w:rsid w:val="008D6EDF"/>
    <w:rsid w:val="008E2C3D"/>
    <w:rsid w:val="008E3EF5"/>
    <w:rsid w:val="008E42FE"/>
    <w:rsid w:val="008E712A"/>
    <w:rsid w:val="008E7BDF"/>
    <w:rsid w:val="008F33B5"/>
    <w:rsid w:val="008F77AA"/>
    <w:rsid w:val="00901414"/>
    <w:rsid w:val="00901526"/>
    <w:rsid w:val="00901745"/>
    <w:rsid w:val="00904CC7"/>
    <w:rsid w:val="00905CDA"/>
    <w:rsid w:val="00906799"/>
    <w:rsid w:val="009129C3"/>
    <w:rsid w:val="009136D0"/>
    <w:rsid w:val="009205B7"/>
    <w:rsid w:val="00921181"/>
    <w:rsid w:val="00922193"/>
    <w:rsid w:val="00922C7C"/>
    <w:rsid w:val="00924152"/>
    <w:rsid w:val="0092565C"/>
    <w:rsid w:val="00926477"/>
    <w:rsid w:val="00930A1C"/>
    <w:rsid w:val="009313CF"/>
    <w:rsid w:val="0093194D"/>
    <w:rsid w:val="00934C3F"/>
    <w:rsid w:val="00934EF5"/>
    <w:rsid w:val="00937846"/>
    <w:rsid w:val="00937D36"/>
    <w:rsid w:val="009417AE"/>
    <w:rsid w:val="0094294C"/>
    <w:rsid w:val="00943AA5"/>
    <w:rsid w:val="00945B3F"/>
    <w:rsid w:val="00946B99"/>
    <w:rsid w:val="00950DCB"/>
    <w:rsid w:val="00952D47"/>
    <w:rsid w:val="00952D4C"/>
    <w:rsid w:val="009535CD"/>
    <w:rsid w:val="00960246"/>
    <w:rsid w:val="00965088"/>
    <w:rsid w:val="00970AD7"/>
    <w:rsid w:val="009720E1"/>
    <w:rsid w:val="00974F0E"/>
    <w:rsid w:val="00975CD7"/>
    <w:rsid w:val="00980CA1"/>
    <w:rsid w:val="0098536D"/>
    <w:rsid w:val="00985E70"/>
    <w:rsid w:val="0098783B"/>
    <w:rsid w:val="00991001"/>
    <w:rsid w:val="00993C2B"/>
    <w:rsid w:val="00996086"/>
    <w:rsid w:val="0099798A"/>
    <w:rsid w:val="009979F4"/>
    <w:rsid w:val="009A246D"/>
    <w:rsid w:val="009A45B2"/>
    <w:rsid w:val="009A5585"/>
    <w:rsid w:val="009A59D5"/>
    <w:rsid w:val="009A7E40"/>
    <w:rsid w:val="009B161B"/>
    <w:rsid w:val="009B1E4F"/>
    <w:rsid w:val="009B2CB7"/>
    <w:rsid w:val="009B3107"/>
    <w:rsid w:val="009B4B13"/>
    <w:rsid w:val="009B7F86"/>
    <w:rsid w:val="009C2198"/>
    <w:rsid w:val="009C655D"/>
    <w:rsid w:val="009D2DDD"/>
    <w:rsid w:val="009D2F27"/>
    <w:rsid w:val="009D4911"/>
    <w:rsid w:val="009E0C10"/>
    <w:rsid w:val="009E275D"/>
    <w:rsid w:val="009E4116"/>
    <w:rsid w:val="009E529F"/>
    <w:rsid w:val="009F489A"/>
    <w:rsid w:val="00A0363E"/>
    <w:rsid w:val="00A10DA6"/>
    <w:rsid w:val="00A151E9"/>
    <w:rsid w:val="00A15DBB"/>
    <w:rsid w:val="00A259F2"/>
    <w:rsid w:val="00A2758A"/>
    <w:rsid w:val="00A33802"/>
    <w:rsid w:val="00A34ADD"/>
    <w:rsid w:val="00A3518F"/>
    <w:rsid w:val="00A37162"/>
    <w:rsid w:val="00A37E51"/>
    <w:rsid w:val="00A4042C"/>
    <w:rsid w:val="00A42646"/>
    <w:rsid w:val="00A47F36"/>
    <w:rsid w:val="00A503F1"/>
    <w:rsid w:val="00A50B51"/>
    <w:rsid w:val="00A51C92"/>
    <w:rsid w:val="00A51E2D"/>
    <w:rsid w:val="00A5319F"/>
    <w:rsid w:val="00A533A9"/>
    <w:rsid w:val="00A53690"/>
    <w:rsid w:val="00A54193"/>
    <w:rsid w:val="00A56690"/>
    <w:rsid w:val="00A579DB"/>
    <w:rsid w:val="00A60393"/>
    <w:rsid w:val="00A62D31"/>
    <w:rsid w:val="00A63380"/>
    <w:rsid w:val="00A7612F"/>
    <w:rsid w:val="00A8129D"/>
    <w:rsid w:val="00A82188"/>
    <w:rsid w:val="00A865C7"/>
    <w:rsid w:val="00A879C8"/>
    <w:rsid w:val="00A909CC"/>
    <w:rsid w:val="00A9123F"/>
    <w:rsid w:val="00A942CA"/>
    <w:rsid w:val="00A953A2"/>
    <w:rsid w:val="00A95A4A"/>
    <w:rsid w:val="00A964A5"/>
    <w:rsid w:val="00A97D1D"/>
    <w:rsid w:val="00A97E3B"/>
    <w:rsid w:val="00A97FC9"/>
    <w:rsid w:val="00AA00CB"/>
    <w:rsid w:val="00AA1756"/>
    <w:rsid w:val="00AA20A1"/>
    <w:rsid w:val="00AA330D"/>
    <w:rsid w:val="00AA41F2"/>
    <w:rsid w:val="00AA555F"/>
    <w:rsid w:val="00AA6372"/>
    <w:rsid w:val="00AA6D98"/>
    <w:rsid w:val="00AB039E"/>
    <w:rsid w:val="00AB1362"/>
    <w:rsid w:val="00AB251B"/>
    <w:rsid w:val="00AB2FFA"/>
    <w:rsid w:val="00AB4206"/>
    <w:rsid w:val="00AB556C"/>
    <w:rsid w:val="00AB6D78"/>
    <w:rsid w:val="00AC1727"/>
    <w:rsid w:val="00AC18CD"/>
    <w:rsid w:val="00AC6B54"/>
    <w:rsid w:val="00AC7E54"/>
    <w:rsid w:val="00AD11AC"/>
    <w:rsid w:val="00AD51FB"/>
    <w:rsid w:val="00AD72D9"/>
    <w:rsid w:val="00AE2030"/>
    <w:rsid w:val="00AE43C8"/>
    <w:rsid w:val="00AE6A4E"/>
    <w:rsid w:val="00AE7774"/>
    <w:rsid w:val="00AE7B98"/>
    <w:rsid w:val="00AF05B2"/>
    <w:rsid w:val="00AF129F"/>
    <w:rsid w:val="00AF4687"/>
    <w:rsid w:val="00AF47EF"/>
    <w:rsid w:val="00AF4E7F"/>
    <w:rsid w:val="00AF67D4"/>
    <w:rsid w:val="00B00689"/>
    <w:rsid w:val="00B0148E"/>
    <w:rsid w:val="00B06E21"/>
    <w:rsid w:val="00B07F39"/>
    <w:rsid w:val="00B1133D"/>
    <w:rsid w:val="00B12DC9"/>
    <w:rsid w:val="00B13F84"/>
    <w:rsid w:val="00B14604"/>
    <w:rsid w:val="00B1471C"/>
    <w:rsid w:val="00B155D3"/>
    <w:rsid w:val="00B15ABA"/>
    <w:rsid w:val="00B20FA0"/>
    <w:rsid w:val="00B22043"/>
    <w:rsid w:val="00B2413B"/>
    <w:rsid w:val="00B24DD4"/>
    <w:rsid w:val="00B33A8A"/>
    <w:rsid w:val="00B34339"/>
    <w:rsid w:val="00B3614E"/>
    <w:rsid w:val="00B40B7D"/>
    <w:rsid w:val="00B42B2F"/>
    <w:rsid w:val="00B42E8D"/>
    <w:rsid w:val="00B44900"/>
    <w:rsid w:val="00B467F6"/>
    <w:rsid w:val="00B472E1"/>
    <w:rsid w:val="00B47A14"/>
    <w:rsid w:val="00B52217"/>
    <w:rsid w:val="00B52821"/>
    <w:rsid w:val="00B56C63"/>
    <w:rsid w:val="00B664C7"/>
    <w:rsid w:val="00B666A7"/>
    <w:rsid w:val="00B670E9"/>
    <w:rsid w:val="00B71170"/>
    <w:rsid w:val="00B74DCE"/>
    <w:rsid w:val="00B74F21"/>
    <w:rsid w:val="00B75A5B"/>
    <w:rsid w:val="00B77A80"/>
    <w:rsid w:val="00B77B01"/>
    <w:rsid w:val="00B77BA2"/>
    <w:rsid w:val="00B80BCE"/>
    <w:rsid w:val="00B81524"/>
    <w:rsid w:val="00B81740"/>
    <w:rsid w:val="00B82726"/>
    <w:rsid w:val="00B82D18"/>
    <w:rsid w:val="00B83542"/>
    <w:rsid w:val="00B83763"/>
    <w:rsid w:val="00B83E7C"/>
    <w:rsid w:val="00B85D7B"/>
    <w:rsid w:val="00B900EA"/>
    <w:rsid w:val="00B91069"/>
    <w:rsid w:val="00B92842"/>
    <w:rsid w:val="00BA0B67"/>
    <w:rsid w:val="00BA2713"/>
    <w:rsid w:val="00BA2941"/>
    <w:rsid w:val="00BA4C61"/>
    <w:rsid w:val="00BA627A"/>
    <w:rsid w:val="00BB22FA"/>
    <w:rsid w:val="00BB7280"/>
    <w:rsid w:val="00BC0D2F"/>
    <w:rsid w:val="00BC1E70"/>
    <w:rsid w:val="00BC3948"/>
    <w:rsid w:val="00BD0610"/>
    <w:rsid w:val="00BD12A1"/>
    <w:rsid w:val="00BD1608"/>
    <w:rsid w:val="00BD1D09"/>
    <w:rsid w:val="00BD50C1"/>
    <w:rsid w:val="00BD77F4"/>
    <w:rsid w:val="00BD7B83"/>
    <w:rsid w:val="00BE0662"/>
    <w:rsid w:val="00BE0C04"/>
    <w:rsid w:val="00BE214D"/>
    <w:rsid w:val="00BE625B"/>
    <w:rsid w:val="00BF17C6"/>
    <w:rsid w:val="00BF5B8B"/>
    <w:rsid w:val="00BF6F09"/>
    <w:rsid w:val="00C00FDA"/>
    <w:rsid w:val="00C01A60"/>
    <w:rsid w:val="00C02EB9"/>
    <w:rsid w:val="00C0373C"/>
    <w:rsid w:val="00C04E4B"/>
    <w:rsid w:val="00C11531"/>
    <w:rsid w:val="00C11B56"/>
    <w:rsid w:val="00C13AB6"/>
    <w:rsid w:val="00C14C04"/>
    <w:rsid w:val="00C1529E"/>
    <w:rsid w:val="00C1546E"/>
    <w:rsid w:val="00C16045"/>
    <w:rsid w:val="00C16050"/>
    <w:rsid w:val="00C16053"/>
    <w:rsid w:val="00C175CC"/>
    <w:rsid w:val="00C21E27"/>
    <w:rsid w:val="00C2332A"/>
    <w:rsid w:val="00C333EF"/>
    <w:rsid w:val="00C3446D"/>
    <w:rsid w:val="00C3686B"/>
    <w:rsid w:val="00C42EA5"/>
    <w:rsid w:val="00C45FAA"/>
    <w:rsid w:val="00C52416"/>
    <w:rsid w:val="00C62796"/>
    <w:rsid w:val="00C62BF5"/>
    <w:rsid w:val="00C636DA"/>
    <w:rsid w:val="00C641A6"/>
    <w:rsid w:val="00C67E22"/>
    <w:rsid w:val="00C72271"/>
    <w:rsid w:val="00C72A17"/>
    <w:rsid w:val="00C73C20"/>
    <w:rsid w:val="00C74F93"/>
    <w:rsid w:val="00C81356"/>
    <w:rsid w:val="00C813CD"/>
    <w:rsid w:val="00C821EF"/>
    <w:rsid w:val="00C829E7"/>
    <w:rsid w:val="00C858D9"/>
    <w:rsid w:val="00C86A64"/>
    <w:rsid w:val="00C87DA0"/>
    <w:rsid w:val="00C915DA"/>
    <w:rsid w:val="00C94C0E"/>
    <w:rsid w:val="00C96BDA"/>
    <w:rsid w:val="00C96E33"/>
    <w:rsid w:val="00CA1702"/>
    <w:rsid w:val="00CA4E4D"/>
    <w:rsid w:val="00CA69E5"/>
    <w:rsid w:val="00CA6FF9"/>
    <w:rsid w:val="00CA73DA"/>
    <w:rsid w:val="00CB2E3D"/>
    <w:rsid w:val="00CB4238"/>
    <w:rsid w:val="00CB5607"/>
    <w:rsid w:val="00CB5938"/>
    <w:rsid w:val="00CB5B27"/>
    <w:rsid w:val="00CC13F5"/>
    <w:rsid w:val="00CC1A64"/>
    <w:rsid w:val="00CC238B"/>
    <w:rsid w:val="00CC2929"/>
    <w:rsid w:val="00CC30A1"/>
    <w:rsid w:val="00CC34EB"/>
    <w:rsid w:val="00CC4C58"/>
    <w:rsid w:val="00CC66EA"/>
    <w:rsid w:val="00CC6724"/>
    <w:rsid w:val="00CD1253"/>
    <w:rsid w:val="00CD3C17"/>
    <w:rsid w:val="00CE1F9C"/>
    <w:rsid w:val="00CE2E48"/>
    <w:rsid w:val="00CE3540"/>
    <w:rsid w:val="00CF0184"/>
    <w:rsid w:val="00CF3E83"/>
    <w:rsid w:val="00CF55F6"/>
    <w:rsid w:val="00CF59E0"/>
    <w:rsid w:val="00CF6672"/>
    <w:rsid w:val="00D021F7"/>
    <w:rsid w:val="00D0223D"/>
    <w:rsid w:val="00D0248E"/>
    <w:rsid w:val="00D069C7"/>
    <w:rsid w:val="00D06DC5"/>
    <w:rsid w:val="00D078A2"/>
    <w:rsid w:val="00D1462E"/>
    <w:rsid w:val="00D21123"/>
    <w:rsid w:val="00D21142"/>
    <w:rsid w:val="00D22ED5"/>
    <w:rsid w:val="00D233D2"/>
    <w:rsid w:val="00D26BB7"/>
    <w:rsid w:val="00D32342"/>
    <w:rsid w:val="00D367EB"/>
    <w:rsid w:val="00D36C91"/>
    <w:rsid w:val="00D416B7"/>
    <w:rsid w:val="00D41871"/>
    <w:rsid w:val="00D45954"/>
    <w:rsid w:val="00D4613B"/>
    <w:rsid w:val="00D461C2"/>
    <w:rsid w:val="00D463AE"/>
    <w:rsid w:val="00D5162F"/>
    <w:rsid w:val="00D54733"/>
    <w:rsid w:val="00D5565B"/>
    <w:rsid w:val="00D55B27"/>
    <w:rsid w:val="00D56D61"/>
    <w:rsid w:val="00D575EC"/>
    <w:rsid w:val="00D615C7"/>
    <w:rsid w:val="00D61AAE"/>
    <w:rsid w:val="00D64CB8"/>
    <w:rsid w:val="00D668E9"/>
    <w:rsid w:val="00D67BB9"/>
    <w:rsid w:val="00D720AE"/>
    <w:rsid w:val="00D72FD8"/>
    <w:rsid w:val="00D75816"/>
    <w:rsid w:val="00D76440"/>
    <w:rsid w:val="00D767D2"/>
    <w:rsid w:val="00D819F6"/>
    <w:rsid w:val="00D835D2"/>
    <w:rsid w:val="00D8361B"/>
    <w:rsid w:val="00D8703E"/>
    <w:rsid w:val="00D92A45"/>
    <w:rsid w:val="00D93F21"/>
    <w:rsid w:val="00D9697A"/>
    <w:rsid w:val="00DA06EF"/>
    <w:rsid w:val="00DA0C85"/>
    <w:rsid w:val="00DA2432"/>
    <w:rsid w:val="00DA2B14"/>
    <w:rsid w:val="00DA3023"/>
    <w:rsid w:val="00DA4C48"/>
    <w:rsid w:val="00DA727D"/>
    <w:rsid w:val="00DB0362"/>
    <w:rsid w:val="00DB53A7"/>
    <w:rsid w:val="00DB5A01"/>
    <w:rsid w:val="00DC2699"/>
    <w:rsid w:val="00DC4928"/>
    <w:rsid w:val="00DC4B8F"/>
    <w:rsid w:val="00DD0D8A"/>
    <w:rsid w:val="00DD170F"/>
    <w:rsid w:val="00DD7F67"/>
    <w:rsid w:val="00DE0A8A"/>
    <w:rsid w:val="00DE1106"/>
    <w:rsid w:val="00DE3389"/>
    <w:rsid w:val="00DE3B7D"/>
    <w:rsid w:val="00DE3F76"/>
    <w:rsid w:val="00DF2F8B"/>
    <w:rsid w:val="00DF5EA6"/>
    <w:rsid w:val="00DF6837"/>
    <w:rsid w:val="00DF68E4"/>
    <w:rsid w:val="00DF6E54"/>
    <w:rsid w:val="00E03453"/>
    <w:rsid w:val="00E03F25"/>
    <w:rsid w:val="00E04228"/>
    <w:rsid w:val="00E04457"/>
    <w:rsid w:val="00E04BBC"/>
    <w:rsid w:val="00E10450"/>
    <w:rsid w:val="00E1158A"/>
    <w:rsid w:val="00E131DF"/>
    <w:rsid w:val="00E1478E"/>
    <w:rsid w:val="00E159D7"/>
    <w:rsid w:val="00E169BF"/>
    <w:rsid w:val="00E213AB"/>
    <w:rsid w:val="00E214B0"/>
    <w:rsid w:val="00E21653"/>
    <w:rsid w:val="00E21869"/>
    <w:rsid w:val="00E21C9B"/>
    <w:rsid w:val="00E22FD8"/>
    <w:rsid w:val="00E2414E"/>
    <w:rsid w:val="00E25E14"/>
    <w:rsid w:val="00E26830"/>
    <w:rsid w:val="00E26FAF"/>
    <w:rsid w:val="00E40B36"/>
    <w:rsid w:val="00E44D44"/>
    <w:rsid w:val="00E51672"/>
    <w:rsid w:val="00E51C2C"/>
    <w:rsid w:val="00E522FC"/>
    <w:rsid w:val="00E526C0"/>
    <w:rsid w:val="00E55EE5"/>
    <w:rsid w:val="00E61784"/>
    <w:rsid w:val="00E62237"/>
    <w:rsid w:val="00E625B3"/>
    <w:rsid w:val="00E64743"/>
    <w:rsid w:val="00E66512"/>
    <w:rsid w:val="00E71ED2"/>
    <w:rsid w:val="00E7257D"/>
    <w:rsid w:val="00E728CB"/>
    <w:rsid w:val="00E7336F"/>
    <w:rsid w:val="00E746F2"/>
    <w:rsid w:val="00E74F3B"/>
    <w:rsid w:val="00E76262"/>
    <w:rsid w:val="00E764D3"/>
    <w:rsid w:val="00E8233A"/>
    <w:rsid w:val="00E82DB7"/>
    <w:rsid w:val="00E84A6B"/>
    <w:rsid w:val="00E92385"/>
    <w:rsid w:val="00E93F74"/>
    <w:rsid w:val="00E95C96"/>
    <w:rsid w:val="00E96DEA"/>
    <w:rsid w:val="00E96F1E"/>
    <w:rsid w:val="00EA00DB"/>
    <w:rsid w:val="00EA1585"/>
    <w:rsid w:val="00EA332C"/>
    <w:rsid w:val="00EA48AE"/>
    <w:rsid w:val="00EB09E2"/>
    <w:rsid w:val="00EB15A6"/>
    <w:rsid w:val="00EB1CBD"/>
    <w:rsid w:val="00EB4C73"/>
    <w:rsid w:val="00EB74A5"/>
    <w:rsid w:val="00EC1B22"/>
    <w:rsid w:val="00EC453D"/>
    <w:rsid w:val="00EC67E3"/>
    <w:rsid w:val="00ED08D9"/>
    <w:rsid w:val="00ED4C82"/>
    <w:rsid w:val="00ED77CD"/>
    <w:rsid w:val="00EE0126"/>
    <w:rsid w:val="00EE0C89"/>
    <w:rsid w:val="00EE47FE"/>
    <w:rsid w:val="00EE4F0F"/>
    <w:rsid w:val="00EE50C6"/>
    <w:rsid w:val="00EE5D41"/>
    <w:rsid w:val="00EE766D"/>
    <w:rsid w:val="00EF2A15"/>
    <w:rsid w:val="00EF3BAB"/>
    <w:rsid w:val="00EF5BFD"/>
    <w:rsid w:val="00EF6717"/>
    <w:rsid w:val="00EF6DE5"/>
    <w:rsid w:val="00EF7B33"/>
    <w:rsid w:val="00F00470"/>
    <w:rsid w:val="00F01C6F"/>
    <w:rsid w:val="00F0509B"/>
    <w:rsid w:val="00F06EE2"/>
    <w:rsid w:val="00F074DC"/>
    <w:rsid w:val="00F13B96"/>
    <w:rsid w:val="00F15632"/>
    <w:rsid w:val="00F16191"/>
    <w:rsid w:val="00F17535"/>
    <w:rsid w:val="00F20949"/>
    <w:rsid w:val="00F20B97"/>
    <w:rsid w:val="00F238C2"/>
    <w:rsid w:val="00F24F8F"/>
    <w:rsid w:val="00F25573"/>
    <w:rsid w:val="00F303B2"/>
    <w:rsid w:val="00F307E0"/>
    <w:rsid w:val="00F3383E"/>
    <w:rsid w:val="00F33C5E"/>
    <w:rsid w:val="00F34D63"/>
    <w:rsid w:val="00F36C2A"/>
    <w:rsid w:val="00F41BD7"/>
    <w:rsid w:val="00F47052"/>
    <w:rsid w:val="00F52A6D"/>
    <w:rsid w:val="00F52CF1"/>
    <w:rsid w:val="00F57F7A"/>
    <w:rsid w:val="00F617F5"/>
    <w:rsid w:val="00F62D33"/>
    <w:rsid w:val="00F64AB3"/>
    <w:rsid w:val="00F655AA"/>
    <w:rsid w:val="00F6570B"/>
    <w:rsid w:val="00F66681"/>
    <w:rsid w:val="00F66FEA"/>
    <w:rsid w:val="00F67615"/>
    <w:rsid w:val="00F74209"/>
    <w:rsid w:val="00F76C98"/>
    <w:rsid w:val="00F804CD"/>
    <w:rsid w:val="00F80750"/>
    <w:rsid w:val="00F8099B"/>
    <w:rsid w:val="00F826F6"/>
    <w:rsid w:val="00F82D3C"/>
    <w:rsid w:val="00F8348C"/>
    <w:rsid w:val="00F85F59"/>
    <w:rsid w:val="00F86538"/>
    <w:rsid w:val="00F86717"/>
    <w:rsid w:val="00F86DD4"/>
    <w:rsid w:val="00F91FF3"/>
    <w:rsid w:val="00F921A4"/>
    <w:rsid w:val="00F97C7A"/>
    <w:rsid w:val="00FA2909"/>
    <w:rsid w:val="00FA3CEC"/>
    <w:rsid w:val="00FB0E4C"/>
    <w:rsid w:val="00FB3AE6"/>
    <w:rsid w:val="00FB4CF2"/>
    <w:rsid w:val="00FB6544"/>
    <w:rsid w:val="00FC071B"/>
    <w:rsid w:val="00FC3A8B"/>
    <w:rsid w:val="00FC4845"/>
    <w:rsid w:val="00FC5023"/>
    <w:rsid w:val="00FC6B03"/>
    <w:rsid w:val="00FD06D5"/>
    <w:rsid w:val="00FD28FF"/>
    <w:rsid w:val="00FD68A1"/>
    <w:rsid w:val="00FE0263"/>
    <w:rsid w:val="00FE0985"/>
    <w:rsid w:val="00FE419E"/>
    <w:rsid w:val="00FE4B56"/>
    <w:rsid w:val="00FF0ADA"/>
    <w:rsid w:val="00FF2484"/>
    <w:rsid w:val="00FF4201"/>
    <w:rsid w:val="00FF6E17"/>
    <w:rsid w:val="018EE6A4"/>
    <w:rsid w:val="040DAE41"/>
    <w:rsid w:val="05CF52B1"/>
    <w:rsid w:val="0648B47B"/>
    <w:rsid w:val="0674779F"/>
    <w:rsid w:val="0707E017"/>
    <w:rsid w:val="0721AF11"/>
    <w:rsid w:val="08105913"/>
    <w:rsid w:val="085870B5"/>
    <w:rsid w:val="08EF112D"/>
    <w:rsid w:val="0B901177"/>
    <w:rsid w:val="0C48D37B"/>
    <w:rsid w:val="0DB276F9"/>
    <w:rsid w:val="0EC042D8"/>
    <w:rsid w:val="0F22C887"/>
    <w:rsid w:val="12669ED5"/>
    <w:rsid w:val="1287F25B"/>
    <w:rsid w:val="133B0A40"/>
    <w:rsid w:val="148F8962"/>
    <w:rsid w:val="157AFD58"/>
    <w:rsid w:val="187753AC"/>
    <w:rsid w:val="190876D3"/>
    <w:rsid w:val="19494633"/>
    <w:rsid w:val="1B3FB423"/>
    <w:rsid w:val="1B76CF19"/>
    <w:rsid w:val="1D04B390"/>
    <w:rsid w:val="1DCAC62B"/>
    <w:rsid w:val="206CE8EC"/>
    <w:rsid w:val="220E759B"/>
    <w:rsid w:val="221E75A8"/>
    <w:rsid w:val="22F2E646"/>
    <w:rsid w:val="26765BFF"/>
    <w:rsid w:val="2B9BA8CA"/>
    <w:rsid w:val="2BB807DD"/>
    <w:rsid w:val="2D1D1841"/>
    <w:rsid w:val="2E137582"/>
    <w:rsid w:val="2EC268AB"/>
    <w:rsid w:val="2F599283"/>
    <w:rsid w:val="31726968"/>
    <w:rsid w:val="3499D831"/>
    <w:rsid w:val="34CE6259"/>
    <w:rsid w:val="35290B65"/>
    <w:rsid w:val="3570AC62"/>
    <w:rsid w:val="3573B031"/>
    <w:rsid w:val="3832D4C9"/>
    <w:rsid w:val="3A494D83"/>
    <w:rsid w:val="3AD575DA"/>
    <w:rsid w:val="3AD8D02D"/>
    <w:rsid w:val="3B83D4A6"/>
    <w:rsid w:val="3C65B3D3"/>
    <w:rsid w:val="3CD9F1E2"/>
    <w:rsid w:val="3D4C6AD8"/>
    <w:rsid w:val="3E5FDAD0"/>
    <w:rsid w:val="3F3B25F3"/>
    <w:rsid w:val="3F4C6444"/>
    <w:rsid w:val="3FF11442"/>
    <w:rsid w:val="4027DC7C"/>
    <w:rsid w:val="41673FD4"/>
    <w:rsid w:val="42D2D03B"/>
    <w:rsid w:val="435E1259"/>
    <w:rsid w:val="43F0019C"/>
    <w:rsid w:val="43FE2939"/>
    <w:rsid w:val="446BBFB2"/>
    <w:rsid w:val="44C03094"/>
    <w:rsid w:val="44D79D22"/>
    <w:rsid w:val="459AC88A"/>
    <w:rsid w:val="475AB2BA"/>
    <w:rsid w:val="477D3E29"/>
    <w:rsid w:val="47C3CCBD"/>
    <w:rsid w:val="48A2148C"/>
    <w:rsid w:val="4916E05E"/>
    <w:rsid w:val="4992717D"/>
    <w:rsid w:val="4A43B45C"/>
    <w:rsid w:val="4EBAEFB3"/>
    <w:rsid w:val="4FAF05AF"/>
    <w:rsid w:val="4FF907E1"/>
    <w:rsid w:val="50973544"/>
    <w:rsid w:val="50DD6413"/>
    <w:rsid w:val="512C0DF5"/>
    <w:rsid w:val="522F69AE"/>
    <w:rsid w:val="5246326F"/>
    <w:rsid w:val="52C7DE56"/>
    <w:rsid w:val="53478C4B"/>
    <w:rsid w:val="55FF7F18"/>
    <w:rsid w:val="57513F99"/>
    <w:rsid w:val="579B4F79"/>
    <w:rsid w:val="57B4FE9C"/>
    <w:rsid w:val="59371FDA"/>
    <w:rsid w:val="5A6391A1"/>
    <w:rsid w:val="5AD2F03B"/>
    <w:rsid w:val="5D19C73E"/>
    <w:rsid w:val="5DBD65EA"/>
    <w:rsid w:val="5EE9FF0A"/>
    <w:rsid w:val="5F11CDB3"/>
    <w:rsid w:val="5F8F1586"/>
    <w:rsid w:val="61DF00BB"/>
    <w:rsid w:val="62B3B92A"/>
    <w:rsid w:val="649824E2"/>
    <w:rsid w:val="6643CC79"/>
    <w:rsid w:val="677A2FB9"/>
    <w:rsid w:val="682DAF89"/>
    <w:rsid w:val="68A27694"/>
    <w:rsid w:val="68D4E055"/>
    <w:rsid w:val="69B7C144"/>
    <w:rsid w:val="6A9D70E1"/>
    <w:rsid w:val="6B6C129E"/>
    <w:rsid w:val="6C0BD750"/>
    <w:rsid w:val="6ED519BA"/>
    <w:rsid w:val="6F96CC55"/>
    <w:rsid w:val="6FA07F8C"/>
    <w:rsid w:val="709675B3"/>
    <w:rsid w:val="749FB072"/>
    <w:rsid w:val="750CADAF"/>
    <w:rsid w:val="77066142"/>
    <w:rsid w:val="77CA3F58"/>
    <w:rsid w:val="790DEC02"/>
    <w:rsid w:val="7A3A39FF"/>
    <w:rsid w:val="7B111F08"/>
    <w:rsid w:val="7C691D18"/>
    <w:rsid w:val="7D378DAD"/>
    <w:rsid w:val="7D9617D5"/>
    <w:rsid w:val="7EA33131"/>
    <w:rsid w:val="7F9D63DB"/>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71944AC6-C762-457F-8584-2C54D08A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2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style>
  <w:style w:type="paragraph" w:styleId="Heading1">
    <w:name w:val="heading 1"/>
    <w:basedOn w:val="Normal"/>
    <w:next w:val="Normal"/>
    <w:link w:val="Heading1Char"/>
    <w:uiPriority w:val="5"/>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14"/>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7"/>
      </w:numPr>
    </w:pPr>
  </w:style>
  <w:style w:type="paragraph" w:styleId="ListNumber2">
    <w:name w:val="List Number 2"/>
    <w:basedOn w:val="Normal"/>
    <w:uiPriority w:val="16"/>
    <w:qFormat/>
    <w:rsid w:val="00662E28"/>
    <w:pPr>
      <w:numPr>
        <w:ilvl w:val="1"/>
        <w:numId w:val="17"/>
      </w:numPr>
    </w:pPr>
  </w:style>
  <w:style w:type="numbering" w:customStyle="1" w:styleId="HeadingList">
    <w:name w:val="Heading List"/>
    <w:uiPriority w:val="99"/>
    <w:rsid w:val="001241CB"/>
    <w:pPr>
      <w:numPr>
        <w:numId w:val="12"/>
      </w:numPr>
    </w:pPr>
  </w:style>
  <w:style w:type="paragraph" w:styleId="ListNumber3">
    <w:name w:val="List Number 3"/>
    <w:basedOn w:val="Normal"/>
    <w:uiPriority w:val="16"/>
    <w:qFormat/>
    <w:rsid w:val="00662E28"/>
    <w:pPr>
      <w:numPr>
        <w:ilvl w:val="2"/>
        <w:numId w:val="17"/>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10"/>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14"/>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ind w:left="1440" w:hanging="360"/>
    </w:pPr>
  </w:style>
  <w:style w:type="paragraph" w:styleId="List2">
    <w:name w:val="List 2"/>
    <w:basedOn w:val="Normal"/>
    <w:uiPriority w:val="17"/>
    <w:qFormat/>
    <w:rsid w:val="00A8129D"/>
    <w:pPr>
      <w:ind w:left="2160" w:hanging="180"/>
    </w:pPr>
  </w:style>
  <w:style w:type="paragraph" w:styleId="List3">
    <w:name w:val="List 3"/>
    <w:basedOn w:val="Normal"/>
    <w:uiPriority w:val="17"/>
    <w:qFormat/>
    <w:rsid w:val="00A8129D"/>
    <w:pPr>
      <w:ind w:left="2880" w:hanging="360"/>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7"/>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8"/>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11"/>
      </w:numPr>
    </w:pPr>
  </w:style>
  <w:style w:type="numbering" w:customStyle="1" w:styleId="BulletList">
    <w:name w:val="Bullet List"/>
    <w:uiPriority w:val="99"/>
    <w:rsid w:val="00641EAA"/>
    <w:pPr>
      <w:numPr>
        <w:numId w:val="14"/>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9"/>
      </w:numPr>
    </w:pPr>
  </w:style>
  <w:style w:type="paragraph" w:customStyle="1" w:styleId="AppendixHeading">
    <w:name w:val="Appendix Heading"/>
    <w:basedOn w:val="Heading1"/>
    <w:uiPriority w:val="10"/>
    <w:semiHidden/>
    <w:qFormat/>
    <w:rsid w:val="003A2733"/>
    <w:pPr>
      <w:numPr>
        <w:numId w:val="9"/>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6"/>
      </w:numPr>
    </w:pPr>
  </w:style>
  <w:style w:type="paragraph" w:customStyle="1" w:styleId="Heading2Numbers">
    <w:name w:val="Heading 2 Numbers"/>
    <w:basedOn w:val="Heading2"/>
    <w:next w:val="Normal"/>
    <w:uiPriority w:val="9"/>
    <w:qFormat/>
    <w:rsid w:val="00E61784"/>
    <w:pPr>
      <w:numPr>
        <w:ilvl w:val="1"/>
        <w:numId w:val="16"/>
      </w:numPr>
    </w:pPr>
    <w:rPr>
      <w:bCs w:val="0"/>
    </w:rPr>
  </w:style>
  <w:style w:type="paragraph" w:customStyle="1" w:styleId="Heading3Numbers">
    <w:name w:val="Heading 3 Numbers"/>
    <w:basedOn w:val="Heading3"/>
    <w:next w:val="Normal"/>
    <w:uiPriority w:val="9"/>
    <w:qFormat/>
    <w:rsid w:val="00BA627A"/>
    <w:pPr>
      <w:numPr>
        <w:ilvl w:val="2"/>
        <w:numId w:val="16"/>
      </w:numPr>
    </w:pPr>
  </w:style>
  <w:style w:type="paragraph" w:customStyle="1" w:styleId="Heading4NoNumber">
    <w:name w:val="Heading 4 No Number"/>
    <w:basedOn w:val="Heading4"/>
    <w:uiPriority w:val="9"/>
    <w:qFormat/>
    <w:rsid w:val="00BA627A"/>
    <w:pPr>
      <w:numPr>
        <w:ilvl w:val="3"/>
        <w:numId w:val="16"/>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Heading">
    <w:name w:val="Heading"/>
    <w:basedOn w:val="Normal"/>
    <w:rsid w:val="00B670E9"/>
    <w:pPr>
      <w:keepNext/>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unhideWhenUsed/>
    <w:locked/>
    <w:rsid w:val="006A555E"/>
    <w:rPr>
      <w:color w:val="605E5C"/>
      <w:shd w:val="clear" w:color="auto" w:fill="E1DFDD"/>
    </w:rPr>
  </w:style>
  <w:style w:type="character" w:styleId="Mention">
    <w:name w:val="Mention"/>
    <w:basedOn w:val="DefaultParagraphFont"/>
    <w:uiPriority w:val="99"/>
    <w:unhideWhenUsed/>
    <w:locked/>
    <w:rsid w:val="00A879C8"/>
    <w:rPr>
      <w:color w:val="2B579A"/>
      <w:shd w:val="clear" w:color="auto" w:fill="E1DFDD"/>
    </w:rPr>
  </w:style>
  <w:style w:type="character" w:customStyle="1" w:styleId="normaltextrun">
    <w:name w:val="normaltextrun"/>
    <w:basedOn w:val="DefaultParagraphFont"/>
    <w:rsid w:val="00CB5607"/>
  </w:style>
  <w:style w:type="paragraph" w:customStyle="1" w:styleId="bullet10">
    <w:name w:val="bullet10"/>
    <w:basedOn w:val="Normal"/>
    <w:rsid w:val="00A95A4A"/>
    <w:pPr>
      <w:spacing w:before="100" w:beforeAutospacing="1" w:after="100" w:afterAutospacing="1"/>
      <w:jc w:val="left"/>
    </w:pPr>
    <w:rPr>
      <w:rFonts w:ascii="Calibri" w:hAnsi="Calibri" w:cs="Calibri"/>
      <w:color w:val="auto"/>
      <w:lang w:eastAsia="en-AU"/>
    </w:rPr>
  </w:style>
  <w:style w:type="paragraph" w:customStyle="1" w:styleId="bullet1">
    <w:name w:val="bullet1"/>
    <w:basedOn w:val="Normal"/>
    <w:rsid w:val="00AA1756"/>
    <w:pPr>
      <w:spacing w:before="100" w:beforeAutospacing="1" w:after="100" w:afterAutospacing="1"/>
      <w:jc w:val="left"/>
    </w:pPr>
    <w:rPr>
      <w:rFonts w:ascii="Calibri" w:hAnsi="Calibri" w:cs="Calibri"/>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05">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08426395">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423650404">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 w:id="1773434009">
      <w:bodyDiv w:val="1"/>
      <w:marLeft w:val="0"/>
      <w:marRight w:val="0"/>
      <w:marTop w:val="0"/>
      <w:marBottom w:val="0"/>
      <w:divBdr>
        <w:top w:val="none" w:sz="0" w:space="0" w:color="auto"/>
        <w:left w:val="none" w:sz="0" w:space="0" w:color="auto"/>
        <w:bottom w:val="none" w:sz="0" w:space="0" w:color="auto"/>
        <w:right w:val="none" w:sz="0" w:space="0" w:color="auto"/>
      </w:divBdr>
    </w:div>
    <w:div w:id="1774738785">
      <w:bodyDiv w:val="1"/>
      <w:marLeft w:val="0"/>
      <w:marRight w:val="0"/>
      <w:marTop w:val="0"/>
      <w:marBottom w:val="0"/>
      <w:divBdr>
        <w:top w:val="none" w:sz="0" w:space="0" w:color="auto"/>
        <w:left w:val="none" w:sz="0" w:space="0" w:color="auto"/>
        <w:bottom w:val="none" w:sz="0" w:space="0" w:color="auto"/>
        <w:right w:val="none" w:sz="0" w:space="0" w:color="auto"/>
      </w:divBdr>
    </w:div>
    <w:div w:id="180959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17" Type="http://schemas.openxmlformats.org/officeDocument/2006/relationships/hyperlink" Target="https://www.apir.com.au/" TargetMode="External"/><Relationship Id="rId2" Type="http://schemas.openxmlformats.org/officeDocument/2006/relationships/customXml" Target="../customXml/item2.xml"/><Relationship Id="rId16" Type="http://schemas.openxmlformats.org/officeDocument/2006/relationships/hyperlink" Target="https://unctadstat.unctad.org/en/classification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hyperlink" Target="https://asic.gov.au/regulatory-resources/find-a-document/regulatory-guides/rg-97-disclosing-fees-and-costs-in-pdss-and-periodic-state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c.gov.au/regulatory-resources/find-a-document/regulatory-guides/rg-97-disclosing-fees-and-costs-in-pdss-and-periodic-statem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David Sullivan</DisplayName>
        <AccountId>480</AccountId>
        <AccountType/>
      </UserInfo>
      <UserInfo>
        <DisplayName>Gurveen Singh</DisplayName>
        <AccountId>189</AccountId>
        <AccountType/>
      </UserInfo>
      <UserInfo>
        <DisplayName>Tiffany Say</DisplayName>
        <AccountId>179</AccountId>
        <AccountType/>
      </UserInfo>
      <UserInfo>
        <DisplayName>Emily Doube</DisplayName>
        <AccountId>242</AccountId>
        <AccountType/>
      </UserInfo>
      <UserInfo>
        <DisplayName>Julia Horrocks</DisplayName>
        <AccountId>272</AccountId>
        <AccountType/>
      </UserInfo>
      <UserInfo>
        <DisplayName>Greg Matsin</DisplayName>
        <AccountId>97</AccountId>
        <AccountType/>
      </UserInfo>
    </SharedWithUsers>
    <_Flow_SignoffStatus xmlns="5e7d1d2f-1d1d-4328-b1c4-d23268d860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13D10-A096-4522-AD95-636ECB2AD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2027</Words>
  <Characters>12390</Characters>
  <Application>Microsoft Office Word</Application>
  <DocSecurity>4</DocSecurity>
  <Lines>217</Lines>
  <Paragraphs>88</Paragraphs>
  <ScaleCrop>false</ScaleCrop>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2014-01-31T03:10:00Z</cp:lastPrinted>
  <dcterms:created xsi:type="dcterms:W3CDTF">2023-06-23T02:23:00Z</dcterms:created>
  <dcterms:modified xsi:type="dcterms:W3CDTF">2023-06-23T02:23:00Z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Hash_Salt_Prev">
    <vt:lpwstr>5C6A81A39DD858870B099F570F41A70B</vt:lpwstr>
  </property>
  <property fmtid="{D5CDD505-2E9C-101B-9397-08002B2CF9AE}" pid="62" name="PM_Hash_Salt">
    <vt:lpwstr>85A8D097C6634C638EDB72611577AEA9</vt:lpwstr>
  </property>
  <property fmtid="{D5CDD505-2E9C-101B-9397-08002B2CF9AE}" pid="63" name="PM_Hash_SHA1">
    <vt:lpwstr>153421F96778BD39CC7D4A2BCA853FD3528111AB</vt:lpwstr>
  </property>
  <property fmtid="{D5CDD505-2E9C-101B-9397-08002B2CF9AE}" pid="64" name="PMHMAC">
    <vt:lpwstr>v=2022.1;a=SHA256;h=F7DB54F49B9B66F1AEDC87E5995970B66D9FCEDB02FBF984923F56D6F42418A6</vt:lpwstr>
  </property>
  <property fmtid="{D5CDD505-2E9C-101B-9397-08002B2CF9AE}" pid="65" name="MSIP_Label_c0129afb-6481-4f92-bc9f-5a4a6346364d_ActionId">
    <vt:lpwstr>ffe619eda0c643f88f631cc6b7f2e0a7</vt:lpwstr>
  </property>
  <property fmtid="{D5CDD505-2E9C-101B-9397-08002B2CF9AE}" pid="66" name="PM_Originator_Hash_SHA1">
    <vt:lpwstr>C3AD57350F36D8E1BD75F8F67CB06D435C9C43CA</vt:lpwstr>
  </property>
  <property fmtid="{D5CDD505-2E9C-101B-9397-08002B2CF9AE}" pid="67" name="PM_OriginatorUserAccountName_SHA256">
    <vt:lpwstr>6E3018F28A186D2E5FF5207C041E7A82E907C3008E071057026A53705873B72E</vt:lpwstr>
  </property>
</Properties>
</file>