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32BEF33F"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72386D">
        <w:rPr>
          <w:sz w:val="24"/>
          <w:szCs w:val="24"/>
        </w:rPr>
        <w:t xml:space="preserve"> </w:t>
      </w:r>
      <w:r w:rsidR="005B13BC">
        <w:rPr>
          <w:sz w:val="24"/>
          <w:szCs w:val="24"/>
        </w:rPr>
        <w:t>4</w:t>
      </w:r>
      <w:r w:rsidR="0058225D">
        <w:rPr>
          <w:sz w:val="24"/>
          <w:szCs w:val="24"/>
        </w:rPr>
        <w:t>5</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7956D373"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C81305">
        <w:rPr>
          <w:rFonts w:ascii="Times New Roman" w:hAnsi="Times New Roman" w:cs="Times New Roman"/>
          <w:sz w:val="24"/>
          <w:szCs w:val="24"/>
        </w:rPr>
        <w:t>2</w:t>
      </w:r>
      <w:r w:rsidR="0084751F">
        <w:rPr>
          <w:rFonts w:ascii="Times New Roman" w:hAnsi="Times New Roman" w:cs="Times New Roman"/>
          <w:sz w:val="24"/>
          <w:szCs w:val="24"/>
        </w:rPr>
        <w:t>3</w:t>
      </w:r>
      <w:r w:rsidR="00901745">
        <w:rPr>
          <w:rFonts w:ascii="Times New Roman" w:hAnsi="Times New Roman" w:cs="Times New Roman"/>
          <w:sz w:val="24"/>
          <w:szCs w:val="24"/>
        </w:rPr>
        <w:t xml:space="preserve"> 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7DAD0282"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58225D">
        <w:rPr>
          <w:rFonts w:ascii="Times New Roman" w:hAnsi="Times New Roman"/>
          <w:sz w:val="24"/>
          <w:szCs w:val="24"/>
        </w:rPr>
        <w:t>5</w:t>
      </w:r>
      <w:r w:rsidRPr="003B21E1">
        <w:rPr>
          <w:rFonts w:ascii="Times New Roman" w:hAnsi="Times New Roman"/>
          <w:sz w:val="24"/>
          <w:szCs w:val="24"/>
        </w:rPr>
        <w:t xml:space="preserve"> of 2023 which:</w:t>
      </w:r>
    </w:p>
    <w:p w14:paraId="536129AF" w14:textId="27F01E67"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58225D">
        <w:rPr>
          <w:rFonts w:ascii="Times New Roman" w:hAnsi="Times New Roman"/>
          <w:i/>
          <w:sz w:val="24"/>
          <w:szCs w:val="24"/>
        </w:rPr>
        <w:t>7</w:t>
      </w:r>
      <w:r w:rsidR="000B7972">
        <w:rPr>
          <w:rFonts w:ascii="Times New Roman" w:hAnsi="Times New Roman"/>
          <w:i/>
          <w:sz w:val="24"/>
          <w:szCs w:val="24"/>
        </w:rPr>
        <w:t>05</w:t>
      </w:r>
      <w:r w:rsidR="00543F21" w:rsidRPr="00016EF4">
        <w:rPr>
          <w:rFonts w:ascii="Times New Roman" w:hAnsi="Times New Roman"/>
          <w:i/>
          <w:sz w:val="24"/>
          <w:szCs w:val="24"/>
        </w:rPr>
        <w:t>.0</w:t>
      </w:r>
      <w:r w:rsidR="00543F21">
        <w:rPr>
          <w:rFonts w:ascii="Times New Roman" w:hAnsi="Times New Roman"/>
          <w:sz w:val="24"/>
          <w:szCs w:val="24"/>
        </w:rPr>
        <w:t xml:space="preserve"> </w:t>
      </w:r>
      <w:r w:rsidR="0011188F">
        <w:rPr>
          <w:rFonts w:ascii="Times New Roman" w:hAnsi="Times New Roman"/>
          <w:i/>
          <w:sz w:val="24"/>
          <w:szCs w:val="24"/>
        </w:rPr>
        <w:t>Components of Net Return</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58225D">
        <w:rPr>
          <w:rFonts w:ascii="Times New Roman" w:hAnsi="Times New Roman"/>
          <w:sz w:val="24"/>
          <w:szCs w:val="24"/>
        </w:rPr>
        <w:t>7</w:t>
      </w:r>
      <w:r w:rsidR="000B7972">
        <w:rPr>
          <w:rFonts w:ascii="Times New Roman" w:hAnsi="Times New Roman"/>
          <w:sz w:val="24"/>
          <w:szCs w:val="24"/>
        </w:rPr>
        <w:t>05</w:t>
      </w:r>
      <w:r w:rsidR="00543F21" w:rsidRPr="006203E0">
        <w:rPr>
          <w:rFonts w:ascii="Times New Roman" w:hAnsi="Times New Roman"/>
          <w:sz w:val="24"/>
          <w:szCs w:val="24"/>
        </w:rPr>
        <w:t>.0)</w:t>
      </w:r>
      <w:r w:rsidRPr="003B21E1">
        <w:rPr>
          <w:rFonts w:ascii="Times New Roman" w:hAnsi="Times New Roman"/>
          <w:sz w:val="24"/>
          <w:szCs w:val="24"/>
        </w:rPr>
        <w:t xml:space="preserve"> made under Financial Sector (Collection of Data) (reporting standard) determination No. </w:t>
      </w:r>
      <w:r w:rsidR="0058225D">
        <w:rPr>
          <w:rFonts w:ascii="Times New Roman" w:hAnsi="Times New Roman"/>
          <w:sz w:val="24"/>
          <w:szCs w:val="24"/>
        </w:rPr>
        <w:t>20</w:t>
      </w:r>
      <w:r w:rsidRPr="003B21E1">
        <w:rPr>
          <w:rFonts w:ascii="Times New Roman" w:hAnsi="Times New Roman"/>
          <w:sz w:val="24"/>
          <w:szCs w:val="24"/>
        </w:rPr>
        <w:t xml:space="preserve"> of 2021; and</w:t>
      </w:r>
    </w:p>
    <w:p w14:paraId="5188F5DD" w14:textId="2982186E"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58225D">
        <w:rPr>
          <w:rFonts w:ascii="Times New Roman" w:hAnsi="Times New Roman"/>
          <w:sz w:val="24"/>
          <w:szCs w:val="24"/>
        </w:rPr>
        <w:t>7</w:t>
      </w:r>
      <w:r w:rsidR="000B7972">
        <w:rPr>
          <w:rFonts w:ascii="Times New Roman" w:hAnsi="Times New Roman"/>
          <w:sz w:val="24"/>
          <w:szCs w:val="24"/>
        </w:rPr>
        <w:t>05</w:t>
      </w:r>
      <w:r w:rsidRPr="003B21E1">
        <w:rPr>
          <w:rFonts w:ascii="Times New Roman" w:hAnsi="Times New Roman"/>
          <w:sz w:val="24"/>
          <w:szCs w:val="24"/>
        </w:rPr>
        <w:t>.0.</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040288FF" w14:textId="77777777" w:rsidR="00204AA8" w:rsidRPr="009535CD" w:rsidRDefault="00204AA8" w:rsidP="00204AA8">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704E564E" w14:textId="77777777" w:rsidR="00204AA8" w:rsidRPr="00B0008B" w:rsidRDefault="00204AA8" w:rsidP="00204AA8">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0851ECF8" w14:textId="77777777" w:rsidR="00204AA8" w:rsidRPr="00B0008B" w:rsidRDefault="00204AA8" w:rsidP="00204AA8">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49FC98AC" w14:textId="77777777" w:rsidR="00204AA8" w:rsidRPr="00B0008B" w:rsidRDefault="00204AA8" w:rsidP="00204AA8">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7A79C942" w14:textId="77777777" w:rsidR="00204AA8" w:rsidRDefault="00204AA8" w:rsidP="00204AA8">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2D2AF3D2" w14:textId="77777777" w:rsidR="00204AA8" w:rsidRPr="00BC1E70" w:rsidRDefault="00204AA8" w:rsidP="00204AA8">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547B216A" w14:textId="7A105B0D" w:rsidR="00204AA8" w:rsidRPr="00204AA8" w:rsidRDefault="00204AA8" w:rsidP="00204AA8">
      <w:p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w:t>
      </w:r>
      <w:r w:rsidRPr="00204AA8">
        <w:rPr>
          <w:rFonts w:ascii="Times New Roman" w:hAnsi="Times New Roman" w:cs="Times New Roman"/>
          <w:sz w:val="24"/>
          <w:szCs w:val="24"/>
        </w:rPr>
        <w:t xml:space="preserve">revoke </w:t>
      </w:r>
      <w:r w:rsidRPr="00204AA8">
        <w:rPr>
          <w:rFonts w:ascii="Times New Roman" w:hAnsi="Times New Roman"/>
          <w:i/>
          <w:sz w:val="24"/>
          <w:szCs w:val="24"/>
        </w:rPr>
        <w:t>Reporting Standard SRS 705.0 Components of Net Return</w:t>
      </w:r>
      <w:r w:rsidR="00475667">
        <w:rPr>
          <w:rFonts w:ascii="Times New Roman" w:hAnsi="Times New Roman"/>
          <w:i/>
          <w:sz w:val="24"/>
          <w:szCs w:val="24"/>
        </w:rPr>
        <w:t xml:space="preserve"> </w:t>
      </w:r>
      <w:r w:rsidR="00475667">
        <w:rPr>
          <w:rFonts w:ascii="Times New Roman" w:hAnsi="Times New Roman"/>
          <w:sz w:val="24"/>
          <w:szCs w:val="24"/>
        </w:rPr>
        <w:t>a replace it with a new standard</w:t>
      </w:r>
      <w:r w:rsidRPr="00204AA8">
        <w:rPr>
          <w:rFonts w:ascii="Times New Roman" w:hAnsi="Times New Roman"/>
          <w:i/>
          <w:sz w:val="24"/>
          <w:szCs w:val="24"/>
        </w:rPr>
        <w:t>.</w:t>
      </w:r>
      <w:r w:rsidRPr="00204AA8">
        <w:rPr>
          <w:rFonts w:ascii="Times New Roman" w:hAnsi="Times New Roman"/>
          <w:sz w:val="24"/>
          <w:szCs w:val="24"/>
        </w:rPr>
        <w:t xml:space="preserve"> T</w:t>
      </w:r>
      <w:r w:rsidRPr="00204AA8">
        <w:rPr>
          <w:rFonts w:ascii="Times New Roman" w:hAnsi="Times New Roman" w:cs="Times New Roman"/>
          <w:sz w:val="24"/>
          <w:szCs w:val="24"/>
        </w:rPr>
        <w:t>he reporting standard outlines the requirements for the provision of information to APRA relating to the performance of all superannuation products, investment menus and investment options of RSE licensees.</w:t>
      </w:r>
    </w:p>
    <w:p w14:paraId="05103457" w14:textId="0D5DE4FF" w:rsidR="00204AA8" w:rsidRDefault="00204AA8" w:rsidP="00204AA8">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RSEs will be required to provide data to APRA in accordance with the new standard, which will enable APRA </w:t>
      </w:r>
      <w:r w:rsidR="004627CE">
        <w:rPr>
          <w:rFonts w:ascii="Times New Roman" w:hAnsi="Times New Roman" w:cs="Times New Roman"/>
          <w:sz w:val="24"/>
          <w:szCs w:val="24"/>
        </w:rPr>
        <w:t xml:space="preserve">to </w:t>
      </w:r>
      <w:r w:rsidRPr="00DA4844">
        <w:rPr>
          <w:rFonts w:ascii="Times New Roman" w:hAnsi="Times New Roman" w:cs="Times New Roman"/>
          <w:sz w:val="24"/>
          <w:szCs w:val="24"/>
        </w:rPr>
        <w:t xml:space="preserve">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59B4A02E" w14:textId="77777777" w:rsidR="00204AA8" w:rsidRPr="000F06C1" w:rsidRDefault="00204AA8" w:rsidP="00204AA8">
      <w:pPr>
        <w:pStyle w:val="Heading5"/>
      </w:pPr>
      <w:r w:rsidRPr="000F06C1">
        <w:t xml:space="preserve">Explanation of </w:t>
      </w:r>
      <w:r>
        <w:t>each provision in the instrument</w:t>
      </w:r>
    </w:p>
    <w:p w14:paraId="0171F5DB" w14:textId="77777777" w:rsidR="00204AA8" w:rsidRPr="00504FC5" w:rsidRDefault="00204AA8" w:rsidP="00204AA8">
      <w:pPr>
        <w:pStyle w:val="Heading6"/>
      </w:pPr>
      <w:r w:rsidRPr="00C25989">
        <w:t xml:space="preserve">Authority – </w:t>
      </w:r>
      <w:r w:rsidRPr="00504FC5">
        <w:t>paragraph 1</w:t>
      </w:r>
    </w:p>
    <w:p w14:paraId="0BF190AD" w14:textId="77777777" w:rsidR="00204AA8" w:rsidRPr="00504FC5" w:rsidRDefault="00204AA8" w:rsidP="00204AA8">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4D480694" w14:textId="77777777" w:rsidR="00204AA8" w:rsidRPr="00C25989" w:rsidRDefault="00204AA8" w:rsidP="00204AA8">
      <w:pPr>
        <w:pStyle w:val="Heading6"/>
      </w:pPr>
      <w:r w:rsidRPr="00504FC5">
        <w:t>Purpose – paragraph 2</w:t>
      </w:r>
    </w:p>
    <w:p w14:paraId="5F3136EA" w14:textId="77777777" w:rsidR="00204AA8" w:rsidRPr="007A694F" w:rsidRDefault="00204AA8" w:rsidP="00204AA8">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7E149AC0" w14:textId="77777777" w:rsidR="00204AA8" w:rsidRPr="00C25989" w:rsidRDefault="00204AA8" w:rsidP="00204AA8">
      <w:pPr>
        <w:pStyle w:val="Heading6"/>
      </w:pPr>
      <w:r w:rsidRPr="00C25989">
        <w:t>Application</w:t>
      </w:r>
      <w:r>
        <w:t xml:space="preserve"> </w:t>
      </w:r>
      <w:r w:rsidRPr="00C25989">
        <w:t>– paragraph 3</w:t>
      </w:r>
    </w:p>
    <w:p w14:paraId="7781BF98" w14:textId="77777777" w:rsidR="00204AA8" w:rsidRDefault="00204AA8" w:rsidP="00204AA8">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47A01032" w14:textId="77777777" w:rsidR="00204AA8" w:rsidRDefault="00204AA8" w:rsidP="00204AA8">
      <w:pPr>
        <w:pStyle w:val="Heading6"/>
      </w:pPr>
      <w:r>
        <w:t>Commencement – paragraph 4</w:t>
      </w:r>
    </w:p>
    <w:p w14:paraId="629A303E" w14:textId="77777777" w:rsidR="00204AA8" w:rsidRPr="004A7416" w:rsidRDefault="00204AA8" w:rsidP="00204AA8">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5D3037FE" w14:textId="77777777" w:rsidR="007A39AB" w:rsidRDefault="007A39AB" w:rsidP="00204AA8">
      <w:pPr>
        <w:pStyle w:val="Heading6"/>
      </w:pPr>
    </w:p>
    <w:p w14:paraId="5C544692" w14:textId="77777777" w:rsidR="007A39AB" w:rsidRDefault="007A39AB" w:rsidP="00204AA8">
      <w:pPr>
        <w:pStyle w:val="Heading6"/>
      </w:pPr>
    </w:p>
    <w:p w14:paraId="5039B1CF" w14:textId="1DE1039C" w:rsidR="00204AA8" w:rsidRDefault="00204AA8" w:rsidP="00204AA8">
      <w:pPr>
        <w:pStyle w:val="Heading6"/>
      </w:pPr>
      <w:r>
        <w:lastRenderedPageBreak/>
        <w:t xml:space="preserve">Reporting </w:t>
      </w:r>
      <w:proofErr w:type="gramStart"/>
      <w:r>
        <w:t>periods  –</w:t>
      </w:r>
      <w:proofErr w:type="gramEnd"/>
      <w:r>
        <w:t xml:space="preserve"> paragraph 5</w:t>
      </w:r>
    </w:p>
    <w:p w14:paraId="506732A2" w14:textId="77777777" w:rsidR="00204AA8" w:rsidRPr="00EC6209" w:rsidRDefault="00204AA8" w:rsidP="00204AA8">
      <w:pPr>
        <w:pStyle w:val="Heading6"/>
        <w:numPr>
          <w:ilvl w:val="0"/>
          <w:numId w:val="5"/>
        </w:numPr>
        <w:rPr>
          <w:i w:val="0"/>
        </w:rPr>
      </w:pPr>
      <w:r w:rsidRPr="00DE4029">
        <w:rPr>
          <w:i w:val="0"/>
        </w:rPr>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220E41ED" w14:textId="7D2755EE" w:rsidR="00204AA8" w:rsidRPr="007232A4" w:rsidRDefault="00204AA8" w:rsidP="00204AA8">
      <w:r w:rsidRPr="008E440F">
        <w:rPr>
          <w:rFonts w:ascii="Times New Roman" w:hAnsi="Times New Roman" w:cs="Times New Roman"/>
          <w:sz w:val="24"/>
          <w:szCs w:val="24"/>
        </w:rPr>
        <w:t xml:space="preserve">Paragraph 5 relies on this provision. Paragraph 5 states that RSE licensees are to provide the information required by this Reporting Standard in respect of each </w:t>
      </w:r>
      <w:r w:rsidR="00EA2DD0">
        <w:rPr>
          <w:rFonts w:ascii="Times New Roman" w:hAnsi="Times New Roman" w:cs="Times New Roman"/>
          <w:sz w:val="24"/>
          <w:szCs w:val="24"/>
        </w:rPr>
        <w:t xml:space="preserve">calendar quarter and each </w:t>
      </w:r>
      <w:r w:rsidRPr="008E440F">
        <w:rPr>
          <w:rFonts w:ascii="Times New Roman" w:hAnsi="Times New Roman" w:cs="Times New Roman"/>
          <w:sz w:val="24"/>
          <w:szCs w:val="24"/>
        </w:rPr>
        <w:t>year ending 30 June.</w:t>
      </w:r>
    </w:p>
    <w:p w14:paraId="1803E91B" w14:textId="77777777" w:rsidR="00204AA8" w:rsidRDefault="00204AA8" w:rsidP="00204AA8">
      <w:pPr>
        <w:pStyle w:val="Heading6"/>
      </w:pPr>
      <w:r>
        <w:t xml:space="preserve">Information required – paragraph 6 – 8 </w:t>
      </w:r>
    </w:p>
    <w:p w14:paraId="691279A3" w14:textId="77777777" w:rsidR="00204AA8" w:rsidRDefault="00204AA8" w:rsidP="00204AA8">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04D15156" w14:textId="4B84BE9B" w:rsidR="00204AA8" w:rsidRDefault="00204AA8" w:rsidP="00204AA8">
      <w:pPr>
        <w:rPr>
          <w:rFonts w:ascii="Times New Roman" w:hAnsi="Times New Roman" w:cs="Times New Roman"/>
          <w:sz w:val="24"/>
          <w:szCs w:val="24"/>
        </w:rPr>
      </w:pPr>
      <w:r>
        <w:rPr>
          <w:rFonts w:ascii="Times New Roman" w:hAnsi="Times New Roman" w:cs="Times New Roman"/>
          <w:sz w:val="24"/>
          <w:szCs w:val="24"/>
        </w:rPr>
        <w:t xml:space="preserve">Paragraphs 6 – 8 rely on these provisions. Paragraph 6 states that information required by this reporting standard must be provided </w:t>
      </w:r>
      <w:r w:rsidRPr="0038452B">
        <w:rPr>
          <w:rFonts w:ascii="Times New Roman" w:hAnsi="Times New Roman" w:cs="Times New Roman"/>
          <w:sz w:val="24"/>
          <w:szCs w:val="24"/>
        </w:rPr>
        <w:t xml:space="preserve">for reporting periods ending on or after 30 </w:t>
      </w:r>
      <w:r w:rsidR="00967FEC">
        <w:rPr>
          <w:rFonts w:ascii="Times New Roman" w:hAnsi="Times New Roman" w:cs="Times New Roman"/>
          <w:sz w:val="24"/>
          <w:szCs w:val="24"/>
        </w:rPr>
        <w:t>September</w:t>
      </w:r>
      <w:r w:rsidRPr="0038452B">
        <w:rPr>
          <w:rFonts w:ascii="Times New Roman" w:hAnsi="Times New Roman" w:cs="Times New Roman"/>
          <w:sz w:val="24"/>
          <w:szCs w:val="24"/>
        </w:rPr>
        <w:t xml:space="preserve"> 2023.</w:t>
      </w:r>
    </w:p>
    <w:p w14:paraId="6D2A1207" w14:textId="05E57D63" w:rsidR="00204AA8" w:rsidRDefault="00204AA8" w:rsidP="00204AA8">
      <w:pPr>
        <w:pStyle w:val="BodyText"/>
        <w:widowControl w:val="0"/>
        <w:numPr>
          <w:ilvl w:val="0"/>
          <w:numId w:val="0"/>
        </w:num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Paragraph 7 states that</w:t>
      </w:r>
      <w:r w:rsidR="00AC4375">
        <w:rPr>
          <w:rFonts w:ascii="Times New Roman" w:hAnsi="Times New Roman" w:cs="Times New Roman"/>
          <w:sz w:val="24"/>
          <w:szCs w:val="24"/>
        </w:rPr>
        <w:t xml:space="preserve"> </w:t>
      </w:r>
      <w:r w:rsidR="00495434" w:rsidRPr="0038452B">
        <w:rPr>
          <w:rFonts w:ascii="Times New Roman" w:hAnsi="Times New Roman" w:cs="Times New Roman"/>
          <w:sz w:val="24"/>
          <w:szCs w:val="24"/>
        </w:rPr>
        <w:t xml:space="preserve">RSE licensees must provide </w:t>
      </w:r>
      <w:r w:rsidR="00AC4375">
        <w:rPr>
          <w:rFonts w:ascii="Times New Roman" w:hAnsi="Times New Roman" w:cs="Times New Roman"/>
          <w:sz w:val="24"/>
          <w:szCs w:val="24"/>
        </w:rPr>
        <w:t>quarterly</w:t>
      </w:r>
      <w:r>
        <w:rPr>
          <w:rFonts w:ascii="Times New Roman" w:hAnsi="Times New Roman" w:cs="Times New Roman"/>
          <w:sz w:val="24"/>
          <w:szCs w:val="24"/>
        </w:rPr>
        <w:t xml:space="preserve"> </w:t>
      </w:r>
      <w:r w:rsidRPr="00E71246">
        <w:rPr>
          <w:rFonts w:ascii="Times New Roman" w:hAnsi="Times New Roman" w:cs="Times New Roman"/>
          <w:sz w:val="24"/>
          <w:szCs w:val="24"/>
        </w:rPr>
        <w:t xml:space="preserve">information </w:t>
      </w:r>
      <w:r>
        <w:rPr>
          <w:rFonts w:ascii="Times New Roman" w:hAnsi="Times New Roman" w:cs="Times New Roman"/>
          <w:sz w:val="24"/>
          <w:szCs w:val="24"/>
        </w:rPr>
        <w:t>r</w:t>
      </w:r>
      <w:r w:rsidRPr="00E71246">
        <w:rPr>
          <w:rFonts w:ascii="Times New Roman" w:hAnsi="Times New Roman" w:cs="Times New Roman"/>
          <w:sz w:val="24"/>
          <w:szCs w:val="24"/>
        </w:rPr>
        <w:t>equired under</w:t>
      </w:r>
      <w:r w:rsidR="00495434">
        <w:rPr>
          <w:rFonts w:ascii="Times New Roman" w:hAnsi="Times New Roman" w:cs="Times New Roman"/>
          <w:sz w:val="24"/>
          <w:szCs w:val="24"/>
        </w:rPr>
        <w:t xml:space="preserve"> this reporting standard</w:t>
      </w:r>
      <w:r w:rsidRPr="00E71246">
        <w:rPr>
          <w:rFonts w:ascii="Times New Roman" w:hAnsi="Times New Roman" w:cs="Times New Roman"/>
          <w:sz w:val="24"/>
          <w:szCs w:val="24"/>
        </w:rPr>
        <w:t xml:space="preserve"> </w:t>
      </w:r>
      <w:r w:rsidR="00AC4375">
        <w:rPr>
          <w:rFonts w:ascii="Times New Roman" w:hAnsi="Times New Roman" w:cs="Times New Roman"/>
          <w:sz w:val="24"/>
          <w:szCs w:val="24"/>
        </w:rPr>
        <w:t>within 28 days after the end of the relevant reporting period.</w:t>
      </w:r>
    </w:p>
    <w:p w14:paraId="020282D2" w14:textId="0E181B42" w:rsidR="00204AA8" w:rsidRPr="00E71246" w:rsidRDefault="00204AA8" w:rsidP="00204AA8">
      <w:p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w:t>
      </w:r>
      <w:r>
        <w:rPr>
          <w:rFonts w:ascii="Times New Roman" w:hAnsi="Times New Roman" w:cs="Times New Roman"/>
          <w:sz w:val="24"/>
          <w:szCs w:val="24"/>
        </w:rPr>
        <w:t>8</w:t>
      </w:r>
      <w:r w:rsidRPr="0038452B">
        <w:rPr>
          <w:rFonts w:ascii="Times New Roman" w:hAnsi="Times New Roman" w:cs="Times New Roman"/>
          <w:sz w:val="24"/>
          <w:szCs w:val="24"/>
        </w:rPr>
        <w:t xml:space="preserve"> states that RSE licensees must provide </w:t>
      </w:r>
      <w:r w:rsidR="00495434">
        <w:rPr>
          <w:rFonts w:ascii="Times New Roman" w:hAnsi="Times New Roman" w:cs="Times New Roman"/>
          <w:sz w:val="24"/>
          <w:szCs w:val="24"/>
        </w:rPr>
        <w:t xml:space="preserve">annual </w:t>
      </w:r>
      <w:r w:rsidRPr="0038452B">
        <w:rPr>
          <w:rFonts w:ascii="Times New Roman" w:hAnsi="Times New Roman" w:cs="Times New Roman"/>
          <w:sz w:val="24"/>
          <w:szCs w:val="24"/>
        </w:rPr>
        <w:t>information required by this reporting standard within 3 months after the end of the relevant reporting period.</w:t>
      </w:r>
    </w:p>
    <w:p w14:paraId="35615189" w14:textId="77777777" w:rsidR="00204AA8" w:rsidRDefault="00204AA8" w:rsidP="00204AA8">
      <w:pPr>
        <w:pStyle w:val="Heading6"/>
      </w:pPr>
      <w:proofErr w:type="gramStart"/>
      <w:r>
        <w:t>Notices  –</w:t>
      </w:r>
      <w:proofErr w:type="gramEnd"/>
      <w:r>
        <w:t xml:space="preserve"> paragraphs 9 – 11</w:t>
      </w:r>
    </w:p>
    <w:p w14:paraId="7181C4CB" w14:textId="77777777" w:rsidR="00204AA8" w:rsidRPr="004C6889" w:rsidRDefault="00204AA8" w:rsidP="00204AA8">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1A67904B" w14:textId="77777777" w:rsidR="00204AA8" w:rsidRPr="004C6889" w:rsidRDefault="00204AA8" w:rsidP="00204AA8">
      <w:pPr>
        <w:rPr>
          <w:rFonts w:ascii="Times New Roman" w:hAnsi="Times New Roman" w:cs="Times New Roman"/>
          <w:sz w:val="24"/>
          <w:szCs w:val="24"/>
        </w:rPr>
      </w:pPr>
      <w:r w:rsidRPr="004C6889">
        <w:rPr>
          <w:rFonts w:ascii="Times New Roman" w:hAnsi="Times New Roman" w:cs="Times New Roman"/>
          <w:sz w:val="24"/>
          <w:szCs w:val="24"/>
        </w:rPr>
        <w:t xml:space="preserve">Paragraph 9 provides for APRA to vary the reporting periods mentioned in paragraph 5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5. Paragraph 10 also states that in the case of information provided in accordance with paragraph 9, the due date will be as stated on the written notice. Paragraph 11 states that APRA may grant an extension of a due date in writing.</w:t>
      </w:r>
    </w:p>
    <w:p w14:paraId="12173A22" w14:textId="77777777" w:rsidR="00204AA8" w:rsidRPr="00401252" w:rsidRDefault="00204AA8" w:rsidP="00204AA8">
      <w:pPr>
        <w:pStyle w:val="Heading6"/>
      </w:pPr>
      <w:r>
        <w:t xml:space="preserve">Form and method of submission – </w:t>
      </w:r>
      <w:r w:rsidRPr="00401252">
        <w:t>paragraph 12</w:t>
      </w:r>
    </w:p>
    <w:p w14:paraId="201DD643" w14:textId="77777777" w:rsidR="00204AA8" w:rsidRPr="00401252" w:rsidRDefault="00204AA8" w:rsidP="00204AA8">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33B18CC0" w14:textId="77777777" w:rsidR="00204AA8" w:rsidRDefault="00204AA8" w:rsidP="00204AA8">
      <w:pPr>
        <w:pStyle w:val="Heading6"/>
      </w:pPr>
      <w:r w:rsidRPr="00401252">
        <w:t>Quality control – paragraphs 13-14</w:t>
      </w:r>
    </w:p>
    <w:p w14:paraId="3D71755F" w14:textId="77777777" w:rsidR="00204AA8" w:rsidRPr="00217286" w:rsidRDefault="00204AA8" w:rsidP="00204AA8">
      <w:pPr>
        <w:rPr>
          <w:rFonts w:ascii="Times New Roman" w:hAnsi="Times New Roman" w:cs="Times New Roman"/>
          <w:sz w:val="24"/>
          <w:szCs w:val="24"/>
        </w:rPr>
      </w:pPr>
      <w:r w:rsidRPr="00217286">
        <w:rPr>
          <w:rFonts w:ascii="Times New Roman" w:hAnsi="Times New Roman" w:cs="Times New Roman"/>
          <w:sz w:val="24"/>
          <w:szCs w:val="24"/>
        </w:rPr>
        <w:t>Paragraph 1</w:t>
      </w:r>
      <w:r>
        <w:rPr>
          <w:rFonts w:ascii="Times New Roman" w:hAnsi="Times New Roman" w:cs="Times New Roman"/>
          <w:sz w:val="24"/>
          <w:szCs w:val="24"/>
        </w:rPr>
        <w:t>3</w:t>
      </w:r>
      <w:r w:rsidRPr="00217286">
        <w:rPr>
          <w:rFonts w:ascii="Times New Roman" w:hAnsi="Times New Roman" w:cs="Times New Roman"/>
          <w:sz w:val="24"/>
          <w:szCs w:val="24"/>
        </w:rPr>
        <w:t xml:space="preserve"> 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44B08C43" w14:textId="77777777" w:rsidR="00204AA8" w:rsidRDefault="00204AA8" w:rsidP="00204AA8">
      <w:pPr>
        <w:rPr>
          <w:rFonts w:ascii="Times New Roman" w:hAnsi="Times New Roman" w:cs="Times New Roman"/>
          <w:sz w:val="24"/>
          <w:szCs w:val="24"/>
        </w:rPr>
      </w:pPr>
      <w:r w:rsidRPr="00217286">
        <w:rPr>
          <w:rFonts w:ascii="Times New Roman" w:hAnsi="Times New Roman" w:cs="Times New Roman"/>
          <w:sz w:val="24"/>
          <w:szCs w:val="24"/>
        </w:rPr>
        <w:lastRenderedPageBreak/>
        <w:t>Paragraph 1</w:t>
      </w:r>
      <w:r>
        <w:rPr>
          <w:rFonts w:ascii="Times New Roman" w:hAnsi="Times New Roman" w:cs="Times New Roman"/>
          <w:sz w:val="24"/>
          <w:szCs w:val="24"/>
        </w:rPr>
        <w:t>4</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4401BC82" w14:textId="77777777" w:rsidR="00204AA8" w:rsidRDefault="00204AA8" w:rsidP="00204AA8">
      <w:pPr>
        <w:pStyle w:val="Heading6"/>
      </w:pPr>
      <w:r>
        <w:t>Authorisation – paragraphs 15 – 17</w:t>
      </w:r>
    </w:p>
    <w:p w14:paraId="11A99CB9" w14:textId="3A965624" w:rsidR="00204AA8" w:rsidRPr="00625918" w:rsidRDefault="00204AA8" w:rsidP="00204AA8">
      <w:pPr>
        <w:rPr>
          <w:rFonts w:ascii="Times New Roman" w:hAnsi="Times New Roman" w:cs="Times New Roman"/>
          <w:sz w:val="24"/>
          <w:szCs w:val="24"/>
        </w:rPr>
      </w:pPr>
      <w:r w:rsidRPr="00DC4928">
        <w:rPr>
          <w:rFonts w:ascii="Times New Roman" w:hAnsi="Times New Roman" w:cs="Times New Roman"/>
          <w:sz w:val="24"/>
          <w:szCs w:val="24"/>
        </w:rPr>
        <w:t>Paragraphs 1</w:t>
      </w:r>
      <w:r>
        <w:rPr>
          <w:rFonts w:ascii="Times New Roman" w:hAnsi="Times New Roman" w:cs="Times New Roman"/>
          <w:sz w:val="24"/>
          <w:szCs w:val="24"/>
        </w:rPr>
        <w:t>5 – 17</w:t>
      </w:r>
      <w:r w:rsidRPr="00DC4928">
        <w:rPr>
          <w:rFonts w:ascii="Times New Roman" w:hAnsi="Times New Roman" w:cs="Times New Roman"/>
          <w:sz w:val="24"/>
          <w:szCs w:val="24"/>
        </w:rPr>
        <w:t xml:space="preserve">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5B488A">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32EE225A" w14:textId="77777777" w:rsidR="00204AA8" w:rsidRPr="00625918" w:rsidRDefault="00204AA8" w:rsidP="00204AA8">
      <w:pPr>
        <w:pStyle w:val="Heading6"/>
      </w:pPr>
      <w:r w:rsidRPr="00625918">
        <w:t>Minor alterations to forms and instructions – paragraph</w:t>
      </w:r>
      <w:r>
        <w:t>s</w:t>
      </w:r>
      <w:r w:rsidRPr="00625918">
        <w:t xml:space="preserve"> </w:t>
      </w:r>
      <w:r>
        <w:t>18 – 19</w:t>
      </w:r>
    </w:p>
    <w:p w14:paraId="74A8928F" w14:textId="77777777" w:rsidR="00204AA8" w:rsidRDefault="00204AA8" w:rsidP="00204AA8">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Pr>
          <w:rFonts w:ascii="Times New Roman" w:hAnsi="Times New Roman" w:cs="Times New Roman"/>
          <w:sz w:val="24"/>
          <w:szCs w:val="24"/>
        </w:rPr>
        <w:t>18</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Pr>
          <w:rFonts w:ascii="Times New Roman" w:hAnsi="Times New Roman" w:cs="Times New Roman"/>
          <w:sz w:val="24"/>
          <w:szCs w:val="24"/>
        </w:rPr>
        <w:t>19</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020B7D2D" w14:textId="77777777" w:rsidR="00204AA8" w:rsidRDefault="00204AA8" w:rsidP="00204AA8">
      <w:pPr>
        <w:pStyle w:val="Heading6"/>
      </w:pPr>
      <w:r>
        <w:t>Transition – paragraph 20</w:t>
      </w:r>
    </w:p>
    <w:p w14:paraId="0DCDD954" w14:textId="4992C210" w:rsidR="00204AA8" w:rsidRPr="0066151F" w:rsidRDefault="00204AA8" w:rsidP="00204AA8">
      <w:pPr>
        <w:rPr>
          <w:rFonts w:ascii="Times New Roman" w:hAnsi="Times New Roman" w:cs="Times New Roman"/>
          <w:sz w:val="24"/>
          <w:szCs w:val="24"/>
        </w:rPr>
      </w:pPr>
      <w:r w:rsidRPr="0066151F">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20 states that financial sector entities must report data under the reporting standard revoked in the determination making this reporting standard for reporting periods that ended </w:t>
      </w:r>
      <w:r w:rsidR="0023058C">
        <w:rPr>
          <w:rFonts w:ascii="Times New Roman" w:hAnsi="Times New Roman" w:cs="Times New Roman"/>
          <w:sz w:val="24"/>
          <w:szCs w:val="24"/>
        </w:rPr>
        <w:t>before 30 September 2023</w:t>
      </w:r>
      <w:r w:rsidRPr="0066151F">
        <w:rPr>
          <w:rFonts w:ascii="Times New Roman" w:hAnsi="Times New Roman" w:cs="Times New Roman"/>
          <w:sz w:val="24"/>
          <w:szCs w:val="24"/>
        </w:rPr>
        <w:t xml:space="preserve">. </w:t>
      </w:r>
    </w:p>
    <w:p w14:paraId="2D1724EA" w14:textId="77777777" w:rsidR="00204AA8" w:rsidRDefault="00204AA8" w:rsidP="00204AA8">
      <w:pPr>
        <w:pStyle w:val="Heading6"/>
      </w:pPr>
      <w:r>
        <w:t>Interpretation – paragraphs 21 – 23</w:t>
      </w:r>
    </w:p>
    <w:p w14:paraId="6BEFF4BB" w14:textId="14CFB5D5" w:rsidR="00204AA8" w:rsidRPr="001569EC" w:rsidRDefault="00204AA8" w:rsidP="00204AA8">
      <w:r>
        <w:rPr>
          <w:rFonts w:ascii="Times New Roman" w:hAnsi="Times New Roman" w:cs="Times New Roman"/>
          <w:sz w:val="24"/>
          <w:szCs w:val="24"/>
        </w:rPr>
        <w:t xml:space="preserve">Paragraph 21 provides </w:t>
      </w:r>
      <w:r w:rsidRPr="001569EC">
        <w:rPr>
          <w:rFonts w:ascii="Times New Roman" w:hAnsi="Times New Roman" w:cs="Times New Roman"/>
          <w:sz w:val="24"/>
          <w:szCs w:val="24"/>
        </w:rPr>
        <w:t>definitions of common terms used throughout this reporting standard. Paragraph 2</w:t>
      </w:r>
      <w:r>
        <w:rPr>
          <w:rFonts w:ascii="Times New Roman" w:hAnsi="Times New Roman" w:cs="Times New Roman"/>
          <w:sz w:val="24"/>
          <w:szCs w:val="24"/>
        </w:rPr>
        <w:t>2</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Pr>
          <w:rFonts w:ascii="Times New Roman" w:hAnsi="Times New Roman" w:cs="Times New Roman"/>
          <w:sz w:val="24"/>
          <w:szCs w:val="24"/>
        </w:rPr>
        <w:t>3</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w:t>
      </w:r>
      <w:r w:rsidR="007E013E">
        <w:rPr>
          <w:rFonts w:ascii="Times New Roman" w:hAnsi="Times New Roman" w:cs="Times New Roman"/>
          <w:sz w:val="24"/>
          <w:szCs w:val="24"/>
        </w:rPr>
        <w:t>.</w:t>
      </w:r>
    </w:p>
    <w:p w14:paraId="6F8C8DF6" w14:textId="77777777" w:rsidR="00204AA8" w:rsidRDefault="00204AA8" w:rsidP="00204AA8">
      <w:pPr>
        <w:pStyle w:val="Heading6"/>
      </w:pPr>
      <w:r>
        <w:t>General instructions</w:t>
      </w:r>
    </w:p>
    <w:p w14:paraId="7E2F0316" w14:textId="77777777" w:rsidR="00204AA8" w:rsidRDefault="00204AA8" w:rsidP="00204AA8">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6C965268" w14:textId="77777777" w:rsidR="00204AA8" w:rsidRDefault="00204AA8" w:rsidP="00204AA8">
      <w:pPr>
        <w:pStyle w:val="Heading6"/>
      </w:pPr>
      <w:r>
        <w:t>Specific instructions</w:t>
      </w:r>
    </w:p>
    <w:p w14:paraId="5DE463E1" w14:textId="77777777" w:rsidR="00204AA8" w:rsidRPr="004E5263" w:rsidRDefault="00204AA8" w:rsidP="00204AA8">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1DD89192" w14:textId="77777777" w:rsidR="00204AA8" w:rsidRPr="009D1DFD" w:rsidRDefault="00204AA8" w:rsidP="00204AA8">
      <w:pPr>
        <w:pStyle w:val="Heading5"/>
      </w:pPr>
      <w:r w:rsidRPr="009D1DFD">
        <w:t>Documents incorporated by reference</w:t>
      </w:r>
    </w:p>
    <w:p w14:paraId="185557EC" w14:textId="77777777" w:rsidR="00204AA8" w:rsidRPr="009D1DFD" w:rsidRDefault="00204AA8" w:rsidP="00204AA8">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1D1AAFF6" w14:textId="70B84B05" w:rsidR="00204AA8" w:rsidRPr="00E21EB0" w:rsidRDefault="00204AA8" w:rsidP="00204AA8">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 xml:space="preserve">Acts of Parliament and associated delegated </w:t>
      </w:r>
      <w:proofErr w:type="gramStart"/>
      <w:r w:rsidRPr="00E21EB0">
        <w:rPr>
          <w:rFonts w:ascii="Times New Roman" w:hAnsi="Times New Roman" w:cs="Times New Roman"/>
          <w:sz w:val="24"/>
          <w:szCs w:val="24"/>
        </w:rPr>
        <w:t>l</w:t>
      </w:r>
      <w:r w:rsidR="006151DC">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23DD1ED3" w14:textId="77777777" w:rsidR="00204AA8" w:rsidRPr="00285F94" w:rsidRDefault="00204AA8" w:rsidP="00204AA8">
      <w:pPr>
        <w:numPr>
          <w:ilvl w:val="0"/>
          <w:numId w:val="22"/>
        </w:numPr>
        <w:rPr>
          <w:rFonts w:ascii="Times New Roman" w:hAnsi="Times New Roman" w:cs="Times New Roman"/>
          <w:sz w:val="24"/>
          <w:szCs w:val="24"/>
        </w:rPr>
      </w:pPr>
      <w:r w:rsidRPr="00285F94">
        <w:rPr>
          <w:rFonts w:ascii="Times New Roman" w:hAnsi="Times New Roman" w:cs="Times New Roman"/>
          <w:sz w:val="24"/>
          <w:szCs w:val="24"/>
        </w:rPr>
        <w:lastRenderedPageBreak/>
        <w:t>Prudential Standards determined by APRA under subsection 34</w:t>
      </w:r>
      <w:proofErr w:type="gramStart"/>
      <w:r w:rsidRPr="00285F94">
        <w:rPr>
          <w:rFonts w:ascii="Times New Roman" w:hAnsi="Times New Roman" w:cs="Times New Roman"/>
          <w:sz w:val="24"/>
          <w:szCs w:val="24"/>
        </w:rPr>
        <w:t>C(</w:t>
      </w:r>
      <w:proofErr w:type="gramEnd"/>
      <w:r w:rsidRPr="00285F94">
        <w:rPr>
          <w:rFonts w:ascii="Times New Roman" w:hAnsi="Times New Roman" w:cs="Times New Roman"/>
          <w:sz w:val="24"/>
          <w:szCs w:val="24"/>
        </w:rPr>
        <w:t xml:space="preserve">1) of the </w:t>
      </w:r>
      <w:r w:rsidRPr="00285F94">
        <w:rPr>
          <w:rFonts w:ascii="Times New Roman" w:hAnsi="Times New Roman" w:cs="Times New Roman"/>
          <w:i/>
          <w:sz w:val="24"/>
          <w:szCs w:val="24"/>
        </w:rPr>
        <w:t>Superannuation Industry (Supervision Act) 1993</w:t>
      </w:r>
      <w:r w:rsidRPr="00285F94">
        <w:rPr>
          <w:rFonts w:ascii="Times New Roman" w:hAnsi="Times New Roman" w:cs="Times New Roman"/>
          <w:sz w:val="24"/>
          <w:szCs w:val="24"/>
        </w:rPr>
        <w:t>; and</w:t>
      </w:r>
    </w:p>
    <w:p w14:paraId="582D91ED" w14:textId="44C3EAE7" w:rsidR="007B1DC4" w:rsidRPr="009608B6" w:rsidRDefault="00204AA8" w:rsidP="009608B6">
      <w:pPr>
        <w:numPr>
          <w:ilvl w:val="0"/>
          <w:numId w:val="22"/>
        </w:numPr>
        <w:rPr>
          <w:rFonts w:ascii="Times New Roman" w:hAnsi="Times New Roman" w:cs="Times New Roman"/>
          <w:i/>
          <w:iCs/>
          <w:sz w:val="24"/>
          <w:szCs w:val="24"/>
        </w:rPr>
      </w:pPr>
      <w:r w:rsidRPr="00285F94">
        <w:rPr>
          <w:rFonts w:ascii="Times New Roman" w:hAnsi="Times New Roman" w:cs="Times New Roman"/>
          <w:sz w:val="24"/>
          <w:szCs w:val="24"/>
        </w:rPr>
        <w:t xml:space="preserve">Reporting Standards determined by APRA under subsection 13(1) of the </w:t>
      </w:r>
      <w:proofErr w:type="gramStart"/>
      <w:r w:rsidRPr="00285F94">
        <w:rPr>
          <w:rFonts w:ascii="Times New Roman" w:hAnsi="Times New Roman" w:cs="Times New Roman"/>
          <w:sz w:val="24"/>
          <w:szCs w:val="24"/>
        </w:rPr>
        <w:t>Act</w:t>
      </w:r>
      <w:r w:rsidRPr="00285F94">
        <w:rPr>
          <w:rFonts w:ascii="Times New Roman" w:hAnsi="Times New Roman" w:cs="Times New Roman"/>
          <w:iCs/>
          <w:sz w:val="24"/>
          <w:szCs w:val="24"/>
          <w:lang w:val="en-US"/>
        </w:rPr>
        <w:t>;</w:t>
      </w:r>
      <w:proofErr w:type="gramEnd"/>
    </w:p>
    <w:p w14:paraId="1347FA02" w14:textId="72324633" w:rsidR="00FA3CD9" w:rsidRDefault="00204AA8" w:rsidP="00204AA8">
      <w:pPr>
        <w:numPr>
          <w:ilvl w:val="0"/>
          <w:numId w:val="0"/>
        </w:numPr>
        <w:rPr>
          <w:rFonts w:ascii="Times New Roman" w:hAnsi="Times New Roman" w:cs="Times New Roman"/>
          <w:sz w:val="24"/>
          <w:szCs w:val="24"/>
        </w:rPr>
      </w:pPr>
      <w:r w:rsidRPr="00285F94">
        <w:rPr>
          <w:rFonts w:ascii="Times New Roman" w:hAnsi="Times New Roman" w:cs="Times New Roman"/>
          <w:sz w:val="24"/>
          <w:szCs w:val="24"/>
        </w:rPr>
        <w:t>These documents</w:t>
      </w:r>
      <w:r w:rsidRPr="009D1DFD">
        <w:rPr>
          <w:rFonts w:ascii="Times New Roman" w:hAnsi="Times New Roman" w:cs="Times New Roman"/>
          <w:sz w:val="24"/>
          <w:szCs w:val="24"/>
        </w:rPr>
        <w:t xml:space="preserve"> may be freely obtained at </w:t>
      </w:r>
      <w:hyperlink r:id="rId11" w:history="1">
        <w:r w:rsidRPr="009D1DFD">
          <w:rPr>
            <w:rStyle w:val="Hyperlink"/>
            <w:rFonts w:ascii="Times New Roman" w:hAnsi="Times New Roman" w:cs="Times New Roman"/>
            <w:sz w:val="24"/>
            <w:szCs w:val="24"/>
          </w:rPr>
          <w:t>www.legislation.gov.au</w:t>
        </w:r>
      </w:hyperlink>
      <w:r>
        <w:rPr>
          <w:rStyle w:val="Hyperlink"/>
          <w:rFonts w:ascii="Times New Roman" w:hAnsi="Times New Roman" w:cs="Times New Roman"/>
          <w:sz w:val="24"/>
          <w:szCs w:val="24"/>
        </w:rPr>
        <w:t>.</w:t>
      </w:r>
      <w:r w:rsidRPr="009D1DFD">
        <w:rPr>
          <w:rFonts w:ascii="Times New Roman" w:hAnsi="Times New Roman" w:cs="Times New Roman"/>
          <w:sz w:val="24"/>
          <w:szCs w:val="24"/>
        </w:rPr>
        <w:t xml:space="preserve"> </w:t>
      </w:r>
    </w:p>
    <w:p w14:paraId="2D184159" w14:textId="77777777" w:rsidR="00FA3CD9" w:rsidRDefault="00FA3CD9" w:rsidP="00FA3CD9">
      <w:pPr>
        <w:rPr>
          <w:rFonts w:ascii="Times New Roman" w:hAnsi="Times New Roman" w:cs="Times New Roman"/>
          <w:sz w:val="24"/>
          <w:szCs w:val="24"/>
        </w:rPr>
      </w:pPr>
      <w:r>
        <w:rPr>
          <w:rFonts w:ascii="Times New Roman" w:hAnsi="Times New Roman" w:cs="Times New Roman"/>
          <w:sz w:val="24"/>
          <w:szCs w:val="24"/>
        </w:rPr>
        <w:t xml:space="preserve">Under section 14(1)(b) of the Legislation Act, the standard incorporates: </w:t>
      </w:r>
    </w:p>
    <w:p w14:paraId="1A1074FE" w14:textId="3D85B75C" w:rsidR="003A200E" w:rsidRPr="007120F2" w:rsidRDefault="1BFD22D7" w:rsidP="6284B381">
      <w:pPr>
        <w:pStyle w:val="ListParagraph"/>
        <w:numPr>
          <w:ilvl w:val="0"/>
          <w:numId w:val="28"/>
        </w:numPr>
        <w:tabs>
          <w:tab w:val="clear" w:pos="425"/>
        </w:tabs>
        <w:rPr>
          <w:rStyle w:val="Hyperlink"/>
          <w:rFonts w:ascii="Times New Roman" w:eastAsia="Times New Roman" w:hAnsi="Times New Roman" w:cs="Times New Roman"/>
          <w:color w:val="auto"/>
          <w:sz w:val="24"/>
          <w:szCs w:val="24"/>
          <w:u w:val="none"/>
        </w:rPr>
      </w:pPr>
      <w:r w:rsidRPr="007120F2">
        <w:rPr>
          <w:rFonts w:ascii="Times New Roman" w:eastAsia="Times New Roman" w:hAnsi="Times New Roman" w:cs="Times New Roman"/>
          <w:color w:val="auto"/>
          <w:sz w:val="24"/>
          <w:szCs w:val="24"/>
        </w:rPr>
        <w:t>Prudential Standards determined by APRA under subsection 34</w:t>
      </w:r>
      <w:proofErr w:type="gramStart"/>
      <w:r w:rsidRPr="007120F2">
        <w:rPr>
          <w:rFonts w:ascii="Times New Roman" w:eastAsia="Times New Roman" w:hAnsi="Times New Roman" w:cs="Times New Roman"/>
          <w:color w:val="auto"/>
          <w:sz w:val="24"/>
          <w:szCs w:val="24"/>
        </w:rPr>
        <w:t>C(</w:t>
      </w:r>
      <w:proofErr w:type="gramEnd"/>
      <w:r w:rsidRPr="007120F2">
        <w:rPr>
          <w:rFonts w:ascii="Times New Roman" w:eastAsia="Times New Roman" w:hAnsi="Times New Roman" w:cs="Times New Roman"/>
          <w:color w:val="auto"/>
          <w:sz w:val="24"/>
          <w:szCs w:val="24"/>
        </w:rPr>
        <w:t xml:space="preserve">1) of the </w:t>
      </w:r>
      <w:r w:rsidRPr="007120F2">
        <w:rPr>
          <w:rFonts w:ascii="Times New Roman" w:eastAsia="Times New Roman" w:hAnsi="Times New Roman" w:cs="Times New Roman"/>
          <w:i/>
          <w:iCs/>
          <w:color w:val="auto"/>
          <w:sz w:val="24"/>
          <w:szCs w:val="24"/>
        </w:rPr>
        <w:t xml:space="preserve">Superannuation Industry (Supervision Act) 1993 that relate to superannuation. </w:t>
      </w:r>
      <w:r w:rsidRPr="007120F2">
        <w:rPr>
          <w:rFonts w:ascii="Times New Roman" w:eastAsia="Times New Roman" w:hAnsi="Times New Roman" w:cs="Times New Roman"/>
          <w:color w:val="auto"/>
          <w:sz w:val="24"/>
          <w:szCs w:val="24"/>
        </w:rPr>
        <w:t xml:space="preserve">These documents may be freely obtained at </w:t>
      </w:r>
      <w:hyperlink r:id="rId12">
        <w:r w:rsidRPr="007120F2">
          <w:rPr>
            <w:rStyle w:val="Hyperlink"/>
            <w:rFonts w:ascii="Times New Roman" w:hAnsi="Times New Roman" w:cs="Times New Roman"/>
            <w:sz w:val="24"/>
            <w:szCs w:val="24"/>
          </w:rPr>
          <w:t>www.legislation.gov.au</w:t>
        </w:r>
        <w:r w:rsidRPr="007120F2">
          <w:rPr>
            <w:rStyle w:val="Hyperlink"/>
            <w:rFonts w:ascii="Times New Roman" w:eastAsia="Times New Roman" w:hAnsi="Times New Roman" w:cs="Times New Roman"/>
            <w:color w:val="auto"/>
            <w:sz w:val="24"/>
            <w:szCs w:val="24"/>
            <w:u w:val="none"/>
          </w:rPr>
          <w:t>;</w:t>
        </w:r>
      </w:hyperlink>
    </w:p>
    <w:p w14:paraId="0FCADFB2" w14:textId="77777777" w:rsidR="007A39AB" w:rsidRPr="007A39AB" w:rsidRDefault="007A39AB" w:rsidP="007A39AB">
      <w:pPr>
        <w:pStyle w:val="ListParagraph"/>
        <w:tabs>
          <w:tab w:val="clear" w:pos="425"/>
        </w:tabs>
        <w:ind w:left="720"/>
        <w:rPr>
          <w:rFonts w:ascii="Times New Roman" w:hAnsi="Times New Roman"/>
          <w:i/>
          <w:iCs/>
          <w:color w:val="auto"/>
          <w:sz w:val="24"/>
          <w:szCs w:val="24"/>
        </w:rPr>
      </w:pPr>
    </w:p>
    <w:p w14:paraId="04F87B68" w14:textId="386FE3FD" w:rsidR="003A200E" w:rsidRPr="007120F2" w:rsidRDefault="1BFD22D7" w:rsidP="6284B381">
      <w:pPr>
        <w:pStyle w:val="ListParagraph"/>
        <w:numPr>
          <w:ilvl w:val="0"/>
          <w:numId w:val="28"/>
        </w:numPr>
        <w:tabs>
          <w:tab w:val="clear" w:pos="425"/>
        </w:tabs>
        <w:rPr>
          <w:rFonts w:ascii="Times New Roman" w:hAnsi="Times New Roman"/>
          <w:i/>
          <w:iCs/>
          <w:color w:val="auto"/>
          <w:sz w:val="24"/>
          <w:szCs w:val="24"/>
        </w:rPr>
      </w:pPr>
      <w:r w:rsidRPr="007120F2">
        <w:rPr>
          <w:rFonts w:ascii="Times New Roman" w:eastAsia="Times New Roman" w:hAnsi="Times New Roman" w:cs="Times New Roman"/>
          <w:color w:val="auto"/>
          <w:sz w:val="24"/>
          <w:szCs w:val="24"/>
        </w:rPr>
        <w:t xml:space="preserve">Reporting Standards determined by APRA under subsection 13(1) of the Act that relate to superannuation. These documents may be freely obtained at </w:t>
      </w:r>
      <w:hyperlink>
        <w:r w:rsidRPr="007120F2">
          <w:rPr>
            <w:rStyle w:val="Hyperlink"/>
            <w:rFonts w:ascii="Times New Roman" w:hAnsi="Times New Roman" w:cs="Times New Roman"/>
            <w:sz w:val="24"/>
            <w:szCs w:val="24"/>
          </w:rPr>
          <w:t>www.legislation.gov.au;</w:t>
        </w:r>
      </w:hyperlink>
      <w:r w:rsidRPr="007120F2">
        <w:rPr>
          <w:rFonts w:ascii="Times New Roman" w:eastAsia="Times New Roman" w:hAnsi="Times New Roman" w:cs="Times New Roman"/>
          <w:color w:val="auto"/>
          <w:sz w:val="24"/>
          <w:szCs w:val="24"/>
        </w:rPr>
        <w:t xml:space="preserve"> </w:t>
      </w:r>
      <w:r w:rsidR="007A39AB">
        <w:rPr>
          <w:rFonts w:ascii="Times New Roman" w:eastAsia="Times New Roman" w:hAnsi="Times New Roman" w:cs="Times New Roman"/>
          <w:color w:val="auto"/>
          <w:sz w:val="24"/>
          <w:szCs w:val="24"/>
        </w:rPr>
        <w:t>and</w:t>
      </w:r>
    </w:p>
    <w:p w14:paraId="75B4D187" w14:textId="77777777" w:rsidR="007A39AB" w:rsidRPr="007A39AB" w:rsidRDefault="007A39AB" w:rsidP="007A39AB">
      <w:pPr>
        <w:pStyle w:val="ListParagraph"/>
        <w:ind w:left="720"/>
        <w:rPr>
          <w:rFonts w:cs="Times New Roman"/>
          <w:color w:val="0000FF"/>
          <w:u w:val="single"/>
        </w:rPr>
      </w:pPr>
    </w:p>
    <w:p w14:paraId="36C98C6A" w14:textId="4CE5AA75" w:rsidR="003A200E" w:rsidRPr="007120F2" w:rsidRDefault="00FA3CD9" w:rsidP="6284B381">
      <w:pPr>
        <w:pStyle w:val="ListParagraph"/>
        <w:numPr>
          <w:ilvl w:val="0"/>
          <w:numId w:val="28"/>
        </w:numPr>
        <w:rPr>
          <w:rStyle w:val="Hyperlink"/>
          <w:rFonts w:cs="Times New Roman"/>
        </w:rPr>
      </w:pPr>
      <w:r w:rsidRPr="007120F2">
        <w:rPr>
          <w:rFonts w:ascii="Times New Roman" w:hAnsi="Times New Roman"/>
          <w:i/>
          <w:color w:val="auto"/>
          <w:sz w:val="24"/>
          <w:szCs w:val="24"/>
        </w:rPr>
        <w:t>AS</w:t>
      </w:r>
      <w:r w:rsidR="007A39AB">
        <w:rPr>
          <w:rFonts w:ascii="Times New Roman" w:hAnsi="Times New Roman"/>
          <w:i/>
          <w:color w:val="auto"/>
          <w:sz w:val="24"/>
          <w:szCs w:val="24"/>
        </w:rPr>
        <w:t>I</w:t>
      </w:r>
      <w:r w:rsidRPr="007120F2">
        <w:rPr>
          <w:rFonts w:ascii="Times New Roman" w:hAnsi="Times New Roman"/>
          <w:i/>
          <w:color w:val="auto"/>
          <w:sz w:val="24"/>
          <w:szCs w:val="24"/>
        </w:rPr>
        <w:t>C Corporations (Disclosure of Fees and Costs) Instrument 2019/1070</w:t>
      </w:r>
      <w:r w:rsidR="00A60E86" w:rsidRPr="007120F2">
        <w:rPr>
          <w:rStyle w:val="Hyperlink"/>
          <w:rFonts w:ascii="Times New Roman" w:hAnsi="Times New Roman"/>
          <w:i/>
          <w:color w:val="auto"/>
          <w:sz w:val="24"/>
          <w:szCs w:val="24"/>
          <w:u w:val="none"/>
        </w:rPr>
        <w:t>:</w:t>
      </w:r>
      <w:r w:rsidR="009608B6" w:rsidRPr="007120F2">
        <w:rPr>
          <w:rStyle w:val="Hyperlink"/>
          <w:rFonts w:ascii="Times New Roman" w:hAnsi="Times New Roman"/>
          <w:i/>
          <w:color w:val="auto"/>
          <w:sz w:val="24"/>
          <w:szCs w:val="24"/>
          <w:u w:val="none"/>
        </w:rPr>
        <w:t xml:space="preserve"> </w:t>
      </w:r>
      <w:r w:rsidR="009608B6" w:rsidRPr="007120F2">
        <w:rPr>
          <w:rStyle w:val="Hyperlink"/>
          <w:rFonts w:ascii="Times New Roman" w:hAnsi="Times New Roman"/>
          <w:color w:val="auto"/>
          <w:sz w:val="24"/>
          <w:szCs w:val="24"/>
          <w:u w:val="none"/>
        </w:rPr>
        <w:t xml:space="preserve">This instrument modifies the requirements that govern the disclosure of fees and costs in Product Disclosure Statements and periodic statements for superannuation products and collective investment products covered by Division 4C of Part 7.9 of the </w:t>
      </w:r>
      <w:r w:rsidR="009608B6" w:rsidRPr="007120F2">
        <w:rPr>
          <w:rStyle w:val="Hyperlink"/>
          <w:rFonts w:ascii="Times New Roman" w:hAnsi="Times New Roman"/>
          <w:i/>
          <w:color w:val="auto"/>
          <w:sz w:val="24"/>
          <w:szCs w:val="24"/>
          <w:u w:val="none"/>
        </w:rPr>
        <w:t>Corporations Regulations 2001</w:t>
      </w:r>
      <w:r w:rsidR="009608B6" w:rsidRPr="007120F2">
        <w:rPr>
          <w:rStyle w:val="Hyperlink"/>
          <w:rFonts w:ascii="Times New Roman" w:hAnsi="Times New Roman"/>
          <w:color w:val="auto"/>
          <w:sz w:val="24"/>
          <w:szCs w:val="24"/>
          <w:u w:val="none"/>
        </w:rPr>
        <w:t xml:space="preserve">. The instrument gives effect to proposals for changes to these fees and costs disclosure requirements that emerged following ASIC Report 581 and ASIC Consultation Paper 308 </w:t>
      </w:r>
      <w:r w:rsidRPr="007120F2">
        <w:rPr>
          <w:rFonts w:ascii="Times New Roman" w:hAnsi="Times New Roman" w:cs="Times New Roman"/>
          <w:color w:val="auto"/>
          <w:sz w:val="24"/>
          <w:szCs w:val="24"/>
        </w:rPr>
        <w:t xml:space="preserve">and can be freely accessed and used by members of the public at: </w:t>
      </w:r>
      <w:hyperlink r:id="rId13">
        <w:r w:rsidR="009608B6" w:rsidRPr="007120F2">
          <w:rPr>
            <w:rStyle w:val="Hyperlink"/>
            <w:rFonts w:ascii="Times New Roman" w:hAnsi="Times New Roman" w:cs="Times New Roman"/>
            <w:sz w:val="24"/>
            <w:szCs w:val="24"/>
          </w:rPr>
          <w:t>https://www.legislation.gov.au/Details/F2019L01525</w:t>
        </w:r>
      </w:hyperlink>
    </w:p>
    <w:p w14:paraId="1B8EB163" w14:textId="77777777" w:rsidR="00204AA8" w:rsidRPr="007120F2" w:rsidRDefault="00204AA8" w:rsidP="00204AA8">
      <w:pPr>
        <w:pStyle w:val="Heading5"/>
        <w:rPr>
          <w:color w:val="auto"/>
        </w:rPr>
      </w:pPr>
      <w:r w:rsidRPr="007120F2">
        <w:rPr>
          <w:color w:val="auto"/>
        </w:rPr>
        <w:t>Review of decisions</w:t>
      </w:r>
    </w:p>
    <w:p w14:paraId="4C37DC0F" w14:textId="77777777" w:rsidR="00204AA8" w:rsidRPr="006C1876" w:rsidRDefault="00204AA8" w:rsidP="00204AA8">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16021507" w14:textId="77777777" w:rsidR="00204AA8" w:rsidRPr="006C1876" w:rsidRDefault="00204AA8" w:rsidP="00204AA8">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8ED5E65" w14:textId="576ED93B" w:rsidR="00204AA8" w:rsidRDefault="00204AA8" w:rsidP="00204AA8">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8F33F3">
        <w:rPr>
          <w:rFonts w:ascii="Times New Roman" w:hAnsi="Times New Roman" w:cs="Times New Roman"/>
          <w:sz w:val="24"/>
          <w:szCs w:val="24"/>
        </w:rPr>
        <w:t>RSE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425B24E3" w14:textId="77777777" w:rsidR="007A39AB" w:rsidRDefault="007A39AB" w:rsidP="00204AA8">
      <w:pPr>
        <w:numPr>
          <w:ilvl w:val="0"/>
          <w:numId w:val="0"/>
        </w:numPr>
        <w:rPr>
          <w:rFonts w:ascii="Times New Roman" w:hAnsi="Times New Roman" w:cs="Times New Roman"/>
          <w:sz w:val="24"/>
          <w:szCs w:val="24"/>
        </w:rPr>
      </w:pPr>
    </w:p>
    <w:p w14:paraId="2F6749D0" w14:textId="77777777" w:rsidR="007A39AB" w:rsidRDefault="007A39AB" w:rsidP="00204AA8">
      <w:pPr>
        <w:numPr>
          <w:ilvl w:val="0"/>
          <w:numId w:val="0"/>
        </w:numPr>
        <w:rPr>
          <w:rFonts w:ascii="Times New Roman" w:hAnsi="Times New Roman" w:cs="Times New Roman"/>
          <w:sz w:val="24"/>
          <w:szCs w:val="24"/>
        </w:rPr>
      </w:pPr>
    </w:p>
    <w:p w14:paraId="6E043A91" w14:textId="77777777" w:rsidR="007A39AB" w:rsidRPr="006C1876" w:rsidRDefault="007A39AB" w:rsidP="00204AA8">
      <w:pPr>
        <w:numPr>
          <w:ilvl w:val="0"/>
          <w:numId w:val="0"/>
        </w:numPr>
        <w:rPr>
          <w:rFonts w:ascii="Times New Roman" w:hAnsi="Times New Roman" w:cs="Times New Roman"/>
          <w:sz w:val="24"/>
          <w:szCs w:val="24"/>
        </w:rPr>
      </w:pPr>
    </w:p>
    <w:p w14:paraId="754B3303" w14:textId="77777777" w:rsidR="00204AA8" w:rsidRDefault="00204AA8" w:rsidP="00204AA8">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3.</w:t>
      </w:r>
      <w:r w:rsidRPr="00BC1E70">
        <w:rPr>
          <w:rFonts w:ascii="Times New Roman" w:hAnsi="Times New Roman" w:cs="Times New Roman"/>
          <w:b/>
          <w:sz w:val="24"/>
          <w:szCs w:val="24"/>
        </w:rPr>
        <w:tab/>
        <w:t>Consultation</w:t>
      </w:r>
    </w:p>
    <w:p w14:paraId="434C23DB" w14:textId="54B8469B" w:rsidR="007120F2" w:rsidRPr="007120F2" w:rsidRDefault="0084751F" w:rsidP="007120F2">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35A6120D" w14:textId="77777777" w:rsidR="0084751F" w:rsidRPr="00444162" w:rsidRDefault="0084751F" w:rsidP="0084751F">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3F0F439B" w14:textId="77777777" w:rsidR="0084751F" w:rsidRDefault="0084751F" w:rsidP="0084751F">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47A164B4" w14:textId="77777777" w:rsidR="0084751F" w:rsidRDefault="0084751F" w:rsidP="0084751F">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15A12D9A" w14:textId="77777777" w:rsidR="0084751F" w:rsidRDefault="0084751F" w:rsidP="0084751F">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354D90D0" w14:textId="77777777" w:rsidR="00204AA8" w:rsidRDefault="00204AA8" w:rsidP="00204AA8">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7BB95433" w14:textId="77777777" w:rsidR="00204AA8" w:rsidRPr="00C01CF4" w:rsidRDefault="00204AA8" w:rsidP="00204AA8">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0FE0242A" w14:textId="77777777" w:rsidR="00204AA8" w:rsidRPr="00DE1106" w:rsidRDefault="00204AA8" w:rsidP="00204AA8">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4D807A5" w14:textId="77777777" w:rsidR="00204AA8" w:rsidRPr="00D5162F" w:rsidRDefault="00204AA8" w:rsidP="00204AA8">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4FDC4D06" w14:textId="77777777" w:rsidR="00930927" w:rsidRPr="00027DDB" w:rsidRDefault="00930927" w:rsidP="00930927">
      <w:pPr>
        <w:numPr>
          <w:ilvl w:val="0"/>
          <w:numId w:val="0"/>
        </w:numPr>
        <w:rPr>
          <w:rFonts w:ascii="Times New Roman" w:hAnsi="Times New Roman" w:cs="Times New Roman"/>
          <w:b/>
          <w:sz w:val="24"/>
          <w:szCs w:val="24"/>
        </w:rPr>
      </w:pPr>
      <w:r>
        <w:rPr>
          <w:rFonts w:ascii="Times New Roman" w:hAnsi="Times New Roman" w:cs="Times New Roman"/>
          <w:b/>
          <w:sz w:val="24"/>
          <w:szCs w:val="24"/>
        </w:rPr>
        <w:t>6</w:t>
      </w:r>
      <w:r w:rsidRPr="00BC1E70">
        <w:rPr>
          <w:rFonts w:ascii="Times New Roman" w:hAnsi="Times New Roman" w:cs="Times New Roman"/>
          <w:b/>
          <w:sz w:val="24"/>
          <w:szCs w:val="24"/>
        </w:rPr>
        <w:t>.</w:t>
      </w:r>
      <w:r w:rsidRPr="00BC1E70">
        <w:rPr>
          <w:rFonts w:ascii="Times New Roman" w:hAnsi="Times New Roman" w:cs="Times New Roman"/>
          <w:b/>
          <w:sz w:val="24"/>
          <w:szCs w:val="24"/>
        </w:rPr>
        <w:tab/>
      </w:r>
      <w:r w:rsidRPr="00027DDB">
        <w:rPr>
          <w:rFonts w:ascii="Times New Roman" w:hAnsi="Times New Roman" w:cs="Times New Roman"/>
          <w:b/>
          <w:color w:val="auto"/>
          <w:sz w:val="24"/>
          <w:szCs w:val="24"/>
        </w:rPr>
        <w:t>Legislative instruments – disallowance and sunsetting</w:t>
      </w:r>
    </w:p>
    <w:p w14:paraId="5183C754" w14:textId="47DB206D" w:rsidR="00930927" w:rsidRPr="00C72A0F" w:rsidRDefault="00930927" w:rsidP="00930927">
      <w:pPr>
        <w:pStyle w:val="Heading"/>
        <w:spacing w:before="0" w:after="240"/>
        <w:jc w:val="both"/>
        <w:rPr>
          <w:rFonts w:cs="Times New Roman"/>
          <w:b w:val="0"/>
          <w:sz w:val="24"/>
          <w:szCs w:val="24"/>
        </w:rPr>
      </w:pPr>
      <w:r w:rsidRPr="00C72A0F">
        <w:rPr>
          <w:rFonts w:cs="Times New Roman"/>
          <w:b w:val="0"/>
          <w:sz w:val="24"/>
          <w:szCs w:val="24"/>
        </w:rPr>
        <w:t>The instrument is a legislative instrument for the purposes of the </w:t>
      </w:r>
      <w:r w:rsidRPr="6284B381">
        <w:rPr>
          <w:rFonts w:cs="Times New Roman"/>
          <w:b w:val="0"/>
          <w:i/>
          <w:sz w:val="24"/>
          <w:szCs w:val="24"/>
        </w:rPr>
        <w:t xml:space="preserve">Legislation Act </w:t>
      </w:r>
      <w:r w:rsidRPr="007A39AB">
        <w:rPr>
          <w:rFonts w:cs="Times New Roman"/>
          <w:b w:val="0"/>
          <w:i/>
          <w:sz w:val="24"/>
          <w:szCs w:val="24"/>
        </w:rPr>
        <w:t>2003</w:t>
      </w:r>
      <w:r w:rsidRPr="007A39AB">
        <w:rPr>
          <w:rFonts w:cs="Times New Roman"/>
          <w:b w:val="0"/>
          <w:sz w:val="24"/>
          <w:szCs w:val="24"/>
        </w:rPr>
        <w:t> (Legislation Act). In accordance with section 44 of the Legislation Act and item 3 in paragraphs 9 and item 6 in paragraph 11 of the </w:t>
      </w:r>
      <w:bookmarkStart w:id="4" w:name="_Hlk103856226"/>
      <w:r w:rsidRPr="007A39AB">
        <w:rPr>
          <w:rFonts w:cs="Times New Roman"/>
          <w:b w:val="0"/>
          <w:i/>
          <w:sz w:val="24"/>
          <w:szCs w:val="24"/>
        </w:rPr>
        <w:t>Legislation (Exemptions and Other Matters) Regulation 2015</w:t>
      </w:r>
      <w:r w:rsidRPr="007A39AB">
        <w:rPr>
          <w:rFonts w:cs="Times New Roman"/>
          <w:b w:val="0"/>
          <w:sz w:val="24"/>
          <w:szCs w:val="24"/>
        </w:rPr>
        <w:t> </w:t>
      </w:r>
      <w:bookmarkEnd w:id="4"/>
      <w:r w:rsidRPr="007A39AB">
        <w:rPr>
          <w:rFonts w:cs="Times New Roman"/>
          <w:b w:val="0"/>
          <w:sz w:val="24"/>
          <w:szCs w:val="24"/>
        </w:rPr>
        <w:t xml:space="preserve">(Legislation Regulation), the instrument </w:t>
      </w:r>
      <w:r w:rsidR="5D6D1569" w:rsidRPr="007A39AB">
        <w:rPr>
          <w:rFonts w:cs="Times New Roman"/>
          <w:b w:val="0"/>
          <w:sz w:val="24"/>
          <w:szCs w:val="24"/>
        </w:rPr>
        <w:t>is</w:t>
      </w:r>
      <w:r w:rsidRPr="007A39AB">
        <w:rPr>
          <w:rFonts w:cs="Times New Roman"/>
          <w:b w:val="0"/>
          <w:sz w:val="24"/>
          <w:szCs w:val="24"/>
        </w:rPr>
        <w:t xml:space="preserve"> not subject to disallowance or sunsetting under the Legislation Act on the grounds that the instrument relate</w:t>
      </w:r>
      <w:r w:rsidR="260952E0" w:rsidRPr="007A39AB">
        <w:rPr>
          <w:rFonts w:cs="Times New Roman"/>
          <w:b w:val="0"/>
          <w:sz w:val="24"/>
          <w:szCs w:val="24"/>
        </w:rPr>
        <w:t>s</w:t>
      </w:r>
      <w:r w:rsidRPr="007A39AB">
        <w:rPr>
          <w:rFonts w:cs="Times New Roman"/>
          <w:b w:val="0"/>
          <w:sz w:val="24"/>
          <w:szCs w:val="24"/>
        </w:rPr>
        <w:t xml:space="preserve"> to superannuation. The instrument </w:t>
      </w:r>
      <w:r w:rsidR="7DF791F2" w:rsidRPr="007A39AB">
        <w:rPr>
          <w:rFonts w:cs="Times New Roman"/>
          <w:b w:val="0"/>
          <w:sz w:val="24"/>
          <w:szCs w:val="24"/>
        </w:rPr>
        <w:t>is a</w:t>
      </w:r>
      <w:r w:rsidRPr="007A39AB">
        <w:rPr>
          <w:rFonts w:cs="Times New Roman"/>
          <w:b w:val="0"/>
          <w:sz w:val="24"/>
          <w:szCs w:val="24"/>
        </w:rPr>
        <w:t xml:space="preserve"> reporting standard, which require</w:t>
      </w:r>
      <w:r w:rsidR="10A722FD" w:rsidRPr="007A39AB">
        <w:rPr>
          <w:rFonts w:cs="Times New Roman"/>
          <w:b w:val="0"/>
          <w:sz w:val="24"/>
          <w:szCs w:val="24"/>
        </w:rPr>
        <w:t>s</w:t>
      </w:r>
      <w:r w:rsidRPr="007A39AB">
        <w:rPr>
          <w:rFonts w:cs="Times New Roman"/>
          <w:b w:val="0"/>
          <w:sz w:val="24"/>
          <w:szCs w:val="24"/>
        </w:rPr>
        <w:t xml:space="preserve"> registrable superannuation entity (RSE) licensees to provide information to APRA about their superannuation businesses and activities. The</w:t>
      </w:r>
      <w:r w:rsidRPr="00C72A0F">
        <w:rPr>
          <w:rFonts w:cs="Times New Roman"/>
          <w:b w:val="0"/>
          <w:sz w:val="24"/>
          <w:szCs w:val="24"/>
        </w:rPr>
        <w:t xml:space="preserve"> Explanatory Statement to the Legislation Regulation states:</w:t>
      </w:r>
    </w:p>
    <w:p w14:paraId="4782CDC9" w14:textId="77777777" w:rsidR="00930927" w:rsidRPr="00713D80" w:rsidRDefault="00930927" w:rsidP="6284B381">
      <w:pPr>
        <w:pStyle w:val="Heading"/>
        <w:spacing w:before="0" w:after="240"/>
        <w:ind w:left="425"/>
        <w:jc w:val="both"/>
        <w:rPr>
          <w:rFonts w:cs="Times New Roman"/>
          <w:b w:val="0"/>
          <w:i/>
          <w:sz w:val="24"/>
          <w:szCs w:val="24"/>
        </w:rPr>
      </w:pPr>
      <w:r w:rsidRPr="00713D80">
        <w:rPr>
          <w:rFonts w:cs="Times New Roman"/>
          <w:b w:val="0"/>
          <w:i/>
          <w:sz w:val="24"/>
          <w:szCs w:val="24"/>
        </w:rPr>
        <w:t xml:space="preserve">“Item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w:t>
      </w:r>
      <w:r w:rsidRPr="00713D80">
        <w:rPr>
          <w:rFonts w:cs="Times New Roman"/>
          <w:b w:val="0"/>
          <w:i/>
          <w:sz w:val="24"/>
          <w:szCs w:val="24"/>
        </w:rPr>
        <w:lastRenderedPageBreak/>
        <w:t>superannuation fund members and providers. These instruments are intended to have enduring operation and are not suitable for the disallowance process.”</w:t>
      </w:r>
    </w:p>
    <w:p w14:paraId="001D83EC" w14:textId="77777777" w:rsidR="00930927" w:rsidRPr="00713D80" w:rsidRDefault="00930927" w:rsidP="6284B381">
      <w:pPr>
        <w:pStyle w:val="Heading"/>
        <w:spacing w:before="0" w:after="240"/>
        <w:ind w:left="425"/>
        <w:jc w:val="both"/>
        <w:rPr>
          <w:rFonts w:cs="Times New Roman"/>
          <w:b w:val="0"/>
          <w:i/>
          <w:sz w:val="24"/>
          <w:szCs w:val="24"/>
        </w:rPr>
      </w:pPr>
      <w:r w:rsidRPr="00713D80">
        <w:rPr>
          <w:rFonts w:cs="Times New Roman"/>
          <w:b w:val="0"/>
          <w:i/>
          <w:sz w:val="24"/>
          <w:szCs w:val="24"/>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0EAA1B1D" w14:textId="0E373443" w:rsidR="00204AA8" w:rsidRDefault="00930927" w:rsidP="00930927">
      <w:pPr>
        <w:pStyle w:val="Heading"/>
        <w:spacing w:before="0" w:after="240"/>
        <w:jc w:val="both"/>
        <w:rPr>
          <w:rFonts w:cs="Times New Roman"/>
          <w:b w:val="0"/>
          <w:sz w:val="24"/>
          <w:szCs w:val="24"/>
        </w:rPr>
      </w:pPr>
      <w:r w:rsidRPr="00C72A0F">
        <w:rPr>
          <w:rFonts w:cs="Times New Roman"/>
          <w:b w:val="0"/>
          <w:sz w:val="24"/>
          <w:szCs w:val="24"/>
        </w:rPr>
        <w:t>As detailed above, extensive consultation with industry stakeholders occurred prior to the finalisation of the instrument. APRA conducts regular reviews on its reporting standards, which range from post-implementation reviews to targeted reviews of specific standards or aspects of standards. </w:t>
      </w:r>
    </w:p>
    <w:p w14:paraId="06190B02" w14:textId="34819669" w:rsidR="00B670E9" w:rsidRPr="000A1A15" w:rsidRDefault="00B670E9" w:rsidP="00920BDA">
      <w:pPr>
        <w:numPr>
          <w:ilvl w:val="0"/>
          <w:numId w:val="0"/>
        </w:num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A50F531" w:rsidR="00D0248E" w:rsidRPr="00920BDA"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w:t>
      </w:r>
      <w:r w:rsidRPr="00920BDA">
        <w:rPr>
          <w:rFonts w:ascii="Times New Roman" w:eastAsia="Times New Roman" w:hAnsi="Times New Roman" w:cs="Times New Roman"/>
          <w:b/>
          <w:sz w:val="24"/>
          <w:szCs w:val="24"/>
          <w:lang w:eastAsia="en-AU"/>
        </w:rPr>
        <w:t>No.</w:t>
      </w:r>
      <w:r w:rsidR="00920BDA" w:rsidRPr="00920BDA">
        <w:rPr>
          <w:rFonts w:ascii="Times New Roman" w:eastAsia="Times New Roman" w:hAnsi="Times New Roman" w:cs="Times New Roman"/>
          <w:b/>
          <w:sz w:val="24"/>
          <w:szCs w:val="24"/>
          <w:lang w:eastAsia="en-AU"/>
        </w:rPr>
        <w:t xml:space="preserve"> </w:t>
      </w:r>
      <w:r w:rsidR="005B13BC" w:rsidRPr="00920BDA">
        <w:rPr>
          <w:rFonts w:ascii="Times New Roman" w:eastAsia="Times New Roman" w:hAnsi="Times New Roman" w:cs="Times New Roman"/>
          <w:b/>
          <w:sz w:val="24"/>
          <w:szCs w:val="24"/>
          <w:lang w:eastAsia="en-AU"/>
        </w:rPr>
        <w:t>4</w:t>
      </w:r>
      <w:r w:rsidR="00AF0FC3" w:rsidRPr="00920BDA">
        <w:rPr>
          <w:rFonts w:ascii="Times New Roman" w:eastAsia="Times New Roman" w:hAnsi="Times New Roman" w:cs="Times New Roman"/>
          <w:b/>
          <w:sz w:val="24"/>
          <w:szCs w:val="24"/>
          <w:lang w:eastAsia="en-AU"/>
        </w:rPr>
        <w:t>5</w:t>
      </w:r>
      <w:r w:rsidRPr="00920BDA">
        <w:rPr>
          <w:rFonts w:ascii="Times New Roman" w:eastAsia="Times New Roman" w:hAnsi="Times New Roman" w:cs="Times New Roman"/>
          <w:b/>
          <w:sz w:val="24"/>
          <w:szCs w:val="24"/>
          <w:lang w:eastAsia="en-AU"/>
        </w:rPr>
        <w:t xml:space="preserve"> of 202</w:t>
      </w:r>
      <w:r w:rsidR="006B76C6" w:rsidRPr="00920BDA">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3A36934C" w:rsidR="00CD1253" w:rsidRPr="00204AA8"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D56D61">
        <w:rPr>
          <w:rFonts w:ascii="Times New Roman" w:hAnsi="Times New Roman" w:cs="Times New Roman"/>
          <w:sz w:val="24"/>
          <w:szCs w:val="24"/>
        </w:rPr>
        <w:t xml:space="preserve">determine </w:t>
      </w:r>
      <w:r w:rsidR="00574BA1" w:rsidRPr="00204AA8">
        <w:rPr>
          <w:rFonts w:ascii="Times New Roman" w:hAnsi="Times New Roman" w:cs="Times New Roman"/>
          <w:sz w:val="24"/>
          <w:szCs w:val="24"/>
        </w:rPr>
        <w:t xml:space="preserve">a </w:t>
      </w:r>
      <w:r w:rsidR="00D56D61" w:rsidRPr="00204AA8">
        <w:rPr>
          <w:rFonts w:ascii="Times New Roman" w:hAnsi="Times New Roman" w:cs="Times New Roman"/>
          <w:sz w:val="24"/>
          <w:szCs w:val="24"/>
        </w:rPr>
        <w:t xml:space="preserve">new </w:t>
      </w:r>
      <w:r w:rsidR="005B13BC" w:rsidRPr="00204AA8">
        <w:rPr>
          <w:rFonts w:ascii="Times New Roman" w:hAnsi="Times New Roman"/>
          <w:i/>
          <w:sz w:val="24"/>
          <w:szCs w:val="24"/>
        </w:rPr>
        <w:t xml:space="preserve">Reporting Standard SRS </w:t>
      </w:r>
      <w:r w:rsidR="005465D2" w:rsidRPr="00204AA8">
        <w:rPr>
          <w:rFonts w:ascii="Times New Roman" w:hAnsi="Times New Roman"/>
          <w:i/>
          <w:sz w:val="24"/>
          <w:szCs w:val="24"/>
        </w:rPr>
        <w:t>7</w:t>
      </w:r>
      <w:r w:rsidR="005B2042" w:rsidRPr="00204AA8">
        <w:rPr>
          <w:rFonts w:ascii="Times New Roman" w:hAnsi="Times New Roman"/>
          <w:i/>
          <w:sz w:val="24"/>
          <w:szCs w:val="24"/>
        </w:rPr>
        <w:t>05</w:t>
      </w:r>
      <w:r w:rsidR="005B13BC" w:rsidRPr="00204AA8">
        <w:rPr>
          <w:rFonts w:ascii="Times New Roman" w:hAnsi="Times New Roman"/>
          <w:i/>
          <w:sz w:val="24"/>
          <w:szCs w:val="24"/>
        </w:rPr>
        <w:t>.0</w:t>
      </w:r>
      <w:r w:rsidR="00AD2FF5" w:rsidRPr="00204AA8">
        <w:rPr>
          <w:rFonts w:ascii="Times New Roman" w:hAnsi="Times New Roman"/>
          <w:i/>
          <w:sz w:val="24"/>
          <w:szCs w:val="24"/>
        </w:rPr>
        <w:t xml:space="preserve"> </w:t>
      </w:r>
      <w:r w:rsidR="005465D2" w:rsidRPr="00204AA8">
        <w:rPr>
          <w:rFonts w:ascii="Times New Roman" w:hAnsi="Times New Roman"/>
          <w:i/>
          <w:sz w:val="24"/>
          <w:szCs w:val="24"/>
        </w:rPr>
        <w:t>Components of Net Return</w:t>
      </w:r>
      <w:r w:rsidR="004F16BB" w:rsidRPr="00204AA8">
        <w:rPr>
          <w:rFonts w:ascii="Times New Roman" w:hAnsi="Times New Roman"/>
          <w:i/>
          <w:sz w:val="24"/>
          <w:szCs w:val="24"/>
        </w:rPr>
        <w:t>.</w:t>
      </w:r>
      <w:r w:rsidR="005B13BC" w:rsidRPr="00204AA8">
        <w:rPr>
          <w:rFonts w:ascii="Times New Roman" w:hAnsi="Times New Roman"/>
          <w:sz w:val="24"/>
          <w:szCs w:val="24"/>
        </w:rPr>
        <w:t xml:space="preserve"> </w:t>
      </w:r>
      <w:r w:rsidR="004F16BB" w:rsidRPr="00204AA8">
        <w:rPr>
          <w:rFonts w:ascii="Times New Roman" w:hAnsi="Times New Roman"/>
          <w:sz w:val="24"/>
          <w:szCs w:val="24"/>
        </w:rPr>
        <w:t>T</w:t>
      </w:r>
      <w:r w:rsidR="004F16BB" w:rsidRPr="00204AA8">
        <w:rPr>
          <w:rFonts w:ascii="Times New Roman" w:hAnsi="Times New Roman" w:cs="Times New Roman"/>
          <w:sz w:val="24"/>
          <w:szCs w:val="24"/>
        </w:rPr>
        <w:t>he reporting standard outlines the requirements for the provision of information to APRA relating to the performance of all superannuation products, investment menus and investment options of RSE licensees.</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4"/>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5771" w14:textId="77777777" w:rsidR="00704E28" w:rsidRPr="000D4EDE" w:rsidRDefault="00704E28" w:rsidP="000D4EDE">
      <w:r>
        <w:separator/>
      </w:r>
    </w:p>
  </w:endnote>
  <w:endnote w:type="continuationSeparator" w:id="0">
    <w:p w14:paraId="0615FAB1" w14:textId="77777777" w:rsidR="00704E28" w:rsidRPr="000D4EDE" w:rsidRDefault="00704E28" w:rsidP="000D4EDE">
      <w:r>
        <w:continuationSeparator/>
      </w:r>
    </w:p>
  </w:endnote>
  <w:endnote w:type="continuationNotice" w:id="1">
    <w:p w14:paraId="4F0D417C" w14:textId="77777777" w:rsidR="00704E28" w:rsidRDefault="00704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14941314"/>
      <w:docPartObj>
        <w:docPartGallery w:val="Page Numbers (Bottom of Page)"/>
        <w:docPartUnique/>
      </w:docPartObj>
    </w:sdtPr>
    <w:sdtEndPr>
      <w:rPr>
        <w:noProof/>
      </w:rPr>
    </w:sdtEndPr>
    <w:sdtContent>
      <w:p w14:paraId="15352337" w14:textId="0D0428EC" w:rsidR="00117794" w:rsidRPr="00117794" w:rsidRDefault="00117794">
        <w:pPr>
          <w:pStyle w:val="Footer"/>
          <w:jc w:val="right"/>
          <w:rPr>
            <w:rFonts w:ascii="Times New Roman" w:hAnsi="Times New Roman" w:cs="Times New Roman"/>
            <w:sz w:val="24"/>
            <w:szCs w:val="24"/>
          </w:rPr>
        </w:pPr>
        <w:r w:rsidRPr="00117794">
          <w:rPr>
            <w:rFonts w:ascii="Times New Roman" w:hAnsi="Times New Roman" w:cs="Times New Roman"/>
            <w:sz w:val="24"/>
            <w:szCs w:val="24"/>
          </w:rPr>
          <w:fldChar w:fldCharType="begin"/>
        </w:r>
        <w:r w:rsidRPr="00117794">
          <w:rPr>
            <w:rFonts w:ascii="Times New Roman" w:hAnsi="Times New Roman" w:cs="Times New Roman"/>
            <w:sz w:val="24"/>
            <w:szCs w:val="24"/>
          </w:rPr>
          <w:instrText xml:space="preserve"> PAGE   \* MERGEFORMAT </w:instrText>
        </w:r>
        <w:r w:rsidRPr="00117794">
          <w:rPr>
            <w:rFonts w:ascii="Times New Roman" w:hAnsi="Times New Roman" w:cs="Times New Roman"/>
            <w:sz w:val="24"/>
            <w:szCs w:val="24"/>
          </w:rPr>
          <w:fldChar w:fldCharType="separate"/>
        </w:r>
        <w:r w:rsidRPr="00117794">
          <w:rPr>
            <w:rFonts w:ascii="Times New Roman" w:hAnsi="Times New Roman" w:cs="Times New Roman"/>
            <w:noProof/>
            <w:sz w:val="24"/>
            <w:szCs w:val="24"/>
          </w:rPr>
          <w:t>2</w:t>
        </w:r>
        <w:r w:rsidRPr="00117794">
          <w:rPr>
            <w:rFonts w:ascii="Times New Roman" w:hAnsi="Times New Roman" w:cs="Times New Roman"/>
            <w:noProof/>
            <w:sz w:val="24"/>
            <w:szCs w:val="24"/>
          </w:rPr>
          <w:fldChar w:fldCharType="end"/>
        </w:r>
      </w:p>
    </w:sdtContent>
  </w:sdt>
  <w:p w14:paraId="5B809C9B" w14:textId="77777777" w:rsidR="00117794" w:rsidRDefault="0011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7780" w14:textId="77777777" w:rsidR="00704E28" w:rsidRPr="000D4EDE" w:rsidRDefault="00704E28" w:rsidP="000D4EDE">
      <w:r>
        <w:separator/>
      </w:r>
    </w:p>
  </w:footnote>
  <w:footnote w:type="continuationSeparator" w:id="0">
    <w:p w14:paraId="130506A8" w14:textId="77777777" w:rsidR="00704E28" w:rsidRPr="000D4EDE" w:rsidRDefault="00704E28" w:rsidP="000D4EDE">
      <w:r>
        <w:continuationSeparator/>
      </w:r>
    </w:p>
  </w:footnote>
  <w:footnote w:type="continuationNotice" w:id="1">
    <w:p w14:paraId="3859A22E" w14:textId="77777777" w:rsidR="00704E28" w:rsidRDefault="00704E28">
      <w:pPr>
        <w:spacing w:after="0"/>
      </w:pPr>
    </w:p>
  </w:footnote>
  <w:footnote w:id="2">
    <w:p w14:paraId="635F291C" w14:textId="77777777" w:rsidR="0084751F" w:rsidRPr="00A60393" w:rsidRDefault="0084751F" w:rsidP="0084751F">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66DF073"/>
    <w:multiLevelType w:val="hybridMultilevel"/>
    <w:tmpl w:val="7E087932"/>
    <w:lvl w:ilvl="0" w:tplc="0C00B5CA">
      <w:start w:val="1"/>
      <w:numFmt w:val="bullet"/>
      <w:lvlText w:val=""/>
      <w:lvlJc w:val="left"/>
      <w:pPr>
        <w:ind w:left="720" w:hanging="360"/>
      </w:pPr>
      <w:rPr>
        <w:rFonts w:ascii="Symbol" w:hAnsi="Symbol" w:hint="default"/>
        <w:color w:val="auto"/>
      </w:rPr>
    </w:lvl>
    <w:lvl w:ilvl="1" w:tplc="AE905932">
      <w:start w:val="1"/>
      <w:numFmt w:val="bullet"/>
      <w:lvlText w:val="o"/>
      <w:lvlJc w:val="left"/>
      <w:pPr>
        <w:ind w:left="1440" w:hanging="360"/>
      </w:pPr>
      <w:rPr>
        <w:rFonts w:ascii="Courier New" w:hAnsi="Courier New" w:hint="default"/>
      </w:rPr>
    </w:lvl>
    <w:lvl w:ilvl="2" w:tplc="45B829E4">
      <w:start w:val="1"/>
      <w:numFmt w:val="bullet"/>
      <w:lvlText w:val=""/>
      <w:lvlJc w:val="left"/>
      <w:pPr>
        <w:ind w:left="2160" w:hanging="360"/>
      </w:pPr>
      <w:rPr>
        <w:rFonts w:ascii="Wingdings" w:hAnsi="Wingdings" w:hint="default"/>
      </w:rPr>
    </w:lvl>
    <w:lvl w:ilvl="3" w:tplc="7AAEED18">
      <w:start w:val="1"/>
      <w:numFmt w:val="bullet"/>
      <w:lvlText w:val=""/>
      <w:lvlJc w:val="left"/>
      <w:pPr>
        <w:ind w:left="2880" w:hanging="360"/>
      </w:pPr>
      <w:rPr>
        <w:rFonts w:ascii="Symbol" w:hAnsi="Symbol" w:hint="default"/>
      </w:rPr>
    </w:lvl>
    <w:lvl w:ilvl="4" w:tplc="460205EE">
      <w:start w:val="1"/>
      <w:numFmt w:val="bullet"/>
      <w:lvlText w:val="o"/>
      <w:lvlJc w:val="left"/>
      <w:pPr>
        <w:ind w:left="3600" w:hanging="360"/>
      </w:pPr>
      <w:rPr>
        <w:rFonts w:ascii="Courier New" w:hAnsi="Courier New" w:hint="default"/>
      </w:rPr>
    </w:lvl>
    <w:lvl w:ilvl="5" w:tplc="E482FC7E">
      <w:start w:val="1"/>
      <w:numFmt w:val="bullet"/>
      <w:lvlText w:val=""/>
      <w:lvlJc w:val="left"/>
      <w:pPr>
        <w:ind w:left="4320" w:hanging="360"/>
      </w:pPr>
      <w:rPr>
        <w:rFonts w:ascii="Wingdings" w:hAnsi="Wingdings" w:hint="default"/>
      </w:rPr>
    </w:lvl>
    <w:lvl w:ilvl="6" w:tplc="0ACEDFA4">
      <w:start w:val="1"/>
      <w:numFmt w:val="bullet"/>
      <w:lvlText w:val=""/>
      <w:lvlJc w:val="left"/>
      <w:pPr>
        <w:ind w:left="5040" w:hanging="360"/>
      </w:pPr>
      <w:rPr>
        <w:rFonts w:ascii="Symbol" w:hAnsi="Symbol" w:hint="default"/>
      </w:rPr>
    </w:lvl>
    <w:lvl w:ilvl="7" w:tplc="4FCCB308">
      <w:start w:val="1"/>
      <w:numFmt w:val="bullet"/>
      <w:lvlText w:val="o"/>
      <w:lvlJc w:val="left"/>
      <w:pPr>
        <w:ind w:left="5760" w:hanging="360"/>
      </w:pPr>
      <w:rPr>
        <w:rFonts w:ascii="Courier New" w:hAnsi="Courier New" w:hint="default"/>
      </w:rPr>
    </w:lvl>
    <w:lvl w:ilvl="8" w:tplc="C4A46EA2">
      <w:start w:val="1"/>
      <w:numFmt w:val="bullet"/>
      <w:lvlText w:val=""/>
      <w:lvlJc w:val="left"/>
      <w:pPr>
        <w:ind w:left="6480" w:hanging="360"/>
      </w:pPr>
      <w:rPr>
        <w:rFonts w:ascii="Wingdings" w:hAnsi="Wingding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4E0CC9B"/>
    <w:multiLevelType w:val="multilevel"/>
    <w:tmpl w:val="124E8A8E"/>
    <w:lvl w:ilvl="0">
      <w:start w:val="4"/>
      <w:numFmt w:val="decimal"/>
      <w:lvlText w:val=""/>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04092D"/>
    <w:multiLevelType w:val="multilevel"/>
    <w:tmpl w:val="ED64C802"/>
    <w:lvl w:ilvl="0">
      <w:start w:val="3"/>
      <w:numFmt w:val="decimal"/>
      <w:lvlText w:val=""/>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B86665"/>
    <w:multiLevelType w:val="hybridMultilevel"/>
    <w:tmpl w:val="54DE21E6"/>
    <w:lvl w:ilvl="0" w:tplc="E8F49B64">
      <w:start w:val="1"/>
      <w:numFmt w:val="bullet"/>
      <w:lvlText w:val=""/>
      <w:lvlJc w:val="left"/>
      <w:pPr>
        <w:ind w:left="720" w:hanging="360"/>
      </w:pPr>
      <w:rPr>
        <w:rFonts w:ascii="Symbol" w:hAnsi="Symbol" w:hint="default"/>
      </w:rPr>
    </w:lvl>
    <w:lvl w:ilvl="1" w:tplc="E9ECC278">
      <w:start w:val="1"/>
      <w:numFmt w:val="bullet"/>
      <w:lvlText w:val="o"/>
      <w:lvlJc w:val="left"/>
      <w:pPr>
        <w:ind w:left="1440" w:hanging="360"/>
      </w:pPr>
      <w:rPr>
        <w:rFonts w:ascii="Courier New" w:hAnsi="Courier New" w:hint="default"/>
      </w:rPr>
    </w:lvl>
    <w:lvl w:ilvl="2" w:tplc="EB50013C">
      <w:start w:val="1"/>
      <w:numFmt w:val="bullet"/>
      <w:lvlText w:val=""/>
      <w:lvlJc w:val="left"/>
      <w:pPr>
        <w:ind w:left="2160" w:hanging="360"/>
      </w:pPr>
      <w:rPr>
        <w:rFonts w:ascii="Wingdings" w:hAnsi="Wingdings" w:hint="default"/>
      </w:rPr>
    </w:lvl>
    <w:lvl w:ilvl="3" w:tplc="AA8C4DF2">
      <w:start w:val="1"/>
      <w:numFmt w:val="bullet"/>
      <w:lvlText w:val=""/>
      <w:lvlJc w:val="left"/>
      <w:pPr>
        <w:ind w:left="2880" w:hanging="360"/>
      </w:pPr>
      <w:rPr>
        <w:rFonts w:ascii="Symbol" w:hAnsi="Symbol" w:hint="default"/>
      </w:rPr>
    </w:lvl>
    <w:lvl w:ilvl="4" w:tplc="A2D8A946">
      <w:start w:val="1"/>
      <w:numFmt w:val="bullet"/>
      <w:lvlText w:val="o"/>
      <w:lvlJc w:val="left"/>
      <w:pPr>
        <w:ind w:left="3600" w:hanging="360"/>
      </w:pPr>
      <w:rPr>
        <w:rFonts w:ascii="Courier New" w:hAnsi="Courier New" w:hint="default"/>
      </w:rPr>
    </w:lvl>
    <w:lvl w:ilvl="5" w:tplc="5B928430">
      <w:start w:val="1"/>
      <w:numFmt w:val="bullet"/>
      <w:lvlText w:val=""/>
      <w:lvlJc w:val="left"/>
      <w:pPr>
        <w:ind w:left="4320" w:hanging="360"/>
      </w:pPr>
      <w:rPr>
        <w:rFonts w:ascii="Wingdings" w:hAnsi="Wingdings" w:hint="default"/>
      </w:rPr>
    </w:lvl>
    <w:lvl w:ilvl="6" w:tplc="8A0EC092">
      <w:start w:val="1"/>
      <w:numFmt w:val="bullet"/>
      <w:lvlText w:val=""/>
      <w:lvlJc w:val="left"/>
      <w:pPr>
        <w:ind w:left="5040" w:hanging="360"/>
      </w:pPr>
      <w:rPr>
        <w:rFonts w:ascii="Symbol" w:hAnsi="Symbol" w:hint="default"/>
      </w:rPr>
    </w:lvl>
    <w:lvl w:ilvl="7" w:tplc="1A56D90A">
      <w:start w:val="1"/>
      <w:numFmt w:val="bullet"/>
      <w:lvlText w:val="o"/>
      <w:lvlJc w:val="left"/>
      <w:pPr>
        <w:ind w:left="5760" w:hanging="360"/>
      </w:pPr>
      <w:rPr>
        <w:rFonts w:ascii="Courier New" w:hAnsi="Courier New" w:hint="default"/>
      </w:rPr>
    </w:lvl>
    <w:lvl w:ilvl="8" w:tplc="D3F042F6">
      <w:start w:val="1"/>
      <w:numFmt w:val="bullet"/>
      <w:lvlText w:val=""/>
      <w:lvlJc w:val="left"/>
      <w:pPr>
        <w:ind w:left="648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7"/>
  </w:num>
  <w:num w:numId="5" w16cid:durableId="521478323">
    <w:abstractNumId w:val="22"/>
  </w:num>
  <w:num w:numId="6" w16cid:durableId="288823805">
    <w:abstractNumId w:val="14"/>
  </w:num>
  <w:num w:numId="7" w16cid:durableId="1380936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0"/>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3"/>
  </w:num>
  <w:num w:numId="14" w16cid:durableId="168563981">
    <w:abstractNumId w:val="13"/>
  </w:num>
  <w:num w:numId="15" w16cid:durableId="2008093173">
    <w:abstractNumId w:val="9"/>
  </w:num>
  <w:num w:numId="16" w16cid:durableId="844632474">
    <w:abstractNumId w:val="11"/>
  </w:num>
  <w:num w:numId="17" w16cid:durableId="1251620339">
    <w:abstractNumId w:val="19"/>
  </w:num>
  <w:num w:numId="18" w16cid:durableId="1893076358">
    <w:abstractNumId w:val="20"/>
  </w:num>
  <w:num w:numId="19" w16cid:durableId="1667436918">
    <w:abstractNumId w:val="15"/>
  </w:num>
  <w:num w:numId="20" w16cid:durableId="351035494">
    <w:abstractNumId w:val="5"/>
  </w:num>
  <w:num w:numId="21" w16cid:durableId="1240406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2"/>
  </w:num>
  <w:num w:numId="23" w16cid:durableId="778112549">
    <w:abstractNumId w:val="12"/>
  </w:num>
  <w:num w:numId="24" w16cid:durableId="2030524326">
    <w:abstractNumId w:val="16"/>
  </w:num>
  <w:num w:numId="25" w16cid:durableId="1352220750">
    <w:abstractNumId w:val="18"/>
  </w:num>
  <w:num w:numId="26" w16cid:durableId="961032402">
    <w:abstractNumId w:val="21"/>
  </w:num>
  <w:num w:numId="27" w16cid:durableId="539630234">
    <w:abstractNumId w:val="24"/>
  </w:num>
  <w:num w:numId="28" w16cid:durableId="13292835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17604"/>
    <w:rsid w:val="00020E4C"/>
    <w:rsid w:val="000229BB"/>
    <w:rsid w:val="00023CE3"/>
    <w:rsid w:val="00026AFE"/>
    <w:rsid w:val="00034A19"/>
    <w:rsid w:val="00036F9E"/>
    <w:rsid w:val="000413B3"/>
    <w:rsid w:val="0004484D"/>
    <w:rsid w:val="000453D9"/>
    <w:rsid w:val="00045D7D"/>
    <w:rsid w:val="000470ED"/>
    <w:rsid w:val="00054774"/>
    <w:rsid w:val="000573E5"/>
    <w:rsid w:val="0005750C"/>
    <w:rsid w:val="00057B71"/>
    <w:rsid w:val="0006371C"/>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B7972"/>
    <w:rsid w:val="000C14D9"/>
    <w:rsid w:val="000C15C7"/>
    <w:rsid w:val="000D4EDE"/>
    <w:rsid w:val="000E2460"/>
    <w:rsid w:val="000E43AC"/>
    <w:rsid w:val="000E49C1"/>
    <w:rsid w:val="000E5809"/>
    <w:rsid w:val="000E6E37"/>
    <w:rsid w:val="000F06C1"/>
    <w:rsid w:val="000F0E6F"/>
    <w:rsid w:val="000F30FC"/>
    <w:rsid w:val="000F62C5"/>
    <w:rsid w:val="001018A5"/>
    <w:rsid w:val="00101B9C"/>
    <w:rsid w:val="001050D9"/>
    <w:rsid w:val="001068BA"/>
    <w:rsid w:val="00106F56"/>
    <w:rsid w:val="0011188F"/>
    <w:rsid w:val="001141D8"/>
    <w:rsid w:val="00115A39"/>
    <w:rsid w:val="00116AEF"/>
    <w:rsid w:val="00117479"/>
    <w:rsid w:val="00117794"/>
    <w:rsid w:val="00123576"/>
    <w:rsid w:val="001241CB"/>
    <w:rsid w:val="00124B21"/>
    <w:rsid w:val="00126295"/>
    <w:rsid w:val="001327B8"/>
    <w:rsid w:val="0013471B"/>
    <w:rsid w:val="00134B76"/>
    <w:rsid w:val="001352D4"/>
    <w:rsid w:val="001367EE"/>
    <w:rsid w:val="00140969"/>
    <w:rsid w:val="00142132"/>
    <w:rsid w:val="00147967"/>
    <w:rsid w:val="001530BC"/>
    <w:rsid w:val="001541A7"/>
    <w:rsid w:val="00155789"/>
    <w:rsid w:val="00157C98"/>
    <w:rsid w:val="00162EFE"/>
    <w:rsid w:val="00163E00"/>
    <w:rsid w:val="001653B6"/>
    <w:rsid w:val="00165BF6"/>
    <w:rsid w:val="00174039"/>
    <w:rsid w:val="00174B0F"/>
    <w:rsid w:val="00180361"/>
    <w:rsid w:val="0018235E"/>
    <w:rsid w:val="00183CC1"/>
    <w:rsid w:val="00184187"/>
    <w:rsid w:val="00184B1B"/>
    <w:rsid w:val="001877AB"/>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BCB"/>
    <w:rsid w:val="001F6E1A"/>
    <w:rsid w:val="001F780A"/>
    <w:rsid w:val="001F7917"/>
    <w:rsid w:val="00200613"/>
    <w:rsid w:val="00204AA8"/>
    <w:rsid w:val="0020751F"/>
    <w:rsid w:val="00211AFD"/>
    <w:rsid w:val="002136CB"/>
    <w:rsid w:val="002143E2"/>
    <w:rsid w:val="00214883"/>
    <w:rsid w:val="002156F6"/>
    <w:rsid w:val="00220550"/>
    <w:rsid w:val="00220D70"/>
    <w:rsid w:val="00222497"/>
    <w:rsid w:val="002301A2"/>
    <w:rsid w:val="0023058C"/>
    <w:rsid w:val="00236C2D"/>
    <w:rsid w:val="00237201"/>
    <w:rsid w:val="002374B7"/>
    <w:rsid w:val="00240126"/>
    <w:rsid w:val="00241277"/>
    <w:rsid w:val="00241D16"/>
    <w:rsid w:val="00242384"/>
    <w:rsid w:val="0024304D"/>
    <w:rsid w:val="00244826"/>
    <w:rsid w:val="00244B0A"/>
    <w:rsid w:val="00247ACA"/>
    <w:rsid w:val="00247FF5"/>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964BF"/>
    <w:rsid w:val="002A1894"/>
    <w:rsid w:val="002A2188"/>
    <w:rsid w:val="002A36F2"/>
    <w:rsid w:val="002A4E77"/>
    <w:rsid w:val="002A5C73"/>
    <w:rsid w:val="002A7D14"/>
    <w:rsid w:val="002B0913"/>
    <w:rsid w:val="002B28E4"/>
    <w:rsid w:val="002B49A3"/>
    <w:rsid w:val="002B5EBC"/>
    <w:rsid w:val="002B7504"/>
    <w:rsid w:val="002C0D97"/>
    <w:rsid w:val="002C66D1"/>
    <w:rsid w:val="002C7065"/>
    <w:rsid w:val="002C7D73"/>
    <w:rsid w:val="002C7F4A"/>
    <w:rsid w:val="002D1765"/>
    <w:rsid w:val="002D2804"/>
    <w:rsid w:val="002D4B6C"/>
    <w:rsid w:val="002D5274"/>
    <w:rsid w:val="002E0C86"/>
    <w:rsid w:val="002E1EE3"/>
    <w:rsid w:val="002E447D"/>
    <w:rsid w:val="002E56BC"/>
    <w:rsid w:val="002F0135"/>
    <w:rsid w:val="002F0C2C"/>
    <w:rsid w:val="00300655"/>
    <w:rsid w:val="0030075D"/>
    <w:rsid w:val="00301BB1"/>
    <w:rsid w:val="00303D18"/>
    <w:rsid w:val="00307ADD"/>
    <w:rsid w:val="00307E55"/>
    <w:rsid w:val="00312A66"/>
    <w:rsid w:val="003130CA"/>
    <w:rsid w:val="003163CB"/>
    <w:rsid w:val="00316C40"/>
    <w:rsid w:val="00321180"/>
    <w:rsid w:val="00321646"/>
    <w:rsid w:val="0032180D"/>
    <w:rsid w:val="00324D88"/>
    <w:rsid w:val="003306A5"/>
    <w:rsid w:val="00331DB9"/>
    <w:rsid w:val="00344BFF"/>
    <w:rsid w:val="003454BC"/>
    <w:rsid w:val="00355D40"/>
    <w:rsid w:val="00360C79"/>
    <w:rsid w:val="0036239F"/>
    <w:rsid w:val="00371AAC"/>
    <w:rsid w:val="00371F54"/>
    <w:rsid w:val="00374612"/>
    <w:rsid w:val="0037770C"/>
    <w:rsid w:val="00377C8B"/>
    <w:rsid w:val="00383A95"/>
    <w:rsid w:val="00385CA0"/>
    <w:rsid w:val="00392BC0"/>
    <w:rsid w:val="0039585F"/>
    <w:rsid w:val="003A08B8"/>
    <w:rsid w:val="003A200E"/>
    <w:rsid w:val="003A2733"/>
    <w:rsid w:val="003A3021"/>
    <w:rsid w:val="003A3B8F"/>
    <w:rsid w:val="003A4483"/>
    <w:rsid w:val="003A4D41"/>
    <w:rsid w:val="003A627E"/>
    <w:rsid w:val="003A79EE"/>
    <w:rsid w:val="003B1BD8"/>
    <w:rsid w:val="003B45AB"/>
    <w:rsid w:val="003B5039"/>
    <w:rsid w:val="003B6E16"/>
    <w:rsid w:val="003C180A"/>
    <w:rsid w:val="003C1E25"/>
    <w:rsid w:val="003C46DF"/>
    <w:rsid w:val="003C76D4"/>
    <w:rsid w:val="003D27CB"/>
    <w:rsid w:val="003D292C"/>
    <w:rsid w:val="003D329D"/>
    <w:rsid w:val="003E1863"/>
    <w:rsid w:val="003E1BB3"/>
    <w:rsid w:val="003E204A"/>
    <w:rsid w:val="003E6BF6"/>
    <w:rsid w:val="003E72CD"/>
    <w:rsid w:val="003F0F0D"/>
    <w:rsid w:val="00400776"/>
    <w:rsid w:val="0040173E"/>
    <w:rsid w:val="0040505E"/>
    <w:rsid w:val="00421C7F"/>
    <w:rsid w:val="0042373F"/>
    <w:rsid w:val="00426426"/>
    <w:rsid w:val="00431A99"/>
    <w:rsid w:val="0043361E"/>
    <w:rsid w:val="00434A5B"/>
    <w:rsid w:val="00435339"/>
    <w:rsid w:val="004410DC"/>
    <w:rsid w:val="0044447D"/>
    <w:rsid w:val="0044482D"/>
    <w:rsid w:val="00450B4D"/>
    <w:rsid w:val="00450C67"/>
    <w:rsid w:val="00452279"/>
    <w:rsid w:val="0046020A"/>
    <w:rsid w:val="00460CF7"/>
    <w:rsid w:val="00462459"/>
    <w:rsid w:val="004627CE"/>
    <w:rsid w:val="00463FA8"/>
    <w:rsid w:val="00464196"/>
    <w:rsid w:val="00466648"/>
    <w:rsid w:val="00472CBC"/>
    <w:rsid w:val="0047492D"/>
    <w:rsid w:val="00475667"/>
    <w:rsid w:val="004765B3"/>
    <w:rsid w:val="004843CA"/>
    <w:rsid w:val="00485AD2"/>
    <w:rsid w:val="00493DAA"/>
    <w:rsid w:val="00494335"/>
    <w:rsid w:val="00495434"/>
    <w:rsid w:val="00495A4C"/>
    <w:rsid w:val="004964A9"/>
    <w:rsid w:val="004967A1"/>
    <w:rsid w:val="004A0FE7"/>
    <w:rsid w:val="004A1269"/>
    <w:rsid w:val="004A1AB5"/>
    <w:rsid w:val="004A29F6"/>
    <w:rsid w:val="004A484B"/>
    <w:rsid w:val="004A6D37"/>
    <w:rsid w:val="004B0ECE"/>
    <w:rsid w:val="004B584E"/>
    <w:rsid w:val="004C1106"/>
    <w:rsid w:val="004C6D4B"/>
    <w:rsid w:val="004C766B"/>
    <w:rsid w:val="004D16C6"/>
    <w:rsid w:val="004D23C3"/>
    <w:rsid w:val="004D2DDE"/>
    <w:rsid w:val="004D33E3"/>
    <w:rsid w:val="004D76C1"/>
    <w:rsid w:val="004D7C22"/>
    <w:rsid w:val="004E2269"/>
    <w:rsid w:val="004E451A"/>
    <w:rsid w:val="004F0E3E"/>
    <w:rsid w:val="004F16BB"/>
    <w:rsid w:val="004F277D"/>
    <w:rsid w:val="004F3339"/>
    <w:rsid w:val="004F72A2"/>
    <w:rsid w:val="004F78E5"/>
    <w:rsid w:val="005020B3"/>
    <w:rsid w:val="005026D4"/>
    <w:rsid w:val="00503A51"/>
    <w:rsid w:val="005052F0"/>
    <w:rsid w:val="00506774"/>
    <w:rsid w:val="00512309"/>
    <w:rsid w:val="00514042"/>
    <w:rsid w:val="00541D54"/>
    <w:rsid w:val="00542522"/>
    <w:rsid w:val="00543472"/>
    <w:rsid w:val="00543F21"/>
    <w:rsid w:val="0054526E"/>
    <w:rsid w:val="00545CE1"/>
    <w:rsid w:val="00546297"/>
    <w:rsid w:val="005465D2"/>
    <w:rsid w:val="005476B5"/>
    <w:rsid w:val="005510C2"/>
    <w:rsid w:val="005549D7"/>
    <w:rsid w:val="005602DA"/>
    <w:rsid w:val="00560CAF"/>
    <w:rsid w:val="00562087"/>
    <w:rsid w:val="005628DB"/>
    <w:rsid w:val="005678FC"/>
    <w:rsid w:val="0057138A"/>
    <w:rsid w:val="00573327"/>
    <w:rsid w:val="00573F5D"/>
    <w:rsid w:val="00574BA1"/>
    <w:rsid w:val="00577D9B"/>
    <w:rsid w:val="0058225D"/>
    <w:rsid w:val="005846EC"/>
    <w:rsid w:val="005921A3"/>
    <w:rsid w:val="00592F64"/>
    <w:rsid w:val="00593A9D"/>
    <w:rsid w:val="005A3F63"/>
    <w:rsid w:val="005A59D0"/>
    <w:rsid w:val="005B073E"/>
    <w:rsid w:val="005B0749"/>
    <w:rsid w:val="005B13BC"/>
    <w:rsid w:val="005B2042"/>
    <w:rsid w:val="005B227F"/>
    <w:rsid w:val="005B488A"/>
    <w:rsid w:val="005B7801"/>
    <w:rsid w:val="005C0F32"/>
    <w:rsid w:val="005C5891"/>
    <w:rsid w:val="005C641B"/>
    <w:rsid w:val="005C731B"/>
    <w:rsid w:val="005D04CC"/>
    <w:rsid w:val="005D5FAE"/>
    <w:rsid w:val="005E4BC9"/>
    <w:rsid w:val="005E6D81"/>
    <w:rsid w:val="005E7C32"/>
    <w:rsid w:val="005F0C9F"/>
    <w:rsid w:val="005F29B7"/>
    <w:rsid w:val="005F7EC5"/>
    <w:rsid w:val="00600114"/>
    <w:rsid w:val="00601D70"/>
    <w:rsid w:val="0060250D"/>
    <w:rsid w:val="00606EB5"/>
    <w:rsid w:val="00606FC8"/>
    <w:rsid w:val="006151DC"/>
    <w:rsid w:val="00616C90"/>
    <w:rsid w:val="00617FDA"/>
    <w:rsid w:val="0062116F"/>
    <w:rsid w:val="006212E3"/>
    <w:rsid w:val="00623FD7"/>
    <w:rsid w:val="00626087"/>
    <w:rsid w:val="00634E4C"/>
    <w:rsid w:val="00636B8B"/>
    <w:rsid w:val="00641EAA"/>
    <w:rsid w:val="006427FE"/>
    <w:rsid w:val="006506C1"/>
    <w:rsid w:val="00657410"/>
    <w:rsid w:val="00657459"/>
    <w:rsid w:val="0065747A"/>
    <w:rsid w:val="00662E28"/>
    <w:rsid w:val="00663820"/>
    <w:rsid w:val="00665987"/>
    <w:rsid w:val="0066674D"/>
    <w:rsid w:val="00666A78"/>
    <w:rsid w:val="00670B59"/>
    <w:rsid w:val="006750DC"/>
    <w:rsid w:val="0067555E"/>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564"/>
    <w:rsid w:val="006F5865"/>
    <w:rsid w:val="00701EC6"/>
    <w:rsid w:val="00704E28"/>
    <w:rsid w:val="00705F10"/>
    <w:rsid w:val="00706179"/>
    <w:rsid w:val="007120F2"/>
    <w:rsid w:val="00714F78"/>
    <w:rsid w:val="007152B0"/>
    <w:rsid w:val="007170F7"/>
    <w:rsid w:val="00717589"/>
    <w:rsid w:val="00721156"/>
    <w:rsid w:val="00722073"/>
    <w:rsid w:val="00722F9F"/>
    <w:rsid w:val="0072386D"/>
    <w:rsid w:val="007253B8"/>
    <w:rsid w:val="00730D33"/>
    <w:rsid w:val="00736E7D"/>
    <w:rsid w:val="00737627"/>
    <w:rsid w:val="00741EDB"/>
    <w:rsid w:val="00743AE5"/>
    <w:rsid w:val="00747AA9"/>
    <w:rsid w:val="007509A6"/>
    <w:rsid w:val="00753F83"/>
    <w:rsid w:val="007541B0"/>
    <w:rsid w:val="0075469B"/>
    <w:rsid w:val="00755163"/>
    <w:rsid w:val="00756AAB"/>
    <w:rsid w:val="00756AAD"/>
    <w:rsid w:val="00757F63"/>
    <w:rsid w:val="007605EB"/>
    <w:rsid w:val="007645AE"/>
    <w:rsid w:val="00764992"/>
    <w:rsid w:val="00765749"/>
    <w:rsid w:val="007672AE"/>
    <w:rsid w:val="00771075"/>
    <w:rsid w:val="007720F8"/>
    <w:rsid w:val="0077507F"/>
    <w:rsid w:val="00775AA0"/>
    <w:rsid w:val="007770FA"/>
    <w:rsid w:val="00785A6B"/>
    <w:rsid w:val="00791738"/>
    <w:rsid w:val="00791780"/>
    <w:rsid w:val="00792D37"/>
    <w:rsid w:val="0079390C"/>
    <w:rsid w:val="007A0EB7"/>
    <w:rsid w:val="007A1BED"/>
    <w:rsid w:val="007A39AB"/>
    <w:rsid w:val="007A5448"/>
    <w:rsid w:val="007A694F"/>
    <w:rsid w:val="007A719D"/>
    <w:rsid w:val="007B1DC4"/>
    <w:rsid w:val="007B2C90"/>
    <w:rsid w:val="007B35CD"/>
    <w:rsid w:val="007B578F"/>
    <w:rsid w:val="007B6871"/>
    <w:rsid w:val="007B7899"/>
    <w:rsid w:val="007C08B1"/>
    <w:rsid w:val="007C12B0"/>
    <w:rsid w:val="007C2CC2"/>
    <w:rsid w:val="007C38BD"/>
    <w:rsid w:val="007C7001"/>
    <w:rsid w:val="007C79AA"/>
    <w:rsid w:val="007D1955"/>
    <w:rsid w:val="007D31DA"/>
    <w:rsid w:val="007D5899"/>
    <w:rsid w:val="007D72C5"/>
    <w:rsid w:val="007E013E"/>
    <w:rsid w:val="007E1D1C"/>
    <w:rsid w:val="007E525D"/>
    <w:rsid w:val="007E5A0D"/>
    <w:rsid w:val="007E7735"/>
    <w:rsid w:val="007F0323"/>
    <w:rsid w:val="007F379E"/>
    <w:rsid w:val="007F471C"/>
    <w:rsid w:val="00800C90"/>
    <w:rsid w:val="008125F8"/>
    <w:rsid w:val="008208A8"/>
    <w:rsid w:val="00821EFD"/>
    <w:rsid w:val="008234D8"/>
    <w:rsid w:val="008236C0"/>
    <w:rsid w:val="00826012"/>
    <w:rsid w:val="00834CE0"/>
    <w:rsid w:val="0084110F"/>
    <w:rsid w:val="008435C8"/>
    <w:rsid w:val="00844B1D"/>
    <w:rsid w:val="00844F5C"/>
    <w:rsid w:val="00845843"/>
    <w:rsid w:val="00846D34"/>
    <w:rsid w:val="0084751F"/>
    <w:rsid w:val="00847646"/>
    <w:rsid w:val="008515C1"/>
    <w:rsid w:val="00854C33"/>
    <w:rsid w:val="008567D0"/>
    <w:rsid w:val="00863020"/>
    <w:rsid w:val="008637EC"/>
    <w:rsid w:val="00870BC6"/>
    <w:rsid w:val="00873384"/>
    <w:rsid w:val="00875DAD"/>
    <w:rsid w:val="00876761"/>
    <w:rsid w:val="00877B84"/>
    <w:rsid w:val="00877E5F"/>
    <w:rsid w:val="0088036D"/>
    <w:rsid w:val="00881155"/>
    <w:rsid w:val="00882892"/>
    <w:rsid w:val="00882BA8"/>
    <w:rsid w:val="00885A14"/>
    <w:rsid w:val="0088689B"/>
    <w:rsid w:val="00890FA0"/>
    <w:rsid w:val="008947BF"/>
    <w:rsid w:val="008A0CAB"/>
    <w:rsid w:val="008A0CBE"/>
    <w:rsid w:val="008A1CA8"/>
    <w:rsid w:val="008A214D"/>
    <w:rsid w:val="008A55D4"/>
    <w:rsid w:val="008A6F4A"/>
    <w:rsid w:val="008A72D2"/>
    <w:rsid w:val="008A74A3"/>
    <w:rsid w:val="008B6868"/>
    <w:rsid w:val="008B6D24"/>
    <w:rsid w:val="008C34F7"/>
    <w:rsid w:val="008C6A43"/>
    <w:rsid w:val="008D080C"/>
    <w:rsid w:val="008D1867"/>
    <w:rsid w:val="008D213B"/>
    <w:rsid w:val="008D6437"/>
    <w:rsid w:val="008D6EDF"/>
    <w:rsid w:val="008E3EF5"/>
    <w:rsid w:val="008E712A"/>
    <w:rsid w:val="008F33B5"/>
    <w:rsid w:val="008F33F3"/>
    <w:rsid w:val="008F77AA"/>
    <w:rsid w:val="00901414"/>
    <w:rsid w:val="00901526"/>
    <w:rsid w:val="00901745"/>
    <w:rsid w:val="00904CC7"/>
    <w:rsid w:val="00905EEA"/>
    <w:rsid w:val="00906799"/>
    <w:rsid w:val="009129C3"/>
    <w:rsid w:val="009136D0"/>
    <w:rsid w:val="009205B7"/>
    <w:rsid w:val="00920BDA"/>
    <w:rsid w:val="00921181"/>
    <w:rsid w:val="00922193"/>
    <w:rsid w:val="00922C7C"/>
    <w:rsid w:val="00924152"/>
    <w:rsid w:val="00930927"/>
    <w:rsid w:val="0093194D"/>
    <w:rsid w:val="00932D10"/>
    <w:rsid w:val="00934C3F"/>
    <w:rsid w:val="00937846"/>
    <w:rsid w:val="00937D36"/>
    <w:rsid w:val="009417AE"/>
    <w:rsid w:val="00943AA5"/>
    <w:rsid w:val="00945B3F"/>
    <w:rsid w:val="009464ED"/>
    <w:rsid w:val="00950DCB"/>
    <w:rsid w:val="00952D47"/>
    <w:rsid w:val="00952D4C"/>
    <w:rsid w:val="009535CD"/>
    <w:rsid w:val="00960246"/>
    <w:rsid w:val="009608B6"/>
    <w:rsid w:val="00967FEC"/>
    <w:rsid w:val="00970AF2"/>
    <w:rsid w:val="009720E1"/>
    <w:rsid w:val="00974F0E"/>
    <w:rsid w:val="00975CD7"/>
    <w:rsid w:val="00980CA1"/>
    <w:rsid w:val="00985D42"/>
    <w:rsid w:val="00985E70"/>
    <w:rsid w:val="0098783B"/>
    <w:rsid w:val="00993C2B"/>
    <w:rsid w:val="00996086"/>
    <w:rsid w:val="00996AF6"/>
    <w:rsid w:val="0099798A"/>
    <w:rsid w:val="009979F4"/>
    <w:rsid w:val="009A246D"/>
    <w:rsid w:val="009A45B2"/>
    <w:rsid w:val="009A5585"/>
    <w:rsid w:val="009A59D5"/>
    <w:rsid w:val="009B161B"/>
    <w:rsid w:val="009B2CB7"/>
    <w:rsid w:val="009C2198"/>
    <w:rsid w:val="009D2DDD"/>
    <w:rsid w:val="009D2F27"/>
    <w:rsid w:val="009D3024"/>
    <w:rsid w:val="009D4911"/>
    <w:rsid w:val="009D54FD"/>
    <w:rsid w:val="009E0C10"/>
    <w:rsid w:val="009E0FAF"/>
    <w:rsid w:val="009E275D"/>
    <w:rsid w:val="009E4116"/>
    <w:rsid w:val="009E529F"/>
    <w:rsid w:val="00A10DA6"/>
    <w:rsid w:val="00A151E9"/>
    <w:rsid w:val="00A15DBB"/>
    <w:rsid w:val="00A15F09"/>
    <w:rsid w:val="00A259F2"/>
    <w:rsid w:val="00A2758A"/>
    <w:rsid w:val="00A33802"/>
    <w:rsid w:val="00A34ADD"/>
    <w:rsid w:val="00A37162"/>
    <w:rsid w:val="00A37E51"/>
    <w:rsid w:val="00A4042C"/>
    <w:rsid w:val="00A42646"/>
    <w:rsid w:val="00A503F1"/>
    <w:rsid w:val="00A50B51"/>
    <w:rsid w:val="00A51E2D"/>
    <w:rsid w:val="00A5319F"/>
    <w:rsid w:val="00A533A9"/>
    <w:rsid w:val="00A53690"/>
    <w:rsid w:val="00A54193"/>
    <w:rsid w:val="00A60E86"/>
    <w:rsid w:val="00A62D31"/>
    <w:rsid w:val="00A63380"/>
    <w:rsid w:val="00A8129D"/>
    <w:rsid w:val="00A82188"/>
    <w:rsid w:val="00A865C7"/>
    <w:rsid w:val="00A909CC"/>
    <w:rsid w:val="00A9123F"/>
    <w:rsid w:val="00A942CA"/>
    <w:rsid w:val="00A964A5"/>
    <w:rsid w:val="00A97D1D"/>
    <w:rsid w:val="00A97E3B"/>
    <w:rsid w:val="00AA00CB"/>
    <w:rsid w:val="00AA20A1"/>
    <w:rsid w:val="00AA330D"/>
    <w:rsid w:val="00AA41F2"/>
    <w:rsid w:val="00AA555F"/>
    <w:rsid w:val="00AA6372"/>
    <w:rsid w:val="00AA6D98"/>
    <w:rsid w:val="00AB039E"/>
    <w:rsid w:val="00AB1362"/>
    <w:rsid w:val="00AB2FFA"/>
    <w:rsid w:val="00AB4206"/>
    <w:rsid w:val="00AB556C"/>
    <w:rsid w:val="00AB6D78"/>
    <w:rsid w:val="00AC1727"/>
    <w:rsid w:val="00AC4375"/>
    <w:rsid w:val="00AC6B54"/>
    <w:rsid w:val="00AC7E54"/>
    <w:rsid w:val="00AD11AC"/>
    <w:rsid w:val="00AD2FF5"/>
    <w:rsid w:val="00AD51FB"/>
    <w:rsid w:val="00AD60CE"/>
    <w:rsid w:val="00AD72D9"/>
    <w:rsid w:val="00AE43C8"/>
    <w:rsid w:val="00AE6A4E"/>
    <w:rsid w:val="00AE7B98"/>
    <w:rsid w:val="00AF0F1B"/>
    <w:rsid w:val="00AF0FC3"/>
    <w:rsid w:val="00AF129F"/>
    <w:rsid w:val="00AF47EF"/>
    <w:rsid w:val="00AF4E7F"/>
    <w:rsid w:val="00AF67D4"/>
    <w:rsid w:val="00B06E21"/>
    <w:rsid w:val="00B07F39"/>
    <w:rsid w:val="00B1133D"/>
    <w:rsid w:val="00B12DC9"/>
    <w:rsid w:val="00B13F84"/>
    <w:rsid w:val="00B14604"/>
    <w:rsid w:val="00B1471C"/>
    <w:rsid w:val="00B155D3"/>
    <w:rsid w:val="00B15ABA"/>
    <w:rsid w:val="00B20FA0"/>
    <w:rsid w:val="00B24DD4"/>
    <w:rsid w:val="00B33A8A"/>
    <w:rsid w:val="00B34339"/>
    <w:rsid w:val="00B3614E"/>
    <w:rsid w:val="00B40B7D"/>
    <w:rsid w:val="00B42B2F"/>
    <w:rsid w:val="00B44900"/>
    <w:rsid w:val="00B467F6"/>
    <w:rsid w:val="00B472E1"/>
    <w:rsid w:val="00B52821"/>
    <w:rsid w:val="00B54455"/>
    <w:rsid w:val="00B56C63"/>
    <w:rsid w:val="00B66146"/>
    <w:rsid w:val="00B664C7"/>
    <w:rsid w:val="00B666A7"/>
    <w:rsid w:val="00B670E9"/>
    <w:rsid w:val="00B71170"/>
    <w:rsid w:val="00B739A1"/>
    <w:rsid w:val="00B7451B"/>
    <w:rsid w:val="00B77A80"/>
    <w:rsid w:val="00B80BCE"/>
    <w:rsid w:val="00B81524"/>
    <w:rsid w:val="00B81740"/>
    <w:rsid w:val="00B82726"/>
    <w:rsid w:val="00B83542"/>
    <w:rsid w:val="00B83763"/>
    <w:rsid w:val="00B83E7C"/>
    <w:rsid w:val="00B85D7B"/>
    <w:rsid w:val="00B900EA"/>
    <w:rsid w:val="00B91069"/>
    <w:rsid w:val="00B92842"/>
    <w:rsid w:val="00BA2713"/>
    <w:rsid w:val="00BA2941"/>
    <w:rsid w:val="00BA4C61"/>
    <w:rsid w:val="00BA627A"/>
    <w:rsid w:val="00BB22FA"/>
    <w:rsid w:val="00BC0D2F"/>
    <w:rsid w:val="00BC1E70"/>
    <w:rsid w:val="00BC3948"/>
    <w:rsid w:val="00BD12A1"/>
    <w:rsid w:val="00BD1D09"/>
    <w:rsid w:val="00BD7B83"/>
    <w:rsid w:val="00BE0662"/>
    <w:rsid w:val="00BE0C04"/>
    <w:rsid w:val="00BE625B"/>
    <w:rsid w:val="00BF094F"/>
    <w:rsid w:val="00BF12D1"/>
    <w:rsid w:val="00BF17C6"/>
    <w:rsid w:val="00BF6F09"/>
    <w:rsid w:val="00BF7527"/>
    <w:rsid w:val="00C00FDA"/>
    <w:rsid w:val="00C02EB9"/>
    <w:rsid w:val="00C0373C"/>
    <w:rsid w:val="00C04E4B"/>
    <w:rsid w:val="00C11531"/>
    <w:rsid w:val="00C119C6"/>
    <w:rsid w:val="00C11B56"/>
    <w:rsid w:val="00C14C04"/>
    <w:rsid w:val="00C1529E"/>
    <w:rsid w:val="00C16045"/>
    <w:rsid w:val="00C16050"/>
    <w:rsid w:val="00C175CC"/>
    <w:rsid w:val="00C21E27"/>
    <w:rsid w:val="00C2332A"/>
    <w:rsid w:val="00C25989"/>
    <w:rsid w:val="00C307EB"/>
    <w:rsid w:val="00C3446D"/>
    <w:rsid w:val="00C3686B"/>
    <w:rsid w:val="00C42EA5"/>
    <w:rsid w:val="00C45FAA"/>
    <w:rsid w:val="00C5097B"/>
    <w:rsid w:val="00C62BF5"/>
    <w:rsid w:val="00C636DA"/>
    <w:rsid w:val="00C67E22"/>
    <w:rsid w:val="00C72271"/>
    <w:rsid w:val="00C72A17"/>
    <w:rsid w:val="00C81305"/>
    <w:rsid w:val="00C81356"/>
    <w:rsid w:val="00C813CD"/>
    <w:rsid w:val="00C821EF"/>
    <w:rsid w:val="00C858D9"/>
    <w:rsid w:val="00C86A64"/>
    <w:rsid w:val="00C87DA0"/>
    <w:rsid w:val="00C915DA"/>
    <w:rsid w:val="00C96BDA"/>
    <w:rsid w:val="00C96E33"/>
    <w:rsid w:val="00CA4E4D"/>
    <w:rsid w:val="00CA6FF9"/>
    <w:rsid w:val="00CA73DA"/>
    <w:rsid w:val="00CB2A53"/>
    <w:rsid w:val="00CB2E3D"/>
    <w:rsid w:val="00CB4238"/>
    <w:rsid w:val="00CB5938"/>
    <w:rsid w:val="00CB5B27"/>
    <w:rsid w:val="00CC13F5"/>
    <w:rsid w:val="00CC1A64"/>
    <w:rsid w:val="00CC2929"/>
    <w:rsid w:val="00CC30A1"/>
    <w:rsid w:val="00CC34EB"/>
    <w:rsid w:val="00CC4C58"/>
    <w:rsid w:val="00CC66EA"/>
    <w:rsid w:val="00CD1253"/>
    <w:rsid w:val="00CD3C17"/>
    <w:rsid w:val="00CD6284"/>
    <w:rsid w:val="00CE1E15"/>
    <w:rsid w:val="00CE1F9C"/>
    <w:rsid w:val="00CE2E48"/>
    <w:rsid w:val="00CF0184"/>
    <w:rsid w:val="00CF3E83"/>
    <w:rsid w:val="00CF55F6"/>
    <w:rsid w:val="00CF59E0"/>
    <w:rsid w:val="00CF6672"/>
    <w:rsid w:val="00D006F4"/>
    <w:rsid w:val="00D021F7"/>
    <w:rsid w:val="00D0248E"/>
    <w:rsid w:val="00D069C7"/>
    <w:rsid w:val="00D078A2"/>
    <w:rsid w:val="00D21123"/>
    <w:rsid w:val="00D21142"/>
    <w:rsid w:val="00D22ED5"/>
    <w:rsid w:val="00D233D2"/>
    <w:rsid w:val="00D26BB7"/>
    <w:rsid w:val="00D34D98"/>
    <w:rsid w:val="00D366D6"/>
    <w:rsid w:val="00D367EB"/>
    <w:rsid w:val="00D36C91"/>
    <w:rsid w:val="00D41871"/>
    <w:rsid w:val="00D45954"/>
    <w:rsid w:val="00D4613B"/>
    <w:rsid w:val="00D461C2"/>
    <w:rsid w:val="00D5162F"/>
    <w:rsid w:val="00D55593"/>
    <w:rsid w:val="00D55B27"/>
    <w:rsid w:val="00D56D61"/>
    <w:rsid w:val="00D572B9"/>
    <w:rsid w:val="00D575EC"/>
    <w:rsid w:val="00D615C7"/>
    <w:rsid w:val="00D61AAE"/>
    <w:rsid w:val="00D64CB8"/>
    <w:rsid w:val="00D67BB9"/>
    <w:rsid w:val="00D720AE"/>
    <w:rsid w:val="00D72FD8"/>
    <w:rsid w:val="00D819F6"/>
    <w:rsid w:val="00D82BB4"/>
    <w:rsid w:val="00D8361B"/>
    <w:rsid w:val="00D87A18"/>
    <w:rsid w:val="00D92A45"/>
    <w:rsid w:val="00D93F21"/>
    <w:rsid w:val="00D95236"/>
    <w:rsid w:val="00D9697A"/>
    <w:rsid w:val="00DA0C85"/>
    <w:rsid w:val="00DA2432"/>
    <w:rsid w:val="00DA2B14"/>
    <w:rsid w:val="00DA3023"/>
    <w:rsid w:val="00DA4C48"/>
    <w:rsid w:val="00DA727D"/>
    <w:rsid w:val="00DB53A7"/>
    <w:rsid w:val="00DC3F26"/>
    <w:rsid w:val="00DC4928"/>
    <w:rsid w:val="00DC4B8F"/>
    <w:rsid w:val="00DD0D8A"/>
    <w:rsid w:val="00DD170F"/>
    <w:rsid w:val="00DD7F67"/>
    <w:rsid w:val="00DE0A8A"/>
    <w:rsid w:val="00DE1106"/>
    <w:rsid w:val="00DE3389"/>
    <w:rsid w:val="00DF2F8B"/>
    <w:rsid w:val="00DF5EA6"/>
    <w:rsid w:val="00DF6837"/>
    <w:rsid w:val="00DF68E4"/>
    <w:rsid w:val="00DF6E54"/>
    <w:rsid w:val="00DF7DCC"/>
    <w:rsid w:val="00E04228"/>
    <w:rsid w:val="00E04457"/>
    <w:rsid w:val="00E04BBC"/>
    <w:rsid w:val="00E10450"/>
    <w:rsid w:val="00E1158A"/>
    <w:rsid w:val="00E1478E"/>
    <w:rsid w:val="00E159D7"/>
    <w:rsid w:val="00E169BF"/>
    <w:rsid w:val="00E213AB"/>
    <w:rsid w:val="00E21653"/>
    <w:rsid w:val="00E21869"/>
    <w:rsid w:val="00E21C94"/>
    <w:rsid w:val="00E21C9B"/>
    <w:rsid w:val="00E22FD8"/>
    <w:rsid w:val="00E2414E"/>
    <w:rsid w:val="00E25B43"/>
    <w:rsid w:val="00E25E14"/>
    <w:rsid w:val="00E26830"/>
    <w:rsid w:val="00E26FAF"/>
    <w:rsid w:val="00E40B36"/>
    <w:rsid w:val="00E51672"/>
    <w:rsid w:val="00E51C2C"/>
    <w:rsid w:val="00E522FC"/>
    <w:rsid w:val="00E55EE5"/>
    <w:rsid w:val="00E60921"/>
    <w:rsid w:val="00E61784"/>
    <w:rsid w:val="00E625B3"/>
    <w:rsid w:val="00E64743"/>
    <w:rsid w:val="00E66512"/>
    <w:rsid w:val="00E71ED2"/>
    <w:rsid w:val="00E7257D"/>
    <w:rsid w:val="00E728CB"/>
    <w:rsid w:val="00E7336F"/>
    <w:rsid w:val="00E746F2"/>
    <w:rsid w:val="00E74F3B"/>
    <w:rsid w:val="00E76262"/>
    <w:rsid w:val="00E764D3"/>
    <w:rsid w:val="00E840A4"/>
    <w:rsid w:val="00E84A6B"/>
    <w:rsid w:val="00E92385"/>
    <w:rsid w:val="00E9359A"/>
    <w:rsid w:val="00E93F74"/>
    <w:rsid w:val="00E95C96"/>
    <w:rsid w:val="00E96DEA"/>
    <w:rsid w:val="00EA1585"/>
    <w:rsid w:val="00EA2DD0"/>
    <w:rsid w:val="00EA332C"/>
    <w:rsid w:val="00EA48AE"/>
    <w:rsid w:val="00EB09E2"/>
    <w:rsid w:val="00EB15A6"/>
    <w:rsid w:val="00EB74A5"/>
    <w:rsid w:val="00EC453D"/>
    <w:rsid w:val="00EC67E3"/>
    <w:rsid w:val="00ED4C82"/>
    <w:rsid w:val="00EE0126"/>
    <w:rsid w:val="00EE0C89"/>
    <w:rsid w:val="00EE47FE"/>
    <w:rsid w:val="00EE4F0F"/>
    <w:rsid w:val="00EE50C6"/>
    <w:rsid w:val="00EE5D41"/>
    <w:rsid w:val="00EE766D"/>
    <w:rsid w:val="00EF2A15"/>
    <w:rsid w:val="00EF3BAB"/>
    <w:rsid w:val="00EF5BFD"/>
    <w:rsid w:val="00EF6717"/>
    <w:rsid w:val="00EF7B33"/>
    <w:rsid w:val="00F00211"/>
    <w:rsid w:val="00F00470"/>
    <w:rsid w:val="00F01C6F"/>
    <w:rsid w:val="00F0509B"/>
    <w:rsid w:val="00F06EE2"/>
    <w:rsid w:val="00F074DC"/>
    <w:rsid w:val="00F13B96"/>
    <w:rsid w:val="00F15632"/>
    <w:rsid w:val="00F16191"/>
    <w:rsid w:val="00F17535"/>
    <w:rsid w:val="00F20949"/>
    <w:rsid w:val="00F20B97"/>
    <w:rsid w:val="00F24F8F"/>
    <w:rsid w:val="00F303B2"/>
    <w:rsid w:val="00F307E0"/>
    <w:rsid w:val="00F3383E"/>
    <w:rsid w:val="00F34D63"/>
    <w:rsid w:val="00F41BD7"/>
    <w:rsid w:val="00F47052"/>
    <w:rsid w:val="00F57F7A"/>
    <w:rsid w:val="00F617F5"/>
    <w:rsid w:val="00F62D33"/>
    <w:rsid w:val="00F64AB3"/>
    <w:rsid w:val="00F655AA"/>
    <w:rsid w:val="00F6570B"/>
    <w:rsid w:val="00F66681"/>
    <w:rsid w:val="00F66FEA"/>
    <w:rsid w:val="00F67615"/>
    <w:rsid w:val="00F74209"/>
    <w:rsid w:val="00F76C98"/>
    <w:rsid w:val="00F804CD"/>
    <w:rsid w:val="00F80750"/>
    <w:rsid w:val="00F826F6"/>
    <w:rsid w:val="00F85F59"/>
    <w:rsid w:val="00F86538"/>
    <w:rsid w:val="00F86717"/>
    <w:rsid w:val="00F86DD4"/>
    <w:rsid w:val="00F921A4"/>
    <w:rsid w:val="00F97C7A"/>
    <w:rsid w:val="00FA2909"/>
    <w:rsid w:val="00FA2BF6"/>
    <w:rsid w:val="00FA3CD9"/>
    <w:rsid w:val="00FA3CEC"/>
    <w:rsid w:val="00FB0E4C"/>
    <w:rsid w:val="00FB3AE6"/>
    <w:rsid w:val="00FB4CF2"/>
    <w:rsid w:val="00FC071B"/>
    <w:rsid w:val="00FC3A8B"/>
    <w:rsid w:val="00FC4845"/>
    <w:rsid w:val="00FC6B03"/>
    <w:rsid w:val="00FD06D5"/>
    <w:rsid w:val="00FD28FF"/>
    <w:rsid w:val="00FD68A1"/>
    <w:rsid w:val="00FE0985"/>
    <w:rsid w:val="00FE419E"/>
    <w:rsid w:val="00FE6A8A"/>
    <w:rsid w:val="00FF2484"/>
    <w:rsid w:val="00FF4201"/>
    <w:rsid w:val="00FF6E17"/>
    <w:rsid w:val="10A722FD"/>
    <w:rsid w:val="123F66A9"/>
    <w:rsid w:val="1BFD22D7"/>
    <w:rsid w:val="260952E0"/>
    <w:rsid w:val="30BEA305"/>
    <w:rsid w:val="5C602A68"/>
    <w:rsid w:val="5D6D1569"/>
    <w:rsid w:val="6284B381"/>
    <w:rsid w:val="6FB5DC7A"/>
    <w:rsid w:val="7DF791F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 w:type="character" w:customStyle="1" w:styleId="normaltextrun">
    <w:name w:val="normaltextrun"/>
    <w:basedOn w:val="DefaultParagraphFont"/>
    <w:rsid w:val="004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48828475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 w:id="18776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9L015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_Flow_SignoffStatus xmlns="5e7d1d2f-1d1d-4328-b1c4-d23268d860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5e7d1d2f-1d1d-4328-b1c4-d23268d86024"/>
    <ds:schemaRef ds:uri="http://purl.org/dc/terms/"/>
    <ds:schemaRef ds:uri="0873f81f-5545-4105-9cf3-1e567ff68fe4"/>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A6BB4953-31A0-4A2D-BBA6-A8A68E3D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2742</Words>
  <Characters>15690</Characters>
  <Application>Microsoft Office Word</Application>
  <DocSecurity>4</DocSecurity>
  <Lines>265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Links>
    <vt:vector size="54" baseType="variant">
      <vt:variant>
        <vt:i4>2556013</vt:i4>
      </vt:variant>
      <vt:variant>
        <vt:i4>6</vt:i4>
      </vt:variant>
      <vt:variant>
        <vt:i4>0</vt:i4>
      </vt:variant>
      <vt:variant>
        <vt:i4>5</vt:i4>
      </vt:variant>
      <vt:variant>
        <vt:lpwstr>https://auasb.gov.au/standards-guidance/auasb-standards/auditing-standards/</vt:lpwstr>
      </vt:variant>
      <vt:variant>
        <vt:lpwstr/>
      </vt:variant>
      <vt:variant>
        <vt:i4>1966102</vt:i4>
      </vt:variant>
      <vt:variant>
        <vt:i4>3</vt:i4>
      </vt:variant>
      <vt:variant>
        <vt:i4>0</vt:i4>
      </vt:variant>
      <vt:variant>
        <vt:i4>5</vt:i4>
      </vt:variant>
      <vt:variant>
        <vt:lpwstr>https://www.aasb.gov.au/pronouncements/accounting-standards/</vt:lpwstr>
      </vt:variant>
      <vt:variant>
        <vt:lpwstr/>
      </vt:variant>
      <vt:variant>
        <vt:i4>6946865</vt:i4>
      </vt:variant>
      <vt:variant>
        <vt:i4>0</vt:i4>
      </vt:variant>
      <vt:variant>
        <vt:i4>0</vt:i4>
      </vt:variant>
      <vt:variant>
        <vt:i4>5</vt:i4>
      </vt:variant>
      <vt:variant>
        <vt:lpwstr>http://www.legislation.gov.au/</vt:lpwstr>
      </vt:variant>
      <vt:variant>
        <vt:lpwstr/>
      </vt:variant>
      <vt:variant>
        <vt:i4>4849729</vt:i4>
      </vt:variant>
      <vt:variant>
        <vt:i4>12</vt:i4>
      </vt:variant>
      <vt:variant>
        <vt:i4>0</vt:i4>
      </vt:variant>
      <vt:variant>
        <vt:i4>5</vt:i4>
      </vt:variant>
      <vt:variant>
        <vt:lpwstr>https://www.apra.gov.au/new-accounting-standard-%E2%80%93-aasb-17-insurance-contracts</vt:lpwstr>
      </vt:variant>
      <vt:variant>
        <vt:lpwstr/>
      </vt:variant>
      <vt:variant>
        <vt:i4>4849729</vt:i4>
      </vt:variant>
      <vt:variant>
        <vt:i4>9</vt:i4>
      </vt:variant>
      <vt:variant>
        <vt:i4>0</vt:i4>
      </vt:variant>
      <vt:variant>
        <vt:i4>5</vt:i4>
      </vt:variant>
      <vt:variant>
        <vt:lpwstr>https://www.apra.gov.au/new-accounting-standard-%E2%80%93-aasb-17-insurance-contracts</vt:lpwstr>
      </vt:variant>
      <vt:variant>
        <vt:lpwstr/>
      </vt:variant>
      <vt:variant>
        <vt:i4>4915218</vt:i4>
      </vt:variant>
      <vt:variant>
        <vt:i4>6</vt:i4>
      </vt:variant>
      <vt:variant>
        <vt:i4>0</vt:i4>
      </vt:variant>
      <vt:variant>
        <vt:i4>5</vt:i4>
      </vt:variant>
      <vt:variant>
        <vt:lpwstr>https://www.apra.gov.au/round-two-%E2%80%93-discussion-paper-%E2%80%93-integrating-aasb-17-into-capital-and-reporting-frameworks-for</vt:lpwstr>
      </vt:variant>
      <vt:variant>
        <vt:lpwstr/>
      </vt:variant>
      <vt:variant>
        <vt:i4>4849729</vt:i4>
      </vt:variant>
      <vt:variant>
        <vt:i4>3</vt:i4>
      </vt:variant>
      <vt:variant>
        <vt:i4>0</vt:i4>
      </vt:variant>
      <vt:variant>
        <vt:i4>5</vt:i4>
      </vt:variant>
      <vt:variant>
        <vt:lpwstr>https://www.apra.gov.au/new-accounting-standard-%E2%80%93-aasb-17-insurance-contracts</vt:lpwstr>
      </vt:variant>
      <vt:variant>
        <vt:lpwstr/>
      </vt:variant>
      <vt:variant>
        <vt:i4>8061038</vt:i4>
      </vt:variant>
      <vt:variant>
        <vt:i4>0</vt:i4>
      </vt:variant>
      <vt:variant>
        <vt:i4>0</vt:i4>
      </vt:variant>
      <vt:variant>
        <vt:i4>5</vt:i4>
      </vt:variant>
      <vt:variant>
        <vt:lpwstr>https://www.iso.org/iso-3166-country-codes.html</vt:lpwstr>
      </vt:variant>
      <vt:variant>
        <vt:lpwstr/>
      </vt:variant>
      <vt:variant>
        <vt:i4>3735612</vt:i4>
      </vt:variant>
      <vt:variant>
        <vt:i4>0</vt:i4>
      </vt:variant>
      <vt:variant>
        <vt:i4>0</vt:i4>
      </vt:variant>
      <vt:variant>
        <vt:i4>5</vt:i4>
      </vt:variant>
      <vt:variant>
        <vt:lpwstr>https://apragovau0.sharepoint.com/sites/im-team-da/Shared Documents/Public Workspace/Data Frameworks Team Page/DCA - BAU Collection Builds In Flight/AASB17/Reporting Standards - GI/Final amendments post Sept 2022 release/GRS 110.0 - Prescribed Capital Amount.docx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2023-06-23T02:32:00Z</dcterms:created>
  <dcterms:modified xsi:type="dcterms:W3CDTF">2023-06-23T02:32:00Z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OriginatorUserAccountName_SHA256">
    <vt:lpwstr>6E3018F28A186D2E5FF5207C041E7A82E907C3008E071057026A53705873B72E</vt:lpwstr>
  </property>
  <property fmtid="{D5CDD505-2E9C-101B-9397-08002B2CF9AE}" pid="63" name="PM_Hash_Salt_Prev">
    <vt:lpwstr>B591AFA93254297A69F0EB1B1293B62C</vt:lpwstr>
  </property>
  <property fmtid="{D5CDD505-2E9C-101B-9397-08002B2CF9AE}" pid="64" name="PM_Hash_Salt">
    <vt:lpwstr>253BC25EB14ED8F83BDE772FDC71C396</vt:lpwstr>
  </property>
  <property fmtid="{D5CDD505-2E9C-101B-9397-08002B2CF9AE}" pid="65" name="PM_Hash_SHA1">
    <vt:lpwstr>408A992186B851725F3F9D7D3614017D6351B779</vt:lpwstr>
  </property>
  <property fmtid="{D5CDD505-2E9C-101B-9397-08002B2CF9AE}" pid="66" name="PMHMAC">
    <vt:lpwstr>v=2022.1;a=SHA256;h=97FE8A3C599E10A0C85CBB2156B805914D078CB7DB29A4480AE9C949BDA51B87</vt:lpwstr>
  </property>
  <property fmtid="{D5CDD505-2E9C-101B-9397-08002B2CF9AE}" pid="67" name="MSIP_Label_c0129afb-6481-4f92-bc9f-5a4a6346364d_ActionId">
    <vt:lpwstr>a2cc42661a5e45a382f8dfec59381cb1</vt:lpwstr>
  </property>
</Properties>
</file>