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8D0E" w14:textId="4B1D7EFF" w:rsidR="0087614A" w:rsidRPr="00102445" w:rsidRDefault="0087614A" w:rsidP="0087614A">
      <w:pPr>
        <w:spacing w:before="1000" w:after="2000"/>
        <w:jc w:val="center"/>
        <w:rPr>
          <w:szCs w:val="24"/>
        </w:rPr>
      </w:pPr>
      <w:r w:rsidRPr="00102445">
        <w:rPr>
          <w:szCs w:val="24"/>
        </w:rPr>
        <w:t>2023</w:t>
      </w:r>
    </w:p>
    <w:p w14:paraId="3B6C2A7A" w14:textId="73307E58" w:rsidR="00373FF9" w:rsidRPr="00102445" w:rsidRDefault="0087614A" w:rsidP="0087614A">
      <w:pPr>
        <w:spacing w:after="2000"/>
        <w:jc w:val="center"/>
        <w:rPr>
          <w:caps/>
          <w:szCs w:val="24"/>
        </w:rPr>
      </w:pPr>
      <w:r w:rsidRPr="00102445">
        <w:rPr>
          <w:caps/>
          <w:szCs w:val="24"/>
        </w:rPr>
        <w:t xml:space="preserve"> National Greenhouse and Energy Reporting Act 2007</w:t>
      </w:r>
    </w:p>
    <w:p w14:paraId="3F772390" w14:textId="2CAFBADD" w:rsidR="0087614A" w:rsidRPr="00102445" w:rsidRDefault="00373FF9" w:rsidP="0087614A">
      <w:pPr>
        <w:spacing w:after="2000"/>
        <w:jc w:val="center"/>
        <w:rPr>
          <w:b/>
          <w:szCs w:val="24"/>
        </w:rPr>
      </w:pPr>
      <w:r w:rsidRPr="00102445">
        <w:rPr>
          <w:b/>
          <w:caps/>
          <w:szCs w:val="24"/>
        </w:rPr>
        <w:t>National Greenhouse and Energy Reporting (Safeguard Mechanism) Amendment (Reforms) Rules 2023</w:t>
      </w:r>
    </w:p>
    <w:p w14:paraId="589C25F9" w14:textId="0E72FC1D" w:rsidR="0087614A" w:rsidRPr="00102445" w:rsidRDefault="0087614A" w:rsidP="0087614A">
      <w:pPr>
        <w:spacing w:after="2000"/>
        <w:jc w:val="center"/>
        <w:rPr>
          <w:szCs w:val="24"/>
        </w:rPr>
      </w:pPr>
      <w:r w:rsidRPr="00102445">
        <w:rPr>
          <w:szCs w:val="24"/>
        </w:rPr>
        <w:t>EXPLANATORY STATEMENT</w:t>
      </w:r>
    </w:p>
    <w:p w14:paraId="1F918D66" w14:textId="77777777" w:rsidR="00373FF9" w:rsidRPr="00102445" w:rsidRDefault="00373FF9" w:rsidP="0087614A">
      <w:pPr>
        <w:spacing w:after="2000"/>
        <w:jc w:val="center"/>
        <w:rPr>
          <w:szCs w:val="24"/>
        </w:rPr>
      </w:pPr>
    </w:p>
    <w:p w14:paraId="7969B96A" w14:textId="77777777" w:rsidR="0087614A" w:rsidRPr="00102445" w:rsidRDefault="0087614A" w:rsidP="0087614A">
      <w:pPr>
        <w:jc w:val="center"/>
        <w:rPr>
          <w:szCs w:val="24"/>
        </w:rPr>
      </w:pPr>
      <w:r w:rsidRPr="00102445">
        <w:rPr>
          <w:szCs w:val="24"/>
        </w:rPr>
        <w:t>(Circulated by authority of the Minister for Climate Change and Energy,</w:t>
      </w:r>
      <w:r w:rsidRPr="00102445">
        <w:rPr>
          <w:szCs w:val="24"/>
        </w:rPr>
        <w:br/>
        <w:t>the Hon. Chris Bowen MP)</w:t>
      </w:r>
    </w:p>
    <w:p w14:paraId="06B6F6B5" w14:textId="77777777" w:rsidR="005632C1" w:rsidRPr="00102445" w:rsidRDefault="005632C1" w:rsidP="005632C1">
      <w:pPr>
        <w:pStyle w:val="Heading2"/>
      </w:pPr>
      <w:bookmarkStart w:id="0" w:name="_Toc119504826"/>
      <w:bookmarkStart w:id="1" w:name="_Toc119506513"/>
      <w:bookmarkStart w:id="2" w:name="_Toc119514996"/>
      <w:bookmarkStart w:id="3" w:name="_Toc119074120"/>
      <w:bookmarkStart w:id="4" w:name="_Toc23942238"/>
      <w:bookmarkStart w:id="5" w:name="_Toc34293358"/>
      <w:r w:rsidRPr="00102445">
        <w:lastRenderedPageBreak/>
        <w:t>Purpose</w:t>
      </w:r>
    </w:p>
    <w:p w14:paraId="34234443" w14:textId="77777777" w:rsidR="005632C1" w:rsidRPr="00102445" w:rsidRDefault="005632C1" w:rsidP="005632C1">
      <w:r w:rsidRPr="00102445">
        <w:t>The Amendment Rules amend the Safeguard Rules to implement reforms to the Safeguard Mechanism, a commitment in the Government’s Powering Australia Plan. The reformed Safeguard Mechanism requires Australia's largest industrial facilities to reduce their emissions, gradually and predictably in line with our national targets, and helps ensure Australian businesses remain competitive as the world decarbonises.  </w:t>
      </w:r>
    </w:p>
    <w:p w14:paraId="47FE9542" w14:textId="77777777" w:rsidR="005632C1" w:rsidRPr="00102445" w:rsidRDefault="005632C1" w:rsidP="005632C1">
      <w:r w:rsidRPr="00102445">
        <w:t xml:space="preserve">The Amendment Rules set out the technical detail of the reforms to the Safeguard Mechanism and </w:t>
      </w:r>
      <w:r w:rsidRPr="00102445">
        <w:rPr>
          <w:color w:val="000000"/>
          <w:shd w:val="clear" w:color="auto" w:fill="FFFFFF"/>
        </w:rPr>
        <w:t>specify the administrative detail of how the provisions are implemented and the administrative processes for demonstrating compliance with Safeguard obligations.</w:t>
      </w:r>
    </w:p>
    <w:p w14:paraId="0CB0D36E" w14:textId="77777777" w:rsidR="005632C1" w:rsidRPr="00102445" w:rsidRDefault="005632C1" w:rsidP="005632C1">
      <w:r w:rsidRPr="00102445">
        <w:t>Key provisions include baseline setting arrangements for existing and new facilities, declining baselines over time so that Safeguard facilities contribute their proportional share of the national emissions reduction task, flexible compliance options including below-baseline crediting, interactions with Australian carbon credit unit (ACCU) projects and tailored treatment for trade-exposed facilities.</w:t>
      </w:r>
    </w:p>
    <w:p w14:paraId="5DADE237" w14:textId="54187EF9" w:rsidR="00EF13D8" w:rsidRPr="00102445" w:rsidRDefault="00EF13D8" w:rsidP="005A0C16">
      <w:pPr>
        <w:pStyle w:val="Heading2"/>
        <w:spacing w:after="240"/>
      </w:pPr>
      <w:r w:rsidRPr="00102445">
        <w:t>Glossary</w:t>
      </w:r>
      <w:bookmarkEnd w:id="0"/>
      <w:bookmarkEnd w:id="1"/>
      <w:bookmarkEnd w:id="2"/>
    </w:p>
    <w:tbl>
      <w:tblPr>
        <w:tblStyle w:val="TableGrid"/>
        <w:tblW w:w="0" w:type="auto"/>
        <w:tblLook w:val="04A0" w:firstRow="1" w:lastRow="0" w:firstColumn="1" w:lastColumn="0" w:noHBand="0" w:noVBand="1"/>
      </w:tblPr>
      <w:tblGrid>
        <w:gridCol w:w="2547"/>
        <w:gridCol w:w="6469"/>
      </w:tblGrid>
      <w:tr w:rsidR="00EF13D8" w:rsidRPr="00102445" w14:paraId="58A81303" w14:textId="77777777" w:rsidTr="000865AF">
        <w:trPr>
          <w:trHeight w:val="378"/>
        </w:trPr>
        <w:tc>
          <w:tcPr>
            <w:tcW w:w="2547" w:type="dxa"/>
            <w:tcBorders>
              <w:top w:val="single" w:sz="4" w:space="0" w:color="auto"/>
              <w:left w:val="single" w:sz="4" w:space="0" w:color="auto"/>
              <w:bottom w:val="single" w:sz="4" w:space="0" w:color="auto"/>
              <w:right w:val="single" w:sz="4" w:space="0" w:color="auto"/>
            </w:tcBorders>
            <w:hideMark/>
          </w:tcPr>
          <w:bookmarkEnd w:id="3"/>
          <w:p w14:paraId="72CC479F" w14:textId="77777777" w:rsidR="00EF13D8" w:rsidRPr="00102445" w:rsidRDefault="00EF13D8" w:rsidP="000865AF">
            <w:pPr>
              <w:spacing w:before="120" w:after="120" w:line="240" w:lineRule="auto"/>
              <w:ind w:right="91"/>
              <w:rPr>
                <w:rFonts w:cs="Times New Roman"/>
                <w:b/>
                <w:szCs w:val="24"/>
              </w:rPr>
            </w:pPr>
            <w:r w:rsidRPr="00102445">
              <w:rPr>
                <w:rFonts w:cs="Times New Roman"/>
                <w:b/>
                <w:szCs w:val="24"/>
              </w:rPr>
              <w:t>Abbreviation</w:t>
            </w:r>
          </w:p>
        </w:tc>
        <w:tc>
          <w:tcPr>
            <w:tcW w:w="6469" w:type="dxa"/>
            <w:tcBorders>
              <w:top w:val="single" w:sz="4" w:space="0" w:color="auto"/>
              <w:left w:val="single" w:sz="4" w:space="0" w:color="auto"/>
              <w:bottom w:val="single" w:sz="4" w:space="0" w:color="auto"/>
              <w:right w:val="single" w:sz="4" w:space="0" w:color="auto"/>
            </w:tcBorders>
            <w:hideMark/>
          </w:tcPr>
          <w:p w14:paraId="21E49154" w14:textId="77777777" w:rsidR="00EF13D8" w:rsidRPr="00102445" w:rsidRDefault="00EF13D8" w:rsidP="000865AF">
            <w:pPr>
              <w:spacing w:before="120" w:after="120" w:line="240" w:lineRule="auto"/>
              <w:ind w:right="91"/>
              <w:rPr>
                <w:rFonts w:cs="Times New Roman"/>
                <w:b/>
                <w:szCs w:val="24"/>
              </w:rPr>
            </w:pPr>
            <w:r w:rsidRPr="00102445">
              <w:rPr>
                <w:rFonts w:cs="Times New Roman"/>
                <w:b/>
                <w:szCs w:val="24"/>
              </w:rPr>
              <w:t>Definition</w:t>
            </w:r>
          </w:p>
        </w:tc>
      </w:tr>
      <w:tr w:rsidR="00EF13D8" w:rsidRPr="00102445" w14:paraId="1742AA66" w14:textId="77777777" w:rsidTr="000865AF">
        <w:tc>
          <w:tcPr>
            <w:tcW w:w="2547" w:type="dxa"/>
            <w:tcBorders>
              <w:top w:val="single" w:sz="4" w:space="0" w:color="auto"/>
              <w:left w:val="single" w:sz="4" w:space="0" w:color="auto"/>
              <w:bottom w:val="single" w:sz="4" w:space="0" w:color="auto"/>
              <w:right w:val="single" w:sz="4" w:space="0" w:color="auto"/>
            </w:tcBorders>
            <w:hideMark/>
          </w:tcPr>
          <w:p w14:paraId="42EE4F94"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 xml:space="preserve">ACCU </w:t>
            </w:r>
          </w:p>
        </w:tc>
        <w:tc>
          <w:tcPr>
            <w:tcW w:w="6469" w:type="dxa"/>
            <w:tcBorders>
              <w:top w:val="single" w:sz="4" w:space="0" w:color="auto"/>
              <w:left w:val="single" w:sz="4" w:space="0" w:color="auto"/>
              <w:bottom w:val="single" w:sz="4" w:space="0" w:color="auto"/>
              <w:right w:val="single" w:sz="4" w:space="0" w:color="auto"/>
            </w:tcBorders>
            <w:hideMark/>
          </w:tcPr>
          <w:p w14:paraId="4B6FB369"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Australian Carbon Credit Unit</w:t>
            </w:r>
          </w:p>
        </w:tc>
      </w:tr>
      <w:tr w:rsidR="00EF13D8" w:rsidRPr="00102445" w14:paraId="572F40D1" w14:textId="77777777" w:rsidTr="000865AF">
        <w:tc>
          <w:tcPr>
            <w:tcW w:w="2547" w:type="dxa"/>
            <w:tcBorders>
              <w:top w:val="single" w:sz="4" w:space="0" w:color="auto"/>
              <w:left w:val="single" w:sz="4" w:space="0" w:color="auto"/>
              <w:bottom w:val="single" w:sz="4" w:space="0" w:color="auto"/>
              <w:right w:val="single" w:sz="4" w:space="0" w:color="auto"/>
            </w:tcBorders>
            <w:hideMark/>
          </w:tcPr>
          <w:p w14:paraId="738FCA11"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 xml:space="preserve">ANREU Act </w:t>
            </w:r>
          </w:p>
        </w:tc>
        <w:tc>
          <w:tcPr>
            <w:tcW w:w="6469" w:type="dxa"/>
            <w:tcBorders>
              <w:top w:val="single" w:sz="4" w:space="0" w:color="auto"/>
              <w:left w:val="single" w:sz="4" w:space="0" w:color="auto"/>
              <w:bottom w:val="single" w:sz="4" w:space="0" w:color="auto"/>
              <w:right w:val="single" w:sz="4" w:space="0" w:color="auto"/>
            </w:tcBorders>
            <w:hideMark/>
          </w:tcPr>
          <w:p w14:paraId="6E47E529" w14:textId="77777777" w:rsidR="00EF13D8" w:rsidRPr="00102445" w:rsidRDefault="00EF13D8" w:rsidP="000865AF">
            <w:pPr>
              <w:spacing w:before="120" w:after="120" w:line="240" w:lineRule="auto"/>
              <w:ind w:right="91"/>
              <w:rPr>
                <w:rFonts w:cs="Times New Roman"/>
                <w:i/>
                <w:szCs w:val="24"/>
              </w:rPr>
            </w:pPr>
            <w:r w:rsidRPr="00102445">
              <w:rPr>
                <w:rFonts w:cs="Times New Roman"/>
                <w:i/>
                <w:szCs w:val="24"/>
              </w:rPr>
              <w:t>Australian National Registry of Emissions Units Act 2011</w:t>
            </w:r>
          </w:p>
        </w:tc>
      </w:tr>
      <w:tr w:rsidR="00EF13D8" w:rsidRPr="00102445" w14:paraId="6D95E264" w14:textId="77777777" w:rsidTr="000865AF">
        <w:tc>
          <w:tcPr>
            <w:tcW w:w="2547" w:type="dxa"/>
            <w:tcBorders>
              <w:top w:val="single" w:sz="4" w:space="0" w:color="auto"/>
              <w:left w:val="single" w:sz="4" w:space="0" w:color="auto"/>
              <w:bottom w:val="single" w:sz="4" w:space="0" w:color="auto"/>
              <w:right w:val="single" w:sz="4" w:space="0" w:color="auto"/>
            </w:tcBorders>
            <w:hideMark/>
          </w:tcPr>
          <w:p w14:paraId="4AD6738F"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 xml:space="preserve">Baseline </w:t>
            </w:r>
          </w:p>
        </w:tc>
        <w:tc>
          <w:tcPr>
            <w:tcW w:w="6469" w:type="dxa"/>
            <w:tcBorders>
              <w:top w:val="single" w:sz="4" w:space="0" w:color="auto"/>
              <w:left w:val="single" w:sz="4" w:space="0" w:color="auto"/>
              <w:bottom w:val="single" w:sz="4" w:space="0" w:color="auto"/>
              <w:right w:val="single" w:sz="4" w:space="0" w:color="auto"/>
            </w:tcBorders>
            <w:hideMark/>
          </w:tcPr>
          <w:p w14:paraId="201C026D"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 xml:space="preserve">The baseline emissions number for a facility, as specified in section 22XL of the NGER Act </w:t>
            </w:r>
          </w:p>
        </w:tc>
      </w:tr>
      <w:tr w:rsidR="00EF13D8" w:rsidRPr="00102445" w14:paraId="09C4D7BB" w14:textId="77777777" w:rsidTr="000865AF">
        <w:tc>
          <w:tcPr>
            <w:tcW w:w="2547" w:type="dxa"/>
            <w:tcBorders>
              <w:top w:val="single" w:sz="4" w:space="0" w:color="auto"/>
              <w:left w:val="single" w:sz="4" w:space="0" w:color="auto"/>
              <w:bottom w:val="single" w:sz="4" w:space="0" w:color="auto"/>
              <w:right w:val="single" w:sz="4" w:space="0" w:color="auto"/>
            </w:tcBorders>
            <w:hideMark/>
          </w:tcPr>
          <w:p w14:paraId="2A1B0B85"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lang w:val="en-US"/>
              </w:rPr>
              <w:t xml:space="preserve">Bill </w:t>
            </w:r>
          </w:p>
        </w:tc>
        <w:tc>
          <w:tcPr>
            <w:tcW w:w="6469" w:type="dxa"/>
            <w:tcBorders>
              <w:top w:val="single" w:sz="4" w:space="0" w:color="auto"/>
              <w:left w:val="single" w:sz="4" w:space="0" w:color="auto"/>
              <w:bottom w:val="single" w:sz="4" w:space="0" w:color="auto"/>
              <w:right w:val="single" w:sz="4" w:space="0" w:color="auto"/>
            </w:tcBorders>
            <w:hideMark/>
          </w:tcPr>
          <w:p w14:paraId="6A95A416"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lang w:val="en-US"/>
              </w:rPr>
              <w:t xml:space="preserve">Safeguard Mechanism (Crediting) Amendment Bill 2022, passed as the </w:t>
            </w:r>
            <w:r w:rsidRPr="00102445">
              <w:rPr>
                <w:rFonts w:cs="Times New Roman"/>
                <w:i/>
                <w:iCs/>
                <w:szCs w:val="24"/>
                <w:lang w:val="en-US"/>
              </w:rPr>
              <w:t>Safeguard Mechanism (Crediting) Amendment Act 2023</w:t>
            </w:r>
            <w:r w:rsidRPr="00102445">
              <w:rPr>
                <w:rFonts w:cs="Times New Roman"/>
                <w:szCs w:val="24"/>
                <w:lang w:val="en-US"/>
              </w:rPr>
              <w:t xml:space="preserve"> on 30 March 2023.</w:t>
            </w:r>
          </w:p>
        </w:tc>
      </w:tr>
      <w:tr w:rsidR="00EF13D8" w:rsidRPr="00102445" w14:paraId="02B345AB" w14:textId="77777777" w:rsidTr="000865AF">
        <w:tc>
          <w:tcPr>
            <w:tcW w:w="2547" w:type="dxa"/>
            <w:tcBorders>
              <w:top w:val="single" w:sz="4" w:space="0" w:color="auto"/>
              <w:left w:val="single" w:sz="4" w:space="0" w:color="auto"/>
              <w:bottom w:val="single" w:sz="4" w:space="0" w:color="auto"/>
              <w:right w:val="single" w:sz="4" w:space="0" w:color="auto"/>
            </w:tcBorders>
            <w:hideMark/>
          </w:tcPr>
          <w:p w14:paraId="5F94DE73"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Carbon dioxide equivalent</w:t>
            </w:r>
          </w:p>
        </w:tc>
        <w:tc>
          <w:tcPr>
            <w:tcW w:w="6469" w:type="dxa"/>
            <w:tcBorders>
              <w:top w:val="single" w:sz="4" w:space="0" w:color="auto"/>
              <w:left w:val="single" w:sz="4" w:space="0" w:color="auto"/>
              <w:bottom w:val="single" w:sz="4" w:space="0" w:color="auto"/>
              <w:right w:val="single" w:sz="4" w:space="0" w:color="auto"/>
            </w:tcBorders>
            <w:hideMark/>
          </w:tcPr>
          <w:p w14:paraId="6D26C07C" w14:textId="77777777" w:rsidR="00EF13D8" w:rsidRPr="00102445" w:rsidRDefault="00EF13D8" w:rsidP="000865AF">
            <w:pPr>
              <w:spacing w:before="120" w:after="120" w:line="240" w:lineRule="auto"/>
              <w:ind w:right="91"/>
              <w:rPr>
                <w:rFonts w:cs="Times New Roman"/>
                <w:i/>
                <w:szCs w:val="24"/>
              </w:rPr>
            </w:pPr>
            <w:r w:rsidRPr="00102445">
              <w:rPr>
                <w:rFonts w:cs="Times New Roman"/>
                <w:szCs w:val="24"/>
              </w:rPr>
              <w:t>A way of quantifying greenhouse gases to reflect their contribution to climate change compared to a unit of carbon dioxide</w:t>
            </w:r>
          </w:p>
        </w:tc>
      </w:tr>
      <w:tr w:rsidR="00EF13D8" w:rsidRPr="00102445" w14:paraId="2AE8C387" w14:textId="77777777" w:rsidTr="000865AF">
        <w:tc>
          <w:tcPr>
            <w:tcW w:w="2547" w:type="dxa"/>
            <w:tcBorders>
              <w:top w:val="single" w:sz="4" w:space="0" w:color="auto"/>
              <w:left w:val="single" w:sz="4" w:space="0" w:color="auto"/>
              <w:bottom w:val="single" w:sz="4" w:space="0" w:color="auto"/>
              <w:right w:val="single" w:sz="4" w:space="0" w:color="auto"/>
            </w:tcBorders>
            <w:hideMark/>
          </w:tcPr>
          <w:p w14:paraId="681973B2" w14:textId="3F9AD406" w:rsidR="00EF13D8" w:rsidRPr="00102445" w:rsidRDefault="004B2D24" w:rsidP="000865AF">
            <w:pPr>
              <w:spacing w:before="120" w:after="120" w:line="240" w:lineRule="auto"/>
              <w:ind w:right="91"/>
              <w:rPr>
                <w:rFonts w:cs="Times New Roman"/>
                <w:szCs w:val="24"/>
              </w:rPr>
            </w:pPr>
            <w:r w:rsidRPr="00102445">
              <w:t>Carbon Farming Initiative</w:t>
            </w:r>
            <w:r w:rsidRPr="00102445">
              <w:rPr>
                <w:rFonts w:cs="Times New Roman"/>
                <w:szCs w:val="24"/>
              </w:rPr>
              <w:t xml:space="preserve"> </w:t>
            </w:r>
            <w:r w:rsidR="00EF13D8" w:rsidRPr="00102445">
              <w:rPr>
                <w:rFonts w:cs="Times New Roman"/>
                <w:szCs w:val="24"/>
              </w:rPr>
              <w:t xml:space="preserve">Act </w:t>
            </w:r>
          </w:p>
        </w:tc>
        <w:tc>
          <w:tcPr>
            <w:tcW w:w="6469" w:type="dxa"/>
            <w:tcBorders>
              <w:top w:val="single" w:sz="4" w:space="0" w:color="auto"/>
              <w:left w:val="single" w:sz="4" w:space="0" w:color="auto"/>
              <w:bottom w:val="single" w:sz="4" w:space="0" w:color="auto"/>
              <w:right w:val="single" w:sz="4" w:space="0" w:color="auto"/>
            </w:tcBorders>
            <w:hideMark/>
          </w:tcPr>
          <w:p w14:paraId="33785885" w14:textId="77777777" w:rsidR="00EF13D8" w:rsidRPr="00102445" w:rsidRDefault="00EF13D8" w:rsidP="000865AF">
            <w:pPr>
              <w:spacing w:before="120" w:after="120" w:line="240" w:lineRule="auto"/>
              <w:ind w:right="91"/>
              <w:rPr>
                <w:rFonts w:cs="Times New Roman"/>
                <w:i/>
                <w:szCs w:val="24"/>
              </w:rPr>
            </w:pPr>
            <w:r w:rsidRPr="00102445">
              <w:rPr>
                <w:rFonts w:cs="Times New Roman"/>
                <w:i/>
                <w:szCs w:val="24"/>
              </w:rPr>
              <w:t>Carbon Credits (Carbon Farming Initiative) Act 2011</w:t>
            </w:r>
          </w:p>
        </w:tc>
      </w:tr>
      <w:tr w:rsidR="00EF13D8" w:rsidRPr="00102445" w14:paraId="583A5581" w14:textId="77777777" w:rsidTr="000865AF">
        <w:tc>
          <w:tcPr>
            <w:tcW w:w="2547" w:type="dxa"/>
            <w:tcBorders>
              <w:top w:val="single" w:sz="4" w:space="0" w:color="auto"/>
              <w:left w:val="single" w:sz="4" w:space="0" w:color="auto"/>
              <w:bottom w:val="single" w:sz="4" w:space="0" w:color="auto"/>
              <w:right w:val="single" w:sz="4" w:space="0" w:color="auto"/>
            </w:tcBorders>
            <w:hideMark/>
          </w:tcPr>
          <w:p w14:paraId="3EA1EA62"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CO</w:t>
            </w:r>
            <w:r w:rsidRPr="00102445">
              <w:rPr>
                <w:rFonts w:cs="Times New Roman"/>
                <w:szCs w:val="24"/>
                <w:vertAlign w:val="subscript"/>
              </w:rPr>
              <w:t>2</w:t>
            </w:r>
            <w:r w:rsidRPr="00102445">
              <w:rPr>
                <w:rFonts w:cs="Times New Roman"/>
                <w:szCs w:val="24"/>
              </w:rPr>
              <w:t>-e</w:t>
            </w:r>
          </w:p>
        </w:tc>
        <w:tc>
          <w:tcPr>
            <w:tcW w:w="6469" w:type="dxa"/>
            <w:tcBorders>
              <w:top w:val="single" w:sz="4" w:space="0" w:color="auto"/>
              <w:left w:val="single" w:sz="4" w:space="0" w:color="auto"/>
              <w:bottom w:val="single" w:sz="4" w:space="0" w:color="auto"/>
              <w:right w:val="single" w:sz="4" w:space="0" w:color="auto"/>
            </w:tcBorders>
            <w:hideMark/>
          </w:tcPr>
          <w:p w14:paraId="64A9915C"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Abbreviation for carbon dioxide equivalent</w:t>
            </w:r>
          </w:p>
        </w:tc>
      </w:tr>
      <w:tr w:rsidR="00EF13D8" w:rsidRPr="00102445" w14:paraId="501C131A" w14:textId="77777777" w:rsidTr="000865AF">
        <w:tc>
          <w:tcPr>
            <w:tcW w:w="2547" w:type="dxa"/>
            <w:tcBorders>
              <w:top w:val="single" w:sz="4" w:space="0" w:color="auto"/>
              <w:left w:val="single" w:sz="4" w:space="0" w:color="auto"/>
              <w:bottom w:val="single" w:sz="4" w:space="0" w:color="auto"/>
              <w:right w:val="single" w:sz="4" w:space="0" w:color="auto"/>
            </w:tcBorders>
            <w:hideMark/>
          </w:tcPr>
          <w:p w14:paraId="50EF22F5"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Designated large facility</w:t>
            </w:r>
          </w:p>
        </w:tc>
        <w:tc>
          <w:tcPr>
            <w:tcW w:w="6469" w:type="dxa"/>
            <w:tcBorders>
              <w:top w:val="single" w:sz="4" w:space="0" w:color="auto"/>
              <w:left w:val="single" w:sz="4" w:space="0" w:color="auto"/>
              <w:bottom w:val="single" w:sz="4" w:space="0" w:color="auto"/>
              <w:right w:val="single" w:sz="4" w:space="0" w:color="auto"/>
            </w:tcBorders>
            <w:hideMark/>
          </w:tcPr>
          <w:p w14:paraId="011CFCD4"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A facility covered by the Safeguard Mechanism, as defined in section 22XJ of the NGER Act</w:t>
            </w:r>
          </w:p>
        </w:tc>
      </w:tr>
      <w:tr w:rsidR="00345817" w:rsidRPr="00102445" w14:paraId="5245B236" w14:textId="77777777" w:rsidTr="000865AF">
        <w:tc>
          <w:tcPr>
            <w:tcW w:w="2547" w:type="dxa"/>
            <w:tcBorders>
              <w:top w:val="single" w:sz="4" w:space="0" w:color="auto"/>
              <w:left w:val="single" w:sz="4" w:space="0" w:color="auto"/>
              <w:bottom w:val="single" w:sz="4" w:space="0" w:color="auto"/>
              <w:right w:val="single" w:sz="4" w:space="0" w:color="auto"/>
            </w:tcBorders>
          </w:tcPr>
          <w:p w14:paraId="34FBC371" w14:textId="6BCBEA38" w:rsidR="00345817" w:rsidRPr="00102445" w:rsidRDefault="00F715A4" w:rsidP="000865AF">
            <w:pPr>
              <w:spacing w:before="120" w:after="120" w:line="240" w:lineRule="auto"/>
              <w:ind w:right="91"/>
              <w:rPr>
                <w:rFonts w:cs="Times New Roman"/>
                <w:szCs w:val="24"/>
              </w:rPr>
            </w:pPr>
            <w:r w:rsidRPr="00102445">
              <w:rPr>
                <w:rFonts w:cs="Times New Roman"/>
                <w:szCs w:val="24"/>
              </w:rPr>
              <w:t>EBIT</w:t>
            </w:r>
          </w:p>
        </w:tc>
        <w:tc>
          <w:tcPr>
            <w:tcW w:w="6469" w:type="dxa"/>
            <w:tcBorders>
              <w:top w:val="single" w:sz="4" w:space="0" w:color="auto"/>
              <w:left w:val="single" w:sz="4" w:space="0" w:color="auto"/>
              <w:bottom w:val="single" w:sz="4" w:space="0" w:color="auto"/>
              <w:right w:val="single" w:sz="4" w:space="0" w:color="auto"/>
            </w:tcBorders>
          </w:tcPr>
          <w:p w14:paraId="398584D5" w14:textId="10F713C7" w:rsidR="00345817" w:rsidRPr="00102445" w:rsidRDefault="00345817" w:rsidP="000865AF">
            <w:pPr>
              <w:spacing w:before="120" w:after="120" w:line="240" w:lineRule="auto"/>
              <w:ind w:right="91"/>
              <w:rPr>
                <w:rFonts w:cs="Times New Roman"/>
                <w:szCs w:val="24"/>
              </w:rPr>
            </w:pPr>
            <w:r w:rsidRPr="00102445">
              <w:rPr>
                <w:lang w:eastAsia="en-AU"/>
              </w:rPr>
              <w:t>Earnings Before Interest and Taxes</w:t>
            </w:r>
          </w:p>
        </w:tc>
      </w:tr>
      <w:tr w:rsidR="00EF13D8" w:rsidRPr="00102445" w14:paraId="6AEEA5D0" w14:textId="77777777" w:rsidTr="000865AF">
        <w:tc>
          <w:tcPr>
            <w:tcW w:w="2547" w:type="dxa"/>
            <w:tcBorders>
              <w:top w:val="single" w:sz="4" w:space="0" w:color="auto"/>
              <w:left w:val="single" w:sz="4" w:space="0" w:color="auto"/>
              <w:bottom w:val="single" w:sz="4" w:space="0" w:color="auto"/>
              <w:right w:val="single" w:sz="4" w:space="0" w:color="auto"/>
            </w:tcBorders>
            <w:hideMark/>
          </w:tcPr>
          <w:p w14:paraId="6015AE3A"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lastRenderedPageBreak/>
              <w:t>Facility</w:t>
            </w:r>
          </w:p>
        </w:tc>
        <w:tc>
          <w:tcPr>
            <w:tcW w:w="6469" w:type="dxa"/>
            <w:tcBorders>
              <w:top w:val="single" w:sz="4" w:space="0" w:color="auto"/>
              <w:left w:val="single" w:sz="4" w:space="0" w:color="auto"/>
              <w:bottom w:val="single" w:sz="4" w:space="0" w:color="auto"/>
              <w:right w:val="single" w:sz="4" w:space="0" w:color="auto"/>
            </w:tcBorders>
            <w:hideMark/>
          </w:tcPr>
          <w:p w14:paraId="3AC9CDF3"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An activity or a series of activities that involve greenhouse gas emissions, the production of energy or the consumption of energy, as defined in section 9 of the NGER Act</w:t>
            </w:r>
          </w:p>
        </w:tc>
      </w:tr>
      <w:tr w:rsidR="00EF13D8" w:rsidRPr="00102445" w14:paraId="369DCDFF" w14:textId="77777777" w:rsidTr="000865AF">
        <w:tc>
          <w:tcPr>
            <w:tcW w:w="2547" w:type="dxa"/>
            <w:tcBorders>
              <w:top w:val="single" w:sz="4" w:space="0" w:color="auto"/>
              <w:left w:val="single" w:sz="4" w:space="0" w:color="auto"/>
              <w:bottom w:val="single" w:sz="4" w:space="0" w:color="auto"/>
              <w:right w:val="single" w:sz="4" w:space="0" w:color="auto"/>
            </w:tcBorders>
            <w:hideMark/>
          </w:tcPr>
          <w:p w14:paraId="605C01CA"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ICCPR</w:t>
            </w:r>
          </w:p>
        </w:tc>
        <w:tc>
          <w:tcPr>
            <w:tcW w:w="6469" w:type="dxa"/>
            <w:tcBorders>
              <w:top w:val="single" w:sz="4" w:space="0" w:color="auto"/>
              <w:left w:val="single" w:sz="4" w:space="0" w:color="auto"/>
              <w:bottom w:val="single" w:sz="4" w:space="0" w:color="auto"/>
              <w:right w:val="single" w:sz="4" w:space="0" w:color="auto"/>
            </w:tcBorders>
            <w:hideMark/>
          </w:tcPr>
          <w:p w14:paraId="44BD8B82" w14:textId="77777777" w:rsidR="00EF13D8" w:rsidRPr="00102445" w:rsidRDefault="00EF13D8" w:rsidP="000865AF">
            <w:pPr>
              <w:spacing w:before="120" w:after="120" w:line="240" w:lineRule="auto"/>
              <w:ind w:right="91"/>
              <w:rPr>
                <w:rFonts w:cs="Times New Roman"/>
                <w:i/>
                <w:szCs w:val="24"/>
              </w:rPr>
            </w:pPr>
            <w:r w:rsidRPr="00102445">
              <w:rPr>
                <w:rFonts w:cs="Times New Roman"/>
                <w:szCs w:val="24"/>
              </w:rPr>
              <w:t>International Covenant on Civil and Political Rights</w:t>
            </w:r>
          </w:p>
        </w:tc>
      </w:tr>
      <w:tr w:rsidR="00EF13D8" w:rsidRPr="00102445" w14:paraId="3FCD4782" w14:textId="77777777" w:rsidTr="000865AF">
        <w:tc>
          <w:tcPr>
            <w:tcW w:w="2547" w:type="dxa"/>
            <w:tcBorders>
              <w:top w:val="single" w:sz="4" w:space="0" w:color="auto"/>
              <w:left w:val="single" w:sz="4" w:space="0" w:color="auto"/>
              <w:bottom w:val="single" w:sz="4" w:space="0" w:color="auto"/>
              <w:right w:val="single" w:sz="4" w:space="0" w:color="auto"/>
            </w:tcBorders>
            <w:hideMark/>
          </w:tcPr>
          <w:p w14:paraId="5EF48C52"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NDC</w:t>
            </w:r>
          </w:p>
        </w:tc>
        <w:tc>
          <w:tcPr>
            <w:tcW w:w="6469" w:type="dxa"/>
            <w:tcBorders>
              <w:top w:val="single" w:sz="4" w:space="0" w:color="auto"/>
              <w:left w:val="single" w:sz="4" w:space="0" w:color="auto"/>
              <w:bottom w:val="single" w:sz="4" w:space="0" w:color="auto"/>
              <w:right w:val="single" w:sz="4" w:space="0" w:color="auto"/>
            </w:tcBorders>
            <w:hideMark/>
          </w:tcPr>
          <w:p w14:paraId="66B81A13" w14:textId="77777777" w:rsidR="00EF13D8" w:rsidRPr="00102445" w:rsidRDefault="00EF13D8" w:rsidP="000865AF">
            <w:pPr>
              <w:spacing w:before="120" w:after="120" w:line="240" w:lineRule="auto"/>
              <w:ind w:right="91"/>
              <w:rPr>
                <w:rFonts w:cs="Times New Roman"/>
                <w:i/>
                <w:szCs w:val="24"/>
              </w:rPr>
            </w:pPr>
            <w:r w:rsidRPr="00102445">
              <w:rPr>
                <w:rFonts w:cs="Times New Roman"/>
                <w:szCs w:val="24"/>
              </w:rPr>
              <w:t>Nationally Determined Contribution</w:t>
            </w:r>
          </w:p>
        </w:tc>
      </w:tr>
      <w:tr w:rsidR="00EF13D8" w:rsidRPr="00102445" w14:paraId="04CEC166" w14:textId="77777777" w:rsidTr="000865AF">
        <w:tc>
          <w:tcPr>
            <w:tcW w:w="2547" w:type="dxa"/>
            <w:tcBorders>
              <w:top w:val="single" w:sz="4" w:space="0" w:color="auto"/>
              <w:left w:val="single" w:sz="4" w:space="0" w:color="auto"/>
              <w:bottom w:val="single" w:sz="4" w:space="0" w:color="auto"/>
              <w:right w:val="single" w:sz="4" w:space="0" w:color="auto"/>
            </w:tcBorders>
            <w:hideMark/>
          </w:tcPr>
          <w:p w14:paraId="413D22B0"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 xml:space="preserve">NGER Act </w:t>
            </w:r>
          </w:p>
        </w:tc>
        <w:tc>
          <w:tcPr>
            <w:tcW w:w="6469" w:type="dxa"/>
            <w:tcBorders>
              <w:top w:val="single" w:sz="4" w:space="0" w:color="auto"/>
              <w:left w:val="single" w:sz="4" w:space="0" w:color="auto"/>
              <w:bottom w:val="single" w:sz="4" w:space="0" w:color="auto"/>
              <w:right w:val="single" w:sz="4" w:space="0" w:color="auto"/>
            </w:tcBorders>
            <w:hideMark/>
          </w:tcPr>
          <w:p w14:paraId="61689952" w14:textId="77777777" w:rsidR="00EF13D8" w:rsidRPr="00102445" w:rsidRDefault="00EF13D8" w:rsidP="000865AF">
            <w:pPr>
              <w:spacing w:before="120" w:after="120" w:line="240" w:lineRule="auto"/>
              <w:ind w:right="91"/>
              <w:rPr>
                <w:rFonts w:cs="Times New Roman"/>
                <w:szCs w:val="24"/>
              </w:rPr>
            </w:pPr>
            <w:r w:rsidRPr="00102445">
              <w:rPr>
                <w:rFonts w:cs="Times New Roman"/>
                <w:i/>
                <w:szCs w:val="24"/>
              </w:rPr>
              <w:t>National Greenhouse and Energy Reporting Act 2007</w:t>
            </w:r>
            <w:r w:rsidRPr="00102445">
              <w:rPr>
                <w:rFonts w:cs="Times New Roman"/>
                <w:szCs w:val="24"/>
              </w:rPr>
              <w:t xml:space="preserve"> </w:t>
            </w:r>
          </w:p>
        </w:tc>
      </w:tr>
      <w:tr w:rsidR="00EF13D8" w:rsidRPr="00102445" w14:paraId="29084678" w14:textId="77777777" w:rsidTr="000865AF">
        <w:tc>
          <w:tcPr>
            <w:tcW w:w="2547" w:type="dxa"/>
            <w:tcBorders>
              <w:top w:val="single" w:sz="4" w:space="0" w:color="auto"/>
              <w:left w:val="single" w:sz="4" w:space="0" w:color="auto"/>
              <w:bottom w:val="single" w:sz="4" w:space="0" w:color="auto"/>
              <w:right w:val="single" w:sz="4" w:space="0" w:color="auto"/>
            </w:tcBorders>
            <w:hideMark/>
          </w:tcPr>
          <w:p w14:paraId="0ADE1B08"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NGER scheme</w:t>
            </w:r>
          </w:p>
        </w:tc>
        <w:tc>
          <w:tcPr>
            <w:tcW w:w="6469" w:type="dxa"/>
            <w:tcBorders>
              <w:top w:val="single" w:sz="4" w:space="0" w:color="auto"/>
              <w:left w:val="single" w:sz="4" w:space="0" w:color="auto"/>
              <w:bottom w:val="single" w:sz="4" w:space="0" w:color="auto"/>
              <w:right w:val="single" w:sz="4" w:space="0" w:color="auto"/>
            </w:tcBorders>
            <w:hideMark/>
          </w:tcPr>
          <w:p w14:paraId="05BFC57F"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A reporting scheme for corporate greenhouse gas emissions and energy production and consumption established under the</w:t>
            </w:r>
            <w:r w:rsidRPr="00102445">
              <w:rPr>
                <w:rFonts w:cs="Times New Roman"/>
                <w:i/>
                <w:szCs w:val="24"/>
              </w:rPr>
              <w:t xml:space="preserve"> </w:t>
            </w:r>
            <w:r w:rsidRPr="00102445">
              <w:rPr>
                <w:rFonts w:cs="Times New Roman"/>
                <w:szCs w:val="24"/>
              </w:rPr>
              <w:t xml:space="preserve">NGER Act </w:t>
            </w:r>
          </w:p>
        </w:tc>
      </w:tr>
      <w:tr w:rsidR="00EF13D8" w:rsidRPr="00102445" w14:paraId="1226B20B" w14:textId="77777777" w:rsidTr="000865AF">
        <w:tc>
          <w:tcPr>
            <w:tcW w:w="2547" w:type="dxa"/>
            <w:tcBorders>
              <w:top w:val="single" w:sz="4" w:space="0" w:color="auto"/>
              <w:left w:val="single" w:sz="4" w:space="0" w:color="auto"/>
              <w:bottom w:val="single" w:sz="4" w:space="0" w:color="auto"/>
              <w:right w:val="single" w:sz="4" w:space="0" w:color="auto"/>
            </w:tcBorders>
            <w:hideMark/>
          </w:tcPr>
          <w:p w14:paraId="3D843F50" w14:textId="77777777" w:rsidR="00EF13D8" w:rsidRPr="00102445" w:rsidRDefault="00EF13D8" w:rsidP="000865AF">
            <w:pPr>
              <w:spacing w:before="120" w:after="120" w:line="240" w:lineRule="auto"/>
              <w:ind w:right="91"/>
              <w:rPr>
                <w:rFonts w:cs="Times New Roman"/>
                <w:szCs w:val="24"/>
                <w:lang w:val="en-US"/>
              </w:rPr>
            </w:pPr>
            <w:r w:rsidRPr="00102445">
              <w:rPr>
                <w:rFonts w:cs="Times New Roman"/>
                <w:szCs w:val="24"/>
                <w:lang w:val="en-US"/>
              </w:rPr>
              <w:t>Paris Agreement</w:t>
            </w:r>
          </w:p>
        </w:tc>
        <w:tc>
          <w:tcPr>
            <w:tcW w:w="6469" w:type="dxa"/>
            <w:tcBorders>
              <w:top w:val="single" w:sz="4" w:space="0" w:color="auto"/>
              <w:left w:val="single" w:sz="4" w:space="0" w:color="auto"/>
              <w:bottom w:val="single" w:sz="4" w:space="0" w:color="auto"/>
              <w:right w:val="single" w:sz="4" w:space="0" w:color="auto"/>
            </w:tcBorders>
            <w:hideMark/>
          </w:tcPr>
          <w:p w14:paraId="157DB21D" w14:textId="77777777" w:rsidR="00EF13D8" w:rsidRPr="00102445" w:rsidRDefault="00EF13D8" w:rsidP="000865AF">
            <w:pPr>
              <w:spacing w:before="120" w:after="120" w:line="240" w:lineRule="auto"/>
              <w:ind w:right="91"/>
              <w:rPr>
                <w:rFonts w:cs="Times New Roman"/>
                <w:szCs w:val="24"/>
                <w:lang w:val="en-US"/>
              </w:rPr>
            </w:pPr>
            <w:r w:rsidRPr="00102445">
              <w:rPr>
                <w:rFonts w:cs="Times New Roman"/>
                <w:szCs w:val="24"/>
                <w:lang w:val="en-US"/>
              </w:rPr>
              <w:t>The Paris Agreement, made at Paris on 12 December 2015, as amended and in force for Australia from time to time. The Paris Agreement may be found in Australian Treaty Series 2016 No. 24 ([2016] ATS 24)</w:t>
            </w:r>
          </w:p>
        </w:tc>
      </w:tr>
      <w:tr w:rsidR="00EF13D8" w:rsidRPr="00102445" w14:paraId="5DC0765A" w14:textId="77777777" w:rsidTr="000865AF">
        <w:tc>
          <w:tcPr>
            <w:tcW w:w="2547" w:type="dxa"/>
            <w:tcBorders>
              <w:top w:val="single" w:sz="4" w:space="0" w:color="auto"/>
              <w:left w:val="single" w:sz="4" w:space="0" w:color="auto"/>
              <w:bottom w:val="single" w:sz="4" w:space="0" w:color="auto"/>
              <w:right w:val="single" w:sz="4" w:space="0" w:color="auto"/>
            </w:tcBorders>
            <w:hideMark/>
          </w:tcPr>
          <w:p w14:paraId="2FBD8597" w14:textId="77777777" w:rsidR="00EF13D8" w:rsidRPr="00102445" w:rsidRDefault="00EF13D8" w:rsidP="000865AF">
            <w:pPr>
              <w:spacing w:before="240" w:line="240" w:lineRule="auto"/>
              <w:ind w:right="91"/>
              <w:rPr>
                <w:rFonts w:cs="Times New Roman"/>
                <w:szCs w:val="24"/>
              </w:rPr>
            </w:pPr>
            <w:r w:rsidRPr="00102445">
              <w:rPr>
                <w:rFonts w:cs="Times New Roman"/>
                <w:szCs w:val="24"/>
              </w:rPr>
              <w:t xml:space="preserve">Registry </w:t>
            </w:r>
          </w:p>
        </w:tc>
        <w:tc>
          <w:tcPr>
            <w:tcW w:w="6469" w:type="dxa"/>
            <w:tcBorders>
              <w:top w:val="single" w:sz="4" w:space="0" w:color="auto"/>
              <w:left w:val="single" w:sz="4" w:space="0" w:color="auto"/>
              <w:bottom w:val="single" w:sz="4" w:space="0" w:color="auto"/>
              <w:right w:val="single" w:sz="4" w:space="0" w:color="auto"/>
            </w:tcBorders>
            <w:hideMark/>
          </w:tcPr>
          <w:p w14:paraId="14BACFBE"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Australian National Registry of Emissions Units established by the ANREU Act</w:t>
            </w:r>
          </w:p>
        </w:tc>
      </w:tr>
      <w:tr w:rsidR="00EF13D8" w:rsidRPr="00102445" w14:paraId="19F6A6F2" w14:textId="77777777" w:rsidTr="000865AF">
        <w:tc>
          <w:tcPr>
            <w:tcW w:w="2547" w:type="dxa"/>
            <w:tcBorders>
              <w:top w:val="single" w:sz="4" w:space="0" w:color="auto"/>
              <w:left w:val="single" w:sz="4" w:space="0" w:color="auto"/>
              <w:bottom w:val="single" w:sz="4" w:space="0" w:color="auto"/>
              <w:right w:val="single" w:sz="4" w:space="0" w:color="auto"/>
            </w:tcBorders>
            <w:hideMark/>
          </w:tcPr>
          <w:p w14:paraId="3B893BBA"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 xml:space="preserve">Regulator </w:t>
            </w:r>
          </w:p>
        </w:tc>
        <w:tc>
          <w:tcPr>
            <w:tcW w:w="6469" w:type="dxa"/>
            <w:tcBorders>
              <w:top w:val="single" w:sz="4" w:space="0" w:color="auto"/>
              <w:left w:val="single" w:sz="4" w:space="0" w:color="auto"/>
              <w:bottom w:val="single" w:sz="4" w:space="0" w:color="auto"/>
              <w:right w:val="single" w:sz="4" w:space="0" w:color="auto"/>
            </w:tcBorders>
            <w:hideMark/>
          </w:tcPr>
          <w:p w14:paraId="1AC53107"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 xml:space="preserve">Clean Energy Regulator. The body responsible for administering the Renewable Energy Target, the National Greenhouse and Energy Reporting Scheme, the Carbon Farming Initiative and the Registry. </w:t>
            </w:r>
          </w:p>
        </w:tc>
      </w:tr>
      <w:tr w:rsidR="00EF13D8" w:rsidRPr="00102445" w14:paraId="626D4ADA" w14:textId="77777777" w:rsidTr="000865AF">
        <w:trPr>
          <w:cantSplit/>
        </w:trPr>
        <w:tc>
          <w:tcPr>
            <w:tcW w:w="2547" w:type="dxa"/>
            <w:tcBorders>
              <w:top w:val="single" w:sz="4" w:space="0" w:color="auto"/>
              <w:left w:val="single" w:sz="4" w:space="0" w:color="auto"/>
              <w:bottom w:val="single" w:sz="4" w:space="0" w:color="auto"/>
              <w:right w:val="single" w:sz="4" w:space="0" w:color="auto"/>
            </w:tcBorders>
            <w:hideMark/>
          </w:tcPr>
          <w:p w14:paraId="266F5DBE"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Safeguard Mechanism</w:t>
            </w:r>
          </w:p>
        </w:tc>
        <w:tc>
          <w:tcPr>
            <w:tcW w:w="6469" w:type="dxa"/>
            <w:tcBorders>
              <w:top w:val="single" w:sz="4" w:space="0" w:color="auto"/>
              <w:left w:val="single" w:sz="4" w:space="0" w:color="auto"/>
              <w:bottom w:val="single" w:sz="4" w:space="0" w:color="auto"/>
              <w:right w:val="single" w:sz="4" w:space="0" w:color="auto"/>
            </w:tcBorders>
            <w:hideMark/>
          </w:tcPr>
          <w:p w14:paraId="196C14F9"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A mechanism to ensure the net covered emissions of greenhouse gases from the operation of a designated large facility do not exceed the baseline applicable to the facility and ensure that aggregate net covered emissions from the operation of designated large facilities decline. The mechanism is established under Part 3H of the NGER Act.</w:t>
            </w:r>
          </w:p>
        </w:tc>
      </w:tr>
      <w:tr w:rsidR="00EF13D8" w:rsidRPr="00102445" w14:paraId="211F932E" w14:textId="77777777" w:rsidTr="000865AF">
        <w:trPr>
          <w:cantSplit/>
        </w:trPr>
        <w:tc>
          <w:tcPr>
            <w:tcW w:w="2547" w:type="dxa"/>
            <w:tcBorders>
              <w:top w:val="single" w:sz="4" w:space="0" w:color="auto"/>
              <w:left w:val="single" w:sz="4" w:space="0" w:color="auto"/>
              <w:bottom w:val="single" w:sz="4" w:space="0" w:color="auto"/>
              <w:right w:val="single" w:sz="4" w:space="0" w:color="auto"/>
            </w:tcBorders>
          </w:tcPr>
          <w:p w14:paraId="15DD8875" w14:textId="77777777" w:rsidR="00EF13D8" w:rsidRPr="00102445" w:rsidRDefault="00EF13D8" w:rsidP="000865AF">
            <w:pPr>
              <w:spacing w:before="120" w:after="120"/>
              <w:ind w:right="91"/>
              <w:rPr>
                <w:rFonts w:cs="Times New Roman"/>
                <w:szCs w:val="24"/>
              </w:rPr>
            </w:pPr>
            <w:r w:rsidRPr="00102445">
              <w:rPr>
                <w:rFonts w:cs="Times New Roman"/>
                <w:szCs w:val="24"/>
              </w:rPr>
              <w:t>Safeguard Mechanism Act</w:t>
            </w:r>
          </w:p>
        </w:tc>
        <w:tc>
          <w:tcPr>
            <w:tcW w:w="6469" w:type="dxa"/>
            <w:tcBorders>
              <w:top w:val="single" w:sz="4" w:space="0" w:color="auto"/>
              <w:left w:val="single" w:sz="4" w:space="0" w:color="auto"/>
              <w:bottom w:val="single" w:sz="4" w:space="0" w:color="auto"/>
              <w:right w:val="single" w:sz="4" w:space="0" w:color="auto"/>
            </w:tcBorders>
          </w:tcPr>
          <w:p w14:paraId="6EC89C42" w14:textId="77777777" w:rsidR="00EF13D8" w:rsidRPr="00102445" w:rsidRDefault="00EF13D8" w:rsidP="000865AF">
            <w:pPr>
              <w:spacing w:before="120" w:after="120"/>
              <w:ind w:right="91"/>
              <w:rPr>
                <w:rFonts w:cs="Times New Roman"/>
                <w:i/>
                <w:iCs/>
                <w:szCs w:val="24"/>
              </w:rPr>
            </w:pPr>
            <w:r w:rsidRPr="00102445">
              <w:rPr>
                <w:rFonts w:cs="Times New Roman"/>
                <w:i/>
                <w:iCs/>
                <w:szCs w:val="24"/>
              </w:rPr>
              <w:t>Safeguard Mechanism (Crediting) Amendment Act 2023</w:t>
            </w:r>
          </w:p>
        </w:tc>
      </w:tr>
      <w:tr w:rsidR="00EF13D8" w:rsidRPr="00102445" w14:paraId="148BEE81" w14:textId="77777777" w:rsidTr="000865AF">
        <w:tc>
          <w:tcPr>
            <w:tcW w:w="2547" w:type="dxa"/>
            <w:tcBorders>
              <w:top w:val="single" w:sz="4" w:space="0" w:color="auto"/>
              <w:left w:val="single" w:sz="4" w:space="0" w:color="auto"/>
              <w:bottom w:val="single" w:sz="4" w:space="0" w:color="auto"/>
              <w:right w:val="single" w:sz="4" w:space="0" w:color="auto"/>
            </w:tcBorders>
            <w:hideMark/>
          </w:tcPr>
          <w:p w14:paraId="535E0149" w14:textId="15CD0D01" w:rsidR="00EF13D8" w:rsidRPr="00102445" w:rsidRDefault="00EF13D8" w:rsidP="000865AF">
            <w:pPr>
              <w:spacing w:before="120" w:after="120" w:line="240" w:lineRule="auto"/>
              <w:ind w:right="91"/>
              <w:rPr>
                <w:rFonts w:cs="Times New Roman"/>
                <w:szCs w:val="24"/>
              </w:rPr>
            </w:pPr>
            <w:r w:rsidRPr="00102445">
              <w:rPr>
                <w:rFonts w:cs="Times New Roman"/>
                <w:szCs w:val="24"/>
              </w:rPr>
              <w:t xml:space="preserve">Safeguard </w:t>
            </w:r>
            <w:r w:rsidR="00400794" w:rsidRPr="00102445">
              <w:rPr>
                <w:rFonts w:cs="Times New Roman"/>
                <w:szCs w:val="24"/>
              </w:rPr>
              <w:t>R</w:t>
            </w:r>
            <w:r w:rsidRPr="00102445">
              <w:rPr>
                <w:rFonts w:cs="Times New Roman"/>
                <w:szCs w:val="24"/>
              </w:rPr>
              <w:t>ules</w:t>
            </w:r>
          </w:p>
        </w:tc>
        <w:tc>
          <w:tcPr>
            <w:tcW w:w="6469" w:type="dxa"/>
            <w:tcBorders>
              <w:top w:val="single" w:sz="4" w:space="0" w:color="auto"/>
              <w:left w:val="single" w:sz="4" w:space="0" w:color="auto"/>
              <w:bottom w:val="single" w:sz="4" w:space="0" w:color="auto"/>
              <w:right w:val="single" w:sz="4" w:space="0" w:color="auto"/>
            </w:tcBorders>
            <w:hideMark/>
          </w:tcPr>
          <w:p w14:paraId="5864227D"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A legislative instrument made under section 22XS of the NGER Act</w:t>
            </w:r>
          </w:p>
        </w:tc>
      </w:tr>
      <w:tr w:rsidR="00EF13D8" w:rsidRPr="00102445" w14:paraId="2097C5D3" w14:textId="77777777" w:rsidTr="000865AF">
        <w:tc>
          <w:tcPr>
            <w:tcW w:w="2547" w:type="dxa"/>
            <w:tcBorders>
              <w:top w:val="single" w:sz="4" w:space="0" w:color="auto"/>
              <w:left w:val="single" w:sz="4" w:space="0" w:color="auto"/>
              <w:bottom w:val="single" w:sz="4" w:space="0" w:color="auto"/>
              <w:right w:val="single" w:sz="4" w:space="0" w:color="auto"/>
            </w:tcBorders>
            <w:hideMark/>
          </w:tcPr>
          <w:p w14:paraId="57497D37"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 xml:space="preserve">Scope 1 emissions </w:t>
            </w:r>
          </w:p>
        </w:tc>
        <w:tc>
          <w:tcPr>
            <w:tcW w:w="6469" w:type="dxa"/>
            <w:tcBorders>
              <w:top w:val="single" w:sz="4" w:space="0" w:color="auto"/>
              <w:left w:val="single" w:sz="4" w:space="0" w:color="auto"/>
              <w:bottom w:val="single" w:sz="4" w:space="0" w:color="auto"/>
              <w:right w:val="single" w:sz="4" w:space="0" w:color="auto"/>
            </w:tcBorders>
            <w:hideMark/>
          </w:tcPr>
          <w:p w14:paraId="39558338" w14:textId="33A48692" w:rsidR="00EF13D8" w:rsidRPr="00102445" w:rsidRDefault="00EF13D8" w:rsidP="000865AF">
            <w:pPr>
              <w:spacing w:before="120" w:after="120" w:line="240" w:lineRule="auto"/>
              <w:ind w:right="91"/>
              <w:rPr>
                <w:rFonts w:cs="Times New Roman"/>
                <w:szCs w:val="24"/>
              </w:rPr>
            </w:pPr>
            <w:r w:rsidRPr="00102445">
              <w:rPr>
                <w:rFonts w:cs="Times New Roman"/>
                <w:szCs w:val="24"/>
              </w:rPr>
              <w:t>Emissions released to the atmosphere as a direct result of an activity, or series of activities at a facility level (sometimes referred to as direct emissions)</w:t>
            </w:r>
          </w:p>
        </w:tc>
      </w:tr>
      <w:tr w:rsidR="00EF13D8" w:rsidRPr="00102445" w14:paraId="5D51E3F3" w14:textId="77777777" w:rsidTr="000865AF">
        <w:tc>
          <w:tcPr>
            <w:tcW w:w="2547" w:type="dxa"/>
            <w:tcBorders>
              <w:top w:val="single" w:sz="4" w:space="0" w:color="auto"/>
              <w:left w:val="single" w:sz="4" w:space="0" w:color="auto"/>
              <w:bottom w:val="single" w:sz="4" w:space="0" w:color="auto"/>
              <w:right w:val="single" w:sz="4" w:space="0" w:color="auto"/>
            </w:tcBorders>
            <w:hideMark/>
          </w:tcPr>
          <w:p w14:paraId="798CF841" w14:textId="77777777" w:rsidR="00EF13D8" w:rsidRPr="00102445" w:rsidRDefault="00EF13D8" w:rsidP="000865AF">
            <w:pPr>
              <w:spacing w:before="120" w:after="120" w:line="240" w:lineRule="auto"/>
              <w:ind w:right="91"/>
              <w:rPr>
                <w:rFonts w:cs="Times New Roman"/>
                <w:szCs w:val="24"/>
              </w:rPr>
            </w:pPr>
            <w:r w:rsidRPr="00102445">
              <w:rPr>
                <w:rFonts w:cs="Times New Roman"/>
                <w:szCs w:val="24"/>
              </w:rPr>
              <w:t xml:space="preserve">SMCs </w:t>
            </w:r>
          </w:p>
        </w:tc>
        <w:tc>
          <w:tcPr>
            <w:tcW w:w="6469" w:type="dxa"/>
            <w:tcBorders>
              <w:top w:val="single" w:sz="4" w:space="0" w:color="auto"/>
              <w:left w:val="single" w:sz="4" w:space="0" w:color="auto"/>
              <w:bottom w:val="single" w:sz="4" w:space="0" w:color="auto"/>
              <w:right w:val="single" w:sz="4" w:space="0" w:color="auto"/>
            </w:tcBorders>
            <w:hideMark/>
          </w:tcPr>
          <w:p w14:paraId="301CD631" w14:textId="36B4A705" w:rsidR="00EF13D8" w:rsidRPr="00102445" w:rsidRDefault="00EF13D8" w:rsidP="000865AF">
            <w:pPr>
              <w:spacing w:before="120" w:after="120" w:line="240" w:lineRule="auto"/>
              <w:ind w:right="91"/>
              <w:rPr>
                <w:rFonts w:cs="Times New Roman"/>
                <w:szCs w:val="24"/>
              </w:rPr>
            </w:pPr>
            <w:r w:rsidRPr="00102445">
              <w:rPr>
                <w:rFonts w:cs="Times New Roman"/>
                <w:szCs w:val="24"/>
              </w:rPr>
              <w:t xml:space="preserve">An abbreviation of safeguard mechanism credit units, which are established by the </w:t>
            </w:r>
            <w:r w:rsidR="00C33E7D" w:rsidRPr="00102445">
              <w:rPr>
                <w:rFonts w:cs="Times New Roman"/>
                <w:szCs w:val="24"/>
              </w:rPr>
              <w:t>Safeguard Mechanism Act</w:t>
            </w:r>
          </w:p>
        </w:tc>
      </w:tr>
    </w:tbl>
    <w:p w14:paraId="71A43BF9" w14:textId="77777777" w:rsidR="005632C1" w:rsidRPr="00102445" w:rsidRDefault="005632C1">
      <w:pPr>
        <w:spacing w:before="0" w:after="160" w:line="259" w:lineRule="auto"/>
        <w:rPr>
          <w:rFonts w:eastAsiaTheme="majorEastAsia" w:cstheme="majorBidi"/>
          <w:b/>
          <w:color w:val="000000" w:themeColor="text1"/>
          <w:szCs w:val="26"/>
        </w:rPr>
      </w:pPr>
      <w:r w:rsidRPr="00102445">
        <w:br w:type="page"/>
      </w:r>
    </w:p>
    <w:p w14:paraId="33AB2D38" w14:textId="36A4F6FE" w:rsidR="00455C2A" w:rsidRPr="00102445" w:rsidRDefault="00521922" w:rsidP="00521922">
      <w:pPr>
        <w:pStyle w:val="Heading2"/>
      </w:pPr>
      <w:r w:rsidRPr="00102445">
        <w:lastRenderedPageBreak/>
        <w:t>Legislative Authority</w:t>
      </w:r>
    </w:p>
    <w:bookmarkEnd w:id="4"/>
    <w:bookmarkEnd w:id="5"/>
    <w:p w14:paraId="1992CD90" w14:textId="4D31498F" w:rsidR="00912E8C" w:rsidRPr="00102445" w:rsidRDefault="00D918D7" w:rsidP="00521922">
      <w:r w:rsidRPr="00102445">
        <w:t xml:space="preserve">The legislative framework of the Safeguard Mechanism is set out in Part 3H of the </w:t>
      </w:r>
      <w:bookmarkStart w:id="6" w:name="_Hlk132193623"/>
      <w:r w:rsidRPr="00102445">
        <w:rPr>
          <w:i/>
        </w:rPr>
        <w:t>National Greenhouse and Energy Reporting Act 2007</w:t>
      </w:r>
      <w:r w:rsidRPr="00102445">
        <w:t xml:space="preserve"> (the NGER Act). </w:t>
      </w:r>
      <w:bookmarkEnd w:id="6"/>
      <w:r w:rsidRPr="00102445">
        <w:t>Much of the detail of the Safeguard Mechanism is set out in legislative rules</w:t>
      </w:r>
      <w:r w:rsidR="00A95D50" w:rsidRPr="00102445">
        <w:t>, primarily</w:t>
      </w:r>
      <w:r w:rsidRPr="00102445">
        <w:t xml:space="preserve"> the </w:t>
      </w:r>
      <w:r w:rsidRPr="00102445">
        <w:rPr>
          <w:i/>
          <w:iCs/>
        </w:rPr>
        <w:t>National Greenhouse and Energy Reporting (Safeguard Mechanism) Rule 2015</w:t>
      </w:r>
      <w:r w:rsidRPr="00102445">
        <w:t xml:space="preserve"> (</w:t>
      </w:r>
      <w:r w:rsidR="00605590" w:rsidRPr="00102445">
        <w:t xml:space="preserve">the </w:t>
      </w:r>
      <w:r w:rsidR="00337E60" w:rsidRPr="00102445">
        <w:t>Safeguard</w:t>
      </w:r>
      <w:r w:rsidRPr="00102445">
        <w:t xml:space="preserve"> Rule</w:t>
      </w:r>
      <w:r w:rsidR="00882364" w:rsidRPr="00102445">
        <w:t>s</w:t>
      </w:r>
      <w:r w:rsidRPr="00102445">
        <w:t>).</w:t>
      </w:r>
      <w:r w:rsidR="003B42CE" w:rsidRPr="00102445">
        <w:t xml:space="preserve"> </w:t>
      </w:r>
    </w:p>
    <w:p w14:paraId="0B25F1E7" w14:textId="4D98C45A" w:rsidR="00CE3CCC" w:rsidRPr="00102445" w:rsidRDefault="008D04BE" w:rsidP="00521922">
      <w:r w:rsidRPr="00102445">
        <w:t xml:space="preserve">The </w:t>
      </w:r>
      <w:r w:rsidR="003B42CE" w:rsidRPr="00102445" w:rsidDel="008D04BE">
        <w:t>Safeguard</w:t>
      </w:r>
      <w:r w:rsidRPr="00102445">
        <w:t xml:space="preserve"> Rules</w:t>
      </w:r>
      <w:r w:rsidR="003B42CE" w:rsidRPr="00102445">
        <w:t xml:space="preserve"> are a legislative instrument made under section 2</w:t>
      </w:r>
      <w:r w:rsidR="003F768B" w:rsidRPr="00102445">
        <w:t xml:space="preserve">2XS of the NGER Act. </w:t>
      </w:r>
      <w:r w:rsidR="00926A17" w:rsidRPr="00102445">
        <w:rPr>
          <w:color w:val="000000"/>
          <w:shd w:val="clear" w:color="auto" w:fill="FFFFFF"/>
        </w:rPr>
        <w:t xml:space="preserve">Section 22XS of the </w:t>
      </w:r>
      <w:r w:rsidR="00605590" w:rsidRPr="00102445">
        <w:rPr>
          <w:color w:val="000000"/>
          <w:shd w:val="clear" w:color="auto" w:fill="FFFFFF"/>
        </w:rPr>
        <w:t xml:space="preserve">NGER </w:t>
      </w:r>
      <w:r w:rsidR="00926A17" w:rsidRPr="00102445">
        <w:rPr>
          <w:color w:val="000000"/>
          <w:shd w:val="clear" w:color="auto" w:fill="FFFFFF"/>
        </w:rPr>
        <w:t xml:space="preserve">Act empowers the Minister to make rules to implement the Safeguard Mechanism by legislative instrument. </w:t>
      </w:r>
      <w:r w:rsidRPr="00102445">
        <w:rPr>
          <w:color w:val="000000"/>
          <w:shd w:val="clear" w:color="auto" w:fill="FFFFFF"/>
        </w:rPr>
        <w:t xml:space="preserve">These rules may prescribe matters required or permitted by the NGER Act, and matters necessary or convenient </w:t>
      </w:r>
      <w:r w:rsidRPr="00102445">
        <w:t>to be prescribed for carrying out or giving effect to the Safeguard provisions in the NGER Act.</w:t>
      </w:r>
    </w:p>
    <w:p w14:paraId="5850B387" w14:textId="6FCF246E" w:rsidR="00CE3CCC" w:rsidRPr="00102445" w:rsidRDefault="00FB620D" w:rsidP="00521922">
      <w:pPr>
        <w:rPr>
          <w:color w:val="000000"/>
          <w:shd w:val="clear" w:color="auto" w:fill="FFFFFF"/>
        </w:rPr>
      </w:pPr>
      <w:r w:rsidRPr="00102445">
        <w:rPr>
          <w:color w:val="000000"/>
          <w:shd w:val="clear" w:color="auto" w:fill="FFFFFF"/>
        </w:rPr>
        <w:t xml:space="preserve">The measures set out </w:t>
      </w:r>
      <w:r w:rsidR="00CE3CCC" w:rsidRPr="00102445">
        <w:rPr>
          <w:color w:val="000000"/>
          <w:shd w:val="clear" w:color="auto" w:fill="FFFFFF"/>
        </w:rPr>
        <w:t>in</w:t>
      </w:r>
      <w:r w:rsidRPr="00102445">
        <w:rPr>
          <w:color w:val="000000"/>
          <w:shd w:val="clear" w:color="auto" w:fill="FFFFFF"/>
        </w:rPr>
        <w:t xml:space="preserve"> the</w:t>
      </w:r>
      <w:r w:rsidR="00CE3CCC" w:rsidRPr="00102445">
        <w:rPr>
          <w:i/>
          <w:iCs/>
        </w:rPr>
        <w:t xml:space="preserve"> National Greenhouse and Energy Reporting (Safeguard Mechanism) Amendment (Reform) Rule</w:t>
      </w:r>
      <w:r w:rsidR="00182122" w:rsidRPr="00102445">
        <w:rPr>
          <w:i/>
          <w:iCs/>
        </w:rPr>
        <w:t>s</w:t>
      </w:r>
      <w:r w:rsidR="00CE3CCC" w:rsidRPr="00102445">
        <w:rPr>
          <w:i/>
          <w:iCs/>
        </w:rPr>
        <w:t xml:space="preserve"> 2023</w:t>
      </w:r>
      <w:r w:rsidR="00CE3CCC" w:rsidRPr="00102445">
        <w:t xml:space="preserve"> (the Amendment Rule</w:t>
      </w:r>
      <w:r w:rsidR="00182122" w:rsidRPr="00102445">
        <w:t>s</w:t>
      </w:r>
      <w:r w:rsidR="00CE3CCC" w:rsidRPr="00102445">
        <w:t xml:space="preserve">), such as the creation of tradable credits, are provided for by </w:t>
      </w:r>
      <w:r w:rsidR="009C7ACC" w:rsidRPr="00102445">
        <w:t>the</w:t>
      </w:r>
      <w:r w:rsidR="00CE3CCC" w:rsidRPr="00102445">
        <w:rPr>
          <w:i/>
          <w:iCs/>
        </w:rPr>
        <w:t xml:space="preserve"> Safeguard Mechanism (Crediting) Amendment </w:t>
      </w:r>
      <w:r w:rsidR="00DD7EEF" w:rsidRPr="00102445">
        <w:rPr>
          <w:i/>
          <w:iCs/>
        </w:rPr>
        <w:t>Act</w:t>
      </w:r>
      <w:r w:rsidR="00CE3CCC" w:rsidRPr="00102445">
        <w:rPr>
          <w:i/>
          <w:iCs/>
        </w:rPr>
        <w:t xml:space="preserve"> </w:t>
      </w:r>
      <w:r w:rsidR="0030258E" w:rsidRPr="00102445">
        <w:rPr>
          <w:i/>
          <w:iCs/>
        </w:rPr>
        <w:t xml:space="preserve">2023 </w:t>
      </w:r>
      <w:r w:rsidR="00352A56" w:rsidRPr="00102445">
        <w:t>(Safeguard Mechanism Act)</w:t>
      </w:r>
      <w:r w:rsidR="00CC6163" w:rsidRPr="00102445">
        <w:t>.</w:t>
      </w:r>
    </w:p>
    <w:p w14:paraId="3476A7BC" w14:textId="442C886C" w:rsidR="002170AE" w:rsidRPr="00102445" w:rsidRDefault="002170AE" w:rsidP="002170AE">
      <w:r w:rsidRPr="00102445">
        <w:t xml:space="preserve">Subsection 22XS(1A) of the NGER Act provides that the Minister must not make safeguard rules unless the Minister is satisfied that they are: consistent with each of the safeguard outcomes in paragraphs 3(2)(b), (c) and (d); and take into account the safeguard outcomes in paragraphs 3(2)(e) and (f) of </w:t>
      </w:r>
      <w:r w:rsidR="00B86E54" w:rsidRPr="00102445">
        <w:t>the NGER Act</w:t>
      </w:r>
      <w:r w:rsidRPr="00102445">
        <w:t>. The Minister was satisfied that these requirements were met.</w:t>
      </w:r>
    </w:p>
    <w:p w14:paraId="21A0D388" w14:textId="1C376217" w:rsidR="6088B82B" w:rsidRPr="00102445" w:rsidRDefault="6088B82B">
      <w:pPr>
        <w:rPr>
          <w:rFonts w:eastAsia="Times New Roman" w:cs="Times New Roman"/>
          <w:szCs w:val="24"/>
        </w:rPr>
      </w:pPr>
      <w:r w:rsidRPr="00102445">
        <w:rPr>
          <w:rFonts w:eastAsia="Times New Roman" w:cs="Times New Roman"/>
          <w:szCs w:val="24"/>
        </w:rPr>
        <w:t xml:space="preserve">A statement of reasons is provided at </w:t>
      </w:r>
      <w:r w:rsidRPr="00102445">
        <w:rPr>
          <w:rFonts w:eastAsia="Times New Roman" w:cs="Times New Roman"/>
          <w:szCs w:val="24"/>
          <w:u w:val="single"/>
        </w:rPr>
        <w:t>Attachment A</w:t>
      </w:r>
      <w:r w:rsidRPr="00102445">
        <w:rPr>
          <w:rFonts w:eastAsia="Times New Roman" w:cs="Times New Roman"/>
          <w:szCs w:val="24"/>
        </w:rPr>
        <w:t>.</w:t>
      </w:r>
    </w:p>
    <w:p w14:paraId="335B5179" w14:textId="1220D272" w:rsidR="00244DBE" w:rsidRPr="00102445" w:rsidRDefault="00244DBE" w:rsidP="00521922">
      <w:pPr>
        <w:pStyle w:val="Heading2"/>
      </w:pPr>
      <w:r w:rsidRPr="00102445">
        <w:t xml:space="preserve">Background </w:t>
      </w:r>
    </w:p>
    <w:p w14:paraId="680DA7E2" w14:textId="0930C308" w:rsidR="003B2B9F" w:rsidRPr="00102445" w:rsidRDefault="003B2B9F" w:rsidP="003B2B9F">
      <w:pPr>
        <w:keepNext/>
        <w:spacing w:before="240"/>
        <w:ind w:right="91"/>
        <w:rPr>
          <w:rFonts w:cs="Times New Roman"/>
          <w:szCs w:val="24"/>
        </w:rPr>
      </w:pPr>
      <w:r w:rsidRPr="00102445">
        <w:t xml:space="preserve">The Safeguard Mechanism provides a legislated framework that limits the net emissions of around 215 large industrial facilities—those with more than </w:t>
      </w:r>
      <w:r w:rsidRPr="00102445">
        <w:rPr>
          <w:rFonts w:cs="Times New Roman"/>
          <w:szCs w:val="24"/>
        </w:rPr>
        <w:t>100,000 tonnes of scope 1 (direct) carbon dioxide equivalent (t CO</w:t>
      </w:r>
      <w:r w:rsidRPr="00102445">
        <w:rPr>
          <w:rFonts w:cs="Times New Roman"/>
          <w:color w:val="000000" w:themeColor="text1"/>
          <w:szCs w:val="24"/>
          <w:vertAlign w:val="subscript"/>
        </w:rPr>
        <w:t>2</w:t>
      </w:r>
      <w:r w:rsidRPr="00102445">
        <w:rPr>
          <w:rFonts w:cs="Times New Roman"/>
          <w:szCs w:val="24"/>
        </w:rPr>
        <w:t xml:space="preserve">-e) emissions each year. </w:t>
      </w:r>
    </w:p>
    <w:p w14:paraId="02DE0A05" w14:textId="21D8F186" w:rsidR="003B2B9F" w:rsidRPr="00102445" w:rsidRDefault="003B2B9F" w:rsidP="00075C8C">
      <w:r w:rsidRPr="00102445">
        <w:t xml:space="preserve">Under the Paris Agreement, to which Australia is a Party, countries are required to communicate their Nationally Determined Contribution, or NDC, which sets out their emissions reduction ambitions. On 16 June 2022, Australia communicated its updated NDC under Article 4 of the Paris Agreement to the UN. This updated NDC included confirmation of Australia’s commitment to achieve net zero emissions by 2050, and a new, increased, 2030 target of 43 per cent below 2005 levels by 2030. The </w:t>
      </w:r>
      <w:r w:rsidRPr="00102445">
        <w:rPr>
          <w:i/>
        </w:rPr>
        <w:t>Climate Change Act 2022</w:t>
      </w:r>
      <w:r w:rsidRPr="00102445">
        <w:t xml:space="preserve"> prescribes these commitments in Australian law.</w:t>
      </w:r>
    </w:p>
    <w:p w14:paraId="1BACA229" w14:textId="1167FAA6" w:rsidR="00075C8C" w:rsidRPr="00102445" w:rsidRDefault="00075C8C" w:rsidP="00075C8C">
      <w:r w:rsidRPr="00102445">
        <w:t xml:space="preserve">The Australian Government is reforming the Safeguard Mechanism to reduce emissions </w:t>
      </w:r>
      <w:r w:rsidR="00F71D99" w:rsidRPr="00102445">
        <w:t>consistent with</w:t>
      </w:r>
      <w:r w:rsidRPr="00102445">
        <w:t xml:space="preserve"> these legislated targets. The reforms will support industry to reduce emissions efficiently, helping them maintain competitiveness as the global economy decarbonises. </w:t>
      </w:r>
    </w:p>
    <w:p w14:paraId="48D5CEC5" w14:textId="7AA4B0F9" w:rsidR="00075C8C" w:rsidRPr="00102445" w:rsidRDefault="00075C8C" w:rsidP="00075C8C">
      <w:r w:rsidRPr="00102445">
        <w:t xml:space="preserve">Many businesses that operate facilities covered by the Safeguard Mechanism have made long-term climate commitments. The reforms will provide a supportive policy framework for </w:t>
      </w:r>
      <w:r w:rsidRPr="00102445">
        <w:lastRenderedPageBreak/>
        <w:t xml:space="preserve">industry to meet these commitments, with the right signals to drive investments in emissions reductions, and flexibility so that businesses find the lowest cost abatement, wherever it occurs. </w:t>
      </w:r>
    </w:p>
    <w:p w14:paraId="74BC0057" w14:textId="22484379" w:rsidR="00492D2F" w:rsidRPr="00102445" w:rsidRDefault="00492D2F" w:rsidP="00075C8C">
      <w:r w:rsidRPr="00102445">
        <w:t>The NGER Act establishes</w:t>
      </w:r>
      <w:r w:rsidR="00DE6865" w:rsidRPr="00102445">
        <w:t xml:space="preserve"> the NGER scheme,</w:t>
      </w:r>
      <w:r w:rsidRPr="00102445">
        <w:t xml:space="preserve"> a single national framework for reporting and disseminating company information about greenhouse gas emissions, energy production, energy consumption and other information. The Safeguard Mechanism is part of </w:t>
      </w:r>
      <w:r w:rsidR="00B86E54" w:rsidRPr="00102445">
        <w:t>the NGER Act</w:t>
      </w:r>
      <w:r w:rsidRPr="00102445">
        <w:t xml:space="preserve">. Together with the reporting obligations under </w:t>
      </w:r>
      <w:r w:rsidR="00B86E54" w:rsidRPr="00102445">
        <w:t>the NGER Act</w:t>
      </w:r>
      <w:r w:rsidRPr="00102445">
        <w:t>, the Safeguard Mechanism provides a framework for Australia’s largest emitters to measure, report and manage their emissions.</w:t>
      </w:r>
    </w:p>
    <w:p w14:paraId="218E3730" w14:textId="45AD8CDD" w:rsidR="006A447F" w:rsidRPr="00102445" w:rsidRDefault="00075C8C" w:rsidP="008D4BBB">
      <w:r w:rsidRPr="00102445">
        <w:t xml:space="preserve">The </w:t>
      </w:r>
      <w:r w:rsidR="006848DA" w:rsidRPr="00102445">
        <w:t xml:space="preserve">Safeguard Mechanism Act </w:t>
      </w:r>
      <w:r w:rsidRPr="00102445">
        <w:t>amend</w:t>
      </w:r>
      <w:r w:rsidR="0036030A" w:rsidRPr="00102445">
        <w:t>ed</w:t>
      </w:r>
      <w:r w:rsidRPr="00102445">
        <w:t xml:space="preserve"> the NGER Act</w:t>
      </w:r>
      <w:r w:rsidR="008D4BBB" w:rsidRPr="00102445">
        <w:t xml:space="preserve">, the </w:t>
      </w:r>
      <w:r w:rsidR="008D4BBB" w:rsidRPr="00102445">
        <w:rPr>
          <w:i/>
        </w:rPr>
        <w:t>Carbon Credits (Carbon Farming Initiative) Act 2011</w:t>
      </w:r>
      <w:r w:rsidR="008D4BBB" w:rsidRPr="00102445">
        <w:t xml:space="preserve"> (C</w:t>
      </w:r>
      <w:r w:rsidR="004863F6" w:rsidRPr="00102445">
        <w:t>arbon Farming Initiative</w:t>
      </w:r>
      <w:r w:rsidR="008D4BBB" w:rsidRPr="00102445">
        <w:t xml:space="preserve"> Act),</w:t>
      </w:r>
      <w:r w:rsidRPr="00102445">
        <w:t xml:space="preserve"> </w:t>
      </w:r>
      <w:r w:rsidR="006A447F" w:rsidRPr="00102445">
        <w:t>and</w:t>
      </w:r>
      <w:r w:rsidR="008D4BBB" w:rsidRPr="00102445">
        <w:t xml:space="preserve"> the</w:t>
      </w:r>
      <w:r w:rsidR="006A447F" w:rsidRPr="00102445">
        <w:t xml:space="preserve"> </w:t>
      </w:r>
      <w:r w:rsidR="006A447F" w:rsidRPr="00102445">
        <w:rPr>
          <w:i/>
        </w:rPr>
        <w:t>Australian National Registry of Emissions Units Act 2011</w:t>
      </w:r>
      <w:r w:rsidR="006A447F" w:rsidRPr="00102445">
        <w:t xml:space="preserve"> (ANREU Act) to establish the framework for creating </w:t>
      </w:r>
      <w:r w:rsidR="008D04BE" w:rsidRPr="00102445">
        <w:t>safeguard mechanism credit units (</w:t>
      </w:r>
      <w:r w:rsidR="006A447F" w:rsidRPr="00102445">
        <w:t>SMCs</w:t>
      </w:r>
      <w:r w:rsidR="008D04BE" w:rsidRPr="00102445">
        <w:t>)</w:t>
      </w:r>
      <w:r w:rsidR="006A447F" w:rsidRPr="00102445">
        <w:t xml:space="preserve">, covering how </w:t>
      </w:r>
      <w:r w:rsidR="008D04BE" w:rsidRPr="00102445">
        <w:t xml:space="preserve">SMCs </w:t>
      </w:r>
      <w:r w:rsidR="006A447F" w:rsidRPr="00102445">
        <w:t xml:space="preserve">are issued, purchased and included in Australia's National Registry of Emissions Units. </w:t>
      </w:r>
      <w:r w:rsidR="008D04BE" w:rsidRPr="00102445">
        <w:t xml:space="preserve">SMCs are </w:t>
      </w:r>
      <w:r w:rsidR="006A447F" w:rsidRPr="00102445">
        <w:t xml:space="preserve">credits </w:t>
      </w:r>
      <w:r w:rsidR="008D04BE" w:rsidRPr="00102445">
        <w:t xml:space="preserve">that </w:t>
      </w:r>
      <w:r w:rsidR="006A447F" w:rsidRPr="00102445">
        <w:t>each</w:t>
      </w:r>
      <w:r w:rsidR="006A447F" w:rsidRPr="00102445" w:rsidDel="00EE4FB1">
        <w:t xml:space="preserve"> </w:t>
      </w:r>
      <w:r w:rsidR="006A447F" w:rsidRPr="00102445">
        <w:t xml:space="preserve">correspond to a tonne carbon dioxide equivalent of emissions (or difference in emissions compared to a facility’s baseline) and can be traded and </w:t>
      </w:r>
      <w:r w:rsidR="008D04BE" w:rsidRPr="00102445">
        <w:t>surrendered</w:t>
      </w:r>
      <w:r w:rsidR="006A447F" w:rsidRPr="00102445" w:rsidDel="008D04BE">
        <w:t xml:space="preserve"> </w:t>
      </w:r>
      <w:r w:rsidR="008D04BE" w:rsidRPr="00102445">
        <w:t xml:space="preserve">by </w:t>
      </w:r>
      <w:r w:rsidR="006A447F" w:rsidRPr="00102445">
        <w:t xml:space="preserve">facilities </w:t>
      </w:r>
      <w:r w:rsidR="008D04BE" w:rsidRPr="00102445">
        <w:t xml:space="preserve">covered by the Safeguard Mechanism </w:t>
      </w:r>
      <w:r w:rsidR="006A447F" w:rsidRPr="00102445">
        <w:t>to reduce their net emissions.</w:t>
      </w:r>
    </w:p>
    <w:p w14:paraId="633183EE" w14:textId="7880328B" w:rsidR="003B5C10" w:rsidRPr="00102445" w:rsidRDefault="003B5C10" w:rsidP="003B5C10">
      <w:pPr>
        <w:rPr>
          <w:color w:val="000000"/>
        </w:rPr>
      </w:pPr>
      <w:r w:rsidRPr="00102445">
        <w:t xml:space="preserve">The NGER Act provides for </w:t>
      </w:r>
      <w:r w:rsidR="008D04BE" w:rsidRPr="00102445">
        <w:t>Safeguard Rules</w:t>
      </w:r>
      <w:r w:rsidRPr="00102445">
        <w:t xml:space="preserve"> on the detailed elements of the framework for issuing SMCs such as application processes, the number of units issued, how that number is worked out, conditions that may be imposed, and rights of review or reconsideration. This structure is necessary because the crediting framework is inextricably linked to the technical details of how Safeguard baselines are determined. As baseline determinations are set out in the </w:t>
      </w:r>
      <w:r w:rsidR="008D04BE" w:rsidRPr="00102445">
        <w:t>Safeguard Rules</w:t>
      </w:r>
      <w:r w:rsidRPr="00102445">
        <w:t xml:space="preserve">, it is appropriate for the details of the crediting framework to also be set out in the </w:t>
      </w:r>
      <w:r w:rsidR="008D04BE" w:rsidRPr="00102445">
        <w:t>Safeguard Rules</w:t>
      </w:r>
      <w:r w:rsidRPr="00102445">
        <w:t xml:space="preserve">. </w:t>
      </w:r>
    </w:p>
    <w:p w14:paraId="0961C217" w14:textId="77777777" w:rsidR="006D145B" w:rsidRPr="00102445" w:rsidRDefault="00851962" w:rsidP="006D145B">
      <w:pPr>
        <w:pStyle w:val="Heading2"/>
      </w:pPr>
      <w:r w:rsidRPr="00102445">
        <w:t>Public c</w:t>
      </w:r>
      <w:r w:rsidR="00D056DA" w:rsidRPr="00102445">
        <w:t>onsultation</w:t>
      </w:r>
    </w:p>
    <w:p w14:paraId="055E0D0E" w14:textId="7B3DB550" w:rsidR="00D056DA" w:rsidRPr="00102445" w:rsidRDefault="00D056DA" w:rsidP="006D145B">
      <w:r w:rsidRPr="00102445">
        <w:t>The Department released a consultation paper on reforms to the Safeguard Mechanism on 18 August 2022 and submissions were open until 20 September 2022. Over 240 submissions were received and all non-confidential submissions were published on the Department’s website.</w:t>
      </w:r>
    </w:p>
    <w:p w14:paraId="0427936D" w14:textId="16EE9F94" w:rsidR="00D056DA" w:rsidRPr="00102445" w:rsidRDefault="00D056DA" w:rsidP="006D145B">
      <w:r w:rsidRPr="00102445">
        <w:t xml:space="preserve">An exposure draft of the </w:t>
      </w:r>
      <w:r w:rsidR="00BD1672" w:rsidRPr="00102445">
        <w:rPr>
          <w:rFonts w:cs="Times New Roman"/>
          <w:i/>
          <w:szCs w:val="24"/>
        </w:rPr>
        <w:t xml:space="preserve">Safeguard Mechanism </w:t>
      </w:r>
      <w:r w:rsidR="00D31B46" w:rsidRPr="00102445">
        <w:rPr>
          <w:rFonts w:cs="Times New Roman"/>
          <w:i/>
          <w:szCs w:val="24"/>
        </w:rPr>
        <w:t>(Crediting) Amendment Bill</w:t>
      </w:r>
      <w:r w:rsidR="00D31B46" w:rsidRPr="00102445" w:rsidDel="00AB6833">
        <w:rPr>
          <w:szCs w:val="24"/>
        </w:rPr>
        <w:t xml:space="preserve"> </w:t>
      </w:r>
      <w:r w:rsidRPr="00102445">
        <w:t>was open for public consultation from 10 October 2022 to 28 October 2022. Submissions from over 50 businesses, industry groups and individuals were received during the consultation period and all non-confidential submissions were published on the Department’s website.</w:t>
      </w:r>
    </w:p>
    <w:p w14:paraId="7D4F7F0E" w14:textId="452636DB" w:rsidR="00D056DA" w:rsidRPr="00102445" w:rsidRDefault="00D056DA" w:rsidP="006D145B">
      <w:pPr>
        <w:rPr>
          <w:rFonts w:eastAsia="Times New Roman" w:cs="Times New Roman"/>
          <w:szCs w:val="24"/>
        </w:rPr>
      </w:pPr>
      <w:r w:rsidRPr="00102445">
        <w:t xml:space="preserve">On 10 January 2023, the Department released for consultation a position paper </w:t>
      </w:r>
      <w:r w:rsidR="009F0CE6" w:rsidRPr="00102445">
        <w:t xml:space="preserve">setting out </w:t>
      </w:r>
      <w:r w:rsidRPr="00102445">
        <w:t>the Government</w:t>
      </w:r>
      <w:r w:rsidR="00142A5A" w:rsidRPr="00102445">
        <w:t>’</w:t>
      </w:r>
      <w:r w:rsidRPr="00102445">
        <w:t>s proposed design of reforms the Safeguard Mechanism, as well as draft subordinate legislation including the Amendment Rule</w:t>
      </w:r>
      <w:r w:rsidR="00E4193D" w:rsidRPr="00102445">
        <w:t>s</w:t>
      </w:r>
      <w:r w:rsidRPr="00102445">
        <w:t xml:space="preserve">, and received submissions until 24 February 2023. </w:t>
      </w:r>
      <w:r w:rsidR="0EF3A904" w:rsidRPr="00102445">
        <w:rPr>
          <w:rFonts w:eastAsia="Times New Roman" w:cs="Times New Roman"/>
          <w:szCs w:val="24"/>
        </w:rPr>
        <w:t xml:space="preserve">Over </w:t>
      </w:r>
      <w:r w:rsidR="4F7445E5" w:rsidRPr="00102445">
        <w:rPr>
          <w:rFonts w:eastAsia="Times New Roman" w:cs="Times New Roman"/>
          <w:szCs w:val="24"/>
        </w:rPr>
        <w:t>280</w:t>
      </w:r>
      <w:r w:rsidR="0EF3A904" w:rsidRPr="00102445">
        <w:rPr>
          <w:rFonts w:eastAsia="Times New Roman" w:cs="Times New Roman"/>
          <w:szCs w:val="24"/>
        </w:rPr>
        <w:t xml:space="preserve"> submissions were received.</w:t>
      </w:r>
    </w:p>
    <w:p w14:paraId="6DCA40B5" w14:textId="25580302" w:rsidR="00D056DA" w:rsidRPr="00102445" w:rsidRDefault="00D056DA" w:rsidP="006D145B">
      <w:r w:rsidRPr="00102445">
        <w:lastRenderedPageBreak/>
        <w:t>In response to submissions on draft of subordinate legislation and position paper, the Amendment Rule</w:t>
      </w:r>
      <w:r w:rsidR="0058619A" w:rsidRPr="00102445">
        <w:t>s</w:t>
      </w:r>
      <w:r w:rsidRPr="00102445">
        <w:t xml:space="preserve"> now include</w:t>
      </w:r>
      <w:r w:rsidR="007B6A3B" w:rsidRPr="00102445">
        <w:t xml:space="preserve"> changes in three major areas.</w:t>
      </w:r>
    </w:p>
    <w:p w14:paraId="62A20A87" w14:textId="7FC5B5BB" w:rsidR="008F591C" w:rsidRPr="00102445" w:rsidRDefault="006D0CC9" w:rsidP="0088713B">
      <w:pPr>
        <w:pStyle w:val="Heading3"/>
      </w:pPr>
      <w:r w:rsidRPr="00102445">
        <w:t xml:space="preserve">Support </w:t>
      </w:r>
      <w:r w:rsidR="008F591C" w:rsidRPr="00102445">
        <w:t>for industry</w:t>
      </w:r>
      <w:r w:rsidR="009B7A4B" w:rsidRPr="00102445">
        <w:t xml:space="preserve"> and the manufacturing sector</w:t>
      </w:r>
    </w:p>
    <w:p w14:paraId="7915FBC6" w14:textId="09BDC884" w:rsidR="008F591C" w:rsidRPr="00102445" w:rsidRDefault="00F915A4" w:rsidP="008F591C">
      <w:r w:rsidRPr="00102445">
        <w:t>D</w:t>
      </w:r>
      <w:r w:rsidR="008F591C" w:rsidRPr="00102445">
        <w:t>ifferent cost impact metrics and eligibility thresholds for manufacturers to qualify for a discount on their decline rate</w:t>
      </w:r>
      <w:r w:rsidR="00161BF3" w:rsidRPr="00102445">
        <w:t xml:space="preserve"> will apply</w:t>
      </w:r>
      <w:r w:rsidR="008F591C" w:rsidRPr="00102445">
        <w:t>,</w:t>
      </w:r>
      <w:r w:rsidR="005C32D3" w:rsidRPr="00102445">
        <w:t xml:space="preserve"> as well as a new </w:t>
      </w:r>
      <w:r w:rsidR="008F591C" w:rsidRPr="00102445">
        <w:t xml:space="preserve">minimum annual baseline decline rate for manufacturers </w:t>
      </w:r>
      <w:r w:rsidR="0049435E" w:rsidRPr="00102445">
        <w:t xml:space="preserve">at </w:t>
      </w:r>
      <w:r w:rsidR="008F591C" w:rsidRPr="00102445">
        <w:t>1 per cent</w:t>
      </w:r>
      <w:r w:rsidR="009D1874" w:rsidRPr="00102445">
        <w:t xml:space="preserve">. </w:t>
      </w:r>
    </w:p>
    <w:p w14:paraId="4050F009" w14:textId="41DBEFE2" w:rsidR="000A2538" w:rsidRPr="00102445" w:rsidRDefault="000A2538" w:rsidP="008F591C">
      <w:r w:rsidRPr="00102445">
        <w:t>Complementing the Amendment Rules, at least $1 billion in funding will be available for Safeguard facilities in the manufacturing sector and trade exposed industries through the Powering the Regions Fund (PRF) including a new targeted allocation of $400m for industries providing critical inputs to clean energy industries (</w:t>
      </w:r>
      <w:r w:rsidR="3BFBB389" w:rsidRPr="00102445">
        <w:t xml:space="preserve">primary </w:t>
      </w:r>
      <w:r w:rsidRPr="00102445">
        <w:t>steel, cement, lime, aluminium, and alumina).</w:t>
      </w:r>
    </w:p>
    <w:p w14:paraId="5B68CBFF" w14:textId="50A0D00E" w:rsidR="008F591C" w:rsidRPr="00102445" w:rsidRDefault="006D0CC9" w:rsidP="0088713B">
      <w:pPr>
        <w:pStyle w:val="Heading3"/>
      </w:pPr>
      <w:r w:rsidRPr="00102445">
        <w:t>Arrangements</w:t>
      </w:r>
      <w:r w:rsidR="008F591C" w:rsidRPr="00102445">
        <w:t xml:space="preserve"> for new entrants</w:t>
      </w:r>
    </w:p>
    <w:p w14:paraId="5B200F08" w14:textId="47FD4D60" w:rsidR="000E668F" w:rsidRPr="00102445" w:rsidRDefault="008F591C" w:rsidP="008F591C">
      <w:r w:rsidRPr="00102445">
        <w:t xml:space="preserve">New gas fields supplying existing liquefied natural gas facilities will be treated as new facilities, regardless of their ownership structure, so that they are given international best practice baselines for the carbon dioxide in their new fields. For these fields’ reservoir </w:t>
      </w:r>
      <w:r w:rsidR="00FD341E" w:rsidRPr="00102445">
        <w:t xml:space="preserve">carbon dioxide </w:t>
      </w:r>
      <w:r w:rsidRPr="00102445">
        <w:t xml:space="preserve">emissions, </w:t>
      </w:r>
      <w:r w:rsidR="00194F2D" w:rsidRPr="00102445">
        <w:t xml:space="preserve">the </w:t>
      </w:r>
      <w:r w:rsidRPr="00102445">
        <w:t xml:space="preserve">best practice </w:t>
      </w:r>
      <w:r w:rsidR="00194F2D" w:rsidRPr="00102445">
        <w:t xml:space="preserve">baseline </w:t>
      </w:r>
      <w:r w:rsidRPr="00102445">
        <w:t>is zero</w:t>
      </w:r>
      <w:r w:rsidR="00D14C6D" w:rsidRPr="00102445">
        <w:t>,</w:t>
      </w:r>
      <w:r w:rsidRPr="00102445">
        <w:t xml:space="preserve"> given the existence of low</w:t>
      </w:r>
      <w:r w:rsidR="00FD341E" w:rsidRPr="00102445">
        <w:t xml:space="preserve"> carbon </w:t>
      </w:r>
      <w:r w:rsidR="00B041AC" w:rsidRPr="00102445">
        <w:t>dioxide</w:t>
      </w:r>
      <w:r w:rsidRPr="00102445">
        <w:t xml:space="preserve"> fields and opportunities for carbon capture and storage.</w:t>
      </w:r>
    </w:p>
    <w:p w14:paraId="5EBC431F" w14:textId="054E8FA0" w:rsidR="008F591C" w:rsidRPr="00102445" w:rsidRDefault="00976001" w:rsidP="008F591C">
      <w:r w:rsidRPr="00102445">
        <w:t xml:space="preserve">Additionally, </w:t>
      </w:r>
      <w:r w:rsidR="001E2FC0" w:rsidRPr="00102445">
        <w:t xml:space="preserve">facilities that engage in extraction of shale gas, such as projects in the Beetaloo Basin, will be required to have net-zero scope 1 emissions from entry. This is consistent with existing Commonwealth commitments to work with the Northern Territory to support its implementation of recommendation 9.8 of the </w:t>
      </w:r>
      <w:r w:rsidR="001E2FC0" w:rsidRPr="00102445">
        <w:rPr>
          <w:i/>
          <w:iCs/>
          <w:lang w:val="en-GB"/>
        </w:rPr>
        <w:t xml:space="preserve">Scientific Inquiry into Hydraulic Fracturing in the Northern Territory </w:t>
      </w:r>
      <w:r w:rsidR="001E2FC0" w:rsidRPr="00102445">
        <w:rPr>
          <w:lang w:val="en-GB"/>
        </w:rPr>
        <w:t>using available technology and policies.</w:t>
      </w:r>
      <w:r w:rsidR="00194F2D" w:rsidRPr="00102445">
        <w:t xml:space="preserve"> </w:t>
      </w:r>
    </w:p>
    <w:p w14:paraId="7767D7BF" w14:textId="3DBCCC02" w:rsidR="008F591C" w:rsidRPr="00102445" w:rsidRDefault="006D0CC9" w:rsidP="0088713B">
      <w:pPr>
        <w:pStyle w:val="Heading3"/>
      </w:pPr>
      <w:r w:rsidRPr="00102445">
        <w:t>A</w:t>
      </w:r>
      <w:r w:rsidR="008F591C" w:rsidRPr="00102445">
        <w:t>ccountability, transparency, and integrity</w:t>
      </w:r>
    </w:p>
    <w:p w14:paraId="5AD13F78" w14:textId="552D3DBF" w:rsidR="000A1712" w:rsidRPr="00102445" w:rsidRDefault="008F591C" w:rsidP="008F591C">
      <w:r w:rsidRPr="00102445">
        <w:t xml:space="preserve">The policy intent of the reforms is to drive down emissions from Australia’s large industrial sector. To make sure this is achieved, the </w:t>
      </w:r>
      <w:r w:rsidR="3076A8B1" w:rsidRPr="00102445">
        <w:t>o</w:t>
      </w:r>
      <w:r w:rsidRPr="00102445">
        <w:t>bjects of the NGER Act</w:t>
      </w:r>
      <w:r w:rsidR="0051171E" w:rsidRPr="00102445">
        <w:t xml:space="preserve"> </w:t>
      </w:r>
      <w:r w:rsidR="005E2AB5" w:rsidRPr="00102445">
        <w:t xml:space="preserve">now include </w:t>
      </w:r>
      <w:r w:rsidR="000D4E86" w:rsidRPr="00102445">
        <w:t>provisions</w:t>
      </w:r>
      <w:r w:rsidR="00DA1C58" w:rsidRPr="00102445">
        <w:t xml:space="preserve"> provide further clarity.</w:t>
      </w:r>
      <w:r w:rsidR="00B80514" w:rsidRPr="00102445">
        <w:t xml:space="preserve"> </w:t>
      </w:r>
      <w:r w:rsidRPr="00102445">
        <w:t>In aggregate, net emissions from Safeguard facilities should not exceed 100 million tonnes of carbon dioxide equivalent by 2029-30 and zero by 2050, and 1,233 million tonnes in total over the decade to 2030.</w:t>
      </w:r>
      <w:r w:rsidR="000A1712" w:rsidRPr="00102445">
        <w:t xml:space="preserve"> </w:t>
      </w:r>
      <w:r w:rsidRPr="00102445">
        <w:t xml:space="preserve">Total gross emissions from Safeguard facilities should reduce over time, measured through a rolling </w:t>
      </w:r>
      <w:r w:rsidR="005F12D7" w:rsidRPr="00102445">
        <w:t>5-year</w:t>
      </w:r>
      <w:r w:rsidRPr="00102445">
        <w:t xml:space="preserve"> average.</w:t>
      </w:r>
      <w:r w:rsidR="000A1712" w:rsidRPr="00102445">
        <w:t xml:space="preserve"> </w:t>
      </w:r>
      <w:r w:rsidRPr="00102445">
        <w:t>Safeguard facilities have a material incentive to reduce their on-site emissions.</w:t>
      </w:r>
      <w:r w:rsidR="000A1712" w:rsidRPr="00102445">
        <w:t xml:space="preserve"> </w:t>
      </w:r>
      <w:r w:rsidRPr="00102445">
        <w:t>The competitiveness of trade-exposed industries is appropriately supported as Australia and its regions seize the opportunities of the move to a global net zero economy.</w:t>
      </w:r>
      <w:r w:rsidR="000A1712" w:rsidRPr="00102445">
        <w:t xml:space="preserve"> </w:t>
      </w:r>
    </w:p>
    <w:p w14:paraId="4DB4BEA8" w14:textId="49514E00" w:rsidR="005F12D7" w:rsidRPr="00102445" w:rsidRDefault="001F7F5D" w:rsidP="008F591C">
      <w:r w:rsidRPr="00102445">
        <w:t xml:space="preserve">Under the Climate Change Act, the Government provides an Annual Climate Change Statement to Parliament </w:t>
      </w:r>
      <w:r w:rsidR="008F591C" w:rsidRPr="00102445">
        <w:t>on progress against climate reforms. Changes to the Safeguard Mechanism will provide assurance that its emissions reduction targets will be met by introducing further specific reporting on progress against the scheme’s emissions targets and a requirement for the Minister to take action, if necessary, in response</w:t>
      </w:r>
      <w:r w:rsidR="009164C5" w:rsidRPr="00102445">
        <w:t xml:space="preserve">. </w:t>
      </w:r>
      <w:r w:rsidR="008F591C" w:rsidRPr="00102445">
        <w:t xml:space="preserve">As part of </w:t>
      </w:r>
      <w:r w:rsidR="00B93C3A" w:rsidRPr="00102445">
        <w:t>its advice to</w:t>
      </w:r>
      <w:r w:rsidR="008F591C" w:rsidRPr="00102445">
        <w:t xml:space="preserve"> the Annual Climate Change Statement, the Climate Change Authority (CCA) will report on </w:t>
      </w:r>
      <w:r w:rsidR="008F591C" w:rsidRPr="00102445">
        <w:lastRenderedPageBreak/>
        <w:t xml:space="preserve">progress against the scheme’s objectives as set out in </w:t>
      </w:r>
      <w:r w:rsidR="00B86E54" w:rsidRPr="00102445">
        <w:t>the NGER Act</w:t>
      </w:r>
      <w:r w:rsidR="008F591C" w:rsidRPr="00102445">
        <w:t>, with specific reference to new entrants and expansions.</w:t>
      </w:r>
    </w:p>
    <w:p w14:paraId="5107A492" w14:textId="3852E31D" w:rsidR="005F12D7" w:rsidRPr="00102445" w:rsidRDefault="008F591C" w:rsidP="008F591C">
      <w:r w:rsidRPr="00102445">
        <w:t>Information relating to the scope 1 emissions</w:t>
      </w:r>
      <w:r w:rsidR="006D0CC9" w:rsidRPr="00102445">
        <w:t>,</w:t>
      </w:r>
      <w:r w:rsidRPr="00102445">
        <w:t xml:space="preserve"> from approvals of new projects under the </w:t>
      </w:r>
      <w:r w:rsidRPr="00102445">
        <w:rPr>
          <w:i/>
          <w:iCs/>
        </w:rPr>
        <w:t>Environment Protection and Biodiversity Conservation Act 1999</w:t>
      </w:r>
      <w:r w:rsidR="0051171E" w:rsidRPr="00102445">
        <w:rPr>
          <w:i/>
          <w:iCs/>
        </w:rPr>
        <w:t xml:space="preserve"> </w:t>
      </w:r>
      <w:r w:rsidR="0051171E" w:rsidRPr="00102445">
        <w:t xml:space="preserve">(EPBC Act) </w:t>
      </w:r>
      <w:r w:rsidRPr="00102445">
        <w:t>that are expected to enter the Safeguard Mechanism or increase the emissions of an existing Safeguard facility</w:t>
      </w:r>
      <w:r w:rsidR="006D0CC9" w:rsidRPr="00102445">
        <w:t>,</w:t>
      </w:r>
      <w:r w:rsidRPr="00102445">
        <w:t xml:space="preserve"> will be provided to the CCA, the Minister for Climate Change and Secretary of the relevant Department.</w:t>
      </w:r>
    </w:p>
    <w:p w14:paraId="7F0EAC0C" w14:textId="77777777" w:rsidR="00F07F0A" w:rsidRPr="00102445" w:rsidRDefault="008F591C" w:rsidP="008F591C">
      <w:r w:rsidRPr="00102445">
        <w:t>The Minister will need to act where the Secretary of the Department, based upon this information or other information relating to direct emissions from a Safeguard facility from Commonwealth agencies or State and Territory governments, considers changes to the Rules may be needed.</w:t>
      </w:r>
      <w:r w:rsidR="000A1712" w:rsidRPr="00102445">
        <w:t xml:space="preserve"> </w:t>
      </w:r>
    </w:p>
    <w:p w14:paraId="2EE8EC61" w14:textId="71423648" w:rsidR="008F591C" w:rsidRPr="00102445" w:rsidRDefault="008F591C" w:rsidP="008F591C">
      <w:r w:rsidRPr="00102445">
        <w:t xml:space="preserve">If any of these tests find that Safeguard emissions have or will breach the </w:t>
      </w:r>
      <w:r w:rsidR="3EF26028" w:rsidRPr="00102445">
        <w:t>o</w:t>
      </w:r>
      <w:r w:rsidRPr="00102445">
        <w:t xml:space="preserve">bjects, and that this is not due to temporary factors, the Minister is required to consult and amend the </w:t>
      </w:r>
      <w:r w:rsidR="006D0CC9" w:rsidRPr="00102445">
        <w:t>Rules or</w:t>
      </w:r>
      <w:r w:rsidRPr="00102445">
        <w:t xml:space="preserve"> take other policy actions to ensure the </w:t>
      </w:r>
      <w:r w:rsidR="0071F159" w:rsidRPr="00102445">
        <w:t>o</w:t>
      </w:r>
      <w:r w:rsidRPr="00102445">
        <w:t>bjects are met.</w:t>
      </w:r>
    </w:p>
    <w:p w14:paraId="6BB91E08" w14:textId="4F2A360F" w:rsidR="008861CB" w:rsidRPr="00102445" w:rsidRDefault="008F591C" w:rsidP="003B5C10">
      <w:r w:rsidRPr="00102445">
        <w:t xml:space="preserve">To provide increased transparency and accountability, the Clean Energy Regulatory (CER) will publish a range of information on facilities’ emissions and compliance activities. </w:t>
      </w:r>
      <w:r w:rsidR="006D0CC9" w:rsidRPr="00102445">
        <w:t>F</w:t>
      </w:r>
      <w:r w:rsidRPr="00102445">
        <w:t>acilities that surrender ACCUs equivalent to 30</w:t>
      </w:r>
      <w:r w:rsidR="00313962" w:rsidRPr="00102445">
        <w:t xml:space="preserve"> per cent</w:t>
      </w:r>
      <w:r w:rsidRPr="00102445">
        <w:t xml:space="preserve"> of their baselines will need to submit a statement to explain why they haven’t undertaken more on-site abatement. Aspects of this will be published to allow scrutiny from investors and the public.</w:t>
      </w:r>
    </w:p>
    <w:p w14:paraId="4DFBB121" w14:textId="3D8B1A6B" w:rsidR="009A16A2" w:rsidRPr="00102445" w:rsidRDefault="009A16A2" w:rsidP="003B5C10">
      <w:r w:rsidRPr="00102445">
        <w:t xml:space="preserve">The Government will review Safeguard Mechanism policy settings in 2026-27, to ensure that they are appropriately calibrated. Matters to be considered </w:t>
      </w:r>
      <w:r w:rsidR="001C08D1" w:rsidRPr="00102445">
        <w:t xml:space="preserve">in </w:t>
      </w:r>
      <w:r w:rsidRPr="00102445">
        <w:t xml:space="preserve">the 2026-27 Review are set out in </w:t>
      </w:r>
      <w:r w:rsidRPr="00102445">
        <w:rPr>
          <w:u w:val="single"/>
        </w:rPr>
        <w:t xml:space="preserve">Attachment </w:t>
      </w:r>
      <w:r w:rsidR="00E34BE3" w:rsidRPr="00102445">
        <w:rPr>
          <w:u w:val="single"/>
        </w:rPr>
        <w:t>B</w:t>
      </w:r>
      <w:r w:rsidRPr="00102445">
        <w:t>.</w:t>
      </w:r>
    </w:p>
    <w:p w14:paraId="0B722965" w14:textId="77777777" w:rsidR="00226B6A" w:rsidRPr="00102445" w:rsidRDefault="00226B6A" w:rsidP="00226B6A">
      <w:pPr>
        <w:rPr>
          <w:rFonts w:cs="Times New Roman"/>
          <w:b/>
          <w:bCs/>
          <w:szCs w:val="24"/>
        </w:rPr>
      </w:pPr>
      <w:r w:rsidRPr="00102445">
        <w:rPr>
          <w:rFonts w:cs="Times New Roman"/>
          <w:b/>
          <w:bCs/>
          <w:szCs w:val="24"/>
        </w:rPr>
        <w:t>Statement of Compatibility with Human Rights</w:t>
      </w:r>
    </w:p>
    <w:p w14:paraId="35AAC1C3" w14:textId="1C815B75" w:rsidR="00226B6A" w:rsidRPr="00102445" w:rsidRDefault="00226B6A" w:rsidP="00226B6A">
      <w:pPr>
        <w:rPr>
          <w:rFonts w:cs="Times New Roman"/>
          <w:b/>
          <w:bCs/>
          <w:szCs w:val="24"/>
        </w:rPr>
      </w:pPr>
      <w:r w:rsidRPr="00102445">
        <w:rPr>
          <w:rFonts w:eastAsia="Times New Roman" w:cs="Times New Roman"/>
          <w:color w:val="000000"/>
          <w:szCs w:val="24"/>
          <w:lang w:eastAsia="en-AU"/>
        </w:rPr>
        <w:t xml:space="preserve">This Instrument is compatible with the human rights and freedoms recognised or declared under section 3 of the </w:t>
      </w:r>
      <w:r w:rsidRPr="00102445">
        <w:rPr>
          <w:rFonts w:eastAsia="Times New Roman" w:cs="Times New Roman"/>
          <w:i/>
          <w:iCs/>
          <w:color w:val="000000"/>
          <w:szCs w:val="24"/>
          <w:lang w:eastAsia="en-AU"/>
        </w:rPr>
        <w:t>Human Rights (Parliamentary Scrutiny) Act 2011</w:t>
      </w:r>
      <w:r w:rsidRPr="00102445">
        <w:rPr>
          <w:rFonts w:eastAsia="Times New Roman" w:cs="Times New Roman"/>
          <w:color w:val="000000"/>
          <w:szCs w:val="24"/>
          <w:lang w:eastAsia="en-AU"/>
        </w:rPr>
        <w:t xml:space="preserve">. A full statement of compatibility is set out </w:t>
      </w:r>
      <w:r w:rsidR="00966966" w:rsidRPr="00102445">
        <w:rPr>
          <w:rFonts w:eastAsia="Times New Roman" w:cs="Times New Roman"/>
          <w:color w:val="000000"/>
          <w:szCs w:val="24"/>
          <w:lang w:eastAsia="en-AU"/>
        </w:rPr>
        <w:t xml:space="preserve">in </w:t>
      </w:r>
      <w:r w:rsidR="00966966" w:rsidRPr="00102445">
        <w:rPr>
          <w:rFonts w:eastAsia="Times New Roman" w:cs="Times New Roman"/>
          <w:color w:val="000000"/>
          <w:szCs w:val="24"/>
          <w:u w:val="single"/>
          <w:lang w:eastAsia="en-AU"/>
        </w:rPr>
        <w:t xml:space="preserve">Attachment </w:t>
      </w:r>
      <w:r w:rsidR="00E34BE3" w:rsidRPr="00102445">
        <w:rPr>
          <w:rFonts w:eastAsia="Times New Roman" w:cs="Times New Roman"/>
          <w:color w:val="000000"/>
          <w:szCs w:val="24"/>
          <w:u w:val="single"/>
          <w:lang w:eastAsia="en-AU"/>
        </w:rPr>
        <w:t>C</w:t>
      </w:r>
      <w:r w:rsidRPr="00102445">
        <w:rPr>
          <w:rFonts w:eastAsia="Times New Roman" w:cs="Times New Roman"/>
          <w:color w:val="000000"/>
          <w:szCs w:val="24"/>
          <w:lang w:eastAsia="en-AU"/>
        </w:rPr>
        <w:t>.</w:t>
      </w:r>
    </w:p>
    <w:p w14:paraId="626F1531" w14:textId="55BD7998" w:rsidR="00350779" w:rsidRPr="00102445" w:rsidRDefault="00392C09" w:rsidP="00521922">
      <w:pPr>
        <w:pStyle w:val="Heading2"/>
      </w:pPr>
      <w:r w:rsidRPr="00102445">
        <w:t xml:space="preserve">Regulatory </w:t>
      </w:r>
      <w:r w:rsidR="004017D1" w:rsidRPr="00102445">
        <w:t>i</w:t>
      </w:r>
      <w:r w:rsidRPr="00102445">
        <w:t>mpact</w:t>
      </w:r>
    </w:p>
    <w:p w14:paraId="423284CC" w14:textId="451EEB57" w:rsidR="007579EF" w:rsidRPr="00102445" w:rsidRDefault="00BB6E6D" w:rsidP="00BB6E6D">
      <w:r w:rsidRPr="00102445">
        <w:t xml:space="preserve">According to </w:t>
      </w:r>
      <w:r w:rsidRPr="00102445">
        <w:rPr>
          <w:i/>
          <w:iCs/>
        </w:rPr>
        <w:t>The</w:t>
      </w:r>
      <w:r w:rsidRPr="00102445">
        <w:t xml:space="preserve"> </w:t>
      </w:r>
      <w:r w:rsidRPr="00102445">
        <w:rPr>
          <w:i/>
          <w:iCs/>
        </w:rPr>
        <w:t>Australian Government Guide to Regulatory Impact Analysis</w:t>
      </w:r>
      <w:r w:rsidRPr="00102445">
        <w:t>, a</w:t>
      </w:r>
      <w:r w:rsidR="00C37C1A" w:rsidRPr="00102445">
        <w:t xml:space="preserve"> Regulatory Impact Analysis </w:t>
      </w:r>
      <w:r w:rsidR="004A7DBA" w:rsidRPr="00102445">
        <w:t xml:space="preserve">(RIA) </w:t>
      </w:r>
      <w:r w:rsidR="00EF5B4A" w:rsidRPr="00102445">
        <w:t xml:space="preserve">is </w:t>
      </w:r>
      <w:r w:rsidR="00C37C1A" w:rsidRPr="00102445">
        <w:t>mandatory for decision</w:t>
      </w:r>
      <w:r w:rsidR="00B15755" w:rsidRPr="00102445">
        <w:t xml:space="preserve">s </w:t>
      </w:r>
      <w:r w:rsidR="00C37C1A" w:rsidRPr="00102445">
        <w:t>made by any Australian Government entity if that decision is likely to have a more than minor impact on businesses, community organisations, individuals</w:t>
      </w:r>
      <w:r w:rsidR="009722A5" w:rsidRPr="00102445">
        <w:t>,</w:t>
      </w:r>
      <w:r w:rsidR="00C37C1A" w:rsidRPr="00102445">
        <w:t xml:space="preserve"> or any combination.</w:t>
      </w:r>
      <w:r w:rsidR="009D57A2" w:rsidRPr="00102445">
        <w:t xml:space="preserve"> </w:t>
      </w:r>
      <w:r w:rsidR="00DF4253" w:rsidRPr="00102445">
        <w:t>T</w:t>
      </w:r>
      <w:r w:rsidR="007579EF" w:rsidRPr="00102445">
        <w:t xml:space="preserve">o support transparency, </w:t>
      </w:r>
      <w:r w:rsidR="00D21A13" w:rsidRPr="00102445">
        <w:t xml:space="preserve">an </w:t>
      </w:r>
      <w:r w:rsidR="007579EF" w:rsidRPr="00102445">
        <w:t xml:space="preserve">Impact Analysis must be included in any Explanatory Statement giving effect to the proposals in the </w:t>
      </w:r>
      <w:r w:rsidR="004A7DBA" w:rsidRPr="00102445">
        <w:t>R</w:t>
      </w:r>
      <w:r w:rsidR="007579EF" w:rsidRPr="00102445">
        <w:t>IA</w:t>
      </w:r>
      <w:r w:rsidR="00D21A13" w:rsidRPr="00102445">
        <w:t>.</w:t>
      </w:r>
    </w:p>
    <w:p w14:paraId="172FE162" w14:textId="3975A7EF" w:rsidR="00585B71" w:rsidRPr="00102445" w:rsidRDefault="002F0C9A" w:rsidP="00521922">
      <w:r w:rsidRPr="00102445">
        <w:t xml:space="preserve">The Regulatory Impact </w:t>
      </w:r>
      <w:r w:rsidR="00E25186" w:rsidRPr="00102445">
        <w:t>Analysis</w:t>
      </w:r>
      <w:r w:rsidRPr="00102445">
        <w:t xml:space="preserve"> is included in </w:t>
      </w:r>
      <w:r w:rsidRPr="00102445">
        <w:rPr>
          <w:u w:val="single"/>
        </w:rPr>
        <w:t xml:space="preserve">Attachment </w:t>
      </w:r>
      <w:r w:rsidR="00E34BE3" w:rsidRPr="00102445">
        <w:rPr>
          <w:u w:val="single"/>
        </w:rPr>
        <w:t>D</w:t>
      </w:r>
      <w:r w:rsidR="00966966" w:rsidRPr="00102445">
        <w:t>.</w:t>
      </w:r>
      <w:r w:rsidR="00966966" w:rsidRPr="00102445">
        <w:rPr>
          <w:u w:val="single"/>
        </w:rPr>
        <w:t xml:space="preserve"> </w:t>
      </w:r>
    </w:p>
    <w:p w14:paraId="4818CCF0" w14:textId="79F61970" w:rsidR="00696CF0" w:rsidRPr="00102445" w:rsidRDefault="00392C09" w:rsidP="00521922">
      <w:pPr>
        <w:pStyle w:val="Heading2"/>
      </w:pPr>
      <w:r w:rsidRPr="00102445">
        <w:lastRenderedPageBreak/>
        <w:t>Commencement</w:t>
      </w:r>
    </w:p>
    <w:p w14:paraId="6F9CD3BE" w14:textId="0D51B89F" w:rsidR="000E0CEE" w:rsidRPr="00102445" w:rsidRDefault="002576D3" w:rsidP="006D145B">
      <w:r w:rsidRPr="00102445">
        <w:t>The Amendment Rule</w:t>
      </w:r>
      <w:r w:rsidR="00E4193D" w:rsidRPr="00102445">
        <w:t>s</w:t>
      </w:r>
      <w:r w:rsidRPr="00102445">
        <w:t xml:space="preserve"> </w:t>
      </w:r>
      <w:r w:rsidR="008952D6" w:rsidRPr="00102445">
        <w:t xml:space="preserve">is a </w:t>
      </w:r>
      <w:r w:rsidRPr="00102445">
        <w:t>legislative instrument within the meaning of the Legislation Act 2003. The whole of the Amendment Rule</w:t>
      </w:r>
      <w:r w:rsidR="00E4193D" w:rsidRPr="00102445">
        <w:t>s</w:t>
      </w:r>
      <w:r w:rsidRPr="00102445">
        <w:t xml:space="preserve"> will commence</w:t>
      </w:r>
      <w:r w:rsidR="00A27408" w:rsidRPr="00102445">
        <w:t xml:space="preserve"> on 1 July 2023</w:t>
      </w:r>
      <w:r w:rsidRPr="00102445">
        <w:t xml:space="preserve">. </w:t>
      </w:r>
    </w:p>
    <w:p w14:paraId="562E540B" w14:textId="0C3E1088" w:rsidR="005D2321" w:rsidRPr="00102445" w:rsidRDefault="005D2321" w:rsidP="005D2321"/>
    <w:p w14:paraId="1103BC73" w14:textId="1F668425" w:rsidR="00DA552F" w:rsidRPr="00102445" w:rsidRDefault="00DA552F" w:rsidP="000E5332">
      <w:pPr>
        <w:spacing w:before="240" w:after="240"/>
        <w:jc w:val="center"/>
        <w:rPr>
          <w:rFonts w:cs="Times New Roman"/>
          <w:b/>
          <w:szCs w:val="24"/>
        </w:rPr>
        <w:sectPr w:rsidR="00DA552F" w:rsidRPr="00102445" w:rsidSect="00785B13">
          <w:footerReference w:type="default" r:id="rId11"/>
          <w:pgSz w:w="11906" w:h="16838"/>
          <w:pgMar w:top="1440" w:right="1440" w:bottom="1440" w:left="1440" w:header="708" w:footer="708" w:gutter="0"/>
          <w:pgNumType w:start="1"/>
          <w:cols w:space="708"/>
          <w:docGrid w:linePitch="360"/>
        </w:sectPr>
      </w:pPr>
    </w:p>
    <w:p w14:paraId="192B2E5C" w14:textId="0417D689" w:rsidR="00DA552F" w:rsidRPr="00102445" w:rsidRDefault="000E5332" w:rsidP="00132399">
      <w:pPr>
        <w:pStyle w:val="Heading1"/>
      </w:pPr>
      <w:r w:rsidRPr="00102445">
        <w:rPr>
          <w:lang w:eastAsia="en-AU"/>
        </w:rPr>
        <w:lastRenderedPageBreak/>
        <w:t>National Greenhouse and Energy Reporting (Safeguard Mechanism) Amendment (Reforms) Rules 2023</w:t>
      </w:r>
    </w:p>
    <w:p w14:paraId="2CB27D3C" w14:textId="716640E1" w:rsidR="007E642A" w:rsidRPr="00102445" w:rsidRDefault="00281644" w:rsidP="00132399">
      <w:pPr>
        <w:pStyle w:val="Heading3"/>
      </w:pPr>
      <w:r w:rsidRPr="00102445">
        <w:t xml:space="preserve">Section </w:t>
      </w:r>
      <w:r w:rsidR="007E642A" w:rsidRPr="00102445">
        <w:t xml:space="preserve">1 – Name </w:t>
      </w:r>
    </w:p>
    <w:p w14:paraId="4E71C128" w14:textId="050D5124" w:rsidR="007E642A" w:rsidRPr="00102445" w:rsidRDefault="007E642A" w:rsidP="00591A9C">
      <w:pPr>
        <w:numPr>
          <w:ilvl w:val="0"/>
          <w:numId w:val="2"/>
        </w:numPr>
        <w:spacing w:line="240" w:lineRule="auto"/>
        <w:rPr>
          <w:szCs w:val="24"/>
        </w:rPr>
      </w:pPr>
      <w:r w:rsidRPr="00102445">
        <w:rPr>
          <w:szCs w:val="24"/>
        </w:rPr>
        <w:t xml:space="preserve">This </w:t>
      </w:r>
      <w:r w:rsidR="004926AF" w:rsidRPr="00102445">
        <w:rPr>
          <w:szCs w:val="24"/>
        </w:rPr>
        <w:t>section</w:t>
      </w:r>
      <w:r w:rsidRPr="00102445">
        <w:rPr>
          <w:szCs w:val="24"/>
        </w:rPr>
        <w:t xml:space="preserve"> provide</w:t>
      </w:r>
      <w:r w:rsidR="00FD4170" w:rsidRPr="00102445">
        <w:rPr>
          <w:szCs w:val="24"/>
        </w:rPr>
        <w:t>s</w:t>
      </w:r>
      <w:r w:rsidRPr="00102445">
        <w:rPr>
          <w:szCs w:val="24"/>
        </w:rPr>
        <w:t xml:space="preserve"> that the title of the </w:t>
      </w:r>
      <w:r w:rsidR="00A86E30" w:rsidRPr="00102445">
        <w:rPr>
          <w:szCs w:val="24"/>
        </w:rPr>
        <w:t xml:space="preserve">Amendment Rules </w:t>
      </w:r>
      <w:r w:rsidRPr="00102445">
        <w:rPr>
          <w:szCs w:val="24"/>
        </w:rPr>
        <w:t>is the</w:t>
      </w:r>
      <w:r w:rsidR="0000790B" w:rsidRPr="00102445">
        <w:rPr>
          <w:szCs w:val="24"/>
        </w:rPr>
        <w:t xml:space="preserve"> </w:t>
      </w:r>
      <w:r w:rsidR="000E5332" w:rsidRPr="00102445">
        <w:rPr>
          <w:i/>
          <w:szCs w:val="24"/>
        </w:rPr>
        <w:t>National Greenhouse and Energy Reporting (Safeguard Mechanism) Amendment (Reforms) Rules 2023</w:t>
      </w:r>
      <w:r w:rsidRPr="00102445">
        <w:rPr>
          <w:szCs w:val="24"/>
        </w:rPr>
        <w:t>.</w:t>
      </w:r>
    </w:p>
    <w:p w14:paraId="516ED10D" w14:textId="44784AB3" w:rsidR="007E642A" w:rsidRPr="00102445" w:rsidRDefault="00281644" w:rsidP="00132399">
      <w:pPr>
        <w:pStyle w:val="Heading3"/>
      </w:pPr>
      <w:r w:rsidRPr="00102445">
        <w:t xml:space="preserve">Section </w:t>
      </w:r>
      <w:r w:rsidR="007E642A" w:rsidRPr="00102445">
        <w:t>2 – Commencement</w:t>
      </w:r>
    </w:p>
    <w:p w14:paraId="50E01D92" w14:textId="147AEFF9" w:rsidR="007E642A" w:rsidRPr="00102445" w:rsidRDefault="007E642A" w:rsidP="00591A9C">
      <w:pPr>
        <w:numPr>
          <w:ilvl w:val="0"/>
          <w:numId w:val="2"/>
        </w:numPr>
        <w:spacing w:line="240" w:lineRule="auto"/>
        <w:rPr>
          <w:szCs w:val="24"/>
        </w:rPr>
      </w:pPr>
      <w:r w:rsidRPr="00102445">
        <w:rPr>
          <w:szCs w:val="24"/>
        </w:rPr>
        <w:t xml:space="preserve">This </w:t>
      </w:r>
      <w:r w:rsidR="004926AF" w:rsidRPr="00102445">
        <w:rPr>
          <w:szCs w:val="24"/>
        </w:rPr>
        <w:t>section</w:t>
      </w:r>
      <w:r w:rsidRPr="00102445">
        <w:rPr>
          <w:szCs w:val="24"/>
        </w:rPr>
        <w:t xml:space="preserve"> provide</w:t>
      </w:r>
      <w:r w:rsidR="00FD4170" w:rsidRPr="00102445">
        <w:rPr>
          <w:szCs w:val="24"/>
        </w:rPr>
        <w:t>s</w:t>
      </w:r>
      <w:r w:rsidRPr="00102445">
        <w:rPr>
          <w:szCs w:val="24"/>
        </w:rPr>
        <w:t xml:space="preserve"> for the</w:t>
      </w:r>
      <w:r w:rsidR="00392C09" w:rsidRPr="00102445">
        <w:rPr>
          <w:szCs w:val="24"/>
        </w:rPr>
        <w:t xml:space="preserve">se amendments </w:t>
      </w:r>
      <w:r w:rsidRPr="00102445">
        <w:rPr>
          <w:szCs w:val="24"/>
        </w:rPr>
        <w:t>to commence on 1 J</w:t>
      </w:r>
      <w:r w:rsidR="000E5332" w:rsidRPr="00102445">
        <w:rPr>
          <w:szCs w:val="24"/>
        </w:rPr>
        <w:t>uly</w:t>
      </w:r>
      <w:r w:rsidRPr="00102445">
        <w:rPr>
          <w:szCs w:val="24"/>
        </w:rPr>
        <w:t> 2023.</w:t>
      </w:r>
    </w:p>
    <w:p w14:paraId="3791175C" w14:textId="26119214" w:rsidR="007E642A" w:rsidRPr="00102445" w:rsidRDefault="00281644" w:rsidP="00132399">
      <w:pPr>
        <w:pStyle w:val="Heading3"/>
      </w:pPr>
      <w:r w:rsidRPr="00102445">
        <w:t xml:space="preserve">Section </w:t>
      </w:r>
      <w:r w:rsidR="007E642A" w:rsidRPr="00102445">
        <w:t>3 – Authority</w:t>
      </w:r>
    </w:p>
    <w:p w14:paraId="0DE3054A" w14:textId="77F08048" w:rsidR="007E642A" w:rsidRPr="00102445" w:rsidRDefault="007E642A" w:rsidP="00591A9C">
      <w:pPr>
        <w:numPr>
          <w:ilvl w:val="0"/>
          <w:numId w:val="2"/>
        </w:numPr>
        <w:spacing w:line="240" w:lineRule="auto"/>
        <w:rPr>
          <w:rFonts w:eastAsia="Times New Roman" w:cs="Times New Roman"/>
          <w:szCs w:val="24"/>
        </w:rPr>
      </w:pPr>
      <w:r w:rsidRPr="00102445">
        <w:t xml:space="preserve">This </w:t>
      </w:r>
      <w:r w:rsidR="004926AF" w:rsidRPr="00102445">
        <w:t>section</w:t>
      </w:r>
      <w:r w:rsidRPr="00102445">
        <w:t xml:space="preserve"> provide</w:t>
      </w:r>
      <w:r w:rsidR="00FD4170" w:rsidRPr="00102445">
        <w:t>s</w:t>
      </w:r>
      <w:r w:rsidRPr="00102445">
        <w:t xml:space="preserve"> that the</w:t>
      </w:r>
      <w:r w:rsidR="0000790B" w:rsidRPr="00102445">
        <w:t xml:space="preserve"> </w:t>
      </w:r>
      <w:r w:rsidR="00C435AD" w:rsidRPr="00102445">
        <w:t>Amendment Rules</w:t>
      </w:r>
      <w:r w:rsidR="000E5332" w:rsidRPr="00102445">
        <w:t xml:space="preserve"> </w:t>
      </w:r>
      <w:r w:rsidR="007D1943" w:rsidRPr="00102445">
        <w:t>are</w:t>
      </w:r>
      <w:r w:rsidRPr="00102445">
        <w:t xml:space="preserve"> made under the </w:t>
      </w:r>
      <w:r w:rsidR="000E5332" w:rsidRPr="00102445">
        <w:t>under section 22XS of the NGER</w:t>
      </w:r>
      <w:r w:rsidRPr="00102445">
        <w:t xml:space="preserve"> Act.</w:t>
      </w:r>
      <w:r w:rsidR="025C812A" w:rsidRPr="00102445">
        <w:t xml:space="preserve"> </w:t>
      </w:r>
      <w:r w:rsidR="025C812A" w:rsidRPr="00102445">
        <w:rPr>
          <w:rFonts w:eastAsia="Times New Roman" w:cs="Times New Roman"/>
          <w:szCs w:val="24"/>
        </w:rPr>
        <w:t xml:space="preserve">The power to make rules in section 22XS includes the power to amend rules already made, with any doubt about this resolved by subsection 33(3) of the </w:t>
      </w:r>
      <w:r w:rsidR="025C812A" w:rsidRPr="00102445">
        <w:rPr>
          <w:rFonts w:eastAsia="Times New Roman" w:cs="Times New Roman"/>
          <w:i/>
          <w:iCs/>
          <w:szCs w:val="24"/>
        </w:rPr>
        <w:t>Acts Interpretation Act 1901</w:t>
      </w:r>
      <w:r w:rsidR="025C812A" w:rsidRPr="00102445">
        <w:rPr>
          <w:rFonts w:eastAsia="Times New Roman" w:cs="Times New Roman"/>
          <w:szCs w:val="24"/>
        </w:rPr>
        <w:t>.</w:t>
      </w:r>
    </w:p>
    <w:p w14:paraId="4CCE4530" w14:textId="5E037885" w:rsidR="007E642A" w:rsidRPr="00102445" w:rsidRDefault="025C812A" w:rsidP="00591A9C">
      <w:pPr>
        <w:numPr>
          <w:ilvl w:val="0"/>
          <w:numId w:val="2"/>
        </w:numPr>
        <w:spacing w:line="240" w:lineRule="auto"/>
        <w:rPr>
          <w:rFonts w:eastAsia="Times New Roman" w:cs="Times New Roman"/>
          <w:szCs w:val="24"/>
        </w:rPr>
      </w:pPr>
      <w:r w:rsidRPr="00102445">
        <w:rPr>
          <w:rFonts w:eastAsia="Times New Roman" w:cs="Times New Roman"/>
          <w:szCs w:val="24"/>
        </w:rPr>
        <w:t>Subsection 22XS(4) of the NGER Act allows the rules to incorporate documents as in force from time to time, which is necessary in some circumstances to ensure technical details related to the rules remain up to date with industry standards.</w:t>
      </w:r>
    </w:p>
    <w:p w14:paraId="7E1753C1" w14:textId="143F33C2" w:rsidR="007E642A" w:rsidRPr="00102445" w:rsidRDefault="00281644" w:rsidP="00132399">
      <w:pPr>
        <w:pStyle w:val="Heading3"/>
      </w:pPr>
      <w:r w:rsidRPr="00102445">
        <w:t>Section </w:t>
      </w:r>
      <w:r w:rsidR="007E642A" w:rsidRPr="00102445">
        <w:t>4 – Schedules</w:t>
      </w:r>
    </w:p>
    <w:p w14:paraId="5E111AC1" w14:textId="72DE6A1E" w:rsidR="00AD36D9" w:rsidRPr="00102445" w:rsidRDefault="00F8459D" w:rsidP="00591A9C">
      <w:pPr>
        <w:numPr>
          <w:ilvl w:val="0"/>
          <w:numId w:val="2"/>
        </w:numPr>
        <w:spacing w:line="240" w:lineRule="auto"/>
        <w:rPr>
          <w:szCs w:val="24"/>
        </w:rPr>
      </w:pPr>
      <w:r w:rsidRPr="00102445">
        <w:t xml:space="preserve">This section </w:t>
      </w:r>
      <w:r w:rsidR="00D15F76" w:rsidRPr="00102445">
        <w:t>s</w:t>
      </w:r>
      <w:r w:rsidR="00AF3312" w:rsidRPr="00102445">
        <w:t>tates</w:t>
      </w:r>
      <w:r w:rsidR="00D15F76" w:rsidRPr="00102445">
        <w:t xml:space="preserve"> that </w:t>
      </w:r>
      <w:r w:rsidR="009F3305" w:rsidRPr="00102445">
        <w:t xml:space="preserve">each </w:t>
      </w:r>
      <w:r w:rsidR="00D15F76" w:rsidRPr="00102445">
        <w:t xml:space="preserve">instrument that is specified in a Schedule to </w:t>
      </w:r>
      <w:r w:rsidR="009F3305" w:rsidRPr="00102445">
        <w:t xml:space="preserve">the Amendment Rules </w:t>
      </w:r>
      <w:r w:rsidR="00D15F76" w:rsidRPr="00102445">
        <w:t>is amended or repealed as set out in the applicable items in the Schedule concerned, and any other item in a Schedule to this instrument has effect according to its terms</w:t>
      </w:r>
      <w:r w:rsidR="00AB7A66" w:rsidRPr="00102445">
        <w:t xml:space="preserve">. The Amendment Rules </w:t>
      </w:r>
      <w:r w:rsidRPr="00102445">
        <w:t>consist of a single schedule (Schedule 1)</w:t>
      </w:r>
      <w:r w:rsidR="00AF3312" w:rsidRPr="00102445">
        <w:t>.</w:t>
      </w:r>
    </w:p>
    <w:p w14:paraId="0A5E1FA5" w14:textId="44D389AE" w:rsidR="00C65B2D" w:rsidRPr="00102445" w:rsidRDefault="00C65B2D" w:rsidP="00B656BF">
      <w:pPr>
        <w:pStyle w:val="Scheduleheading"/>
        <w:spacing w:before="240" w:after="240"/>
      </w:pPr>
      <w:r w:rsidRPr="00102445">
        <w:t xml:space="preserve">Schedule 1— </w:t>
      </w:r>
      <w:r w:rsidR="006303CC" w:rsidRPr="00102445">
        <w:t>Amendments</w:t>
      </w:r>
    </w:p>
    <w:p w14:paraId="04B18099" w14:textId="423D0FB8" w:rsidR="0041767C" w:rsidRPr="00102445" w:rsidRDefault="0041767C" w:rsidP="00591A9C">
      <w:pPr>
        <w:numPr>
          <w:ilvl w:val="0"/>
          <w:numId w:val="2"/>
        </w:numPr>
        <w:spacing w:line="240" w:lineRule="auto"/>
        <w:rPr>
          <w:szCs w:val="24"/>
        </w:rPr>
      </w:pPr>
      <w:r w:rsidRPr="00102445">
        <w:t xml:space="preserve">Schedule 1 amends the </w:t>
      </w:r>
      <w:r w:rsidR="00E4193D" w:rsidRPr="00102445">
        <w:t xml:space="preserve">Safeguard </w:t>
      </w:r>
      <w:r w:rsidR="009363D4" w:rsidRPr="00102445">
        <w:t>Rule</w:t>
      </w:r>
      <w:r w:rsidR="00E4193D" w:rsidRPr="00102445">
        <w:t>s</w:t>
      </w:r>
      <w:r w:rsidRPr="00102445">
        <w:t xml:space="preserve">. </w:t>
      </w:r>
    </w:p>
    <w:p w14:paraId="7806FA16" w14:textId="7B0905A5" w:rsidR="007E642A" w:rsidRPr="00102445" w:rsidRDefault="007E642A" w:rsidP="00817E01">
      <w:pPr>
        <w:pStyle w:val="Itemheadings"/>
      </w:pPr>
      <w:r w:rsidRPr="00102445">
        <w:t xml:space="preserve">Item 1 – </w:t>
      </w:r>
      <w:r w:rsidR="00392C09" w:rsidRPr="00102445">
        <w:t>Section 4</w:t>
      </w:r>
    </w:p>
    <w:p w14:paraId="261A95C4" w14:textId="6DA26AAE" w:rsidR="007E642A" w:rsidRPr="00102445" w:rsidRDefault="00A60FD4" w:rsidP="00591A9C">
      <w:pPr>
        <w:numPr>
          <w:ilvl w:val="0"/>
          <w:numId w:val="2"/>
        </w:numPr>
        <w:spacing w:line="240" w:lineRule="auto"/>
        <w:rPr>
          <w:rFonts w:eastAsia="Times New Roman" w:cs="Times New Roman"/>
          <w:szCs w:val="24"/>
        </w:rPr>
      </w:pPr>
      <w:r w:rsidRPr="00102445">
        <w:t>Introduces</w:t>
      </w:r>
      <w:r w:rsidR="00182122" w:rsidRPr="00102445">
        <w:t xml:space="preserve"> </w:t>
      </w:r>
      <w:r w:rsidR="00CD2373" w:rsidRPr="00102445">
        <w:t>t</w:t>
      </w:r>
      <w:r w:rsidR="001720D5" w:rsidRPr="00102445">
        <w:t xml:space="preserve">he definitions of ‘amount’ </w:t>
      </w:r>
      <w:r w:rsidR="0009636A" w:rsidRPr="00102445">
        <w:t xml:space="preserve">to specify it can include a </w:t>
      </w:r>
      <w:r w:rsidR="001720D5" w:rsidRPr="00102445">
        <w:t xml:space="preserve">nil amount; </w:t>
      </w:r>
      <w:r w:rsidR="003823F1" w:rsidRPr="00102445">
        <w:t>‘</w:t>
      </w:r>
      <w:r w:rsidR="00611B28" w:rsidRPr="00102445">
        <w:t>accelerat</w:t>
      </w:r>
      <w:r w:rsidR="00774ED1" w:rsidRPr="00102445">
        <w:t>ing</w:t>
      </w:r>
      <w:r w:rsidR="00611B28" w:rsidRPr="00102445">
        <w:t xml:space="preserve"> depreciation factor’ with reference to subsection </w:t>
      </w:r>
      <w:r w:rsidR="00EB7996" w:rsidRPr="00102445">
        <w:t>37</w:t>
      </w:r>
      <w:r w:rsidR="00611B28" w:rsidRPr="00102445">
        <w:t>(</w:t>
      </w:r>
      <w:r w:rsidR="00EB7996" w:rsidRPr="00102445">
        <w:t>6</w:t>
      </w:r>
      <w:r w:rsidR="00611B28" w:rsidRPr="00102445">
        <w:t>)</w:t>
      </w:r>
      <w:r w:rsidR="001720D5" w:rsidRPr="00102445">
        <w:t xml:space="preserve"> ‘assessed cost impact’ for a facility for a financial year with reference to section </w:t>
      </w:r>
      <w:r w:rsidR="00EB7996" w:rsidRPr="00102445">
        <w:t xml:space="preserve">36 </w:t>
      </w:r>
      <w:r w:rsidR="001720D5" w:rsidRPr="00102445">
        <w:t>for further meaning and formula;</w:t>
      </w:r>
      <w:r w:rsidR="005801E0" w:rsidRPr="00102445">
        <w:t xml:space="preserve"> </w:t>
      </w:r>
      <w:r w:rsidR="001720D5" w:rsidRPr="00102445">
        <w:t xml:space="preserve">and </w:t>
      </w:r>
      <w:r w:rsidR="00182122" w:rsidRPr="00102445">
        <w:t xml:space="preserve">‘Australian accounting standards’ </w:t>
      </w:r>
      <w:r w:rsidR="001720D5" w:rsidRPr="00102445">
        <w:t>which</w:t>
      </w:r>
      <w:r w:rsidRPr="00102445">
        <w:t xml:space="preserve"> </w:t>
      </w:r>
      <w:r w:rsidR="00B87810" w:rsidRPr="00102445">
        <w:t xml:space="preserve">refers to </w:t>
      </w:r>
      <w:r w:rsidR="00182122" w:rsidRPr="00102445">
        <w:t xml:space="preserve">the </w:t>
      </w:r>
      <w:r w:rsidR="00B87810" w:rsidRPr="00102445">
        <w:t xml:space="preserve">accounting standards in force under section 334 of the </w:t>
      </w:r>
      <w:r w:rsidR="00B87810" w:rsidRPr="00102445">
        <w:rPr>
          <w:i/>
        </w:rPr>
        <w:t>Corporations Act 2001</w:t>
      </w:r>
      <w:r w:rsidR="00B87810" w:rsidRPr="00102445">
        <w:t>.</w:t>
      </w:r>
      <w:r w:rsidR="00664F63" w:rsidRPr="00102445">
        <w:t xml:space="preserve"> In 2023, the Australian accounting standards were accessible at </w:t>
      </w:r>
      <w:hyperlink r:id="rId12" w:history="1">
        <w:r w:rsidR="418A4922" w:rsidRPr="00102445">
          <w:rPr>
            <w:rStyle w:val="Hyperlink"/>
          </w:rPr>
          <w:t>http://www.aasb.gov.au</w:t>
        </w:r>
      </w:hyperlink>
      <w:r w:rsidR="418A4922" w:rsidRPr="00102445">
        <w:t>.</w:t>
      </w:r>
      <w:r w:rsidR="1F518F33" w:rsidRPr="00102445">
        <w:t xml:space="preserve"> </w:t>
      </w:r>
      <w:r w:rsidR="1F518F33" w:rsidRPr="00102445">
        <w:rPr>
          <w:rFonts w:eastAsia="Times New Roman" w:cs="Times New Roman"/>
          <w:szCs w:val="24"/>
        </w:rPr>
        <w:t xml:space="preserve">These standards are incorporated as in force from time to time to ensure that the approach to financial data is up to date and consistent with company data under the </w:t>
      </w:r>
      <w:r w:rsidR="1F518F33" w:rsidRPr="00102445">
        <w:rPr>
          <w:rFonts w:eastAsia="Times New Roman" w:cs="Times New Roman"/>
          <w:i/>
          <w:iCs/>
          <w:szCs w:val="24"/>
        </w:rPr>
        <w:t>Corporations Act 2001</w:t>
      </w:r>
      <w:r w:rsidR="00664F63" w:rsidRPr="00102445">
        <w:rPr>
          <w:rFonts w:eastAsia="Times New Roman" w:cs="Times New Roman"/>
          <w:szCs w:val="24"/>
        </w:rPr>
        <w:t>.</w:t>
      </w:r>
    </w:p>
    <w:p w14:paraId="5307FB7F" w14:textId="6D775C0F" w:rsidR="00C435AD" w:rsidRPr="00102445" w:rsidRDefault="00C435AD" w:rsidP="00B656BF">
      <w:pPr>
        <w:pStyle w:val="Itemheadings"/>
      </w:pPr>
      <w:r w:rsidRPr="00102445">
        <w:t>Item 2 – Section 4</w:t>
      </w:r>
    </w:p>
    <w:p w14:paraId="67CD88DA" w14:textId="5493E13F" w:rsidR="00C435AD" w:rsidRPr="00102445" w:rsidRDefault="00866473"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Removes</w:t>
      </w:r>
      <w:r w:rsidR="00C435AD" w:rsidRPr="00102445">
        <w:rPr>
          <w:rFonts w:eastAsia="Times New Roman" w:cs="Times New Roman"/>
          <w:lang w:eastAsia="en-AU"/>
        </w:rPr>
        <w:t xml:space="preserve"> the definitions of ‘</w:t>
      </w:r>
      <w:r w:rsidR="00C435AD" w:rsidRPr="00102445">
        <w:rPr>
          <w:rFonts w:eastAsia="Times New Roman" w:cs="Times New Roman"/>
          <w:i/>
          <w:lang w:eastAsia="en-AU"/>
        </w:rPr>
        <w:t>baseline determination</w:t>
      </w:r>
      <w:r w:rsidR="00C435AD" w:rsidRPr="00102445">
        <w:rPr>
          <w:rFonts w:eastAsia="Times New Roman" w:cs="Times New Roman"/>
          <w:lang w:eastAsia="en-AU"/>
        </w:rPr>
        <w:t>’, ‘</w:t>
      </w:r>
      <w:r w:rsidR="00C435AD" w:rsidRPr="00102445">
        <w:rPr>
          <w:rFonts w:eastAsia="Times New Roman" w:cs="Times New Roman"/>
          <w:i/>
          <w:lang w:eastAsia="en-AU"/>
        </w:rPr>
        <w:t>baseline intensity comparison year</w:t>
      </w:r>
      <w:r w:rsidR="00C435AD" w:rsidRPr="00102445">
        <w:rPr>
          <w:rFonts w:eastAsia="Times New Roman" w:cs="Times New Roman"/>
          <w:lang w:eastAsia="en-AU"/>
        </w:rPr>
        <w:t>’, ‘</w:t>
      </w:r>
      <w:r w:rsidR="00C435AD" w:rsidRPr="00102445">
        <w:rPr>
          <w:rFonts w:eastAsia="Times New Roman" w:cs="Times New Roman"/>
          <w:i/>
          <w:lang w:eastAsia="en-AU"/>
        </w:rPr>
        <w:t>benchmark-emissions baseline determination</w:t>
      </w:r>
      <w:r w:rsidR="00C435AD" w:rsidRPr="00102445">
        <w:rPr>
          <w:rFonts w:eastAsia="Times New Roman" w:cs="Times New Roman"/>
          <w:lang w:eastAsia="en-AU"/>
        </w:rPr>
        <w:t>’</w:t>
      </w:r>
      <w:r w:rsidR="00CC3256" w:rsidRPr="00102445">
        <w:rPr>
          <w:rFonts w:eastAsia="Times New Roman" w:cs="Times New Roman"/>
          <w:lang w:eastAsia="en-AU"/>
        </w:rPr>
        <w:t>,</w:t>
      </w:r>
      <w:r w:rsidR="00191290" w:rsidRPr="00102445">
        <w:rPr>
          <w:rFonts w:eastAsia="Times New Roman" w:cs="Times New Roman"/>
          <w:lang w:eastAsia="en-AU"/>
        </w:rPr>
        <w:t xml:space="preserve"> and </w:t>
      </w:r>
      <w:r w:rsidR="00C435AD" w:rsidRPr="00102445">
        <w:rPr>
          <w:rFonts w:eastAsia="Times New Roman" w:cs="Times New Roman"/>
          <w:lang w:eastAsia="en-AU"/>
        </w:rPr>
        <w:t>‘</w:t>
      </w:r>
      <w:r w:rsidR="00C435AD" w:rsidRPr="00102445">
        <w:rPr>
          <w:rFonts w:eastAsia="Times New Roman" w:cs="Times New Roman"/>
          <w:i/>
          <w:lang w:eastAsia="en-AU"/>
        </w:rPr>
        <w:t>Benchmark Emissions-Intensity Index</w:t>
      </w:r>
      <w:r w:rsidR="00C435AD" w:rsidRPr="00102445">
        <w:rPr>
          <w:rFonts w:eastAsia="Times New Roman" w:cs="Times New Roman"/>
          <w:lang w:eastAsia="en-AU"/>
        </w:rPr>
        <w:t xml:space="preserve">’ </w:t>
      </w:r>
      <w:r w:rsidR="008B014C" w:rsidRPr="00102445">
        <w:rPr>
          <w:rFonts w:eastAsia="Times New Roman" w:cs="Times New Roman"/>
          <w:lang w:eastAsia="en-AU"/>
        </w:rPr>
        <w:t xml:space="preserve">as these are </w:t>
      </w:r>
      <w:r w:rsidR="00A7330A" w:rsidRPr="00102445">
        <w:rPr>
          <w:rFonts w:eastAsia="Times New Roman" w:cs="Times New Roman"/>
          <w:lang w:eastAsia="en-AU"/>
        </w:rPr>
        <w:t xml:space="preserve">no longer </w:t>
      </w:r>
      <w:r w:rsidR="00D15535" w:rsidRPr="00102445">
        <w:rPr>
          <w:rFonts w:eastAsia="Times New Roman" w:cs="Times New Roman"/>
          <w:lang w:eastAsia="en-AU"/>
        </w:rPr>
        <w:t>applicable</w:t>
      </w:r>
      <w:r w:rsidR="008B014C" w:rsidRPr="00102445">
        <w:rPr>
          <w:rFonts w:eastAsia="Times New Roman" w:cs="Times New Roman"/>
          <w:lang w:eastAsia="en-AU"/>
        </w:rPr>
        <w:t xml:space="preserve"> under the</w:t>
      </w:r>
      <w:r w:rsidR="00A7330A" w:rsidRPr="00102445">
        <w:rPr>
          <w:rFonts w:eastAsia="Times New Roman" w:cs="Times New Roman"/>
          <w:lang w:eastAsia="en-AU"/>
        </w:rPr>
        <w:t xml:space="preserve"> </w:t>
      </w:r>
      <w:r w:rsidR="008B014C" w:rsidRPr="00102445">
        <w:rPr>
          <w:rFonts w:eastAsia="Times New Roman" w:cs="Times New Roman"/>
          <w:lang w:eastAsia="en-AU"/>
        </w:rPr>
        <w:t xml:space="preserve">reformed </w:t>
      </w:r>
      <w:r w:rsidR="00A7330A" w:rsidRPr="00102445">
        <w:rPr>
          <w:rFonts w:eastAsia="Times New Roman" w:cs="Times New Roman"/>
          <w:lang w:eastAsia="en-AU"/>
        </w:rPr>
        <w:t>Safeguard Mechanism.</w:t>
      </w:r>
    </w:p>
    <w:p w14:paraId="3D0175E3" w14:textId="79A51B52" w:rsidR="000C0ED8" w:rsidRPr="00102445" w:rsidRDefault="000C0ED8" w:rsidP="00B656BF">
      <w:pPr>
        <w:pStyle w:val="Itemheadings"/>
      </w:pPr>
      <w:r w:rsidRPr="00102445">
        <w:lastRenderedPageBreak/>
        <w:t>Item 3 – Section 4</w:t>
      </w:r>
    </w:p>
    <w:p w14:paraId="7C144D65" w14:textId="1DAD890C" w:rsidR="000C0ED8" w:rsidRPr="00102445" w:rsidRDefault="00D26867"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Introduces definitions</w:t>
      </w:r>
      <w:r w:rsidR="00CC3256" w:rsidRPr="00102445">
        <w:rPr>
          <w:rFonts w:eastAsia="Times New Roman" w:cs="Times New Roman"/>
          <w:lang w:eastAsia="en-AU"/>
        </w:rPr>
        <w:t xml:space="preserve"> of </w:t>
      </w:r>
      <w:r w:rsidR="00CC3256" w:rsidRPr="00102445">
        <w:rPr>
          <w:rFonts w:eastAsia="Times New Roman" w:cs="Times New Roman"/>
          <w:i/>
          <w:lang w:eastAsia="en-AU"/>
        </w:rPr>
        <w:t>‘best practice emissions intensity’</w:t>
      </w:r>
      <w:r w:rsidR="00CC3256" w:rsidRPr="00102445">
        <w:rPr>
          <w:rFonts w:eastAsia="Times New Roman" w:cs="Times New Roman"/>
          <w:lang w:eastAsia="en-AU"/>
        </w:rPr>
        <w:t xml:space="preserve"> </w:t>
      </w:r>
      <w:r w:rsidR="00295917" w:rsidRPr="00102445">
        <w:rPr>
          <w:rFonts w:eastAsia="Times New Roman" w:cs="Times New Roman"/>
          <w:lang w:eastAsia="en-AU"/>
        </w:rPr>
        <w:t xml:space="preserve">for a production variable </w:t>
      </w:r>
      <w:r w:rsidR="00D23509" w:rsidRPr="00102445">
        <w:rPr>
          <w:rFonts w:eastAsia="Times New Roman" w:cs="Times New Roman"/>
          <w:lang w:eastAsia="en-AU"/>
        </w:rPr>
        <w:t>and</w:t>
      </w:r>
      <w:r w:rsidR="00295917" w:rsidRPr="00102445" w:rsidDel="00D23509">
        <w:rPr>
          <w:rFonts w:eastAsia="Times New Roman" w:cs="Times New Roman"/>
          <w:lang w:eastAsia="en-AU"/>
        </w:rPr>
        <w:t xml:space="preserve"> </w:t>
      </w:r>
      <w:r w:rsidR="00D23509" w:rsidRPr="00102445">
        <w:rPr>
          <w:rFonts w:eastAsia="Times New Roman" w:cs="Times New Roman"/>
          <w:lang w:eastAsia="en-AU"/>
        </w:rPr>
        <w:t xml:space="preserve">a </w:t>
      </w:r>
      <w:r w:rsidR="00295917" w:rsidRPr="00102445">
        <w:rPr>
          <w:rFonts w:eastAsia="Times New Roman" w:cs="Times New Roman"/>
          <w:lang w:eastAsia="en-AU"/>
        </w:rPr>
        <w:t>financial year; ‘</w:t>
      </w:r>
      <w:r w:rsidR="00295917" w:rsidRPr="00102445">
        <w:rPr>
          <w:rFonts w:eastAsia="Times New Roman" w:cs="Times New Roman"/>
          <w:i/>
          <w:lang w:eastAsia="en-AU"/>
        </w:rPr>
        <w:t>best practice emissions intensity number</w:t>
      </w:r>
      <w:r w:rsidR="00295917" w:rsidRPr="00102445">
        <w:rPr>
          <w:rFonts w:eastAsia="Times New Roman" w:cs="Times New Roman"/>
          <w:lang w:eastAsia="en-AU"/>
        </w:rPr>
        <w:t>’ which is a number that is equal to the best practice emissions intensity for a production variable for the financial year; ‘</w:t>
      </w:r>
      <w:r w:rsidR="00295917" w:rsidRPr="00102445">
        <w:rPr>
          <w:rFonts w:eastAsia="Times New Roman" w:cs="Times New Roman"/>
          <w:i/>
          <w:lang w:eastAsia="en-AU"/>
        </w:rPr>
        <w:t>borrowing adjustment</w:t>
      </w:r>
      <w:r w:rsidR="00295917" w:rsidRPr="00102445">
        <w:rPr>
          <w:rFonts w:eastAsia="Times New Roman" w:cs="Times New Roman"/>
          <w:lang w:eastAsia="en-AU"/>
        </w:rPr>
        <w:t>’ for a production variable has the meaning given by</w:t>
      </w:r>
      <w:r w:rsidR="00C52901" w:rsidRPr="00102445">
        <w:rPr>
          <w:rFonts w:eastAsia="Times New Roman" w:cs="Times New Roman"/>
          <w:lang w:eastAsia="en-AU"/>
        </w:rPr>
        <w:t xml:space="preserve"> the formula provided in </w:t>
      </w:r>
      <w:r w:rsidR="00295917" w:rsidRPr="00102445">
        <w:rPr>
          <w:rFonts w:eastAsia="Times New Roman" w:cs="Times New Roman"/>
          <w:lang w:eastAsia="en-AU"/>
        </w:rPr>
        <w:t xml:space="preserve">section </w:t>
      </w:r>
      <w:r w:rsidR="00072709" w:rsidRPr="00102445">
        <w:rPr>
          <w:rFonts w:eastAsia="Times New Roman" w:cs="Times New Roman"/>
          <w:lang w:eastAsia="en-AU"/>
        </w:rPr>
        <w:t>47</w:t>
      </w:r>
      <w:r w:rsidR="00C52901" w:rsidRPr="00102445">
        <w:rPr>
          <w:rFonts w:eastAsia="Times New Roman" w:cs="Times New Roman"/>
          <w:lang w:eastAsia="en-AU"/>
        </w:rPr>
        <w:t>; ‘</w:t>
      </w:r>
      <w:r w:rsidR="007411D6" w:rsidRPr="00102445">
        <w:rPr>
          <w:rFonts w:eastAsia="Times New Roman" w:cs="Times New Roman"/>
          <w:i/>
          <w:lang w:eastAsia="en-AU"/>
        </w:rPr>
        <w:t>borrowing adjustment determination</w:t>
      </w:r>
      <w:r w:rsidR="007411D6" w:rsidRPr="00102445">
        <w:rPr>
          <w:rFonts w:eastAsia="Times New Roman" w:cs="Times New Roman"/>
          <w:lang w:eastAsia="en-AU"/>
        </w:rPr>
        <w:t xml:space="preserve">’ is the determination given by section </w:t>
      </w:r>
      <w:r w:rsidR="00052C74" w:rsidRPr="00102445">
        <w:rPr>
          <w:rFonts w:eastAsia="Times New Roman" w:cs="Times New Roman"/>
          <w:lang w:eastAsia="en-AU"/>
        </w:rPr>
        <w:t>50</w:t>
      </w:r>
      <w:r w:rsidR="00BE480E" w:rsidRPr="00102445">
        <w:rPr>
          <w:rFonts w:eastAsia="Times New Roman" w:cs="Times New Roman"/>
          <w:lang w:eastAsia="en-AU"/>
        </w:rPr>
        <w:t>; and ‘</w:t>
      </w:r>
      <w:r w:rsidR="00BE480E" w:rsidRPr="00102445">
        <w:rPr>
          <w:rFonts w:eastAsia="Times New Roman" w:cs="Times New Roman"/>
          <w:i/>
          <w:lang w:eastAsia="en-AU"/>
        </w:rPr>
        <w:t>borrowing adjustment determination number</w:t>
      </w:r>
      <w:r w:rsidR="00BE480E" w:rsidRPr="00102445">
        <w:rPr>
          <w:rFonts w:eastAsia="Times New Roman" w:cs="Times New Roman"/>
          <w:lang w:eastAsia="en-AU"/>
        </w:rPr>
        <w:t xml:space="preserve">’ for a facility for a financial year as outlined in subsection </w:t>
      </w:r>
      <w:r w:rsidR="00052C74" w:rsidRPr="00102445">
        <w:rPr>
          <w:rFonts w:eastAsia="Times New Roman" w:cs="Times New Roman"/>
          <w:lang w:eastAsia="en-AU"/>
        </w:rPr>
        <w:t>50</w:t>
      </w:r>
      <w:r w:rsidR="00BE480E" w:rsidRPr="00102445">
        <w:rPr>
          <w:rFonts w:eastAsia="Times New Roman" w:cs="Times New Roman"/>
          <w:lang w:eastAsia="en-AU"/>
        </w:rPr>
        <w:t>(3).</w:t>
      </w:r>
    </w:p>
    <w:p w14:paraId="2BDA5CA0" w14:textId="72C45DC5" w:rsidR="00293335" w:rsidRPr="00102445" w:rsidRDefault="0055174E"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B</w:t>
      </w:r>
      <w:r w:rsidR="00375EFA" w:rsidRPr="00102445">
        <w:rPr>
          <w:rFonts w:eastAsia="Times New Roman" w:cs="Times New Roman"/>
          <w:lang w:eastAsia="en-AU"/>
        </w:rPr>
        <w:t>est practice emissions intensi</w:t>
      </w:r>
      <w:r w:rsidRPr="00102445">
        <w:rPr>
          <w:rFonts w:eastAsia="Times New Roman" w:cs="Times New Roman"/>
          <w:lang w:eastAsia="en-AU"/>
        </w:rPr>
        <w:t xml:space="preserve">ties correspond to </w:t>
      </w:r>
      <w:r w:rsidR="00826B4D" w:rsidRPr="00102445">
        <w:rPr>
          <w:rFonts w:eastAsia="Times New Roman" w:cs="Times New Roman"/>
          <w:lang w:eastAsia="en-AU"/>
        </w:rPr>
        <w:t xml:space="preserve">the </w:t>
      </w:r>
      <w:r w:rsidRPr="00102445">
        <w:rPr>
          <w:rFonts w:eastAsia="Times New Roman" w:cs="Times New Roman"/>
          <w:lang w:eastAsia="en-AU"/>
        </w:rPr>
        <w:t>production variables</w:t>
      </w:r>
      <w:r w:rsidR="001F27AF" w:rsidRPr="00102445">
        <w:rPr>
          <w:rFonts w:eastAsia="Times New Roman" w:cs="Times New Roman"/>
          <w:lang w:eastAsia="en-AU"/>
        </w:rPr>
        <w:t xml:space="preserve"> that are specified in Schedule 1 of the Safeguard Rules (as amended by this instrument).</w:t>
      </w:r>
      <w:r w:rsidR="000A7B82" w:rsidRPr="00102445">
        <w:rPr>
          <w:rFonts w:eastAsia="Times New Roman" w:cs="Times New Roman"/>
          <w:lang w:eastAsia="en-AU"/>
        </w:rPr>
        <w:t xml:space="preserve"> They are applicable to new facilities and new outputs of existing facilities.</w:t>
      </w:r>
      <w:r w:rsidR="00283133" w:rsidRPr="00102445">
        <w:rPr>
          <w:rFonts w:eastAsia="Times New Roman" w:cs="Times New Roman"/>
          <w:lang w:eastAsia="en-AU"/>
        </w:rPr>
        <w:t xml:space="preserve"> </w:t>
      </w:r>
      <w:r w:rsidR="00283133" w:rsidRPr="00102445">
        <w:t xml:space="preserve">New investments differ from existing production in that they </w:t>
      </w:r>
      <w:r w:rsidR="00915896" w:rsidRPr="00102445">
        <w:t>can</w:t>
      </w:r>
      <w:r w:rsidR="00283133" w:rsidRPr="00102445">
        <w:t xml:space="preserve"> use the latest technology </w:t>
      </w:r>
      <w:r w:rsidR="00D54F13" w:rsidRPr="00102445">
        <w:t>incorporating</w:t>
      </w:r>
      <w:r w:rsidR="00283133" w:rsidRPr="00102445">
        <w:t xml:space="preserve"> best practice emissions performance. </w:t>
      </w:r>
      <w:r w:rsidR="00915896" w:rsidRPr="00102445">
        <w:t xml:space="preserve">As such, these emissions intensities will reflect </w:t>
      </w:r>
      <w:r w:rsidR="00283133" w:rsidRPr="00102445">
        <w:t>international best practice, adapted for an Australian context.</w:t>
      </w:r>
    </w:p>
    <w:p w14:paraId="200928E2" w14:textId="76F0BE79" w:rsidR="00710052" w:rsidRPr="00102445" w:rsidRDefault="00710052"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t xml:space="preserve">Adapting international best practice for an Australian context means, for example, adjusting for energy sources, the types of metal ores that are processed in Australia compared to overseas, or other resources that are used overseas but are not available in Australia. It will take into account the effect of technologies implemented in Australia and overseas, including renewable energy, low emissions technologies and electrification. </w:t>
      </w:r>
    </w:p>
    <w:p w14:paraId="56746843" w14:textId="7230074D" w:rsidR="009548BE" w:rsidRPr="00102445" w:rsidRDefault="009F4D37"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To provide time for best practice emissions intensities to be developed, the definition states that </w:t>
      </w:r>
      <w:r w:rsidR="00356832" w:rsidRPr="00102445">
        <w:t xml:space="preserve">if the financial year is the financial year beginning on 1 July 2023, the best practice emissions intensity is the </w:t>
      </w:r>
      <w:r w:rsidR="00A11EE1" w:rsidRPr="00102445">
        <w:t xml:space="preserve">value specified in Schedule 1 as in force at the </w:t>
      </w:r>
      <w:r w:rsidR="00356832" w:rsidRPr="00102445">
        <w:t>end of the financial year</w:t>
      </w:r>
      <w:r w:rsidR="008E0303" w:rsidRPr="00102445">
        <w:t xml:space="preserve">. For later financial years, the best practice emissions intensity is the value specified in Schedule 1 as in force at the </w:t>
      </w:r>
      <w:r w:rsidR="00BD5303" w:rsidRPr="00102445">
        <w:t xml:space="preserve">start </w:t>
      </w:r>
      <w:r w:rsidR="008E0303" w:rsidRPr="00102445">
        <w:t>of the financial year.</w:t>
      </w:r>
    </w:p>
    <w:p w14:paraId="0DE5F9CE" w14:textId="734C3E32" w:rsidR="00F42325" w:rsidRPr="00102445" w:rsidRDefault="00F42325" w:rsidP="00B656BF">
      <w:pPr>
        <w:pStyle w:val="Itemheadings"/>
      </w:pPr>
      <w:r w:rsidRPr="00102445">
        <w:t>Item 4 – Section 4</w:t>
      </w:r>
      <w:r w:rsidR="00621509" w:rsidRPr="00102445">
        <w:t xml:space="preserve"> (definition of </w:t>
      </w:r>
      <w:r w:rsidR="00621509" w:rsidRPr="00102445">
        <w:rPr>
          <w:i/>
          <w:iCs/>
        </w:rPr>
        <w:t>calculated</w:t>
      </w:r>
      <w:r w:rsidR="00DE079C" w:rsidRPr="00102445">
        <w:rPr>
          <w:i/>
          <w:iCs/>
        </w:rPr>
        <w:t xml:space="preserve">-emissions </w:t>
      </w:r>
      <w:r w:rsidR="00621509" w:rsidRPr="00102445">
        <w:rPr>
          <w:i/>
          <w:iCs/>
        </w:rPr>
        <w:t>baseline determination</w:t>
      </w:r>
      <w:r w:rsidR="00621509" w:rsidRPr="00102445">
        <w:t>)</w:t>
      </w:r>
    </w:p>
    <w:p w14:paraId="282FC691" w14:textId="6939EC0B" w:rsidR="00F42325" w:rsidRPr="00102445" w:rsidRDefault="00F42325"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 xml:space="preserve">Removes the definition of </w:t>
      </w:r>
      <w:r w:rsidR="00FD7068" w:rsidRPr="00102445">
        <w:rPr>
          <w:rFonts w:eastAsia="Times New Roman" w:cs="Times New Roman"/>
          <w:i/>
          <w:lang w:eastAsia="en-AU"/>
        </w:rPr>
        <w:t xml:space="preserve">‘calculated-emissions based determination’ </w:t>
      </w:r>
      <w:r w:rsidR="00FD7068" w:rsidRPr="00102445">
        <w:rPr>
          <w:rFonts w:eastAsia="Times New Roman" w:cs="Times New Roman"/>
          <w:lang w:eastAsia="en-AU"/>
        </w:rPr>
        <w:t>as this is no longer applicable under t</w:t>
      </w:r>
      <w:r w:rsidR="000F6FE2" w:rsidRPr="00102445">
        <w:rPr>
          <w:rFonts w:eastAsia="Times New Roman" w:cs="Times New Roman"/>
          <w:lang w:eastAsia="en-AU"/>
        </w:rPr>
        <w:t xml:space="preserve">he reformed Safeguard Mechanism. </w:t>
      </w:r>
    </w:p>
    <w:p w14:paraId="114FB491" w14:textId="2B7D8720" w:rsidR="00A33DE3" w:rsidRPr="00102445" w:rsidRDefault="00A33DE3" w:rsidP="00B656BF">
      <w:pPr>
        <w:pStyle w:val="Itemheadings"/>
      </w:pPr>
      <w:r w:rsidRPr="00102445">
        <w:t>Item 5 – Section 4</w:t>
      </w:r>
    </w:p>
    <w:p w14:paraId="5FE16094" w14:textId="491232A4" w:rsidR="00A33DE3" w:rsidRPr="00102445" w:rsidRDefault="00A33DE3"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 xml:space="preserve">Introduces definitions of </w:t>
      </w:r>
      <w:r w:rsidR="00872867" w:rsidRPr="00102445">
        <w:rPr>
          <w:rFonts w:eastAsia="Times New Roman" w:cs="Times New Roman"/>
          <w:lang w:eastAsia="en-AU"/>
        </w:rPr>
        <w:t>‘</w:t>
      </w:r>
      <w:r w:rsidR="00872867" w:rsidRPr="00102445">
        <w:rPr>
          <w:rFonts w:eastAsia="Times New Roman" w:cs="Times New Roman"/>
          <w:i/>
          <w:lang w:eastAsia="en-AU"/>
        </w:rPr>
        <w:t>comparative production variable’</w:t>
      </w:r>
      <w:r w:rsidR="00872867" w:rsidRPr="00102445">
        <w:rPr>
          <w:rFonts w:eastAsia="Times New Roman" w:cs="Times New Roman"/>
          <w:lang w:eastAsia="en-AU"/>
        </w:rPr>
        <w:t xml:space="preserve"> for a related production variable</w:t>
      </w:r>
      <w:r w:rsidR="001418E1" w:rsidRPr="00102445">
        <w:rPr>
          <w:rFonts w:eastAsia="Times New Roman" w:cs="Times New Roman"/>
          <w:lang w:eastAsia="en-AU"/>
        </w:rPr>
        <w:t xml:space="preserve">, which has the meaning given by paragraph </w:t>
      </w:r>
      <w:r w:rsidR="00FC656F" w:rsidRPr="00102445">
        <w:rPr>
          <w:rFonts w:eastAsia="Times New Roman" w:cs="Times New Roman"/>
          <w:lang w:eastAsia="en-AU"/>
        </w:rPr>
        <w:t>19</w:t>
      </w:r>
      <w:r w:rsidR="001418E1" w:rsidRPr="00102445">
        <w:rPr>
          <w:rFonts w:eastAsia="Times New Roman" w:cs="Times New Roman"/>
          <w:lang w:eastAsia="en-AU"/>
        </w:rPr>
        <w:t>(</w:t>
      </w:r>
      <w:r w:rsidR="00FC656F" w:rsidRPr="00102445">
        <w:rPr>
          <w:rFonts w:eastAsia="Times New Roman" w:cs="Times New Roman"/>
          <w:lang w:eastAsia="en-AU"/>
        </w:rPr>
        <w:t>4</w:t>
      </w:r>
      <w:r w:rsidR="001418E1" w:rsidRPr="00102445">
        <w:rPr>
          <w:rFonts w:eastAsia="Times New Roman" w:cs="Times New Roman"/>
          <w:lang w:eastAsia="en-AU"/>
        </w:rPr>
        <w:t>)(b);</w:t>
      </w:r>
      <w:r w:rsidR="00872867" w:rsidRPr="00102445">
        <w:rPr>
          <w:rFonts w:eastAsia="Times New Roman" w:cs="Times New Roman"/>
          <w:lang w:eastAsia="en-AU"/>
        </w:rPr>
        <w:t xml:space="preserve"> </w:t>
      </w:r>
      <w:r w:rsidR="00CC08CA" w:rsidRPr="00102445">
        <w:rPr>
          <w:rFonts w:eastAsia="Times New Roman" w:cs="Times New Roman"/>
          <w:lang w:eastAsia="en-AU"/>
        </w:rPr>
        <w:t>‘</w:t>
      </w:r>
      <w:r w:rsidRPr="00102445">
        <w:rPr>
          <w:rFonts w:eastAsia="Times New Roman" w:cs="Times New Roman"/>
          <w:i/>
          <w:lang w:eastAsia="en-AU"/>
        </w:rPr>
        <w:t>decision date</w:t>
      </w:r>
      <w:r w:rsidR="00CC08CA" w:rsidRPr="00102445">
        <w:rPr>
          <w:rFonts w:eastAsia="Times New Roman" w:cs="Times New Roman"/>
          <w:lang w:eastAsia="en-AU"/>
        </w:rPr>
        <w:t>’</w:t>
      </w:r>
      <w:r w:rsidR="00F81B29" w:rsidRPr="00102445">
        <w:rPr>
          <w:rFonts w:eastAsia="Times New Roman" w:cs="Times New Roman"/>
          <w:lang w:eastAsia="en-AU"/>
        </w:rPr>
        <w:t xml:space="preserve"> for various </w:t>
      </w:r>
      <w:r w:rsidR="00CC08CA" w:rsidRPr="00102445">
        <w:rPr>
          <w:rFonts w:eastAsia="Times New Roman" w:cs="Times New Roman"/>
          <w:lang w:eastAsia="en-AU"/>
        </w:rPr>
        <w:t>application</w:t>
      </w:r>
      <w:r w:rsidR="00F81B29" w:rsidRPr="00102445">
        <w:rPr>
          <w:rFonts w:eastAsia="Times New Roman" w:cs="Times New Roman"/>
          <w:lang w:eastAsia="en-AU"/>
        </w:rPr>
        <w:t>s provided i</w:t>
      </w:r>
      <w:r w:rsidR="00E738EB" w:rsidRPr="00102445">
        <w:rPr>
          <w:rFonts w:eastAsia="Times New Roman" w:cs="Times New Roman"/>
          <w:lang w:eastAsia="en-AU"/>
        </w:rPr>
        <w:t xml:space="preserve">n subsection </w:t>
      </w:r>
      <w:r w:rsidR="008B0968" w:rsidRPr="00102445">
        <w:rPr>
          <w:rFonts w:eastAsia="Times New Roman" w:cs="Times New Roman"/>
          <w:lang w:eastAsia="en-AU"/>
        </w:rPr>
        <w:t>52</w:t>
      </w:r>
      <w:r w:rsidR="00E738EB" w:rsidRPr="00102445">
        <w:rPr>
          <w:rFonts w:eastAsia="Times New Roman" w:cs="Times New Roman"/>
          <w:lang w:eastAsia="en-AU"/>
        </w:rPr>
        <w:t>(2)</w:t>
      </w:r>
      <w:r w:rsidR="00F81B29" w:rsidRPr="00102445">
        <w:rPr>
          <w:rFonts w:eastAsia="Times New Roman" w:cs="Times New Roman"/>
          <w:lang w:eastAsia="en-AU"/>
        </w:rPr>
        <w:t xml:space="preserve">; and </w:t>
      </w:r>
      <w:r w:rsidR="00FF219A" w:rsidRPr="00102445">
        <w:rPr>
          <w:rFonts w:eastAsia="Times New Roman" w:cs="Times New Roman"/>
          <w:lang w:eastAsia="en-AU"/>
        </w:rPr>
        <w:t>‘</w:t>
      </w:r>
      <w:r w:rsidR="00FF219A" w:rsidRPr="00102445">
        <w:rPr>
          <w:rFonts w:eastAsia="Times New Roman" w:cs="Times New Roman"/>
          <w:i/>
          <w:lang w:eastAsia="en-AU"/>
        </w:rPr>
        <w:t>default decline rate</w:t>
      </w:r>
      <w:r w:rsidR="00FF219A" w:rsidRPr="00102445">
        <w:rPr>
          <w:rFonts w:eastAsia="Times New Roman" w:cs="Times New Roman"/>
          <w:lang w:eastAsia="en-AU"/>
        </w:rPr>
        <w:t xml:space="preserve">’ for a financial year as specified in section </w:t>
      </w:r>
      <w:r w:rsidR="008B0968" w:rsidRPr="00102445">
        <w:rPr>
          <w:rFonts w:eastAsia="Times New Roman" w:cs="Times New Roman"/>
          <w:lang w:eastAsia="en-AU"/>
        </w:rPr>
        <w:t>32</w:t>
      </w:r>
      <w:r w:rsidR="00FF219A" w:rsidRPr="00102445">
        <w:rPr>
          <w:rFonts w:eastAsia="Times New Roman" w:cs="Times New Roman"/>
          <w:lang w:eastAsia="en-AU"/>
        </w:rPr>
        <w:t xml:space="preserve">. </w:t>
      </w:r>
    </w:p>
    <w:p w14:paraId="092B48CC" w14:textId="546E9786" w:rsidR="0024628E" w:rsidRPr="00102445" w:rsidRDefault="0024628E" w:rsidP="00B656BF">
      <w:pPr>
        <w:pStyle w:val="Itemheadings"/>
      </w:pPr>
      <w:r w:rsidRPr="00102445">
        <w:t>Item 6 – Section 4</w:t>
      </w:r>
      <w:r w:rsidR="00716957" w:rsidRPr="00102445">
        <w:t xml:space="preserve"> (definition of </w:t>
      </w:r>
      <w:r w:rsidR="00716957" w:rsidRPr="00102445">
        <w:rPr>
          <w:i/>
        </w:rPr>
        <w:t>default emissions intensity</w:t>
      </w:r>
      <w:r w:rsidR="00716957" w:rsidRPr="00102445">
        <w:t>)</w:t>
      </w:r>
    </w:p>
    <w:p w14:paraId="4DFAC84E" w14:textId="06199321" w:rsidR="0024628E" w:rsidRPr="00102445" w:rsidRDefault="0024628E"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Removes the definition of ‘</w:t>
      </w:r>
      <w:r w:rsidRPr="00102445">
        <w:rPr>
          <w:rFonts w:eastAsia="Times New Roman" w:cs="Times New Roman"/>
          <w:i/>
          <w:lang w:eastAsia="en-AU"/>
        </w:rPr>
        <w:t>default emissions intensity</w:t>
      </w:r>
      <w:r w:rsidRPr="00102445">
        <w:rPr>
          <w:rFonts w:eastAsia="Times New Roman" w:cs="Times New Roman"/>
          <w:lang w:eastAsia="en-AU"/>
        </w:rPr>
        <w:t>’</w:t>
      </w:r>
      <w:r w:rsidR="00EC316B" w:rsidRPr="00102445">
        <w:rPr>
          <w:rFonts w:eastAsia="Times New Roman" w:cs="Times New Roman"/>
          <w:lang w:eastAsia="en-AU"/>
        </w:rPr>
        <w:t>, which is replaced by a definition in the next item.</w:t>
      </w:r>
    </w:p>
    <w:p w14:paraId="50E19D2F" w14:textId="51B23C62" w:rsidR="0024628E" w:rsidRPr="00102445" w:rsidRDefault="0024628E" w:rsidP="00711BC3">
      <w:pPr>
        <w:pStyle w:val="Itemheadings"/>
      </w:pPr>
      <w:r w:rsidRPr="00102445">
        <w:t>Item 7 – Section 4</w:t>
      </w:r>
    </w:p>
    <w:p w14:paraId="3DC356DD" w14:textId="23FC7FB0" w:rsidR="0024628E" w:rsidRPr="00102445" w:rsidRDefault="00D52822"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Introduces the definitions of ‘</w:t>
      </w:r>
      <w:r w:rsidRPr="00102445">
        <w:rPr>
          <w:rFonts w:eastAsia="Times New Roman" w:cs="Times New Roman"/>
          <w:i/>
          <w:lang w:eastAsia="en-AU"/>
        </w:rPr>
        <w:t>default emissions intensity</w:t>
      </w:r>
      <w:r w:rsidRPr="00102445">
        <w:rPr>
          <w:rFonts w:eastAsia="Times New Roman" w:cs="Times New Roman"/>
          <w:lang w:eastAsia="en-AU"/>
        </w:rPr>
        <w:t xml:space="preserve">’ for a production variable in Schedule 1 </w:t>
      </w:r>
      <w:r w:rsidR="00EC316B" w:rsidRPr="00102445">
        <w:rPr>
          <w:rFonts w:eastAsia="Times New Roman" w:cs="Times New Roman"/>
          <w:lang w:eastAsia="en-AU"/>
        </w:rPr>
        <w:t xml:space="preserve">of the Safeguard Rules (as amended by this instrument) </w:t>
      </w:r>
      <w:r w:rsidRPr="00102445">
        <w:rPr>
          <w:rFonts w:eastAsia="Times New Roman" w:cs="Times New Roman"/>
          <w:lang w:eastAsia="en-AU"/>
        </w:rPr>
        <w:t xml:space="preserve">as in force </w:t>
      </w:r>
      <w:r w:rsidR="00F75CBE" w:rsidRPr="00102445">
        <w:rPr>
          <w:rFonts w:eastAsia="Times New Roman" w:cs="Times New Roman"/>
          <w:lang w:eastAsia="en-AU"/>
        </w:rPr>
        <w:t>at</w:t>
      </w:r>
      <w:r w:rsidRPr="00102445">
        <w:rPr>
          <w:rFonts w:eastAsia="Times New Roman" w:cs="Times New Roman"/>
          <w:lang w:eastAsia="en-AU"/>
        </w:rPr>
        <w:t xml:space="preserve"> the start of that financial </w:t>
      </w:r>
      <w:r w:rsidRPr="00102445">
        <w:rPr>
          <w:rFonts w:eastAsia="Times New Roman" w:cs="Times New Roman"/>
          <w:lang w:eastAsia="en-AU"/>
        </w:rPr>
        <w:lastRenderedPageBreak/>
        <w:t>year; ‘</w:t>
      </w:r>
      <w:r w:rsidRPr="00102445">
        <w:rPr>
          <w:rFonts w:eastAsia="Times New Roman" w:cs="Times New Roman"/>
          <w:i/>
          <w:lang w:eastAsia="en-AU"/>
        </w:rPr>
        <w:t>default emissions intensity number</w:t>
      </w:r>
      <w:r w:rsidRPr="00102445">
        <w:rPr>
          <w:rFonts w:eastAsia="Times New Roman" w:cs="Times New Roman"/>
          <w:lang w:eastAsia="en-AU"/>
        </w:rPr>
        <w:t>’ which</w:t>
      </w:r>
      <w:r w:rsidR="00F75CBE" w:rsidRPr="00102445">
        <w:rPr>
          <w:rFonts w:eastAsia="Times New Roman" w:cs="Times New Roman"/>
          <w:lang w:eastAsia="en-AU"/>
        </w:rPr>
        <w:t xml:space="preserve"> means the number that is equal to the default emissions intensity of the production variable; ‘</w:t>
      </w:r>
      <w:r w:rsidR="00F75CBE" w:rsidRPr="00102445">
        <w:rPr>
          <w:rFonts w:eastAsia="Times New Roman" w:cs="Times New Roman"/>
          <w:i/>
          <w:lang w:eastAsia="en-AU"/>
        </w:rPr>
        <w:t>default emissions reduction contribution</w:t>
      </w:r>
      <w:r w:rsidR="00F75CBE" w:rsidRPr="00102445">
        <w:rPr>
          <w:rFonts w:eastAsia="Times New Roman" w:cs="Times New Roman"/>
          <w:lang w:eastAsia="en-AU"/>
        </w:rPr>
        <w:t xml:space="preserve">’ is the emissions reductions contribution for each financial year out to 2030 as outlined within the table in section </w:t>
      </w:r>
      <w:r w:rsidR="00922D76" w:rsidRPr="00102445">
        <w:rPr>
          <w:rFonts w:eastAsia="Times New Roman" w:cs="Times New Roman"/>
          <w:lang w:eastAsia="en-AU"/>
        </w:rPr>
        <w:t>31</w:t>
      </w:r>
      <w:r w:rsidR="00F75CBE" w:rsidRPr="00102445">
        <w:rPr>
          <w:rFonts w:eastAsia="Times New Roman" w:cs="Times New Roman"/>
          <w:lang w:eastAsia="en-AU"/>
        </w:rPr>
        <w:t xml:space="preserve">; </w:t>
      </w:r>
      <w:r w:rsidR="00B31D8F" w:rsidRPr="00102445">
        <w:rPr>
          <w:rFonts w:eastAsia="Times New Roman" w:cs="Times New Roman"/>
          <w:lang w:eastAsia="en-AU"/>
        </w:rPr>
        <w:t>and ‘</w:t>
      </w:r>
      <w:r w:rsidR="00B31D8F" w:rsidRPr="00102445">
        <w:rPr>
          <w:rFonts w:eastAsia="Times New Roman" w:cs="Times New Roman"/>
          <w:i/>
          <w:lang w:eastAsia="en-AU"/>
        </w:rPr>
        <w:t>designated historical information</w:t>
      </w:r>
      <w:r w:rsidR="00B31D8F" w:rsidRPr="00102445">
        <w:rPr>
          <w:rFonts w:eastAsia="Times New Roman" w:cs="Times New Roman"/>
          <w:lang w:eastAsia="en-AU"/>
        </w:rPr>
        <w:t xml:space="preserve">’ about a historical production variable for a facility has the meaning given by subsection </w:t>
      </w:r>
      <w:r w:rsidR="00922D76" w:rsidRPr="00102445">
        <w:rPr>
          <w:rFonts w:eastAsia="Times New Roman" w:cs="Times New Roman"/>
          <w:lang w:eastAsia="en-AU"/>
        </w:rPr>
        <w:t>14</w:t>
      </w:r>
      <w:r w:rsidR="00B31D8F" w:rsidRPr="00102445">
        <w:rPr>
          <w:rFonts w:eastAsia="Times New Roman" w:cs="Times New Roman"/>
          <w:lang w:eastAsia="en-AU"/>
        </w:rPr>
        <w:t xml:space="preserve">(5). </w:t>
      </w:r>
    </w:p>
    <w:p w14:paraId="483D700B" w14:textId="553C1DA5" w:rsidR="00027F36" w:rsidRPr="00102445" w:rsidRDefault="00027F36" w:rsidP="00711BC3">
      <w:pPr>
        <w:pStyle w:val="Itemheadings"/>
      </w:pPr>
      <w:r w:rsidRPr="00102445">
        <w:t>Item 8 – Section 4</w:t>
      </w:r>
      <w:r w:rsidR="00B51DCC" w:rsidRPr="00102445">
        <w:t xml:space="preserve"> (definition of </w:t>
      </w:r>
      <w:r w:rsidR="00B51DCC" w:rsidRPr="00102445">
        <w:rPr>
          <w:i/>
        </w:rPr>
        <w:t>details</w:t>
      </w:r>
      <w:r w:rsidR="00B51DCC" w:rsidRPr="00102445">
        <w:t>)</w:t>
      </w:r>
    </w:p>
    <w:p w14:paraId="1770F9BD" w14:textId="1CBBD1F6" w:rsidR="00027F36" w:rsidRPr="00102445" w:rsidRDefault="00027F36"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 xml:space="preserve">Removes the </w:t>
      </w:r>
      <w:r w:rsidR="0008561B" w:rsidRPr="00102445">
        <w:rPr>
          <w:rFonts w:eastAsia="Times New Roman" w:cs="Times New Roman"/>
          <w:lang w:eastAsia="en-AU"/>
        </w:rPr>
        <w:t xml:space="preserve">existing </w:t>
      </w:r>
      <w:r w:rsidRPr="00102445">
        <w:rPr>
          <w:rFonts w:eastAsia="Times New Roman" w:cs="Times New Roman"/>
          <w:lang w:eastAsia="en-AU"/>
        </w:rPr>
        <w:t>definition of ‘</w:t>
      </w:r>
      <w:r w:rsidRPr="00102445">
        <w:rPr>
          <w:rFonts w:eastAsia="Times New Roman" w:cs="Times New Roman"/>
          <w:i/>
          <w:lang w:eastAsia="en-AU"/>
        </w:rPr>
        <w:t xml:space="preserve">details’ </w:t>
      </w:r>
      <w:r w:rsidR="00693401" w:rsidRPr="00102445">
        <w:rPr>
          <w:rFonts w:eastAsia="Times New Roman" w:cs="Times New Roman"/>
          <w:lang w:eastAsia="en-AU"/>
        </w:rPr>
        <w:t xml:space="preserve">which </w:t>
      </w:r>
      <w:r w:rsidR="0008561B" w:rsidRPr="00102445">
        <w:rPr>
          <w:rFonts w:eastAsia="Times New Roman" w:cs="Times New Roman"/>
          <w:lang w:eastAsia="en-AU"/>
        </w:rPr>
        <w:t xml:space="preserve">is replaced with a new definition. </w:t>
      </w:r>
    </w:p>
    <w:p w14:paraId="48ECFB4C" w14:textId="1C2BE96F" w:rsidR="00AE02D0" w:rsidRPr="00102445" w:rsidRDefault="00AE02D0" w:rsidP="00711BC3">
      <w:pPr>
        <w:pStyle w:val="Itemheadings"/>
      </w:pPr>
      <w:r w:rsidRPr="00102445">
        <w:t>Item 9 – Section 4</w:t>
      </w:r>
      <w:r w:rsidR="00A453B3" w:rsidRPr="00102445">
        <w:t xml:space="preserve"> </w:t>
      </w:r>
    </w:p>
    <w:p w14:paraId="39544921" w14:textId="5B47F33A" w:rsidR="00AE02D0" w:rsidRPr="00102445" w:rsidRDefault="00AE02D0" w:rsidP="00591A9C">
      <w:pPr>
        <w:pStyle w:val="ListParagraph"/>
        <w:numPr>
          <w:ilvl w:val="0"/>
          <w:numId w:val="2"/>
        </w:numPr>
        <w:shd w:val="clear" w:color="auto" w:fill="FFFFFF" w:themeFill="background1"/>
        <w:spacing w:line="240" w:lineRule="auto"/>
        <w:rPr>
          <w:rFonts w:eastAsia="Times New Roman" w:cs="Times New Roman"/>
          <w:b/>
          <w:szCs w:val="24"/>
          <w:lang w:eastAsia="en-AU"/>
        </w:rPr>
      </w:pPr>
      <w:r w:rsidRPr="00102445">
        <w:rPr>
          <w:rFonts w:eastAsia="Times New Roman" w:cs="Times New Roman"/>
          <w:lang w:eastAsia="en-AU"/>
        </w:rPr>
        <w:t>Introduces the definition of ‘</w:t>
      </w:r>
      <w:r w:rsidRPr="00102445">
        <w:rPr>
          <w:rFonts w:eastAsia="Times New Roman" w:cs="Times New Roman"/>
          <w:i/>
          <w:lang w:eastAsia="en-AU"/>
        </w:rPr>
        <w:t>details</w:t>
      </w:r>
      <w:r w:rsidRPr="00102445">
        <w:rPr>
          <w:rFonts w:eastAsia="Times New Roman" w:cs="Times New Roman"/>
          <w:lang w:eastAsia="en-AU"/>
        </w:rPr>
        <w:t>’ which provides for the required information for a declaration made under this instrument; ‘</w:t>
      </w:r>
      <w:r w:rsidRPr="00102445">
        <w:rPr>
          <w:rFonts w:eastAsia="Times New Roman" w:cs="Times New Roman"/>
          <w:i/>
          <w:lang w:eastAsia="en-AU"/>
        </w:rPr>
        <w:t>due date</w:t>
      </w:r>
      <w:r w:rsidRPr="00102445">
        <w:rPr>
          <w:rFonts w:eastAsia="Times New Roman" w:cs="Times New Roman"/>
          <w:lang w:eastAsia="en-AU"/>
        </w:rPr>
        <w:t xml:space="preserve">’ </w:t>
      </w:r>
      <w:r w:rsidR="004948D7" w:rsidRPr="00102445">
        <w:rPr>
          <w:rFonts w:eastAsia="Times New Roman" w:cs="Times New Roman"/>
          <w:lang w:eastAsia="en-AU"/>
        </w:rPr>
        <w:t xml:space="preserve">which has the meaning given by subsection </w:t>
      </w:r>
      <w:r w:rsidR="00E71370" w:rsidRPr="00102445">
        <w:rPr>
          <w:rFonts w:eastAsia="Times New Roman" w:cs="Times New Roman"/>
          <w:lang w:eastAsia="en-AU"/>
        </w:rPr>
        <w:t>52</w:t>
      </w:r>
      <w:r w:rsidR="004948D7" w:rsidRPr="00102445">
        <w:rPr>
          <w:rFonts w:eastAsia="Times New Roman" w:cs="Times New Roman"/>
          <w:lang w:eastAsia="en-AU"/>
        </w:rPr>
        <w:t xml:space="preserve">(1) </w:t>
      </w:r>
      <w:r w:rsidR="00A96373" w:rsidRPr="00102445">
        <w:rPr>
          <w:rFonts w:eastAsia="Times New Roman" w:cs="Times New Roman"/>
          <w:lang w:eastAsia="en-AU"/>
        </w:rPr>
        <w:t xml:space="preserve">which </w:t>
      </w:r>
      <w:r w:rsidR="004948D7" w:rsidRPr="00102445">
        <w:rPr>
          <w:rFonts w:eastAsia="Times New Roman" w:cs="Times New Roman"/>
          <w:lang w:eastAsia="en-AU"/>
        </w:rPr>
        <w:t>outlines the due dates for the various applications</w:t>
      </w:r>
      <w:r w:rsidR="00385608" w:rsidRPr="00102445">
        <w:rPr>
          <w:rFonts w:eastAsia="Times New Roman" w:cs="Times New Roman"/>
          <w:lang w:eastAsia="en-AU"/>
        </w:rPr>
        <w:t xml:space="preserve">; </w:t>
      </w:r>
      <w:r w:rsidR="00A7196D" w:rsidRPr="00102445">
        <w:rPr>
          <w:rFonts w:eastAsia="Times New Roman" w:cs="Times New Roman"/>
          <w:lang w:eastAsia="en-AU"/>
        </w:rPr>
        <w:t>‘</w:t>
      </w:r>
      <w:r w:rsidR="00A7196D" w:rsidRPr="00102445">
        <w:rPr>
          <w:rFonts w:eastAsia="Times New Roman" w:cs="Times New Roman"/>
          <w:i/>
          <w:iCs/>
          <w:lang w:eastAsia="en-AU"/>
        </w:rPr>
        <w:t>EBIT Guidelines’</w:t>
      </w:r>
      <w:r w:rsidR="00A7196D" w:rsidRPr="00102445">
        <w:rPr>
          <w:rFonts w:eastAsia="Times New Roman" w:cs="Times New Roman"/>
          <w:lang w:eastAsia="en-AU"/>
        </w:rPr>
        <w:t xml:space="preserve"> which has the meaning given by subsection 37(7); and </w:t>
      </w:r>
      <w:r w:rsidR="00385608" w:rsidRPr="00102445">
        <w:rPr>
          <w:rFonts w:eastAsia="Times New Roman" w:cs="Times New Roman"/>
          <w:lang w:eastAsia="en-AU"/>
        </w:rPr>
        <w:t>‘</w:t>
      </w:r>
      <w:r w:rsidR="00385608" w:rsidRPr="00102445">
        <w:rPr>
          <w:rFonts w:eastAsia="Times New Roman" w:cs="Times New Roman"/>
          <w:i/>
          <w:lang w:eastAsia="en-AU"/>
        </w:rPr>
        <w:t>eligible facility</w:t>
      </w:r>
      <w:r w:rsidR="00385608" w:rsidRPr="00102445">
        <w:rPr>
          <w:rFonts w:eastAsia="Times New Roman" w:cs="Times New Roman"/>
          <w:lang w:eastAsia="en-AU"/>
        </w:rPr>
        <w:t xml:space="preserve">’ for a financial year has the meaning given by section </w:t>
      </w:r>
      <w:r w:rsidR="00C50BA4" w:rsidRPr="00102445">
        <w:rPr>
          <w:rFonts w:eastAsia="Times New Roman" w:cs="Times New Roman"/>
          <w:lang w:eastAsia="en-AU"/>
        </w:rPr>
        <w:t>58B</w:t>
      </w:r>
      <w:r w:rsidR="00A90D72" w:rsidRPr="00102445">
        <w:rPr>
          <w:rFonts w:eastAsia="Times New Roman" w:cs="Times New Roman"/>
          <w:lang w:eastAsia="en-AU"/>
        </w:rPr>
        <w:t>.</w:t>
      </w:r>
    </w:p>
    <w:p w14:paraId="79F7366E" w14:textId="64DB032B" w:rsidR="00A90D72" w:rsidRPr="00102445" w:rsidRDefault="00A90D72" w:rsidP="00711BC3">
      <w:pPr>
        <w:pStyle w:val="Itemheadings"/>
      </w:pPr>
      <w:r w:rsidRPr="00102445">
        <w:t>Item 10 – Section 4</w:t>
      </w:r>
      <w:r w:rsidR="006E3504" w:rsidRPr="00102445">
        <w:t xml:space="preserve"> (definition of </w:t>
      </w:r>
      <w:r w:rsidR="006E3504" w:rsidRPr="00102445">
        <w:rPr>
          <w:i/>
          <w:iCs/>
        </w:rPr>
        <w:t>emissions</w:t>
      </w:r>
      <w:r w:rsidR="006E3504" w:rsidRPr="00102445">
        <w:rPr>
          <w:i/>
          <w:iCs/>
        </w:rPr>
        <w:noBreakHyphen/>
        <w:t>intensity calculation criteria</w:t>
      </w:r>
      <w:r w:rsidR="006E3504" w:rsidRPr="00102445">
        <w:t>)</w:t>
      </w:r>
    </w:p>
    <w:p w14:paraId="73642FF2" w14:textId="08791C06" w:rsidR="00A90D72" w:rsidRPr="00102445" w:rsidRDefault="00A90D72"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Removes the definition of ‘</w:t>
      </w:r>
      <w:r w:rsidRPr="00102445">
        <w:rPr>
          <w:rFonts w:eastAsia="Times New Roman" w:cs="Times New Roman"/>
          <w:i/>
          <w:lang w:eastAsia="en-AU"/>
        </w:rPr>
        <w:t>emissions-intensity calculation criteria</w:t>
      </w:r>
      <w:r w:rsidRPr="00102445">
        <w:rPr>
          <w:rFonts w:eastAsia="Times New Roman" w:cs="Times New Roman"/>
          <w:lang w:eastAsia="en-AU"/>
        </w:rPr>
        <w:t>’ as this is</w:t>
      </w:r>
      <w:r w:rsidR="007A5DA4" w:rsidRPr="00102445">
        <w:rPr>
          <w:rFonts w:eastAsia="Times New Roman" w:cs="Times New Roman"/>
          <w:lang w:eastAsia="en-AU"/>
        </w:rPr>
        <w:t xml:space="preserve"> term</w:t>
      </w:r>
      <w:r w:rsidRPr="00102445">
        <w:rPr>
          <w:rFonts w:eastAsia="Times New Roman" w:cs="Times New Roman"/>
          <w:lang w:eastAsia="en-AU"/>
        </w:rPr>
        <w:t xml:space="preserve"> no longer applicable under the reformed Safeguard Mechanism. </w:t>
      </w:r>
    </w:p>
    <w:p w14:paraId="4552A03D" w14:textId="1A73CFAB" w:rsidR="00A90D72" w:rsidRPr="00102445" w:rsidRDefault="00974FC2" w:rsidP="00B656BF">
      <w:pPr>
        <w:pStyle w:val="Itemheadings"/>
      </w:pPr>
      <w:r w:rsidRPr="00102445">
        <w:t>Item 11 – Section 4</w:t>
      </w:r>
    </w:p>
    <w:p w14:paraId="155DFDC7" w14:textId="724AECBB" w:rsidR="0008561B" w:rsidRPr="00102445" w:rsidRDefault="00974FC2"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Introduces the definition of ‘</w:t>
      </w:r>
      <w:r w:rsidRPr="00102445">
        <w:rPr>
          <w:rFonts w:eastAsia="Times New Roman" w:cs="Times New Roman"/>
          <w:i/>
          <w:lang w:eastAsia="en-AU"/>
        </w:rPr>
        <w:t>emissions intensity determination</w:t>
      </w:r>
      <w:r w:rsidRPr="00102445">
        <w:rPr>
          <w:rFonts w:eastAsia="Times New Roman" w:cs="Times New Roman"/>
          <w:lang w:eastAsia="en-AU"/>
        </w:rPr>
        <w:t xml:space="preserve">’ which is a determination </w:t>
      </w:r>
      <w:r w:rsidR="00C1486F" w:rsidRPr="00102445">
        <w:rPr>
          <w:rFonts w:eastAsia="Times New Roman" w:cs="Times New Roman"/>
          <w:lang w:eastAsia="en-AU"/>
        </w:rPr>
        <w:t xml:space="preserve">applicable to existing facilities and </w:t>
      </w:r>
      <w:r w:rsidRPr="00102445">
        <w:rPr>
          <w:rFonts w:eastAsia="Times New Roman" w:cs="Times New Roman"/>
          <w:lang w:eastAsia="en-AU"/>
        </w:rPr>
        <w:t xml:space="preserve">prescribed by section </w:t>
      </w:r>
      <w:r w:rsidR="006A0D3E" w:rsidRPr="00102445" w:rsidDel="00043153">
        <w:rPr>
          <w:rFonts w:eastAsia="Times New Roman" w:cs="Times New Roman"/>
          <w:lang w:eastAsia="en-AU"/>
        </w:rPr>
        <w:t>1</w:t>
      </w:r>
      <w:r w:rsidR="006A0D3E" w:rsidRPr="00102445">
        <w:rPr>
          <w:rFonts w:eastAsia="Times New Roman" w:cs="Times New Roman"/>
          <w:lang w:eastAsia="en-AU"/>
        </w:rPr>
        <w:t>9</w:t>
      </w:r>
      <w:r w:rsidR="006E3504" w:rsidRPr="00102445">
        <w:rPr>
          <w:rFonts w:eastAsia="Times New Roman" w:cs="Times New Roman"/>
          <w:lang w:eastAsia="en-AU"/>
        </w:rPr>
        <w:t>, or a successor determination</w:t>
      </w:r>
      <w:r w:rsidRPr="00102445">
        <w:rPr>
          <w:rFonts w:eastAsia="Times New Roman" w:cs="Times New Roman"/>
          <w:lang w:eastAsia="en-AU"/>
        </w:rPr>
        <w:t>.</w:t>
      </w:r>
      <w:r w:rsidR="00043153" w:rsidRPr="00102445">
        <w:rPr>
          <w:rFonts w:eastAsia="Times New Roman" w:cs="Times New Roman"/>
          <w:lang w:eastAsia="en-AU"/>
        </w:rPr>
        <w:t xml:space="preserve"> </w:t>
      </w:r>
      <w:r w:rsidR="006559D9" w:rsidRPr="00102445">
        <w:rPr>
          <w:rFonts w:eastAsia="Times New Roman" w:cs="Times New Roman"/>
          <w:lang w:eastAsia="en-AU"/>
        </w:rPr>
        <w:t xml:space="preserve">Emissions intensity determinations are important for setting baselines for existing facilities </w:t>
      </w:r>
      <w:r w:rsidR="00F74552" w:rsidRPr="00102445">
        <w:rPr>
          <w:rFonts w:eastAsia="Times New Roman" w:cs="Times New Roman"/>
          <w:lang w:eastAsia="en-AU"/>
        </w:rPr>
        <w:t xml:space="preserve">and are set out in </w:t>
      </w:r>
      <w:r w:rsidR="00EC57C3" w:rsidRPr="00102445">
        <w:rPr>
          <w:rFonts w:eastAsia="Times New Roman" w:cs="Times New Roman"/>
          <w:lang w:eastAsia="en-AU"/>
        </w:rPr>
        <w:t>Part 2,</w:t>
      </w:r>
      <w:r w:rsidR="00F74552" w:rsidRPr="00102445">
        <w:rPr>
          <w:rFonts w:eastAsia="Times New Roman" w:cs="Times New Roman"/>
          <w:lang w:eastAsia="en-AU"/>
        </w:rPr>
        <w:t xml:space="preserve"> Division 2</w:t>
      </w:r>
      <w:r w:rsidR="00EC57C3" w:rsidRPr="00102445">
        <w:rPr>
          <w:rFonts w:eastAsia="Times New Roman" w:cs="Times New Roman"/>
          <w:lang w:eastAsia="en-AU"/>
        </w:rPr>
        <w:t xml:space="preserve">, </w:t>
      </w:r>
      <w:r w:rsidR="00737303" w:rsidRPr="00102445">
        <w:rPr>
          <w:rFonts w:eastAsia="Times New Roman" w:cs="Times New Roman"/>
          <w:lang w:eastAsia="en-AU"/>
        </w:rPr>
        <w:t xml:space="preserve">Subdivision C </w:t>
      </w:r>
      <w:r w:rsidR="00F74552" w:rsidRPr="00102445">
        <w:rPr>
          <w:rFonts w:eastAsia="Times New Roman" w:cs="Times New Roman"/>
          <w:lang w:eastAsia="en-AU"/>
        </w:rPr>
        <w:t>of the amended Safeguard Rules</w:t>
      </w:r>
      <w:r w:rsidR="00737303" w:rsidRPr="00102445">
        <w:rPr>
          <w:rFonts w:eastAsia="Times New Roman" w:cs="Times New Roman"/>
          <w:lang w:eastAsia="en-AU"/>
        </w:rPr>
        <w:t>.</w:t>
      </w:r>
    </w:p>
    <w:p w14:paraId="3EC8E3FE" w14:textId="6E0C880E" w:rsidR="00974FC2" w:rsidRPr="00102445" w:rsidRDefault="00974FC2" w:rsidP="00711BC3">
      <w:pPr>
        <w:pStyle w:val="Itemheadings"/>
      </w:pPr>
      <w:r w:rsidRPr="00102445">
        <w:t>Item 12 – Section 4</w:t>
      </w:r>
      <w:r w:rsidR="00023F1B" w:rsidRPr="00102445">
        <w:t xml:space="preserve"> (definition of </w:t>
      </w:r>
      <w:r w:rsidR="00023F1B" w:rsidRPr="00102445">
        <w:rPr>
          <w:i/>
        </w:rPr>
        <w:t>emissions intensity test</w:t>
      </w:r>
      <w:r w:rsidR="00023F1B" w:rsidRPr="00102445">
        <w:t>)</w:t>
      </w:r>
    </w:p>
    <w:p w14:paraId="2E528F7B" w14:textId="31300977" w:rsidR="00974FC2" w:rsidRPr="00102445" w:rsidRDefault="00974FC2"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 xml:space="preserve">Removes the definition of </w:t>
      </w:r>
      <w:r w:rsidR="007A5DA4" w:rsidRPr="00102445">
        <w:rPr>
          <w:rFonts w:eastAsia="Times New Roman" w:cs="Times New Roman"/>
          <w:lang w:eastAsia="en-AU"/>
        </w:rPr>
        <w:t>‘</w:t>
      </w:r>
      <w:r w:rsidR="00EE7A65" w:rsidRPr="00102445">
        <w:rPr>
          <w:rFonts w:eastAsia="Times New Roman" w:cs="Times New Roman"/>
          <w:i/>
          <w:lang w:eastAsia="en-AU"/>
        </w:rPr>
        <w:t>emissions intensity test</w:t>
      </w:r>
      <w:r w:rsidR="00EE7A65" w:rsidRPr="00102445">
        <w:rPr>
          <w:rFonts w:eastAsia="Times New Roman" w:cs="Times New Roman"/>
          <w:lang w:eastAsia="en-AU"/>
        </w:rPr>
        <w:t>’</w:t>
      </w:r>
      <w:r w:rsidR="007A5DA4" w:rsidRPr="00102445">
        <w:rPr>
          <w:rFonts w:eastAsia="Times New Roman" w:cs="Times New Roman"/>
          <w:lang w:eastAsia="en-AU"/>
        </w:rPr>
        <w:t xml:space="preserve"> as this term is no longer applicable under the reformed Safeguard Mechanism.</w:t>
      </w:r>
    </w:p>
    <w:p w14:paraId="50EB40E2" w14:textId="757B5BCF" w:rsidR="00EE7A65" w:rsidRPr="00102445" w:rsidRDefault="00EE7A65" w:rsidP="007A000C">
      <w:pPr>
        <w:pStyle w:val="Itemheadings"/>
      </w:pPr>
      <w:r w:rsidRPr="00102445">
        <w:t>Item 13 – Section 4</w:t>
      </w:r>
    </w:p>
    <w:p w14:paraId="61F0FF34" w14:textId="4AFFFA8D" w:rsidR="00EE7A65" w:rsidRPr="00102445" w:rsidRDefault="00EE7A65"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Introduces the definition of ‘</w:t>
      </w:r>
      <w:r w:rsidRPr="00102445">
        <w:rPr>
          <w:rFonts w:eastAsia="Times New Roman" w:cs="Times New Roman"/>
          <w:i/>
          <w:lang w:eastAsia="en-AU"/>
        </w:rPr>
        <w:t>emissions reduction contribution</w:t>
      </w:r>
      <w:r w:rsidRPr="00102445">
        <w:rPr>
          <w:rFonts w:eastAsia="Times New Roman" w:cs="Times New Roman"/>
          <w:lang w:eastAsia="en-AU"/>
        </w:rPr>
        <w:t xml:space="preserve">’ </w:t>
      </w:r>
      <w:r w:rsidR="00023F1B" w:rsidRPr="00102445">
        <w:rPr>
          <w:rFonts w:eastAsia="Times New Roman" w:cs="Times New Roman"/>
          <w:lang w:eastAsia="en-AU"/>
        </w:rPr>
        <w:t xml:space="preserve">for a financial year, </w:t>
      </w:r>
      <w:r w:rsidRPr="00102445">
        <w:rPr>
          <w:rFonts w:eastAsia="Times New Roman" w:cs="Times New Roman"/>
          <w:lang w:eastAsia="en-AU"/>
        </w:rPr>
        <w:t xml:space="preserve">with the meaning given by section </w:t>
      </w:r>
      <w:r w:rsidR="00432E45" w:rsidRPr="00102445">
        <w:rPr>
          <w:rFonts w:eastAsia="Times New Roman" w:cs="Times New Roman"/>
          <w:lang w:eastAsia="en-AU"/>
        </w:rPr>
        <w:t xml:space="preserve">33 </w:t>
      </w:r>
      <w:r w:rsidRPr="00102445">
        <w:rPr>
          <w:rFonts w:eastAsia="Times New Roman" w:cs="Times New Roman"/>
          <w:lang w:eastAsia="en-AU"/>
        </w:rPr>
        <w:t xml:space="preserve">for a regular facility and </w:t>
      </w:r>
      <w:r w:rsidR="00023F1B" w:rsidRPr="00102445">
        <w:rPr>
          <w:rFonts w:eastAsia="Times New Roman" w:cs="Times New Roman"/>
          <w:lang w:eastAsia="en-AU"/>
        </w:rPr>
        <w:t xml:space="preserve">section </w:t>
      </w:r>
      <w:r w:rsidR="00432E45" w:rsidRPr="00102445">
        <w:rPr>
          <w:rFonts w:eastAsia="Times New Roman" w:cs="Times New Roman"/>
          <w:lang w:eastAsia="en-AU"/>
        </w:rPr>
        <w:t xml:space="preserve">34 </w:t>
      </w:r>
      <w:r w:rsidR="00023F1B" w:rsidRPr="00102445">
        <w:rPr>
          <w:rFonts w:eastAsia="Times New Roman" w:cs="Times New Roman"/>
          <w:lang w:eastAsia="en-AU"/>
        </w:rPr>
        <w:t xml:space="preserve">for a </w:t>
      </w:r>
      <w:r w:rsidRPr="00102445">
        <w:rPr>
          <w:rFonts w:eastAsia="Times New Roman" w:cs="Times New Roman"/>
          <w:lang w:eastAsia="en-AU"/>
        </w:rPr>
        <w:t>trade</w:t>
      </w:r>
      <w:r w:rsidR="00814471" w:rsidRPr="00102445">
        <w:rPr>
          <w:rFonts w:eastAsia="Times New Roman" w:cs="Times New Roman"/>
          <w:lang w:eastAsia="en-AU"/>
        </w:rPr>
        <w:t>-</w:t>
      </w:r>
      <w:r w:rsidRPr="00102445">
        <w:rPr>
          <w:rFonts w:eastAsia="Times New Roman" w:cs="Times New Roman"/>
          <w:lang w:eastAsia="en-AU"/>
        </w:rPr>
        <w:t>exposed baseline</w:t>
      </w:r>
      <w:r w:rsidR="00787CEB" w:rsidRPr="00102445">
        <w:rPr>
          <w:rFonts w:eastAsia="Times New Roman" w:cs="Times New Roman"/>
          <w:lang w:eastAsia="en-AU"/>
        </w:rPr>
        <w:t>-</w:t>
      </w:r>
      <w:r w:rsidRPr="00102445">
        <w:rPr>
          <w:rFonts w:eastAsia="Times New Roman" w:cs="Times New Roman"/>
          <w:lang w:eastAsia="en-AU"/>
        </w:rPr>
        <w:t>adjusted facility</w:t>
      </w:r>
      <w:r w:rsidR="00023F1B" w:rsidRPr="00102445">
        <w:rPr>
          <w:rFonts w:eastAsia="Times New Roman" w:cs="Times New Roman"/>
          <w:lang w:eastAsia="en-AU"/>
        </w:rPr>
        <w:t>.</w:t>
      </w:r>
      <w:r w:rsidRPr="00102445">
        <w:rPr>
          <w:rFonts w:eastAsia="Times New Roman" w:cs="Times New Roman"/>
          <w:lang w:eastAsia="en-AU"/>
        </w:rPr>
        <w:t xml:space="preserve"> </w:t>
      </w:r>
      <w:r w:rsidR="00023F1B" w:rsidRPr="00102445">
        <w:rPr>
          <w:rFonts w:eastAsia="Times New Roman" w:cs="Times New Roman"/>
          <w:lang w:eastAsia="en-AU"/>
        </w:rPr>
        <w:t xml:space="preserve">Emissions reduction contributions implement the decline of Safeguard baselines, which </w:t>
      </w:r>
      <w:r w:rsidR="00605C4E" w:rsidRPr="00102445">
        <w:rPr>
          <w:rFonts w:eastAsia="Times New Roman" w:cs="Times New Roman"/>
          <w:lang w:eastAsia="en-AU"/>
        </w:rPr>
        <w:t>ensure that</w:t>
      </w:r>
      <w:r w:rsidR="00605C4E" w:rsidRPr="00102445">
        <w:t xml:space="preserve"> Safeguard emissions decline and</w:t>
      </w:r>
      <w:r w:rsidR="00943BCC" w:rsidRPr="00102445">
        <w:t xml:space="preserve"> accordingly contribute to the achievement of Australia’s greenhouse gas emissions reduction targets, consistent with the second object of the NGER Act.</w:t>
      </w:r>
    </w:p>
    <w:p w14:paraId="39C4CF9B" w14:textId="117F3329" w:rsidR="00EE7A65" w:rsidRPr="00102445" w:rsidRDefault="00EE7A65" w:rsidP="00711BC3">
      <w:pPr>
        <w:pStyle w:val="Itemheadings"/>
      </w:pPr>
      <w:r w:rsidRPr="00102445">
        <w:t>Item 14 – Section 4</w:t>
      </w:r>
      <w:r w:rsidR="00691887" w:rsidRPr="00102445">
        <w:t xml:space="preserve"> (definition of </w:t>
      </w:r>
      <w:r w:rsidR="00691887" w:rsidRPr="00102445">
        <w:rPr>
          <w:i/>
        </w:rPr>
        <w:t>estimated emissions intensity</w:t>
      </w:r>
      <w:r w:rsidR="00691887" w:rsidRPr="00102445">
        <w:t>)</w:t>
      </w:r>
    </w:p>
    <w:p w14:paraId="40317E52" w14:textId="1E745C07" w:rsidR="00EE7A65" w:rsidRPr="00102445" w:rsidRDefault="00EE7A65"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Removes the definition of ‘</w:t>
      </w:r>
      <w:r w:rsidRPr="00102445">
        <w:rPr>
          <w:rFonts w:eastAsia="Times New Roman" w:cs="Times New Roman"/>
          <w:i/>
          <w:lang w:eastAsia="en-AU"/>
        </w:rPr>
        <w:t>estimated emissions intensity</w:t>
      </w:r>
      <w:r w:rsidRPr="00102445">
        <w:rPr>
          <w:rFonts w:eastAsia="Times New Roman" w:cs="Times New Roman"/>
          <w:lang w:eastAsia="en-AU"/>
        </w:rPr>
        <w:t>’ as this term is no longer applicable under the reformed Safeguard Mechanism.</w:t>
      </w:r>
    </w:p>
    <w:p w14:paraId="70FB2E30" w14:textId="34B00EDF" w:rsidR="004A6847" w:rsidRPr="00102445" w:rsidRDefault="004A6847" w:rsidP="00711BC3">
      <w:pPr>
        <w:pStyle w:val="Itemheadings"/>
      </w:pPr>
      <w:r w:rsidRPr="00102445">
        <w:lastRenderedPageBreak/>
        <w:t>Item 15 – Section 4</w:t>
      </w:r>
    </w:p>
    <w:p w14:paraId="073FC688" w14:textId="3F68BB05" w:rsidR="004A6847" w:rsidRPr="00102445" w:rsidRDefault="004A6847"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Introduces the definitions of ‘</w:t>
      </w:r>
      <w:r w:rsidRPr="00102445">
        <w:rPr>
          <w:rFonts w:eastAsia="Times New Roman" w:cs="Times New Roman"/>
          <w:i/>
          <w:lang w:eastAsia="en-AU"/>
        </w:rPr>
        <w:t>existing facility</w:t>
      </w:r>
      <w:r w:rsidRPr="00102445">
        <w:rPr>
          <w:rFonts w:eastAsia="Times New Roman" w:cs="Times New Roman"/>
          <w:lang w:eastAsia="en-AU"/>
        </w:rPr>
        <w:t xml:space="preserve">’ as provided for in subsection </w:t>
      </w:r>
      <w:r w:rsidR="005E0B3C" w:rsidRPr="00102445">
        <w:rPr>
          <w:rFonts w:eastAsia="Times New Roman" w:cs="Times New Roman"/>
          <w:lang w:eastAsia="en-AU"/>
        </w:rPr>
        <w:t>12</w:t>
      </w:r>
      <w:r w:rsidRPr="00102445">
        <w:rPr>
          <w:rFonts w:eastAsia="Times New Roman" w:cs="Times New Roman"/>
          <w:lang w:eastAsia="en-AU"/>
        </w:rPr>
        <w:t>(1); ‘</w:t>
      </w:r>
      <w:r w:rsidRPr="00102445">
        <w:rPr>
          <w:rFonts w:eastAsia="Times New Roman" w:cs="Times New Roman"/>
          <w:i/>
          <w:lang w:eastAsia="en-AU"/>
        </w:rPr>
        <w:t>facility-specific emissions intensity number</w:t>
      </w:r>
      <w:r w:rsidRPr="00102445">
        <w:rPr>
          <w:rFonts w:eastAsia="Times New Roman" w:cs="Times New Roman"/>
          <w:lang w:eastAsia="en-AU"/>
        </w:rPr>
        <w:t>’</w:t>
      </w:r>
      <w:r w:rsidR="009A329C" w:rsidRPr="00102445">
        <w:rPr>
          <w:rFonts w:eastAsia="Times New Roman" w:cs="Times New Roman"/>
          <w:lang w:eastAsia="en-AU"/>
        </w:rPr>
        <w:t xml:space="preserve"> of a historical production variable for a facility as given by subsection </w:t>
      </w:r>
      <w:r w:rsidR="005E0B3C" w:rsidRPr="00102445">
        <w:rPr>
          <w:rFonts w:eastAsia="Times New Roman" w:cs="Times New Roman"/>
          <w:lang w:eastAsia="en-AU"/>
        </w:rPr>
        <w:t>20</w:t>
      </w:r>
      <w:r w:rsidR="009A329C" w:rsidRPr="00102445">
        <w:rPr>
          <w:rFonts w:eastAsia="Times New Roman" w:cs="Times New Roman"/>
          <w:lang w:eastAsia="en-AU"/>
        </w:rPr>
        <w:t>(</w:t>
      </w:r>
      <w:r w:rsidR="00691887" w:rsidRPr="00102445">
        <w:rPr>
          <w:rFonts w:eastAsia="Times New Roman" w:cs="Times New Roman"/>
          <w:lang w:eastAsia="en-AU"/>
        </w:rPr>
        <w:t>1</w:t>
      </w:r>
      <w:r w:rsidR="009A329C" w:rsidRPr="00102445">
        <w:rPr>
          <w:rFonts w:eastAsia="Times New Roman" w:cs="Times New Roman"/>
          <w:lang w:eastAsia="en-AU"/>
        </w:rPr>
        <w:t>)</w:t>
      </w:r>
      <w:r w:rsidR="00691887" w:rsidRPr="00102445">
        <w:rPr>
          <w:rFonts w:eastAsia="Times New Roman" w:cs="Times New Roman"/>
          <w:lang w:eastAsia="en-AU"/>
        </w:rPr>
        <w:t xml:space="preserve">, a related production variable for a facility as given by subsection </w:t>
      </w:r>
      <w:r w:rsidR="005E0B3C" w:rsidRPr="00102445">
        <w:rPr>
          <w:rFonts w:eastAsia="Times New Roman" w:cs="Times New Roman"/>
          <w:lang w:eastAsia="en-AU"/>
        </w:rPr>
        <w:t>20</w:t>
      </w:r>
      <w:r w:rsidR="00691887" w:rsidRPr="00102445">
        <w:rPr>
          <w:rFonts w:eastAsia="Times New Roman" w:cs="Times New Roman"/>
          <w:lang w:eastAsia="en-AU"/>
        </w:rPr>
        <w:t>(</w:t>
      </w:r>
      <w:r w:rsidR="005E0B3C" w:rsidRPr="00102445">
        <w:rPr>
          <w:rFonts w:eastAsia="Times New Roman" w:cs="Times New Roman"/>
          <w:lang w:eastAsia="en-AU"/>
        </w:rPr>
        <w:t>5</w:t>
      </w:r>
      <w:r w:rsidR="00691887" w:rsidRPr="00102445">
        <w:rPr>
          <w:rFonts w:eastAsia="Times New Roman" w:cs="Times New Roman"/>
          <w:lang w:eastAsia="en-AU"/>
        </w:rPr>
        <w:t>),</w:t>
      </w:r>
      <w:r w:rsidR="009A329C" w:rsidRPr="00102445">
        <w:rPr>
          <w:rFonts w:eastAsia="Times New Roman" w:cs="Times New Roman"/>
          <w:lang w:eastAsia="en-AU"/>
        </w:rPr>
        <w:t xml:space="preserve"> and a transitional production variable for a facility as given by subsection </w:t>
      </w:r>
      <w:r w:rsidR="005E0B3C" w:rsidRPr="00102445">
        <w:rPr>
          <w:rFonts w:eastAsia="Times New Roman" w:cs="Times New Roman"/>
          <w:lang w:eastAsia="en-AU"/>
        </w:rPr>
        <w:t>20</w:t>
      </w:r>
      <w:r w:rsidR="009A329C" w:rsidRPr="00102445">
        <w:rPr>
          <w:rFonts w:eastAsia="Times New Roman" w:cs="Times New Roman"/>
          <w:lang w:eastAsia="en-AU"/>
        </w:rPr>
        <w:t>(</w:t>
      </w:r>
      <w:r w:rsidR="005E0B3C" w:rsidRPr="00102445">
        <w:rPr>
          <w:rFonts w:eastAsia="Times New Roman" w:cs="Times New Roman"/>
          <w:lang w:eastAsia="en-AU"/>
        </w:rPr>
        <w:t>6</w:t>
      </w:r>
      <w:r w:rsidR="009A329C" w:rsidRPr="00102445">
        <w:rPr>
          <w:rFonts w:eastAsia="Times New Roman" w:cs="Times New Roman"/>
          <w:lang w:eastAsia="en-AU"/>
        </w:rPr>
        <w:t xml:space="preserve">); </w:t>
      </w:r>
      <w:r w:rsidR="00B11C5D" w:rsidRPr="00102445">
        <w:rPr>
          <w:rFonts w:eastAsia="Times New Roman" w:cs="Times New Roman"/>
          <w:lang w:eastAsia="en-AU"/>
        </w:rPr>
        <w:t xml:space="preserve">and </w:t>
      </w:r>
      <w:r w:rsidR="009A329C" w:rsidRPr="00102445">
        <w:rPr>
          <w:rFonts w:eastAsia="Times New Roman" w:cs="Times New Roman"/>
          <w:lang w:eastAsia="en-AU"/>
        </w:rPr>
        <w:t>‘</w:t>
      </w:r>
      <w:r w:rsidR="009A329C" w:rsidRPr="00102445">
        <w:rPr>
          <w:rFonts w:eastAsia="Times New Roman" w:cs="Times New Roman"/>
          <w:i/>
          <w:lang w:eastAsia="en-AU"/>
        </w:rPr>
        <w:t>first adjusted financial year</w:t>
      </w:r>
      <w:r w:rsidR="009A329C" w:rsidRPr="00102445">
        <w:rPr>
          <w:rFonts w:eastAsia="Times New Roman" w:cs="Times New Roman"/>
          <w:lang w:eastAsia="en-AU"/>
        </w:rPr>
        <w:t>’ as provided by subsection 3</w:t>
      </w:r>
      <w:r w:rsidR="005E0B3C" w:rsidRPr="00102445">
        <w:rPr>
          <w:rFonts w:eastAsia="Times New Roman" w:cs="Times New Roman"/>
          <w:lang w:eastAsia="en-AU"/>
        </w:rPr>
        <w:t>6</w:t>
      </w:r>
      <w:r w:rsidR="009A329C" w:rsidRPr="00102445">
        <w:rPr>
          <w:rFonts w:eastAsia="Times New Roman" w:cs="Times New Roman"/>
          <w:lang w:eastAsia="en-AU"/>
        </w:rPr>
        <w:t>(</w:t>
      </w:r>
      <w:r w:rsidR="005E0B3C" w:rsidRPr="00102445">
        <w:rPr>
          <w:rFonts w:eastAsia="Times New Roman" w:cs="Times New Roman"/>
          <w:lang w:eastAsia="en-AU"/>
        </w:rPr>
        <w:t>6</w:t>
      </w:r>
      <w:r w:rsidR="009A329C" w:rsidRPr="00102445">
        <w:rPr>
          <w:rFonts w:eastAsia="Times New Roman" w:cs="Times New Roman"/>
          <w:lang w:eastAsia="en-AU"/>
        </w:rPr>
        <w:t>).</w:t>
      </w:r>
    </w:p>
    <w:p w14:paraId="731582C7" w14:textId="1E03E8C2" w:rsidR="00BC7212" w:rsidRPr="00102445" w:rsidRDefault="00BC7212" w:rsidP="00711BC3">
      <w:pPr>
        <w:pStyle w:val="Itemheadings"/>
      </w:pPr>
      <w:r w:rsidRPr="00102445">
        <w:t>Item 16 – Section 4</w:t>
      </w:r>
      <w:r w:rsidR="00256539" w:rsidRPr="00102445">
        <w:t xml:space="preserve"> (definition of </w:t>
      </w:r>
      <w:r w:rsidR="00256539" w:rsidRPr="00102445">
        <w:rPr>
          <w:i/>
        </w:rPr>
        <w:t>fixed proportion</w:t>
      </w:r>
      <w:r w:rsidR="00256539" w:rsidRPr="00102445">
        <w:t>)</w:t>
      </w:r>
    </w:p>
    <w:p w14:paraId="687FF7F8" w14:textId="4F0CB6EB" w:rsidR="00BC7212" w:rsidRPr="00102445" w:rsidRDefault="00BC7212"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Removes the definition of ‘</w:t>
      </w:r>
      <w:r w:rsidRPr="00102445">
        <w:rPr>
          <w:rFonts w:eastAsia="Times New Roman" w:cs="Times New Roman"/>
          <w:i/>
          <w:lang w:eastAsia="en-AU"/>
        </w:rPr>
        <w:t>fixed proportion</w:t>
      </w:r>
      <w:r w:rsidRPr="00102445">
        <w:rPr>
          <w:rFonts w:eastAsia="Times New Roman" w:cs="Times New Roman"/>
          <w:lang w:eastAsia="en-AU"/>
        </w:rPr>
        <w:t>’ as this term is no longer applicable under the reformed Safeguard Mechanism.</w:t>
      </w:r>
    </w:p>
    <w:p w14:paraId="2B3C9AD5" w14:textId="20AF9348" w:rsidR="00BC7212" w:rsidRPr="00102445" w:rsidRDefault="00BC7212" w:rsidP="00711BC3">
      <w:pPr>
        <w:pStyle w:val="Itemheadings"/>
      </w:pPr>
      <w:r w:rsidRPr="00102445">
        <w:t>Item 17 – Section 4</w:t>
      </w:r>
    </w:p>
    <w:p w14:paraId="03EC70C9" w14:textId="49063BB7" w:rsidR="00BC7212" w:rsidRPr="00102445" w:rsidRDefault="00BC7212"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Introduces the definitions of ‘</w:t>
      </w:r>
      <w:r w:rsidRPr="00102445">
        <w:rPr>
          <w:rFonts w:eastAsia="Times New Roman" w:cs="Times New Roman"/>
          <w:i/>
          <w:lang w:eastAsia="en-AU"/>
        </w:rPr>
        <w:t>historical financial year</w:t>
      </w:r>
      <w:r w:rsidRPr="00102445">
        <w:rPr>
          <w:rFonts w:eastAsia="Times New Roman" w:cs="Times New Roman"/>
          <w:lang w:eastAsia="en-AU"/>
        </w:rPr>
        <w:t xml:space="preserve">’ as given by the subsection </w:t>
      </w:r>
      <w:r w:rsidR="008E1784" w:rsidRPr="00102445">
        <w:rPr>
          <w:rFonts w:eastAsia="Times New Roman" w:cs="Times New Roman"/>
          <w:lang w:eastAsia="en-AU"/>
        </w:rPr>
        <w:t>12</w:t>
      </w:r>
      <w:r w:rsidRPr="00102445">
        <w:rPr>
          <w:rFonts w:eastAsia="Times New Roman" w:cs="Times New Roman"/>
          <w:lang w:eastAsia="en-AU"/>
        </w:rPr>
        <w:t>(3); ‘</w:t>
      </w:r>
      <w:r w:rsidRPr="00102445">
        <w:rPr>
          <w:rFonts w:eastAsia="Times New Roman" w:cs="Times New Roman"/>
          <w:i/>
          <w:lang w:eastAsia="en-AU"/>
        </w:rPr>
        <w:t>historical production variable</w:t>
      </w:r>
      <w:r w:rsidRPr="00102445">
        <w:rPr>
          <w:rFonts w:eastAsia="Times New Roman" w:cs="Times New Roman"/>
          <w:lang w:eastAsia="en-AU"/>
        </w:rPr>
        <w:t xml:space="preserve">’ for a facility as given by subsection </w:t>
      </w:r>
      <w:r w:rsidR="008E1784" w:rsidRPr="00102445">
        <w:rPr>
          <w:rFonts w:eastAsia="Times New Roman" w:cs="Times New Roman"/>
          <w:lang w:eastAsia="en-AU"/>
        </w:rPr>
        <w:t>12</w:t>
      </w:r>
      <w:r w:rsidRPr="00102445">
        <w:rPr>
          <w:rFonts w:eastAsia="Times New Roman" w:cs="Times New Roman"/>
          <w:lang w:eastAsia="en-AU"/>
        </w:rPr>
        <w:t xml:space="preserve">(2); </w:t>
      </w:r>
      <w:r w:rsidR="00B11C5D" w:rsidRPr="00102445">
        <w:rPr>
          <w:rFonts w:eastAsia="Times New Roman" w:cs="Times New Roman"/>
          <w:lang w:eastAsia="en-AU"/>
        </w:rPr>
        <w:t xml:space="preserve">and </w:t>
      </w:r>
      <w:r w:rsidRPr="00102445">
        <w:rPr>
          <w:rFonts w:eastAsia="Times New Roman" w:cs="Times New Roman"/>
          <w:lang w:eastAsia="en-AU"/>
        </w:rPr>
        <w:t>‘</w:t>
      </w:r>
      <w:r w:rsidRPr="00102445">
        <w:rPr>
          <w:rFonts w:eastAsia="Times New Roman" w:cs="Times New Roman"/>
          <w:i/>
          <w:lang w:eastAsia="en-AU"/>
        </w:rPr>
        <w:t>hypothetical baseline</w:t>
      </w:r>
      <w:r w:rsidRPr="00102445">
        <w:rPr>
          <w:rFonts w:eastAsia="Times New Roman" w:cs="Times New Roman"/>
          <w:lang w:eastAsia="en-AU"/>
        </w:rPr>
        <w:t xml:space="preserve">’ as given by subsection </w:t>
      </w:r>
      <w:r w:rsidR="008E1784" w:rsidRPr="00102445">
        <w:rPr>
          <w:rFonts w:eastAsia="Times New Roman" w:cs="Times New Roman"/>
          <w:lang w:eastAsia="en-AU"/>
        </w:rPr>
        <w:t>36</w:t>
      </w:r>
      <w:r w:rsidRPr="00102445">
        <w:rPr>
          <w:rFonts w:eastAsia="Times New Roman" w:cs="Times New Roman"/>
          <w:lang w:eastAsia="en-AU"/>
        </w:rPr>
        <w:t>(</w:t>
      </w:r>
      <w:r w:rsidR="008E1784" w:rsidRPr="00102445">
        <w:rPr>
          <w:rFonts w:eastAsia="Times New Roman" w:cs="Times New Roman"/>
          <w:lang w:eastAsia="en-AU"/>
        </w:rPr>
        <w:t>7</w:t>
      </w:r>
      <w:r w:rsidRPr="00102445">
        <w:rPr>
          <w:rFonts w:eastAsia="Times New Roman" w:cs="Times New Roman"/>
          <w:lang w:eastAsia="en-AU"/>
        </w:rPr>
        <w:t>)</w:t>
      </w:r>
      <w:r w:rsidR="00B11C5D" w:rsidRPr="00102445">
        <w:rPr>
          <w:rFonts w:eastAsia="Times New Roman" w:cs="Times New Roman"/>
          <w:lang w:eastAsia="en-AU"/>
        </w:rPr>
        <w:t>.</w:t>
      </w:r>
    </w:p>
    <w:p w14:paraId="17223C52" w14:textId="45E22947" w:rsidR="00B11C5D" w:rsidRPr="00102445" w:rsidRDefault="00E8227D" w:rsidP="00711BC3">
      <w:pPr>
        <w:pStyle w:val="Itemheadings"/>
      </w:pPr>
      <w:r w:rsidRPr="00102445">
        <w:t>Item 18 – Section 4</w:t>
      </w:r>
    </w:p>
    <w:p w14:paraId="4DA8200B" w14:textId="5CB923B8" w:rsidR="00E8227D" w:rsidRPr="00102445" w:rsidRDefault="00E8227D"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Removes the following definitions ‘</w:t>
      </w:r>
      <w:r w:rsidRPr="00102445">
        <w:rPr>
          <w:rFonts w:eastAsia="Times New Roman" w:cs="Times New Roman"/>
          <w:i/>
          <w:lang w:eastAsia="en-AU"/>
        </w:rPr>
        <w:t>inherent emissions variability criteria</w:t>
      </w:r>
      <w:r w:rsidRPr="00102445">
        <w:rPr>
          <w:rFonts w:eastAsia="Times New Roman" w:cs="Times New Roman"/>
          <w:lang w:eastAsia="en-AU"/>
        </w:rPr>
        <w:t>’, ‘</w:t>
      </w:r>
      <w:r w:rsidRPr="00102445">
        <w:rPr>
          <w:rFonts w:eastAsia="Times New Roman" w:cs="Times New Roman"/>
          <w:i/>
          <w:lang w:eastAsia="en-AU"/>
        </w:rPr>
        <w:t>initial calculated baseline criteria</w:t>
      </w:r>
      <w:r w:rsidRPr="00102445">
        <w:rPr>
          <w:rFonts w:eastAsia="Times New Roman" w:cs="Times New Roman"/>
          <w:lang w:eastAsia="en-AU"/>
        </w:rPr>
        <w:t>’, ‘</w:t>
      </w:r>
      <w:r w:rsidRPr="00102445">
        <w:rPr>
          <w:rFonts w:eastAsia="Times New Roman" w:cs="Times New Roman"/>
          <w:i/>
          <w:lang w:eastAsia="en-AU"/>
        </w:rPr>
        <w:t>inter-state transport facility</w:t>
      </w:r>
      <w:r w:rsidRPr="00102445">
        <w:rPr>
          <w:rFonts w:eastAsia="Times New Roman" w:cs="Times New Roman"/>
          <w:lang w:eastAsia="en-AU"/>
        </w:rPr>
        <w:t>’, ‘</w:t>
      </w:r>
      <w:r w:rsidRPr="00102445">
        <w:rPr>
          <w:rFonts w:eastAsia="Times New Roman" w:cs="Times New Roman"/>
          <w:i/>
          <w:lang w:eastAsia="en-AU"/>
        </w:rPr>
        <w:t>landfill baseline emissions formula</w:t>
      </w:r>
      <w:r w:rsidRPr="00102445">
        <w:rPr>
          <w:rFonts w:eastAsia="Times New Roman" w:cs="Times New Roman"/>
          <w:lang w:eastAsia="en-AU"/>
        </w:rPr>
        <w:t>’, ‘</w:t>
      </w:r>
      <w:r w:rsidRPr="00102445">
        <w:rPr>
          <w:rFonts w:eastAsia="Times New Roman" w:cs="Times New Roman"/>
          <w:i/>
          <w:lang w:eastAsia="en-AU"/>
        </w:rPr>
        <w:t>landfill baseline determination</w:t>
      </w:r>
      <w:r w:rsidRPr="00102445">
        <w:rPr>
          <w:rFonts w:eastAsia="Times New Roman" w:cs="Times New Roman"/>
          <w:lang w:eastAsia="en-AU"/>
        </w:rPr>
        <w:t>’, and ‘</w:t>
      </w:r>
      <w:r w:rsidRPr="00102445">
        <w:rPr>
          <w:rFonts w:eastAsia="Times New Roman" w:cs="Times New Roman"/>
          <w:i/>
          <w:lang w:eastAsia="en-AU"/>
        </w:rPr>
        <w:t>large new facility</w:t>
      </w:r>
      <w:r w:rsidRPr="00102445">
        <w:rPr>
          <w:rFonts w:eastAsia="Times New Roman" w:cs="Times New Roman"/>
          <w:lang w:eastAsia="en-AU"/>
        </w:rPr>
        <w:t xml:space="preserve">’ as these terms are no longer applicable under the reformed Safeguard Mechanism. </w:t>
      </w:r>
    </w:p>
    <w:p w14:paraId="5E37E83B" w14:textId="386F4B7B" w:rsidR="00A32F46" w:rsidRPr="00102445" w:rsidRDefault="00A32F46" w:rsidP="00711BC3">
      <w:pPr>
        <w:pStyle w:val="Itemheadings"/>
      </w:pPr>
      <w:r w:rsidRPr="00102445">
        <w:t>Item 19 – Section 4</w:t>
      </w:r>
    </w:p>
    <w:p w14:paraId="0C5AAFE0" w14:textId="2330A568" w:rsidR="003500A6" w:rsidRPr="00102445" w:rsidRDefault="003500A6"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I</w:t>
      </w:r>
      <w:r w:rsidR="00A32F46" w:rsidRPr="00102445">
        <w:rPr>
          <w:rFonts w:eastAsia="Times New Roman" w:cs="Times New Roman"/>
          <w:lang w:eastAsia="en-AU"/>
        </w:rPr>
        <w:t>ntroduces the definition</w:t>
      </w:r>
      <w:r w:rsidR="009E51E1" w:rsidRPr="00102445">
        <w:rPr>
          <w:rFonts w:eastAsia="Times New Roman" w:cs="Times New Roman"/>
          <w:lang w:eastAsia="en-AU"/>
        </w:rPr>
        <w:t>s</w:t>
      </w:r>
      <w:r w:rsidR="00A32F46" w:rsidRPr="00102445">
        <w:rPr>
          <w:rFonts w:eastAsia="Times New Roman" w:cs="Times New Roman"/>
          <w:lang w:eastAsia="en-AU"/>
        </w:rPr>
        <w:t xml:space="preserve"> of</w:t>
      </w:r>
      <w:r w:rsidR="00D73EF0" w:rsidRPr="00102445">
        <w:rPr>
          <w:rFonts w:eastAsia="Times New Roman" w:cs="Times New Roman"/>
          <w:lang w:eastAsia="en-AU"/>
        </w:rPr>
        <w:t xml:space="preserve"> </w:t>
      </w:r>
      <w:r w:rsidRPr="00102445">
        <w:rPr>
          <w:rFonts w:eastAsia="Times New Roman" w:cs="Times New Roman"/>
          <w:lang w:eastAsia="en-AU"/>
        </w:rPr>
        <w:t>‘</w:t>
      </w:r>
      <w:r w:rsidR="00D73EF0" w:rsidRPr="00102445">
        <w:rPr>
          <w:i/>
        </w:rPr>
        <w:t>manufacturing facility</w:t>
      </w:r>
      <w:r w:rsidRPr="00102445">
        <w:rPr>
          <w:bCs/>
          <w:i/>
        </w:rPr>
        <w:t>’</w:t>
      </w:r>
      <w:r w:rsidRPr="00102445">
        <w:rPr>
          <w:bCs/>
          <w:iCs/>
        </w:rPr>
        <w:t>, ‘</w:t>
      </w:r>
      <w:r w:rsidRPr="00102445">
        <w:rPr>
          <w:i/>
        </w:rPr>
        <w:t>manufacturing production variable</w:t>
      </w:r>
      <w:r w:rsidRPr="00102445">
        <w:rPr>
          <w:bCs/>
          <w:iCs/>
        </w:rPr>
        <w:t>’</w:t>
      </w:r>
      <w:r w:rsidRPr="00102445">
        <w:rPr>
          <w:i/>
        </w:rPr>
        <w:t xml:space="preserve"> </w:t>
      </w:r>
      <w:r w:rsidRPr="00102445">
        <w:t>and</w:t>
      </w:r>
      <w:r w:rsidRPr="00102445">
        <w:rPr>
          <w:i/>
        </w:rPr>
        <w:t xml:space="preserve"> ‘new facility’.</w:t>
      </w:r>
      <w:r w:rsidRPr="00102445">
        <w:t xml:space="preserve"> </w:t>
      </w:r>
    </w:p>
    <w:p w14:paraId="18E4B695" w14:textId="5A86F665" w:rsidR="003500A6" w:rsidRPr="00102445" w:rsidRDefault="003500A6"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t>A</w:t>
      </w:r>
      <w:r w:rsidR="00D73EF0" w:rsidRPr="00102445">
        <w:t xml:space="preserve"> facility is a manufacturing facility in a financial year if the primary production variable for the facility in the financial year is a manufacturing production variable</w:t>
      </w:r>
      <w:r w:rsidR="008922FC" w:rsidRPr="00102445">
        <w:t>.</w:t>
      </w:r>
      <w:r w:rsidRPr="00102445">
        <w:t xml:space="preserve"> </w:t>
      </w:r>
      <w:r w:rsidR="008922FC" w:rsidRPr="00102445">
        <w:t>A</w:t>
      </w:r>
      <w:r w:rsidR="00A32F46" w:rsidRPr="00102445">
        <w:rPr>
          <w:rFonts w:eastAsia="Times New Roman" w:cs="Times New Roman"/>
          <w:lang w:eastAsia="en-AU"/>
        </w:rPr>
        <w:t xml:space="preserve"> </w:t>
      </w:r>
      <w:r w:rsidRPr="00102445">
        <w:t>manufacturing production variable means a production variable that is listed in the table in section 1 of Schedule 2 of the Safeguard Rules.</w:t>
      </w:r>
    </w:p>
    <w:p w14:paraId="7731469F" w14:textId="2FDB76AD" w:rsidR="00A32F46" w:rsidRPr="00102445" w:rsidRDefault="003500A6"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t>A</w:t>
      </w:r>
      <w:r w:rsidRPr="00102445">
        <w:rPr>
          <w:rFonts w:eastAsia="Times New Roman" w:cs="Times New Roman"/>
          <w:lang w:eastAsia="en-AU"/>
        </w:rPr>
        <w:t xml:space="preserve"> </w:t>
      </w:r>
      <w:r w:rsidR="00A32F46" w:rsidRPr="00102445">
        <w:rPr>
          <w:rFonts w:eastAsia="Times New Roman" w:cs="Times New Roman"/>
          <w:lang w:eastAsia="en-AU"/>
        </w:rPr>
        <w:t>‘</w:t>
      </w:r>
      <w:r w:rsidR="00A32F46" w:rsidRPr="00102445">
        <w:rPr>
          <w:rFonts w:eastAsia="Times New Roman" w:cs="Times New Roman"/>
          <w:i/>
          <w:lang w:eastAsia="en-AU"/>
        </w:rPr>
        <w:t>new facility</w:t>
      </w:r>
      <w:r w:rsidR="00A32F46" w:rsidRPr="00102445">
        <w:rPr>
          <w:rFonts w:eastAsia="Times New Roman" w:cs="Times New Roman"/>
          <w:lang w:eastAsia="en-AU"/>
        </w:rPr>
        <w:t xml:space="preserve">’ </w:t>
      </w:r>
      <w:r w:rsidRPr="00102445">
        <w:rPr>
          <w:rFonts w:eastAsia="Times New Roman" w:cs="Times New Roman"/>
          <w:lang w:eastAsia="en-AU"/>
        </w:rPr>
        <w:t xml:space="preserve">has the meaning </w:t>
      </w:r>
      <w:r w:rsidR="00A32F46" w:rsidRPr="00102445">
        <w:rPr>
          <w:rFonts w:eastAsia="Times New Roman" w:cs="Times New Roman"/>
          <w:lang w:eastAsia="en-AU"/>
        </w:rPr>
        <w:t xml:space="preserve">given in subsection </w:t>
      </w:r>
      <w:r w:rsidR="00BF60D2" w:rsidRPr="00102445">
        <w:rPr>
          <w:rFonts w:eastAsia="Times New Roman" w:cs="Times New Roman"/>
          <w:lang w:eastAsia="en-AU"/>
        </w:rPr>
        <w:t>29</w:t>
      </w:r>
      <w:r w:rsidR="00A32F46" w:rsidRPr="00102445">
        <w:rPr>
          <w:rFonts w:eastAsia="Times New Roman" w:cs="Times New Roman"/>
          <w:lang w:eastAsia="en-AU"/>
        </w:rPr>
        <w:t>(</w:t>
      </w:r>
      <w:r w:rsidRPr="00102445">
        <w:rPr>
          <w:rFonts w:eastAsia="Times New Roman" w:cs="Times New Roman"/>
          <w:lang w:eastAsia="en-AU"/>
        </w:rPr>
        <w:t>2</w:t>
      </w:r>
      <w:r w:rsidR="00A32F46" w:rsidRPr="00102445">
        <w:rPr>
          <w:rFonts w:eastAsia="Times New Roman" w:cs="Times New Roman"/>
          <w:lang w:eastAsia="en-AU"/>
        </w:rPr>
        <w:t xml:space="preserve">). </w:t>
      </w:r>
    </w:p>
    <w:p w14:paraId="1070E3A0" w14:textId="550FBE20" w:rsidR="00EC33E2" w:rsidRPr="00102445" w:rsidRDefault="00EC33E2" w:rsidP="00B656BF">
      <w:pPr>
        <w:pStyle w:val="Itemheadings"/>
      </w:pPr>
      <w:r w:rsidRPr="00102445">
        <w:t>Item 20 – Section 4</w:t>
      </w:r>
      <w:r w:rsidR="00191A84" w:rsidRPr="00102445">
        <w:t xml:space="preserve"> (definition of </w:t>
      </w:r>
      <w:r w:rsidR="00191A84" w:rsidRPr="00102445">
        <w:rPr>
          <w:i/>
        </w:rPr>
        <w:t>new facility criteria</w:t>
      </w:r>
      <w:r w:rsidR="00191A84" w:rsidRPr="00102445">
        <w:t>)</w:t>
      </w:r>
    </w:p>
    <w:p w14:paraId="2C3F088B" w14:textId="77777777" w:rsidR="00E921D9" w:rsidRPr="00102445" w:rsidRDefault="00EC33E2"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Removes the definition</w:t>
      </w:r>
      <w:r w:rsidR="00E921D9" w:rsidRPr="00102445">
        <w:rPr>
          <w:rFonts w:eastAsia="Times New Roman" w:cs="Times New Roman"/>
          <w:lang w:eastAsia="en-AU"/>
        </w:rPr>
        <w:t xml:space="preserve"> ‘</w:t>
      </w:r>
      <w:r w:rsidR="00E921D9" w:rsidRPr="00102445">
        <w:rPr>
          <w:rFonts w:eastAsia="Times New Roman" w:cs="Times New Roman"/>
          <w:i/>
          <w:lang w:eastAsia="en-AU"/>
        </w:rPr>
        <w:t>new facility criteria</w:t>
      </w:r>
      <w:r w:rsidR="00E921D9" w:rsidRPr="00102445">
        <w:rPr>
          <w:rFonts w:eastAsia="Times New Roman" w:cs="Times New Roman"/>
          <w:lang w:eastAsia="en-AU"/>
        </w:rPr>
        <w:t>’ as this term is no longer applicable under the reformed Safeguard Mechanism.</w:t>
      </w:r>
    </w:p>
    <w:p w14:paraId="7A438B9F" w14:textId="3622F523" w:rsidR="009A329C" w:rsidRPr="00102445" w:rsidRDefault="00E921D9" w:rsidP="00711BC3">
      <w:pPr>
        <w:pStyle w:val="Itemheadings"/>
      </w:pPr>
      <w:r w:rsidRPr="00102445">
        <w:t>Item 21 – Section 4</w:t>
      </w:r>
    </w:p>
    <w:p w14:paraId="7932CF8A" w14:textId="116485BF" w:rsidR="00027F36" w:rsidRPr="00102445" w:rsidRDefault="00E921D9"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lang w:eastAsia="en-AU"/>
        </w:rPr>
        <w:t>Introduces the definition ‘</w:t>
      </w:r>
      <w:r w:rsidRPr="00102445">
        <w:rPr>
          <w:i/>
          <w:lang w:eastAsia="en-AU"/>
        </w:rPr>
        <w:t>non-commercial production variable</w:t>
      </w:r>
      <w:r w:rsidRPr="00102445">
        <w:rPr>
          <w:lang w:eastAsia="en-AU"/>
        </w:rPr>
        <w:t xml:space="preserve">’ </w:t>
      </w:r>
      <w:r w:rsidR="00587054" w:rsidRPr="00102445">
        <w:rPr>
          <w:lang w:eastAsia="en-AU"/>
        </w:rPr>
        <w:t xml:space="preserve">as given in subsection </w:t>
      </w:r>
      <w:r w:rsidR="009642F8" w:rsidRPr="00102445">
        <w:rPr>
          <w:lang w:eastAsia="en-AU"/>
        </w:rPr>
        <w:t>12</w:t>
      </w:r>
      <w:r w:rsidR="00587054" w:rsidRPr="00102445">
        <w:rPr>
          <w:lang w:eastAsia="en-AU"/>
        </w:rPr>
        <w:t>(</w:t>
      </w:r>
      <w:r w:rsidR="00191A84" w:rsidRPr="00102445">
        <w:rPr>
          <w:lang w:eastAsia="en-AU"/>
        </w:rPr>
        <w:t>5</w:t>
      </w:r>
      <w:r w:rsidR="00587054" w:rsidRPr="00102445">
        <w:rPr>
          <w:lang w:eastAsia="en-AU"/>
        </w:rPr>
        <w:t>).</w:t>
      </w:r>
    </w:p>
    <w:p w14:paraId="00E411E7" w14:textId="403EC04D" w:rsidR="00587054" w:rsidRPr="00102445" w:rsidRDefault="00587054" w:rsidP="00711BC3">
      <w:pPr>
        <w:pStyle w:val="Itemheadings"/>
      </w:pPr>
      <w:r w:rsidRPr="00102445">
        <w:t>Item 22 – Section 4</w:t>
      </w:r>
    </w:p>
    <w:p w14:paraId="42641CB2" w14:textId="6A0C6D65" w:rsidR="00587054" w:rsidRPr="00102445" w:rsidRDefault="00587054"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Removes the following definitions</w:t>
      </w:r>
      <w:r w:rsidR="00434351" w:rsidRPr="00102445">
        <w:rPr>
          <w:rFonts w:eastAsia="Times New Roman" w:cs="Times New Roman"/>
          <w:lang w:eastAsia="en-AU"/>
        </w:rPr>
        <w:t>:</w:t>
      </w:r>
      <w:r w:rsidR="0028101B" w:rsidRPr="00102445">
        <w:rPr>
          <w:rFonts w:eastAsia="Times New Roman" w:cs="Times New Roman"/>
          <w:lang w:eastAsia="en-AU"/>
        </w:rPr>
        <w:t xml:space="preserve"> </w:t>
      </w:r>
      <w:r w:rsidRPr="00102445">
        <w:rPr>
          <w:rFonts w:eastAsia="Times New Roman" w:cs="Times New Roman"/>
          <w:lang w:eastAsia="en-AU"/>
        </w:rPr>
        <w:t>‘</w:t>
      </w:r>
      <w:r w:rsidRPr="00102445">
        <w:rPr>
          <w:rFonts w:eastAsia="Times New Roman" w:cs="Times New Roman"/>
          <w:i/>
          <w:lang w:eastAsia="en-AU"/>
        </w:rPr>
        <w:t>output variable</w:t>
      </w:r>
      <w:r w:rsidRPr="00102445">
        <w:rPr>
          <w:rFonts w:eastAsia="Times New Roman" w:cs="Times New Roman"/>
          <w:lang w:eastAsia="en-AU"/>
        </w:rPr>
        <w:t>’, ‘</w:t>
      </w:r>
      <w:r w:rsidRPr="00102445">
        <w:rPr>
          <w:rFonts w:eastAsia="Times New Roman" w:cs="Times New Roman"/>
          <w:i/>
          <w:lang w:eastAsia="en-AU"/>
        </w:rPr>
        <w:t>prescribed (annually adjusted) production variable</w:t>
      </w:r>
      <w:r w:rsidRPr="00102445">
        <w:rPr>
          <w:rFonts w:eastAsia="Times New Roman" w:cs="Times New Roman"/>
          <w:lang w:eastAsia="en-AU"/>
        </w:rPr>
        <w:t>’, ‘</w:t>
      </w:r>
      <w:r w:rsidRPr="00102445">
        <w:rPr>
          <w:rFonts w:eastAsia="Times New Roman" w:cs="Times New Roman"/>
          <w:i/>
          <w:lang w:eastAsia="en-AU"/>
        </w:rPr>
        <w:t>prescribed (fixed) production variable</w:t>
      </w:r>
      <w:r w:rsidRPr="00102445">
        <w:rPr>
          <w:rFonts w:eastAsia="Times New Roman" w:cs="Times New Roman"/>
          <w:lang w:eastAsia="en-AU"/>
        </w:rPr>
        <w:t>’, ‘</w:t>
      </w:r>
      <w:r w:rsidRPr="00102445">
        <w:rPr>
          <w:rFonts w:eastAsia="Times New Roman" w:cs="Times New Roman"/>
          <w:i/>
          <w:lang w:eastAsia="en-AU"/>
        </w:rPr>
        <w:t>prescribed production variable</w:t>
      </w:r>
      <w:r w:rsidRPr="00102445">
        <w:rPr>
          <w:rFonts w:eastAsia="Times New Roman" w:cs="Times New Roman"/>
          <w:lang w:eastAsia="en-AU"/>
        </w:rPr>
        <w:t>’ as these terms are no longer applicable under the reformed Safeguard Mechanism.</w:t>
      </w:r>
    </w:p>
    <w:p w14:paraId="4A3F7A61" w14:textId="4C5B3320" w:rsidR="00D45BBF" w:rsidRPr="00102445" w:rsidRDefault="00D45BBF" w:rsidP="00B656BF">
      <w:pPr>
        <w:pStyle w:val="Itemheadings"/>
        <w:rPr>
          <w:lang w:eastAsia="en-AU"/>
        </w:rPr>
      </w:pPr>
      <w:r w:rsidRPr="00102445">
        <w:rPr>
          <w:lang w:eastAsia="en-AU"/>
        </w:rPr>
        <w:lastRenderedPageBreak/>
        <w:t xml:space="preserve">Item </w:t>
      </w:r>
      <w:r w:rsidR="00A81AA8" w:rsidRPr="00102445">
        <w:rPr>
          <w:lang w:eastAsia="en-AU"/>
        </w:rPr>
        <w:t xml:space="preserve">23 </w:t>
      </w:r>
      <w:r w:rsidRPr="00102445">
        <w:rPr>
          <w:lang w:eastAsia="en-AU"/>
        </w:rPr>
        <w:t xml:space="preserve">– Section 4 </w:t>
      </w:r>
      <w:r w:rsidR="00657038" w:rsidRPr="00102445">
        <w:t xml:space="preserve">(definition of </w:t>
      </w:r>
      <w:r w:rsidR="00657038" w:rsidRPr="00102445">
        <w:rPr>
          <w:i/>
        </w:rPr>
        <w:t>primary production variable</w:t>
      </w:r>
      <w:r w:rsidR="00657038" w:rsidRPr="00102445">
        <w:t>)</w:t>
      </w:r>
    </w:p>
    <w:p w14:paraId="73A33D68" w14:textId="506D8786" w:rsidR="00D45BBF" w:rsidRPr="00102445" w:rsidRDefault="00A65702"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Repeals </w:t>
      </w:r>
      <w:r w:rsidR="00F50C37" w:rsidRPr="00102445">
        <w:rPr>
          <w:rFonts w:eastAsia="Times New Roman" w:cs="Times New Roman"/>
          <w:lang w:eastAsia="en-AU"/>
        </w:rPr>
        <w:t xml:space="preserve">the definition of </w:t>
      </w:r>
      <w:r w:rsidR="00665599" w:rsidRPr="00102445">
        <w:rPr>
          <w:rFonts w:eastAsia="Times New Roman" w:cs="Times New Roman"/>
          <w:lang w:eastAsia="en-AU"/>
        </w:rPr>
        <w:t>‘</w:t>
      </w:r>
      <w:r w:rsidR="00F50C37" w:rsidRPr="00102445">
        <w:rPr>
          <w:rFonts w:eastAsia="Times New Roman" w:cs="Times New Roman"/>
          <w:i/>
          <w:lang w:eastAsia="en-AU"/>
        </w:rPr>
        <w:t>primary production variable</w:t>
      </w:r>
      <w:r w:rsidR="00BD73EA" w:rsidRPr="00102445">
        <w:rPr>
          <w:rFonts w:eastAsia="Times New Roman" w:cs="Times New Roman"/>
          <w:iCs/>
          <w:lang w:eastAsia="en-AU"/>
        </w:rPr>
        <w:t>’</w:t>
      </w:r>
      <w:r w:rsidR="00F50C37" w:rsidRPr="00102445">
        <w:rPr>
          <w:rFonts w:eastAsia="Times New Roman" w:cs="Times New Roman"/>
          <w:lang w:eastAsia="en-AU"/>
        </w:rPr>
        <w:t xml:space="preserve"> and </w:t>
      </w:r>
      <w:r w:rsidR="00D46964" w:rsidRPr="00102445">
        <w:rPr>
          <w:rFonts w:eastAsia="Times New Roman" w:cs="Times New Roman"/>
          <w:lang w:eastAsia="en-AU"/>
        </w:rPr>
        <w:t>introduces</w:t>
      </w:r>
      <w:r w:rsidR="00E84407" w:rsidRPr="00102445">
        <w:rPr>
          <w:rFonts w:eastAsia="Times New Roman" w:cs="Times New Roman"/>
          <w:lang w:eastAsia="en-AU"/>
        </w:rPr>
        <w:t xml:space="preserve"> a new</w:t>
      </w:r>
      <w:r w:rsidR="00D46964" w:rsidRPr="00102445">
        <w:rPr>
          <w:rFonts w:eastAsia="Times New Roman" w:cs="Times New Roman"/>
          <w:lang w:eastAsia="en-AU"/>
        </w:rPr>
        <w:t xml:space="preserve"> definition for the term. </w:t>
      </w:r>
      <w:r w:rsidR="00134E58" w:rsidRPr="00102445">
        <w:rPr>
          <w:rFonts w:eastAsia="Times New Roman" w:cs="Times New Roman"/>
          <w:lang w:eastAsia="en-AU"/>
        </w:rPr>
        <w:t xml:space="preserve">The new </w:t>
      </w:r>
      <w:r w:rsidR="00F67192" w:rsidRPr="00102445">
        <w:rPr>
          <w:rFonts w:eastAsia="Times New Roman" w:cs="Times New Roman"/>
          <w:lang w:eastAsia="en-AU"/>
        </w:rPr>
        <w:t xml:space="preserve">definition of </w:t>
      </w:r>
      <w:r w:rsidR="00782FAB" w:rsidRPr="00102445">
        <w:rPr>
          <w:rFonts w:eastAsia="Times New Roman" w:cs="Times New Roman"/>
          <w:lang w:eastAsia="en-AU"/>
        </w:rPr>
        <w:t>‘</w:t>
      </w:r>
      <w:r w:rsidR="00F67192" w:rsidRPr="00102445">
        <w:rPr>
          <w:rFonts w:eastAsia="Times New Roman" w:cs="Times New Roman"/>
          <w:i/>
          <w:lang w:eastAsia="en-AU"/>
        </w:rPr>
        <w:t>pr</w:t>
      </w:r>
      <w:r w:rsidR="0043018E" w:rsidRPr="00102445">
        <w:rPr>
          <w:rFonts w:eastAsia="Times New Roman" w:cs="Times New Roman"/>
          <w:i/>
          <w:lang w:eastAsia="en-AU"/>
        </w:rPr>
        <w:t>imary production variable</w:t>
      </w:r>
      <w:r w:rsidR="00782FAB" w:rsidRPr="00102445">
        <w:rPr>
          <w:rFonts w:eastAsia="Times New Roman" w:cs="Times New Roman"/>
          <w:iCs/>
          <w:lang w:eastAsia="en-AU"/>
        </w:rPr>
        <w:t>’</w:t>
      </w:r>
      <w:r w:rsidR="0043018E" w:rsidRPr="00102445">
        <w:rPr>
          <w:rFonts w:eastAsia="Times New Roman" w:cs="Times New Roman"/>
          <w:lang w:eastAsia="en-AU"/>
        </w:rPr>
        <w:t xml:space="preserve"> </w:t>
      </w:r>
      <w:r w:rsidR="00C252DE" w:rsidRPr="00102445">
        <w:rPr>
          <w:rFonts w:eastAsia="Times New Roman" w:cs="Times New Roman"/>
          <w:lang w:eastAsia="en-AU"/>
        </w:rPr>
        <w:t>for a facility with a single produ</w:t>
      </w:r>
      <w:r w:rsidR="007D2858" w:rsidRPr="00102445">
        <w:rPr>
          <w:rFonts w:eastAsia="Times New Roman" w:cs="Times New Roman"/>
          <w:lang w:eastAsia="en-AU"/>
        </w:rPr>
        <w:t>ction variable is</w:t>
      </w:r>
      <w:r w:rsidR="0043018E" w:rsidRPr="00102445">
        <w:rPr>
          <w:rFonts w:eastAsia="Times New Roman" w:cs="Times New Roman"/>
          <w:lang w:eastAsia="en-AU"/>
        </w:rPr>
        <w:t xml:space="preserve"> </w:t>
      </w:r>
      <w:r w:rsidR="00A41665" w:rsidRPr="00102445">
        <w:rPr>
          <w:rFonts w:eastAsia="Times New Roman" w:cs="Times New Roman"/>
          <w:lang w:eastAsia="en-AU"/>
        </w:rPr>
        <w:t xml:space="preserve">that production variable. The new definition of </w:t>
      </w:r>
      <w:r w:rsidR="00DE6527" w:rsidRPr="00102445">
        <w:rPr>
          <w:rFonts w:eastAsia="Times New Roman" w:cs="Times New Roman"/>
          <w:lang w:eastAsia="en-AU"/>
        </w:rPr>
        <w:t>‘</w:t>
      </w:r>
      <w:r w:rsidR="00A41665" w:rsidRPr="00102445">
        <w:rPr>
          <w:rFonts w:eastAsia="Times New Roman" w:cs="Times New Roman"/>
          <w:i/>
          <w:lang w:eastAsia="en-AU"/>
        </w:rPr>
        <w:t>primary production variable</w:t>
      </w:r>
      <w:r w:rsidR="00DE6527" w:rsidRPr="00102445">
        <w:rPr>
          <w:rFonts w:eastAsia="Times New Roman" w:cs="Times New Roman"/>
          <w:iCs/>
          <w:lang w:eastAsia="en-AU"/>
        </w:rPr>
        <w:t>’</w:t>
      </w:r>
      <w:r w:rsidR="00A41665" w:rsidRPr="00102445">
        <w:rPr>
          <w:rFonts w:eastAsia="Times New Roman" w:cs="Times New Roman"/>
          <w:lang w:eastAsia="en-AU"/>
        </w:rPr>
        <w:t xml:space="preserve"> </w:t>
      </w:r>
      <w:r w:rsidR="0043018E" w:rsidRPr="00102445">
        <w:rPr>
          <w:rFonts w:eastAsia="Times New Roman" w:cs="Times New Roman"/>
          <w:lang w:eastAsia="en-AU"/>
        </w:rPr>
        <w:t xml:space="preserve">for a facility </w:t>
      </w:r>
      <w:r w:rsidR="00A41665" w:rsidRPr="00102445">
        <w:rPr>
          <w:rFonts w:eastAsia="Times New Roman" w:cs="Times New Roman"/>
          <w:lang w:eastAsia="en-AU"/>
        </w:rPr>
        <w:t>with</w:t>
      </w:r>
      <w:r w:rsidR="0043018E" w:rsidRPr="00102445">
        <w:rPr>
          <w:rFonts w:eastAsia="Times New Roman" w:cs="Times New Roman"/>
          <w:lang w:eastAsia="en-AU"/>
        </w:rPr>
        <w:t xml:space="preserve"> </w:t>
      </w:r>
      <w:r w:rsidR="00A41665" w:rsidRPr="00102445">
        <w:rPr>
          <w:rFonts w:eastAsia="Times New Roman" w:cs="Times New Roman"/>
          <w:lang w:eastAsia="en-AU"/>
        </w:rPr>
        <w:t>multiple</w:t>
      </w:r>
      <w:r w:rsidR="00775046" w:rsidRPr="00102445">
        <w:rPr>
          <w:rFonts w:eastAsia="Times New Roman" w:cs="Times New Roman"/>
          <w:lang w:eastAsia="en-AU"/>
        </w:rPr>
        <w:t xml:space="preserve"> production variable</w:t>
      </w:r>
      <w:r w:rsidR="00A41665" w:rsidRPr="00102445">
        <w:rPr>
          <w:rFonts w:eastAsia="Times New Roman" w:cs="Times New Roman"/>
          <w:lang w:eastAsia="en-AU"/>
        </w:rPr>
        <w:t>s is</w:t>
      </w:r>
      <w:r w:rsidR="0043018E" w:rsidRPr="00102445">
        <w:rPr>
          <w:rFonts w:eastAsia="Times New Roman" w:cs="Times New Roman"/>
          <w:lang w:eastAsia="en-AU"/>
        </w:rPr>
        <w:t xml:space="preserve"> </w:t>
      </w:r>
      <w:r w:rsidR="00775046" w:rsidRPr="00102445">
        <w:rPr>
          <w:rFonts w:eastAsia="Times New Roman" w:cs="Times New Roman"/>
          <w:lang w:eastAsia="en-AU"/>
        </w:rPr>
        <w:t>the production variable th</w:t>
      </w:r>
      <w:r w:rsidR="00861D2E" w:rsidRPr="00102445">
        <w:rPr>
          <w:rFonts w:eastAsia="Times New Roman" w:cs="Times New Roman"/>
          <w:lang w:eastAsia="en-AU"/>
        </w:rPr>
        <w:t xml:space="preserve">at </w:t>
      </w:r>
      <w:r w:rsidR="00046954" w:rsidRPr="00102445">
        <w:rPr>
          <w:rFonts w:eastAsia="Times New Roman" w:cs="Times New Roman"/>
          <w:lang w:eastAsia="en-AU"/>
        </w:rPr>
        <w:t>is most significant for the operation of the facility</w:t>
      </w:r>
      <w:r w:rsidR="00795361" w:rsidRPr="00102445">
        <w:rPr>
          <w:rFonts w:eastAsia="Times New Roman" w:cs="Times New Roman"/>
          <w:lang w:eastAsia="en-AU"/>
        </w:rPr>
        <w:t>,</w:t>
      </w:r>
      <w:r w:rsidR="008554C2" w:rsidRPr="00102445">
        <w:t xml:space="preserve"> </w:t>
      </w:r>
      <w:r w:rsidR="008554C2" w:rsidRPr="00102445">
        <w:rPr>
          <w:rFonts w:eastAsia="Times New Roman" w:cs="Times New Roman"/>
          <w:lang w:eastAsia="en-AU"/>
        </w:rPr>
        <w:t>having primary regard to the share of revenue and covered emissions directly or indirectly attributable to that production variable.</w:t>
      </w:r>
    </w:p>
    <w:p w14:paraId="66679594" w14:textId="61C53AA0" w:rsidR="00657038" w:rsidRPr="00102445" w:rsidRDefault="00657038" w:rsidP="00B656BF">
      <w:pPr>
        <w:pStyle w:val="Itemheadings"/>
        <w:rPr>
          <w:lang w:eastAsia="en-AU"/>
        </w:rPr>
      </w:pPr>
      <w:r w:rsidRPr="00102445">
        <w:rPr>
          <w:lang w:eastAsia="en-AU"/>
        </w:rPr>
        <w:t xml:space="preserve">Item </w:t>
      </w:r>
      <w:r w:rsidR="00A81AA8" w:rsidRPr="00102445">
        <w:rPr>
          <w:lang w:eastAsia="en-AU"/>
        </w:rPr>
        <w:t xml:space="preserve">24 </w:t>
      </w:r>
      <w:r w:rsidRPr="00102445">
        <w:rPr>
          <w:lang w:eastAsia="en-AU"/>
        </w:rPr>
        <w:t>– Section 4</w:t>
      </w:r>
    </w:p>
    <w:p w14:paraId="4575D8C1" w14:textId="29AC0121" w:rsidR="00434351" w:rsidRPr="00102445" w:rsidRDefault="00434351"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Removes the following definitions: ‘</w:t>
      </w:r>
      <w:r w:rsidRPr="00102445">
        <w:rPr>
          <w:rFonts w:eastAsia="Times New Roman" w:cs="Times New Roman"/>
          <w:i/>
          <w:lang w:eastAsia="en-AU"/>
        </w:rPr>
        <w:t>production assessment period</w:t>
      </w:r>
      <w:r w:rsidRPr="00102445">
        <w:rPr>
          <w:rFonts w:eastAsia="Times New Roman" w:cs="Times New Roman"/>
          <w:lang w:eastAsia="en-AU"/>
        </w:rPr>
        <w:t>’, ‘</w:t>
      </w:r>
      <w:r w:rsidRPr="00102445">
        <w:rPr>
          <w:rFonts w:eastAsia="Times New Roman" w:cs="Times New Roman"/>
          <w:i/>
          <w:lang w:eastAsia="en-AU"/>
        </w:rPr>
        <w:t>product-adjusted baseline determination</w:t>
      </w:r>
      <w:r w:rsidRPr="00102445">
        <w:rPr>
          <w:rFonts w:eastAsia="Times New Roman" w:cs="Times New Roman"/>
          <w:lang w:eastAsia="en-AU"/>
        </w:rPr>
        <w:t>’, ‘</w:t>
      </w:r>
      <w:r w:rsidRPr="00102445">
        <w:rPr>
          <w:rFonts w:eastAsia="Times New Roman" w:cs="Times New Roman"/>
          <w:i/>
          <w:lang w:eastAsia="en-AU"/>
        </w:rPr>
        <w:t>production estimation period</w:t>
      </w:r>
      <w:r w:rsidRPr="00102445">
        <w:rPr>
          <w:rFonts w:eastAsia="Times New Roman" w:cs="Times New Roman"/>
          <w:lang w:eastAsia="en-AU"/>
        </w:rPr>
        <w:t xml:space="preserve">’, as these terms are no longer applicable under the reformed Safeguard Mechanism. </w:t>
      </w:r>
    </w:p>
    <w:p w14:paraId="27E30408" w14:textId="660AEE34" w:rsidR="00657038" w:rsidRPr="00102445" w:rsidRDefault="00434351" w:rsidP="00591A9C">
      <w:pPr>
        <w:pStyle w:val="ListParagraph"/>
        <w:numPr>
          <w:ilvl w:val="0"/>
          <w:numId w:val="2"/>
        </w:numPr>
        <w:contextualSpacing w:val="0"/>
        <w:rPr>
          <w:lang w:eastAsia="en-AU"/>
        </w:rPr>
      </w:pPr>
      <w:r w:rsidRPr="00102445">
        <w:rPr>
          <w:lang w:eastAsia="en-AU"/>
        </w:rPr>
        <w:t>The definition of ‘</w:t>
      </w:r>
      <w:r w:rsidRPr="00102445">
        <w:rPr>
          <w:i/>
          <w:iCs/>
          <w:lang w:eastAsia="en-AU"/>
        </w:rPr>
        <w:t>production variable</w:t>
      </w:r>
      <w:r w:rsidRPr="00102445">
        <w:rPr>
          <w:lang w:eastAsia="en-AU"/>
        </w:rPr>
        <w:t>’ is also repealed, and new definitions are provided in Item 23.</w:t>
      </w:r>
    </w:p>
    <w:p w14:paraId="597189BA" w14:textId="6666EA75" w:rsidR="00587054" w:rsidRPr="00102445" w:rsidRDefault="00CD7EA8" w:rsidP="00B656BF">
      <w:pPr>
        <w:pStyle w:val="Itemheadings"/>
      </w:pPr>
      <w:r w:rsidRPr="00102445">
        <w:t xml:space="preserve">Item </w:t>
      </w:r>
      <w:r w:rsidR="00A81AA8" w:rsidRPr="00102445">
        <w:t xml:space="preserve">25 </w:t>
      </w:r>
      <w:r w:rsidRPr="00102445">
        <w:t>– Section 4</w:t>
      </w:r>
    </w:p>
    <w:p w14:paraId="4564C4CE" w14:textId="27018479" w:rsidR="0028101B" w:rsidRPr="00102445" w:rsidRDefault="0028101B"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Item 23 introduces the definitions of ‘</w:t>
      </w:r>
      <w:r w:rsidRPr="00102445">
        <w:rPr>
          <w:rFonts w:eastAsia="Times New Roman" w:cs="Times New Roman"/>
          <w:i/>
          <w:lang w:eastAsia="en-AU"/>
        </w:rPr>
        <w:t>production variable</w:t>
      </w:r>
      <w:r w:rsidRPr="00102445">
        <w:rPr>
          <w:rFonts w:eastAsia="Times New Roman" w:cs="Times New Roman"/>
          <w:lang w:eastAsia="en-AU"/>
        </w:rPr>
        <w:t>’</w:t>
      </w:r>
      <w:r w:rsidR="00CC28D8" w:rsidRPr="00102445">
        <w:rPr>
          <w:rFonts w:eastAsia="Times New Roman" w:cs="Times New Roman"/>
          <w:lang w:eastAsia="en-AU"/>
        </w:rPr>
        <w:t>, ‘</w:t>
      </w:r>
      <w:r w:rsidR="00CC28D8" w:rsidRPr="00102445">
        <w:rPr>
          <w:rFonts w:eastAsia="Times New Roman" w:cs="Times New Roman"/>
          <w:i/>
          <w:lang w:eastAsia="en-AU"/>
        </w:rPr>
        <w:t>quantity</w:t>
      </w:r>
      <w:r w:rsidR="00CC28D8" w:rsidRPr="00102445">
        <w:rPr>
          <w:rFonts w:eastAsia="Times New Roman" w:cs="Times New Roman"/>
          <w:lang w:eastAsia="en-AU"/>
        </w:rPr>
        <w:t>’, ‘</w:t>
      </w:r>
      <w:r w:rsidR="00CC28D8" w:rsidRPr="00102445">
        <w:rPr>
          <w:rFonts w:eastAsia="Times New Roman" w:cs="Times New Roman"/>
          <w:i/>
          <w:lang w:eastAsia="en-AU"/>
        </w:rPr>
        <w:t>ratio of cost impacts</w:t>
      </w:r>
      <w:r w:rsidR="00CC28D8" w:rsidRPr="00102445">
        <w:rPr>
          <w:rFonts w:eastAsia="Times New Roman" w:cs="Times New Roman"/>
          <w:lang w:eastAsia="en-AU"/>
        </w:rPr>
        <w:t>’, ‘</w:t>
      </w:r>
      <w:r w:rsidR="00CC28D8" w:rsidRPr="00102445">
        <w:rPr>
          <w:rFonts w:eastAsia="Times New Roman" w:cs="Times New Roman"/>
          <w:i/>
          <w:lang w:eastAsia="en-AU"/>
        </w:rPr>
        <w:t>regular facility</w:t>
      </w:r>
      <w:r w:rsidR="00CC28D8" w:rsidRPr="00102445">
        <w:rPr>
          <w:rFonts w:eastAsia="Times New Roman" w:cs="Times New Roman"/>
          <w:lang w:eastAsia="en-AU"/>
        </w:rPr>
        <w:t>’</w:t>
      </w:r>
      <w:r w:rsidR="0018711B" w:rsidRPr="00102445">
        <w:rPr>
          <w:rFonts w:eastAsia="Times New Roman" w:cs="Times New Roman"/>
          <w:lang w:eastAsia="en-AU"/>
        </w:rPr>
        <w:t>, and ‘</w:t>
      </w:r>
      <w:r w:rsidR="0018711B" w:rsidRPr="00102445">
        <w:rPr>
          <w:rFonts w:eastAsia="Times New Roman" w:cs="Times New Roman"/>
          <w:i/>
          <w:lang w:eastAsia="en-AU"/>
        </w:rPr>
        <w:t>related production variable</w:t>
      </w:r>
      <w:r w:rsidR="0018711B" w:rsidRPr="00102445">
        <w:rPr>
          <w:rFonts w:eastAsia="Times New Roman" w:cs="Times New Roman"/>
          <w:lang w:eastAsia="en-AU"/>
        </w:rPr>
        <w:t>’</w:t>
      </w:r>
      <w:r w:rsidR="00CC28D8" w:rsidRPr="00102445">
        <w:rPr>
          <w:rFonts w:eastAsia="Times New Roman" w:cs="Times New Roman"/>
          <w:lang w:eastAsia="en-AU"/>
        </w:rPr>
        <w:t>.</w:t>
      </w:r>
    </w:p>
    <w:p w14:paraId="58372763" w14:textId="153D7EA5" w:rsidR="004A1711" w:rsidRPr="00102445" w:rsidRDefault="00BA04C0"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Production variables are important for setting baselines</w:t>
      </w:r>
      <w:r w:rsidR="00B65404" w:rsidRPr="00102445">
        <w:rPr>
          <w:rFonts w:eastAsia="Times New Roman" w:cs="Times New Roman"/>
          <w:lang w:eastAsia="en-AU"/>
        </w:rPr>
        <w:t>.</w:t>
      </w:r>
      <w:r w:rsidR="00893444" w:rsidRPr="00102445">
        <w:rPr>
          <w:rFonts w:eastAsia="Times New Roman" w:cs="Times New Roman"/>
          <w:lang w:eastAsia="en-AU"/>
        </w:rPr>
        <w:t xml:space="preserve"> Item </w:t>
      </w:r>
      <w:r w:rsidR="00A81AA8" w:rsidRPr="00102445">
        <w:rPr>
          <w:rFonts w:eastAsia="Times New Roman" w:cs="Times New Roman"/>
          <w:lang w:eastAsia="en-AU"/>
        </w:rPr>
        <w:t xml:space="preserve">25 </w:t>
      </w:r>
      <w:r w:rsidR="00893444" w:rsidRPr="00102445">
        <w:rPr>
          <w:rFonts w:eastAsia="Times New Roman" w:cs="Times New Roman"/>
          <w:lang w:eastAsia="en-AU"/>
        </w:rPr>
        <w:t xml:space="preserve">states that a </w:t>
      </w:r>
      <w:r w:rsidR="00FC57BD" w:rsidRPr="00102445">
        <w:rPr>
          <w:rFonts w:eastAsia="Times New Roman" w:cs="Times New Roman"/>
          <w:lang w:eastAsia="en-AU"/>
        </w:rPr>
        <w:t>‘</w:t>
      </w:r>
      <w:r w:rsidR="00893444" w:rsidRPr="00102445">
        <w:rPr>
          <w:rFonts w:eastAsia="Times New Roman" w:cs="Times New Roman"/>
          <w:i/>
          <w:lang w:eastAsia="en-AU"/>
        </w:rPr>
        <w:t>production variable</w:t>
      </w:r>
      <w:r w:rsidR="00FC57BD" w:rsidRPr="00102445">
        <w:rPr>
          <w:rFonts w:eastAsia="Times New Roman" w:cs="Times New Roman"/>
          <w:lang w:eastAsia="en-AU"/>
        </w:rPr>
        <w:t>’</w:t>
      </w:r>
      <w:r w:rsidR="00893444" w:rsidRPr="00102445">
        <w:rPr>
          <w:rFonts w:eastAsia="Times New Roman" w:cs="Times New Roman"/>
          <w:lang w:eastAsia="en-AU"/>
        </w:rPr>
        <w:t xml:space="preserve"> </w:t>
      </w:r>
      <w:r w:rsidR="00536E04" w:rsidRPr="00102445">
        <w:t xml:space="preserve">is a metric that is set out in a Part of Schedule 1 </w:t>
      </w:r>
      <w:r w:rsidR="00536E04" w:rsidRPr="00102445">
        <w:rPr>
          <w:rFonts w:eastAsia="Times New Roman" w:cs="Times New Roman"/>
          <w:lang w:eastAsia="en-AU"/>
        </w:rPr>
        <w:t>of the amended Safeguard Rules</w:t>
      </w:r>
      <w:r w:rsidR="00CF543B" w:rsidRPr="00102445">
        <w:rPr>
          <w:rFonts w:eastAsia="Times New Roman" w:cs="Times New Roman"/>
          <w:lang w:eastAsia="en-AU"/>
        </w:rPr>
        <w:t>; and</w:t>
      </w:r>
      <w:r w:rsidR="00FC57BD" w:rsidRPr="00102445">
        <w:rPr>
          <w:rFonts w:eastAsia="Times New Roman" w:cs="Times New Roman"/>
          <w:lang w:eastAsia="en-AU"/>
        </w:rPr>
        <w:t xml:space="preserve"> for a facility, ‘</w:t>
      </w:r>
      <w:r w:rsidR="00FC57BD" w:rsidRPr="00102445">
        <w:rPr>
          <w:rFonts w:eastAsia="Times New Roman" w:cs="Times New Roman"/>
          <w:i/>
          <w:lang w:eastAsia="en-AU"/>
        </w:rPr>
        <w:t>production variable</w:t>
      </w:r>
      <w:r w:rsidR="00FC57BD" w:rsidRPr="00102445">
        <w:rPr>
          <w:rFonts w:eastAsia="Times New Roman" w:cs="Times New Roman"/>
          <w:lang w:eastAsia="en-AU"/>
        </w:rPr>
        <w:t xml:space="preserve">’ means </w:t>
      </w:r>
      <w:r w:rsidR="00A54A66" w:rsidRPr="00102445">
        <w:t>a production variable that</w:t>
      </w:r>
      <w:r w:rsidR="00A54A66" w:rsidRPr="00102445">
        <w:rPr>
          <w:b/>
          <w:i/>
        </w:rPr>
        <w:t xml:space="preserve"> </w:t>
      </w:r>
      <w:r w:rsidR="00A54A66" w:rsidRPr="00102445">
        <w:t>is applicable to the facility in accordance with Schedule 1</w:t>
      </w:r>
      <w:r w:rsidR="00A54A66" w:rsidRPr="00102445">
        <w:rPr>
          <w:rFonts w:eastAsia="Times New Roman" w:cs="Times New Roman"/>
          <w:lang w:eastAsia="en-AU"/>
        </w:rPr>
        <w:t xml:space="preserve"> of the amended Safeguard Rules.</w:t>
      </w:r>
      <w:r w:rsidR="0018711B" w:rsidRPr="00102445">
        <w:rPr>
          <w:rFonts w:eastAsia="Times New Roman" w:cs="Times New Roman"/>
          <w:lang w:eastAsia="en-AU"/>
        </w:rPr>
        <w:t xml:space="preserve"> The ‘</w:t>
      </w:r>
      <w:r w:rsidR="0018711B" w:rsidRPr="00102445">
        <w:rPr>
          <w:rFonts w:eastAsia="Times New Roman" w:cs="Times New Roman"/>
          <w:i/>
          <w:lang w:eastAsia="en-AU"/>
        </w:rPr>
        <w:t>quantity</w:t>
      </w:r>
      <w:r w:rsidR="0018711B" w:rsidRPr="00102445">
        <w:rPr>
          <w:rFonts w:eastAsia="Times New Roman" w:cs="Times New Roman"/>
          <w:lang w:eastAsia="en-AU"/>
        </w:rPr>
        <w:t xml:space="preserve">’ </w:t>
      </w:r>
      <w:r w:rsidR="00FE46A9" w:rsidRPr="00102445">
        <w:t>of a production variable for a facility for a financial year, means the number of units of the production variable for the facility for that financial year.</w:t>
      </w:r>
    </w:p>
    <w:p w14:paraId="68B30EF6" w14:textId="3326F638" w:rsidR="00CD7EA8" w:rsidRPr="00102445" w:rsidRDefault="0084545F"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Item </w:t>
      </w:r>
      <w:r w:rsidR="00A81AA8" w:rsidRPr="00102445">
        <w:rPr>
          <w:rFonts w:eastAsia="Times New Roman" w:cs="Times New Roman"/>
          <w:lang w:eastAsia="en-AU"/>
        </w:rPr>
        <w:t xml:space="preserve">25 </w:t>
      </w:r>
      <w:r w:rsidRPr="00102445">
        <w:rPr>
          <w:rFonts w:eastAsia="Times New Roman" w:cs="Times New Roman"/>
          <w:lang w:eastAsia="en-AU"/>
        </w:rPr>
        <w:t xml:space="preserve">states that </w:t>
      </w:r>
      <w:r w:rsidR="00CD7EA8" w:rsidRPr="00102445">
        <w:rPr>
          <w:rFonts w:eastAsia="Times New Roman" w:cs="Times New Roman"/>
          <w:lang w:eastAsia="en-AU"/>
        </w:rPr>
        <w:t>‘</w:t>
      </w:r>
      <w:r w:rsidR="00CD7EA8" w:rsidRPr="00102445">
        <w:rPr>
          <w:rFonts w:eastAsia="Times New Roman" w:cs="Times New Roman"/>
          <w:i/>
          <w:lang w:eastAsia="en-AU"/>
        </w:rPr>
        <w:t>ratio of cost impacts</w:t>
      </w:r>
      <w:r w:rsidR="00CD7EA8" w:rsidRPr="00102445">
        <w:rPr>
          <w:rFonts w:eastAsia="Times New Roman" w:cs="Times New Roman"/>
          <w:lang w:eastAsia="en-AU"/>
        </w:rPr>
        <w:t>’ has the meaning given by section 29; and ‘</w:t>
      </w:r>
      <w:r w:rsidR="00646760" w:rsidRPr="00102445">
        <w:rPr>
          <w:rFonts w:eastAsia="Times New Roman" w:cs="Times New Roman"/>
          <w:i/>
          <w:lang w:eastAsia="en-AU"/>
        </w:rPr>
        <w:t>regular facility</w:t>
      </w:r>
      <w:r w:rsidR="00646760" w:rsidRPr="00102445">
        <w:rPr>
          <w:rFonts w:eastAsia="Times New Roman" w:cs="Times New Roman"/>
          <w:lang w:eastAsia="en-AU"/>
        </w:rPr>
        <w:t xml:space="preserve">’ is a facility that is not a </w:t>
      </w:r>
      <w:r w:rsidR="00646760" w:rsidRPr="00102445" w:rsidDel="00480363">
        <w:rPr>
          <w:rFonts w:eastAsia="Times New Roman" w:cs="Times New Roman"/>
          <w:lang w:eastAsia="en-AU"/>
        </w:rPr>
        <w:t>trade-exposed baseline-adjusted</w:t>
      </w:r>
      <w:r w:rsidR="00646760" w:rsidRPr="00102445">
        <w:rPr>
          <w:rFonts w:eastAsia="Times New Roman" w:cs="Times New Roman"/>
          <w:lang w:eastAsia="en-AU"/>
        </w:rPr>
        <w:t xml:space="preserve"> facility in a financial year.</w:t>
      </w:r>
      <w:r w:rsidR="00337C9E" w:rsidRPr="00102445">
        <w:rPr>
          <w:rFonts w:eastAsia="Times New Roman" w:cs="Times New Roman"/>
          <w:lang w:eastAsia="en-AU"/>
        </w:rPr>
        <w:t xml:space="preserve"> A ‘</w:t>
      </w:r>
      <w:r w:rsidR="00337C9E" w:rsidRPr="00102445">
        <w:rPr>
          <w:rFonts w:eastAsia="Times New Roman" w:cs="Times New Roman"/>
          <w:i/>
          <w:lang w:eastAsia="en-AU"/>
        </w:rPr>
        <w:t>related production variable</w:t>
      </w:r>
      <w:r w:rsidR="00337C9E" w:rsidRPr="00102445">
        <w:rPr>
          <w:rFonts w:eastAsia="Times New Roman" w:cs="Times New Roman"/>
          <w:lang w:eastAsia="en-AU"/>
        </w:rPr>
        <w:t>’</w:t>
      </w:r>
      <w:r w:rsidR="00F01020" w:rsidRPr="00102445">
        <w:rPr>
          <w:rFonts w:eastAsia="Times New Roman" w:cs="Times New Roman"/>
          <w:lang w:eastAsia="en-AU"/>
        </w:rPr>
        <w:t xml:space="preserve">, </w:t>
      </w:r>
      <w:r w:rsidR="00E364AB" w:rsidRPr="00102445">
        <w:t xml:space="preserve">for a facility, has the meaning given by paragraph </w:t>
      </w:r>
      <w:r w:rsidR="00634B77" w:rsidRPr="00102445">
        <w:t>19</w:t>
      </w:r>
      <w:r w:rsidR="00E364AB" w:rsidRPr="00102445">
        <w:t>(</w:t>
      </w:r>
      <w:r w:rsidR="00634B77" w:rsidRPr="00102445">
        <w:t>4</w:t>
      </w:r>
      <w:r w:rsidR="00E364AB" w:rsidRPr="00102445">
        <w:t>)(a).</w:t>
      </w:r>
    </w:p>
    <w:p w14:paraId="20E6EF39" w14:textId="1E507D98" w:rsidR="00027F36" w:rsidRPr="00102445" w:rsidRDefault="0059595D" w:rsidP="00711BC3">
      <w:pPr>
        <w:pStyle w:val="Itemheadings"/>
      </w:pPr>
      <w:r w:rsidRPr="00102445">
        <w:t xml:space="preserve">Item </w:t>
      </w:r>
      <w:r w:rsidR="005766FE" w:rsidRPr="00102445">
        <w:t xml:space="preserve">26 </w:t>
      </w:r>
      <w:r w:rsidRPr="00102445">
        <w:t>– Section 4</w:t>
      </w:r>
      <w:r w:rsidR="008F5C06" w:rsidRPr="00102445">
        <w:t xml:space="preserve"> </w:t>
      </w:r>
    </w:p>
    <w:p w14:paraId="15C4AADE" w14:textId="26694600" w:rsidR="0059595D" w:rsidRPr="00102445" w:rsidRDefault="0059595D"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 xml:space="preserve">Removes the definitions </w:t>
      </w:r>
      <w:r w:rsidR="00FC65DF" w:rsidRPr="00102445">
        <w:rPr>
          <w:rFonts w:eastAsia="Times New Roman" w:cs="Times New Roman"/>
          <w:lang w:eastAsia="en-AU"/>
        </w:rPr>
        <w:t xml:space="preserve">of </w:t>
      </w:r>
      <w:r w:rsidRPr="00102445">
        <w:rPr>
          <w:rFonts w:eastAsia="Times New Roman" w:cs="Times New Roman"/>
          <w:lang w:eastAsia="en-AU"/>
        </w:rPr>
        <w:t>‘</w:t>
      </w:r>
      <w:r w:rsidRPr="00102445">
        <w:rPr>
          <w:rFonts w:eastAsia="Times New Roman" w:cs="Times New Roman"/>
          <w:i/>
          <w:lang w:eastAsia="en-AU"/>
        </w:rPr>
        <w:t>relevant benchmark emissions intensity</w:t>
      </w:r>
      <w:r w:rsidRPr="00102445">
        <w:rPr>
          <w:rFonts w:eastAsia="Times New Roman" w:cs="Times New Roman"/>
          <w:lang w:eastAsia="en-AU"/>
        </w:rPr>
        <w:t>’ and ‘</w:t>
      </w:r>
      <w:r w:rsidRPr="00102445">
        <w:rPr>
          <w:rFonts w:eastAsia="Times New Roman" w:cs="Times New Roman"/>
          <w:i/>
          <w:lang w:eastAsia="en-AU"/>
        </w:rPr>
        <w:t>relevant earlier estimates</w:t>
      </w:r>
      <w:r w:rsidRPr="00102445">
        <w:rPr>
          <w:rFonts w:eastAsia="Times New Roman" w:cs="Times New Roman"/>
          <w:lang w:eastAsia="en-AU"/>
        </w:rPr>
        <w:t>’</w:t>
      </w:r>
      <w:r w:rsidR="00FC65DF" w:rsidRPr="00102445">
        <w:rPr>
          <w:rFonts w:eastAsia="Times New Roman" w:cs="Times New Roman"/>
          <w:lang w:eastAsia="en-AU"/>
        </w:rPr>
        <w:t>, as</w:t>
      </w:r>
      <w:r w:rsidRPr="00102445">
        <w:rPr>
          <w:rFonts w:eastAsia="Times New Roman" w:cs="Times New Roman"/>
          <w:lang w:eastAsia="en-AU"/>
        </w:rPr>
        <w:t xml:space="preserve"> these terms are no longer applicable under the reformed Safeguard Mechanism.</w:t>
      </w:r>
    </w:p>
    <w:p w14:paraId="7E02C9E6" w14:textId="10EEE87E" w:rsidR="0059595D" w:rsidRPr="00102445" w:rsidRDefault="00953E6C" w:rsidP="00711BC3">
      <w:pPr>
        <w:pStyle w:val="Itemheadings"/>
      </w:pPr>
      <w:r w:rsidRPr="00102445">
        <w:t xml:space="preserve">Item </w:t>
      </w:r>
      <w:r w:rsidR="005766FE" w:rsidRPr="00102445">
        <w:t xml:space="preserve">27 </w:t>
      </w:r>
      <w:r w:rsidRPr="00102445">
        <w:t>– Section 4</w:t>
      </w:r>
    </w:p>
    <w:p w14:paraId="6C34E578" w14:textId="2384CB0E" w:rsidR="00953E6C" w:rsidRPr="00102445" w:rsidRDefault="00FB32FD"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Introduces the following definitions ‘</w:t>
      </w:r>
      <w:r w:rsidRPr="00102445">
        <w:rPr>
          <w:rFonts w:eastAsia="Times New Roman" w:cs="Times New Roman"/>
          <w:i/>
          <w:lang w:eastAsia="en-AU"/>
        </w:rPr>
        <w:t>relevant historical financial year</w:t>
      </w:r>
      <w:r w:rsidRPr="00102445">
        <w:rPr>
          <w:rFonts w:eastAsia="Times New Roman" w:cs="Times New Roman"/>
          <w:lang w:eastAsia="en-AU"/>
        </w:rPr>
        <w:t xml:space="preserve">’ for a production variable as given by subsection </w:t>
      </w:r>
      <w:r w:rsidR="005766FE" w:rsidRPr="00102445">
        <w:rPr>
          <w:rFonts w:eastAsia="Times New Roman" w:cs="Times New Roman"/>
          <w:lang w:eastAsia="en-AU"/>
        </w:rPr>
        <w:t>20</w:t>
      </w:r>
      <w:r w:rsidRPr="00102445">
        <w:rPr>
          <w:rFonts w:eastAsia="Times New Roman" w:cs="Times New Roman"/>
          <w:lang w:eastAsia="en-AU"/>
        </w:rPr>
        <w:t>(</w:t>
      </w:r>
      <w:r w:rsidR="000941CD" w:rsidRPr="00102445">
        <w:rPr>
          <w:rFonts w:eastAsia="Times New Roman" w:cs="Times New Roman"/>
          <w:lang w:eastAsia="en-AU"/>
        </w:rPr>
        <w:t>3</w:t>
      </w:r>
      <w:r w:rsidRPr="00102445">
        <w:rPr>
          <w:rFonts w:eastAsia="Times New Roman" w:cs="Times New Roman"/>
          <w:lang w:eastAsia="en-AU"/>
        </w:rPr>
        <w:t>); and ‘</w:t>
      </w:r>
      <w:r w:rsidRPr="00102445">
        <w:rPr>
          <w:rFonts w:eastAsia="Times New Roman" w:cs="Times New Roman"/>
          <w:i/>
          <w:lang w:eastAsia="en-AU"/>
        </w:rPr>
        <w:t>relevantly associated with</w:t>
      </w:r>
      <w:r w:rsidRPr="00102445">
        <w:rPr>
          <w:rFonts w:eastAsia="Times New Roman" w:cs="Times New Roman"/>
          <w:lang w:eastAsia="en-AU"/>
        </w:rPr>
        <w:t xml:space="preserve">’ as given by section </w:t>
      </w:r>
      <w:r w:rsidR="005766FE" w:rsidRPr="00102445">
        <w:rPr>
          <w:rFonts w:eastAsia="Times New Roman" w:cs="Times New Roman"/>
          <w:lang w:eastAsia="en-AU"/>
        </w:rPr>
        <w:t>16</w:t>
      </w:r>
      <w:r w:rsidRPr="00102445">
        <w:rPr>
          <w:rFonts w:eastAsia="Times New Roman" w:cs="Times New Roman"/>
          <w:lang w:eastAsia="en-AU"/>
        </w:rPr>
        <w:t>.</w:t>
      </w:r>
    </w:p>
    <w:p w14:paraId="0B939766" w14:textId="386EA8A2" w:rsidR="00953E6C" w:rsidRPr="00102445" w:rsidRDefault="00953E6C" w:rsidP="00711BC3">
      <w:pPr>
        <w:pStyle w:val="Itemheadings"/>
      </w:pPr>
      <w:r w:rsidRPr="00102445">
        <w:t xml:space="preserve">Item </w:t>
      </w:r>
      <w:r w:rsidR="00BC2668" w:rsidRPr="00102445">
        <w:t xml:space="preserve">28 </w:t>
      </w:r>
      <w:r w:rsidRPr="00102445">
        <w:t>– Section 4</w:t>
      </w:r>
      <w:r w:rsidR="00153FE0" w:rsidRPr="00102445">
        <w:t xml:space="preserve"> (definition of </w:t>
      </w:r>
      <w:r w:rsidR="00153FE0" w:rsidRPr="00102445">
        <w:rPr>
          <w:i/>
          <w:iCs/>
        </w:rPr>
        <w:t>reported-emissions baseline determination</w:t>
      </w:r>
      <w:r w:rsidR="00153FE0" w:rsidRPr="00102445">
        <w:t>)</w:t>
      </w:r>
    </w:p>
    <w:p w14:paraId="2AFC6499" w14:textId="567F0ABC" w:rsidR="00953E6C" w:rsidRPr="00102445" w:rsidRDefault="00D42226"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Removes the definition of ‘</w:t>
      </w:r>
      <w:r w:rsidRPr="00102445">
        <w:rPr>
          <w:rFonts w:eastAsia="Times New Roman" w:cs="Times New Roman"/>
          <w:i/>
          <w:lang w:eastAsia="en-AU"/>
        </w:rPr>
        <w:t>reported-emissions baseline determination</w:t>
      </w:r>
      <w:r w:rsidRPr="00102445">
        <w:rPr>
          <w:rFonts w:eastAsia="Times New Roman" w:cs="Times New Roman"/>
          <w:lang w:eastAsia="en-AU"/>
        </w:rPr>
        <w:t>’ as this is no longer applicable under the reformed Safeguard Mechanism.</w:t>
      </w:r>
    </w:p>
    <w:p w14:paraId="7C49F523" w14:textId="084832CF" w:rsidR="00953E6C" w:rsidRPr="00102445" w:rsidRDefault="00953E6C" w:rsidP="00711BC3">
      <w:pPr>
        <w:pStyle w:val="Itemheadings"/>
      </w:pPr>
      <w:r w:rsidRPr="00102445">
        <w:lastRenderedPageBreak/>
        <w:t xml:space="preserve">Item </w:t>
      </w:r>
      <w:r w:rsidR="00F809FD" w:rsidRPr="00102445">
        <w:t xml:space="preserve">29 </w:t>
      </w:r>
      <w:r w:rsidRPr="00102445">
        <w:t>– Section 4</w:t>
      </w:r>
    </w:p>
    <w:p w14:paraId="0406ED77" w14:textId="1B365F67" w:rsidR="00953E6C" w:rsidRPr="00102445" w:rsidRDefault="00D42226"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Introduces the definitions of ‘</w:t>
      </w:r>
      <w:r w:rsidRPr="00102445">
        <w:rPr>
          <w:rFonts w:eastAsia="Times New Roman" w:cs="Times New Roman"/>
          <w:i/>
          <w:lang w:eastAsia="en-AU"/>
        </w:rPr>
        <w:t>responsible financial officer</w:t>
      </w:r>
      <w:r w:rsidRPr="00102445">
        <w:rPr>
          <w:rFonts w:eastAsia="Times New Roman" w:cs="Times New Roman"/>
          <w:lang w:eastAsia="en-AU"/>
        </w:rPr>
        <w:t>’ of a responsible emitter of a facility; ‘</w:t>
      </w:r>
      <w:r w:rsidRPr="00102445">
        <w:rPr>
          <w:rFonts w:eastAsia="Times New Roman" w:cs="Times New Roman"/>
          <w:i/>
          <w:lang w:eastAsia="en-AU"/>
        </w:rPr>
        <w:t>Safeguard Mechanism default prescribed unit price</w:t>
      </w:r>
      <w:r w:rsidRPr="00102445">
        <w:rPr>
          <w:rFonts w:eastAsia="Times New Roman" w:cs="Times New Roman"/>
          <w:lang w:eastAsia="en-AU"/>
        </w:rPr>
        <w:t xml:space="preserve">’ for a financial year is given by section 31; </w:t>
      </w:r>
      <w:r w:rsidR="00E01340" w:rsidRPr="00102445">
        <w:rPr>
          <w:rFonts w:eastAsia="Times New Roman" w:cs="Times New Roman"/>
          <w:lang w:eastAsia="en-AU"/>
        </w:rPr>
        <w:t>‘</w:t>
      </w:r>
      <w:r w:rsidR="00E01340" w:rsidRPr="00102445">
        <w:rPr>
          <w:rFonts w:eastAsia="Times New Roman" w:cs="Times New Roman"/>
          <w:i/>
          <w:lang w:eastAsia="en-AU"/>
        </w:rPr>
        <w:t>shale gas extraction facility</w:t>
      </w:r>
      <w:r w:rsidR="00E01340" w:rsidRPr="00102445">
        <w:rPr>
          <w:rFonts w:eastAsia="Times New Roman" w:cs="Times New Roman"/>
          <w:lang w:eastAsia="en-AU"/>
        </w:rPr>
        <w:t>’</w:t>
      </w:r>
      <w:r w:rsidR="00666D57" w:rsidRPr="00102445">
        <w:rPr>
          <w:rFonts w:eastAsia="Times New Roman" w:cs="Times New Roman"/>
          <w:lang w:eastAsia="en-AU"/>
        </w:rPr>
        <w:t xml:space="preserve">, </w:t>
      </w:r>
      <w:r w:rsidRPr="00102445">
        <w:rPr>
          <w:rFonts w:eastAsia="Times New Roman" w:cs="Times New Roman"/>
          <w:lang w:eastAsia="en-AU"/>
        </w:rPr>
        <w:t>and ‘</w:t>
      </w:r>
      <w:r w:rsidR="00C12CF0" w:rsidRPr="00102445">
        <w:rPr>
          <w:rFonts w:eastAsia="Times New Roman" w:cs="Times New Roman"/>
          <w:i/>
          <w:lang w:eastAsia="en-AU"/>
        </w:rPr>
        <w:t>significant cost impact threshold</w:t>
      </w:r>
      <w:r w:rsidRPr="00102445">
        <w:rPr>
          <w:rFonts w:eastAsia="Times New Roman" w:cs="Times New Roman"/>
          <w:lang w:eastAsia="en-AU"/>
        </w:rPr>
        <w:t xml:space="preserve">’. </w:t>
      </w:r>
    </w:p>
    <w:p w14:paraId="18464B2E" w14:textId="4210983C" w:rsidR="009F7D19" w:rsidRPr="00102445" w:rsidRDefault="005E50CD"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The definition of </w:t>
      </w:r>
      <w:r w:rsidR="00CA6550" w:rsidRPr="00102445">
        <w:rPr>
          <w:rFonts w:eastAsia="Times New Roman" w:cs="Times New Roman"/>
          <w:lang w:eastAsia="en-AU"/>
        </w:rPr>
        <w:t>‘</w:t>
      </w:r>
      <w:r w:rsidRPr="00102445">
        <w:rPr>
          <w:rFonts w:eastAsia="Times New Roman" w:cs="Times New Roman"/>
          <w:i/>
          <w:lang w:eastAsia="en-AU"/>
        </w:rPr>
        <w:t>responsible financial officer</w:t>
      </w:r>
      <w:r w:rsidR="00CA6550" w:rsidRPr="00102445">
        <w:rPr>
          <w:rFonts w:eastAsia="Times New Roman" w:cs="Times New Roman"/>
          <w:lang w:eastAsia="en-AU"/>
        </w:rPr>
        <w:t>’</w:t>
      </w:r>
      <w:r w:rsidRPr="00102445">
        <w:rPr>
          <w:rFonts w:eastAsia="Times New Roman" w:cs="Times New Roman"/>
          <w:lang w:eastAsia="en-AU"/>
        </w:rPr>
        <w:t xml:space="preserve"> is relevant </w:t>
      </w:r>
      <w:r w:rsidR="00CA6550" w:rsidRPr="00102445">
        <w:rPr>
          <w:rFonts w:eastAsia="Times New Roman" w:cs="Times New Roman"/>
          <w:lang w:eastAsia="en-AU"/>
        </w:rPr>
        <w:t>for</w:t>
      </w:r>
      <w:r w:rsidRPr="00102445">
        <w:rPr>
          <w:rFonts w:eastAsia="Times New Roman" w:cs="Times New Roman"/>
          <w:lang w:eastAsia="en-AU"/>
        </w:rPr>
        <w:t xml:space="preserve"> </w:t>
      </w:r>
      <w:r w:rsidRPr="00102445">
        <w:t xml:space="preserve">applications </w:t>
      </w:r>
      <w:r w:rsidR="00377F99" w:rsidRPr="00102445">
        <w:t>for the Regulator to declare</w:t>
      </w:r>
      <w:r w:rsidRPr="00102445">
        <w:t xml:space="preserve"> </w:t>
      </w:r>
      <w:r w:rsidR="00377F99" w:rsidRPr="00102445">
        <w:t xml:space="preserve">that </w:t>
      </w:r>
      <w:r w:rsidRPr="00102445">
        <w:t xml:space="preserve">a specified period </w:t>
      </w:r>
      <w:r w:rsidR="00377F99" w:rsidRPr="00102445">
        <w:t>is</w:t>
      </w:r>
      <w:r w:rsidRPr="00102445">
        <w:t xml:space="preserve"> a declared multi-year period for a facility</w:t>
      </w:r>
      <w:r w:rsidR="00EA2343" w:rsidRPr="00102445">
        <w:t>.</w:t>
      </w:r>
      <w:r w:rsidRPr="00102445">
        <w:t xml:space="preserve"> </w:t>
      </w:r>
      <w:r w:rsidR="00C12CF0" w:rsidRPr="00102445">
        <w:rPr>
          <w:rFonts w:eastAsia="Times New Roman" w:cs="Times New Roman"/>
          <w:lang w:eastAsia="en-AU"/>
        </w:rPr>
        <w:t xml:space="preserve">The responsible financial officer </w:t>
      </w:r>
      <w:r w:rsidR="00282C36" w:rsidRPr="00102445">
        <w:rPr>
          <w:rFonts w:eastAsia="Times New Roman" w:cs="Times New Roman"/>
          <w:lang w:eastAsia="en-AU"/>
        </w:rPr>
        <w:t>for a facility</w:t>
      </w:r>
      <w:r w:rsidR="003B2C60" w:rsidRPr="00102445">
        <w:rPr>
          <w:rFonts w:eastAsia="Times New Roman" w:cs="Times New Roman"/>
          <w:lang w:eastAsia="en-AU"/>
        </w:rPr>
        <w:t xml:space="preserve"> </w:t>
      </w:r>
      <w:r w:rsidR="006536C3" w:rsidRPr="00102445">
        <w:rPr>
          <w:rFonts w:eastAsia="Times New Roman" w:cs="Times New Roman"/>
          <w:lang w:eastAsia="en-AU"/>
        </w:rPr>
        <w:t xml:space="preserve">depends on the </w:t>
      </w:r>
      <w:r w:rsidR="006C1257" w:rsidRPr="00102445">
        <w:rPr>
          <w:rFonts w:eastAsia="Times New Roman" w:cs="Times New Roman"/>
          <w:lang w:eastAsia="en-AU"/>
        </w:rPr>
        <w:t>organisational</w:t>
      </w:r>
      <w:r w:rsidR="00553D41" w:rsidRPr="00102445">
        <w:rPr>
          <w:rFonts w:eastAsia="Times New Roman" w:cs="Times New Roman"/>
          <w:lang w:eastAsia="en-AU"/>
        </w:rPr>
        <w:t xml:space="preserve"> arrangements of a facility. </w:t>
      </w:r>
      <w:r w:rsidR="008F76A8" w:rsidRPr="00102445">
        <w:rPr>
          <w:rFonts w:eastAsia="Times New Roman" w:cs="Times New Roman"/>
          <w:lang w:eastAsia="en-AU"/>
        </w:rPr>
        <w:t xml:space="preserve">It may mean </w:t>
      </w:r>
      <w:r w:rsidR="00A574FA" w:rsidRPr="00102445">
        <w:rPr>
          <w:rFonts w:eastAsia="Times New Roman" w:cs="Times New Roman"/>
          <w:lang w:eastAsia="en-AU"/>
        </w:rPr>
        <w:t>a</w:t>
      </w:r>
      <w:r w:rsidR="00A81B33" w:rsidRPr="00102445">
        <w:rPr>
          <w:rFonts w:eastAsia="Times New Roman" w:cs="Times New Roman"/>
          <w:lang w:eastAsia="en-AU"/>
        </w:rPr>
        <w:t xml:space="preserve"> per</w:t>
      </w:r>
      <w:r w:rsidR="004D18C1" w:rsidRPr="00102445">
        <w:rPr>
          <w:rFonts w:eastAsia="Times New Roman" w:cs="Times New Roman"/>
          <w:lang w:eastAsia="en-AU"/>
        </w:rPr>
        <w:t>son who holds</w:t>
      </w:r>
      <w:r w:rsidR="00803B63" w:rsidRPr="00102445">
        <w:rPr>
          <w:rFonts w:eastAsia="Times New Roman" w:cs="Times New Roman"/>
          <w:lang w:eastAsia="en-AU"/>
        </w:rPr>
        <w:t xml:space="preserve">, or performs duties of, </w:t>
      </w:r>
      <w:r w:rsidR="00293C1C" w:rsidRPr="00102445">
        <w:rPr>
          <w:rFonts w:eastAsia="Times New Roman" w:cs="Times New Roman"/>
          <w:lang w:eastAsia="en-AU"/>
        </w:rPr>
        <w:t>the chief executive officer</w:t>
      </w:r>
      <w:r w:rsidR="002416FB" w:rsidRPr="00102445">
        <w:rPr>
          <w:rFonts w:eastAsia="Times New Roman" w:cs="Times New Roman"/>
          <w:lang w:eastAsia="en-AU"/>
        </w:rPr>
        <w:t>, chief operating officer</w:t>
      </w:r>
      <w:r w:rsidR="00562B74" w:rsidRPr="00102445">
        <w:rPr>
          <w:rFonts w:eastAsia="Times New Roman" w:cs="Times New Roman"/>
          <w:lang w:eastAsia="en-AU"/>
        </w:rPr>
        <w:t xml:space="preserve"> </w:t>
      </w:r>
      <w:r w:rsidR="00CB2C2E" w:rsidRPr="00102445">
        <w:rPr>
          <w:rFonts w:eastAsia="Times New Roman" w:cs="Times New Roman"/>
          <w:lang w:eastAsia="en-AU"/>
        </w:rPr>
        <w:t>or chief operating officer</w:t>
      </w:r>
      <w:r w:rsidR="004A3D64" w:rsidRPr="00102445">
        <w:rPr>
          <w:rFonts w:eastAsia="Times New Roman" w:cs="Times New Roman"/>
          <w:lang w:eastAsia="en-AU"/>
        </w:rPr>
        <w:t xml:space="preserve"> </w:t>
      </w:r>
      <w:r w:rsidR="00472B35" w:rsidRPr="00102445">
        <w:rPr>
          <w:rFonts w:eastAsia="Times New Roman" w:cs="Times New Roman"/>
          <w:lang w:eastAsia="en-AU"/>
        </w:rPr>
        <w:t>for the person with operational control of the facility</w:t>
      </w:r>
      <w:r w:rsidR="00344365" w:rsidRPr="00102445">
        <w:rPr>
          <w:rFonts w:eastAsia="Times New Roman" w:cs="Times New Roman"/>
          <w:lang w:eastAsia="en-AU"/>
        </w:rPr>
        <w:t xml:space="preserve"> or a</w:t>
      </w:r>
      <w:r w:rsidR="00824643" w:rsidRPr="00102445">
        <w:rPr>
          <w:rFonts w:eastAsia="Times New Roman" w:cs="Times New Roman"/>
          <w:lang w:eastAsia="en-AU"/>
        </w:rPr>
        <w:t xml:space="preserve"> person </w:t>
      </w:r>
      <w:r w:rsidR="00B91560" w:rsidRPr="00102445">
        <w:rPr>
          <w:rFonts w:eastAsia="Times New Roman" w:cs="Times New Roman"/>
          <w:lang w:eastAsia="en-AU"/>
        </w:rPr>
        <w:t xml:space="preserve">who holds or performs duties </w:t>
      </w:r>
      <w:r w:rsidR="00FF3EAA" w:rsidRPr="00102445">
        <w:rPr>
          <w:rFonts w:eastAsia="Times New Roman" w:cs="Times New Roman"/>
          <w:lang w:eastAsia="en-AU"/>
        </w:rPr>
        <w:t>similar or equivalent t</w:t>
      </w:r>
      <w:r w:rsidR="0016101E" w:rsidRPr="00102445">
        <w:rPr>
          <w:rFonts w:eastAsia="Times New Roman" w:cs="Times New Roman"/>
          <w:lang w:eastAsia="en-AU"/>
        </w:rPr>
        <w:t>o the positions described</w:t>
      </w:r>
      <w:r w:rsidR="0048128C" w:rsidRPr="00102445">
        <w:rPr>
          <w:rFonts w:eastAsia="Times New Roman" w:cs="Times New Roman"/>
          <w:lang w:eastAsia="en-AU"/>
        </w:rPr>
        <w:t>.</w:t>
      </w:r>
      <w:r w:rsidR="00344365" w:rsidRPr="00102445">
        <w:rPr>
          <w:rFonts w:eastAsia="Times New Roman" w:cs="Times New Roman"/>
          <w:lang w:eastAsia="en-AU"/>
        </w:rPr>
        <w:t xml:space="preserve"> </w:t>
      </w:r>
      <w:r w:rsidR="00367A2A" w:rsidRPr="00102445">
        <w:rPr>
          <w:rFonts w:eastAsia="Times New Roman" w:cs="Times New Roman"/>
          <w:lang w:eastAsia="en-AU"/>
        </w:rPr>
        <w:t>Responsible financial officer may also mean a</w:t>
      </w:r>
      <w:r w:rsidR="007A2610" w:rsidRPr="00102445">
        <w:rPr>
          <w:rFonts w:eastAsia="Times New Roman" w:cs="Times New Roman"/>
          <w:lang w:eastAsia="en-AU"/>
        </w:rPr>
        <w:t>n</w:t>
      </w:r>
      <w:r w:rsidR="00006176" w:rsidRPr="00102445">
        <w:rPr>
          <w:rFonts w:eastAsia="Times New Roman" w:cs="Times New Roman"/>
          <w:lang w:eastAsia="en-AU"/>
        </w:rPr>
        <w:t xml:space="preserve"> </w:t>
      </w:r>
      <w:r w:rsidR="007A2610" w:rsidRPr="00102445">
        <w:rPr>
          <w:rFonts w:eastAsia="Times New Roman" w:cs="Times New Roman"/>
          <w:lang w:eastAsia="en-AU"/>
        </w:rPr>
        <w:t>individual</w:t>
      </w:r>
      <w:r w:rsidR="00006176" w:rsidRPr="00102445">
        <w:rPr>
          <w:rFonts w:eastAsia="Times New Roman" w:cs="Times New Roman"/>
          <w:lang w:eastAsia="en-AU"/>
        </w:rPr>
        <w:t xml:space="preserve"> employed by the person with operational control of the facilit</w:t>
      </w:r>
      <w:r w:rsidR="00660381" w:rsidRPr="00102445">
        <w:rPr>
          <w:rFonts w:eastAsia="Times New Roman" w:cs="Times New Roman"/>
          <w:lang w:eastAsia="en-AU"/>
        </w:rPr>
        <w:t>y who makes or participates in</w:t>
      </w:r>
      <w:r w:rsidR="003D14CF" w:rsidRPr="00102445">
        <w:rPr>
          <w:rFonts w:eastAsia="Times New Roman" w:cs="Times New Roman"/>
          <w:lang w:eastAsia="en-AU"/>
        </w:rPr>
        <w:t xml:space="preserve"> </w:t>
      </w:r>
      <w:r w:rsidR="00B76323" w:rsidRPr="00102445">
        <w:rPr>
          <w:rFonts w:eastAsia="Times New Roman" w:cs="Times New Roman"/>
          <w:lang w:eastAsia="en-AU"/>
        </w:rPr>
        <w:t>decision</w:t>
      </w:r>
      <w:r w:rsidR="005F0B77" w:rsidRPr="00102445">
        <w:rPr>
          <w:rFonts w:eastAsia="Times New Roman" w:cs="Times New Roman"/>
          <w:lang w:eastAsia="en-AU"/>
        </w:rPr>
        <w:t>s</w:t>
      </w:r>
      <w:r w:rsidR="00B76323" w:rsidRPr="00102445">
        <w:rPr>
          <w:rFonts w:eastAsia="Times New Roman" w:cs="Times New Roman"/>
          <w:lang w:eastAsia="en-AU"/>
        </w:rPr>
        <w:t xml:space="preserve"> that affect </w:t>
      </w:r>
      <w:r w:rsidR="000C2698" w:rsidRPr="00102445">
        <w:rPr>
          <w:rFonts w:eastAsia="Times New Roman" w:cs="Times New Roman"/>
          <w:lang w:eastAsia="en-AU"/>
        </w:rPr>
        <w:t>a substantial part of</w:t>
      </w:r>
      <w:r w:rsidR="00B76323" w:rsidRPr="00102445">
        <w:rPr>
          <w:rFonts w:eastAsia="Times New Roman" w:cs="Times New Roman"/>
          <w:lang w:eastAsia="en-AU"/>
        </w:rPr>
        <w:t xml:space="preserve"> </w:t>
      </w:r>
      <w:r w:rsidR="00176B6D" w:rsidRPr="00102445">
        <w:rPr>
          <w:rFonts w:eastAsia="Times New Roman" w:cs="Times New Roman"/>
          <w:lang w:eastAsia="en-AU"/>
        </w:rPr>
        <w:t xml:space="preserve">the business </w:t>
      </w:r>
      <w:r w:rsidR="003E1F81" w:rsidRPr="00102445">
        <w:rPr>
          <w:rFonts w:eastAsia="Times New Roman" w:cs="Times New Roman"/>
          <w:lang w:eastAsia="en-AU"/>
        </w:rPr>
        <w:t xml:space="preserve">or </w:t>
      </w:r>
      <w:r w:rsidR="00BC6E40" w:rsidRPr="00102445">
        <w:rPr>
          <w:rFonts w:eastAsia="Times New Roman" w:cs="Times New Roman"/>
          <w:lang w:eastAsia="en-AU"/>
        </w:rPr>
        <w:t>who</w:t>
      </w:r>
      <w:r w:rsidR="009A4F67" w:rsidRPr="00102445">
        <w:t xml:space="preserve"> has </w:t>
      </w:r>
      <w:r w:rsidR="009A4F67" w:rsidRPr="00102445">
        <w:rPr>
          <w:rFonts w:eastAsia="Times New Roman" w:cs="Times New Roman"/>
          <w:lang w:eastAsia="en-AU"/>
        </w:rPr>
        <w:t>the capacity to significantly affect the person’s financial standing.</w:t>
      </w:r>
      <w:r w:rsidR="00F21E77" w:rsidRPr="00102445">
        <w:rPr>
          <w:rFonts w:eastAsia="Times New Roman" w:cs="Times New Roman"/>
          <w:lang w:eastAsia="en-AU"/>
        </w:rPr>
        <w:t xml:space="preserve"> If t</w:t>
      </w:r>
      <w:r w:rsidR="00F5132D" w:rsidRPr="00102445">
        <w:rPr>
          <w:rFonts w:eastAsia="Times New Roman" w:cs="Times New Roman"/>
          <w:lang w:eastAsia="en-AU"/>
        </w:rPr>
        <w:t>he person</w:t>
      </w:r>
      <w:r w:rsidR="00794D3C" w:rsidRPr="00102445">
        <w:rPr>
          <w:rFonts w:eastAsia="Times New Roman" w:cs="Times New Roman"/>
          <w:lang w:eastAsia="en-AU"/>
        </w:rPr>
        <w:t xml:space="preserve"> with operational control of the facility is an individual</w:t>
      </w:r>
      <w:r w:rsidR="00F21E77" w:rsidRPr="00102445">
        <w:rPr>
          <w:rFonts w:eastAsia="Times New Roman" w:cs="Times New Roman"/>
          <w:lang w:eastAsia="en-AU"/>
        </w:rPr>
        <w:t xml:space="preserve">, then </w:t>
      </w:r>
      <w:r w:rsidR="00A579AE" w:rsidRPr="00102445">
        <w:rPr>
          <w:rFonts w:eastAsia="Times New Roman" w:cs="Times New Roman"/>
          <w:lang w:eastAsia="en-AU"/>
        </w:rPr>
        <w:t xml:space="preserve">the </w:t>
      </w:r>
      <w:r w:rsidR="0077405B" w:rsidRPr="00102445">
        <w:rPr>
          <w:rFonts w:eastAsia="Times New Roman" w:cs="Times New Roman"/>
          <w:lang w:eastAsia="en-AU"/>
        </w:rPr>
        <w:t>responsible financial officer may mean that person</w:t>
      </w:r>
      <w:r w:rsidR="00794D3C" w:rsidRPr="00102445">
        <w:rPr>
          <w:rFonts w:eastAsia="Times New Roman" w:cs="Times New Roman"/>
          <w:lang w:eastAsia="en-AU"/>
        </w:rPr>
        <w:t>.</w:t>
      </w:r>
    </w:p>
    <w:p w14:paraId="5515AD9F" w14:textId="78C08F4B" w:rsidR="0014374C" w:rsidRPr="00102445" w:rsidRDefault="0014374C"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The</w:t>
      </w:r>
      <w:r w:rsidR="00675F91" w:rsidRPr="00102445">
        <w:rPr>
          <w:rFonts w:eastAsia="Times New Roman" w:cs="Times New Roman"/>
          <w:lang w:eastAsia="en-AU"/>
        </w:rPr>
        <w:t xml:space="preserve"> ‘</w:t>
      </w:r>
      <w:r w:rsidR="00675F91" w:rsidRPr="00102445">
        <w:rPr>
          <w:rFonts w:eastAsia="Times New Roman" w:cs="Times New Roman"/>
          <w:i/>
          <w:lang w:eastAsia="en-AU"/>
        </w:rPr>
        <w:t>Safeguard Mechanism default prescribed unit price</w:t>
      </w:r>
      <w:r w:rsidR="00675F91" w:rsidRPr="00102445">
        <w:rPr>
          <w:rFonts w:eastAsia="Times New Roman" w:cs="Times New Roman"/>
          <w:lang w:eastAsia="en-AU"/>
        </w:rPr>
        <w:t xml:space="preserve">’ for a financial year is given by section </w:t>
      </w:r>
      <w:r w:rsidR="00582B34" w:rsidRPr="00102445">
        <w:rPr>
          <w:rFonts w:eastAsia="Times New Roman" w:cs="Times New Roman"/>
          <w:lang w:eastAsia="en-AU"/>
        </w:rPr>
        <w:t>38</w:t>
      </w:r>
      <w:r w:rsidRPr="00102445">
        <w:rPr>
          <w:rFonts w:eastAsia="Times New Roman" w:cs="Times New Roman"/>
          <w:lang w:eastAsia="en-AU"/>
        </w:rPr>
        <w:t>.</w:t>
      </w:r>
      <w:r w:rsidR="00C952DD" w:rsidRPr="00102445">
        <w:rPr>
          <w:rFonts w:eastAsia="Times New Roman" w:cs="Times New Roman"/>
          <w:lang w:eastAsia="en-AU"/>
        </w:rPr>
        <w:t xml:space="preserve"> </w:t>
      </w:r>
      <w:r w:rsidR="00877E6B" w:rsidRPr="00102445">
        <w:rPr>
          <w:rFonts w:eastAsia="Times New Roman" w:cs="Times New Roman"/>
          <w:lang w:eastAsia="en-AU"/>
        </w:rPr>
        <w:t>The ‘</w:t>
      </w:r>
      <w:r w:rsidR="00877E6B" w:rsidRPr="00102445">
        <w:rPr>
          <w:rFonts w:eastAsia="Times New Roman" w:cs="Times New Roman"/>
          <w:i/>
          <w:lang w:eastAsia="en-AU"/>
        </w:rPr>
        <w:t>significant cost impact threshold</w:t>
      </w:r>
      <w:r w:rsidR="00877E6B" w:rsidRPr="00102445">
        <w:rPr>
          <w:rFonts w:eastAsia="Times New Roman" w:cs="Times New Roman"/>
          <w:lang w:eastAsia="en-AU"/>
        </w:rPr>
        <w:t xml:space="preserve">’, for a facility, has the meaning given by subsection </w:t>
      </w:r>
      <w:r w:rsidR="00582B34" w:rsidRPr="00102445">
        <w:rPr>
          <w:rFonts w:eastAsia="Times New Roman" w:cs="Times New Roman"/>
          <w:lang w:eastAsia="en-AU"/>
        </w:rPr>
        <w:t>35</w:t>
      </w:r>
      <w:r w:rsidR="00877E6B" w:rsidRPr="00102445">
        <w:rPr>
          <w:rFonts w:eastAsia="Times New Roman" w:cs="Times New Roman"/>
          <w:lang w:eastAsia="en-AU"/>
        </w:rPr>
        <w:t xml:space="preserve">(4). These definitions are </w:t>
      </w:r>
      <w:r w:rsidR="00953D09" w:rsidRPr="00102445">
        <w:rPr>
          <w:rFonts w:eastAsia="Times New Roman" w:cs="Times New Roman"/>
          <w:lang w:eastAsia="en-AU"/>
        </w:rPr>
        <w:t xml:space="preserve">relevant for </w:t>
      </w:r>
      <w:r w:rsidR="00953D09" w:rsidRPr="00102445" w:rsidDel="00480363">
        <w:rPr>
          <w:rFonts w:eastAsia="Times New Roman" w:cs="Times New Roman"/>
          <w:lang w:eastAsia="en-AU"/>
        </w:rPr>
        <w:t>trade-exposed baseline</w:t>
      </w:r>
      <w:r w:rsidR="00787CEB" w:rsidRPr="00102445">
        <w:rPr>
          <w:rFonts w:eastAsia="Times New Roman" w:cs="Times New Roman"/>
          <w:szCs w:val="24"/>
          <w:lang w:eastAsia="en-AU"/>
        </w:rPr>
        <w:noBreakHyphen/>
      </w:r>
      <w:r w:rsidR="00953D09" w:rsidRPr="00102445">
        <w:rPr>
          <w:rFonts w:eastAsia="Times New Roman" w:cs="Times New Roman"/>
          <w:lang w:eastAsia="en-AU"/>
        </w:rPr>
        <w:t>adjusted facilities.</w:t>
      </w:r>
    </w:p>
    <w:p w14:paraId="73727F2E" w14:textId="40DA6115" w:rsidR="009F5C1C" w:rsidRPr="00102445" w:rsidRDefault="009F5C1C"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szCs w:val="24"/>
          <w:lang w:eastAsia="en-AU"/>
        </w:rPr>
        <w:t>The definition of a ‘</w:t>
      </w:r>
      <w:r w:rsidRPr="00102445">
        <w:rPr>
          <w:rFonts w:eastAsia="Times New Roman" w:cs="Times New Roman"/>
          <w:i/>
          <w:iCs/>
          <w:szCs w:val="24"/>
          <w:lang w:eastAsia="en-AU"/>
        </w:rPr>
        <w:t>shale gas extraction facility’</w:t>
      </w:r>
      <w:r w:rsidRPr="00102445">
        <w:rPr>
          <w:rFonts w:eastAsia="Times New Roman" w:cs="Times New Roman"/>
          <w:szCs w:val="24"/>
          <w:lang w:eastAsia="en-AU"/>
        </w:rPr>
        <w:t xml:space="preserve"> is given by section 54.</w:t>
      </w:r>
    </w:p>
    <w:p w14:paraId="1C5B8C14" w14:textId="4BBF239F" w:rsidR="00953E6C" w:rsidRPr="00102445" w:rsidRDefault="00953E6C" w:rsidP="00675F91">
      <w:pPr>
        <w:pStyle w:val="Itemheadings"/>
      </w:pPr>
      <w:r w:rsidRPr="00102445">
        <w:t xml:space="preserve">Item </w:t>
      </w:r>
      <w:r w:rsidR="000109F6" w:rsidRPr="00102445">
        <w:t xml:space="preserve">30 </w:t>
      </w:r>
      <w:r w:rsidRPr="00102445">
        <w:t>– Section 4</w:t>
      </w:r>
      <w:r w:rsidR="00351B32" w:rsidRPr="00102445">
        <w:t xml:space="preserve"> (definition of </w:t>
      </w:r>
      <w:r w:rsidR="00351B32" w:rsidRPr="00102445">
        <w:rPr>
          <w:i/>
          <w:iCs/>
        </w:rPr>
        <w:t>significant expansion criteria</w:t>
      </w:r>
      <w:r w:rsidR="00351B32" w:rsidRPr="00102445">
        <w:t>)</w:t>
      </w:r>
    </w:p>
    <w:p w14:paraId="0EDB4ABB" w14:textId="2D2FD1FE" w:rsidR="00953E6C" w:rsidRPr="00102445" w:rsidRDefault="00AB7F9D"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Removes the definition of ‘</w:t>
      </w:r>
      <w:r w:rsidRPr="00102445">
        <w:rPr>
          <w:rFonts w:eastAsia="Times New Roman" w:cs="Times New Roman"/>
          <w:i/>
          <w:lang w:eastAsia="en-AU"/>
        </w:rPr>
        <w:t>significant expansion criteria</w:t>
      </w:r>
      <w:r w:rsidRPr="00102445">
        <w:rPr>
          <w:rFonts w:eastAsia="Times New Roman" w:cs="Times New Roman"/>
          <w:lang w:eastAsia="en-AU"/>
        </w:rPr>
        <w:t>’ as this is no longer applicable under the reformed Safeguard Mechanism.</w:t>
      </w:r>
    </w:p>
    <w:p w14:paraId="3152C303" w14:textId="7EC66A24" w:rsidR="00953E6C" w:rsidRPr="00102445" w:rsidRDefault="00953E6C" w:rsidP="0018711B">
      <w:pPr>
        <w:pStyle w:val="Itemheadings"/>
      </w:pPr>
      <w:r w:rsidRPr="00102445">
        <w:t xml:space="preserve">Item </w:t>
      </w:r>
      <w:r w:rsidR="000109F6" w:rsidRPr="00102445">
        <w:t xml:space="preserve">31 </w:t>
      </w:r>
      <w:r w:rsidRPr="00102445">
        <w:t>– Section 4</w:t>
      </w:r>
    </w:p>
    <w:p w14:paraId="47473AF7" w14:textId="2D84A7BB" w:rsidR="00953E6C" w:rsidRPr="00102445" w:rsidRDefault="00953E6C"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Introduces</w:t>
      </w:r>
      <w:r w:rsidR="00AB7F9D" w:rsidRPr="00102445">
        <w:rPr>
          <w:rFonts w:eastAsia="Times New Roman" w:cs="Times New Roman"/>
          <w:lang w:eastAsia="en-AU"/>
        </w:rPr>
        <w:t xml:space="preserve"> the definitions of ‘</w:t>
      </w:r>
      <w:r w:rsidR="00AB7F9D" w:rsidRPr="00102445">
        <w:rPr>
          <w:rFonts w:eastAsia="Times New Roman" w:cs="Times New Roman"/>
          <w:i/>
          <w:lang w:eastAsia="en-AU"/>
        </w:rPr>
        <w:t>successor determination</w:t>
      </w:r>
      <w:r w:rsidR="00AB7F9D" w:rsidRPr="00102445">
        <w:rPr>
          <w:rFonts w:eastAsia="Times New Roman" w:cs="Times New Roman"/>
          <w:lang w:eastAsia="en-AU"/>
        </w:rPr>
        <w:t xml:space="preserve">’ by which a determination is made under section </w:t>
      </w:r>
      <w:r w:rsidR="005D08DE" w:rsidRPr="00102445">
        <w:rPr>
          <w:rFonts w:eastAsia="Times New Roman" w:cs="Times New Roman"/>
          <w:lang w:eastAsia="en-AU"/>
        </w:rPr>
        <w:t>24</w:t>
      </w:r>
      <w:r w:rsidR="00AB7F9D" w:rsidRPr="00102445">
        <w:rPr>
          <w:rFonts w:eastAsia="Times New Roman" w:cs="Times New Roman"/>
          <w:lang w:eastAsia="en-AU"/>
        </w:rPr>
        <w:t>; ‘</w:t>
      </w:r>
      <w:r w:rsidR="00AB7F9D" w:rsidRPr="00102445">
        <w:rPr>
          <w:rFonts w:eastAsia="Times New Roman" w:cs="Times New Roman"/>
          <w:i/>
          <w:lang w:eastAsia="en-AU"/>
        </w:rPr>
        <w:t>trade-exposed baseline</w:t>
      </w:r>
      <w:r w:rsidR="00AF04BD" w:rsidRPr="00102445">
        <w:rPr>
          <w:rFonts w:eastAsia="Times New Roman" w:cs="Times New Roman"/>
          <w:i/>
          <w:lang w:eastAsia="en-AU"/>
        </w:rPr>
        <w:t>-</w:t>
      </w:r>
      <w:r w:rsidR="00AB7F9D" w:rsidRPr="00102445">
        <w:rPr>
          <w:rFonts w:eastAsia="Times New Roman" w:cs="Times New Roman"/>
          <w:i/>
          <w:lang w:eastAsia="en-AU"/>
        </w:rPr>
        <w:t>adjusted facility</w:t>
      </w:r>
      <w:r w:rsidR="00AB7F9D" w:rsidRPr="00102445">
        <w:rPr>
          <w:rFonts w:eastAsia="Times New Roman" w:cs="Times New Roman"/>
          <w:lang w:eastAsia="en-AU"/>
        </w:rPr>
        <w:t xml:space="preserve">’ which is determined to be a </w:t>
      </w:r>
      <w:r w:rsidR="00AB7F9D" w:rsidRPr="00102445" w:rsidDel="00480363">
        <w:rPr>
          <w:rFonts w:eastAsia="Times New Roman" w:cs="Times New Roman"/>
          <w:lang w:eastAsia="en-AU"/>
        </w:rPr>
        <w:t xml:space="preserve">trade-exposed </w:t>
      </w:r>
      <w:r w:rsidR="00AF04BD" w:rsidRPr="00102445" w:rsidDel="00480363">
        <w:rPr>
          <w:rFonts w:eastAsia="Times New Roman" w:cs="Times New Roman"/>
          <w:lang w:eastAsia="en-AU"/>
        </w:rPr>
        <w:t>baseline-</w:t>
      </w:r>
      <w:r w:rsidR="00AB7F9D" w:rsidRPr="00102445" w:rsidDel="00480363">
        <w:rPr>
          <w:rFonts w:eastAsia="Times New Roman" w:cs="Times New Roman"/>
          <w:lang w:eastAsia="en-AU"/>
        </w:rPr>
        <w:t>adjusted</w:t>
      </w:r>
      <w:r w:rsidR="00AB7F9D" w:rsidRPr="00102445">
        <w:rPr>
          <w:rFonts w:eastAsia="Times New Roman" w:cs="Times New Roman"/>
          <w:lang w:eastAsia="en-AU"/>
        </w:rPr>
        <w:t xml:space="preserve"> facility in a financial year as provided by section </w:t>
      </w:r>
      <w:r w:rsidR="00027BAA" w:rsidRPr="00102445">
        <w:rPr>
          <w:rFonts w:eastAsia="Times New Roman" w:cs="Times New Roman"/>
          <w:lang w:eastAsia="en-AU"/>
        </w:rPr>
        <w:t>42</w:t>
      </w:r>
      <w:r w:rsidR="00AB7F9D" w:rsidRPr="00102445">
        <w:rPr>
          <w:rFonts w:eastAsia="Times New Roman" w:cs="Times New Roman"/>
          <w:lang w:eastAsia="en-AU"/>
        </w:rPr>
        <w:t>; and ‘</w:t>
      </w:r>
      <w:r w:rsidR="00AB7F9D" w:rsidRPr="00102445">
        <w:rPr>
          <w:rFonts w:eastAsia="Times New Roman" w:cs="Times New Roman"/>
          <w:i/>
          <w:lang w:eastAsia="en-AU"/>
        </w:rPr>
        <w:t>trade-exposed production variable</w:t>
      </w:r>
      <w:r w:rsidR="00AB7F9D" w:rsidRPr="00102445">
        <w:rPr>
          <w:rFonts w:eastAsia="Times New Roman" w:cs="Times New Roman"/>
          <w:lang w:eastAsia="en-AU"/>
        </w:rPr>
        <w:t xml:space="preserve">’ which </w:t>
      </w:r>
      <w:r w:rsidR="007C5DC9" w:rsidRPr="00102445">
        <w:rPr>
          <w:rFonts w:eastAsia="Times New Roman" w:cs="Times New Roman"/>
          <w:lang w:eastAsia="en-AU"/>
        </w:rPr>
        <w:t xml:space="preserve">means </w:t>
      </w:r>
      <w:r w:rsidR="00AB7F9D" w:rsidRPr="00102445">
        <w:rPr>
          <w:rFonts w:eastAsia="Times New Roman" w:cs="Times New Roman"/>
          <w:lang w:eastAsia="en-AU"/>
        </w:rPr>
        <w:t xml:space="preserve">a production variable that is listed in Schedule 2. </w:t>
      </w:r>
    </w:p>
    <w:p w14:paraId="37157FB1" w14:textId="552386A7" w:rsidR="00953E6C" w:rsidRPr="00102445" w:rsidRDefault="00953E6C" w:rsidP="007A000C">
      <w:pPr>
        <w:pStyle w:val="Itemheadings"/>
      </w:pPr>
      <w:r w:rsidRPr="00102445">
        <w:t xml:space="preserve">Item </w:t>
      </w:r>
      <w:r w:rsidR="00027BAA" w:rsidRPr="00102445">
        <w:t xml:space="preserve">32 </w:t>
      </w:r>
      <w:r w:rsidRPr="00102445">
        <w:t>– Section 4</w:t>
      </w:r>
      <w:r w:rsidR="00351B32" w:rsidRPr="00102445">
        <w:t xml:space="preserve"> (definition of </w:t>
      </w:r>
      <w:r w:rsidR="00351B32" w:rsidRPr="00102445">
        <w:rPr>
          <w:i/>
          <w:iCs/>
        </w:rPr>
        <w:t>transitional calculated baseline criteria</w:t>
      </w:r>
      <w:r w:rsidR="00351B32" w:rsidRPr="00102445">
        <w:t>)</w:t>
      </w:r>
    </w:p>
    <w:p w14:paraId="1D8BA15A" w14:textId="6BB52818" w:rsidR="00953E6C" w:rsidRPr="00102445" w:rsidRDefault="004126AE"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Removes the definition of ‘</w:t>
      </w:r>
      <w:r w:rsidRPr="00102445">
        <w:rPr>
          <w:rFonts w:eastAsia="Times New Roman" w:cs="Times New Roman"/>
          <w:i/>
          <w:lang w:eastAsia="en-AU"/>
        </w:rPr>
        <w:t>transitional calculated baseline criteria</w:t>
      </w:r>
      <w:r w:rsidRPr="00102445">
        <w:rPr>
          <w:rFonts w:eastAsia="Times New Roman" w:cs="Times New Roman"/>
          <w:lang w:eastAsia="en-AU"/>
        </w:rPr>
        <w:t>’ as this is no longer applicable under the reformed Safeguard Mechanism.</w:t>
      </w:r>
    </w:p>
    <w:p w14:paraId="690C5A8F" w14:textId="4EF186B7" w:rsidR="00953E6C" w:rsidRPr="00102445" w:rsidRDefault="00953E6C" w:rsidP="00711BC3">
      <w:pPr>
        <w:pStyle w:val="Itemheadings"/>
      </w:pPr>
      <w:r w:rsidRPr="00102445">
        <w:t xml:space="preserve">Item </w:t>
      </w:r>
      <w:r w:rsidR="00027BAA" w:rsidRPr="00102445">
        <w:t xml:space="preserve">33 </w:t>
      </w:r>
      <w:r w:rsidRPr="00102445">
        <w:t>– Section 4</w:t>
      </w:r>
    </w:p>
    <w:p w14:paraId="4F104ADF" w14:textId="3AF95397" w:rsidR="00953E6C" w:rsidRPr="00102445" w:rsidRDefault="00953E6C"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Introduces</w:t>
      </w:r>
      <w:r w:rsidR="004126AE" w:rsidRPr="00102445">
        <w:rPr>
          <w:rFonts w:eastAsia="Times New Roman" w:cs="Times New Roman"/>
          <w:lang w:eastAsia="en-AU"/>
        </w:rPr>
        <w:t xml:space="preserve"> the definitions of ‘</w:t>
      </w:r>
      <w:r w:rsidR="004126AE" w:rsidRPr="00102445">
        <w:rPr>
          <w:rFonts w:eastAsia="Times New Roman" w:cs="Times New Roman"/>
          <w:i/>
          <w:lang w:eastAsia="en-AU"/>
        </w:rPr>
        <w:t>transitional production variable</w:t>
      </w:r>
      <w:r w:rsidR="004126AE" w:rsidRPr="00102445">
        <w:rPr>
          <w:rFonts w:eastAsia="Times New Roman" w:cs="Times New Roman"/>
          <w:lang w:eastAsia="en-AU"/>
        </w:rPr>
        <w:t xml:space="preserve">’ as given by subsection </w:t>
      </w:r>
      <w:r w:rsidR="004E28D8" w:rsidRPr="00102445">
        <w:rPr>
          <w:rFonts w:eastAsia="Times New Roman" w:cs="Times New Roman"/>
          <w:lang w:eastAsia="en-AU"/>
        </w:rPr>
        <w:t>12</w:t>
      </w:r>
      <w:r w:rsidR="004126AE" w:rsidRPr="00102445">
        <w:rPr>
          <w:rFonts w:eastAsia="Times New Roman" w:cs="Times New Roman"/>
          <w:lang w:eastAsia="en-AU"/>
        </w:rPr>
        <w:t xml:space="preserve">(4); </w:t>
      </w:r>
      <w:r w:rsidR="0024452D" w:rsidRPr="00102445">
        <w:rPr>
          <w:rFonts w:eastAsia="Times New Roman" w:cs="Times New Roman"/>
          <w:lang w:eastAsia="en-AU"/>
        </w:rPr>
        <w:t xml:space="preserve">and </w:t>
      </w:r>
      <w:r w:rsidR="004126AE" w:rsidRPr="00102445">
        <w:rPr>
          <w:rFonts w:eastAsia="Times New Roman" w:cs="Times New Roman"/>
          <w:lang w:eastAsia="en-AU"/>
        </w:rPr>
        <w:t>‘</w:t>
      </w:r>
      <w:r w:rsidR="004126AE" w:rsidRPr="00102445">
        <w:rPr>
          <w:rFonts w:eastAsia="Times New Roman" w:cs="Times New Roman"/>
          <w:i/>
          <w:lang w:eastAsia="en-AU"/>
        </w:rPr>
        <w:t>transition proportion</w:t>
      </w:r>
      <w:r w:rsidR="004126AE" w:rsidRPr="00102445">
        <w:rPr>
          <w:rFonts w:eastAsia="Times New Roman" w:cs="Times New Roman"/>
          <w:lang w:eastAsia="en-AU"/>
        </w:rPr>
        <w:t xml:space="preserve">’ as given by section </w:t>
      </w:r>
      <w:r w:rsidR="004E28D8" w:rsidRPr="00102445">
        <w:rPr>
          <w:rFonts w:eastAsia="Times New Roman" w:cs="Times New Roman"/>
          <w:lang w:eastAsia="en-AU"/>
        </w:rPr>
        <w:t>13</w:t>
      </w:r>
      <w:r w:rsidR="00394538" w:rsidRPr="00102445">
        <w:rPr>
          <w:rFonts w:eastAsia="Times New Roman" w:cs="Times New Roman"/>
          <w:lang w:eastAsia="en-AU"/>
        </w:rPr>
        <w:t>.</w:t>
      </w:r>
    </w:p>
    <w:p w14:paraId="59D8CF0C" w14:textId="0A08A119" w:rsidR="00953E6C" w:rsidRPr="00102445" w:rsidRDefault="00953E6C" w:rsidP="00711BC3">
      <w:pPr>
        <w:pStyle w:val="Itemheadings"/>
      </w:pPr>
      <w:r w:rsidRPr="00102445">
        <w:t xml:space="preserve">Item </w:t>
      </w:r>
      <w:r w:rsidR="004E28D8" w:rsidRPr="00102445">
        <w:t xml:space="preserve">34 </w:t>
      </w:r>
      <w:r w:rsidRPr="00102445">
        <w:t>– Sections 5 and 6</w:t>
      </w:r>
    </w:p>
    <w:p w14:paraId="0F2F20F9" w14:textId="14ECB37D" w:rsidR="00953E6C" w:rsidRPr="00102445" w:rsidRDefault="00953E6C"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 xml:space="preserve">Removes sections 5 and 6 as these are no </w:t>
      </w:r>
      <w:r w:rsidR="008F5866" w:rsidRPr="00102445">
        <w:rPr>
          <w:rFonts w:eastAsia="Times New Roman" w:cs="Times New Roman"/>
          <w:lang w:eastAsia="en-AU"/>
        </w:rPr>
        <w:t xml:space="preserve">longer </w:t>
      </w:r>
      <w:r w:rsidRPr="00102445">
        <w:rPr>
          <w:rFonts w:eastAsia="Times New Roman" w:cs="Times New Roman"/>
          <w:lang w:eastAsia="en-AU"/>
        </w:rPr>
        <w:t>applicable</w:t>
      </w:r>
      <w:r w:rsidR="008F5866" w:rsidRPr="00102445">
        <w:rPr>
          <w:rFonts w:eastAsia="Times New Roman" w:cs="Times New Roman"/>
          <w:lang w:eastAsia="en-AU"/>
        </w:rPr>
        <w:t>.</w:t>
      </w:r>
    </w:p>
    <w:p w14:paraId="3F56626F" w14:textId="0818FC60" w:rsidR="00953E6C" w:rsidRPr="00102445" w:rsidRDefault="00E471D3" w:rsidP="00711BC3">
      <w:pPr>
        <w:pStyle w:val="Itemheadings"/>
      </w:pPr>
      <w:r w:rsidRPr="00102445">
        <w:lastRenderedPageBreak/>
        <w:t xml:space="preserve">Item </w:t>
      </w:r>
      <w:r w:rsidR="004E28D8" w:rsidRPr="00102445">
        <w:t xml:space="preserve">35 </w:t>
      </w:r>
      <w:r w:rsidRPr="00102445">
        <w:t xml:space="preserve">– </w:t>
      </w:r>
      <w:r w:rsidR="00351B32" w:rsidRPr="00102445">
        <w:t>At the end of s</w:t>
      </w:r>
      <w:r w:rsidRPr="00102445">
        <w:t>ection 7</w:t>
      </w:r>
    </w:p>
    <w:p w14:paraId="23A16F33" w14:textId="5027552D" w:rsidR="00F0413B" w:rsidRPr="00102445" w:rsidRDefault="005613FD" w:rsidP="00591A9C">
      <w:pPr>
        <w:pStyle w:val="ListParagraph"/>
        <w:numPr>
          <w:ilvl w:val="0"/>
          <w:numId w:val="2"/>
        </w:numPr>
        <w:spacing w:line="240" w:lineRule="auto"/>
        <w:rPr>
          <w:rFonts w:eastAsia="Times New Roman" w:cs="Times New Roman"/>
          <w:lang w:eastAsia="en-AU"/>
        </w:rPr>
      </w:pPr>
      <w:r w:rsidRPr="00102445">
        <w:rPr>
          <w:rFonts w:eastAsia="Times New Roman" w:cs="Times New Roman"/>
          <w:lang w:eastAsia="en-AU"/>
        </w:rPr>
        <w:t>Existing s</w:t>
      </w:r>
      <w:r w:rsidR="00F0413B" w:rsidRPr="00102445">
        <w:rPr>
          <w:rFonts w:eastAsia="Times New Roman" w:cs="Times New Roman"/>
          <w:lang w:eastAsia="en-AU"/>
        </w:rPr>
        <w:t xml:space="preserve">ection 7 of the Safeguard Rules relates to covered emissions and is provided for by section 22XI of the NGER Act, which states that </w:t>
      </w:r>
      <w:r w:rsidR="00F0413B" w:rsidRPr="00102445">
        <w:t>covered emissions of greenhouse gases means scope 1 emissions of one or more greenhouse gases, other than emissions of a kind specified in the Safeguard Rules. Paragraph 7(1)(c) states that emissions from grid-connected electricity generators are not covered emissions.</w:t>
      </w:r>
    </w:p>
    <w:p w14:paraId="38C64851" w14:textId="54A83411" w:rsidR="00242903" w:rsidRPr="00102445" w:rsidRDefault="00594C62" w:rsidP="00591A9C">
      <w:pPr>
        <w:pStyle w:val="ListParagraph"/>
        <w:numPr>
          <w:ilvl w:val="0"/>
          <w:numId w:val="2"/>
        </w:numPr>
        <w:spacing w:line="240" w:lineRule="auto"/>
        <w:contextualSpacing w:val="0"/>
        <w:rPr>
          <w:rFonts w:eastAsia="Times New Roman" w:cs="Times New Roman"/>
          <w:szCs w:val="24"/>
          <w:lang w:eastAsia="en-AU"/>
        </w:rPr>
      </w:pPr>
      <w:r w:rsidRPr="00102445">
        <w:t>Introduces</w:t>
      </w:r>
      <w:r w:rsidR="005613FD" w:rsidRPr="00102445">
        <w:t xml:space="preserve"> new</w:t>
      </w:r>
      <w:r w:rsidR="008F20D7" w:rsidRPr="00102445">
        <w:t xml:space="preserve"> subsection</w:t>
      </w:r>
      <w:r w:rsidR="00425153" w:rsidRPr="00102445">
        <w:t xml:space="preserve"> </w:t>
      </w:r>
      <w:r w:rsidR="00AB75C6" w:rsidRPr="00102445">
        <w:t>7(3)</w:t>
      </w:r>
      <w:r w:rsidR="00FC0F1B" w:rsidRPr="00102445">
        <w:t xml:space="preserve">, </w:t>
      </w:r>
      <w:r w:rsidR="006D5007" w:rsidRPr="00102445">
        <w:t xml:space="preserve">which </w:t>
      </w:r>
      <w:r w:rsidR="007E76EA" w:rsidRPr="00102445">
        <w:t>provides what</w:t>
      </w:r>
      <w:r w:rsidR="004B7854" w:rsidRPr="00102445">
        <w:t xml:space="preserve"> emissions </w:t>
      </w:r>
      <w:r w:rsidR="00A8524D" w:rsidRPr="00102445">
        <w:t xml:space="preserve">are </w:t>
      </w:r>
      <w:r w:rsidR="004B7854" w:rsidRPr="00102445">
        <w:t xml:space="preserve">not included as emissions from grid-connected electricity generators. </w:t>
      </w:r>
      <w:r w:rsidR="00F45845" w:rsidRPr="00102445">
        <w:t>For the purposes of</w:t>
      </w:r>
      <w:r w:rsidR="00327AFB" w:rsidRPr="00102445">
        <w:t xml:space="preserve"> </w:t>
      </w:r>
      <w:r w:rsidR="00A8524D" w:rsidRPr="00102445">
        <w:t>paragrap</w:t>
      </w:r>
      <w:r w:rsidR="00B4584A" w:rsidRPr="00102445">
        <w:t>h</w:t>
      </w:r>
      <w:r w:rsidR="004A4E35" w:rsidRPr="00102445">
        <w:t xml:space="preserve"> </w:t>
      </w:r>
      <w:r w:rsidR="00D56CA8" w:rsidRPr="00102445">
        <w:t>7(1)</w:t>
      </w:r>
      <w:r w:rsidR="00806802" w:rsidRPr="00102445">
        <w:t>(</w:t>
      </w:r>
      <w:r w:rsidR="00327AFB" w:rsidRPr="00102445">
        <w:t>c)</w:t>
      </w:r>
      <w:r w:rsidR="00801E10" w:rsidRPr="00102445">
        <w:t>, emissions from one or more greenhouse gases from the operation of a grid-connected electricity generator in</w:t>
      </w:r>
      <w:r w:rsidR="00B45B62" w:rsidRPr="00102445">
        <w:t xml:space="preserve"> respect </w:t>
      </w:r>
      <w:r w:rsidR="0001015C" w:rsidRPr="00102445">
        <w:t>of a</w:t>
      </w:r>
      <w:r w:rsidR="005C31ED" w:rsidRPr="00102445">
        <w:t xml:space="preserve"> sectoral-baseline financial year do not include: </w:t>
      </w:r>
      <w:r w:rsidR="00D963FE" w:rsidRPr="00102445">
        <w:t>fugitive emissions from coal mining</w:t>
      </w:r>
      <w:r w:rsidR="001B3A3F" w:rsidRPr="00102445">
        <w:t xml:space="preserve"> </w:t>
      </w:r>
      <w:r w:rsidR="000102B3" w:rsidRPr="00102445">
        <w:t xml:space="preserve">(with the meaning </w:t>
      </w:r>
      <w:r w:rsidR="00182FF0" w:rsidRPr="00102445">
        <w:t xml:space="preserve">of the </w:t>
      </w:r>
      <w:r w:rsidR="000102B3" w:rsidRPr="00102445">
        <w:t>NGER (Measurement) Determination</w:t>
      </w:r>
      <w:r w:rsidR="00182FF0" w:rsidRPr="00102445">
        <w:t>)</w:t>
      </w:r>
      <w:r w:rsidR="00E30B18" w:rsidRPr="00102445">
        <w:t>; emissions from fuel combustio</w:t>
      </w:r>
      <w:r w:rsidR="00B9597B" w:rsidRPr="00102445">
        <w:t>n for the purposes of coal mining</w:t>
      </w:r>
      <w:r w:rsidR="006B43F5" w:rsidRPr="00102445">
        <w:t>; emissions covered by Chapter 2 (fuel combustion) of the NGER (Measurement) Determination</w:t>
      </w:r>
      <w:r w:rsidR="00AB75C6" w:rsidRPr="00102445">
        <w:t xml:space="preserve"> </w:t>
      </w:r>
      <w:r w:rsidR="00B11BDC" w:rsidRPr="00102445">
        <w:t xml:space="preserve">that are </w:t>
      </w:r>
      <w:r w:rsidR="00C25C86" w:rsidRPr="00102445">
        <w:t>not for electricity generation or</w:t>
      </w:r>
      <w:r w:rsidR="00B11BDC" w:rsidRPr="00102445">
        <w:t xml:space="preserve"> cogeneration.</w:t>
      </w:r>
      <w:r w:rsidR="00AB75C6" w:rsidRPr="00102445">
        <w:t xml:space="preserve"> </w:t>
      </w:r>
    </w:p>
    <w:p w14:paraId="124E34F5" w14:textId="115A586F" w:rsidR="00FE31F7" w:rsidRPr="00102445" w:rsidRDefault="006E0F06" w:rsidP="00591A9C">
      <w:pPr>
        <w:pStyle w:val="ListParagraph"/>
        <w:numPr>
          <w:ilvl w:val="0"/>
          <w:numId w:val="2"/>
        </w:numPr>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Subsection 7(3) </w:t>
      </w:r>
      <w:r w:rsidR="008B1436" w:rsidRPr="00102445">
        <w:rPr>
          <w:rFonts w:eastAsia="Times New Roman" w:cs="Times New Roman"/>
          <w:lang w:eastAsia="en-AU"/>
        </w:rPr>
        <w:t xml:space="preserve">means that if </w:t>
      </w:r>
      <w:r w:rsidR="00C7464F" w:rsidRPr="00102445">
        <w:rPr>
          <w:rFonts w:eastAsia="Times New Roman" w:cs="Times New Roman"/>
          <w:lang w:eastAsia="en-AU"/>
        </w:rPr>
        <w:t xml:space="preserve">a facility declares that </w:t>
      </w:r>
      <w:r w:rsidR="00D821CC" w:rsidRPr="00102445">
        <w:rPr>
          <w:rFonts w:eastAsia="Times New Roman" w:cs="Times New Roman"/>
          <w:lang w:eastAsia="en-AU"/>
        </w:rPr>
        <w:t>a coal mine is part of a grid-connected electricity generator,</w:t>
      </w:r>
      <w:r w:rsidR="008B37D0" w:rsidRPr="00102445">
        <w:rPr>
          <w:rFonts w:eastAsia="Times New Roman" w:cs="Times New Roman"/>
          <w:lang w:eastAsia="en-AU"/>
        </w:rPr>
        <w:t xml:space="preserve"> it would </w:t>
      </w:r>
      <w:r w:rsidR="0078239A" w:rsidRPr="00102445">
        <w:rPr>
          <w:rFonts w:eastAsia="Times New Roman" w:cs="Times New Roman"/>
          <w:lang w:eastAsia="en-AU"/>
        </w:rPr>
        <w:t>still be a designated large facility (i.e. covered by the Safeguard Mechanism)</w:t>
      </w:r>
      <w:r w:rsidR="004F31B1" w:rsidRPr="00102445">
        <w:rPr>
          <w:rFonts w:eastAsia="Times New Roman" w:cs="Times New Roman"/>
          <w:lang w:eastAsia="en-AU"/>
        </w:rPr>
        <w:t xml:space="preserve"> in a financial year if the scope 1 emissions of the coal mine are </w:t>
      </w:r>
      <w:r w:rsidR="00DF5957" w:rsidRPr="00102445">
        <w:rPr>
          <w:rFonts w:eastAsia="Times New Roman" w:cs="Times New Roman"/>
          <w:lang w:eastAsia="en-AU"/>
        </w:rPr>
        <w:t>more than 100,000 t CO</w:t>
      </w:r>
      <w:r w:rsidR="00DF5957" w:rsidRPr="00102445">
        <w:rPr>
          <w:rFonts w:eastAsia="Times New Roman" w:cs="Times New Roman"/>
          <w:vertAlign w:val="subscript"/>
          <w:lang w:eastAsia="en-AU"/>
        </w:rPr>
        <w:t>2</w:t>
      </w:r>
      <w:r w:rsidR="00DF5957" w:rsidRPr="00102445">
        <w:rPr>
          <w:rFonts w:eastAsia="Times New Roman" w:cs="Times New Roman"/>
          <w:lang w:eastAsia="en-AU"/>
        </w:rPr>
        <w:t>-e.</w:t>
      </w:r>
    </w:p>
    <w:p w14:paraId="66CFD32A" w14:textId="539342D5" w:rsidR="00210EDD" w:rsidRPr="00102445" w:rsidRDefault="00210EDD" w:rsidP="00711BC3">
      <w:pPr>
        <w:pStyle w:val="Itemheadings"/>
      </w:pPr>
      <w:r w:rsidRPr="00102445">
        <w:t xml:space="preserve">Item </w:t>
      </w:r>
      <w:r w:rsidR="009C0538" w:rsidRPr="00102445">
        <w:t xml:space="preserve">36 </w:t>
      </w:r>
      <w:r w:rsidRPr="00102445">
        <w:t>– Part 3</w:t>
      </w:r>
      <w:r w:rsidR="00FE69DF" w:rsidRPr="00102445">
        <w:t xml:space="preserve"> </w:t>
      </w:r>
    </w:p>
    <w:p w14:paraId="405035F9" w14:textId="3B7F02FA" w:rsidR="00210EDD" w:rsidRPr="00102445" w:rsidRDefault="00210EDD" w:rsidP="00591A9C">
      <w:pPr>
        <w:pStyle w:val="ListParagraph"/>
        <w:numPr>
          <w:ilvl w:val="0"/>
          <w:numId w:val="2"/>
        </w:numPr>
        <w:shd w:val="clear" w:color="auto" w:fill="FFFFFF" w:themeFill="background1"/>
        <w:spacing w:line="240" w:lineRule="auto"/>
        <w:rPr>
          <w:rFonts w:eastAsia="Times New Roman" w:cs="Times New Roman"/>
          <w:szCs w:val="24"/>
          <w:lang w:eastAsia="en-AU"/>
        </w:rPr>
      </w:pPr>
      <w:r w:rsidRPr="00102445">
        <w:rPr>
          <w:rFonts w:eastAsia="Times New Roman" w:cs="Times New Roman"/>
          <w:lang w:eastAsia="en-AU"/>
        </w:rPr>
        <w:t xml:space="preserve">Repeals the former Part 3 and introduces a new Part 3 </w:t>
      </w:r>
      <w:r w:rsidR="00C042C1" w:rsidRPr="00102445">
        <w:rPr>
          <w:rFonts w:eastAsia="Times New Roman" w:cs="Times New Roman"/>
          <w:lang w:eastAsia="en-AU"/>
        </w:rPr>
        <w:t>that</w:t>
      </w:r>
      <w:r w:rsidRPr="00102445">
        <w:rPr>
          <w:rFonts w:eastAsia="Times New Roman" w:cs="Times New Roman"/>
          <w:lang w:eastAsia="en-AU"/>
        </w:rPr>
        <w:t xml:space="preserve"> detail</w:t>
      </w:r>
      <w:r w:rsidR="00C042C1" w:rsidRPr="00102445">
        <w:rPr>
          <w:rFonts w:eastAsia="Times New Roman" w:cs="Times New Roman"/>
          <w:lang w:eastAsia="en-AU"/>
        </w:rPr>
        <w:t xml:space="preserve">s </w:t>
      </w:r>
      <w:r w:rsidRPr="00102445">
        <w:rPr>
          <w:rFonts w:eastAsia="Times New Roman" w:cs="Times New Roman"/>
          <w:lang w:eastAsia="en-AU"/>
        </w:rPr>
        <w:t xml:space="preserve">provisions </w:t>
      </w:r>
      <w:r w:rsidR="00C042C1" w:rsidRPr="00102445">
        <w:rPr>
          <w:rFonts w:eastAsia="Times New Roman" w:cs="Times New Roman"/>
          <w:lang w:eastAsia="en-AU"/>
        </w:rPr>
        <w:t>for setting</w:t>
      </w:r>
      <w:r w:rsidRPr="00102445">
        <w:rPr>
          <w:rFonts w:eastAsia="Times New Roman" w:cs="Times New Roman"/>
          <w:lang w:eastAsia="en-AU"/>
        </w:rPr>
        <w:t xml:space="preserve"> baseline emissions number</w:t>
      </w:r>
      <w:r w:rsidR="00C042C1" w:rsidRPr="00102445">
        <w:rPr>
          <w:rFonts w:eastAsia="Times New Roman" w:cs="Times New Roman"/>
          <w:lang w:eastAsia="en-AU"/>
        </w:rPr>
        <w:t>s</w:t>
      </w:r>
      <w:r w:rsidR="0046684F" w:rsidRPr="00102445">
        <w:rPr>
          <w:rFonts w:eastAsia="Times New Roman" w:cs="Times New Roman"/>
          <w:lang w:eastAsia="en-AU"/>
        </w:rPr>
        <w:t>.</w:t>
      </w:r>
      <w:r w:rsidR="008B3CF1" w:rsidRPr="00102445">
        <w:rPr>
          <w:rFonts w:eastAsia="Times New Roman" w:cs="Times New Roman"/>
          <w:lang w:eastAsia="en-AU"/>
        </w:rPr>
        <w:t xml:space="preserve"> Baseline emissions numbers are important because the NGER Act requires facilities covered by the </w:t>
      </w:r>
      <w:r w:rsidR="00B4620F" w:rsidRPr="00102445">
        <w:rPr>
          <w:rFonts w:eastAsia="Times New Roman" w:cs="Times New Roman"/>
          <w:lang w:eastAsia="en-AU"/>
        </w:rPr>
        <w:t>Safeguard Mechanism to ensure that their net emissions are below their baseline.</w:t>
      </w:r>
    </w:p>
    <w:p w14:paraId="1CE91618" w14:textId="2762A522" w:rsidR="00FE69DF" w:rsidRPr="00102445" w:rsidRDefault="00FE69DF" w:rsidP="00B63FF5">
      <w:pPr>
        <w:pStyle w:val="Heading5"/>
      </w:pPr>
      <w:r w:rsidRPr="00102445">
        <w:t>Divis</w:t>
      </w:r>
      <w:r w:rsidR="002E0592" w:rsidRPr="00102445">
        <w:t>i</w:t>
      </w:r>
      <w:r w:rsidRPr="00102445">
        <w:t xml:space="preserve">on 1 </w:t>
      </w:r>
      <w:r w:rsidR="002E0592" w:rsidRPr="00102445">
        <w:t>–</w:t>
      </w:r>
      <w:r w:rsidR="00147E90" w:rsidRPr="00102445">
        <w:t xml:space="preserve"> </w:t>
      </w:r>
      <w:r w:rsidRPr="00102445">
        <w:t>General</w:t>
      </w:r>
    </w:p>
    <w:p w14:paraId="71751694" w14:textId="69BE68E8" w:rsidR="007D11FC" w:rsidRPr="00102445" w:rsidRDefault="003B7885"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Section </w:t>
      </w:r>
      <w:r w:rsidR="0087332D" w:rsidRPr="00102445">
        <w:rPr>
          <w:rFonts w:eastAsia="Times New Roman" w:cs="Times New Roman"/>
          <w:lang w:eastAsia="en-AU"/>
        </w:rPr>
        <w:t xml:space="preserve">9 </w:t>
      </w:r>
      <w:r w:rsidR="00017D46" w:rsidRPr="00102445">
        <w:rPr>
          <w:rFonts w:eastAsia="Times New Roman" w:cs="Times New Roman"/>
          <w:lang w:eastAsia="en-AU"/>
        </w:rPr>
        <w:t>states</w:t>
      </w:r>
      <w:r w:rsidR="0091365E" w:rsidRPr="00102445">
        <w:rPr>
          <w:rFonts w:eastAsia="Times New Roman" w:cs="Times New Roman"/>
          <w:lang w:eastAsia="en-AU"/>
        </w:rPr>
        <w:t xml:space="preserve"> that</w:t>
      </w:r>
      <w:r w:rsidR="00017D46" w:rsidRPr="00102445">
        <w:rPr>
          <w:rFonts w:eastAsia="Times New Roman" w:cs="Times New Roman"/>
          <w:lang w:eastAsia="en-AU"/>
        </w:rPr>
        <w:t xml:space="preserve"> </w:t>
      </w:r>
      <w:r w:rsidR="00FE3D1E" w:rsidRPr="00102445">
        <w:rPr>
          <w:rFonts w:eastAsia="Times New Roman" w:cs="Times New Roman"/>
          <w:lang w:eastAsia="en-AU"/>
        </w:rPr>
        <w:t>the provision</w:t>
      </w:r>
      <w:r w:rsidR="0091365E" w:rsidRPr="00102445">
        <w:rPr>
          <w:rFonts w:eastAsia="Times New Roman" w:cs="Times New Roman"/>
          <w:lang w:eastAsia="en-AU"/>
        </w:rPr>
        <w:t>s</w:t>
      </w:r>
      <w:r w:rsidR="00FE3D1E" w:rsidRPr="00102445">
        <w:rPr>
          <w:rFonts w:eastAsia="Times New Roman" w:cs="Times New Roman"/>
          <w:lang w:eastAsia="en-AU"/>
        </w:rPr>
        <w:t xml:space="preserve"> of</w:t>
      </w:r>
      <w:r w:rsidR="001A00DD" w:rsidRPr="00102445">
        <w:rPr>
          <w:rFonts w:eastAsia="Times New Roman" w:cs="Times New Roman"/>
          <w:lang w:eastAsia="en-AU"/>
        </w:rPr>
        <w:t xml:space="preserve"> Part 3 </w:t>
      </w:r>
      <w:r w:rsidR="0091365E" w:rsidRPr="00102445">
        <w:rPr>
          <w:rFonts w:eastAsia="Times New Roman" w:cs="Times New Roman"/>
          <w:lang w:eastAsia="en-AU"/>
        </w:rPr>
        <w:t xml:space="preserve">are </w:t>
      </w:r>
      <w:r w:rsidR="00421513" w:rsidRPr="00102445">
        <w:rPr>
          <w:rFonts w:eastAsia="Times New Roman" w:cs="Times New Roman"/>
          <w:lang w:eastAsia="en-AU"/>
        </w:rPr>
        <w:t xml:space="preserve">made for the purposes of subsection 22XL(1) of the </w:t>
      </w:r>
      <w:r w:rsidR="007D11FC" w:rsidRPr="00102445">
        <w:rPr>
          <w:rFonts w:eastAsia="Times New Roman" w:cs="Times New Roman"/>
          <w:lang w:eastAsia="en-AU"/>
        </w:rPr>
        <w:t xml:space="preserve">NGER </w:t>
      </w:r>
      <w:r w:rsidR="00421513" w:rsidRPr="00102445">
        <w:rPr>
          <w:rFonts w:eastAsia="Times New Roman" w:cs="Times New Roman"/>
          <w:lang w:eastAsia="en-AU"/>
        </w:rPr>
        <w:t>Act</w:t>
      </w:r>
      <w:r w:rsidR="00FA410B" w:rsidRPr="00102445">
        <w:rPr>
          <w:rFonts w:eastAsia="Times New Roman" w:cs="Times New Roman"/>
          <w:lang w:eastAsia="en-AU"/>
        </w:rPr>
        <w:t>, which states that t</w:t>
      </w:r>
      <w:r w:rsidR="009C4698" w:rsidRPr="00102445">
        <w:t xml:space="preserve">he baseline emissions number for a facility for a financial year is the number ascertained in relation to the facility in accordance with the </w:t>
      </w:r>
      <w:r w:rsidR="00FA410B" w:rsidRPr="00102445">
        <w:t>S</w:t>
      </w:r>
      <w:r w:rsidR="009C4698" w:rsidRPr="00102445">
        <w:t xml:space="preserve">afeguard </w:t>
      </w:r>
      <w:r w:rsidR="00FA410B" w:rsidRPr="00102445">
        <w:t>R</w:t>
      </w:r>
      <w:r w:rsidR="009C4698" w:rsidRPr="00102445">
        <w:t>ules</w:t>
      </w:r>
      <w:r w:rsidR="00FA410B" w:rsidRPr="00102445">
        <w:t>.</w:t>
      </w:r>
      <w:r w:rsidR="0062170B" w:rsidRPr="00102445">
        <w:t xml:space="preserve"> Subsection 22XQ of the NGER Act is also relevant, and </w:t>
      </w:r>
      <w:r w:rsidR="006052F7" w:rsidRPr="00102445">
        <w:t>applies to determinations made</w:t>
      </w:r>
      <w:r w:rsidR="008E7762" w:rsidRPr="00102445">
        <w:t xml:space="preserve"> by the Regulator under the Safeguard Rules </w:t>
      </w:r>
      <w:r w:rsidR="00C70B7C" w:rsidRPr="00102445">
        <w:t>that relate to the ascertainment of the baseline emissions number for a facility for a financial year.</w:t>
      </w:r>
    </w:p>
    <w:p w14:paraId="549C9D3C" w14:textId="48CB819E" w:rsidR="004B62BF" w:rsidRPr="00102445" w:rsidRDefault="004B62BF"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Section 9 also states that the </w:t>
      </w:r>
      <w:r w:rsidR="000B13C4" w:rsidRPr="00102445">
        <w:rPr>
          <w:rFonts w:eastAsia="Times New Roman" w:cs="Times New Roman"/>
          <w:lang w:eastAsia="en-AU"/>
        </w:rPr>
        <w:t>baseline emissions number for a facility for</w:t>
      </w:r>
      <w:r w:rsidR="00102AB4" w:rsidRPr="00102445">
        <w:rPr>
          <w:rFonts w:eastAsia="Times New Roman" w:cs="Times New Roman"/>
          <w:lang w:eastAsia="en-AU"/>
        </w:rPr>
        <w:t xml:space="preserve"> a financial year is ascertained in relation to the </w:t>
      </w:r>
      <w:r w:rsidR="00BD364D" w:rsidRPr="00102445">
        <w:rPr>
          <w:rFonts w:eastAsia="Times New Roman" w:cs="Times New Roman"/>
          <w:lang w:eastAsia="en-AU"/>
        </w:rPr>
        <w:t xml:space="preserve">facility in accordance with </w:t>
      </w:r>
      <w:r w:rsidR="00341F1F" w:rsidRPr="00102445">
        <w:rPr>
          <w:rFonts w:eastAsia="Times New Roman" w:cs="Times New Roman"/>
          <w:lang w:eastAsia="en-AU"/>
        </w:rPr>
        <w:t>this Part.</w:t>
      </w:r>
      <w:r w:rsidR="00637ECB" w:rsidRPr="00102445">
        <w:rPr>
          <w:rFonts w:eastAsia="Times New Roman" w:cs="Times New Roman"/>
          <w:lang w:eastAsia="en-AU"/>
        </w:rPr>
        <w:t xml:space="preserve"> </w:t>
      </w:r>
    </w:p>
    <w:p w14:paraId="5AD8A02A" w14:textId="74BE4C7F" w:rsidR="0046684F" w:rsidRPr="00102445" w:rsidRDefault="004B62BF"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Section </w:t>
      </w:r>
      <w:r w:rsidR="00CB356D" w:rsidRPr="00102445">
        <w:rPr>
          <w:rFonts w:eastAsia="Times New Roman" w:cs="Times New Roman"/>
          <w:lang w:eastAsia="en-AU"/>
        </w:rPr>
        <w:t>10</w:t>
      </w:r>
      <w:r w:rsidRPr="00102445">
        <w:rPr>
          <w:rFonts w:eastAsia="Times New Roman" w:cs="Times New Roman"/>
          <w:lang w:eastAsia="en-AU"/>
        </w:rPr>
        <w:t xml:space="preserve"> states that i</w:t>
      </w:r>
      <w:r w:rsidR="00175626" w:rsidRPr="00102445">
        <w:rPr>
          <w:rFonts w:eastAsia="Times New Roman" w:cs="Times New Roman"/>
          <w:lang w:eastAsia="en-AU"/>
        </w:rPr>
        <w:t xml:space="preserve">f the </w:t>
      </w:r>
      <w:r w:rsidR="00A2226E" w:rsidRPr="00102445">
        <w:rPr>
          <w:rFonts w:eastAsia="Times New Roman" w:cs="Times New Roman"/>
          <w:lang w:eastAsia="en-AU"/>
        </w:rPr>
        <w:t xml:space="preserve">baseline emissions number for a facility for a financial year determined in accordance with </w:t>
      </w:r>
      <w:r w:rsidR="00EE2A77" w:rsidRPr="00102445">
        <w:rPr>
          <w:rFonts w:eastAsia="Times New Roman" w:cs="Times New Roman"/>
          <w:lang w:eastAsia="en-AU"/>
        </w:rPr>
        <w:t xml:space="preserve">Divisions 2 to 7 of </w:t>
      </w:r>
      <w:r w:rsidR="00A2226E" w:rsidRPr="00102445">
        <w:rPr>
          <w:rFonts w:eastAsia="Times New Roman" w:cs="Times New Roman"/>
          <w:lang w:eastAsia="en-AU"/>
        </w:rPr>
        <w:t>Part 3 is a number less than 100,000</w:t>
      </w:r>
      <w:r w:rsidR="00567222" w:rsidRPr="00102445">
        <w:rPr>
          <w:rFonts w:eastAsia="Times New Roman" w:cs="Times New Roman"/>
          <w:lang w:eastAsia="en-AU"/>
        </w:rPr>
        <w:t>, the baseline emissions number for the facility for the financial year is 100,000.</w:t>
      </w:r>
      <w:r w:rsidR="00EE2A77" w:rsidRPr="00102445">
        <w:rPr>
          <w:rFonts w:eastAsia="Times New Roman" w:cs="Times New Roman"/>
          <w:lang w:eastAsia="en-AU"/>
        </w:rPr>
        <w:t xml:space="preserve"> However, this is not the case </w:t>
      </w:r>
      <w:r w:rsidR="007B10ED" w:rsidRPr="00102445">
        <w:rPr>
          <w:rFonts w:eastAsia="Times New Roman" w:cs="Times New Roman"/>
          <w:lang w:eastAsia="en-AU"/>
        </w:rPr>
        <w:t xml:space="preserve">if the number is </w:t>
      </w:r>
      <w:r w:rsidR="007B10ED" w:rsidRPr="00102445">
        <w:t>less than 100,000 merely because of a borrowing adjustment for the facility for the financial year</w:t>
      </w:r>
      <w:r w:rsidR="007B10ED" w:rsidRPr="00102445">
        <w:rPr>
          <w:rFonts w:eastAsia="Times New Roman" w:cs="Times New Roman"/>
          <w:lang w:eastAsia="en-AU"/>
        </w:rPr>
        <w:t>.</w:t>
      </w:r>
    </w:p>
    <w:p w14:paraId="0A078E96" w14:textId="1252D0B4" w:rsidR="00FA0C43" w:rsidRPr="00102445" w:rsidRDefault="009E6245"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In addition,</w:t>
      </w:r>
      <w:r w:rsidR="00D0515E" w:rsidRPr="00102445">
        <w:rPr>
          <w:rFonts w:eastAsia="Times New Roman" w:cs="Times New Roman"/>
          <w:lang w:eastAsia="en-AU"/>
        </w:rPr>
        <w:t xml:space="preserve"> the </w:t>
      </w:r>
      <w:r w:rsidR="001C657D" w:rsidRPr="00102445">
        <w:t>baseline emissions number for a shale gas extraction facility for a financial year is zero</w:t>
      </w:r>
      <w:r w:rsidR="00FA0C43" w:rsidRPr="00102445">
        <w:t>.</w:t>
      </w:r>
      <w:r w:rsidR="001C657D" w:rsidRPr="00102445">
        <w:t xml:space="preserve"> </w:t>
      </w:r>
    </w:p>
    <w:p w14:paraId="6C6FBB39" w14:textId="3D595759" w:rsidR="00F5143E" w:rsidRPr="00102445" w:rsidRDefault="008A7523"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lastRenderedPageBreak/>
        <w:t>Aligned with Australia’s commitment of net zero by 2050, t</w:t>
      </w:r>
      <w:r w:rsidR="001C657D" w:rsidRPr="00102445">
        <w:t xml:space="preserve">he </w:t>
      </w:r>
      <w:r w:rsidR="003456BE" w:rsidRPr="00102445">
        <w:t>baseline emissions number for a facility for a financial year that begins after 30 June 2049 is zero.</w:t>
      </w:r>
    </w:p>
    <w:p w14:paraId="0231CAFC" w14:textId="4ACD090E" w:rsidR="003B7885" w:rsidRPr="00102445" w:rsidRDefault="003B7885" w:rsidP="007D11FC">
      <w:pPr>
        <w:pStyle w:val="Heading5"/>
      </w:pPr>
      <w:r w:rsidRPr="00102445">
        <w:t>Division 2 – Existing facilities</w:t>
      </w:r>
    </w:p>
    <w:p w14:paraId="36E13860" w14:textId="7D14F513" w:rsidR="003B7885" w:rsidRPr="00102445" w:rsidRDefault="003B7885" w:rsidP="009025A7">
      <w:pPr>
        <w:pStyle w:val="Heading6"/>
      </w:pPr>
      <w:r w:rsidRPr="00102445">
        <w:t>Subdivision A – Baseline emissions number for existing facility</w:t>
      </w:r>
    </w:p>
    <w:p w14:paraId="280ADD2E" w14:textId="13AEF712" w:rsidR="003B7885" w:rsidRPr="00102445" w:rsidRDefault="00675745" w:rsidP="00591A9C">
      <w:pPr>
        <w:pStyle w:val="ListParagraph"/>
        <w:numPr>
          <w:ilvl w:val="0"/>
          <w:numId w:val="2"/>
        </w:numPr>
        <w:shd w:val="clear" w:color="auto" w:fill="FFFFFF" w:themeFill="background1"/>
        <w:spacing w:line="240" w:lineRule="auto"/>
        <w:contextualSpacing w:val="0"/>
        <w:rPr>
          <w:b/>
          <w:lang w:eastAsia="en-AU"/>
        </w:rPr>
      </w:pPr>
      <w:r w:rsidRPr="00102445">
        <w:rPr>
          <w:lang w:eastAsia="en-AU"/>
        </w:rPr>
        <w:t xml:space="preserve">Section </w:t>
      </w:r>
      <w:r w:rsidR="00B62898" w:rsidRPr="00102445">
        <w:rPr>
          <w:lang w:eastAsia="en-AU"/>
        </w:rPr>
        <w:t>11</w:t>
      </w:r>
      <w:r w:rsidRPr="00102445">
        <w:rPr>
          <w:lang w:eastAsia="en-AU"/>
        </w:rPr>
        <w:t xml:space="preserve"> p</w:t>
      </w:r>
      <w:r w:rsidR="005639CF" w:rsidRPr="00102445">
        <w:rPr>
          <w:lang w:eastAsia="en-AU"/>
        </w:rPr>
        <w:t xml:space="preserve">rovides the formula for </w:t>
      </w:r>
      <w:r w:rsidR="00816C4A" w:rsidRPr="00102445">
        <w:rPr>
          <w:lang w:eastAsia="en-AU"/>
        </w:rPr>
        <w:t xml:space="preserve">determining a baseline emissions number, </w:t>
      </w:r>
      <w:r w:rsidR="00816C4A" w:rsidRPr="00102445">
        <w:t>in t</w:t>
      </w:r>
      <w:r w:rsidR="00A3366C" w:rsidRPr="00102445">
        <w:t> </w:t>
      </w:r>
      <w:r w:rsidR="00816C4A" w:rsidRPr="00102445">
        <w:t>CO</w:t>
      </w:r>
      <w:r w:rsidR="00816C4A" w:rsidRPr="00102445">
        <w:rPr>
          <w:vertAlign w:val="subscript"/>
        </w:rPr>
        <w:t>2</w:t>
      </w:r>
      <w:r w:rsidR="002A5D35" w:rsidRPr="00102445">
        <w:noBreakHyphen/>
      </w:r>
      <w:r w:rsidR="00816C4A" w:rsidRPr="00102445">
        <w:t>e, for an existing facility, other than a landfill facility, for a financial year</w:t>
      </w:r>
      <w:r w:rsidR="007379CC" w:rsidRPr="00102445">
        <w:t>, rounded to the nearest whole number.</w:t>
      </w:r>
    </w:p>
    <w:p w14:paraId="7CA49D36" w14:textId="3EC51364" w:rsidR="008A03E8" w:rsidRPr="00102445" w:rsidRDefault="0079610C" w:rsidP="00591A9C">
      <w:pPr>
        <w:pStyle w:val="ListParagraph"/>
        <w:numPr>
          <w:ilvl w:val="0"/>
          <w:numId w:val="2"/>
        </w:numPr>
        <w:shd w:val="clear" w:color="auto" w:fill="FFFFFF" w:themeFill="background1"/>
        <w:spacing w:line="240" w:lineRule="auto"/>
        <w:contextualSpacing w:val="0"/>
        <w:rPr>
          <w:lang w:eastAsia="en-AU"/>
        </w:rPr>
      </w:pPr>
      <w:bookmarkStart w:id="7" w:name="_Ref132573475"/>
      <w:r w:rsidRPr="00102445">
        <w:rPr>
          <w:lang w:eastAsia="en-AU"/>
        </w:rPr>
        <w:t>Baselines will</w:t>
      </w:r>
      <w:r w:rsidR="00481B2A" w:rsidRPr="00102445">
        <w:rPr>
          <w:bCs/>
          <w:lang w:eastAsia="en-AU"/>
        </w:rPr>
        <w:t xml:space="preserve"> be set using a production </w:t>
      </w:r>
      <w:r w:rsidR="008E0CA2" w:rsidRPr="00102445">
        <w:rPr>
          <w:bCs/>
          <w:lang w:eastAsia="en-AU"/>
        </w:rPr>
        <w:t>adjusted framework</w:t>
      </w:r>
      <w:r w:rsidR="004E6AF1" w:rsidRPr="00102445">
        <w:rPr>
          <w:bCs/>
          <w:lang w:eastAsia="en-AU"/>
        </w:rPr>
        <w:t>. This will encourage covered facilities to reduce</w:t>
      </w:r>
      <w:r w:rsidR="0026117D" w:rsidRPr="00102445">
        <w:rPr>
          <w:bCs/>
          <w:lang w:eastAsia="en-AU"/>
        </w:rPr>
        <w:t xml:space="preserve"> the emissions intensity of their production. </w:t>
      </w:r>
      <w:r w:rsidR="005845A3" w:rsidRPr="00102445">
        <w:rPr>
          <w:bCs/>
          <w:lang w:eastAsia="en-AU"/>
        </w:rPr>
        <w:t xml:space="preserve">For each </w:t>
      </w:r>
      <w:r w:rsidR="002477DF" w:rsidRPr="00102445">
        <w:rPr>
          <w:bCs/>
          <w:lang w:eastAsia="en-AU"/>
        </w:rPr>
        <w:t xml:space="preserve">production variable </w:t>
      </w:r>
      <w:r w:rsidR="00C9304C" w:rsidRPr="00102445">
        <w:rPr>
          <w:bCs/>
          <w:lang w:eastAsia="en-AU"/>
        </w:rPr>
        <w:t>for a facility</w:t>
      </w:r>
      <w:r w:rsidR="00AF7780" w:rsidRPr="00102445">
        <w:rPr>
          <w:bCs/>
          <w:lang w:eastAsia="en-AU"/>
        </w:rPr>
        <w:t xml:space="preserve"> and a financial year</w:t>
      </w:r>
      <w:r w:rsidR="00C9304C" w:rsidRPr="00102445">
        <w:rPr>
          <w:bCs/>
          <w:lang w:eastAsia="en-AU"/>
        </w:rPr>
        <w:t xml:space="preserve">, a component of its baseline </w:t>
      </w:r>
      <w:r w:rsidR="004D55DD" w:rsidRPr="00102445">
        <w:rPr>
          <w:bCs/>
          <w:lang w:eastAsia="en-AU"/>
        </w:rPr>
        <w:t xml:space="preserve">will be set by </w:t>
      </w:r>
      <w:r w:rsidR="00AF7780" w:rsidRPr="00102445">
        <w:t xml:space="preserve">the </w:t>
      </w:r>
      <w:r w:rsidR="00094411" w:rsidRPr="00102445">
        <w:t xml:space="preserve">multiplying the </w:t>
      </w:r>
      <w:r w:rsidR="00AF7780" w:rsidRPr="00102445">
        <w:t xml:space="preserve">quantity of the production variable for the facility </w:t>
      </w:r>
      <w:r w:rsidR="00094411" w:rsidRPr="00102445">
        <w:t xml:space="preserve">by an emissions intensity and by </w:t>
      </w:r>
      <w:r w:rsidR="00F23038" w:rsidRPr="00102445">
        <w:t xml:space="preserve">the ‘emissions reduction contribution’ for the financial year. </w:t>
      </w:r>
      <w:r w:rsidR="000A30E1" w:rsidRPr="00102445">
        <w:t>Production variables are specified</w:t>
      </w:r>
      <w:r w:rsidR="00041739" w:rsidRPr="00102445">
        <w:t xml:space="preserve"> in Schedule 1 of the amended Safeguard Rules </w:t>
      </w:r>
      <w:r w:rsidR="00EA42F7" w:rsidRPr="00102445">
        <w:t xml:space="preserve">and have been developed in consultation with industry </w:t>
      </w:r>
      <w:r w:rsidR="00C17DD5" w:rsidRPr="00102445">
        <w:t xml:space="preserve">using </w:t>
      </w:r>
      <w:r w:rsidR="000C4808" w:rsidRPr="00102445">
        <w:t>the principles that they should be effective, consistent, practical and robust.</w:t>
      </w:r>
      <w:r w:rsidR="00C17DD5" w:rsidRPr="00102445">
        <w:t xml:space="preserve"> The emissions reduction contribution is a multiplier that </w:t>
      </w:r>
      <w:r w:rsidR="00210311" w:rsidRPr="00102445">
        <w:t>implements baseline decline.</w:t>
      </w:r>
      <w:bookmarkEnd w:id="7"/>
    </w:p>
    <w:p w14:paraId="5695D018" w14:textId="79EC47C8" w:rsidR="00070954" w:rsidRPr="00102445" w:rsidRDefault="00070954" w:rsidP="00591A9C">
      <w:pPr>
        <w:pStyle w:val="ListParagraph"/>
        <w:numPr>
          <w:ilvl w:val="0"/>
          <w:numId w:val="2"/>
        </w:numPr>
        <w:shd w:val="clear" w:color="auto" w:fill="FFFFFF" w:themeFill="background1"/>
        <w:spacing w:line="240" w:lineRule="auto"/>
        <w:contextualSpacing w:val="0"/>
        <w:rPr>
          <w:lang w:eastAsia="en-AU"/>
        </w:rPr>
      </w:pPr>
      <w:r w:rsidRPr="00102445">
        <w:t xml:space="preserve">Subsection </w:t>
      </w:r>
      <w:r w:rsidR="00ED10F5" w:rsidRPr="00102445">
        <w:t xml:space="preserve">22XL(1) </w:t>
      </w:r>
      <w:r w:rsidR="00D751B3" w:rsidRPr="00102445">
        <w:t xml:space="preserve">of the NGER Act </w:t>
      </w:r>
      <w:r w:rsidR="00ED10F5" w:rsidRPr="00102445">
        <w:t>provides for the Safeguard Rules to specify the baseline emissions number for a facility for a financial year</w:t>
      </w:r>
      <w:r w:rsidR="00D751B3" w:rsidRPr="00102445">
        <w:t xml:space="preserve">, and the NGER Act provides for </w:t>
      </w:r>
      <w:r w:rsidR="00390629" w:rsidRPr="00102445">
        <w:t xml:space="preserve">other periods. If a facility changes operational control during a financial year, </w:t>
      </w:r>
      <w:r w:rsidR="00D510F0" w:rsidRPr="00102445">
        <w:t xml:space="preserve">the production quantities in this formula </w:t>
      </w:r>
      <w:r w:rsidR="00D94156" w:rsidRPr="00102445">
        <w:t>will be based on the total production (from all responsible emitters) for the financial year</w:t>
      </w:r>
      <w:r w:rsidR="00171BC8" w:rsidRPr="00102445">
        <w:t xml:space="preserve">, and the formula </w:t>
      </w:r>
      <w:r w:rsidR="00AA6E02" w:rsidRPr="00102445">
        <w:t>will provide the baseline emissions number for a facility for a financial year. For each responsible emitter, their baseline emissions number will reflect the number of days they have operational control, as per subsection 22XL(2) of the NGER Act.</w:t>
      </w:r>
    </w:p>
    <w:p w14:paraId="0F4952CB" w14:textId="77777777" w:rsidR="00355EB5" w:rsidRPr="00102445" w:rsidRDefault="00286115" w:rsidP="00591A9C">
      <w:pPr>
        <w:pStyle w:val="ListParagraph"/>
        <w:numPr>
          <w:ilvl w:val="0"/>
          <w:numId w:val="2"/>
        </w:numPr>
        <w:shd w:val="clear" w:color="auto" w:fill="FFFFFF" w:themeFill="background1"/>
        <w:spacing w:line="240" w:lineRule="auto"/>
        <w:contextualSpacing w:val="0"/>
        <w:rPr>
          <w:lang w:eastAsia="en-AU"/>
        </w:rPr>
      </w:pPr>
      <w:bookmarkStart w:id="8" w:name="_Ref133004528"/>
      <w:r w:rsidRPr="00102445">
        <w:rPr>
          <w:bCs/>
          <w:lang w:eastAsia="en-AU"/>
        </w:rPr>
        <w:t xml:space="preserve">Emissions intensities are set using a </w:t>
      </w:r>
      <w:r w:rsidR="00D853A5" w:rsidRPr="00102445">
        <w:rPr>
          <w:bCs/>
          <w:lang w:eastAsia="en-AU"/>
        </w:rPr>
        <w:t>hybrid model initially weighted towards the use of site-specific emissions intensity values and transitioning to industry average emissions intensity values by 2030.</w:t>
      </w:r>
      <w:r w:rsidR="00BE3BA2" w:rsidRPr="00102445">
        <w:rPr>
          <w:bCs/>
          <w:lang w:eastAsia="en-AU"/>
        </w:rPr>
        <w:t xml:space="preserve"> In August 2022 the Government </w:t>
      </w:r>
      <w:r w:rsidR="00BE38F3" w:rsidRPr="00102445">
        <w:rPr>
          <w:bCs/>
          <w:lang w:eastAsia="en-AU"/>
        </w:rPr>
        <w:t xml:space="preserve">sought feedback </w:t>
      </w:r>
      <w:r w:rsidR="00761717" w:rsidRPr="00102445">
        <w:rPr>
          <w:bCs/>
          <w:lang w:eastAsia="en-AU"/>
        </w:rPr>
        <w:t xml:space="preserve">on two options </w:t>
      </w:r>
      <w:r w:rsidR="00BE38F3" w:rsidRPr="00102445">
        <w:rPr>
          <w:bCs/>
          <w:lang w:eastAsia="en-AU"/>
        </w:rPr>
        <w:t>for setting emissions intensities for existing facilities</w:t>
      </w:r>
      <w:r w:rsidR="000076D2" w:rsidRPr="00102445">
        <w:rPr>
          <w:bCs/>
          <w:lang w:eastAsia="en-AU"/>
        </w:rPr>
        <w:t xml:space="preserve">, noting that hybrid </w:t>
      </w:r>
      <w:r w:rsidR="006B7F96" w:rsidRPr="00102445">
        <w:rPr>
          <w:bCs/>
          <w:lang w:eastAsia="en-AU"/>
        </w:rPr>
        <w:t xml:space="preserve">approaches could also be considered. </w:t>
      </w:r>
      <w:r w:rsidR="00A00C9F" w:rsidRPr="00102445">
        <w:rPr>
          <w:bCs/>
          <w:lang w:eastAsia="en-AU"/>
        </w:rPr>
        <w:t xml:space="preserve">Option 1 was based on all baselines being set </w:t>
      </w:r>
      <w:r w:rsidR="00CC4A16" w:rsidRPr="00102445">
        <w:t xml:space="preserve">using industry-average benchmark values and Option 2 was based on </w:t>
      </w:r>
      <w:r w:rsidR="00BA3750" w:rsidRPr="00102445">
        <w:t>all baselines set using facility-specific emissions-intensity values.</w:t>
      </w:r>
      <w:r w:rsidR="006D6704" w:rsidRPr="00102445">
        <w:t xml:space="preserve"> </w:t>
      </w:r>
      <w:r w:rsidR="008A1DFF" w:rsidRPr="00102445">
        <w:t xml:space="preserve">The hybrid approach </w:t>
      </w:r>
      <w:r w:rsidR="00994F46" w:rsidRPr="00102445">
        <w:t xml:space="preserve">balances the diverse views </w:t>
      </w:r>
      <w:r w:rsidR="00D56949" w:rsidRPr="00102445">
        <w:t xml:space="preserve">that were revealed in this consultation process. </w:t>
      </w:r>
      <w:r w:rsidR="004E5B31" w:rsidRPr="00102445">
        <w:t xml:space="preserve">It </w:t>
      </w:r>
      <w:r w:rsidR="005021F7" w:rsidRPr="00102445">
        <w:t>ensures long term policy settings are efficient—making use of all available abatement opportunities—while introducing obligations in manageable increments, giving businesses sufficient time to plan and implement emissions reduction projects.</w:t>
      </w:r>
      <w:bookmarkEnd w:id="8"/>
    </w:p>
    <w:p w14:paraId="193671D7" w14:textId="55ACCE27" w:rsidR="00210311" w:rsidRPr="00102445" w:rsidRDefault="00594C0A" w:rsidP="00591A9C">
      <w:pPr>
        <w:pStyle w:val="ListParagraph"/>
        <w:numPr>
          <w:ilvl w:val="0"/>
          <w:numId w:val="2"/>
        </w:numPr>
        <w:shd w:val="clear" w:color="auto" w:fill="FFFFFF" w:themeFill="background1"/>
        <w:spacing w:line="240" w:lineRule="auto"/>
        <w:contextualSpacing w:val="0"/>
        <w:rPr>
          <w:lang w:eastAsia="en-AU"/>
        </w:rPr>
      </w:pPr>
      <w:r w:rsidRPr="00102445">
        <w:t xml:space="preserve">The transition </w:t>
      </w:r>
      <w:r w:rsidR="00D101AA" w:rsidRPr="00102445">
        <w:t>is implemented in this formula using a number called the transition proportion</w:t>
      </w:r>
      <w:r w:rsidR="002D0CD9" w:rsidRPr="00102445">
        <w:t xml:space="preserve">, </w:t>
      </w:r>
      <w:r w:rsidR="002D0CD9" w:rsidRPr="00102445">
        <w:rPr>
          <w:i/>
          <w:iCs/>
        </w:rPr>
        <w:t>h</w:t>
      </w:r>
      <w:r w:rsidR="002D0CD9" w:rsidRPr="00102445">
        <w:t>,</w:t>
      </w:r>
      <w:r w:rsidR="00D101AA" w:rsidRPr="00102445">
        <w:t xml:space="preserve"> for the financial year</w:t>
      </w:r>
      <w:r w:rsidR="00D9100F" w:rsidRPr="00102445">
        <w:t xml:space="preserve">, with the value for this number specified in a table in </w:t>
      </w:r>
      <w:r w:rsidR="00731FFD" w:rsidRPr="00102445">
        <w:t>new s</w:t>
      </w:r>
      <w:r w:rsidR="00D9100F" w:rsidRPr="00102445">
        <w:t xml:space="preserve">ection </w:t>
      </w:r>
      <w:r w:rsidR="00B50F11" w:rsidRPr="00102445">
        <w:t>13</w:t>
      </w:r>
      <w:r w:rsidR="00D101AA" w:rsidRPr="00102445">
        <w:t>.</w:t>
      </w:r>
      <w:r w:rsidR="002D0CD9" w:rsidRPr="00102445">
        <w:t xml:space="preserve"> </w:t>
      </w:r>
      <w:r w:rsidR="008C4BD7" w:rsidRPr="00102445">
        <w:t xml:space="preserve">The transition proportion </w:t>
      </w:r>
      <w:r w:rsidR="008C4BD7" w:rsidRPr="00102445">
        <w:rPr>
          <w:i/>
          <w:iCs/>
        </w:rPr>
        <w:t>h</w:t>
      </w:r>
      <w:r w:rsidR="008C4BD7" w:rsidRPr="00102445">
        <w:t xml:space="preserve"> starts at 0.1 for the financial year beginning </w:t>
      </w:r>
      <w:r w:rsidR="0023582A" w:rsidRPr="00102445">
        <w:t xml:space="preserve">on 1 July 2023 and steadily increases to 1 for the financial year beginning on 1 July 2029. </w:t>
      </w:r>
      <w:r w:rsidR="002D0CD9" w:rsidRPr="00102445">
        <w:t xml:space="preserve">The emissions intensity </w:t>
      </w:r>
      <w:r w:rsidR="00460E3F" w:rsidRPr="00102445">
        <w:t>that is multipl</w:t>
      </w:r>
      <w:r w:rsidR="007C1F08" w:rsidRPr="00102445">
        <w:t>i</w:t>
      </w:r>
      <w:r w:rsidR="00460E3F" w:rsidRPr="00102445">
        <w:t xml:space="preserve">ed </w:t>
      </w:r>
      <w:r w:rsidR="007C1F08" w:rsidRPr="00102445">
        <w:t>by the quantity of the production variable for the facility and</w:t>
      </w:r>
      <w:r w:rsidR="002D0CD9" w:rsidRPr="00102445">
        <w:t xml:space="preserve"> </w:t>
      </w:r>
      <w:r w:rsidR="00806AF1" w:rsidRPr="00102445">
        <w:t>emissions reduction contribution is calculated by</w:t>
      </w:r>
      <w:r w:rsidR="00A70315" w:rsidRPr="00102445">
        <w:t xml:space="preserve"> multiplying</w:t>
      </w:r>
      <w:r w:rsidR="00806AF1" w:rsidRPr="00102445">
        <w:t xml:space="preserve"> </w:t>
      </w:r>
      <w:r w:rsidR="00A70315" w:rsidRPr="00102445">
        <w:rPr>
          <w:i/>
          <w:iCs/>
        </w:rPr>
        <w:t xml:space="preserve">h </w:t>
      </w:r>
      <w:r w:rsidR="00A70315" w:rsidRPr="00102445">
        <w:t xml:space="preserve">by </w:t>
      </w:r>
      <w:r w:rsidR="008D3F6C" w:rsidRPr="00102445">
        <w:t xml:space="preserve">the </w:t>
      </w:r>
      <w:r w:rsidR="008A33F3" w:rsidRPr="00102445">
        <w:t xml:space="preserve">default emissions intensity number of the production variable and adding </w:t>
      </w:r>
      <w:r w:rsidR="00970DD3" w:rsidRPr="00102445">
        <w:t xml:space="preserve">the result </w:t>
      </w:r>
      <w:r w:rsidR="008A33F3" w:rsidRPr="00102445">
        <w:t xml:space="preserve">to </w:t>
      </w:r>
      <w:r w:rsidR="00A70315" w:rsidRPr="00102445">
        <w:t xml:space="preserve">(1 – </w:t>
      </w:r>
      <w:r w:rsidR="00A70315" w:rsidRPr="00102445">
        <w:rPr>
          <w:i/>
          <w:iCs/>
        </w:rPr>
        <w:t>h</w:t>
      </w:r>
      <w:r w:rsidR="00A70315" w:rsidRPr="00102445">
        <w:t xml:space="preserve">) multiplied </w:t>
      </w:r>
      <w:r w:rsidR="00B05388" w:rsidRPr="00102445">
        <w:t>by</w:t>
      </w:r>
      <w:r w:rsidR="00B6167E" w:rsidRPr="00102445">
        <w:t xml:space="preserve"> the</w:t>
      </w:r>
      <w:r w:rsidR="00B05388" w:rsidRPr="00102445">
        <w:t xml:space="preserve"> </w:t>
      </w:r>
      <w:r w:rsidR="00705951" w:rsidRPr="00102445">
        <w:t>facility</w:t>
      </w:r>
      <w:r w:rsidR="00705951" w:rsidRPr="00102445">
        <w:noBreakHyphen/>
        <w:t xml:space="preserve">specific emissions intensity number </w:t>
      </w:r>
      <w:r w:rsidR="00B6167E" w:rsidRPr="00102445">
        <w:t>for</w:t>
      </w:r>
      <w:r w:rsidR="00705951" w:rsidRPr="00102445">
        <w:t xml:space="preserve"> the production variable.</w:t>
      </w:r>
      <w:r w:rsidR="00A0512E" w:rsidRPr="00102445">
        <w:t xml:space="preserve"> Default emissions intensity </w:t>
      </w:r>
      <w:r w:rsidR="00C936E3" w:rsidRPr="00102445">
        <w:t>numbers for production variable</w:t>
      </w:r>
      <w:r w:rsidR="00D81A04" w:rsidRPr="00102445">
        <w:t>s</w:t>
      </w:r>
      <w:r w:rsidR="00C936E3" w:rsidRPr="00102445">
        <w:t xml:space="preserve"> </w:t>
      </w:r>
      <w:r w:rsidR="00245ACE" w:rsidRPr="00102445">
        <w:t>correspond to indu</w:t>
      </w:r>
      <w:r w:rsidR="00EB49FB" w:rsidRPr="00102445">
        <w:t xml:space="preserve">stry averages and </w:t>
      </w:r>
      <w:r w:rsidR="00C936E3" w:rsidRPr="00102445">
        <w:t>are specified in Schedule 1 of the amended Safeguard Rules.</w:t>
      </w:r>
    </w:p>
    <w:p w14:paraId="12A14A69" w14:textId="2B107C3E" w:rsidR="0069726B" w:rsidRPr="00102445" w:rsidRDefault="00850B59" w:rsidP="00591A9C">
      <w:pPr>
        <w:pStyle w:val="ListParagraph"/>
        <w:numPr>
          <w:ilvl w:val="0"/>
          <w:numId w:val="2"/>
        </w:numPr>
        <w:shd w:val="clear" w:color="auto" w:fill="FFFFFF" w:themeFill="background1"/>
        <w:spacing w:line="240" w:lineRule="auto"/>
        <w:contextualSpacing w:val="0"/>
        <w:rPr>
          <w:bCs/>
          <w:lang w:eastAsia="en-AU"/>
        </w:rPr>
      </w:pPr>
      <w:r w:rsidRPr="00102445">
        <w:rPr>
          <w:bCs/>
          <w:lang w:eastAsia="en-AU"/>
        </w:rPr>
        <w:lastRenderedPageBreak/>
        <w:t xml:space="preserve">The facility-specific emissions intensity </w:t>
      </w:r>
      <w:r w:rsidR="00032054" w:rsidRPr="00102445">
        <w:rPr>
          <w:bCs/>
          <w:lang w:eastAsia="en-AU"/>
        </w:rPr>
        <w:t>number</w:t>
      </w:r>
      <w:r w:rsidR="00C026A6" w:rsidRPr="00102445">
        <w:rPr>
          <w:bCs/>
          <w:lang w:eastAsia="en-AU"/>
        </w:rPr>
        <w:t xml:space="preserve"> is specified </w:t>
      </w:r>
      <w:r w:rsidR="00026AA7" w:rsidRPr="00102445">
        <w:rPr>
          <w:bCs/>
          <w:lang w:eastAsia="en-AU"/>
        </w:rPr>
        <w:t>in</w:t>
      </w:r>
      <w:r w:rsidR="00032054" w:rsidRPr="00102445">
        <w:rPr>
          <w:bCs/>
          <w:lang w:eastAsia="en-AU"/>
        </w:rPr>
        <w:t xml:space="preserve"> an emissions intensity determination. </w:t>
      </w:r>
      <w:r w:rsidR="00026AA7" w:rsidRPr="00102445">
        <w:rPr>
          <w:bCs/>
          <w:lang w:eastAsia="en-AU"/>
        </w:rPr>
        <w:t xml:space="preserve">Emissions intensity </w:t>
      </w:r>
      <w:r w:rsidR="00C0390A" w:rsidRPr="00102445">
        <w:rPr>
          <w:bCs/>
          <w:lang w:eastAsia="en-AU"/>
        </w:rPr>
        <w:t>determinations are provided for in Subdivision C</w:t>
      </w:r>
      <w:r w:rsidR="00043032" w:rsidRPr="00102445">
        <w:rPr>
          <w:bCs/>
          <w:lang w:eastAsia="en-AU"/>
        </w:rPr>
        <w:t>. The due date for emissions intensity determ</w:t>
      </w:r>
      <w:r w:rsidR="00AB0D16" w:rsidRPr="00102445">
        <w:rPr>
          <w:bCs/>
          <w:lang w:eastAsia="en-AU"/>
        </w:rPr>
        <w:t>ination</w:t>
      </w:r>
      <w:r w:rsidR="00172D7B" w:rsidRPr="00102445">
        <w:rPr>
          <w:bCs/>
          <w:lang w:eastAsia="en-AU"/>
        </w:rPr>
        <w:t xml:space="preserve"> applications</w:t>
      </w:r>
      <w:r w:rsidR="00AB0D16" w:rsidRPr="00102445">
        <w:rPr>
          <w:bCs/>
          <w:lang w:eastAsia="en-AU"/>
        </w:rPr>
        <w:t xml:space="preserve"> </w:t>
      </w:r>
      <w:r w:rsidR="005565D0" w:rsidRPr="00102445">
        <w:rPr>
          <w:bCs/>
          <w:lang w:eastAsia="en-AU"/>
        </w:rPr>
        <w:t>relevant</w:t>
      </w:r>
      <w:r w:rsidR="00AB0D16" w:rsidRPr="00102445">
        <w:rPr>
          <w:bCs/>
          <w:lang w:eastAsia="en-AU"/>
        </w:rPr>
        <w:t xml:space="preserve"> to the financial year </w:t>
      </w:r>
      <w:r w:rsidR="00172D7B" w:rsidRPr="00102445">
        <w:t>beginning on 1 July 2023 is 30 April 2024.</w:t>
      </w:r>
      <w:r w:rsidR="005565D0" w:rsidRPr="00102445">
        <w:t xml:space="preserve"> </w:t>
      </w:r>
      <w:r w:rsidR="0090636C" w:rsidRPr="00102445">
        <w:t xml:space="preserve">Facility-specific </w:t>
      </w:r>
      <w:r w:rsidR="0090636C" w:rsidRPr="00102445">
        <w:rPr>
          <w:bCs/>
          <w:lang w:eastAsia="en-AU"/>
        </w:rPr>
        <w:t>emissions intensity numbers are calculated using the facilit</w:t>
      </w:r>
      <w:r w:rsidR="00CB30D9" w:rsidRPr="00102445">
        <w:rPr>
          <w:bCs/>
          <w:lang w:eastAsia="en-AU"/>
        </w:rPr>
        <w:t>y’</w:t>
      </w:r>
      <w:r w:rsidR="0090636C" w:rsidRPr="00102445">
        <w:rPr>
          <w:bCs/>
          <w:lang w:eastAsia="en-AU"/>
        </w:rPr>
        <w:t>s emissions and production</w:t>
      </w:r>
      <w:r w:rsidR="000F0F5C" w:rsidRPr="00102445">
        <w:rPr>
          <w:bCs/>
          <w:lang w:eastAsia="en-AU"/>
        </w:rPr>
        <w:t xml:space="preserve"> over the </w:t>
      </w:r>
      <w:r w:rsidR="000F228C" w:rsidRPr="00102445">
        <w:rPr>
          <w:bCs/>
          <w:lang w:eastAsia="en-AU"/>
        </w:rPr>
        <w:t xml:space="preserve">5-year </w:t>
      </w:r>
      <w:r w:rsidR="000F0F5C" w:rsidRPr="00102445">
        <w:rPr>
          <w:bCs/>
          <w:lang w:eastAsia="en-AU"/>
        </w:rPr>
        <w:t>perio</w:t>
      </w:r>
      <w:r w:rsidR="00D9179B" w:rsidRPr="00102445">
        <w:rPr>
          <w:bCs/>
          <w:lang w:eastAsia="en-AU"/>
        </w:rPr>
        <w:t xml:space="preserve">d that corresponds to </w:t>
      </w:r>
      <w:r w:rsidR="00D9179B" w:rsidRPr="00102445">
        <w:rPr>
          <w:i/>
          <w:lang w:eastAsia="en-AU"/>
        </w:rPr>
        <w:t>‘historical financial years’</w:t>
      </w:r>
      <w:r w:rsidR="000F228C" w:rsidRPr="00102445">
        <w:rPr>
          <w:bCs/>
          <w:lang w:eastAsia="en-AU"/>
        </w:rPr>
        <w:t>. This period starts on 1 July 2017 and ends on 30 June 20</w:t>
      </w:r>
      <w:r w:rsidR="0053455D" w:rsidRPr="00102445">
        <w:rPr>
          <w:bCs/>
          <w:lang w:eastAsia="en-AU"/>
        </w:rPr>
        <w:t>22.</w:t>
      </w:r>
      <w:r w:rsidR="006B7204" w:rsidRPr="00102445">
        <w:rPr>
          <w:bCs/>
          <w:lang w:eastAsia="en-AU"/>
        </w:rPr>
        <w:t xml:space="preserve"> </w:t>
      </w:r>
      <w:r w:rsidR="000F7566" w:rsidRPr="00102445">
        <w:rPr>
          <w:bCs/>
          <w:lang w:eastAsia="en-AU"/>
        </w:rPr>
        <w:t>As is set out in subsection</w:t>
      </w:r>
      <w:r w:rsidR="00900B82" w:rsidRPr="00102445">
        <w:rPr>
          <w:bCs/>
          <w:lang w:eastAsia="en-AU"/>
        </w:rPr>
        <w:t xml:space="preserve">s </w:t>
      </w:r>
      <w:r w:rsidR="00EF08B3" w:rsidRPr="00102445">
        <w:rPr>
          <w:bCs/>
          <w:lang w:eastAsia="en-AU"/>
        </w:rPr>
        <w:t>12</w:t>
      </w:r>
      <w:r w:rsidR="00900B82" w:rsidRPr="00102445">
        <w:rPr>
          <w:bCs/>
          <w:lang w:eastAsia="en-AU"/>
        </w:rPr>
        <w:t>(4) and</w:t>
      </w:r>
      <w:r w:rsidR="000F7566" w:rsidRPr="00102445">
        <w:rPr>
          <w:bCs/>
          <w:lang w:eastAsia="en-AU"/>
        </w:rPr>
        <w:t xml:space="preserve"> </w:t>
      </w:r>
      <w:r w:rsidR="00541D37" w:rsidRPr="00102445">
        <w:rPr>
          <w:bCs/>
          <w:lang w:eastAsia="en-AU"/>
        </w:rPr>
        <w:t>20</w:t>
      </w:r>
      <w:r w:rsidR="00BA077F" w:rsidRPr="00102445">
        <w:rPr>
          <w:bCs/>
          <w:lang w:eastAsia="en-AU"/>
        </w:rPr>
        <w:t>(5), i</w:t>
      </w:r>
      <w:r w:rsidR="0050178E" w:rsidRPr="00102445">
        <w:rPr>
          <w:bCs/>
          <w:lang w:eastAsia="en-AU"/>
        </w:rPr>
        <w:t xml:space="preserve">f a facility </w:t>
      </w:r>
      <w:r w:rsidR="0083085A" w:rsidRPr="00102445">
        <w:rPr>
          <w:bCs/>
          <w:lang w:eastAsia="en-AU"/>
        </w:rPr>
        <w:t>undert</w:t>
      </w:r>
      <w:r w:rsidR="00BA077F" w:rsidRPr="00102445">
        <w:rPr>
          <w:bCs/>
          <w:lang w:eastAsia="en-AU"/>
        </w:rPr>
        <w:t>akes</w:t>
      </w:r>
      <w:r w:rsidR="0083085A" w:rsidRPr="00102445">
        <w:rPr>
          <w:bCs/>
          <w:lang w:eastAsia="en-AU"/>
        </w:rPr>
        <w:t xml:space="preserve"> commercial production of a production variable in the financial </w:t>
      </w:r>
      <w:r w:rsidR="00A86817" w:rsidRPr="00102445">
        <w:rPr>
          <w:bCs/>
          <w:lang w:eastAsia="en-AU"/>
        </w:rPr>
        <w:t xml:space="preserve">year beginning on </w:t>
      </w:r>
      <w:r w:rsidR="002A43CA" w:rsidRPr="00102445">
        <w:rPr>
          <w:bCs/>
          <w:lang w:eastAsia="en-AU"/>
        </w:rPr>
        <w:t xml:space="preserve">1 July 2022 </w:t>
      </w:r>
      <w:r w:rsidR="000F7566" w:rsidRPr="00102445">
        <w:rPr>
          <w:bCs/>
          <w:lang w:eastAsia="en-AU"/>
        </w:rPr>
        <w:t>but not during any historical production years</w:t>
      </w:r>
      <w:r w:rsidR="00BA077F" w:rsidRPr="00102445">
        <w:rPr>
          <w:bCs/>
          <w:lang w:eastAsia="en-AU"/>
        </w:rPr>
        <w:t>, that production variable is a transitional pro</w:t>
      </w:r>
      <w:r w:rsidR="00C66190" w:rsidRPr="00102445">
        <w:rPr>
          <w:bCs/>
          <w:lang w:eastAsia="en-AU"/>
        </w:rPr>
        <w:t xml:space="preserve">duction variable for the facility, and the </w:t>
      </w:r>
      <w:r w:rsidR="006461EE" w:rsidRPr="00102445">
        <w:rPr>
          <w:bCs/>
          <w:lang w:eastAsia="en-AU"/>
        </w:rPr>
        <w:t>facility-specific emissions intensity number is set to be equal to the default emissions intensity number for that production variable.</w:t>
      </w:r>
    </w:p>
    <w:p w14:paraId="3701C099" w14:textId="327B1F0E" w:rsidR="0053455D" w:rsidRPr="00102445" w:rsidRDefault="00245CEE" w:rsidP="00591A9C">
      <w:pPr>
        <w:pStyle w:val="ListParagraph"/>
        <w:numPr>
          <w:ilvl w:val="0"/>
          <w:numId w:val="2"/>
        </w:numPr>
        <w:shd w:val="clear" w:color="auto" w:fill="FFFFFF" w:themeFill="background1"/>
        <w:spacing w:line="240" w:lineRule="auto"/>
        <w:contextualSpacing w:val="0"/>
        <w:rPr>
          <w:bCs/>
          <w:lang w:eastAsia="en-AU"/>
        </w:rPr>
      </w:pPr>
      <w:r w:rsidRPr="00102445">
        <w:t xml:space="preserve">If an emissions intensity determination that applies in relation to the facility for the financial year </w:t>
      </w:r>
      <w:r w:rsidR="00871A40" w:rsidRPr="00102445">
        <w:t xml:space="preserve">does not </w:t>
      </w:r>
      <w:r w:rsidRPr="00102445">
        <w:t>specify a facility</w:t>
      </w:r>
      <w:r w:rsidRPr="00102445">
        <w:noBreakHyphen/>
        <w:t>specific emissions intensity number of the production variable</w:t>
      </w:r>
      <w:r w:rsidR="00871A40" w:rsidRPr="00102445">
        <w:t>,</w:t>
      </w:r>
      <w:r w:rsidR="00E96EB6" w:rsidRPr="00102445">
        <w:t xml:space="preserve"> the emissions intensity used to calculate the component </w:t>
      </w:r>
      <w:r w:rsidR="00B11F73" w:rsidRPr="00102445">
        <w:t>of the facility</w:t>
      </w:r>
      <w:r w:rsidR="00E36E44" w:rsidRPr="00102445">
        <w:t xml:space="preserve"> is the best</w:t>
      </w:r>
      <w:r w:rsidR="008E0453" w:rsidRPr="00102445">
        <w:t xml:space="preserve"> practice emissions intensity</w:t>
      </w:r>
      <w:r w:rsidR="009C594A" w:rsidRPr="00102445">
        <w:t xml:space="preserve"> number for the production variable for the financial year, instead of the number calculated using the hybrid model.</w:t>
      </w:r>
      <w:r w:rsidR="00871A40" w:rsidRPr="00102445">
        <w:t xml:space="preserve"> </w:t>
      </w:r>
      <w:r w:rsidR="009C594A" w:rsidRPr="00102445">
        <w:t xml:space="preserve">This could occur if </w:t>
      </w:r>
      <w:r w:rsidR="00871A40" w:rsidRPr="00102445">
        <w:t>there was no commercial production for that production variable that took place</w:t>
      </w:r>
      <w:r w:rsidR="00E96EB6" w:rsidRPr="00102445">
        <w:t xml:space="preserve"> </w:t>
      </w:r>
      <w:r w:rsidR="00CE479A" w:rsidRPr="00102445">
        <w:t xml:space="preserve">for the facility </w:t>
      </w:r>
      <w:r w:rsidR="00524D5A" w:rsidRPr="00102445">
        <w:t>before 1 July 2023</w:t>
      </w:r>
      <w:r w:rsidR="00CE479A" w:rsidRPr="00102445">
        <w:rPr>
          <w:bCs/>
          <w:lang w:eastAsia="en-AU"/>
        </w:rPr>
        <w:t>, or if the facility did not submit an emissions intensity determination application by the due date.</w:t>
      </w:r>
    </w:p>
    <w:p w14:paraId="3A5D90FB" w14:textId="461537B6" w:rsidR="00BA70DF" w:rsidRPr="00102445" w:rsidRDefault="009F4546" w:rsidP="00591A9C">
      <w:pPr>
        <w:pStyle w:val="ListParagraph"/>
        <w:numPr>
          <w:ilvl w:val="0"/>
          <w:numId w:val="2"/>
        </w:numPr>
        <w:shd w:val="clear" w:color="auto" w:fill="FFFFFF" w:themeFill="background1"/>
        <w:spacing w:line="240" w:lineRule="auto"/>
        <w:contextualSpacing w:val="0"/>
        <w:rPr>
          <w:lang w:eastAsia="en-AU"/>
        </w:rPr>
      </w:pPr>
      <w:r w:rsidRPr="00102445">
        <w:rPr>
          <w:bCs/>
          <w:lang w:eastAsia="en-AU"/>
        </w:rPr>
        <w:t>R</w:t>
      </w:r>
      <w:r w:rsidR="00755187" w:rsidRPr="00102445">
        <w:rPr>
          <w:bCs/>
          <w:lang w:eastAsia="en-AU"/>
        </w:rPr>
        <w:t xml:space="preserve">eservoir carbon dioxide </w:t>
      </w:r>
      <w:r w:rsidR="003D4F79" w:rsidRPr="00102445">
        <w:rPr>
          <w:bCs/>
          <w:lang w:eastAsia="en-AU"/>
        </w:rPr>
        <w:t>from new gas fields</w:t>
      </w:r>
      <w:r w:rsidR="00D70BCE" w:rsidRPr="00102445">
        <w:rPr>
          <w:bCs/>
          <w:lang w:eastAsia="en-AU"/>
        </w:rPr>
        <w:t xml:space="preserve"> has a new production variable that is </w:t>
      </w:r>
      <w:r w:rsidR="008F22F7" w:rsidRPr="00102445">
        <w:rPr>
          <w:bCs/>
          <w:lang w:eastAsia="en-AU"/>
        </w:rPr>
        <w:t xml:space="preserve">separate to the existing reservoir carbon dioxide production variable and is </w:t>
      </w:r>
      <w:r w:rsidR="00D70BCE" w:rsidRPr="00102445">
        <w:rPr>
          <w:bCs/>
          <w:lang w:eastAsia="en-AU"/>
        </w:rPr>
        <w:t>added by the Amendment Rules</w:t>
      </w:r>
      <w:r w:rsidR="00A34978" w:rsidRPr="00102445">
        <w:rPr>
          <w:bCs/>
          <w:lang w:eastAsia="en-AU"/>
        </w:rPr>
        <w:t xml:space="preserve"> (see item </w:t>
      </w:r>
      <w:r w:rsidR="00313962" w:rsidRPr="00102445">
        <w:rPr>
          <w:bCs/>
          <w:lang w:eastAsia="en-AU"/>
        </w:rPr>
        <w:t>67</w:t>
      </w:r>
      <w:r w:rsidR="00591BF0" w:rsidRPr="00102445">
        <w:rPr>
          <w:bCs/>
          <w:lang w:eastAsia="en-AU"/>
        </w:rPr>
        <w:t>).</w:t>
      </w:r>
      <w:r w:rsidR="008C79DC" w:rsidRPr="00102445">
        <w:rPr>
          <w:bCs/>
          <w:lang w:eastAsia="en-AU"/>
        </w:rPr>
        <w:t xml:space="preserve"> This production variable has a best practice emissions intensity of zero. </w:t>
      </w:r>
      <w:r w:rsidR="00AE5331" w:rsidRPr="00102445">
        <w:rPr>
          <w:bCs/>
          <w:lang w:eastAsia="en-AU"/>
        </w:rPr>
        <w:t>A consequence of t</w:t>
      </w:r>
      <w:r w:rsidR="00031B20" w:rsidRPr="00102445">
        <w:rPr>
          <w:bCs/>
          <w:lang w:eastAsia="en-AU"/>
        </w:rPr>
        <w:t xml:space="preserve">he </w:t>
      </w:r>
      <w:r w:rsidR="00BB67A1" w:rsidRPr="00102445">
        <w:rPr>
          <w:bCs/>
          <w:lang w:eastAsia="en-AU"/>
        </w:rPr>
        <w:t>defini</w:t>
      </w:r>
      <w:r w:rsidR="00AB37AE" w:rsidRPr="00102445">
        <w:rPr>
          <w:bCs/>
          <w:lang w:eastAsia="en-AU"/>
        </w:rPr>
        <w:t xml:space="preserve">tion </w:t>
      </w:r>
      <w:r w:rsidR="00AE5331" w:rsidRPr="00102445">
        <w:rPr>
          <w:bCs/>
          <w:lang w:eastAsia="en-AU"/>
        </w:rPr>
        <w:t>at i</w:t>
      </w:r>
      <w:r w:rsidR="00A503BB" w:rsidRPr="00102445">
        <w:rPr>
          <w:bCs/>
          <w:lang w:eastAsia="en-AU"/>
        </w:rPr>
        <w:t xml:space="preserve">tem </w:t>
      </w:r>
      <w:r w:rsidR="00313962" w:rsidRPr="00102445">
        <w:rPr>
          <w:bCs/>
          <w:lang w:eastAsia="en-AU"/>
        </w:rPr>
        <w:t>67</w:t>
      </w:r>
      <w:r w:rsidR="00A503BB" w:rsidRPr="00102445">
        <w:rPr>
          <w:bCs/>
          <w:lang w:eastAsia="en-AU"/>
        </w:rPr>
        <w:t xml:space="preserve"> </w:t>
      </w:r>
      <w:r w:rsidR="00F73B21" w:rsidRPr="00102445">
        <w:rPr>
          <w:bCs/>
          <w:lang w:eastAsia="en-AU"/>
        </w:rPr>
        <w:t>is</w:t>
      </w:r>
      <w:r w:rsidR="002E52FD" w:rsidRPr="00102445">
        <w:rPr>
          <w:bCs/>
          <w:lang w:eastAsia="en-AU"/>
        </w:rPr>
        <w:t xml:space="preserve"> that </w:t>
      </w:r>
      <w:r w:rsidR="003C1E3C" w:rsidRPr="00102445">
        <w:rPr>
          <w:bCs/>
          <w:lang w:eastAsia="en-AU"/>
        </w:rPr>
        <w:t xml:space="preserve">it would not be possible for </w:t>
      </w:r>
      <w:r w:rsidR="001933E0" w:rsidRPr="00102445">
        <w:rPr>
          <w:bCs/>
          <w:lang w:eastAsia="en-AU"/>
        </w:rPr>
        <w:t>an emissions intensity determination to specify a facility-specific emissions intensity for this production variable.</w:t>
      </w:r>
      <w:r w:rsidR="005519BC" w:rsidRPr="00102445">
        <w:t xml:space="preserve"> </w:t>
      </w:r>
      <w:r w:rsidR="001933E0" w:rsidRPr="00102445">
        <w:t>As such,</w:t>
      </w:r>
      <w:r w:rsidR="00666D91" w:rsidRPr="00102445">
        <w:t xml:space="preserve"> the best practice emissions intensity number</w:t>
      </w:r>
      <w:r w:rsidR="0064689B" w:rsidRPr="00102445">
        <w:t xml:space="preserve"> would be applicable to this production variable, rather than the emissions intensity calculated using the hybrid model.</w:t>
      </w:r>
    </w:p>
    <w:p w14:paraId="6A417CD2" w14:textId="38632F55" w:rsidR="009F147C" w:rsidRPr="00102445" w:rsidRDefault="009F147C" w:rsidP="00591A9C">
      <w:pPr>
        <w:pStyle w:val="ListParagraph"/>
        <w:numPr>
          <w:ilvl w:val="0"/>
          <w:numId w:val="2"/>
        </w:numPr>
        <w:shd w:val="clear" w:color="auto" w:fill="FFFFFF" w:themeFill="background1"/>
        <w:spacing w:line="240" w:lineRule="auto"/>
        <w:contextualSpacing w:val="0"/>
        <w:rPr>
          <w:bCs/>
          <w:lang w:eastAsia="en-AU"/>
        </w:rPr>
      </w:pPr>
      <w:r w:rsidRPr="00102445">
        <w:rPr>
          <w:bCs/>
          <w:lang w:eastAsia="en-AU"/>
        </w:rPr>
        <w:t xml:space="preserve">The formula also increases the facility’s baseline emissions number by the borrowing adjustment for the facility for the financial year. The borrowing adjustment (if applicable) is specified in section </w:t>
      </w:r>
      <w:r w:rsidR="00286960" w:rsidRPr="00102445">
        <w:rPr>
          <w:bCs/>
          <w:lang w:eastAsia="en-AU"/>
        </w:rPr>
        <w:t>4</w:t>
      </w:r>
      <w:r w:rsidRPr="00102445">
        <w:rPr>
          <w:bCs/>
          <w:lang w:eastAsia="en-AU"/>
        </w:rPr>
        <w:t>7.</w:t>
      </w:r>
    </w:p>
    <w:p w14:paraId="17173D30" w14:textId="501BA226" w:rsidR="00EF0CDA" w:rsidRPr="00102445" w:rsidRDefault="007F4910" w:rsidP="00591A9C">
      <w:pPr>
        <w:pStyle w:val="ListParagraph"/>
        <w:numPr>
          <w:ilvl w:val="0"/>
          <w:numId w:val="2"/>
        </w:numPr>
        <w:shd w:val="clear" w:color="auto" w:fill="FFFFFF" w:themeFill="background1"/>
        <w:spacing w:line="240" w:lineRule="auto"/>
        <w:contextualSpacing w:val="0"/>
        <w:rPr>
          <w:bCs/>
          <w:szCs w:val="24"/>
          <w:lang w:eastAsia="en-AU"/>
        </w:rPr>
      </w:pPr>
      <w:r w:rsidRPr="00102445">
        <w:rPr>
          <w:lang w:eastAsia="en-AU"/>
        </w:rPr>
        <w:t>The formula</w:t>
      </w:r>
      <w:r w:rsidR="00BB751F" w:rsidRPr="00102445">
        <w:rPr>
          <w:lang w:eastAsia="en-AU"/>
        </w:rPr>
        <w:t xml:space="preserve"> in subsection </w:t>
      </w:r>
      <w:r w:rsidR="005059ED" w:rsidRPr="00102445">
        <w:rPr>
          <w:lang w:eastAsia="en-AU"/>
        </w:rPr>
        <w:t>11</w:t>
      </w:r>
      <w:r w:rsidR="00BB751F" w:rsidRPr="00102445">
        <w:rPr>
          <w:lang w:eastAsia="en-AU"/>
        </w:rPr>
        <w:t>(1)</w:t>
      </w:r>
      <w:r w:rsidRPr="00102445">
        <w:rPr>
          <w:lang w:eastAsia="en-AU"/>
        </w:rPr>
        <w:t xml:space="preserve"> </w:t>
      </w:r>
      <w:r w:rsidR="0057016B" w:rsidRPr="00102445">
        <w:rPr>
          <w:lang w:eastAsia="en-AU"/>
        </w:rPr>
        <w:t xml:space="preserve">for the </w:t>
      </w:r>
      <w:r w:rsidR="0057016B" w:rsidRPr="00102445">
        <w:t xml:space="preserve">baseline emissions number for an existing facility </w:t>
      </w:r>
      <w:r w:rsidR="00BB751F" w:rsidRPr="00102445">
        <w:t xml:space="preserve">(other than a landfill facility) for a financial year </w:t>
      </w:r>
      <w:r w:rsidRPr="00102445">
        <w:rPr>
          <w:lang w:eastAsia="en-AU"/>
        </w:rPr>
        <w:t>is:</w:t>
      </w:r>
    </w:p>
    <w:p w14:paraId="6A3ECA72" w14:textId="7E28A0A6" w:rsidR="007F4910" w:rsidRPr="00102445" w:rsidRDefault="003635B0" w:rsidP="00B656BF">
      <w:pPr>
        <w:pStyle w:val="ListParagraph"/>
        <w:shd w:val="clear" w:color="auto" w:fill="FFFFFF" w:themeFill="background1"/>
        <w:spacing w:line="240" w:lineRule="auto"/>
        <w:ind w:left="567"/>
        <w:contextualSpacing w:val="0"/>
        <w:rPr>
          <w:bCs/>
          <w:szCs w:val="24"/>
          <w:lang w:eastAsia="en-AU"/>
        </w:rPr>
      </w:pPr>
      <w:r w:rsidRPr="00102445">
        <w:rPr>
          <w:position w:val="-28"/>
          <w:szCs w:val="24"/>
        </w:rPr>
        <w:object w:dxaOrig="5640" w:dyaOrig="660" w14:anchorId="3E5E5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ormula for calculating the baseline emissions number for an existing facility in a financial year, that is not a landfill facility. " style="width:366.9pt;height:43.2pt" o:ole="">
            <v:imagedata r:id="rId13" o:title=""/>
          </v:shape>
          <o:OLEObject Type="Embed" ProgID="Equation.DSMT4" ShapeID="_x0000_i1025" DrawAspect="Content" ObjectID="_1744801913" r:id="rId14"/>
        </w:object>
      </w:r>
    </w:p>
    <w:p w14:paraId="62C6FC2A" w14:textId="0CCD4D9D" w:rsidR="007F4910" w:rsidRPr="00102445" w:rsidRDefault="00372F3B" w:rsidP="00B656BF">
      <w:pPr>
        <w:pStyle w:val="ListParagraph"/>
        <w:shd w:val="clear" w:color="auto" w:fill="FFFFFF" w:themeFill="background1"/>
        <w:spacing w:line="240" w:lineRule="auto"/>
        <w:ind w:left="567"/>
        <w:contextualSpacing w:val="0"/>
        <w:rPr>
          <w:bCs/>
          <w:szCs w:val="24"/>
          <w:lang w:eastAsia="en-AU"/>
        </w:rPr>
      </w:pPr>
      <w:r w:rsidRPr="00102445">
        <w:rPr>
          <w:bCs/>
          <w:szCs w:val="24"/>
          <w:lang w:eastAsia="en-AU"/>
        </w:rPr>
        <w:t>w</w:t>
      </w:r>
      <w:r w:rsidR="007F4910" w:rsidRPr="00102445">
        <w:rPr>
          <w:bCs/>
          <w:szCs w:val="24"/>
          <w:lang w:eastAsia="en-AU"/>
        </w:rPr>
        <w:t>here</w:t>
      </w:r>
      <w:r w:rsidR="0057016B" w:rsidRPr="00102445">
        <w:rPr>
          <w:bCs/>
          <w:szCs w:val="24"/>
          <w:lang w:eastAsia="en-AU"/>
        </w:rPr>
        <w:t>:</w:t>
      </w:r>
    </w:p>
    <w:p w14:paraId="28FEF279" w14:textId="58835119" w:rsidR="006365B9" w:rsidRPr="00102445" w:rsidRDefault="006365B9" w:rsidP="00B656BF">
      <w:pPr>
        <w:pStyle w:val="Definition"/>
        <w:ind w:left="567"/>
        <w:rPr>
          <w:sz w:val="24"/>
          <w:szCs w:val="24"/>
        </w:rPr>
      </w:pPr>
      <w:r w:rsidRPr="00102445">
        <w:rPr>
          <w:i/>
          <w:sz w:val="24"/>
          <w:szCs w:val="24"/>
        </w:rPr>
        <w:t>ERC</w:t>
      </w:r>
      <w:r w:rsidRPr="00102445">
        <w:rPr>
          <w:sz w:val="24"/>
          <w:szCs w:val="24"/>
        </w:rPr>
        <w:t xml:space="preserve"> is the emissions reduction contribution for the facility for the financial year</w:t>
      </w:r>
      <w:r w:rsidR="00F44FB9" w:rsidRPr="00102445">
        <w:rPr>
          <w:sz w:val="24"/>
          <w:szCs w:val="24"/>
        </w:rPr>
        <w:t>;</w:t>
      </w:r>
    </w:p>
    <w:p w14:paraId="57A8D1A4" w14:textId="6F198049" w:rsidR="006365B9" w:rsidRPr="00102445" w:rsidRDefault="006365B9" w:rsidP="00B656BF">
      <w:pPr>
        <w:pStyle w:val="Definition"/>
        <w:ind w:left="567"/>
        <w:rPr>
          <w:sz w:val="24"/>
          <w:szCs w:val="24"/>
        </w:rPr>
      </w:pPr>
      <w:r w:rsidRPr="00102445">
        <w:rPr>
          <w:i/>
          <w:sz w:val="24"/>
          <w:szCs w:val="24"/>
        </w:rPr>
        <w:t>p</w:t>
      </w:r>
      <w:r w:rsidRPr="00102445">
        <w:rPr>
          <w:sz w:val="24"/>
          <w:szCs w:val="24"/>
        </w:rPr>
        <w:t xml:space="preserve"> is a production variable for the facility for the financial year</w:t>
      </w:r>
      <w:r w:rsidR="00F44FB9" w:rsidRPr="00102445">
        <w:rPr>
          <w:sz w:val="24"/>
          <w:szCs w:val="24"/>
        </w:rPr>
        <w:t>;</w:t>
      </w:r>
    </w:p>
    <w:p w14:paraId="027F5793" w14:textId="2ED36340" w:rsidR="006365B9" w:rsidRPr="00102445" w:rsidRDefault="006365B9" w:rsidP="00B656BF">
      <w:pPr>
        <w:pStyle w:val="Definition"/>
        <w:ind w:left="567"/>
        <w:rPr>
          <w:sz w:val="24"/>
          <w:szCs w:val="24"/>
        </w:rPr>
      </w:pPr>
      <w:r w:rsidRPr="00102445">
        <w:rPr>
          <w:i/>
          <w:sz w:val="24"/>
          <w:szCs w:val="24"/>
        </w:rPr>
        <w:t>h</w:t>
      </w:r>
      <w:r w:rsidRPr="00102445">
        <w:rPr>
          <w:sz w:val="24"/>
          <w:szCs w:val="24"/>
        </w:rPr>
        <w:t xml:space="preserve"> is the transition proportion for the financial year</w:t>
      </w:r>
      <w:r w:rsidR="00F44FB9" w:rsidRPr="00102445">
        <w:rPr>
          <w:sz w:val="24"/>
          <w:szCs w:val="24"/>
        </w:rPr>
        <w:t>;</w:t>
      </w:r>
    </w:p>
    <w:p w14:paraId="4981AC90" w14:textId="47C18422" w:rsidR="00C35F17" w:rsidRPr="00102445" w:rsidRDefault="00C35F17" w:rsidP="00B656BF">
      <w:pPr>
        <w:pStyle w:val="Definition"/>
        <w:ind w:left="567"/>
        <w:rPr>
          <w:sz w:val="24"/>
          <w:szCs w:val="24"/>
        </w:rPr>
      </w:pPr>
      <w:r w:rsidRPr="00102445">
        <w:rPr>
          <w:i/>
          <w:sz w:val="24"/>
          <w:szCs w:val="24"/>
        </w:rPr>
        <w:t>EI</w:t>
      </w:r>
      <w:r w:rsidRPr="00102445">
        <w:rPr>
          <w:i/>
          <w:sz w:val="24"/>
          <w:szCs w:val="24"/>
          <w:vertAlign w:val="subscript"/>
        </w:rPr>
        <w:t>p</w:t>
      </w:r>
      <w:r w:rsidRPr="00102445">
        <w:rPr>
          <w:sz w:val="24"/>
          <w:szCs w:val="24"/>
        </w:rPr>
        <w:t xml:space="preserve"> is the default emissions intensity number of the production variable </w:t>
      </w:r>
      <w:r w:rsidR="00A71216" w:rsidRPr="00102445">
        <w:rPr>
          <w:i/>
          <w:sz w:val="24"/>
          <w:szCs w:val="24"/>
        </w:rPr>
        <w:t>p</w:t>
      </w:r>
      <w:r w:rsidR="00A71216" w:rsidRPr="00102445">
        <w:rPr>
          <w:sz w:val="24"/>
          <w:szCs w:val="24"/>
        </w:rPr>
        <w:t xml:space="preserve"> </w:t>
      </w:r>
      <w:r w:rsidRPr="00102445">
        <w:rPr>
          <w:sz w:val="24"/>
          <w:szCs w:val="24"/>
        </w:rPr>
        <w:t>for the financial year</w:t>
      </w:r>
      <w:r w:rsidR="00F44FB9" w:rsidRPr="00102445">
        <w:rPr>
          <w:sz w:val="24"/>
          <w:szCs w:val="24"/>
        </w:rPr>
        <w:t>;</w:t>
      </w:r>
    </w:p>
    <w:p w14:paraId="1B389E1F" w14:textId="781DB77A" w:rsidR="0057016B" w:rsidRPr="00102445" w:rsidRDefault="008E5C5F" w:rsidP="00B656BF">
      <w:pPr>
        <w:pStyle w:val="ListParagraph"/>
        <w:shd w:val="clear" w:color="auto" w:fill="FFFFFF" w:themeFill="background1"/>
        <w:spacing w:line="240" w:lineRule="auto"/>
        <w:ind w:left="567"/>
        <w:contextualSpacing w:val="0"/>
        <w:rPr>
          <w:szCs w:val="24"/>
          <w:lang w:eastAsia="en-AU"/>
        </w:rPr>
      </w:pPr>
      <w:r w:rsidRPr="00102445">
        <w:rPr>
          <w:bCs/>
          <w:i/>
          <w:szCs w:val="24"/>
        </w:rPr>
        <w:lastRenderedPageBreak/>
        <w:t>EI</w:t>
      </w:r>
      <w:r w:rsidRPr="00102445">
        <w:rPr>
          <w:i/>
          <w:szCs w:val="24"/>
          <w:vertAlign w:val="subscript"/>
        </w:rPr>
        <w:t>F,</w:t>
      </w:r>
      <w:r w:rsidRPr="00102445">
        <w:rPr>
          <w:bCs/>
          <w:i/>
          <w:szCs w:val="24"/>
          <w:vertAlign w:val="subscript"/>
        </w:rPr>
        <w:t>p</w:t>
      </w:r>
      <w:r w:rsidRPr="00102445">
        <w:rPr>
          <w:bCs/>
          <w:iCs/>
          <w:szCs w:val="24"/>
        </w:rPr>
        <w:t xml:space="preserve"> is </w:t>
      </w:r>
      <w:r w:rsidR="00B05B18" w:rsidRPr="00102445">
        <w:rPr>
          <w:bCs/>
          <w:iCs/>
          <w:szCs w:val="24"/>
        </w:rPr>
        <w:t xml:space="preserve">the </w:t>
      </w:r>
      <w:r w:rsidR="00B05B18" w:rsidRPr="00102445">
        <w:rPr>
          <w:szCs w:val="24"/>
        </w:rPr>
        <w:t>facility</w:t>
      </w:r>
      <w:r w:rsidR="00B05B18" w:rsidRPr="00102445">
        <w:rPr>
          <w:szCs w:val="24"/>
        </w:rPr>
        <w:noBreakHyphen/>
        <w:t>specific emissions intensity number of the production variable p if a</w:t>
      </w:r>
      <w:r w:rsidR="009B56D8" w:rsidRPr="00102445">
        <w:rPr>
          <w:szCs w:val="24"/>
        </w:rPr>
        <w:t>n</w:t>
      </w:r>
      <w:r w:rsidR="008F3C48" w:rsidRPr="00102445">
        <w:rPr>
          <w:szCs w:val="24"/>
        </w:rPr>
        <w:t xml:space="preserve"> </w:t>
      </w:r>
      <w:r w:rsidR="00B05B18" w:rsidRPr="00102445">
        <w:rPr>
          <w:szCs w:val="24"/>
        </w:rPr>
        <w:t>emissions intensity determination is in place</w:t>
      </w:r>
      <w:r w:rsidR="009B56D8" w:rsidRPr="00102445">
        <w:rPr>
          <w:szCs w:val="24"/>
        </w:rPr>
        <w:t xml:space="preserve"> for the facility for </w:t>
      </w:r>
      <w:r w:rsidR="009B56D8" w:rsidRPr="00102445">
        <w:rPr>
          <w:i/>
          <w:iCs/>
          <w:szCs w:val="24"/>
        </w:rPr>
        <w:t>p</w:t>
      </w:r>
      <w:r w:rsidR="00B05B18" w:rsidRPr="00102445">
        <w:rPr>
          <w:szCs w:val="24"/>
        </w:rPr>
        <w:t>, and zero otherwise</w:t>
      </w:r>
      <w:r w:rsidR="00F44FB9" w:rsidRPr="00102445">
        <w:rPr>
          <w:szCs w:val="24"/>
        </w:rPr>
        <w:t>;</w:t>
      </w:r>
    </w:p>
    <w:p w14:paraId="209BA056" w14:textId="17E58CB9" w:rsidR="000F2D81" w:rsidRPr="00102445" w:rsidRDefault="000F2D81" w:rsidP="00B656BF">
      <w:pPr>
        <w:pStyle w:val="ListParagraph"/>
        <w:shd w:val="clear" w:color="auto" w:fill="FFFFFF" w:themeFill="background1"/>
        <w:spacing w:line="240" w:lineRule="auto"/>
        <w:ind w:left="567"/>
        <w:contextualSpacing w:val="0"/>
        <w:rPr>
          <w:szCs w:val="24"/>
          <w:lang w:eastAsia="en-AU"/>
        </w:rPr>
      </w:pPr>
      <w:r w:rsidRPr="00102445">
        <w:rPr>
          <w:bCs/>
          <w:i/>
          <w:szCs w:val="24"/>
        </w:rPr>
        <w:t>Q</w:t>
      </w:r>
      <w:r w:rsidRPr="00102445">
        <w:rPr>
          <w:i/>
          <w:szCs w:val="24"/>
          <w:vertAlign w:val="subscript"/>
        </w:rPr>
        <w:t>p</w:t>
      </w:r>
      <w:r w:rsidRPr="00102445">
        <w:rPr>
          <w:bCs/>
          <w:iCs/>
          <w:szCs w:val="24"/>
        </w:rPr>
        <w:t xml:space="preserve"> is the </w:t>
      </w:r>
      <w:r w:rsidR="008F3C48" w:rsidRPr="00102445">
        <w:t xml:space="preserve">quantity of the production variable </w:t>
      </w:r>
      <w:r w:rsidR="006D2AFD" w:rsidRPr="00102445">
        <w:rPr>
          <w:i/>
        </w:rPr>
        <w:t>p</w:t>
      </w:r>
      <w:r w:rsidR="006D2AFD" w:rsidRPr="00102445">
        <w:t xml:space="preserve"> </w:t>
      </w:r>
      <w:r w:rsidR="008F3C48" w:rsidRPr="00102445">
        <w:t>for the facility for the financial year</w:t>
      </w:r>
      <w:r w:rsidR="006D2AFD" w:rsidRPr="00102445">
        <w:t xml:space="preserve"> </w:t>
      </w:r>
      <w:r w:rsidR="006D2AFD" w:rsidRPr="00102445">
        <w:rPr>
          <w:szCs w:val="24"/>
        </w:rPr>
        <w:t>if a</w:t>
      </w:r>
      <w:r w:rsidR="009B56D8" w:rsidRPr="00102445">
        <w:rPr>
          <w:szCs w:val="24"/>
        </w:rPr>
        <w:t>n</w:t>
      </w:r>
      <w:r w:rsidR="006D2AFD" w:rsidRPr="00102445">
        <w:rPr>
          <w:szCs w:val="24"/>
        </w:rPr>
        <w:t xml:space="preserve"> emissions intensity determination is in place</w:t>
      </w:r>
      <w:r w:rsidR="00303D58" w:rsidRPr="00102445">
        <w:rPr>
          <w:szCs w:val="24"/>
        </w:rPr>
        <w:t xml:space="preserve"> for the facility for </w:t>
      </w:r>
      <w:r w:rsidR="00303D58" w:rsidRPr="00102445">
        <w:rPr>
          <w:i/>
          <w:iCs/>
          <w:szCs w:val="24"/>
        </w:rPr>
        <w:t>p</w:t>
      </w:r>
      <w:r w:rsidR="006D2AFD" w:rsidRPr="00102445">
        <w:rPr>
          <w:szCs w:val="24"/>
        </w:rPr>
        <w:t>, and zero otherwise;</w:t>
      </w:r>
    </w:p>
    <w:p w14:paraId="47B2CAA7" w14:textId="2AC057FD" w:rsidR="006D2AFD" w:rsidRPr="00102445" w:rsidRDefault="00616E4D" w:rsidP="00B656BF">
      <w:pPr>
        <w:pStyle w:val="ListParagraph"/>
        <w:shd w:val="clear" w:color="auto" w:fill="FFFFFF" w:themeFill="background1"/>
        <w:spacing w:line="240" w:lineRule="auto"/>
        <w:ind w:left="567"/>
        <w:contextualSpacing w:val="0"/>
        <w:rPr>
          <w:szCs w:val="24"/>
          <w:lang w:eastAsia="en-AU"/>
        </w:rPr>
      </w:pPr>
      <w:r w:rsidRPr="00102445">
        <w:rPr>
          <w:bCs/>
          <w:i/>
          <w:szCs w:val="24"/>
        </w:rPr>
        <w:t>EI</w:t>
      </w:r>
      <w:r w:rsidRPr="00102445">
        <w:rPr>
          <w:i/>
          <w:szCs w:val="24"/>
          <w:vertAlign w:val="subscript"/>
        </w:rPr>
        <w:t>B,p</w:t>
      </w:r>
      <w:r w:rsidRPr="00102445">
        <w:rPr>
          <w:szCs w:val="24"/>
        </w:rPr>
        <w:t xml:space="preserve"> is the </w:t>
      </w:r>
      <w:r w:rsidRPr="00102445">
        <w:rPr>
          <w:bCs/>
          <w:iCs/>
          <w:szCs w:val="24"/>
        </w:rPr>
        <w:t>best practice emissions</w:t>
      </w:r>
      <w:r w:rsidR="000403C4" w:rsidRPr="00102445">
        <w:rPr>
          <w:bCs/>
          <w:iCs/>
          <w:szCs w:val="24"/>
        </w:rPr>
        <w:t xml:space="preserve"> </w:t>
      </w:r>
      <w:r w:rsidR="000403C4" w:rsidRPr="00102445">
        <w:t xml:space="preserve">intensity number for the production variable </w:t>
      </w:r>
      <w:r w:rsidR="00221F0D" w:rsidRPr="00102445">
        <w:rPr>
          <w:i/>
          <w:iCs/>
        </w:rPr>
        <w:t>p</w:t>
      </w:r>
      <w:r w:rsidR="00221F0D" w:rsidRPr="00102445">
        <w:t xml:space="preserve"> </w:t>
      </w:r>
      <w:r w:rsidR="000403C4" w:rsidRPr="00102445">
        <w:t>for the financial year</w:t>
      </w:r>
      <w:r w:rsidR="00B01480" w:rsidRPr="00102445">
        <w:t>, and is the default emissions intensity number if a best practice emissions intensity number is not in place;</w:t>
      </w:r>
    </w:p>
    <w:p w14:paraId="44ED8EE9" w14:textId="77777777" w:rsidR="002A1040" w:rsidRPr="00102445" w:rsidRDefault="002B292E" w:rsidP="00B656BF">
      <w:pPr>
        <w:pStyle w:val="ListParagraph"/>
        <w:shd w:val="clear" w:color="auto" w:fill="FFFFFF" w:themeFill="background1"/>
        <w:spacing w:line="240" w:lineRule="auto"/>
        <w:ind w:left="567"/>
        <w:contextualSpacing w:val="0"/>
        <w:rPr>
          <w:bCs/>
          <w:szCs w:val="24"/>
          <w:lang w:eastAsia="en-AU"/>
        </w:rPr>
      </w:pPr>
      <w:r w:rsidRPr="00102445">
        <w:rPr>
          <w:i/>
          <w:szCs w:val="24"/>
          <w:lang w:eastAsia="en-AU"/>
        </w:rPr>
        <w:t>Q</w:t>
      </w:r>
      <w:r w:rsidRPr="00102445">
        <w:rPr>
          <w:i/>
          <w:szCs w:val="24"/>
          <w:vertAlign w:val="subscript"/>
          <w:lang w:eastAsia="en-AU"/>
        </w:rPr>
        <w:t>B,p</w:t>
      </w:r>
      <w:r w:rsidRPr="00102445">
        <w:rPr>
          <w:bCs/>
          <w:szCs w:val="24"/>
          <w:lang w:eastAsia="en-AU"/>
        </w:rPr>
        <w:t xml:space="preserve"> is </w:t>
      </w:r>
      <w:r w:rsidR="00AB0CFF" w:rsidRPr="00102445">
        <w:rPr>
          <w:bCs/>
          <w:szCs w:val="24"/>
          <w:lang w:eastAsia="en-AU"/>
        </w:rPr>
        <w:t>zero if an emissions intensity determination is in place</w:t>
      </w:r>
      <w:r w:rsidR="005A03CD" w:rsidRPr="00102445">
        <w:rPr>
          <w:bCs/>
          <w:szCs w:val="24"/>
          <w:lang w:eastAsia="en-AU"/>
        </w:rPr>
        <w:t xml:space="preserve"> for the production variable </w:t>
      </w:r>
      <w:r w:rsidR="005A03CD" w:rsidRPr="00102445">
        <w:rPr>
          <w:i/>
          <w:szCs w:val="24"/>
          <w:lang w:eastAsia="en-AU"/>
        </w:rPr>
        <w:t>p</w:t>
      </w:r>
      <w:r w:rsidR="005A03CD" w:rsidRPr="00102445">
        <w:rPr>
          <w:bCs/>
          <w:szCs w:val="24"/>
          <w:lang w:eastAsia="en-AU"/>
        </w:rPr>
        <w:t xml:space="preserve"> for the facility</w:t>
      </w:r>
      <w:r w:rsidR="00802B57" w:rsidRPr="00102445">
        <w:rPr>
          <w:bCs/>
          <w:szCs w:val="24"/>
          <w:lang w:eastAsia="en-AU"/>
        </w:rPr>
        <w:t xml:space="preserve">, and is the quantity of </w:t>
      </w:r>
      <w:r w:rsidR="005A03CD" w:rsidRPr="00102445">
        <w:rPr>
          <w:bCs/>
          <w:i/>
          <w:iCs/>
          <w:szCs w:val="24"/>
          <w:lang w:eastAsia="en-AU"/>
        </w:rPr>
        <w:t>p</w:t>
      </w:r>
      <w:r w:rsidR="005A03CD" w:rsidRPr="00102445">
        <w:rPr>
          <w:bCs/>
          <w:szCs w:val="24"/>
          <w:lang w:eastAsia="en-AU"/>
        </w:rPr>
        <w:t xml:space="preserve"> </w:t>
      </w:r>
      <w:r w:rsidR="00E13389" w:rsidRPr="00102445">
        <w:rPr>
          <w:bCs/>
          <w:szCs w:val="24"/>
          <w:lang w:eastAsia="en-AU"/>
        </w:rPr>
        <w:t xml:space="preserve">for the facility for the financial year </w:t>
      </w:r>
      <w:r w:rsidR="005A03CD" w:rsidRPr="00102445">
        <w:rPr>
          <w:bCs/>
          <w:szCs w:val="24"/>
          <w:lang w:eastAsia="en-AU"/>
        </w:rPr>
        <w:t>otherwise</w:t>
      </w:r>
      <w:r w:rsidR="002A1040" w:rsidRPr="00102445">
        <w:rPr>
          <w:bCs/>
          <w:szCs w:val="24"/>
          <w:lang w:eastAsia="en-AU"/>
        </w:rPr>
        <w:t>; and</w:t>
      </w:r>
    </w:p>
    <w:p w14:paraId="24683E85" w14:textId="055363E4" w:rsidR="00221F0D" w:rsidRPr="00102445" w:rsidRDefault="002A1040" w:rsidP="00B656BF">
      <w:pPr>
        <w:pStyle w:val="ListParagraph"/>
        <w:shd w:val="clear" w:color="auto" w:fill="FFFFFF" w:themeFill="background1"/>
        <w:spacing w:line="240" w:lineRule="auto"/>
        <w:ind w:left="567"/>
        <w:contextualSpacing w:val="0"/>
        <w:rPr>
          <w:bCs/>
          <w:szCs w:val="24"/>
          <w:lang w:eastAsia="en-AU"/>
        </w:rPr>
      </w:pPr>
      <w:r w:rsidRPr="00102445">
        <w:rPr>
          <w:bCs/>
          <w:i/>
          <w:iCs/>
          <w:szCs w:val="24"/>
          <w:lang w:eastAsia="en-AU"/>
        </w:rPr>
        <w:t>BA</w:t>
      </w:r>
      <w:r w:rsidR="00DF6454" w:rsidRPr="00102445">
        <w:t xml:space="preserve"> </w:t>
      </w:r>
      <w:r w:rsidRPr="00102445">
        <w:t>is the borrowing adjustment for the facility for the</w:t>
      </w:r>
      <w:r w:rsidR="00DF6454" w:rsidRPr="00102445">
        <w:t xml:space="preserve"> financial year</w:t>
      </w:r>
      <w:r w:rsidR="00E13389" w:rsidRPr="00102445">
        <w:rPr>
          <w:bCs/>
          <w:szCs w:val="24"/>
          <w:lang w:eastAsia="en-AU"/>
        </w:rPr>
        <w:t>.</w:t>
      </w:r>
    </w:p>
    <w:p w14:paraId="5C901F94" w14:textId="4EA65D00" w:rsidR="00A47DBA" w:rsidRPr="00102445" w:rsidRDefault="00861234" w:rsidP="00591A9C">
      <w:pPr>
        <w:pStyle w:val="ListParagraph"/>
        <w:numPr>
          <w:ilvl w:val="0"/>
          <w:numId w:val="2"/>
        </w:numPr>
        <w:shd w:val="clear" w:color="auto" w:fill="FFFFFF" w:themeFill="background1"/>
        <w:spacing w:line="240" w:lineRule="auto"/>
        <w:contextualSpacing w:val="0"/>
        <w:rPr>
          <w:bCs/>
          <w:lang w:eastAsia="en-AU"/>
        </w:rPr>
      </w:pPr>
      <w:r w:rsidRPr="00102445">
        <w:rPr>
          <w:bCs/>
          <w:lang w:eastAsia="en-AU"/>
        </w:rPr>
        <w:t>The term (</w:t>
      </w:r>
      <w:r w:rsidRPr="00102445">
        <w:rPr>
          <w:i/>
          <w:lang w:eastAsia="en-AU"/>
        </w:rPr>
        <w:t>h</w:t>
      </w:r>
      <w:r w:rsidR="00350150" w:rsidRPr="00102445">
        <w:rPr>
          <w:bCs/>
          <w:lang w:eastAsia="en-AU"/>
        </w:rPr>
        <w:t xml:space="preserve"> </w:t>
      </w:r>
      <w:r w:rsidRPr="00102445">
        <w:rPr>
          <w:i/>
          <w:lang w:eastAsia="en-AU"/>
        </w:rPr>
        <w:t>EI</w:t>
      </w:r>
      <w:r w:rsidRPr="00102445">
        <w:rPr>
          <w:i/>
          <w:vertAlign w:val="subscript"/>
          <w:lang w:eastAsia="en-AU"/>
        </w:rPr>
        <w:t>p</w:t>
      </w:r>
      <w:r w:rsidR="007612A5" w:rsidRPr="00102445">
        <w:rPr>
          <w:bCs/>
          <w:lang w:eastAsia="en-AU"/>
        </w:rPr>
        <w:t>–</w:t>
      </w:r>
      <w:r w:rsidRPr="00102445">
        <w:rPr>
          <w:bCs/>
          <w:lang w:eastAsia="en-AU"/>
        </w:rPr>
        <w:t>+ (1</w:t>
      </w:r>
      <w:r w:rsidR="00350150" w:rsidRPr="00102445">
        <w:rPr>
          <w:bCs/>
          <w:lang w:eastAsia="en-AU"/>
        </w:rPr>
        <w:t xml:space="preserve"> </w:t>
      </w:r>
      <w:r w:rsidRPr="00102445">
        <w:rPr>
          <w:bCs/>
          <w:lang w:eastAsia="en-AU"/>
        </w:rPr>
        <w:t>-</w:t>
      </w:r>
      <w:r w:rsidR="00350150" w:rsidRPr="00102445">
        <w:rPr>
          <w:bCs/>
          <w:lang w:eastAsia="en-AU"/>
        </w:rPr>
        <w:t xml:space="preserve"> </w:t>
      </w:r>
      <w:r w:rsidRPr="00102445">
        <w:rPr>
          <w:i/>
          <w:lang w:eastAsia="en-AU"/>
        </w:rPr>
        <w:t>h</w:t>
      </w:r>
      <w:r w:rsidRPr="00102445">
        <w:rPr>
          <w:bCs/>
          <w:lang w:eastAsia="en-AU"/>
        </w:rPr>
        <w:t>)</w:t>
      </w:r>
      <w:r w:rsidR="00350150" w:rsidRPr="00102445">
        <w:rPr>
          <w:bCs/>
          <w:lang w:eastAsia="en-AU"/>
        </w:rPr>
        <w:t xml:space="preserve"> </w:t>
      </w:r>
      <w:r w:rsidRPr="00102445">
        <w:rPr>
          <w:i/>
          <w:lang w:eastAsia="en-AU"/>
        </w:rPr>
        <w:t>EI</w:t>
      </w:r>
      <w:r w:rsidRPr="00102445">
        <w:rPr>
          <w:i/>
          <w:vertAlign w:val="subscript"/>
          <w:lang w:eastAsia="en-AU"/>
        </w:rPr>
        <w:t>F,p</w:t>
      </w:r>
      <w:r w:rsidRPr="00102445">
        <w:rPr>
          <w:bCs/>
          <w:lang w:eastAsia="en-AU"/>
        </w:rPr>
        <w:t>)</w:t>
      </w:r>
      <w:r w:rsidR="00CA0D6B" w:rsidRPr="00102445">
        <w:rPr>
          <w:bCs/>
          <w:lang w:eastAsia="en-AU"/>
        </w:rPr>
        <w:t xml:space="preserve"> can be thought of as </w:t>
      </w:r>
      <w:r w:rsidR="007775E2" w:rsidRPr="00102445">
        <w:rPr>
          <w:bCs/>
          <w:lang w:eastAsia="en-AU"/>
        </w:rPr>
        <w:t>a</w:t>
      </w:r>
      <w:r w:rsidR="00CA0D6B" w:rsidRPr="00102445">
        <w:rPr>
          <w:bCs/>
          <w:lang w:eastAsia="en-AU"/>
        </w:rPr>
        <w:t xml:space="preserve"> </w:t>
      </w:r>
      <w:r w:rsidR="007775E2" w:rsidRPr="00102445">
        <w:rPr>
          <w:bCs/>
          <w:lang w:eastAsia="en-AU"/>
        </w:rPr>
        <w:t>‘</w:t>
      </w:r>
      <w:r w:rsidR="00CA0D6B" w:rsidRPr="00102445">
        <w:rPr>
          <w:bCs/>
          <w:lang w:eastAsia="en-AU"/>
        </w:rPr>
        <w:t>hybrid emissions intensity</w:t>
      </w:r>
      <w:r w:rsidR="007775E2" w:rsidRPr="00102445">
        <w:rPr>
          <w:bCs/>
          <w:lang w:eastAsia="en-AU"/>
        </w:rPr>
        <w:t>’</w:t>
      </w:r>
      <w:r w:rsidR="00CA0D6B" w:rsidRPr="00102445">
        <w:rPr>
          <w:bCs/>
          <w:lang w:eastAsia="en-AU"/>
        </w:rPr>
        <w:t xml:space="preserve"> </w:t>
      </w:r>
      <w:r w:rsidR="002A13D9" w:rsidRPr="00102445">
        <w:rPr>
          <w:bCs/>
          <w:lang w:eastAsia="en-AU"/>
        </w:rPr>
        <w:t xml:space="preserve">that is </w:t>
      </w:r>
      <w:r w:rsidR="007775E2" w:rsidRPr="00102445">
        <w:rPr>
          <w:bCs/>
          <w:lang w:eastAsia="en-AU"/>
        </w:rPr>
        <w:t xml:space="preserve">then </w:t>
      </w:r>
      <w:r w:rsidR="002A13D9" w:rsidRPr="00102445">
        <w:rPr>
          <w:bCs/>
          <w:lang w:eastAsia="en-AU"/>
        </w:rPr>
        <w:t xml:space="preserve">multiplied by </w:t>
      </w:r>
      <w:r w:rsidR="002A13D9" w:rsidRPr="00102445">
        <w:t>a quantity of a production variable and an emissions reduction contribution</w:t>
      </w:r>
      <w:r w:rsidR="00CA0D6B" w:rsidRPr="00102445">
        <w:rPr>
          <w:bCs/>
          <w:lang w:eastAsia="en-AU"/>
        </w:rPr>
        <w:t xml:space="preserve"> </w:t>
      </w:r>
      <w:r w:rsidR="00A42A36" w:rsidRPr="00102445">
        <w:rPr>
          <w:bCs/>
          <w:lang w:eastAsia="en-AU"/>
        </w:rPr>
        <w:t xml:space="preserve">to form a component of a facility’s baseline, as described in paragraph </w:t>
      </w:r>
      <w:r w:rsidR="007E3069" w:rsidRPr="00102445">
        <w:rPr>
          <w:bCs/>
          <w:lang w:eastAsia="en-AU"/>
        </w:rPr>
        <w:fldChar w:fldCharType="begin"/>
      </w:r>
      <w:r w:rsidR="007E3069" w:rsidRPr="00102445">
        <w:rPr>
          <w:bCs/>
          <w:lang w:eastAsia="en-AU"/>
        </w:rPr>
        <w:instrText xml:space="preserve"> REF _Ref133004528 \r \h </w:instrText>
      </w:r>
      <w:r w:rsidR="00102445">
        <w:rPr>
          <w:bCs/>
          <w:lang w:eastAsia="en-AU"/>
        </w:rPr>
        <w:instrText xml:space="preserve"> \* MERGEFORMAT </w:instrText>
      </w:r>
      <w:r w:rsidR="007E3069" w:rsidRPr="00102445">
        <w:rPr>
          <w:bCs/>
          <w:lang w:eastAsia="en-AU"/>
        </w:rPr>
      </w:r>
      <w:r w:rsidR="007E3069" w:rsidRPr="00102445">
        <w:rPr>
          <w:bCs/>
          <w:lang w:eastAsia="en-AU"/>
        </w:rPr>
        <w:fldChar w:fldCharType="separate"/>
      </w:r>
      <w:r w:rsidR="0051261D" w:rsidRPr="00102445">
        <w:rPr>
          <w:bCs/>
          <w:lang w:eastAsia="en-AU"/>
        </w:rPr>
        <w:t>64</w:t>
      </w:r>
      <w:r w:rsidR="007E3069" w:rsidRPr="00102445">
        <w:rPr>
          <w:bCs/>
          <w:lang w:eastAsia="en-AU"/>
        </w:rPr>
        <w:fldChar w:fldCharType="end"/>
      </w:r>
      <w:r w:rsidR="00350150" w:rsidRPr="00102445">
        <w:rPr>
          <w:bCs/>
          <w:lang w:eastAsia="en-AU"/>
        </w:rPr>
        <w:t>.</w:t>
      </w:r>
    </w:p>
    <w:p w14:paraId="639E7644" w14:textId="5E59DF62" w:rsidR="00AC5392" w:rsidRPr="00102445" w:rsidRDefault="00904D8B" w:rsidP="00591A9C">
      <w:pPr>
        <w:pStyle w:val="ListParagraph"/>
        <w:numPr>
          <w:ilvl w:val="0"/>
          <w:numId w:val="2"/>
        </w:numPr>
        <w:shd w:val="clear" w:color="auto" w:fill="FFFFFF" w:themeFill="background1"/>
        <w:spacing w:line="240" w:lineRule="auto"/>
        <w:contextualSpacing w:val="0"/>
        <w:rPr>
          <w:bCs/>
          <w:lang w:eastAsia="en-AU"/>
        </w:rPr>
      </w:pPr>
      <w:r w:rsidRPr="00102445">
        <w:rPr>
          <w:bCs/>
          <w:lang w:eastAsia="en-AU"/>
        </w:rPr>
        <w:t xml:space="preserve">The way that </w:t>
      </w:r>
      <w:r w:rsidRPr="00102445">
        <w:rPr>
          <w:i/>
        </w:rPr>
        <w:t>Q</w:t>
      </w:r>
      <w:r w:rsidRPr="00102445">
        <w:rPr>
          <w:i/>
          <w:vertAlign w:val="subscript"/>
        </w:rPr>
        <w:t>p</w:t>
      </w:r>
      <w:r w:rsidRPr="00102445">
        <w:rPr>
          <w:bCs/>
          <w:lang w:eastAsia="en-AU"/>
        </w:rPr>
        <w:t xml:space="preserve"> and </w:t>
      </w:r>
      <w:r w:rsidR="00D242D8" w:rsidRPr="00102445">
        <w:rPr>
          <w:i/>
          <w:lang w:eastAsia="en-AU"/>
        </w:rPr>
        <w:t>Q</w:t>
      </w:r>
      <w:r w:rsidR="00D242D8" w:rsidRPr="00102445">
        <w:rPr>
          <w:i/>
          <w:vertAlign w:val="subscript"/>
          <w:lang w:eastAsia="en-AU"/>
        </w:rPr>
        <w:t>B,p</w:t>
      </w:r>
      <w:r w:rsidR="00D242D8" w:rsidRPr="00102445">
        <w:rPr>
          <w:lang w:eastAsia="en-AU"/>
        </w:rPr>
        <w:t xml:space="preserve"> </w:t>
      </w:r>
      <w:r w:rsidRPr="00102445">
        <w:rPr>
          <w:bCs/>
          <w:lang w:eastAsia="en-AU"/>
        </w:rPr>
        <w:t xml:space="preserve">are defined means that for each production variable </w:t>
      </w:r>
      <w:r w:rsidRPr="00102445">
        <w:rPr>
          <w:i/>
          <w:lang w:eastAsia="en-AU"/>
        </w:rPr>
        <w:t>p</w:t>
      </w:r>
      <w:r w:rsidR="00F56E0F" w:rsidRPr="00102445">
        <w:rPr>
          <w:bCs/>
          <w:lang w:eastAsia="en-AU"/>
        </w:rPr>
        <w:t xml:space="preserve"> for the facility</w:t>
      </w:r>
      <w:r w:rsidRPr="00102445">
        <w:rPr>
          <w:bCs/>
          <w:lang w:eastAsia="en-AU"/>
        </w:rPr>
        <w:t>,</w:t>
      </w:r>
      <w:r w:rsidR="00F56E0F" w:rsidRPr="00102445">
        <w:rPr>
          <w:bCs/>
          <w:lang w:eastAsia="en-AU"/>
        </w:rPr>
        <w:t xml:space="preserve"> either the term</w:t>
      </w:r>
      <w:r w:rsidR="00D242D8" w:rsidRPr="00102445">
        <w:rPr>
          <w:bCs/>
          <w:lang w:eastAsia="en-AU"/>
        </w:rPr>
        <w:t xml:space="preserve"> (</w:t>
      </w:r>
      <w:r w:rsidR="00D242D8" w:rsidRPr="00102445">
        <w:rPr>
          <w:bCs/>
          <w:i/>
          <w:iCs/>
          <w:lang w:eastAsia="en-AU"/>
        </w:rPr>
        <w:t>h</w:t>
      </w:r>
      <w:r w:rsidR="00D242D8" w:rsidRPr="00102445">
        <w:rPr>
          <w:bCs/>
          <w:lang w:eastAsia="en-AU"/>
        </w:rPr>
        <w:t xml:space="preserve"> </w:t>
      </w:r>
      <w:r w:rsidR="00D242D8" w:rsidRPr="00102445">
        <w:rPr>
          <w:bCs/>
          <w:i/>
          <w:iCs/>
          <w:lang w:eastAsia="en-AU"/>
        </w:rPr>
        <w:t>EI</w:t>
      </w:r>
      <w:r w:rsidR="00D242D8" w:rsidRPr="00102445">
        <w:rPr>
          <w:bCs/>
          <w:i/>
          <w:iCs/>
          <w:vertAlign w:val="subscript"/>
          <w:lang w:eastAsia="en-AU"/>
        </w:rPr>
        <w:t>p</w:t>
      </w:r>
      <w:r w:rsidR="007612A5" w:rsidRPr="00102445">
        <w:rPr>
          <w:bCs/>
          <w:lang w:eastAsia="en-AU"/>
        </w:rPr>
        <w:t>–</w:t>
      </w:r>
      <w:r w:rsidR="00D242D8" w:rsidRPr="00102445">
        <w:rPr>
          <w:bCs/>
          <w:lang w:eastAsia="en-AU"/>
        </w:rPr>
        <w:t xml:space="preserve">+ (1 - </w:t>
      </w:r>
      <w:r w:rsidR="00D242D8" w:rsidRPr="00102445">
        <w:rPr>
          <w:bCs/>
          <w:i/>
          <w:iCs/>
          <w:lang w:eastAsia="en-AU"/>
        </w:rPr>
        <w:t>h</w:t>
      </w:r>
      <w:r w:rsidR="00D242D8" w:rsidRPr="00102445">
        <w:rPr>
          <w:bCs/>
          <w:lang w:eastAsia="en-AU"/>
        </w:rPr>
        <w:t xml:space="preserve">) </w:t>
      </w:r>
      <w:r w:rsidR="00D242D8" w:rsidRPr="00102445">
        <w:rPr>
          <w:bCs/>
          <w:i/>
          <w:iCs/>
          <w:lang w:eastAsia="en-AU"/>
        </w:rPr>
        <w:t>EI</w:t>
      </w:r>
      <w:r w:rsidR="00D242D8" w:rsidRPr="00102445">
        <w:rPr>
          <w:bCs/>
          <w:i/>
          <w:iCs/>
          <w:vertAlign w:val="subscript"/>
          <w:lang w:eastAsia="en-AU"/>
        </w:rPr>
        <w:t>F,p</w:t>
      </w:r>
      <w:r w:rsidR="00D242D8" w:rsidRPr="00102445">
        <w:rPr>
          <w:bCs/>
          <w:lang w:eastAsia="en-AU"/>
        </w:rPr>
        <w:t>)</w:t>
      </w:r>
      <w:r w:rsidR="000F4078" w:rsidRPr="00102445">
        <w:rPr>
          <w:bCs/>
          <w:lang w:eastAsia="en-AU"/>
        </w:rPr>
        <w:t xml:space="preserve"> </w:t>
      </w:r>
      <w:r w:rsidR="000F4078" w:rsidRPr="00102445">
        <w:rPr>
          <w:rFonts w:cs="Times New Roman"/>
          <w:bCs/>
          <w:lang w:eastAsia="en-AU"/>
        </w:rPr>
        <w:t>×</w:t>
      </w:r>
      <w:r w:rsidR="00D242D8" w:rsidRPr="00102445">
        <w:rPr>
          <w:bCs/>
          <w:lang w:eastAsia="en-AU"/>
        </w:rPr>
        <w:t xml:space="preserve"> </w:t>
      </w:r>
      <w:r w:rsidR="000F4078" w:rsidRPr="00102445">
        <w:rPr>
          <w:i/>
        </w:rPr>
        <w:t>Q</w:t>
      </w:r>
      <w:r w:rsidR="000F4078" w:rsidRPr="00102445">
        <w:rPr>
          <w:i/>
          <w:vertAlign w:val="subscript"/>
        </w:rPr>
        <w:t>p</w:t>
      </w:r>
      <w:r w:rsidR="000F4078" w:rsidRPr="00102445">
        <w:rPr>
          <w:bCs/>
          <w:lang w:eastAsia="en-AU"/>
        </w:rPr>
        <w:t xml:space="preserve"> </w:t>
      </w:r>
      <w:r w:rsidR="002A574B" w:rsidRPr="00102445">
        <w:rPr>
          <w:bCs/>
          <w:lang w:eastAsia="en-AU"/>
        </w:rPr>
        <w:t xml:space="preserve">is zero or the term </w:t>
      </w:r>
      <w:r w:rsidR="002A574B" w:rsidRPr="00102445">
        <w:rPr>
          <w:i/>
        </w:rPr>
        <w:t>EI</w:t>
      </w:r>
      <w:r w:rsidR="002A574B" w:rsidRPr="00102445">
        <w:rPr>
          <w:i/>
          <w:vertAlign w:val="subscript"/>
        </w:rPr>
        <w:t>B,p</w:t>
      </w:r>
      <w:r w:rsidR="000F4078" w:rsidRPr="00102445">
        <w:rPr>
          <w:bCs/>
          <w:lang w:eastAsia="en-AU"/>
        </w:rPr>
        <w:t xml:space="preserve"> </w:t>
      </w:r>
      <w:r w:rsidR="000F4078" w:rsidRPr="00102445">
        <w:rPr>
          <w:rFonts w:cs="Times New Roman"/>
          <w:bCs/>
          <w:lang w:eastAsia="en-AU"/>
        </w:rPr>
        <w:t>×</w:t>
      </w:r>
      <w:r w:rsidR="000F4078" w:rsidRPr="00102445">
        <w:rPr>
          <w:bCs/>
          <w:lang w:eastAsia="en-AU"/>
        </w:rPr>
        <w:t xml:space="preserve"> </w:t>
      </w:r>
      <w:r w:rsidR="000F4078" w:rsidRPr="00102445">
        <w:rPr>
          <w:i/>
          <w:lang w:eastAsia="en-AU"/>
        </w:rPr>
        <w:t>Q</w:t>
      </w:r>
      <w:r w:rsidR="000F4078" w:rsidRPr="00102445">
        <w:rPr>
          <w:i/>
          <w:vertAlign w:val="subscript"/>
          <w:lang w:eastAsia="en-AU"/>
        </w:rPr>
        <w:t>B,p</w:t>
      </w:r>
      <w:r w:rsidR="000F4078" w:rsidRPr="00102445">
        <w:rPr>
          <w:lang w:eastAsia="en-AU"/>
        </w:rPr>
        <w:t xml:space="preserve"> </w:t>
      </w:r>
      <w:r w:rsidR="002A574B" w:rsidRPr="00102445">
        <w:rPr>
          <w:bCs/>
          <w:lang w:eastAsia="en-AU"/>
        </w:rPr>
        <w:t>is zero</w:t>
      </w:r>
      <w:r w:rsidR="00DD7B28" w:rsidRPr="00102445">
        <w:rPr>
          <w:bCs/>
          <w:lang w:eastAsia="en-AU"/>
        </w:rPr>
        <w:t xml:space="preserve">, depending on whether an emissions intensity determination is in place for the production variable </w:t>
      </w:r>
      <w:r w:rsidR="00DD7B28" w:rsidRPr="00102445">
        <w:rPr>
          <w:i/>
          <w:lang w:eastAsia="en-AU"/>
        </w:rPr>
        <w:t>p</w:t>
      </w:r>
      <w:r w:rsidR="00DD7B28" w:rsidRPr="00102445">
        <w:rPr>
          <w:bCs/>
          <w:lang w:eastAsia="en-AU"/>
        </w:rPr>
        <w:t xml:space="preserve"> for the facility</w:t>
      </w:r>
      <w:r w:rsidR="002A574B" w:rsidRPr="00102445">
        <w:rPr>
          <w:bCs/>
          <w:lang w:eastAsia="en-AU"/>
        </w:rPr>
        <w:t>.</w:t>
      </w:r>
    </w:p>
    <w:p w14:paraId="2F31061E" w14:textId="77176921" w:rsidR="004E1BE3" w:rsidRDefault="00974E74" w:rsidP="00591A9C">
      <w:pPr>
        <w:pStyle w:val="ListParagraph"/>
        <w:numPr>
          <w:ilvl w:val="0"/>
          <w:numId w:val="2"/>
        </w:numPr>
        <w:shd w:val="clear" w:color="auto" w:fill="FFFFFF" w:themeFill="background1"/>
        <w:spacing w:line="240" w:lineRule="auto"/>
        <w:contextualSpacing w:val="0"/>
        <w:rPr>
          <w:bCs/>
          <w:lang w:eastAsia="en-AU"/>
        </w:rPr>
      </w:pPr>
      <w:r w:rsidRPr="00102445">
        <w:rPr>
          <w:bCs/>
          <w:lang w:eastAsia="en-AU"/>
        </w:rPr>
        <w:t>In many cases</w:t>
      </w:r>
      <w:r w:rsidR="003342BA" w:rsidRPr="00102445">
        <w:rPr>
          <w:bCs/>
          <w:lang w:eastAsia="en-AU"/>
        </w:rPr>
        <w:t>, an emissions intensity determination will be in place for all of a facility’s production variables.</w:t>
      </w:r>
      <w:r w:rsidR="00AB094D" w:rsidRPr="00102445">
        <w:rPr>
          <w:bCs/>
          <w:lang w:eastAsia="en-AU"/>
        </w:rPr>
        <w:t xml:space="preserve"> In this situation the formula in subsection </w:t>
      </w:r>
      <w:r w:rsidR="00CD5633" w:rsidRPr="00102445">
        <w:rPr>
          <w:bCs/>
          <w:lang w:eastAsia="en-AU"/>
        </w:rPr>
        <w:t>11</w:t>
      </w:r>
      <w:r w:rsidR="00AB094D" w:rsidRPr="00102445">
        <w:rPr>
          <w:bCs/>
          <w:lang w:eastAsia="en-AU"/>
        </w:rPr>
        <w:t>(1) simplifie</w:t>
      </w:r>
      <w:r w:rsidR="005B1423" w:rsidRPr="00102445">
        <w:rPr>
          <w:bCs/>
          <w:lang w:eastAsia="en-AU"/>
        </w:rPr>
        <w:t>s</w:t>
      </w:r>
      <w:r w:rsidR="00AB094D" w:rsidRPr="00102445">
        <w:rPr>
          <w:bCs/>
          <w:lang w:eastAsia="en-AU"/>
        </w:rPr>
        <w:t xml:space="preserve"> to:</w:t>
      </w:r>
    </w:p>
    <w:p w14:paraId="5829111F" w14:textId="42842DF2" w:rsidR="003635B0" w:rsidRPr="00102445" w:rsidRDefault="003635B0" w:rsidP="003635B0">
      <w:pPr>
        <w:pStyle w:val="ListParagraph"/>
        <w:shd w:val="clear" w:color="auto" w:fill="FFFFFF" w:themeFill="background1"/>
        <w:spacing w:line="240" w:lineRule="auto"/>
        <w:ind w:left="850"/>
        <w:contextualSpacing w:val="0"/>
        <w:rPr>
          <w:bCs/>
          <w:lang w:eastAsia="en-AU"/>
        </w:rPr>
      </w:pPr>
      <w:r>
        <w:rPr>
          <w:bCs/>
          <w:noProof/>
          <w:lang w:eastAsia="en-AU"/>
        </w:rPr>
        <w:drawing>
          <wp:inline distT="0" distB="0" distL="0" distR="0" wp14:anchorId="63E36AEA" wp14:editId="21CB57A0">
            <wp:extent cx="4391025" cy="1009650"/>
            <wp:effectExtent l="0" t="0" r="9525" b="0"/>
            <wp:docPr id="2" name="Picture 2" descr="Formula for the calculation of an emissions number where an emissions intensity determination is in place for all of a facility’s production vari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rmula for the calculation of an emissions number where an emissions intensity determination is in place for all of a facility’s production variables."/>
                    <pic:cNvPicPr/>
                  </pic:nvPicPr>
                  <pic:blipFill>
                    <a:blip r:embed="rId15">
                      <a:extLst>
                        <a:ext uri="{28A0092B-C50C-407E-A947-70E740481C1C}">
                          <a14:useLocalDpi xmlns:a14="http://schemas.microsoft.com/office/drawing/2010/main" val="0"/>
                        </a:ext>
                      </a:extLst>
                    </a:blip>
                    <a:stretch>
                      <a:fillRect/>
                    </a:stretch>
                  </pic:blipFill>
                  <pic:spPr>
                    <a:xfrm>
                      <a:off x="0" y="0"/>
                      <a:ext cx="4391025" cy="1009650"/>
                    </a:xfrm>
                    <a:prstGeom prst="rect">
                      <a:avLst/>
                    </a:prstGeom>
                  </pic:spPr>
                </pic:pic>
              </a:graphicData>
            </a:graphic>
          </wp:inline>
        </w:drawing>
      </w:r>
    </w:p>
    <w:p w14:paraId="2B5C8D41" w14:textId="3C8A79F0" w:rsidR="002045DE" w:rsidRPr="00102445" w:rsidRDefault="005754A6" w:rsidP="00591A9C">
      <w:pPr>
        <w:pStyle w:val="ListParagraph"/>
        <w:numPr>
          <w:ilvl w:val="0"/>
          <w:numId w:val="2"/>
        </w:numPr>
        <w:shd w:val="clear" w:color="auto" w:fill="FFFFFF" w:themeFill="background1"/>
        <w:spacing w:line="240" w:lineRule="auto"/>
        <w:contextualSpacing w:val="0"/>
        <w:rPr>
          <w:b/>
          <w:lang w:eastAsia="en-AU"/>
        </w:rPr>
      </w:pPr>
      <w:r w:rsidRPr="00102445">
        <w:rPr>
          <w:lang w:eastAsia="en-AU"/>
        </w:rPr>
        <w:t xml:space="preserve">Section </w:t>
      </w:r>
      <w:r w:rsidR="00253DB3" w:rsidRPr="00102445">
        <w:rPr>
          <w:lang w:eastAsia="en-AU"/>
        </w:rPr>
        <w:t xml:space="preserve">12 </w:t>
      </w:r>
      <w:r w:rsidR="00A62117" w:rsidRPr="00102445">
        <w:rPr>
          <w:lang w:eastAsia="en-AU"/>
        </w:rPr>
        <w:t xml:space="preserve">outlines </w:t>
      </w:r>
      <w:r w:rsidRPr="00102445">
        <w:rPr>
          <w:lang w:eastAsia="en-AU"/>
        </w:rPr>
        <w:t xml:space="preserve">the meaning of an </w:t>
      </w:r>
      <w:r w:rsidR="005565F9" w:rsidRPr="00102445">
        <w:rPr>
          <w:lang w:eastAsia="en-AU"/>
        </w:rPr>
        <w:t>‘</w:t>
      </w:r>
      <w:r w:rsidRPr="00102445">
        <w:rPr>
          <w:lang w:eastAsia="en-AU"/>
        </w:rPr>
        <w:t>existing facility</w:t>
      </w:r>
      <w:r w:rsidR="005565F9" w:rsidRPr="00102445">
        <w:rPr>
          <w:lang w:eastAsia="en-AU"/>
        </w:rPr>
        <w:t>’</w:t>
      </w:r>
      <w:r w:rsidR="00B8709D" w:rsidRPr="00102445">
        <w:rPr>
          <w:lang w:eastAsia="en-AU"/>
        </w:rPr>
        <w:t xml:space="preserve">. </w:t>
      </w:r>
      <w:r w:rsidR="002045DE" w:rsidRPr="00102445">
        <w:rPr>
          <w:lang w:eastAsia="en-AU"/>
        </w:rPr>
        <w:t xml:space="preserve">It also sets out a number of relevant definitions including </w:t>
      </w:r>
      <w:r w:rsidR="00CC0201" w:rsidRPr="00102445">
        <w:rPr>
          <w:lang w:eastAsia="en-AU"/>
        </w:rPr>
        <w:t xml:space="preserve">‘historical production variable’ (subsection </w:t>
      </w:r>
      <w:r w:rsidR="00CD5633" w:rsidRPr="00102445">
        <w:rPr>
          <w:lang w:eastAsia="en-AU"/>
        </w:rPr>
        <w:t>12</w:t>
      </w:r>
      <w:r w:rsidR="00CC0201" w:rsidRPr="00102445">
        <w:rPr>
          <w:lang w:eastAsia="en-AU"/>
        </w:rPr>
        <w:t xml:space="preserve">(2)); </w:t>
      </w:r>
      <w:r w:rsidR="00D4027D" w:rsidRPr="00102445">
        <w:rPr>
          <w:lang w:eastAsia="en-AU"/>
        </w:rPr>
        <w:t>‘historical financial year’ (subsection</w:t>
      </w:r>
      <w:r w:rsidR="002E216B" w:rsidRPr="00102445">
        <w:rPr>
          <w:lang w:eastAsia="en-AU"/>
        </w:rPr>
        <w:t xml:space="preserve"> </w:t>
      </w:r>
      <w:r w:rsidR="00CD5633" w:rsidRPr="00102445">
        <w:rPr>
          <w:lang w:eastAsia="en-AU"/>
        </w:rPr>
        <w:t>12</w:t>
      </w:r>
      <w:r w:rsidR="002E216B" w:rsidRPr="00102445">
        <w:rPr>
          <w:lang w:eastAsia="en-AU"/>
        </w:rPr>
        <w:t>(3)); ‘</w:t>
      </w:r>
      <w:r w:rsidR="002D01C7" w:rsidRPr="00102445">
        <w:rPr>
          <w:lang w:eastAsia="en-AU"/>
        </w:rPr>
        <w:t>transitional production variable</w:t>
      </w:r>
      <w:r w:rsidR="00997EEA" w:rsidRPr="00102445">
        <w:rPr>
          <w:lang w:eastAsia="en-AU"/>
        </w:rPr>
        <w:t xml:space="preserve">’ (subsection </w:t>
      </w:r>
      <w:r w:rsidR="00CD5633" w:rsidRPr="00102445">
        <w:rPr>
          <w:lang w:eastAsia="en-AU"/>
        </w:rPr>
        <w:t>12</w:t>
      </w:r>
      <w:r w:rsidR="00997EEA" w:rsidRPr="00102445">
        <w:rPr>
          <w:lang w:eastAsia="en-AU"/>
        </w:rPr>
        <w:t xml:space="preserve">(4)); and </w:t>
      </w:r>
      <w:r w:rsidR="00771BF0" w:rsidRPr="00102445">
        <w:rPr>
          <w:lang w:eastAsia="en-AU"/>
        </w:rPr>
        <w:t>‘</w:t>
      </w:r>
      <w:r w:rsidR="00997EEA" w:rsidRPr="00102445">
        <w:rPr>
          <w:lang w:eastAsia="en-AU"/>
        </w:rPr>
        <w:t>non</w:t>
      </w:r>
      <w:r w:rsidR="00771BF0" w:rsidRPr="00102445">
        <w:rPr>
          <w:lang w:eastAsia="en-AU"/>
        </w:rPr>
        <w:t xml:space="preserve">-commercial production variable’ (subsection </w:t>
      </w:r>
      <w:r w:rsidR="00CD5633" w:rsidRPr="00102445">
        <w:rPr>
          <w:lang w:eastAsia="en-AU"/>
        </w:rPr>
        <w:t>12</w:t>
      </w:r>
      <w:r w:rsidR="00771BF0" w:rsidRPr="00102445">
        <w:rPr>
          <w:lang w:eastAsia="en-AU"/>
        </w:rPr>
        <w:t>(5)).</w:t>
      </w:r>
    </w:p>
    <w:p w14:paraId="3FB629DE" w14:textId="72F3F5EC" w:rsidR="00230A5D" w:rsidRPr="00102445" w:rsidRDefault="00C53D63" w:rsidP="00591A9C">
      <w:pPr>
        <w:pStyle w:val="ListParagraph"/>
        <w:numPr>
          <w:ilvl w:val="0"/>
          <w:numId w:val="2"/>
        </w:numPr>
        <w:shd w:val="clear" w:color="auto" w:fill="FFFFFF" w:themeFill="background1"/>
        <w:spacing w:line="240" w:lineRule="auto"/>
        <w:contextualSpacing w:val="0"/>
        <w:rPr>
          <w:b/>
          <w:lang w:eastAsia="en-AU"/>
        </w:rPr>
      </w:pPr>
      <w:r w:rsidRPr="00102445">
        <w:t xml:space="preserve">A historical production variable for a facility is </w:t>
      </w:r>
      <w:r w:rsidR="00B52764" w:rsidRPr="00102445">
        <w:t>a production variable specified in Schedule 1 of the amended Safeguard Rules,</w:t>
      </w:r>
      <w:r w:rsidRPr="00102445">
        <w:t xml:space="preserve"> for which the facility engaged</w:t>
      </w:r>
      <w:r w:rsidR="00EC3BE1" w:rsidRPr="00102445">
        <w:t xml:space="preserve"> </w:t>
      </w:r>
      <w:r w:rsidR="00ED1A0E" w:rsidRPr="00102445">
        <w:t xml:space="preserve">in commercial production in one or more historical financial years, which are the years corresponding to the period </w:t>
      </w:r>
      <w:r w:rsidR="00230A5D" w:rsidRPr="00102445">
        <w:t>between 1 July 2017 and 30 June 2022.</w:t>
      </w:r>
      <w:r w:rsidR="00881628" w:rsidRPr="00102445">
        <w:t xml:space="preserve"> A transitional production variable </w:t>
      </w:r>
      <w:r w:rsidR="00CF527E" w:rsidRPr="00102445">
        <w:t xml:space="preserve">for a facility </w:t>
      </w:r>
      <w:r w:rsidR="00881628" w:rsidRPr="00102445">
        <w:t>is a production variable specified in Schedule 1 of the amended Safeguard Rules,</w:t>
      </w:r>
      <w:r w:rsidR="00CF527E" w:rsidRPr="00102445">
        <w:t xml:space="preserve"> which was not a historical production variable, but where the facility engaged on commercial prod</w:t>
      </w:r>
      <w:r w:rsidR="00A768E6" w:rsidRPr="00102445">
        <w:t>u</w:t>
      </w:r>
      <w:r w:rsidR="00CF527E" w:rsidRPr="00102445">
        <w:t>ction</w:t>
      </w:r>
      <w:r w:rsidR="00A768E6" w:rsidRPr="00102445">
        <w:t xml:space="preserve"> in the financial year beginning on 1 July 2022.</w:t>
      </w:r>
    </w:p>
    <w:p w14:paraId="69B4030E" w14:textId="19520835" w:rsidR="00675745" w:rsidRPr="00102445" w:rsidRDefault="00A62117" w:rsidP="00591A9C">
      <w:pPr>
        <w:pStyle w:val="ListParagraph"/>
        <w:numPr>
          <w:ilvl w:val="0"/>
          <w:numId w:val="2"/>
        </w:numPr>
        <w:shd w:val="clear" w:color="auto" w:fill="FFFFFF" w:themeFill="background1"/>
        <w:spacing w:line="240" w:lineRule="auto"/>
        <w:contextualSpacing w:val="0"/>
        <w:rPr>
          <w:b/>
          <w:lang w:eastAsia="en-AU"/>
        </w:rPr>
      </w:pPr>
      <w:r w:rsidRPr="00102445">
        <w:t xml:space="preserve">An existing facility </w:t>
      </w:r>
      <w:r w:rsidR="006E2DA1" w:rsidRPr="00102445">
        <w:t xml:space="preserve">is </w:t>
      </w:r>
      <w:r w:rsidR="004444AB" w:rsidRPr="00102445">
        <w:t>one</w:t>
      </w:r>
      <w:r w:rsidR="006E2DA1" w:rsidRPr="00102445" w:rsidDel="004444AB">
        <w:t xml:space="preserve"> </w:t>
      </w:r>
      <w:r w:rsidR="004444AB" w:rsidRPr="00102445">
        <w:t xml:space="preserve">for </w:t>
      </w:r>
      <w:r w:rsidR="006E2DA1" w:rsidRPr="00102445">
        <w:t>which there are</w:t>
      </w:r>
      <w:r w:rsidRPr="00102445">
        <w:t xml:space="preserve"> at least one</w:t>
      </w:r>
      <w:r w:rsidR="006E2DA1" w:rsidRPr="00102445">
        <w:t xml:space="preserve"> or more</w:t>
      </w:r>
      <w:r w:rsidRPr="00102445">
        <w:t xml:space="preserve"> historical</w:t>
      </w:r>
      <w:r w:rsidR="006E2DA1" w:rsidRPr="00102445">
        <w:t xml:space="preserve"> </w:t>
      </w:r>
      <w:r w:rsidR="003437C6" w:rsidRPr="00102445">
        <w:t xml:space="preserve">or transitional </w:t>
      </w:r>
      <w:r w:rsidR="006E2DA1" w:rsidRPr="00102445">
        <w:t>production variables</w:t>
      </w:r>
      <w:r w:rsidR="00DD3F6E" w:rsidRPr="00102445">
        <w:t xml:space="preserve">. </w:t>
      </w:r>
      <w:r w:rsidR="00173382" w:rsidRPr="00102445">
        <w:t xml:space="preserve">This definition differentiates </w:t>
      </w:r>
      <w:r w:rsidR="00EA42A6" w:rsidRPr="00102445">
        <w:t>existing facilities</w:t>
      </w:r>
      <w:r w:rsidR="00173382" w:rsidRPr="00102445">
        <w:t xml:space="preserve"> from new facilities and</w:t>
      </w:r>
      <w:r w:rsidR="00BA5664" w:rsidRPr="00102445">
        <w:t xml:space="preserve"> </w:t>
      </w:r>
      <w:r w:rsidR="008D672C" w:rsidRPr="00102445">
        <w:lastRenderedPageBreak/>
        <w:t xml:space="preserve">determines which section </w:t>
      </w:r>
      <w:r w:rsidR="00D04305" w:rsidRPr="00102445">
        <w:t xml:space="preserve">of the amended Safeguard Rules </w:t>
      </w:r>
      <w:r w:rsidR="008D672C" w:rsidRPr="00102445">
        <w:t xml:space="preserve">is used </w:t>
      </w:r>
      <w:r w:rsidR="00D04305" w:rsidRPr="00102445">
        <w:t>to calculate</w:t>
      </w:r>
      <w:r w:rsidR="008D672C" w:rsidRPr="00102445">
        <w:t xml:space="preserve"> the </w:t>
      </w:r>
      <w:r w:rsidR="00BA5664" w:rsidRPr="00102445">
        <w:t>facilit</w:t>
      </w:r>
      <w:r w:rsidR="006456DC" w:rsidRPr="00102445">
        <w:t>y’</w:t>
      </w:r>
      <w:r w:rsidR="00BA5664" w:rsidRPr="00102445">
        <w:t>s</w:t>
      </w:r>
      <w:r w:rsidR="00BA5664" w:rsidRPr="00102445" w:rsidDel="008D672C">
        <w:t xml:space="preserve"> </w:t>
      </w:r>
      <w:r w:rsidR="00BA5664" w:rsidRPr="00102445">
        <w:t>baseline</w:t>
      </w:r>
      <w:r w:rsidR="00173382" w:rsidRPr="00102445">
        <w:t xml:space="preserve">. </w:t>
      </w:r>
    </w:p>
    <w:p w14:paraId="3A5A2104" w14:textId="535666E7" w:rsidR="00FA6FD6" w:rsidRPr="00102445" w:rsidRDefault="00FA6FD6" w:rsidP="009025A7">
      <w:pPr>
        <w:pStyle w:val="Heading6"/>
      </w:pPr>
      <w:r w:rsidRPr="00102445">
        <w:t>Subdivision B – Transition proportions</w:t>
      </w:r>
    </w:p>
    <w:p w14:paraId="52043334" w14:textId="471CDDDC" w:rsidR="003B7885" w:rsidRPr="00102445" w:rsidRDefault="00493E27"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lang w:eastAsia="en-AU"/>
        </w:rPr>
        <w:t xml:space="preserve">Baselines for existing facilities will be set using a hybrid model initially weighted towards the use of </w:t>
      </w:r>
      <w:r w:rsidR="00DE2D54" w:rsidRPr="00102445">
        <w:rPr>
          <w:lang w:eastAsia="en-AU"/>
        </w:rPr>
        <w:t>site-specific</w:t>
      </w:r>
      <w:r w:rsidRPr="00102445">
        <w:rPr>
          <w:lang w:eastAsia="en-AU"/>
        </w:rPr>
        <w:t xml:space="preserve"> emissions intensity values and transitioning to industry average emissions intensity values by 2030. </w:t>
      </w:r>
      <w:r w:rsidR="008B0C68" w:rsidRPr="00102445">
        <w:rPr>
          <w:lang w:eastAsia="en-AU"/>
        </w:rPr>
        <w:t>The transitional proportion</w:t>
      </w:r>
      <w:r w:rsidR="007778A2" w:rsidRPr="00102445">
        <w:rPr>
          <w:lang w:eastAsia="en-AU"/>
        </w:rPr>
        <w:t>s</w:t>
      </w:r>
      <w:r w:rsidR="008B0C68" w:rsidRPr="00102445">
        <w:rPr>
          <w:lang w:eastAsia="en-AU"/>
        </w:rPr>
        <w:t xml:space="preserve"> for</w:t>
      </w:r>
      <w:r w:rsidR="007778A2" w:rsidRPr="00102445">
        <w:rPr>
          <w:lang w:eastAsia="en-AU"/>
        </w:rPr>
        <w:t xml:space="preserve"> each</w:t>
      </w:r>
      <w:r w:rsidR="008B0C68" w:rsidRPr="00102445" w:rsidDel="00277ADE">
        <w:rPr>
          <w:lang w:eastAsia="en-AU"/>
        </w:rPr>
        <w:t xml:space="preserve"> </w:t>
      </w:r>
      <w:r w:rsidR="008B0C68" w:rsidRPr="00102445">
        <w:rPr>
          <w:lang w:eastAsia="en-AU"/>
        </w:rPr>
        <w:t xml:space="preserve">financial year </w:t>
      </w:r>
      <w:r w:rsidR="00277ADE" w:rsidRPr="00102445">
        <w:rPr>
          <w:lang w:eastAsia="en-AU"/>
        </w:rPr>
        <w:t xml:space="preserve">are </w:t>
      </w:r>
      <w:r w:rsidR="008B0C68" w:rsidRPr="00102445">
        <w:rPr>
          <w:lang w:eastAsia="en-AU"/>
        </w:rPr>
        <w:t>specified in column 2</w:t>
      </w:r>
      <w:r w:rsidR="00293D41" w:rsidRPr="00102445">
        <w:rPr>
          <w:lang w:eastAsia="en-AU"/>
        </w:rPr>
        <w:t xml:space="preserve"> </w:t>
      </w:r>
      <w:r w:rsidR="00357747" w:rsidRPr="00102445">
        <w:rPr>
          <w:lang w:eastAsia="en-AU"/>
        </w:rPr>
        <w:t>of</w:t>
      </w:r>
      <w:r w:rsidR="00487039" w:rsidRPr="00102445">
        <w:rPr>
          <w:lang w:eastAsia="en-AU"/>
        </w:rPr>
        <w:t xml:space="preserve"> the table in</w:t>
      </w:r>
      <w:r w:rsidR="00357747" w:rsidRPr="00102445">
        <w:rPr>
          <w:lang w:eastAsia="en-AU"/>
        </w:rPr>
        <w:t xml:space="preserve"> section </w:t>
      </w:r>
      <w:r w:rsidR="005E6911" w:rsidRPr="00102445">
        <w:rPr>
          <w:lang w:eastAsia="en-AU"/>
        </w:rPr>
        <w:t>13</w:t>
      </w:r>
      <w:r w:rsidR="00357747" w:rsidRPr="00102445">
        <w:rPr>
          <w:lang w:eastAsia="en-AU"/>
        </w:rPr>
        <w:t xml:space="preserve"> </w:t>
      </w:r>
      <w:r w:rsidR="00293D41" w:rsidRPr="00102445">
        <w:rPr>
          <w:lang w:eastAsia="en-AU"/>
        </w:rPr>
        <w:t xml:space="preserve">and </w:t>
      </w:r>
      <w:r w:rsidR="00461342" w:rsidRPr="00102445">
        <w:rPr>
          <w:lang w:eastAsia="en-AU"/>
        </w:rPr>
        <w:t xml:space="preserve">correspond to the term </w:t>
      </w:r>
      <w:r w:rsidR="00461342" w:rsidRPr="00102445">
        <w:rPr>
          <w:i/>
          <w:iCs/>
          <w:lang w:eastAsia="en-AU"/>
        </w:rPr>
        <w:t>h</w:t>
      </w:r>
      <w:r w:rsidR="004105FA" w:rsidRPr="00102445">
        <w:rPr>
          <w:i/>
          <w:iCs/>
          <w:lang w:eastAsia="en-AU"/>
        </w:rPr>
        <w:t xml:space="preserve"> </w:t>
      </w:r>
      <w:r w:rsidR="004105FA" w:rsidRPr="00102445">
        <w:rPr>
          <w:lang w:eastAsia="en-AU"/>
        </w:rPr>
        <w:t xml:space="preserve">used to calculate the baseline emissions number </w:t>
      </w:r>
      <w:r w:rsidR="00461342" w:rsidRPr="00102445">
        <w:t xml:space="preserve">in the formula in section </w:t>
      </w:r>
      <w:r w:rsidR="005E6911" w:rsidRPr="00102445">
        <w:t>11</w:t>
      </w:r>
      <w:r w:rsidR="008B0C68" w:rsidRPr="00102445">
        <w:rPr>
          <w:lang w:eastAsia="en-AU"/>
        </w:rPr>
        <w:t xml:space="preserve">. </w:t>
      </w:r>
      <w:r w:rsidR="0010748D" w:rsidRPr="00102445">
        <w:rPr>
          <w:lang w:eastAsia="en-AU"/>
        </w:rPr>
        <w:t>They correspond to the relative significance of the</w:t>
      </w:r>
      <w:r w:rsidR="00EB49FB" w:rsidRPr="00102445">
        <w:rPr>
          <w:lang w:eastAsia="en-AU"/>
        </w:rPr>
        <w:t xml:space="preserve"> default emissions intensity compared to the facility-specific emissions intensity and increase over time to 1 by </w:t>
      </w:r>
      <w:r w:rsidR="00EA2639" w:rsidRPr="00102445">
        <w:rPr>
          <w:lang w:eastAsia="en-AU"/>
        </w:rPr>
        <w:t>the financial year beginning on 1 July 2029.</w:t>
      </w:r>
      <w:r w:rsidR="0010748D" w:rsidRPr="00102445">
        <w:rPr>
          <w:lang w:eastAsia="en-AU"/>
        </w:rPr>
        <w:t xml:space="preserve"> </w:t>
      </w:r>
      <w:r w:rsidR="002C640B" w:rsidRPr="00102445">
        <w:rPr>
          <w:lang w:eastAsia="en-AU"/>
        </w:rPr>
        <w:t xml:space="preserve">This delivers </w:t>
      </w:r>
      <w:r w:rsidR="00EA2639" w:rsidRPr="00102445">
        <w:rPr>
          <w:lang w:eastAsia="en-AU"/>
        </w:rPr>
        <w:t xml:space="preserve">the </w:t>
      </w:r>
      <w:r w:rsidR="00A204B7" w:rsidRPr="00102445">
        <w:rPr>
          <w:lang w:eastAsia="en-AU"/>
        </w:rPr>
        <w:t>long-term</w:t>
      </w:r>
      <w:r w:rsidR="002C640B" w:rsidRPr="00102445">
        <w:rPr>
          <w:lang w:eastAsia="en-AU"/>
        </w:rPr>
        <w:t xml:space="preserve"> benefits of industry average baselines, while giving businesses time to </w:t>
      </w:r>
      <w:r w:rsidR="00EA2639" w:rsidRPr="00102445">
        <w:rPr>
          <w:lang w:eastAsia="en-AU"/>
        </w:rPr>
        <w:t>adjust to</w:t>
      </w:r>
      <w:r w:rsidR="002C640B" w:rsidRPr="00102445">
        <w:rPr>
          <w:lang w:eastAsia="en-AU"/>
        </w:rPr>
        <w:t xml:space="preserve"> the changes. </w:t>
      </w:r>
    </w:p>
    <w:p w14:paraId="5A2FF89C" w14:textId="542DCF94" w:rsidR="00921A42" w:rsidRPr="00102445" w:rsidRDefault="00921A42" w:rsidP="009025A7">
      <w:pPr>
        <w:pStyle w:val="Heading6"/>
      </w:pPr>
      <w:r w:rsidRPr="00102445">
        <w:t>Subdivision C – Emissions intensity determination</w:t>
      </w:r>
    </w:p>
    <w:p w14:paraId="6CD659DC" w14:textId="39781D3C" w:rsidR="00771176" w:rsidRPr="00102445" w:rsidRDefault="00771176"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Subdivision C concerns emissions intensity determinations, which </w:t>
      </w:r>
      <w:r w:rsidR="00AE0962" w:rsidRPr="00102445">
        <w:rPr>
          <w:rFonts w:eastAsia="Times New Roman" w:cs="Times New Roman"/>
          <w:lang w:eastAsia="en-AU"/>
        </w:rPr>
        <w:t>specify</w:t>
      </w:r>
      <w:r w:rsidR="00057213" w:rsidRPr="00102445">
        <w:rPr>
          <w:rFonts w:eastAsia="Times New Roman" w:cs="Times New Roman"/>
          <w:lang w:eastAsia="en-AU"/>
        </w:rPr>
        <w:t xml:space="preserve"> </w:t>
      </w:r>
      <w:r w:rsidR="003D16E3" w:rsidRPr="00102445">
        <w:rPr>
          <w:rFonts w:eastAsia="Times New Roman" w:cs="Times New Roman"/>
          <w:lang w:eastAsia="en-AU"/>
        </w:rPr>
        <w:t xml:space="preserve">the </w:t>
      </w:r>
      <w:r w:rsidR="00AE0962" w:rsidRPr="00102445">
        <w:rPr>
          <w:rFonts w:eastAsia="Times New Roman" w:cs="Times New Roman"/>
          <w:lang w:eastAsia="en-AU"/>
        </w:rPr>
        <w:t xml:space="preserve">emissions intensity </w:t>
      </w:r>
      <w:r w:rsidR="00FE71D2" w:rsidRPr="00102445">
        <w:rPr>
          <w:rFonts w:eastAsia="Times New Roman" w:cs="Times New Roman"/>
          <w:lang w:eastAsia="en-AU"/>
        </w:rPr>
        <w:t>of each production variable for</w:t>
      </w:r>
      <w:r w:rsidR="003F1744" w:rsidRPr="00102445">
        <w:rPr>
          <w:rFonts w:eastAsia="Times New Roman" w:cs="Times New Roman"/>
          <w:lang w:eastAsia="en-AU"/>
        </w:rPr>
        <w:t xml:space="preserve"> a facility </w:t>
      </w:r>
      <w:r w:rsidR="00AE0962" w:rsidRPr="00102445">
        <w:rPr>
          <w:rFonts w:eastAsia="Times New Roman" w:cs="Times New Roman"/>
          <w:lang w:eastAsia="en-AU"/>
        </w:rPr>
        <w:t xml:space="preserve">based on </w:t>
      </w:r>
      <w:r w:rsidR="0000260E" w:rsidRPr="00102445">
        <w:rPr>
          <w:rFonts w:eastAsia="Times New Roman" w:cs="Times New Roman"/>
          <w:lang w:eastAsia="en-AU"/>
        </w:rPr>
        <w:t>recent past data</w:t>
      </w:r>
      <w:r w:rsidR="003F1744" w:rsidRPr="00102445">
        <w:rPr>
          <w:rFonts w:eastAsia="Times New Roman" w:cs="Times New Roman"/>
          <w:lang w:eastAsia="en-AU"/>
        </w:rPr>
        <w:t xml:space="preserve">. </w:t>
      </w:r>
      <w:r w:rsidR="00DF140E" w:rsidRPr="00102445">
        <w:rPr>
          <w:rFonts w:eastAsia="Times New Roman" w:cs="Times New Roman"/>
          <w:lang w:eastAsia="en-AU"/>
        </w:rPr>
        <w:t>The relevant period</w:t>
      </w:r>
      <w:r w:rsidR="00A045F5" w:rsidRPr="00102445">
        <w:rPr>
          <w:rFonts w:eastAsia="Times New Roman" w:cs="Times New Roman"/>
          <w:lang w:eastAsia="en-AU"/>
        </w:rPr>
        <w:t xml:space="preserve"> for calculating a facility’s emissions intensity</w:t>
      </w:r>
      <w:r w:rsidR="003A565E" w:rsidRPr="00102445">
        <w:rPr>
          <w:rFonts w:eastAsia="Times New Roman" w:cs="Times New Roman"/>
          <w:lang w:eastAsia="en-AU"/>
        </w:rPr>
        <w:t xml:space="preserve"> </w:t>
      </w:r>
      <w:r w:rsidR="003D2F10" w:rsidRPr="00102445">
        <w:rPr>
          <w:rFonts w:eastAsia="Times New Roman" w:cs="Times New Roman"/>
          <w:lang w:eastAsia="en-AU"/>
        </w:rPr>
        <w:t>con</w:t>
      </w:r>
      <w:r w:rsidR="004E2514" w:rsidRPr="00102445">
        <w:rPr>
          <w:rFonts w:eastAsia="Times New Roman" w:cs="Times New Roman"/>
          <w:lang w:eastAsia="en-AU"/>
        </w:rPr>
        <w:t xml:space="preserve">sists of the </w:t>
      </w:r>
      <w:r w:rsidR="00147559" w:rsidRPr="00102445">
        <w:rPr>
          <w:rFonts w:eastAsia="Times New Roman" w:cs="Times New Roman"/>
          <w:lang w:eastAsia="en-AU"/>
        </w:rPr>
        <w:t xml:space="preserve">historical financial years, which </w:t>
      </w:r>
      <w:r w:rsidR="00052C97" w:rsidRPr="00102445">
        <w:rPr>
          <w:rFonts w:eastAsia="Times New Roman" w:cs="Times New Roman"/>
          <w:lang w:eastAsia="en-AU"/>
        </w:rPr>
        <w:t>were</w:t>
      </w:r>
      <w:r w:rsidR="00147559" w:rsidRPr="00102445">
        <w:rPr>
          <w:rFonts w:eastAsia="Times New Roman" w:cs="Times New Roman"/>
          <w:lang w:eastAsia="en-AU"/>
        </w:rPr>
        <w:t xml:space="preserve"> defined in subsection </w:t>
      </w:r>
      <w:r w:rsidR="00045032" w:rsidRPr="00102445">
        <w:rPr>
          <w:rFonts w:eastAsia="Times New Roman" w:cs="Times New Roman"/>
          <w:lang w:eastAsia="en-AU"/>
        </w:rPr>
        <w:t>12</w:t>
      </w:r>
      <w:r w:rsidR="00147559" w:rsidRPr="00102445">
        <w:rPr>
          <w:rFonts w:eastAsia="Times New Roman" w:cs="Times New Roman"/>
          <w:lang w:eastAsia="en-AU"/>
        </w:rPr>
        <w:t>(3).</w:t>
      </w:r>
    </w:p>
    <w:p w14:paraId="2B85DEBB" w14:textId="0E149324" w:rsidR="002C2FE1" w:rsidRPr="00102445" w:rsidRDefault="002C2FE1"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Emissions intensity determinations </w:t>
      </w:r>
      <w:r w:rsidR="00B17E47" w:rsidRPr="00102445">
        <w:rPr>
          <w:rFonts w:eastAsia="Times New Roman" w:cs="Times New Roman"/>
          <w:lang w:eastAsia="en-AU"/>
        </w:rPr>
        <w:t>r</w:t>
      </w:r>
      <w:r w:rsidR="00B17E47" w:rsidRPr="00102445">
        <w:t xml:space="preserve">elate to the ascertainment of the baseline emissions number for a facility for a financial year and </w:t>
      </w:r>
      <w:r w:rsidRPr="00102445">
        <w:rPr>
          <w:rFonts w:eastAsia="Times New Roman" w:cs="Times New Roman"/>
          <w:lang w:eastAsia="en-AU"/>
        </w:rPr>
        <w:t xml:space="preserve">are determinations </w:t>
      </w:r>
      <w:r w:rsidR="00B17E47" w:rsidRPr="00102445">
        <w:rPr>
          <w:rFonts w:eastAsia="Times New Roman" w:cs="Times New Roman"/>
          <w:lang w:eastAsia="en-AU"/>
        </w:rPr>
        <w:t xml:space="preserve">that are provided for by </w:t>
      </w:r>
      <w:r w:rsidRPr="00102445">
        <w:rPr>
          <w:rFonts w:eastAsia="Times New Roman" w:cs="Times New Roman"/>
          <w:lang w:eastAsia="en-AU"/>
        </w:rPr>
        <w:t>section 22XQ of the NGER Act.</w:t>
      </w:r>
    </w:p>
    <w:p w14:paraId="77EBAF7B" w14:textId="69FD7019" w:rsidR="00921A42" w:rsidRPr="00102445" w:rsidRDefault="009E2D80"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lang w:eastAsia="en-AU"/>
        </w:rPr>
        <w:t xml:space="preserve">Section </w:t>
      </w:r>
      <w:r w:rsidR="00045032" w:rsidRPr="00102445">
        <w:rPr>
          <w:lang w:eastAsia="en-AU"/>
        </w:rPr>
        <w:t xml:space="preserve">14 </w:t>
      </w:r>
      <w:r w:rsidRPr="00102445">
        <w:rPr>
          <w:lang w:eastAsia="en-AU"/>
        </w:rPr>
        <w:t xml:space="preserve">details the requirements for an application for </w:t>
      </w:r>
      <w:r w:rsidR="00487039" w:rsidRPr="00102445">
        <w:rPr>
          <w:lang w:eastAsia="en-AU"/>
        </w:rPr>
        <w:t xml:space="preserve">an </w:t>
      </w:r>
      <w:r w:rsidRPr="00102445">
        <w:rPr>
          <w:lang w:eastAsia="en-AU"/>
        </w:rPr>
        <w:t xml:space="preserve">emissions intensity determination for an existing facility. </w:t>
      </w:r>
      <w:r w:rsidR="00590633" w:rsidRPr="00102445">
        <w:rPr>
          <w:lang w:eastAsia="en-AU"/>
        </w:rPr>
        <w:t>Subsection</w:t>
      </w:r>
      <w:r w:rsidR="00F837EF" w:rsidRPr="00102445">
        <w:rPr>
          <w:lang w:eastAsia="en-AU"/>
        </w:rPr>
        <w:t>s</w:t>
      </w:r>
      <w:r w:rsidR="00590633" w:rsidRPr="00102445">
        <w:rPr>
          <w:lang w:eastAsia="en-AU"/>
        </w:rPr>
        <w:t xml:space="preserve"> (1) – (</w:t>
      </w:r>
      <w:r w:rsidR="001537A4" w:rsidRPr="00102445">
        <w:rPr>
          <w:lang w:eastAsia="en-AU"/>
        </w:rPr>
        <w:t>7</w:t>
      </w:r>
      <w:r w:rsidR="00590633" w:rsidRPr="00102445">
        <w:rPr>
          <w:lang w:eastAsia="en-AU"/>
        </w:rPr>
        <w:t xml:space="preserve">) detail what the application must specify including </w:t>
      </w:r>
      <w:r w:rsidR="005067A9" w:rsidRPr="00102445">
        <w:rPr>
          <w:lang w:eastAsia="en-AU"/>
        </w:rPr>
        <w:t xml:space="preserve">designated historical </w:t>
      </w:r>
      <w:r w:rsidR="007B758B" w:rsidRPr="00102445">
        <w:rPr>
          <w:lang w:eastAsia="en-AU"/>
        </w:rPr>
        <w:t xml:space="preserve">information on </w:t>
      </w:r>
      <w:r w:rsidR="00CC47CA" w:rsidRPr="00102445">
        <w:rPr>
          <w:lang w:eastAsia="en-AU"/>
        </w:rPr>
        <w:t>the</w:t>
      </w:r>
      <w:r w:rsidR="00590633" w:rsidRPr="00102445">
        <w:rPr>
          <w:lang w:eastAsia="en-AU"/>
        </w:rPr>
        <w:t xml:space="preserve"> production variable</w:t>
      </w:r>
      <w:r w:rsidR="001537A4" w:rsidRPr="00102445">
        <w:rPr>
          <w:lang w:eastAsia="en-AU"/>
        </w:rPr>
        <w:t>s</w:t>
      </w:r>
      <w:r w:rsidR="00590633" w:rsidRPr="00102445">
        <w:rPr>
          <w:lang w:eastAsia="en-AU"/>
        </w:rPr>
        <w:t xml:space="preserve"> and covered emissions </w:t>
      </w:r>
      <w:r w:rsidR="00CC47CA" w:rsidRPr="00102445">
        <w:rPr>
          <w:lang w:eastAsia="en-AU"/>
        </w:rPr>
        <w:t xml:space="preserve">of greenhouse gasses </w:t>
      </w:r>
      <w:r w:rsidR="001537A4" w:rsidRPr="00102445">
        <w:rPr>
          <w:lang w:eastAsia="en-AU"/>
        </w:rPr>
        <w:t xml:space="preserve">for the facility during the historical financial year, and </w:t>
      </w:r>
      <w:r w:rsidR="00F73C52" w:rsidRPr="00102445">
        <w:rPr>
          <w:lang w:eastAsia="en-AU"/>
        </w:rPr>
        <w:t xml:space="preserve">any </w:t>
      </w:r>
      <w:r w:rsidR="001537A4" w:rsidRPr="00102445">
        <w:rPr>
          <w:lang w:eastAsia="en-AU"/>
        </w:rPr>
        <w:t xml:space="preserve">transitional production variables. </w:t>
      </w:r>
      <w:r w:rsidR="00590633" w:rsidRPr="00102445">
        <w:rPr>
          <w:lang w:eastAsia="en-AU"/>
        </w:rPr>
        <w:t xml:space="preserve">Applications </w:t>
      </w:r>
      <w:r w:rsidR="00F25FE3" w:rsidRPr="00102445">
        <w:rPr>
          <w:lang w:eastAsia="en-AU"/>
        </w:rPr>
        <w:t xml:space="preserve">must specify the first financial year </w:t>
      </w:r>
      <w:r w:rsidR="0009738A" w:rsidRPr="00102445">
        <w:t>in relation to which the determination would apply</w:t>
      </w:r>
      <w:r w:rsidR="00D91DA4" w:rsidRPr="00102445">
        <w:t xml:space="preserve">, </w:t>
      </w:r>
      <w:r w:rsidR="00153A75" w:rsidRPr="00102445">
        <w:t>with</w:t>
      </w:r>
      <w:r w:rsidR="00D91DA4" w:rsidRPr="00102445">
        <w:t xml:space="preserve"> applications</w:t>
      </w:r>
      <w:r w:rsidR="0009738A" w:rsidRPr="00102445">
        <w:rPr>
          <w:lang w:eastAsia="en-AU"/>
        </w:rPr>
        <w:t xml:space="preserve"> </w:t>
      </w:r>
      <w:r w:rsidR="00590633" w:rsidRPr="00102445">
        <w:rPr>
          <w:lang w:eastAsia="en-AU"/>
        </w:rPr>
        <w:t xml:space="preserve">for the 2023-24 financial year due </w:t>
      </w:r>
      <w:r w:rsidR="002256E4" w:rsidRPr="00102445">
        <w:rPr>
          <w:lang w:eastAsia="en-AU"/>
        </w:rPr>
        <w:t xml:space="preserve">by </w:t>
      </w:r>
      <w:r w:rsidR="00590633" w:rsidRPr="00102445">
        <w:rPr>
          <w:lang w:eastAsia="en-AU"/>
        </w:rPr>
        <w:t>30 April 2024.</w:t>
      </w:r>
    </w:p>
    <w:p w14:paraId="05C0AE8D" w14:textId="6F72DD48" w:rsidR="00E0095A" w:rsidRPr="00102445" w:rsidRDefault="00776C25"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t xml:space="preserve">Applications must specify </w:t>
      </w:r>
      <w:r w:rsidR="00DD0D40" w:rsidRPr="00102445">
        <w:t>the historical production variables (if any) for the facility</w:t>
      </w:r>
      <w:r w:rsidRPr="00102445">
        <w:t>.</w:t>
      </w:r>
      <w:r w:rsidR="00DD0D40" w:rsidRPr="00102445">
        <w:rPr>
          <w:lang w:eastAsia="en-AU"/>
        </w:rPr>
        <w:t xml:space="preserve"> </w:t>
      </w:r>
      <w:r w:rsidR="009B76C5" w:rsidRPr="00102445">
        <w:rPr>
          <w:lang w:eastAsia="en-AU"/>
        </w:rPr>
        <w:t>For each historical production variable</w:t>
      </w:r>
      <w:r w:rsidR="000E00E1" w:rsidRPr="00102445">
        <w:rPr>
          <w:lang w:eastAsia="en-AU"/>
        </w:rPr>
        <w:t xml:space="preserve"> and </w:t>
      </w:r>
      <w:r w:rsidR="00467261" w:rsidRPr="00102445">
        <w:rPr>
          <w:lang w:eastAsia="en-AU"/>
        </w:rPr>
        <w:t xml:space="preserve">historical </w:t>
      </w:r>
      <w:r w:rsidR="000E00E1" w:rsidRPr="00102445">
        <w:rPr>
          <w:lang w:eastAsia="en-AU"/>
        </w:rPr>
        <w:t>financial year</w:t>
      </w:r>
      <w:r w:rsidR="009B76C5" w:rsidRPr="00102445">
        <w:rPr>
          <w:lang w:eastAsia="en-AU"/>
        </w:rPr>
        <w:t>, a</w:t>
      </w:r>
      <w:r w:rsidR="00A31026" w:rsidRPr="00102445">
        <w:rPr>
          <w:lang w:eastAsia="en-AU"/>
        </w:rPr>
        <w:t xml:space="preserve">pplications </w:t>
      </w:r>
      <w:r w:rsidR="00FF1988" w:rsidRPr="00102445">
        <w:rPr>
          <w:lang w:eastAsia="en-AU"/>
        </w:rPr>
        <w:t xml:space="preserve">should </w:t>
      </w:r>
      <w:r w:rsidR="00A31026" w:rsidRPr="00102445">
        <w:rPr>
          <w:lang w:eastAsia="en-AU"/>
        </w:rPr>
        <w:t>set out</w:t>
      </w:r>
      <w:r w:rsidR="00467261" w:rsidRPr="00102445">
        <w:rPr>
          <w:lang w:eastAsia="en-AU"/>
        </w:rPr>
        <w:t xml:space="preserve"> </w:t>
      </w:r>
      <w:r w:rsidR="003F0160" w:rsidRPr="00102445">
        <w:rPr>
          <w:lang w:eastAsia="en-AU"/>
        </w:rPr>
        <w:t xml:space="preserve">the emissions relevantly associated with </w:t>
      </w:r>
      <w:r w:rsidR="000F6232" w:rsidRPr="00102445">
        <w:rPr>
          <w:lang w:eastAsia="en-AU"/>
        </w:rPr>
        <w:t xml:space="preserve">that production variable in that financial year, and the quantity of </w:t>
      </w:r>
      <w:r w:rsidR="00FF1988" w:rsidRPr="00102445">
        <w:rPr>
          <w:lang w:eastAsia="en-AU"/>
        </w:rPr>
        <w:t xml:space="preserve">that production variable </w:t>
      </w:r>
      <w:r w:rsidR="00E862BC" w:rsidRPr="00102445">
        <w:rPr>
          <w:lang w:eastAsia="en-AU"/>
        </w:rPr>
        <w:t>in</w:t>
      </w:r>
      <w:r w:rsidR="00FF1988" w:rsidRPr="00102445">
        <w:rPr>
          <w:lang w:eastAsia="en-AU"/>
        </w:rPr>
        <w:t xml:space="preserve"> that</w:t>
      </w:r>
      <w:r w:rsidR="00E862BC" w:rsidRPr="00102445">
        <w:rPr>
          <w:lang w:eastAsia="en-AU"/>
        </w:rPr>
        <w:t xml:space="preserve"> financial year.</w:t>
      </w:r>
      <w:r w:rsidR="00D75E34" w:rsidRPr="00102445">
        <w:rPr>
          <w:lang w:eastAsia="en-AU"/>
        </w:rPr>
        <w:t xml:space="preserve"> This information is known as </w:t>
      </w:r>
      <w:r w:rsidR="00DD0D40" w:rsidRPr="00102445">
        <w:rPr>
          <w:lang w:eastAsia="en-AU"/>
        </w:rPr>
        <w:t>‘</w:t>
      </w:r>
      <w:r w:rsidR="00D75E34" w:rsidRPr="00102445">
        <w:rPr>
          <w:lang w:eastAsia="en-AU"/>
        </w:rPr>
        <w:t>designated historical information</w:t>
      </w:r>
      <w:r w:rsidR="00DD0D40" w:rsidRPr="00102445">
        <w:rPr>
          <w:lang w:eastAsia="en-AU"/>
        </w:rPr>
        <w:t>’</w:t>
      </w:r>
      <w:r w:rsidR="00D75E34" w:rsidRPr="00102445">
        <w:rPr>
          <w:lang w:eastAsia="en-AU"/>
        </w:rPr>
        <w:t xml:space="preserve">. If </w:t>
      </w:r>
      <w:r w:rsidR="00AD3CB9" w:rsidRPr="00102445">
        <w:rPr>
          <w:lang w:eastAsia="en-AU"/>
        </w:rPr>
        <w:t xml:space="preserve">designated historical information is not included, </w:t>
      </w:r>
      <w:r w:rsidR="00E41E01" w:rsidRPr="00102445">
        <w:t xml:space="preserve">the application must include an explanation of why </w:t>
      </w:r>
      <w:r w:rsidR="009E1065" w:rsidRPr="00102445">
        <w:t xml:space="preserve">that </w:t>
      </w:r>
      <w:r w:rsidR="00E41E01" w:rsidRPr="00102445">
        <w:t>information has not been included</w:t>
      </w:r>
      <w:r w:rsidR="009E1065" w:rsidRPr="00102445">
        <w:t>.</w:t>
      </w:r>
    </w:p>
    <w:p w14:paraId="2A393796" w14:textId="41FDDEC3" w:rsidR="00776C25" w:rsidRPr="00102445" w:rsidRDefault="00776C25"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t>Applications must also specify</w:t>
      </w:r>
      <w:r w:rsidR="00FD11DD" w:rsidRPr="00102445">
        <w:t xml:space="preserve"> the covered emissions for each historical financial year</w:t>
      </w:r>
      <w:r w:rsidR="006B233C" w:rsidRPr="00102445">
        <w:t>, relevant estimates and assum</w:t>
      </w:r>
      <w:r w:rsidR="00BC270D" w:rsidRPr="00102445">
        <w:t>p</w:t>
      </w:r>
      <w:r w:rsidR="006B233C" w:rsidRPr="00102445">
        <w:t>tions</w:t>
      </w:r>
      <w:r w:rsidR="00BC270D" w:rsidRPr="00102445">
        <w:t>,</w:t>
      </w:r>
      <w:r w:rsidR="003226CD" w:rsidRPr="00102445">
        <w:t xml:space="preserve"> a</w:t>
      </w:r>
      <w:r w:rsidR="00702095" w:rsidRPr="00102445">
        <w:t>nd emissions relevantly associated with each historical production variabl</w:t>
      </w:r>
      <w:r w:rsidR="00E173BA" w:rsidRPr="00102445">
        <w:t>e</w:t>
      </w:r>
      <w:r w:rsidR="001D4984" w:rsidRPr="00102445">
        <w:t xml:space="preserve"> that are from greenhouse gases other than carbon dioxide</w:t>
      </w:r>
      <w:r w:rsidR="00FD3903" w:rsidRPr="00102445">
        <w:t>,</w:t>
      </w:r>
      <w:r w:rsidR="00F40518" w:rsidRPr="00102445">
        <w:t xml:space="preserve"> if </w:t>
      </w:r>
      <w:r w:rsidR="00E06ECE" w:rsidRPr="00102445">
        <w:t xml:space="preserve">the greenhouse gas comprises more than 1 per cent </w:t>
      </w:r>
      <w:r w:rsidR="00FA22AD" w:rsidRPr="00102445">
        <w:t>(in t CO</w:t>
      </w:r>
      <w:r w:rsidR="00FA22AD" w:rsidRPr="00102445">
        <w:rPr>
          <w:vertAlign w:val="subscript"/>
        </w:rPr>
        <w:t>2</w:t>
      </w:r>
      <w:r w:rsidR="00FA22AD" w:rsidRPr="00102445">
        <w:t xml:space="preserve">-e) </w:t>
      </w:r>
      <w:r w:rsidR="00E06ECE" w:rsidRPr="00102445">
        <w:t xml:space="preserve">of </w:t>
      </w:r>
      <w:r w:rsidR="00B67232" w:rsidRPr="00102445">
        <w:t>those emi</w:t>
      </w:r>
      <w:r w:rsidR="004C735B" w:rsidRPr="00102445">
        <w:t>ssions</w:t>
      </w:r>
      <w:r w:rsidR="001D4984" w:rsidRPr="00102445">
        <w:t>.</w:t>
      </w:r>
    </w:p>
    <w:p w14:paraId="36152C60" w14:textId="600E330D" w:rsidR="006B4545" w:rsidRPr="00102445" w:rsidRDefault="006B4545"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bookmarkStart w:id="9" w:name="_Ref132794042"/>
      <w:r w:rsidRPr="00102445">
        <w:t xml:space="preserve">Sometimes a facility may start producing a new production variable that is </w:t>
      </w:r>
      <w:r w:rsidR="00040760" w:rsidRPr="00102445">
        <w:t xml:space="preserve">substantially </w:t>
      </w:r>
      <w:r w:rsidRPr="00102445">
        <w:t xml:space="preserve">similar to an existing </w:t>
      </w:r>
      <w:r w:rsidR="00C3274A" w:rsidRPr="00102445">
        <w:t xml:space="preserve">historical </w:t>
      </w:r>
      <w:r w:rsidRPr="00102445">
        <w:t>production variable</w:t>
      </w:r>
      <w:r w:rsidR="00452045" w:rsidRPr="00102445">
        <w:t xml:space="preserve">. For example, a facility may have </w:t>
      </w:r>
      <w:r w:rsidR="006F4FB5" w:rsidRPr="00102445">
        <w:t>ethanol—95 (i.e. 95% ethanol) as a historical production variable</w:t>
      </w:r>
      <w:r w:rsidRPr="00102445">
        <w:t xml:space="preserve"> </w:t>
      </w:r>
      <w:r w:rsidR="00B50E22" w:rsidRPr="00102445">
        <w:t xml:space="preserve">and start producing beverage </w:t>
      </w:r>
      <w:r w:rsidR="00A41C17" w:rsidRPr="00102445">
        <w:t>grade ethanol</w:t>
      </w:r>
      <w:r w:rsidR="005828DD" w:rsidRPr="00102445">
        <w:t>, which was not a historical production variable</w:t>
      </w:r>
      <w:r w:rsidRPr="00102445">
        <w:t>.</w:t>
      </w:r>
      <w:r w:rsidR="007B642A" w:rsidRPr="00102445">
        <w:t xml:space="preserve"> It would not </w:t>
      </w:r>
      <w:r w:rsidR="007B0AA4" w:rsidRPr="00102445">
        <w:t xml:space="preserve">make sense for the facility to </w:t>
      </w:r>
      <w:r w:rsidR="00F6560C" w:rsidRPr="00102445">
        <w:t xml:space="preserve">be required to use </w:t>
      </w:r>
      <w:r w:rsidR="00356785" w:rsidRPr="00102445">
        <w:t>the</w:t>
      </w:r>
      <w:r w:rsidR="00F6560C" w:rsidRPr="00102445">
        <w:t xml:space="preserve"> best practice emissions intensity for </w:t>
      </w:r>
      <w:r w:rsidR="00F60C83" w:rsidRPr="00102445">
        <w:t xml:space="preserve">the new </w:t>
      </w:r>
      <w:r w:rsidR="009F16CF" w:rsidRPr="00102445">
        <w:t xml:space="preserve">production variable, as this could </w:t>
      </w:r>
      <w:r w:rsidR="009F16CF" w:rsidRPr="00102445">
        <w:lastRenderedPageBreak/>
        <w:t>discourage production of the new production variable, which may be a higher quality product.</w:t>
      </w:r>
      <w:r w:rsidRPr="00102445">
        <w:t xml:space="preserve"> </w:t>
      </w:r>
      <w:r w:rsidR="00EE4CE1" w:rsidRPr="00102445">
        <w:t xml:space="preserve">The concept of </w:t>
      </w:r>
      <w:r w:rsidR="006A7994" w:rsidRPr="00102445">
        <w:t>‘related production variable’ addresses this</w:t>
      </w:r>
      <w:r w:rsidR="005828DD" w:rsidRPr="00102445">
        <w:t xml:space="preserve"> and enables the related production variable to use the same </w:t>
      </w:r>
      <w:r w:rsidR="005728C9" w:rsidRPr="00102445">
        <w:t xml:space="preserve">facility-specific </w:t>
      </w:r>
      <w:r w:rsidR="005828DD" w:rsidRPr="00102445">
        <w:t>emissions intensity a</w:t>
      </w:r>
      <w:r w:rsidR="005728C9" w:rsidRPr="00102445">
        <w:t xml:space="preserve">s the </w:t>
      </w:r>
      <w:r w:rsidR="00FC61F2" w:rsidRPr="00102445">
        <w:t>historical production variable</w:t>
      </w:r>
      <w:r w:rsidR="006A7994" w:rsidRPr="00102445">
        <w:t>.</w:t>
      </w:r>
      <w:r w:rsidR="00EF5B88" w:rsidRPr="00102445">
        <w:t xml:space="preserve"> In this example</w:t>
      </w:r>
      <w:r w:rsidR="00F77734" w:rsidRPr="00102445">
        <w:t xml:space="preserve">, </w:t>
      </w:r>
      <w:r w:rsidR="00C3274A" w:rsidRPr="00102445">
        <w:t>beverage</w:t>
      </w:r>
      <w:r w:rsidR="005828DD" w:rsidRPr="00102445">
        <w:t xml:space="preserve"> grade ethanol</w:t>
      </w:r>
      <w:r w:rsidR="00FC61F2" w:rsidRPr="00102445">
        <w:t xml:space="preserve"> is a related production variable, and </w:t>
      </w:r>
      <w:r w:rsidR="00B7399F" w:rsidRPr="00102445">
        <w:t>ethanol—95 is known as a comparative production variable.</w:t>
      </w:r>
      <w:bookmarkEnd w:id="9"/>
    </w:p>
    <w:p w14:paraId="4F0062F9" w14:textId="3AC26013" w:rsidR="00B7399F" w:rsidRPr="00102445" w:rsidRDefault="00B7399F"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Subsection </w:t>
      </w:r>
      <w:r w:rsidR="00045032" w:rsidRPr="00102445">
        <w:rPr>
          <w:rFonts w:eastAsia="Times New Roman" w:cs="Times New Roman"/>
          <w:lang w:eastAsia="en-AU"/>
        </w:rPr>
        <w:t>14</w:t>
      </w:r>
      <w:r w:rsidR="009D0450" w:rsidRPr="00102445">
        <w:rPr>
          <w:rFonts w:eastAsia="Times New Roman" w:cs="Times New Roman"/>
          <w:lang w:eastAsia="en-AU"/>
        </w:rPr>
        <w:t xml:space="preserve">(8) </w:t>
      </w:r>
      <w:r w:rsidR="00FC2C5E" w:rsidRPr="00102445">
        <w:rPr>
          <w:rFonts w:eastAsia="Times New Roman" w:cs="Times New Roman"/>
          <w:lang w:eastAsia="en-AU"/>
        </w:rPr>
        <w:t xml:space="preserve">states that an application may include a request for the determination </w:t>
      </w:r>
      <w:r w:rsidR="00AD09D3" w:rsidRPr="00102445">
        <w:rPr>
          <w:rFonts w:eastAsia="Times New Roman" w:cs="Times New Roman"/>
          <w:lang w:eastAsia="en-AU"/>
        </w:rPr>
        <w:t xml:space="preserve">to </w:t>
      </w:r>
      <w:r w:rsidR="00CC1557" w:rsidRPr="00102445">
        <w:rPr>
          <w:rFonts w:eastAsia="Times New Roman" w:cs="Times New Roman"/>
          <w:lang w:eastAsia="en-AU"/>
        </w:rPr>
        <w:t xml:space="preserve">specify that a production variable is </w:t>
      </w:r>
      <w:r w:rsidR="00084C8E" w:rsidRPr="00102445">
        <w:rPr>
          <w:rFonts w:eastAsia="Times New Roman" w:cs="Times New Roman"/>
          <w:lang w:eastAsia="en-AU"/>
        </w:rPr>
        <w:t>a related production variable that corresponds to a comparative production variable.</w:t>
      </w:r>
    </w:p>
    <w:p w14:paraId="394EB5C0" w14:textId="0E461EFE" w:rsidR="007B758B" w:rsidRPr="00102445" w:rsidRDefault="004F3C60"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Section </w:t>
      </w:r>
      <w:r w:rsidR="00E8202C" w:rsidRPr="00102445">
        <w:rPr>
          <w:rFonts w:eastAsia="Times New Roman" w:cs="Times New Roman"/>
          <w:lang w:eastAsia="en-AU"/>
        </w:rPr>
        <w:t xml:space="preserve">15 </w:t>
      </w:r>
      <w:r w:rsidRPr="00102445">
        <w:rPr>
          <w:rFonts w:eastAsia="Times New Roman" w:cs="Times New Roman"/>
          <w:lang w:eastAsia="en-AU"/>
        </w:rPr>
        <w:t xml:space="preserve">specifies requirements for calculating an amount of covered emissions of greenhouse gases from the operation of a facility during a historical financial year. </w:t>
      </w:r>
      <w:r w:rsidR="001D3817" w:rsidRPr="00102445">
        <w:rPr>
          <w:rFonts w:eastAsia="Times New Roman" w:cs="Times New Roman"/>
          <w:lang w:eastAsia="en-AU"/>
        </w:rPr>
        <w:t>Covered emissions are</w:t>
      </w:r>
      <w:r w:rsidR="000A3C59" w:rsidRPr="00102445">
        <w:rPr>
          <w:rFonts w:eastAsia="Times New Roman" w:cs="Times New Roman"/>
          <w:lang w:eastAsia="en-AU"/>
        </w:rPr>
        <w:t xml:space="preserve"> broadly</w:t>
      </w:r>
      <w:r w:rsidR="001D3817" w:rsidRPr="00102445">
        <w:rPr>
          <w:rFonts w:eastAsia="Times New Roman" w:cs="Times New Roman"/>
          <w:lang w:eastAsia="en-AU"/>
        </w:rPr>
        <w:t xml:space="preserve"> defined as scope 1 emissions, including direct emissions from fugitive emissions, fuel combustion, waste disposal and other industrial processes</w:t>
      </w:r>
      <w:r w:rsidR="002C630E" w:rsidRPr="00102445">
        <w:rPr>
          <w:rFonts w:eastAsia="Times New Roman" w:cs="Times New Roman"/>
          <w:lang w:eastAsia="en-AU"/>
        </w:rPr>
        <w:t xml:space="preserve"> such as cement and steel making</w:t>
      </w:r>
      <w:r w:rsidR="001D3817" w:rsidRPr="00102445">
        <w:rPr>
          <w:rFonts w:eastAsia="Times New Roman" w:cs="Times New Roman"/>
          <w:lang w:eastAsia="en-AU"/>
        </w:rPr>
        <w:t xml:space="preserve">. </w:t>
      </w:r>
      <w:r w:rsidR="006D70A9" w:rsidRPr="00102445">
        <w:rPr>
          <w:rFonts w:eastAsia="Times New Roman" w:cs="Times New Roman"/>
          <w:lang w:eastAsia="en-AU"/>
        </w:rPr>
        <w:t xml:space="preserve">The calculations must measure and apportion covered emissions in a manner that is consistent with the </w:t>
      </w:r>
      <w:r w:rsidR="00CC03CD" w:rsidRPr="00102445">
        <w:rPr>
          <w:rFonts w:eastAsia="Times New Roman" w:cs="Times New Roman"/>
          <w:lang w:eastAsia="en-AU"/>
        </w:rPr>
        <w:t xml:space="preserve">latest version of the </w:t>
      </w:r>
      <w:r w:rsidR="006D70A9" w:rsidRPr="00102445">
        <w:rPr>
          <w:rFonts w:eastAsia="Times New Roman" w:cs="Times New Roman"/>
          <w:lang w:eastAsia="en-AU"/>
        </w:rPr>
        <w:t xml:space="preserve">NGER (Measurement) Determination, use the Global Warming Potentials specified in </w:t>
      </w:r>
      <w:r w:rsidR="00EC6D04" w:rsidRPr="00102445">
        <w:rPr>
          <w:rFonts w:eastAsia="Times New Roman" w:cs="Times New Roman"/>
          <w:lang w:eastAsia="en-AU"/>
        </w:rPr>
        <w:t>Regulation</w:t>
      </w:r>
      <w:r w:rsidR="006001BB" w:rsidRPr="00102445">
        <w:rPr>
          <w:rFonts w:eastAsia="Times New Roman" w:cs="Times New Roman"/>
          <w:lang w:eastAsia="en-AU"/>
        </w:rPr>
        <w:t xml:space="preserve"> </w:t>
      </w:r>
      <w:r w:rsidR="006D70A9" w:rsidRPr="00102445">
        <w:rPr>
          <w:rFonts w:eastAsia="Times New Roman" w:cs="Times New Roman"/>
          <w:lang w:eastAsia="en-AU"/>
        </w:rPr>
        <w:t xml:space="preserve">2.02 of the </w:t>
      </w:r>
      <w:r w:rsidR="00BC196E" w:rsidRPr="00102445">
        <w:rPr>
          <w:rFonts w:eastAsia="Times New Roman" w:cs="Times New Roman"/>
          <w:lang w:eastAsia="en-AU"/>
        </w:rPr>
        <w:t xml:space="preserve">latest version of the </w:t>
      </w:r>
      <w:r w:rsidR="006D70A9" w:rsidRPr="00102445">
        <w:rPr>
          <w:rFonts w:eastAsia="Times New Roman" w:cs="Times New Roman"/>
          <w:lang w:eastAsia="en-AU"/>
        </w:rPr>
        <w:t xml:space="preserve">NGER Regulations and use the same method (most recent method) that was used in the </w:t>
      </w:r>
      <w:r w:rsidR="00FB48D4" w:rsidRPr="00102445">
        <w:rPr>
          <w:rFonts w:eastAsia="Times New Roman" w:cs="Times New Roman"/>
          <w:lang w:eastAsia="en-AU"/>
        </w:rPr>
        <w:t xml:space="preserve">most recent NGER </w:t>
      </w:r>
      <w:r w:rsidR="006D70A9" w:rsidRPr="00102445">
        <w:rPr>
          <w:rFonts w:eastAsia="Times New Roman" w:cs="Times New Roman"/>
          <w:lang w:eastAsia="en-AU"/>
        </w:rPr>
        <w:t>report provided to the Regulator.</w:t>
      </w:r>
      <w:r w:rsidR="007146AA" w:rsidRPr="00102445">
        <w:rPr>
          <w:rFonts w:eastAsia="Times New Roman" w:cs="Times New Roman"/>
          <w:lang w:eastAsia="en-AU"/>
        </w:rPr>
        <w:t xml:space="preserve"> This means that </w:t>
      </w:r>
      <w:r w:rsidR="00EA0E4A" w:rsidRPr="00102445">
        <w:rPr>
          <w:rFonts w:eastAsia="Times New Roman" w:cs="Times New Roman"/>
          <w:lang w:eastAsia="en-AU"/>
        </w:rPr>
        <w:t>the emissions in</w:t>
      </w:r>
      <w:r w:rsidR="00C03002" w:rsidRPr="00102445">
        <w:rPr>
          <w:rFonts w:eastAsia="Times New Roman" w:cs="Times New Roman"/>
          <w:lang w:eastAsia="en-AU"/>
        </w:rPr>
        <w:t xml:space="preserve">tensity determinations are calculated on the same basis as </w:t>
      </w:r>
      <w:r w:rsidR="006A7A5C" w:rsidRPr="00102445">
        <w:rPr>
          <w:rFonts w:eastAsia="Times New Roman" w:cs="Times New Roman"/>
          <w:lang w:eastAsia="en-AU"/>
        </w:rPr>
        <w:t xml:space="preserve">which </w:t>
      </w:r>
      <w:r w:rsidR="009B0CD9" w:rsidRPr="00102445">
        <w:rPr>
          <w:rFonts w:eastAsia="Times New Roman" w:cs="Times New Roman"/>
          <w:lang w:eastAsia="en-AU"/>
        </w:rPr>
        <w:t xml:space="preserve">covered </w:t>
      </w:r>
      <w:r w:rsidR="00C03002" w:rsidRPr="00102445">
        <w:rPr>
          <w:rFonts w:eastAsia="Times New Roman" w:cs="Times New Roman"/>
          <w:lang w:eastAsia="en-AU"/>
        </w:rPr>
        <w:t>emissions</w:t>
      </w:r>
      <w:r w:rsidR="000B3208" w:rsidRPr="00102445">
        <w:rPr>
          <w:rFonts w:eastAsia="Times New Roman" w:cs="Times New Roman"/>
          <w:lang w:eastAsia="en-AU"/>
        </w:rPr>
        <w:t xml:space="preserve"> are reported</w:t>
      </w:r>
      <w:r w:rsidR="006A7A5C" w:rsidRPr="00102445">
        <w:rPr>
          <w:rFonts w:eastAsia="Times New Roman" w:cs="Times New Roman"/>
          <w:lang w:eastAsia="en-AU"/>
        </w:rPr>
        <w:t>.</w:t>
      </w:r>
    </w:p>
    <w:p w14:paraId="7D34CB37" w14:textId="0747DA64" w:rsidR="004C5597" w:rsidRPr="00102445" w:rsidRDefault="008D4048"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Subsection </w:t>
      </w:r>
      <w:r w:rsidR="00D82AAD" w:rsidRPr="00102445">
        <w:rPr>
          <w:rFonts w:eastAsia="Times New Roman" w:cs="Times New Roman"/>
          <w:lang w:eastAsia="en-AU"/>
        </w:rPr>
        <w:t>15</w:t>
      </w:r>
      <w:r w:rsidR="001A73A4" w:rsidRPr="00102445">
        <w:rPr>
          <w:rFonts w:eastAsia="Times New Roman" w:cs="Times New Roman"/>
          <w:lang w:eastAsia="en-AU"/>
        </w:rPr>
        <w:t>(3)</w:t>
      </w:r>
      <w:r w:rsidRPr="00102445">
        <w:rPr>
          <w:rFonts w:eastAsia="Times New Roman" w:cs="Times New Roman"/>
          <w:lang w:eastAsia="en-AU"/>
        </w:rPr>
        <w:t xml:space="preserve"> </w:t>
      </w:r>
      <w:r w:rsidR="00FD59BF" w:rsidRPr="00102445">
        <w:rPr>
          <w:rFonts w:eastAsia="Times New Roman" w:cs="Times New Roman"/>
          <w:lang w:eastAsia="en-AU"/>
        </w:rPr>
        <w:t>states</w:t>
      </w:r>
      <w:r w:rsidRPr="00102445">
        <w:rPr>
          <w:rFonts w:eastAsia="Times New Roman" w:cs="Times New Roman"/>
          <w:lang w:eastAsia="en-AU"/>
        </w:rPr>
        <w:t xml:space="preserve"> that </w:t>
      </w:r>
      <w:r w:rsidR="0092049B" w:rsidRPr="00102445">
        <w:rPr>
          <w:rFonts w:eastAsia="Times New Roman" w:cs="Times New Roman"/>
          <w:lang w:eastAsia="en-AU"/>
        </w:rPr>
        <w:t>when the method that was used to report emissions in a historical</w:t>
      </w:r>
      <w:r w:rsidR="00F60415" w:rsidRPr="00102445">
        <w:rPr>
          <w:rFonts w:eastAsia="Times New Roman" w:cs="Times New Roman"/>
          <w:lang w:eastAsia="en-AU"/>
        </w:rPr>
        <w:t xml:space="preserve"> financial year differs </w:t>
      </w:r>
      <w:r w:rsidR="00623F46" w:rsidRPr="00102445">
        <w:rPr>
          <w:rFonts w:eastAsia="Times New Roman" w:cs="Times New Roman"/>
          <w:lang w:eastAsia="en-AU"/>
        </w:rPr>
        <w:t>from the method that is currently used by a facility to report its emissions</w:t>
      </w:r>
      <w:r w:rsidR="001A73A4" w:rsidRPr="00102445">
        <w:rPr>
          <w:rFonts w:eastAsia="Times New Roman" w:cs="Times New Roman"/>
          <w:lang w:eastAsia="en-AU"/>
        </w:rPr>
        <w:t xml:space="preserve">, </w:t>
      </w:r>
      <w:r w:rsidR="00D918A2" w:rsidRPr="00102445">
        <w:t xml:space="preserve">estimates and assumptions may be made for the purposes of using the most recent method to calculate the </w:t>
      </w:r>
      <w:r w:rsidR="001B6E28" w:rsidRPr="00102445">
        <w:t>emissions</w:t>
      </w:r>
      <w:r w:rsidR="00B3200B" w:rsidRPr="00102445">
        <w:t xml:space="preserve"> in the historical financial year.</w:t>
      </w:r>
      <w:r w:rsidR="001A73A4" w:rsidRPr="00102445">
        <w:rPr>
          <w:rFonts w:eastAsia="Times New Roman" w:cs="Times New Roman"/>
          <w:lang w:eastAsia="en-AU"/>
        </w:rPr>
        <w:t xml:space="preserve"> </w:t>
      </w:r>
    </w:p>
    <w:p w14:paraId="13E52E5C" w14:textId="6A91D6DD" w:rsidR="00142115" w:rsidRPr="00102445" w:rsidRDefault="00CF3B65"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Section </w:t>
      </w:r>
      <w:r w:rsidR="00D82AAD" w:rsidRPr="00102445">
        <w:rPr>
          <w:rFonts w:eastAsia="Times New Roman" w:cs="Times New Roman"/>
          <w:lang w:eastAsia="en-AU"/>
        </w:rPr>
        <w:t xml:space="preserve">16 </w:t>
      </w:r>
      <w:r w:rsidR="009E3517" w:rsidRPr="00102445">
        <w:rPr>
          <w:rFonts w:eastAsia="Times New Roman" w:cs="Times New Roman"/>
          <w:lang w:eastAsia="en-AU"/>
        </w:rPr>
        <w:t>sets out how</w:t>
      </w:r>
      <w:r w:rsidR="003D7CAF" w:rsidRPr="00102445">
        <w:rPr>
          <w:rFonts w:eastAsia="Times New Roman" w:cs="Times New Roman"/>
          <w:lang w:eastAsia="en-AU"/>
        </w:rPr>
        <w:t xml:space="preserve"> </w:t>
      </w:r>
      <w:r w:rsidR="0004574C" w:rsidRPr="00102445">
        <w:rPr>
          <w:rFonts w:eastAsia="Times New Roman" w:cs="Times New Roman"/>
          <w:lang w:eastAsia="en-AU"/>
        </w:rPr>
        <w:t xml:space="preserve">covered emissions of greenhouse gases from the operation of a facility during a particular historical financial year are relevantly associated with </w:t>
      </w:r>
      <w:r w:rsidR="00142115" w:rsidRPr="00102445">
        <w:rPr>
          <w:rFonts w:eastAsia="Times New Roman" w:cs="Times New Roman"/>
          <w:lang w:eastAsia="en-AU"/>
        </w:rPr>
        <w:t>historical</w:t>
      </w:r>
      <w:r w:rsidR="0004574C" w:rsidRPr="00102445">
        <w:rPr>
          <w:rFonts w:eastAsia="Times New Roman" w:cs="Times New Roman"/>
          <w:lang w:eastAsia="en-AU"/>
        </w:rPr>
        <w:t xml:space="preserve"> production variable</w:t>
      </w:r>
      <w:r w:rsidR="00142115" w:rsidRPr="00102445">
        <w:rPr>
          <w:rFonts w:eastAsia="Times New Roman" w:cs="Times New Roman"/>
          <w:lang w:eastAsia="en-AU"/>
        </w:rPr>
        <w:t>s</w:t>
      </w:r>
      <w:r w:rsidR="00BC22A6" w:rsidRPr="00102445">
        <w:rPr>
          <w:rFonts w:eastAsia="Times New Roman" w:cs="Times New Roman"/>
          <w:lang w:eastAsia="en-AU"/>
        </w:rPr>
        <w:t xml:space="preserve">. In other words, it sets out how to apportion </w:t>
      </w:r>
      <w:r w:rsidR="00273CF9" w:rsidRPr="00102445">
        <w:rPr>
          <w:rFonts w:eastAsia="Times New Roman" w:cs="Times New Roman"/>
          <w:lang w:eastAsia="en-AU"/>
        </w:rPr>
        <w:t>emissions between different production variables in each historical financial year.</w:t>
      </w:r>
      <w:r w:rsidR="008E4A4A" w:rsidRPr="00102445">
        <w:rPr>
          <w:rFonts w:eastAsia="Times New Roman" w:cs="Times New Roman"/>
          <w:lang w:eastAsia="en-AU"/>
        </w:rPr>
        <w:t xml:space="preserve"> This is relevant to how </w:t>
      </w:r>
      <w:r w:rsidR="00E40801" w:rsidRPr="00102445">
        <w:rPr>
          <w:rFonts w:eastAsia="Times New Roman" w:cs="Times New Roman"/>
          <w:lang w:eastAsia="en-AU"/>
        </w:rPr>
        <w:t xml:space="preserve">designated historical information is included </w:t>
      </w:r>
      <w:r w:rsidR="005509F6" w:rsidRPr="00102445">
        <w:rPr>
          <w:rFonts w:eastAsia="Times New Roman" w:cs="Times New Roman"/>
          <w:lang w:eastAsia="en-AU"/>
        </w:rPr>
        <w:t>in emissions intensity determination applications.</w:t>
      </w:r>
    </w:p>
    <w:p w14:paraId="078CEA85" w14:textId="5AF6BEDB" w:rsidR="005509F6" w:rsidRPr="00102445" w:rsidRDefault="008649CA" w:rsidP="00591A9C">
      <w:pPr>
        <w:pStyle w:val="ListParagraph"/>
        <w:numPr>
          <w:ilvl w:val="0"/>
          <w:numId w:val="2"/>
        </w:numPr>
        <w:shd w:val="clear" w:color="auto" w:fill="FFFFFF" w:themeFill="background1"/>
        <w:spacing w:line="240" w:lineRule="auto"/>
        <w:contextualSpacing w:val="0"/>
        <w:rPr>
          <w:rFonts w:eastAsia="Times New Roman" w:cs="Times New Roman"/>
          <w:color w:val="000000" w:themeColor="text1"/>
          <w:szCs w:val="24"/>
          <w:lang w:eastAsia="en-AU"/>
        </w:rPr>
      </w:pPr>
      <w:r w:rsidRPr="00102445">
        <w:rPr>
          <w:rFonts w:eastAsia="Times New Roman" w:cs="Times New Roman"/>
          <w:lang w:eastAsia="en-AU"/>
        </w:rPr>
        <w:t xml:space="preserve">The approach </w:t>
      </w:r>
      <w:r w:rsidR="00E9426D" w:rsidRPr="00102445">
        <w:rPr>
          <w:rFonts w:eastAsia="Times New Roman" w:cs="Times New Roman"/>
          <w:lang w:eastAsia="en-AU"/>
        </w:rPr>
        <w:t xml:space="preserve">taken in Section </w:t>
      </w:r>
      <w:r w:rsidR="00D82AAD" w:rsidRPr="00102445">
        <w:rPr>
          <w:rFonts w:eastAsia="Times New Roman" w:cs="Times New Roman"/>
          <w:lang w:eastAsia="en-AU"/>
        </w:rPr>
        <w:t xml:space="preserve">16 </w:t>
      </w:r>
      <w:r w:rsidR="0001445B" w:rsidRPr="00102445">
        <w:rPr>
          <w:rFonts w:eastAsia="Times New Roman" w:cs="Times New Roman"/>
          <w:lang w:eastAsia="en-AU"/>
        </w:rPr>
        <w:t xml:space="preserve">is based on the premise that </w:t>
      </w:r>
      <w:r w:rsidR="007316D7" w:rsidRPr="00102445">
        <w:rPr>
          <w:rFonts w:eastAsia="Times New Roman" w:cs="Times New Roman"/>
          <w:lang w:eastAsia="en-AU"/>
        </w:rPr>
        <w:t>emissions should be apportioned between production variables consistently with how emissions</w:t>
      </w:r>
      <w:r w:rsidR="005D3A32" w:rsidRPr="00102445">
        <w:rPr>
          <w:rFonts w:eastAsia="Times New Roman" w:cs="Times New Roman"/>
          <w:lang w:eastAsia="en-AU"/>
        </w:rPr>
        <w:t xml:space="preserve"> were apportioned between production variables when </w:t>
      </w:r>
      <w:r w:rsidR="00D36AA3" w:rsidRPr="00102445">
        <w:rPr>
          <w:rFonts w:eastAsia="Times New Roman" w:cs="Times New Roman"/>
          <w:lang w:eastAsia="en-AU"/>
        </w:rPr>
        <w:t xml:space="preserve">default emissions intensities were calculated. </w:t>
      </w:r>
      <w:r w:rsidR="00EE4499" w:rsidRPr="00102445">
        <w:rPr>
          <w:rFonts w:eastAsia="Times New Roman" w:cs="Times New Roman"/>
          <w:lang w:eastAsia="en-AU"/>
        </w:rPr>
        <w:t>This was set out in a document known as the Safeguard Mechanism document.</w:t>
      </w:r>
      <w:r w:rsidR="00371649" w:rsidRPr="00102445">
        <w:rPr>
          <w:rFonts w:eastAsia="Times New Roman" w:cs="Times New Roman"/>
          <w:lang w:eastAsia="en-AU"/>
        </w:rPr>
        <w:t xml:space="preserve"> It is </w:t>
      </w:r>
      <w:r w:rsidR="00371649" w:rsidRPr="00102445">
        <w:t xml:space="preserve">the document entitled “Safeguard Mechanism: Prescribed production variables and default emissions intensities” published by the Department and as in force on the commencement of the </w:t>
      </w:r>
      <w:r w:rsidR="00371649" w:rsidRPr="00102445">
        <w:rPr>
          <w:i/>
        </w:rPr>
        <w:t>National Greenhouse and Energy Reporting (Safeguard Mechanism) Amendment (Default Emissions Intensities) Rules 2022</w:t>
      </w:r>
      <w:r w:rsidR="006362AA" w:rsidRPr="00102445">
        <w:rPr>
          <w:iCs/>
        </w:rPr>
        <w:t>.</w:t>
      </w:r>
      <w:r w:rsidR="005B62C6" w:rsidRPr="00102445">
        <w:rPr>
          <w:iCs/>
        </w:rPr>
        <w:t xml:space="preserve"> It is av</w:t>
      </w:r>
      <w:r w:rsidR="00726762" w:rsidRPr="00102445">
        <w:rPr>
          <w:iCs/>
        </w:rPr>
        <w:t>ailable</w:t>
      </w:r>
      <w:r w:rsidR="00821B5C" w:rsidRPr="00102445">
        <w:rPr>
          <w:iCs/>
        </w:rPr>
        <w:t xml:space="preserve"> on the website of the </w:t>
      </w:r>
      <w:r w:rsidR="004E238D" w:rsidRPr="00102445">
        <w:rPr>
          <w:iCs/>
        </w:rPr>
        <w:t xml:space="preserve">Department of Climate Change, Energy, the Environment and Water at </w:t>
      </w:r>
      <w:hyperlink r:id="rId16">
        <w:r w:rsidR="0F74B775" w:rsidRPr="00102445">
          <w:rPr>
            <w:rStyle w:val="Hyperlink"/>
            <w:color w:val="000000" w:themeColor="text1"/>
          </w:rPr>
          <w:t>https://www.dcceew.gov.au/climate-change/publications/safeguard-mechanism-document</w:t>
        </w:r>
      </w:hyperlink>
      <w:r w:rsidR="10AC69F3" w:rsidRPr="00102445">
        <w:rPr>
          <w:color w:val="000000" w:themeColor="text1"/>
        </w:rPr>
        <w:t>.</w:t>
      </w:r>
      <w:r w:rsidR="00E368D9" w:rsidRPr="00102445">
        <w:rPr>
          <w:color w:val="000000" w:themeColor="text1"/>
        </w:rPr>
        <w:t xml:space="preserve"> This reference </w:t>
      </w:r>
      <w:r w:rsidR="000E4ABB" w:rsidRPr="00102445">
        <w:rPr>
          <w:color w:val="000000" w:themeColor="text1"/>
        </w:rPr>
        <w:t xml:space="preserve">in already </w:t>
      </w:r>
      <w:r w:rsidR="00E368D9" w:rsidRPr="00102445">
        <w:rPr>
          <w:color w:val="000000" w:themeColor="text1"/>
        </w:rPr>
        <w:t xml:space="preserve">in </w:t>
      </w:r>
      <w:r w:rsidR="00AF496C" w:rsidRPr="00102445">
        <w:rPr>
          <w:color w:val="000000" w:themeColor="text1"/>
        </w:rPr>
        <w:t>the definition of ‘</w:t>
      </w:r>
      <w:r w:rsidR="00AF496C" w:rsidRPr="00102445">
        <w:rPr>
          <w:i/>
          <w:iCs/>
          <w:color w:val="000000" w:themeColor="text1"/>
        </w:rPr>
        <w:t xml:space="preserve">Safeguard Mechanism </w:t>
      </w:r>
      <w:r w:rsidR="00AF496C" w:rsidRPr="00102445">
        <w:rPr>
          <w:color w:val="000000" w:themeColor="text1"/>
        </w:rPr>
        <w:t xml:space="preserve">Document’ </w:t>
      </w:r>
      <w:r w:rsidR="00AE51D7" w:rsidRPr="00102445">
        <w:rPr>
          <w:color w:val="000000" w:themeColor="text1"/>
        </w:rPr>
        <w:t xml:space="preserve">in </w:t>
      </w:r>
      <w:r w:rsidR="006F4049" w:rsidRPr="00102445">
        <w:rPr>
          <w:color w:val="000000" w:themeColor="text1"/>
        </w:rPr>
        <w:t xml:space="preserve">the </w:t>
      </w:r>
      <w:r w:rsidR="000E4ABB" w:rsidRPr="00102445">
        <w:rPr>
          <w:color w:val="000000" w:themeColor="text1"/>
        </w:rPr>
        <w:t xml:space="preserve">Safeguard Rules </w:t>
      </w:r>
      <w:r w:rsidR="0058569A" w:rsidRPr="00102445">
        <w:rPr>
          <w:color w:val="000000" w:themeColor="text1"/>
        </w:rPr>
        <w:t>which</w:t>
      </w:r>
      <w:r w:rsidR="006F4049" w:rsidRPr="00102445">
        <w:rPr>
          <w:color w:val="000000" w:themeColor="text1"/>
        </w:rPr>
        <w:t xml:space="preserve"> has not been changed by this instrument</w:t>
      </w:r>
      <w:r w:rsidR="0058569A" w:rsidRPr="00102445">
        <w:rPr>
          <w:color w:val="000000" w:themeColor="text1"/>
        </w:rPr>
        <w:t>.</w:t>
      </w:r>
    </w:p>
    <w:p w14:paraId="5738BBEA" w14:textId="509D8994" w:rsidR="00C10EAB" w:rsidRPr="00102445" w:rsidRDefault="00342F48"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Subsection </w:t>
      </w:r>
      <w:r w:rsidR="00D82AAD" w:rsidRPr="00102445">
        <w:rPr>
          <w:rFonts w:eastAsia="Times New Roman" w:cs="Times New Roman"/>
          <w:lang w:eastAsia="en-AU"/>
        </w:rPr>
        <w:t>16</w:t>
      </w:r>
      <w:r w:rsidRPr="00102445">
        <w:rPr>
          <w:rFonts w:eastAsia="Times New Roman" w:cs="Times New Roman"/>
          <w:lang w:eastAsia="en-AU"/>
        </w:rPr>
        <w:t xml:space="preserve">(2) states that </w:t>
      </w:r>
      <w:r w:rsidR="001E7C53" w:rsidRPr="00102445">
        <w:rPr>
          <w:rFonts w:eastAsia="Times New Roman" w:cs="Times New Roman"/>
          <w:lang w:eastAsia="en-AU"/>
        </w:rPr>
        <w:t>covered emissions should be attributed to a production variable if</w:t>
      </w:r>
      <w:r w:rsidR="00AB5F83" w:rsidRPr="00102445">
        <w:rPr>
          <w:rFonts w:eastAsia="Times New Roman" w:cs="Times New Roman"/>
          <w:lang w:eastAsia="en-AU"/>
        </w:rPr>
        <w:t xml:space="preserve">, </w:t>
      </w:r>
      <w:r w:rsidR="00745D59" w:rsidRPr="00102445">
        <w:t>having regard to the Safeguard Mechanism document, covered emissions of that kind are relevant to the default emissions intensity of that production variable for that financial year</w:t>
      </w:r>
      <w:r w:rsidR="003D38B5" w:rsidRPr="00102445">
        <w:t>; and</w:t>
      </w:r>
      <w:r w:rsidR="00FA2946" w:rsidRPr="00102445">
        <w:t xml:space="preserve"> those emissions are</w:t>
      </w:r>
      <w:r w:rsidR="00135D97" w:rsidRPr="00102445">
        <w:t xml:space="preserve"> not attributed to another production variable.</w:t>
      </w:r>
    </w:p>
    <w:p w14:paraId="47B76AD0" w14:textId="7C4F95DF" w:rsidR="00004A84" w:rsidRPr="00102445" w:rsidRDefault="00C2506E"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lastRenderedPageBreak/>
        <w:t xml:space="preserve">Subsections </w:t>
      </w:r>
      <w:r w:rsidR="00D82AAD" w:rsidRPr="00102445">
        <w:rPr>
          <w:rFonts w:eastAsia="Times New Roman" w:cs="Times New Roman"/>
          <w:lang w:eastAsia="en-AU"/>
        </w:rPr>
        <w:t>16</w:t>
      </w:r>
      <w:r w:rsidRPr="00102445">
        <w:rPr>
          <w:rFonts w:eastAsia="Times New Roman" w:cs="Times New Roman"/>
          <w:lang w:eastAsia="en-AU"/>
        </w:rPr>
        <w:t xml:space="preserve">(3) and </w:t>
      </w:r>
      <w:r w:rsidR="00D82AAD" w:rsidRPr="00102445">
        <w:rPr>
          <w:rFonts w:eastAsia="Times New Roman" w:cs="Times New Roman"/>
          <w:lang w:eastAsia="en-AU"/>
        </w:rPr>
        <w:t>16</w:t>
      </w:r>
      <w:r w:rsidRPr="00102445">
        <w:rPr>
          <w:rFonts w:eastAsia="Times New Roman" w:cs="Times New Roman"/>
          <w:lang w:eastAsia="en-AU"/>
        </w:rPr>
        <w:t xml:space="preserve">(4) relate to </w:t>
      </w:r>
      <w:r w:rsidR="0004574C" w:rsidRPr="00102445">
        <w:rPr>
          <w:rFonts w:eastAsia="Times New Roman" w:cs="Times New Roman"/>
          <w:lang w:eastAsia="en-AU"/>
        </w:rPr>
        <w:t>minor emissions sources</w:t>
      </w:r>
      <w:r w:rsidR="00852CEF" w:rsidRPr="00102445">
        <w:rPr>
          <w:rFonts w:eastAsia="Times New Roman" w:cs="Times New Roman"/>
          <w:lang w:eastAsia="en-AU"/>
        </w:rPr>
        <w:t xml:space="preserve">, </w:t>
      </w:r>
      <w:r w:rsidR="006805A5" w:rsidRPr="00102445">
        <w:rPr>
          <w:rFonts w:eastAsia="Times New Roman" w:cs="Times New Roman"/>
          <w:lang w:eastAsia="en-AU"/>
        </w:rPr>
        <w:t>which are, for a facility and a financial year</w:t>
      </w:r>
      <w:r w:rsidR="00286765" w:rsidRPr="00102445">
        <w:rPr>
          <w:rFonts w:eastAsia="Times New Roman" w:cs="Times New Roman"/>
          <w:lang w:eastAsia="en-AU"/>
        </w:rPr>
        <w:t>, emissions sources that add up to</w:t>
      </w:r>
      <w:r w:rsidR="00FE36F8" w:rsidRPr="00102445">
        <w:rPr>
          <w:rFonts w:eastAsia="Times New Roman" w:cs="Times New Roman"/>
          <w:lang w:eastAsia="en-AU"/>
        </w:rPr>
        <w:t xml:space="preserve"> less than 10 percent of </w:t>
      </w:r>
      <w:r w:rsidR="00A5652C" w:rsidRPr="00102445">
        <w:rPr>
          <w:rFonts w:eastAsia="Times New Roman" w:cs="Times New Roman"/>
          <w:lang w:eastAsia="en-AU"/>
        </w:rPr>
        <w:t>the</w:t>
      </w:r>
      <w:r w:rsidR="00FE36F8" w:rsidRPr="00102445">
        <w:rPr>
          <w:rFonts w:eastAsia="Times New Roman" w:cs="Times New Roman"/>
          <w:lang w:eastAsia="en-AU"/>
        </w:rPr>
        <w:t xml:space="preserve"> facilities total covered emissions in that financial year.</w:t>
      </w:r>
      <w:r w:rsidR="00286765" w:rsidRPr="00102445">
        <w:rPr>
          <w:rFonts w:eastAsia="Times New Roman" w:cs="Times New Roman"/>
          <w:lang w:eastAsia="en-AU"/>
        </w:rPr>
        <w:t xml:space="preserve"> </w:t>
      </w:r>
      <w:r w:rsidR="0090685B" w:rsidRPr="00102445">
        <w:rPr>
          <w:rFonts w:eastAsia="Times New Roman" w:cs="Times New Roman"/>
          <w:lang w:eastAsia="en-AU"/>
        </w:rPr>
        <w:t xml:space="preserve">Emissions from minor emissions sources </w:t>
      </w:r>
      <w:r w:rsidR="006032A1" w:rsidRPr="00102445">
        <w:rPr>
          <w:rFonts w:eastAsia="Times New Roman" w:cs="Times New Roman"/>
          <w:lang w:eastAsia="en-AU"/>
        </w:rPr>
        <w:t>are</w:t>
      </w:r>
      <w:r w:rsidR="00280494" w:rsidRPr="00102445">
        <w:rPr>
          <w:rFonts w:eastAsia="Times New Roman" w:cs="Times New Roman"/>
          <w:lang w:eastAsia="en-AU"/>
        </w:rPr>
        <w:t xml:space="preserve"> a</w:t>
      </w:r>
      <w:r w:rsidR="006032A1" w:rsidRPr="00102445">
        <w:rPr>
          <w:rFonts w:eastAsia="Times New Roman" w:cs="Times New Roman"/>
          <w:lang w:eastAsia="en-AU"/>
        </w:rPr>
        <w:t xml:space="preserve">ttributed to a production variable </w:t>
      </w:r>
      <w:r w:rsidR="00523FD8" w:rsidRPr="00102445">
        <w:rPr>
          <w:rFonts w:eastAsia="Times New Roman" w:cs="Times New Roman"/>
          <w:lang w:eastAsia="en-AU"/>
        </w:rPr>
        <w:t xml:space="preserve">in a financial year </w:t>
      </w:r>
      <w:r w:rsidR="006032A1" w:rsidRPr="00102445">
        <w:rPr>
          <w:rFonts w:eastAsia="Times New Roman" w:cs="Times New Roman"/>
          <w:lang w:eastAsia="en-AU"/>
        </w:rPr>
        <w:t xml:space="preserve">if </w:t>
      </w:r>
      <w:r w:rsidR="004D7825" w:rsidRPr="00102445">
        <w:rPr>
          <w:rFonts w:eastAsia="Times New Roman" w:cs="Times New Roman"/>
          <w:lang w:eastAsia="en-AU"/>
        </w:rPr>
        <w:t xml:space="preserve">they </w:t>
      </w:r>
      <w:r w:rsidR="00C42E11" w:rsidRPr="00102445">
        <w:t>fairly represent the actual emissions from the production of the production variable</w:t>
      </w:r>
      <w:r w:rsidR="00523FD8" w:rsidRPr="00102445">
        <w:t xml:space="preserve">, </w:t>
      </w:r>
      <w:r w:rsidR="00214143" w:rsidRPr="00102445">
        <w:t xml:space="preserve">are apportioned consistently with the </w:t>
      </w:r>
      <w:r w:rsidR="00032878" w:rsidRPr="00102445">
        <w:t>NGER (Measurement) Determination</w:t>
      </w:r>
      <w:r w:rsidR="00EB4EBA" w:rsidRPr="00102445">
        <w:t xml:space="preserve">, and </w:t>
      </w:r>
      <w:r w:rsidR="004B4994" w:rsidRPr="00102445">
        <w:t>not apportioned to another production variable.</w:t>
      </w:r>
    </w:p>
    <w:p w14:paraId="54947167" w14:textId="14358A45" w:rsidR="00E82A9F" w:rsidRPr="00102445" w:rsidRDefault="00DD4F17"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Section </w:t>
      </w:r>
      <w:r w:rsidR="00940B89" w:rsidRPr="00102445">
        <w:rPr>
          <w:rFonts w:eastAsia="Times New Roman" w:cs="Times New Roman"/>
          <w:lang w:eastAsia="en-AU"/>
        </w:rPr>
        <w:t xml:space="preserve">17 </w:t>
      </w:r>
      <w:r w:rsidR="00FB7382" w:rsidRPr="00102445">
        <w:rPr>
          <w:rFonts w:eastAsia="Times New Roman" w:cs="Times New Roman"/>
          <w:lang w:eastAsia="en-AU"/>
        </w:rPr>
        <w:t>requires that</w:t>
      </w:r>
      <w:r w:rsidR="00B84DB0" w:rsidRPr="00102445">
        <w:rPr>
          <w:rFonts w:eastAsia="Times New Roman" w:cs="Times New Roman"/>
          <w:lang w:eastAsia="en-AU"/>
        </w:rPr>
        <w:t xml:space="preserve"> an</w:t>
      </w:r>
      <w:r w:rsidR="00E82A9F" w:rsidRPr="00102445">
        <w:rPr>
          <w:rFonts w:eastAsia="Times New Roman" w:cs="Times New Roman"/>
          <w:lang w:eastAsia="en-AU"/>
        </w:rPr>
        <w:t xml:space="preserve"> audit report must accompany </w:t>
      </w:r>
      <w:r w:rsidR="00DF0A96" w:rsidRPr="00102445">
        <w:rPr>
          <w:rFonts w:eastAsia="Times New Roman" w:cs="Times New Roman"/>
          <w:lang w:eastAsia="en-AU"/>
        </w:rPr>
        <w:t>an emissions intensity determination application.</w:t>
      </w:r>
    </w:p>
    <w:p w14:paraId="1111FE13" w14:textId="1C0EEC7B" w:rsidR="00AB11EC" w:rsidRPr="00102445" w:rsidRDefault="004E7875"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Subsection 22XQ(3) of the NGER Act states that the Safeguard Rules may </w:t>
      </w:r>
      <w:r w:rsidR="00CD22FB" w:rsidRPr="00102445">
        <w:rPr>
          <w:rFonts w:eastAsia="Times New Roman" w:cs="Times New Roman"/>
          <w:lang w:eastAsia="en-AU"/>
        </w:rPr>
        <w:t xml:space="preserve">provide that </w:t>
      </w:r>
      <w:r w:rsidR="00CD22FB" w:rsidRPr="00102445">
        <w:t xml:space="preserve">an application for a determination </w:t>
      </w:r>
      <w:r w:rsidR="00687255" w:rsidRPr="00102445">
        <w:t xml:space="preserve">that </w:t>
      </w:r>
      <w:r w:rsidR="00CD22FB" w:rsidRPr="00102445">
        <w:t>relates to the ascertainment of the baseline emissions number for a facility for a financial year is to be accompanied by an audit report that is</w:t>
      </w:r>
      <w:r w:rsidR="00F01CEE" w:rsidRPr="00102445">
        <w:t xml:space="preserve"> prescribed by the </w:t>
      </w:r>
      <w:r w:rsidR="004141A3" w:rsidRPr="00102445">
        <w:t>S</w:t>
      </w:r>
      <w:r w:rsidR="00F01CEE" w:rsidRPr="00102445">
        <w:t xml:space="preserve">afeguard </w:t>
      </w:r>
      <w:r w:rsidR="004141A3" w:rsidRPr="00102445">
        <w:t>R</w:t>
      </w:r>
      <w:r w:rsidR="00F01CEE" w:rsidRPr="00102445">
        <w:t>ules and</w:t>
      </w:r>
      <w:r w:rsidR="00456D2C" w:rsidRPr="00102445">
        <w:t xml:space="preserve"> prepared by a registered greenhouse and energy auditor who has been appointed as an audit team leader for the purpose.</w:t>
      </w:r>
      <w:r w:rsidR="00D81AB4" w:rsidRPr="00102445">
        <w:t xml:space="preserve"> </w:t>
      </w:r>
      <w:r w:rsidR="00931575" w:rsidRPr="00102445">
        <w:t xml:space="preserve">Under subsection 75(1) of the NGER Act, the Minister may determine requirements to be met by registered greenhouse and energy auditors in preparing for and carrying out </w:t>
      </w:r>
      <w:r w:rsidR="00975678" w:rsidRPr="00102445">
        <w:t>S</w:t>
      </w:r>
      <w:r w:rsidR="00931575" w:rsidRPr="00102445">
        <w:t>afeguard audits.</w:t>
      </w:r>
    </w:p>
    <w:p w14:paraId="67634C0D" w14:textId="39495DC6" w:rsidR="00DD1E24" w:rsidRPr="00102445" w:rsidRDefault="00A24BD5"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Subsection </w:t>
      </w:r>
      <w:r w:rsidR="00B62ACF" w:rsidRPr="00102445">
        <w:rPr>
          <w:rFonts w:eastAsia="Times New Roman" w:cs="Times New Roman"/>
          <w:lang w:eastAsia="en-AU"/>
        </w:rPr>
        <w:t>17</w:t>
      </w:r>
      <w:r w:rsidRPr="00102445">
        <w:rPr>
          <w:rFonts w:eastAsia="Times New Roman" w:cs="Times New Roman"/>
          <w:lang w:eastAsia="en-AU"/>
        </w:rPr>
        <w:t>(3) sets out reasonable assurance matters</w:t>
      </w:r>
      <w:r w:rsidR="00271A4C" w:rsidRPr="00102445">
        <w:rPr>
          <w:rFonts w:eastAsia="Times New Roman" w:cs="Times New Roman"/>
          <w:lang w:eastAsia="en-AU"/>
        </w:rPr>
        <w:t xml:space="preserve">. As specified in subparagraph </w:t>
      </w:r>
      <w:r w:rsidR="009237A1" w:rsidRPr="00102445">
        <w:rPr>
          <w:rFonts w:eastAsia="Times New Roman" w:cs="Times New Roman"/>
          <w:lang w:eastAsia="en-AU"/>
        </w:rPr>
        <w:t>19</w:t>
      </w:r>
      <w:r w:rsidR="00271A4C" w:rsidRPr="00102445">
        <w:rPr>
          <w:rFonts w:eastAsia="Times New Roman" w:cs="Times New Roman"/>
          <w:lang w:eastAsia="en-AU"/>
        </w:rPr>
        <w:t xml:space="preserve">(2)(a), </w:t>
      </w:r>
      <w:r w:rsidR="00A27D35" w:rsidRPr="00102445">
        <w:rPr>
          <w:rFonts w:eastAsia="Times New Roman" w:cs="Times New Roman"/>
          <w:lang w:eastAsia="en-AU"/>
        </w:rPr>
        <w:t xml:space="preserve">the audit report </w:t>
      </w:r>
      <w:r w:rsidR="003B5635" w:rsidRPr="00102445">
        <w:rPr>
          <w:rFonts w:eastAsia="Times New Roman" w:cs="Times New Roman"/>
          <w:lang w:eastAsia="en-AU"/>
        </w:rPr>
        <w:t xml:space="preserve">must </w:t>
      </w:r>
      <w:r w:rsidR="00DE0BE7" w:rsidRPr="00102445">
        <w:rPr>
          <w:rFonts w:eastAsia="Times New Roman" w:cs="Times New Roman"/>
          <w:lang w:eastAsia="en-AU"/>
        </w:rPr>
        <w:t>include a reasonable assurance conclusion or a qualif</w:t>
      </w:r>
      <w:r w:rsidR="00875625" w:rsidRPr="00102445">
        <w:rPr>
          <w:rFonts w:eastAsia="Times New Roman" w:cs="Times New Roman"/>
          <w:lang w:eastAsia="en-AU"/>
        </w:rPr>
        <w:t>ied reasonable assurance conclusion about each of these matters</w:t>
      </w:r>
      <w:r w:rsidR="0062318D" w:rsidRPr="00102445">
        <w:rPr>
          <w:rFonts w:eastAsia="Times New Roman" w:cs="Times New Roman"/>
          <w:lang w:eastAsia="en-AU"/>
        </w:rPr>
        <w:t xml:space="preserve"> in order for the Regulator to make an emissions intensity determination</w:t>
      </w:r>
      <w:r w:rsidR="00875625" w:rsidRPr="00102445">
        <w:rPr>
          <w:rFonts w:eastAsia="Times New Roman" w:cs="Times New Roman"/>
          <w:lang w:eastAsia="en-AU"/>
        </w:rPr>
        <w:t xml:space="preserve">. </w:t>
      </w:r>
      <w:r w:rsidR="000512F4" w:rsidRPr="00102445">
        <w:rPr>
          <w:rFonts w:eastAsia="Times New Roman" w:cs="Times New Roman"/>
          <w:lang w:eastAsia="en-AU"/>
        </w:rPr>
        <w:t>These matters in</w:t>
      </w:r>
      <w:r w:rsidR="00EC6A9F" w:rsidRPr="00102445">
        <w:rPr>
          <w:rFonts w:eastAsia="Times New Roman" w:cs="Times New Roman"/>
          <w:lang w:eastAsia="en-AU"/>
        </w:rPr>
        <w:t>clude</w:t>
      </w:r>
      <w:r w:rsidR="00BB1FBF" w:rsidRPr="00102445">
        <w:rPr>
          <w:rFonts w:eastAsia="Times New Roman" w:cs="Times New Roman"/>
          <w:lang w:eastAsia="en-AU"/>
        </w:rPr>
        <w:t xml:space="preserve"> whether</w:t>
      </w:r>
      <w:r w:rsidR="008642BF" w:rsidRPr="00102445">
        <w:rPr>
          <w:rFonts w:eastAsia="Times New Roman" w:cs="Times New Roman"/>
          <w:lang w:eastAsia="en-AU"/>
        </w:rPr>
        <w:t>, in all material respects</w:t>
      </w:r>
      <w:r w:rsidR="00CD3CB1" w:rsidRPr="00102445">
        <w:rPr>
          <w:rFonts w:eastAsia="Times New Roman" w:cs="Times New Roman"/>
          <w:lang w:eastAsia="en-AU"/>
        </w:rPr>
        <w:t>,</w:t>
      </w:r>
      <w:r w:rsidR="00BB1FBF" w:rsidRPr="00102445">
        <w:rPr>
          <w:rFonts w:eastAsia="Times New Roman" w:cs="Times New Roman"/>
          <w:lang w:eastAsia="en-AU"/>
        </w:rPr>
        <w:t xml:space="preserve"> the application</w:t>
      </w:r>
      <w:r w:rsidR="001F567B" w:rsidRPr="00102445">
        <w:rPr>
          <w:rFonts w:eastAsia="Times New Roman" w:cs="Times New Roman"/>
          <w:lang w:eastAsia="en-AU"/>
        </w:rPr>
        <w:t xml:space="preserve"> correctly specifies: </w:t>
      </w:r>
      <w:r w:rsidR="00701B88" w:rsidRPr="00102445">
        <w:rPr>
          <w:rFonts w:eastAsia="Times New Roman" w:cs="Times New Roman"/>
          <w:lang w:eastAsia="en-AU"/>
        </w:rPr>
        <w:t xml:space="preserve">any historical production variables for the facility; </w:t>
      </w:r>
      <w:r w:rsidR="004F04F9" w:rsidRPr="00102445">
        <w:t xml:space="preserve">the quantity of the historical production variable for any </w:t>
      </w:r>
      <w:r w:rsidR="00ED301B" w:rsidRPr="00102445">
        <w:t xml:space="preserve">historical financial years </w:t>
      </w:r>
      <w:r w:rsidR="008F6132" w:rsidRPr="00102445">
        <w:t>for which the application has designa</w:t>
      </w:r>
      <w:r w:rsidR="00F66BEC" w:rsidRPr="00102445">
        <w:t xml:space="preserve">ted </w:t>
      </w:r>
      <w:r w:rsidR="004A7376" w:rsidRPr="00102445">
        <w:t>historical information</w:t>
      </w:r>
      <w:r w:rsidR="00FB4EE9" w:rsidRPr="00102445">
        <w:t>;</w:t>
      </w:r>
      <w:r w:rsidR="00B55D1B" w:rsidRPr="00102445">
        <w:t xml:space="preserve"> the covered emissions in each historical financial year; and </w:t>
      </w:r>
      <w:r w:rsidR="00F3607C" w:rsidRPr="00102445">
        <w:t>any transitional production variables</w:t>
      </w:r>
      <w:r w:rsidR="002A10D2" w:rsidRPr="00102445">
        <w:t xml:space="preserve"> </w:t>
      </w:r>
      <w:r w:rsidR="00BF33F2" w:rsidRPr="00102445">
        <w:t>for the facility</w:t>
      </w:r>
      <w:r w:rsidR="00F3607C" w:rsidRPr="00102445">
        <w:t>.</w:t>
      </w:r>
    </w:p>
    <w:p w14:paraId="2094F27F" w14:textId="7F6FC328" w:rsidR="00523CB4" w:rsidRPr="00102445" w:rsidRDefault="005A7EBA"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Subsection </w:t>
      </w:r>
      <w:r w:rsidR="006E2D26" w:rsidRPr="00102445">
        <w:rPr>
          <w:rFonts w:eastAsia="Times New Roman" w:cs="Times New Roman"/>
          <w:lang w:eastAsia="en-AU"/>
        </w:rPr>
        <w:t>17</w:t>
      </w:r>
      <w:r w:rsidRPr="00102445">
        <w:rPr>
          <w:rFonts w:eastAsia="Times New Roman" w:cs="Times New Roman"/>
          <w:lang w:eastAsia="en-AU"/>
        </w:rPr>
        <w:t xml:space="preserve">(4) sets out limited assurance matters. As specified in paragraph </w:t>
      </w:r>
      <w:r w:rsidR="006E2D26" w:rsidRPr="00102445">
        <w:rPr>
          <w:rFonts w:eastAsia="Times New Roman" w:cs="Times New Roman"/>
          <w:lang w:eastAsia="en-AU"/>
        </w:rPr>
        <w:t>19</w:t>
      </w:r>
      <w:r w:rsidRPr="00102445">
        <w:rPr>
          <w:rFonts w:eastAsia="Times New Roman" w:cs="Times New Roman"/>
          <w:lang w:eastAsia="en-AU"/>
        </w:rPr>
        <w:t>(2)(b), the audit report must include a limited assurance conclusion or a qualified limited assurance conclusion about each of these matters</w:t>
      </w:r>
      <w:r w:rsidR="0062318D" w:rsidRPr="00102445">
        <w:rPr>
          <w:rFonts w:eastAsia="Times New Roman" w:cs="Times New Roman"/>
          <w:lang w:eastAsia="en-AU"/>
        </w:rPr>
        <w:t xml:space="preserve"> in order for the Regulator to make an emissions intensity determination</w:t>
      </w:r>
      <w:r w:rsidRPr="00102445">
        <w:rPr>
          <w:rFonts w:eastAsia="Times New Roman" w:cs="Times New Roman"/>
          <w:lang w:eastAsia="en-AU"/>
        </w:rPr>
        <w:t xml:space="preserve">. </w:t>
      </w:r>
      <w:r w:rsidR="00CD3CB1" w:rsidRPr="00102445">
        <w:rPr>
          <w:rFonts w:eastAsia="Times New Roman" w:cs="Times New Roman"/>
          <w:lang w:eastAsia="en-AU"/>
        </w:rPr>
        <w:t xml:space="preserve">These matters include whether, in all material respects, the application correctly specifies: </w:t>
      </w:r>
      <w:r w:rsidR="00F7286F" w:rsidRPr="00102445">
        <w:t>the amount of covered emissions of greenhouse gases from the operation of the facility that are relevantly associated with each production variable</w:t>
      </w:r>
      <w:r w:rsidR="001E69BC" w:rsidRPr="00102445">
        <w:t xml:space="preserve">; and </w:t>
      </w:r>
      <w:r w:rsidR="00632818" w:rsidRPr="00102445">
        <w:t xml:space="preserve">the </w:t>
      </w:r>
      <w:r w:rsidR="0011343A" w:rsidRPr="00102445">
        <w:t xml:space="preserve">calculations of covered emissions that are included in the application meet the requirements specified in section </w:t>
      </w:r>
      <w:r w:rsidR="00A3276D" w:rsidRPr="00102445">
        <w:t>15</w:t>
      </w:r>
      <w:r w:rsidR="004260B4" w:rsidRPr="00102445">
        <w:t>.</w:t>
      </w:r>
      <w:r w:rsidR="00FB2A09" w:rsidRPr="00102445">
        <w:t xml:space="preserve"> </w:t>
      </w:r>
      <w:r w:rsidR="00523CB4" w:rsidRPr="00102445">
        <w:t xml:space="preserve">Limited assurance matters also </w:t>
      </w:r>
      <w:r w:rsidR="00E1442C" w:rsidRPr="00102445">
        <w:t xml:space="preserve">include that any estimates and assumptions set out under subsection </w:t>
      </w:r>
      <w:r w:rsidR="00A3276D" w:rsidRPr="00102445">
        <w:t>15</w:t>
      </w:r>
      <w:r w:rsidR="00E1442C" w:rsidRPr="00102445">
        <w:t>(3) are reasonable</w:t>
      </w:r>
      <w:r w:rsidR="005431D2" w:rsidRPr="00102445">
        <w:t>.</w:t>
      </w:r>
    </w:p>
    <w:p w14:paraId="0406367B" w14:textId="7D9ECCF7" w:rsidR="00A80AE1" w:rsidRPr="00102445" w:rsidRDefault="00A80AE1"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Subsection 1</w:t>
      </w:r>
      <w:r w:rsidR="00A46FCA" w:rsidRPr="00102445">
        <w:rPr>
          <w:rFonts w:eastAsia="Times New Roman" w:cs="Times New Roman"/>
          <w:lang w:eastAsia="en-AU"/>
        </w:rPr>
        <w:t>7</w:t>
      </w:r>
      <w:r w:rsidRPr="00102445">
        <w:rPr>
          <w:rFonts w:eastAsia="Times New Roman" w:cs="Times New Roman"/>
          <w:lang w:eastAsia="en-AU"/>
        </w:rPr>
        <w:t xml:space="preserve">(5) provides that despite subsections (3) and (4), the audit report does not need to include a conclusion about a matter in subsection (3) if the responsible emitter has previously given the Regulator and audit report that includes a reasonable assurance conclusion in relation to the matter; or about a matter in subsection (4) if the responsible emitter has previously given the Regulator an audit report that includes a limited assurance conclusion in relation to the matter. </w:t>
      </w:r>
    </w:p>
    <w:p w14:paraId="79E61E41" w14:textId="1CEB1573" w:rsidR="00851E3D" w:rsidRPr="00102445" w:rsidRDefault="00DE7D95"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The </w:t>
      </w:r>
      <w:r w:rsidR="00016A5E" w:rsidRPr="00102445">
        <w:rPr>
          <w:i/>
        </w:rPr>
        <w:t xml:space="preserve">National Greenhouse and Energy Reporting (Audit) Determination 2009 </w:t>
      </w:r>
      <w:r w:rsidR="001C4F04" w:rsidRPr="00102445">
        <w:rPr>
          <w:rFonts w:eastAsia="Times New Roman" w:cs="Times New Roman"/>
          <w:lang w:eastAsia="en-AU"/>
        </w:rPr>
        <w:t xml:space="preserve">sets out </w:t>
      </w:r>
      <w:r w:rsidR="00C85326" w:rsidRPr="00102445">
        <w:rPr>
          <w:rFonts w:eastAsia="Times New Roman" w:cs="Times New Roman"/>
          <w:lang w:eastAsia="en-AU"/>
        </w:rPr>
        <w:t>the meaning of</w:t>
      </w:r>
      <w:r w:rsidR="001C4F04" w:rsidRPr="00102445">
        <w:rPr>
          <w:rFonts w:eastAsia="Times New Roman" w:cs="Times New Roman"/>
          <w:lang w:eastAsia="en-AU"/>
        </w:rPr>
        <w:t xml:space="preserve"> </w:t>
      </w:r>
      <w:r w:rsidR="00C85326" w:rsidRPr="00102445">
        <w:rPr>
          <w:rFonts w:eastAsia="Times New Roman" w:cs="Times New Roman"/>
          <w:lang w:eastAsia="en-AU"/>
        </w:rPr>
        <w:t>‘</w:t>
      </w:r>
      <w:r w:rsidR="001C4F04" w:rsidRPr="00102445">
        <w:rPr>
          <w:rFonts w:eastAsia="Times New Roman" w:cs="Times New Roman"/>
          <w:lang w:eastAsia="en-AU"/>
        </w:rPr>
        <w:t>reasonable assurance conclusion</w:t>
      </w:r>
      <w:r w:rsidR="00C85326" w:rsidRPr="00102445">
        <w:rPr>
          <w:rFonts w:eastAsia="Times New Roman" w:cs="Times New Roman"/>
          <w:lang w:eastAsia="en-AU"/>
        </w:rPr>
        <w:t>’</w:t>
      </w:r>
      <w:r w:rsidR="002B698C" w:rsidRPr="00102445">
        <w:rPr>
          <w:rFonts w:eastAsia="Times New Roman" w:cs="Times New Roman"/>
          <w:lang w:eastAsia="en-AU"/>
        </w:rPr>
        <w:t>,</w:t>
      </w:r>
      <w:r w:rsidR="00C85326" w:rsidRPr="00102445">
        <w:rPr>
          <w:rFonts w:eastAsia="Times New Roman" w:cs="Times New Roman"/>
          <w:lang w:eastAsia="en-AU"/>
        </w:rPr>
        <w:t xml:space="preserve"> ‘qualified reasonable assurance conclusion’, ‘limited assurance conclusion’, and ‘qualified limited assurance conclusion’.</w:t>
      </w:r>
      <w:r w:rsidR="00B21E49" w:rsidRPr="00102445">
        <w:rPr>
          <w:rFonts w:eastAsia="Times New Roman" w:cs="Times New Roman"/>
          <w:lang w:eastAsia="en-AU"/>
        </w:rPr>
        <w:t xml:space="preserve"> </w:t>
      </w:r>
      <w:r w:rsidR="00A06995" w:rsidRPr="00102445">
        <w:rPr>
          <w:rFonts w:eastAsia="Times New Roman" w:cs="Times New Roman"/>
          <w:lang w:eastAsia="en-AU"/>
        </w:rPr>
        <w:t xml:space="preserve">Under section </w:t>
      </w:r>
      <w:r w:rsidR="00BF7473" w:rsidRPr="00102445">
        <w:rPr>
          <w:rFonts w:eastAsia="Times New Roman" w:cs="Times New Roman"/>
          <w:lang w:eastAsia="en-AU"/>
        </w:rPr>
        <w:t>18</w:t>
      </w:r>
      <w:r w:rsidR="00A06995" w:rsidRPr="00102445">
        <w:rPr>
          <w:rFonts w:eastAsia="Times New Roman" w:cs="Times New Roman"/>
          <w:lang w:eastAsia="en-AU"/>
        </w:rPr>
        <w:t>, t</w:t>
      </w:r>
      <w:r w:rsidR="000A3C59" w:rsidRPr="00102445">
        <w:rPr>
          <w:rFonts w:eastAsia="Times New Roman" w:cs="Times New Roman"/>
          <w:lang w:eastAsia="en-AU"/>
        </w:rPr>
        <w:t xml:space="preserve">he </w:t>
      </w:r>
      <w:r w:rsidR="00A5652C" w:rsidRPr="00102445">
        <w:rPr>
          <w:rFonts w:eastAsia="Times New Roman" w:cs="Times New Roman"/>
          <w:lang w:eastAsia="en-AU"/>
        </w:rPr>
        <w:t>R</w:t>
      </w:r>
      <w:r w:rsidR="000A3C59" w:rsidRPr="00102445">
        <w:rPr>
          <w:rFonts w:eastAsia="Times New Roman" w:cs="Times New Roman"/>
          <w:lang w:eastAsia="en-AU"/>
        </w:rPr>
        <w:t xml:space="preserve">egulator </w:t>
      </w:r>
      <w:r w:rsidR="00E54733" w:rsidRPr="00102445">
        <w:t>must take all reasonable steps to decide</w:t>
      </w:r>
      <w:r w:rsidR="00851E3D" w:rsidRPr="00102445">
        <w:t xml:space="preserve">, under section </w:t>
      </w:r>
      <w:r w:rsidR="00BF7473" w:rsidRPr="00102445">
        <w:t>19</w:t>
      </w:r>
      <w:r w:rsidR="00851E3D" w:rsidRPr="00102445">
        <w:t>,</w:t>
      </w:r>
      <w:r w:rsidR="00E54733" w:rsidRPr="00102445">
        <w:t xml:space="preserve"> the application</w:t>
      </w:r>
      <w:r w:rsidR="00E54733" w:rsidRPr="00102445">
        <w:rPr>
          <w:rFonts w:eastAsia="Times New Roman" w:cs="Times New Roman"/>
          <w:lang w:eastAsia="en-AU"/>
        </w:rPr>
        <w:t xml:space="preserve"> </w:t>
      </w:r>
      <w:r w:rsidR="000A3C59" w:rsidRPr="00102445">
        <w:rPr>
          <w:rFonts w:eastAsia="Times New Roman" w:cs="Times New Roman"/>
          <w:lang w:eastAsia="en-AU"/>
        </w:rPr>
        <w:t xml:space="preserve">for an </w:t>
      </w:r>
      <w:r w:rsidR="000A3C59" w:rsidRPr="00102445">
        <w:rPr>
          <w:rFonts w:eastAsia="Times New Roman" w:cs="Times New Roman"/>
          <w:lang w:eastAsia="en-AU"/>
        </w:rPr>
        <w:lastRenderedPageBreak/>
        <w:t>emissions intensity determination before the end of the decision date</w:t>
      </w:r>
      <w:r w:rsidR="00000A47" w:rsidRPr="00102445">
        <w:rPr>
          <w:rFonts w:eastAsia="Times New Roman" w:cs="Times New Roman"/>
          <w:lang w:eastAsia="en-AU"/>
        </w:rPr>
        <w:t>, which is</w:t>
      </w:r>
      <w:r w:rsidR="004B1005" w:rsidRPr="00102445">
        <w:rPr>
          <w:rFonts w:eastAsia="Times New Roman" w:cs="Times New Roman"/>
          <w:lang w:eastAsia="en-AU"/>
        </w:rPr>
        <w:t xml:space="preserve"> </w:t>
      </w:r>
      <w:r w:rsidR="00851E3D" w:rsidRPr="00102445">
        <w:rPr>
          <w:rFonts w:eastAsia="Times New Roman" w:cs="Times New Roman"/>
          <w:lang w:eastAsia="en-AU"/>
        </w:rPr>
        <w:t xml:space="preserve">specified </w:t>
      </w:r>
      <w:r w:rsidR="000A3C59" w:rsidRPr="00102445">
        <w:rPr>
          <w:rFonts w:eastAsia="Times New Roman" w:cs="Times New Roman"/>
          <w:lang w:eastAsia="en-AU"/>
        </w:rPr>
        <w:t xml:space="preserve">in section </w:t>
      </w:r>
      <w:r w:rsidR="00590E2D" w:rsidRPr="00102445">
        <w:rPr>
          <w:rFonts w:eastAsia="Times New Roman" w:cs="Times New Roman"/>
          <w:lang w:eastAsia="en-AU"/>
        </w:rPr>
        <w:t>52</w:t>
      </w:r>
      <w:r w:rsidR="000A3C59" w:rsidRPr="00102445">
        <w:rPr>
          <w:rFonts w:eastAsia="Times New Roman" w:cs="Times New Roman"/>
          <w:lang w:eastAsia="en-AU"/>
        </w:rPr>
        <w:t xml:space="preserve">. </w:t>
      </w:r>
    </w:p>
    <w:p w14:paraId="46A603B0" w14:textId="3E6C3FBB" w:rsidR="000A3C59" w:rsidRPr="00102445" w:rsidRDefault="000A3C59"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The Regulator may through written notice require the applicant to provide further information </w:t>
      </w:r>
      <w:r w:rsidR="00C36EC1" w:rsidRPr="00102445">
        <w:rPr>
          <w:rFonts w:eastAsia="Times New Roman" w:cs="Times New Roman"/>
          <w:lang w:eastAsia="en-AU"/>
        </w:rPr>
        <w:t xml:space="preserve">related </w:t>
      </w:r>
      <w:r w:rsidRPr="00102445">
        <w:rPr>
          <w:rFonts w:eastAsia="Times New Roman" w:cs="Times New Roman"/>
          <w:lang w:eastAsia="en-AU"/>
        </w:rPr>
        <w:t xml:space="preserve">to the application within a specified time period. If no further information is provided within this period, the Regulator </w:t>
      </w:r>
      <w:r w:rsidR="00333D7A" w:rsidRPr="00102445">
        <w:rPr>
          <w:rFonts w:eastAsia="Times New Roman" w:cs="Times New Roman"/>
          <w:lang w:eastAsia="en-AU"/>
        </w:rPr>
        <w:t>is not required to</w:t>
      </w:r>
      <w:r w:rsidRPr="00102445">
        <w:rPr>
          <w:rFonts w:eastAsia="Times New Roman" w:cs="Times New Roman"/>
          <w:lang w:eastAsia="en-AU"/>
        </w:rPr>
        <w:t xml:space="preserve"> consider</w:t>
      </w:r>
      <w:r w:rsidR="00333D7A" w:rsidRPr="00102445">
        <w:rPr>
          <w:rFonts w:eastAsia="Times New Roman" w:cs="Times New Roman"/>
          <w:lang w:eastAsia="en-AU"/>
        </w:rPr>
        <w:t xml:space="preserve"> the application</w:t>
      </w:r>
      <w:r w:rsidRPr="00102445">
        <w:rPr>
          <w:rFonts w:eastAsia="Times New Roman" w:cs="Times New Roman"/>
          <w:lang w:eastAsia="en-AU"/>
        </w:rPr>
        <w:t xml:space="preserve">, </w:t>
      </w:r>
      <w:r w:rsidR="00333D7A" w:rsidRPr="00102445">
        <w:rPr>
          <w:rFonts w:eastAsia="Times New Roman" w:cs="Times New Roman"/>
          <w:lang w:eastAsia="en-AU"/>
        </w:rPr>
        <w:t xml:space="preserve">and may </w:t>
      </w:r>
      <w:r w:rsidRPr="00102445">
        <w:rPr>
          <w:rFonts w:eastAsia="Times New Roman" w:cs="Times New Roman"/>
          <w:lang w:eastAsia="en-AU"/>
        </w:rPr>
        <w:t xml:space="preserve">cease consideration of the application. </w:t>
      </w:r>
    </w:p>
    <w:p w14:paraId="3B00BBBE" w14:textId="1FC76534" w:rsidR="00F55B93" w:rsidRPr="00102445" w:rsidRDefault="004A1474"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Section </w:t>
      </w:r>
      <w:r w:rsidR="003119A1" w:rsidRPr="00102445">
        <w:rPr>
          <w:rFonts w:eastAsia="Times New Roman" w:cs="Times New Roman"/>
          <w:lang w:eastAsia="en-AU"/>
        </w:rPr>
        <w:t xml:space="preserve">19 </w:t>
      </w:r>
      <w:r w:rsidRPr="00102445">
        <w:rPr>
          <w:rFonts w:eastAsia="Times New Roman" w:cs="Times New Roman"/>
          <w:lang w:eastAsia="en-AU"/>
        </w:rPr>
        <w:t xml:space="preserve">details the requirements for the Regulator </w:t>
      </w:r>
      <w:r w:rsidR="00AC4B23" w:rsidRPr="00102445">
        <w:rPr>
          <w:rFonts w:eastAsia="Times New Roman" w:cs="Times New Roman"/>
          <w:lang w:eastAsia="en-AU"/>
        </w:rPr>
        <w:t xml:space="preserve">when considering </w:t>
      </w:r>
      <w:r w:rsidRPr="00102445">
        <w:rPr>
          <w:rFonts w:eastAsia="Times New Roman" w:cs="Times New Roman"/>
          <w:lang w:eastAsia="en-AU"/>
        </w:rPr>
        <w:t>an em</w:t>
      </w:r>
      <w:r w:rsidR="00A05B38" w:rsidRPr="00102445">
        <w:rPr>
          <w:rFonts w:eastAsia="Times New Roman" w:cs="Times New Roman"/>
          <w:lang w:eastAsia="en-AU"/>
        </w:rPr>
        <w:t>issions intensity determination</w:t>
      </w:r>
      <w:r w:rsidR="00AC4B23" w:rsidRPr="00102445">
        <w:rPr>
          <w:rFonts w:eastAsia="Times New Roman" w:cs="Times New Roman"/>
          <w:lang w:eastAsia="en-AU"/>
        </w:rPr>
        <w:t xml:space="preserve"> application</w:t>
      </w:r>
      <w:r w:rsidR="00A05B38" w:rsidRPr="00102445">
        <w:rPr>
          <w:rFonts w:eastAsia="Times New Roman" w:cs="Times New Roman"/>
          <w:lang w:eastAsia="en-AU"/>
        </w:rPr>
        <w:t xml:space="preserve">. </w:t>
      </w:r>
      <w:r w:rsidR="006D1481" w:rsidRPr="00102445">
        <w:rPr>
          <w:rFonts w:eastAsia="Times New Roman" w:cs="Times New Roman"/>
          <w:lang w:eastAsia="en-AU"/>
        </w:rPr>
        <w:t xml:space="preserve">Subsection </w:t>
      </w:r>
      <w:r w:rsidR="003119A1" w:rsidRPr="00102445">
        <w:rPr>
          <w:rFonts w:eastAsia="Times New Roman" w:cs="Times New Roman"/>
          <w:lang w:eastAsia="en-AU"/>
        </w:rPr>
        <w:t>19</w:t>
      </w:r>
      <w:r w:rsidR="00F51A2E" w:rsidRPr="00102445">
        <w:rPr>
          <w:rFonts w:eastAsia="Times New Roman" w:cs="Times New Roman"/>
          <w:lang w:eastAsia="en-AU"/>
        </w:rPr>
        <w:t>(2)</w:t>
      </w:r>
      <w:r w:rsidR="009E5788" w:rsidRPr="00102445">
        <w:rPr>
          <w:rFonts w:eastAsia="Times New Roman" w:cs="Times New Roman"/>
          <w:lang w:eastAsia="en-AU"/>
        </w:rPr>
        <w:t>(a)</w:t>
      </w:r>
      <w:r w:rsidR="00F51A2E" w:rsidRPr="00102445">
        <w:rPr>
          <w:rFonts w:eastAsia="Times New Roman" w:cs="Times New Roman"/>
          <w:lang w:eastAsia="en-AU"/>
        </w:rPr>
        <w:t xml:space="preserve"> specifies that </w:t>
      </w:r>
      <w:r w:rsidR="00B61AFC" w:rsidRPr="00102445">
        <w:rPr>
          <w:rFonts w:eastAsia="Times New Roman" w:cs="Times New Roman"/>
          <w:lang w:eastAsia="en-AU"/>
        </w:rPr>
        <w:t>the Regulator cannot make</w:t>
      </w:r>
      <w:r w:rsidR="004F4C36" w:rsidRPr="00102445">
        <w:rPr>
          <w:rFonts w:eastAsia="Times New Roman" w:cs="Times New Roman"/>
          <w:lang w:eastAsia="en-AU"/>
        </w:rPr>
        <w:t xml:space="preserve"> an emissions intensity determination </w:t>
      </w:r>
      <w:r w:rsidR="000D110E" w:rsidRPr="00102445">
        <w:rPr>
          <w:rFonts w:eastAsia="Times New Roman" w:cs="Times New Roman"/>
          <w:lang w:eastAsia="en-AU"/>
        </w:rPr>
        <w:t>unless</w:t>
      </w:r>
      <w:r w:rsidR="00B949C9" w:rsidRPr="00102445">
        <w:rPr>
          <w:rFonts w:eastAsia="Times New Roman" w:cs="Times New Roman"/>
          <w:lang w:eastAsia="en-AU"/>
        </w:rPr>
        <w:t xml:space="preserve"> the audit report accompanying the application for an emissions intensity determination </w:t>
      </w:r>
      <w:r w:rsidR="00A96711" w:rsidRPr="00102445">
        <w:rPr>
          <w:rFonts w:eastAsia="Times New Roman" w:cs="Times New Roman"/>
          <w:lang w:eastAsia="en-AU"/>
        </w:rPr>
        <w:t xml:space="preserve">includes </w:t>
      </w:r>
      <w:r w:rsidR="00023C91" w:rsidRPr="00102445">
        <w:rPr>
          <w:rFonts w:eastAsia="Times New Roman" w:cs="Times New Roman"/>
          <w:lang w:eastAsia="en-AU"/>
        </w:rPr>
        <w:t xml:space="preserve">a reasonable </w:t>
      </w:r>
      <w:r w:rsidR="00850099" w:rsidRPr="00102445">
        <w:rPr>
          <w:rFonts w:eastAsia="Times New Roman" w:cs="Times New Roman"/>
          <w:lang w:eastAsia="en-AU"/>
        </w:rPr>
        <w:t xml:space="preserve">or </w:t>
      </w:r>
      <w:r w:rsidR="004179DB" w:rsidRPr="00102445">
        <w:rPr>
          <w:rFonts w:eastAsia="Times New Roman" w:cs="Times New Roman"/>
          <w:lang w:eastAsia="en-AU"/>
        </w:rPr>
        <w:t xml:space="preserve">qualified </w:t>
      </w:r>
      <w:r w:rsidR="00220579" w:rsidRPr="00102445">
        <w:rPr>
          <w:rFonts w:eastAsia="Times New Roman" w:cs="Times New Roman"/>
          <w:lang w:eastAsia="en-AU"/>
        </w:rPr>
        <w:t xml:space="preserve">reasonable assurance </w:t>
      </w:r>
      <w:r w:rsidR="00454B55" w:rsidRPr="00102445">
        <w:rPr>
          <w:rFonts w:eastAsia="Times New Roman" w:cs="Times New Roman"/>
          <w:lang w:eastAsia="en-AU"/>
        </w:rPr>
        <w:t>conclusion</w:t>
      </w:r>
      <w:r w:rsidR="00E11F6A" w:rsidRPr="00102445">
        <w:rPr>
          <w:rFonts w:eastAsia="Times New Roman" w:cs="Times New Roman"/>
          <w:lang w:eastAsia="en-AU"/>
        </w:rPr>
        <w:t xml:space="preserve"> for</w:t>
      </w:r>
      <w:r w:rsidR="00665122" w:rsidRPr="00102445">
        <w:rPr>
          <w:rFonts w:eastAsia="Times New Roman" w:cs="Times New Roman"/>
          <w:lang w:eastAsia="en-AU"/>
        </w:rPr>
        <w:t xml:space="preserve"> </w:t>
      </w:r>
      <w:r w:rsidR="001B4A31" w:rsidRPr="00102445">
        <w:rPr>
          <w:rFonts w:eastAsia="Times New Roman" w:cs="Times New Roman"/>
          <w:lang w:eastAsia="en-AU"/>
        </w:rPr>
        <w:t>the</w:t>
      </w:r>
      <w:r w:rsidR="00BE1C28" w:rsidRPr="00102445">
        <w:rPr>
          <w:rFonts w:eastAsia="Times New Roman" w:cs="Times New Roman"/>
          <w:lang w:eastAsia="en-AU"/>
        </w:rPr>
        <w:t xml:space="preserve"> matters</w:t>
      </w:r>
      <w:r w:rsidR="001B4A31" w:rsidRPr="00102445">
        <w:rPr>
          <w:rFonts w:eastAsia="Times New Roman" w:cs="Times New Roman"/>
          <w:lang w:eastAsia="en-AU"/>
        </w:rPr>
        <w:t xml:space="preserve"> spe</w:t>
      </w:r>
      <w:r w:rsidR="00117C44" w:rsidRPr="00102445">
        <w:rPr>
          <w:rFonts w:eastAsia="Times New Roman" w:cs="Times New Roman"/>
          <w:lang w:eastAsia="en-AU"/>
        </w:rPr>
        <w:t xml:space="preserve">cified in subsection </w:t>
      </w:r>
      <w:r w:rsidR="003119A1" w:rsidRPr="00102445">
        <w:rPr>
          <w:rFonts w:eastAsia="Times New Roman" w:cs="Times New Roman"/>
          <w:lang w:eastAsia="en-AU"/>
        </w:rPr>
        <w:t>17</w:t>
      </w:r>
      <w:r w:rsidR="00117C44" w:rsidRPr="00102445">
        <w:rPr>
          <w:rFonts w:eastAsia="Times New Roman" w:cs="Times New Roman"/>
          <w:lang w:eastAsia="en-AU"/>
        </w:rPr>
        <w:t>(3)</w:t>
      </w:r>
      <w:r w:rsidR="00BE1C28" w:rsidRPr="00102445">
        <w:rPr>
          <w:rFonts w:eastAsia="Times New Roman" w:cs="Times New Roman"/>
          <w:lang w:eastAsia="en-AU"/>
        </w:rPr>
        <w:t xml:space="preserve">. </w:t>
      </w:r>
      <w:r w:rsidR="007D5EC6" w:rsidRPr="00102445">
        <w:rPr>
          <w:rFonts w:eastAsia="Times New Roman" w:cs="Times New Roman"/>
          <w:lang w:eastAsia="en-AU"/>
        </w:rPr>
        <w:t>Accordingly, t</w:t>
      </w:r>
      <w:r w:rsidR="00BE1C28" w:rsidRPr="00102445">
        <w:rPr>
          <w:rFonts w:eastAsia="Times New Roman" w:cs="Times New Roman"/>
          <w:lang w:eastAsia="en-AU"/>
        </w:rPr>
        <w:t>h</w:t>
      </w:r>
      <w:r w:rsidR="00D71EA7" w:rsidRPr="00102445">
        <w:rPr>
          <w:rFonts w:eastAsia="Times New Roman" w:cs="Times New Roman"/>
          <w:lang w:eastAsia="en-AU"/>
        </w:rPr>
        <w:t>e</w:t>
      </w:r>
      <w:r w:rsidR="00167D8B" w:rsidRPr="00102445">
        <w:rPr>
          <w:rFonts w:eastAsia="Times New Roman" w:cs="Times New Roman"/>
          <w:lang w:eastAsia="en-AU"/>
        </w:rPr>
        <w:t>se</w:t>
      </w:r>
      <w:r w:rsidR="00D71EA7" w:rsidRPr="00102445">
        <w:rPr>
          <w:rFonts w:eastAsia="Times New Roman" w:cs="Times New Roman"/>
          <w:lang w:eastAsia="en-AU"/>
        </w:rPr>
        <w:t xml:space="preserve"> </w:t>
      </w:r>
      <w:r w:rsidR="003E14D2" w:rsidRPr="00102445">
        <w:rPr>
          <w:rFonts w:eastAsia="Times New Roman" w:cs="Times New Roman"/>
          <w:lang w:eastAsia="en-AU"/>
        </w:rPr>
        <w:t xml:space="preserve">conclusions should confirm </w:t>
      </w:r>
      <w:r w:rsidR="00665122" w:rsidRPr="00102445">
        <w:rPr>
          <w:rFonts w:eastAsia="Times New Roman" w:cs="Times New Roman"/>
          <w:lang w:eastAsia="en-AU"/>
        </w:rPr>
        <w:t>the</w:t>
      </w:r>
      <w:r w:rsidR="00D95294" w:rsidRPr="00102445">
        <w:rPr>
          <w:rFonts w:eastAsia="Times New Roman" w:cs="Times New Roman"/>
          <w:lang w:eastAsia="en-AU"/>
        </w:rPr>
        <w:t xml:space="preserve"> </w:t>
      </w:r>
      <w:r w:rsidR="0078592D" w:rsidRPr="00102445">
        <w:rPr>
          <w:rFonts w:eastAsia="Times New Roman" w:cs="Times New Roman"/>
          <w:lang w:eastAsia="en-AU"/>
        </w:rPr>
        <w:t>correctness</w:t>
      </w:r>
      <w:r w:rsidR="00A85506" w:rsidRPr="00102445">
        <w:rPr>
          <w:rFonts w:eastAsia="Times New Roman" w:cs="Times New Roman"/>
          <w:lang w:eastAsia="en-AU"/>
        </w:rPr>
        <w:t xml:space="preserve"> of</w:t>
      </w:r>
      <w:r w:rsidR="002E652E" w:rsidRPr="00102445">
        <w:rPr>
          <w:rFonts w:eastAsia="Times New Roman" w:cs="Times New Roman"/>
          <w:lang w:eastAsia="en-AU"/>
        </w:rPr>
        <w:t xml:space="preserve"> information </w:t>
      </w:r>
      <w:r w:rsidR="003E14D2" w:rsidRPr="00102445">
        <w:rPr>
          <w:rFonts w:eastAsia="Times New Roman" w:cs="Times New Roman"/>
          <w:lang w:eastAsia="en-AU"/>
        </w:rPr>
        <w:t xml:space="preserve">provided in the application </w:t>
      </w:r>
      <w:r w:rsidR="002E652E" w:rsidRPr="00102445">
        <w:rPr>
          <w:rFonts w:eastAsia="Times New Roman" w:cs="Times New Roman"/>
          <w:lang w:eastAsia="en-AU"/>
        </w:rPr>
        <w:t xml:space="preserve">on </w:t>
      </w:r>
      <w:r w:rsidR="00D159CD" w:rsidRPr="00102445">
        <w:rPr>
          <w:rFonts w:eastAsia="Times New Roman" w:cs="Times New Roman"/>
          <w:lang w:eastAsia="en-AU"/>
        </w:rPr>
        <w:t xml:space="preserve">historical </w:t>
      </w:r>
      <w:r w:rsidR="009065F1" w:rsidRPr="00102445">
        <w:rPr>
          <w:rFonts w:eastAsia="Times New Roman" w:cs="Times New Roman"/>
          <w:lang w:eastAsia="en-AU"/>
        </w:rPr>
        <w:t>production variables, transitional production variables</w:t>
      </w:r>
      <w:r w:rsidR="00435ED3" w:rsidRPr="00102445">
        <w:rPr>
          <w:rFonts w:eastAsia="Times New Roman" w:cs="Times New Roman"/>
          <w:lang w:eastAsia="en-AU"/>
        </w:rPr>
        <w:t xml:space="preserve">, </w:t>
      </w:r>
      <w:r w:rsidR="00546D10" w:rsidRPr="00102445">
        <w:rPr>
          <w:rFonts w:eastAsia="Times New Roman" w:cs="Times New Roman"/>
          <w:lang w:eastAsia="en-AU"/>
        </w:rPr>
        <w:t xml:space="preserve">quantity of production and </w:t>
      </w:r>
      <w:r w:rsidR="0095239A" w:rsidRPr="00102445">
        <w:rPr>
          <w:rFonts w:eastAsia="Times New Roman" w:cs="Times New Roman"/>
          <w:lang w:eastAsia="en-AU"/>
        </w:rPr>
        <w:t>covered emissions</w:t>
      </w:r>
      <w:r w:rsidR="003E14D2" w:rsidRPr="00102445">
        <w:rPr>
          <w:rFonts w:eastAsia="Times New Roman" w:cs="Times New Roman"/>
          <w:lang w:eastAsia="en-AU"/>
        </w:rPr>
        <w:t xml:space="preserve"> for the facility. </w:t>
      </w:r>
    </w:p>
    <w:p w14:paraId="45454562" w14:textId="326AE8A4" w:rsidR="005D4A57" w:rsidRPr="00102445" w:rsidRDefault="00EF5B89"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Paragraph</w:t>
      </w:r>
      <w:r w:rsidR="000D110E" w:rsidRPr="00102445">
        <w:rPr>
          <w:rFonts w:eastAsia="Times New Roman" w:cs="Times New Roman"/>
          <w:lang w:eastAsia="en-AU"/>
        </w:rPr>
        <w:t xml:space="preserve"> </w:t>
      </w:r>
      <w:r w:rsidR="003119A1" w:rsidRPr="00102445">
        <w:rPr>
          <w:rFonts w:eastAsia="Times New Roman" w:cs="Times New Roman"/>
          <w:lang w:eastAsia="en-AU"/>
        </w:rPr>
        <w:t>19</w:t>
      </w:r>
      <w:r w:rsidR="00FE477A" w:rsidRPr="00102445">
        <w:rPr>
          <w:rFonts w:eastAsia="Times New Roman" w:cs="Times New Roman"/>
          <w:lang w:eastAsia="en-AU"/>
        </w:rPr>
        <w:t>(2)</w:t>
      </w:r>
      <w:r w:rsidR="009E5788" w:rsidRPr="00102445">
        <w:rPr>
          <w:rFonts w:eastAsia="Times New Roman" w:cs="Times New Roman"/>
          <w:lang w:eastAsia="en-AU"/>
        </w:rPr>
        <w:t>(a)</w:t>
      </w:r>
      <w:r w:rsidR="00FE477A" w:rsidRPr="00102445">
        <w:rPr>
          <w:rFonts w:eastAsia="Times New Roman" w:cs="Times New Roman"/>
          <w:lang w:eastAsia="en-AU"/>
        </w:rPr>
        <w:t xml:space="preserve"> also specifies that the Regulator cannot make an emissions intensity determination unless the audit report accompanying the application includes a </w:t>
      </w:r>
      <w:r w:rsidR="00F25EB0" w:rsidRPr="00102445">
        <w:rPr>
          <w:rFonts w:eastAsia="Times New Roman" w:cs="Times New Roman"/>
          <w:lang w:eastAsia="en-AU"/>
        </w:rPr>
        <w:t>limited assurance conclusion</w:t>
      </w:r>
      <w:r w:rsidR="00FE477A" w:rsidRPr="00102445">
        <w:rPr>
          <w:rFonts w:eastAsia="Times New Roman" w:cs="Times New Roman"/>
          <w:lang w:eastAsia="en-AU"/>
        </w:rPr>
        <w:t xml:space="preserve"> or qualified </w:t>
      </w:r>
      <w:r w:rsidR="00F25EB0" w:rsidRPr="00102445">
        <w:rPr>
          <w:rFonts w:eastAsia="Times New Roman" w:cs="Times New Roman"/>
          <w:lang w:eastAsia="en-AU"/>
        </w:rPr>
        <w:t>limited</w:t>
      </w:r>
      <w:r w:rsidR="00FE477A" w:rsidRPr="00102445">
        <w:rPr>
          <w:rFonts w:eastAsia="Times New Roman" w:cs="Times New Roman"/>
          <w:lang w:eastAsia="en-AU"/>
        </w:rPr>
        <w:t xml:space="preserve"> assurance conclusion for the matters specified in subsection </w:t>
      </w:r>
      <w:r w:rsidR="003119A1" w:rsidRPr="00102445">
        <w:rPr>
          <w:rFonts w:eastAsia="Times New Roman" w:cs="Times New Roman"/>
          <w:lang w:eastAsia="en-AU"/>
        </w:rPr>
        <w:t>17</w:t>
      </w:r>
      <w:r w:rsidR="00FE477A" w:rsidRPr="00102445">
        <w:rPr>
          <w:rFonts w:eastAsia="Times New Roman" w:cs="Times New Roman"/>
          <w:lang w:eastAsia="en-AU"/>
        </w:rPr>
        <w:t>(</w:t>
      </w:r>
      <w:r w:rsidR="00F25EB0" w:rsidRPr="00102445">
        <w:rPr>
          <w:rFonts w:eastAsia="Times New Roman" w:cs="Times New Roman"/>
          <w:lang w:eastAsia="en-AU"/>
        </w:rPr>
        <w:t>4</w:t>
      </w:r>
      <w:r w:rsidR="00FE477A" w:rsidRPr="00102445">
        <w:rPr>
          <w:rFonts w:eastAsia="Times New Roman" w:cs="Times New Roman"/>
          <w:lang w:eastAsia="en-AU"/>
        </w:rPr>
        <w:t>).</w:t>
      </w:r>
      <w:r w:rsidR="008732C0" w:rsidRPr="00102445">
        <w:rPr>
          <w:rFonts w:eastAsia="Times New Roman" w:cs="Times New Roman"/>
          <w:lang w:eastAsia="en-AU"/>
        </w:rPr>
        <w:t xml:space="preserve"> </w:t>
      </w:r>
      <w:r w:rsidR="007D5EC6" w:rsidRPr="00102445">
        <w:rPr>
          <w:rFonts w:eastAsia="Times New Roman" w:cs="Times New Roman"/>
          <w:lang w:eastAsia="en-AU"/>
        </w:rPr>
        <w:t>Accordingly, t</w:t>
      </w:r>
      <w:r w:rsidR="00167D8B" w:rsidRPr="00102445">
        <w:rPr>
          <w:rFonts w:eastAsia="Times New Roman" w:cs="Times New Roman"/>
          <w:lang w:eastAsia="en-AU"/>
        </w:rPr>
        <w:t xml:space="preserve">hese conclusions should </w:t>
      </w:r>
      <w:r w:rsidR="00111898" w:rsidRPr="00102445">
        <w:rPr>
          <w:rFonts w:eastAsia="Times New Roman" w:cs="Times New Roman"/>
          <w:lang w:eastAsia="en-AU"/>
        </w:rPr>
        <w:t xml:space="preserve">confirm the </w:t>
      </w:r>
      <w:r w:rsidR="0037784A" w:rsidRPr="00102445">
        <w:rPr>
          <w:rFonts w:eastAsia="Times New Roman" w:cs="Times New Roman"/>
          <w:lang w:eastAsia="en-AU"/>
        </w:rPr>
        <w:t xml:space="preserve">correctness of the apportioning of emissions between production </w:t>
      </w:r>
      <w:r w:rsidR="00822DDF" w:rsidRPr="00102445">
        <w:rPr>
          <w:rFonts w:eastAsia="Times New Roman" w:cs="Times New Roman"/>
          <w:lang w:eastAsia="en-AU"/>
        </w:rPr>
        <w:t>variables</w:t>
      </w:r>
      <w:r w:rsidR="00677680" w:rsidRPr="00102445">
        <w:rPr>
          <w:rFonts w:eastAsia="Times New Roman" w:cs="Times New Roman"/>
          <w:lang w:eastAsia="en-AU"/>
        </w:rPr>
        <w:t xml:space="preserve">, </w:t>
      </w:r>
      <w:r w:rsidR="006A01ED" w:rsidRPr="00102445">
        <w:rPr>
          <w:rFonts w:eastAsia="Times New Roman" w:cs="Times New Roman"/>
          <w:lang w:eastAsia="en-AU"/>
        </w:rPr>
        <w:t xml:space="preserve">the reasonableness of </w:t>
      </w:r>
      <w:r w:rsidR="00B027CB" w:rsidRPr="00102445">
        <w:rPr>
          <w:rFonts w:eastAsia="Times New Roman" w:cs="Times New Roman"/>
          <w:lang w:eastAsia="en-AU"/>
        </w:rPr>
        <w:t>any estimates and assumptions under</w:t>
      </w:r>
      <w:r w:rsidR="00804DA6" w:rsidRPr="00102445">
        <w:rPr>
          <w:rFonts w:eastAsia="Times New Roman" w:cs="Times New Roman"/>
          <w:lang w:eastAsia="en-AU"/>
        </w:rPr>
        <w:t xml:space="preserve">pinning </w:t>
      </w:r>
      <w:r w:rsidR="0084563D" w:rsidRPr="00102445">
        <w:rPr>
          <w:rFonts w:eastAsia="Times New Roman" w:cs="Times New Roman"/>
          <w:lang w:eastAsia="en-AU"/>
        </w:rPr>
        <w:t>the calculation</w:t>
      </w:r>
      <w:r w:rsidR="00955813" w:rsidRPr="00102445">
        <w:rPr>
          <w:rFonts w:eastAsia="Times New Roman" w:cs="Times New Roman"/>
          <w:lang w:eastAsia="en-AU"/>
        </w:rPr>
        <w:t xml:space="preserve"> of covered emission</w:t>
      </w:r>
      <w:r w:rsidR="00F91899" w:rsidRPr="00102445">
        <w:rPr>
          <w:rFonts w:eastAsia="Times New Roman" w:cs="Times New Roman"/>
          <w:lang w:eastAsia="en-AU"/>
        </w:rPr>
        <w:t>s, and that the calculation of covered emissions meet</w:t>
      </w:r>
      <w:r w:rsidR="00904366" w:rsidRPr="00102445">
        <w:rPr>
          <w:rFonts w:eastAsia="Times New Roman" w:cs="Times New Roman"/>
          <w:lang w:eastAsia="en-AU"/>
        </w:rPr>
        <w:t>s</w:t>
      </w:r>
      <w:r w:rsidR="00F91899" w:rsidRPr="00102445">
        <w:rPr>
          <w:rFonts w:eastAsia="Times New Roman" w:cs="Times New Roman"/>
          <w:lang w:eastAsia="en-AU"/>
        </w:rPr>
        <w:t xml:space="preserve"> the requirements laid out in section 14</w:t>
      </w:r>
      <w:r w:rsidR="00904366" w:rsidRPr="00102445">
        <w:rPr>
          <w:rFonts w:eastAsia="Times New Roman" w:cs="Times New Roman"/>
          <w:lang w:eastAsia="en-AU"/>
        </w:rPr>
        <w:t>.</w:t>
      </w:r>
    </w:p>
    <w:p w14:paraId="67C6E2F1" w14:textId="5D84BD65" w:rsidR="00624A44" w:rsidRPr="00102445" w:rsidRDefault="00EF5B89"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Paragraph</w:t>
      </w:r>
      <w:r w:rsidR="00E57F31" w:rsidRPr="00102445">
        <w:rPr>
          <w:rFonts w:eastAsia="Times New Roman" w:cs="Times New Roman"/>
          <w:lang w:eastAsia="en-AU"/>
        </w:rPr>
        <w:t xml:space="preserve"> </w:t>
      </w:r>
      <w:r w:rsidR="003119A1" w:rsidRPr="00102445">
        <w:rPr>
          <w:rFonts w:eastAsia="Times New Roman" w:cs="Times New Roman"/>
          <w:lang w:eastAsia="en-AU"/>
        </w:rPr>
        <w:t>19</w:t>
      </w:r>
      <w:r w:rsidR="00E57F31" w:rsidRPr="00102445">
        <w:rPr>
          <w:rFonts w:eastAsia="Times New Roman" w:cs="Times New Roman"/>
          <w:lang w:eastAsia="en-AU"/>
        </w:rPr>
        <w:t xml:space="preserve">(2)(b) sets out matters </w:t>
      </w:r>
      <w:r w:rsidR="002D35CA" w:rsidRPr="00102445">
        <w:rPr>
          <w:rFonts w:eastAsia="Times New Roman" w:cs="Times New Roman"/>
          <w:lang w:eastAsia="en-AU"/>
        </w:rPr>
        <w:t xml:space="preserve">of which the Regulator must be reasonably satisfied </w:t>
      </w:r>
      <w:r w:rsidR="00DD2731" w:rsidRPr="00102445">
        <w:rPr>
          <w:rFonts w:eastAsia="Times New Roman" w:cs="Times New Roman"/>
          <w:lang w:eastAsia="en-AU"/>
        </w:rPr>
        <w:t xml:space="preserve">before </w:t>
      </w:r>
      <w:r w:rsidR="00EC47DB" w:rsidRPr="00102445">
        <w:rPr>
          <w:rFonts w:eastAsia="Times New Roman" w:cs="Times New Roman"/>
          <w:lang w:eastAsia="en-AU"/>
        </w:rPr>
        <w:t>making an emissions intensity determination</w:t>
      </w:r>
      <w:r w:rsidR="00F07773" w:rsidRPr="00102445">
        <w:rPr>
          <w:rFonts w:eastAsia="Times New Roman" w:cs="Times New Roman"/>
          <w:lang w:eastAsia="en-AU"/>
        </w:rPr>
        <w:t>, and states that the Regulator may</w:t>
      </w:r>
      <w:r w:rsidR="00D66780" w:rsidRPr="00102445">
        <w:rPr>
          <w:rFonts w:eastAsia="Times New Roman" w:cs="Times New Roman"/>
          <w:lang w:eastAsia="en-AU"/>
        </w:rPr>
        <w:t xml:space="preserve"> have regard to any matter that they consider to be relevant</w:t>
      </w:r>
      <w:r w:rsidR="00EC47DB" w:rsidRPr="00102445">
        <w:rPr>
          <w:rFonts w:eastAsia="Times New Roman" w:cs="Times New Roman"/>
          <w:lang w:eastAsia="en-AU"/>
        </w:rPr>
        <w:t xml:space="preserve">. </w:t>
      </w:r>
      <w:r w:rsidR="174F6303" w:rsidRPr="00102445">
        <w:rPr>
          <w:rFonts w:eastAsia="Times New Roman" w:cs="Times New Roman"/>
          <w:lang w:eastAsia="en-AU"/>
        </w:rPr>
        <w:t>Sub</w:t>
      </w:r>
      <w:r w:rsidR="00D14EFB" w:rsidRPr="00102445">
        <w:rPr>
          <w:rFonts w:eastAsia="Times New Roman" w:cs="Times New Roman"/>
          <w:lang w:eastAsia="en-AU"/>
        </w:rPr>
        <w:t>paragraph</w:t>
      </w:r>
      <w:r w:rsidR="174F6303" w:rsidRPr="00102445">
        <w:rPr>
          <w:rFonts w:eastAsia="Times New Roman" w:cs="Times New Roman"/>
          <w:lang w:eastAsia="en-AU"/>
        </w:rPr>
        <w:t xml:space="preserve"> </w:t>
      </w:r>
      <w:r w:rsidR="003119A1" w:rsidRPr="00102445">
        <w:rPr>
          <w:rFonts w:eastAsia="Times New Roman" w:cs="Times New Roman"/>
          <w:lang w:eastAsia="en-AU"/>
        </w:rPr>
        <w:t>19</w:t>
      </w:r>
      <w:r w:rsidR="174F6303" w:rsidRPr="00102445">
        <w:rPr>
          <w:rFonts w:eastAsia="Times New Roman" w:cs="Times New Roman"/>
          <w:lang w:eastAsia="en-AU"/>
        </w:rPr>
        <w:t>(2)</w:t>
      </w:r>
      <w:r w:rsidR="00417638" w:rsidRPr="00102445">
        <w:rPr>
          <w:rFonts w:eastAsia="Times New Roman" w:cs="Times New Roman"/>
          <w:lang w:eastAsia="en-AU"/>
        </w:rPr>
        <w:t>(b</w:t>
      </w:r>
      <w:r w:rsidR="004F1046" w:rsidRPr="00102445">
        <w:rPr>
          <w:rFonts w:eastAsia="Times New Roman" w:cs="Times New Roman"/>
          <w:lang w:eastAsia="en-AU"/>
        </w:rPr>
        <w:t>)(i) p</w:t>
      </w:r>
      <w:r w:rsidR="00BB39D4" w:rsidRPr="00102445">
        <w:rPr>
          <w:rFonts w:eastAsia="Times New Roman" w:cs="Times New Roman"/>
          <w:lang w:eastAsia="en-AU"/>
        </w:rPr>
        <w:t>rovides that t</w:t>
      </w:r>
      <w:r w:rsidR="005C307B" w:rsidRPr="00102445">
        <w:rPr>
          <w:rFonts w:eastAsia="Times New Roman" w:cs="Times New Roman"/>
          <w:lang w:eastAsia="en-AU"/>
        </w:rPr>
        <w:t>he</w:t>
      </w:r>
      <w:r w:rsidR="006D7903" w:rsidRPr="00102445">
        <w:rPr>
          <w:rFonts w:eastAsia="Times New Roman" w:cs="Times New Roman"/>
          <w:lang w:eastAsia="en-AU"/>
        </w:rPr>
        <w:t xml:space="preserve"> Regulator must be </w:t>
      </w:r>
      <w:r w:rsidR="00DE2AEA" w:rsidRPr="00102445">
        <w:rPr>
          <w:rFonts w:eastAsia="Times New Roman" w:cs="Times New Roman"/>
          <w:lang w:eastAsia="en-AU"/>
        </w:rPr>
        <w:t xml:space="preserve">reasonably </w:t>
      </w:r>
      <w:r w:rsidR="006D7903" w:rsidRPr="00102445">
        <w:rPr>
          <w:rFonts w:eastAsia="Times New Roman" w:cs="Times New Roman"/>
          <w:lang w:eastAsia="en-AU"/>
        </w:rPr>
        <w:t xml:space="preserve">satisfied that </w:t>
      </w:r>
      <w:r w:rsidR="00621DD4" w:rsidRPr="00102445">
        <w:rPr>
          <w:rFonts w:eastAsia="Times New Roman" w:cs="Times New Roman"/>
          <w:lang w:eastAsia="en-AU"/>
        </w:rPr>
        <w:t xml:space="preserve">the information provided in the application for an emissions intensity </w:t>
      </w:r>
      <w:r w:rsidR="0053680D" w:rsidRPr="00102445">
        <w:rPr>
          <w:rFonts w:eastAsia="Times New Roman" w:cs="Times New Roman"/>
          <w:lang w:eastAsia="en-AU"/>
        </w:rPr>
        <w:t>determination</w:t>
      </w:r>
      <w:r w:rsidR="00621DD4" w:rsidRPr="00102445">
        <w:rPr>
          <w:rFonts w:eastAsia="Times New Roman" w:cs="Times New Roman"/>
          <w:lang w:eastAsia="en-AU"/>
        </w:rPr>
        <w:t xml:space="preserve"> is correct</w:t>
      </w:r>
      <w:r w:rsidR="0069799B" w:rsidRPr="00102445">
        <w:rPr>
          <w:rFonts w:eastAsia="Times New Roman" w:cs="Times New Roman"/>
          <w:lang w:eastAsia="en-AU"/>
        </w:rPr>
        <w:t xml:space="preserve">. </w:t>
      </w:r>
      <w:r w:rsidR="213CD380" w:rsidRPr="00102445">
        <w:rPr>
          <w:rFonts w:eastAsia="Times New Roman" w:cs="Times New Roman"/>
          <w:lang w:eastAsia="en-AU"/>
        </w:rPr>
        <w:t>Sub</w:t>
      </w:r>
      <w:r w:rsidR="00636768" w:rsidRPr="00102445">
        <w:rPr>
          <w:rFonts w:eastAsia="Times New Roman" w:cs="Times New Roman"/>
          <w:lang w:eastAsia="en-AU"/>
        </w:rPr>
        <w:t>paragraph</w:t>
      </w:r>
      <w:r w:rsidR="213CD380" w:rsidRPr="00102445">
        <w:rPr>
          <w:rFonts w:eastAsia="Times New Roman" w:cs="Times New Roman"/>
          <w:lang w:eastAsia="en-AU"/>
        </w:rPr>
        <w:t xml:space="preserve"> </w:t>
      </w:r>
      <w:r w:rsidR="003119A1" w:rsidRPr="00102445">
        <w:rPr>
          <w:rFonts w:eastAsia="Times New Roman" w:cs="Times New Roman"/>
          <w:lang w:eastAsia="en-AU"/>
        </w:rPr>
        <w:t>19</w:t>
      </w:r>
      <w:r w:rsidR="213CD380" w:rsidRPr="00102445">
        <w:rPr>
          <w:rFonts w:eastAsia="Times New Roman" w:cs="Times New Roman"/>
          <w:lang w:eastAsia="en-AU"/>
        </w:rPr>
        <w:t>(2)</w:t>
      </w:r>
      <w:r w:rsidR="00417638" w:rsidRPr="00102445">
        <w:rPr>
          <w:rFonts w:eastAsia="Times New Roman" w:cs="Times New Roman"/>
          <w:lang w:eastAsia="en-AU"/>
        </w:rPr>
        <w:t>(b</w:t>
      </w:r>
      <w:r w:rsidR="009811D2" w:rsidRPr="00102445">
        <w:rPr>
          <w:rFonts w:eastAsia="Times New Roman" w:cs="Times New Roman"/>
          <w:lang w:eastAsia="en-AU"/>
        </w:rPr>
        <w:t>)(ii) specifies that, i</w:t>
      </w:r>
      <w:r w:rsidR="00901505" w:rsidRPr="00102445">
        <w:rPr>
          <w:rFonts w:eastAsia="Times New Roman" w:cs="Times New Roman"/>
          <w:lang w:eastAsia="en-AU"/>
        </w:rPr>
        <w:t xml:space="preserve">f </w:t>
      </w:r>
      <w:r w:rsidR="00844377" w:rsidRPr="00102445">
        <w:rPr>
          <w:rFonts w:eastAsia="Times New Roman" w:cs="Times New Roman"/>
          <w:lang w:eastAsia="en-AU"/>
        </w:rPr>
        <w:t xml:space="preserve">relevant </w:t>
      </w:r>
      <w:r w:rsidR="00901505" w:rsidRPr="00102445">
        <w:rPr>
          <w:rFonts w:eastAsia="Times New Roman" w:cs="Times New Roman"/>
          <w:lang w:eastAsia="en-AU"/>
        </w:rPr>
        <w:t>historical in</w:t>
      </w:r>
      <w:r w:rsidR="00844377" w:rsidRPr="00102445">
        <w:rPr>
          <w:rFonts w:eastAsia="Times New Roman" w:cs="Times New Roman"/>
          <w:lang w:eastAsia="en-AU"/>
        </w:rPr>
        <w:t>formation about a production variable has not been included in the application t</w:t>
      </w:r>
      <w:r w:rsidR="00486160" w:rsidRPr="00102445">
        <w:rPr>
          <w:rFonts w:eastAsia="Times New Roman" w:cs="Times New Roman"/>
          <w:lang w:eastAsia="en-AU"/>
        </w:rPr>
        <w:t xml:space="preserve">he Regulator must be satisfied that </w:t>
      </w:r>
      <w:r w:rsidR="007534D4" w:rsidRPr="00102445">
        <w:rPr>
          <w:rFonts w:eastAsia="Times New Roman" w:cs="Times New Roman"/>
          <w:lang w:eastAsia="en-AU"/>
        </w:rPr>
        <w:t>the</w:t>
      </w:r>
      <w:r w:rsidR="00142C3B" w:rsidRPr="00102445">
        <w:rPr>
          <w:rFonts w:eastAsia="Times New Roman" w:cs="Times New Roman"/>
          <w:lang w:eastAsia="en-AU"/>
        </w:rPr>
        <w:t xml:space="preserve"> explanation </w:t>
      </w:r>
      <w:r w:rsidR="007534D4" w:rsidRPr="00102445">
        <w:rPr>
          <w:rFonts w:eastAsia="Times New Roman" w:cs="Times New Roman"/>
          <w:lang w:eastAsia="en-AU"/>
        </w:rPr>
        <w:t>provided for</w:t>
      </w:r>
      <w:r w:rsidR="00ED3BED" w:rsidRPr="00102445">
        <w:rPr>
          <w:rFonts w:eastAsia="Times New Roman" w:cs="Times New Roman"/>
          <w:lang w:eastAsia="en-AU"/>
        </w:rPr>
        <w:t xml:space="preserve"> not including the information is </w:t>
      </w:r>
      <w:r w:rsidR="00C53BD4" w:rsidRPr="00102445">
        <w:rPr>
          <w:rFonts w:eastAsia="Times New Roman" w:cs="Times New Roman"/>
          <w:lang w:eastAsia="en-AU"/>
        </w:rPr>
        <w:t xml:space="preserve">reasonable. </w:t>
      </w:r>
      <w:r w:rsidR="111E30A4" w:rsidRPr="00102445">
        <w:rPr>
          <w:rFonts w:eastAsia="Times New Roman" w:cs="Times New Roman"/>
          <w:lang w:eastAsia="en-AU"/>
        </w:rPr>
        <w:t>Sub</w:t>
      </w:r>
      <w:r w:rsidR="00CF44A1" w:rsidRPr="00102445">
        <w:rPr>
          <w:rFonts w:eastAsia="Times New Roman" w:cs="Times New Roman"/>
          <w:lang w:eastAsia="en-AU"/>
        </w:rPr>
        <w:t>paragraphs</w:t>
      </w:r>
      <w:r w:rsidR="111E30A4" w:rsidRPr="00102445">
        <w:rPr>
          <w:rFonts w:eastAsia="Times New Roman" w:cs="Times New Roman"/>
          <w:lang w:eastAsia="en-AU"/>
        </w:rPr>
        <w:t xml:space="preserve"> </w:t>
      </w:r>
      <w:r w:rsidR="003119A1" w:rsidRPr="00102445">
        <w:rPr>
          <w:rFonts w:eastAsia="Times New Roman" w:cs="Times New Roman"/>
          <w:lang w:eastAsia="en-AU"/>
        </w:rPr>
        <w:t>19</w:t>
      </w:r>
      <w:r w:rsidR="111E30A4" w:rsidRPr="00102445">
        <w:rPr>
          <w:rFonts w:eastAsia="Times New Roman" w:cs="Times New Roman"/>
          <w:lang w:eastAsia="en-AU"/>
        </w:rPr>
        <w:t>(2)</w:t>
      </w:r>
      <w:r w:rsidR="00B0192A" w:rsidRPr="00102445">
        <w:rPr>
          <w:rFonts w:eastAsia="Times New Roman" w:cs="Times New Roman"/>
          <w:lang w:eastAsia="en-AU"/>
        </w:rPr>
        <w:t>(b</w:t>
      </w:r>
      <w:r w:rsidR="00C60270" w:rsidRPr="00102445">
        <w:rPr>
          <w:rFonts w:eastAsia="Times New Roman" w:cs="Times New Roman"/>
          <w:lang w:eastAsia="en-AU"/>
        </w:rPr>
        <w:t>)(iii)</w:t>
      </w:r>
      <w:r w:rsidR="009724FD" w:rsidRPr="00102445">
        <w:rPr>
          <w:rFonts w:eastAsia="Times New Roman" w:cs="Times New Roman"/>
          <w:lang w:eastAsia="en-AU"/>
        </w:rPr>
        <w:t xml:space="preserve"> and (</w:t>
      </w:r>
      <w:r w:rsidR="00D33C42" w:rsidRPr="00102445">
        <w:rPr>
          <w:rFonts w:eastAsia="Times New Roman" w:cs="Times New Roman"/>
          <w:lang w:eastAsia="en-AU"/>
        </w:rPr>
        <w:t>iv)</w:t>
      </w:r>
      <w:r w:rsidR="00C60270" w:rsidRPr="00102445">
        <w:rPr>
          <w:rFonts w:eastAsia="Times New Roman" w:cs="Times New Roman"/>
          <w:lang w:eastAsia="en-AU"/>
        </w:rPr>
        <w:t xml:space="preserve"> </w:t>
      </w:r>
      <w:r w:rsidR="00171247" w:rsidRPr="00102445">
        <w:rPr>
          <w:rFonts w:eastAsia="Times New Roman" w:cs="Times New Roman"/>
          <w:lang w:eastAsia="en-AU"/>
        </w:rPr>
        <w:t>specif</w:t>
      </w:r>
      <w:r w:rsidR="00D33C42" w:rsidRPr="00102445">
        <w:rPr>
          <w:rFonts w:eastAsia="Times New Roman" w:cs="Times New Roman"/>
          <w:lang w:eastAsia="en-AU"/>
        </w:rPr>
        <w:t>y</w:t>
      </w:r>
      <w:r w:rsidR="00C60270" w:rsidRPr="00102445">
        <w:rPr>
          <w:rFonts w:eastAsia="Times New Roman" w:cs="Times New Roman"/>
          <w:lang w:eastAsia="en-AU"/>
        </w:rPr>
        <w:t xml:space="preserve"> </w:t>
      </w:r>
      <w:r w:rsidR="00171247" w:rsidRPr="00102445">
        <w:rPr>
          <w:rFonts w:eastAsia="Times New Roman" w:cs="Times New Roman"/>
          <w:lang w:eastAsia="en-AU"/>
        </w:rPr>
        <w:t>that</w:t>
      </w:r>
      <w:r w:rsidR="00C60270" w:rsidRPr="00102445">
        <w:rPr>
          <w:rFonts w:eastAsia="Times New Roman" w:cs="Times New Roman"/>
          <w:lang w:eastAsia="en-AU"/>
        </w:rPr>
        <w:t xml:space="preserve"> the Regulator </w:t>
      </w:r>
      <w:r w:rsidR="00171247" w:rsidRPr="00102445">
        <w:rPr>
          <w:rFonts w:eastAsia="Times New Roman" w:cs="Times New Roman"/>
          <w:lang w:eastAsia="en-AU"/>
        </w:rPr>
        <w:t>must</w:t>
      </w:r>
      <w:r w:rsidR="00C60270" w:rsidRPr="00102445">
        <w:rPr>
          <w:rFonts w:eastAsia="Times New Roman" w:cs="Times New Roman"/>
          <w:lang w:eastAsia="en-AU"/>
        </w:rPr>
        <w:t xml:space="preserve"> be </w:t>
      </w:r>
      <w:r w:rsidR="00171247" w:rsidRPr="00102445">
        <w:rPr>
          <w:rFonts w:eastAsia="Times New Roman" w:cs="Times New Roman"/>
          <w:lang w:eastAsia="en-AU"/>
        </w:rPr>
        <w:t>satisfied</w:t>
      </w:r>
      <w:r w:rsidR="00B11B7B" w:rsidRPr="00102445">
        <w:rPr>
          <w:rFonts w:eastAsia="Times New Roman" w:cs="Times New Roman"/>
          <w:lang w:eastAsia="en-AU"/>
        </w:rPr>
        <w:t xml:space="preserve"> that the calculations for </w:t>
      </w:r>
      <w:r w:rsidR="00171247" w:rsidRPr="00102445">
        <w:rPr>
          <w:rFonts w:eastAsia="Times New Roman" w:cs="Times New Roman"/>
          <w:lang w:eastAsia="en-AU"/>
        </w:rPr>
        <w:t xml:space="preserve">the amount of covered emissions for the facility included in the application </w:t>
      </w:r>
      <w:r w:rsidR="002E6BE4" w:rsidRPr="00102445">
        <w:rPr>
          <w:rFonts w:eastAsia="Times New Roman" w:cs="Times New Roman"/>
          <w:lang w:eastAsia="en-AU"/>
        </w:rPr>
        <w:t>meet the requirements set out in se</w:t>
      </w:r>
      <w:r w:rsidR="00EE0DBA" w:rsidRPr="00102445">
        <w:rPr>
          <w:rFonts w:eastAsia="Times New Roman" w:cs="Times New Roman"/>
          <w:lang w:eastAsia="en-AU"/>
        </w:rPr>
        <w:t xml:space="preserve">ction </w:t>
      </w:r>
      <w:r w:rsidR="00AC34D3" w:rsidRPr="00102445">
        <w:rPr>
          <w:rFonts w:eastAsia="Times New Roman" w:cs="Times New Roman"/>
          <w:lang w:eastAsia="en-AU"/>
        </w:rPr>
        <w:t xml:space="preserve">15 </w:t>
      </w:r>
      <w:r w:rsidR="003E21ED" w:rsidRPr="00102445">
        <w:rPr>
          <w:rFonts w:eastAsia="Times New Roman" w:cs="Times New Roman"/>
          <w:lang w:eastAsia="en-AU"/>
        </w:rPr>
        <w:t xml:space="preserve">and that any assumptions </w:t>
      </w:r>
      <w:r w:rsidR="007267C6" w:rsidRPr="00102445">
        <w:rPr>
          <w:rFonts w:eastAsia="Times New Roman" w:cs="Times New Roman"/>
          <w:lang w:eastAsia="en-AU"/>
        </w:rPr>
        <w:t xml:space="preserve">and estimates made </w:t>
      </w:r>
      <w:r w:rsidR="00360007" w:rsidRPr="00102445">
        <w:rPr>
          <w:rFonts w:eastAsia="Times New Roman" w:cs="Times New Roman"/>
          <w:lang w:eastAsia="en-AU"/>
        </w:rPr>
        <w:t xml:space="preserve">under subsection </w:t>
      </w:r>
      <w:r w:rsidR="00AC34D3" w:rsidRPr="00102445">
        <w:rPr>
          <w:rFonts w:eastAsia="Times New Roman" w:cs="Times New Roman"/>
          <w:lang w:eastAsia="en-AU"/>
        </w:rPr>
        <w:t>15</w:t>
      </w:r>
      <w:r w:rsidR="00360007" w:rsidRPr="00102445">
        <w:rPr>
          <w:rFonts w:eastAsia="Times New Roman" w:cs="Times New Roman"/>
          <w:lang w:eastAsia="en-AU"/>
        </w:rPr>
        <w:t xml:space="preserve">(3) are reasonable. </w:t>
      </w:r>
    </w:p>
    <w:p w14:paraId="4DD4ADD7" w14:textId="5E80FAD9" w:rsidR="005579A5" w:rsidRPr="00102445" w:rsidRDefault="00EC60F2"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Subsection </w:t>
      </w:r>
      <w:r w:rsidR="00AC34D3" w:rsidRPr="00102445">
        <w:rPr>
          <w:rFonts w:eastAsia="Times New Roman" w:cs="Times New Roman"/>
          <w:lang w:eastAsia="en-AU"/>
        </w:rPr>
        <w:t>19</w:t>
      </w:r>
      <w:r w:rsidRPr="00102445">
        <w:rPr>
          <w:rFonts w:eastAsia="Times New Roman" w:cs="Times New Roman"/>
          <w:lang w:eastAsia="en-AU"/>
        </w:rPr>
        <w:t>(</w:t>
      </w:r>
      <w:r w:rsidR="008E3EC9" w:rsidRPr="00102445">
        <w:rPr>
          <w:rFonts w:eastAsia="Times New Roman" w:cs="Times New Roman"/>
          <w:lang w:eastAsia="en-AU"/>
        </w:rPr>
        <w:t>1)</w:t>
      </w:r>
      <w:r w:rsidR="00DB5BDF" w:rsidRPr="00102445">
        <w:rPr>
          <w:rFonts w:eastAsia="Times New Roman" w:cs="Times New Roman"/>
          <w:lang w:eastAsia="en-AU"/>
        </w:rPr>
        <w:t xml:space="preserve"> specifies that </w:t>
      </w:r>
      <w:r w:rsidR="00E51201" w:rsidRPr="00102445">
        <w:rPr>
          <w:rFonts w:eastAsia="Times New Roman" w:cs="Times New Roman"/>
          <w:lang w:eastAsia="en-AU"/>
        </w:rPr>
        <w:t>once</w:t>
      </w:r>
      <w:r w:rsidR="005579A5" w:rsidRPr="00102445">
        <w:rPr>
          <w:rFonts w:eastAsia="Times New Roman" w:cs="Times New Roman"/>
          <w:lang w:eastAsia="en-AU"/>
        </w:rPr>
        <w:t xml:space="preserve"> an application for </w:t>
      </w:r>
      <w:r w:rsidR="008E53C1" w:rsidRPr="00102445">
        <w:rPr>
          <w:rFonts w:eastAsia="Times New Roman" w:cs="Times New Roman"/>
          <w:lang w:eastAsia="en-AU"/>
        </w:rPr>
        <w:t xml:space="preserve">an emissions intensity </w:t>
      </w:r>
      <w:r w:rsidR="00777787" w:rsidRPr="00102445">
        <w:rPr>
          <w:rFonts w:eastAsia="Times New Roman" w:cs="Times New Roman"/>
          <w:lang w:eastAsia="en-AU"/>
        </w:rPr>
        <w:t xml:space="preserve">determination in accordance with section </w:t>
      </w:r>
      <w:r w:rsidR="00AC34D3" w:rsidRPr="00102445">
        <w:rPr>
          <w:rFonts w:eastAsia="Times New Roman" w:cs="Times New Roman"/>
          <w:lang w:eastAsia="en-AU"/>
        </w:rPr>
        <w:t xml:space="preserve">19 </w:t>
      </w:r>
      <w:r w:rsidR="00777787" w:rsidRPr="00102445">
        <w:rPr>
          <w:rFonts w:eastAsia="Times New Roman" w:cs="Times New Roman"/>
          <w:lang w:eastAsia="en-AU"/>
        </w:rPr>
        <w:t xml:space="preserve">has been made to the Regulator the </w:t>
      </w:r>
      <w:r w:rsidR="008818D4" w:rsidRPr="00102445">
        <w:rPr>
          <w:rFonts w:eastAsia="Times New Roman" w:cs="Times New Roman"/>
          <w:lang w:eastAsia="en-AU"/>
        </w:rPr>
        <w:t>R</w:t>
      </w:r>
      <w:r w:rsidR="00777787" w:rsidRPr="00102445">
        <w:rPr>
          <w:rFonts w:eastAsia="Times New Roman" w:cs="Times New Roman"/>
          <w:lang w:eastAsia="en-AU"/>
        </w:rPr>
        <w:t>egulator must either ma</w:t>
      </w:r>
      <w:r w:rsidR="000D23BF" w:rsidRPr="00102445">
        <w:rPr>
          <w:rFonts w:eastAsia="Times New Roman" w:cs="Times New Roman"/>
          <w:lang w:eastAsia="en-AU"/>
        </w:rPr>
        <w:t>ke the determination or refuse to make the determination</w:t>
      </w:r>
      <w:r w:rsidRPr="00102445">
        <w:rPr>
          <w:rFonts w:eastAsia="Times New Roman" w:cs="Times New Roman"/>
          <w:lang w:eastAsia="en-AU"/>
        </w:rPr>
        <w:t>.</w:t>
      </w:r>
      <w:r w:rsidR="00D65B27" w:rsidRPr="00102445">
        <w:rPr>
          <w:rFonts w:eastAsia="Times New Roman" w:cs="Times New Roman"/>
          <w:lang w:eastAsia="en-AU"/>
        </w:rPr>
        <w:t xml:space="preserve"> </w:t>
      </w:r>
      <w:r w:rsidR="00EA55A2" w:rsidRPr="00102445">
        <w:rPr>
          <w:rFonts w:eastAsia="Times New Roman" w:cs="Times New Roman"/>
          <w:lang w:eastAsia="en-AU"/>
        </w:rPr>
        <w:t xml:space="preserve">If the </w:t>
      </w:r>
      <w:r w:rsidR="00DB78CA" w:rsidRPr="00102445">
        <w:rPr>
          <w:rFonts w:eastAsia="Times New Roman" w:cs="Times New Roman"/>
          <w:lang w:eastAsia="en-AU"/>
        </w:rPr>
        <w:t xml:space="preserve">Regulator </w:t>
      </w:r>
      <w:r w:rsidR="000962E2" w:rsidRPr="00102445">
        <w:rPr>
          <w:rFonts w:eastAsia="Times New Roman" w:cs="Times New Roman"/>
          <w:lang w:eastAsia="en-AU"/>
        </w:rPr>
        <w:t xml:space="preserve">decides to </w:t>
      </w:r>
      <w:r w:rsidR="00DB78CA" w:rsidRPr="00102445">
        <w:rPr>
          <w:rFonts w:eastAsia="Times New Roman" w:cs="Times New Roman"/>
          <w:lang w:eastAsia="en-AU"/>
        </w:rPr>
        <w:t xml:space="preserve">refuse to make the determination </w:t>
      </w:r>
      <w:r w:rsidR="008D56EF" w:rsidRPr="00102445">
        <w:rPr>
          <w:rFonts w:eastAsia="Times New Roman" w:cs="Times New Roman"/>
          <w:lang w:eastAsia="en-AU"/>
        </w:rPr>
        <w:t xml:space="preserve">they must notify the </w:t>
      </w:r>
      <w:r w:rsidR="00396510" w:rsidRPr="00102445">
        <w:rPr>
          <w:rFonts w:eastAsia="Times New Roman" w:cs="Times New Roman"/>
          <w:lang w:eastAsia="en-AU"/>
        </w:rPr>
        <w:t xml:space="preserve">applicant of their </w:t>
      </w:r>
      <w:r w:rsidR="00C82768" w:rsidRPr="00102445">
        <w:rPr>
          <w:rFonts w:eastAsia="Times New Roman" w:cs="Times New Roman"/>
          <w:lang w:eastAsia="en-AU"/>
        </w:rPr>
        <w:t>decision</w:t>
      </w:r>
      <w:r w:rsidR="00396510" w:rsidRPr="00102445">
        <w:rPr>
          <w:rFonts w:eastAsia="Times New Roman" w:cs="Times New Roman"/>
          <w:lang w:eastAsia="en-AU"/>
        </w:rPr>
        <w:t xml:space="preserve"> in writing and </w:t>
      </w:r>
      <w:r w:rsidR="00C82768" w:rsidRPr="00102445">
        <w:rPr>
          <w:rFonts w:eastAsia="Times New Roman" w:cs="Times New Roman"/>
          <w:lang w:eastAsia="en-AU"/>
        </w:rPr>
        <w:t>include written reasons for their decision, as provided for by s</w:t>
      </w:r>
      <w:r w:rsidR="00D65B27" w:rsidRPr="00102445">
        <w:rPr>
          <w:rFonts w:eastAsia="Times New Roman" w:cs="Times New Roman"/>
          <w:lang w:eastAsia="en-AU"/>
        </w:rPr>
        <w:t xml:space="preserve">ubsection </w:t>
      </w:r>
      <w:r w:rsidR="001379DF" w:rsidRPr="00102445">
        <w:rPr>
          <w:rFonts w:eastAsia="Times New Roman" w:cs="Times New Roman"/>
          <w:lang w:eastAsia="en-AU"/>
        </w:rPr>
        <w:t>1</w:t>
      </w:r>
      <w:r w:rsidR="00AC34D3" w:rsidRPr="00102445">
        <w:rPr>
          <w:rFonts w:eastAsia="Times New Roman" w:cs="Times New Roman"/>
          <w:lang w:eastAsia="en-AU"/>
        </w:rPr>
        <w:t>9</w:t>
      </w:r>
      <w:r w:rsidR="00EA27EB" w:rsidRPr="00102445">
        <w:rPr>
          <w:rFonts w:eastAsia="Times New Roman" w:cs="Times New Roman"/>
          <w:lang w:eastAsia="en-AU"/>
        </w:rPr>
        <w:t>(</w:t>
      </w:r>
      <w:r w:rsidR="00241AD6" w:rsidRPr="00102445">
        <w:rPr>
          <w:rFonts w:eastAsia="Times New Roman" w:cs="Times New Roman"/>
          <w:lang w:eastAsia="en-AU"/>
        </w:rPr>
        <w:t>6)</w:t>
      </w:r>
      <w:r w:rsidR="00C82768" w:rsidRPr="00102445">
        <w:rPr>
          <w:rFonts w:eastAsia="Times New Roman" w:cs="Times New Roman"/>
          <w:lang w:eastAsia="en-AU"/>
        </w:rPr>
        <w:t>.</w:t>
      </w:r>
      <w:r w:rsidR="00FB2CF9" w:rsidRPr="00102445">
        <w:rPr>
          <w:rFonts w:eastAsia="Times New Roman" w:cs="Times New Roman"/>
          <w:lang w:eastAsia="en-AU"/>
        </w:rPr>
        <w:t xml:space="preserve"> If the Regulator decides to make the determination</w:t>
      </w:r>
      <w:r w:rsidR="00390060" w:rsidRPr="00102445">
        <w:rPr>
          <w:rFonts w:eastAsia="Times New Roman" w:cs="Times New Roman"/>
          <w:lang w:eastAsia="en-AU"/>
        </w:rPr>
        <w:t xml:space="preserve"> they must notify the</w:t>
      </w:r>
      <w:r w:rsidR="00141259" w:rsidRPr="00102445">
        <w:rPr>
          <w:rFonts w:eastAsia="Times New Roman" w:cs="Times New Roman"/>
          <w:lang w:eastAsia="en-AU"/>
        </w:rPr>
        <w:t xml:space="preserve"> applicant and publish the determination on the Regulators </w:t>
      </w:r>
      <w:r w:rsidR="00F8756E" w:rsidRPr="00102445">
        <w:rPr>
          <w:rFonts w:eastAsia="Times New Roman" w:cs="Times New Roman"/>
          <w:lang w:eastAsia="en-AU"/>
        </w:rPr>
        <w:t>website</w:t>
      </w:r>
      <w:r w:rsidR="00550A1C" w:rsidRPr="00102445">
        <w:rPr>
          <w:rFonts w:eastAsia="Times New Roman" w:cs="Times New Roman"/>
          <w:lang w:eastAsia="en-AU"/>
        </w:rPr>
        <w:t>.</w:t>
      </w:r>
    </w:p>
    <w:p w14:paraId="10334BA9" w14:textId="16B17055" w:rsidR="00BA12CC" w:rsidRPr="00102445" w:rsidRDefault="00A177F7"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Subsection</w:t>
      </w:r>
      <w:r w:rsidR="00AD1B90" w:rsidRPr="00102445">
        <w:rPr>
          <w:rFonts w:eastAsia="Times New Roman" w:cs="Times New Roman"/>
          <w:lang w:eastAsia="en-AU"/>
        </w:rPr>
        <w:t xml:space="preserve"> </w:t>
      </w:r>
      <w:r w:rsidR="00AC34D3" w:rsidRPr="00102445">
        <w:rPr>
          <w:rFonts w:eastAsia="Times New Roman" w:cs="Times New Roman"/>
          <w:lang w:eastAsia="en-AU"/>
        </w:rPr>
        <w:t>19</w:t>
      </w:r>
      <w:r w:rsidR="00AD1B90" w:rsidRPr="00102445">
        <w:rPr>
          <w:rFonts w:eastAsia="Times New Roman" w:cs="Times New Roman"/>
          <w:lang w:eastAsia="en-AU"/>
        </w:rPr>
        <w:t xml:space="preserve">(3) requires that an emissions intensity determination must be in writing and specify </w:t>
      </w:r>
      <w:r w:rsidR="00E74E23" w:rsidRPr="00102445">
        <w:rPr>
          <w:rFonts w:eastAsia="Times New Roman" w:cs="Times New Roman"/>
          <w:lang w:eastAsia="en-AU"/>
        </w:rPr>
        <w:t xml:space="preserve">the </w:t>
      </w:r>
      <w:r w:rsidR="004A237B" w:rsidRPr="00102445">
        <w:rPr>
          <w:rFonts w:eastAsia="Times New Roman" w:cs="Times New Roman"/>
          <w:lang w:eastAsia="en-AU"/>
        </w:rPr>
        <w:t>first fin</w:t>
      </w:r>
      <w:r w:rsidR="00F4476A" w:rsidRPr="00102445">
        <w:rPr>
          <w:rFonts w:eastAsia="Times New Roman" w:cs="Times New Roman"/>
          <w:lang w:eastAsia="en-AU"/>
        </w:rPr>
        <w:t xml:space="preserve">ancial year for which the determination applies, as well as </w:t>
      </w:r>
      <w:r w:rsidR="00E74E23" w:rsidRPr="00102445">
        <w:rPr>
          <w:rFonts w:eastAsia="Times New Roman" w:cs="Times New Roman"/>
          <w:lang w:eastAsia="en-AU"/>
        </w:rPr>
        <w:t xml:space="preserve">the facility-specific </w:t>
      </w:r>
      <w:r w:rsidR="0040608A" w:rsidRPr="00102445">
        <w:rPr>
          <w:rFonts w:eastAsia="Times New Roman" w:cs="Times New Roman"/>
          <w:lang w:eastAsia="en-AU"/>
        </w:rPr>
        <w:t xml:space="preserve">emissions intensity numbers for </w:t>
      </w:r>
      <w:r w:rsidR="00F4476A" w:rsidRPr="00102445">
        <w:rPr>
          <w:rFonts w:eastAsia="Times New Roman" w:cs="Times New Roman"/>
          <w:lang w:eastAsia="en-AU"/>
        </w:rPr>
        <w:t>all</w:t>
      </w:r>
      <w:r w:rsidR="00AC23FA" w:rsidRPr="00102445">
        <w:rPr>
          <w:rFonts w:eastAsia="Times New Roman" w:cs="Times New Roman"/>
          <w:lang w:eastAsia="en-AU"/>
        </w:rPr>
        <w:t xml:space="preserve"> production variable</w:t>
      </w:r>
      <w:r w:rsidR="005B5497" w:rsidRPr="00102445">
        <w:rPr>
          <w:rFonts w:eastAsia="Times New Roman" w:cs="Times New Roman"/>
          <w:lang w:eastAsia="en-AU"/>
        </w:rPr>
        <w:t>s</w:t>
      </w:r>
      <w:r w:rsidR="00AC23FA" w:rsidRPr="00102445">
        <w:rPr>
          <w:rFonts w:eastAsia="Times New Roman" w:cs="Times New Roman"/>
          <w:lang w:eastAsia="en-AU"/>
        </w:rPr>
        <w:t xml:space="preserve"> </w:t>
      </w:r>
      <w:r w:rsidR="00B147A5" w:rsidRPr="00102445">
        <w:rPr>
          <w:rFonts w:eastAsia="Times New Roman" w:cs="Times New Roman"/>
          <w:lang w:eastAsia="en-AU"/>
        </w:rPr>
        <w:t>in the application (</w:t>
      </w:r>
      <w:r w:rsidR="000B0373" w:rsidRPr="00102445">
        <w:rPr>
          <w:rFonts w:eastAsia="Times New Roman" w:cs="Times New Roman"/>
          <w:lang w:eastAsia="en-AU"/>
        </w:rPr>
        <w:t>incl</w:t>
      </w:r>
      <w:r w:rsidR="00EF7E1F" w:rsidRPr="00102445">
        <w:rPr>
          <w:rFonts w:eastAsia="Times New Roman" w:cs="Times New Roman"/>
          <w:lang w:eastAsia="en-AU"/>
        </w:rPr>
        <w:t xml:space="preserve">uding </w:t>
      </w:r>
      <w:r w:rsidR="00B147A5" w:rsidRPr="00102445">
        <w:rPr>
          <w:rFonts w:eastAsia="Times New Roman" w:cs="Times New Roman"/>
          <w:lang w:eastAsia="en-AU"/>
        </w:rPr>
        <w:t>historical</w:t>
      </w:r>
      <w:r w:rsidR="00EF7E1F" w:rsidRPr="00102445">
        <w:rPr>
          <w:rFonts w:eastAsia="Times New Roman" w:cs="Times New Roman"/>
          <w:lang w:eastAsia="en-AU"/>
        </w:rPr>
        <w:t xml:space="preserve">, </w:t>
      </w:r>
      <w:r w:rsidR="009A51AC" w:rsidRPr="00102445">
        <w:rPr>
          <w:rFonts w:eastAsia="Times New Roman" w:cs="Times New Roman"/>
          <w:lang w:eastAsia="en-AU"/>
        </w:rPr>
        <w:t xml:space="preserve">related or </w:t>
      </w:r>
      <w:r w:rsidR="00B147A5" w:rsidRPr="00102445">
        <w:rPr>
          <w:rFonts w:eastAsia="Times New Roman" w:cs="Times New Roman"/>
          <w:lang w:eastAsia="en-AU"/>
        </w:rPr>
        <w:t>transitional</w:t>
      </w:r>
      <w:r w:rsidR="009A51AC" w:rsidRPr="00102445">
        <w:rPr>
          <w:rFonts w:eastAsia="Times New Roman" w:cs="Times New Roman"/>
          <w:lang w:eastAsia="en-AU"/>
        </w:rPr>
        <w:t xml:space="preserve"> production variables</w:t>
      </w:r>
      <w:r w:rsidR="00B147A5" w:rsidRPr="00102445">
        <w:rPr>
          <w:rFonts w:eastAsia="Times New Roman" w:cs="Times New Roman"/>
          <w:lang w:eastAsia="en-AU"/>
        </w:rPr>
        <w:t>)</w:t>
      </w:r>
      <w:r w:rsidR="00F4476A" w:rsidRPr="00102445">
        <w:rPr>
          <w:rFonts w:eastAsia="Times New Roman" w:cs="Times New Roman"/>
          <w:lang w:eastAsia="en-AU"/>
        </w:rPr>
        <w:t>.</w:t>
      </w:r>
      <w:r w:rsidR="00875D92" w:rsidRPr="00102445">
        <w:rPr>
          <w:rFonts w:eastAsia="Times New Roman" w:cs="Times New Roman"/>
          <w:lang w:eastAsia="en-AU"/>
        </w:rPr>
        <w:t xml:space="preserve"> In addition, </w:t>
      </w:r>
      <w:r w:rsidR="008F1809" w:rsidRPr="00102445">
        <w:rPr>
          <w:rFonts w:eastAsia="Times New Roman" w:cs="Times New Roman"/>
          <w:lang w:eastAsia="en-AU"/>
        </w:rPr>
        <w:t xml:space="preserve">subsection </w:t>
      </w:r>
      <w:r w:rsidR="00AC34D3" w:rsidRPr="00102445">
        <w:rPr>
          <w:rFonts w:eastAsia="Times New Roman" w:cs="Times New Roman"/>
          <w:lang w:eastAsia="en-AU"/>
        </w:rPr>
        <w:t>19</w:t>
      </w:r>
      <w:r w:rsidR="008F1809" w:rsidRPr="00102445">
        <w:rPr>
          <w:rFonts w:eastAsia="Times New Roman" w:cs="Times New Roman"/>
          <w:lang w:eastAsia="en-AU"/>
        </w:rPr>
        <w:t>(</w:t>
      </w:r>
      <w:r w:rsidR="00EA27EB" w:rsidRPr="00102445">
        <w:rPr>
          <w:rFonts w:eastAsia="Times New Roman" w:cs="Times New Roman"/>
          <w:lang w:eastAsia="en-AU"/>
        </w:rPr>
        <w:t>4</w:t>
      </w:r>
      <w:r w:rsidR="008F1809" w:rsidRPr="00102445">
        <w:rPr>
          <w:rFonts w:eastAsia="Times New Roman" w:cs="Times New Roman"/>
          <w:lang w:eastAsia="en-AU"/>
        </w:rPr>
        <w:t>)</w:t>
      </w:r>
      <w:r w:rsidR="00875D92" w:rsidRPr="00102445">
        <w:rPr>
          <w:rFonts w:eastAsia="Times New Roman" w:cs="Times New Roman"/>
          <w:lang w:eastAsia="en-AU"/>
        </w:rPr>
        <w:t xml:space="preserve"> </w:t>
      </w:r>
      <w:r w:rsidR="00316A22" w:rsidRPr="00102445">
        <w:rPr>
          <w:rFonts w:eastAsia="Times New Roman" w:cs="Times New Roman"/>
          <w:lang w:eastAsia="en-AU"/>
        </w:rPr>
        <w:t xml:space="preserve">provides for </w:t>
      </w:r>
      <w:r w:rsidR="00875D92" w:rsidRPr="00102445">
        <w:rPr>
          <w:rFonts w:eastAsia="Times New Roman" w:cs="Times New Roman"/>
          <w:lang w:eastAsia="en-AU"/>
        </w:rPr>
        <w:t xml:space="preserve">the </w:t>
      </w:r>
      <w:r w:rsidR="00875D92" w:rsidRPr="00102445">
        <w:rPr>
          <w:rFonts w:eastAsia="Times New Roman" w:cs="Times New Roman"/>
          <w:lang w:eastAsia="en-AU"/>
        </w:rPr>
        <w:lastRenderedPageBreak/>
        <w:t>det</w:t>
      </w:r>
      <w:r w:rsidR="006036F4" w:rsidRPr="00102445">
        <w:rPr>
          <w:rFonts w:eastAsia="Times New Roman" w:cs="Times New Roman"/>
          <w:lang w:eastAsia="en-AU"/>
        </w:rPr>
        <w:t xml:space="preserve">ermination </w:t>
      </w:r>
      <w:r w:rsidR="00316A22" w:rsidRPr="00102445">
        <w:rPr>
          <w:rFonts w:eastAsia="Times New Roman" w:cs="Times New Roman"/>
          <w:lang w:eastAsia="en-AU"/>
        </w:rPr>
        <w:t>to</w:t>
      </w:r>
      <w:r w:rsidR="006036F4" w:rsidRPr="00102445">
        <w:rPr>
          <w:rFonts w:eastAsia="Times New Roman" w:cs="Times New Roman"/>
          <w:lang w:eastAsia="en-AU"/>
        </w:rPr>
        <w:t xml:space="preserve"> </w:t>
      </w:r>
      <w:r w:rsidR="00554DC4" w:rsidRPr="00102445">
        <w:rPr>
          <w:rFonts w:eastAsia="Times New Roman" w:cs="Times New Roman"/>
          <w:lang w:eastAsia="en-AU"/>
        </w:rPr>
        <w:t>specify</w:t>
      </w:r>
      <w:r w:rsidR="00582A96" w:rsidRPr="00102445">
        <w:rPr>
          <w:rFonts w:eastAsia="Times New Roman" w:cs="Times New Roman"/>
          <w:lang w:eastAsia="en-AU"/>
        </w:rPr>
        <w:t xml:space="preserve"> </w:t>
      </w:r>
      <w:r w:rsidR="00010D2F" w:rsidRPr="00102445">
        <w:rPr>
          <w:rFonts w:eastAsia="Times New Roman" w:cs="Times New Roman"/>
          <w:lang w:eastAsia="en-AU"/>
        </w:rPr>
        <w:t>that a part</w:t>
      </w:r>
      <w:r w:rsidR="00BB0213" w:rsidRPr="00102445">
        <w:rPr>
          <w:rFonts w:eastAsia="Times New Roman" w:cs="Times New Roman"/>
          <w:lang w:eastAsia="en-AU"/>
        </w:rPr>
        <w:t xml:space="preserve">icular production variable is </w:t>
      </w:r>
      <w:r w:rsidR="00342511" w:rsidRPr="00102445">
        <w:rPr>
          <w:rFonts w:eastAsia="Times New Roman" w:cs="Times New Roman"/>
          <w:lang w:eastAsia="en-AU"/>
        </w:rPr>
        <w:t xml:space="preserve">a ‘related production variable’ </w:t>
      </w:r>
      <w:r w:rsidR="00A7488D" w:rsidRPr="00102445">
        <w:rPr>
          <w:rFonts w:eastAsia="Times New Roman" w:cs="Times New Roman"/>
          <w:lang w:eastAsia="en-AU"/>
        </w:rPr>
        <w:t xml:space="preserve">and that </w:t>
      </w:r>
      <w:r w:rsidR="003B5D24" w:rsidRPr="00102445">
        <w:rPr>
          <w:rFonts w:eastAsia="Times New Roman" w:cs="Times New Roman"/>
          <w:lang w:eastAsia="en-AU"/>
        </w:rPr>
        <w:t xml:space="preserve">another </w:t>
      </w:r>
      <w:r w:rsidR="00D7250C" w:rsidRPr="00102445">
        <w:rPr>
          <w:rFonts w:eastAsia="Times New Roman" w:cs="Times New Roman"/>
          <w:lang w:eastAsia="en-AU"/>
        </w:rPr>
        <w:t>production variable is the ‘comparative production variable’ for</w:t>
      </w:r>
      <w:r w:rsidR="005635D9" w:rsidRPr="00102445">
        <w:rPr>
          <w:rFonts w:eastAsia="Times New Roman" w:cs="Times New Roman"/>
          <w:lang w:eastAsia="en-AU"/>
        </w:rPr>
        <w:t xml:space="preserve"> the related production variable. </w:t>
      </w:r>
      <w:r w:rsidR="009674B9" w:rsidRPr="00102445">
        <w:rPr>
          <w:rFonts w:eastAsia="Times New Roman" w:cs="Times New Roman"/>
          <w:lang w:eastAsia="en-AU"/>
        </w:rPr>
        <w:t>The requirements for r</w:t>
      </w:r>
      <w:r w:rsidR="00351092" w:rsidRPr="00102445">
        <w:rPr>
          <w:rFonts w:eastAsia="Times New Roman" w:cs="Times New Roman"/>
          <w:lang w:eastAsia="en-AU"/>
        </w:rPr>
        <w:t>elated and comparative production variables</w:t>
      </w:r>
      <w:r w:rsidR="009674B9" w:rsidRPr="00102445">
        <w:rPr>
          <w:rFonts w:eastAsia="Times New Roman" w:cs="Times New Roman"/>
          <w:lang w:eastAsia="en-AU"/>
        </w:rPr>
        <w:t xml:space="preserve"> to be included </w:t>
      </w:r>
      <w:r w:rsidR="004A7920" w:rsidRPr="00102445">
        <w:rPr>
          <w:rFonts w:eastAsia="Times New Roman" w:cs="Times New Roman"/>
          <w:lang w:eastAsia="en-AU"/>
        </w:rPr>
        <w:t xml:space="preserve">in </w:t>
      </w:r>
      <w:r w:rsidR="00A7758A" w:rsidRPr="00102445">
        <w:rPr>
          <w:rFonts w:eastAsia="Times New Roman" w:cs="Times New Roman"/>
          <w:lang w:eastAsia="en-AU"/>
        </w:rPr>
        <w:t>an emissions intensity determination</w:t>
      </w:r>
      <w:r w:rsidR="00351092" w:rsidRPr="00102445">
        <w:rPr>
          <w:rFonts w:eastAsia="Times New Roman" w:cs="Times New Roman"/>
          <w:lang w:eastAsia="en-AU"/>
        </w:rPr>
        <w:t xml:space="preserve"> are</w:t>
      </w:r>
      <w:r w:rsidR="00261CF1" w:rsidRPr="00102445">
        <w:rPr>
          <w:rFonts w:eastAsia="Times New Roman" w:cs="Times New Roman"/>
          <w:lang w:eastAsia="en-AU"/>
        </w:rPr>
        <w:t xml:space="preserve"> </w:t>
      </w:r>
      <w:r w:rsidR="00A7758A" w:rsidRPr="00102445">
        <w:rPr>
          <w:rFonts w:eastAsia="Times New Roman" w:cs="Times New Roman"/>
          <w:lang w:eastAsia="en-AU"/>
        </w:rPr>
        <w:t xml:space="preserve">set out in </w:t>
      </w:r>
      <w:r w:rsidR="004459AD" w:rsidRPr="00102445">
        <w:rPr>
          <w:rFonts w:eastAsia="Times New Roman" w:cs="Times New Roman"/>
          <w:lang w:eastAsia="en-AU"/>
        </w:rPr>
        <w:t>s</w:t>
      </w:r>
      <w:r w:rsidR="002213CE" w:rsidRPr="00102445">
        <w:rPr>
          <w:rFonts w:eastAsia="Times New Roman" w:cs="Times New Roman"/>
          <w:lang w:eastAsia="en-AU"/>
        </w:rPr>
        <w:t>ection</w:t>
      </w:r>
      <w:r w:rsidR="004459AD" w:rsidRPr="00102445">
        <w:rPr>
          <w:rFonts w:eastAsia="Times New Roman" w:cs="Times New Roman"/>
          <w:lang w:eastAsia="en-AU"/>
        </w:rPr>
        <w:t xml:space="preserve">s </w:t>
      </w:r>
      <w:r w:rsidR="00970B19" w:rsidRPr="00102445">
        <w:rPr>
          <w:rFonts w:eastAsia="Times New Roman" w:cs="Times New Roman"/>
          <w:lang w:eastAsia="en-AU"/>
        </w:rPr>
        <w:t>21</w:t>
      </w:r>
      <w:r w:rsidR="00535779" w:rsidRPr="00102445">
        <w:rPr>
          <w:rFonts w:eastAsia="Times New Roman" w:cs="Times New Roman"/>
          <w:lang w:eastAsia="en-AU"/>
        </w:rPr>
        <w:t>,</w:t>
      </w:r>
      <w:r w:rsidR="002213CE" w:rsidRPr="00102445">
        <w:rPr>
          <w:rFonts w:eastAsia="Times New Roman" w:cs="Times New Roman"/>
          <w:lang w:eastAsia="en-AU"/>
        </w:rPr>
        <w:t xml:space="preserve"> </w:t>
      </w:r>
      <w:r w:rsidR="00970B19" w:rsidRPr="00102445">
        <w:rPr>
          <w:rFonts w:eastAsia="Times New Roman" w:cs="Times New Roman"/>
          <w:lang w:eastAsia="en-AU"/>
        </w:rPr>
        <w:t xml:space="preserve">22 </w:t>
      </w:r>
      <w:r w:rsidR="002213CE" w:rsidRPr="00102445">
        <w:rPr>
          <w:rFonts w:eastAsia="Times New Roman" w:cs="Times New Roman"/>
          <w:lang w:eastAsia="en-AU"/>
        </w:rPr>
        <w:t xml:space="preserve">and </w:t>
      </w:r>
      <w:r w:rsidR="00970B19" w:rsidRPr="00102445">
        <w:rPr>
          <w:rFonts w:eastAsia="Times New Roman" w:cs="Times New Roman"/>
          <w:lang w:eastAsia="en-AU"/>
        </w:rPr>
        <w:t>23</w:t>
      </w:r>
      <w:r w:rsidR="002213CE" w:rsidRPr="00102445">
        <w:rPr>
          <w:rFonts w:eastAsia="Times New Roman" w:cs="Times New Roman"/>
          <w:lang w:eastAsia="en-AU"/>
        </w:rPr>
        <w:t>.</w:t>
      </w:r>
      <w:r w:rsidR="00351092" w:rsidRPr="00102445">
        <w:rPr>
          <w:rFonts w:eastAsia="Times New Roman" w:cs="Times New Roman"/>
          <w:lang w:eastAsia="en-AU"/>
        </w:rPr>
        <w:t xml:space="preserve"> </w:t>
      </w:r>
      <w:r w:rsidR="005635D9" w:rsidRPr="00102445">
        <w:rPr>
          <w:rFonts w:eastAsia="Times New Roman" w:cs="Times New Roman"/>
          <w:lang w:eastAsia="en-AU"/>
        </w:rPr>
        <w:t xml:space="preserve"> </w:t>
      </w:r>
    </w:p>
    <w:p w14:paraId="76E17229" w14:textId="0B34B016" w:rsidR="005A1D63" w:rsidRPr="00102445" w:rsidRDefault="003F4CEA"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Subsection 1</w:t>
      </w:r>
      <w:r w:rsidR="009B5F88" w:rsidRPr="00102445">
        <w:rPr>
          <w:rFonts w:eastAsia="Times New Roman" w:cs="Times New Roman"/>
          <w:lang w:eastAsia="en-AU"/>
        </w:rPr>
        <w:t>9</w:t>
      </w:r>
      <w:r w:rsidRPr="00102445">
        <w:rPr>
          <w:rFonts w:eastAsia="Times New Roman" w:cs="Times New Roman"/>
          <w:lang w:eastAsia="en-AU"/>
        </w:rPr>
        <w:t xml:space="preserve">(4) specifies that an emissions intensity determination </w:t>
      </w:r>
      <w:r w:rsidR="007F0AC0" w:rsidRPr="00102445">
        <w:rPr>
          <w:rFonts w:eastAsia="Times New Roman" w:cs="Times New Roman"/>
          <w:lang w:eastAsia="en-AU"/>
        </w:rPr>
        <w:t xml:space="preserve">commences on the first day of the financial year </w:t>
      </w:r>
      <w:r w:rsidR="00D304BA" w:rsidRPr="00102445">
        <w:rPr>
          <w:rFonts w:eastAsia="Times New Roman" w:cs="Times New Roman"/>
          <w:lang w:eastAsia="en-AU"/>
        </w:rPr>
        <w:t>stated</w:t>
      </w:r>
      <w:r w:rsidR="007F0AC0" w:rsidRPr="00102445">
        <w:rPr>
          <w:rFonts w:eastAsia="Times New Roman" w:cs="Times New Roman"/>
          <w:lang w:eastAsia="en-AU"/>
        </w:rPr>
        <w:t xml:space="preserve"> in the determination (</w:t>
      </w:r>
      <w:r w:rsidR="009F36D5" w:rsidRPr="00102445">
        <w:rPr>
          <w:rFonts w:eastAsia="Times New Roman" w:cs="Times New Roman"/>
          <w:lang w:eastAsia="en-AU"/>
        </w:rPr>
        <w:t xml:space="preserve">as per </w:t>
      </w:r>
      <w:r w:rsidR="00273038" w:rsidRPr="00102445">
        <w:rPr>
          <w:rFonts w:eastAsia="Times New Roman" w:cs="Times New Roman"/>
          <w:lang w:eastAsia="en-AU"/>
        </w:rPr>
        <w:t>subsection 1</w:t>
      </w:r>
      <w:r w:rsidR="009B5F88" w:rsidRPr="00102445">
        <w:rPr>
          <w:rFonts w:eastAsia="Times New Roman" w:cs="Times New Roman"/>
          <w:lang w:eastAsia="en-AU"/>
        </w:rPr>
        <w:t>9</w:t>
      </w:r>
      <w:r w:rsidR="00273038" w:rsidRPr="00102445">
        <w:rPr>
          <w:rFonts w:eastAsia="Times New Roman" w:cs="Times New Roman"/>
          <w:lang w:eastAsia="en-AU"/>
        </w:rPr>
        <w:t>(3)) an</w:t>
      </w:r>
      <w:r w:rsidR="00D304BA" w:rsidRPr="00102445">
        <w:rPr>
          <w:rFonts w:eastAsia="Times New Roman" w:cs="Times New Roman"/>
          <w:lang w:eastAsia="en-AU"/>
        </w:rPr>
        <w:t>d</w:t>
      </w:r>
      <w:r w:rsidR="00273038" w:rsidRPr="00102445">
        <w:rPr>
          <w:rFonts w:eastAsia="Times New Roman" w:cs="Times New Roman"/>
          <w:lang w:eastAsia="en-AU"/>
        </w:rPr>
        <w:t xml:space="preserve"> </w:t>
      </w:r>
      <w:r w:rsidR="00524A76" w:rsidRPr="00102445">
        <w:rPr>
          <w:rFonts w:eastAsia="Times New Roman" w:cs="Times New Roman"/>
          <w:lang w:eastAsia="en-AU"/>
        </w:rPr>
        <w:t>applies to the</w:t>
      </w:r>
      <w:r w:rsidR="00962952" w:rsidRPr="00102445">
        <w:rPr>
          <w:rFonts w:eastAsia="Times New Roman" w:cs="Times New Roman"/>
          <w:lang w:eastAsia="en-AU"/>
        </w:rPr>
        <w:t xml:space="preserve"> relevant facility </w:t>
      </w:r>
      <w:r w:rsidR="00290526" w:rsidRPr="00102445">
        <w:rPr>
          <w:rFonts w:eastAsia="Times New Roman" w:cs="Times New Roman"/>
          <w:lang w:eastAsia="en-AU"/>
        </w:rPr>
        <w:t xml:space="preserve">for </w:t>
      </w:r>
      <w:r w:rsidR="00D304BA" w:rsidRPr="00102445">
        <w:rPr>
          <w:rFonts w:eastAsia="Times New Roman" w:cs="Times New Roman"/>
          <w:lang w:eastAsia="en-AU"/>
        </w:rPr>
        <w:t>that</w:t>
      </w:r>
      <w:r w:rsidR="00290526" w:rsidRPr="00102445">
        <w:rPr>
          <w:rFonts w:eastAsia="Times New Roman" w:cs="Times New Roman"/>
          <w:lang w:eastAsia="en-AU"/>
        </w:rPr>
        <w:t xml:space="preserve"> financial year and </w:t>
      </w:r>
      <w:r w:rsidR="00655007" w:rsidRPr="00102445">
        <w:rPr>
          <w:rFonts w:eastAsia="Times New Roman" w:cs="Times New Roman"/>
          <w:lang w:eastAsia="en-AU"/>
        </w:rPr>
        <w:t xml:space="preserve">each following year. </w:t>
      </w:r>
      <w:r w:rsidR="006E5EE7" w:rsidRPr="00102445">
        <w:rPr>
          <w:rFonts w:eastAsia="Times New Roman" w:cs="Times New Roman"/>
          <w:lang w:eastAsia="en-AU"/>
        </w:rPr>
        <w:t>Th</w:t>
      </w:r>
      <w:r w:rsidR="003A21C8" w:rsidRPr="00102445">
        <w:rPr>
          <w:rFonts w:eastAsia="Times New Roman" w:cs="Times New Roman"/>
          <w:lang w:eastAsia="en-AU"/>
        </w:rPr>
        <w:t xml:space="preserve">e power to designate commencement date is provided for by subsection </w:t>
      </w:r>
      <w:r w:rsidR="0067122B" w:rsidRPr="00102445">
        <w:rPr>
          <w:rFonts w:eastAsia="Times New Roman" w:cs="Times New Roman"/>
          <w:lang w:eastAsia="en-AU"/>
        </w:rPr>
        <w:t xml:space="preserve">22XQ(2) of </w:t>
      </w:r>
      <w:r w:rsidR="00B86E54" w:rsidRPr="00102445">
        <w:rPr>
          <w:rFonts w:eastAsia="Times New Roman" w:cs="Times New Roman"/>
          <w:lang w:eastAsia="en-AU"/>
        </w:rPr>
        <w:t>the NGER Act</w:t>
      </w:r>
      <w:r w:rsidR="0067122B" w:rsidRPr="00102445">
        <w:rPr>
          <w:rFonts w:eastAsia="Times New Roman" w:cs="Times New Roman"/>
          <w:lang w:eastAsia="en-AU"/>
        </w:rPr>
        <w:t xml:space="preserve">. </w:t>
      </w:r>
      <w:r w:rsidR="00655007" w:rsidRPr="00102445">
        <w:rPr>
          <w:rFonts w:eastAsia="Times New Roman" w:cs="Times New Roman"/>
          <w:lang w:eastAsia="en-AU"/>
        </w:rPr>
        <w:t xml:space="preserve"> </w:t>
      </w:r>
      <w:r w:rsidR="007B4A09" w:rsidRPr="00102445">
        <w:rPr>
          <w:rFonts w:eastAsia="Times New Roman" w:cs="Times New Roman"/>
          <w:lang w:eastAsia="en-AU"/>
        </w:rPr>
        <w:t xml:space="preserve"> </w:t>
      </w:r>
    </w:p>
    <w:p w14:paraId="7F83ED1B" w14:textId="2B047EDE" w:rsidR="002F219A" w:rsidRPr="00102445" w:rsidRDefault="00BE7C52"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Section </w:t>
      </w:r>
      <w:r w:rsidR="009B5F88" w:rsidRPr="00102445">
        <w:rPr>
          <w:rFonts w:eastAsia="Times New Roman" w:cs="Times New Roman"/>
          <w:lang w:eastAsia="en-AU"/>
        </w:rPr>
        <w:t>20</w:t>
      </w:r>
      <w:r w:rsidRPr="00102445">
        <w:rPr>
          <w:rFonts w:eastAsia="Times New Roman" w:cs="Times New Roman"/>
          <w:lang w:eastAsia="en-AU"/>
        </w:rPr>
        <w:t xml:space="preserve"> </w:t>
      </w:r>
      <w:r w:rsidR="00A05B38" w:rsidRPr="00102445">
        <w:rPr>
          <w:rFonts w:eastAsia="Times New Roman" w:cs="Times New Roman"/>
          <w:lang w:eastAsia="en-AU"/>
        </w:rPr>
        <w:t xml:space="preserve">outlines the method for determining </w:t>
      </w:r>
      <w:r w:rsidRPr="00102445">
        <w:rPr>
          <w:rFonts w:eastAsia="Times New Roman" w:cs="Times New Roman"/>
          <w:lang w:eastAsia="en-AU"/>
        </w:rPr>
        <w:t>the facility</w:t>
      </w:r>
      <w:r w:rsidR="00A05B38" w:rsidRPr="00102445">
        <w:rPr>
          <w:rFonts w:eastAsia="Times New Roman" w:cs="Times New Roman"/>
          <w:lang w:eastAsia="en-AU"/>
        </w:rPr>
        <w:t>-specific emissions intensity number of a historical production variable</w:t>
      </w:r>
      <w:r w:rsidR="007E4331" w:rsidRPr="00102445">
        <w:rPr>
          <w:rFonts w:eastAsia="Times New Roman" w:cs="Times New Roman"/>
          <w:lang w:eastAsia="en-AU"/>
        </w:rPr>
        <w:t>, a</w:t>
      </w:r>
      <w:r w:rsidR="004112AC" w:rsidRPr="00102445">
        <w:rPr>
          <w:rFonts w:eastAsia="Times New Roman" w:cs="Times New Roman"/>
          <w:lang w:eastAsia="en-AU"/>
        </w:rPr>
        <w:t xml:space="preserve"> related production variable,</w:t>
      </w:r>
      <w:r w:rsidR="00A05B38" w:rsidRPr="00102445">
        <w:rPr>
          <w:rFonts w:eastAsia="Times New Roman" w:cs="Times New Roman"/>
          <w:lang w:eastAsia="en-AU"/>
        </w:rPr>
        <w:t xml:space="preserve"> </w:t>
      </w:r>
      <w:r w:rsidR="005A1D63" w:rsidRPr="00102445">
        <w:rPr>
          <w:rFonts w:eastAsia="Times New Roman" w:cs="Times New Roman"/>
          <w:lang w:eastAsia="en-AU"/>
        </w:rPr>
        <w:t xml:space="preserve">or a </w:t>
      </w:r>
      <w:r w:rsidR="00A05B38" w:rsidRPr="00102445">
        <w:rPr>
          <w:rFonts w:eastAsia="Times New Roman" w:cs="Times New Roman"/>
          <w:lang w:eastAsia="en-AU"/>
        </w:rPr>
        <w:t xml:space="preserve">transitional </w:t>
      </w:r>
      <w:r w:rsidR="009964FC" w:rsidRPr="00102445">
        <w:rPr>
          <w:rFonts w:eastAsia="Times New Roman" w:cs="Times New Roman"/>
          <w:lang w:eastAsia="en-AU"/>
        </w:rPr>
        <w:t>production variable.</w:t>
      </w:r>
      <w:r w:rsidR="00570722" w:rsidRPr="00102445">
        <w:rPr>
          <w:rFonts w:eastAsia="Times New Roman" w:cs="Times New Roman"/>
          <w:lang w:eastAsia="en-AU"/>
        </w:rPr>
        <w:t xml:space="preserve"> </w:t>
      </w:r>
    </w:p>
    <w:p w14:paraId="3AF8E462" w14:textId="6AE607E8" w:rsidR="005F7325" w:rsidRPr="00102445" w:rsidRDefault="00570722"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Subsection </w:t>
      </w:r>
      <w:r w:rsidR="009B5F88" w:rsidRPr="00102445">
        <w:rPr>
          <w:rFonts w:eastAsia="Times New Roman" w:cs="Times New Roman"/>
          <w:lang w:eastAsia="en-AU"/>
        </w:rPr>
        <w:t>20</w:t>
      </w:r>
      <w:r w:rsidR="006B1011" w:rsidRPr="00102445">
        <w:rPr>
          <w:rFonts w:eastAsia="Times New Roman" w:cs="Times New Roman"/>
          <w:lang w:eastAsia="en-AU"/>
        </w:rPr>
        <w:t xml:space="preserve">(1) </w:t>
      </w:r>
      <w:r w:rsidR="00017189" w:rsidRPr="00102445">
        <w:rPr>
          <w:rFonts w:eastAsia="Times New Roman" w:cs="Times New Roman"/>
          <w:lang w:eastAsia="en-AU"/>
        </w:rPr>
        <w:t xml:space="preserve">specifies </w:t>
      </w:r>
      <w:r w:rsidR="006C388B" w:rsidRPr="00102445">
        <w:rPr>
          <w:rFonts w:eastAsia="Times New Roman" w:cs="Times New Roman"/>
          <w:lang w:eastAsia="en-AU"/>
        </w:rPr>
        <w:t>how to determine</w:t>
      </w:r>
      <w:r w:rsidR="00017189" w:rsidRPr="00102445">
        <w:rPr>
          <w:rFonts w:eastAsia="Times New Roman" w:cs="Times New Roman"/>
          <w:lang w:eastAsia="en-AU"/>
        </w:rPr>
        <w:t xml:space="preserve"> the</w:t>
      </w:r>
      <w:r w:rsidR="00F8107F" w:rsidRPr="00102445">
        <w:rPr>
          <w:rFonts w:eastAsia="Times New Roman" w:cs="Times New Roman"/>
          <w:lang w:eastAsia="en-AU"/>
        </w:rPr>
        <w:t xml:space="preserve"> facili</w:t>
      </w:r>
      <w:r w:rsidR="00123E1B" w:rsidRPr="00102445">
        <w:rPr>
          <w:rFonts w:eastAsia="Times New Roman" w:cs="Times New Roman"/>
          <w:lang w:eastAsia="en-AU"/>
        </w:rPr>
        <w:t xml:space="preserve">ty-specific emissions intensity number for a </w:t>
      </w:r>
      <w:r w:rsidR="00A65EFC" w:rsidRPr="00102445">
        <w:rPr>
          <w:rFonts w:eastAsia="Times New Roman" w:cs="Times New Roman"/>
          <w:lang w:eastAsia="en-AU"/>
        </w:rPr>
        <w:t>historical</w:t>
      </w:r>
      <w:r w:rsidR="007442FB" w:rsidRPr="00102445">
        <w:rPr>
          <w:rFonts w:eastAsia="Times New Roman" w:cs="Times New Roman"/>
          <w:lang w:eastAsia="en-AU"/>
        </w:rPr>
        <w:t xml:space="preserve"> production variable. </w:t>
      </w:r>
      <w:r w:rsidR="0013659B" w:rsidRPr="00102445">
        <w:rPr>
          <w:rFonts w:eastAsia="Times New Roman" w:cs="Times New Roman"/>
          <w:lang w:eastAsia="en-AU"/>
        </w:rPr>
        <w:t xml:space="preserve">The facility-specific emissions intensity </w:t>
      </w:r>
      <w:r w:rsidR="00EE751B" w:rsidRPr="00102445">
        <w:rPr>
          <w:rFonts w:eastAsia="Times New Roman" w:cs="Times New Roman"/>
          <w:lang w:eastAsia="en-AU"/>
        </w:rPr>
        <w:t xml:space="preserve">for a </w:t>
      </w:r>
      <w:r w:rsidR="008B541F" w:rsidRPr="00102445">
        <w:rPr>
          <w:rFonts w:eastAsia="Times New Roman" w:cs="Times New Roman"/>
          <w:lang w:eastAsia="en-AU"/>
        </w:rPr>
        <w:t>historical production variable</w:t>
      </w:r>
      <w:r w:rsidR="00EE751B" w:rsidRPr="00102445">
        <w:rPr>
          <w:rFonts w:eastAsia="Times New Roman" w:cs="Times New Roman"/>
          <w:lang w:eastAsia="en-AU"/>
        </w:rPr>
        <w:t xml:space="preserve"> </w:t>
      </w:r>
      <w:r w:rsidR="008A731C" w:rsidRPr="00102445">
        <w:rPr>
          <w:rFonts w:eastAsia="Times New Roman" w:cs="Times New Roman"/>
          <w:lang w:eastAsia="en-AU"/>
        </w:rPr>
        <w:t xml:space="preserve">is </w:t>
      </w:r>
      <w:r w:rsidR="00F91BAE" w:rsidRPr="00102445">
        <w:rPr>
          <w:rFonts w:eastAsia="Times New Roman" w:cs="Times New Roman"/>
          <w:lang w:eastAsia="en-AU"/>
        </w:rPr>
        <w:t xml:space="preserve">ascertained by </w:t>
      </w:r>
      <w:r w:rsidR="00146B32" w:rsidRPr="00102445">
        <w:rPr>
          <w:rFonts w:eastAsia="Times New Roman" w:cs="Times New Roman"/>
          <w:lang w:eastAsia="en-AU"/>
        </w:rPr>
        <w:t xml:space="preserve">dividing the total </w:t>
      </w:r>
      <w:r w:rsidR="002D26BB" w:rsidRPr="00102445">
        <w:rPr>
          <w:rFonts w:eastAsia="Times New Roman" w:cs="Times New Roman"/>
          <w:lang w:eastAsia="en-AU"/>
        </w:rPr>
        <w:t xml:space="preserve">number </w:t>
      </w:r>
      <w:r w:rsidR="007126E6" w:rsidRPr="00102445">
        <w:rPr>
          <w:rFonts w:eastAsia="Times New Roman" w:cs="Times New Roman"/>
          <w:lang w:eastAsia="en-AU"/>
        </w:rPr>
        <w:t xml:space="preserve">of </w:t>
      </w:r>
      <w:r w:rsidR="006076E6" w:rsidRPr="00102445">
        <w:rPr>
          <w:rFonts w:eastAsia="Times New Roman" w:cs="Times New Roman"/>
          <w:lang w:eastAsia="en-AU"/>
        </w:rPr>
        <w:t>t</w:t>
      </w:r>
      <w:r w:rsidR="006076E6" w:rsidRPr="00102445">
        <w:t xml:space="preserve"> CO</w:t>
      </w:r>
      <w:r w:rsidR="006076E6" w:rsidRPr="00102445">
        <w:rPr>
          <w:vertAlign w:val="subscript"/>
        </w:rPr>
        <w:t>2</w:t>
      </w:r>
      <w:r w:rsidR="006076E6" w:rsidRPr="00102445">
        <w:noBreakHyphen/>
        <w:t>e</w:t>
      </w:r>
      <w:r w:rsidR="00146B32" w:rsidRPr="00102445">
        <w:rPr>
          <w:rFonts w:eastAsia="Times New Roman" w:cs="Times New Roman"/>
          <w:lang w:eastAsia="en-AU"/>
        </w:rPr>
        <w:t xml:space="preserve"> of covered emissions </w:t>
      </w:r>
      <w:r w:rsidR="006076E6" w:rsidRPr="00102445">
        <w:rPr>
          <w:rFonts w:eastAsia="Times New Roman" w:cs="Times New Roman"/>
          <w:lang w:eastAsia="en-AU"/>
        </w:rPr>
        <w:t>that are</w:t>
      </w:r>
      <w:r w:rsidR="00146B32" w:rsidRPr="00102445">
        <w:rPr>
          <w:rFonts w:eastAsia="Times New Roman" w:cs="Times New Roman"/>
          <w:lang w:eastAsia="en-AU"/>
        </w:rPr>
        <w:t xml:space="preserve"> associated with the production variable </w:t>
      </w:r>
      <w:r w:rsidR="00CD4800" w:rsidRPr="00102445">
        <w:rPr>
          <w:rFonts w:eastAsia="Times New Roman" w:cs="Times New Roman"/>
          <w:lang w:eastAsia="en-AU"/>
        </w:rPr>
        <w:t>for the rele</w:t>
      </w:r>
      <w:r w:rsidR="007027E6" w:rsidRPr="00102445">
        <w:rPr>
          <w:rFonts w:eastAsia="Times New Roman" w:cs="Times New Roman"/>
          <w:lang w:eastAsia="en-AU"/>
        </w:rPr>
        <w:t xml:space="preserve">vant </w:t>
      </w:r>
      <w:r w:rsidR="00E547EB" w:rsidRPr="00102445">
        <w:rPr>
          <w:rFonts w:eastAsia="Times New Roman" w:cs="Times New Roman"/>
          <w:lang w:eastAsia="en-AU"/>
        </w:rPr>
        <w:t>historical financial years</w:t>
      </w:r>
      <w:r w:rsidR="00146B32" w:rsidRPr="00102445">
        <w:rPr>
          <w:rFonts w:eastAsia="Times New Roman" w:cs="Times New Roman"/>
          <w:lang w:eastAsia="en-AU"/>
        </w:rPr>
        <w:t xml:space="preserve"> by the total quantity of the production variable </w:t>
      </w:r>
      <w:r w:rsidR="006076E6" w:rsidRPr="00102445">
        <w:rPr>
          <w:rFonts w:eastAsia="Times New Roman" w:cs="Times New Roman"/>
          <w:lang w:eastAsia="en-AU"/>
        </w:rPr>
        <w:t xml:space="preserve">for </w:t>
      </w:r>
      <w:r w:rsidR="00E547EB" w:rsidRPr="00102445">
        <w:rPr>
          <w:rFonts w:eastAsia="Times New Roman" w:cs="Times New Roman"/>
          <w:lang w:eastAsia="en-AU"/>
        </w:rPr>
        <w:t>the relevant historical</w:t>
      </w:r>
      <w:r w:rsidR="00146B32" w:rsidRPr="00102445">
        <w:rPr>
          <w:rFonts w:eastAsia="Times New Roman" w:cs="Times New Roman"/>
          <w:lang w:eastAsia="en-AU"/>
        </w:rPr>
        <w:t xml:space="preserve"> financial </w:t>
      </w:r>
      <w:r w:rsidR="00E547EB" w:rsidRPr="00102445">
        <w:rPr>
          <w:rFonts w:eastAsia="Times New Roman" w:cs="Times New Roman"/>
          <w:lang w:eastAsia="en-AU"/>
        </w:rPr>
        <w:t>years</w:t>
      </w:r>
      <w:r w:rsidR="001075E4" w:rsidRPr="00102445">
        <w:rPr>
          <w:rFonts w:eastAsia="Times New Roman" w:cs="Times New Roman"/>
          <w:lang w:eastAsia="en-AU"/>
        </w:rPr>
        <w:t>.</w:t>
      </w:r>
      <w:r w:rsidR="00E77E08" w:rsidRPr="00102445">
        <w:rPr>
          <w:rFonts w:eastAsia="Times New Roman" w:cs="Times New Roman"/>
          <w:lang w:eastAsia="en-AU"/>
        </w:rPr>
        <w:t xml:space="preserve"> </w:t>
      </w:r>
      <w:r w:rsidR="00E547EB" w:rsidRPr="00102445">
        <w:rPr>
          <w:rFonts w:eastAsia="Times New Roman" w:cs="Times New Roman"/>
          <w:lang w:eastAsia="en-AU"/>
        </w:rPr>
        <w:t xml:space="preserve">This calculation </w:t>
      </w:r>
      <w:r w:rsidR="003F1F56" w:rsidRPr="00102445">
        <w:rPr>
          <w:rFonts w:eastAsia="Times New Roman" w:cs="Times New Roman"/>
          <w:lang w:eastAsia="en-AU"/>
        </w:rPr>
        <w:t xml:space="preserve">results in a </w:t>
      </w:r>
      <w:r w:rsidR="00B70E0C" w:rsidRPr="00102445">
        <w:rPr>
          <w:rFonts w:eastAsia="Times New Roman" w:cs="Times New Roman"/>
          <w:lang w:eastAsia="en-AU"/>
        </w:rPr>
        <w:t xml:space="preserve">number </w:t>
      </w:r>
      <w:r w:rsidR="00FE5F36" w:rsidRPr="00102445">
        <w:rPr>
          <w:rFonts w:eastAsia="Times New Roman" w:cs="Times New Roman"/>
          <w:lang w:eastAsia="en-AU"/>
        </w:rPr>
        <w:t>which</w:t>
      </w:r>
      <w:r w:rsidR="00B70E0C" w:rsidRPr="00102445">
        <w:rPr>
          <w:rFonts w:eastAsia="Times New Roman" w:cs="Times New Roman"/>
          <w:lang w:eastAsia="en-AU"/>
        </w:rPr>
        <w:t xml:space="preserve"> is</w:t>
      </w:r>
      <w:r w:rsidR="001D56D1" w:rsidRPr="00102445">
        <w:rPr>
          <w:rFonts w:eastAsia="Times New Roman" w:cs="Times New Roman"/>
          <w:lang w:eastAsia="en-AU"/>
        </w:rPr>
        <w:t xml:space="preserve"> </w:t>
      </w:r>
      <w:r w:rsidR="008D33F8" w:rsidRPr="00102445">
        <w:rPr>
          <w:rFonts w:eastAsia="Times New Roman" w:cs="Times New Roman"/>
          <w:lang w:eastAsia="en-AU"/>
        </w:rPr>
        <w:t>the</w:t>
      </w:r>
      <w:r w:rsidR="001D56D1" w:rsidRPr="00102445">
        <w:rPr>
          <w:rFonts w:eastAsia="Times New Roman" w:cs="Times New Roman"/>
          <w:lang w:eastAsia="en-AU"/>
        </w:rPr>
        <w:t xml:space="preserve"> production-weighted </w:t>
      </w:r>
      <w:r w:rsidR="003E2B61" w:rsidRPr="00102445">
        <w:rPr>
          <w:rFonts w:eastAsia="Times New Roman" w:cs="Times New Roman"/>
          <w:lang w:eastAsia="en-AU"/>
        </w:rPr>
        <w:t xml:space="preserve">average </w:t>
      </w:r>
      <w:r w:rsidR="00091747" w:rsidRPr="00102445">
        <w:rPr>
          <w:rFonts w:eastAsia="Times New Roman" w:cs="Times New Roman"/>
          <w:lang w:eastAsia="en-AU"/>
        </w:rPr>
        <w:t>emissions intensity</w:t>
      </w:r>
      <w:r w:rsidR="003E2B61" w:rsidRPr="00102445">
        <w:rPr>
          <w:rFonts w:eastAsia="Times New Roman" w:cs="Times New Roman"/>
          <w:lang w:eastAsia="en-AU"/>
        </w:rPr>
        <w:t xml:space="preserve"> for making the </w:t>
      </w:r>
      <w:r w:rsidR="00271D55" w:rsidRPr="00102445">
        <w:rPr>
          <w:rFonts w:eastAsia="Times New Roman" w:cs="Times New Roman"/>
          <w:lang w:eastAsia="en-AU"/>
        </w:rPr>
        <w:t xml:space="preserve">production variable at the specified facility </w:t>
      </w:r>
      <w:r w:rsidR="0035174B" w:rsidRPr="00102445">
        <w:rPr>
          <w:rFonts w:eastAsia="Times New Roman" w:cs="Times New Roman"/>
          <w:lang w:eastAsia="en-AU"/>
        </w:rPr>
        <w:t>over the relevant time period.</w:t>
      </w:r>
    </w:p>
    <w:p w14:paraId="362089CC" w14:textId="0A2A9E52" w:rsidR="000A6A35" w:rsidRPr="00102445" w:rsidRDefault="000A6A35"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Subsection </w:t>
      </w:r>
      <w:r w:rsidR="00AB6581" w:rsidRPr="00102445">
        <w:rPr>
          <w:rFonts w:eastAsia="Times New Roman" w:cs="Times New Roman"/>
          <w:lang w:eastAsia="en-AU"/>
        </w:rPr>
        <w:t>20</w:t>
      </w:r>
      <w:r w:rsidRPr="00102445">
        <w:rPr>
          <w:rFonts w:eastAsia="Times New Roman" w:cs="Times New Roman"/>
          <w:lang w:eastAsia="en-AU"/>
        </w:rPr>
        <w:t xml:space="preserve">(2) provides for the Regulator to round a facility-specific emissions intensity number for a historical production variable to 4 or more significant figures if they consider it appropriate.  </w:t>
      </w:r>
    </w:p>
    <w:p w14:paraId="781BA3F0" w14:textId="2008722E" w:rsidR="00FC4A54" w:rsidRPr="00102445" w:rsidRDefault="0045598D"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Subsection </w:t>
      </w:r>
      <w:r w:rsidR="00AB6581" w:rsidRPr="00102445">
        <w:rPr>
          <w:rFonts w:eastAsia="Times New Roman" w:cs="Times New Roman"/>
          <w:lang w:eastAsia="en-AU"/>
        </w:rPr>
        <w:t>20</w:t>
      </w:r>
      <w:r w:rsidRPr="00102445">
        <w:rPr>
          <w:rFonts w:eastAsia="Times New Roman" w:cs="Times New Roman"/>
          <w:lang w:eastAsia="en-AU"/>
        </w:rPr>
        <w:t xml:space="preserve">(3) </w:t>
      </w:r>
      <w:r w:rsidR="00842BF9" w:rsidRPr="00102445">
        <w:rPr>
          <w:rFonts w:eastAsia="Times New Roman" w:cs="Times New Roman"/>
          <w:lang w:eastAsia="en-AU"/>
        </w:rPr>
        <w:t xml:space="preserve">provides for the </w:t>
      </w:r>
      <w:r w:rsidR="00555427" w:rsidRPr="00102445">
        <w:rPr>
          <w:rFonts w:eastAsia="Times New Roman" w:cs="Times New Roman"/>
          <w:lang w:eastAsia="en-AU"/>
        </w:rPr>
        <w:t xml:space="preserve">meaning of </w:t>
      </w:r>
      <w:r w:rsidR="00CC238C" w:rsidRPr="00102445">
        <w:rPr>
          <w:rFonts w:eastAsia="Times New Roman" w:cs="Times New Roman"/>
          <w:lang w:eastAsia="en-AU"/>
        </w:rPr>
        <w:t xml:space="preserve">‘relevant </w:t>
      </w:r>
      <w:r w:rsidR="00FA61EE" w:rsidRPr="00102445">
        <w:rPr>
          <w:rFonts w:eastAsia="Times New Roman" w:cs="Times New Roman"/>
          <w:lang w:eastAsia="en-AU"/>
        </w:rPr>
        <w:t xml:space="preserve">historical financial year’ </w:t>
      </w:r>
      <w:r w:rsidR="00F932AD" w:rsidRPr="00102445">
        <w:rPr>
          <w:rFonts w:eastAsia="Times New Roman" w:cs="Times New Roman"/>
          <w:lang w:eastAsia="en-AU"/>
        </w:rPr>
        <w:t>for a single production variable.</w:t>
      </w:r>
      <w:r w:rsidR="003C2A91" w:rsidRPr="00102445">
        <w:rPr>
          <w:rFonts w:eastAsia="Times New Roman" w:cs="Times New Roman"/>
          <w:lang w:eastAsia="en-AU"/>
        </w:rPr>
        <w:t xml:space="preserve"> </w:t>
      </w:r>
      <w:r w:rsidR="00F932AD" w:rsidRPr="00102445">
        <w:rPr>
          <w:rFonts w:eastAsia="Times New Roman" w:cs="Times New Roman"/>
          <w:lang w:eastAsia="en-AU"/>
        </w:rPr>
        <w:t xml:space="preserve">The </w:t>
      </w:r>
      <w:r w:rsidR="00775EA7" w:rsidRPr="00102445">
        <w:rPr>
          <w:rFonts w:eastAsia="Times New Roman" w:cs="Times New Roman"/>
          <w:lang w:eastAsia="en-AU"/>
        </w:rPr>
        <w:t>meaning</w:t>
      </w:r>
      <w:r w:rsidR="00F932AD" w:rsidRPr="00102445">
        <w:rPr>
          <w:rFonts w:eastAsia="Times New Roman" w:cs="Times New Roman"/>
          <w:lang w:eastAsia="en-AU"/>
        </w:rPr>
        <w:t xml:space="preserve"> changes depending on how many years of </w:t>
      </w:r>
      <w:r w:rsidR="00775EA7" w:rsidRPr="00102445">
        <w:rPr>
          <w:rFonts w:eastAsia="Times New Roman" w:cs="Times New Roman"/>
          <w:lang w:eastAsia="en-AU"/>
        </w:rPr>
        <w:t xml:space="preserve">relevant historical data are available for the production variable. </w:t>
      </w:r>
      <w:r w:rsidR="00C363E5" w:rsidRPr="00102445">
        <w:rPr>
          <w:rFonts w:eastAsia="Times New Roman" w:cs="Times New Roman"/>
          <w:lang w:eastAsia="en-AU"/>
        </w:rPr>
        <w:t>This is relevant to the calculation of facility-specific emissions intensit</w:t>
      </w:r>
      <w:r w:rsidR="00944592" w:rsidRPr="00102445">
        <w:rPr>
          <w:rFonts w:eastAsia="Times New Roman" w:cs="Times New Roman"/>
          <w:lang w:eastAsia="en-AU"/>
        </w:rPr>
        <w:t>ies</w:t>
      </w:r>
      <w:r w:rsidR="00C363E5" w:rsidRPr="00102445">
        <w:rPr>
          <w:rFonts w:eastAsia="Times New Roman" w:cs="Times New Roman"/>
          <w:lang w:eastAsia="en-AU"/>
        </w:rPr>
        <w:t xml:space="preserve"> because the selection of relevant historical financial years supports the development of facility-specific emissions intensity numbers that are representative of a production-weighted average emissions intensity for the production variable at the facility. Where sufficient historical information is available potential outliers that may skew the calculation are excluded. For example, where 2 or more years of historical information </w:t>
      </w:r>
      <w:r w:rsidR="00861000" w:rsidRPr="00102445">
        <w:rPr>
          <w:rFonts w:eastAsia="Times New Roman" w:cs="Times New Roman"/>
          <w:lang w:eastAsia="en-AU"/>
        </w:rPr>
        <w:t>are</w:t>
      </w:r>
      <w:r w:rsidR="00C363E5" w:rsidRPr="00102445">
        <w:rPr>
          <w:rFonts w:eastAsia="Times New Roman" w:cs="Times New Roman"/>
          <w:lang w:eastAsia="en-AU"/>
        </w:rPr>
        <w:t xml:space="preserve"> available, the year with the highest emissions intensity is removed. Where there are 4 or more years of historical information available, the years with the highest and lowest emissions intensities are removed.</w:t>
      </w:r>
      <w:r w:rsidR="00FC4A54" w:rsidRPr="00102445">
        <w:rPr>
          <w:rFonts w:eastAsia="Times New Roman" w:cs="Times New Roman"/>
          <w:lang w:eastAsia="en-AU"/>
        </w:rPr>
        <w:t xml:space="preserve"> </w:t>
      </w:r>
    </w:p>
    <w:p w14:paraId="5E1A3851" w14:textId="44F52333" w:rsidR="00C060B9" w:rsidRPr="00102445" w:rsidRDefault="00775EA7"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Th</w:t>
      </w:r>
      <w:r w:rsidR="002D02C4" w:rsidRPr="00102445">
        <w:rPr>
          <w:rFonts w:eastAsia="Times New Roman" w:cs="Times New Roman"/>
          <w:lang w:eastAsia="en-AU"/>
        </w:rPr>
        <w:t>e</w:t>
      </w:r>
      <w:r w:rsidRPr="00102445">
        <w:rPr>
          <w:rFonts w:eastAsia="Times New Roman" w:cs="Times New Roman"/>
          <w:lang w:eastAsia="en-AU"/>
        </w:rPr>
        <w:t xml:space="preserve"> </w:t>
      </w:r>
      <w:r w:rsidR="007C79FE" w:rsidRPr="00102445">
        <w:rPr>
          <w:rFonts w:eastAsia="Times New Roman" w:cs="Times New Roman"/>
          <w:lang w:eastAsia="en-AU"/>
        </w:rPr>
        <w:t xml:space="preserve">table provided </w:t>
      </w:r>
      <w:r w:rsidR="006D08ED" w:rsidRPr="00102445">
        <w:rPr>
          <w:rFonts w:eastAsia="Times New Roman" w:cs="Times New Roman"/>
          <w:lang w:eastAsia="en-AU"/>
        </w:rPr>
        <w:t>in this</w:t>
      </w:r>
      <w:r w:rsidRPr="00102445">
        <w:rPr>
          <w:rFonts w:eastAsia="Times New Roman" w:cs="Times New Roman"/>
          <w:lang w:eastAsia="en-AU"/>
        </w:rPr>
        <w:t xml:space="preserve"> subsection </w:t>
      </w:r>
      <w:r w:rsidR="002B279B" w:rsidRPr="00102445">
        <w:rPr>
          <w:rFonts w:eastAsia="Times New Roman" w:cs="Times New Roman"/>
          <w:lang w:eastAsia="en-AU"/>
        </w:rPr>
        <w:t>informs</w:t>
      </w:r>
      <w:r w:rsidR="00B94869" w:rsidRPr="00102445">
        <w:rPr>
          <w:rFonts w:eastAsia="Times New Roman" w:cs="Times New Roman"/>
          <w:lang w:eastAsia="en-AU"/>
        </w:rPr>
        <w:t xml:space="preserve"> </w:t>
      </w:r>
      <w:r w:rsidR="002B0CC8" w:rsidRPr="00102445">
        <w:rPr>
          <w:rFonts w:eastAsia="Times New Roman" w:cs="Times New Roman"/>
          <w:lang w:eastAsia="en-AU"/>
        </w:rPr>
        <w:t xml:space="preserve">which </w:t>
      </w:r>
      <w:r w:rsidR="00761045" w:rsidRPr="00102445">
        <w:rPr>
          <w:rFonts w:eastAsia="Times New Roman" w:cs="Times New Roman"/>
          <w:lang w:eastAsia="en-AU"/>
        </w:rPr>
        <w:t>years are relevant historical financial years</w:t>
      </w:r>
      <w:r w:rsidR="00291682" w:rsidRPr="00102445">
        <w:rPr>
          <w:rFonts w:eastAsia="Times New Roman" w:cs="Times New Roman"/>
          <w:lang w:eastAsia="en-AU"/>
        </w:rPr>
        <w:t xml:space="preserve">. </w:t>
      </w:r>
      <w:r w:rsidR="00C516EA" w:rsidRPr="00102445">
        <w:rPr>
          <w:rFonts w:eastAsia="Times New Roman" w:cs="Times New Roman"/>
          <w:lang w:eastAsia="en-AU"/>
        </w:rPr>
        <w:t xml:space="preserve">Column 1 describes the </w:t>
      </w:r>
      <w:r w:rsidR="00FD32F3" w:rsidRPr="00102445">
        <w:rPr>
          <w:rFonts w:eastAsia="Times New Roman" w:cs="Times New Roman"/>
          <w:lang w:eastAsia="en-AU"/>
        </w:rPr>
        <w:t>number of years</w:t>
      </w:r>
      <w:r w:rsidR="003D2D6C" w:rsidRPr="00102445">
        <w:rPr>
          <w:rFonts w:eastAsia="Times New Roman" w:cs="Times New Roman"/>
          <w:lang w:eastAsia="en-AU"/>
        </w:rPr>
        <w:t xml:space="preserve"> of historical information available</w:t>
      </w:r>
      <w:r w:rsidR="007A3DA2" w:rsidRPr="00102445">
        <w:rPr>
          <w:rFonts w:eastAsia="Times New Roman" w:cs="Times New Roman"/>
          <w:lang w:eastAsia="en-AU"/>
        </w:rPr>
        <w:t xml:space="preserve">, and </w:t>
      </w:r>
      <w:r w:rsidR="00BC2F25" w:rsidRPr="00102445">
        <w:rPr>
          <w:rFonts w:eastAsia="Times New Roman" w:cs="Times New Roman"/>
          <w:lang w:eastAsia="en-AU"/>
        </w:rPr>
        <w:t xml:space="preserve">column 2 </w:t>
      </w:r>
      <w:r w:rsidR="00B31F79" w:rsidRPr="00102445">
        <w:rPr>
          <w:rFonts w:eastAsia="Times New Roman" w:cs="Times New Roman"/>
          <w:lang w:eastAsia="en-AU"/>
        </w:rPr>
        <w:t>defines</w:t>
      </w:r>
      <w:r w:rsidR="00D61F25" w:rsidRPr="00102445">
        <w:rPr>
          <w:rFonts w:eastAsia="Times New Roman" w:cs="Times New Roman"/>
          <w:lang w:eastAsia="en-AU"/>
        </w:rPr>
        <w:t xml:space="preserve"> </w:t>
      </w:r>
      <w:r w:rsidR="00165D47" w:rsidRPr="00102445">
        <w:rPr>
          <w:rFonts w:eastAsia="Times New Roman" w:cs="Times New Roman"/>
          <w:lang w:eastAsia="en-AU"/>
        </w:rPr>
        <w:t xml:space="preserve">which </w:t>
      </w:r>
      <w:r w:rsidR="00AC761D" w:rsidRPr="00102445">
        <w:rPr>
          <w:rFonts w:eastAsia="Times New Roman" w:cs="Times New Roman"/>
          <w:lang w:eastAsia="en-AU"/>
        </w:rPr>
        <w:t xml:space="preserve">of </w:t>
      </w:r>
      <w:r w:rsidR="00385105" w:rsidRPr="00102445">
        <w:rPr>
          <w:rFonts w:eastAsia="Times New Roman" w:cs="Times New Roman"/>
          <w:lang w:eastAsia="en-AU"/>
        </w:rPr>
        <w:t xml:space="preserve">those </w:t>
      </w:r>
      <w:r w:rsidR="004C015F" w:rsidRPr="00102445">
        <w:rPr>
          <w:rFonts w:eastAsia="Times New Roman" w:cs="Times New Roman"/>
          <w:lang w:eastAsia="en-AU"/>
        </w:rPr>
        <w:t>years should be considered</w:t>
      </w:r>
      <w:r w:rsidR="00D61F25" w:rsidRPr="00102445">
        <w:rPr>
          <w:rFonts w:eastAsia="Times New Roman" w:cs="Times New Roman"/>
          <w:lang w:eastAsia="en-AU"/>
        </w:rPr>
        <w:t xml:space="preserve"> </w:t>
      </w:r>
      <w:r w:rsidR="00470DE0" w:rsidRPr="00102445">
        <w:rPr>
          <w:rFonts w:eastAsia="Times New Roman" w:cs="Times New Roman"/>
          <w:lang w:eastAsia="en-AU"/>
        </w:rPr>
        <w:t xml:space="preserve">the </w:t>
      </w:r>
      <w:r w:rsidR="00D61F25" w:rsidRPr="00102445">
        <w:rPr>
          <w:rFonts w:eastAsia="Times New Roman" w:cs="Times New Roman"/>
          <w:lang w:eastAsia="en-AU"/>
        </w:rPr>
        <w:t>rel</w:t>
      </w:r>
      <w:r w:rsidR="00557424" w:rsidRPr="00102445">
        <w:rPr>
          <w:rFonts w:eastAsia="Times New Roman" w:cs="Times New Roman"/>
          <w:lang w:eastAsia="en-AU"/>
        </w:rPr>
        <w:t xml:space="preserve">evant </w:t>
      </w:r>
      <w:r w:rsidR="00470DE0" w:rsidRPr="00102445">
        <w:rPr>
          <w:rFonts w:eastAsia="Times New Roman" w:cs="Times New Roman"/>
          <w:lang w:eastAsia="en-AU"/>
        </w:rPr>
        <w:t>historical financial year</w:t>
      </w:r>
      <w:r w:rsidR="0077058C" w:rsidRPr="00102445">
        <w:rPr>
          <w:rFonts w:eastAsia="Times New Roman" w:cs="Times New Roman"/>
          <w:lang w:eastAsia="en-AU"/>
        </w:rPr>
        <w:t xml:space="preserve"> or year</w:t>
      </w:r>
      <w:r w:rsidR="00470DE0" w:rsidRPr="00102445">
        <w:rPr>
          <w:rFonts w:eastAsia="Times New Roman" w:cs="Times New Roman"/>
          <w:lang w:eastAsia="en-AU"/>
        </w:rPr>
        <w:t xml:space="preserve">s for the purpose of calculating </w:t>
      </w:r>
      <w:r w:rsidR="00FC4217" w:rsidRPr="00102445">
        <w:rPr>
          <w:rFonts w:eastAsia="Times New Roman" w:cs="Times New Roman"/>
          <w:lang w:eastAsia="en-AU"/>
        </w:rPr>
        <w:t xml:space="preserve">the </w:t>
      </w:r>
      <w:r w:rsidR="003B3113" w:rsidRPr="00102445">
        <w:rPr>
          <w:rFonts w:eastAsia="Times New Roman" w:cs="Times New Roman"/>
          <w:lang w:eastAsia="en-AU"/>
        </w:rPr>
        <w:t xml:space="preserve">facility-specific emissions intensity number. </w:t>
      </w:r>
    </w:p>
    <w:p w14:paraId="10FA19A3" w14:textId="6184A407" w:rsidR="00BD1D9B" w:rsidRPr="00102445" w:rsidRDefault="00834FC3"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Subsection </w:t>
      </w:r>
      <w:r w:rsidR="00AB6581" w:rsidRPr="00102445">
        <w:rPr>
          <w:rFonts w:eastAsia="Times New Roman" w:cs="Times New Roman"/>
          <w:lang w:eastAsia="en-AU"/>
        </w:rPr>
        <w:t>20</w:t>
      </w:r>
      <w:r w:rsidRPr="00102445">
        <w:rPr>
          <w:rFonts w:eastAsia="Times New Roman" w:cs="Times New Roman"/>
          <w:lang w:eastAsia="en-AU"/>
        </w:rPr>
        <w:t>(4) provides that</w:t>
      </w:r>
      <w:r w:rsidR="00DE4B9A" w:rsidRPr="00102445">
        <w:rPr>
          <w:rFonts w:eastAsia="Times New Roman" w:cs="Times New Roman"/>
          <w:lang w:eastAsia="en-AU"/>
        </w:rPr>
        <w:t xml:space="preserve"> for the purposes of items 1, 2, 3 and 4 of the table in subsection (3), the emissions intensity</w:t>
      </w:r>
      <w:r w:rsidR="00573FD4" w:rsidRPr="00102445">
        <w:rPr>
          <w:rFonts w:eastAsia="Times New Roman" w:cs="Times New Roman"/>
          <w:lang w:eastAsia="en-AU"/>
        </w:rPr>
        <w:t xml:space="preserve"> of a historical production variable for a historical financial year is determined by dividing the emissions relevantly associated</w:t>
      </w:r>
      <w:r w:rsidR="00946278" w:rsidRPr="00102445">
        <w:rPr>
          <w:rFonts w:eastAsia="Times New Roman" w:cs="Times New Roman"/>
          <w:lang w:eastAsia="en-AU"/>
        </w:rPr>
        <w:t xml:space="preserve"> with the</w:t>
      </w:r>
      <w:r w:rsidR="009F3D26" w:rsidRPr="00102445">
        <w:rPr>
          <w:rFonts w:eastAsia="Times New Roman" w:cs="Times New Roman"/>
          <w:lang w:eastAsia="en-AU"/>
        </w:rPr>
        <w:t xml:space="preserve"> production variable</w:t>
      </w:r>
      <w:r w:rsidR="006F2679" w:rsidRPr="00102445">
        <w:rPr>
          <w:rFonts w:eastAsia="Times New Roman" w:cs="Times New Roman"/>
          <w:lang w:eastAsia="en-AU"/>
        </w:rPr>
        <w:t xml:space="preserve"> </w:t>
      </w:r>
      <w:r w:rsidR="00FA25A5" w:rsidRPr="00102445">
        <w:rPr>
          <w:rFonts w:eastAsia="Times New Roman" w:cs="Times New Roman"/>
          <w:lang w:eastAsia="en-AU"/>
        </w:rPr>
        <w:t>in the historical financial year by the quantity of the production variable i</w:t>
      </w:r>
      <w:r w:rsidR="005A5DF9" w:rsidRPr="00102445">
        <w:rPr>
          <w:rFonts w:eastAsia="Times New Roman" w:cs="Times New Roman"/>
          <w:lang w:eastAsia="en-AU"/>
        </w:rPr>
        <w:t xml:space="preserve">n that financial year. </w:t>
      </w:r>
    </w:p>
    <w:p w14:paraId="112CD5FD" w14:textId="389583D3" w:rsidR="005A1D63" w:rsidRPr="00102445" w:rsidRDefault="00E547EB"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lastRenderedPageBreak/>
        <w:t xml:space="preserve">Subsection </w:t>
      </w:r>
      <w:r w:rsidR="00AB6581" w:rsidRPr="00102445">
        <w:rPr>
          <w:rFonts w:eastAsia="Times New Roman" w:cs="Times New Roman"/>
          <w:lang w:eastAsia="en-AU"/>
        </w:rPr>
        <w:t>20</w:t>
      </w:r>
      <w:r w:rsidRPr="00102445">
        <w:rPr>
          <w:rFonts w:eastAsia="Times New Roman" w:cs="Times New Roman"/>
          <w:lang w:eastAsia="en-AU"/>
        </w:rPr>
        <w:t xml:space="preserve">(2) provides for the Regulator to round a facility-specific emissions intensity number for a historical production variable to 4 or more significant figures if they consider it appropriate. </w:t>
      </w:r>
      <w:r w:rsidR="00561580" w:rsidRPr="00102445">
        <w:rPr>
          <w:rFonts w:eastAsia="Times New Roman" w:cs="Times New Roman"/>
          <w:lang w:eastAsia="en-AU"/>
        </w:rPr>
        <w:t xml:space="preserve"> </w:t>
      </w:r>
    </w:p>
    <w:p w14:paraId="326FA6A5" w14:textId="4B00F1A2" w:rsidR="004112AC" w:rsidRPr="00102445" w:rsidRDefault="00EA5899"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Subsection </w:t>
      </w:r>
      <w:r w:rsidR="00E52C94" w:rsidRPr="00102445">
        <w:rPr>
          <w:rFonts w:eastAsia="Times New Roman" w:cs="Times New Roman"/>
          <w:lang w:eastAsia="en-AU"/>
        </w:rPr>
        <w:t>20</w:t>
      </w:r>
      <w:r w:rsidRPr="00102445">
        <w:rPr>
          <w:rFonts w:eastAsia="Times New Roman" w:cs="Times New Roman"/>
          <w:lang w:eastAsia="en-AU"/>
        </w:rPr>
        <w:t>(</w:t>
      </w:r>
      <w:r w:rsidR="00E52C94" w:rsidRPr="00102445">
        <w:rPr>
          <w:rFonts w:eastAsia="Times New Roman" w:cs="Times New Roman"/>
          <w:lang w:eastAsia="en-AU"/>
        </w:rPr>
        <w:t>5</w:t>
      </w:r>
      <w:r w:rsidRPr="00102445">
        <w:rPr>
          <w:rFonts w:eastAsia="Times New Roman" w:cs="Times New Roman"/>
          <w:lang w:eastAsia="en-AU"/>
        </w:rPr>
        <w:t>)</w:t>
      </w:r>
      <w:r w:rsidR="008A359E" w:rsidRPr="00102445">
        <w:rPr>
          <w:rFonts w:eastAsia="Times New Roman" w:cs="Times New Roman"/>
          <w:lang w:eastAsia="en-AU"/>
        </w:rPr>
        <w:t xml:space="preserve"> </w:t>
      </w:r>
      <w:r w:rsidR="00DC47E4" w:rsidRPr="00102445">
        <w:rPr>
          <w:rFonts w:eastAsia="Times New Roman" w:cs="Times New Roman"/>
          <w:lang w:eastAsia="en-AU"/>
        </w:rPr>
        <w:t>defines</w:t>
      </w:r>
      <w:r w:rsidR="008A359E" w:rsidRPr="00102445">
        <w:rPr>
          <w:rFonts w:eastAsia="Times New Roman" w:cs="Times New Roman"/>
          <w:lang w:eastAsia="en-AU"/>
        </w:rPr>
        <w:t xml:space="preserve"> the </w:t>
      </w:r>
      <w:r w:rsidR="009D313D" w:rsidRPr="00102445">
        <w:rPr>
          <w:rFonts w:eastAsia="Times New Roman" w:cs="Times New Roman"/>
          <w:lang w:eastAsia="en-AU"/>
        </w:rPr>
        <w:t>facility-specific emissions intensity number</w:t>
      </w:r>
      <w:r w:rsidR="00DC47E4" w:rsidRPr="00102445">
        <w:rPr>
          <w:rFonts w:eastAsia="Times New Roman" w:cs="Times New Roman"/>
          <w:lang w:eastAsia="en-AU"/>
        </w:rPr>
        <w:t xml:space="preserve"> for </w:t>
      </w:r>
      <w:r w:rsidR="00A36054" w:rsidRPr="00102445">
        <w:rPr>
          <w:rFonts w:eastAsia="Times New Roman" w:cs="Times New Roman"/>
          <w:lang w:eastAsia="en-AU"/>
        </w:rPr>
        <w:t>a</w:t>
      </w:r>
      <w:r w:rsidR="009D313D" w:rsidRPr="00102445">
        <w:rPr>
          <w:rFonts w:eastAsia="Times New Roman" w:cs="Times New Roman"/>
          <w:lang w:eastAsia="en-AU"/>
        </w:rPr>
        <w:t xml:space="preserve"> </w:t>
      </w:r>
      <w:r w:rsidR="008F01DD" w:rsidRPr="00102445">
        <w:rPr>
          <w:rFonts w:eastAsia="Times New Roman" w:cs="Times New Roman"/>
          <w:lang w:eastAsia="en-AU"/>
        </w:rPr>
        <w:t>related production variable</w:t>
      </w:r>
      <w:r w:rsidR="00AC5522" w:rsidRPr="00102445">
        <w:rPr>
          <w:rFonts w:eastAsia="Times New Roman" w:cs="Times New Roman"/>
          <w:lang w:eastAsia="en-AU"/>
        </w:rPr>
        <w:t>.</w:t>
      </w:r>
      <w:r w:rsidR="008F01DD" w:rsidRPr="00102445">
        <w:rPr>
          <w:rFonts w:eastAsia="Times New Roman" w:cs="Times New Roman"/>
          <w:lang w:eastAsia="en-AU"/>
        </w:rPr>
        <w:t xml:space="preserve"> </w:t>
      </w:r>
      <w:r w:rsidR="00910A8F" w:rsidRPr="00102445">
        <w:rPr>
          <w:rFonts w:eastAsia="Times New Roman" w:cs="Times New Roman"/>
          <w:lang w:eastAsia="en-AU"/>
        </w:rPr>
        <w:t>Paragraph</w:t>
      </w:r>
      <w:r w:rsidR="00CA7108" w:rsidRPr="00102445">
        <w:rPr>
          <w:rFonts w:eastAsia="Times New Roman" w:cs="Times New Roman"/>
          <w:lang w:eastAsia="en-AU"/>
        </w:rPr>
        <w:t xml:space="preserve"> </w:t>
      </w:r>
      <w:r w:rsidR="00E52C94" w:rsidRPr="00102445">
        <w:rPr>
          <w:rFonts w:eastAsia="Times New Roman" w:cs="Times New Roman"/>
          <w:lang w:eastAsia="en-AU"/>
        </w:rPr>
        <w:t>20</w:t>
      </w:r>
      <w:r w:rsidR="00CA7108" w:rsidRPr="00102445">
        <w:rPr>
          <w:rFonts w:eastAsia="Times New Roman" w:cs="Times New Roman"/>
          <w:lang w:eastAsia="en-AU"/>
        </w:rPr>
        <w:t>(</w:t>
      </w:r>
      <w:r w:rsidR="00E52C94" w:rsidRPr="00102445">
        <w:rPr>
          <w:rFonts w:eastAsia="Times New Roman" w:cs="Times New Roman"/>
          <w:lang w:eastAsia="en-AU"/>
        </w:rPr>
        <w:t>5</w:t>
      </w:r>
      <w:r w:rsidR="00CA7108" w:rsidRPr="00102445">
        <w:rPr>
          <w:rFonts w:eastAsia="Times New Roman" w:cs="Times New Roman"/>
          <w:lang w:eastAsia="en-AU"/>
        </w:rPr>
        <w:t xml:space="preserve">)(a) </w:t>
      </w:r>
      <w:r w:rsidR="007A6AF3" w:rsidRPr="00102445">
        <w:rPr>
          <w:rFonts w:eastAsia="Times New Roman" w:cs="Times New Roman"/>
          <w:lang w:eastAsia="en-AU"/>
        </w:rPr>
        <w:t>specifies</w:t>
      </w:r>
      <w:r w:rsidR="00160C47" w:rsidRPr="00102445">
        <w:rPr>
          <w:rFonts w:eastAsia="Times New Roman" w:cs="Times New Roman"/>
          <w:lang w:eastAsia="en-AU"/>
        </w:rPr>
        <w:t xml:space="preserve"> the facility specific emissions intensity number </w:t>
      </w:r>
      <w:r w:rsidR="00163CDB" w:rsidRPr="00102445">
        <w:rPr>
          <w:rFonts w:eastAsia="Times New Roman" w:cs="Times New Roman"/>
          <w:lang w:eastAsia="en-AU"/>
        </w:rPr>
        <w:t xml:space="preserve">for </w:t>
      </w:r>
      <w:r w:rsidR="00DC385A" w:rsidRPr="00102445">
        <w:rPr>
          <w:rFonts w:eastAsia="Times New Roman" w:cs="Times New Roman"/>
          <w:lang w:eastAsia="en-AU"/>
        </w:rPr>
        <w:t xml:space="preserve">a </w:t>
      </w:r>
      <w:r w:rsidR="00A43026" w:rsidRPr="00102445">
        <w:rPr>
          <w:rFonts w:eastAsia="Times New Roman" w:cs="Times New Roman"/>
          <w:lang w:eastAsia="en-AU"/>
        </w:rPr>
        <w:t xml:space="preserve">related production variable </w:t>
      </w:r>
      <w:r w:rsidR="008F11C0" w:rsidRPr="00102445">
        <w:rPr>
          <w:rFonts w:eastAsia="Times New Roman" w:cs="Times New Roman"/>
          <w:lang w:eastAsia="en-AU"/>
        </w:rPr>
        <w:t>that</w:t>
      </w:r>
      <w:r w:rsidR="009233B2" w:rsidRPr="00102445">
        <w:rPr>
          <w:rFonts w:eastAsia="Times New Roman" w:cs="Times New Roman"/>
          <w:lang w:eastAsia="en-AU"/>
        </w:rPr>
        <w:t xml:space="preserve"> is </w:t>
      </w:r>
      <w:r w:rsidR="008D5D3A" w:rsidRPr="00102445">
        <w:rPr>
          <w:rFonts w:eastAsia="Times New Roman" w:cs="Times New Roman"/>
          <w:lang w:eastAsia="en-AU"/>
        </w:rPr>
        <w:t xml:space="preserve">tonnes of reservoir </w:t>
      </w:r>
      <w:r w:rsidR="00AD2F70" w:rsidRPr="00102445">
        <w:rPr>
          <w:rFonts w:eastAsia="Times New Roman" w:cs="Times New Roman"/>
          <w:lang w:eastAsia="en-AU"/>
        </w:rPr>
        <w:t>carbon dioxide</w:t>
      </w:r>
      <w:r w:rsidR="003F30DC" w:rsidRPr="00102445">
        <w:rPr>
          <w:rFonts w:eastAsia="Times New Roman" w:cs="Times New Roman"/>
          <w:lang w:eastAsia="en-AU"/>
        </w:rPr>
        <w:t xml:space="preserve"> </w:t>
      </w:r>
      <w:r w:rsidR="0074224B" w:rsidRPr="00102445">
        <w:rPr>
          <w:rFonts w:eastAsia="Times New Roman" w:cs="Times New Roman"/>
          <w:lang w:eastAsia="en-AU"/>
        </w:rPr>
        <w:t>f</w:t>
      </w:r>
      <w:r w:rsidR="005D3C82" w:rsidRPr="00102445">
        <w:rPr>
          <w:rFonts w:eastAsia="Times New Roman" w:cs="Times New Roman"/>
          <w:lang w:eastAsia="en-AU"/>
        </w:rPr>
        <w:t xml:space="preserve">rom </w:t>
      </w:r>
      <w:r w:rsidR="0074224B" w:rsidRPr="00102445">
        <w:rPr>
          <w:rFonts w:eastAsia="Times New Roman" w:cs="Times New Roman"/>
          <w:lang w:eastAsia="en-AU"/>
        </w:rPr>
        <w:t xml:space="preserve">a new gas field </w:t>
      </w:r>
      <w:r w:rsidR="003F30DC" w:rsidRPr="00102445">
        <w:rPr>
          <w:rFonts w:eastAsia="Times New Roman" w:cs="Times New Roman"/>
          <w:lang w:eastAsia="en-AU"/>
        </w:rPr>
        <w:t>is zero</w:t>
      </w:r>
      <w:r w:rsidR="008F11C0" w:rsidRPr="00102445">
        <w:rPr>
          <w:rFonts w:eastAsia="Times New Roman" w:cs="Times New Roman"/>
          <w:lang w:eastAsia="en-AU"/>
        </w:rPr>
        <w:t>.</w:t>
      </w:r>
      <w:r w:rsidR="00AD2F70" w:rsidRPr="00102445">
        <w:rPr>
          <w:rFonts w:eastAsia="Times New Roman" w:cs="Times New Roman"/>
          <w:lang w:eastAsia="en-AU"/>
        </w:rPr>
        <w:t xml:space="preserve"> </w:t>
      </w:r>
      <w:r w:rsidR="003D3B05" w:rsidRPr="00102445">
        <w:rPr>
          <w:rFonts w:eastAsia="Times New Roman" w:cs="Times New Roman"/>
          <w:lang w:eastAsia="en-AU"/>
        </w:rPr>
        <w:t>Paragraph</w:t>
      </w:r>
      <w:r w:rsidR="006A1758" w:rsidRPr="00102445">
        <w:rPr>
          <w:rFonts w:eastAsia="Times New Roman" w:cs="Times New Roman"/>
          <w:lang w:eastAsia="en-AU"/>
        </w:rPr>
        <w:t xml:space="preserve"> </w:t>
      </w:r>
      <w:r w:rsidR="005A6563" w:rsidRPr="00102445">
        <w:rPr>
          <w:rFonts w:eastAsia="Times New Roman" w:cs="Times New Roman"/>
          <w:lang w:eastAsia="en-AU"/>
        </w:rPr>
        <w:t>20</w:t>
      </w:r>
      <w:r w:rsidR="006A1758" w:rsidRPr="00102445">
        <w:rPr>
          <w:rFonts w:eastAsia="Times New Roman" w:cs="Times New Roman"/>
          <w:lang w:eastAsia="en-AU"/>
        </w:rPr>
        <w:t>(</w:t>
      </w:r>
      <w:r w:rsidR="005A6563" w:rsidRPr="00102445">
        <w:rPr>
          <w:rFonts w:eastAsia="Times New Roman" w:cs="Times New Roman"/>
          <w:lang w:eastAsia="en-AU"/>
        </w:rPr>
        <w:t>5</w:t>
      </w:r>
      <w:r w:rsidR="006A1758" w:rsidRPr="00102445">
        <w:rPr>
          <w:rFonts w:eastAsia="Times New Roman" w:cs="Times New Roman"/>
          <w:lang w:eastAsia="en-AU"/>
        </w:rPr>
        <w:t xml:space="preserve">)(b) </w:t>
      </w:r>
      <w:r w:rsidR="00770F06" w:rsidRPr="00102445">
        <w:rPr>
          <w:rFonts w:eastAsia="Times New Roman" w:cs="Times New Roman"/>
          <w:lang w:eastAsia="en-AU"/>
        </w:rPr>
        <w:t>states that if</w:t>
      </w:r>
      <w:r w:rsidR="00B61E1A" w:rsidRPr="00102445">
        <w:rPr>
          <w:rFonts w:eastAsia="Times New Roman" w:cs="Times New Roman"/>
          <w:lang w:eastAsia="en-AU"/>
        </w:rPr>
        <w:t xml:space="preserve"> the </w:t>
      </w:r>
      <w:r w:rsidR="002E37CF" w:rsidRPr="00102445">
        <w:rPr>
          <w:rFonts w:eastAsia="Times New Roman" w:cs="Times New Roman"/>
          <w:lang w:eastAsia="en-AU"/>
        </w:rPr>
        <w:t xml:space="preserve">related </w:t>
      </w:r>
      <w:r w:rsidR="009556EB" w:rsidRPr="00102445">
        <w:rPr>
          <w:rFonts w:eastAsia="Times New Roman" w:cs="Times New Roman"/>
          <w:lang w:eastAsia="en-AU"/>
        </w:rPr>
        <w:t xml:space="preserve">production variable is anything other than tonnes of reservoir carbon dioxide </w:t>
      </w:r>
      <w:r w:rsidR="005D3C82" w:rsidRPr="00102445">
        <w:rPr>
          <w:rFonts w:eastAsia="Times New Roman" w:cs="Times New Roman"/>
          <w:lang w:eastAsia="en-AU"/>
        </w:rPr>
        <w:t xml:space="preserve">for a new gas field, </w:t>
      </w:r>
      <w:r w:rsidR="009556EB" w:rsidRPr="00102445">
        <w:rPr>
          <w:rFonts w:eastAsia="Times New Roman" w:cs="Times New Roman"/>
          <w:lang w:eastAsia="en-AU"/>
        </w:rPr>
        <w:t xml:space="preserve">then </w:t>
      </w:r>
      <w:r w:rsidR="00342274" w:rsidRPr="00102445">
        <w:rPr>
          <w:rFonts w:eastAsia="Times New Roman" w:cs="Times New Roman"/>
          <w:lang w:eastAsia="en-AU"/>
        </w:rPr>
        <w:t>th</w:t>
      </w:r>
      <w:r w:rsidR="00770F06" w:rsidRPr="00102445">
        <w:rPr>
          <w:rFonts w:eastAsia="Times New Roman" w:cs="Times New Roman"/>
          <w:lang w:eastAsia="en-AU"/>
        </w:rPr>
        <w:t xml:space="preserve">e </w:t>
      </w:r>
      <w:r w:rsidR="008625C4" w:rsidRPr="00102445">
        <w:rPr>
          <w:rFonts w:eastAsia="Times New Roman" w:cs="Times New Roman"/>
          <w:lang w:eastAsia="en-AU"/>
        </w:rPr>
        <w:t xml:space="preserve">facility-specific </w:t>
      </w:r>
      <w:r w:rsidR="00770F06" w:rsidRPr="00102445">
        <w:rPr>
          <w:rFonts w:eastAsia="Times New Roman" w:cs="Times New Roman"/>
          <w:lang w:eastAsia="en-AU"/>
        </w:rPr>
        <w:t xml:space="preserve">emissions intensity number is </w:t>
      </w:r>
      <w:r w:rsidR="008625C4" w:rsidRPr="00102445">
        <w:rPr>
          <w:rFonts w:eastAsia="Times New Roman" w:cs="Times New Roman"/>
          <w:lang w:eastAsia="en-AU"/>
        </w:rPr>
        <w:t xml:space="preserve">the same as </w:t>
      </w:r>
      <w:r w:rsidR="00E50327" w:rsidRPr="00102445">
        <w:rPr>
          <w:rFonts w:eastAsia="Times New Roman" w:cs="Times New Roman"/>
          <w:lang w:eastAsia="en-AU"/>
        </w:rPr>
        <w:t xml:space="preserve">for the </w:t>
      </w:r>
      <w:r w:rsidR="004B3526" w:rsidRPr="00102445">
        <w:rPr>
          <w:rFonts w:eastAsia="Times New Roman" w:cs="Times New Roman"/>
          <w:lang w:eastAsia="en-AU"/>
        </w:rPr>
        <w:t>relevant comparative production variable</w:t>
      </w:r>
      <w:r w:rsidR="00C60836" w:rsidRPr="00102445">
        <w:rPr>
          <w:rFonts w:eastAsia="Times New Roman" w:cs="Times New Roman"/>
          <w:lang w:eastAsia="en-AU"/>
        </w:rPr>
        <w:t>.</w:t>
      </w:r>
      <w:r w:rsidR="003217B4" w:rsidRPr="00102445">
        <w:rPr>
          <w:rFonts w:eastAsia="Times New Roman" w:cs="Times New Roman"/>
          <w:lang w:eastAsia="en-AU"/>
        </w:rPr>
        <w:t xml:space="preserve"> </w:t>
      </w:r>
      <w:r w:rsidR="007A629C" w:rsidRPr="00102445">
        <w:rPr>
          <w:rFonts w:eastAsia="Times New Roman" w:cs="Times New Roman"/>
          <w:lang w:eastAsia="en-AU"/>
        </w:rPr>
        <w:t xml:space="preserve">For further information on </w:t>
      </w:r>
      <w:r w:rsidR="00F205FF" w:rsidRPr="00102445">
        <w:rPr>
          <w:rFonts w:eastAsia="Times New Roman" w:cs="Times New Roman"/>
          <w:lang w:eastAsia="en-AU"/>
        </w:rPr>
        <w:t>related and comparative production variables s</w:t>
      </w:r>
      <w:r w:rsidR="007A629C" w:rsidRPr="00102445">
        <w:rPr>
          <w:rFonts w:eastAsia="Times New Roman" w:cs="Times New Roman"/>
          <w:lang w:eastAsia="en-AU"/>
        </w:rPr>
        <w:t xml:space="preserve">ee </w:t>
      </w:r>
      <w:r w:rsidR="00A86D40" w:rsidRPr="00102445">
        <w:rPr>
          <w:rFonts w:eastAsia="Times New Roman" w:cs="Times New Roman"/>
          <w:lang w:eastAsia="en-AU"/>
        </w:rPr>
        <w:t>s</w:t>
      </w:r>
      <w:r w:rsidR="007A629C" w:rsidRPr="00102445">
        <w:rPr>
          <w:rFonts w:eastAsia="Times New Roman" w:cs="Times New Roman"/>
          <w:lang w:eastAsia="en-AU"/>
        </w:rPr>
        <w:t>ection</w:t>
      </w:r>
      <w:r w:rsidR="00A86D40" w:rsidRPr="00102445">
        <w:rPr>
          <w:rFonts w:eastAsia="Times New Roman" w:cs="Times New Roman"/>
          <w:lang w:eastAsia="en-AU"/>
        </w:rPr>
        <w:t xml:space="preserve">s </w:t>
      </w:r>
      <w:r w:rsidR="005A6563" w:rsidRPr="00102445">
        <w:rPr>
          <w:rFonts w:eastAsia="Times New Roman" w:cs="Times New Roman"/>
          <w:lang w:eastAsia="en-AU"/>
        </w:rPr>
        <w:t>21</w:t>
      </w:r>
      <w:r w:rsidR="008F4676" w:rsidRPr="00102445">
        <w:rPr>
          <w:rFonts w:eastAsia="Times New Roman" w:cs="Times New Roman"/>
          <w:lang w:eastAsia="en-AU"/>
        </w:rPr>
        <w:t xml:space="preserve">, </w:t>
      </w:r>
      <w:r w:rsidR="005A6563" w:rsidRPr="00102445">
        <w:rPr>
          <w:rFonts w:eastAsia="Times New Roman" w:cs="Times New Roman"/>
          <w:lang w:eastAsia="en-AU"/>
        </w:rPr>
        <w:t xml:space="preserve">22 </w:t>
      </w:r>
      <w:r w:rsidR="008F4676" w:rsidRPr="00102445">
        <w:rPr>
          <w:rFonts w:eastAsia="Times New Roman" w:cs="Times New Roman"/>
          <w:lang w:eastAsia="en-AU"/>
        </w:rPr>
        <w:t xml:space="preserve">and </w:t>
      </w:r>
      <w:r w:rsidR="005A6563" w:rsidRPr="00102445">
        <w:rPr>
          <w:rFonts w:eastAsia="Times New Roman" w:cs="Times New Roman"/>
          <w:lang w:eastAsia="en-AU"/>
        </w:rPr>
        <w:t>23</w:t>
      </w:r>
      <w:r w:rsidR="00F205FF" w:rsidRPr="00102445">
        <w:rPr>
          <w:rFonts w:eastAsia="Times New Roman" w:cs="Times New Roman"/>
          <w:lang w:eastAsia="en-AU"/>
        </w:rPr>
        <w:t>.</w:t>
      </w:r>
    </w:p>
    <w:p w14:paraId="5EBD0D4D" w14:textId="6FF7B14D" w:rsidR="008704A1" w:rsidRPr="00102445" w:rsidRDefault="004963A9"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Subsection </w:t>
      </w:r>
      <w:r w:rsidR="006D59CC" w:rsidRPr="00102445">
        <w:rPr>
          <w:rFonts w:eastAsia="Times New Roman" w:cs="Times New Roman"/>
          <w:lang w:eastAsia="en-AU"/>
        </w:rPr>
        <w:t>18(</w:t>
      </w:r>
      <w:r w:rsidR="00A5231A" w:rsidRPr="00102445">
        <w:rPr>
          <w:rFonts w:eastAsia="Times New Roman" w:cs="Times New Roman"/>
          <w:lang w:eastAsia="en-AU"/>
        </w:rPr>
        <w:t>6</w:t>
      </w:r>
      <w:r w:rsidR="006D59CC" w:rsidRPr="00102445">
        <w:rPr>
          <w:rFonts w:eastAsia="Times New Roman" w:cs="Times New Roman"/>
          <w:lang w:eastAsia="en-AU"/>
        </w:rPr>
        <w:t xml:space="preserve">) </w:t>
      </w:r>
      <w:r w:rsidR="003D0B53" w:rsidRPr="00102445">
        <w:rPr>
          <w:rFonts w:eastAsia="Times New Roman" w:cs="Times New Roman"/>
          <w:lang w:eastAsia="en-AU"/>
        </w:rPr>
        <w:t>specifies the facility-specific emissions intensity number of a transitional production variable</w:t>
      </w:r>
      <w:r w:rsidR="00307ED5" w:rsidRPr="00102445">
        <w:rPr>
          <w:rFonts w:eastAsia="Times New Roman" w:cs="Times New Roman"/>
          <w:lang w:eastAsia="en-AU"/>
        </w:rPr>
        <w:t xml:space="preserve"> is the</w:t>
      </w:r>
      <w:r w:rsidR="009B6384" w:rsidRPr="00102445">
        <w:rPr>
          <w:rFonts w:eastAsia="Times New Roman" w:cs="Times New Roman"/>
          <w:lang w:eastAsia="en-AU"/>
        </w:rPr>
        <w:t xml:space="preserve"> same as the </w:t>
      </w:r>
      <w:r w:rsidR="000B7145" w:rsidRPr="00102445">
        <w:rPr>
          <w:rFonts w:eastAsia="Times New Roman" w:cs="Times New Roman"/>
          <w:lang w:eastAsia="en-AU"/>
        </w:rPr>
        <w:t>default emissions intensity number for that production variable</w:t>
      </w:r>
      <w:r w:rsidR="00EB13B8" w:rsidRPr="00102445">
        <w:rPr>
          <w:rFonts w:eastAsia="Times New Roman" w:cs="Times New Roman"/>
          <w:lang w:eastAsia="en-AU"/>
        </w:rPr>
        <w:t xml:space="preserve">. If the production variable </w:t>
      </w:r>
      <w:r w:rsidR="00C660FB" w:rsidRPr="00102445">
        <w:rPr>
          <w:rFonts w:eastAsia="Times New Roman" w:cs="Times New Roman"/>
          <w:lang w:eastAsia="en-AU"/>
        </w:rPr>
        <w:t xml:space="preserve">is not in the historical information for </w:t>
      </w:r>
      <w:r w:rsidR="003E5AD1" w:rsidRPr="00102445">
        <w:rPr>
          <w:rFonts w:eastAsia="Times New Roman" w:cs="Times New Roman"/>
          <w:lang w:eastAsia="en-AU"/>
        </w:rPr>
        <w:t>a facility</w:t>
      </w:r>
      <w:r w:rsidR="00A44B78" w:rsidRPr="00102445">
        <w:rPr>
          <w:rFonts w:eastAsia="Times New Roman" w:cs="Times New Roman"/>
          <w:lang w:eastAsia="en-AU"/>
        </w:rPr>
        <w:t xml:space="preserve">, the default </w:t>
      </w:r>
      <w:r w:rsidR="00611174" w:rsidRPr="00102445">
        <w:rPr>
          <w:rFonts w:eastAsia="Times New Roman" w:cs="Times New Roman"/>
          <w:lang w:eastAsia="en-AU"/>
        </w:rPr>
        <w:t xml:space="preserve">emissions intensity number </w:t>
      </w:r>
      <w:r w:rsidR="00AA690B" w:rsidRPr="00102445">
        <w:rPr>
          <w:rFonts w:eastAsia="Times New Roman" w:cs="Times New Roman"/>
          <w:lang w:eastAsia="en-AU"/>
        </w:rPr>
        <w:t>as in force</w:t>
      </w:r>
      <w:r w:rsidR="00A635CC" w:rsidRPr="00102445">
        <w:rPr>
          <w:rFonts w:eastAsia="Times New Roman" w:cs="Times New Roman"/>
          <w:lang w:eastAsia="en-AU"/>
        </w:rPr>
        <w:t xml:space="preserve"> at the start of the</w:t>
      </w:r>
      <w:r w:rsidR="00611174" w:rsidRPr="00102445">
        <w:rPr>
          <w:rFonts w:eastAsia="Times New Roman" w:cs="Times New Roman"/>
          <w:lang w:eastAsia="en-AU"/>
        </w:rPr>
        <w:t xml:space="preserve"> financial year beginning 1 July 2022 should be used. If the production variable wa</w:t>
      </w:r>
      <w:r w:rsidR="00DE071A" w:rsidRPr="00102445">
        <w:rPr>
          <w:rFonts w:eastAsia="Times New Roman" w:cs="Times New Roman"/>
          <w:lang w:eastAsia="en-AU"/>
        </w:rPr>
        <w:t xml:space="preserve">s applicable to the facility during </w:t>
      </w:r>
      <w:r w:rsidR="00E37A8A" w:rsidRPr="00102445">
        <w:rPr>
          <w:rFonts w:eastAsia="Times New Roman" w:cs="Times New Roman"/>
          <w:lang w:eastAsia="en-AU"/>
        </w:rPr>
        <w:t xml:space="preserve">a historical financial year, then the </w:t>
      </w:r>
      <w:r w:rsidR="008C3023" w:rsidRPr="00102445">
        <w:rPr>
          <w:rFonts w:eastAsia="Times New Roman" w:cs="Times New Roman"/>
          <w:lang w:eastAsia="en-AU"/>
        </w:rPr>
        <w:t xml:space="preserve">default emissions intensity number </w:t>
      </w:r>
      <w:r w:rsidR="00A92DCA" w:rsidRPr="00102445">
        <w:rPr>
          <w:rFonts w:eastAsia="Times New Roman" w:cs="Times New Roman"/>
          <w:lang w:eastAsia="en-AU"/>
        </w:rPr>
        <w:t>as in force at the start of that</w:t>
      </w:r>
      <w:r w:rsidR="008C3023" w:rsidRPr="00102445">
        <w:rPr>
          <w:rFonts w:eastAsia="Times New Roman" w:cs="Times New Roman"/>
          <w:lang w:eastAsia="en-AU"/>
        </w:rPr>
        <w:t xml:space="preserve"> year should be used. </w:t>
      </w:r>
    </w:p>
    <w:p w14:paraId="331B689C" w14:textId="6BDD5F79" w:rsidR="009A7ACC" w:rsidRPr="00102445" w:rsidRDefault="009A7ACC" w:rsidP="009A7ACC">
      <w:pPr>
        <w:pStyle w:val="Heading6"/>
      </w:pPr>
      <w:r w:rsidRPr="00102445">
        <w:t xml:space="preserve">Subdivision </w:t>
      </w:r>
      <w:r w:rsidR="006D0A3D" w:rsidRPr="00102445">
        <w:t xml:space="preserve">D </w:t>
      </w:r>
      <w:r w:rsidRPr="00102445">
        <w:t xml:space="preserve">– </w:t>
      </w:r>
      <w:r w:rsidR="00812073" w:rsidRPr="00102445">
        <w:t>Related production variables</w:t>
      </w:r>
    </w:p>
    <w:p w14:paraId="5E898621" w14:textId="6371DD62" w:rsidR="009A7ACC" w:rsidRPr="00102445" w:rsidRDefault="006C509A"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Section </w:t>
      </w:r>
      <w:r w:rsidR="00771D90" w:rsidRPr="00102445">
        <w:rPr>
          <w:rFonts w:eastAsia="Times New Roman" w:cs="Times New Roman"/>
          <w:lang w:eastAsia="en-AU"/>
        </w:rPr>
        <w:t>21</w:t>
      </w:r>
      <w:r w:rsidRPr="00102445">
        <w:rPr>
          <w:rFonts w:eastAsia="Times New Roman" w:cs="Times New Roman"/>
          <w:lang w:eastAsia="en-AU"/>
        </w:rPr>
        <w:t xml:space="preserve"> </w:t>
      </w:r>
      <w:r w:rsidR="00E86D8F" w:rsidRPr="00102445">
        <w:rPr>
          <w:rFonts w:eastAsia="Times New Roman" w:cs="Times New Roman"/>
          <w:lang w:eastAsia="en-AU"/>
        </w:rPr>
        <w:t xml:space="preserve">applies when the Regulator makes an emissions intensity determination </w:t>
      </w:r>
      <w:r w:rsidR="00BE0DF1" w:rsidRPr="00102445">
        <w:rPr>
          <w:rFonts w:eastAsia="Times New Roman" w:cs="Times New Roman"/>
          <w:lang w:eastAsia="en-AU"/>
        </w:rPr>
        <w:t xml:space="preserve">for which </w:t>
      </w:r>
      <w:r w:rsidR="00CD60DE" w:rsidRPr="00102445">
        <w:rPr>
          <w:rFonts w:eastAsia="Times New Roman" w:cs="Times New Roman"/>
          <w:lang w:eastAsia="en-AU"/>
        </w:rPr>
        <w:t>there is a request for a</w:t>
      </w:r>
      <w:r w:rsidR="001A703B" w:rsidRPr="00102445">
        <w:rPr>
          <w:rFonts w:eastAsia="Times New Roman" w:cs="Times New Roman"/>
          <w:lang w:eastAsia="en-AU"/>
        </w:rPr>
        <w:t xml:space="preserve"> determination to state that a </w:t>
      </w:r>
      <w:r w:rsidR="00FF57A7" w:rsidRPr="00102445">
        <w:rPr>
          <w:rFonts w:eastAsia="Times New Roman" w:cs="Times New Roman"/>
          <w:lang w:eastAsia="en-AU"/>
        </w:rPr>
        <w:t xml:space="preserve">particular production variable for </w:t>
      </w:r>
      <w:r w:rsidR="0082066E" w:rsidRPr="00102445">
        <w:rPr>
          <w:rFonts w:eastAsia="Times New Roman" w:cs="Times New Roman"/>
          <w:lang w:eastAsia="en-AU"/>
        </w:rPr>
        <w:t xml:space="preserve">a facility </w:t>
      </w:r>
      <w:r w:rsidR="00CF753D" w:rsidRPr="00102445">
        <w:rPr>
          <w:rFonts w:eastAsia="Times New Roman" w:cs="Times New Roman"/>
          <w:lang w:eastAsia="en-AU"/>
        </w:rPr>
        <w:t>i</w:t>
      </w:r>
      <w:r w:rsidR="0082066E" w:rsidRPr="00102445">
        <w:rPr>
          <w:rFonts w:eastAsia="Times New Roman" w:cs="Times New Roman"/>
          <w:lang w:eastAsia="en-AU"/>
        </w:rPr>
        <w:t xml:space="preserve">s a related production variable for the facility, </w:t>
      </w:r>
      <w:r w:rsidR="00A75345" w:rsidRPr="00102445">
        <w:rPr>
          <w:rFonts w:eastAsia="Times New Roman" w:cs="Times New Roman"/>
          <w:lang w:eastAsia="en-AU"/>
        </w:rPr>
        <w:t>or where</w:t>
      </w:r>
      <w:r w:rsidR="00177ADB" w:rsidRPr="00102445">
        <w:rPr>
          <w:rFonts w:eastAsia="Times New Roman" w:cs="Times New Roman"/>
          <w:lang w:eastAsia="en-AU"/>
        </w:rPr>
        <w:t xml:space="preserve"> another specified production variable for the facility is the comparative production variable for that related production variable. </w:t>
      </w:r>
      <w:r w:rsidR="00E151F1" w:rsidRPr="00102445">
        <w:rPr>
          <w:rFonts w:eastAsia="Times New Roman" w:cs="Times New Roman"/>
          <w:lang w:eastAsia="en-AU"/>
        </w:rPr>
        <w:t xml:space="preserve">The Regulator in </w:t>
      </w:r>
      <w:r w:rsidR="003F0C4C" w:rsidRPr="00102445">
        <w:rPr>
          <w:rFonts w:eastAsia="Times New Roman" w:cs="Times New Roman"/>
          <w:lang w:eastAsia="en-AU"/>
        </w:rPr>
        <w:t xml:space="preserve">deciding whether to include </w:t>
      </w:r>
      <w:r w:rsidR="00794C57" w:rsidRPr="00102445">
        <w:rPr>
          <w:rFonts w:eastAsia="Times New Roman" w:cs="Times New Roman"/>
          <w:lang w:eastAsia="en-AU"/>
        </w:rPr>
        <w:t xml:space="preserve">a </w:t>
      </w:r>
      <w:r w:rsidR="00CC6601" w:rsidRPr="00102445">
        <w:rPr>
          <w:rFonts w:eastAsia="Times New Roman" w:cs="Times New Roman"/>
          <w:lang w:eastAsia="en-AU"/>
        </w:rPr>
        <w:t xml:space="preserve">statement </w:t>
      </w:r>
      <w:r w:rsidR="00C92FAE" w:rsidRPr="00102445">
        <w:rPr>
          <w:rFonts w:eastAsia="Times New Roman" w:cs="Times New Roman"/>
          <w:lang w:eastAsia="en-AU"/>
        </w:rPr>
        <w:t xml:space="preserve">in the determination must be satisfied the particular production </w:t>
      </w:r>
      <w:r w:rsidR="003B539D" w:rsidRPr="00102445">
        <w:rPr>
          <w:rFonts w:eastAsia="Times New Roman" w:cs="Times New Roman"/>
          <w:lang w:eastAsia="en-AU"/>
        </w:rPr>
        <w:t xml:space="preserve">variable and </w:t>
      </w:r>
      <w:r w:rsidR="00F20AA6" w:rsidRPr="00102445">
        <w:rPr>
          <w:rFonts w:eastAsia="Times New Roman" w:cs="Times New Roman"/>
          <w:lang w:eastAsia="en-AU"/>
        </w:rPr>
        <w:t xml:space="preserve">the other production </w:t>
      </w:r>
      <w:r w:rsidR="002E4E07" w:rsidRPr="00102445">
        <w:rPr>
          <w:rFonts w:eastAsia="Times New Roman" w:cs="Times New Roman"/>
          <w:lang w:eastAsia="en-AU"/>
        </w:rPr>
        <w:t xml:space="preserve">variable meet the requirements in section </w:t>
      </w:r>
      <w:r w:rsidR="005724B6" w:rsidRPr="00102445">
        <w:rPr>
          <w:rFonts w:eastAsia="Times New Roman" w:cs="Times New Roman"/>
          <w:lang w:eastAsia="en-AU"/>
        </w:rPr>
        <w:t>23</w:t>
      </w:r>
      <w:r w:rsidR="002E4E07" w:rsidRPr="00102445">
        <w:rPr>
          <w:rFonts w:eastAsia="Times New Roman" w:cs="Times New Roman"/>
          <w:lang w:eastAsia="en-AU"/>
        </w:rPr>
        <w:t>.</w:t>
      </w:r>
    </w:p>
    <w:p w14:paraId="0F63CF7A" w14:textId="1334BD04" w:rsidR="006A28DD" w:rsidRPr="00102445" w:rsidRDefault="007C67E0"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t xml:space="preserve">Section </w:t>
      </w:r>
      <w:r w:rsidR="005724B6" w:rsidRPr="00102445">
        <w:t>22</w:t>
      </w:r>
      <w:r w:rsidRPr="00102445">
        <w:t xml:space="preserve"> </w:t>
      </w:r>
      <w:r w:rsidR="002F38B3" w:rsidRPr="00102445">
        <w:t xml:space="preserve">provides </w:t>
      </w:r>
      <w:r w:rsidR="00EB4572" w:rsidRPr="00102445">
        <w:t>that where a facilities emissions intensity determination is already in force</w:t>
      </w:r>
      <w:r w:rsidR="0006313E" w:rsidRPr="00102445">
        <w:t>, the</w:t>
      </w:r>
      <w:r w:rsidR="003E4CB7" w:rsidRPr="00102445">
        <w:t xml:space="preserve"> responsible emitter of the facility </w:t>
      </w:r>
      <w:r w:rsidR="00B15A99" w:rsidRPr="00102445">
        <w:t>may request the Regulator to vary the determination</w:t>
      </w:r>
      <w:r w:rsidR="00D67801" w:rsidRPr="00102445">
        <w:t xml:space="preserve">. </w:t>
      </w:r>
      <w:r w:rsidR="00436A12" w:rsidRPr="00102445">
        <w:t>A statement is to include</w:t>
      </w:r>
      <w:r w:rsidR="000A4C18" w:rsidRPr="00102445">
        <w:t xml:space="preserve"> that a particular production variable for the facility is a related production variable</w:t>
      </w:r>
      <w:r w:rsidR="00D65D3C" w:rsidRPr="00102445">
        <w:t xml:space="preserve">, and </w:t>
      </w:r>
      <w:r w:rsidR="00867F98" w:rsidRPr="00102445">
        <w:t xml:space="preserve">another specified production variable for the facility is the comparative production variable for the related production variable. The Regulator </w:t>
      </w:r>
      <w:r w:rsidR="00DC0833" w:rsidRPr="00102445">
        <w:t>will decide whether or not to make the variation</w:t>
      </w:r>
      <w:r w:rsidR="00FD0C72" w:rsidRPr="00102445">
        <w:t xml:space="preserve">, </w:t>
      </w:r>
      <w:r w:rsidR="00264DBA" w:rsidRPr="00102445">
        <w:t xml:space="preserve">and in doing so, must be satisfied </w:t>
      </w:r>
      <w:r w:rsidR="00066AC7" w:rsidRPr="00102445">
        <w:t>the particular production variable and</w:t>
      </w:r>
      <w:r w:rsidR="001D5C7C" w:rsidRPr="00102445">
        <w:t xml:space="preserve"> the</w:t>
      </w:r>
      <w:r w:rsidR="00066AC7" w:rsidRPr="00102445">
        <w:t xml:space="preserve"> </w:t>
      </w:r>
      <w:r w:rsidR="005D6C1C" w:rsidRPr="00102445">
        <w:t xml:space="preserve">other production variable meet the requirement of </w:t>
      </w:r>
      <w:r w:rsidR="005724B6" w:rsidRPr="00102445">
        <w:t>section 23</w:t>
      </w:r>
      <w:r w:rsidR="005D6C1C" w:rsidRPr="00102445">
        <w:t>.</w:t>
      </w:r>
      <w:r w:rsidR="00E3238A" w:rsidRPr="00102445">
        <w:t xml:space="preserve"> </w:t>
      </w:r>
      <w:r w:rsidR="004D582B" w:rsidRPr="00102445">
        <w:t>Where the Regulator makes the variation, the</w:t>
      </w:r>
      <w:r w:rsidR="00F7759C" w:rsidRPr="00102445">
        <w:t xml:space="preserve">y must notify the applicant of the variation and publish the </w:t>
      </w:r>
      <w:r w:rsidR="00EB4C5B" w:rsidRPr="00102445">
        <w:t>varied</w:t>
      </w:r>
      <w:r w:rsidR="00F7759C" w:rsidRPr="00102445">
        <w:t xml:space="preserve"> emissions intensity determination</w:t>
      </w:r>
      <w:r w:rsidR="00040406" w:rsidRPr="00102445">
        <w:t xml:space="preserve"> on the Regulator’s website. </w:t>
      </w:r>
      <w:r w:rsidR="00704800" w:rsidRPr="00102445">
        <w:t xml:space="preserve">Where the Regulator </w:t>
      </w:r>
      <w:r w:rsidR="00977944" w:rsidRPr="00102445">
        <w:t>does not make</w:t>
      </w:r>
      <w:r w:rsidR="001857C4" w:rsidRPr="00102445">
        <w:t xml:space="preserve"> the variation, </w:t>
      </w:r>
      <w:r w:rsidR="000365DA" w:rsidRPr="00102445">
        <w:t xml:space="preserve">a written of notice decision including the reasons will be provided to the applicant. </w:t>
      </w:r>
      <w:r w:rsidR="00433899" w:rsidRPr="00102445">
        <w:t>A variation under this section applies to the financial year in which the application for the variation was made and each subsequent financial year.</w:t>
      </w:r>
    </w:p>
    <w:p w14:paraId="387A875C" w14:textId="06EDECB0" w:rsidR="007C67E0" w:rsidRPr="00102445" w:rsidRDefault="006A28DD"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t xml:space="preserve">Section </w:t>
      </w:r>
      <w:r w:rsidR="005724B6" w:rsidRPr="00102445">
        <w:t>23</w:t>
      </w:r>
      <w:r w:rsidR="00C55542" w:rsidRPr="00102445">
        <w:t xml:space="preserve"> </w:t>
      </w:r>
      <w:r w:rsidR="002229DB" w:rsidRPr="00102445">
        <w:t xml:space="preserve">sets out requirements </w:t>
      </w:r>
      <w:r w:rsidR="00C661EC" w:rsidRPr="00102445">
        <w:t xml:space="preserve">for which the Regulator must </w:t>
      </w:r>
      <w:r w:rsidR="005F7D03" w:rsidRPr="00102445">
        <w:t xml:space="preserve">be satisfied </w:t>
      </w:r>
      <w:r w:rsidR="00C234D7" w:rsidRPr="00102445">
        <w:t xml:space="preserve">for </w:t>
      </w:r>
      <w:r w:rsidR="0002681E" w:rsidRPr="00102445">
        <w:t xml:space="preserve">it to </w:t>
      </w:r>
      <w:r w:rsidR="00801FA5" w:rsidRPr="00102445">
        <w:t xml:space="preserve">state that a production variable is a related production variable </w:t>
      </w:r>
      <w:r w:rsidR="00936C8F" w:rsidRPr="00102445">
        <w:t>for a comparative production variable.</w:t>
      </w:r>
      <w:r w:rsidR="00445014" w:rsidRPr="00102445">
        <w:t xml:space="preserve"> </w:t>
      </w:r>
      <w:r w:rsidR="00E406BB" w:rsidRPr="00102445">
        <w:t xml:space="preserve">These include that the </w:t>
      </w:r>
      <w:r w:rsidR="00BB2624" w:rsidRPr="00102445">
        <w:t>two production variables must be substantially simila</w:t>
      </w:r>
      <w:r w:rsidR="000770ED" w:rsidRPr="00102445">
        <w:t>r, measured using the same unit</w:t>
      </w:r>
      <w:r w:rsidR="000F0C26" w:rsidRPr="00102445">
        <w:t>s</w:t>
      </w:r>
      <w:r w:rsidR="000770ED" w:rsidRPr="00102445">
        <w:t xml:space="preserve"> or mutually convertible units</w:t>
      </w:r>
      <w:r w:rsidR="00284343" w:rsidRPr="00102445">
        <w:t>,</w:t>
      </w:r>
      <w:r w:rsidR="004B16C9" w:rsidRPr="00102445">
        <w:t xml:space="preserve"> and that the </w:t>
      </w:r>
      <w:r w:rsidR="008E1778" w:rsidRPr="00102445">
        <w:t xml:space="preserve">facility’s production of the related production variable </w:t>
      </w:r>
      <w:r w:rsidR="000C501A" w:rsidRPr="00102445">
        <w:t xml:space="preserve">does not involve the </w:t>
      </w:r>
      <w:r w:rsidR="002D76A6" w:rsidRPr="00102445">
        <w:t xml:space="preserve">installation of </w:t>
      </w:r>
      <w:r w:rsidR="00DD7F7A" w:rsidRPr="00102445">
        <w:t xml:space="preserve">new equipment that is likely to increase the facility’s </w:t>
      </w:r>
      <w:r w:rsidR="00DD7F7A" w:rsidRPr="00102445">
        <w:lastRenderedPageBreak/>
        <w:t>capacity to increase the total quantity of the particular production variable and the other production variable by more than 20</w:t>
      </w:r>
      <w:r w:rsidR="00CF7374" w:rsidRPr="00102445">
        <w:t xml:space="preserve"> per cent.</w:t>
      </w:r>
    </w:p>
    <w:p w14:paraId="4E7B2FFC" w14:textId="5F4AA7DC" w:rsidR="00445014" w:rsidRPr="00102445" w:rsidRDefault="00B12651"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The </w:t>
      </w:r>
      <w:r w:rsidR="00445014" w:rsidRPr="00102445">
        <w:rPr>
          <w:rFonts w:eastAsia="Times New Roman" w:cs="Times New Roman"/>
          <w:lang w:eastAsia="en-AU"/>
        </w:rPr>
        <w:t xml:space="preserve">requirement that the </w:t>
      </w:r>
      <w:r w:rsidR="00550938" w:rsidRPr="00102445">
        <w:rPr>
          <w:rFonts w:eastAsia="Times New Roman" w:cs="Times New Roman"/>
          <w:lang w:eastAsia="en-AU"/>
        </w:rPr>
        <w:t>two production variables are substantially simil</w:t>
      </w:r>
      <w:r w:rsidR="008B78EB" w:rsidRPr="00102445">
        <w:rPr>
          <w:rFonts w:eastAsia="Times New Roman" w:cs="Times New Roman"/>
          <w:lang w:eastAsia="en-AU"/>
        </w:rPr>
        <w:t>ar</w:t>
      </w:r>
      <w:r w:rsidRPr="00102445">
        <w:rPr>
          <w:rFonts w:eastAsia="Times New Roman" w:cs="Times New Roman"/>
          <w:lang w:eastAsia="en-AU"/>
        </w:rPr>
        <w:t xml:space="preserve"> is important for how this provision works</w:t>
      </w:r>
      <w:r w:rsidR="008B78EB" w:rsidRPr="00102445">
        <w:rPr>
          <w:rFonts w:eastAsia="Times New Roman" w:cs="Times New Roman"/>
          <w:lang w:eastAsia="en-AU"/>
        </w:rPr>
        <w:t xml:space="preserve">. </w:t>
      </w:r>
      <w:r w:rsidR="00D42864" w:rsidRPr="00102445">
        <w:rPr>
          <w:rFonts w:eastAsia="Times New Roman" w:cs="Times New Roman"/>
          <w:lang w:eastAsia="en-AU"/>
        </w:rPr>
        <w:t>This is intended to be a strong test</w:t>
      </w:r>
      <w:r w:rsidR="00900D80" w:rsidRPr="00102445">
        <w:rPr>
          <w:rFonts w:eastAsia="Times New Roman" w:cs="Times New Roman"/>
          <w:lang w:eastAsia="en-AU"/>
        </w:rPr>
        <w:t xml:space="preserve">. </w:t>
      </w:r>
      <w:r w:rsidR="00F15288" w:rsidRPr="00102445">
        <w:rPr>
          <w:rFonts w:eastAsia="Times New Roman" w:cs="Times New Roman"/>
          <w:lang w:eastAsia="en-AU"/>
        </w:rPr>
        <w:t xml:space="preserve">An example of where this provision would </w:t>
      </w:r>
      <w:r w:rsidR="009C0032" w:rsidRPr="00102445">
        <w:rPr>
          <w:rFonts w:eastAsia="Times New Roman" w:cs="Times New Roman"/>
          <w:lang w:eastAsia="en-AU"/>
        </w:rPr>
        <w:t xml:space="preserve">likely </w:t>
      </w:r>
      <w:r w:rsidR="00F15288" w:rsidRPr="00102445">
        <w:rPr>
          <w:rFonts w:eastAsia="Times New Roman" w:cs="Times New Roman"/>
          <w:lang w:eastAsia="en-AU"/>
        </w:rPr>
        <w:t>apply would be the ‘</w:t>
      </w:r>
      <w:r w:rsidR="00F15288" w:rsidRPr="00102445">
        <w:t xml:space="preserve">ethanol—95’ and ‘beverage grade ethanol’ production variables </w:t>
      </w:r>
      <w:r w:rsidR="008B181A" w:rsidRPr="00102445">
        <w:t xml:space="preserve">that were discussed in paragraph </w:t>
      </w:r>
      <w:r w:rsidR="00102445" w:rsidRPr="00102445">
        <w:fldChar w:fldCharType="begin"/>
      </w:r>
      <w:r w:rsidR="00102445" w:rsidRPr="00102445">
        <w:instrText xml:space="preserve"> REF _Ref132794042 \r </w:instrText>
      </w:r>
      <w:r w:rsidR="00102445">
        <w:instrText xml:space="preserve"> \* MERGEFORMAT </w:instrText>
      </w:r>
      <w:r w:rsidR="00102445" w:rsidRPr="00102445">
        <w:fldChar w:fldCharType="separate"/>
      </w:r>
      <w:r w:rsidR="0051261D" w:rsidRPr="00102445">
        <w:t>83</w:t>
      </w:r>
      <w:r w:rsidR="00102445" w:rsidRPr="00102445">
        <w:fldChar w:fldCharType="end"/>
      </w:r>
      <w:r w:rsidR="00D42864" w:rsidRPr="00102445">
        <w:rPr>
          <w:rFonts w:eastAsia="Times New Roman" w:cs="Times New Roman"/>
          <w:lang w:eastAsia="en-AU"/>
        </w:rPr>
        <w:t xml:space="preserve"> </w:t>
      </w:r>
      <w:r w:rsidR="000D39AB" w:rsidRPr="00102445">
        <w:rPr>
          <w:rFonts w:eastAsia="Times New Roman" w:cs="Times New Roman"/>
          <w:lang w:eastAsia="en-AU"/>
        </w:rPr>
        <w:t>above.</w:t>
      </w:r>
      <w:r w:rsidR="005F09CF" w:rsidRPr="00102445">
        <w:rPr>
          <w:rFonts w:eastAsia="Times New Roman" w:cs="Times New Roman"/>
          <w:lang w:eastAsia="en-AU"/>
        </w:rPr>
        <w:t xml:space="preserve"> Both of </w:t>
      </w:r>
      <w:r w:rsidR="0037561A" w:rsidRPr="00102445">
        <w:rPr>
          <w:rFonts w:eastAsia="Times New Roman" w:cs="Times New Roman"/>
          <w:lang w:eastAsia="en-AU"/>
        </w:rPr>
        <w:t>these production variables consist of a concentrated ethanol solution</w:t>
      </w:r>
      <w:r w:rsidR="008345DD" w:rsidRPr="00102445">
        <w:rPr>
          <w:rFonts w:eastAsia="Times New Roman" w:cs="Times New Roman"/>
          <w:lang w:eastAsia="en-AU"/>
        </w:rPr>
        <w:t xml:space="preserve">, but </w:t>
      </w:r>
      <w:r w:rsidR="006D1382" w:rsidRPr="00102445">
        <w:rPr>
          <w:rFonts w:eastAsia="Times New Roman" w:cs="Times New Roman"/>
          <w:lang w:eastAsia="en-AU"/>
        </w:rPr>
        <w:t xml:space="preserve">one </w:t>
      </w:r>
      <w:r w:rsidR="00BB71BF" w:rsidRPr="00102445">
        <w:rPr>
          <w:rFonts w:eastAsia="Times New Roman" w:cs="Times New Roman"/>
          <w:lang w:eastAsia="en-AU"/>
        </w:rPr>
        <w:t xml:space="preserve">has a higher concentration </w:t>
      </w:r>
      <w:r w:rsidR="00AF7E5F" w:rsidRPr="00102445">
        <w:rPr>
          <w:rFonts w:eastAsia="Times New Roman" w:cs="Times New Roman"/>
          <w:lang w:eastAsia="en-AU"/>
        </w:rPr>
        <w:t xml:space="preserve">and is produced to a standard </w:t>
      </w:r>
      <w:r w:rsidR="00BF4B4C" w:rsidRPr="00102445">
        <w:t>for use in beverages and other forms of human consumption.</w:t>
      </w:r>
    </w:p>
    <w:p w14:paraId="7220AE2E" w14:textId="2F056125" w:rsidR="00FA6A8B" w:rsidRPr="00102445" w:rsidRDefault="00FA6A8B"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An example of two production variables that are not substantially similar </w:t>
      </w:r>
      <w:r w:rsidR="00454DB3" w:rsidRPr="00102445">
        <w:rPr>
          <w:rFonts w:eastAsia="Times New Roman" w:cs="Times New Roman"/>
          <w:lang w:eastAsia="en-AU"/>
        </w:rPr>
        <w:t>would be</w:t>
      </w:r>
      <w:r w:rsidRPr="00102445">
        <w:rPr>
          <w:rFonts w:eastAsia="Times New Roman" w:cs="Times New Roman"/>
          <w:lang w:eastAsia="en-AU"/>
        </w:rPr>
        <w:t xml:space="preserve"> </w:t>
      </w:r>
      <w:r w:rsidR="00454DB3" w:rsidRPr="00102445">
        <w:rPr>
          <w:rFonts w:eastAsia="Times New Roman" w:cs="Times New Roman"/>
          <w:lang w:eastAsia="en-AU"/>
        </w:rPr>
        <w:t>‘</w:t>
      </w:r>
      <w:r w:rsidR="00676303" w:rsidRPr="00102445">
        <w:rPr>
          <w:rFonts w:eastAsia="Times New Roman" w:cs="Times New Roman"/>
          <w:lang w:eastAsia="en-AU"/>
        </w:rPr>
        <w:t>iron ore</w:t>
      </w:r>
      <w:r w:rsidR="00454DB3" w:rsidRPr="00102445">
        <w:rPr>
          <w:rFonts w:eastAsia="Times New Roman" w:cs="Times New Roman"/>
          <w:lang w:eastAsia="en-AU"/>
        </w:rPr>
        <w:t>’</w:t>
      </w:r>
      <w:r w:rsidR="00676303" w:rsidRPr="00102445">
        <w:rPr>
          <w:rFonts w:eastAsia="Times New Roman" w:cs="Times New Roman"/>
          <w:lang w:eastAsia="en-AU"/>
        </w:rPr>
        <w:t xml:space="preserve"> and </w:t>
      </w:r>
      <w:r w:rsidR="00454DB3" w:rsidRPr="00102445">
        <w:rPr>
          <w:rFonts w:eastAsia="Times New Roman" w:cs="Times New Roman"/>
          <w:lang w:eastAsia="en-AU"/>
        </w:rPr>
        <w:t>‘manganese ore’</w:t>
      </w:r>
      <w:r w:rsidR="00AA2F32" w:rsidRPr="00102445">
        <w:rPr>
          <w:rFonts w:eastAsia="Times New Roman" w:cs="Times New Roman"/>
          <w:lang w:eastAsia="en-AU"/>
        </w:rPr>
        <w:t xml:space="preserve">. These production variables have some similarities, for example </w:t>
      </w:r>
      <w:r w:rsidR="00881E02" w:rsidRPr="00102445">
        <w:rPr>
          <w:rFonts w:eastAsia="Times New Roman" w:cs="Times New Roman"/>
          <w:lang w:eastAsia="en-AU"/>
        </w:rPr>
        <w:t>they b</w:t>
      </w:r>
      <w:r w:rsidR="00E77F15" w:rsidRPr="00102445">
        <w:rPr>
          <w:rFonts w:eastAsia="Times New Roman" w:cs="Times New Roman"/>
          <w:lang w:eastAsia="en-AU"/>
        </w:rPr>
        <w:t>oth</w:t>
      </w:r>
      <w:r w:rsidR="00F4668D" w:rsidRPr="00102445">
        <w:rPr>
          <w:rFonts w:eastAsia="Times New Roman" w:cs="Times New Roman"/>
          <w:lang w:eastAsia="en-AU"/>
        </w:rPr>
        <w:t xml:space="preserve"> are applicable to </w:t>
      </w:r>
      <w:r w:rsidR="00F226D0" w:rsidRPr="00102445">
        <w:rPr>
          <w:rFonts w:eastAsia="Times New Roman" w:cs="Times New Roman"/>
          <w:lang w:eastAsia="en-AU"/>
        </w:rPr>
        <w:t xml:space="preserve">facilities that conduct an activity </w:t>
      </w:r>
      <w:r w:rsidR="00652BCC" w:rsidRPr="00102445">
        <w:rPr>
          <w:rFonts w:eastAsia="Times New Roman" w:cs="Times New Roman"/>
          <w:lang w:eastAsia="en-AU"/>
        </w:rPr>
        <w:t>th</w:t>
      </w:r>
      <w:r w:rsidR="00CA1C78" w:rsidRPr="00102445">
        <w:rPr>
          <w:rFonts w:eastAsia="Times New Roman" w:cs="Times New Roman"/>
          <w:lang w:eastAsia="en-AU"/>
        </w:rPr>
        <w:t>rough the physical extraction of mineral ores that contain a metal</w:t>
      </w:r>
      <w:r w:rsidR="00E368F5" w:rsidRPr="00102445">
        <w:rPr>
          <w:rFonts w:eastAsia="Times New Roman" w:cs="Times New Roman"/>
          <w:lang w:eastAsia="en-AU"/>
        </w:rPr>
        <w:t xml:space="preserve">; </w:t>
      </w:r>
      <w:r w:rsidR="004D4B50" w:rsidRPr="00102445">
        <w:rPr>
          <w:rFonts w:eastAsia="Times New Roman" w:cs="Times New Roman"/>
          <w:lang w:eastAsia="en-AU"/>
        </w:rPr>
        <w:t>they bo</w:t>
      </w:r>
      <w:r w:rsidR="00250E5C" w:rsidRPr="00102445">
        <w:rPr>
          <w:rFonts w:eastAsia="Times New Roman" w:cs="Times New Roman"/>
          <w:lang w:eastAsia="en-AU"/>
        </w:rPr>
        <w:t xml:space="preserve">th </w:t>
      </w:r>
      <w:r w:rsidR="006F1B77" w:rsidRPr="00102445">
        <w:rPr>
          <w:rFonts w:eastAsia="Times New Roman" w:cs="Times New Roman"/>
          <w:lang w:eastAsia="en-AU"/>
        </w:rPr>
        <w:t xml:space="preserve">are measured in tonnes; and they both </w:t>
      </w:r>
      <w:r w:rsidR="003A4B1D" w:rsidRPr="00102445">
        <w:rPr>
          <w:rFonts w:eastAsia="Times New Roman" w:cs="Times New Roman"/>
          <w:lang w:eastAsia="en-AU"/>
        </w:rPr>
        <w:t>must be of a saleable quality</w:t>
      </w:r>
      <w:r w:rsidR="002A5055" w:rsidRPr="00102445">
        <w:rPr>
          <w:rFonts w:eastAsia="Times New Roman" w:cs="Times New Roman"/>
          <w:lang w:eastAsia="en-AU"/>
        </w:rPr>
        <w:t>.</w:t>
      </w:r>
      <w:r w:rsidR="00865459" w:rsidRPr="00102445">
        <w:rPr>
          <w:rFonts w:eastAsia="Times New Roman" w:cs="Times New Roman"/>
          <w:lang w:eastAsia="en-AU"/>
        </w:rPr>
        <w:t xml:space="preserve"> But they are not substantially similar because they consist of different elements.</w:t>
      </w:r>
    </w:p>
    <w:p w14:paraId="3A2615B6" w14:textId="72B79554" w:rsidR="003B2ED7" w:rsidRPr="00102445" w:rsidRDefault="003B2ED7" w:rsidP="009025A7">
      <w:pPr>
        <w:pStyle w:val="Heading6"/>
      </w:pPr>
      <w:r w:rsidRPr="00102445">
        <w:t xml:space="preserve">Subdivision </w:t>
      </w:r>
      <w:r w:rsidR="005724B6" w:rsidRPr="00102445">
        <w:t xml:space="preserve">E </w:t>
      </w:r>
      <w:r w:rsidRPr="00102445">
        <w:t>– S</w:t>
      </w:r>
      <w:r w:rsidR="000529D5" w:rsidRPr="00102445">
        <w:t>uccessor</w:t>
      </w:r>
      <w:r w:rsidRPr="00102445">
        <w:t xml:space="preserve"> determination</w:t>
      </w:r>
    </w:p>
    <w:p w14:paraId="3296E065" w14:textId="1931DE91" w:rsidR="00DB1826" w:rsidRPr="00102445" w:rsidRDefault="003E52D6"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This instrument provides for ‘s</w:t>
      </w:r>
      <w:r w:rsidR="00BD0703" w:rsidRPr="00102445">
        <w:rPr>
          <w:rFonts w:eastAsia="Times New Roman" w:cs="Times New Roman"/>
          <w:lang w:eastAsia="en-AU"/>
        </w:rPr>
        <w:t>uccessor determinations</w:t>
      </w:r>
      <w:r w:rsidRPr="00102445">
        <w:rPr>
          <w:rFonts w:eastAsia="Times New Roman" w:cs="Times New Roman"/>
          <w:lang w:eastAsia="en-AU"/>
        </w:rPr>
        <w:t>’ to manage</w:t>
      </w:r>
      <w:r w:rsidR="00D10688" w:rsidRPr="00102445">
        <w:rPr>
          <w:rFonts w:eastAsia="Times New Roman" w:cs="Times New Roman"/>
          <w:lang w:eastAsia="en-AU"/>
        </w:rPr>
        <w:t xml:space="preserve"> situations where a change in the structure of a facility </w:t>
      </w:r>
      <w:r w:rsidR="00A47761" w:rsidRPr="00102445">
        <w:rPr>
          <w:rFonts w:eastAsia="Times New Roman" w:cs="Times New Roman"/>
          <w:lang w:eastAsia="en-AU"/>
        </w:rPr>
        <w:t xml:space="preserve">occurs. This could occur due to </w:t>
      </w:r>
      <w:r w:rsidR="00D10688" w:rsidRPr="00102445">
        <w:rPr>
          <w:rFonts w:eastAsia="Times New Roman" w:cs="Times New Roman"/>
          <w:lang w:eastAsia="en-AU"/>
        </w:rPr>
        <w:t>a change in ownership</w:t>
      </w:r>
      <w:r w:rsidR="00DB00D6" w:rsidRPr="00102445">
        <w:rPr>
          <w:rFonts w:eastAsia="Times New Roman" w:cs="Times New Roman"/>
          <w:lang w:eastAsia="en-AU"/>
        </w:rPr>
        <w:t xml:space="preserve">, </w:t>
      </w:r>
      <w:r w:rsidR="00A47761" w:rsidRPr="00102445">
        <w:rPr>
          <w:rFonts w:eastAsia="Times New Roman" w:cs="Times New Roman"/>
          <w:lang w:eastAsia="en-AU"/>
        </w:rPr>
        <w:t>a facility being split ap</w:t>
      </w:r>
      <w:r w:rsidR="006D1DE4" w:rsidRPr="00102445">
        <w:rPr>
          <w:rFonts w:eastAsia="Times New Roman" w:cs="Times New Roman"/>
          <w:lang w:eastAsia="en-AU"/>
        </w:rPr>
        <w:t>art, or two facilities joining together, Providing for successor determinations means</w:t>
      </w:r>
      <w:r w:rsidR="00DB1826" w:rsidRPr="00102445">
        <w:rPr>
          <w:rFonts w:eastAsia="Times New Roman" w:cs="Times New Roman"/>
          <w:lang w:eastAsia="en-AU"/>
        </w:rPr>
        <w:t xml:space="preserve"> that an emissions intensity</w:t>
      </w:r>
      <w:r w:rsidR="00BD0703" w:rsidRPr="00102445">
        <w:rPr>
          <w:rFonts w:eastAsia="Times New Roman" w:cs="Times New Roman"/>
          <w:lang w:eastAsia="en-AU"/>
        </w:rPr>
        <w:t xml:space="preserve"> </w:t>
      </w:r>
      <w:r w:rsidR="00DB1826" w:rsidRPr="00102445">
        <w:rPr>
          <w:rFonts w:eastAsia="Times New Roman" w:cs="Times New Roman"/>
          <w:lang w:eastAsia="en-AU"/>
        </w:rPr>
        <w:t>can apply to a new facility, with the emissions intensit</w:t>
      </w:r>
      <w:r w:rsidR="00747691" w:rsidRPr="00102445">
        <w:rPr>
          <w:rFonts w:eastAsia="Times New Roman" w:cs="Times New Roman"/>
          <w:lang w:eastAsia="en-AU"/>
        </w:rPr>
        <w:t>ies</w:t>
      </w:r>
      <w:r w:rsidR="00DB1826" w:rsidRPr="00102445">
        <w:rPr>
          <w:rFonts w:eastAsia="Times New Roman" w:cs="Times New Roman"/>
          <w:lang w:eastAsia="en-AU"/>
        </w:rPr>
        <w:t xml:space="preserve"> being calculated in an appropriate way.</w:t>
      </w:r>
    </w:p>
    <w:p w14:paraId="7F42CFBF" w14:textId="69440D01" w:rsidR="00921A42" w:rsidRPr="00102445" w:rsidRDefault="000F2268"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Section </w:t>
      </w:r>
      <w:r w:rsidR="00E65A5F" w:rsidRPr="00102445">
        <w:rPr>
          <w:rFonts w:eastAsia="Times New Roman" w:cs="Times New Roman"/>
          <w:lang w:eastAsia="en-AU"/>
        </w:rPr>
        <w:t xml:space="preserve">24 </w:t>
      </w:r>
      <w:r w:rsidRPr="00102445">
        <w:rPr>
          <w:rFonts w:eastAsia="Times New Roman" w:cs="Times New Roman"/>
          <w:lang w:eastAsia="en-AU"/>
        </w:rPr>
        <w:t xml:space="preserve">details </w:t>
      </w:r>
      <w:r w:rsidR="00166D66" w:rsidRPr="00102445">
        <w:rPr>
          <w:rFonts w:eastAsia="Times New Roman" w:cs="Times New Roman"/>
          <w:lang w:eastAsia="en-AU"/>
        </w:rPr>
        <w:t xml:space="preserve">successor determination for restructured facility, which applies if an activity, or series of activities, that constitute the original facility in which the original determination is in force ceases to represent the original facility anymore, or starts to constitute one or more other facilities, or becomes included in </w:t>
      </w:r>
      <w:r w:rsidR="009129CF" w:rsidRPr="00102445">
        <w:rPr>
          <w:rFonts w:eastAsia="Times New Roman" w:cs="Times New Roman"/>
          <w:lang w:eastAsia="en-AU"/>
        </w:rPr>
        <w:t xml:space="preserve">an </w:t>
      </w:r>
      <w:r w:rsidR="00166D66" w:rsidRPr="00102445">
        <w:rPr>
          <w:rFonts w:eastAsia="Times New Roman" w:cs="Times New Roman"/>
          <w:lang w:eastAsia="en-AU"/>
        </w:rPr>
        <w:t>activity</w:t>
      </w:r>
      <w:r w:rsidR="009E1405" w:rsidRPr="00102445">
        <w:rPr>
          <w:rFonts w:eastAsia="Times New Roman" w:cs="Times New Roman"/>
          <w:lang w:eastAsia="en-AU"/>
        </w:rPr>
        <w:t xml:space="preserve"> (or activit</w:t>
      </w:r>
      <w:r w:rsidR="009129CF" w:rsidRPr="00102445">
        <w:rPr>
          <w:rFonts w:eastAsia="Times New Roman" w:cs="Times New Roman"/>
          <w:lang w:eastAsia="en-AU"/>
        </w:rPr>
        <w:t>ies</w:t>
      </w:r>
      <w:r w:rsidR="009E1405" w:rsidRPr="00102445">
        <w:rPr>
          <w:rFonts w:eastAsia="Times New Roman" w:cs="Times New Roman"/>
          <w:lang w:eastAsia="en-AU"/>
        </w:rPr>
        <w:t>)</w:t>
      </w:r>
      <w:r w:rsidR="00166D66" w:rsidRPr="00102445">
        <w:rPr>
          <w:rFonts w:eastAsia="Times New Roman" w:cs="Times New Roman"/>
          <w:lang w:eastAsia="en-AU"/>
        </w:rPr>
        <w:t xml:space="preserve"> that is reflect</w:t>
      </w:r>
      <w:r w:rsidR="009129CF" w:rsidRPr="00102445">
        <w:rPr>
          <w:rFonts w:eastAsia="Times New Roman" w:cs="Times New Roman"/>
          <w:lang w:eastAsia="en-AU"/>
        </w:rPr>
        <w:t>ive of</w:t>
      </w:r>
      <w:r w:rsidR="00166D66" w:rsidRPr="00102445">
        <w:rPr>
          <w:rFonts w:eastAsia="Times New Roman" w:cs="Times New Roman"/>
          <w:lang w:eastAsia="en-AU"/>
        </w:rPr>
        <w:t xml:space="preserve"> another </w:t>
      </w:r>
      <w:r w:rsidR="00FF2D7E" w:rsidRPr="00102445">
        <w:rPr>
          <w:rFonts w:eastAsia="Times New Roman" w:cs="Times New Roman"/>
          <w:lang w:eastAsia="en-AU"/>
        </w:rPr>
        <w:t>facility and is deemed a successor facility.</w:t>
      </w:r>
      <w:r w:rsidR="00166D66" w:rsidRPr="00102445">
        <w:rPr>
          <w:rFonts w:eastAsia="Times New Roman" w:cs="Times New Roman"/>
          <w:lang w:eastAsia="en-AU"/>
        </w:rPr>
        <w:t xml:space="preserve"> </w:t>
      </w:r>
      <w:r w:rsidR="00FF2D7E" w:rsidRPr="00102445">
        <w:rPr>
          <w:rFonts w:eastAsia="Times New Roman" w:cs="Times New Roman"/>
          <w:lang w:eastAsia="en-AU"/>
        </w:rPr>
        <w:t xml:space="preserve">The Regulator may make a determination in relation to a successor facility </w:t>
      </w:r>
      <w:r w:rsidR="0039375F" w:rsidRPr="00102445">
        <w:rPr>
          <w:rFonts w:eastAsia="Times New Roman" w:cs="Times New Roman"/>
          <w:lang w:eastAsia="en-AU"/>
        </w:rPr>
        <w:t xml:space="preserve">having </w:t>
      </w:r>
      <w:r w:rsidR="00FF2D7E" w:rsidRPr="00102445">
        <w:rPr>
          <w:rFonts w:eastAsia="Times New Roman" w:cs="Times New Roman"/>
          <w:lang w:eastAsia="en-AU"/>
        </w:rPr>
        <w:t xml:space="preserve">regard to any matter the Regulator sees fit. </w:t>
      </w:r>
      <w:r w:rsidR="00E715ED" w:rsidRPr="00102445">
        <w:rPr>
          <w:rFonts w:eastAsia="Times New Roman" w:cs="Times New Roman"/>
          <w:lang w:eastAsia="en-AU"/>
        </w:rPr>
        <w:t xml:space="preserve">A successor determination must specify </w:t>
      </w:r>
      <w:r w:rsidR="001F682C" w:rsidRPr="00102445">
        <w:rPr>
          <w:rFonts w:eastAsia="Times New Roman" w:cs="Times New Roman"/>
          <w:lang w:eastAsia="en-AU"/>
        </w:rPr>
        <w:t xml:space="preserve">any historical, transitional, or related </w:t>
      </w:r>
      <w:r w:rsidR="00A07819" w:rsidRPr="00102445">
        <w:rPr>
          <w:rFonts w:eastAsia="Times New Roman" w:cs="Times New Roman"/>
          <w:lang w:eastAsia="en-AU"/>
        </w:rPr>
        <w:t>production variables for the successor facility that were al</w:t>
      </w:r>
      <w:r w:rsidR="00D44231" w:rsidRPr="00102445">
        <w:rPr>
          <w:rFonts w:eastAsia="Times New Roman" w:cs="Times New Roman"/>
          <w:lang w:eastAsia="en-AU"/>
        </w:rPr>
        <w:t xml:space="preserve">so historical, transitional, or related production variables for </w:t>
      </w:r>
      <w:r w:rsidR="00016580" w:rsidRPr="00102445">
        <w:rPr>
          <w:rFonts w:eastAsia="Times New Roman" w:cs="Times New Roman"/>
          <w:lang w:eastAsia="en-AU"/>
        </w:rPr>
        <w:t xml:space="preserve">the original facility. </w:t>
      </w:r>
      <w:r w:rsidR="00FF2D7E" w:rsidRPr="00102445">
        <w:rPr>
          <w:rFonts w:eastAsia="Times New Roman" w:cs="Times New Roman"/>
          <w:lang w:eastAsia="en-AU"/>
        </w:rPr>
        <w:t xml:space="preserve">The determination is in force the first day of the financial year to which the </w:t>
      </w:r>
      <w:r w:rsidR="005409BF" w:rsidRPr="00102445">
        <w:rPr>
          <w:rFonts w:eastAsia="Times New Roman" w:cs="Times New Roman"/>
          <w:lang w:eastAsia="en-AU"/>
        </w:rPr>
        <w:t xml:space="preserve">successor facility </w:t>
      </w:r>
      <w:r w:rsidR="00FF2D7E" w:rsidRPr="00102445">
        <w:rPr>
          <w:rFonts w:eastAsia="Times New Roman" w:cs="Times New Roman"/>
          <w:lang w:eastAsia="en-AU"/>
        </w:rPr>
        <w:t>determination applies</w:t>
      </w:r>
      <w:r w:rsidR="005409BF" w:rsidRPr="00102445">
        <w:rPr>
          <w:rFonts w:eastAsia="Times New Roman" w:cs="Times New Roman"/>
          <w:lang w:eastAsia="en-AU"/>
        </w:rPr>
        <w:t xml:space="preserve"> and every subsequent financial year. </w:t>
      </w:r>
    </w:p>
    <w:p w14:paraId="4C7B4F10" w14:textId="06CE54BB" w:rsidR="00806197" w:rsidRPr="00102445" w:rsidRDefault="00E92104"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Section </w:t>
      </w:r>
      <w:r w:rsidR="00E65A5F" w:rsidRPr="00102445">
        <w:rPr>
          <w:rFonts w:eastAsia="Times New Roman" w:cs="Times New Roman"/>
          <w:lang w:eastAsia="en-AU"/>
        </w:rPr>
        <w:t xml:space="preserve">25 </w:t>
      </w:r>
      <w:r w:rsidRPr="00102445">
        <w:rPr>
          <w:rFonts w:eastAsia="Times New Roman" w:cs="Times New Roman"/>
          <w:lang w:eastAsia="en-AU"/>
        </w:rPr>
        <w:t>outlines the process for making a successor determination by the Regulator.</w:t>
      </w:r>
      <w:r w:rsidR="00E229FD" w:rsidRPr="00102445">
        <w:rPr>
          <w:rFonts w:eastAsia="Times New Roman" w:cs="Times New Roman"/>
          <w:lang w:eastAsia="en-AU"/>
        </w:rPr>
        <w:t xml:space="preserve"> </w:t>
      </w:r>
      <w:r w:rsidRPr="00102445">
        <w:rPr>
          <w:rFonts w:eastAsia="Times New Roman" w:cs="Times New Roman"/>
          <w:lang w:eastAsia="en-AU"/>
        </w:rPr>
        <w:t>Before making a successor determination the Regulator must notify the responsible emitter for the facility of the proposed determination in writing. The notice must specify the facility-specific emissions intensity number of any production variable</w:t>
      </w:r>
      <w:r w:rsidR="00FC5528" w:rsidRPr="00102445">
        <w:rPr>
          <w:rFonts w:eastAsia="Times New Roman" w:cs="Times New Roman"/>
          <w:lang w:eastAsia="en-AU"/>
        </w:rPr>
        <w:t>s</w:t>
      </w:r>
      <w:r w:rsidRPr="00102445">
        <w:rPr>
          <w:rFonts w:eastAsia="Times New Roman" w:cs="Times New Roman"/>
          <w:lang w:eastAsia="en-AU"/>
        </w:rPr>
        <w:t xml:space="preserve"> that would appear in the </w:t>
      </w:r>
      <w:r w:rsidR="00DB6326" w:rsidRPr="00102445">
        <w:rPr>
          <w:rFonts w:eastAsia="Times New Roman" w:cs="Times New Roman"/>
          <w:lang w:eastAsia="en-AU"/>
        </w:rPr>
        <w:t xml:space="preserve">determination and the first financial year that the determination would apply. The notice must invite the responsible emitter to provide a written response to the proposed determination within the period specified in the notice. </w:t>
      </w:r>
      <w:r w:rsidR="00822F89" w:rsidRPr="00102445">
        <w:rPr>
          <w:rFonts w:eastAsia="Times New Roman" w:cs="Times New Roman"/>
          <w:lang w:eastAsia="en-AU"/>
        </w:rPr>
        <w:t xml:space="preserve">The notice may request the responsible emitter provide specific information that the Regulator considers relevant to the proposed determination. The Regulator must </w:t>
      </w:r>
      <w:r w:rsidR="0018447E" w:rsidRPr="00102445">
        <w:rPr>
          <w:rFonts w:eastAsia="Times New Roman" w:cs="Times New Roman"/>
          <w:lang w:eastAsia="en-AU"/>
        </w:rPr>
        <w:t>decide</w:t>
      </w:r>
      <w:r w:rsidR="00822F89" w:rsidRPr="00102445">
        <w:rPr>
          <w:rFonts w:eastAsia="Times New Roman" w:cs="Times New Roman"/>
          <w:lang w:eastAsia="en-AU"/>
        </w:rPr>
        <w:t xml:space="preserve"> </w:t>
      </w:r>
      <w:r w:rsidR="004764F7" w:rsidRPr="00102445">
        <w:rPr>
          <w:rFonts w:eastAsia="Times New Roman" w:cs="Times New Roman"/>
          <w:lang w:eastAsia="en-AU"/>
        </w:rPr>
        <w:t>whether</w:t>
      </w:r>
      <w:r w:rsidR="00822F89" w:rsidRPr="00102445">
        <w:rPr>
          <w:rFonts w:eastAsia="Times New Roman" w:cs="Times New Roman"/>
          <w:lang w:eastAsia="en-AU"/>
        </w:rPr>
        <w:t xml:space="preserve"> to </w:t>
      </w:r>
      <w:r w:rsidR="004764F7" w:rsidRPr="00102445">
        <w:rPr>
          <w:rFonts w:eastAsia="Times New Roman" w:cs="Times New Roman"/>
          <w:lang w:eastAsia="en-AU"/>
        </w:rPr>
        <w:t>make</w:t>
      </w:r>
      <w:r w:rsidR="00822F89" w:rsidRPr="00102445">
        <w:rPr>
          <w:rFonts w:eastAsia="Times New Roman" w:cs="Times New Roman"/>
          <w:lang w:eastAsia="en-AU"/>
        </w:rPr>
        <w:t xml:space="preserve"> the determination within 30 days after the end of the period specified in the notice, even if a response from the responsible emitter has not been received. </w:t>
      </w:r>
      <w:r w:rsidR="004A64A1" w:rsidRPr="00102445">
        <w:rPr>
          <w:rFonts w:eastAsia="Times New Roman" w:cs="Times New Roman"/>
          <w:lang w:eastAsia="en-AU"/>
        </w:rPr>
        <w:t xml:space="preserve">If the Regulator makes the successor </w:t>
      </w:r>
      <w:r w:rsidR="00543D96" w:rsidRPr="00102445">
        <w:rPr>
          <w:rFonts w:eastAsia="Times New Roman" w:cs="Times New Roman"/>
          <w:lang w:eastAsia="en-AU"/>
        </w:rPr>
        <w:t>determination,</w:t>
      </w:r>
      <w:r w:rsidR="004A64A1" w:rsidRPr="00102445">
        <w:rPr>
          <w:rFonts w:eastAsia="Times New Roman" w:cs="Times New Roman"/>
          <w:lang w:eastAsia="en-AU"/>
        </w:rPr>
        <w:t xml:space="preserve"> they must notify the responsible emitter and publish the determination on the Regulator’s website. </w:t>
      </w:r>
    </w:p>
    <w:p w14:paraId="1F73DA69" w14:textId="34954308" w:rsidR="00135A76" w:rsidRPr="00102445" w:rsidRDefault="00135A76" w:rsidP="009025A7">
      <w:pPr>
        <w:pStyle w:val="Heading6"/>
      </w:pPr>
      <w:r w:rsidRPr="00102445">
        <w:lastRenderedPageBreak/>
        <w:t xml:space="preserve">Subdivision </w:t>
      </w:r>
      <w:r w:rsidR="00E65A5F" w:rsidRPr="00102445">
        <w:t xml:space="preserve">F </w:t>
      </w:r>
      <w:r w:rsidRPr="00102445">
        <w:t>– Variation of emissions intensity determination</w:t>
      </w:r>
    </w:p>
    <w:p w14:paraId="63AE4EB2" w14:textId="295C75DF" w:rsidR="00A4501E" w:rsidRPr="00102445" w:rsidRDefault="00135A76"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Section </w:t>
      </w:r>
      <w:r w:rsidR="00E65A5F" w:rsidRPr="00102445">
        <w:rPr>
          <w:rFonts w:eastAsia="Times New Roman" w:cs="Times New Roman"/>
          <w:lang w:eastAsia="en-AU"/>
        </w:rPr>
        <w:t xml:space="preserve">26 </w:t>
      </w:r>
      <w:r w:rsidRPr="00102445">
        <w:rPr>
          <w:rFonts w:eastAsia="Times New Roman" w:cs="Times New Roman"/>
          <w:lang w:eastAsia="en-AU"/>
        </w:rPr>
        <w:t xml:space="preserve">provides </w:t>
      </w:r>
      <w:r w:rsidR="00C51154" w:rsidRPr="00102445">
        <w:rPr>
          <w:rFonts w:eastAsia="Times New Roman" w:cs="Times New Roman"/>
          <w:lang w:eastAsia="en-AU"/>
        </w:rPr>
        <w:t>for the</w:t>
      </w:r>
      <w:r w:rsidRPr="00102445">
        <w:rPr>
          <w:rFonts w:eastAsia="Times New Roman" w:cs="Times New Roman"/>
          <w:lang w:eastAsia="en-AU"/>
        </w:rPr>
        <w:t xml:space="preserve"> Regulator </w:t>
      </w:r>
      <w:r w:rsidR="00C51154" w:rsidRPr="00102445">
        <w:rPr>
          <w:rFonts w:eastAsia="Times New Roman" w:cs="Times New Roman"/>
          <w:lang w:eastAsia="en-AU"/>
        </w:rPr>
        <w:t>to</w:t>
      </w:r>
      <w:r w:rsidR="00AD186D" w:rsidRPr="00102445">
        <w:rPr>
          <w:rFonts w:eastAsia="Times New Roman" w:cs="Times New Roman"/>
          <w:lang w:eastAsia="en-AU"/>
        </w:rPr>
        <w:t>, in certain circumstances,</w:t>
      </w:r>
      <w:r w:rsidRPr="00102445">
        <w:rPr>
          <w:rFonts w:eastAsia="Times New Roman" w:cs="Times New Roman"/>
          <w:lang w:eastAsia="en-AU"/>
        </w:rPr>
        <w:t xml:space="preserve"> vary </w:t>
      </w:r>
      <w:r w:rsidR="00C51154" w:rsidRPr="00102445">
        <w:rPr>
          <w:rFonts w:eastAsia="Times New Roman" w:cs="Times New Roman"/>
          <w:lang w:eastAsia="en-AU"/>
        </w:rPr>
        <w:t xml:space="preserve">a facility-specific emissions intensity number in </w:t>
      </w:r>
      <w:r w:rsidRPr="00102445">
        <w:rPr>
          <w:rFonts w:eastAsia="Times New Roman" w:cs="Times New Roman"/>
          <w:lang w:eastAsia="en-AU"/>
        </w:rPr>
        <w:t>a</w:t>
      </w:r>
      <w:r w:rsidR="004E5944" w:rsidRPr="00102445">
        <w:rPr>
          <w:rFonts w:eastAsia="Times New Roman" w:cs="Times New Roman"/>
          <w:lang w:eastAsia="en-AU"/>
        </w:rPr>
        <w:t>n</w:t>
      </w:r>
      <w:r w:rsidRPr="00102445">
        <w:rPr>
          <w:rFonts w:eastAsia="Times New Roman" w:cs="Times New Roman"/>
          <w:lang w:eastAsia="en-AU"/>
        </w:rPr>
        <w:t xml:space="preserve"> emissions intensity </w:t>
      </w:r>
      <w:r w:rsidR="00C51154" w:rsidRPr="00102445">
        <w:rPr>
          <w:rFonts w:eastAsia="Times New Roman" w:cs="Times New Roman"/>
          <w:lang w:eastAsia="en-AU"/>
        </w:rPr>
        <w:t>determination</w:t>
      </w:r>
      <w:r w:rsidRPr="00102445">
        <w:rPr>
          <w:rFonts w:eastAsia="Times New Roman" w:cs="Times New Roman"/>
          <w:lang w:eastAsia="en-AU"/>
        </w:rPr>
        <w:t xml:space="preserve"> that is in force</w:t>
      </w:r>
      <w:r w:rsidR="00C51154" w:rsidRPr="00102445">
        <w:rPr>
          <w:rFonts w:eastAsia="Times New Roman" w:cs="Times New Roman"/>
          <w:lang w:eastAsia="en-AU"/>
        </w:rPr>
        <w:t>.</w:t>
      </w:r>
      <w:r w:rsidR="00C215F3" w:rsidRPr="00102445">
        <w:rPr>
          <w:rFonts w:eastAsia="Times New Roman" w:cs="Times New Roman"/>
          <w:lang w:eastAsia="en-AU"/>
        </w:rPr>
        <w:t xml:space="preserve"> This provision is intended to ensure alignment between the measurement of a facility’s covered emissions and the emissions intensity number used to calculate their baseline.</w:t>
      </w:r>
      <w:r w:rsidR="00C51154" w:rsidRPr="00102445">
        <w:rPr>
          <w:rFonts w:eastAsia="Times New Roman" w:cs="Times New Roman"/>
          <w:lang w:eastAsia="en-AU"/>
        </w:rPr>
        <w:t xml:space="preserve"> To make this variation the Regulator must be satisfied that the conditions set out in </w:t>
      </w:r>
      <w:r w:rsidR="002001AD" w:rsidRPr="00102445">
        <w:rPr>
          <w:rFonts w:eastAsia="Times New Roman" w:cs="Times New Roman"/>
          <w:lang w:eastAsia="en-AU"/>
        </w:rPr>
        <w:t>paragraph</w:t>
      </w:r>
      <w:r w:rsidR="00E65A5F" w:rsidRPr="00102445">
        <w:rPr>
          <w:rFonts w:eastAsia="Times New Roman" w:cs="Times New Roman"/>
          <w:lang w:eastAsia="en-AU"/>
        </w:rPr>
        <w:t>s</w:t>
      </w:r>
      <w:r w:rsidR="002001AD" w:rsidRPr="00102445">
        <w:rPr>
          <w:rFonts w:eastAsia="Times New Roman" w:cs="Times New Roman"/>
          <w:lang w:eastAsia="en-AU"/>
        </w:rPr>
        <w:t xml:space="preserve"> </w:t>
      </w:r>
      <w:r w:rsidR="00E65A5F" w:rsidRPr="00102445">
        <w:rPr>
          <w:rFonts w:eastAsia="Times New Roman" w:cs="Times New Roman"/>
          <w:lang w:eastAsia="en-AU"/>
        </w:rPr>
        <w:t>26</w:t>
      </w:r>
      <w:r w:rsidR="00C51154" w:rsidRPr="00102445">
        <w:rPr>
          <w:rFonts w:eastAsia="Times New Roman" w:cs="Times New Roman"/>
          <w:lang w:eastAsia="en-AU"/>
        </w:rPr>
        <w:t xml:space="preserve">(1)(a) and (b) are met. </w:t>
      </w:r>
      <w:r w:rsidR="004E5944" w:rsidRPr="00102445">
        <w:rPr>
          <w:rFonts w:eastAsia="Times New Roman" w:cs="Times New Roman"/>
          <w:lang w:eastAsia="en-AU"/>
        </w:rPr>
        <w:t xml:space="preserve">There must have been </w:t>
      </w:r>
      <w:r w:rsidR="00C215F3" w:rsidRPr="00102445">
        <w:rPr>
          <w:rFonts w:eastAsia="Times New Roman" w:cs="Times New Roman"/>
          <w:lang w:eastAsia="en-AU"/>
        </w:rPr>
        <w:t xml:space="preserve">a </w:t>
      </w:r>
      <w:r w:rsidR="004E5944" w:rsidRPr="00102445">
        <w:rPr>
          <w:rFonts w:eastAsia="Times New Roman" w:cs="Times New Roman"/>
          <w:lang w:eastAsia="en-AU"/>
        </w:rPr>
        <w:t xml:space="preserve">change of 1 per cent or greater in the amount of covered emissions specified in the application for an emissions intensity </w:t>
      </w:r>
      <w:r w:rsidR="009368F8" w:rsidRPr="00102445">
        <w:rPr>
          <w:rFonts w:eastAsia="Times New Roman" w:cs="Times New Roman"/>
          <w:lang w:eastAsia="en-AU"/>
        </w:rPr>
        <w:t>determination</w:t>
      </w:r>
      <w:r w:rsidR="004E5944" w:rsidRPr="00102445">
        <w:rPr>
          <w:rFonts w:eastAsia="Times New Roman" w:cs="Times New Roman"/>
          <w:lang w:eastAsia="en-AU"/>
        </w:rPr>
        <w:t xml:space="preserve">. The difference must be </w:t>
      </w:r>
      <w:r w:rsidR="009368F8" w:rsidRPr="00102445">
        <w:rPr>
          <w:rFonts w:eastAsia="Times New Roman" w:cs="Times New Roman"/>
          <w:lang w:eastAsia="en-AU"/>
        </w:rPr>
        <w:t>due to</w:t>
      </w:r>
      <w:r w:rsidR="004E5944" w:rsidRPr="00102445">
        <w:rPr>
          <w:rFonts w:eastAsia="Times New Roman" w:cs="Times New Roman"/>
          <w:lang w:eastAsia="en-AU"/>
        </w:rPr>
        <w:t xml:space="preserve"> </w:t>
      </w:r>
      <w:r w:rsidR="00083CF7" w:rsidRPr="00102445">
        <w:rPr>
          <w:rFonts w:eastAsia="Times New Roman" w:cs="Times New Roman"/>
          <w:lang w:eastAsia="en-AU"/>
        </w:rPr>
        <w:t xml:space="preserve">one of the following events occurring after the emissions intensity determination was made – </w:t>
      </w:r>
      <w:r w:rsidR="004E5944" w:rsidRPr="00102445">
        <w:rPr>
          <w:rFonts w:eastAsia="Times New Roman" w:cs="Times New Roman"/>
          <w:lang w:eastAsia="en-AU"/>
        </w:rPr>
        <w:t>a regulatory</w:t>
      </w:r>
      <w:r w:rsidR="00083CF7" w:rsidRPr="00102445">
        <w:rPr>
          <w:rFonts w:eastAsia="Times New Roman" w:cs="Times New Roman"/>
          <w:lang w:eastAsia="en-AU"/>
        </w:rPr>
        <w:t xml:space="preserve"> change</w:t>
      </w:r>
      <w:r w:rsidR="004E5944" w:rsidRPr="00102445">
        <w:rPr>
          <w:rFonts w:eastAsia="Times New Roman" w:cs="Times New Roman"/>
          <w:lang w:eastAsia="en-AU"/>
        </w:rPr>
        <w:t xml:space="preserve">, </w:t>
      </w:r>
      <w:r w:rsidR="007477F2" w:rsidRPr="00102445">
        <w:rPr>
          <w:rFonts w:eastAsia="Times New Roman" w:cs="Times New Roman"/>
          <w:lang w:eastAsia="en-AU"/>
        </w:rPr>
        <w:t xml:space="preserve">the </w:t>
      </w:r>
      <w:r w:rsidR="004E5944" w:rsidRPr="00102445">
        <w:rPr>
          <w:rFonts w:eastAsia="Times New Roman" w:cs="Times New Roman"/>
          <w:lang w:eastAsia="en-AU"/>
        </w:rPr>
        <w:t xml:space="preserve">use of a different </w:t>
      </w:r>
      <w:r w:rsidR="009368F8" w:rsidRPr="00102445">
        <w:rPr>
          <w:rFonts w:eastAsia="Times New Roman" w:cs="Times New Roman"/>
          <w:lang w:eastAsia="en-AU"/>
        </w:rPr>
        <w:t xml:space="preserve">method under the </w:t>
      </w:r>
      <w:r w:rsidR="004E5944" w:rsidRPr="00102445">
        <w:rPr>
          <w:rFonts w:eastAsia="Times New Roman" w:cs="Times New Roman"/>
          <w:lang w:eastAsia="en-AU"/>
        </w:rPr>
        <w:t xml:space="preserve">NGER </w:t>
      </w:r>
      <w:r w:rsidR="007477F2" w:rsidRPr="00102445">
        <w:rPr>
          <w:rFonts w:eastAsia="Times New Roman" w:cs="Times New Roman"/>
          <w:lang w:eastAsia="en-AU"/>
        </w:rPr>
        <w:t>(M</w:t>
      </w:r>
      <w:r w:rsidR="004E5944" w:rsidRPr="00102445">
        <w:rPr>
          <w:rFonts w:eastAsia="Times New Roman" w:cs="Times New Roman"/>
          <w:lang w:eastAsia="en-AU"/>
        </w:rPr>
        <w:t>easurement</w:t>
      </w:r>
      <w:r w:rsidR="007477F2" w:rsidRPr="00102445">
        <w:rPr>
          <w:rFonts w:eastAsia="Times New Roman" w:cs="Times New Roman"/>
          <w:lang w:eastAsia="en-AU"/>
        </w:rPr>
        <w:t>)</w:t>
      </w:r>
      <w:r w:rsidR="004E5944" w:rsidRPr="00102445">
        <w:rPr>
          <w:rFonts w:eastAsia="Times New Roman" w:cs="Times New Roman"/>
          <w:lang w:eastAsia="en-AU"/>
        </w:rPr>
        <w:t xml:space="preserve"> </w:t>
      </w:r>
      <w:r w:rsidR="007477F2" w:rsidRPr="00102445">
        <w:rPr>
          <w:rFonts w:eastAsia="Times New Roman" w:cs="Times New Roman"/>
          <w:lang w:eastAsia="en-AU"/>
        </w:rPr>
        <w:t>D</w:t>
      </w:r>
      <w:r w:rsidR="009368F8" w:rsidRPr="00102445">
        <w:rPr>
          <w:rFonts w:eastAsia="Times New Roman" w:cs="Times New Roman"/>
          <w:lang w:eastAsia="en-AU"/>
        </w:rPr>
        <w:t>etermination</w:t>
      </w:r>
      <w:r w:rsidR="004E5944" w:rsidRPr="00102445">
        <w:rPr>
          <w:rFonts w:eastAsia="Times New Roman" w:cs="Times New Roman"/>
          <w:lang w:eastAsia="en-AU"/>
        </w:rPr>
        <w:t xml:space="preserve"> to report the </w:t>
      </w:r>
      <w:r w:rsidR="00083CF7" w:rsidRPr="00102445">
        <w:rPr>
          <w:rFonts w:eastAsia="Times New Roman" w:cs="Times New Roman"/>
          <w:lang w:eastAsia="en-AU"/>
        </w:rPr>
        <w:t>facility’s</w:t>
      </w:r>
      <w:r w:rsidR="004E5944" w:rsidRPr="00102445">
        <w:rPr>
          <w:rFonts w:eastAsia="Times New Roman" w:cs="Times New Roman"/>
          <w:lang w:eastAsia="en-AU"/>
        </w:rPr>
        <w:t xml:space="preserve"> emissions</w:t>
      </w:r>
      <w:r w:rsidR="00083CF7" w:rsidRPr="00102445">
        <w:rPr>
          <w:rFonts w:eastAsia="Times New Roman" w:cs="Times New Roman"/>
          <w:lang w:eastAsia="en-AU"/>
        </w:rPr>
        <w:t xml:space="preserve">, </w:t>
      </w:r>
      <w:r w:rsidR="005456B0" w:rsidRPr="00102445">
        <w:rPr>
          <w:rFonts w:eastAsia="Times New Roman" w:cs="Times New Roman"/>
          <w:lang w:eastAsia="en-AU"/>
        </w:rPr>
        <w:t xml:space="preserve">or </w:t>
      </w:r>
      <w:r w:rsidR="00083CF7" w:rsidRPr="00102445">
        <w:rPr>
          <w:rFonts w:eastAsia="Times New Roman" w:cs="Times New Roman"/>
          <w:lang w:eastAsia="en-AU"/>
        </w:rPr>
        <w:t>a change in activities at the facility. The variation</w:t>
      </w:r>
      <w:r w:rsidR="009368F8" w:rsidRPr="00102445">
        <w:rPr>
          <w:rFonts w:eastAsia="Times New Roman" w:cs="Times New Roman"/>
          <w:lang w:eastAsia="en-AU"/>
        </w:rPr>
        <w:t xml:space="preserve"> takes effect from the beginning of the first financial year in which the event necessitating the variation occurred. The variation</w:t>
      </w:r>
      <w:r w:rsidR="00083CF7" w:rsidRPr="00102445">
        <w:rPr>
          <w:rFonts w:eastAsia="Times New Roman" w:cs="Times New Roman"/>
          <w:lang w:eastAsia="en-AU"/>
        </w:rPr>
        <w:t xml:space="preserve"> is subject to the process set out in Section </w:t>
      </w:r>
      <w:r w:rsidR="00406439" w:rsidRPr="00102445">
        <w:rPr>
          <w:rFonts w:eastAsia="Times New Roman" w:cs="Times New Roman"/>
          <w:lang w:eastAsia="en-AU"/>
        </w:rPr>
        <w:t>2</w:t>
      </w:r>
      <w:r w:rsidR="00DC0F38" w:rsidRPr="00102445">
        <w:rPr>
          <w:rFonts w:eastAsia="Times New Roman" w:cs="Times New Roman"/>
          <w:lang w:eastAsia="en-AU"/>
        </w:rPr>
        <w:t>8</w:t>
      </w:r>
      <w:r w:rsidR="00083CF7" w:rsidRPr="00102445">
        <w:rPr>
          <w:rFonts w:eastAsia="Times New Roman" w:cs="Times New Roman"/>
          <w:lang w:eastAsia="en-AU"/>
        </w:rPr>
        <w:t>.</w:t>
      </w:r>
      <w:r w:rsidR="00C215F3" w:rsidRPr="00102445">
        <w:rPr>
          <w:rFonts w:eastAsia="Times New Roman" w:cs="Times New Roman"/>
          <w:lang w:eastAsia="en-AU"/>
        </w:rPr>
        <w:t xml:space="preserve"> If the Regulator makes the </w:t>
      </w:r>
      <w:r w:rsidR="0018447E" w:rsidRPr="00102445">
        <w:rPr>
          <w:rFonts w:eastAsia="Times New Roman" w:cs="Times New Roman"/>
          <w:lang w:eastAsia="en-AU"/>
        </w:rPr>
        <w:t>determination,</w:t>
      </w:r>
      <w:r w:rsidR="00C215F3" w:rsidRPr="00102445">
        <w:rPr>
          <w:rFonts w:eastAsia="Times New Roman" w:cs="Times New Roman"/>
          <w:lang w:eastAsia="en-AU"/>
        </w:rPr>
        <w:t xml:space="preserve"> they must notify the relevant responsible emitter and publish the determination on the Regulator’s website.</w:t>
      </w:r>
    </w:p>
    <w:p w14:paraId="38AB5E65" w14:textId="4B63AED6" w:rsidR="00D15223" w:rsidRPr="00102445" w:rsidRDefault="00E774EE"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t xml:space="preserve">Subsection </w:t>
      </w:r>
      <w:r w:rsidR="00DC0F38" w:rsidRPr="00102445">
        <w:t>26</w:t>
      </w:r>
      <w:r w:rsidRPr="00102445">
        <w:t>(</w:t>
      </w:r>
      <w:r w:rsidR="00A26692" w:rsidRPr="00102445">
        <w:t>5</w:t>
      </w:r>
      <w:r w:rsidRPr="00102445">
        <w:t>) states that t</w:t>
      </w:r>
      <w:r w:rsidR="001F045D" w:rsidRPr="00102445">
        <w:t xml:space="preserve">his section does not limit subsection 33(3) of the </w:t>
      </w:r>
      <w:r w:rsidR="001F045D" w:rsidRPr="00102445">
        <w:rPr>
          <w:i/>
        </w:rPr>
        <w:t>Acts Interpretation Act 1901</w:t>
      </w:r>
      <w:r w:rsidR="001F045D" w:rsidRPr="00102445">
        <w:t>.</w:t>
      </w:r>
      <w:r w:rsidR="00326784" w:rsidRPr="00102445">
        <w:t xml:space="preserve"> S</w:t>
      </w:r>
      <w:r w:rsidR="00263C8F" w:rsidRPr="00102445">
        <w:t>ubs</w:t>
      </w:r>
      <w:r w:rsidR="00326784" w:rsidRPr="00102445">
        <w:t xml:space="preserve">ection 33(3) of the </w:t>
      </w:r>
      <w:r w:rsidR="00326784" w:rsidRPr="00102445">
        <w:rPr>
          <w:i/>
          <w:iCs/>
        </w:rPr>
        <w:t>Act</w:t>
      </w:r>
      <w:r w:rsidRPr="00102445">
        <w:rPr>
          <w:i/>
          <w:iCs/>
        </w:rPr>
        <w:t>s Interpretation Act 1901</w:t>
      </w:r>
      <w:r w:rsidRPr="00102445">
        <w:t xml:space="preserve"> states that</w:t>
      </w:r>
      <w:r w:rsidR="003554F8" w:rsidRPr="00102445">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4E2FF9" w:rsidRPr="00102445">
        <w:t>.</w:t>
      </w:r>
      <w:r w:rsidR="00514F48" w:rsidRPr="00102445">
        <w:t xml:space="preserve"> </w:t>
      </w:r>
      <w:r w:rsidR="00876048" w:rsidRPr="00102445">
        <w:t>Subsection 33(3)</w:t>
      </w:r>
      <w:r w:rsidR="004A39F0" w:rsidRPr="00102445">
        <w:t xml:space="preserve"> of the</w:t>
      </w:r>
      <w:r w:rsidR="00FE589F" w:rsidRPr="00102445">
        <w:t xml:space="preserve"> </w:t>
      </w:r>
      <w:r w:rsidR="00FE589F" w:rsidRPr="00102445">
        <w:rPr>
          <w:i/>
          <w:iCs/>
        </w:rPr>
        <w:t>Acts Interpretation Act 1901</w:t>
      </w:r>
      <w:r w:rsidR="00C50D5E" w:rsidRPr="00102445">
        <w:t xml:space="preserve"> is applicable to emissions intensity determinations</w:t>
      </w:r>
      <w:r w:rsidR="00811B0F" w:rsidRPr="00102445">
        <w:t>, and provides</w:t>
      </w:r>
      <w:r w:rsidR="00366579" w:rsidRPr="00102445">
        <w:t>, for example,</w:t>
      </w:r>
      <w:r w:rsidR="00811B0F" w:rsidRPr="00102445">
        <w:t xml:space="preserve"> that the Regulator </w:t>
      </w:r>
      <w:r w:rsidR="0092009B" w:rsidRPr="00102445">
        <w:t xml:space="preserve">could amend or </w:t>
      </w:r>
      <w:r w:rsidR="00366579" w:rsidRPr="00102445">
        <w:t xml:space="preserve">vary </w:t>
      </w:r>
      <w:r w:rsidR="008F4603" w:rsidRPr="00102445">
        <w:t xml:space="preserve">an emissions intensity determination if </w:t>
      </w:r>
      <w:r w:rsidR="00D43FFF" w:rsidRPr="00102445">
        <w:t xml:space="preserve">there was an error when it first made the emissions intensity determination. </w:t>
      </w:r>
      <w:r w:rsidR="00C152C6" w:rsidRPr="00102445">
        <w:t xml:space="preserve">Subsection 21(4) clarifies that despite </w:t>
      </w:r>
      <w:r w:rsidR="005457C0" w:rsidRPr="00102445">
        <w:t>section 21</w:t>
      </w:r>
      <w:r w:rsidR="00CF0DD4" w:rsidRPr="00102445">
        <w:t xml:space="preserve"> being </w:t>
      </w:r>
      <w:r w:rsidR="00966FDB" w:rsidRPr="00102445">
        <w:t>more</w:t>
      </w:r>
      <w:r w:rsidR="004100C3" w:rsidRPr="00102445">
        <w:t xml:space="preserve"> specific that subsection 33(3)</w:t>
      </w:r>
      <w:r w:rsidR="00C81ED8" w:rsidRPr="00102445">
        <w:t xml:space="preserve"> of the </w:t>
      </w:r>
      <w:r w:rsidR="00C81ED8" w:rsidRPr="00102445">
        <w:rPr>
          <w:i/>
          <w:iCs/>
        </w:rPr>
        <w:t>Acts Interpretation Act 1901</w:t>
      </w:r>
      <w:r w:rsidR="00966FDB" w:rsidRPr="00102445">
        <w:t xml:space="preserve"> (in that it relates to varying</w:t>
      </w:r>
      <w:r w:rsidR="003B6635" w:rsidRPr="00102445">
        <w:t xml:space="preserve"> an instrument of an administrative nature</w:t>
      </w:r>
      <w:r w:rsidR="00ED0824" w:rsidRPr="00102445">
        <w:t>)</w:t>
      </w:r>
      <w:r w:rsidR="00265628" w:rsidRPr="00102445">
        <w:t>,</w:t>
      </w:r>
      <w:r w:rsidR="00F06B2D" w:rsidRPr="00102445">
        <w:t xml:space="preserve"> section 21 should not be interpreted</w:t>
      </w:r>
      <w:r w:rsidR="00393928" w:rsidRPr="00102445">
        <w:t xml:space="preserve"> as</w:t>
      </w:r>
      <w:r w:rsidR="00F06B2D" w:rsidRPr="00102445">
        <w:t xml:space="preserve"> limit</w:t>
      </w:r>
      <w:r w:rsidR="00393928" w:rsidRPr="00102445">
        <w:t>ing</w:t>
      </w:r>
      <w:r w:rsidR="00F06B2D" w:rsidRPr="00102445">
        <w:t xml:space="preserve"> </w:t>
      </w:r>
      <w:r w:rsidR="0045172E" w:rsidRPr="00102445">
        <w:t xml:space="preserve">how </w:t>
      </w:r>
      <w:r w:rsidR="00F06B2D" w:rsidRPr="00102445">
        <w:t xml:space="preserve">subsection 33(3) of the </w:t>
      </w:r>
      <w:r w:rsidR="00F06B2D" w:rsidRPr="00102445">
        <w:rPr>
          <w:i/>
          <w:iCs/>
        </w:rPr>
        <w:t>Acts Interpretation Act 1901</w:t>
      </w:r>
      <w:r w:rsidR="0045172E" w:rsidRPr="00102445">
        <w:t xml:space="preserve"> relates to emissions intensity determinations.</w:t>
      </w:r>
    </w:p>
    <w:p w14:paraId="1F421C0D" w14:textId="4A372195" w:rsidR="00680F74" w:rsidRPr="00102445" w:rsidRDefault="00680F74"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Section 2</w:t>
      </w:r>
      <w:r w:rsidR="001E7B2C" w:rsidRPr="00102445">
        <w:rPr>
          <w:rFonts w:eastAsia="Times New Roman" w:cs="Times New Roman"/>
          <w:lang w:eastAsia="en-AU"/>
        </w:rPr>
        <w:t>7</w:t>
      </w:r>
      <w:r w:rsidRPr="00102445">
        <w:rPr>
          <w:rFonts w:eastAsia="Times New Roman" w:cs="Times New Roman"/>
          <w:lang w:eastAsia="en-AU"/>
        </w:rPr>
        <w:t xml:space="preserve"> provides for the Regulator to request specific information from the responsible emitter when it is considering whether to vary an in-force facility-specific emissions intensity number. The request for information should be in written form and the Regulator must consider the information requested relevant to the variation.   </w:t>
      </w:r>
    </w:p>
    <w:p w14:paraId="6CC2ACB9" w14:textId="401022CD" w:rsidR="00083CF7" w:rsidRPr="00102445" w:rsidRDefault="009D7DAD"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Section </w:t>
      </w:r>
      <w:r w:rsidR="001E7B2C" w:rsidRPr="00102445">
        <w:rPr>
          <w:rFonts w:eastAsia="Times New Roman" w:cs="Times New Roman"/>
          <w:lang w:eastAsia="en-AU"/>
        </w:rPr>
        <w:t xml:space="preserve">28 </w:t>
      </w:r>
      <w:r w:rsidRPr="00102445">
        <w:rPr>
          <w:rFonts w:eastAsia="Times New Roman" w:cs="Times New Roman"/>
          <w:lang w:eastAsia="en-AU"/>
        </w:rPr>
        <w:t>sets out the process for the Regulator to make a variation to an emissions intensity determination that is in force. Before varying an emissions intensity determination, the Regulator must notify the responsible emitter for the facility of the proposed variation in writing. The notice must specify the facility-specific emissions intensity number of any production variable that would appear in the varied determination. The notice may request the responsible emitter provide specific information that the Regulator considers relevant to the proposed variation. The Regulator must consider any response from the responsible emitter and make a decision in relation to the variation of the determination within 30 days after the end of the period specified in the notice. If the Regulator makes the variation</w:t>
      </w:r>
      <w:r w:rsidR="009E1405" w:rsidRPr="00102445">
        <w:rPr>
          <w:rFonts w:eastAsia="Times New Roman" w:cs="Times New Roman"/>
          <w:lang w:eastAsia="en-AU"/>
        </w:rPr>
        <w:t>,</w:t>
      </w:r>
      <w:r w:rsidRPr="00102445">
        <w:rPr>
          <w:rFonts w:eastAsia="Times New Roman" w:cs="Times New Roman"/>
          <w:lang w:eastAsia="en-AU"/>
        </w:rPr>
        <w:t xml:space="preserve"> they must notify the responsible emitter and publish the</w:t>
      </w:r>
      <w:r w:rsidR="00EF22AF" w:rsidRPr="00102445">
        <w:rPr>
          <w:rFonts w:eastAsia="Times New Roman" w:cs="Times New Roman"/>
          <w:lang w:eastAsia="en-AU"/>
        </w:rPr>
        <w:t xml:space="preserve"> emissions intensity</w:t>
      </w:r>
      <w:r w:rsidRPr="00102445">
        <w:rPr>
          <w:rFonts w:eastAsia="Times New Roman" w:cs="Times New Roman"/>
          <w:lang w:eastAsia="en-AU"/>
        </w:rPr>
        <w:t xml:space="preserve"> determination, as varied, on the Regulator’s website.</w:t>
      </w:r>
      <w:r w:rsidR="005F5FF8" w:rsidRPr="00102445">
        <w:rPr>
          <w:rFonts w:eastAsia="Times New Roman" w:cs="Times New Roman"/>
          <w:lang w:eastAsia="en-AU"/>
        </w:rPr>
        <w:t xml:space="preserve"> </w:t>
      </w:r>
      <w:r w:rsidR="0037025A" w:rsidRPr="00102445">
        <w:t xml:space="preserve">The variation must be made before the end </w:t>
      </w:r>
      <w:r w:rsidR="00161DF4" w:rsidRPr="00102445">
        <w:t>of</w:t>
      </w:r>
      <w:r w:rsidR="0037025A" w:rsidRPr="00102445">
        <w:t xml:space="preserve"> January after the first financial year in relation to which the variation is to apply</w:t>
      </w:r>
      <w:r w:rsidR="005A69B2" w:rsidRPr="00102445">
        <w:t>.</w:t>
      </w:r>
    </w:p>
    <w:p w14:paraId="26F94B81" w14:textId="2653979E" w:rsidR="00665FA8" w:rsidRPr="00102445" w:rsidRDefault="00665FA8" w:rsidP="007D11FC">
      <w:pPr>
        <w:pStyle w:val="Heading5"/>
      </w:pPr>
      <w:r w:rsidRPr="00102445">
        <w:lastRenderedPageBreak/>
        <w:t>Division 3 – New facilities</w:t>
      </w:r>
    </w:p>
    <w:p w14:paraId="2E1D964F" w14:textId="4613EBDD" w:rsidR="005E119F" w:rsidRPr="00102445" w:rsidRDefault="00665FA8"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lang w:eastAsia="en-AU"/>
        </w:rPr>
        <w:t xml:space="preserve">Section </w:t>
      </w:r>
      <w:r w:rsidR="001900A5" w:rsidRPr="00102445">
        <w:rPr>
          <w:lang w:eastAsia="en-AU"/>
        </w:rPr>
        <w:t xml:space="preserve">29 </w:t>
      </w:r>
      <w:r w:rsidR="00170BDD" w:rsidRPr="00102445">
        <w:rPr>
          <w:lang w:eastAsia="en-AU"/>
        </w:rPr>
        <w:t xml:space="preserve">provides the formula for determining a baseline emissions number, </w:t>
      </w:r>
      <w:r w:rsidR="00170BDD" w:rsidRPr="00102445">
        <w:t>in t</w:t>
      </w:r>
      <w:r w:rsidR="006F6784" w:rsidRPr="00102445">
        <w:t> </w:t>
      </w:r>
      <w:r w:rsidR="00170BDD" w:rsidRPr="00102445">
        <w:t>CO</w:t>
      </w:r>
      <w:r w:rsidR="00170BDD" w:rsidRPr="00102445">
        <w:rPr>
          <w:vertAlign w:val="subscript"/>
        </w:rPr>
        <w:t>2</w:t>
      </w:r>
      <w:r w:rsidR="00E26F2D" w:rsidRPr="00102445">
        <w:noBreakHyphen/>
      </w:r>
      <w:r w:rsidR="00170BDD" w:rsidRPr="00102445">
        <w:t>e, for a new facility, other than a landfill facility, for a financial year, rounded to the nearest whole number</w:t>
      </w:r>
      <w:r w:rsidR="00170BDD" w:rsidRPr="00102445">
        <w:rPr>
          <w:lang w:eastAsia="en-AU"/>
        </w:rPr>
        <w:t xml:space="preserve">. </w:t>
      </w:r>
      <w:r w:rsidR="001822FF" w:rsidRPr="00102445">
        <w:rPr>
          <w:lang w:eastAsia="en-AU"/>
        </w:rPr>
        <w:t>A</w:t>
      </w:r>
      <w:r w:rsidR="00170BDD" w:rsidRPr="00102445">
        <w:rPr>
          <w:lang w:eastAsia="en-AU"/>
        </w:rPr>
        <w:t xml:space="preserve"> new facility </w:t>
      </w:r>
      <w:r w:rsidR="001822FF" w:rsidRPr="00102445">
        <w:rPr>
          <w:lang w:eastAsia="en-AU"/>
        </w:rPr>
        <w:t xml:space="preserve">is a facility </w:t>
      </w:r>
      <w:r w:rsidR="00170BDD" w:rsidRPr="00102445">
        <w:rPr>
          <w:lang w:eastAsia="en-AU"/>
        </w:rPr>
        <w:t>if there are no historical production variables or transitional production variables for the facility.</w:t>
      </w:r>
    </w:p>
    <w:p w14:paraId="55634288" w14:textId="7326B858" w:rsidR="00B745D6" w:rsidRPr="00102445" w:rsidRDefault="00481EDC"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lang w:eastAsia="en-AU"/>
        </w:rPr>
        <w:t>By definition, a facility that did not undertake commercial production</w:t>
      </w:r>
      <w:r w:rsidR="00E04F54" w:rsidRPr="00102445">
        <w:rPr>
          <w:lang w:eastAsia="en-AU"/>
        </w:rPr>
        <w:t xml:space="preserve"> between </w:t>
      </w:r>
      <w:r w:rsidR="001E74C3" w:rsidRPr="00102445">
        <w:rPr>
          <w:lang w:eastAsia="en-AU"/>
        </w:rPr>
        <w:t xml:space="preserve">1 July </w:t>
      </w:r>
      <w:r w:rsidR="00AF0B1F" w:rsidRPr="00102445">
        <w:rPr>
          <w:lang w:eastAsia="en-AU"/>
        </w:rPr>
        <w:t>2017 and</w:t>
      </w:r>
      <w:r w:rsidR="00F111DA" w:rsidRPr="00102445">
        <w:rPr>
          <w:lang w:eastAsia="en-AU"/>
        </w:rPr>
        <w:t xml:space="preserve"> 30 June 2023</w:t>
      </w:r>
      <w:r w:rsidR="005309FE" w:rsidRPr="00102445">
        <w:rPr>
          <w:lang w:eastAsia="en-AU"/>
        </w:rPr>
        <w:t xml:space="preserve"> </w:t>
      </w:r>
      <w:r w:rsidR="006E3F0C" w:rsidRPr="00102445">
        <w:rPr>
          <w:lang w:eastAsia="en-AU"/>
        </w:rPr>
        <w:t xml:space="preserve">(i.e. </w:t>
      </w:r>
      <w:r w:rsidR="00150F81" w:rsidRPr="00102445">
        <w:rPr>
          <w:lang w:eastAsia="en-AU"/>
        </w:rPr>
        <w:t xml:space="preserve">during a historical </w:t>
      </w:r>
      <w:r w:rsidR="00466089" w:rsidRPr="00102445">
        <w:rPr>
          <w:lang w:eastAsia="en-AU"/>
        </w:rPr>
        <w:t xml:space="preserve">or transitional </w:t>
      </w:r>
      <w:r w:rsidR="00465D40" w:rsidRPr="00102445">
        <w:rPr>
          <w:lang w:eastAsia="en-AU"/>
        </w:rPr>
        <w:t>financial year</w:t>
      </w:r>
      <w:r w:rsidR="006E3F0C" w:rsidRPr="00102445">
        <w:rPr>
          <w:lang w:eastAsia="en-AU"/>
        </w:rPr>
        <w:t>)</w:t>
      </w:r>
      <w:r w:rsidR="00E92D4C" w:rsidRPr="00102445">
        <w:rPr>
          <w:lang w:eastAsia="en-AU"/>
        </w:rPr>
        <w:t xml:space="preserve"> will </w:t>
      </w:r>
      <w:r w:rsidR="009F6469" w:rsidRPr="00102445">
        <w:rPr>
          <w:lang w:eastAsia="en-AU"/>
        </w:rPr>
        <w:t xml:space="preserve">not </w:t>
      </w:r>
      <w:r w:rsidR="00AF1E25" w:rsidRPr="00102445">
        <w:rPr>
          <w:lang w:eastAsia="en-AU"/>
        </w:rPr>
        <w:t>have any</w:t>
      </w:r>
      <w:r w:rsidR="00456BCE" w:rsidRPr="00102445">
        <w:rPr>
          <w:lang w:eastAsia="en-AU"/>
        </w:rPr>
        <w:t xml:space="preserve"> </w:t>
      </w:r>
      <w:r w:rsidR="006E491D" w:rsidRPr="00102445">
        <w:rPr>
          <w:lang w:eastAsia="en-AU"/>
        </w:rPr>
        <w:t>historical or transitional production variables</w:t>
      </w:r>
      <w:r w:rsidR="00CA303B" w:rsidRPr="00102445">
        <w:rPr>
          <w:lang w:eastAsia="en-AU"/>
        </w:rPr>
        <w:t>, and will therefore be a new facility</w:t>
      </w:r>
      <w:r w:rsidR="00850B42" w:rsidRPr="00102445">
        <w:rPr>
          <w:lang w:eastAsia="en-AU"/>
        </w:rPr>
        <w:t>.</w:t>
      </w:r>
    </w:p>
    <w:p w14:paraId="49BD7B0A" w14:textId="1B52E9A2" w:rsidR="00BB524C" w:rsidRPr="00102445" w:rsidRDefault="00D0289E"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lang w:eastAsia="en-AU"/>
        </w:rPr>
        <w:t>The Amendment Rules</w:t>
      </w:r>
      <w:r w:rsidR="00732E2D" w:rsidRPr="00102445">
        <w:rPr>
          <w:lang w:eastAsia="en-AU"/>
        </w:rPr>
        <w:t xml:space="preserve"> do not provide for emissions intensity determinations</w:t>
      </w:r>
      <w:r w:rsidR="00697060" w:rsidRPr="00102445">
        <w:rPr>
          <w:lang w:eastAsia="en-AU"/>
        </w:rPr>
        <w:t xml:space="preserve"> to apply to new facilities</w:t>
      </w:r>
      <w:r w:rsidR="00FC5E6B" w:rsidRPr="00102445">
        <w:rPr>
          <w:lang w:eastAsia="en-AU"/>
        </w:rPr>
        <w:t xml:space="preserve">. </w:t>
      </w:r>
      <w:r w:rsidR="00BB524C" w:rsidRPr="00102445">
        <w:rPr>
          <w:lang w:eastAsia="en-AU"/>
        </w:rPr>
        <w:t xml:space="preserve">The formula in section </w:t>
      </w:r>
      <w:r w:rsidR="001900A5" w:rsidRPr="00102445">
        <w:rPr>
          <w:lang w:eastAsia="en-AU"/>
        </w:rPr>
        <w:t xml:space="preserve">29 </w:t>
      </w:r>
      <w:r w:rsidR="00BB524C" w:rsidRPr="00102445">
        <w:rPr>
          <w:lang w:eastAsia="en-AU"/>
        </w:rPr>
        <w:t>is consi</w:t>
      </w:r>
      <w:r w:rsidR="00203CCF" w:rsidRPr="00102445">
        <w:rPr>
          <w:lang w:eastAsia="en-AU"/>
        </w:rPr>
        <w:t xml:space="preserve">stent with </w:t>
      </w:r>
      <w:r w:rsidR="004B2424" w:rsidRPr="00102445">
        <w:rPr>
          <w:lang w:eastAsia="en-AU"/>
        </w:rPr>
        <w:t xml:space="preserve">the formula in section </w:t>
      </w:r>
      <w:r w:rsidR="00D90FB3" w:rsidRPr="00102445">
        <w:rPr>
          <w:lang w:eastAsia="en-AU"/>
        </w:rPr>
        <w:t xml:space="preserve">11 </w:t>
      </w:r>
      <w:r w:rsidR="004653F4" w:rsidRPr="00102445">
        <w:rPr>
          <w:lang w:eastAsia="en-AU"/>
        </w:rPr>
        <w:t xml:space="preserve">and can be thought of as a special </w:t>
      </w:r>
      <w:r w:rsidR="003F6977" w:rsidRPr="00102445">
        <w:rPr>
          <w:lang w:eastAsia="en-AU"/>
        </w:rPr>
        <w:t>case of the formula</w:t>
      </w:r>
      <w:r w:rsidR="006E20B2" w:rsidRPr="00102445">
        <w:rPr>
          <w:lang w:eastAsia="en-AU"/>
        </w:rPr>
        <w:t xml:space="preserve"> in section </w:t>
      </w:r>
      <w:r w:rsidR="00D90FB3" w:rsidRPr="00102445">
        <w:rPr>
          <w:lang w:eastAsia="en-AU"/>
        </w:rPr>
        <w:t xml:space="preserve">11 </w:t>
      </w:r>
      <w:r w:rsidR="00936B82" w:rsidRPr="00102445">
        <w:rPr>
          <w:lang w:eastAsia="en-AU"/>
        </w:rPr>
        <w:t xml:space="preserve">that </w:t>
      </w:r>
      <w:r w:rsidR="006338BE" w:rsidRPr="00102445">
        <w:rPr>
          <w:lang w:eastAsia="en-AU"/>
        </w:rPr>
        <w:t xml:space="preserve">corresponds </w:t>
      </w:r>
      <w:r w:rsidR="0033417B" w:rsidRPr="00102445">
        <w:rPr>
          <w:lang w:eastAsia="en-AU"/>
        </w:rPr>
        <w:t xml:space="preserve">to the situation </w:t>
      </w:r>
      <w:r w:rsidR="00FE5E2D" w:rsidRPr="00102445">
        <w:rPr>
          <w:lang w:eastAsia="en-AU"/>
        </w:rPr>
        <w:t>where</w:t>
      </w:r>
      <w:r w:rsidR="0033417B" w:rsidRPr="00102445">
        <w:rPr>
          <w:lang w:eastAsia="en-AU"/>
        </w:rPr>
        <w:t xml:space="preserve"> no emissions intensity determinations are in place</w:t>
      </w:r>
      <w:r w:rsidR="00384690" w:rsidRPr="00102445">
        <w:rPr>
          <w:lang w:eastAsia="en-AU"/>
        </w:rPr>
        <w:t xml:space="preserve"> for the facility</w:t>
      </w:r>
      <w:r w:rsidR="0033417B" w:rsidRPr="00102445">
        <w:rPr>
          <w:lang w:eastAsia="en-AU"/>
        </w:rPr>
        <w:t>.</w:t>
      </w:r>
    </w:p>
    <w:p w14:paraId="3E64DAC4" w14:textId="7521326D" w:rsidR="00384690" w:rsidRPr="00102445" w:rsidRDefault="00384690" w:rsidP="00591A9C">
      <w:pPr>
        <w:pStyle w:val="ListParagraph"/>
        <w:numPr>
          <w:ilvl w:val="0"/>
          <w:numId w:val="2"/>
        </w:numPr>
        <w:shd w:val="clear" w:color="auto" w:fill="FFFFFF" w:themeFill="background1"/>
        <w:spacing w:line="240" w:lineRule="auto"/>
        <w:contextualSpacing w:val="0"/>
        <w:rPr>
          <w:bCs/>
          <w:szCs w:val="24"/>
          <w:lang w:eastAsia="en-AU"/>
        </w:rPr>
      </w:pPr>
      <w:r w:rsidRPr="00102445">
        <w:rPr>
          <w:lang w:eastAsia="en-AU"/>
        </w:rPr>
        <w:t xml:space="preserve">The formula in subsection </w:t>
      </w:r>
      <w:r w:rsidR="00D90FB3" w:rsidRPr="00102445">
        <w:rPr>
          <w:lang w:eastAsia="en-AU"/>
        </w:rPr>
        <w:t>29(1)</w:t>
      </w:r>
      <w:r w:rsidRPr="00102445">
        <w:rPr>
          <w:lang w:eastAsia="en-AU"/>
        </w:rPr>
        <w:t xml:space="preserve"> for the </w:t>
      </w:r>
      <w:r w:rsidRPr="00102445">
        <w:t xml:space="preserve">baseline emissions number for an existing facility (other than a landfill facility) for a financial year </w:t>
      </w:r>
      <w:r w:rsidRPr="00102445">
        <w:rPr>
          <w:lang w:eastAsia="en-AU"/>
        </w:rPr>
        <w:t>is:</w:t>
      </w:r>
    </w:p>
    <w:p w14:paraId="3E2959BC" w14:textId="13F3C27B" w:rsidR="00384690" w:rsidRPr="00102445" w:rsidRDefault="003635B0" w:rsidP="00384690">
      <w:pPr>
        <w:pStyle w:val="ListParagraph"/>
        <w:shd w:val="clear" w:color="auto" w:fill="FFFFFF" w:themeFill="background1"/>
        <w:spacing w:line="240" w:lineRule="auto"/>
        <w:ind w:left="567"/>
        <w:contextualSpacing w:val="0"/>
        <w:rPr>
          <w:bCs/>
          <w:szCs w:val="24"/>
          <w:lang w:eastAsia="en-AU"/>
        </w:rPr>
      </w:pPr>
      <w:r w:rsidRPr="00102445">
        <w:rPr>
          <w:position w:val="-28"/>
        </w:rPr>
        <w:object w:dxaOrig="2420" w:dyaOrig="660" w14:anchorId="29A3D61D">
          <v:shape id="_x0000_i1026" type="#_x0000_t75" alt="Formula for the calculation of a baseline emissions number for an existing facility, where no emissions intensity determinations are in place for the facility." style="width:182.8pt;height:50.7pt" o:ole="">
            <v:imagedata r:id="rId17" o:title=""/>
          </v:shape>
          <o:OLEObject Type="Embed" ProgID="Equation.DSMT4" ShapeID="_x0000_i1026" DrawAspect="Content" ObjectID="_1744801914" r:id="rId18"/>
        </w:object>
      </w:r>
    </w:p>
    <w:p w14:paraId="5364548B" w14:textId="77777777" w:rsidR="00384690" w:rsidRPr="00102445" w:rsidRDefault="00384690" w:rsidP="00384690">
      <w:pPr>
        <w:pStyle w:val="ListParagraph"/>
        <w:shd w:val="clear" w:color="auto" w:fill="FFFFFF" w:themeFill="background1"/>
        <w:spacing w:line="240" w:lineRule="auto"/>
        <w:ind w:left="567"/>
        <w:contextualSpacing w:val="0"/>
        <w:rPr>
          <w:bCs/>
          <w:szCs w:val="24"/>
          <w:lang w:eastAsia="en-AU"/>
        </w:rPr>
      </w:pPr>
      <w:r w:rsidRPr="00102445">
        <w:rPr>
          <w:bCs/>
          <w:szCs w:val="24"/>
          <w:lang w:eastAsia="en-AU"/>
        </w:rPr>
        <w:t>where:</w:t>
      </w:r>
    </w:p>
    <w:p w14:paraId="4B0C2AC4" w14:textId="77777777" w:rsidR="00384690" w:rsidRPr="00102445" w:rsidRDefault="00384690" w:rsidP="00384690">
      <w:pPr>
        <w:pStyle w:val="Definition"/>
        <w:ind w:left="567"/>
        <w:rPr>
          <w:sz w:val="24"/>
          <w:szCs w:val="24"/>
        </w:rPr>
      </w:pPr>
      <w:r w:rsidRPr="00102445">
        <w:rPr>
          <w:i/>
          <w:sz w:val="24"/>
          <w:szCs w:val="24"/>
        </w:rPr>
        <w:t>ERC</w:t>
      </w:r>
      <w:r w:rsidRPr="00102445">
        <w:rPr>
          <w:sz w:val="24"/>
          <w:szCs w:val="24"/>
        </w:rPr>
        <w:t xml:space="preserve"> is the emissions reduction contribution for the facility for the financial year;</w:t>
      </w:r>
    </w:p>
    <w:p w14:paraId="2CD18BFA" w14:textId="77777777" w:rsidR="00384690" w:rsidRPr="00102445" w:rsidRDefault="00384690" w:rsidP="00384690">
      <w:pPr>
        <w:pStyle w:val="Definition"/>
        <w:ind w:left="567"/>
        <w:rPr>
          <w:sz w:val="24"/>
          <w:szCs w:val="24"/>
        </w:rPr>
      </w:pPr>
      <w:r w:rsidRPr="00102445">
        <w:rPr>
          <w:i/>
          <w:sz w:val="24"/>
          <w:szCs w:val="24"/>
        </w:rPr>
        <w:t>p</w:t>
      </w:r>
      <w:r w:rsidRPr="00102445">
        <w:rPr>
          <w:sz w:val="24"/>
          <w:szCs w:val="24"/>
        </w:rPr>
        <w:t xml:space="preserve"> is a production variable for the facility for the financial year;</w:t>
      </w:r>
    </w:p>
    <w:p w14:paraId="0053FA39" w14:textId="77777777" w:rsidR="0038504B" w:rsidRPr="00102445" w:rsidRDefault="0038504B" w:rsidP="0038504B">
      <w:pPr>
        <w:pStyle w:val="ListParagraph"/>
        <w:shd w:val="clear" w:color="auto" w:fill="FFFFFF" w:themeFill="background1"/>
        <w:spacing w:line="240" w:lineRule="auto"/>
        <w:ind w:left="567"/>
        <w:contextualSpacing w:val="0"/>
        <w:rPr>
          <w:szCs w:val="24"/>
          <w:lang w:eastAsia="en-AU"/>
        </w:rPr>
      </w:pPr>
      <w:r w:rsidRPr="00102445">
        <w:rPr>
          <w:bCs/>
          <w:i/>
          <w:szCs w:val="24"/>
        </w:rPr>
        <w:t>EI</w:t>
      </w:r>
      <w:r w:rsidRPr="00102445">
        <w:rPr>
          <w:i/>
          <w:szCs w:val="24"/>
          <w:vertAlign w:val="subscript"/>
        </w:rPr>
        <w:t>B,p</w:t>
      </w:r>
      <w:r w:rsidRPr="00102445">
        <w:rPr>
          <w:szCs w:val="24"/>
        </w:rPr>
        <w:t xml:space="preserve"> is the </w:t>
      </w:r>
      <w:r w:rsidRPr="00102445">
        <w:rPr>
          <w:bCs/>
          <w:iCs/>
          <w:szCs w:val="24"/>
        </w:rPr>
        <w:t xml:space="preserve">best practice emissions </w:t>
      </w:r>
      <w:r w:rsidRPr="00102445">
        <w:t xml:space="preserve">intensity number for the production variable </w:t>
      </w:r>
      <w:r w:rsidRPr="00102445">
        <w:rPr>
          <w:i/>
          <w:iCs/>
        </w:rPr>
        <w:t>p</w:t>
      </w:r>
      <w:r w:rsidRPr="00102445">
        <w:t xml:space="preserve"> for the financial year, and is the default emissions intensity number if a best practice emissions intensity number is not in place;</w:t>
      </w:r>
    </w:p>
    <w:p w14:paraId="1C95EF6F" w14:textId="02725329" w:rsidR="00384690" w:rsidRPr="00102445" w:rsidRDefault="00384690" w:rsidP="00487688">
      <w:pPr>
        <w:pStyle w:val="ListParagraph"/>
        <w:shd w:val="clear" w:color="auto" w:fill="FFFFFF" w:themeFill="background1"/>
        <w:spacing w:line="240" w:lineRule="auto"/>
        <w:ind w:left="567"/>
        <w:contextualSpacing w:val="0"/>
        <w:rPr>
          <w:szCs w:val="24"/>
          <w:lang w:eastAsia="en-AU"/>
        </w:rPr>
      </w:pPr>
      <w:r w:rsidRPr="00102445">
        <w:rPr>
          <w:bCs/>
          <w:i/>
          <w:szCs w:val="24"/>
        </w:rPr>
        <w:t>Q</w:t>
      </w:r>
      <w:r w:rsidRPr="00102445">
        <w:rPr>
          <w:i/>
          <w:szCs w:val="24"/>
          <w:vertAlign w:val="subscript"/>
        </w:rPr>
        <w:t>p</w:t>
      </w:r>
      <w:r w:rsidRPr="00102445">
        <w:rPr>
          <w:bCs/>
          <w:iCs/>
          <w:szCs w:val="24"/>
        </w:rPr>
        <w:t xml:space="preserve"> is the </w:t>
      </w:r>
      <w:r w:rsidRPr="00102445">
        <w:t xml:space="preserve">quantity of the production variable </w:t>
      </w:r>
      <w:r w:rsidRPr="00102445">
        <w:rPr>
          <w:i/>
        </w:rPr>
        <w:t>p</w:t>
      </w:r>
      <w:r w:rsidRPr="00102445">
        <w:t xml:space="preserve"> for the facility for the financial year</w:t>
      </w:r>
      <w:r w:rsidR="00867F99" w:rsidRPr="00102445">
        <w:t>;</w:t>
      </w:r>
      <w:r w:rsidRPr="00102445">
        <w:t xml:space="preserve"> </w:t>
      </w:r>
      <w:r w:rsidRPr="00102445">
        <w:rPr>
          <w:bCs/>
          <w:szCs w:val="24"/>
          <w:lang w:eastAsia="en-AU"/>
        </w:rPr>
        <w:t>and</w:t>
      </w:r>
    </w:p>
    <w:p w14:paraId="3F0F2A4D" w14:textId="77777777" w:rsidR="00384690" w:rsidRPr="00102445" w:rsidRDefault="00384690" w:rsidP="00384690">
      <w:pPr>
        <w:pStyle w:val="ListParagraph"/>
        <w:shd w:val="clear" w:color="auto" w:fill="FFFFFF" w:themeFill="background1"/>
        <w:spacing w:line="240" w:lineRule="auto"/>
        <w:ind w:left="567"/>
        <w:contextualSpacing w:val="0"/>
        <w:rPr>
          <w:bCs/>
          <w:szCs w:val="24"/>
          <w:lang w:eastAsia="en-AU"/>
        </w:rPr>
      </w:pPr>
      <w:r w:rsidRPr="00102445">
        <w:rPr>
          <w:bCs/>
          <w:i/>
          <w:iCs/>
          <w:szCs w:val="24"/>
          <w:lang w:eastAsia="en-AU"/>
        </w:rPr>
        <w:t>BA</w:t>
      </w:r>
      <w:r w:rsidRPr="00102445">
        <w:t xml:space="preserve"> is the borrowing adjustment for the facility for the financial year</w:t>
      </w:r>
      <w:r w:rsidRPr="00102445">
        <w:rPr>
          <w:bCs/>
          <w:szCs w:val="24"/>
          <w:lang w:eastAsia="en-AU"/>
        </w:rPr>
        <w:t>.</w:t>
      </w:r>
    </w:p>
    <w:p w14:paraId="13F01E7D" w14:textId="01DB742B" w:rsidR="00384690" w:rsidRPr="00102445" w:rsidRDefault="008E76BD"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t>The number worked out using the formula in subsection (1) is to be rounded to the nearest whole number.</w:t>
      </w:r>
    </w:p>
    <w:p w14:paraId="60F64FD6" w14:textId="652E0E9E" w:rsidR="00430AC7" w:rsidRPr="00102445" w:rsidRDefault="00430AC7" w:rsidP="007D11FC">
      <w:pPr>
        <w:pStyle w:val="Heading5"/>
      </w:pPr>
      <w:r w:rsidRPr="00102445">
        <w:t>Division 4 – Landfill facilities</w:t>
      </w:r>
    </w:p>
    <w:p w14:paraId="662E5C22" w14:textId="16716CF7" w:rsidR="000A0C19" w:rsidRPr="00102445" w:rsidRDefault="00430AC7"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lang w:eastAsia="en-AU"/>
        </w:rPr>
        <w:t xml:space="preserve">Section </w:t>
      </w:r>
      <w:r w:rsidR="00EB648D" w:rsidRPr="00102445">
        <w:rPr>
          <w:lang w:eastAsia="en-AU"/>
        </w:rPr>
        <w:t xml:space="preserve">30 </w:t>
      </w:r>
      <w:r w:rsidRPr="00102445">
        <w:rPr>
          <w:lang w:eastAsia="en-AU"/>
        </w:rPr>
        <w:t>provides the formula for determining a baseline emissions number, in t</w:t>
      </w:r>
      <w:r w:rsidR="00BA03EB" w:rsidRPr="00102445">
        <w:rPr>
          <w:lang w:eastAsia="en-AU"/>
        </w:rPr>
        <w:t> </w:t>
      </w:r>
      <w:r w:rsidRPr="00102445">
        <w:rPr>
          <w:lang w:eastAsia="en-AU"/>
        </w:rPr>
        <w:t>CO</w:t>
      </w:r>
      <w:r w:rsidRPr="00102445">
        <w:rPr>
          <w:vertAlign w:val="subscript"/>
          <w:lang w:eastAsia="en-AU"/>
        </w:rPr>
        <w:t>2</w:t>
      </w:r>
      <w:r w:rsidR="00E26F2D" w:rsidRPr="00102445">
        <w:rPr>
          <w:lang w:eastAsia="en-AU"/>
        </w:rPr>
        <w:noBreakHyphen/>
      </w:r>
      <w:r w:rsidRPr="00102445">
        <w:rPr>
          <w:lang w:eastAsia="en-AU"/>
        </w:rPr>
        <w:t>e,</w:t>
      </w:r>
      <w:r w:rsidRPr="00102445">
        <w:t xml:space="preserve"> for a landfill facility, for a financial year, rounded to the nearest whole number</w:t>
      </w:r>
      <w:r w:rsidRPr="00102445">
        <w:rPr>
          <w:lang w:eastAsia="en-AU"/>
        </w:rPr>
        <w:t xml:space="preserve">. </w:t>
      </w:r>
    </w:p>
    <w:p w14:paraId="04D6F14E" w14:textId="4770F35F" w:rsidR="00CD252A" w:rsidRPr="00102445" w:rsidRDefault="00D30033"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lang w:eastAsia="en-AU"/>
        </w:rPr>
        <w:t xml:space="preserve">The Safeguard Mechanism treats emissions from landfills differently to emissions from other sources due to the unique circumstances of how these emissions are generated. Emissions from waste deposited in a landfill before 1 July 2016 are termed legacy emissions. Legacy emissions are not covered emissions for the purposes the Safeguard Mechanism (as per </w:t>
      </w:r>
      <w:r w:rsidR="00EB648D" w:rsidRPr="00102445">
        <w:rPr>
          <w:lang w:eastAsia="en-AU"/>
        </w:rPr>
        <w:t xml:space="preserve">paragraph </w:t>
      </w:r>
      <w:r w:rsidRPr="00102445">
        <w:rPr>
          <w:lang w:eastAsia="en-AU"/>
        </w:rPr>
        <w:t xml:space="preserve">7(1)(b) and </w:t>
      </w:r>
      <w:r w:rsidR="00EB648D" w:rsidRPr="00102445">
        <w:rPr>
          <w:lang w:eastAsia="en-AU"/>
        </w:rPr>
        <w:t xml:space="preserve">subsection </w:t>
      </w:r>
      <w:r w:rsidRPr="00102445">
        <w:rPr>
          <w:lang w:eastAsia="en-AU"/>
        </w:rPr>
        <w:t xml:space="preserve">7(2) of the </w:t>
      </w:r>
      <w:r w:rsidR="00E26F2D" w:rsidRPr="00102445">
        <w:rPr>
          <w:lang w:eastAsia="en-AU"/>
        </w:rPr>
        <w:t>Safeguard</w:t>
      </w:r>
      <w:r w:rsidRPr="00102445">
        <w:rPr>
          <w:lang w:eastAsia="en-AU"/>
        </w:rPr>
        <w:t xml:space="preserve"> Rule</w:t>
      </w:r>
      <w:r w:rsidR="00E26F2D" w:rsidRPr="00102445">
        <w:rPr>
          <w:lang w:eastAsia="en-AU"/>
        </w:rPr>
        <w:t>s</w:t>
      </w:r>
      <w:r w:rsidRPr="00102445">
        <w:rPr>
          <w:lang w:eastAsia="en-AU"/>
        </w:rPr>
        <w:t xml:space="preserve">). Under the </w:t>
      </w:r>
      <w:r w:rsidR="00E26F2D" w:rsidRPr="00102445">
        <w:rPr>
          <w:lang w:eastAsia="en-AU"/>
        </w:rPr>
        <w:t xml:space="preserve">Safeguard </w:t>
      </w:r>
      <w:r w:rsidR="00E26F2D" w:rsidRPr="00102445">
        <w:rPr>
          <w:lang w:eastAsia="en-AU"/>
        </w:rPr>
        <w:lastRenderedPageBreak/>
        <w:t>Rules</w:t>
      </w:r>
      <w:r w:rsidRPr="00102445">
        <w:rPr>
          <w:lang w:eastAsia="en-AU"/>
        </w:rPr>
        <w:t xml:space="preserve">, legacy emissions are ignored when determining if the annual emissions from a landfill exceed the designated large facility threshold specified in section 8 of the </w:t>
      </w:r>
      <w:r w:rsidR="00E26F2D" w:rsidRPr="00102445">
        <w:rPr>
          <w:lang w:eastAsia="en-AU"/>
        </w:rPr>
        <w:t>Safeguard Rules</w:t>
      </w:r>
      <w:r w:rsidRPr="00102445">
        <w:rPr>
          <w:lang w:eastAsia="en-AU"/>
        </w:rPr>
        <w:t>.</w:t>
      </w:r>
      <w:r w:rsidR="00CD0B5E" w:rsidRPr="00102445">
        <w:rPr>
          <w:lang w:eastAsia="en-AU"/>
        </w:rPr>
        <w:t xml:space="preserve"> </w:t>
      </w:r>
    </w:p>
    <w:p w14:paraId="00EDF352" w14:textId="309A1CE4" w:rsidR="00CD252A" w:rsidRPr="00102445" w:rsidRDefault="00CD252A"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t>Landfills also have different baseline setting arrangements to other facilities—calculated from a default capture efficiency rate of 37.2 per cent. This is because landfills provide a service, rather than produce an output, and emissions are generated from waste deposited in the past.</w:t>
      </w:r>
      <w:r w:rsidR="00DB1CFA" w:rsidRPr="00102445">
        <w:t xml:space="preserve"> Many landfills have </w:t>
      </w:r>
      <w:r w:rsidR="003B24E3" w:rsidRPr="00102445">
        <w:t>established</w:t>
      </w:r>
      <w:r w:rsidR="00DB1CFA" w:rsidRPr="00102445">
        <w:t xml:space="preserve"> emissions fund reduction projects</w:t>
      </w:r>
      <w:r w:rsidR="005708D3" w:rsidRPr="00102445">
        <w:t xml:space="preserve">. </w:t>
      </w:r>
    </w:p>
    <w:p w14:paraId="219FE22A" w14:textId="78B0DED2" w:rsidR="00AC2587" w:rsidRPr="00102445" w:rsidRDefault="000D7EE7"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t xml:space="preserve">These differences make landfills </w:t>
      </w:r>
      <w:r w:rsidR="009B6E77" w:rsidRPr="00102445">
        <w:t xml:space="preserve">unsuitable for </w:t>
      </w:r>
      <w:r w:rsidR="009514CD" w:rsidRPr="00102445">
        <w:t xml:space="preserve">SMC generation </w:t>
      </w:r>
      <w:r w:rsidR="00EA4929" w:rsidRPr="00102445">
        <w:t xml:space="preserve">under the </w:t>
      </w:r>
      <w:r w:rsidR="00DB7D89" w:rsidRPr="00102445">
        <w:t>proposed</w:t>
      </w:r>
      <w:r w:rsidR="00EA4929" w:rsidRPr="00102445">
        <w:t xml:space="preserve"> settings</w:t>
      </w:r>
      <w:r w:rsidR="001929ED" w:rsidRPr="00102445">
        <w:t xml:space="preserve">. </w:t>
      </w:r>
      <w:r w:rsidR="00C07D3F" w:rsidRPr="00102445">
        <w:t>It is proposed that l</w:t>
      </w:r>
      <w:r w:rsidR="001929ED" w:rsidRPr="00102445">
        <w:t xml:space="preserve">andfills </w:t>
      </w:r>
      <w:r w:rsidR="00B865F0" w:rsidRPr="00102445">
        <w:t xml:space="preserve">are </w:t>
      </w:r>
      <w:r w:rsidR="00AC2587" w:rsidRPr="00102445">
        <w:rPr>
          <w:rFonts w:eastAsia="Times New Roman" w:cs="Times New Roman"/>
          <w:lang w:eastAsia="en-AU"/>
        </w:rPr>
        <w:t xml:space="preserve">not eligible to generate </w:t>
      </w:r>
      <w:r w:rsidR="001929ED" w:rsidRPr="00102445">
        <w:rPr>
          <w:rFonts w:eastAsia="Times New Roman" w:cs="Times New Roman"/>
          <w:lang w:eastAsia="en-AU"/>
        </w:rPr>
        <w:t>SMCs</w:t>
      </w:r>
      <w:r w:rsidR="00AC2587" w:rsidRPr="00102445">
        <w:rPr>
          <w:rFonts w:eastAsia="Times New Roman" w:cs="Times New Roman"/>
          <w:lang w:eastAsia="en-AU"/>
        </w:rPr>
        <w:t xml:space="preserve"> from 2023-24 to 2025-26</w:t>
      </w:r>
      <w:r w:rsidR="00C07D3F" w:rsidRPr="00102445">
        <w:rPr>
          <w:rFonts w:eastAsia="Times New Roman" w:cs="Times New Roman"/>
          <w:lang w:eastAsia="en-AU"/>
        </w:rPr>
        <w:t xml:space="preserve">, </w:t>
      </w:r>
      <w:r w:rsidR="00E92957" w:rsidRPr="00102445">
        <w:rPr>
          <w:rFonts w:eastAsia="Times New Roman" w:cs="Times New Roman"/>
          <w:lang w:eastAsia="en-AU"/>
        </w:rPr>
        <w:t>but</w:t>
      </w:r>
      <w:r w:rsidR="00CF5C7F" w:rsidRPr="00102445">
        <w:rPr>
          <w:rFonts w:eastAsia="Times New Roman" w:cs="Times New Roman"/>
          <w:lang w:eastAsia="en-AU"/>
        </w:rPr>
        <w:t xml:space="preserve"> </w:t>
      </w:r>
      <w:r w:rsidR="001C3E30" w:rsidRPr="00102445">
        <w:rPr>
          <w:rFonts w:eastAsia="Times New Roman" w:cs="Times New Roman"/>
          <w:lang w:eastAsia="en-AU"/>
        </w:rPr>
        <w:t>l</w:t>
      </w:r>
      <w:r w:rsidR="001C3E30" w:rsidRPr="00102445">
        <w:t>ong-</w:t>
      </w:r>
      <w:r w:rsidR="00CF5C7F" w:rsidRPr="00102445">
        <w:t>term arrangements for landfills covered by the Safeguard Mechanism will be considered during the period 2023-24 to 2025-26</w:t>
      </w:r>
      <w:r w:rsidR="003B5D66" w:rsidRPr="00102445">
        <w:t>, prior to the 2026-27 Safeguard Mechanism review</w:t>
      </w:r>
      <w:r w:rsidR="00CF5C7F" w:rsidRPr="00102445">
        <w:t>.</w:t>
      </w:r>
    </w:p>
    <w:p w14:paraId="0BDA9438" w14:textId="186DF17C" w:rsidR="001F759D" w:rsidRPr="00102445" w:rsidRDefault="001F759D" w:rsidP="00591A9C">
      <w:pPr>
        <w:pStyle w:val="ListParagraph"/>
        <w:keepNext/>
        <w:numPr>
          <w:ilvl w:val="0"/>
          <w:numId w:val="2"/>
        </w:numPr>
        <w:shd w:val="clear" w:color="auto" w:fill="FFFFFF" w:themeFill="background1"/>
        <w:spacing w:line="240" w:lineRule="auto"/>
        <w:ind w:left="851"/>
        <w:contextualSpacing w:val="0"/>
        <w:rPr>
          <w:lang w:eastAsia="en-AU"/>
        </w:rPr>
      </w:pPr>
      <w:r w:rsidRPr="00102445">
        <w:t xml:space="preserve">The </w:t>
      </w:r>
      <w:r w:rsidR="218E845B" w:rsidRPr="00102445">
        <w:t>formula</w:t>
      </w:r>
      <w:r w:rsidR="780F5999" w:rsidRPr="00102445">
        <w:t xml:space="preserve"> provided at</w:t>
      </w:r>
      <w:r w:rsidRPr="00102445">
        <w:t xml:space="preserve"> </w:t>
      </w:r>
      <w:r w:rsidR="2D41FC83" w:rsidRPr="00102445">
        <w:t xml:space="preserve">section </w:t>
      </w:r>
      <w:r w:rsidR="00EB648D" w:rsidRPr="00102445">
        <w:t xml:space="preserve">30 </w:t>
      </w:r>
      <w:r w:rsidRPr="00102445">
        <w:t>to calculate a baseline emissions number for a landfill is:</w:t>
      </w:r>
    </w:p>
    <w:p w14:paraId="488E8184" w14:textId="4DBFAA1D" w:rsidR="00F358B3" w:rsidRPr="00102445" w:rsidRDefault="00A14043" w:rsidP="71F08FFD">
      <w:pPr>
        <w:pStyle w:val="ListParagraph"/>
        <w:shd w:val="clear" w:color="auto" w:fill="FFFFFF" w:themeFill="background1"/>
        <w:spacing w:line="240" w:lineRule="auto"/>
        <w:ind w:left="567"/>
        <w:rPr>
          <w:rFonts w:eastAsia="Times New Roman" w:cs="Times New Roman"/>
          <w:lang w:eastAsia="en-AU"/>
        </w:rPr>
      </w:pPr>
      <w:r>
        <w:rPr>
          <w:position w:val="-12"/>
        </w:rPr>
        <w:pict w14:anchorId="7A606B4D">
          <v:shape id="_x0000_i1027" type="#_x0000_t75" alt="Formula to calculate a baseline emissions number for a landfill." style="width:263.6pt;height:24.4pt;mso-position-horizontal:absolute">
            <v:imagedata r:id="rId19" o:title=""/>
          </v:shape>
        </w:pict>
      </w:r>
    </w:p>
    <w:p w14:paraId="2059B273" w14:textId="77777777" w:rsidR="00D30033" w:rsidRPr="00102445" w:rsidRDefault="00D30033" w:rsidP="00887C1E">
      <w:pPr>
        <w:pStyle w:val="ListParagraph"/>
        <w:shd w:val="clear" w:color="auto" w:fill="FFFFFF" w:themeFill="background1"/>
        <w:spacing w:line="240" w:lineRule="auto"/>
        <w:ind w:left="567"/>
        <w:contextualSpacing w:val="0"/>
        <w:rPr>
          <w:lang w:eastAsia="en-AU"/>
        </w:rPr>
      </w:pPr>
      <w:r w:rsidRPr="00102445">
        <w:rPr>
          <w:lang w:eastAsia="en-AU"/>
        </w:rPr>
        <w:t>where:</w:t>
      </w:r>
    </w:p>
    <w:p w14:paraId="2C1F968F" w14:textId="77777777" w:rsidR="00D30033" w:rsidRPr="00102445" w:rsidRDefault="00D30033" w:rsidP="003B5D66">
      <w:pPr>
        <w:pStyle w:val="ListParagraph"/>
        <w:shd w:val="clear" w:color="auto" w:fill="FFFFFF" w:themeFill="background1"/>
        <w:spacing w:line="240" w:lineRule="auto"/>
        <w:ind w:left="567"/>
        <w:contextualSpacing w:val="0"/>
        <w:rPr>
          <w:lang w:eastAsia="en-AU"/>
        </w:rPr>
      </w:pPr>
      <w:r w:rsidRPr="00102445">
        <w:rPr>
          <w:i/>
          <w:iCs/>
          <w:lang w:eastAsia="en-AU"/>
        </w:rPr>
        <w:t>ERC</w:t>
      </w:r>
      <w:r w:rsidRPr="00102445">
        <w:rPr>
          <w:lang w:eastAsia="en-AU"/>
        </w:rPr>
        <w:t xml:space="preserve"> is the emissions reduction contribution for the facility for the financial year.</w:t>
      </w:r>
    </w:p>
    <w:p w14:paraId="52DFA8F1" w14:textId="77777777" w:rsidR="00D30033" w:rsidRPr="00102445" w:rsidRDefault="00D30033" w:rsidP="003B5D66">
      <w:pPr>
        <w:pStyle w:val="ListParagraph"/>
        <w:shd w:val="clear" w:color="auto" w:fill="FFFFFF" w:themeFill="background1"/>
        <w:spacing w:line="240" w:lineRule="auto"/>
        <w:ind w:left="567"/>
        <w:contextualSpacing w:val="0"/>
        <w:rPr>
          <w:lang w:eastAsia="en-AU"/>
        </w:rPr>
      </w:pPr>
      <w:r w:rsidRPr="00102445">
        <w:rPr>
          <w:i/>
          <w:iCs/>
          <w:lang w:eastAsia="en-AU"/>
        </w:rPr>
        <w:t>NLCH</w:t>
      </w:r>
      <w:r w:rsidRPr="00102445">
        <w:rPr>
          <w:i/>
          <w:iCs/>
          <w:vertAlign w:val="subscript"/>
          <w:lang w:eastAsia="en-AU"/>
        </w:rPr>
        <w:t>4</w:t>
      </w:r>
      <w:r w:rsidRPr="00102445">
        <w:rPr>
          <w:lang w:eastAsia="en-AU"/>
        </w:rPr>
        <w:t xml:space="preserve"> is the number of tonnes of carbon dioxide equivalence of scope 1 greenhouse gases that would be emitted by the facility if emissions were not captured, and oxidation did not occur, at the facility during the financial year.</w:t>
      </w:r>
    </w:p>
    <w:p w14:paraId="6960F9D8" w14:textId="77777777" w:rsidR="00D30033" w:rsidRPr="00102445" w:rsidRDefault="00D30033" w:rsidP="003B5D66">
      <w:pPr>
        <w:pStyle w:val="ListParagraph"/>
        <w:shd w:val="clear" w:color="auto" w:fill="FFFFFF" w:themeFill="background1"/>
        <w:spacing w:line="240" w:lineRule="auto"/>
        <w:ind w:left="567"/>
        <w:contextualSpacing w:val="0"/>
        <w:rPr>
          <w:lang w:eastAsia="en-AU"/>
        </w:rPr>
      </w:pPr>
      <w:r w:rsidRPr="00102445">
        <w:rPr>
          <w:i/>
          <w:iCs/>
          <w:lang w:eastAsia="en-AU"/>
        </w:rPr>
        <w:t>CER</w:t>
      </w:r>
      <w:r w:rsidRPr="00102445">
        <w:rPr>
          <w:lang w:eastAsia="en-AU"/>
        </w:rPr>
        <w:t xml:space="preserve"> (known as the capture efficiency rate) is 0.372.</w:t>
      </w:r>
    </w:p>
    <w:p w14:paraId="485DBA92" w14:textId="77777777" w:rsidR="00D30033" w:rsidRPr="00102445" w:rsidRDefault="00D30033" w:rsidP="003B5D66">
      <w:pPr>
        <w:pStyle w:val="ListParagraph"/>
        <w:shd w:val="clear" w:color="auto" w:fill="FFFFFF" w:themeFill="background1"/>
        <w:spacing w:line="240" w:lineRule="auto"/>
        <w:ind w:left="567"/>
        <w:contextualSpacing w:val="0"/>
        <w:rPr>
          <w:lang w:eastAsia="en-AU"/>
        </w:rPr>
      </w:pPr>
      <w:r w:rsidRPr="00102445">
        <w:rPr>
          <w:i/>
          <w:iCs/>
          <w:lang w:eastAsia="en-AU"/>
        </w:rPr>
        <w:t>OF</w:t>
      </w:r>
      <w:r w:rsidRPr="00102445">
        <w:rPr>
          <w:lang w:eastAsia="en-AU"/>
        </w:rPr>
        <w:t xml:space="preserve"> is the oxidation factor specified in section 5.4 of the NGER (Measurement) Determination (as in force at the start of the financial year) for near surface methane in landfill.</w:t>
      </w:r>
    </w:p>
    <w:p w14:paraId="75F86159" w14:textId="2107B929" w:rsidR="00D30033" w:rsidRPr="00102445" w:rsidRDefault="00D30033" w:rsidP="003B5D66">
      <w:pPr>
        <w:pStyle w:val="ListParagraph"/>
        <w:shd w:val="clear" w:color="auto" w:fill="FFFFFF" w:themeFill="background1"/>
        <w:spacing w:line="240" w:lineRule="auto"/>
        <w:ind w:left="567"/>
        <w:contextualSpacing w:val="0"/>
        <w:rPr>
          <w:lang w:eastAsia="en-AU"/>
        </w:rPr>
      </w:pPr>
      <w:r w:rsidRPr="00102445">
        <w:rPr>
          <w:i/>
          <w:iCs/>
          <w:lang w:eastAsia="en-AU"/>
        </w:rPr>
        <w:t>BA</w:t>
      </w:r>
      <w:r w:rsidRPr="00102445">
        <w:rPr>
          <w:lang w:eastAsia="en-AU"/>
        </w:rPr>
        <w:t xml:space="preserve"> is the borrowing adjustment for the facility for the financial year.</w:t>
      </w:r>
    </w:p>
    <w:p w14:paraId="13DF7F26" w14:textId="223DEB6B" w:rsidR="00430AC7" w:rsidRPr="00102445" w:rsidRDefault="00430AC7" w:rsidP="007D11FC">
      <w:pPr>
        <w:pStyle w:val="Heading5"/>
      </w:pPr>
      <w:r w:rsidRPr="00102445">
        <w:t>Division 5 – Emissions reduction contribution</w:t>
      </w:r>
    </w:p>
    <w:p w14:paraId="6F6FFF3D" w14:textId="7B970638" w:rsidR="00731B02" w:rsidRPr="00102445" w:rsidRDefault="00AF5665"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The </w:t>
      </w:r>
      <w:r w:rsidR="00DE433C" w:rsidRPr="00102445">
        <w:rPr>
          <w:lang w:eastAsia="en-AU"/>
        </w:rPr>
        <w:t xml:space="preserve">emissions reduction contribution </w:t>
      </w:r>
      <w:r w:rsidR="007C0745" w:rsidRPr="00102445">
        <w:rPr>
          <w:lang w:eastAsia="en-AU"/>
        </w:rPr>
        <w:t xml:space="preserve">represents the baseline decline rate and </w:t>
      </w:r>
      <w:r w:rsidR="003417E9" w:rsidRPr="00102445">
        <w:rPr>
          <w:lang w:eastAsia="en-AU"/>
        </w:rPr>
        <w:t>is</w:t>
      </w:r>
      <w:r w:rsidR="00DE433C" w:rsidRPr="00102445">
        <w:rPr>
          <w:lang w:eastAsia="en-AU"/>
        </w:rPr>
        <w:t xml:space="preserve"> </w:t>
      </w:r>
      <w:r w:rsidR="007C0745" w:rsidRPr="00102445">
        <w:rPr>
          <w:lang w:eastAsia="en-AU"/>
        </w:rPr>
        <w:t>a</w:t>
      </w:r>
      <w:r w:rsidR="003417E9" w:rsidRPr="00102445">
        <w:rPr>
          <w:lang w:eastAsia="en-AU"/>
        </w:rPr>
        <w:t xml:space="preserve"> </w:t>
      </w:r>
      <w:r w:rsidR="00DE433C" w:rsidRPr="00102445">
        <w:rPr>
          <w:lang w:eastAsia="en-AU"/>
        </w:rPr>
        <w:t xml:space="preserve">key input </w:t>
      </w:r>
      <w:r w:rsidR="007C0745" w:rsidRPr="00102445">
        <w:rPr>
          <w:lang w:eastAsia="en-AU"/>
        </w:rPr>
        <w:t>for</w:t>
      </w:r>
      <w:r w:rsidR="00DE433C" w:rsidRPr="00102445">
        <w:rPr>
          <w:lang w:eastAsia="en-AU"/>
        </w:rPr>
        <w:t xml:space="preserve"> the baseline </w:t>
      </w:r>
      <w:r w:rsidR="003417E9" w:rsidRPr="00102445">
        <w:rPr>
          <w:lang w:eastAsia="en-AU"/>
        </w:rPr>
        <w:t>emissions number calculation.</w:t>
      </w:r>
      <w:r w:rsidR="007C0745" w:rsidRPr="00102445">
        <w:rPr>
          <w:lang w:eastAsia="en-AU"/>
        </w:rPr>
        <w:t xml:space="preserve"> </w:t>
      </w:r>
      <w:r w:rsidR="00731B02" w:rsidRPr="00102445">
        <w:rPr>
          <w:bCs/>
          <w:lang w:eastAsia="en-AU"/>
        </w:rPr>
        <w:t xml:space="preserve">For each </w:t>
      </w:r>
      <w:r w:rsidR="00C073D5" w:rsidRPr="00102445">
        <w:rPr>
          <w:bCs/>
          <w:lang w:eastAsia="en-AU"/>
        </w:rPr>
        <w:t>facility</w:t>
      </w:r>
      <w:r w:rsidR="00C1613C" w:rsidRPr="00102445">
        <w:rPr>
          <w:bCs/>
          <w:lang w:eastAsia="en-AU"/>
        </w:rPr>
        <w:t xml:space="preserve"> </w:t>
      </w:r>
      <w:r w:rsidR="00B04D2D" w:rsidRPr="00102445">
        <w:rPr>
          <w:bCs/>
          <w:lang w:eastAsia="en-AU"/>
        </w:rPr>
        <w:t>for the</w:t>
      </w:r>
      <w:r w:rsidR="00341E39" w:rsidRPr="00102445">
        <w:rPr>
          <w:bCs/>
          <w:lang w:eastAsia="en-AU"/>
        </w:rPr>
        <w:t xml:space="preserve"> financial year</w:t>
      </w:r>
      <w:r w:rsidR="00731B02" w:rsidRPr="00102445">
        <w:rPr>
          <w:bCs/>
          <w:lang w:eastAsia="en-AU"/>
        </w:rPr>
        <w:t xml:space="preserve">, a component of its baseline will be set by </w:t>
      </w:r>
      <w:r w:rsidR="00731B02" w:rsidRPr="00102445">
        <w:t>multiplying the quantity of the production variable for the facility by an emissions intensity and by the ‘emissions reduction contribution’ for the financial year. The emissions reduction contribution is a multiplier that implements baseline decline.</w:t>
      </w:r>
    </w:p>
    <w:p w14:paraId="788EE94C" w14:textId="7F56DC94" w:rsidR="00430AC7" w:rsidRPr="00102445" w:rsidRDefault="00430AC7" w:rsidP="009025A7">
      <w:pPr>
        <w:pStyle w:val="Heading6"/>
      </w:pPr>
      <w:r w:rsidRPr="00102445">
        <w:t xml:space="preserve">Subdivision A – Default values </w:t>
      </w:r>
    </w:p>
    <w:p w14:paraId="42590D9B" w14:textId="58D644EB" w:rsidR="00430AC7" w:rsidRPr="00102445" w:rsidRDefault="00430AC7"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lang w:eastAsia="en-AU"/>
        </w:rPr>
        <w:t xml:space="preserve">The table in Section </w:t>
      </w:r>
      <w:r w:rsidR="00C3170E" w:rsidRPr="00102445">
        <w:rPr>
          <w:lang w:eastAsia="en-AU"/>
        </w:rPr>
        <w:t xml:space="preserve">31 </w:t>
      </w:r>
      <w:r w:rsidRPr="00102445">
        <w:rPr>
          <w:lang w:eastAsia="en-AU"/>
        </w:rPr>
        <w:t xml:space="preserve">specifies the default emissions reduction contribution </w:t>
      </w:r>
      <w:r w:rsidR="00D72781" w:rsidRPr="00102445">
        <w:rPr>
          <w:lang w:eastAsia="en-AU"/>
        </w:rPr>
        <w:t xml:space="preserve">number </w:t>
      </w:r>
      <w:r w:rsidRPr="00102445">
        <w:rPr>
          <w:lang w:eastAsia="en-AU"/>
        </w:rPr>
        <w:t xml:space="preserve">for a financial year. </w:t>
      </w:r>
      <w:r w:rsidR="00D72781" w:rsidRPr="00102445">
        <w:rPr>
          <w:lang w:eastAsia="en-AU"/>
        </w:rPr>
        <w:t>The default emissions reduction contribution number is a key input to baseline calculations. It translates the default decline rate to a form suitable for use in baseline calculations.  For the year beginning 1 July 2023 it equates to 1 minus the default decline rate of 0.049. For each year</w:t>
      </w:r>
      <w:r w:rsidR="00A7693D" w:rsidRPr="00102445">
        <w:rPr>
          <w:lang w:eastAsia="en-AU"/>
        </w:rPr>
        <w:t>,</w:t>
      </w:r>
      <w:r w:rsidR="00D72781" w:rsidRPr="00102445">
        <w:rPr>
          <w:lang w:eastAsia="en-AU"/>
        </w:rPr>
        <w:t xml:space="preserve"> a</w:t>
      </w:r>
      <w:r w:rsidR="00A7693D" w:rsidRPr="00102445">
        <w:rPr>
          <w:lang w:eastAsia="en-AU"/>
        </w:rPr>
        <w:t>n additional</w:t>
      </w:r>
      <w:r w:rsidR="00D72781" w:rsidRPr="00102445">
        <w:rPr>
          <w:lang w:eastAsia="en-AU"/>
        </w:rPr>
        <w:t xml:space="preserve"> 0.049 is subtracted from the default emissions reduction contribution of the previous year</w:t>
      </w:r>
      <w:r w:rsidR="00B323A7" w:rsidRPr="00102445">
        <w:rPr>
          <w:lang w:eastAsia="en-AU"/>
        </w:rPr>
        <w:t xml:space="preserve"> up until 1 July 2030</w:t>
      </w:r>
      <w:r w:rsidR="00D72781" w:rsidRPr="00102445">
        <w:rPr>
          <w:lang w:eastAsia="en-AU"/>
        </w:rPr>
        <w:t>.</w:t>
      </w:r>
      <w:r w:rsidR="00B323A7" w:rsidRPr="00102445">
        <w:rPr>
          <w:lang w:eastAsia="en-AU"/>
        </w:rPr>
        <w:t xml:space="preserve"> For a year beginning on or later than 1 July 2030, </w:t>
      </w:r>
      <w:r w:rsidR="00952A36" w:rsidRPr="00102445">
        <w:rPr>
          <w:lang w:eastAsia="en-AU"/>
        </w:rPr>
        <w:t>it equates to the greater of the</w:t>
      </w:r>
      <w:r w:rsidR="00B11A33" w:rsidRPr="00102445">
        <w:rPr>
          <w:lang w:eastAsia="en-AU"/>
        </w:rPr>
        <w:t xml:space="preserve"> </w:t>
      </w:r>
      <w:r w:rsidR="003420CE" w:rsidRPr="00102445">
        <w:rPr>
          <w:lang w:eastAsia="en-AU"/>
        </w:rPr>
        <w:t xml:space="preserve">default </w:t>
      </w:r>
      <w:r w:rsidR="005E7D5B" w:rsidRPr="00102445">
        <w:rPr>
          <w:lang w:eastAsia="en-AU"/>
        </w:rPr>
        <w:t>emissions</w:t>
      </w:r>
      <w:r w:rsidR="003420CE" w:rsidRPr="00102445">
        <w:rPr>
          <w:lang w:eastAsia="en-AU"/>
        </w:rPr>
        <w:t xml:space="preserve"> reduction contribution for the previous financial year minus</w:t>
      </w:r>
      <w:r w:rsidR="005E7D5B" w:rsidRPr="00102445">
        <w:rPr>
          <w:lang w:eastAsia="en-AU"/>
        </w:rPr>
        <w:t xml:space="preserve"> 0.03285</w:t>
      </w:r>
      <w:r w:rsidR="00952A36" w:rsidRPr="00102445">
        <w:rPr>
          <w:lang w:eastAsia="en-AU"/>
        </w:rPr>
        <w:t xml:space="preserve">, and </w:t>
      </w:r>
      <w:r w:rsidR="00DC43B0" w:rsidRPr="00102445">
        <w:rPr>
          <w:lang w:eastAsia="en-AU"/>
        </w:rPr>
        <w:t>0</w:t>
      </w:r>
      <w:r w:rsidR="00241CEF" w:rsidRPr="00102445">
        <w:rPr>
          <w:lang w:eastAsia="en-AU"/>
        </w:rPr>
        <w:t>.</w:t>
      </w:r>
      <w:r w:rsidR="00005994" w:rsidRPr="00102445">
        <w:rPr>
          <w:lang w:eastAsia="en-AU"/>
        </w:rPr>
        <w:t xml:space="preserve"> </w:t>
      </w:r>
      <w:r w:rsidR="006A4512" w:rsidRPr="00102445">
        <w:rPr>
          <w:lang w:eastAsia="en-AU"/>
        </w:rPr>
        <w:t xml:space="preserve"> </w:t>
      </w:r>
      <w:r w:rsidRPr="00102445">
        <w:rPr>
          <w:lang w:eastAsia="en-AU"/>
        </w:rPr>
        <w:t xml:space="preserve">Column 1 of the table indicates the first day of the </w:t>
      </w:r>
      <w:r w:rsidRPr="00102445">
        <w:rPr>
          <w:lang w:eastAsia="en-AU"/>
        </w:rPr>
        <w:lastRenderedPageBreak/>
        <w:t xml:space="preserve">financial year </w:t>
      </w:r>
      <w:r w:rsidR="006A4512" w:rsidRPr="00102445">
        <w:rPr>
          <w:lang w:eastAsia="en-AU"/>
        </w:rPr>
        <w:t>in which the corresponding default emissions reduction contribution in column 2 applies.</w:t>
      </w:r>
      <w:r w:rsidR="005A34B0" w:rsidRPr="00102445">
        <w:rPr>
          <w:lang w:eastAsia="en-AU"/>
        </w:rPr>
        <w:t xml:space="preserve"> Column 2 of the table specifies the default emissions reduction contribution.</w:t>
      </w:r>
    </w:p>
    <w:p w14:paraId="4081265A" w14:textId="2B09A241" w:rsidR="00C57056" w:rsidRPr="00102445" w:rsidRDefault="00C57056"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 xml:space="preserve">The table in Section </w:t>
      </w:r>
      <w:r w:rsidR="00C3170E" w:rsidRPr="00102445">
        <w:rPr>
          <w:rFonts w:eastAsia="Times New Roman" w:cs="Times New Roman"/>
          <w:lang w:eastAsia="en-AU"/>
        </w:rPr>
        <w:t xml:space="preserve">32 </w:t>
      </w:r>
      <w:r w:rsidRPr="00102445">
        <w:rPr>
          <w:rFonts w:eastAsia="Times New Roman" w:cs="Times New Roman"/>
          <w:lang w:eastAsia="en-AU"/>
        </w:rPr>
        <w:t xml:space="preserve">specifies the default decline rate for a financial year. The default decline rate is a percentage representation of the amount that baselines, and therefore the cap on aggregate </w:t>
      </w:r>
      <w:r w:rsidR="00931591" w:rsidRPr="00102445">
        <w:rPr>
          <w:rFonts w:eastAsia="Times New Roman" w:cs="Times New Roman"/>
          <w:lang w:eastAsia="en-AU"/>
        </w:rPr>
        <w:t xml:space="preserve">net </w:t>
      </w:r>
      <w:r w:rsidRPr="00102445">
        <w:rPr>
          <w:rFonts w:eastAsia="Times New Roman" w:cs="Times New Roman"/>
          <w:lang w:eastAsia="en-AU"/>
        </w:rPr>
        <w:t xml:space="preserve">emissions, are reduced </w:t>
      </w:r>
      <w:r w:rsidR="00931591" w:rsidRPr="00102445">
        <w:rPr>
          <w:rFonts w:eastAsia="Times New Roman" w:cs="Times New Roman"/>
          <w:lang w:eastAsia="en-AU"/>
        </w:rPr>
        <w:t>in</w:t>
      </w:r>
      <w:r w:rsidRPr="00102445">
        <w:rPr>
          <w:rFonts w:eastAsia="Times New Roman" w:cs="Times New Roman"/>
          <w:lang w:eastAsia="en-AU"/>
        </w:rPr>
        <w:t xml:space="preserve"> each financial year</w:t>
      </w:r>
      <w:r w:rsidR="00931591" w:rsidRPr="00102445">
        <w:rPr>
          <w:rFonts w:eastAsia="Times New Roman" w:cs="Times New Roman"/>
          <w:lang w:eastAsia="en-AU"/>
        </w:rPr>
        <w:t>, subject to changes</w:t>
      </w:r>
      <w:r w:rsidR="00096F00" w:rsidRPr="00102445">
        <w:rPr>
          <w:rFonts w:eastAsia="Times New Roman" w:cs="Times New Roman"/>
          <w:lang w:eastAsia="en-AU"/>
        </w:rPr>
        <w:t xml:space="preserve"> in production</w:t>
      </w:r>
      <w:r w:rsidRPr="00102445">
        <w:rPr>
          <w:rFonts w:eastAsia="Times New Roman" w:cs="Times New Roman"/>
          <w:lang w:eastAsia="en-AU"/>
        </w:rPr>
        <w:t xml:space="preserve">. </w:t>
      </w:r>
      <w:r w:rsidR="00E1148C" w:rsidRPr="00102445">
        <w:rPr>
          <w:rFonts w:eastAsia="Times New Roman" w:cs="Times New Roman"/>
          <w:lang w:eastAsia="en-AU"/>
        </w:rPr>
        <w:t xml:space="preserve">The default decline rate is translated for use in baseline calculations </w:t>
      </w:r>
      <w:r w:rsidRPr="00102445">
        <w:rPr>
          <w:rFonts w:eastAsia="Times New Roman" w:cs="Times New Roman"/>
          <w:lang w:eastAsia="en-AU"/>
        </w:rPr>
        <w:t>in the default emissions reduction contribution number.</w:t>
      </w:r>
    </w:p>
    <w:p w14:paraId="08C8CDB9" w14:textId="550FE8A5" w:rsidR="00654804" w:rsidRPr="00102445" w:rsidRDefault="001369CD" w:rsidP="00591A9C">
      <w:pPr>
        <w:pStyle w:val="ListParagraph"/>
        <w:numPr>
          <w:ilvl w:val="0"/>
          <w:numId w:val="2"/>
        </w:numPr>
        <w:spacing w:line="240" w:lineRule="auto"/>
        <w:contextualSpacing w:val="0"/>
        <w:rPr>
          <w:rStyle w:val="normaltextrun"/>
          <w:szCs w:val="24"/>
        </w:rPr>
      </w:pPr>
      <w:r w:rsidRPr="00102445">
        <w:rPr>
          <w:rStyle w:val="normaltextrun"/>
        </w:rPr>
        <w:t>For each financial year in the period that ends on 30 June 2030</w:t>
      </w:r>
      <w:r w:rsidR="006F4BFA" w:rsidRPr="00102445">
        <w:rPr>
          <w:rStyle w:val="normaltextrun"/>
        </w:rPr>
        <w:t xml:space="preserve">, the default decline rate is 0.049, or 4.9 per cent. For each financial year in the period that </w:t>
      </w:r>
      <w:r w:rsidR="00DA7546" w:rsidRPr="00102445">
        <w:rPr>
          <w:rStyle w:val="normaltextrun"/>
        </w:rPr>
        <w:t>begins on 1 July 2030</w:t>
      </w:r>
      <w:r w:rsidR="00F67719" w:rsidRPr="00102445">
        <w:rPr>
          <w:rStyle w:val="normaltextrun"/>
        </w:rPr>
        <w:t xml:space="preserve">, the default decline rate </w:t>
      </w:r>
      <w:r w:rsidR="00FE48B7" w:rsidRPr="00102445">
        <w:rPr>
          <w:rStyle w:val="normaltextrun"/>
        </w:rPr>
        <w:t xml:space="preserve">in 0.03285, or </w:t>
      </w:r>
      <w:r w:rsidR="002C5857" w:rsidRPr="00102445">
        <w:rPr>
          <w:rStyle w:val="normaltextrun"/>
        </w:rPr>
        <w:t>3.285 per cent.</w:t>
      </w:r>
    </w:p>
    <w:p w14:paraId="22C4A793" w14:textId="34E8DF04" w:rsidR="00380F53" w:rsidRPr="00102445" w:rsidRDefault="00380F53" w:rsidP="00591A9C">
      <w:pPr>
        <w:pStyle w:val="ListParagraph"/>
        <w:numPr>
          <w:ilvl w:val="0"/>
          <w:numId w:val="2"/>
        </w:numPr>
        <w:spacing w:line="240" w:lineRule="auto"/>
        <w:contextualSpacing w:val="0"/>
        <w:rPr>
          <w:szCs w:val="24"/>
        </w:rPr>
      </w:pPr>
      <w:r w:rsidRPr="00102445">
        <w:rPr>
          <w:rStyle w:val="normaltextrun"/>
          <w:color w:val="000000"/>
          <w:shd w:val="clear" w:color="auto" w:fill="FFFFFF"/>
        </w:rPr>
        <w:t>The default decline rate</w:t>
      </w:r>
      <w:r w:rsidR="00A9136C" w:rsidRPr="00102445">
        <w:rPr>
          <w:rStyle w:val="normaltextrun"/>
          <w:color w:val="000000" w:themeColor="text1"/>
        </w:rPr>
        <w:t xml:space="preserve"> </w:t>
      </w:r>
      <w:r w:rsidR="00B704D9" w:rsidRPr="00102445">
        <w:rPr>
          <w:rStyle w:val="normaltextrun"/>
          <w:color w:val="000000" w:themeColor="text1"/>
        </w:rPr>
        <w:t xml:space="preserve">to </w:t>
      </w:r>
      <w:r w:rsidR="00010F01" w:rsidRPr="00102445">
        <w:rPr>
          <w:rStyle w:val="normaltextrun"/>
        </w:rPr>
        <w:t>30 June</w:t>
      </w:r>
      <w:r w:rsidR="002C1415" w:rsidRPr="00102445">
        <w:rPr>
          <w:rStyle w:val="normaltextrun"/>
        </w:rPr>
        <w:t xml:space="preserve"> </w:t>
      </w:r>
      <w:r w:rsidR="00D1629D" w:rsidRPr="00102445">
        <w:rPr>
          <w:rStyle w:val="normaltextrun"/>
        </w:rPr>
        <w:t xml:space="preserve">2030 </w:t>
      </w:r>
      <w:r w:rsidR="00D1629D" w:rsidRPr="00102445">
        <w:rPr>
          <w:rStyle w:val="normaltextrun"/>
          <w:color w:val="000000" w:themeColor="text1"/>
        </w:rPr>
        <w:t>is</w:t>
      </w:r>
      <w:r w:rsidRPr="00102445">
        <w:rPr>
          <w:rStyle w:val="normaltextrun"/>
          <w:color w:val="000000"/>
          <w:shd w:val="clear" w:color="auto" w:fill="FFFFFF"/>
        </w:rPr>
        <w:t xml:space="preserve"> based on analysis by the Department of Climate Change, Energy, the Environment </w:t>
      </w:r>
      <w:r w:rsidR="00F23093" w:rsidRPr="00102445">
        <w:rPr>
          <w:rStyle w:val="normaltextrun"/>
          <w:color w:val="000000" w:themeColor="text1"/>
        </w:rPr>
        <w:t xml:space="preserve">and Water </w:t>
      </w:r>
      <w:r w:rsidRPr="00102445">
        <w:rPr>
          <w:rStyle w:val="normaltextrun"/>
          <w:color w:val="000000"/>
          <w:shd w:val="clear" w:color="auto" w:fill="FFFFFF"/>
        </w:rPr>
        <w:t>and that is consistent with total net Safeguard emissions not exceeding a total of 1,233 million tonnes of carbon dioxide equivalence (Mt CO</w:t>
      </w:r>
      <w:r w:rsidRPr="00102445">
        <w:rPr>
          <w:rStyle w:val="normaltextrun"/>
          <w:color w:val="000000"/>
          <w:shd w:val="clear" w:color="auto" w:fill="FFFFFF"/>
          <w:vertAlign w:val="subscript"/>
        </w:rPr>
        <w:t>2</w:t>
      </w:r>
      <w:r w:rsidRPr="00102445">
        <w:rPr>
          <w:rStyle w:val="normaltextrun"/>
          <w:color w:val="000000"/>
          <w:shd w:val="clear" w:color="auto" w:fill="FFFFFF"/>
        </w:rPr>
        <w:t xml:space="preserve">-e) between 1 July 2020 and 30 June 2030. It is also consistent with net Safeguard emissions declining to no more than 100 </w:t>
      </w:r>
      <w:r w:rsidRPr="00102445">
        <w:rPr>
          <w:rStyle w:val="normaltextrun"/>
        </w:rPr>
        <w:t>Mt CO</w:t>
      </w:r>
      <w:r w:rsidRPr="00102445">
        <w:rPr>
          <w:rStyle w:val="normaltextrun"/>
          <w:vertAlign w:val="subscript"/>
        </w:rPr>
        <w:t>2</w:t>
      </w:r>
      <w:r w:rsidRPr="00102445">
        <w:rPr>
          <w:rStyle w:val="normaltextrun"/>
        </w:rPr>
        <w:t xml:space="preserve">-e </w:t>
      </w:r>
      <w:r w:rsidRPr="00102445">
        <w:rPr>
          <w:rStyle w:val="normaltextrun"/>
          <w:color w:val="000000"/>
          <w:shd w:val="clear" w:color="auto" w:fill="FFFFFF"/>
        </w:rPr>
        <w:t>by the financial year beginning on 1 July 2029 and zero by the financial year beginning 30 June 2049. </w:t>
      </w:r>
      <w:r w:rsidRPr="00102445">
        <w:rPr>
          <w:rStyle w:val="eop"/>
          <w:color w:val="000000"/>
          <w:shd w:val="clear" w:color="auto" w:fill="FFFFFF"/>
        </w:rPr>
        <w:t> </w:t>
      </w:r>
    </w:p>
    <w:p w14:paraId="3477CBE0" w14:textId="4547372C" w:rsidR="00380F53" w:rsidRPr="00102445" w:rsidRDefault="00380F53" w:rsidP="00591A9C">
      <w:pPr>
        <w:pStyle w:val="paragraph"/>
        <w:numPr>
          <w:ilvl w:val="0"/>
          <w:numId w:val="2"/>
        </w:numPr>
        <w:spacing w:before="200"/>
        <w:textAlignment w:val="baseline"/>
        <w:rPr>
          <w:rStyle w:val="eop"/>
          <w:sz w:val="24"/>
          <w:szCs w:val="24"/>
        </w:rPr>
      </w:pPr>
      <w:r w:rsidRPr="00102445">
        <w:rPr>
          <w:rStyle w:val="normaltextrun"/>
          <w:sz w:val="24"/>
          <w:szCs w:val="24"/>
        </w:rPr>
        <w:t xml:space="preserve">The default decline rate to </w:t>
      </w:r>
      <w:r w:rsidR="004D4D88" w:rsidRPr="00102445">
        <w:rPr>
          <w:rStyle w:val="normaltextrun"/>
          <w:sz w:val="24"/>
          <w:szCs w:val="24"/>
        </w:rPr>
        <w:t>30 June</w:t>
      </w:r>
      <w:r w:rsidR="00E9173B" w:rsidRPr="00102445">
        <w:rPr>
          <w:rStyle w:val="normaltextrun"/>
          <w:sz w:val="24"/>
          <w:szCs w:val="24"/>
        </w:rPr>
        <w:t xml:space="preserve"> </w:t>
      </w:r>
      <w:r w:rsidRPr="00102445">
        <w:rPr>
          <w:rStyle w:val="normaltextrun"/>
          <w:sz w:val="24"/>
          <w:szCs w:val="24"/>
        </w:rPr>
        <w:t>2030 is</w:t>
      </w:r>
      <w:r w:rsidR="00D1629D" w:rsidRPr="00102445">
        <w:rPr>
          <w:rStyle w:val="normaltextrun"/>
          <w:sz w:val="24"/>
          <w:szCs w:val="24"/>
        </w:rPr>
        <w:t xml:space="preserve"> </w:t>
      </w:r>
      <w:r w:rsidRPr="00102445">
        <w:rPr>
          <w:rStyle w:val="normaltextrun"/>
          <w:sz w:val="24"/>
          <w:szCs w:val="24"/>
        </w:rPr>
        <w:t xml:space="preserve">based on projected Safeguard emissions from </w:t>
      </w:r>
      <w:r w:rsidRPr="00102445">
        <w:rPr>
          <w:rStyle w:val="normaltextrun"/>
          <w:i/>
          <w:iCs/>
          <w:sz w:val="24"/>
          <w:szCs w:val="24"/>
        </w:rPr>
        <w:t>Australia’s emissions projections 2022</w:t>
      </w:r>
      <w:r w:rsidRPr="00102445">
        <w:rPr>
          <w:rStyle w:val="normaltextrun"/>
          <w:sz w:val="24"/>
          <w:szCs w:val="24"/>
        </w:rPr>
        <w:t xml:space="preserve"> and projected baselines from analysis completed by the Department. The emissions projections </w:t>
      </w:r>
      <w:r w:rsidR="34C706A3" w:rsidRPr="00102445">
        <w:rPr>
          <w:rStyle w:val="normaltextrun"/>
          <w:sz w:val="24"/>
          <w:szCs w:val="24"/>
        </w:rPr>
        <w:t>suggest</w:t>
      </w:r>
      <w:r w:rsidR="00553245" w:rsidRPr="00102445">
        <w:rPr>
          <w:rStyle w:val="normaltextrun"/>
          <w:sz w:val="24"/>
          <w:szCs w:val="24"/>
        </w:rPr>
        <w:t>ed</w:t>
      </w:r>
      <w:r w:rsidRPr="00102445">
        <w:rPr>
          <w:rStyle w:val="normaltextrun"/>
          <w:sz w:val="24"/>
          <w:szCs w:val="24"/>
        </w:rPr>
        <w:t xml:space="preserve"> that an estimated </w:t>
      </w:r>
      <w:r w:rsidR="00D55494" w:rsidRPr="00102445">
        <w:rPr>
          <w:rStyle w:val="normaltextrun"/>
          <w:sz w:val="24"/>
          <w:szCs w:val="24"/>
        </w:rPr>
        <w:t xml:space="preserve">418 </w:t>
      </w:r>
      <w:r w:rsidRPr="00102445">
        <w:rPr>
          <w:rStyle w:val="normaltextrun"/>
          <w:sz w:val="24"/>
          <w:szCs w:val="24"/>
        </w:rPr>
        <w:t>Mt CO</w:t>
      </w:r>
      <w:r w:rsidRPr="00102445">
        <w:rPr>
          <w:rStyle w:val="normaltextrun"/>
          <w:sz w:val="24"/>
          <w:szCs w:val="24"/>
          <w:vertAlign w:val="subscript"/>
        </w:rPr>
        <w:t>2</w:t>
      </w:r>
      <w:r w:rsidRPr="00102445">
        <w:rPr>
          <w:rStyle w:val="normaltextrun"/>
          <w:sz w:val="24"/>
          <w:szCs w:val="24"/>
        </w:rPr>
        <w:t>-e could be emitted from Safeguard facilities over the period 2020-21 to 2022</w:t>
      </w:r>
      <w:r w:rsidR="0009307E" w:rsidRPr="00102445">
        <w:rPr>
          <w:rStyle w:val="normaltextrun"/>
          <w:sz w:val="24"/>
          <w:szCs w:val="24"/>
        </w:rPr>
        <w:noBreakHyphen/>
      </w:r>
      <w:r w:rsidRPr="00102445">
        <w:rPr>
          <w:rStyle w:val="normaltextrun"/>
          <w:sz w:val="24"/>
          <w:szCs w:val="24"/>
        </w:rPr>
        <w:t xml:space="preserve">23, prior to the commencement of the reforms. </w:t>
      </w:r>
      <w:r w:rsidR="009C3AC4" w:rsidRPr="00102445">
        <w:rPr>
          <w:rStyle w:val="normaltextrun"/>
          <w:sz w:val="24"/>
          <w:szCs w:val="24"/>
        </w:rPr>
        <w:t>The emissions outcomes for 2021-22 were 3 Mt lower than expected and so t</w:t>
      </w:r>
      <w:r w:rsidRPr="00102445">
        <w:rPr>
          <w:rStyle w:val="normaltextrun"/>
          <w:sz w:val="24"/>
          <w:szCs w:val="24"/>
        </w:rPr>
        <w:t>his</w:t>
      </w:r>
      <w:r w:rsidR="007F77BB" w:rsidRPr="00102445">
        <w:rPr>
          <w:rStyle w:val="normaltextrun"/>
          <w:sz w:val="24"/>
          <w:szCs w:val="24"/>
        </w:rPr>
        <w:t xml:space="preserve"> would</w:t>
      </w:r>
      <w:r w:rsidRPr="00102445">
        <w:rPr>
          <w:rStyle w:val="normaltextrun"/>
          <w:sz w:val="24"/>
          <w:szCs w:val="24"/>
        </w:rPr>
        <w:t xml:space="preserve"> leave </w:t>
      </w:r>
      <w:r w:rsidR="34C706A3" w:rsidRPr="00102445">
        <w:rPr>
          <w:rStyle w:val="normaltextrun"/>
          <w:sz w:val="24"/>
          <w:szCs w:val="24"/>
        </w:rPr>
        <w:t>81</w:t>
      </w:r>
      <w:r w:rsidR="002C2E60" w:rsidRPr="00102445">
        <w:rPr>
          <w:rStyle w:val="normaltextrun"/>
          <w:sz w:val="24"/>
          <w:szCs w:val="24"/>
        </w:rPr>
        <w:t>5</w:t>
      </w:r>
      <w:r w:rsidRPr="00102445">
        <w:rPr>
          <w:rStyle w:val="normaltextrun"/>
          <w:sz w:val="24"/>
          <w:szCs w:val="24"/>
        </w:rPr>
        <w:t xml:space="preserve"> Mt CO</w:t>
      </w:r>
      <w:r w:rsidRPr="00102445">
        <w:rPr>
          <w:rStyle w:val="normaltextrun"/>
          <w:sz w:val="24"/>
          <w:szCs w:val="24"/>
          <w:vertAlign w:val="subscript"/>
        </w:rPr>
        <w:t>2</w:t>
      </w:r>
      <w:r w:rsidRPr="00102445">
        <w:rPr>
          <w:rStyle w:val="normaltextrun"/>
          <w:sz w:val="24"/>
          <w:szCs w:val="24"/>
        </w:rPr>
        <w:t>-e from the 1,233 Mt CO</w:t>
      </w:r>
      <w:r w:rsidRPr="00102445">
        <w:rPr>
          <w:rStyle w:val="normaltextrun"/>
          <w:sz w:val="24"/>
          <w:szCs w:val="24"/>
          <w:vertAlign w:val="subscript"/>
        </w:rPr>
        <w:t>2</w:t>
      </w:r>
      <w:r w:rsidRPr="00102445">
        <w:rPr>
          <w:rStyle w:val="normaltextrun"/>
          <w:sz w:val="24"/>
          <w:szCs w:val="24"/>
        </w:rPr>
        <w:t>-e Safeguard emissions budget for the period 2023-24 to 2029-30.</w:t>
      </w:r>
    </w:p>
    <w:p w14:paraId="58715293" w14:textId="3209CBC4" w:rsidR="00380F53" w:rsidRPr="00102445" w:rsidRDefault="00380F53" w:rsidP="00591A9C">
      <w:pPr>
        <w:pStyle w:val="paragraph"/>
        <w:numPr>
          <w:ilvl w:val="0"/>
          <w:numId w:val="2"/>
        </w:numPr>
        <w:spacing w:before="200"/>
        <w:textAlignment w:val="baseline"/>
        <w:rPr>
          <w:rStyle w:val="normaltextrun"/>
          <w:szCs w:val="24"/>
        </w:rPr>
      </w:pPr>
      <w:r w:rsidRPr="00102445">
        <w:rPr>
          <w:rStyle w:val="normaltextrun"/>
          <w:sz w:val="24"/>
          <w:szCs w:val="24"/>
        </w:rPr>
        <w:t xml:space="preserve">The </w:t>
      </w:r>
      <w:r w:rsidR="00A61D0A" w:rsidRPr="00102445">
        <w:rPr>
          <w:rStyle w:val="normaltextrun"/>
          <w:sz w:val="24"/>
          <w:szCs w:val="24"/>
        </w:rPr>
        <w:t xml:space="preserve">default </w:t>
      </w:r>
      <w:r w:rsidRPr="00102445">
        <w:rPr>
          <w:rStyle w:val="normaltextrun"/>
          <w:sz w:val="24"/>
          <w:szCs w:val="24"/>
        </w:rPr>
        <w:t xml:space="preserve">decline rate </w:t>
      </w:r>
      <w:r w:rsidR="00241F8B" w:rsidRPr="00102445">
        <w:rPr>
          <w:rStyle w:val="normaltextrun"/>
          <w:sz w:val="24"/>
          <w:szCs w:val="24"/>
        </w:rPr>
        <w:t xml:space="preserve">has been calibrated </w:t>
      </w:r>
      <w:r w:rsidR="005247B0" w:rsidRPr="00102445">
        <w:rPr>
          <w:rStyle w:val="normaltextrun"/>
          <w:sz w:val="24"/>
          <w:szCs w:val="24"/>
        </w:rPr>
        <w:t xml:space="preserve">to deliver these outcomes </w:t>
      </w:r>
      <w:r w:rsidR="00F4467B" w:rsidRPr="00102445">
        <w:rPr>
          <w:rStyle w:val="normaltextrun"/>
          <w:sz w:val="24"/>
          <w:szCs w:val="24"/>
        </w:rPr>
        <w:t xml:space="preserve">reflecting </w:t>
      </w:r>
      <w:r w:rsidRPr="00102445">
        <w:rPr>
          <w:rStyle w:val="normaltextrun"/>
          <w:sz w:val="24"/>
          <w:szCs w:val="24"/>
        </w:rPr>
        <w:t>expectations of new entrants into the Safeguard Mechanism consistent with the assumptions and inputs to Australia’s emissions projections 2022 and the baseline setting arrangements for new entrants into the Safeguard</w:t>
      </w:r>
      <w:r w:rsidR="00256B37" w:rsidRPr="00102445">
        <w:rPr>
          <w:rStyle w:val="normaltextrun"/>
          <w:sz w:val="24"/>
          <w:szCs w:val="24"/>
        </w:rPr>
        <w:t xml:space="preserve"> Mechanism</w:t>
      </w:r>
      <w:r w:rsidRPr="00102445">
        <w:rPr>
          <w:rStyle w:val="normaltextrun"/>
          <w:sz w:val="24"/>
          <w:szCs w:val="24"/>
        </w:rPr>
        <w:t xml:space="preserve">. The emissions reserve is designed to manage upside risk of higher aggregate emissions from Safeguard facilities to help ensure the Safeguard emissions target is achieved. The </w:t>
      </w:r>
      <w:r w:rsidR="00B90A2E" w:rsidRPr="00102445">
        <w:rPr>
          <w:rStyle w:val="normaltextrun"/>
          <w:sz w:val="24"/>
          <w:szCs w:val="24"/>
        </w:rPr>
        <w:t xml:space="preserve">default </w:t>
      </w:r>
      <w:r w:rsidRPr="00102445">
        <w:rPr>
          <w:rStyle w:val="normaltextrun"/>
          <w:sz w:val="24"/>
          <w:szCs w:val="24"/>
        </w:rPr>
        <w:t xml:space="preserve">decline rate </w:t>
      </w:r>
      <w:r w:rsidR="00B90A2E" w:rsidRPr="00102445">
        <w:rPr>
          <w:rStyle w:val="normaltextrun"/>
          <w:sz w:val="24"/>
          <w:szCs w:val="24"/>
        </w:rPr>
        <w:t xml:space="preserve">reflects </w:t>
      </w:r>
      <w:r w:rsidRPr="00102445">
        <w:rPr>
          <w:rStyle w:val="normaltextrun"/>
          <w:sz w:val="24"/>
          <w:szCs w:val="24"/>
        </w:rPr>
        <w:t xml:space="preserve">assumptions </w:t>
      </w:r>
      <w:r w:rsidR="0097624B" w:rsidRPr="00102445">
        <w:rPr>
          <w:rStyle w:val="normaltextrun"/>
          <w:sz w:val="24"/>
          <w:szCs w:val="24"/>
        </w:rPr>
        <w:t xml:space="preserve">regarding </w:t>
      </w:r>
      <w:r w:rsidRPr="00102445">
        <w:rPr>
          <w:rStyle w:val="normaltextrun"/>
          <w:sz w:val="24"/>
          <w:szCs w:val="24"/>
        </w:rPr>
        <w:t xml:space="preserve">the level of trade-exposed baseline-adjustments that will be made to 2030. </w:t>
      </w:r>
      <w:r w:rsidR="004F6F5B" w:rsidRPr="00102445">
        <w:rPr>
          <w:rStyle w:val="normaltextrun"/>
          <w:sz w:val="24"/>
          <w:szCs w:val="24"/>
        </w:rPr>
        <w:t xml:space="preserve">An additional buffer of </w:t>
      </w:r>
      <w:r w:rsidR="2F332903" w:rsidRPr="00102445">
        <w:rPr>
          <w:rStyle w:val="normaltextrun"/>
          <w:sz w:val="24"/>
          <w:szCs w:val="24"/>
        </w:rPr>
        <w:t>15</w:t>
      </w:r>
      <w:r w:rsidR="004F6F5B" w:rsidRPr="00102445">
        <w:rPr>
          <w:rStyle w:val="normaltextrun"/>
          <w:sz w:val="24"/>
          <w:szCs w:val="24"/>
        </w:rPr>
        <w:t xml:space="preserve"> Mt CO</w:t>
      </w:r>
      <w:r w:rsidR="004F6F5B" w:rsidRPr="00102445">
        <w:rPr>
          <w:rStyle w:val="normaltextrun"/>
          <w:sz w:val="24"/>
          <w:szCs w:val="24"/>
          <w:vertAlign w:val="subscript"/>
        </w:rPr>
        <w:t>2</w:t>
      </w:r>
      <w:r w:rsidR="004F6F5B" w:rsidRPr="00102445">
        <w:rPr>
          <w:rStyle w:val="normaltextrun"/>
          <w:sz w:val="24"/>
          <w:szCs w:val="24"/>
        </w:rPr>
        <w:t xml:space="preserve">-e of the Safeguard emissions budget is set aside for an emissions reserve, to provide additional assurance against the </w:t>
      </w:r>
      <w:r w:rsidR="00091E3E" w:rsidRPr="00102445">
        <w:rPr>
          <w:rStyle w:val="normaltextrun"/>
          <w:sz w:val="24"/>
          <w:szCs w:val="24"/>
        </w:rPr>
        <w:t xml:space="preserve">possibility </w:t>
      </w:r>
      <w:r w:rsidR="004F6F5B" w:rsidRPr="00102445">
        <w:rPr>
          <w:rStyle w:val="normaltextrun"/>
          <w:sz w:val="24"/>
          <w:szCs w:val="24"/>
        </w:rPr>
        <w:t xml:space="preserve">that emissions from Safeguard facilities (both new and existing) are higher than originally projected and against the event that Safeguard facilities require the trade-exposed baseline-adjustments more than originally projected. The Department’s decline rate analysis calculates the default decline rate from projected Safeguard baselines to deliver within the remaining Safeguard budget of </w:t>
      </w:r>
      <w:r w:rsidR="5E6CDA62" w:rsidRPr="00102445">
        <w:rPr>
          <w:rStyle w:val="normaltextrun"/>
          <w:sz w:val="24"/>
          <w:szCs w:val="24"/>
        </w:rPr>
        <w:t>800</w:t>
      </w:r>
      <w:r w:rsidR="004F6F5B" w:rsidRPr="00102445">
        <w:rPr>
          <w:rStyle w:val="normaltextrun"/>
          <w:sz w:val="24"/>
          <w:szCs w:val="24"/>
        </w:rPr>
        <w:t xml:space="preserve"> Mt CO</w:t>
      </w:r>
      <w:r w:rsidR="004F6F5B" w:rsidRPr="00102445">
        <w:rPr>
          <w:rStyle w:val="normaltextrun"/>
          <w:sz w:val="24"/>
          <w:szCs w:val="24"/>
          <w:vertAlign w:val="subscript"/>
        </w:rPr>
        <w:t>2</w:t>
      </w:r>
      <w:r w:rsidR="004F6F5B" w:rsidRPr="00102445">
        <w:rPr>
          <w:rStyle w:val="normaltextrun"/>
          <w:sz w:val="24"/>
          <w:szCs w:val="24"/>
        </w:rPr>
        <w:t>-e over the financial years 2023-24 to 2029-30.</w:t>
      </w:r>
      <w:r w:rsidR="006F35AB" w:rsidRPr="00102445">
        <w:rPr>
          <w:rStyle w:val="normaltextrun"/>
          <w:sz w:val="24"/>
          <w:szCs w:val="24"/>
        </w:rPr>
        <w:t xml:space="preserve"> </w:t>
      </w:r>
      <w:r w:rsidRPr="00102445">
        <w:rPr>
          <w:rStyle w:val="eop"/>
          <w:sz w:val="24"/>
          <w:szCs w:val="24"/>
        </w:rPr>
        <w:t xml:space="preserve">The emissions reserve </w:t>
      </w:r>
      <w:r w:rsidR="006A61D3" w:rsidRPr="00102445">
        <w:rPr>
          <w:rStyle w:val="eop"/>
          <w:sz w:val="24"/>
          <w:szCs w:val="24"/>
        </w:rPr>
        <w:t>helps</w:t>
      </w:r>
      <w:r w:rsidR="00A4231B" w:rsidRPr="00102445">
        <w:rPr>
          <w:rStyle w:val="normaltextrun"/>
          <w:sz w:val="24"/>
          <w:szCs w:val="24"/>
        </w:rPr>
        <w:t xml:space="preserve"> to ensure that the </w:t>
      </w:r>
      <w:r w:rsidR="00B94B4F" w:rsidRPr="00102445">
        <w:rPr>
          <w:rStyle w:val="normaltextrun"/>
          <w:sz w:val="24"/>
          <w:szCs w:val="24"/>
        </w:rPr>
        <w:t xml:space="preserve">Amendment Rules are consistent with the </w:t>
      </w:r>
      <w:r w:rsidR="00CC5139" w:rsidRPr="00102445">
        <w:rPr>
          <w:rStyle w:val="normaltextrun"/>
          <w:sz w:val="24"/>
          <w:szCs w:val="24"/>
        </w:rPr>
        <w:t>s</w:t>
      </w:r>
      <w:r w:rsidR="00B94B4F" w:rsidRPr="00102445">
        <w:rPr>
          <w:rStyle w:val="normaltextrun"/>
          <w:sz w:val="24"/>
          <w:szCs w:val="24"/>
        </w:rPr>
        <w:t xml:space="preserve">econd </w:t>
      </w:r>
      <w:r w:rsidR="00CC5139" w:rsidRPr="00102445">
        <w:rPr>
          <w:rStyle w:val="normaltextrun"/>
          <w:sz w:val="24"/>
          <w:szCs w:val="24"/>
        </w:rPr>
        <w:t>o</w:t>
      </w:r>
      <w:r w:rsidR="00B94B4F" w:rsidRPr="00102445">
        <w:rPr>
          <w:rStyle w:val="normaltextrun"/>
          <w:sz w:val="24"/>
          <w:szCs w:val="24"/>
        </w:rPr>
        <w:t>bject of the NGER Act</w:t>
      </w:r>
      <w:r w:rsidRPr="00102445">
        <w:rPr>
          <w:rStyle w:val="normaltextrun"/>
          <w:sz w:val="24"/>
          <w:szCs w:val="24"/>
        </w:rPr>
        <w:t>.</w:t>
      </w:r>
    </w:p>
    <w:p w14:paraId="14221477" w14:textId="6562F6AC" w:rsidR="003F46FA" w:rsidRPr="00102445" w:rsidRDefault="00D83898"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For the period that begins on 1 July 20</w:t>
      </w:r>
      <w:r w:rsidR="00096F00" w:rsidRPr="00102445">
        <w:rPr>
          <w:rFonts w:eastAsia="Times New Roman" w:cs="Times New Roman"/>
          <w:lang w:eastAsia="en-AU"/>
        </w:rPr>
        <w:t>30, the default decline rate has been calibrated to transition the Safeguard Mechanism to net zero in 20</w:t>
      </w:r>
      <w:r w:rsidR="0016011B" w:rsidRPr="00102445">
        <w:rPr>
          <w:rFonts w:eastAsia="Times New Roman" w:cs="Times New Roman"/>
          <w:lang w:eastAsia="en-AU"/>
        </w:rPr>
        <w:t>49-</w:t>
      </w:r>
      <w:r w:rsidR="00096F00" w:rsidRPr="00102445">
        <w:rPr>
          <w:rFonts w:eastAsia="Times New Roman" w:cs="Times New Roman"/>
          <w:lang w:eastAsia="en-AU"/>
        </w:rPr>
        <w:t>50.</w:t>
      </w:r>
      <w:r w:rsidR="002113B6" w:rsidRPr="00102445">
        <w:rPr>
          <w:rFonts w:eastAsia="Times New Roman" w:cs="Times New Roman"/>
          <w:lang w:eastAsia="en-AU"/>
        </w:rPr>
        <w:t xml:space="preserve"> </w:t>
      </w:r>
      <w:r w:rsidR="00F56667" w:rsidRPr="00102445">
        <w:rPr>
          <w:rFonts w:eastAsia="Times New Roman" w:cs="Times New Roman"/>
          <w:lang w:eastAsia="en-AU"/>
        </w:rPr>
        <w:t>Subsection</w:t>
      </w:r>
      <w:r w:rsidR="00BE54E1" w:rsidRPr="00102445">
        <w:rPr>
          <w:rFonts w:eastAsia="Times New Roman" w:cs="Times New Roman"/>
          <w:lang w:eastAsia="en-AU"/>
        </w:rPr>
        <w:t xml:space="preserve"> </w:t>
      </w:r>
      <w:r w:rsidR="00612D68" w:rsidRPr="00102445">
        <w:rPr>
          <w:rFonts w:eastAsia="Times New Roman" w:cs="Times New Roman"/>
          <w:lang w:eastAsia="en-AU"/>
        </w:rPr>
        <w:t>10</w:t>
      </w:r>
      <w:r w:rsidR="00BE54E1" w:rsidRPr="00102445">
        <w:rPr>
          <w:rFonts w:eastAsia="Times New Roman" w:cs="Times New Roman"/>
          <w:lang w:eastAsia="en-AU"/>
        </w:rPr>
        <w:t>(3)</w:t>
      </w:r>
      <w:r w:rsidR="00F12112" w:rsidRPr="00102445">
        <w:rPr>
          <w:rFonts w:eastAsia="Times New Roman" w:cs="Times New Roman"/>
          <w:lang w:eastAsia="en-AU"/>
        </w:rPr>
        <w:t xml:space="preserve"> specifies that</w:t>
      </w:r>
      <w:r w:rsidR="002113B6" w:rsidRPr="00102445">
        <w:rPr>
          <w:rFonts w:eastAsia="Times New Roman" w:cs="Times New Roman"/>
          <w:lang w:eastAsia="en-AU"/>
        </w:rPr>
        <w:t xml:space="preserve"> </w:t>
      </w:r>
      <w:r w:rsidR="00E70E83" w:rsidRPr="00102445">
        <w:rPr>
          <w:rFonts w:eastAsia="Times New Roman" w:cs="Times New Roman"/>
          <w:lang w:eastAsia="en-AU"/>
        </w:rPr>
        <w:t>all baselines will be zero</w:t>
      </w:r>
      <w:r w:rsidR="003864C1" w:rsidRPr="00102445">
        <w:rPr>
          <w:rFonts w:eastAsia="Times New Roman" w:cs="Times New Roman"/>
          <w:lang w:eastAsia="en-AU"/>
        </w:rPr>
        <w:t xml:space="preserve"> </w:t>
      </w:r>
      <w:r w:rsidR="00FF7BE6" w:rsidRPr="00102445">
        <w:rPr>
          <w:rFonts w:eastAsia="Times New Roman" w:cs="Times New Roman"/>
          <w:lang w:eastAsia="en-AU"/>
        </w:rPr>
        <w:t>from the 2049-50 financial year</w:t>
      </w:r>
      <w:r w:rsidR="00E70E83" w:rsidRPr="00102445">
        <w:rPr>
          <w:rFonts w:eastAsia="Times New Roman" w:cs="Times New Roman"/>
          <w:lang w:eastAsia="en-AU"/>
        </w:rPr>
        <w:t>.</w:t>
      </w:r>
    </w:p>
    <w:p w14:paraId="24F16F98" w14:textId="1CFEA256" w:rsidR="00B40C2E" w:rsidRPr="00102445" w:rsidRDefault="00B40C2E" w:rsidP="009025A7">
      <w:pPr>
        <w:pStyle w:val="Heading6"/>
      </w:pPr>
      <w:r w:rsidRPr="00102445">
        <w:lastRenderedPageBreak/>
        <w:t>Subdivision B – Regular facilities</w:t>
      </w:r>
    </w:p>
    <w:p w14:paraId="36C690B4" w14:textId="7A09FC99" w:rsidR="007B70C4" w:rsidRPr="00102445" w:rsidRDefault="00B40C2E"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Section </w:t>
      </w:r>
      <w:r w:rsidR="00970677" w:rsidRPr="00102445">
        <w:rPr>
          <w:lang w:eastAsia="en-AU"/>
        </w:rPr>
        <w:t xml:space="preserve">33 </w:t>
      </w:r>
      <w:r w:rsidR="004F1D20" w:rsidRPr="00102445">
        <w:rPr>
          <w:lang w:eastAsia="en-AU"/>
        </w:rPr>
        <w:t>specifies how to determine</w:t>
      </w:r>
      <w:r w:rsidR="006177AC" w:rsidRPr="00102445">
        <w:rPr>
          <w:lang w:eastAsia="en-AU"/>
        </w:rPr>
        <w:t xml:space="preserve"> the emissions reduction contribution number for a regular facility</w:t>
      </w:r>
      <w:r w:rsidR="004F1D20" w:rsidRPr="00102445">
        <w:rPr>
          <w:lang w:eastAsia="en-AU"/>
        </w:rPr>
        <w:t>,</w:t>
      </w:r>
      <w:r w:rsidR="006177AC" w:rsidRPr="00102445">
        <w:rPr>
          <w:lang w:eastAsia="en-AU"/>
        </w:rPr>
        <w:t xml:space="preserve"> including for a regular facility that was previously a trade-exposed baseline-adjusted</w:t>
      </w:r>
      <w:r w:rsidR="00994E42" w:rsidRPr="00102445">
        <w:rPr>
          <w:lang w:eastAsia="en-AU"/>
        </w:rPr>
        <w:t xml:space="preserve"> </w:t>
      </w:r>
      <w:r w:rsidR="006177AC" w:rsidRPr="00102445">
        <w:rPr>
          <w:lang w:eastAsia="en-AU"/>
        </w:rPr>
        <w:t>facility.</w:t>
      </w:r>
      <w:r w:rsidR="004F1D20" w:rsidRPr="00102445">
        <w:rPr>
          <w:lang w:eastAsia="en-AU"/>
        </w:rPr>
        <w:t xml:space="preserve"> </w:t>
      </w:r>
      <w:r w:rsidR="00847DBC" w:rsidRPr="00102445">
        <w:rPr>
          <w:lang w:eastAsia="en-AU"/>
        </w:rPr>
        <w:t xml:space="preserve">A regular facility is a facility that is not a </w:t>
      </w:r>
      <w:r w:rsidR="00D1200C" w:rsidRPr="00102445">
        <w:rPr>
          <w:lang w:eastAsia="en-AU"/>
        </w:rPr>
        <w:t>trade-exposed baseline-adjusted</w:t>
      </w:r>
      <w:r w:rsidR="00847DBC" w:rsidRPr="00102445">
        <w:rPr>
          <w:lang w:eastAsia="en-AU"/>
        </w:rPr>
        <w:t xml:space="preserve"> facility.</w:t>
      </w:r>
      <w:r w:rsidR="004F1D20" w:rsidRPr="00102445">
        <w:rPr>
          <w:lang w:eastAsia="en-AU"/>
        </w:rPr>
        <w:t xml:space="preserve"> If a regular facility has never been a </w:t>
      </w:r>
      <w:r w:rsidR="004F1D20" w:rsidRPr="00102445" w:rsidDel="005311DE">
        <w:rPr>
          <w:lang w:eastAsia="en-AU"/>
        </w:rPr>
        <w:t>trade-exposed baseline-adjusted</w:t>
      </w:r>
      <w:r w:rsidR="004F1D20" w:rsidRPr="00102445">
        <w:rPr>
          <w:lang w:eastAsia="en-AU"/>
        </w:rPr>
        <w:t xml:space="preserve"> facility, then their emissions reduction contribution is the default emissions reduction contribution for that financial year, as set out in section</w:t>
      </w:r>
      <w:r w:rsidR="00E52D14" w:rsidRPr="00102445">
        <w:rPr>
          <w:lang w:eastAsia="en-AU"/>
        </w:rPr>
        <w:t> 31</w:t>
      </w:r>
      <w:r w:rsidR="004F1D20" w:rsidRPr="00102445">
        <w:rPr>
          <w:lang w:eastAsia="en-AU"/>
        </w:rPr>
        <w:t xml:space="preserve">. </w:t>
      </w:r>
    </w:p>
    <w:p w14:paraId="6FA67702" w14:textId="7FED157C" w:rsidR="00B40C2E" w:rsidRPr="00102445" w:rsidRDefault="007B70C4"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Subsection </w:t>
      </w:r>
      <w:r w:rsidR="00E52D14" w:rsidRPr="00102445">
        <w:rPr>
          <w:lang w:eastAsia="en-AU"/>
        </w:rPr>
        <w:t>33</w:t>
      </w:r>
      <w:r w:rsidRPr="00102445">
        <w:rPr>
          <w:lang w:eastAsia="en-AU"/>
        </w:rPr>
        <w:t xml:space="preserve">(2) specifies the calculation for determining the emissions reduction contribution of a regular facility that has previously been a </w:t>
      </w:r>
      <w:r w:rsidRPr="00102445" w:rsidDel="00480363">
        <w:rPr>
          <w:lang w:eastAsia="en-AU"/>
        </w:rPr>
        <w:t>trade-exposed baseline-adjusted</w:t>
      </w:r>
      <w:r w:rsidRPr="00102445">
        <w:rPr>
          <w:lang w:eastAsia="en-AU"/>
        </w:rPr>
        <w:t xml:space="preserve"> facility. </w:t>
      </w:r>
      <w:r w:rsidR="004F1D20" w:rsidRPr="00102445">
        <w:rPr>
          <w:lang w:eastAsia="en-AU"/>
        </w:rPr>
        <w:t xml:space="preserve">If a regular facility has previously been a </w:t>
      </w:r>
      <w:r w:rsidR="004F1D20" w:rsidRPr="00102445" w:rsidDel="00480363">
        <w:rPr>
          <w:lang w:eastAsia="en-AU"/>
        </w:rPr>
        <w:t xml:space="preserve">trade-exposed baseline-adjusted </w:t>
      </w:r>
      <w:r w:rsidR="004F1D20" w:rsidRPr="00102445">
        <w:rPr>
          <w:lang w:eastAsia="en-AU"/>
        </w:rPr>
        <w:t>facility, then their emissions reduction contribution is equal to their emissions reduction contribution of the previous year minus the default decline rate for the current financial year, as specified in section</w:t>
      </w:r>
      <w:r w:rsidR="002F7C9A" w:rsidRPr="00102445">
        <w:rPr>
          <w:lang w:eastAsia="en-AU"/>
        </w:rPr>
        <w:t> </w:t>
      </w:r>
      <w:r w:rsidR="00E52D14" w:rsidRPr="00102445">
        <w:rPr>
          <w:lang w:eastAsia="en-AU"/>
        </w:rPr>
        <w:t>32</w:t>
      </w:r>
      <w:r w:rsidR="004F1D20" w:rsidRPr="00102445">
        <w:rPr>
          <w:lang w:eastAsia="en-AU"/>
        </w:rPr>
        <w:t xml:space="preserve">. </w:t>
      </w:r>
    </w:p>
    <w:p w14:paraId="60BC5F2D" w14:textId="09329484" w:rsidR="00594808" w:rsidRPr="00102445" w:rsidRDefault="00594808" w:rsidP="009025A7">
      <w:pPr>
        <w:pStyle w:val="Heading6"/>
      </w:pPr>
      <w:r w:rsidRPr="00102445">
        <w:t>Subdivision C – Trade-exposed baseline-adjusted facilities</w:t>
      </w:r>
    </w:p>
    <w:p w14:paraId="7A032187" w14:textId="3F82B6F8" w:rsidR="00CF4D50" w:rsidRPr="00102445" w:rsidRDefault="00407918"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S</w:t>
      </w:r>
      <w:r w:rsidR="00594808" w:rsidRPr="00102445">
        <w:rPr>
          <w:lang w:eastAsia="en-AU"/>
        </w:rPr>
        <w:t xml:space="preserve">ection </w:t>
      </w:r>
      <w:r w:rsidR="00847372" w:rsidRPr="00102445">
        <w:rPr>
          <w:lang w:eastAsia="en-AU"/>
        </w:rPr>
        <w:t>34</w:t>
      </w:r>
      <w:r w:rsidR="00594808" w:rsidRPr="00102445">
        <w:rPr>
          <w:lang w:eastAsia="en-AU"/>
        </w:rPr>
        <w:t xml:space="preserve"> </w:t>
      </w:r>
      <w:r w:rsidR="0090465F" w:rsidRPr="00102445">
        <w:rPr>
          <w:lang w:eastAsia="en-AU"/>
        </w:rPr>
        <w:t xml:space="preserve">provides the formula for determining the emissions reduction contribution of a </w:t>
      </w:r>
      <w:r w:rsidR="0090465F" w:rsidRPr="00102445" w:rsidDel="00480363">
        <w:rPr>
          <w:lang w:eastAsia="en-AU"/>
        </w:rPr>
        <w:t>trade-exposed baseline-adjusted</w:t>
      </w:r>
      <w:r w:rsidR="0090465F" w:rsidRPr="00102445">
        <w:rPr>
          <w:lang w:eastAsia="en-AU"/>
        </w:rPr>
        <w:t xml:space="preserve"> facility for a financial year</w:t>
      </w:r>
      <w:r w:rsidR="00B0108B" w:rsidRPr="00102445">
        <w:rPr>
          <w:lang w:eastAsia="en-AU"/>
        </w:rPr>
        <w:t>.</w:t>
      </w:r>
      <w:r w:rsidR="000D4DD3" w:rsidRPr="00102445">
        <w:rPr>
          <w:lang w:eastAsia="en-AU"/>
        </w:rPr>
        <w:t xml:space="preserve"> </w:t>
      </w:r>
      <w:r w:rsidR="00CC6348" w:rsidRPr="00102445">
        <w:rPr>
          <w:lang w:eastAsia="en-AU"/>
        </w:rPr>
        <w:t>Th</w:t>
      </w:r>
      <w:r w:rsidR="00C32BA8" w:rsidRPr="00102445">
        <w:rPr>
          <w:lang w:eastAsia="en-AU"/>
        </w:rPr>
        <w:t xml:space="preserve">e </w:t>
      </w:r>
      <w:r w:rsidR="00FC5E45" w:rsidRPr="00102445">
        <w:rPr>
          <w:lang w:eastAsia="en-AU"/>
        </w:rPr>
        <w:t xml:space="preserve">calculation for the </w:t>
      </w:r>
      <w:r w:rsidR="00603E21" w:rsidRPr="00102445">
        <w:rPr>
          <w:lang w:eastAsia="en-AU"/>
        </w:rPr>
        <w:t>ratio of cost impacts (</w:t>
      </w:r>
      <w:r w:rsidR="00603E21" w:rsidRPr="00102445">
        <w:rPr>
          <w:i/>
          <w:iCs/>
          <w:lang w:eastAsia="en-AU"/>
        </w:rPr>
        <w:t>RCI</w:t>
      </w:r>
      <w:r w:rsidR="00603E21" w:rsidRPr="00102445">
        <w:rPr>
          <w:lang w:eastAsia="en-AU"/>
        </w:rPr>
        <w:t xml:space="preserve">) </w:t>
      </w:r>
      <w:r w:rsidR="00695D4D" w:rsidRPr="00102445">
        <w:rPr>
          <w:lang w:eastAsia="en-AU"/>
        </w:rPr>
        <w:t xml:space="preserve">is </w:t>
      </w:r>
      <w:r w:rsidR="00FC5E45" w:rsidRPr="00102445">
        <w:rPr>
          <w:lang w:eastAsia="en-AU"/>
        </w:rPr>
        <w:t xml:space="preserve">given in section </w:t>
      </w:r>
      <w:r w:rsidR="00847372" w:rsidRPr="00102445">
        <w:rPr>
          <w:lang w:eastAsia="en-AU"/>
        </w:rPr>
        <w:t>35</w:t>
      </w:r>
      <w:r w:rsidR="00425D61" w:rsidRPr="00102445">
        <w:rPr>
          <w:lang w:eastAsia="en-AU"/>
        </w:rPr>
        <w:t>.</w:t>
      </w:r>
      <w:r w:rsidR="00C32BA8" w:rsidRPr="00102445">
        <w:rPr>
          <w:lang w:eastAsia="en-AU"/>
        </w:rPr>
        <w:t xml:space="preserve"> </w:t>
      </w:r>
      <w:r w:rsidR="000D4DD3" w:rsidRPr="00102445">
        <w:rPr>
          <w:lang w:eastAsia="en-AU"/>
        </w:rPr>
        <w:t>The minimum decline rate (</w:t>
      </w:r>
      <w:r w:rsidR="000D4DD3" w:rsidRPr="00102445">
        <w:rPr>
          <w:i/>
          <w:iCs/>
          <w:lang w:eastAsia="en-AU"/>
        </w:rPr>
        <w:t>DR</w:t>
      </w:r>
      <w:r w:rsidR="000D4DD3" w:rsidRPr="00102445">
        <w:rPr>
          <w:i/>
          <w:iCs/>
          <w:vertAlign w:val="subscript"/>
          <w:lang w:eastAsia="en-AU"/>
        </w:rPr>
        <w:t>m</w:t>
      </w:r>
      <w:r w:rsidR="000D4DD3" w:rsidRPr="00102445">
        <w:rPr>
          <w:lang w:eastAsia="en-AU"/>
        </w:rPr>
        <w:t>)</w:t>
      </w:r>
      <w:r w:rsidR="00425D61" w:rsidRPr="00102445">
        <w:rPr>
          <w:lang w:eastAsia="en-AU"/>
        </w:rPr>
        <w:t xml:space="preserve"> is 0.01, or 1 per cent, </w:t>
      </w:r>
      <w:r w:rsidR="00B635BF" w:rsidRPr="00102445">
        <w:rPr>
          <w:lang w:eastAsia="en-AU"/>
        </w:rPr>
        <w:t>for manu</w:t>
      </w:r>
      <w:r w:rsidR="00B269E2" w:rsidRPr="00102445">
        <w:rPr>
          <w:lang w:eastAsia="en-AU"/>
        </w:rPr>
        <w:t>facturing facilities</w:t>
      </w:r>
      <w:r w:rsidR="006A6A01" w:rsidRPr="00102445">
        <w:rPr>
          <w:lang w:eastAsia="en-AU"/>
        </w:rPr>
        <w:t xml:space="preserve"> and 0.02, or 2 per cent, for non-manufacturing facilities</w:t>
      </w:r>
      <w:r w:rsidR="00BC122B" w:rsidRPr="00102445">
        <w:rPr>
          <w:lang w:eastAsia="en-AU"/>
        </w:rPr>
        <w:t>.</w:t>
      </w:r>
      <w:r w:rsidR="000D0951" w:rsidRPr="00102445">
        <w:rPr>
          <w:lang w:eastAsia="en-AU"/>
        </w:rPr>
        <w:t xml:space="preserve"> The </w:t>
      </w:r>
      <w:r w:rsidR="003B3E8F" w:rsidRPr="00102445">
        <w:rPr>
          <w:lang w:eastAsia="en-AU"/>
        </w:rPr>
        <w:t xml:space="preserve">lower minimum decline rate for manufacturing facilities </w:t>
      </w:r>
      <w:r w:rsidR="00CC781E" w:rsidRPr="00102445">
        <w:rPr>
          <w:lang w:eastAsia="en-AU"/>
        </w:rPr>
        <w:t xml:space="preserve">reflects </w:t>
      </w:r>
      <w:r w:rsidR="00CC781E" w:rsidRPr="00102445">
        <w:t xml:space="preserve">differences </w:t>
      </w:r>
      <w:r w:rsidR="001777CE" w:rsidRPr="00102445">
        <w:t>to non-manufacturing facilities</w:t>
      </w:r>
      <w:r w:rsidR="00CC781E" w:rsidRPr="00102445">
        <w:t xml:space="preserve"> in terms of structural margins.</w:t>
      </w:r>
      <w:r w:rsidR="00B517C7" w:rsidRPr="00102445">
        <w:t xml:space="preserve"> The result of this formula is rounded to 5 decimal places.</w:t>
      </w:r>
    </w:p>
    <w:p w14:paraId="7BD98386" w14:textId="4F869A1E" w:rsidR="00CD695B" w:rsidRPr="00102445" w:rsidRDefault="00CD695B"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Section </w:t>
      </w:r>
      <w:r w:rsidR="00F54436" w:rsidRPr="00102445">
        <w:rPr>
          <w:lang w:eastAsia="en-AU"/>
        </w:rPr>
        <w:t>35</w:t>
      </w:r>
      <w:r w:rsidRPr="00102445">
        <w:rPr>
          <w:lang w:eastAsia="en-AU"/>
        </w:rPr>
        <w:t xml:space="preserve"> specifies the formula and inputs for determining the ratio of cost impacts for a facility for a financial year</w:t>
      </w:r>
      <w:r w:rsidR="005F216C" w:rsidRPr="00102445">
        <w:rPr>
          <w:lang w:eastAsia="en-AU"/>
        </w:rPr>
        <w:t xml:space="preserve">, which </w:t>
      </w:r>
      <w:r w:rsidR="00953B49" w:rsidRPr="00102445">
        <w:rPr>
          <w:lang w:eastAsia="en-AU"/>
        </w:rPr>
        <w:t xml:space="preserve">is the same for each of the three years in a </w:t>
      </w:r>
      <w:r w:rsidR="006B7A05" w:rsidRPr="00102445">
        <w:rPr>
          <w:lang w:eastAsia="en-AU"/>
        </w:rPr>
        <w:t xml:space="preserve">trade-exposed baseline-adjusted </w:t>
      </w:r>
      <w:r w:rsidR="00953B49" w:rsidRPr="00102445">
        <w:rPr>
          <w:lang w:eastAsia="en-AU"/>
        </w:rPr>
        <w:t xml:space="preserve">determination and </w:t>
      </w:r>
      <w:r w:rsidR="005F216C" w:rsidRPr="00102445">
        <w:rPr>
          <w:lang w:eastAsia="en-AU"/>
        </w:rPr>
        <w:t xml:space="preserve">is used to calculate the </w:t>
      </w:r>
      <w:r w:rsidR="00B44CC9" w:rsidRPr="00102445">
        <w:rPr>
          <w:lang w:eastAsia="en-AU"/>
        </w:rPr>
        <w:t xml:space="preserve">emissions reduction contribution for a </w:t>
      </w:r>
      <w:r w:rsidR="006B7A05" w:rsidRPr="00102445">
        <w:rPr>
          <w:lang w:eastAsia="en-AU"/>
        </w:rPr>
        <w:t xml:space="preserve">trade-exposed baseline-adjusted </w:t>
      </w:r>
      <w:r w:rsidR="00B44CC9" w:rsidRPr="00102445">
        <w:rPr>
          <w:lang w:eastAsia="en-AU"/>
        </w:rPr>
        <w:t xml:space="preserve">facility </w:t>
      </w:r>
      <w:r w:rsidR="00953B49" w:rsidRPr="00102445">
        <w:rPr>
          <w:lang w:eastAsia="en-AU"/>
        </w:rPr>
        <w:t>for each of those years</w:t>
      </w:r>
      <w:r w:rsidR="00FA7304" w:rsidRPr="00102445">
        <w:rPr>
          <w:lang w:eastAsia="en-AU"/>
        </w:rPr>
        <w:t>.</w:t>
      </w:r>
    </w:p>
    <w:p w14:paraId="32758CDE" w14:textId="0F834EFD" w:rsidR="00F341E0" w:rsidRPr="00102445" w:rsidRDefault="00407918"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Subs</w:t>
      </w:r>
      <w:r w:rsidR="00F341E0" w:rsidRPr="00102445">
        <w:rPr>
          <w:lang w:eastAsia="en-AU"/>
        </w:rPr>
        <w:t xml:space="preserve">ection </w:t>
      </w:r>
      <w:r w:rsidR="00F54436" w:rsidRPr="00102445">
        <w:rPr>
          <w:lang w:eastAsia="en-AU"/>
        </w:rPr>
        <w:t>35</w:t>
      </w:r>
      <w:r w:rsidR="00F341E0" w:rsidRPr="00102445">
        <w:rPr>
          <w:lang w:eastAsia="en-AU"/>
        </w:rPr>
        <w:t xml:space="preserve">(2) </w:t>
      </w:r>
      <w:r w:rsidR="00F54639" w:rsidRPr="00102445">
        <w:rPr>
          <w:lang w:eastAsia="en-AU"/>
        </w:rPr>
        <w:t xml:space="preserve">states that when a facility reaches the significant cost impact threshold, </w:t>
      </w:r>
      <w:r w:rsidR="00F23E0E" w:rsidRPr="00102445">
        <w:rPr>
          <w:lang w:eastAsia="en-AU"/>
        </w:rPr>
        <w:t xml:space="preserve">the </w:t>
      </w:r>
      <w:r w:rsidR="004C13C5" w:rsidRPr="00102445">
        <w:rPr>
          <w:lang w:eastAsia="en-AU"/>
        </w:rPr>
        <w:t xml:space="preserve">ratio of cost impacts is equal to 1 and </w:t>
      </w:r>
      <w:r w:rsidR="00F23E0E" w:rsidRPr="00102445">
        <w:rPr>
          <w:lang w:eastAsia="en-AU"/>
        </w:rPr>
        <w:t>the maximum level of benefits has been reached</w:t>
      </w:r>
      <w:r w:rsidR="00A53F62" w:rsidRPr="00102445">
        <w:rPr>
          <w:lang w:eastAsia="en-AU"/>
        </w:rPr>
        <w:t>.</w:t>
      </w:r>
    </w:p>
    <w:p w14:paraId="67060A49" w14:textId="4EAC2375" w:rsidR="008F104C" w:rsidRPr="00102445" w:rsidRDefault="00407918"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Subs</w:t>
      </w:r>
      <w:r w:rsidR="008F104C" w:rsidRPr="00102445">
        <w:rPr>
          <w:lang w:eastAsia="en-AU"/>
        </w:rPr>
        <w:t xml:space="preserve">ection </w:t>
      </w:r>
      <w:r w:rsidR="00F54436" w:rsidRPr="00102445">
        <w:rPr>
          <w:lang w:eastAsia="en-AU"/>
        </w:rPr>
        <w:t>35</w:t>
      </w:r>
      <w:r w:rsidR="008F104C" w:rsidRPr="00102445">
        <w:rPr>
          <w:lang w:eastAsia="en-AU"/>
        </w:rPr>
        <w:t xml:space="preserve">(3) </w:t>
      </w:r>
      <w:r w:rsidR="00F341E0" w:rsidRPr="00102445">
        <w:rPr>
          <w:lang w:eastAsia="en-AU"/>
        </w:rPr>
        <w:t>defines the formula for the ratio of cost impacts</w:t>
      </w:r>
      <w:r w:rsidR="008D1825" w:rsidRPr="00102445">
        <w:rPr>
          <w:lang w:eastAsia="en-AU"/>
        </w:rPr>
        <w:t xml:space="preserve"> </w:t>
      </w:r>
      <w:r w:rsidR="00E63BB3" w:rsidRPr="00102445">
        <w:rPr>
          <w:lang w:eastAsia="en-AU"/>
        </w:rPr>
        <w:t xml:space="preserve">as the </w:t>
      </w:r>
      <w:r w:rsidR="003756DE" w:rsidRPr="00102445">
        <w:rPr>
          <w:lang w:eastAsia="en-AU"/>
        </w:rPr>
        <w:t>assessed cost impact less the material cost impact threshold, divided by the significant cost impact threshold less the material cost impact threshold.</w:t>
      </w:r>
    </w:p>
    <w:p w14:paraId="54E5940D" w14:textId="55F90703" w:rsidR="002F471E" w:rsidRPr="00102445" w:rsidRDefault="005A4587"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F</w:t>
      </w:r>
      <w:r w:rsidR="002F471E" w:rsidRPr="00102445">
        <w:rPr>
          <w:lang w:eastAsia="en-AU"/>
        </w:rPr>
        <w:t>acilities in the manufacturing sector</w:t>
      </w:r>
      <w:r w:rsidRPr="00102445">
        <w:rPr>
          <w:lang w:eastAsia="en-AU"/>
        </w:rPr>
        <w:t xml:space="preserve"> have a different </w:t>
      </w:r>
      <w:r w:rsidR="00C743CF" w:rsidRPr="00102445">
        <w:rPr>
          <w:lang w:eastAsia="en-AU"/>
        </w:rPr>
        <w:t>test</w:t>
      </w:r>
      <w:r w:rsidR="000670D5" w:rsidRPr="00102445">
        <w:rPr>
          <w:lang w:eastAsia="en-AU"/>
        </w:rPr>
        <w:t xml:space="preserve"> to access </w:t>
      </w:r>
      <w:r w:rsidR="00D1200C" w:rsidRPr="00102445">
        <w:rPr>
          <w:lang w:eastAsia="en-AU"/>
        </w:rPr>
        <w:t>trade-exposed baseline-adjusted</w:t>
      </w:r>
      <w:r w:rsidR="000670D5" w:rsidRPr="00102445">
        <w:rPr>
          <w:lang w:eastAsia="en-AU"/>
        </w:rPr>
        <w:t xml:space="preserve"> statu</w:t>
      </w:r>
      <w:r w:rsidR="00467FE9" w:rsidRPr="00102445">
        <w:rPr>
          <w:lang w:eastAsia="en-AU"/>
        </w:rPr>
        <w:t>s</w:t>
      </w:r>
      <w:r w:rsidR="002F471E" w:rsidRPr="00102445">
        <w:rPr>
          <w:lang w:eastAsia="en-AU"/>
        </w:rPr>
        <w:t xml:space="preserve"> to facilities in non-manufacturing sectors. This </w:t>
      </w:r>
      <w:r w:rsidR="005224A2" w:rsidRPr="00102445">
        <w:rPr>
          <w:lang w:eastAsia="en-AU"/>
        </w:rPr>
        <w:t>is due to</w:t>
      </w:r>
      <w:r w:rsidR="006E0D43" w:rsidRPr="00102445">
        <w:rPr>
          <w:lang w:eastAsia="en-AU"/>
        </w:rPr>
        <w:t xml:space="preserve"> the</w:t>
      </w:r>
      <w:r w:rsidR="005224A2" w:rsidRPr="00102445">
        <w:rPr>
          <w:lang w:eastAsia="en-AU"/>
        </w:rPr>
        <w:t xml:space="preserve"> </w:t>
      </w:r>
      <w:r w:rsidR="007F33AE" w:rsidRPr="00102445">
        <w:rPr>
          <w:lang w:eastAsia="en-AU"/>
        </w:rPr>
        <w:t xml:space="preserve">structurally lower margins </w:t>
      </w:r>
      <w:r w:rsidR="007D5E57" w:rsidRPr="00102445">
        <w:rPr>
          <w:lang w:eastAsia="en-AU"/>
        </w:rPr>
        <w:t xml:space="preserve">and greater capital intensity </w:t>
      </w:r>
      <w:r w:rsidR="001C7090" w:rsidRPr="00102445">
        <w:rPr>
          <w:lang w:eastAsia="en-AU"/>
        </w:rPr>
        <w:t>of</w:t>
      </w:r>
      <w:r w:rsidR="002F471E" w:rsidRPr="00102445">
        <w:rPr>
          <w:lang w:eastAsia="en-AU"/>
        </w:rPr>
        <w:t xml:space="preserve"> manufacturing facilit</w:t>
      </w:r>
      <w:r w:rsidR="007F33AE" w:rsidRPr="00102445">
        <w:rPr>
          <w:lang w:eastAsia="en-AU"/>
        </w:rPr>
        <w:t>ies</w:t>
      </w:r>
      <w:r w:rsidR="002F471E" w:rsidRPr="00102445">
        <w:rPr>
          <w:lang w:eastAsia="en-AU"/>
        </w:rPr>
        <w:t>.</w:t>
      </w:r>
      <w:r w:rsidR="00C35691" w:rsidRPr="00102445">
        <w:rPr>
          <w:lang w:eastAsia="en-AU"/>
        </w:rPr>
        <w:t xml:space="preserve"> Facilities are manufacturing facilities</w:t>
      </w:r>
      <w:r w:rsidR="005F6218" w:rsidRPr="00102445">
        <w:rPr>
          <w:lang w:eastAsia="en-AU"/>
        </w:rPr>
        <w:t xml:space="preserve"> </w:t>
      </w:r>
      <w:r w:rsidR="009B2DF8" w:rsidRPr="00102445">
        <w:rPr>
          <w:lang w:eastAsia="en-AU"/>
        </w:rPr>
        <w:t xml:space="preserve">in a financial year </w:t>
      </w:r>
      <w:r w:rsidR="005F6218" w:rsidRPr="00102445">
        <w:rPr>
          <w:lang w:eastAsia="en-AU"/>
        </w:rPr>
        <w:t>if the</w:t>
      </w:r>
      <w:r w:rsidR="00C61C83" w:rsidRPr="00102445">
        <w:rPr>
          <w:lang w:eastAsia="en-AU"/>
        </w:rPr>
        <w:t xml:space="preserve"> primary production variable </w:t>
      </w:r>
      <w:r w:rsidR="009B2DF8" w:rsidRPr="00102445">
        <w:rPr>
          <w:lang w:eastAsia="en-AU"/>
        </w:rPr>
        <w:t xml:space="preserve">is </w:t>
      </w:r>
      <w:r w:rsidR="00EA2BAA" w:rsidRPr="00102445">
        <w:rPr>
          <w:lang w:eastAsia="en-AU"/>
        </w:rPr>
        <w:t>listed in the table in section 1 of Schedule 2</w:t>
      </w:r>
      <w:r w:rsidR="00C530ED" w:rsidRPr="00102445">
        <w:rPr>
          <w:lang w:eastAsia="en-AU"/>
        </w:rPr>
        <w:t xml:space="preserve"> as </w:t>
      </w:r>
      <w:r w:rsidR="009F7BFB" w:rsidRPr="00102445">
        <w:rPr>
          <w:lang w:eastAsia="en-AU"/>
        </w:rPr>
        <w:t xml:space="preserve">a trade-exposed production variable that is also a manufacturing production variable. </w:t>
      </w:r>
    </w:p>
    <w:p w14:paraId="44DF8B23" w14:textId="1984E446" w:rsidR="00147CBA" w:rsidRPr="00102445" w:rsidRDefault="0079263D"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For </w:t>
      </w:r>
      <w:r w:rsidR="004D5D4E" w:rsidRPr="00102445">
        <w:rPr>
          <w:lang w:eastAsia="en-AU"/>
        </w:rPr>
        <w:t>manufacturing facilities</w:t>
      </w:r>
      <w:r w:rsidR="00E60C13" w:rsidRPr="00102445">
        <w:rPr>
          <w:lang w:eastAsia="en-AU"/>
        </w:rPr>
        <w:t>,</w:t>
      </w:r>
      <w:r w:rsidR="004D5D4E" w:rsidRPr="00102445">
        <w:rPr>
          <w:lang w:eastAsia="en-AU"/>
        </w:rPr>
        <w:t xml:space="preserve"> </w:t>
      </w:r>
      <w:r w:rsidRPr="00102445">
        <w:rPr>
          <w:lang w:eastAsia="en-AU"/>
        </w:rPr>
        <w:t xml:space="preserve">the material cost impact threshold is </w:t>
      </w:r>
      <w:r w:rsidR="004D5D4E" w:rsidRPr="00102445">
        <w:rPr>
          <w:lang w:eastAsia="en-AU"/>
        </w:rPr>
        <w:t>0.03</w:t>
      </w:r>
      <w:r w:rsidR="00E60C13" w:rsidRPr="00102445">
        <w:rPr>
          <w:lang w:eastAsia="en-AU"/>
        </w:rPr>
        <w:t xml:space="preserve"> and the significant cost impact threshold is </w:t>
      </w:r>
      <w:r w:rsidR="008F4CE4" w:rsidRPr="00102445">
        <w:rPr>
          <w:lang w:eastAsia="en-AU"/>
        </w:rPr>
        <w:t>0.10</w:t>
      </w:r>
      <w:r w:rsidR="001162F3" w:rsidRPr="00102445">
        <w:rPr>
          <w:lang w:eastAsia="en-AU"/>
        </w:rPr>
        <w:t xml:space="preserve">, and is based on </w:t>
      </w:r>
      <w:r w:rsidR="00257BB0" w:rsidRPr="00102445">
        <w:rPr>
          <w:lang w:eastAsia="en-AU"/>
        </w:rPr>
        <w:t xml:space="preserve">scheme costs relative to </w:t>
      </w:r>
      <w:r w:rsidR="00940C64" w:rsidRPr="00102445">
        <w:rPr>
          <w:lang w:eastAsia="en-AU"/>
        </w:rPr>
        <w:t>Earnings Before Interest and Taxes (EBIT)</w:t>
      </w:r>
      <w:r w:rsidRPr="00102445">
        <w:rPr>
          <w:lang w:eastAsia="en-AU"/>
        </w:rPr>
        <w:t>.</w:t>
      </w:r>
      <w:r w:rsidR="006A1B5D" w:rsidRPr="00102445">
        <w:rPr>
          <w:lang w:eastAsia="en-AU"/>
        </w:rPr>
        <w:t xml:space="preserve"> </w:t>
      </w:r>
      <w:r w:rsidR="00147CBA" w:rsidRPr="00102445">
        <w:rPr>
          <w:lang w:eastAsia="en-AU"/>
        </w:rPr>
        <w:t>For non-manufacturing facilities, the material cost impact threshold is 0.03 and the significant cost impact threshold is 0.08</w:t>
      </w:r>
      <w:r w:rsidR="00940C64" w:rsidRPr="00102445">
        <w:rPr>
          <w:lang w:eastAsia="en-AU"/>
        </w:rPr>
        <w:t>, and is based on scheme costs relative to revenue</w:t>
      </w:r>
      <w:r w:rsidR="00147CBA" w:rsidRPr="00102445">
        <w:rPr>
          <w:lang w:eastAsia="en-AU"/>
        </w:rPr>
        <w:t>.</w:t>
      </w:r>
      <w:r w:rsidR="00940C64" w:rsidRPr="00102445">
        <w:rPr>
          <w:lang w:eastAsia="en-AU"/>
        </w:rPr>
        <w:t xml:space="preserve"> This is further explained in the calculation of assessed cost impact </w:t>
      </w:r>
      <w:r w:rsidR="00CC3663" w:rsidRPr="00102445">
        <w:rPr>
          <w:lang w:eastAsia="en-AU"/>
        </w:rPr>
        <w:t>in Section 30.</w:t>
      </w:r>
    </w:p>
    <w:p w14:paraId="39BCA888" w14:textId="3CD92435" w:rsidR="00E84ADF" w:rsidRPr="00102445" w:rsidRDefault="00E84ADF"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lastRenderedPageBreak/>
        <w:t xml:space="preserve">Section </w:t>
      </w:r>
      <w:r w:rsidR="00D23832" w:rsidRPr="00102445">
        <w:rPr>
          <w:lang w:eastAsia="en-AU"/>
        </w:rPr>
        <w:t xml:space="preserve">36 </w:t>
      </w:r>
      <w:r w:rsidR="00C759EF" w:rsidRPr="00102445">
        <w:rPr>
          <w:lang w:eastAsia="en-AU"/>
        </w:rPr>
        <w:t xml:space="preserve">defines the </w:t>
      </w:r>
      <w:r w:rsidRPr="00102445">
        <w:rPr>
          <w:lang w:eastAsia="en-AU"/>
        </w:rPr>
        <w:t>assessed cost impact</w:t>
      </w:r>
      <w:r w:rsidR="00C759EF" w:rsidRPr="00102445">
        <w:rPr>
          <w:lang w:eastAsia="en-AU"/>
        </w:rPr>
        <w:t xml:space="preserve"> for a facility</w:t>
      </w:r>
      <w:r w:rsidR="00FD3F3D" w:rsidRPr="00102445">
        <w:rPr>
          <w:lang w:eastAsia="en-AU"/>
        </w:rPr>
        <w:t xml:space="preserve"> for a financial year</w:t>
      </w:r>
      <w:r w:rsidR="00800538" w:rsidRPr="00102445">
        <w:rPr>
          <w:lang w:eastAsia="en-AU"/>
        </w:rPr>
        <w:t xml:space="preserve"> for the purposes of access to the </w:t>
      </w:r>
      <w:r w:rsidR="00D1200C" w:rsidRPr="00102445">
        <w:rPr>
          <w:lang w:eastAsia="en-AU"/>
        </w:rPr>
        <w:t>trade-exposed baseline-adjusted</w:t>
      </w:r>
      <w:r w:rsidR="00800538" w:rsidRPr="00102445">
        <w:rPr>
          <w:lang w:eastAsia="en-AU"/>
        </w:rPr>
        <w:t xml:space="preserve"> status</w:t>
      </w:r>
      <w:r w:rsidR="00FC672B" w:rsidRPr="00102445">
        <w:rPr>
          <w:lang w:eastAsia="en-AU"/>
        </w:rPr>
        <w:t>.</w:t>
      </w:r>
    </w:p>
    <w:p w14:paraId="456CAC26" w14:textId="03F8E7E0" w:rsidR="00072D8D" w:rsidRPr="00102445" w:rsidRDefault="0005651E" w:rsidP="00591A9C">
      <w:pPr>
        <w:pStyle w:val="ListParagraph"/>
        <w:numPr>
          <w:ilvl w:val="0"/>
          <w:numId w:val="2"/>
        </w:numPr>
        <w:shd w:val="clear" w:color="auto" w:fill="FFFFFF" w:themeFill="background1"/>
        <w:spacing w:after="240" w:line="240" w:lineRule="auto"/>
        <w:contextualSpacing w:val="0"/>
        <w:rPr>
          <w:lang w:eastAsia="en-AU"/>
        </w:rPr>
      </w:pPr>
      <w:r w:rsidRPr="00102445">
        <w:t>S</w:t>
      </w:r>
      <w:r w:rsidR="00407918" w:rsidRPr="00102445">
        <w:t>ubs</w:t>
      </w:r>
      <w:r w:rsidRPr="00102445">
        <w:t>ection</w:t>
      </w:r>
      <w:r w:rsidR="001D2364" w:rsidRPr="00102445">
        <w:t>s</w:t>
      </w:r>
      <w:r w:rsidRPr="00102445">
        <w:t xml:space="preserve"> </w:t>
      </w:r>
      <w:r w:rsidR="00D23832" w:rsidRPr="00102445">
        <w:t>36</w:t>
      </w:r>
      <w:r w:rsidRPr="00102445">
        <w:t>(1)</w:t>
      </w:r>
      <w:r w:rsidR="00D002E4" w:rsidRPr="00102445">
        <w:t xml:space="preserve"> </w:t>
      </w:r>
      <w:r w:rsidR="001D2364" w:rsidRPr="00102445">
        <w:t xml:space="preserve">and </w:t>
      </w:r>
      <w:r w:rsidR="00D23832" w:rsidRPr="00102445">
        <w:t>36</w:t>
      </w:r>
      <w:r w:rsidR="001D2364" w:rsidRPr="00102445">
        <w:t>(</w:t>
      </w:r>
      <w:r w:rsidR="00CE01D2" w:rsidRPr="00102445">
        <w:t>4</w:t>
      </w:r>
      <w:r w:rsidR="001D2364" w:rsidRPr="00102445">
        <w:t xml:space="preserve">) </w:t>
      </w:r>
      <w:r w:rsidR="00D002E4" w:rsidRPr="00102445">
        <w:t>set out the assessed cost impact formula</w:t>
      </w:r>
      <w:r w:rsidR="001D2364" w:rsidRPr="00102445">
        <w:t>s</w:t>
      </w:r>
      <w:r w:rsidR="002054AD" w:rsidRPr="00102445">
        <w:t xml:space="preserve">, which </w:t>
      </w:r>
      <w:r w:rsidR="001D2364" w:rsidRPr="00102445">
        <w:t>are</w:t>
      </w:r>
      <w:r w:rsidR="002054AD" w:rsidRPr="00102445">
        <w:t xml:space="preserve"> equal to scheme cost as a proportion of </w:t>
      </w:r>
      <w:r w:rsidR="00327485" w:rsidRPr="00102445">
        <w:t xml:space="preserve">the </w:t>
      </w:r>
      <w:r w:rsidR="00072D8D" w:rsidRPr="00102445">
        <w:rPr>
          <w:lang w:eastAsia="en-AU"/>
        </w:rPr>
        <w:t>EBIT</w:t>
      </w:r>
      <w:r w:rsidR="005A5D1A" w:rsidRPr="00102445">
        <w:rPr>
          <w:lang w:eastAsia="en-AU"/>
        </w:rPr>
        <w:t xml:space="preserve"> or revenue </w:t>
      </w:r>
      <w:r w:rsidR="00072D8D" w:rsidRPr="00102445">
        <w:rPr>
          <w:lang w:eastAsia="en-AU"/>
        </w:rPr>
        <w:t>of the facility</w:t>
      </w:r>
      <w:r w:rsidR="005A5D1A" w:rsidRPr="00102445">
        <w:rPr>
          <w:lang w:eastAsia="en-AU"/>
        </w:rPr>
        <w:t xml:space="preserve"> (for manufacturing and</w:t>
      </w:r>
      <w:r w:rsidR="00072D8D" w:rsidRPr="00102445">
        <w:rPr>
          <w:lang w:eastAsia="en-AU"/>
        </w:rPr>
        <w:t xml:space="preserve"> non-manufacturing facilities</w:t>
      </w:r>
      <w:r w:rsidR="005A5D1A" w:rsidRPr="00102445">
        <w:rPr>
          <w:lang w:eastAsia="en-AU"/>
        </w:rPr>
        <w:t xml:space="preserve"> respectively)</w:t>
      </w:r>
      <w:r w:rsidR="00072D8D" w:rsidRPr="00102445">
        <w:rPr>
          <w:lang w:eastAsia="en-AU"/>
        </w:rPr>
        <w:t>.</w:t>
      </w:r>
    </w:p>
    <w:p w14:paraId="464CF412" w14:textId="320572D0" w:rsidR="00AA482F" w:rsidRPr="00102445" w:rsidRDefault="00D97F36" w:rsidP="00591A9C">
      <w:pPr>
        <w:pStyle w:val="ListParagraph"/>
        <w:numPr>
          <w:ilvl w:val="0"/>
          <w:numId w:val="2"/>
        </w:numPr>
        <w:shd w:val="clear" w:color="auto" w:fill="FFFFFF" w:themeFill="background1"/>
        <w:spacing w:line="240" w:lineRule="auto"/>
        <w:contextualSpacing w:val="0"/>
        <w:rPr>
          <w:lang w:eastAsia="en-AU"/>
        </w:rPr>
      </w:pPr>
      <w:r w:rsidRPr="00102445">
        <w:t xml:space="preserve">Scheme cost for a facility will be determined by multiplying a baseline exceedance in a particular year by the default </w:t>
      </w:r>
      <w:bookmarkStart w:id="10" w:name="_Hlk132887312"/>
      <w:r w:rsidR="009C2A82" w:rsidRPr="00102445">
        <w:t>prescribed unit</w:t>
      </w:r>
      <w:r w:rsidRPr="00102445">
        <w:t xml:space="preserve"> price</w:t>
      </w:r>
      <w:bookmarkEnd w:id="10"/>
      <w:r w:rsidRPr="00102445">
        <w:t xml:space="preserve">. </w:t>
      </w:r>
      <w:r w:rsidR="006A1B5D" w:rsidRPr="00102445">
        <w:t xml:space="preserve">A baseline exceedance is the amount of </w:t>
      </w:r>
      <w:r w:rsidR="00086842" w:rsidRPr="00102445">
        <w:t xml:space="preserve">covered </w:t>
      </w:r>
      <w:r w:rsidR="006A1B5D" w:rsidRPr="00102445">
        <w:t xml:space="preserve">emissions above the </w:t>
      </w:r>
      <w:r w:rsidR="009C2A82" w:rsidRPr="00102445">
        <w:t>baseline</w:t>
      </w:r>
      <w:r w:rsidR="006A1B5D" w:rsidRPr="00102445">
        <w:t xml:space="preserve"> for the facility in the relevant financial year.</w:t>
      </w:r>
      <w:r w:rsidR="009C2A82" w:rsidRPr="00102445">
        <w:t xml:space="preserve"> The default prescribed unit price</w:t>
      </w:r>
      <w:r w:rsidR="00C756D3" w:rsidRPr="00102445">
        <w:t xml:space="preserve"> is described further in section 31.</w:t>
      </w:r>
      <w:r w:rsidR="00423B60" w:rsidRPr="00102445">
        <w:rPr>
          <w:lang w:eastAsia="en-AU"/>
        </w:rPr>
        <w:t xml:space="preserve"> </w:t>
      </w:r>
      <w:r w:rsidR="00AA482F" w:rsidRPr="00102445">
        <w:rPr>
          <w:lang w:eastAsia="en-AU"/>
        </w:rPr>
        <w:t>The trade</w:t>
      </w:r>
      <w:r w:rsidR="00787CEB" w:rsidRPr="00102445">
        <w:rPr>
          <w:lang w:eastAsia="en-AU"/>
        </w:rPr>
        <w:t>-</w:t>
      </w:r>
      <w:r w:rsidR="00AA482F" w:rsidRPr="00102445">
        <w:rPr>
          <w:lang w:eastAsia="en-AU"/>
        </w:rPr>
        <w:t>exposed baseline</w:t>
      </w:r>
      <w:r w:rsidR="00787CEB" w:rsidRPr="00102445">
        <w:rPr>
          <w:lang w:eastAsia="en-AU"/>
        </w:rPr>
        <w:t>-</w:t>
      </w:r>
      <w:r w:rsidR="00AA482F" w:rsidRPr="00102445">
        <w:rPr>
          <w:lang w:eastAsia="en-AU"/>
        </w:rPr>
        <w:t xml:space="preserve">adjusted designation </w:t>
      </w:r>
      <w:r w:rsidR="00B17289" w:rsidRPr="00102445">
        <w:rPr>
          <w:lang w:eastAsia="en-AU"/>
        </w:rPr>
        <w:t xml:space="preserve">should only </w:t>
      </w:r>
      <w:r w:rsidR="00AA482F" w:rsidRPr="00102445">
        <w:rPr>
          <w:lang w:eastAsia="en-AU"/>
        </w:rPr>
        <w:t xml:space="preserve">apply to facilities </w:t>
      </w:r>
      <w:r w:rsidR="00B95297" w:rsidRPr="00102445">
        <w:rPr>
          <w:lang w:eastAsia="en-AU"/>
        </w:rPr>
        <w:t>where the</w:t>
      </w:r>
      <w:r w:rsidR="00AA482F" w:rsidRPr="00102445">
        <w:rPr>
          <w:lang w:eastAsia="en-AU"/>
        </w:rPr>
        <w:t xml:space="preserve"> </w:t>
      </w:r>
      <w:r w:rsidR="00607E85" w:rsidRPr="00102445">
        <w:rPr>
          <w:lang w:eastAsia="en-AU"/>
        </w:rPr>
        <w:t xml:space="preserve">covered emissions </w:t>
      </w:r>
      <w:r w:rsidR="00B17289" w:rsidRPr="00102445">
        <w:rPr>
          <w:lang w:eastAsia="en-AU"/>
        </w:rPr>
        <w:t xml:space="preserve">exceed </w:t>
      </w:r>
      <w:r w:rsidR="00673365" w:rsidRPr="00102445">
        <w:rPr>
          <w:lang w:eastAsia="en-AU"/>
        </w:rPr>
        <w:t xml:space="preserve">their </w:t>
      </w:r>
      <w:r w:rsidR="007D70D7" w:rsidRPr="00102445">
        <w:rPr>
          <w:lang w:eastAsia="en-AU"/>
        </w:rPr>
        <w:t xml:space="preserve">pre-application </w:t>
      </w:r>
      <w:r w:rsidR="001E3407" w:rsidRPr="00102445">
        <w:rPr>
          <w:lang w:eastAsia="en-AU"/>
        </w:rPr>
        <w:t>baseline</w:t>
      </w:r>
      <w:r w:rsidR="00F97B7E" w:rsidRPr="00102445">
        <w:rPr>
          <w:lang w:eastAsia="en-AU"/>
        </w:rPr>
        <w:t xml:space="preserve"> (the hypothetical baseline)</w:t>
      </w:r>
      <w:r w:rsidR="00673365" w:rsidRPr="00102445">
        <w:rPr>
          <w:lang w:eastAsia="en-AU"/>
        </w:rPr>
        <w:t>.</w:t>
      </w:r>
      <w:r w:rsidR="00607E85" w:rsidRPr="00102445">
        <w:rPr>
          <w:lang w:eastAsia="en-AU"/>
        </w:rPr>
        <w:t xml:space="preserve"> </w:t>
      </w:r>
      <w:r w:rsidR="00423B60" w:rsidRPr="00102445">
        <w:rPr>
          <w:lang w:eastAsia="en-AU"/>
        </w:rPr>
        <w:t xml:space="preserve">This is required for the </w:t>
      </w:r>
      <w:r w:rsidR="00596536" w:rsidRPr="00102445">
        <w:rPr>
          <w:lang w:eastAsia="en-AU"/>
        </w:rPr>
        <w:t xml:space="preserve">Regulator to make the </w:t>
      </w:r>
      <w:r w:rsidR="00423B60" w:rsidRPr="00102445">
        <w:rPr>
          <w:lang w:eastAsia="en-AU"/>
        </w:rPr>
        <w:t>determination</w:t>
      </w:r>
      <w:r w:rsidR="00596536" w:rsidRPr="00102445">
        <w:rPr>
          <w:lang w:eastAsia="en-AU"/>
        </w:rPr>
        <w:t xml:space="preserve"> in paragraph </w:t>
      </w:r>
      <w:r w:rsidR="00F31386" w:rsidRPr="00102445">
        <w:rPr>
          <w:lang w:eastAsia="en-AU"/>
        </w:rPr>
        <w:t>42</w:t>
      </w:r>
      <w:r w:rsidR="00596536" w:rsidRPr="00102445">
        <w:rPr>
          <w:lang w:eastAsia="en-AU"/>
        </w:rPr>
        <w:t>(2)(</w:t>
      </w:r>
      <w:r w:rsidR="00F31386" w:rsidRPr="00102445">
        <w:rPr>
          <w:lang w:eastAsia="en-AU"/>
        </w:rPr>
        <w:t>vii</w:t>
      </w:r>
      <w:r w:rsidR="00596536" w:rsidRPr="00102445">
        <w:rPr>
          <w:lang w:eastAsia="en-AU"/>
        </w:rPr>
        <w:t>).</w:t>
      </w:r>
    </w:p>
    <w:p w14:paraId="23AC5EB2" w14:textId="118AC173" w:rsidR="00A00B27" w:rsidRPr="00102445" w:rsidRDefault="008B3AD7"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Subsection </w:t>
      </w:r>
      <w:r w:rsidR="005B547A" w:rsidRPr="00102445">
        <w:rPr>
          <w:lang w:eastAsia="en-AU"/>
        </w:rPr>
        <w:t>36</w:t>
      </w:r>
      <w:r w:rsidRPr="00102445">
        <w:rPr>
          <w:lang w:eastAsia="en-AU"/>
        </w:rPr>
        <w:t>(</w:t>
      </w:r>
      <w:r w:rsidR="005B547A" w:rsidRPr="00102445">
        <w:rPr>
          <w:lang w:eastAsia="en-AU"/>
        </w:rPr>
        <w:t>2</w:t>
      </w:r>
      <w:r w:rsidRPr="00102445">
        <w:rPr>
          <w:lang w:eastAsia="en-AU"/>
        </w:rPr>
        <w:t xml:space="preserve">) </w:t>
      </w:r>
      <w:r w:rsidR="006F1FE6" w:rsidRPr="00102445">
        <w:rPr>
          <w:lang w:eastAsia="en-AU"/>
        </w:rPr>
        <w:t>specifie</w:t>
      </w:r>
      <w:r w:rsidR="003627E2" w:rsidRPr="00102445">
        <w:rPr>
          <w:lang w:eastAsia="en-AU"/>
        </w:rPr>
        <w:t>s</w:t>
      </w:r>
      <w:r w:rsidR="006F1FE6" w:rsidRPr="00102445">
        <w:rPr>
          <w:lang w:eastAsia="en-AU"/>
        </w:rPr>
        <w:t xml:space="preserve"> that for the purpose of calculating the</w:t>
      </w:r>
      <w:r w:rsidR="00583106" w:rsidRPr="00102445">
        <w:rPr>
          <w:lang w:eastAsia="en-AU"/>
        </w:rPr>
        <w:t xml:space="preserve"> assessed</w:t>
      </w:r>
      <w:r w:rsidR="004A0183" w:rsidRPr="00102445">
        <w:rPr>
          <w:lang w:eastAsia="en-AU"/>
        </w:rPr>
        <w:t xml:space="preserve"> cost impact, revenue from the Powering the Regions Fund is disregarded.</w:t>
      </w:r>
      <w:r w:rsidR="005B1BB8" w:rsidRPr="00102445">
        <w:rPr>
          <w:lang w:eastAsia="en-AU"/>
        </w:rPr>
        <w:t xml:space="preserve"> This helps incentivise taking up such assistance to reduce emissions.</w:t>
      </w:r>
    </w:p>
    <w:p w14:paraId="175C91FD" w14:textId="5663A8F8" w:rsidR="008B3AD7" w:rsidRPr="00102445" w:rsidRDefault="008B3AD7"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Subsection</w:t>
      </w:r>
      <w:r w:rsidR="006D7005" w:rsidRPr="00102445">
        <w:rPr>
          <w:lang w:eastAsia="en-AU"/>
        </w:rPr>
        <w:t>s</w:t>
      </w:r>
      <w:r w:rsidRPr="00102445">
        <w:rPr>
          <w:lang w:eastAsia="en-AU"/>
        </w:rPr>
        <w:t xml:space="preserve"> </w:t>
      </w:r>
      <w:r w:rsidR="005B547A" w:rsidRPr="00102445">
        <w:rPr>
          <w:lang w:eastAsia="en-AU"/>
        </w:rPr>
        <w:t>36</w:t>
      </w:r>
      <w:r w:rsidRPr="00102445">
        <w:rPr>
          <w:lang w:eastAsia="en-AU"/>
        </w:rPr>
        <w:t>(</w:t>
      </w:r>
      <w:r w:rsidR="005B547A" w:rsidRPr="00102445">
        <w:rPr>
          <w:lang w:eastAsia="en-AU"/>
        </w:rPr>
        <w:t>3</w:t>
      </w:r>
      <w:r w:rsidR="00CA1AE0" w:rsidRPr="00102445">
        <w:rPr>
          <w:lang w:eastAsia="en-AU"/>
        </w:rPr>
        <w:t xml:space="preserve">) </w:t>
      </w:r>
      <w:r w:rsidR="006D7005" w:rsidRPr="00102445">
        <w:rPr>
          <w:lang w:eastAsia="en-AU"/>
        </w:rPr>
        <w:t xml:space="preserve">and 36(5) </w:t>
      </w:r>
      <w:r w:rsidR="002039D4" w:rsidRPr="00102445">
        <w:rPr>
          <w:lang w:eastAsia="en-AU"/>
        </w:rPr>
        <w:t>specif</w:t>
      </w:r>
      <w:r w:rsidR="006D7005" w:rsidRPr="00102445">
        <w:rPr>
          <w:lang w:eastAsia="en-AU"/>
        </w:rPr>
        <w:t>y</w:t>
      </w:r>
      <w:r w:rsidR="002039D4" w:rsidRPr="00102445">
        <w:rPr>
          <w:lang w:eastAsia="en-AU"/>
        </w:rPr>
        <w:t xml:space="preserve"> that </w:t>
      </w:r>
      <w:r w:rsidR="00852FD5" w:rsidRPr="00102445">
        <w:rPr>
          <w:lang w:eastAsia="en-AU"/>
        </w:rPr>
        <w:t xml:space="preserve">if the revenue or EBIT </w:t>
      </w:r>
      <w:r w:rsidR="00500FC1" w:rsidRPr="00102445">
        <w:rPr>
          <w:lang w:eastAsia="en-AU"/>
        </w:rPr>
        <w:t xml:space="preserve">used to calculate the </w:t>
      </w:r>
      <w:r w:rsidR="00513DF7" w:rsidRPr="00102445">
        <w:rPr>
          <w:lang w:eastAsia="en-AU"/>
        </w:rPr>
        <w:t xml:space="preserve">assessed cost impact in </w:t>
      </w:r>
      <w:r w:rsidR="00513DF7" w:rsidRPr="00102445">
        <w:t xml:space="preserve">Subsections </w:t>
      </w:r>
      <w:r w:rsidR="005B547A" w:rsidRPr="00102445">
        <w:t>36</w:t>
      </w:r>
      <w:r w:rsidR="00513DF7" w:rsidRPr="00102445">
        <w:t xml:space="preserve">(1) and </w:t>
      </w:r>
      <w:r w:rsidR="005B547A" w:rsidRPr="00102445">
        <w:t>36</w:t>
      </w:r>
      <w:r w:rsidR="00513DF7" w:rsidRPr="00102445">
        <w:t>(</w:t>
      </w:r>
      <w:r w:rsidR="006D7005" w:rsidRPr="00102445">
        <w:t>4</w:t>
      </w:r>
      <w:r w:rsidR="00513DF7" w:rsidRPr="00102445">
        <w:t>)</w:t>
      </w:r>
      <w:r w:rsidR="004519EC" w:rsidRPr="00102445">
        <w:t xml:space="preserve"> </w:t>
      </w:r>
      <w:r w:rsidR="00BD45BE" w:rsidRPr="00102445">
        <w:rPr>
          <w:lang w:eastAsia="en-AU"/>
        </w:rPr>
        <w:t xml:space="preserve">are </w:t>
      </w:r>
      <w:r w:rsidR="00136CAC" w:rsidRPr="00102445">
        <w:rPr>
          <w:lang w:eastAsia="en-AU"/>
        </w:rPr>
        <w:t xml:space="preserve">less than or equal to zero, </w:t>
      </w:r>
      <w:r w:rsidR="000E4C89" w:rsidRPr="00102445">
        <w:rPr>
          <w:lang w:eastAsia="en-AU"/>
        </w:rPr>
        <w:t xml:space="preserve">the assessed cost impact for the facility </w:t>
      </w:r>
      <w:r w:rsidR="000F5DFA" w:rsidRPr="00102445">
        <w:rPr>
          <w:lang w:eastAsia="en-AU"/>
        </w:rPr>
        <w:t xml:space="preserve">is equal to the significant cost impact threshold for </w:t>
      </w:r>
      <w:r w:rsidR="00500FC1" w:rsidRPr="00102445">
        <w:rPr>
          <w:lang w:eastAsia="en-AU"/>
        </w:rPr>
        <w:t xml:space="preserve">the facility. </w:t>
      </w:r>
      <w:r w:rsidR="00962DC9" w:rsidRPr="00102445">
        <w:rPr>
          <w:lang w:eastAsia="en-AU"/>
        </w:rPr>
        <w:t xml:space="preserve">The intention of this is to ensure </w:t>
      </w:r>
      <w:r w:rsidR="005347B7" w:rsidRPr="00102445">
        <w:rPr>
          <w:lang w:eastAsia="en-AU"/>
        </w:rPr>
        <w:t xml:space="preserve">the consistent treatment for facilities that have </w:t>
      </w:r>
      <w:r w:rsidR="006A7416" w:rsidRPr="00102445">
        <w:rPr>
          <w:lang w:eastAsia="en-AU"/>
        </w:rPr>
        <w:t>calculated zero</w:t>
      </w:r>
      <w:r w:rsidR="0010710A" w:rsidRPr="00102445">
        <w:rPr>
          <w:lang w:eastAsia="en-AU"/>
        </w:rPr>
        <w:t>,</w:t>
      </w:r>
      <w:r w:rsidR="006A7416" w:rsidRPr="00102445">
        <w:rPr>
          <w:lang w:eastAsia="en-AU"/>
        </w:rPr>
        <w:t xml:space="preserve"> or negative</w:t>
      </w:r>
      <w:r w:rsidR="009E5FB8" w:rsidRPr="00102445">
        <w:rPr>
          <w:lang w:eastAsia="en-AU"/>
        </w:rPr>
        <w:t xml:space="preserve">, EBIT </w:t>
      </w:r>
      <w:r w:rsidR="00485085" w:rsidRPr="00102445">
        <w:rPr>
          <w:lang w:eastAsia="en-AU"/>
        </w:rPr>
        <w:t>or</w:t>
      </w:r>
      <w:r w:rsidR="007F0477" w:rsidRPr="00102445">
        <w:rPr>
          <w:lang w:eastAsia="en-AU"/>
        </w:rPr>
        <w:t xml:space="preserve"> </w:t>
      </w:r>
      <w:r w:rsidR="0010710A" w:rsidRPr="00102445">
        <w:rPr>
          <w:lang w:eastAsia="en-AU"/>
        </w:rPr>
        <w:t xml:space="preserve">revenue </w:t>
      </w:r>
      <w:r w:rsidR="00C47A61" w:rsidRPr="00102445">
        <w:rPr>
          <w:lang w:eastAsia="en-AU"/>
        </w:rPr>
        <w:t xml:space="preserve">compared to facilities with </w:t>
      </w:r>
      <w:r w:rsidR="00202241" w:rsidRPr="00102445">
        <w:rPr>
          <w:lang w:eastAsia="en-AU"/>
        </w:rPr>
        <w:t>a relatively small</w:t>
      </w:r>
      <w:r w:rsidR="00D47597" w:rsidRPr="00102445">
        <w:rPr>
          <w:lang w:eastAsia="en-AU"/>
        </w:rPr>
        <w:t xml:space="preserve"> </w:t>
      </w:r>
      <w:r w:rsidR="003A161F" w:rsidRPr="00102445">
        <w:rPr>
          <w:lang w:eastAsia="en-AU"/>
        </w:rPr>
        <w:t>EBIT or revenue (whichever is relevant to the facility</w:t>
      </w:r>
      <w:r w:rsidR="005424EE" w:rsidRPr="00102445">
        <w:rPr>
          <w:lang w:eastAsia="en-AU"/>
        </w:rPr>
        <w:t xml:space="preserve"> for the purposes of calculating the assessed cost impact</w:t>
      </w:r>
      <w:r w:rsidR="003A161F" w:rsidRPr="00102445">
        <w:rPr>
          <w:lang w:eastAsia="en-AU"/>
        </w:rPr>
        <w:t xml:space="preserve">). </w:t>
      </w:r>
    </w:p>
    <w:p w14:paraId="5ECDF029" w14:textId="28599E65" w:rsidR="00457B7A" w:rsidRPr="00102445" w:rsidRDefault="00407918"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Subs</w:t>
      </w:r>
      <w:r w:rsidR="00457B7A" w:rsidRPr="00102445">
        <w:rPr>
          <w:lang w:eastAsia="en-AU"/>
        </w:rPr>
        <w:t xml:space="preserve">ection </w:t>
      </w:r>
      <w:r w:rsidR="006D7005" w:rsidRPr="00102445">
        <w:rPr>
          <w:lang w:eastAsia="en-AU"/>
        </w:rPr>
        <w:t>36</w:t>
      </w:r>
      <w:r w:rsidR="00457B7A" w:rsidRPr="00102445">
        <w:rPr>
          <w:lang w:eastAsia="en-AU"/>
        </w:rPr>
        <w:t>(</w:t>
      </w:r>
      <w:r w:rsidR="006D7005" w:rsidRPr="00102445">
        <w:rPr>
          <w:lang w:eastAsia="en-AU"/>
        </w:rPr>
        <w:t>6</w:t>
      </w:r>
      <w:r w:rsidR="00457B7A" w:rsidRPr="00102445">
        <w:rPr>
          <w:lang w:eastAsia="en-AU"/>
        </w:rPr>
        <w:t xml:space="preserve">) defines </w:t>
      </w:r>
      <w:r w:rsidR="00DA5ADF" w:rsidRPr="00102445">
        <w:rPr>
          <w:lang w:eastAsia="en-AU"/>
        </w:rPr>
        <w:t>the first adjusted financial year</w:t>
      </w:r>
      <w:r w:rsidR="00D62CAF" w:rsidRPr="00102445">
        <w:rPr>
          <w:lang w:eastAsia="en-AU"/>
        </w:rPr>
        <w:t xml:space="preserve"> </w:t>
      </w:r>
      <w:r w:rsidR="00283F16" w:rsidRPr="00102445">
        <w:rPr>
          <w:lang w:eastAsia="en-AU"/>
        </w:rPr>
        <w:t xml:space="preserve">for a </w:t>
      </w:r>
      <w:r w:rsidR="00D1200C" w:rsidRPr="00102445">
        <w:rPr>
          <w:lang w:eastAsia="en-AU"/>
        </w:rPr>
        <w:t>trade-exposed baseline-adjusted</w:t>
      </w:r>
      <w:r w:rsidR="00283F16" w:rsidRPr="00102445">
        <w:rPr>
          <w:lang w:eastAsia="en-AU"/>
        </w:rPr>
        <w:t xml:space="preserve"> determination</w:t>
      </w:r>
      <w:r w:rsidR="00F70773" w:rsidRPr="00102445">
        <w:rPr>
          <w:lang w:eastAsia="en-AU"/>
        </w:rPr>
        <w:t xml:space="preserve"> </w:t>
      </w:r>
      <w:r w:rsidR="00E53F52" w:rsidRPr="00102445">
        <w:rPr>
          <w:lang w:eastAsia="en-AU"/>
        </w:rPr>
        <w:t xml:space="preserve">to apply </w:t>
      </w:r>
      <w:r w:rsidR="00D62CAF" w:rsidRPr="00102445">
        <w:rPr>
          <w:lang w:eastAsia="en-AU"/>
        </w:rPr>
        <w:t xml:space="preserve">which is used to </w:t>
      </w:r>
      <w:r w:rsidR="00283F16" w:rsidRPr="00102445">
        <w:rPr>
          <w:lang w:eastAsia="en-AU"/>
        </w:rPr>
        <w:t>assess</w:t>
      </w:r>
      <w:r w:rsidR="007F0CBE" w:rsidRPr="00102445">
        <w:rPr>
          <w:lang w:eastAsia="en-AU"/>
        </w:rPr>
        <w:t xml:space="preserve"> the </w:t>
      </w:r>
      <w:r w:rsidR="00DC0EED" w:rsidRPr="00102445">
        <w:rPr>
          <w:lang w:eastAsia="en-AU"/>
        </w:rPr>
        <w:t xml:space="preserve">conditions under which a facility is designated as </w:t>
      </w:r>
      <w:r w:rsidR="00D1200C" w:rsidRPr="00102445">
        <w:rPr>
          <w:lang w:eastAsia="en-AU"/>
        </w:rPr>
        <w:t>trade-exposed baseline-adjusted</w:t>
      </w:r>
      <w:r w:rsidR="00E53F52" w:rsidRPr="00102445">
        <w:rPr>
          <w:lang w:eastAsia="en-AU"/>
        </w:rPr>
        <w:t xml:space="preserve"> and the</w:t>
      </w:r>
      <w:r w:rsidR="009335E7" w:rsidRPr="00102445">
        <w:rPr>
          <w:lang w:eastAsia="en-AU"/>
        </w:rPr>
        <w:t xml:space="preserve"> </w:t>
      </w:r>
      <w:r w:rsidR="007054BF" w:rsidRPr="00102445">
        <w:rPr>
          <w:lang w:eastAsia="en-AU"/>
        </w:rPr>
        <w:t xml:space="preserve">emissions reduction contribution </w:t>
      </w:r>
      <w:r w:rsidR="009335E7" w:rsidRPr="00102445">
        <w:rPr>
          <w:lang w:eastAsia="en-AU"/>
        </w:rPr>
        <w:t>is calculated</w:t>
      </w:r>
      <w:r w:rsidR="004C19BB" w:rsidRPr="00102445">
        <w:rPr>
          <w:lang w:eastAsia="en-AU"/>
        </w:rPr>
        <w:t xml:space="preserve"> with the</w:t>
      </w:r>
      <w:r w:rsidR="00FA2FEB" w:rsidRPr="00102445">
        <w:rPr>
          <w:lang w:eastAsia="en-AU"/>
        </w:rPr>
        <w:t xml:space="preserve"> </w:t>
      </w:r>
      <w:r w:rsidR="00574837" w:rsidRPr="00102445">
        <w:rPr>
          <w:lang w:eastAsia="en-AU"/>
        </w:rPr>
        <w:t xml:space="preserve">reduced decline rate for the three year </w:t>
      </w:r>
      <w:r w:rsidR="00D1200C" w:rsidRPr="00102445">
        <w:rPr>
          <w:lang w:eastAsia="en-AU"/>
        </w:rPr>
        <w:t>trade-exposed baseline-adjusted</w:t>
      </w:r>
      <w:r w:rsidR="00574837" w:rsidRPr="00102445">
        <w:rPr>
          <w:lang w:eastAsia="en-AU"/>
        </w:rPr>
        <w:t xml:space="preserve"> period</w:t>
      </w:r>
      <w:r w:rsidR="00DA5ADF" w:rsidRPr="00102445">
        <w:rPr>
          <w:lang w:eastAsia="en-AU"/>
        </w:rPr>
        <w:t>.</w:t>
      </w:r>
      <w:r w:rsidR="00CC0786" w:rsidRPr="00102445">
        <w:rPr>
          <w:lang w:eastAsia="en-AU"/>
        </w:rPr>
        <w:t xml:space="preserve"> </w:t>
      </w:r>
      <w:r w:rsidR="00FA4EA7" w:rsidRPr="00102445">
        <w:rPr>
          <w:lang w:eastAsia="en-AU"/>
        </w:rPr>
        <w:t>A</w:t>
      </w:r>
      <w:r w:rsidR="002A3CAA" w:rsidRPr="00102445">
        <w:rPr>
          <w:lang w:eastAsia="en-AU"/>
        </w:rPr>
        <w:t xml:space="preserve"> new </w:t>
      </w:r>
      <w:r w:rsidR="00D1200C" w:rsidRPr="00102445">
        <w:rPr>
          <w:lang w:eastAsia="en-AU"/>
        </w:rPr>
        <w:t>trade-exposed baseline-adjusted</w:t>
      </w:r>
      <w:r w:rsidR="00FC7F7B" w:rsidRPr="00102445">
        <w:rPr>
          <w:lang w:eastAsia="en-AU"/>
        </w:rPr>
        <w:t xml:space="preserve"> </w:t>
      </w:r>
      <w:r w:rsidR="002A3CAA" w:rsidRPr="00102445">
        <w:rPr>
          <w:lang w:eastAsia="en-AU"/>
        </w:rPr>
        <w:t>determination</w:t>
      </w:r>
      <w:r w:rsidR="0089651C" w:rsidRPr="00102445">
        <w:rPr>
          <w:lang w:eastAsia="en-AU"/>
        </w:rPr>
        <w:t xml:space="preserve"> will have a new first financial year, which may </w:t>
      </w:r>
      <w:r w:rsidR="00ED44DA" w:rsidRPr="00102445">
        <w:rPr>
          <w:lang w:eastAsia="en-AU"/>
        </w:rPr>
        <w:t xml:space="preserve">be </w:t>
      </w:r>
      <w:r w:rsidR="008A0DD7" w:rsidRPr="00102445">
        <w:rPr>
          <w:lang w:eastAsia="en-AU"/>
        </w:rPr>
        <w:t xml:space="preserve">a </w:t>
      </w:r>
      <w:r w:rsidR="0061623F" w:rsidRPr="00102445">
        <w:rPr>
          <w:lang w:eastAsia="en-AU"/>
        </w:rPr>
        <w:t xml:space="preserve">financial year </w:t>
      </w:r>
      <w:r w:rsidR="00A2342C" w:rsidRPr="00102445">
        <w:rPr>
          <w:lang w:eastAsia="en-AU"/>
        </w:rPr>
        <w:t xml:space="preserve">during </w:t>
      </w:r>
      <w:r w:rsidR="002B2E8D" w:rsidRPr="00102445">
        <w:rPr>
          <w:lang w:eastAsia="en-AU"/>
        </w:rPr>
        <w:t xml:space="preserve">a </w:t>
      </w:r>
      <w:r w:rsidR="00D1200C" w:rsidRPr="00102445">
        <w:rPr>
          <w:lang w:eastAsia="en-AU"/>
        </w:rPr>
        <w:t>trade-exposed baseline-adjusted</w:t>
      </w:r>
      <w:r w:rsidR="002B2E8D" w:rsidRPr="00102445">
        <w:rPr>
          <w:lang w:eastAsia="en-AU"/>
        </w:rPr>
        <w:t xml:space="preserve"> determination in place</w:t>
      </w:r>
      <w:r w:rsidR="00504806" w:rsidRPr="00102445">
        <w:rPr>
          <w:lang w:eastAsia="en-AU"/>
        </w:rPr>
        <w:t xml:space="preserve"> </w:t>
      </w:r>
      <w:r w:rsidR="00A2342C" w:rsidRPr="00102445">
        <w:rPr>
          <w:lang w:eastAsia="en-AU"/>
        </w:rPr>
        <w:t xml:space="preserve">or </w:t>
      </w:r>
      <w:r w:rsidR="00504806" w:rsidRPr="00102445">
        <w:rPr>
          <w:lang w:eastAsia="en-AU"/>
        </w:rPr>
        <w:t xml:space="preserve">the financial year </w:t>
      </w:r>
      <w:r w:rsidR="00A2342C" w:rsidRPr="00102445">
        <w:rPr>
          <w:lang w:eastAsia="en-AU"/>
        </w:rPr>
        <w:t xml:space="preserve">following an earlier </w:t>
      </w:r>
      <w:r w:rsidR="00D1200C" w:rsidRPr="00102445">
        <w:rPr>
          <w:lang w:eastAsia="en-AU"/>
        </w:rPr>
        <w:t>trade-exposed baseline-adjusted</w:t>
      </w:r>
      <w:r w:rsidR="00A2342C" w:rsidRPr="00102445">
        <w:rPr>
          <w:lang w:eastAsia="en-AU"/>
        </w:rPr>
        <w:t xml:space="preserve"> determination</w:t>
      </w:r>
      <w:r w:rsidR="008A763C" w:rsidRPr="00102445">
        <w:rPr>
          <w:lang w:eastAsia="en-AU"/>
        </w:rPr>
        <w:t>.</w:t>
      </w:r>
      <w:r w:rsidR="005A6525" w:rsidRPr="00102445">
        <w:rPr>
          <w:lang w:eastAsia="en-AU"/>
        </w:rPr>
        <w:t xml:space="preserve"> </w:t>
      </w:r>
    </w:p>
    <w:p w14:paraId="2CA8B1CA" w14:textId="5252B422" w:rsidR="00457B7A" w:rsidRPr="00102445" w:rsidRDefault="00407918"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Subs</w:t>
      </w:r>
      <w:r w:rsidR="00457B7A" w:rsidRPr="00102445">
        <w:rPr>
          <w:lang w:eastAsia="en-AU"/>
        </w:rPr>
        <w:t xml:space="preserve">ection </w:t>
      </w:r>
      <w:r w:rsidR="006D7005" w:rsidRPr="00102445">
        <w:rPr>
          <w:lang w:eastAsia="en-AU"/>
        </w:rPr>
        <w:t>36</w:t>
      </w:r>
      <w:r w:rsidR="00457B7A" w:rsidRPr="00102445">
        <w:rPr>
          <w:lang w:eastAsia="en-AU"/>
        </w:rPr>
        <w:t>(</w:t>
      </w:r>
      <w:r w:rsidR="006D7005" w:rsidRPr="00102445">
        <w:rPr>
          <w:lang w:eastAsia="en-AU"/>
        </w:rPr>
        <w:t>7</w:t>
      </w:r>
      <w:r w:rsidR="00457B7A" w:rsidRPr="00102445">
        <w:rPr>
          <w:lang w:eastAsia="en-AU"/>
        </w:rPr>
        <w:t>) defines the hypothetical baseline</w:t>
      </w:r>
      <w:r w:rsidR="00A808F5" w:rsidRPr="00102445">
        <w:rPr>
          <w:lang w:eastAsia="en-AU"/>
        </w:rPr>
        <w:t xml:space="preserve"> </w:t>
      </w:r>
      <w:r w:rsidR="00D61934" w:rsidRPr="00102445">
        <w:rPr>
          <w:lang w:eastAsia="en-AU"/>
        </w:rPr>
        <w:t xml:space="preserve">used to calculate the </w:t>
      </w:r>
      <w:r w:rsidR="005D5571" w:rsidRPr="00102445">
        <w:rPr>
          <w:lang w:eastAsia="en-AU"/>
        </w:rPr>
        <w:t xml:space="preserve">scheme </w:t>
      </w:r>
      <w:r w:rsidR="00B060CD" w:rsidRPr="00102445">
        <w:rPr>
          <w:lang w:eastAsia="en-AU"/>
        </w:rPr>
        <w:t>cost</w:t>
      </w:r>
      <w:r w:rsidR="007108B4" w:rsidRPr="00102445">
        <w:rPr>
          <w:lang w:eastAsia="en-AU"/>
        </w:rPr>
        <w:t xml:space="preserve"> for a facility</w:t>
      </w:r>
      <w:r w:rsidR="007F7656" w:rsidRPr="00102445">
        <w:rPr>
          <w:lang w:eastAsia="en-AU"/>
        </w:rPr>
        <w:t xml:space="preserve">, required for an application for </w:t>
      </w:r>
      <w:r w:rsidR="007108B4" w:rsidRPr="00102445">
        <w:rPr>
          <w:lang w:eastAsia="en-AU"/>
        </w:rPr>
        <w:t xml:space="preserve">a </w:t>
      </w:r>
      <w:r w:rsidR="00D1200C" w:rsidRPr="00102445">
        <w:rPr>
          <w:lang w:eastAsia="en-AU"/>
        </w:rPr>
        <w:t>trade-exposed baseline-adjusted</w:t>
      </w:r>
      <w:r w:rsidR="007108B4" w:rsidRPr="00102445">
        <w:rPr>
          <w:lang w:eastAsia="en-AU"/>
        </w:rPr>
        <w:t xml:space="preserve"> </w:t>
      </w:r>
      <w:r w:rsidR="00FC5C2E" w:rsidRPr="00102445">
        <w:rPr>
          <w:lang w:eastAsia="en-AU"/>
        </w:rPr>
        <w:t>determination</w:t>
      </w:r>
      <w:r w:rsidR="007108B4" w:rsidRPr="00102445">
        <w:rPr>
          <w:lang w:eastAsia="en-AU"/>
        </w:rPr>
        <w:t>.</w:t>
      </w:r>
      <w:r w:rsidR="005D5571" w:rsidRPr="00102445">
        <w:rPr>
          <w:lang w:eastAsia="en-AU"/>
        </w:rPr>
        <w:t xml:space="preserve"> </w:t>
      </w:r>
      <w:r w:rsidR="00940353" w:rsidRPr="00102445">
        <w:rPr>
          <w:lang w:eastAsia="en-AU"/>
        </w:rPr>
        <w:t xml:space="preserve">The hypothetical baseline </w:t>
      </w:r>
      <w:r w:rsidR="000A4EFE" w:rsidRPr="00102445">
        <w:rPr>
          <w:lang w:eastAsia="en-AU"/>
        </w:rPr>
        <w:t xml:space="preserve">is </w:t>
      </w:r>
      <w:r w:rsidR="00FD2591" w:rsidRPr="00102445">
        <w:rPr>
          <w:lang w:eastAsia="en-AU"/>
        </w:rPr>
        <w:t xml:space="preserve">the </w:t>
      </w:r>
      <w:r w:rsidR="00743BB8" w:rsidRPr="00102445">
        <w:rPr>
          <w:lang w:eastAsia="en-AU"/>
        </w:rPr>
        <w:t xml:space="preserve">pre-application baseline, i.e. the </w:t>
      </w:r>
      <w:r w:rsidR="00FD2591" w:rsidRPr="00102445">
        <w:rPr>
          <w:lang w:eastAsia="en-AU"/>
        </w:rPr>
        <w:t xml:space="preserve">baseline number that would apply to the facility in the absence of </w:t>
      </w:r>
      <w:r w:rsidR="00481335" w:rsidRPr="00102445">
        <w:rPr>
          <w:lang w:eastAsia="en-AU"/>
        </w:rPr>
        <w:t xml:space="preserve">the </w:t>
      </w:r>
      <w:r w:rsidR="00D1200C" w:rsidRPr="00102445">
        <w:rPr>
          <w:lang w:eastAsia="en-AU"/>
        </w:rPr>
        <w:t>trade-exposed baseline-adjusted</w:t>
      </w:r>
      <w:r w:rsidR="00481335" w:rsidRPr="00102445">
        <w:rPr>
          <w:lang w:eastAsia="en-AU"/>
        </w:rPr>
        <w:t xml:space="preserve"> </w:t>
      </w:r>
      <w:r w:rsidR="00FC5C2E" w:rsidRPr="00102445">
        <w:rPr>
          <w:lang w:eastAsia="en-AU"/>
        </w:rPr>
        <w:t>determination</w:t>
      </w:r>
      <w:r w:rsidR="0018288B" w:rsidRPr="00102445">
        <w:rPr>
          <w:lang w:eastAsia="en-AU"/>
        </w:rPr>
        <w:t xml:space="preserve"> bei</w:t>
      </w:r>
      <w:r w:rsidR="0097584E" w:rsidRPr="00102445">
        <w:rPr>
          <w:lang w:eastAsia="en-AU"/>
        </w:rPr>
        <w:t>ng applied for</w:t>
      </w:r>
      <w:r w:rsidR="008328C1" w:rsidRPr="00102445">
        <w:rPr>
          <w:lang w:eastAsia="en-AU"/>
        </w:rPr>
        <w:t xml:space="preserve">. </w:t>
      </w:r>
      <w:r w:rsidR="009563DD" w:rsidRPr="00102445">
        <w:rPr>
          <w:lang w:eastAsia="en-AU"/>
        </w:rPr>
        <w:t xml:space="preserve">If </w:t>
      </w:r>
      <w:r w:rsidR="003E7598" w:rsidRPr="00102445">
        <w:rPr>
          <w:lang w:eastAsia="en-AU"/>
        </w:rPr>
        <w:t xml:space="preserve">the </w:t>
      </w:r>
      <w:r w:rsidR="009844E6" w:rsidRPr="00102445">
        <w:rPr>
          <w:lang w:eastAsia="en-AU"/>
        </w:rPr>
        <w:t xml:space="preserve">application relates to a determination to commence during </w:t>
      </w:r>
      <w:r w:rsidR="009563DD" w:rsidRPr="00102445">
        <w:rPr>
          <w:lang w:eastAsia="en-AU"/>
        </w:rPr>
        <w:t>a</w:t>
      </w:r>
      <w:r w:rsidR="009844E6" w:rsidRPr="00102445">
        <w:rPr>
          <w:lang w:eastAsia="en-AU"/>
        </w:rPr>
        <w:t>n</w:t>
      </w:r>
      <w:r w:rsidR="00D068D6" w:rsidRPr="00102445">
        <w:rPr>
          <w:lang w:eastAsia="en-AU"/>
        </w:rPr>
        <w:t xml:space="preserve">other </w:t>
      </w:r>
      <w:r w:rsidR="00D1200C" w:rsidRPr="00102445">
        <w:rPr>
          <w:lang w:eastAsia="en-AU"/>
        </w:rPr>
        <w:t>trade-exposed baseline-adjusted</w:t>
      </w:r>
      <w:r w:rsidR="00794D33" w:rsidRPr="00102445">
        <w:rPr>
          <w:lang w:eastAsia="en-AU"/>
        </w:rPr>
        <w:t xml:space="preserve"> </w:t>
      </w:r>
      <w:r w:rsidR="00A61977" w:rsidRPr="00102445">
        <w:rPr>
          <w:lang w:eastAsia="en-AU"/>
        </w:rPr>
        <w:t>determination</w:t>
      </w:r>
      <w:r w:rsidR="009844E6" w:rsidRPr="00102445">
        <w:rPr>
          <w:lang w:eastAsia="en-AU"/>
        </w:rPr>
        <w:t xml:space="preserve"> </w:t>
      </w:r>
      <w:r w:rsidR="00D068D6" w:rsidRPr="00102445">
        <w:rPr>
          <w:lang w:eastAsia="en-AU"/>
        </w:rPr>
        <w:t xml:space="preserve">that commenced </w:t>
      </w:r>
      <w:r w:rsidR="00676213" w:rsidRPr="00102445">
        <w:rPr>
          <w:lang w:eastAsia="en-AU"/>
        </w:rPr>
        <w:t xml:space="preserve">in an </w:t>
      </w:r>
      <w:r w:rsidR="00D068D6" w:rsidRPr="00102445">
        <w:rPr>
          <w:lang w:eastAsia="en-AU"/>
        </w:rPr>
        <w:t>earlier</w:t>
      </w:r>
      <w:r w:rsidR="00676213" w:rsidRPr="00102445">
        <w:rPr>
          <w:lang w:eastAsia="en-AU"/>
        </w:rPr>
        <w:t xml:space="preserve"> financial year</w:t>
      </w:r>
      <w:r w:rsidR="004157CD" w:rsidRPr="00102445">
        <w:rPr>
          <w:lang w:eastAsia="en-AU"/>
        </w:rPr>
        <w:t xml:space="preserve">, </w:t>
      </w:r>
      <w:r w:rsidR="003738B9" w:rsidRPr="00102445">
        <w:rPr>
          <w:lang w:eastAsia="en-AU"/>
        </w:rPr>
        <w:t xml:space="preserve">recalculation of </w:t>
      </w:r>
      <w:r w:rsidR="002C69E0" w:rsidRPr="00102445">
        <w:rPr>
          <w:lang w:eastAsia="en-AU"/>
        </w:rPr>
        <w:t xml:space="preserve">the </w:t>
      </w:r>
      <w:r w:rsidR="00BC609A" w:rsidRPr="00102445">
        <w:rPr>
          <w:lang w:eastAsia="en-AU"/>
        </w:rPr>
        <w:t xml:space="preserve">scheme cost </w:t>
      </w:r>
      <w:r w:rsidR="00755C90" w:rsidRPr="00102445">
        <w:rPr>
          <w:lang w:eastAsia="en-AU"/>
        </w:rPr>
        <w:t xml:space="preserve">(and therefore the decline rate) </w:t>
      </w:r>
      <w:r w:rsidR="003E4051" w:rsidRPr="00102445">
        <w:rPr>
          <w:lang w:eastAsia="en-AU"/>
        </w:rPr>
        <w:t xml:space="preserve">is based on </w:t>
      </w:r>
      <w:r w:rsidR="00ED6F49" w:rsidRPr="00102445">
        <w:rPr>
          <w:lang w:eastAsia="en-AU"/>
        </w:rPr>
        <w:t>the baseline</w:t>
      </w:r>
      <w:r w:rsidR="00A56EA1" w:rsidRPr="00102445">
        <w:rPr>
          <w:lang w:eastAsia="en-AU"/>
        </w:rPr>
        <w:t xml:space="preserve"> </w:t>
      </w:r>
      <w:r w:rsidR="008815C8" w:rsidRPr="00102445">
        <w:rPr>
          <w:lang w:eastAsia="en-AU"/>
        </w:rPr>
        <w:t xml:space="preserve">resulting from the </w:t>
      </w:r>
      <w:r w:rsidR="00D1200C" w:rsidRPr="00102445">
        <w:rPr>
          <w:lang w:eastAsia="en-AU"/>
        </w:rPr>
        <w:t>trade-exposed baseline-adjusted</w:t>
      </w:r>
      <w:r w:rsidR="008815C8" w:rsidRPr="00102445">
        <w:rPr>
          <w:lang w:eastAsia="en-AU"/>
        </w:rPr>
        <w:t xml:space="preserve"> determination already in place</w:t>
      </w:r>
      <w:r w:rsidR="00A7794F" w:rsidRPr="00102445">
        <w:rPr>
          <w:lang w:eastAsia="en-AU"/>
        </w:rPr>
        <w:t>, and not the baseline that would apply without any</w:t>
      </w:r>
      <w:r w:rsidR="007B2B3E" w:rsidRPr="00102445">
        <w:rPr>
          <w:lang w:eastAsia="en-AU"/>
        </w:rPr>
        <w:t xml:space="preserve"> </w:t>
      </w:r>
      <w:r w:rsidR="00D1200C" w:rsidRPr="00102445">
        <w:rPr>
          <w:lang w:eastAsia="en-AU"/>
        </w:rPr>
        <w:t>trade-exposed baseline-adjusted</w:t>
      </w:r>
      <w:r w:rsidR="009B3C3B" w:rsidRPr="00102445">
        <w:rPr>
          <w:lang w:eastAsia="en-AU"/>
        </w:rPr>
        <w:t xml:space="preserve"> determination in place</w:t>
      </w:r>
      <w:r w:rsidR="00A56EA1" w:rsidRPr="00102445">
        <w:rPr>
          <w:lang w:eastAsia="en-AU"/>
        </w:rPr>
        <w:t>.</w:t>
      </w:r>
      <w:r w:rsidR="00C3408A" w:rsidRPr="00102445">
        <w:rPr>
          <w:lang w:eastAsia="en-AU"/>
        </w:rPr>
        <w:t xml:space="preserve"> </w:t>
      </w:r>
      <w:r w:rsidR="0051753F" w:rsidRPr="00102445">
        <w:rPr>
          <w:lang w:eastAsia="en-AU"/>
        </w:rPr>
        <w:t>In this way, t</w:t>
      </w:r>
      <w:r w:rsidR="00AC39D7" w:rsidRPr="00102445">
        <w:rPr>
          <w:lang w:eastAsia="en-AU"/>
        </w:rPr>
        <w:t xml:space="preserve">he </w:t>
      </w:r>
      <w:r w:rsidR="005C2681" w:rsidRPr="00102445">
        <w:rPr>
          <w:lang w:eastAsia="en-AU"/>
        </w:rPr>
        <w:t xml:space="preserve">hypothetical baseline </w:t>
      </w:r>
      <w:r w:rsidR="00592D91" w:rsidRPr="00102445">
        <w:rPr>
          <w:lang w:eastAsia="en-AU"/>
        </w:rPr>
        <w:t xml:space="preserve">allows </w:t>
      </w:r>
      <w:r w:rsidR="009D2472" w:rsidRPr="00102445">
        <w:rPr>
          <w:lang w:eastAsia="en-AU"/>
        </w:rPr>
        <w:t xml:space="preserve">for </w:t>
      </w:r>
      <w:r w:rsidR="00F46436" w:rsidRPr="00102445">
        <w:rPr>
          <w:lang w:eastAsia="en-AU"/>
        </w:rPr>
        <w:t xml:space="preserve">a counterfactual </w:t>
      </w:r>
      <w:r w:rsidR="001A4E04" w:rsidRPr="00102445">
        <w:rPr>
          <w:lang w:eastAsia="en-AU"/>
        </w:rPr>
        <w:t xml:space="preserve">assessed cost impact </w:t>
      </w:r>
      <w:r w:rsidR="009D2472" w:rsidRPr="00102445">
        <w:rPr>
          <w:lang w:eastAsia="en-AU"/>
        </w:rPr>
        <w:t xml:space="preserve">to be calculated </w:t>
      </w:r>
      <w:r w:rsidR="00F81BBF" w:rsidRPr="00102445">
        <w:rPr>
          <w:lang w:eastAsia="en-AU"/>
        </w:rPr>
        <w:t xml:space="preserve">that </w:t>
      </w:r>
      <w:r w:rsidR="00FB3752" w:rsidRPr="00102445">
        <w:rPr>
          <w:lang w:eastAsia="en-AU"/>
        </w:rPr>
        <w:t xml:space="preserve">can be used by a </w:t>
      </w:r>
      <w:r w:rsidR="00F81BBF" w:rsidRPr="00102445">
        <w:rPr>
          <w:lang w:eastAsia="en-AU"/>
        </w:rPr>
        <w:t xml:space="preserve">responsible emitter </w:t>
      </w:r>
      <w:r w:rsidR="00FB3752" w:rsidRPr="00102445">
        <w:rPr>
          <w:lang w:eastAsia="en-AU"/>
        </w:rPr>
        <w:t xml:space="preserve">to determine </w:t>
      </w:r>
      <w:r w:rsidR="003F7520" w:rsidRPr="00102445">
        <w:rPr>
          <w:lang w:eastAsia="en-AU"/>
        </w:rPr>
        <w:t xml:space="preserve">if </w:t>
      </w:r>
      <w:r w:rsidR="00027D03" w:rsidRPr="00102445">
        <w:rPr>
          <w:lang w:eastAsia="en-AU"/>
        </w:rPr>
        <w:t xml:space="preserve">it </w:t>
      </w:r>
      <w:r w:rsidR="008A4F90" w:rsidRPr="00102445">
        <w:rPr>
          <w:lang w:eastAsia="en-AU"/>
        </w:rPr>
        <w:t xml:space="preserve">is appropriate to </w:t>
      </w:r>
      <w:r w:rsidR="004B4004" w:rsidRPr="00102445">
        <w:rPr>
          <w:lang w:eastAsia="en-AU"/>
        </w:rPr>
        <w:t>updat</w:t>
      </w:r>
      <w:r w:rsidR="008A4F90" w:rsidRPr="00102445">
        <w:rPr>
          <w:lang w:eastAsia="en-AU"/>
        </w:rPr>
        <w:t>e</w:t>
      </w:r>
      <w:r w:rsidR="004B4004" w:rsidRPr="00102445">
        <w:rPr>
          <w:lang w:eastAsia="en-AU"/>
        </w:rPr>
        <w:t xml:space="preserve"> a </w:t>
      </w:r>
      <w:r w:rsidR="00D1200C" w:rsidRPr="00102445">
        <w:rPr>
          <w:lang w:eastAsia="en-AU"/>
        </w:rPr>
        <w:t>trade-exposed baseline-adjusted</w:t>
      </w:r>
      <w:r w:rsidR="004B4004" w:rsidRPr="00102445">
        <w:rPr>
          <w:lang w:eastAsia="en-AU"/>
        </w:rPr>
        <w:t xml:space="preserve"> determination part-way through </w:t>
      </w:r>
      <w:r w:rsidR="008A4F90" w:rsidRPr="00102445">
        <w:rPr>
          <w:lang w:eastAsia="en-AU"/>
        </w:rPr>
        <w:t>an earlier determination.</w:t>
      </w:r>
    </w:p>
    <w:p w14:paraId="737FE0B1" w14:textId="49D566AD" w:rsidR="005050C2" w:rsidRPr="00102445" w:rsidRDefault="00B65E7A"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Section </w:t>
      </w:r>
      <w:r w:rsidR="006D7005" w:rsidRPr="00102445">
        <w:rPr>
          <w:lang w:eastAsia="en-AU"/>
        </w:rPr>
        <w:t>37</w:t>
      </w:r>
      <w:r w:rsidRPr="00102445">
        <w:rPr>
          <w:lang w:eastAsia="en-AU"/>
        </w:rPr>
        <w:t xml:space="preserve"> </w:t>
      </w:r>
      <w:r w:rsidR="00A77388" w:rsidRPr="00102445">
        <w:rPr>
          <w:lang w:eastAsia="en-AU"/>
        </w:rPr>
        <w:t>has provisions regarding how</w:t>
      </w:r>
      <w:r w:rsidR="00794FA6" w:rsidRPr="00102445">
        <w:rPr>
          <w:lang w:eastAsia="en-AU"/>
        </w:rPr>
        <w:t xml:space="preserve"> EBIT</w:t>
      </w:r>
      <w:r w:rsidR="00BB518F" w:rsidRPr="00102445">
        <w:rPr>
          <w:lang w:eastAsia="en-AU"/>
        </w:rPr>
        <w:t xml:space="preserve"> should be calculated for the purpose of </w:t>
      </w:r>
      <w:r w:rsidR="001B29F1" w:rsidRPr="00102445">
        <w:rPr>
          <w:lang w:eastAsia="en-AU"/>
        </w:rPr>
        <w:t>calculating the assessed cost impact.</w:t>
      </w:r>
      <w:r w:rsidR="00794FA6" w:rsidRPr="00102445">
        <w:rPr>
          <w:lang w:eastAsia="en-AU"/>
        </w:rPr>
        <w:t xml:space="preserve"> </w:t>
      </w:r>
      <w:r w:rsidR="005050C2" w:rsidRPr="00102445">
        <w:rPr>
          <w:lang w:eastAsia="en-AU"/>
        </w:rPr>
        <w:t xml:space="preserve">Revenue and all component parts of EBIT should be </w:t>
      </w:r>
      <w:r w:rsidR="005050C2" w:rsidRPr="00102445">
        <w:rPr>
          <w:lang w:eastAsia="en-AU"/>
        </w:rPr>
        <w:lastRenderedPageBreak/>
        <w:t>calculated in line with the relevant Australian accounting standards, for example the Australian revenue standard – AASB 15</w:t>
      </w:r>
      <w:r w:rsidR="005050C2" w:rsidRPr="00102445">
        <w:rPr>
          <w:rStyle w:val="FootnoteReference"/>
          <w:lang w:eastAsia="en-AU"/>
        </w:rPr>
        <w:footnoteReference w:id="2"/>
      </w:r>
      <w:r w:rsidR="005050C2" w:rsidRPr="00102445">
        <w:rPr>
          <w:lang w:eastAsia="en-AU"/>
        </w:rPr>
        <w:t>. Where no relevant Australian standard exists, the relevant international standards should be used. Where there are differences between the two standards, the Australian standards will take precedence. Similarly, Australian accounting standards should be used in preference to taxation standards where there is a difference.</w:t>
      </w:r>
    </w:p>
    <w:p w14:paraId="0BDBE3CF" w14:textId="71A9ABB0" w:rsidR="005050C2" w:rsidRPr="00102445" w:rsidRDefault="005050C2" w:rsidP="00591A9C">
      <w:pPr>
        <w:pStyle w:val="ListParagraph"/>
        <w:numPr>
          <w:ilvl w:val="0"/>
          <w:numId w:val="2"/>
        </w:numPr>
        <w:shd w:val="clear" w:color="auto" w:fill="FFFFFF" w:themeFill="background1"/>
        <w:spacing w:after="240" w:line="240" w:lineRule="auto"/>
        <w:contextualSpacing w:val="0"/>
        <w:rPr>
          <w:lang w:eastAsia="en-AU"/>
        </w:rPr>
      </w:pPr>
      <w:r w:rsidRPr="00102445">
        <w:rPr>
          <w:lang w:eastAsia="en-AU"/>
        </w:rPr>
        <w:t>The facility boundary for consideration of the production measure should in most cases align to the facility boundary reported under NGER, however in some instances it may exclude third parties that are not under the operational control of the responsible emitter. This is expected to be the case where the third parties are not directly involved in the production or activities associated with quantit</w:t>
      </w:r>
      <w:r w:rsidR="00D81259" w:rsidRPr="00102445">
        <w:rPr>
          <w:lang w:eastAsia="en-AU"/>
        </w:rPr>
        <w:t>ies</w:t>
      </w:r>
      <w:r w:rsidRPr="00102445">
        <w:rPr>
          <w:lang w:eastAsia="en-AU"/>
        </w:rPr>
        <w:t xml:space="preserve"> of production variables. For example, this may exclude the revenue or EBIT of third party contractors which may be reported within the facility under NGER. Where this is the case, it should be clearly documented and consistently applied over time.</w:t>
      </w:r>
    </w:p>
    <w:p w14:paraId="0DBF44CF" w14:textId="4B86998D" w:rsidR="005050C2" w:rsidRPr="00102445" w:rsidRDefault="005050C2" w:rsidP="00591A9C">
      <w:pPr>
        <w:pStyle w:val="ListParagraph"/>
        <w:numPr>
          <w:ilvl w:val="0"/>
          <w:numId w:val="2"/>
        </w:numPr>
        <w:shd w:val="clear" w:color="auto" w:fill="FFFFFF" w:themeFill="background1"/>
        <w:spacing w:line="240" w:lineRule="auto"/>
        <w:contextualSpacing w:val="0"/>
      </w:pPr>
      <w:r w:rsidRPr="00102445">
        <w:t>For the purposes of this mechanism, EBIT is the facility’s profit plus interest and taxation in a financial year</w:t>
      </w:r>
      <w:r w:rsidR="000A6BA6" w:rsidRPr="00102445">
        <w:t xml:space="preserve">. </w:t>
      </w:r>
      <w:r w:rsidRPr="00102445">
        <w:t>If EBIT cannot be ordinarily calculated in this manner, an application for trade-exposed baseline-adjusted determination for a manufacturing facility may estimate EBIT from a ‘fair value’ concept. This concept is specified in the Australian revenue standard – AASB 15</w:t>
      </w:r>
      <w:r w:rsidRPr="00102445">
        <w:footnoteReference w:id="3"/>
      </w:r>
      <w:r w:rsidRPr="00102445">
        <w:t xml:space="preserve"> (the amount for which an asset could be exchanged, or a liability settled, between knowledgeable, willing parties in an arm’s length transaction). An example of where this might be relevant is if the facility operates on a tolling basis </w:t>
      </w:r>
      <w:r w:rsidR="00314F80" w:rsidRPr="00102445">
        <w:t xml:space="preserve">as a service provider </w:t>
      </w:r>
      <w:r w:rsidR="001514F5" w:rsidRPr="00102445">
        <w:t>for the facility’s joint venture partners</w:t>
      </w:r>
      <w:r w:rsidRPr="00102445">
        <w:t>. Another example is where the products of one facility are transferred rather than sold within a company to another of its facilities for further processing, so the income and expenses of the facilities do not represent a key output/input.</w:t>
      </w:r>
    </w:p>
    <w:p w14:paraId="0716DD2C" w14:textId="634C8435" w:rsidR="003627E2" w:rsidRPr="00102445" w:rsidRDefault="00115661"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S</w:t>
      </w:r>
      <w:r w:rsidR="0070474A" w:rsidRPr="00102445">
        <w:rPr>
          <w:lang w:eastAsia="en-AU"/>
        </w:rPr>
        <w:t>ubs</w:t>
      </w:r>
      <w:r w:rsidRPr="00102445">
        <w:rPr>
          <w:lang w:eastAsia="en-AU"/>
        </w:rPr>
        <w:t xml:space="preserve">ection </w:t>
      </w:r>
      <w:r w:rsidR="00630AC0" w:rsidRPr="00102445">
        <w:t>37</w:t>
      </w:r>
      <w:r w:rsidR="003627E2" w:rsidRPr="00102445">
        <w:t>(</w:t>
      </w:r>
      <w:r w:rsidR="00630AC0" w:rsidRPr="00102445">
        <w:t>4</w:t>
      </w:r>
      <w:r w:rsidR="003627E2" w:rsidRPr="00102445">
        <w:t xml:space="preserve">) </w:t>
      </w:r>
      <w:r w:rsidR="003627E2" w:rsidRPr="00102445">
        <w:rPr>
          <w:lang w:eastAsia="en-AU"/>
        </w:rPr>
        <w:t xml:space="preserve">specifies that </w:t>
      </w:r>
      <w:r w:rsidR="00E84011" w:rsidRPr="00102445">
        <w:rPr>
          <w:lang w:eastAsia="en-AU"/>
        </w:rPr>
        <w:t xml:space="preserve">when </w:t>
      </w:r>
      <w:r w:rsidR="0093025F" w:rsidRPr="00102445">
        <w:rPr>
          <w:lang w:eastAsia="en-AU"/>
        </w:rPr>
        <w:t xml:space="preserve">assessing EBIT </w:t>
      </w:r>
      <w:r w:rsidR="003627E2" w:rsidRPr="00102445">
        <w:rPr>
          <w:lang w:eastAsia="en-AU"/>
        </w:rPr>
        <w:t>for the purpose of calculating the assessed cost impact, revenue from the Powering the Regions Fund is disregarded.</w:t>
      </w:r>
      <w:r w:rsidR="005B1BB8" w:rsidRPr="00102445">
        <w:rPr>
          <w:lang w:eastAsia="en-AU"/>
        </w:rPr>
        <w:t xml:space="preserve"> This helps incentivise taking up such assistance to reduce emissions.</w:t>
      </w:r>
    </w:p>
    <w:p w14:paraId="2145F411" w14:textId="74550FF1" w:rsidR="0070474A" w:rsidRPr="00102445" w:rsidRDefault="00115661" w:rsidP="00591A9C">
      <w:pPr>
        <w:pStyle w:val="ListParagraph"/>
        <w:numPr>
          <w:ilvl w:val="0"/>
          <w:numId w:val="2"/>
        </w:numPr>
        <w:shd w:val="clear" w:color="auto" w:fill="FFFFFF" w:themeFill="background1"/>
        <w:spacing w:line="240" w:lineRule="auto"/>
        <w:contextualSpacing w:val="0"/>
      </w:pPr>
      <w:r w:rsidRPr="00102445">
        <w:t>S</w:t>
      </w:r>
      <w:r w:rsidR="0070474A" w:rsidRPr="00102445">
        <w:t>ubs</w:t>
      </w:r>
      <w:r w:rsidRPr="00102445">
        <w:t xml:space="preserve">ection </w:t>
      </w:r>
      <w:r w:rsidR="00630AC0" w:rsidRPr="00102445">
        <w:t>37</w:t>
      </w:r>
      <w:r w:rsidR="003627E2" w:rsidRPr="00102445">
        <w:t>(</w:t>
      </w:r>
      <w:r w:rsidR="00630AC0" w:rsidRPr="00102445">
        <w:t>5</w:t>
      </w:r>
      <w:r w:rsidR="003627E2" w:rsidRPr="00102445">
        <w:t>)</w:t>
      </w:r>
      <w:r w:rsidRPr="00102445">
        <w:t xml:space="preserve"> </w:t>
      </w:r>
      <w:r w:rsidR="007569F5" w:rsidRPr="00102445">
        <w:t>provides</w:t>
      </w:r>
      <w:r w:rsidR="005050C2" w:rsidRPr="00102445">
        <w:t xml:space="preserve"> for use of depreciation factors of 1.0, 1.1 or 1.2 </w:t>
      </w:r>
      <w:r w:rsidR="00682A3E" w:rsidRPr="00102445">
        <w:t xml:space="preserve">to be applied against the </w:t>
      </w:r>
      <w:r w:rsidR="00721E26" w:rsidRPr="00102445">
        <w:t xml:space="preserve">total </w:t>
      </w:r>
      <w:r w:rsidR="00682A3E" w:rsidRPr="00102445">
        <w:t>depreciation that would otherwise apply</w:t>
      </w:r>
      <w:r w:rsidR="003A0D37" w:rsidRPr="00102445">
        <w:t xml:space="preserve"> to </w:t>
      </w:r>
      <w:r w:rsidR="00E82121" w:rsidRPr="00102445">
        <w:t>t</w:t>
      </w:r>
      <w:r w:rsidR="006E2EF6" w:rsidRPr="00102445">
        <w:t>he capital expenses of the facility</w:t>
      </w:r>
      <w:r w:rsidR="005050C2" w:rsidRPr="00102445">
        <w:t xml:space="preserve">. </w:t>
      </w:r>
      <w:r w:rsidR="007569F5" w:rsidRPr="00102445">
        <w:t xml:space="preserve">This is an exception to the use of established standards. </w:t>
      </w:r>
      <w:r w:rsidR="005050C2" w:rsidRPr="00102445">
        <w:t xml:space="preserve">The use of an accelerated depreciation factor (1.1 or 1.2) has the effect of setting up an alternate depreciation schedule for the purposes of </w:t>
      </w:r>
      <w:r w:rsidR="00A94D1C" w:rsidRPr="00102445">
        <w:t xml:space="preserve">enabling the facility to be eligible to </w:t>
      </w:r>
      <w:r w:rsidR="005050C2" w:rsidRPr="00102445">
        <w:t xml:space="preserve">apply for a trade-exposed baseline-adjusted determination earlier than would otherwise be the case. This has the additional effect of exhausting usable depreciation within a shorter period than that used for accounting or taxation purposes and should not be taken as an indication that the depreciation schedule for other purposes should be shortened. </w:t>
      </w:r>
      <w:r w:rsidR="00792344" w:rsidRPr="00102445">
        <w:t xml:space="preserve">For the purposes of </w:t>
      </w:r>
      <w:r w:rsidR="00E53BFB" w:rsidRPr="00102445">
        <w:t>calculating the alternate depreciation schedule, t</w:t>
      </w:r>
      <w:r w:rsidR="005050C2" w:rsidRPr="00102445">
        <w:t>he same factor for accelerated depreciation should be used for the period for which the relevant baseline adjustment applies.</w:t>
      </w:r>
      <w:r w:rsidR="00765794" w:rsidRPr="00102445">
        <w:t xml:space="preserve"> </w:t>
      </w:r>
      <w:r w:rsidR="00801FD5" w:rsidRPr="00102445">
        <w:t xml:space="preserve">A different depreciation factor may be applied in </w:t>
      </w:r>
      <w:r w:rsidR="00935F31" w:rsidRPr="00102445">
        <w:t xml:space="preserve">any further applications for </w:t>
      </w:r>
      <w:r w:rsidR="006B7A05" w:rsidRPr="00102445">
        <w:rPr>
          <w:lang w:eastAsia="en-AU"/>
        </w:rPr>
        <w:t>trade-exposed baseline-adjusted</w:t>
      </w:r>
      <w:r w:rsidR="00935F31" w:rsidRPr="00102445">
        <w:rPr>
          <w:lang w:eastAsia="en-AU"/>
        </w:rPr>
        <w:t xml:space="preserve"> </w:t>
      </w:r>
      <w:r w:rsidR="00935F31" w:rsidRPr="00102445">
        <w:t>determination.</w:t>
      </w:r>
    </w:p>
    <w:p w14:paraId="7A0A8D27" w14:textId="714CC974" w:rsidR="00F979ED" w:rsidRPr="00102445" w:rsidRDefault="005050C2" w:rsidP="00591A9C">
      <w:pPr>
        <w:pStyle w:val="ListParagraph"/>
        <w:numPr>
          <w:ilvl w:val="0"/>
          <w:numId w:val="2"/>
        </w:numPr>
        <w:shd w:val="clear" w:color="auto" w:fill="FFFFFF" w:themeFill="background1"/>
        <w:spacing w:line="240" w:lineRule="auto"/>
        <w:contextualSpacing w:val="0"/>
      </w:pPr>
      <w:r w:rsidRPr="00102445">
        <w:lastRenderedPageBreak/>
        <w:t>The intention of this measure is to recognise th</w:t>
      </w:r>
      <w:r w:rsidR="00B207D4" w:rsidRPr="00102445">
        <w:t xml:space="preserve">at equipment </w:t>
      </w:r>
      <w:r w:rsidR="005B1BB8" w:rsidRPr="00102445">
        <w:t>may</w:t>
      </w:r>
      <w:r w:rsidR="00B207D4" w:rsidRPr="00102445">
        <w:t xml:space="preserve"> have</w:t>
      </w:r>
      <w:r w:rsidR="009E7AC7" w:rsidRPr="00102445">
        <w:t xml:space="preserve"> a</w:t>
      </w:r>
      <w:r w:rsidR="00B207D4" w:rsidRPr="00102445">
        <w:t xml:space="preserve"> </w:t>
      </w:r>
      <w:r w:rsidR="007E0DCB" w:rsidRPr="00102445">
        <w:t>shorter effective</w:t>
      </w:r>
      <w:r w:rsidR="00FA48FD" w:rsidRPr="00102445">
        <w:t xml:space="preserve"> life</w:t>
      </w:r>
      <w:r w:rsidR="007E0DCB" w:rsidRPr="00102445">
        <w:t xml:space="preserve"> </w:t>
      </w:r>
      <w:r w:rsidR="00105B50" w:rsidRPr="00102445">
        <w:t xml:space="preserve">as </w:t>
      </w:r>
      <w:r w:rsidR="00F02C65" w:rsidRPr="00102445">
        <w:t xml:space="preserve">industry transitions to net zero by </w:t>
      </w:r>
      <w:r w:rsidR="5FD6C195" w:rsidRPr="00102445">
        <w:t>2050</w:t>
      </w:r>
      <w:r w:rsidR="53881254" w:rsidRPr="00102445">
        <w:t xml:space="preserve">. It also reflects </w:t>
      </w:r>
      <w:r w:rsidR="4B3028B8" w:rsidRPr="00102445">
        <w:t>the capital</w:t>
      </w:r>
      <w:r w:rsidR="005B1BB8" w:rsidRPr="00102445">
        <w:t>-</w:t>
      </w:r>
      <w:r w:rsidR="4B3028B8" w:rsidRPr="00102445">
        <w:t xml:space="preserve">intensive nature of manufacturing </w:t>
      </w:r>
      <w:r w:rsidR="10DE9164" w:rsidRPr="00102445">
        <w:t>facilities</w:t>
      </w:r>
      <w:r w:rsidR="6CB1B11C" w:rsidRPr="00102445">
        <w:t xml:space="preserve"> and pro</w:t>
      </w:r>
      <w:r w:rsidR="37387733" w:rsidRPr="00102445">
        <w:t xml:space="preserve">vides an additional incentive </w:t>
      </w:r>
      <w:r w:rsidR="41D117A6" w:rsidRPr="00102445">
        <w:t>for capital investment in these facilities</w:t>
      </w:r>
      <w:r w:rsidR="00BA59E6" w:rsidRPr="00102445">
        <w:t>,</w:t>
      </w:r>
      <w:r w:rsidR="005C53CD" w:rsidRPr="00102445">
        <w:t xml:space="preserve"> which is particularly important for activities to decarbonise production and replace existing assets with more efficient or lower emissions alternatives.</w:t>
      </w:r>
    </w:p>
    <w:p w14:paraId="21758BE9" w14:textId="289485F5" w:rsidR="007E2FF8" w:rsidRPr="00102445" w:rsidRDefault="00D47D1C" w:rsidP="00591A9C">
      <w:pPr>
        <w:pStyle w:val="ListParagraph"/>
        <w:numPr>
          <w:ilvl w:val="0"/>
          <w:numId w:val="2"/>
        </w:numPr>
        <w:shd w:val="clear" w:color="auto" w:fill="FFFFFF" w:themeFill="background1"/>
        <w:spacing w:line="240" w:lineRule="auto"/>
        <w:contextualSpacing w:val="0"/>
      </w:pPr>
      <w:r w:rsidRPr="00102445">
        <w:t xml:space="preserve">Subsections 37(7) and 37(8) provide that the </w:t>
      </w:r>
      <w:r w:rsidR="00503FB8" w:rsidRPr="00102445">
        <w:t xml:space="preserve">Secretary may make written guidelines </w:t>
      </w:r>
      <w:r w:rsidR="00900906" w:rsidRPr="00102445">
        <w:t xml:space="preserve">(the </w:t>
      </w:r>
      <w:r w:rsidR="00900906" w:rsidRPr="00102445">
        <w:rPr>
          <w:i/>
          <w:iCs/>
        </w:rPr>
        <w:t>EBIT Guidelines</w:t>
      </w:r>
      <w:r w:rsidR="00900906" w:rsidRPr="00102445">
        <w:t>)</w:t>
      </w:r>
      <w:r w:rsidR="00900906" w:rsidRPr="00102445">
        <w:rPr>
          <w:i/>
          <w:iCs/>
        </w:rPr>
        <w:t xml:space="preserve"> </w:t>
      </w:r>
      <w:r w:rsidR="00503FB8" w:rsidRPr="00102445">
        <w:t xml:space="preserve">that relate to working out the earnings before interest and tax of a facility for a financial year. </w:t>
      </w:r>
      <w:r w:rsidR="00A0685D" w:rsidRPr="00102445">
        <w:t>They are to be published on the Department’s website.</w:t>
      </w:r>
      <w:r w:rsidR="00D84386" w:rsidRPr="00102445">
        <w:t xml:space="preserve"> These Guidelines are </w:t>
      </w:r>
      <w:r w:rsidR="005B1BB8" w:rsidRPr="00102445">
        <w:t xml:space="preserve">intended to be administrative in nature and </w:t>
      </w:r>
      <w:r w:rsidR="00D84386" w:rsidRPr="00102445">
        <w:t xml:space="preserve">not a legislative instrument but </w:t>
      </w:r>
      <w:r w:rsidR="009354A9" w:rsidRPr="00102445">
        <w:t xml:space="preserve">the Regulator </w:t>
      </w:r>
      <w:r w:rsidR="00357110" w:rsidRPr="00102445">
        <w:t>has regard to them when assessing</w:t>
      </w:r>
      <w:r w:rsidR="00D91C86" w:rsidRPr="00102445">
        <w:t xml:space="preserve"> applications </w:t>
      </w:r>
      <w:r w:rsidR="00CF25E3" w:rsidRPr="00102445">
        <w:t>f</w:t>
      </w:r>
      <w:r w:rsidR="00912BC0" w:rsidRPr="00102445">
        <w:t>o</w:t>
      </w:r>
      <w:r w:rsidR="00CF25E3" w:rsidRPr="00102445">
        <w:t xml:space="preserve">r a </w:t>
      </w:r>
      <w:r w:rsidR="00912BC0" w:rsidRPr="00102445">
        <w:t>facility to be trade-exposed baseline-adjusted.</w:t>
      </w:r>
      <w:r w:rsidR="00167DF3" w:rsidRPr="00102445">
        <w:t xml:space="preserve"> The Department’s website is http://www.dcceew.gov.au.</w:t>
      </w:r>
    </w:p>
    <w:p w14:paraId="33C759E0" w14:textId="1107065E" w:rsidR="005050C2" w:rsidRPr="00102445" w:rsidRDefault="005050C2" w:rsidP="00591A9C">
      <w:pPr>
        <w:pStyle w:val="ListParagraph"/>
        <w:numPr>
          <w:ilvl w:val="0"/>
          <w:numId w:val="2"/>
        </w:numPr>
        <w:shd w:val="clear" w:color="auto" w:fill="FFFFFF" w:themeFill="background1"/>
        <w:spacing w:line="240" w:lineRule="auto"/>
        <w:contextualSpacing w:val="0"/>
      </w:pPr>
      <w:r w:rsidRPr="00102445">
        <w:t>If a new trade-exposed baseline-adjusted application is subsequently made during or following the previous three-year trade-exposed baseline-adjusted determination period, then the facility may nominate a new factor, which will then apply for the period of that application.</w:t>
      </w:r>
      <w:r w:rsidRPr="00102445" w:rsidDel="00280C73">
        <w:t xml:space="preserve"> </w:t>
      </w:r>
      <w:r w:rsidRPr="00102445">
        <w:t>The new trade-exposed baseline-adjusted depreciation schedule should account for any previous accelerated depreciation, in particular the value of the asset in the financial year corresponding to the last depreciable year which should be reduced by the value that the accelerated depreciation increased value of the asset by. If the last depreciable year is reduced to zero, the second last depreciable year should be reduced by any further value that remained to be adjusted. The intention of this approach is to avoid accounting for an asset’s value twice.</w:t>
      </w:r>
    </w:p>
    <w:p w14:paraId="5FE14A60" w14:textId="75098271" w:rsidR="00E84ADF" w:rsidRPr="00102445" w:rsidRDefault="00E84ADF"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Section </w:t>
      </w:r>
      <w:r w:rsidR="00F30FCB" w:rsidRPr="00102445">
        <w:rPr>
          <w:lang w:eastAsia="en-AU"/>
        </w:rPr>
        <w:t xml:space="preserve">38 </w:t>
      </w:r>
      <w:r w:rsidRPr="00102445">
        <w:rPr>
          <w:lang w:eastAsia="en-AU"/>
        </w:rPr>
        <w:t xml:space="preserve">requires the Secretary to publish </w:t>
      </w:r>
      <w:r w:rsidR="008D6458" w:rsidRPr="00102445">
        <w:t>a Safeguard Mechanism default prescribed unit price on the Department’s website before the end of that financial year. The Safeguard Mechanism default prescribed unit price will be an estimate of the average price of a prescribed carbon unit for a financial year.</w:t>
      </w:r>
      <w:r w:rsidR="00434BE0" w:rsidRPr="00102445">
        <w:t xml:space="preserve"> </w:t>
      </w:r>
      <w:r w:rsidR="00F06C5E" w:rsidRPr="00102445">
        <w:t xml:space="preserve">It is used as in input </w:t>
      </w:r>
      <w:r w:rsidR="001610E5" w:rsidRPr="00102445">
        <w:t xml:space="preserve">for the assessed cost </w:t>
      </w:r>
      <w:r w:rsidR="00AB0AAE" w:rsidRPr="00102445">
        <w:t>impact calculation</w:t>
      </w:r>
      <w:r w:rsidR="009F3CF3" w:rsidRPr="00102445">
        <w:t>s</w:t>
      </w:r>
      <w:r w:rsidR="00AB0AAE" w:rsidRPr="00102445">
        <w:t xml:space="preserve"> </w:t>
      </w:r>
      <w:r w:rsidR="00C70C5C" w:rsidRPr="00102445">
        <w:t xml:space="preserve">which </w:t>
      </w:r>
      <w:r w:rsidR="009F3CF3" w:rsidRPr="00102445">
        <w:t>are</w:t>
      </w:r>
      <w:r w:rsidR="00C70C5C" w:rsidRPr="00102445">
        <w:t xml:space="preserve"> </w:t>
      </w:r>
      <w:r w:rsidR="00260444" w:rsidRPr="00102445">
        <w:t xml:space="preserve">part of the criteria for </w:t>
      </w:r>
      <w:r w:rsidR="008E0DFA" w:rsidRPr="00102445">
        <w:t>deciding</w:t>
      </w:r>
      <w:r w:rsidR="00D02B03" w:rsidRPr="00102445">
        <w:t xml:space="preserve"> that a facility is </w:t>
      </w:r>
      <w:r w:rsidR="0081685D" w:rsidRPr="00102445">
        <w:t xml:space="preserve">a </w:t>
      </w:r>
      <w:r w:rsidR="00D1200C" w:rsidRPr="00102445">
        <w:t>trade-exposed baseline-adjusted</w:t>
      </w:r>
      <w:r w:rsidR="0081685D" w:rsidRPr="00102445">
        <w:t xml:space="preserve"> facility.</w:t>
      </w:r>
      <w:r w:rsidR="004D0AA8" w:rsidRPr="00102445">
        <w:t xml:space="preserve"> Detail on </w:t>
      </w:r>
      <w:r w:rsidR="00CA6BFA" w:rsidRPr="00102445">
        <w:t xml:space="preserve">making a determination that a facility is a </w:t>
      </w:r>
      <w:r w:rsidR="00D1200C" w:rsidRPr="00102445">
        <w:t>trade-exposed baseline-adjusted</w:t>
      </w:r>
      <w:r w:rsidR="00CA6BFA" w:rsidRPr="00102445">
        <w:t xml:space="preserve"> facility </w:t>
      </w:r>
      <w:r w:rsidR="007112A7" w:rsidRPr="00102445">
        <w:t xml:space="preserve">is in section </w:t>
      </w:r>
      <w:r w:rsidR="00F30FCB" w:rsidRPr="00102445">
        <w:t xml:space="preserve">42 </w:t>
      </w:r>
      <w:r w:rsidR="00F6239C" w:rsidRPr="00102445">
        <w:t xml:space="preserve">and the </w:t>
      </w:r>
      <w:r w:rsidR="00163336" w:rsidRPr="00102445">
        <w:t>assessed cost impact calculation</w:t>
      </w:r>
      <w:r w:rsidR="009F3CF3" w:rsidRPr="00102445">
        <w:t>s</w:t>
      </w:r>
      <w:r w:rsidR="00163336" w:rsidRPr="00102445">
        <w:t xml:space="preserve"> </w:t>
      </w:r>
      <w:r w:rsidR="009F3CF3" w:rsidRPr="00102445">
        <w:t>are</w:t>
      </w:r>
      <w:r w:rsidR="00163336" w:rsidRPr="00102445">
        <w:t xml:space="preserve"> </w:t>
      </w:r>
      <w:r w:rsidR="003E4A44" w:rsidRPr="00102445">
        <w:t xml:space="preserve">detailed in section </w:t>
      </w:r>
      <w:r w:rsidR="00F30FCB" w:rsidRPr="00102445">
        <w:t>36</w:t>
      </w:r>
      <w:r w:rsidR="003E4A44" w:rsidRPr="00102445">
        <w:t>.</w:t>
      </w:r>
      <w:r w:rsidR="00434BE0" w:rsidRPr="00102445">
        <w:t xml:space="preserve">  </w:t>
      </w:r>
    </w:p>
    <w:p w14:paraId="44E2FEEF" w14:textId="7B0ABCE0" w:rsidR="005933A9" w:rsidRPr="00102445" w:rsidRDefault="006927E7" w:rsidP="009025A7">
      <w:pPr>
        <w:pStyle w:val="Heading6"/>
      </w:pPr>
      <w:r w:rsidRPr="00102445">
        <w:t>Subdivision D – Determination that a facility is a trade-exposed baseline-adjusted facility</w:t>
      </w:r>
    </w:p>
    <w:p w14:paraId="572D22C5" w14:textId="4F2EE55C" w:rsidR="00E95ACD" w:rsidRPr="00102445" w:rsidRDefault="006927E7" w:rsidP="00591A9C">
      <w:pPr>
        <w:pStyle w:val="ListParagraph"/>
        <w:numPr>
          <w:ilvl w:val="0"/>
          <w:numId w:val="2"/>
        </w:numPr>
        <w:shd w:val="clear" w:color="auto" w:fill="FFFFFF" w:themeFill="background1"/>
        <w:spacing w:line="240" w:lineRule="auto"/>
        <w:contextualSpacing w:val="0"/>
        <w:rPr>
          <w:lang w:eastAsia="en-AU"/>
        </w:rPr>
      </w:pPr>
      <w:r w:rsidRPr="00102445">
        <w:t xml:space="preserve">Section </w:t>
      </w:r>
      <w:r w:rsidR="00F30FCB" w:rsidRPr="00102445">
        <w:t xml:space="preserve">39 </w:t>
      </w:r>
      <w:r w:rsidRPr="00102445">
        <w:t xml:space="preserve">details the requirements for an application </w:t>
      </w:r>
      <w:r w:rsidR="00205C51" w:rsidRPr="00102445">
        <w:t>to be made by a</w:t>
      </w:r>
      <w:r w:rsidR="00205C51" w:rsidRPr="00102445">
        <w:rPr>
          <w:lang w:eastAsia="en-AU"/>
        </w:rPr>
        <w:t xml:space="preserve"> responsible emitter</w:t>
      </w:r>
      <w:r w:rsidR="00205C51" w:rsidRPr="00102445">
        <w:t xml:space="preserve"> </w:t>
      </w:r>
      <w:r w:rsidRPr="00102445">
        <w:t xml:space="preserve">for </w:t>
      </w:r>
      <w:r w:rsidR="00BC01A3" w:rsidRPr="00102445">
        <w:t>a</w:t>
      </w:r>
      <w:r w:rsidR="00EB2346" w:rsidRPr="00102445">
        <w:t xml:space="preserve"> </w:t>
      </w:r>
      <w:r w:rsidR="00D1200C" w:rsidRPr="00102445">
        <w:t>trade-exposed baseline-adjusted</w:t>
      </w:r>
      <w:r w:rsidR="00BC01A3" w:rsidRPr="00102445">
        <w:t xml:space="preserve"> </w:t>
      </w:r>
      <w:r w:rsidRPr="00102445">
        <w:t>determination</w:t>
      </w:r>
      <w:r w:rsidR="00523384" w:rsidRPr="00102445">
        <w:rPr>
          <w:lang w:eastAsia="en-AU"/>
        </w:rPr>
        <w:t xml:space="preserve">. </w:t>
      </w:r>
      <w:r w:rsidR="002C1A5A" w:rsidRPr="00102445">
        <w:rPr>
          <w:lang w:eastAsia="en-AU"/>
        </w:rPr>
        <w:t>A</w:t>
      </w:r>
      <w:r w:rsidR="00523384" w:rsidRPr="00102445">
        <w:rPr>
          <w:lang w:eastAsia="en-AU"/>
        </w:rPr>
        <w:t xml:space="preserve"> </w:t>
      </w:r>
      <w:r w:rsidR="00D1200C" w:rsidRPr="00102445">
        <w:rPr>
          <w:lang w:eastAsia="en-AU"/>
        </w:rPr>
        <w:t>trade-exposed baseline-adjusted</w:t>
      </w:r>
      <w:r w:rsidR="00205C51" w:rsidRPr="00102445">
        <w:rPr>
          <w:lang w:eastAsia="en-AU"/>
        </w:rPr>
        <w:t xml:space="preserve"> </w:t>
      </w:r>
      <w:r w:rsidR="00523384" w:rsidRPr="00102445">
        <w:rPr>
          <w:lang w:eastAsia="en-AU"/>
        </w:rPr>
        <w:t xml:space="preserve">determination </w:t>
      </w:r>
      <w:r w:rsidR="00BE23B2" w:rsidRPr="00102445">
        <w:rPr>
          <w:lang w:eastAsia="en-AU"/>
        </w:rPr>
        <w:t>is made</w:t>
      </w:r>
      <w:r w:rsidR="00523384" w:rsidRPr="00102445">
        <w:rPr>
          <w:lang w:eastAsia="en-AU"/>
        </w:rPr>
        <w:t xml:space="preserve"> for</w:t>
      </w:r>
      <w:r w:rsidR="002C1A5A" w:rsidRPr="00102445">
        <w:rPr>
          <w:lang w:eastAsia="en-AU"/>
        </w:rPr>
        <w:t xml:space="preserve"> a total of</w:t>
      </w:r>
      <w:r w:rsidR="00523384" w:rsidRPr="00102445">
        <w:rPr>
          <w:lang w:eastAsia="en-AU"/>
        </w:rPr>
        <w:t xml:space="preserve"> 3 y</w:t>
      </w:r>
      <w:r w:rsidR="002C1A5A" w:rsidRPr="00102445">
        <w:rPr>
          <w:lang w:eastAsia="en-AU"/>
        </w:rPr>
        <w:t>ears</w:t>
      </w:r>
      <w:r w:rsidR="00523384" w:rsidRPr="00102445">
        <w:rPr>
          <w:lang w:eastAsia="en-AU"/>
        </w:rPr>
        <w:t>. An application may be made</w:t>
      </w:r>
      <w:r w:rsidR="00873A73" w:rsidRPr="00102445">
        <w:rPr>
          <w:lang w:eastAsia="en-AU"/>
        </w:rPr>
        <w:t xml:space="preserve"> for any new determination</w:t>
      </w:r>
      <w:r w:rsidR="002C1A5A" w:rsidRPr="00102445">
        <w:rPr>
          <w:lang w:eastAsia="en-AU"/>
        </w:rPr>
        <w:t xml:space="preserve"> even if the facility</w:t>
      </w:r>
      <w:r w:rsidR="00523384" w:rsidRPr="00102445">
        <w:rPr>
          <w:lang w:eastAsia="en-AU"/>
        </w:rPr>
        <w:t xml:space="preserve"> </w:t>
      </w:r>
      <w:r w:rsidR="007C407A" w:rsidRPr="00102445">
        <w:rPr>
          <w:lang w:eastAsia="en-AU"/>
        </w:rPr>
        <w:t xml:space="preserve">is already a </w:t>
      </w:r>
      <w:r w:rsidR="00D1200C" w:rsidRPr="00102445">
        <w:rPr>
          <w:lang w:eastAsia="en-AU"/>
        </w:rPr>
        <w:t>trade-exposed baseline-adjusted</w:t>
      </w:r>
      <w:r w:rsidR="007C407A" w:rsidRPr="00102445">
        <w:rPr>
          <w:lang w:eastAsia="en-AU"/>
        </w:rPr>
        <w:t xml:space="preserve"> facility.</w:t>
      </w:r>
    </w:p>
    <w:p w14:paraId="45C60EAF" w14:textId="46FA6711" w:rsidR="006927E7" w:rsidRPr="00102445" w:rsidRDefault="00407918"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Subs</w:t>
      </w:r>
      <w:r w:rsidR="00E95ACD" w:rsidRPr="00102445">
        <w:rPr>
          <w:lang w:eastAsia="en-AU"/>
        </w:rPr>
        <w:t xml:space="preserve">ection </w:t>
      </w:r>
      <w:r w:rsidR="00F30FCB" w:rsidRPr="00102445">
        <w:rPr>
          <w:lang w:eastAsia="en-AU"/>
        </w:rPr>
        <w:t>39</w:t>
      </w:r>
      <w:r w:rsidR="006927E7" w:rsidRPr="00102445">
        <w:rPr>
          <w:lang w:eastAsia="en-AU"/>
        </w:rPr>
        <w:t xml:space="preserve">(3) details what the application must specify including </w:t>
      </w:r>
      <w:r w:rsidR="003F6A48" w:rsidRPr="00102445">
        <w:rPr>
          <w:lang w:eastAsia="en-AU"/>
        </w:rPr>
        <w:t>revenue</w:t>
      </w:r>
      <w:r w:rsidR="00884BDC" w:rsidRPr="00102445">
        <w:rPr>
          <w:lang w:eastAsia="en-AU"/>
        </w:rPr>
        <w:t xml:space="preserve"> or EBIT (if the facility is not manufacturing or is a manufacturing facility respectively)</w:t>
      </w:r>
      <w:r w:rsidR="00316609" w:rsidRPr="00102445">
        <w:rPr>
          <w:lang w:eastAsia="en-AU"/>
        </w:rPr>
        <w:t>,</w:t>
      </w:r>
      <w:r w:rsidR="00884BDC" w:rsidRPr="00102445">
        <w:rPr>
          <w:lang w:eastAsia="en-AU"/>
        </w:rPr>
        <w:t xml:space="preserve"> </w:t>
      </w:r>
      <w:r w:rsidR="006927E7" w:rsidRPr="00102445">
        <w:rPr>
          <w:lang w:eastAsia="en-AU"/>
        </w:rPr>
        <w:t xml:space="preserve">assessed cost impact (detailed in section </w:t>
      </w:r>
      <w:r w:rsidR="00F30FCB" w:rsidRPr="00102445">
        <w:rPr>
          <w:lang w:eastAsia="en-AU"/>
        </w:rPr>
        <w:t>36</w:t>
      </w:r>
      <w:r w:rsidR="006927E7" w:rsidRPr="00102445">
        <w:rPr>
          <w:lang w:eastAsia="en-AU"/>
        </w:rPr>
        <w:t>), information on assumption</w:t>
      </w:r>
      <w:r w:rsidR="00105260" w:rsidRPr="00102445">
        <w:rPr>
          <w:lang w:eastAsia="en-AU"/>
        </w:rPr>
        <w:t>s</w:t>
      </w:r>
      <w:r w:rsidR="006927E7" w:rsidRPr="00102445">
        <w:rPr>
          <w:lang w:eastAsia="en-AU"/>
        </w:rPr>
        <w:t xml:space="preserve">, </w:t>
      </w:r>
      <w:r w:rsidR="002E64DB" w:rsidRPr="00102445">
        <w:rPr>
          <w:lang w:eastAsia="en-AU"/>
        </w:rPr>
        <w:t xml:space="preserve">the amount of </w:t>
      </w:r>
      <w:r w:rsidR="002C2D31" w:rsidRPr="00102445">
        <w:rPr>
          <w:lang w:eastAsia="en-AU"/>
        </w:rPr>
        <w:t>covered emission</w:t>
      </w:r>
      <w:r w:rsidR="005D53C5" w:rsidRPr="00102445">
        <w:rPr>
          <w:lang w:eastAsia="en-AU"/>
        </w:rPr>
        <w:t xml:space="preserve">s, </w:t>
      </w:r>
      <w:r w:rsidR="00367E55" w:rsidRPr="00102445">
        <w:rPr>
          <w:lang w:eastAsia="en-AU"/>
        </w:rPr>
        <w:t>the</w:t>
      </w:r>
      <w:r w:rsidR="006927E7" w:rsidRPr="00102445">
        <w:rPr>
          <w:lang w:eastAsia="en-AU"/>
        </w:rPr>
        <w:t xml:space="preserve"> hypothetical baseline</w:t>
      </w:r>
      <w:r w:rsidR="00743BB8" w:rsidRPr="00102445">
        <w:rPr>
          <w:lang w:eastAsia="en-AU"/>
        </w:rPr>
        <w:t xml:space="preserve"> (detailed in s</w:t>
      </w:r>
      <w:r w:rsidR="0041167D" w:rsidRPr="00102445">
        <w:rPr>
          <w:lang w:eastAsia="en-AU"/>
        </w:rPr>
        <w:t xml:space="preserve">ubsection </w:t>
      </w:r>
      <w:r w:rsidR="00743BB8" w:rsidRPr="00102445">
        <w:rPr>
          <w:lang w:eastAsia="en-AU"/>
        </w:rPr>
        <w:t>30(3))</w:t>
      </w:r>
      <w:r w:rsidR="006927E7" w:rsidRPr="00102445">
        <w:rPr>
          <w:lang w:eastAsia="en-AU"/>
        </w:rPr>
        <w:t xml:space="preserve">, </w:t>
      </w:r>
      <w:r w:rsidR="00C468BD" w:rsidRPr="00102445">
        <w:rPr>
          <w:lang w:eastAsia="en-AU"/>
        </w:rPr>
        <w:t>the</w:t>
      </w:r>
      <w:r w:rsidR="006927E7" w:rsidRPr="00102445">
        <w:rPr>
          <w:lang w:eastAsia="en-AU"/>
        </w:rPr>
        <w:t xml:space="preserve"> emissions reduction contribution</w:t>
      </w:r>
      <w:r w:rsidR="00FF144C" w:rsidRPr="00102445">
        <w:rPr>
          <w:lang w:eastAsia="en-AU"/>
        </w:rPr>
        <w:t xml:space="preserve">s </w:t>
      </w:r>
      <w:r w:rsidR="005B03CD" w:rsidRPr="00102445">
        <w:rPr>
          <w:lang w:eastAsia="en-AU"/>
        </w:rPr>
        <w:t>for all three years</w:t>
      </w:r>
      <w:r w:rsidR="006927E7" w:rsidRPr="00102445">
        <w:rPr>
          <w:lang w:eastAsia="en-AU"/>
        </w:rPr>
        <w:t xml:space="preserve"> and </w:t>
      </w:r>
      <w:r w:rsidR="005B03CD" w:rsidRPr="00102445">
        <w:rPr>
          <w:lang w:eastAsia="en-AU"/>
        </w:rPr>
        <w:t xml:space="preserve">the </w:t>
      </w:r>
      <w:r w:rsidR="00105260" w:rsidRPr="00102445">
        <w:rPr>
          <w:lang w:eastAsia="en-AU"/>
        </w:rPr>
        <w:t>baseline emissions number</w:t>
      </w:r>
      <w:r w:rsidR="005B03CD" w:rsidRPr="00102445">
        <w:rPr>
          <w:lang w:eastAsia="en-AU"/>
        </w:rPr>
        <w:t xml:space="preserve"> in the first financial year</w:t>
      </w:r>
      <w:r w:rsidR="00105260" w:rsidRPr="00102445">
        <w:rPr>
          <w:lang w:eastAsia="en-AU"/>
        </w:rPr>
        <w:t xml:space="preserve"> if the determination were made</w:t>
      </w:r>
      <w:r w:rsidR="00C468BD" w:rsidRPr="00102445">
        <w:rPr>
          <w:lang w:eastAsia="en-AU"/>
        </w:rPr>
        <w:t>.</w:t>
      </w:r>
      <w:r w:rsidR="00861016" w:rsidRPr="00102445">
        <w:rPr>
          <w:lang w:eastAsia="en-AU"/>
        </w:rPr>
        <w:t xml:space="preserve"> Information on assumptions made for manufacturing facilities should also include the </w:t>
      </w:r>
      <w:r w:rsidR="00FC5E3D" w:rsidRPr="00102445">
        <w:rPr>
          <w:lang w:eastAsia="en-AU"/>
        </w:rPr>
        <w:t xml:space="preserve">depreciation factor used for the calculation of the </w:t>
      </w:r>
      <w:r w:rsidR="005A69DD" w:rsidRPr="00102445">
        <w:rPr>
          <w:lang w:eastAsia="en-AU"/>
        </w:rPr>
        <w:t>EBIT of the facility</w:t>
      </w:r>
      <w:r w:rsidR="000C779F" w:rsidRPr="00102445">
        <w:rPr>
          <w:lang w:eastAsia="en-AU"/>
        </w:rPr>
        <w:t xml:space="preserve"> and an explanation for </w:t>
      </w:r>
      <w:r w:rsidR="004C5592" w:rsidRPr="00102445">
        <w:rPr>
          <w:lang w:eastAsia="en-AU"/>
        </w:rPr>
        <w:t>why an accelerated depreciation factor is used (if applicable)</w:t>
      </w:r>
      <w:r w:rsidR="005A69DD" w:rsidRPr="00102445">
        <w:rPr>
          <w:lang w:eastAsia="en-AU"/>
        </w:rPr>
        <w:t xml:space="preserve">. </w:t>
      </w:r>
    </w:p>
    <w:p w14:paraId="5843585B" w14:textId="2A93B9F9" w:rsidR="00905EC0" w:rsidRPr="00102445" w:rsidRDefault="00905EC0"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Subsection</w:t>
      </w:r>
      <w:r w:rsidR="00697B10" w:rsidRPr="00102445">
        <w:rPr>
          <w:lang w:eastAsia="en-AU"/>
        </w:rPr>
        <w:t xml:space="preserve">s </w:t>
      </w:r>
      <w:r w:rsidR="00774ABC" w:rsidRPr="00102445">
        <w:rPr>
          <w:lang w:eastAsia="en-AU"/>
        </w:rPr>
        <w:t>3</w:t>
      </w:r>
      <w:r w:rsidR="00F30FCB" w:rsidRPr="00102445">
        <w:rPr>
          <w:lang w:eastAsia="en-AU"/>
        </w:rPr>
        <w:t>9</w:t>
      </w:r>
      <w:r w:rsidR="00697B10" w:rsidRPr="00102445">
        <w:rPr>
          <w:lang w:eastAsia="en-AU"/>
        </w:rPr>
        <w:t>(4</w:t>
      </w:r>
      <w:r w:rsidR="006C7F2E" w:rsidRPr="00102445">
        <w:rPr>
          <w:lang w:eastAsia="en-AU"/>
        </w:rPr>
        <w:t>) - (</w:t>
      </w:r>
      <w:r w:rsidR="00C468BD" w:rsidRPr="00102445">
        <w:rPr>
          <w:lang w:eastAsia="en-AU"/>
        </w:rPr>
        <w:t>5</w:t>
      </w:r>
      <w:r w:rsidR="006C7F2E" w:rsidRPr="00102445">
        <w:rPr>
          <w:lang w:eastAsia="en-AU"/>
        </w:rPr>
        <w:t>) detail the requirement</w:t>
      </w:r>
      <w:r w:rsidR="005B03CD" w:rsidRPr="00102445">
        <w:rPr>
          <w:lang w:eastAsia="en-AU"/>
        </w:rPr>
        <w:t xml:space="preserve"> for a </w:t>
      </w:r>
      <w:r w:rsidR="00D1200C" w:rsidRPr="00102445">
        <w:rPr>
          <w:lang w:eastAsia="en-AU"/>
        </w:rPr>
        <w:t>trade-exposed baseline-adjusted</w:t>
      </w:r>
      <w:r w:rsidR="005B03CD" w:rsidRPr="00102445">
        <w:rPr>
          <w:lang w:eastAsia="en-AU"/>
        </w:rPr>
        <w:t xml:space="preserve"> determination</w:t>
      </w:r>
      <w:r w:rsidR="006C7F2E" w:rsidRPr="00102445">
        <w:rPr>
          <w:lang w:eastAsia="en-AU"/>
        </w:rPr>
        <w:t xml:space="preserve"> </w:t>
      </w:r>
      <w:r w:rsidR="00520C5C" w:rsidRPr="00102445">
        <w:rPr>
          <w:lang w:eastAsia="en-AU"/>
        </w:rPr>
        <w:t xml:space="preserve">to include </w:t>
      </w:r>
      <w:r w:rsidR="006C7F2E" w:rsidRPr="00102445">
        <w:rPr>
          <w:lang w:eastAsia="en-AU"/>
        </w:rPr>
        <w:t xml:space="preserve">a declaration that the facility’s covered emissions were not artificially </w:t>
      </w:r>
      <w:r w:rsidR="006C7F2E" w:rsidRPr="00102445">
        <w:rPr>
          <w:lang w:eastAsia="en-AU"/>
        </w:rPr>
        <w:lastRenderedPageBreak/>
        <w:t xml:space="preserve">increased for the sole or substantial purpose of favourably influencing the outcome of this determination. The declaration </w:t>
      </w:r>
      <w:r w:rsidR="00892011" w:rsidRPr="00102445">
        <w:rPr>
          <w:lang w:eastAsia="en-AU"/>
        </w:rPr>
        <w:t xml:space="preserve">and the application </w:t>
      </w:r>
      <w:r w:rsidR="006C7F2E" w:rsidRPr="00102445">
        <w:rPr>
          <w:lang w:eastAsia="en-AU"/>
        </w:rPr>
        <w:t>must be signed by the chief financial officer, or equivalent, of the responsible emitter</w:t>
      </w:r>
      <w:r w:rsidR="00D52E68" w:rsidRPr="00102445">
        <w:rPr>
          <w:lang w:eastAsia="en-AU"/>
        </w:rPr>
        <w:t xml:space="preserve">. </w:t>
      </w:r>
    </w:p>
    <w:p w14:paraId="7011F28A" w14:textId="4EC3490E" w:rsidR="00783555" w:rsidRPr="00102445" w:rsidRDefault="00F07C69"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Subs</w:t>
      </w:r>
      <w:r w:rsidR="00783555" w:rsidRPr="00102445">
        <w:rPr>
          <w:lang w:eastAsia="en-AU"/>
        </w:rPr>
        <w:t xml:space="preserve">ection </w:t>
      </w:r>
      <w:r w:rsidR="00F30FCB" w:rsidRPr="00102445">
        <w:rPr>
          <w:lang w:eastAsia="en-AU"/>
        </w:rPr>
        <w:t>39</w:t>
      </w:r>
      <w:r w:rsidR="00783555" w:rsidRPr="00102445">
        <w:rPr>
          <w:lang w:eastAsia="en-AU"/>
        </w:rPr>
        <w:t xml:space="preserve">(6) states that </w:t>
      </w:r>
      <w:r w:rsidR="00D1200C" w:rsidRPr="00102445">
        <w:rPr>
          <w:lang w:eastAsia="en-AU"/>
        </w:rPr>
        <w:t>trade-exposed baseline-adjusted</w:t>
      </w:r>
      <w:r w:rsidR="00783555" w:rsidRPr="00102445">
        <w:rPr>
          <w:lang w:eastAsia="en-AU"/>
        </w:rPr>
        <w:t xml:space="preserve"> designated facilities </w:t>
      </w:r>
      <w:r w:rsidR="002D4208" w:rsidRPr="00102445">
        <w:rPr>
          <w:lang w:eastAsia="en-AU"/>
        </w:rPr>
        <w:t>may make a</w:t>
      </w:r>
      <w:r w:rsidR="00CB4F57" w:rsidRPr="00102445">
        <w:rPr>
          <w:lang w:eastAsia="en-AU"/>
        </w:rPr>
        <w:t xml:space="preserve"> further</w:t>
      </w:r>
      <w:r w:rsidR="002D4208" w:rsidRPr="00102445">
        <w:rPr>
          <w:lang w:eastAsia="en-AU"/>
        </w:rPr>
        <w:t xml:space="preserve"> application </w:t>
      </w:r>
      <w:r w:rsidR="004C2265" w:rsidRPr="00102445">
        <w:rPr>
          <w:lang w:eastAsia="en-AU"/>
        </w:rPr>
        <w:t xml:space="preserve">for a </w:t>
      </w:r>
      <w:r w:rsidR="00D1200C" w:rsidRPr="00102445">
        <w:rPr>
          <w:lang w:eastAsia="en-AU"/>
        </w:rPr>
        <w:t>trade-exposed baseline-adjusted</w:t>
      </w:r>
      <w:r w:rsidR="004C2265" w:rsidRPr="00102445">
        <w:rPr>
          <w:lang w:eastAsia="en-AU"/>
        </w:rPr>
        <w:t xml:space="preserve"> determination</w:t>
      </w:r>
      <w:r w:rsidR="009858AC" w:rsidRPr="00102445">
        <w:rPr>
          <w:lang w:eastAsia="en-AU"/>
        </w:rPr>
        <w:t>.</w:t>
      </w:r>
    </w:p>
    <w:p w14:paraId="65FCD329" w14:textId="2A379C89" w:rsidR="006927E7" w:rsidRPr="00102445" w:rsidRDefault="007C44F1"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Section </w:t>
      </w:r>
      <w:r w:rsidR="003E498F" w:rsidRPr="00102445">
        <w:rPr>
          <w:lang w:eastAsia="en-AU"/>
        </w:rPr>
        <w:t xml:space="preserve">40 </w:t>
      </w:r>
      <w:r w:rsidRPr="00102445">
        <w:rPr>
          <w:lang w:eastAsia="en-AU"/>
        </w:rPr>
        <w:t xml:space="preserve">specifies that an application for a determination that a facility is a </w:t>
      </w:r>
      <w:r w:rsidR="00D1200C" w:rsidRPr="00102445">
        <w:rPr>
          <w:lang w:eastAsia="en-AU"/>
        </w:rPr>
        <w:t>trade-exposed baseline-adjusted</w:t>
      </w:r>
      <w:r w:rsidRPr="00102445">
        <w:rPr>
          <w:lang w:eastAsia="en-AU"/>
        </w:rPr>
        <w:t xml:space="preserve"> facility must be accompanied by a safeguard audit report</w:t>
      </w:r>
      <w:r w:rsidR="003E498F" w:rsidRPr="00102445">
        <w:rPr>
          <w:lang w:eastAsia="en-AU"/>
        </w:rPr>
        <w:t>, which must</w:t>
      </w:r>
      <w:r w:rsidR="000F463A" w:rsidRPr="00102445">
        <w:rPr>
          <w:lang w:eastAsia="en-AU"/>
        </w:rPr>
        <w:t xml:space="preserve"> </w:t>
      </w:r>
      <w:r w:rsidR="00F7617D" w:rsidRPr="00102445">
        <w:rPr>
          <w:lang w:eastAsia="en-AU"/>
        </w:rPr>
        <w:t xml:space="preserve">meet the requirements laid out </w:t>
      </w:r>
      <w:r w:rsidR="003E498F" w:rsidRPr="00102445">
        <w:rPr>
          <w:lang w:eastAsia="en-AU"/>
        </w:rPr>
        <w:t>in this section</w:t>
      </w:r>
      <w:r w:rsidR="001421B0" w:rsidRPr="00102445">
        <w:rPr>
          <w:lang w:eastAsia="en-AU"/>
        </w:rPr>
        <w:t xml:space="preserve">. </w:t>
      </w:r>
      <w:r w:rsidR="00882213" w:rsidRPr="00102445">
        <w:rPr>
          <w:lang w:eastAsia="en-AU"/>
        </w:rPr>
        <w:t xml:space="preserve">Subsection </w:t>
      </w:r>
      <w:r w:rsidR="008560C1" w:rsidRPr="00102445">
        <w:rPr>
          <w:lang w:eastAsia="en-AU"/>
        </w:rPr>
        <w:t>40</w:t>
      </w:r>
      <w:r w:rsidR="009D1B54" w:rsidRPr="00102445">
        <w:rPr>
          <w:lang w:eastAsia="en-AU"/>
        </w:rPr>
        <w:t xml:space="preserve">(3) </w:t>
      </w:r>
      <w:r w:rsidR="00DE574E" w:rsidRPr="00102445">
        <w:rPr>
          <w:lang w:eastAsia="en-AU"/>
        </w:rPr>
        <w:t xml:space="preserve">specifies </w:t>
      </w:r>
      <w:r w:rsidR="00FC65D3" w:rsidRPr="00102445">
        <w:rPr>
          <w:lang w:eastAsia="en-AU"/>
        </w:rPr>
        <w:t xml:space="preserve">the accompanying audit </w:t>
      </w:r>
      <w:r w:rsidR="00876ABB" w:rsidRPr="00102445">
        <w:rPr>
          <w:lang w:eastAsia="en-AU"/>
        </w:rPr>
        <w:t xml:space="preserve">must provide a </w:t>
      </w:r>
      <w:r w:rsidR="00A57EB2" w:rsidRPr="00102445">
        <w:rPr>
          <w:lang w:eastAsia="en-AU"/>
        </w:rPr>
        <w:t>rea</w:t>
      </w:r>
      <w:r w:rsidR="00AA61AC" w:rsidRPr="00102445">
        <w:rPr>
          <w:lang w:eastAsia="en-AU"/>
        </w:rPr>
        <w:t>sonable assurance</w:t>
      </w:r>
      <w:r w:rsidR="00876ABB" w:rsidRPr="00102445">
        <w:rPr>
          <w:lang w:eastAsia="en-AU"/>
        </w:rPr>
        <w:t xml:space="preserve"> conclusion</w:t>
      </w:r>
      <w:r w:rsidR="00AA61AC" w:rsidRPr="00102445">
        <w:rPr>
          <w:lang w:eastAsia="en-AU"/>
        </w:rPr>
        <w:t xml:space="preserve"> </w:t>
      </w:r>
      <w:r w:rsidR="008560C1" w:rsidRPr="00102445">
        <w:rPr>
          <w:lang w:eastAsia="en-AU"/>
        </w:rPr>
        <w:t xml:space="preserve">or a qualified reasonable assurance conclusion </w:t>
      </w:r>
      <w:r w:rsidR="00250643" w:rsidRPr="00102445">
        <w:rPr>
          <w:lang w:eastAsia="en-AU"/>
        </w:rPr>
        <w:t>on</w:t>
      </w:r>
      <w:r w:rsidR="00441F9D" w:rsidRPr="00102445">
        <w:rPr>
          <w:lang w:eastAsia="en-AU"/>
        </w:rPr>
        <w:t xml:space="preserve"> the material correctness of the information</w:t>
      </w:r>
      <w:r w:rsidR="00876ABB" w:rsidRPr="00102445">
        <w:rPr>
          <w:lang w:eastAsia="en-AU"/>
        </w:rPr>
        <w:t xml:space="preserve"> </w:t>
      </w:r>
      <w:r w:rsidR="001E3FBE" w:rsidRPr="00102445">
        <w:rPr>
          <w:lang w:eastAsia="en-AU"/>
        </w:rPr>
        <w:t xml:space="preserve">provided in the </w:t>
      </w:r>
      <w:r w:rsidR="00E0792A" w:rsidRPr="00102445">
        <w:rPr>
          <w:lang w:eastAsia="en-AU"/>
        </w:rPr>
        <w:t>application</w:t>
      </w:r>
      <w:r w:rsidR="003625C7" w:rsidRPr="00102445">
        <w:rPr>
          <w:lang w:eastAsia="en-AU"/>
        </w:rPr>
        <w:t xml:space="preserve"> </w:t>
      </w:r>
      <w:r w:rsidR="00A66625" w:rsidRPr="00102445">
        <w:rPr>
          <w:lang w:eastAsia="en-AU"/>
        </w:rPr>
        <w:t xml:space="preserve">as well as </w:t>
      </w:r>
      <w:r w:rsidR="00250643" w:rsidRPr="00102445">
        <w:rPr>
          <w:lang w:eastAsia="en-AU"/>
        </w:rPr>
        <w:t xml:space="preserve">on </w:t>
      </w:r>
      <w:r w:rsidR="0067362A" w:rsidRPr="00102445">
        <w:rPr>
          <w:lang w:eastAsia="en-AU"/>
        </w:rPr>
        <w:t xml:space="preserve">whether the facility </w:t>
      </w:r>
      <w:r w:rsidR="005A36D9" w:rsidRPr="00102445">
        <w:rPr>
          <w:lang w:eastAsia="en-AU"/>
        </w:rPr>
        <w:t xml:space="preserve">satisfies the criteria </w:t>
      </w:r>
      <w:r w:rsidR="00F412C3" w:rsidRPr="00102445">
        <w:rPr>
          <w:lang w:eastAsia="en-AU"/>
        </w:rPr>
        <w:t xml:space="preserve">specified in subsections </w:t>
      </w:r>
      <w:r w:rsidR="008560C1" w:rsidRPr="00102445">
        <w:rPr>
          <w:lang w:eastAsia="en-AU"/>
        </w:rPr>
        <w:t>42</w:t>
      </w:r>
      <w:r w:rsidR="00BF5F5F" w:rsidRPr="00102445">
        <w:rPr>
          <w:lang w:eastAsia="en-AU"/>
        </w:rPr>
        <w:t xml:space="preserve">(2)(a)(iii) and (iv). </w:t>
      </w:r>
      <w:r w:rsidR="00A8426D" w:rsidRPr="00102445">
        <w:rPr>
          <w:lang w:eastAsia="en-AU"/>
        </w:rPr>
        <w:t>T</w:t>
      </w:r>
      <w:r w:rsidR="004172F4" w:rsidRPr="00102445">
        <w:rPr>
          <w:lang w:eastAsia="en-AU"/>
        </w:rPr>
        <w:t xml:space="preserve">he specified criteria </w:t>
      </w:r>
      <w:r w:rsidR="0035227D" w:rsidRPr="00102445">
        <w:rPr>
          <w:lang w:eastAsia="en-AU"/>
        </w:rPr>
        <w:t>are that</w:t>
      </w:r>
      <w:r w:rsidR="00FE3BDF" w:rsidRPr="00102445">
        <w:rPr>
          <w:lang w:eastAsia="en-AU"/>
        </w:rPr>
        <w:t xml:space="preserve"> the primary production variable </w:t>
      </w:r>
      <w:r w:rsidR="00E86529" w:rsidRPr="00102445">
        <w:rPr>
          <w:lang w:eastAsia="en-AU"/>
        </w:rPr>
        <w:t>of</w:t>
      </w:r>
      <w:r w:rsidR="00FE3BDF" w:rsidRPr="00102445">
        <w:rPr>
          <w:lang w:eastAsia="en-AU"/>
        </w:rPr>
        <w:t xml:space="preserve"> the facility for the first financ</w:t>
      </w:r>
      <w:r w:rsidR="00D43E87" w:rsidRPr="00102445">
        <w:rPr>
          <w:lang w:eastAsia="en-AU"/>
        </w:rPr>
        <w:t>ial year is trade</w:t>
      </w:r>
      <w:r w:rsidR="00E86529" w:rsidRPr="00102445">
        <w:rPr>
          <w:lang w:eastAsia="en-AU"/>
        </w:rPr>
        <w:t>-</w:t>
      </w:r>
      <w:r w:rsidR="00D43E87" w:rsidRPr="00102445">
        <w:rPr>
          <w:lang w:eastAsia="en-AU"/>
        </w:rPr>
        <w:t>exposed</w:t>
      </w:r>
      <w:r w:rsidR="0072220D" w:rsidRPr="00102445">
        <w:rPr>
          <w:lang w:eastAsia="en-AU"/>
        </w:rPr>
        <w:t xml:space="preserve"> </w:t>
      </w:r>
      <w:r w:rsidR="00037FB0" w:rsidRPr="00102445">
        <w:rPr>
          <w:lang w:eastAsia="en-AU"/>
        </w:rPr>
        <w:t>and that</w:t>
      </w:r>
      <w:r w:rsidR="001B7F27" w:rsidRPr="00102445">
        <w:rPr>
          <w:lang w:eastAsia="en-AU"/>
        </w:rPr>
        <w:t xml:space="preserve"> the assessed cost impact for the facility for the first financial year </w:t>
      </w:r>
      <w:r w:rsidR="00C046D8" w:rsidRPr="00102445">
        <w:rPr>
          <w:lang w:eastAsia="en-AU"/>
        </w:rPr>
        <w:t>is greater than</w:t>
      </w:r>
      <w:r w:rsidR="00D31C4A" w:rsidRPr="00102445">
        <w:rPr>
          <w:lang w:eastAsia="en-AU"/>
        </w:rPr>
        <w:t xml:space="preserve"> the </w:t>
      </w:r>
      <w:r w:rsidR="00F30C5D" w:rsidRPr="00102445">
        <w:rPr>
          <w:lang w:eastAsia="en-AU"/>
        </w:rPr>
        <w:t>material cost impact threshold of 0.03</w:t>
      </w:r>
      <w:r w:rsidR="00C046D8" w:rsidRPr="00102445">
        <w:rPr>
          <w:lang w:eastAsia="en-AU"/>
        </w:rPr>
        <w:t>.</w:t>
      </w:r>
    </w:p>
    <w:p w14:paraId="492C3DC2" w14:textId="327D07EA" w:rsidR="00CB57B9" w:rsidRPr="00102445" w:rsidRDefault="00F07C69"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Subs</w:t>
      </w:r>
      <w:r w:rsidR="00514394" w:rsidRPr="00102445">
        <w:rPr>
          <w:lang w:eastAsia="en-AU"/>
        </w:rPr>
        <w:t xml:space="preserve">ection </w:t>
      </w:r>
      <w:r w:rsidR="008560C1" w:rsidRPr="00102445">
        <w:rPr>
          <w:lang w:eastAsia="en-AU"/>
        </w:rPr>
        <w:t>40</w:t>
      </w:r>
      <w:r w:rsidR="00514394" w:rsidRPr="00102445">
        <w:rPr>
          <w:lang w:eastAsia="en-AU"/>
        </w:rPr>
        <w:t xml:space="preserve">(3) </w:t>
      </w:r>
      <w:r w:rsidR="00675001" w:rsidRPr="00102445">
        <w:rPr>
          <w:lang w:eastAsia="en-AU"/>
        </w:rPr>
        <w:t>includes the relevant information required in the audit report</w:t>
      </w:r>
      <w:r w:rsidR="00622589" w:rsidRPr="00102445">
        <w:rPr>
          <w:lang w:eastAsia="en-AU"/>
        </w:rPr>
        <w:t>, including the reasonable assurance matters</w:t>
      </w:r>
      <w:r w:rsidR="0034146D" w:rsidRPr="00102445">
        <w:rPr>
          <w:lang w:eastAsia="en-AU"/>
        </w:rPr>
        <w:t>.</w:t>
      </w:r>
    </w:p>
    <w:p w14:paraId="24622B2B" w14:textId="122C903E" w:rsidR="00621DA9" w:rsidRPr="00102445" w:rsidRDefault="006522D6"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Section </w:t>
      </w:r>
      <w:r w:rsidR="008560C1" w:rsidRPr="00102445">
        <w:rPr>
          <w:lang w:eastAsia="en-AU"/>
        </w:rPr>
        <w:t xml:space="preserve">41 </w:t>
      </w:r>
      <w:r w:rsidR="003A43B4" w:rsidRPr="00102445">
        <w:rPr>
          <w:lang w:eastAsia="en-AU"/>
        </w:rPr>
        <w:t xml:space="preserve">outlines considerations by the Regulator when considering a facility’s application for </w:t>
      </w:r>
      <w:r w:rsidR="003A43B4" w:rsidRPr="00102445">
        <w:t>determination that it is a</w:t>
      </w:r>
      <w:r w:rsidR="003A43B4" w:rsidRPr="00102445">
        <w:rPr>
          <w:lang w:eastAsia="en-AU"/>
        </w:rPr>
        <w:t xml:space="preserve"> </w:t>
      </w:r>
      <w:r w:rsidR="00D1200C" w:rsidRPr="00102445">
        <w:rPr>
          <w:lang w:eastAsia="en-AU"/>
        </w:rPr>
        <w:t>trade-exposed baseline-adjusted</w:t>
      </w:r>
      <w:r w:rsidR="003A43B4" w:rsidRPr="00102445">
        <w:rPr>
          <w:lang w:eastAsia="en-AU"/>
        </w:rPr>
        <w:t xml:space="preserve"> facility.</w:t>
      </w:r>
    </w:p>
    <w:p w14:paraId="38262DA6" w14:textId="3BD6C246" w:rsidR="003A43B4" w:rsidRPr="00102445" w:rsidRDefault="003A43B4"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Subsection </w:t>
      </w:r>
      <w:r w:rsidR="008560C1" w:rsidRPr="00102445">
        <w:rPr>
          <w:lang w:eastAsia="en-AU"/>
        </w:rPr>
        <w:t>41</w:t>
      </w:r>
      <w:r w:rsidR="00621DA9" w:rsidRPr="00102445">
        <w:rPr>
          <w:lang w:eastAsia="en-AU"/>
        </w:rPr>
        <w:t>(</w:t>
      </w:r>
      <w:r w:rsidRPr="00102445">
        <w:rPr>
          <w:lang w:eastAsia="en-AU"/>
        </w:rPr>
        <w:t>2</w:t>
      </w:r>
      <w:r w:rsidR="00621DA9" w:rsidRPr="00102445">
        <w:rPr>
          <w:lang w:eastAsia="en-AU"/>
        </w:rPr>
        <w:t>)</w:t>
      </w:r>
      <w:r w:rsidR="006522D6" w:rsidRPr="00102445">
        <w:rPr>
          <w:lang w:eastAsia="en-AU"/>
        </w:rPr>
        <w:t xml:space="preserve"> specifies that the Regulator must take all reasonable steps to decide an outcome for an </w:t>
      </w:r>
      <w:r w:rsidR="006522D6" w:rsidRPr="00102445">
        <w:t xml:space="preserve">application </w:t>
      </w:r>
      <w:r w:rsidR="006522D6" w:rsidRPr="00102445">
        <w:rPr>
          <w:lang w:eastAsia="en-AU"/>
        </w:rPr>
        <w:t>before the end of the decision date. The relevant decision date for an application is specified in item 3 of the table found in Section</w:t>
      </w:r>
      <w:r w:rsidR="003104B8" w:rsidRPr="00102445">
        <w:rPr>
          <w:lang w:eastAsia="en-AU"/>
        </w:rPr>
        <w:t> 52</w:t>
      </w:r>
      <w:r w:rsidRPr="00102445">
        <w:rPr>
          <w:lang w:eastAsia="en-AU"/>
        </w:rPr>
        <w:t xml:space="preserve">. </w:t>
      </w:r>
      <w:r w:rsidR="004D56B5" w:rsidRPr="00102445">
        <w:rPr>
          <w:lang w:eastAsia="en-AU"/>
        </w:rPr>
        <w:t>T</w:t>
      </w:r>
      <w:r w:rsidRPr="00102445">
        <w:rPr>
          <w:lang w:eastAsia="en-AU"/>
        </w:rPr>
        <w:t xml:space="preserve">he Regulator receiving appropriate information from the responsible emitter. </w:t>
      </w:r>
      <w:r w:rsidRPr="00102445">
        <w:rPr>
          <w:rFonts w:eastAsia="Times New Roman" w:cs="Times New Roman"/>
          <w:lang w:eastAsia="en-AU"/>
        </w:rPr>
        <w:t xml:space="preserve">The Regulator may request the responsible emitter provide further information relevant to the application. This request should be made in writing and specify a notice period by which the requested information should be provided. </w:t>
      </w:r>
      <w:r w:rsidR="00535C42" w:rsidRPr="00102445">
        <w:rPr>
          <w:rFonts w:eastAsia="Times New Roman" w:cs="Times New Roman"/>
          <w:lang w:eastAsia="en-AU"/>
        </w:rPr>
        <w:t>If the requested information is not provided in the time period specified then the Regulator does not have to consider, or may cease considering</w:t>
      </w:r>
      <w:r w:rsidR="007B6FD6" w:rsidRPr="00102445">
        <w:rPr>
          <w:rFonts w:eastAsia="Times New Roman" w:cs="Times New Roman"/>
          <w:lang w:eastAsia="en-AU"/>
        </w:rPr>
        <w:t>,</w:t>
      </w:r>
      <w:r w:rsidR="00535C42" w:rsidRPr="00102445">
        <w:rPr>
          <w:rFonts w:eastAsia="Times New Roman" w:cs="Times New Roman"/>
          <w:lang w:eastAsia="en-AU"/>
        </w:rPr>
        <w:t xml:space="preserve"> the application. </w:t>
      </w:r>
    </w:p>
    <w:p w14:paraId="39B74B77" w14:textId="2F122439" w:rsidR="00F5767C" w:rsidRPr="00102445" w:rsidRDefault="00BC01A3" w:rsidP="00591A9C">
      <w:pPr>
        <w:pStyle w:val="ListParagraph"/>
        <w:numPr>
          <w:ilvl w:val="0"/>
          <w:numId w:val="2"/>
        </w:numPr>
        <w:shd w:val="clear" w:color="auto" w:fill="FFFFFF" w:themeFill="background1"/>
        <w:spacing w:line="240" w:lineRule="auto"/>
        <w:contextualSpacing w:val="0"/>
        <w:rPr>
          <w:lang w:eastAsia="en-AU"/>
        </w:rPr>
      </w:pPr>
      <w:r w:rsidRPr="00102445">
        <w:rPr>
          <w:rFonts w:eastAsia="Times New Roman" w:cs="Times New Roman"/>
          <w:lang w:eastAsia="en-AU"/>
        </w:rPr>
        <w:t xml:space="preserve">Section </w:t>
      </w:r>
      <w:r w:rsidR="004D56B5" w:rsidRPr="00102445">
        <w:rPr>
          <w:rFonts w:eastAsia="Times New Roman" w:cs="Times New Roman"/>
          <w:lang w:eastAsia="en-AU"/>
        </w:rPr>
        <w:t xml:space="preserve">42 </w:t>
      </w:r>
      <w:r w:rsidRPr="00102445">
        <w:rPr>
          <w:rFonts w:eastAsia="Times New Roman" w:cs="Times New Roman"/>
          <w:lang w:eastAsia="en-AU"/>
        </w:rPr>
        <w:t xml:space="preserve">provides for the Regulator to make a determination that a facility is </w:t>
      </w:r>
      <w:r w:rsidRPr="00102445">
        <w:rPr>
          <w:lang w:eastAsia="en-AU"/>
        </w:rPr>
        <w:t xml:space="preserve">a </w:t>
      </w:r>
      <w:r w:rsidR="00D1200C" w:rsidRPr="00102445">
        <w:rPr>
          <w:lang w:eastAsia="en-AU"/>
        </w:rPr>
        <w:t>trade-exposed baseline-adjusted</w:t>
      </w:r>
      <w:r w:rsidRPr="00102445">
        <w:rPr>
          <w:lang w:eastAsia="en-AU"/>
        </w:rPr>
        <w:t xml:space="preserve"> facility.</w:t>
      </w:r>
    </w:p>
    <w:p w14:paraId="66F0CA17" w14:textId="6604794B" w:rsidR="00BC01A3" w:rsidRPr="00102445" w:rsidRDefault="00BC01A3"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The Regulator must only make a determination if </w:t>
      </w:r>
      <w:r w:rsidR="009F4770" w:rsidRPr="00102445">
        <w:rPr>
          <w:lang w:eastAsia="en-AU"/>
        </w:rPr>
        <w:t>it is</w:t>
      </w:r>
      <w:r w:rsidR="005C370C" w:rsidRPr="00102445">
        <w:rPr>
          <w:lang w:eastAsia="en-AU"/>
        </w:rPr>
        <w:t xml:space="preserve"> reasonably</w:t>
      </w:r>
      <w:r w:rsidR="009F4770" w:rsidRPr="00102445">
        <w:rPr>
          <w:lang w:eastAsia="en-AU"/>
        </w:rPr>
        <w:t xml:space="preserve"> satisfied that </w:t>
      </w:r>
      <w:r w:rsidRPr="00102445">
        <w:rPr>
          <w:lang w:eastAsia="en-AU"/>
        </w:rPr>
        <w:t xml:space="preserve">the conditions laid out in </w:t>
      </w:r>
      <w:r w:rsidR="00F07C69" w:rsidRPr="00102445">
        <w:rPr>
          <w:lang w:eastAsia="en-AU"/>
        </w:rPr>
        <w:t>paragraph</w:t>
      </w:r>
      <w:r w:rsidRPr="00102445">
        <w:rPr>
          <w:lang w:eastAsia="en-AU"/>
        </w:rPr>
        <w:t xml:space="preserve"> </w:t>
      </w:r>
      <w:r w:rsidR="004D56B5" w:rsidRPr="00102445">
        <w:rPr>
          <w:lang w:eastAsia="en-AU"/>
        </w:rPr>
        <w:t>42(</w:t>
      </w:r>
      <w:r w:rsidRPr="00102445">
        <w:rPr>
          <w:lang w:eastAsia="en-AU"/>
        </w:rPr>
        <w:t>2</w:t>
      </w:r>
      <w:r w:rsidR="004D56B5" w:rsidRPr="00102445">
        <w:rPr>
          <w:lang w:eastAsia="en-AU"/>
        </w:rPr>
        <w:t>)</w:t>
      </w:r>
      <w:r w:rsidRPr="00102445">
        <w:rPr>
          <w:lang w:eastAsia="en-AU"/>
        </w:rPr>
        <w:t>(a) are met</w:t>
      </w:r>
      <w:r w:rsidR="00C123CB" w:rsidRPr="00102445">
        <w:rPr>
          <w:lang w:eastAsia="en-AU"/>
        </w:rPr>
        <w:t xml:space="preserve">, </w:t>
      </w:r>
      <w:r w:rsidR="00851FAF" w:rsidRPr="00102445">
        <w:rPr>
          <w:lang w:eastAsia="en-AU"/>
        </w:rPr>
        <w:t>including that</w:t>
      </w:r>
      <w:r w:rsidR="00C123CB" w:rsidRPr="00102445">
        <w:rPr>
          <w:lang w:eastAsia="en-AU"/>
        </w:rPr>
        <w:t xml:space="preserve"> the </w:t>
      </w:r>
      <w:r w:rsidR="00F3307E" w:rsidRPr="00102445">
        <w:rPr>
          <w:lang w:eastAsia="en-AU"/>
        </w:rPr>
        <w:t>information provided in the application is correct, the</w:t>
      </w:r>
      <w:r w:rsidR="000C47A2" w:rsidRPr="00102445">
        <w:rPr>
          <w:lang w:eastAsia="en-AU"/>
        </w:rPr>
        <w:t xml:space="preserve"> first financial year is not subject to a</w:t>
      </w:r>
      <w:r w:rsidR="00703B59" w:rsidRPr="00102445">
        <w:rPr>
          <w:lang w:eastAsia="en-AU"/>
        </w:rPr>
        <w:t xml:space="preserve"> borrowing adjustment </w:t>
      </w:r>
      <w:r w:rsidR="000C47A2" w:rsidRPr="00102445">
        <w:rPr>
          <w:lang w:eastAsia="en-AU"/>
        </w:rPr>
        <w:t xml:space="preserve">or included in a multi-year </w:t>
      </w:r>
      <w:r w:rsidR="00604A11" w:rsidRPr="00102445">
        <w:rPr>
          <w:lang w:eastAsia="en-AU"/>
        </w:rPr>
        <w:t xml:space="preserve">monitoring period, </w:t>
      </w:r>
      <w:r w:rsidR="00F975B3" w:rsidRPr="00102445">
        <w:rPr>
          <w:lang w:eastAsia="en-AU"/>
        </w:rPr>
        <w:t>the covered emissions</w:t>
      </w:r>
      <w:r w:rsidR="001B3FC0" w:rsidRPr="00102445">
        <w:rPr>
          <w:lang w:eastAsia="en-AU"/>
        </w:rPr>
        <w:t xml:space="preserve"> in the first financial year</w:t>
      </w:r>
      <w:r w:rsidR="00F975B3" w:rsidRPr="00102445">
        <w:rPr>
          <w:lang w:eastAsia="en-AU"/>
        </w:rPr>
        <w:t xml:space="preserve"> are greater than the hypothetical baseline</w:t>
      </w:r>
      <w:r w:rsidR="001B3FC0" w:rsidRPr="00102445">
        <w:rPr>
          <w:lang w:eastAsia="en-AU"/>
        </w:rPr>
        <w:t xml:space="preserve">, </w:t>
      </w:r>
      <w:r w:rsidR="00EA77C1" w:rsidRPr="00102445">
        <w:rPr>
          <w:lang w:eastAsia="en-AU"/>
        </w:rPr>
        <w:t xml:space="preserve">the facility’s covered emissions were not artificially increased for the sole or substantial purpose of favourably influencing the outcome of the determination, </w:t>
      </w:r>
      <w:r w:rsidR="00D827E5" w:rsidRPr="00102445">
        <w:rPr>
          <w:lang w:eastAsia="en-AU"/>
        </w:rPr>
        <w:t xml:space="preserve">the primary production variable is </w:t>
      </w:r>
      <w:r w:rsidR="00D949C0" w:rsidRPr="00102445">
        <w:rPr>
          <w:lang w:eastAsia="en-AU"/>
        </w:rPr>
        <w:t xml:space="preserve">trade-exposed, </w:t>
      </w:r>
      <w:r w:rsidR="0017642C" w:rsidRPr="00102445">
        <w:rPr>
          <w:lang w:eastAsia="en-AU"/>
        </w:rPr>
        <w:t xml:space="preserve">the </w:t>
      </w:r>
      <w:r w:rsidR="00C123CB" w:rsidRPr="00102445">
        <w:rPr>
          <w:lang w:eastAsia="en-AU"/>
        </w:rPr>
        <w:t xml:space="preserve">cost impact </w:t>
      </w:r>
      <w:r w:rsidR="006E20C3" w:rsidRPr="00102445">
        <w:rPr>
          <w:lang w:eastAsia="en-AU"/>
        </w:rPr>
        <w:t>is greater than the material cost impact threshold</w:t>
      </w:r>
      <w:r w:rsidR="003135A9" w:rsidRPr="00102445">
        <w:rPr>
          <w:lang w:eastAsia="en-AU"/>
        </w:rPr>
        <w:t>,</w:t>
      </w:r>
      <w:r w:rsidRPr="00102445">
        <w:rPr>
          <w:lang w:eastAsia="en-AU"/>
        </w:rPr>
        <w:t xml:space="preserve"> and the accompanying audit report includes</w:t>
      </w:r>
      <w:r w:rsidR="009F4770" w:rsidRPr="00102445">
        <w:rPr>
          <w:lang w:eastAsia="en-AU"/>
        </w:rPr>
        <w:t xml:space="preserve"> a reasonable or qualified reasonable assurance conclusion for each of the matters specified in subsection </w:t>
      </w:r>
      <w:r w:rsidR="004D56B5" w:rsidRPr="00102445">
        <w:rPr>
          <w:lang w:eastAsia="en-AU"/>
        </w:rPr>
        <w:t>40</w:t>
      </w:r>
      <w:r w:rsidR="009F4770" w:rsidRPr="00102445">
        <w:rPr>
          <w:lang w:eastAsia="en-AU"/>
        </w:rPr>
        <w:t xml:space="preserve">(3). </w:t>
      </w:r>
    </w:p>
    <w:p w14:paraId="7FF75760" w14:textId="2866B055" w:rsidR="00FF2039" w:rsidRPr="00102445" w:rsidRDefault="00FF2039"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Paragraph 42(2)(a) also requires the Regulator to have regard to any EBIT Guidelines in force at the </w:t>
      </w:r>
      <w:r w:rsidR="006F2E83" w:rsidRPr="00102445">
        <w:rPr>
          <w:lang w:eastAsia="en-AU"/>
        </w:rPr>
        <w:t xml:space="preserve">end of the first financial year. </w:t>
      </w:r>
      <w:r w:rsidR="00222321" w:rsidRPr="00102445">
        <w:rPr>
          <w:lang w:eastAsia="en-AU"/>
        </w:rPr>
        <w:t xml:space="preserve">It is appropriate for </w:t>
      </w:r>
      <w:r w:rsidR="00A5013F" w:rsidRPr="00102445">
        <w:rPr>
          <w:lang w:eastAsia="en-AU"/>
        </w:rPr>
        <w:t xml:space="preserve">the version of the EBIT Guidelines in force at the end of the first financial year to be considered because such an approach can be consistent with accounting standards and take account of feedback from </w:t>
      </w:r>
      <w:r w:rsidR="00C16DFC" w:rsidRPr="00102445">
        <w:rPr>
          <w:lang w:eastAsia="en-AU"/>
        </w:rPr>
        <w:t>relevant stakeholders.</w:t>
      </w:r>
    </w:p>
    <w:p w14:paraId="3F6FADEF" w14:textId="4F7A4DCA" w:rsidR="00991E2B" w:rsidRPr="00102445" w:rsidRDefault="006417D8"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lastRenderedPageBreak/>
        <w:t>Subsections</w:t>
      </w:r>
      <w:r w:rsidR="004D56B5" w:rsidRPr="00102445">
        <w:rPr>
          <w:lang w:eastAsia="en-AU"/>
        </w:rPr>
        <w:t xml:space="preserve"> 42</w:t>
      </w:r>
      <w:r w:rsidR="00895D3D" w:rsidRPr="00102445">
        <w:rPr>
          <w:lang w:eastAsia="en-AU"/>
        </w:rPr>
        <w:t>(</w:t>
      </w:r>
      <w:r w:rsidR="008F39C6" w:rsidRPr="00102445">
        <w:rPr>
          <w:lang w:eastAsia="en-AU"/>
        </w:rPr>
        <w:t>3</w:t>
      </w:r>
      <w:r w:rsidR="00135E32" w:rsidRPr="00102445">
        <w:rPr>
          <w:lang w:eastAsia="en-AU"/>
        </w:rPr>
        <w:t>)</w:t>
      </w:r>
      <w:r w:rsidR="00114D67" w:rsidRPr="00102445">
        <w:rPr>
          <w:lang w:eastAsia="en-AU"/>
        </w:rPr>
        <w:t xml:space="preserve"> and 42</w:t>
      </w:r>
      <w:r w:rsidR="00135E32" w:rsidRPr="00102445">
        <w:rPr>
          <w:lang w:eastAsia="en-AU"/>
        </w:rPr>
        <w:t>(</w:t>
      </w:r>
      <w:r w:rsidR="00114D67" w:rsidRPr="00102445">
        <w:rPr>
          <w:lang w:eastAsia="en-AU"/>
        </w:rPr>
        <w:t>4</w:t>
      </w:r>
      <w:r w:rsidR="00895D3D" w:rsidRPr="00102445">
        <w:rPr>
          <w:lang w:eastAsia="en-AU"/>
        </w:rPr>
        <w:t xml:space="preserve">) </w:t>
      </w:r>
      <w:r w:rsidR="00C85200" w:rsidRPr="00102445">
        <w:rPr>
          <w:lang w:eastAsia="en-AU"/>
        </w:rPr>
        <w:t xml:space="preserve">set out further requirements for a </w:t>
      </w:r>
      <w:r w:rsidR="00D1200C" w:rsidRPr="00102445">
        <w:rPr>
          <w:lang w:eastAsia="en-AU"/>
        </w:rPr>
        <w:t>trade-exposed baseline-adjusted</w:t>
      </w:r>
      <w:r w:rsidR="00C85200" w:rsidRPr="00102445">
        <w:rPr>
          <w:lang w:eastAsia="en-AU"/>
        </w:rPr>
        <w:t xml:space="preserve"> determination </w:t>
      </w:r>
      <w:r w:rsidR="00B63FB3" w:rsidRPr="00102445">
        <w:rPr>
          <w:lang w:eastAsia="en-AU"/>
        </w:rPr>
        <w:t xml:space="preserve">including </w:t>
      </w:r>
      <w:r w:rsidR="0008763F" w:rsidRPr="00102445">
        <w:rPr>
          <w:lang w:eastAsia="en-AU"/>
        </w:rPr>
        <w:t>that it must be made in writing</w:t>
      </w:r>
      <w:r w:rsidR="00584E6A" w:rsidRPr="00102445">
        <w:rPr>
          <w:lang w:eastAsia="en-AU"/>
        </w:rPr>
        <w:t xml:space="preserve">, start on the </w:t>
      </w:r>
      <w:r w:rsidR="002163E3" w:rsidRPr="00102445">
        <w:rPr>
          <w:lang w:eastAsia="en-AU"/>
        </w:rPr>
        <w:t xml:space="preserve">first day of the first financial year, and specify the emissions reduction contribution numbers for the three </w:t>
      </w:r>
      <w:r w:rsidR="00D22377" w:rsidRPr="00102445">
        <w:rPr>
          <w:lang w:eastAsia="en-AU"/>
        </w:rPr>
        <w:t xml:space="preserve">years of the </w:t>
      </w:r>
      <w:r w:rsidR="00D1200C" w:rsidRPr="00102445">
        <w:rPr>
          <w:lang w:eastAsia="en-AU"/>
        </w:rPr>
        <w:t>trade-exposed baseline-adjusted</w:t>
      </w:r>
      <w:r w:rsidR="00D22377" w:rsidRPr="00102445">
        <w:rPr>
          <w:lang w:eastAsia="en-AU"/>
        </w:rPr>
        <w:t xml:space="preserve"> determination.</w:t>
      </w:r>
    </w:p>
    <w:p w14:paraId="2BA21BA3" w14:textId="058990C3" w:rsidR="004044BD" w:rsidRPr="00102445" w:rsidRDefault="004044BD"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Subsection </w:t>
      </w:r>
      <w:r w:rsidR="004D56B5" w:rsidRPr="00102445">
        <w:rPr>
          <w:lang w:eastAsia="en-AU"/>
        </w:rPr>
        <w:t>42</w:t>
      </w:r>
      <w:r w:rsidRPr="00102445">
        <w:rPr>
          <w:lang w:eastAsia="en-AU"/>
        </w:rPr>
        <w:t>(</w:t>
      </w:r>
      <w:r w:rsidR="00114D67" w:rsidRPr="00102445">
        <w:rPr>
          <w:lang w:eastAsia="en-AU"/>
        </w:rPr>
        <w:t>5</w:t>
      </w:r>
      <w:r w:rsidRPr="00102445">
        <w:rPr>
          <w:lang w:eastAsia="en-AU"/>
        </w:rPr>
        <w:t xml:space="preserve">) </w:t>
      </w:r>
      <w:r w:rsidR="008C374C" w:rsidRPr="00102445">
        <w:rPr>
          <w:lang w:eastAsia="en-AU"/>
        </w:rPr>
        <w:t xml:space="preserve">provides that the Regulator must notify the applicant </w:t>
      </w:r>
      <w:r w:rsidR="00FA1DD6" w:rsidRPr="00102445">
        <w:rPr>
          <w:lang w:eastAsia="en-AU"/>
        </w:rPr>
        <w:t xml:space="preserve">if it makes a determination, </w:t>
      </w:r>
      <w:r w:rsidR="008C374C" w:rsidRPr="00102445">
        <w:rPr>
          <w:lang w:eastAsia="en-AU"/>
        </w:rPr>
        <w:t xml:space="preserve">and publish the </w:t>
      </w:r>
      <w:r w:rsidR="0002481C" w:rsidRPr="00102445">
        <w:rPr>
          <w:lang w:eastAsia="en-AU"/>
        </w:rPr>
        <w:t>determination</w:t>
      </w:r>
      <w:r w:rsidR="00C5174D" w:rsidRPr="00102445">
        <w:rPr>
          <w:lang w:eastAsia="en-AU"/>
        </w:rPr>
        <w:t>.</w:t>
      </w:r>
    </w:p>
    <w:p w14:paraId="7D2F5ADE" w14:textId="0A910265" w:rsidR="00E72293" w:rsidRPr="00102445" w:rsidRDefault="00E72293"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Subsection </w:t>
      </w:r>
      <w:r w:rsidR="00970BBB" w:rsidRPr="00102445">
        <w:rPr>
          <w:lang w:eastAsia="en-AU"/>
        </w:rPr>
        <w:t>42</w:t>
      </w:r>
      <w:r w:rsidRPr="00102445">
        <w:rPr>
          <w:lang w:eastAsia="en-AU"/>
        </w:rPr>
        <w:t>(</w:t>
      </w:r>
      <w:r w:rsidR="00114D67" w:rsidRPr="00102445">
        <w:rPr>
          <w:lang w:eastAsia="en-AU"/>
        </w:rPr>
        <w:t>6</w:t>
      </w:r>
      <w:r w:rsidRPr="00102445">
        <w:rPr>
          <w:lang w:eastAsia="en-AU"/>
        </w:rPr>
        <w:t xml:space="preserve">) provides that </w:t>
      </w:r>
      <w:r w:rsidR="00FF165C" w:rsidRPr="00102445">
        <w:rPr>
          <w:lang w:eastAsia="en-AU"/>
        </w:rPr>
        <w:t xml:space="preserve">if </w:t>
      </w:r>
      <w:r w:rsidRPr="00102445">
        <w:rPr>
          <w:lang w:eastAsia="en-AU"/>
        </w:rPr>
        <w:t xml:space="preserve">the Regulator </w:t>
      </w:r>
      <w:r w:rsidR="00FF165C" w:rsidRPr="00102445">
        <w:rPr>
          <w:lang w:eastAsia="en-AU"/>
        </w:rPr>
        <w:t xml:space="preserve">decides to refuse to make a </w:t>
      </w:r>
      <w:r w:rsidR="00D1200C" w:rsidRPr="00102445">
        <w:rPr>
          <w:lang w:eastAsia="en-AU"/>
        </w:rPr>
        <w:t>trade-exposed baseline-adjusted</w:t>
      </w:r>
      <w:r w:rsidR="00FF165C" w:rsidRPr="00102445">
        <w:rPr>
          <w:lang w:eastAsia="en-AU"/>
        </w:rPr>
        <w:t xml:space="preserve"> determination, the Regulator </w:t>
      </w:r>
      <w:r w:rsidRPr="00102445">
        <w:rPr>
          <w:lang w:eastAsia="en-AU"/>
        </w:rPr>
        <w:t xml:space="preserve">must </w:t>
      </w:r>
      <w:r w:rsidR="007D0E56" w:rsidRPr="00102445">
        <w:rPr>
          <w:lang w:eastAsia="en-AU"/>
        </w:rPr>
        <w:t xml:space="preserve">give written notice </w:t>
      </w:r>
      <w:r w:rsidR="001C1063" w:rsidRPr="00102445">
        <w:rPr>
          <w:lang w:eastAsia="en-AU"/>
        </w:rPr>
        <w:t xml:space="preserve">of the decision and include reasons for the decision to the </w:t>
      </w:r>
      <w:r w:rsidRPr="00102445">
        <w:rPr>
          <w:lang w:eastAsia="en-AU"/>
        </w:rPr>
        <w:t>applicant.</w:t>
      </w:r>
    </w:p>
    <w:p w14:paraId="6A84AE31" w14:textId="2A7AEE44" w:rsidR="00E72293" w:rsidRPr="00102445" w:rsidRDefault="001C1063"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Subsection </w:t>
      </w:r>
      <w:r w:rsidR="00114D67" w:rsidRPr="00102445">
        <w:rPr>
          <w:lang w:eastAsia="en-AU"/>
        </w:rPr>
        <w:t>42</w:t>
      </w:r>
      <w:r w:rsidR="00441A6B" w:rsidRPr="00102445">
        <w:rPr>
          <w:lang w:eastAsia="en-AU"/>
        </w:rPr>
        <w:t>(</w:t>
      </w:r>
      <w:r w:rsidR="00114D67" w:rsidRPr="00102445">
        <w:rPr>
          <w:lang w:eastAsia="en-AU"/>
        </w:rPr>
        <w:t>7</w:t>
      </w:r>
      <w:r w:rsidR="00441A6B" w:rsidRPr="00102445">
        <w:rPr>
          <w:lang w:eastAsia="en-AU"/>
        </w:rPr>
        <w:t xml:space="preserve">) </w:t>
      </w:r>
      <w:r w:rsidR="0073544B" w:rsidRPr="00102445">
        <w:rPr>
          <w:lang w:eastAsia="en-AU"/>
        </w:rPr>
        <w:t xml:space="preserve">ensures that </w:t>
      </w:r>
      <w:r w:rsidR="00114D67" w:rsidRPr="00102445">
        <w:rPr>
          <w:lang w:eastAsia="en-AU"/>
        </w:rPr>
        <w:t>this section</w:t>
      </w:r>
      <w:r w:rsidR="008F3C7D" w:rsidRPr="00102445">
        <w:rPr>
          <w:lang w:eastAsia="en-AU"/>
        </w:rPr>
        <w:t xml:space="preserve"> has effect </w:t>
      </w:r>
      <w:r w:rsidR="00980C2F" w:rsidRPr="00102445">
        <w:rPr>
          <w:lang w:eastAsia="en-AU"/>
        </w:rPr>
        <w:t xml:space="preserve">subject to </w:t>
      </w:r>
      <w:r w:rsidR="000C56D1" w:rsidRPr="00102445">
        <w:rPr>
          <w:lang w:eastAsia="en-AU"/>
        </w:rPr>
        <w:t>a revocation</w:t>
      </w:r>
      <w:r w:rsidR="008D3C31" w:rsidRPr="00102445">
        <w:rPr>
          <w:lang w:eastAsia="en-AU"/>
        </w:rPr>
        <w:t xml:space="preserve"> of </w:t>
      </w:r>
      <w:r w:rsidR="00D1200C" w:rsidRPr="00102445">
        <w:rPr>
          <w:lang w:eastAsia="en-AU"/>
        </w:rPr>
        <w:t>trade-exposed baseline-adjusted</w:t>
      </w:r>
      <w:r w:rsidR="008D3C31" w:rsidRPr="00102445">
        <w:rPr>
          <w:lang w:eastAsia="en-AU"/>
        </w:rPr>
        <w:t xml:space="preserve"> determination</w:t>
      </w:r>
      <w:r w:rsidR="000C56D1" w:rsidRPr="00102445">
        <w:rPr>
          <w:lang w:eastAsia="en-AU"/>
        </w:rPr>
        <w:t xml:space="preserve"> at the request of </w:t>
      </w:r>
      <w:r w:rsidR="008D3C31" w:rsidRPr="00102445">
        <w:rPr>
          <w:lang w:eastAsia="en-AU"/>
        </w:rPr>
        <w:t>a responsible emitter</w:t>
      </w:r>
      <w:r w:rsidR="00981ED7" w:rsidRPr="00102445">
        <w:rPr>
          <w:lang w:eastAsia="en-AU"/>
        </w:rPr>
        <w:t xml:space="preserve">, as given in </w:t>
      </w:r>
      <w:r w:rsidR="005C7F25" w:rsidRPr="00102445">
        <w:rPr>
          <w:lang w:eastAsia="en-AU"/>
        </w:rPr>
        <w:t xml:space="preserve">section </w:t>
      </w:r>
      <w:r w:rsidR="00114D67" w:rsidRPr="00102445">
        <w:rPr>
          <w:lang w:eastAsia="en-AU"/>
        </w:rPr>
        <w:t>46</w:t>
      </w:r>
      <w:r w:rsidR="005C7F25" w:rsidRPr="00102445">
        <w:rPr>
          <w:lang w:eastAsia="en-AU"/>
        </w:rPr>
        <w:t>.</w:t>
      </w:r>
    </w:p>
    <w:p w14:paraId="479B7E06" w14:textId="4913681E" w:rsidR="00167CCE" w:rsidRPr="00102445" w:rsidRDefault="00167CCE"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Section </w:t>
      </w:r>
      <w:r w:rsidR="00114D67" w:rsidRPr="00102445">
        <w:rPr>
          <w:lang w:eastAsia="en-AU"/>
        </w:rPr>
        <w:t xml:space="preserve">43 </w:t>
      </w:r>
      <w:r w:rsidR="002533CD" w:rsidRPr="00102445">
        <w:rPr>
          <w:lang w:eastAsia="en-AU"/>
        </w:rPr>
        <w:t xml:space="preserve">provides for the </w:t>
      </w:r>
      <w:r w:rsidR="006127A3" w:rsidRPr="00102445">
        <w:rPr>
          <w:lang w:eastAsia="en-AU"/>
        </w:rPr>
        <w:t>R</w:t>
      </w:r>
      <w:r w:rsidR="002533CD" w:rsidRPr="00102445">
        <w:rPr>
          <w:lang w:eastAsia="en-AU"/>
        </w:rPr>
        <w:t xml:space="preserve">egulator to </w:t>
      </w:r>
      <w:r w:rsidR="009878A4" w:rsidRPr="00102445">
        <w:rPr>
          <w:lang w:eastAsia="en-AU"/>
        </w:rPr>
        <w:t xml:space="preserve">make a </w:t>
      </w:r>
      <w:r w:rsidR="00D1200C" w:rsidRPr="00102445">
        <w:rPr>
          <w:lang w:eastAsia="en-AU"/>
        </w:rPr>
        <w:t>trade-exposed baseline-adjusted</w:t>
      </w:r>
      <w:r w:rsidR="009878A4" w:rsidRPr="00102445">
        <w:rPr>
          <w:lang w:eastAsia="en-AU"/>
        </w:rPr>
        <w:t xml:space="preserve"> determination </w:t>
      </w:r>
      <w:r w:rsidR="00D6445B" w:rsidRPr="00102445">
        <w:rPr>
          <w:lang w:eastAsia="en-AU"/>
        </w:rPr>
        <w:t xml:space="preserve">that commences </w:t>
      </w:r>
      <w:r w:rsidR="001E44DF" w:rsidRPr="00102445">
        <w:rPr>
          <w:lang w:eastAsia="en-AU"/>
        </w:rPr>
        <w:t>while</w:t>
      </w:r>
      <w:r w:rsidR="00EF4E96" w:rsidRPr="00102445">
        <w:rPr>
          <w:lang w:eastAsia="en-AU"/>
        </w:rPr>
        <w:t xml:space="preserve"> another determination</w:t>
      </w:r>
      <w:r w:rsidR="001E44DF" w:rsidRPr="00102445">
        <w:rPr>
          <w:lang w:eastAsia="en-AU"/>
        </w:rPr>
        <w:t xml:space="preserve"> is in force, </w:t>
      </w:r>
      <w:r w:rsidR="006127A3" w:rsidRPr="00102445">
        <w:rPr>
          <w:lang w:eastAsia="en-AU"/>
        </w:rPr>
        <w:t xml:space="preserve">requiring the Regulator to revoke the superseded determination. </w:t>
      </w:r>
    </w:p>
    <w:p w14:paraId="6ED2C9A4" w14:textId="68D6FC95" w:rsidR="007E30E3" w:rsidRPr="00102445" w:rsidRDefault="00435D74"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Section </w:t>
      </w:r>
      <w:r w:rsidR="00114D67" w:rsidRPr="00102445">
        <w:rPr>
          <w:lang w:eastAsia="en-AU"/>
        </w:rPr>
        <w:t xml:space="preserve">44 </w:t>
      </w:r>
      <w:r w:rsidRPr="00102445">
        <w:rPr>
          <w:lang w:eastAsia="en-AU"/>
        </w:rPr>
        <w:t xml:space="preserve">provides for the Regulator to vary a current </w:t>
      </w:r>
      <w:r w:rsidR="00D1200C" w:rsidRPr="00102445">
        <w:rPr>
          <w:lang w:eastAsia="en-AU"/>
        </w:rPr>
        <w:t>trade-exposed baseline-adjusted</w:t>
      </w:r>
      <w:r w:rsidR="00DF3D6C" w:rsidRPr="00102445">
        <w:rPr>
          <w:lang w:eastAsia="en-AU"/>
        </w:rPr>
        <w:t xml:space="preserve"> </w:t>
      </w:r>
      <w:r w:rsidRPr="00102445">
        <w:rPr>
          <w:lang w:eastAsia="en-AU"/>
        </w:rPr>
        <w:t>determination in certain circumstances</w:t>
      </w:r>
      <w:r w:rsidR="005135FA" w:rsidRPr="00102445">
        <w:rPr>
          <w:lang w:eastAsia="en-AU"/>
        </w:rPr>
        <w:t>, on the initiative of the R</w:t>
      </w:r>
      <w:r w:rsidR="0009627B" w:rsidRPr="00102445">
        <w:rPr>
          <w:lang w:eastAsia="en-AU"/>
        </w:rPr>
        <w:t>e</w:t>
      </w:r>
      <w:r w:rsidR="005135FA" w:rsidRPr="00102445">
        <w:rPr>
          <w:lang w:eastAsia="en-AU"/>
        </w:rPr>
        <w:t>gula</w:t>
      </w:r>
      <w:r w:rsidR="0009627B" w:rsidRPr="00102445">
        <w:rPr>
          <w:lang w:eastAsia="en-AU"/>
        </w:rPr>
        <w:t>tor</w:t>
      </w:r>
      <w:r w:rsidRPr="00102445">
        <w:rPr>
          <w:lang w:eastAsia="en-AU"/>
        </w:rPr>
        <w:t xml:space="preserve">. The Regulator may vary the determination if it is satisfied that the </w:t>
      </w:r>
      <w:r w:rsidR="00CB6DA7" w:rsidRPr="00102445">
        <w:rPr>
          <w:lang w:eastAsia="en-AU"/>
        </w:rPr>
        <w:t xml:space="preserve">assessed cost impact </w:t>
      </w:r>
      <w:r w:rsidRPr="00102445">
        <w:rPr>
          <w:lang w:eastAsia="en-AU"/>
        </w:rPr>
        <w:t xml:space="preserve">was incorrectly calculated or information provided to the Regulator in relation to the </w:t>
      </w:r>
      <w:r w:rsidR="00E9385F" w:rsidRPr="00102445">
        <w:rPr>
          <w:lang w:eastAsia="en-AU"/>
        </w:rPr>
        <w:t xml:space="preserve">determination </w:t>
      </w:r>
      <w:r w:rsidRPr="00102445">
        <w:rPr>
          <w:lang w:eastAsia="en-AU"/>
        </w:rPr>
        <w:t>application was false or misleading</w:t>
      </w:r>
      <w:r w:rsidR="000174F7" w:rsidRPr="00102445">
        <w:rPr>
          <w:lang w:eastAsia="en-AU"/>
        </w:rPr>
        <w:t xml:space="preserve"> in a way that is </w:t>
      </w:r>
      <w:r w:rsidR="0041621E" w:rsidRPr="00102445">
        <w:rPr>
          <w:lang w:eastAsia="en-AU"/>
        </w:rPr>
        <w:t xml:space="preserve">significant or has </w:t>
      </w:r>
      <w:r w:rsidR="000174F7" w:rsidRPr="00102445">
        <w:rPr>
          <w:lang w:eastAsia="en-AU"/>
        </w:rPr>
        <w:t>material</w:t>
      </w:r>
      <w:r w:rsidR="0041621E" w:rsidRPr="00102445">
        <w:rPr>
          <w:lang w:eastAsia="en-AU"/>
        </w:rPr>
        <w:t xml:space="preserve"> consequence</w:t>
      </w:r>
      <w:r w:rsidRPr="00102445">
        <w:rPr>
          <w:lang w:eastAsia="en-AU"/>
        </w:rPr>
        <w:t xml:space="preserve">. This measure ensures there is recourse should it be found that a determination that a facility is </w:t>
      </w:r>
      <w:r w:rsidR="00D1200C" w:rsidRPr="00102445">
        <w:rPr>
          <w:lang w:eastAsia="en-AU"/>
        </w:rPr>
        <w:t>trade-exposed baseline-adjusted</w:t>
      </w:r>
      <w:r w:rsidRPr="00102445">
        <w:rPr>
          <w:lang w:eastAsia="en-AU"/>
        </w:rPr>
        <w:t xml:space="preserve"> should not have been given, and gives certainty that the Regulator can only vary a determination of this type in specific circumstances. The Regulator must notify the responsible emitter in writing if they propose to vary the determination that a facility is a </w:t>
      </w:r>
      <w:r w:rsidR="00D1200C" w:rsidRPr="00102445">
        <w:rPr>
          <w:lang w:eastAsia="en-AU"/>
        </w:rPr>
        <w:t>trade-exposed baseline-adjusted</w:t>
      </w:r>
      <w:r w:rsidRPr="00102445">
        <w:rPr>
          <w:lang w:eastAsia="en-AU"/>
        </w:rPr>
        <w:t xml:space="preserve"> facility. The notice must invite a written response within a specified time period and include the proposed new emissions reduction contribution for the facility for the 3 years of the determination. Within 30 days after the period specified in the notice the Regulator must consider any response from the responsible emitter and make a decision in relation to the proposed variation of the determination, even if no response is received. </w:t>
      </w:r>
      <w:r w:rsidRPr="00102445">
        <w:rPr>
          <w:rFonts w:eastAsia="Times New Roman" w:cs="Times New Roman"/>
          <w:lang w:eastAsia="en-AU"/>
        </w:rPr>
        <w:t xml:space="preserve">The Regulator must notify the relevant responsible emitter of their decision in relation to the variation in writing. If the Regulator makes the variation, they must include reasons for their decision in their notification and publish the varied determination on the Regulator’s website. </w:t>
      </w:r>
    </w:p>
    <w:p w14:paraId="005A5E4A" w14:textId="1AA4D6E5" w:rsidR="008D1559" w:rsidRPr="00102445" w:rsidRDefault="008D1559"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Section </w:t>
      </w:r>
      <w:r w:rsidR="00114D67" w:rsidRPr="00102445">
        <w:rPr>
          <w:lang w:eastAsia="en-AU"/>
        </w:rPr>
        <w:t>45</w:t>
      </w:r>
      <w:r w:rsidRPr="00102445">
        <w:rPr>
          <w:lang w:eastAsia="en-AU"/>
        </w:rPr>
        <w:t xml:space="preserve"> provides for the Regulator to </w:t>
      </w:r>
      <w:r w:rsidR="00C03742" w:rsidRPr="00102445">
        <w:rPr>
          <w:lang w:eastAsia="en-AU"/>
        </w:rPr>
        <w:t>revoke</w:t>
      </w:r>
      <w:r w:rsidR="00F635C6" w:rsidRPr="00102445">
        <w:rPr>
          <w:lang w:eastAsia="en-AU"/>
        </w:rPr>
        <w:t xml:space="preserve"> a current </w:t>
      </w:r>
      <w:r w:rsidR="00D1200C" w:rsidRPr="00102445">
        <w:rPr>
          <w:lang w:eastAsia="en-AU"/>
        </w:rPr>
        <w:t>trade-exposed baseline-adjusted</w:t>
      </w:r>
      <w:r w:rsidR="00F635C6" w:rsidRPr="00102445">
        <w:rPr>
          <w:lang w:eastAsia="en-AU"/>
        </w:rPr>
        <w:t xml:space="preserve"> determination </w:t>
      </w:r>
      <w:r w:rsidR="00DD5934" w:rsidRPr="00102445">
        <w:rPr>
          <w:lang w:eastAsia="en-AU"/>
        </w:rPr>
        <w:t>at the</w:t>
      </w:r>
      <w:r w:rsidR="002220C1" w:rsidRPr="00102445">
        <w:rPr>
          <w:lang w:eastAsia="en-AU"/>
        </w:rPr>
        <w:t xml:space="preserve"> request of the responsible emitter. </w:t>
      </w:r>
      <w:r w:rsidR="00833725" w:rsidRPr="00102445">
        <w:rPr>
          <w:lang w:eastAsia="en-AU"/>
        </w:rPr>
        <w:t xml:space="preserve">This provision </w:t>
      </w:r>
      <w:r w:rsidR="00B449EA" w:rsidRPr="00102445">
        <w:rPr>
          <w:lang w:eastAsia="en-AU"/>
        </w:rPr>
        <w:t>allows</w:t>
      </w:r>
      <w:r w:rsidR="001C1468" w:rsidRPr="00102445">
        <w:rPr>
          <w:lang w:eastAsia="en-AU"/>
        </w:rPr>
        <w:t xml:space="preserve"> </w:t>
      </w:r>
      <w:r w:rsidR="00833725" w:rsidRPr="00102445">
        <w:rPr>
          <w:lang w:eastAsia="en-AU"/>
        </w:rPr>
        <w:t xml:space="preserve">a </w:t>
      </w:r>
      <w:r w:rsidR="00D1200C" w:rsidRPr="00102445">
        <w:rPr>
          <w:lang w:eastAsia="en-AU"/>
        </w:rPr>
        <w:t>trade-exposed baseline-adjusted</w:t>
      </w:r>
      <w:r w:rsidR="001C1468" w:rsidRPr="00102445">
        <w:rPr>
          <w:lang w:eastAsia="en-AU"/>
        </w:rPr>
        <w:t xml:space="preserve"> determination to be revoked if the </w:t>
      </w:r>
      <w:r w:rsidR="00833725" w:rsidRPr="00102445">
        <w:rPr>
          <w:lang w:eastAsia="en-AU"/>
        </w:rPr>
        <w:t xml:space="preserve">responsible emitter </w:t>
      </w:r>
      <w:r w:rsidR="00C12820" w:rsidRPr="00102445">
        <w:rPr>
          <w:lang w:eastAsia="en-AU"/>
        </w:rPr>
        <w:t xml:space="preserve">intends that the </w:t>
      </w:r>
      <w:r w:rsidR="009445F1" w:rsidRPr="00102445">
        <w:rPr>
          <w:lang w:eastAsia="en-AU"/>
        </w:rPr>
        <w:t>facility should be</w:t>
      </w:r>
      <w:r w:rsidR="0046248E" w:rsidRPr="00102445">
        <w:rPr>
          <w:lang w:eastAsia="en-AU"/>
        </w:rPr>
        <w:t xml:space="preserve"> considered a regular facility</w:t>
      </w:r>
      <w:r w:rsidR="00143684" w:rsidRPr="00102445">
        <w:rPr>
          <w:lang w:eastAsia="en-AU"/>
        </w:rPr>
        <w:t xml:space="preserve"> </w:t>
      </w:r>
      <w:r w:rsidR="009445F1" w:rsidRPr="00102445">
        <w:rPr>
          <w:lang w:eastAsia="en-AU"/>
        </w:rPr>
        <w:t>and therefore hav</w:t>
      </w:r>
      <w:r w:rsidR="00143684" w:rsidRPr="00102445">
        <w:rPr>
          <w:lang w:eastAsia="en-AU"/>
        </w:rPr>
        <w:t>e an emissions reduction contribution calculated using the default decline rate from the previous year</w:t>
      </w:r>
      <w:r w:rsidR="00F161DC" w:rsidRPr="00102445">
        <w:rPr>
          <w:lang w:eastAsia="en-AU"/>
        </w:rPr>
        <w:t xml:space="preserve"> </w:t>
      </w:r>
      <w:r w:rsidR="00F161DC" w:rsidRPr="00102445">
        <w:t>in accordance with subsection 27(2)</w:t>
      </w:r>
      <w:r w:rsidR="00AC3CDB" w:rsidRPr="00102445">
        <w:rPr>
          <w:lang w:eastAsia="en-AU"/>
        </w:rPr>
        <w:t xml:space="preserve">, rather than </w:t>
      </w:r>
      <w:r w:rsidR="00E00E23" w:rsidRPr="00102445">
        <w:rPr>
          <w:lang w:eastAsia="en-AU"/>
        </w:rPr>
        <w:t xml:space="preserve">continue with </w:t>
      </w:r>
      <w:r w:rsidR="00AC3CDB" w:rsidRPr="00102445">
        <w:rPr>
          <w:lang w:eastAsia="en-AU"/>
        </w:rPr>
        <w:t>a reduced decline rate</w:t>
      </w:r>
      <w:r w:rsidR="00143684" w:rsidRPr="00102445">
        <w:rPr>
          <w:lang w:eastAsia="en-AU"/>
        </w:rPr>
        <w:t xml:space="preserve">. </w:t>
      </w:r>
    </w:p>
    <w:p w14:paraId="5595F96B" w14:textId="2127A69A" w:rsidR="00386EAE" w:rsidRPr="00102445" w:rsidRDefault="00E479CA" w:rsidP="00591A9C">
      <w:pPr>
        <w:pStyle w:val="ListParagraph"/>
        <w:numPr>
          <w:ilvl w:val="0"/>
          <w:numId w:val="2"/>
        </w:numPr>
        <w:shd w:val="clear" w:color="auto" w:fill="FFFFFF" w:themeFill="background1"/>
        <w:spacing w:line="240" w:lineRule="auto"/>
        <w:contextualSpacing w:val="0"/>
        <w:rPr>
          <w:lang w:eastAsia="en-AU"/>
        </w:rPr>
      </w:pPr>
      <w:r w:rsidRPr="00102445">
        <w:t>S</w:t>
      </w:r>
      <w:r w:rsidR="00330489" w:rsidRPr="00102445">
        <w:t>ubs</w:t>
      </w:r>
      <w:r w:rsidRPr="00102445">
        <w:t>ection</w:t>
      </w:r>
      <w:r w:rsidR="00330489" w:rsidRPr="00102445">
        <w:t>s</w:t>
      </w:r>
      <w:r w:rsidR="00230AEA" w:rsidRPr="00102445">
        <w:t xml:space="preserve"> </w:t>
      </w:r>
      <w:r w:rsidR="00510CA4" w:rsidRPr="00102445">
        <w:t>45</w:t>
      </w:r>
      <w:r w:rsidR="00230AEA" w:rsidRPr="00102445">
        <w:t>(</w:t>
      </w:r>
      <w:r w:rsidR="00610B1E" w:rsidRPr="00102445">
        <w:t>3</w:t>
      </w:r>
      <w:r w:rsidR="001930BF" w:rsidRPr="00102445">
        <w:t>)</w:t>
      </w:r>
      <w:r w:rsidR="50449B28" w:rsidRPr="00102445">
        <w:t>-</w:t>
      </w:r>
      <w:r w:rsidR="001930BF" w:rsidRPr="00102445">
        <w:t>(</w:t>
      </w:r>
      <w:r w:rsidR="004A21C1" w:rsidRPr="00102445">
        <w:t>5</w:t>
      </w:r>
      <w:r w:rsidR="00610B1E" w:rsidRPr="00102445">
        <w:t xml:space="preserve">) </w:t>
      </w:r>
      <w:r w:rsidR="00E91D52" w:rsidRPr="00102445">
        <w:t xml:space="preserve">set out </w:t>
      </w:r>
      <w:r w:rsidR="00BF08E0" w:rsidRPr="00102445">
        <w:t>th</w:t>
      </w:r>
      <w:r w:rsidR="001109CA" w:rsidRPr="00102445">
        <w:t xml:space="preserve">at the request for </w:t>
      </w:r>
      <w:r w:rsidR="00D1200C" w:rsidRPr="00102445">
        <w:t>trade-exposed baseline-adjusted</w:t>
      </w:r>
      <w:r w:rsidR="001109CA" w:rsidRPr="00102445">
        <w:t xml:space="preserve"> determination revocation must be submitted before the end of the first October following </w:t>
      </w:r>
      <w:r w:rsidR="00757EFF" w:rsidRPr="00102445">
        <w:t>a</w:t>
      </w:r>
      <w:r w:rsidR="001109CA" w:rsidRPr="00102445">
        <w:t xml:space="preserve"> </w:t>
      </w:r>
      <w:r w:rsidR="008930D6" w:rsidRPr="00102445">
        <w:t xml:space="preserve">financial year </w:t>
      </w:r>
      <w:r w:rsidR="009F3212" w:rsidRPr="00102445">
        <w:t xml:space="preserve">included </w:t>
      </w:r>
      <w:r w:rsidR="008930D6" w:rsidRPr="00102445">
        <w:t xml:space="preserve">in </w:t>
      </w:r>
      <w:r w:rsidR="009F3212" w:rsidRPr="00102445">
        <w:t xml:space="preserve">that </w:t>
      </w:r>
      <w:r w:rsidR="006B7A05" w:rsidRPr="00102445">
        <w:rPr>
          <w:lang w:eastAsia="en-AU"/>
        </w:rPr>
        <w:t xml:space="preserve">trade-exposed baseline-adjusted </w:t>
      </w:r>
      <w:r w:rsidR="009F3212" w:rsidRPr="00102445">
        <w:t>determination</w:t>
      </w:r>
      <w:r w:rsidR="001D3DCA" w:rsidRPr="00102445">
        <w:t xml:space="preserve">, </w:t>
      </w:r>
      <w:r w:rsidR="0080350C" w:rsidRPr="00102445">
        <w:t xml:space="preserve">that the Regulator must revoke the determination </w:t>
      </w:r>
      <w:r w:rsidR="000050EA" w:rsidRPr="00102445">
        <w:t xml:space="preserve">and </w:t>
      </w:r>
      <w:r w:rsidR="00CB1FFC" w:rsidRPr="00102445">
        <w:t>notify the responsible emitter</w:t>
      </w:r>
      <w:r w:rsidR="00406480" w:rsidRPr="00102445">
        <w:t xml:space="preserve"> of this, and </w:t>
      </w:r>
      <w:r w:rsidR="00CF466A" w:rsidRPr="00102445">
        <w:t xml:space="preserve">that the revocation </w:t>
      </w:r>
      <w:r w:rsidR="007E330D" w:rsidRPr="00102445">
        <w:t xml:space="preserve">takes effect at the start of the </w:t>
      </w:r>
      <w:r w:rsidR="00623FEB" w:rsidRPr="00102445">
        <w:t xml:space="preserve">financial </w:t>
      </w:r>
      <w:r w:rsidR="007E330D" w:rsidRPr="00102445">
        <w:t xml:space="preserve">year </w:t>
      </w:r>
      <w:r w:rsidR="00A53599" w:rsidRPr="00102445">
        <w:t>in which the request was made</w:t>
      </w:r>
      <w:r w:rsidR="00064CCB" w:rsidRPr="00102445">
        <w:t>.</w:t>
      </w:r>
    </w:p>
    <w:p w14:paraId="213359E9" w14:textId="092F2190" w:rsidR="00F4277E" w:rsidRPr="00102445" w:rsidRDefault="0070690F" w:rsidP="00591A9C">
      <w:pPr>
        <w:pStyle w:val="ListParagraph"/>
        <w:numPr>
          <w:ilvl w:val="0"/>
          <w:numId w:val="2"/>
        </w:numPr>
        <w:shd w:val="clear" w:color="auto" w:fill="FFFFFF" w:themeFill="background1"/>
        <w:spacing w:line="240" w:lineRule="auto"/>
        <w:contextualSpacing w:val="0"/>
        <w:rPr>
          <w:lang w:eastAsia="en-AU"/>
        </w:rPr>
      </w:pPr>
      <w:r w:rsidRPr="00102445">
        <w:lastRenderedPageBreak/>
        <w:t>S</w:t>
      </w:r>
      <w:r w:rsidR="003B7CC7" w:rsidRPr="00102445">
        <w:t xml:space="preserve">ection </w:t>
      </w:r>
      <w:r w:rsidR="00BA2D14" w:rsidRPr="00102445">
        <w:t>46</w:t>
      </w:r>
      <w:r w:rsidR="003B7CC7" w:rsidRPr="00102445">
        <w:t xml:space="preserve"> sets out the </w:t>
      </w:r>
      <w:r w:rsidR="00CD7B5E" w:rsidRPr="00102445">
        <w:t xml:space="preserve">requirement for a facility to be a </w:t>
      </w:r>
      <w:r w:rsidR="00261243" w:rsidRPr="00102445">
        <w:t>regular facility for at least one financial year</w:t>
      </w:r>
      <w:r w:rsidR="008E113B" w:rsidRPr="00102445">
        <w:t xml:space="preserve"> </w:t>
      </w:r>
      <w:r w:rsidR="00D94CE7" w:rsidRPr="00102445">
        <w:t>following a</w:t>
      </w:r>
      <w:r w:rsidR="003B7CC7" w:rsidRPr="00102445">
        <w:t xml:space="preserve"> revocation of </w:t>
      </w:r>
      <w:r w:rsidR="00D1200C" w:rsidRPr="00102445">
        <w:t>trade-exposed baseline-adjusted</w:t>
      </w:r>
      <w:r w:rsidR="003B7CC7" w:rsidRPr="00102445">
        <w:t xml:space="preserve"> determination</w:t>
      </w:r>
      <w:r w:rsidR="00690F67" w:rsidRPr="00102445">
        <w:t xml:space="preserve"> at the request of </w:t>
      </w:r>
      <w:r w:rsidR="00D94CE7" w:rsidRPr="00102445">
        <w:t>the</w:t>
      </w:r>
      <w:r w:rsidR="00690F67" w:rsidRPr="00102445">
        <w:t xml:space="preserve"> responsible emitter</w:t>
      </w:r>
      <w:r w:rsidR="00D94CE7" w:rsidRPr="00102445">
        <w:t>.</w:t>
      </w:r>
      <w:r w:rsidR="000900A2" w:rsidRPr="00102445">
        <w:t xml:space="preserve"> </w:t>
      </w:r>
      <w:r w:rsidR="005E3E6A" w:rsidRPr="00102445">
        <w:t xml:space="preserve">This would prevent </w:t>
      </w:r>
      <w:r w:rsidR="00F1233F" w:rsidRPr="00102445">
        <w:t>a</w:t>
      </w:r>
      <w:r w:rsidR="002C59E4" w:rsidRPr="00102445">
        <w:t xml:space="preserve"> new </w:t>
      </w:r>
      <w:r w:rsidR="006B7A05" w:rsidRPr="00102445">
        <w:rPr>
          <w:lang w:eastAsia="en-AU"/>
        </w:rPr>
        <w:t xml:space="preserve">trade-exposed baseline-adjusted </w:t>
      </w:r>
      <w:r w:rsidR="00201696" w:rsidRPr="00102445">
        <w:t xml:space="preserve">determination from being </w:t>
      </w:r>
      <w:r w:rsidR="002C59E4" w:rsidRPr="00102445">
        <w:t xml:space="preserve">made </w:t>
      </w:r>
      <w:r w:rsidR="009D6E97" w:rsidRPr="00102445">
        <w:t xml:space="preserve">if </w:t>
      </w:r>
      <w:r w:rsidR="00355331" w:rsidRPr="00102445">
        <w:t xml:space="preserve">it were </w:t>
      </w:r>
      <w:r w:rsidR="00335858" w:rsidRPr="00102445">
        <w:t xml:space="preserve">proposed to start </w:t>
      </w:r>
      <w:r w:rsidR="00AB0F45" w:rsidRPr="00102445">
        <w:t xml:space="preserve">in the </w:t>
      </w:r>
      <w:r w:rsidR="000E2DAF" w:rsidRPr="00102445">
        <w:t xml:space="preserve">same financial </w:t>
      </w:r>
      <w:r w:rsidR="00AB0F45" w:rsidRPr="00102445">
        <w:t>ye</w:t>
      </w:r>
      <w:r w:rsidR="004D24F1" w:rsidRPr="00102445">
        <w:t xml:space="preserve">ar in which a revocation of </w:t>
      </w:r>
      <w:r w:rsidR="006B7A05" w:rsidRPr="00102445">
        <w:rPr>
          <w:lang w:eastAsia="en-AU"/>
        </w:rPr>
        <w:t xml:space="preserve">trade-exposed baseline-adjusted </w:t>
      </w:r>
      <w:r w:rsidR="004D24F1" w:rsidRPr="00102445">
        <w:t>determination was made</w:t>
      </w:r>
      <w:r w:rsidR="004D686B" w:rsidRPr="00102445">
        <w:t xml:space="preserve"> for the facility.</w:t>
      </w:r>
    </w:p>
    <w:p w14:paraId="6C0FAB28" w14:textId="6A5DC904" w:rsidR="007E30E3" w:rsidRPr="00102445" w:rsidRDefault="00DC07E4"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lang w:eastAsia="en-AU"/>
        </w:rPr>
        <w:t>Section</w:t>
      </w:r>
      <w:r w:rsidR="005D3B8B" w:rsidRPr="00102445">
        <w:rPr>
          <w:lang w:eastAsia="en-AU"/>
        </w:rPr>
        <w:t xml:space="preserve">s </w:t>
      </w:r>
      <w:r w:rsidR="007B22EC" w:rsidRPr="00102445">
        <w:rPr>
          <w:lang w:eastAsia="en-AU"/>
        </w:rPr>
        <w:t>43</w:t>
      </w:r>
      <w:r w:rsidR="005D3B8B" w:rsidRPr="00102445">
        <w:rPr>
          <w:lang w:eastAsia="en-AU"/>
        </w:rPr>
        <w:t xml:space="preserve">, </w:t>
      </w:r>
      <w:r w:rsidR="007B22EC" w:rsidRPr="00102445">
        <w:rPr>
          <w:lang w:eastAsia="en-AU"/>
        </w:rPr>
        <w:t xml:space="preserve">44 </w:t>
      </w:r>
      <w:r w:rsidR="005D3B8B" w:rsidRPr="00102445">
        <w:rPr>
          <w:lang w:eastAsia="en-AU"/>
        </w:rPr>
        <w:t>and</w:t>
      </w:r>
      <w:r w:rsidRPr="00102445">
        <w:rPr>
          <w:lang w:eastAsia="en-AU"/>
        </w:rPr>
        <w:t xml:space="preserve"> </w:t>
      </w:r>
      <w:r w:rsidR="007B22EC" w:rsidRPr="00102445">
        <w:rPr>
          <w:lang w:eastAsia="en-AU"/>
        </w:rPr>
        <w:t xml:space="preserve">45 </w:t>
      </w:r>
      <w:r w:rsidR="005D3B8B" w:rsidRPr="00102445">
        <w:rPr>
          <w:lang w:eastAsia="en-AU"/>
        </w:rPr>
        <w:t>have provisions stat</w:t>
      </w:r>
      <w:r w:rsidR="007B707D" w:rsidRPr="00102445">
        <w:rPr>
          <w:lang w:eastAsia="en-AU"/>
        </w:rPr>
        <w:t xml:space="preserve">ing that they do </w:t>
      </w:r>
      <w:r w:rsidR="00435D74" w:rsidRPr="00102445">
        <w:t xml:space="preserve">not limit subsection 33(3) of the </w:t>
      </w:r>
      <w:r w:rsidR="00435D74" w:rsidRPr="00102445">
        <w:rPr>
          <w:i/>
        </w:rPr>
        <w:t>Acts Interpretation Act 1901</w:t>
      </w:r>
      <w:r w:rsidR="00435D74" w:rsidRPr="00102445">
        <w:t xml:space="preserve">. </w:t>
      </w:r>
      <w:r w:rsidR="007E30E3" w:rsidRPr="00102445">
        <w:t xml:space="preserve">Subsection 33(3) of the </w:t>
      </w:r>
      <w:r w:rsidR="007E30E3" w:rsidRPr="00102445">
        <w:rPr>
          <w:i/>
          <w:iCs/>
        </w:rPr>
        <w:t>Acts Interpretation Act 1901</w:t>
      </w:r>
      <w:r w:rsidR="007E30E3" w:rsidRPr="00102445">
        <w:t xml:space="preserve"> states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08010C2" w14:textId="2FE4EE29" w:rsidR="007E30E3" w:rsidRPr="00102445" w:rsidRDefault="007E30E3"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t xml:space="preserve">Subsection 33(3) of the </w:t>
      </w:r>
      <w:r w:rsidRPr="00102445">
        <w:rPr>
          <w:i/>
          <w:iCs/>
        </w:rPr>
        <w:t>Acts Interpretation Act 1901</w:t>
      </w:r>
      <w:r w:rsidRPr="00102445">
        <w:t xml:space="preserve"> is applicable to </w:t>
      </w:r>
      <w:r w:rsidR="006B7A05" w:rsidRPr="00102445">
        <w:rPr>
          <w:lang w:eastAsia="en-AU"/>
        </w:rPr>
        <w:t xml:space="preserve">trade-exposed baseline-adjusted </w:t>
      </w:r>
      <w:r w:rsidR="0080233B" w:rsidRPr="00102445">
        <w:t>determinations</w:t>
      </w:r>
      <w:r w:rsidRPr="00102445">
        <w:t xml:space="preserve">, and provides, for example, that the Regulator could amend or vary an emissions intensity determination if there was an error when it first made the emissions intensity determination. </w:t>
      </w:r>
      <w:r w:rsidR="00545BB7" w:rsidRPr="00102445">
        <w:t>These provisions</w:t>
      </w:r>
      <w:r w:rsidRPr="00102445">
        <w:t xml:space="preserve"> clarif</w:t>
      </w:r>
      <w:r w:rsidR="00545BB7" w:rsidRPr="00102445">
        <w:t>y</w:t>
      </w:r>
      <w:r w:rsidRPr="00102445">
        <w:t xml:space="preserve"> that despite </w:t>
      </w:r>
      <w:r w:rsidR="00545BB7" w:rsidRPr="00102445">
        <w:t xml:space="preserve">sections </w:t>
      </w:r>
      <w:r w:rsidR="007B22EC" w:rsidRPr="00102445">
        <w:rPr>
          <w:lang w:eastAsia="en-AU"/>
        </w:rPr>
        <w:t>43</w:t>
      </w:r>
      <w:r w:rsidR="00545BB7" w:rsidRPr="00102445">
        <w:rPr>
          <w:lang w:eastAsia="en-AU"/>
        </w:rPr>
        <w:t xml:space="preserve">, </w:t>
      </w:r>
      <w:r w:rsidR="007B22EC" w:rsidRPr="00102445">
        <w:rPr>
          <w:lang w:eastAsia="en-AU"/>
        </w:rPr>
        <w:t xml:space="preserve">44 </w:t>
      </w:r>
      <w:r w:rsidR="00545BB7" w:rsidRPr="00102445">
        <w:rPr>
          <w:lang w:eastAsia="en-AU"/>
        </w:rPr>
        <w:t xml:space="preserve">and </w:t>
      </w:r>
      <w:r w:rsidR="007B22EC" w:rsidRPr="00102445">
        <w:rPr>
          <w:lang w:eastAsia="en-AU"/>
        </w:rPr>
        <w:t xml:space="preserve">45 </w:t>
      </w:r>
      <w:r w:rsidRPr="00102445">
        <w:t xml:space="preserve">being more specific that subsection 33(3) of the </w:t>
      </w:r>
      <w:r w:rsidRPr="00102445">
        <w:rPr>
          <w:i/>
          <w:iCs/>
        </w:rPr>
        <w:t>Acts Interpretation Act 1901</w:t>
      </w:r>
      <w:r w:rsidRPr="00102445">
        <w:t xml:space="preserve"> (in that </w:t>
      </w:r>
      <w:r w:rsidR="00BF30A1" w:rsidRPr="00102445">
        <w:t>they</w:t>
      </w:r>
      <w:r w:rsidRPr="00102445">
        <w:t xml:space="preserve"> relate to varying an instrument of an administrative nature), </w:t>
      </w:r>
      <w:r w:rsidR="00BF30A1" w:rsidRPr="00102445">
        <w:t>these sections</w:t>
      </w:r>
      <w:r w:rsidRPr="00102445">
        <w:t xml:space="preserve"> should not be interpreted as limiting how subsection 33(3) of the </w:t>
      </w:r>
      <w:r w:rsidRPr="00102445">
        <w:rPr>
          <w:i/>
          <w:iCs/>
        </w:rPr>
        <w:t>Acts Interpretation Act 1901</w:t>
      </w:r>
      <w:r w:rsidRPr="00102445">
        <w:t xml:space="preserve"> relates to </w:t>
      </w:r>
      <w:r w:rsidR="00BF30A1" w:rsidRPr="00102445">
        <w:t xml:space="preserve">determinations that a facility is a </w:t>
      </w:r>
      <w:r w:rsidR="00D1200C" w:rsidRPr="00102445">
        <w:t>trade-exposed baseline-adjusted</w:t>
      </w:r>
      <w:r w:rsidR="00BF30A1" w:rsidRPr="00102445">
        <w:t xml:space="preserve"> facility</w:t>
      </w:r>
      <w:r w:rsidRPr="00102445">
        <w:t>.</w:t>
      </w:r>
    </w:p>
    <w:p w14:paraId="61D0030C" w14:textId="465BF1E0" w:rsidR="0011576C" w:rsidRPr="00102445" w:rsidRDefault="0011576C" w:rsidP="007D11FC">
      <w:pPr>
        <w:pStyle w:val="Heading5"/>
      </w:pPr>
      <w:r w:rsidRPr="00102445">
        <w:t>Division</w:t>
      </w:r>
      <w:r w:rsidR="00375B29" w:rsidRPr="00102445">
        <w:t xml:space="preserve"> 6 – Borrowing adjustment</w:t>
      </w:r>
    </w:p>
    <w:p w14:paraId="1F376FA0" w14:textId="16ECA519" w:rsidR="00F926D9" w:rsidRPr="00102445" w:rsidRDefault="009249D2" w:rsidP="00591A9C">
      <w:pPr>
        <w:pStyle w:val="ListParagraph"/>
        <w:numPr>
          <w:ilvl w:val="0"/>
          <w:numId w:val="2"/>
        </w:numPr>
        <w:shd w:val="clear" w:color="auto" w:fill="FFFFFF" w:themeFill="background1"/>
        <w:spacing w:line="240" w:lineRule="auto"/>
        <w:contextualSpacing w:val="0"/>
      </w:pPr>
      <w:r w:rsidRPr="00102445">
        <w:rPr>
          <w:lang w:eastAsia="en-AU"/>
        </w:rPr>
        <w:t xml:space="preserve">Division </w:t>
      </w:r>
      <w:r w:rsidR="00B03278" w:rsidRPr="00102445">
        <w:rPr>
          <w:lang w:eastAsia="en-AU"/>
        </w:rPr>
        <w:t xml:space="preserve">6 outlines the mechanism for </w:t>
      </w:r>
      <w:r w:rsidR="00AB5020" w:rsidRPr="00102445">
        <w:rPr>
          <w:lang w:eastAsia="en-AU"/>
        </w:rPr>
        <w:t>a</w:t>
      </w:r>
      <w:r w:rsidR="00875926" w:rsidRPr="00102445">
        <w:rPr>
          <w:lang w:eastAsia="en-AU"/>
        </w:rPr>
        <w:t xml:space="preserve"> </w:t>
      </w:r>
      <w:r w:rsidR="00AB5020" w:rsidRPr="00102445">
        <w:rPr>
          <w:lang w:eastAsia="en-AU"/>
        </w:rPr>
        <w:t xml:space="preserve">facility to </w:t>
      </w:r>
      <w:r w:rsidR="00061FAC" w:rsidRPr="00102445">
        <w:rPr>
          <w:lang w:eastAsia="en-AU"/>
        </w:rPr>
        <w:t>‘</w:t>
      </w:r>
      <w:r w:rsidR="00875926" w:rsidRPr="00102445">
        <w:rPr>
          <w:lang w:eastAsia="en-AU"/>
        </w:rPr>
        <w:t>borro</w:t>
      </w:r>
      <w:r w:rsidR="00061FAC" w:rsidRPr="00102445">
        <w:rPr>
          <w:lang w:eastAsia="en-AU"/>
        </w:rPr>
        <w:t>w’</w:t>
      </w:r>
      <w:r w:rsidR="00875926" w:rsidRPr="00102445">
        <w:rPr>
          <w:lang w:eastAsia="en-AU"/>
        </w:rPr>
        <w:t xml:space="preserve"> from its future baseline. T</w:t>
      </w:r>
      <w:r w:rsidR="00563178" w:rsidRPr="00102445">
        <w:rPr>
          <w:lang w:eastAsia="en-AU"/>
        </w:rPr>
        <w:t xml:space="preserve">his </w:t>
      </w:r>
      <w:r w:rsidR="002D5D8B" w:rsidRPr="00102445">
        <w:rPr>
          <w:lang w:eastAsia="en-AU"/>
        </w:rPr>
        <w:t xml:space="preserve">measure </w:t>
      </w:r>
      <w:r w:rsidR="00480042" w:rsidRPr="00102445">
        <w:rPr>
          <w:lang w:eastAsia="en-AU"/>
        </w:rPr>
        <w:t>is part of the suit</w:t>
      </w:r>
      <w:r w:rsidR="009C3862" w:rsidRPr="00102445">
        <w:rPr>
          <w:lang w:eastAsia="en-AU"/>
        </w:rPr>
        <w:t>e</w:t>
      </w:r>
      <w:r w:rsidR="00480042" w:rsidRPr="00102445">
        <w:rPr>
          <w:lang w:eastAsia="en-AU"/>
        </w:rPr>
        <w:t xml:space="preserve"> of flexibility measures provided to </w:t>
      </w:r>
      <w:r w:rsidR="003235A3" w:rsidRPr="00102445">
        <w:rPr>
          <w:lang w:eastAsia="en-AU"/>
        </w:rPr>
        <w:t>help facilities manage</w:t>
      </w:r>
      <w:r w:rsidR="00480042" w:rsidRPr="00102445">
        <w:rPr>
          <w:lang w:eastAsia="en-AU"/>
        </w:rPr>
        <w:t xml:space="preserve"> their </w:t>
      </w:r>
      <w:r w:rsidR="00C64B22" w:rsidRPr="00102445">
        <w:rPr>
          <w:lang w:eastAsia="en-AU"/>
        </w:rPr>
        <w:t>compliance obligations</w:t>
      </w:r>
      <w:r w:rsidR="00203C57" w:rsidRPr="00102445">
        <w:rPr>
          <w:lang w:eastAsia="en-AU"/>
        </w:rPr>
        <w:t xml:space="preserve"> where </w:t>
      </w:r>
      <w:r w:rsidR="00E02127" w:rsidRPr="00102445">
        <w:rPr>
          <w:lang w:eastAsia="en-AU"/>
        </w:rPr>
        <w:t>it might otherwise be costly or difficult</w:t>
      </w:r>
      <w:r w:rsidR="00C64B22" w:rsidRPr="00102445">
        <w:rPr>
          <w:lang w:eastAsia="en-AU"/>
        </w:rPr>
        <w:t>. Borrowing provides a facility</w:t>
      </w:r>
      <w:r w:rsidR="003235A3" w:rsidRPr="00102445">
        <w:rPr>
          <w:lang w:eastAsia="en-AU"/>
        </w:rPr>
        <w:t xml:space="preserve"> with</w:t>
      </w:r>
      <w:r w:rsidR="000B189E" w:rsidRPr="00102445">
        <w:rPr>
          <w:lang w:eastAsia="en-AU"/>
        </w:rPr>
        <w:t xml:space="preserve"> flexibility </w:t>
      </w:r>
      <w:r w:rsidR="004B55B3" w:rsidRPr="00102445">
        <w:rPr>
          <w:lang w:eastAsia="en-AU"/>
        </w:rPr>
        <w:t>regarding the timing of when emissions reductions o</w:t>
      </w:r>
      <w:r w:rsidR="0041393A" w:rsidRPr="00102445">
        <w:rPr>
          <w:lang w:eastAsia="en-AU"/>
        </w:rPr>
        <w:t>ccur.</w:t>
      </w:r>
      <w:r w:rsidR="002C6C0D" w:rsidRPr="00102445">
        <w:rPr>
          <w:lang w:eastAsia="en-AU"/>
        </w:rPr>
        <w:t xml:space="preserve"> </w:t>
      </w:r>
      <w:r w:rsidR="00826D79" w:rsidRPr="00102445">
        <w:rPr>
          <w:lang w:eastAsia="en-AU"/>
        </w:rPr>
        <w:t xml:space="preserve">Under this </w:t>
      </w:r>
      <w:r w:rsidR="00DC3DAF" w:rsidRPr="00102445">
        <w:rPr>
          <w:lang w:eastAsia="en-AU"/>
        </w:rPr>
        <w:t>Division</w:t>
      </w:r>
      <w:r w:rsidR="00985833" w:rsidRPr="00102445">
        <w:rPr>
          <w:lang w:eastAsia="en-AU"/>
        </w:rPr>
        <w:t>,</w:t>
      </w:r>
      <w:r w:rsidR="00DC3DAF" w:rsidRPr="00102445">
        <w:rPr>
          <w:lang w:eastAsia="en-AU"/>
        </w:rPr>
        <w:t xml:space="preserve"> a responsible emitter can apply to the Regulator to have </w:t>
      </w:r>
      <w:r w:rsidR="00826D79" w:rsidRPr="00102445">
        <w:t>a facility’s baseline increased in a particular year</w:t>
      </w:r>
      <w:r w:rsidR="00F25233" w:rsidRPr="00102445">
        <w:t xml:space="preserve">. The facility’s baseline would then </w:t>
      </w:r>
      <w:r w:rsidR="00826D79" w:rsidRPr="00102445">
        <w:t>decrease by a corresponding amount</w:t>
      </w:r>
      <w:r w:rsidR="00B2780E" w:rsidRPr="00102445">
        <w:t xml:space="preserve"> (plus interest)</w:t>
      </w:r>
      <w:r w:rsidR="00826D79" w:rsidRPr="00102445">
        <w:t xml:space="preserve"> the following year</w:t>
      </w:r>
      <w:r w:rsidR="00F25233" w:rsidRPr="00102445">
        <w:t>.</w:t>
      </w:r>
      <w:r w:rsidR="00F926D9" w:rsidRPr="00102445">
        <w:t xml:space="preserve"> Borrowing of up to 10 per cent of a facility’s baseline each year will be allowed to 2030, with a 10 per cent interest rate applied in the year after borrowing occurs. </w:t>
      </w:r>
      <w:r w:rsidR="00646D4C" w:rsidRPr="00102445">
        <w:t>However, f</w:t>
      </w:r>
      <w:r w:rsidR="00F926D9" w:rsidRPr="00102445">
        <w:t>or the first two years</w:t>
      </w:r>
      <w:r w:rsidR="0084622C" w:rsidRPr="00102445">
        <w:t xml:space="preserve"> until</w:t>
      </w:r>
      <w:r w:rsidR="00EC7624" w:rsidRPr="00102445">
        <w:t xml:space="preserve"> 1 July 2026</w:t>
      </w:r>
      <w:r w:rsidR="00F926D9" w:rsidRPr="00102445">
        <w:t xml:space="preserve">, the interest rate will be </w:t>
      </w:r>
      <w:r w:rsidR="00646D4C" w:rsidRPr="00102445">
        <w:t>only</w:t>
      </w:r>
      <w:r w:rsidR="00F926D9" w:rsidRPr="00102445">
        <w:t xml:space="preserve"> 2 per cent to provide covered businesses time to adjust to the new arrangements</w:t>
      </w:r>
      <w:r w:rsidR="0096770C" w:rsidRPr="00102445">
        <w:t xml:space="preserve"> and provide an additional incentive for early onsite abatement</w:t>
      </w:r>
      <w:r w:rsidR="32F31FFE" w:rsidRPr="00102445">
        <w:t>.</w:t>
      </w:r>
      <w:r w:rsidR="00F926D9" w:rsidRPr="00102445">
        <w:t xml:space="preserve"> </w:t>
      </w:r>
      <w:r w:rsidR="00B40E67" w:rsidRPr="00102445">
        <w:t>Borrowing arrangements will be reviewed as part of the 2026</w:t>
      </w:r>
      <w:r w:rsidR="004944E8" w:rsidRPr="00102445">
        <w:t xml:space="preserve">-27 review of the Safeguard Mechanism. </w:t>
      </w:r>
    </w:p>
    <w:p w14:paraId="5801CD5D" w14:textId="7146D857" w:rsidR="00492B33" w:rsidRPr="00102445" w:rsidRDefault="009B2CDF"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Section </w:t>
      </w:r>
      <w:r w:rsidR="007B22EC" w:rsidRPr="00102445">
        <w:rPr>
          <w:lang w:eastAsia="en-AU"/>
        </w:rPr>
        <w:t xml:space="preserve">47 </w:t>
      </w:r>
      <w:r w:rsidR="008832D8" w:rsidRPr="00102445">
        <w:rPr>
          <w:lang w:eastAsia="en-AU"/>
        </w:rPr>
        <w:t xml:space="preserve">provides the formula for </w:t>
      </w:r>
      <w:r w:rsidR="00FB4F31" w:rsidRPr="00102445">
        <w:rPr>
          <w:lang w:eastAsia="en-AU"/>
        </w:rPr>
        <w:t>calculating</w:t>
      </w:r>
      <w:r w:rsidR="008832D8" w:rsidRPr="00102445">
        <w:rPr>
          <w:lang w:eastAsia="en-AU"/>
        </w:rPr>
        <w:t xml:space="preserve"> </w:t>
      </w:r>
      <w:r w:rsidR="00F97760" w:rsidRPr="00102445">
        <w:rPr>
          <w:lang w:eastAsia="en-AU"/>
        </w:rPr>
        <w:t>the borrowing adjustment for a facility for a financial year</w:t>
      </w:r>
      <w:r w:rsidR="00660ABE" w:rsidRPr="00102445">
        <w:rPr>
          <w:lang w:eastAsia="en-AU"/>
        </w:rPr>
        <w:t xml:space="preserve">. </w:t>
      </w:r>
      <w:r w:rsidR="00A028CF" w:rsidRPr="00102445">
        <w:rPr>
          <w:lang w:eastAsia="en-AU"/>
        </w:rPr>
        <w:t>The borrowing adjustment for a facility for a financial year that ends before 1 July 2026</w:t>
      </w:r>
      <w:r w:rsidR="00D2203D" w:rsidRPr="00102445">
        <w:rPr>
          <w:lang w:eastAsia="en-AU"/>
        </w:rPr>
        <w:t xml:space="preserve"> </w:t>
      </w:r>
      <w:r w:rsidR="00283DCA" w:rsidRPr="00102445">
        <w:rPr>
          <w:lang w:eastAsia="en-AU"/>
        </w:rPr>
        <w:t>has an</w:t>
      </w:r>
      <w:r w:rsidR="00033F82" w:rsidRPr="00102445">
        <w:rPr>
          <w:lang w:eastAsia="en-AU"/>
        </w:rPr>
        <w:t xml:space="preserve"> interest rate of</w:t>
      </w:r>
      <w:r w:rsidR="00883F3F" w:rsidRPr="00102445">
        <w:rPr>
          <w:lang w:eastAsia="en-AU"/>
        </w:rPr>
        <w:t xml:space="preserve"> 2</w:t>
      </w:r>
      <w:r w:rsidR="00251E23" w:rsidRPr="00102445">
        <w:rPr>
          <w:lang w:eastAsia="en-AU"/>
        </w:rPr>
        <w:t xml:space="preserve"> per cent</w:t>
      </w:r>
      <w:r w:rsidR="007A40D9" w:rsidRPr="00102445">
        <w:rPr>
          <w:lang w:eastAsia="en-AU"/>
        </w:rPr>
        <w:t xml:space="preserve"> applied</w:t>
      </w:r>
      <w:r w:rsidR="00883F3F" w:rsidRPr="00102445">
        <w:rPr>
          <w:lang w:eastAsia="en-AU"/>
        </w:rPr>
        <w:t xml:space="preserve"> and </w:t>
      </w:r>
      <w:r w:rsidR="0041153F" w:rsidRPr="00102445">
        <w:rPr>
          <w:lang w:eastAsia="en-AU"/>
        </w:rPr>
        <w:t xml:space="preserve">is </w:t>
      </w:r>
      <w:r w:rsidR="00EA2423" w:rsidRPr="00102445">
        <w:rPr>
          <w:lang w:eastAsia="en-AU"/>
        </w:rPr>
        <w:t>provided by the for</w:t>
      </w:r>
      <w:r w:rsidR="00FF07A6" w:rsidRPr="00102445">
        <w:rPr>
          <w:lang w:eastAsia="en-AU"/>
        </w:rPr>
        <w:t>mula</w:t>
      </w:r>
      <w:r w:rsidR="0039011F" w:rsidRPr="00102445">
        <w:rPr>
          <w:lang w:eastAsia="en-AU"/>
        </w:rPr>
        <w:t>:</w:t>
      </w:r>
      <w:r w:rsidR="00FF07A6" w:rsidRPr="00102445">
        <w:rPr>
          <w:lang w:eastAsia="en-AU"/>
        </w:rPr>
        <w:t xml:space="preserve"> </w:t>
      </w:r>
      <w:r w:rsidR="00FF07A6" w:rsidRPr="00102445">
        <w:rPr>
          <w:i/>
          <w:lang w:eastAsia="en-AU"/>
        </w:rPr>
        <w:t>BD</w:t>
      </w:r>
      <w:r w:rsidR="00FF07A6" w:rsidRPr="00102445">
        <w:rPr>
          <w:lang w:eastAsia="en-AU"/>
        </w:rPr>
        <w:t xml:space="preserve"> – 1.02 </w:t>
      </w:r>
      <w:r w:rsidR="00251E23" w:rsidRPr="00102445">
        <w:rPr>
          <w:rFonts w:cs="Times New Roman"/>
          <w:lang w:eastAsia="en-AU"/>
        </w:rPr>
        <w:t>×</w:t>
      </w:r>
      <w:r w:rsidR="00FF07A6" w:rsidRPr="00102445">
        <w:rPr>
          <w:lang w:eastAsia="en-AU"/>
        </w:rPr>
        <w:t xml:space="preserve"> </w:t>
      </w:r>
      <w:r w:rsidR="00FF07A6" w:rsidRPr="00102445">
        <w:rPr>
          <w:i/>
          <w:lang w:eastAsia="en-AU"/>
        </w:rPr>
        <w:t>BDP</w:t>
      </w:r>
      <w:r w:rsidR="00883F3F" w:rsidRPr="00102445">
        <w:rPr>
          <w:lang w:eastAsia="en-AU"/>
        </w:rPr>
        <w:t>, wher</w:t>
      </w:r>
      <w:r w:rsidR="00492B33" w:rsidRPr="00102445">
        <w:rPr>
          <w:lang w:eastAsia="en-AU"/>
        </w:rPr>
        <w:t>e</w:t>
      </w:r>
      <w:r w:rsidR="004B16FD" w:rsidRPr="00102445">
        <w:rPr>
          <w:lang w:eastAsia="en-AU"/>
        </w:rPr>
        <w:t xml:space="preserve"> </w:t>
      </w:r>
      <w:r w:rsidR="004B16FD" w:rsidRPr="00102445">
        <w:rPr>
          <w:i/>
          <w:lang w:eastAsia="en-AU"/>
        </w:rPr>
        <w:t>BD</w:t>
      </w:r>
      <w:r w:rsidR="004B16FD" w:rsidRPr="00102445">
        <w:rPr>
          <w:lang w:eastAsia="en-AU"/>
        </w:rPr>
        <w:t xml:space="preserve"> is </w:t>
      </w:r>
      <w:r w:rsidR="00464D55" w:rsidRPr="00102445">
        <w:rPr>
          <w:lang w:eastAsia="en-AU"/>
        </w:rPr>
        <w:t xml:space="preserve">the borrowing adjustment determination </w:t>
      </w:r>
      <w:r w:rsidR="00CD71BC" w:rsidRPr="00102445">
        <w:rPr>
          <w:lang w:eastAsia="en-AU"/>
        </w:rPr>
        <w:t xml:space="preserve">number for the </w:t>
      </w:r>
      <w:r w:rsidR="00537F9C" w:rsidRPr="00102445">
        <w:rPr>
          <w:lang w:eastAsia="en-AU"/>
        </w:rPr>
        <w:t>financial</w:t>
      </w:r>
      <w:r w:rsidR="00CB3A4E" w:rsidRPr="00102445">
        <w:rPr>
          <w:lang w:eastAsia="en-AU"/>
        </w:rPr>
        <w:t xml:space="preserve"> year</w:t>
      </w:r>
      <w:r w:rsidR="00886E26" w:rsidRPr="00102445">
        <w:rPr>
          <w:lang w:eastAsia="en-AU"/>
        </w:rPr>
        <w:t>, otherwise 0</w:t>
      </w:r>
      <w:r w:rsidR="006C3682" w:rsidRPr="00102445">
        <w:rPr>
          <w:lang w:eastAsia="en-AU"/>
        </w:rPr>
        <w:t xml:space="preserve">; and </w:t>
      </w:r>
      <w:r w:rsidR="00F81B0D" w:rsidRPr="00102445">
        <w:rPr>
          <w:i/>
          <w:lang w:eastAsia="en-AU"/>
        </w:rPr>
        <w:t>BDP</w:t>
      </w:r>
      <w:r w:rsidR="00F81B0D" w:rsidRPr="00102445">
        <w:rPr>
          <w:lang w:eastAsia="en-AU"/>
        </w:rPr>
        <w:t xml:space="preserve"> is</w:t>
      </w:r>
      <w:r w:rsidR="0008702D" w:rsidRPr="00102445">
        <w:rPr>
          <w:lang w:eastAsia="en-AU"/>
        </w:rPr>
        <w:t xml:space="preserve"> </w:t>
      </w:r>
      <w:r w:rsidR="00F366E6" w:rsidRPr="00102445">
        <w:rPr>
          <w:lang w:eastAsia="en-AU"/>
        </w:rPr>
        <w:t xml:space="preserve">the </w:t>
      </w:r>
      <w:r w:rsidR="0008702D" w:rsidRPr="00102445">
        <w:rPr>
          <w:lang w:eastAsia="en-AU"/>
        </w:rPr>
        <w:t xml:space="preserve">borrowing adjustment </w:t>
      </w:r>
      <w:r w:rsidR="00EE40C4" w:rsidRPr="00102445">
        <w:rPr>
          <w:lang w:eastAsia="en-AU"/>
        </w:rPr>
        <w:t xml:space="preserve">determination </w:t>
      </w:r>
      <w:r w:rsidR="00E66E10" w:rsidRPr="00102445">
        <w:rPr>
          <w:lang w:eastAsia="en-AU"/>
        </w:rPr>
        <w:t>for the facility for the previous financial</w:t>
      </w:r>
      <w:r w:rsidR="000845A8" w:rsidRPr="00102445">
        <w:rPr>
          <w:lang w:eastAsia="en-AU"/>
        </w:rPr>
        <w:t xml:space="preserve"> year, </w:t>
      </w:r>
      <w:r w:rsidR="0014321B" w:rsidRPr="00102445">
        <w:rPr>
          <w:lang w:eastAsia="en-AU"/>
        </w:rPr>
        <w:t xml:space="preserve">or </w:t>
      </w:r>
      <w:r w:rsidR="000845A8" w:rsidRPr="00102445">
        <w:rPr>
          <w:lang w:eastAsia="en-AU"/>
        </w:rPr>
        <w:t xml:space="preserve">otherwise 0. </w:t>
      </w:r>
      <w:r w:rsidR="00923ADD" w:rsidRPr="00102445">
        <w:rPr>
          <w:lang w:eastAsia="en-AU"/>
        </w:rPr>
        <w:t xml:space="preserve">The borrowing adjustment for a facility for a financial year that begins after 1 July 2026 </w:t>
      </w:r>
      <w:r w:rsidR="00FB6334" w:rsidRPr="00102445">
        <w:rPr>
          <w:lang w:eastAsia="en-AU"/>
        </w:rPr>
        <w:t>has an in</w:t>
      </w:r>
      <w:r w:rsidR="008E5265" w:rsidRPr="00102445">
        <w:rPr>
          <w:lang w:eastAsia="en-AU"/>
        </w:rPr>
        <w:t>terest rate of 10</w:t>
      </w:r>
      <w:r w:rsidR="005E6B4D" w:rsidRPr="00102445">
        <w:rPr>
          <w:lang w:eastAsia="en-AU"/>
        </w:rPr>
        <w:t xml:space="preserve"> per cent</w:t>
      </w:r>
      <w:r w:rsidR="008E5265" w:rsidRPr="00102445">
        <w:rPr>
          <w:lang w:eastAsia="en-AU"/>
        </w:rPr>
        <w:t xml:space="preserve"> and is therefore</w:t>
      </w:r>
      <w:r w:rsidR="00923ADD" w:rsidRPr="00102445">
        <w:rPr>
          <w:lang w:eastAsia="en-AU"/>
        </w:rPr>
        <w:t xml:space="preserve"> given by the formula</w:t>
      </w:r>
      <w:r w:rsidR="00DD27FC" w:rsidRPr="00102445">
        <w:rPr>
          <w:lang w:eastAsia="en-AU"/>
        </w:rPr>
        <w:t>:</w:t>
      </w:r>
      <w:r w:rsidR="00923ADD" w:rsidRPr="00102445">
        <w:rPr>
          <w:lang w:eastAsia="en-AU"/>
        </w:rPr>
        <w:t xml:space="preserve"> </w:t>
      </w:r>
      <w:r w:rsidR="00923ADD" w:rsidRPr="00102445">
        <w:rPr>
          <w:i/>
          <w:lang w:eastAsia="en-AU"/>
        </w:rPr>
        <w:t>BD</w:t>
      </w:r>
      <w:r w:rsidR="00923ADD" w:rsidRPr="00102445">
        <w:rPr>
          <w:lang w:eastAsia="en-AU"/>
        </w:rPr>
        <w:t xml:space="preserve"> – 1.1</w:t>
      </w:r>
      <w:r w:rsidR="00BC6E34" w:rsidRPr="00102445">
        <w:rPr>
          <w:lang w:eastAsia="en-AU"/>
        </w:rPr>
        <w:t xml:space="preserve"> </w:t>
      </w:r>
      <w:r w:rsidR="005E6B4D" w:rsidRPr="00102445">
        <w:rPr>
          <w:rFonts w:cs="Times New Roman"/>
          <w:lang w:eastAsia="en-AU"/>
        </w:rPr>
        <w:t>×</w:t>
      </w:r>
      <w:r w:rsidR="00BC6E34" w:rsidRPr="00102445">
        <w:rPr>
          <w:lang w:eastAsia="en-AU"/>
        </w:rPr>
        <w:t xml:space="preserve"> </w:t>
      </w:r>
      <w:r w:rsidR="00BC6E34" w:rsidRPr="00102445">
        <w:rPr>
          <w:i/>
          <w:lang w:eastAsia="en-AU"/>
        </w:rPr>
        <w:t>BDP</w:t>
      </w:r>
      <w:r w:rsidR="008E5265" w:rsidRPr="00102445">
        <w:rPr>
          <w:lang w:eastAsia="en-AU"/>
        </w:rPr>
        <w:t xml:space="preserve">. </w:t>
      </w:r>
    </w:p>
    <w:p w14:paraId="25BB47DE" w14:textId="19FE9A55" w:rsidR="009B2CDF" w:rsidRPr="00102445" w:rsidRDefault="00222CDE"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Section </w:t>
      </w:r>
      <w:r w:rsidR="007B22EC" w:rsidRPr="00102445">
        <w:rPr>
          <w:lang w:eastAsia="en-AU"/>
        </w:rPr>
        <w:t xml:space="preserve">48 </w:t>
      </w:r>
      <w:r w:rsidR="00A475A5" w:rsidRPr="00102445">
        <w:rPr>
          <w:lang w:eastAsia="en-AU"/>
        </w:rPr>
        <w:t xml:space="preserve">specifies that </w:t>
      </w:r>
      <w:r w:rsidR="00AE00D7" w:rsidRPr="00102445">
        <w:rPr>
          <w:lang w:eastAsia="en-AU"/>
        </w:rPr>
        <w:t xml:space="preserve">a responsible emitter may </w:t>
      </w:r>
      <w:r w:rsidR="0019797A" w:rsidRPr="00102445">
        <w:rPr>
          <w:lang w:eastAsia="en-AU"/>
        </w:rPr>
        <w:t>apply to the Regulator for a borrowing adjustment determination the facility for a fin</w:t>
      </w:r>
      <w:r w:rsidR="00F12EB2" w:rsidRPr="00102445">
        <w:rPr>
          <w:lang w:eastAsia="en-AU"/>
        </w:rPr>
        <w:t>ancial year</w:t>
      </w:r>
      <w:r w:rsidR="00D544C5" w:rsidRPr="00102445">
        <w:rPr>
          <w:lang w:eastAsia="en-AU"/>
        </w:rPr>
        <w:t xml:space="preserve">. </w:t>
      </w:r>
      <w:r w:rsidR="00D555FE" w:rsidRPr="00102445">
        <w:rPr>
          <w:lang w:eastAsia="en-AU"/>
        </w:rPr>
        <w:t>The application must be</w:t>
      </w:r>
      <w:r w:rsidR="00612742" w:rsidRPr="00102445">
        <w:rPr>
          <w:lang w:eastAsia="en-AU"/>
        </w:rPr>
        <w:t xml:space="preserve"> made in a manner and for</w:t>
      </w:r>
      <w:r w:rsidR="005F53BE" w:rsidRPr="00102445">
        <w:rPr>
          <w:lang w:eastAsia="en-AU"/>
        </w:rPr>
        <w:t>m</w:t>
      </w:r>
      <w:r w:rsidR="00612742" w:rsidRPr="00102445">
        <w:rPr>
          <w:lang w:eastAsia="en-AU"/>
        </w:rPr>
        <w:t xml:space="preserve"> approved, in</w:t>
      </w:r>
      <w:r w:rsidR="00FF7380" w:rsidRPr="00102445">
        <w:rPr>
          <w:lang w:eastAsia="en-AU"/>
        </w:rPr>
        <w:t xml:space="preserve"> </w:t>
      </w:r>
      <w:r w:rsidR="00D555FE" w:rsidRPr="00102445">
        <w:rPr>
          <w:lang w:eastAsia="en-AU"/>
        </w:rPr>
        <w:t>writing</w:t>
      </w:r>
      <w:r w:rsidR="00FF7380" w:rsidRPr="00102445">
        <w:rPr>
          <w:lang w:eastAsia="en-AU"/>
        </w:rPr>
        <w:t xml:space="preserve"> by the Regulator</w:t>
      </w:r>
      <w:r w:rsidR="00E37C75" w:rsidRPr="00102445">
        <w:rPr>
          <w:lang w:eastAsia="en-AU"/>
        </w:rPr>
        <w:t>;</w:t>
      </w:r>
      <w:r w:rsidR="00D555FE" w:rsidRPr="00102445">
        <w:rPr>
          <w:lang w:eastAsia="en-AU"/>
        </w:rPr>
        <w:t xml:space="preserve"> and</w:t>
      </w:r>
      <w:r w:rsidR="00782C09" w:rsidRPr="00102445">
        <w:rPr>
          <w:lang w:eastAsia="en-AU"/>
        </w:rPr>
        <w:t xml:space="preserve"> be made before the end of the due </w:t>
      </w:r>
      <w:r w:rsidR="00782C09" w:rsidRPr="00102445">
        <w:rPr>
          <w:lang w:eastAsia="en-AU"/>
        </w:rPr>
        <w:lastRenderedPageBreak/>
        <w:t>date</w:t>
      </w:r>
      <w:r w:rsidR="00DD3F79" w:rsidRPr="00102445">
        <w:rPr>
          <w:lang w:eastAsia="en-AU"/>
        </w:rPr>
        <w:t xml:space="preserve"> for the application as specified in section 41</w:t>
      </w:r>
      <w:r w:rsidR="00123B04" w:rsidRPr="00102445">
        <w:rPr>
          <w:lang w:eastAsia="en-AU"/>
        </w:rPr>
        <w:t>, unless the Regulator agrees t</w:t>
      </w:r>
      <w:r w:rsidR="00C375CC" w:rsidRPr="00102445">
        <w:rPr>
          <w:lang w:eastAsia="en-AU"/>
        </w:rPr>
        <w:t xml:space="preserve">o accept the application after that date. </w:t>
      </w:r>
      <w:r w:rsidR="00E211A4" w:rsidRPr="00102445">
        <w:rPr>
          <w:lang w:eastAsia="en-AU"/>
        </w:rPr>
        <w:t xml:space="preserve">Withdrawal of </w:t>
      </w:r>
      <w:r w:rsidR="00C50F43" w:rsidRPr="00102445">
        <w:rPr>
          <w:lang w:eastAsia="en-AU"/>
        </w:rPr>
        <w:t xml:space="preserve">an application </w:t>
      </w:r>
      <w:r w:rsidR="00A00A4F" w:rsidRPr="00102445">
        <w:rPr>
          <w:lang w:eastAsia="en-AU"/>
        </w:rPr>
        <w:t>i</w:t>
      </w:r>
      <w:r w:rsidR="00C50F43" w:rsidRPr="00102445">
        <w:rPr>
          <w:lang w:eastAsia="en-AU"/>
        </w:rPr>
        <w:t xml:space="preserve">s provided in section </w:t>
      </w:r>
      <w:r w:rsidR="007B22EC" w:rsidRPr="00102445">
        <w:rPr>
          <w:lang w:eastAsia="en-AU"/>
        </w:rPr>
        <w:t>53</w:t>
      </w:r>
      <w:r w:rsidR="00C50F43" w:rsidRPr="00102445">
        <w:rPr>
          <w:lang w:eastAsia="en-AU"/>
        </w:rPr>
        <w:t xml:space="preserve">. </w:t>
      </w:r>
      <w:r w:rsidR="00A00A4F" w:rsidRPr="00102445">
        <w:rPr>
          <w:lang w:eastAsia="en-AU"/>
        </w:rPr>
        <w:t>The application must specify</w:t>
      </w:r>
      <w:r w:rsidR="0094559D" w:rsidRPr="00102445">
        <w:rPr>
          <w:lang w:eastAsia="en-AU"/>
        </w:rPr>
        <w:t xml:space="preserve"> a number no greater than 10</w:t>
      </w:r>
      <w:r w:rsidR="00E43605" w:rsidRPr="00102445">
        <w:rPr>
          <w:lang w:eastAsia="en-AU"/>
        </w:rPr>
        <w:t xml:space="preserve"> per cent</w:t>
      </w:r>
      <w:r w:rsidR="0025675A" w:rsidRPr="00102445">
        <w:rPr>
          <w:lang w:eastAsia="en-AU"/>
        </w:rPr>
        <w:t xml:space="preserve"> of the</w:t>
      </w:r>
      <w:r w:rsidR="00067CF2" w:rsidRPr="00102445">
        <w:rPr>
          <w:lang w:eastAsia="en-AU"/>
        </w:rPr>
        <w:t xml:space="preserve"> baseline</w:t>
      </w:r>
      <w:r w:rsidR="0061700C" w:rsidRPr="00102445">
        <w:rPr>
          <w:lang w:eastAsia="en-AU"/>
        </w:rPr>
        <w:t xml:space="preserve"> </w:t>
      </w:r>
      <w:r w:rsidR="00067CF2" w:rsidRPr="00102445">
        <w:rPr>
          <w:lang w:eastAsia="en-AU"/>
        </w:rPr>
        <w:t xml:space="preserve">emissions </w:t>
      </w:r>
      <w:r w:rsidR="0061700C" w:rsidRPr="00102445">
        <w:rPr>
          <w:lang w:eastAsia="en-AU"/>
        </w:rPr>
        <w:t>number</w:t>
      </w:r>
      <w:r w:rsidR="00CC7B1A" w:rsidRPr="00102445">
        <w:rPr>
          <w:lang w:eastAsia="en-AU"/>
        </w:rPr>
        <w:t xml:space="preserve"> as the proposed borrowing adjustment number for the facility for the financial year. </w:t>
      </w:r>
    </w:p>
    <w:p w14:paraId="6A98C941" w14:textId="1F740C9B" w:rsidR="007F19C8" w:rsidRPr="00102445" w:rsidRDefault="009107CF"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Section </w:t>
      </w:r>
      <w:r w:rsidR="007B22EC" w:rsidRPr="00102445">
        <w:rPr>
          <w:lang w:eastAsia="en-AU"/>
        </w:rPr>
        <w:t xml:space="preserve">49 </w:t>
      </w:r>
      <w:r w:rsidRPr="00102445">
        <w:rPr>
          <w:lang w:eastAsia="en-AU"/>
        </w:rPr>
        <w:t xml:space="preserve">applies </w:t>
      </w:r>
      <w:r w:rsidR="009B62C8" w:rsidRPr="00102445">
        <w:rPr>
          <w:lang w:eastAsia="en-AU"/>
        </w:rPr>
        <w:t>if</w:t>
      </w:r>
      <w:r w:rsidR="00C36C1F" w:rsidRPr="00102445">
        <w:rPr>
          <w:lang w:eastAsia="en-AU"/>
        </w:rPr>
        <w:t xml:space="preserve"> the responsible emitter for an existing facility applies for a borrowing adjustment determination</w:t>
      </w:r>
      <w:r w:rsidR="008D78D6" w:rsidRPr="00102445">
        <w:rPr>
          <w:lang w:eastAsia="en-AU"/>
        </w:rPr>
        <w:t xml:space="preserve"> under section </w:t>
      </w:r>
      <w:r w:rsidR="007B22EC" w:rsidRPr="00102445">
        <w:rPr>
          <w:lang w:eastAsia="en-AU"/>
        </w:rPr>
        <w:t>48</w:t>
      </w:r>
      <w:r w:rsidR="00C36C1F" w:rsidRPr="00102445">
        <w:rPr>
          <w:lang w:eastAsia="en-AU"/>
        </w:rPr>
        <w:t xml:space="preserve">. </w:t>
      </w:r>
      <w:r w:rsidR="005B481B" w:rsidRPr="00102445">
        <w:rPr>
          <w:lang w:eastAsia="en-AU"/>
        </w:rPr>
        <w:t>Subs</w:t>
      </w:r>
      <w:r w:rsidR="0013635E" w:rsidRPr="00102445">
        <w:rPr>
          <w:lang w:eastAsia="en-AU"/>
        </w:rPr>
        <w:t xml:space="preserve">ection </w:t>
      </w:r>
      <w:r w:rsidR="007B22EC" w:rsidRPr="00102445">
        <w:rPr>
          <w:lang w:eastAsia="en-AU"/>
        </w:rPr>
        <w:t>49</w:t>
      </w:r>
      <w:r w:rsidR="005B481B" w:rsidRPr="00102445">
        <w:rPr>
          <w:lang w:eastAsia="en-AU"/>
        </w:rPr>
        <w:t>(2)</w:t>
      </w:r>
      <w:r w:rsidR="0013635E" w:rsidRPr="00102445">
        <w:rPr>
          <w:lang w:eastAsia="en-AU"/>
        </w:rPr>
        <w:t xml:space="preserve"> </w:t>
      </w:r>
      <w:r w:rsidR="00793F95" w:rsidRPr="00102445">
        <w:rPr>
          <w:lang w:eastAsia="en-AU"/>
        </w:rPr>
        <w:t xml:space="preserve">requires the Regulator to </w:t>
      </w:r>
      <w:r w:rsidR="004A66C6" w:rsidRPr="00102445">
        <w:rPr>
          <w:lang w:eastAsia="en-AU"/>
        </w:rPr>
        <w:t xml:space="preserve">take all reasonable steps to decide an outcome for an </w:t>
      </w:r>
      <w:r w:rsidR="004A66C6" w:rsidRPr="00102445">
        <w:t xml:space="preserve">application </w:t>
      </w:r>
      <w:r w:rsidR="00C05C4F" w:rsidRPr="00102445">
        <w:t>for a</w:t>
      </w:r>
      <w:r w:rsidR="00AC56FC" w:rsidRPr="00102445">
        <w:t xml:space="preserve"> borrowing adjustment determination </w:t>
      </w:r>
      <w:r w:rsidR="004A66C6" w:rsidRPr="00102445">
        <w:rPr>
          <w:lang w:eastAsia="en-AU"/>
        </w:rPr>
        <w:t xml:space="preserve">before the end of the decision date. The relevant decision date for an application is specified in Section </w:t>
      </w:r>
      <w:r w:rsidR="007B22EC" w:rsidRPr="00102445">
        <w:rPr>
          <w:lang w:eastAsia="en-AU"/>
        </w:rPr>
        <w:t>52</w:t>
      </w:r>
      <w:r w:rsidR="004A66C6" w:rsidRPr="00102445">
        <w:rPr>
          <w:lang w:eastAsia="en-AU"/>
        </w:rPr>
        <w:t>.</w:t>
      </w:r>
      <w:r w:rsidR="007F19C8" w:rsidRPr="00102445">
        <w:rPr>
          <w:lang w:eastAsia="en-AU"/>
        </w:rPr>
        <w:t xml:space="preserve"> Subsection </w:t>
      </w:r>
      <w:r w:rsidR="007B22EC" w:rsidRPr="00102445">
        <w:rPr>
          <w:lang w:eastAsia="en-AU"/>
        </w:rPr>
        <w:t>49</w:t>
      </w:r>
      <w:r w:rsidR="00326187" w:rsidRPr="00102445">
        <w:rPr>
          <w:lang w:eastAsia="en-AU"/>
        </w:rPr>
        <w:t>(</w:t>
      </w:r>
      <w:r w:rsidR="007F19C8" w:rsidRPr="00102445">
        <w:rPr>
          <w:lang w:eastAsia="en-AU"/>
        </w:rPr>
        <w:t>2</w:t>
      </w:r>
      <w:r w:rsidR="00326187" w:rsidRPr="00102445">
        <w:rPr>
          <w:lang w:eastAsia="en-AU"/>
        </w:rPr>
        <w:t>)</w:t>
      </w:r>
      <w:r w:rsidR="007F19C8" w:rsidRPr="00102445">
        <w:rPr>
          <w:lang w:eastAsia="en-AU"/>
        </w:rPr>
        <w:t xml:space="preserve"> is subject to the Regulator receiving appropriate information from the responsible emitter. </w:t>
      </w:r>
      <w:r w:rsidR="007F19C8" w:rsidRPr="00102445">
        <w:rPr>
          <w:rFonts w:eastAsia="Times New Roman" w:cs="Times New Roman"/>
          <w:lang w:eastAsia="en-AU"/>
        </w:rPr>
        <w:t>The Regulator may request the responsible emitter provide further information relevant to the application. This request should be made in writing and specify a notice period by which the requested information should be provided. If the requested information is not provided in the time period specified then the Regulator does not have to consider, or may cease considering, the application.</w:t>
      </w:r>
    </w:p>
    <w:p w14:paraId="537E3BD2" w14:textId="12874B79" w:rsidR="00E03EC5" w:rsidRPr="00102445" w:rsidRDefault="00ED170A"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lang w:eastAsia="en-AU"/>
        </w:rPr>
        <w:t xml:space="preserve">Section </w:t>
      </w:r>
      <w:r w:rsidR="007B22EC" w:rsidRPr="00102445">
        <w:rPr>
          <w:lang w:eastAsia="en-AU"/>
        </w:rPr>
        <w:t xml:space="preserve">50 </w:t>
      </w:r>
      <w:r w:rsidRPr="00102445">
        <w:rPr>
          <w:lang w:eastAsia="en-AU"/>
        </w:rPr>
        <w:t xml:space="preserve">requires the Regulator to make a decision </w:t>
      </w:r>
      <w:r w:rsidR="005D3718" w:rsidRPr="00102445">
        <w:rPr>
          <w:lang w:eastAsia="en-AU"/>
        </w:rPr>
        <w:t xml:space="preserve">in relation to an application for a borrowing adjustment determination and the conditions </w:t>
      </w:r>
      <w:r w:rsidR="006A79DF" w:rsidRPr="00102445">
        <w:rPr>
          <w:lang w:eastAsia="en-AU"/>
        </w:rPr>
        <w:t>under which a determination can be made.</w:t>
      </w:r>
      <w:r w:rsidR="00413124" w:rsidRPr="00102445">
        <w:rPr>
          <w:lang w:eastAsia="en-AU"/>
        </w:rPr>
        <w:t xml:space="preserve"> </w:t>
      </w:r>
      <w:r w:rsidR="009A2186" w:rsidRPr="00102445">
        <w:rPr>
          <w:lang w:eastAsia="en-AU"/>
        </w:rPr>
        <w:t xml:space="preserve">Subsection </w:t>
      </w:r>
      <w:r w:rsidR="007B22EC" w:rsidRPr="00102445">
        <w:rPr>
          <w:lang w:eastAsia="en-AU"/>
        </w:rPr>
        <w:t>50</w:t>
      </w:r>
      <w:r w:rsidR="009A2186" w:rsidRPr="00102445">
        <w:rPr>
          <w:lang w:eastAsia="en-AU"/>
        </w:rPr>
        <w:t>(2)</w:t>
      </w:r>
      <w:r w:rsidR="00B949AA" w:rsidRPr="00102445">
        <w:rPr>
          <w:lang w:eastAsia="en-AU"/>
        </w:rPr>
        <w:t xml:space="preserve"> </w:t>
      </w:r>
      <w:r w:rsidR="00256D39" w:rsidRPr="00102445">
        <w:rPr>
          <w:lang w:eastAsia="en-AU"/>
        </w:rPr>
        <w:t>specifies</w:t>
      </w:r>
      <w:r w:rsidR="009B5897" w:rsidRPr="00102445">
        <w:rPr>
          <w:lang w:eastAsia="en-AU"/>
        </w:rPr>
        <w:t xml:space="preserve"> that</w:t>
      </w:r>
      <w:r w:rsidR="00C13BA2" w:rsidRPr="00102445">
        <w:rPr>
          <w:lang w:eastAsia="en-AU"/>
        </w:rPr>
        <w:t>, t</w:t>
      </w:r>
      <w:r w:rsidR="008E0EF9" w:rsidRPr="00102445">
        <w:rPr>
          <w:lang w:eastAsia="en-AU"/>
        </w:rPr>
        <w:t xml:space="preserve">o make a </w:t>
      </w:r>
      <w:r w:rsidR="009B5897" w:rsidRPr="00102445">
        <w:rPr>
          <w:lang w:eastAsia="en-AU"/>
        </w:rPr>
        <w:t>borrowing adjustment determination</w:t>
      </w:r>
      <w:r w:rsidR="00C13BA2" w:rsidRPr="00102445">
        <w:rPr>
          <w:lang w:eastAsia="en-AU"/>
        </w:rPr>
        <w:t>,</w:t>
      </w:r>
      <w:r w:rsidR="009B5897" w:rsidRPr="00102445">
        <w:rPr>
          <w:lang w:eastAsia="en-AU"/>
        </w:rPr>
        <w:t xml:space="preserve"> </w:t>
      </w:r>
      <w:r w:rsidR="008E0EF9" w:rsidRPr="00102445">
        <w:rPr>
          <w:lang w:eastAsia="en-AU"/>
        </w:rPr>
        <w:t>the Regulator must be satisfied that</w:t>
      </w:r>
      <w:r w:rsidR="005001EC" w:rsidRPr="00102445">
        <w:rPr>
          <w:lang w:eastAsia="en-AU"/>
        </w:rPr>
        <w:t xml:space="preserve"> the facility is likely to be a designated large facility in the financial year </w:t>
      </w:r>
      <w:r w:rsidR="000F6E7D" w:rsidRPr="00102445">
        <w:rPr>
          <w:lang w:eastAsia="en-AU"/>
        </w:rPr>
        <w:t xml:space="preserve">after the </w:t>
      </w:r>
      <w:r w:rsidR="006540B0" w:rsidRPr="00102445">
        <w:rPr>
          <w:lang w:eastAsia="en-AU"/>
        </w:rPr>
        <w:t>f</w:t>
      </w:r>
      <w:r w:rsidR="002703B5" w:rsidRPr="00102445">
        <w:rPr>
          <w:lang w:eastAsia="en-AU"/>
        </w:rPr>
        <w:t>inancial year mentioned in subsection (1)</w:t>
      </w:r>
      <w:r w:rsidR="005001EC" w:rsidRPr="00102445">
        <w:rPr>
          <w:lang w:eastAsia="en-AU"/>
        </w:rPr>
        <w:t xml:space="preserve"> and </w:t>
      </w:r>
      <w:r w:rsidR="006749C6" w:rsidRPr="00102445">
        <w:rPr>
          <w:lang w:eastAsia="en-AU"/>
        </w:rPr>
        <w:t>that the</w:t>
      </w:r>
      <w:r w:rsidR="007566EF" w:rsidRPr="00102445">
        <w:rPr>
          <w:lang w:eastAsia="en-AU"/>
        </w:rPr>
        <w:t xml:space="preserve"> borrowing adjustment</w:t>
      </w:r>
      <w:r w:rsidR="006749C6" w:rsidRPr="00102445">
        <w:rPr>
          <w:lang w:eastAsia="en-AU"/>
        </w:rPr>
        <w:t xml:space="preserve"> number proposed in the application is less than 10% of the facility’s unadjusted baseline for that financial year.</w:t>
      </w:r>
      <w:r w:rsidR="00D50AC2" w:rsidRPr="00102445">
        <w:rPr>
          <w:lang w:eastAsia="en-AU"/>
        </w:rPr>
        <w:t xml:space="preserve"> </w:t>
      </w:r>
      <w:r w:rsidR="00FF405A" w:rsidRPr="00102445">
        <w:rPr>
          <w:lang w:eastAsia="en-AU"/>
        </w:rPr>
        <w:t xml:space="preserve">The meaning of unadjusted baseline for the purpose of this section is </w:t>
      </w:r>
      <w:r w:rsidR="00A3421A" w:rsidRPr="00102445">
        <w:rPr>
          <w:lang w:eastAsia="en-AU"/>
        </w:rPr>
        <w:t>specified</w:t>
      </w:r>
      <w:r w:rsidR="00FF405A" w:rsidRPr="00102445">
        <w:rPr>
          <w:lang w:eastAsia="en-AU"/>
        </w:rPr>
        <w:t xml:space="preserve"> in subsection </w:t>
      </w:r>
      <w:r w:rsidR="007B22EC" w:rsidRPr="00102445">
        <w:rPr>
          <w:lang w:eastAsia="en-AU"/>
        </w:rPr>
        <w:t>50</w:t>
      </w:r>
      <w:r w:rsidR="00EB1FBC" w:rsidRPr="00102445">
        <w:rPr>
          <w:lang w:eastAsia="en-AU"/>
        </w:rPr>
        <w:t xml:space="preserve">(4). </w:t>
      </w:r>
      <w:r w:rsidR="00E03EC5" w:rsidRPr="00102445">
        <w:rPr>
          <w:rFonts w:eastAsia="Times New Roman" w:cs="Times New Roman"/>
          <w:lang w:eastAsia="en-AU"/>
        </w:rPr>
        <w:t xml:space="preserve">If the Regulator makes the </w:t>
      </w:r>
      <w:r w:rsidR="001878B9" w:rsidRPr="00102445">
        <w:rPr>
          <w:rFonts w:eastAsia="Times New Roman" w:cs="Times New Roman"/>
          <w:lang w:eastAsia="en-AU"/>
        </w:rPr>
        <w:t>determination,</w:t>
      </w:r>
      <w:r w:rsidR="00E03EC5" w:rsidRPr="00102445">
        <w:rPr>
          <w:rFonts w:eastAsia="Times New Roman" w:cs="Times New Roman"/>
          <w:lang w:eastAsia="en-AU"/>
        </w:rPr>
        <w:t xml:space="preserve"> they must notify the responsible emitter and publish the emissions intensity determination, as varied, on the Regulator’s website. If the Regulator </w:t>
      </w:r>
      <w:r w:rsidR="00C02D20" w:rsidRPr="00102445">
        <w:rPr>
          <w:rFonts w:eastAsia="Times New Roman" w:cs="Times New Roman"/>
          <w:lang w:eastAsia="en-AU"/>
        </w:rPr>
        <w:t>refuses to make the determination</w:t>
      </w:r>
      <w:r w:rsidR="00E03EC5" w:rsidRPr="00102445">
        <w:rPr>
          <w:rFonts w:eastAsia="Times New Roman" w:cs="Times New Roman"/>
          <w:lang w:eastAsia="en-AU"/>
        </w:rPr>
        <w:t xml:space="preserve">, they must </w:t>
      </w:r>
      <w:r w:rsidR="00C02D20" w:rsidRPr="00102445">
        <w:rPr>
          <w:rFonts w:eastAsia="Times New Roman" w:cs="Times New Roman"/>
          <w:lang w:eastAsia="en-AU"/>
        </w:rPr>
        <w:t xml:space="preserve">notify the </w:t>
      </w:r>
      <w:r w:rsidR="001878B9" w:rsidRPr="00102445">
        <w:rPr>
          <w:rFonts w:eastAsia="Times New Roman" w:cs="Times New Roman"/>
          <w:lang w:eastAsia="en-AU"/>
        </w:rPr>
        <w:t xml:space="preserve">applicant in writing and </w:t>
      </w:r>
      <w:r w:rsidR="00E03EC5" w:rsidRPr="00102445">
        <w:rPr>
          <w:rFonts w:eastAsia="Times New Roman" w:cs="Times New Roman"/>
          <w:lang w:eastAsia="en-AU"/>
        </w:rPr>
        <w:t>include reasons for their decision in their notification</w:t>
      </w:r>
      <w:r w:rsidR="001878B9" w:rsidRPr="00102445">
        <w:rPr>
          <w:rFonts w:eastAsia="Times New Roman" w:cs="Times New Roman"/>
          <w:lang w:eastAsia="en-AU"/>
        </w:rPr>
        <w:t>.</w:t>
      </w:r>
    </w:p>
    <w:p w14:paraId="2EAA11A8" w14:textId="008C7C39" w:rsidR="00801576" w:rsidRPr="00102445" w:rsidRDefault="00A06713"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A</w:t>
      </w:r>
      <w:r w:rsidR="002666EF" w:rsidRPr="00102445">
        <w:rPr>
          <w:rFonts w:eastAsia="Times New Roman" w:cs="Times New Roman"/>
          <w:lang w:eastAsia="en-AU"/>
        </w:rPr>
        <w:t xml:space="preserve"> borrowing adjustment </w:t>
      </w:r>
      <w:r w:rsidR="00E25511" w:rsidRPr="00102445">
        <w:rPr>
          <w:rFonts w:eastAsia="Times New Roman" w:cs="Times New Roman"/>
          <w:lang w:eastAsia="en-AU"/>
        </w:rPr>
        <w:t>may not</w:t>
      </w:r>
      <w:r w:rsidR="002666EF" w:rsidRPr="00102445">
        <w:rPr>
          <w:rFonts w:eastAsia="Times New Roman" w:cs="Times New Roman"/>
          <w:lang w:eastAsia="en-AU"/>
        </w:rPr>
        <w:t xml:space="preserve"> </w:t>
      </w:r>
      <w:r w:rsidR="00D65BA8" w:rsidRPr="00102445">
        <w:rPr>
          <w:rFonts w:eastAsia="Times New Roman" w:cs="Times New Roman"/>
          <w:lang w:eastAsia="en-AU"/>
        </w:rPr>
        <w:t xml:space="preserve">apply </w:t>
      </w:r>
      <w:r w:rsidR="00E25511" w:rsidRPr="00102445">
        <w:rPr>
          <w:rFonts w:eastAsia="Times New Roman" w:cs="Times New Roman"/>
          <w:lang w:eastAsia="en-AU"/>
        </w:rPr>
        <w:t>to</w:t>
      </w:r>
      <w:r w:rsidR="00CC24D2" w:rsidRPr="00102445">
        <w:rPr>
          <w:rFonts w:eastAsia="Times New Roman" w:cs="Times New Roman"/>
          <w:lang w:eastAsia="en-AU"/>
        </w:rPr>
        <w:t xml:space="preserve"> </w:t>
      </w:r>
      <w:r w:rsidR="00221991" w:rsidRPr="00102445">
        <w:rPr>
          <w:rFonts w:eastAsia="Times New Roman" w:cs="Times New Roman"/>
          <w:lang w:eastAsia="en-AU"/>
        </w:rPr>
        <w:t xml:space="preserve">a </w:t>
      </w:r>
      <w:r w:rsidR="00E25511" w:rsidRPr="00102445">
        <w:rPr>
          <w:rFonts w:eastAsia="Times New Roman" w:cs="Times New Roman"/>
          <w:lang w:eastAsia="en-AU"/>
        </w:rPr>
        <w:t xml:space="preserve">financial </w:t>
      </w:r>
      <w:r w:rsidR="00221991" w:rsidRPr="00102445">
        <w:rPr>
          <w:rFonts w:eastAsia="Times New Roman" w:cs="Times New Roman"/>
          <w:lang w:eastAsia="en-AU"/>
        </w:rPr>
        <w:t xml:space="preserve">year that is </w:t>
      </w:r>
      <w:r w:rsidR="00396324" w:rsidRPr="00102445">
        <w:rPr>
          <w:rFonts w:eastAsia="Times New Roman" w:cs="Times New Roman"/>
          <w:lang w:eastAsia="en-AU"/>
        </w:rPr>
        <w:t xml:space="preserve">included in a multi-year monitoring period. </w:t>
      </w:r>
      <w:r w:rsidR="003010BB" w:rsidRPr="00102445">
        <w:rPr>
          <w:rFonts w:eastAsia="Times New Roman" w:cs="Times New Roman"/>
          <w:lang w:eastAsia="en-AU"/>
        </w:rPr>
        <w:t>Section</w:t>
      </w:r>
      <w:r w:rsidR="00E25511" w:rsidRPr="00102445">
        <w:rPr>
          <w:rFonts w:eastAsia="Times New Roman" w:cs="Times New Roman"/>
          <w:lang w:eastAsia="en-AU"/>
        </w:rPr>
        <w:t xml:space="preserve"> </w:t>
      </w:r>
      <w:r w:rsidR="007B22EC" w:rsidRPr="00102445">
        <w:rPr>
          <w:rFonts w:eastAsia="Times New Roman" w:cs="Times New Roman"/>
          <w:lang w:eastAsia="en-AU"/>
        </w:rPr>
        <w:t>51</w:t>
      </w:r>
      <w:r w:rsidR="00E25511" w:rsidRPr="00102445">
        <w:rPr>
          <w:rFonts w:eastAsia="Times New Roman" w:cs="Times New Roman"/>
          <w:lang w:eastAsia="en-AU"/>
        </w:rPr>
        <w:t xml:space="preserve"> </w:t>
      </w:r>
      <w:r w:rsidR="007B5DFC" w:rsidRPr="00102445">
        <w:rPr>
          <w:rFonts w:eastAsia="Times New Roman" w:cs="Times New Roman"/>
          <w:lang w:eastAsia="en-AU"/>
        </w:rPr>
        <w:t xml:space="preserve">requires the Regulator to revoke </w:t>
      </w:r>
      <w:r w:rsidR="00B36F91" w:rsidRPr="00102445">
        <w:rPr>
          <w:rFonts w:eastAsia="Times New Roman" w:cs="Times New Roman"/>
          <w:lang w:eastAsia="en-AU"/>
        </w:rPr>
        <w:t xml:space="preserve">a borrowing adjustment </w:t>
      </w:r>
      <w:r w:rsidR="000F6575" w:rsidRPr="00102445">
        <w:rPr>
          <w:rFonts w:eastAsia="Times New Roman" w:cs="Times New Roman"/>
          <w:lang w:eastAsia="en-AU"/>
        </w:rPr>
        <w:t>determination</w:t>
      </w:r>
      <w:r w:rsidR="00B36F91" w:rsidRPr="00102445">
        <w:rPr>
          <w:rFonts w:eastAsia="Times New Roman" w:cs="Times New Roman"/>
          <w:lang w:eastAsia="en-AU"/>
        </w:rPr>
        <w:t xml:space="preserve"> if</w:t>
      </w:r>
      <w:r w:rsidR="007B5DFC" w:rsidRPr="00102445">
        <w:rPr>
          <w:rFonts w:eastAsia="Times New Roman" w:cs="Times New Roman"/>
          <w:lang w:eastAsia="en-AU"/>
        </w:rPr>
        <w:t xml:space="preserve"> </w:t>
      </w:r>
      <w:r w:rsidR="005768DC" w:rsidRPr="00102445">
        <w:rPr>
          <w:rFonts w:eastAsia="Times New Roman" w:cs="Times New Roman"/>
          <w:lang w:eastAsia="en-AU"/>
        </w:rPr>
        <w:t xml:space="preserve">the year specified </w:t>
      </w:r>
      <w:r w:rsidR="00FE10F3" w:rsidRPr="00102445">
        <w:rPr>
          <w:rFonts w:eastAsia="Times New Roman" w:cs="Times New Roman"/>
          <w:lang w:eastAsia="en-AU"/>
        </w:rPr>
        <w:t>in the determ</w:t>
      </w:r>
      <w:r w:rsidR="005A5FED" w:rsidRPr="00102445">
        <w:rPr>
          <w:rFonts w:eastAsia="Times New Roman" w:cs="Times New Roman"/>
          <w:lang w:eastAsia="en-AU"/>
        </w:rPr>
        <w:t xml:space="preserve">ination </w:t>
      </w:r>
      <w:r w:rsidR="00D65BA8" w:rsidRPr="00102445">
        <w:rPr>
          <w:rFonts w:eastAsia="Times New Roman" w:cs="Times New Roman"/>
          <w:lang w:eastAsia="en-AU"/>
        </w:rPr>
        <w:t xml:space="preserve">becomes part of </w:t>
      </w:r>
      <w:r w:rsidR="00991D03" w:rsidRPr="00102445">
        <w:rPr>
          <w:rFonts w:eastAsia="Times New Roman" w:cs="Times New Roman"/>
          <w:lang w:eastAsia="en-AU"/>
        </w:rPr>
        <w:t>a declared muti-year monitoring period for the facility.</w:t>
      </w:r>
      <w:r w:rsidR="005940CC" w:rsidRPr="00102445">
        <w:rPr>
          <w:rFonts w:eastAsia="Times New Roman" w:cs="Times New Roman"/>
          <w:lang w:eastAsia="en-AU"/>
        </w:rPr>
        <w:t xml:space="preserve"> </w:t>
      </w:r>
    </w:p>
    <w:p w14:paraId="642BD8D8" w14:textId="4C63152B" w:rsidR="00FB257D" w:rsidRPr="00102445" w:rsidRDefault="00FB257D"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Facilitie</w:t>
      </w:r>
      <w:r w:rsidR="00557D3C" w:rsidRPr="00102445">
        <w:rPr>
          <w:rFonts w:eastAsia="Times New Roman" w:cs="Times New Roman"/>
          <w:lang w:eastAsia="en-AU"/>
        </w:rPr>
        <w:t>s may apply for borrowing adjustments in a row</w:t>
      </w:r>
      <w:r w:rsidR="00B67C83" w:rsidRPr="00102445">
        <w:rPr>
          <w:rFonts w:eastAsia="Times New Roman" w:cs="Times New Roman"/>
          <w:lang w:eastAsia="en-AU"/>
        </w:rPr>
        <w:t>, as illustrated in the following example.</w:t>
      </w:r>
      <w:r w:rsidR="00E656EA" w:rsidRPr="00102445">
        <w:rPr>
          <w:rFonts w:eastAsia="Times New Roman" w:cs="Times New Roman"/>
          <w:lang w:eastAsia="en-AU"/>
        </w:rPr>
        <w:t xml:space="preserve"> </w:t>
      </w:r>
      <w:r w:rsidR="0081331F" w:rsidRPr="00102445">
        <w:rPr>
          <w:rFonts w:eastAsia="Times New Roman" w:cs="Times New Roman"/>
          <w:lang w:eastAsia="en-AU"/>
        </w:rPr>
        <w:t xml:space="preserve">Suppose that </w:t>
      </w:r>
      <w:r w:rsidR="00F971B2" w:rsidRPr="00102445">
        <w:rPr>
          <w:rFonts w:eastAsia="Times New Roman" w:cs="Times New Roman"/>
          <w:lang w:eastAsia="en-AU"/>
        </w:rPr>
        <w:t xml:space="preserve">RobesterWorks is a designated large facility that </w:t>
      </w:r>
      <w:r w:rsidR="00EC2BFF" w:rsidRPr="00102445">
        <w:rPr>
          <w:rFonts w:eastAsia="Times New Roman" w:cs="Times New Roman"/>
          <w:lang w:eastAsia="en-AU"/>
        </w:rPr>
        <w:t xml:space="preserve">has a baseline </w:t>
      </w:r>
      <w:r w:rsidR="00E578BB" w:rsidRPr="00102445">
        <w:rPr>
          <w:rFonts w:eastAsia="Times New Roman" w:cs="Times New Roman"/>
          <w:lang w:eastAsia="en-AU"/>
        </w:rPr>
        <w:t xml:space="preserve">emissions number </w:t>
      </w:r>
      <w:r w:rsidR="00EC2BFF" w:rsidRPr="00102445">
        <w:rPr>
          <w:rFonts w:eastAsia="Times New Roman" w:cs="Times New Roman"/>
          <w:lang w:eastAsia="en-AU"/>
        </w:rPr>
        <w:t>of</w:t>
      </w:r>
      <w:r w:rsidR="003814DE" w:rsidRPr="00102445">
        <w:rPr>
          <w:rFonts w:eastAsia="Times New Roman" w:cs="Times New Roman"/>
          <w:lang w:eastAsia="en-AU"/>
        </w:rPr>
        <w:t xml:space="preserve"> </w:t>
      </w:r>
      <w:r w:rsidR="00E578BB" w:rsidRPr="00102445">
        <w:rPr>
          <w:rFonts w:eastAsia="Times New Roman" w:cs="Times New Roman"/>
          <w:lang w:eastAsia="en-AU"/>
        </w:rPr>
        <w:t xml:space="preserve">200,000 </w:t>
      </w:r>
      <w:r w:rsidR="00111AC6" w:rsidRPr="00102445">
        <w:rPr>
          <w:rFonts w:eastAsia="Times New Roman" w:cs="Times New Roman"/>
          <w:lang w:eastAsia="en-AU"/>
        </w:rPr>
        <w:t xml:space="preserve">(without a borrowing adjustment) </w:t>
      </w:r>
      <w:r w:rsidR="00E578BB" w:rsidRPr="00102445">
        <w:rPr>
          <w:rFonts w:eastAsia="Times New Roman" w:cs="Times New Roman"/>
          <w:lang w:eastAsia="en-AU"/>
        </w:rPr>
        <w:t>in 202</w:t>
      </w:r>
      <w:r w:rsidR="003407D8" w:rsidRPr="00102445">
        <w:rPr>
          <w:rFonts w:eastAsia="Times New Roman" w:cs="Times New Roman"/>
          <w:lang w:eastAsia="en-AU"/>
        </w:rPr>
        <w:t>6</w:t>
      </w:r>
      <w:r w:rsidR="00E578BB" w:rsidRPr="00102445">
        <w:rPr>
          <w:rFonts w:eastAsia="Times New Roman" w:cs="Times New Roman"/>
          <w:lang w:eastAsia="en-AU"/>
        </w:rPr>
        <w:t>-2</w:t>
      </w:r>
      <w:r w:rsidR="003407D8" w:rsidRPr="00102445">
        <w:rPr>
          <w:rFonts w:eastAsia="Times New Roman" w:cs="Times New Roman"/>
          <w:lang w:eastAsia="en-AU"/>
        </w:rPr>
        <w:t>7</w:t>
      </w:r>
      <w:r w:rsidR="00E578BB" w:rsidRPr="00102445">
        <w:rPr>
          <w:rFonts w:eastAsia="Times New Roman" w:cs="Times New Roman"/>
          <w:lang w:eastAsia="en-AU"/>
        </w:rPr>
        <w:t xml:space="preserve">. </w:t>
      </w:r>
      <w:r w:rsidR="00055B0A" w:rsidRPr="00102445">
        <w:rPr>
          <w:rFonts w:eastAsia="Times New Roman" w:cs="Times New Roman"/>
          <w:lang w:eastAsia="en-AU"/>
        </w:rPr>
        <w:t>RobesterWorks’</w:t>
      </w:r>
      <w:r w:rsidR="00DD79EB" w:rsidRPr="00102445">
        <w:rPr>
          <w:rFonts w:eastAsia="Times New Roman" w:cs="Times New Roman"/>
          <w:lang w:eastAsia="en-AU"/>
        </w:rPr>
        <w:t xml:space="preserve"> responsible emitter</w:t>
      </w:r>
      <w:r w:rsidR="005E049F" w:rsidRPr="00102445">
        <w:rPr>
          <w:rFonts w:eastAsia="Times New Roman" w:cs="Times New Roman"/>
          <w:lang w:eastAsia="en-AU"/>
        </w:rPr>
        <w:t xml:space="preserve"> could increase its baseline </w:t>
      </w:r>
      <w:r w:rsidR="00F65B2A" w:rsidRPr="00102445">
        <w:rPr>
          <w:rFonts w:eastAsia="Times New Roman" w:cs="Times New Roman"/>
          <w:lang w:eastAsia="en-AU"/>
        </w:rPr>
        <w:t xml:space="preserve">emissions number </w:t>
      </w:r>
      <w:r w:rsidR="005E049F" w:rsidRPr="00102445">
        <w:rPr>
          <w:rFonts w:eastAsia="Times New Roman" w:cs="Times New Roman"/>
          <w:lang w:eastAsia="en-AU"/>
        </w:rPr>
        <w:t>to up to 220,000</w:t>
      </w:r>
      <w:r w:rsidR="00CF78C7" w:rsidRPr="00102445">
        <w:rPr>
          <w:rFonts w:eastAsia="Times New Roman" w:cs="Times New Roman"/>
          <w:lang w:eastAsia="en-AU"/>
        </w:rPr>
        <w:t xml:space="preserve"> </w:t>
      </w:r>
      <w:r w:rsidR="00F65B2A" w:rsidRPr="00102445">
        <w:rPr>
          <w:rFonts w:eastAsia="Times New Roman" w:cs="Times New Roman"/>
          <w:lang w:eastAsia="en-AU"/>
        </w:rPr>
        <w:t>in 202</w:t>
      </w:r>
      <w:r w:rsidR="003407D8" w:rsidRPr="00102445">
        <w:rPr>
          <w:rFonts w:eastAsia="Times New Roman" w:cs="Times New Roman"/>
          <w:lang w:eastAsia="en-AU"/>
        </w:rPr>
        <w:t>6</w:t>
      </w:r>
      <w:r w:rsidR="00F65B2A" w:rsidRPr="00102445">
        <w:rPr>
          <w:rFonts w:eastAsia="Times New Roman" w:cs="Times New Roman"/>
          <w:lang w:eastAsia="en-AU"/>
        </w:rPr>
        <w:noBreakHyphen/>
        <w:t>2</w:t>
      </w:r>
      <w:r w:rsidR="003407D8" w:rsidRPr="00102445">
        <w:rPr>
          <w:rFonts w:eastAsia="Times New Roman" w:cs="Times New Roman"/>
          <w:lang w:eastAsia="en-AU"/>
        </w:rPr>
        <w:t>7</w:t>
      </w:r>
      <w:r w:rsidR="00F65B2A" w:rsidRPr="00102445">
        <w:rPr>
          <w:rFonts w:eastAsia="Times New Roman" w:cs="Times New Roman"/>
          <w:lang w:eastAsia="en-AU"/>
        </w:rPr>
        <w:t xml:space="preserve"> </w:t>
      </w:r>
      <w:r w:rsidR="00CF78C7" w:rsidRPr="00102445">
        <w:rPr>
          <w:rFonts w:eastAsia="Times New Roman" w:cs="Times New Roman"/>
          <w:lang w:eastAsia="en-AU"/>
        </w:rPr>
        <w:t xml:space="preserve">by applying for a </w:t>
      </w:r>
      <w:r w:rsidR="00F22675" w:rsidRPr="00102445">
        <w:rPr>
          <w:rFonts w:eastAsia="Times New Roman" w:cs="Times New Roman"/>
          <w:lang w:eastAsia="en-AU"/>
        </w:rPr>
        <w:t xml:space="preserve">borrowing adjustment </w:t>
      </w:r>
      <w:r w:rsidR="00CF78C7" w:rsidRPr="00102445">
        <w:rPr>
          <w:rFonts w:eastAsia="Times New Roman" w:cs="Times New Roman"/>
          <w:lang w:eastAsia="en-AU"/>
        </w:rPr>
        <w:t>determination</w:t>
      </w:r>
      <w:r w:rsidR="00F22675" w:rsidRPr="00102445">
        <w:rPr>
          <w:rFonts w:eastAsia="Times New Roman" w:cs="Times New Roman"/>
          <w:lang w:eastAsia="en-AU"/>
        </w:rPr>
        <w:t xml:space="preserve">. Suppose that it </w:t>
      </w:r>
      <w:r w:rsidR="006C4B28" w:rsidRPr="00102445">
        <w:rPr>
          <w:rFonts w:eastAsia="Times New Roman" w:cs="Times New Roman"/>
          <w:lang w:eastAsia="en-AU"/>
        </w:rPr>
        <w:t>applied for the fu</w:t>
      </w:r>
      <w:r w:rsidR="009C293C" w:rsidRPr="00102445">
        <w:rPr>
          <w:rFonts w:eastAsia="Times New Roman" w:cs="Times New Roman"/>
          <w:lang w:eastAsia="en-AU"/>
        </w:rPr>
        <w:t>ll borrowing adjustment that it is eligible for</w:t>
      </w:r>
      <w:r w:rsidR="0031651D" w:rsidRPr="00102445">
        <w:rPr>
          <w:rFonts w:eastAsia="Times New Roman" w:cs="Times New Roman"/>
          <w:lang w:eastAsia="en-AU"/>
        </w:rPr>
        <w:t>,</w:t>
      </w:r>
      <w:r w:rsidR="00CD500B" w:rsidRPr="00102445">
        <w:rPr>
          <w:rFonts w:eastAsia="Times New Roman" w:cs="Times New Roman"/>
          <w:lang w:eastAsia="en-AU"/>
        </w:rPr>
        <w:t xml:space="preserve"> and its baseline emissions number would </w:t>
      </w:r>
      <w:r w:rsidR="006C4B28" w:rsidRPr="00102445">
        <w:rPr>
          <w:rFonts w:eastAsia="Times New Roman" w:cs="Times New Roman"/>
          <w:lang w:eastAsia="en-AU"/>
        </w:rPr>
        <w:t>otherwise be 190</w:t>
      </w:r>
      <w:r w:rsidR="007A1C63" w:rsidRPr="00102445">
        <w:rPr>
          <w:rFonts w:eastAsia="Times New Roman" w:cs="Times New Roman"/>
          <w:lang w:eastAsia="en-AU"/>
        </w:rPr>
        <w:t xml:space="preserve">,000 in </w:t>
      </w:r>
      <w:r w:rsidR="006F3949" w:rsidRPr="00102445">
        <w:rPr>
          <w:rFonts w:eastAsia="Times New Roman" w:cs="Times New Roman"/>
          <w:lang w:eastAsia="en-AU"/>
        </w:rPr>
        <w:t>202</w:t>
      </w:r>
      <w:r w:rsidR="003407D8" w:rsidRPr="00102445">
        <w:rPr>
          <w:rFonts w:eastAsia="Times New Roman" w:cs="Times New Roman"/>
          <w:lang w:eastAsia="en-AU"/>
        </w:rPr>
        <w:t>7</w:t>
      </w:r>
      <w:r w:rsidR="006F3949" w:rsidRPr="00102445">
        <w:rPr>
          <w:rFonts w:eastAsia="Times New Roman" w:cs="Times New Roman"/>
          <w:lang w:eastAsia="en-AU"/>
        </w:rPr>
        <w:t>-2</w:t>
      </w:r>
      <w:r w:rsidR="003407D8" w:rsidRPr="00102445">
        <w:rPr>
          <w:rFonts w:eastAsia="Times New Roman" w:cs="Times New Roman"/>
          <w:lang w:eastAsia="en-AU"/>
        </w:rPr>
        <w:t>8</w:t>
      </w:r>
      <w:r w:rsidR="00DE3A34" w:rsidRPr="00102445">
        <w:rPr>
          <w:rFonts w:eastAsia="Times New Roman" w:cs="Times New Roman"/>
          <w:lang w:eastAsia="en-AU"/>
        </w:rPr>
        <w:t xml:space="preserve">. The borrowing adjustment would result in </w:t>
      </w:r>
      <w:r w:rsidR="005B17C8" w:rsidRPr="00102445">
        <w:rPr>
          <w:rFonts w:eastAsia="Times New Roman" w:cs="Times New Roman"/>
          <w:lang w:eastAsia="en-AU"/>
        </w:rPr>
        <w:t xml:space="preserve">its baseline emissions number being reduced by </w:t>
      </w:r>
      <w:r w:rsidR="00A616DA" w:rsidRPr="00102445">
        <w:rPr>
          <w:rFonts w:eastAsia="Times New Roman" w:cs="Times New Roman"/>
          <w:lang w:eastAsia="en-AU"/>
        </w:rPr>
        <w:t xml:space="preserve">22,000, which is </w:t>
      </w:r>
      <w:r w:rsidR="005B17C8" w:rsidRPr="00102445">
        <w:rPr>
          <w:rFonts w:eastAsia="Times New Roman" w:cs="Times New Roman"/>
          <w:lang w:eastAsia="en-AU"/>
        </w:rPr>
        <w:t>1.1×20,000</w:t>
      </w:r>
      <w:r w:rsidR="00B95572" w:rsidRPr="00102445">
        <w:rPr>
          <w:rFonts w:eastAsia="Times New Roman" w:cs="Times New Roman"/>
          <w:lang w:eastAsia="en-AU"/>
        </w:rPr>
        <w:t xml:space="preserve">, to </w:t>
      </w:r>
      <w:r w:rsidR="00953C8F" w:rsidRPr="00102445">
        <w:rPr>
          <w:rFonts w:eastAsia="Times New Roman" w:cs="Times New Roman"/>
          <w:lang w:eastAsia="en-AU"/>
        </w:rPr>
        <w:t>168,000</w:t>
      </w:r>
      <w:r w:rsidR="00123BD5" w:rsidRPr="00102445">
        <w:rPr>
          <w:rFonts w:eastAsia="Times New Roman" w:cs="Times New Roman"/>
          <w:lang w:eastAsia="en-AU"/>
        </w:rPr>
        <w:t xml:space="preserve"> in 2027-28.</w:t>
      </w:r>
      <w:r w:rsidR="00DD79EB" w:rsidRPr="00102445">
        <w:rPr>
          <w:rFonts w:eastAsia="Times New Roman" w:cs="Times New Roman"/>
          <w:lang w:eastAsia="en-AU"/>
        </w:rPr>
        <w:t xml:space="preserve"> Its responsible emitter can apply for a borrowing adjustment in 2027-28 </w:t>
      </w:r>
      <w:r w:rsidR="00B76EBF" w:rsidRPr="00102445">
        <w:rPr>
          <w:rFonts w:eastAsia="Times New Roman" w:cs="Times New Roman"/>
          <w:lang w:eastAsia="en-AU"/>
        </w:rPr>
        <w:t>by</w:t>
      </w:r>
      <w:r w:rsidR="0054662C" w:rsidRPr="00102445">
        <w:rPr>
          <w:rFonts w:eastAsia="Times New Roman" w:cs="Times New Roman"/>
          <w:lang w:eastAsia="en-AU"/>
        </w:rPr>
        <w:t xml:space="preserve"> up to </w:t>
      </w:r>
      <w:r w:rsidR="00533111" w:rsidRPr="00102445">
        <w:rPr>
          <w:rFonts w:eastAsia="Times New Roman" w:cs="Times New Roman"/>
          <w:lang w:eastAsia="en-AU"/>
        </w:rPr>
        <w:t>1</w:t>
      </w:r>
      <w:r w:rsidR="00B76EBF" w:rsidRPr="00102445">
        <w:rPr>
          <w:rFonts w:eastAsia="Times New Roman" w:cs="Times New Roman"/>
          <w:lang w:eastAsia="en-AU"/>
        </w:rPr>
        <w:t>6,800</w:t>
      </w:r>
      <w:r w:rsidR="007D4265" w:rsidRPr="00102445">
        <w:rPr>
          <w:rFonts w:eastAsia="Times New Roman" w:cs="Times New Roman"/>
          <w:lang w:eastAsia="en-AU"/>
        </w:rPr>
        <w:t xml:space="preserve"> (which is </w:t>
      </w:r>
      <w:r w:rsidR="00813B52" w:rsidRPr="00102445">
        <w:rPr>
          <w:rFonts w:eastAsia="Times New Roman" w:cs="Times New Roman"/>
          <w:lang w:eastAsia="en-AU"/>
        </w:rPr>
        <w:t>10 per cent of its unadjusted baseline number – 168,000)</w:t>
      </w:r>
      <w:r w:rsidR="0091776B" w:rsidRPr="00102445">
        <w:rPr>
          <w:rFonts w:eastAsia="Times New Roman" w:cs="Times New Roman"/>
          <w:lang w:eastAsia="en-AU"/>
        </w:rPr>
        <w:t>. Suppose that it did so</w:t>
      </w:r>
      <w:r w:rsidR="00F47528" w:rsidRPr="00102445">
        <w:rPr>
          <w:rFonts w:eastAsia="Times New Roman" w:cs="Times New Roman"/>
          <w:lang w:eastAsia="en-AU"/>
        </w:rPr>
        <w:t xml:space="preserve">, increasing its baseline emissions number to </w:t>
      </w:r>
      <w:r w:rsidR="006168AC" w:rsidRPr="00102445">
        <w:rPr>
          <w:rFonts w:eastAsia="Times New Roman" w:cs="Times New Roman"/>
          <w:lang w:eastAsia="en-AU"/>
        </w:rPr>
        <w:t>1</w:t>
      </w:r>
      <w:r w:rsidR="005C3D1D" w:rsidRPr="00102445">
        <w:rPr>
          <w:rFonts w:eastAsia="Times New Roman" w:cs="Times New Roman"/>
          <w:lang w:eastAsia="en-AU"/>
        </w:rPr>
        <w:t>8</w:t>
      </w:r>
      <w:r w:rsidR="001F1CDB" w:rsidRPr="00102445">
        <w:rPr>
          <w:rFonts w:eastAsia="Times New Roman" w:cs="Times New Roman"/>
          <w:lang w:eastAsia="en-AU"/>
        </w:rPr>
        <w:t>4,800</w:t>
      </w:r>
      <w:r w:rsidR="003575EF" w:rsidRPr="00102445">
        <w:rPr>
          <w:rFonts w:eastAsia="Times New Roman" w:cs="Times New Roman"/>
          <w:lang w:eastAsia="en-AU"/>
        </w:rPr>
        <w:t xml:space="preserve"> in 2027-28</w:t>
      </w:r>
      <w:r w:rsidR="009321AA" w:rsidRPr="00102445">
        <w:rPr>
          <w:rFonts w:eastAsia="Times New Roman" w:cs="Times New Roman"/>
          <w:lang w:eastAsia="en-AU"/>
        </w:rPr>
        <w:t>, and suppose that its baseline emissions number</w:t>
      </w:r>
      <w:r w:rsidR="008F6043" w:rsidRPr="00102445">
        <w:rPr>
          <w:rFonts w:eastAsia="Times New Roman" w:cs="Times New Roman"/>
          <w:lang w:eastAsia="en-AU"/>
        </w:rPr>
        <w:t xml:space="preserve"> would</w:t>
      </w:r>
      <w:r w:rsidR="00AB0246" w:rsidRPr="00102445">
        <w:rPr>
          <w:rFonts w:eastAsia="Times New Roman" w:cs="Times New Roman"/>
          <w:lang w:eastAsia="en-AU"/>
        </w:rPr>
        <w:t xml:space="preserve"> for 2028-29 would be 200,000 if there was</w:t>
      </w:r>
      <w:r w:rsidR="001607B4" w:rsidRPr="00102445">
        <w:rPr>
          <w:rFonts w:eastAsia="Times New Roman" w:cs="Times New Roman"/>
          <w:lang w:eastAsia="en-AU"/>
        </w:rPr>
        <w:t xml:space="preserve"> no borrowing adjustment</w:t>
      </w:r>
      <w:r w:rsidR="00B15E4C" w:rsidRPr="00102445">
        <w:rPr>
          <w:rFonts w:eastAsia="Times New Roman" w:cs="Times New Roman"/>
          <w:lang w:eastAsia="en-AU"/>
        </w:rPr>
        <w:t>.</w:t>
      </w:r>
      <w:r w:rsidR="007223A8" w:rsidRPr="00102445">
        <w:rPr>
          <w:rFonts w:eastAsia="Times New Roman" w:cs="Times New Roman"/>
          <w:lang w:eastAsia="en-AU"/>
        </w:rPr>
        <w:t xml:space="preserve"> The </w:t>
      </w:r>
      <w:r w:rsidR="00341CB7" w:rsidRPr="00102445">
        <w:rPr>
          <w:rFonts w:eastAsia="Times New Roman" w:cs="Times New Roman"/>
          <w:lang w:eastAsia="en-AU"/>
        </w:rPr>
        <w:t xml:space="preserve">baseline emissions number would be </w:t>
      </w:r>
      <w:r w:rsidR="005F1430" w:rsidRPr="00102445">
        <w:rPr>
          <w:rFonts w:eastAsia="Times New Roman" w:cs="Times New Roman"/>
          <w:lang w:eastAsia="en-AU"/>
        </w:rPr>
        <w:t>reduced by 18,480 to</w:t>
      </w:r>
      <w:r w:rsidR="00963E17" w:rsidRPr="00102445">
        <w:rPr>
          <w:rFonts w:eastAsia="Times New Roman" w:cs="Times New Roman"/>
          <w:lang w:eastAsia="en-AU"/>
        </w:rPr>
        <w:t xml:space="preserve"> </w:t>
      </w:r>
      <w:r w:rsidR="001B4819" w:rsidRPr="00102445">
        <w:rPr>
          <w:rFonts w:eastAsia="Times New Roman" w:cs="Times New Roman"/>
          <w:lang w:eastAsia="en-AU"/>
        </w:rPr>
        <w:t>181,520</w:t>
      </w:r>
      <w:r w:rsidR="002054B7" w:rsidRPr="00102445">
        <w:rPr>
          <w:rFonts w:eastAsia="Times New Roman" w:cs="Times New Roman"/>
          <w:lang w:eastAsia="en-AU"/>
        </w:rPr>
        <w:t xml:space="preserve"> for 2028-29. </w:t>
      </w:r>
      <w:r w:rsidR="00B52C64" w:rsidRPr="00102445">
        <w:rPr>
          <w:rFonts w:eastAsia="Times New Roman" w:cs="Times New Roman"/>
          <w:lang w:eastAsia="en-AU"/>
        </w:rPr>
        <w:t xml:space="preserve">Because of the ‘interest rate’ applied to the borrowing adjustment, </w:t>
      </w:r>
      <w:r w:rsidR="00B65E0F" w:rsidRPr="00102445">
        <w:rPr>
          <w:rFonts w:eastAsia="Times New Roman" w:cs="Times New Roman"/>
          <w:lang w:eastAsia="en-AU"/>
        </w:rPr>
        <w:t xml:space="preserve">the total of the </w:t>
      </w:r>
      <w:r w:rsidR="009742BA" w:rsidRPr="00102445">
        <w:rPr>
          <w:rFonts w:eastAsia="Times New Roman" w:cs="Times New Roman"/>
          <w:lang w:eastAsia="en-AU"/>
        </w:rPr>
        <w:t>baseline emissions numbers</w:t>
      </w:r>
      <w:r w:rsidR="00B65E0F" w:rsidRPr="00102445">
        <w:rPr>
          <w:rFonts w:eastAsia="Times New Roman" w:cs="Times New Roman"/>
          <w:lang w:eastAsia="en-AU"/>
        </w:rPr>
        <w:t xml:space="preserve"> over the period between </w:t>
      </w:r>
      <w:r w:rsidR="00F033B8" w:rsidRPr="00102445">
        <w:rPr>
          <w:rFonts w:eastAsia="Times New Roman" w:cs="Times New Roman"/>
          <w:lang w:eastAsia="en-AU"/>
        </w:rPr>
        <w:t xml:space="preserve">2026-27 and </w:t>
      </w:r>
      <w:r w:rsidR="00F033B8" w:rsidRPr="00102445">
        <w:rPr>
          <w:rFonts w:eastAsia="Times New Roman" w:cs="Times New Roman"/>
          <w:lang w:eastAsia="en-AU"/>
        </w:rPr>
        <w:lastRenderedPageBreak/>
        <w:t>2028</w:t>
      </w:r>
      <w:r w:rsidR="009742BA" w:rsidRPr="00102445">
        <w:rPr>
          <w:rFonts w:eastAsia="Times New Roman" w:cs="Times New Roman"/>
          <w:lang w:eastAsia="en-AU"/>
        </w:rPr>
        <w:noBreakHyphen/>
      </w:r>
      <w:r w:rsidR="00F033B8" w:rsidRPr="00102445">
        <w:rPr>
          <w:rFonts w:eastAsia="Times New Roman" w:cs="Times New Roman"/>
          <w:lang w:eastAsia="en-AU"/>
        </w:rPr>
        <w:t xml:space="preserve">29 would be </w:t>
      </w:r>
      <w:r w:rsidR="00055B0A" w:rsidRPr="00102445">
        <w:rPr>
          <w:rFonts w:eastAsia="Times New Roman" w:cs="Times New Roman"/>
          <w:lang w:eastAsia="en-AU"/>
        </w:rPr>
        <w:t xml:space="preserve">lower than otherwise by </w:t>
      </w:r>
      <w:r w:rsidR="009C69A3" w:rsidRPr="00102445">
        <w:rPr>
          <w:rFonts w:eastAsia="Times New Roman" w:cs="Times New Roman"/>
          <w:lang w:eastAsia="en-AU"/>
        </w:rPr>
        <w:t>3</w:t>
      </w:r>
      <w:r w:rsidR="00055B0A" w:rsidRPr="00102445">
        <w:rPr>
          <w:rFonts w:eastAsia="Times New Roman" w:cs="Times New Roman"/>
          <w:lang w:eastAsia="en-AU"/>
        </w:rPr>
        <w:t>,</w:t>
      </w:r>
      <w:r w:rsidR="009C69A3" w:rsidRPr="00102445">
        <w:rPr>
          <w:rFonts w:eastAsia="Times New Roman" w:cs="Times New Roman"/>
          <w:lang w:eastAsia="en-AU"/>
        </w:rPr>
        <w:t>680 (2</w:t>
      </w:r>
      <w:r w:rsidR="00055B0A" w:rsidRPr="00102445">
        <w:rPr>
          <w:rFonts w:eastAsia="Times New Roman" w:cs="Times New Roman"/>
          <w:lang w:eastAsia="en-AU"/>
        </w:rPr>
        <w:t>,</w:t>
      </w:r>
      <w:r w:rsidR="009C69A3" w:rsidRPr="00102445">
        <w:rPr>
          <w:rFonts w:eastAsia="Times New Roman" w:cs="Times New Roman"/>
          <w:lang w:eastAsia="en-AU"/>
        </w:rPr>
        <w:t>000 + 1</w:t>
      </w:r>
      <w:r w:rsidR="00055B0A" w:rsidRPr="00102445">
        <w:rPr>
          <w:rFonts w:eastAsia="Times New Roman" w:cs="Times New Roman"/>
          <w:lang w:eastAsia="en-AU"/>
        </w:rPr>
        <w:t>,680) due to the borrowing adjustment.</w:t>
      </w:r>
    </w:p>
    <w:p w14:paraId="3B1D6DB9" w14:textId="24D0C7FC" w:rsidR="003C0199" w:rsidRPr="00102445" w:rsidRDefault="000C28A7" w:rsidP="007D11FC">
      <w:pPr>
        <w:pStyle w:val="Heading5"/>
      </w:pPr>
      <w:r w:rsidRPr="00102445">
        <w:t>Division 7 – Miscellaneous</w:t>
      </w:r>
    </w:p>
    <w:p w14:paraId="60595D68" w14:textId="62C2BDBC" w:rsidR="00A83F9A" w:rsidRPr="00102445" w:rsidRDefault="00A83F9A" w:rsidP="00A83F9A">
      <w:pPr>
        <w:pStyle w:val="Heading6"/>
      </w:pPr>
      <w:r w:rsidRPr="00102445">
        <w:t>Subdivision A – Applications under this Part</w:t>
      </w:r>
    </w:p>
    <w:p w14:paraId="5B6703BA" w14:textId="4EC3DBA5" w:rsidR="00C341B6" w:rsidRPr="00102445" w:rsidRDefault="00C341B6"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Section </w:t>
      </w:r>
      <w:r w:rsidR="007B22EC" w:rsidRPr="00102445">
        <w:rPr>
          <w:lang w:eastAsia="en-AU"/>
        </w:rPr>
        <w:t xml:space="preserve">52 </w:t>
      </w:r>
      <w:r w:rsidRPr="00102445">
        <w:rPr>
          <w:lang w:eastAsia="en-AU"/>
        </w:rPr>
        <w:t xml:space="preserve">sets out due dates and decision dates for </w:t>
      </w:r>
      <w:r w:rsidR="006A5CF1" w:rsidRPr="00102445">
        <w:rPr>
          <w:lang w:eastAsia="en-AU"/>
        </w:rPr>
        <w:t xml:space="preserve">various </w:t>
      </w:r>
      <w:r w:rsidRPr="00102445">
        <w:rPr>
          <w:lang w:eastAsia="en-AU"/>
        </w:rPr>
        <w:t xml:space="preserve">applications </w:t>
      </w:r>
      <w:r w:rsidR="006A5CF1" w:rsidRPr="00102445">
        <w:rPr>
          <w:lang w:eastAsia="en-AU"/>
        </w:rPr>
        <w:t xml:space="preserve">in the </w:t>
      </w:r>
      <w:r w:rsidR="008D2ECE" w:rsidRPr="00102445">
        <w:rPr>
          <w:lang w:eastAsia="en-AU"/>
        </w:rPr>
        <w:t>R</w:t>
      </w:r>
      <w:r w:rsidR="006A5CF1" w:rsidRPr="00102445">
        <w:rPr>
          <w:lang w:eastAsia="en-AU"/>
        </w:rPr>
        <w:t>ules</w:t>
      </w:r>
      <w:r w:rsidR="01FF083D" w:rsidRPr="00102445">
        <w:rPr>
          <w:lang w:eastAsia="en-AU"/>
        </w:rPr>
        <w:t xml:space="preserve">.  Column 1 of the table </w:t>
      </w:r>
      <w:r w:rsidR="5C608F68" w:rsidRPr="00102445">
        <w:rPr>
          <w:lang w:eastAsia="en-AU"/>
        </w:rPr>
        <w:t>specifies</w:t>
      </w:r>
      <w:r w:rsidR="01FF083D" w:rsidRPr="00102445">
        <w:rPr>
          <w:lang w:eastAsia="en-AU"/>
        </w:rPr>
        <w:t xml:space="preserve"> the</w:t>
      </w:r>
      <w:r w:rsidR="75535250" w:rsidRPr="00102445">
        <w:rPr>
          <w:lang w:eastAsia="en-AU"/>
        </w:rPr>
        <w:t xml:space="preserve"> type of</w:t>
      </w:r>
      <w:r w:rsidR="01FF083D" w:rsidRPr="00102445">
        <w:rPr>
          <w:lang w:eastAsia="en-AU"/>
        </w:rPr>
        <w:t xml:space="preserve"> determination</w:t>
      </w:r>
      <w:r w:rsidR="7028F9BD" w:rsidRPr="00102445">
        <w:rPr>
          <w:lang w:eastAsia="en-AU"/>
        </w:rPr>
        <w:t xml:space="preserve"> or variation and the</w:t>
      </w:r>
      <w:r w:rsidR="2305EA67" w:rsidRPr="00102445">
        <w:rPr>
          <w:lang w:eastAsia="en-AU"/>
        </w:rPr>
        <w:t xml:space="preserve"> relevant</w:t>
      </w:r>
      <w:r w:rsidR="7028F9BD" w:rsidRPr="00102445">
        <w:rPr>
          <w:lang w:eastAsia="en-AU"/>
        </w:rPr>
        <w:t xml:space="preserve"> section </w:t>
      </w:r>
      <w:r w:rsidR="76B4680F" w:rsidRPr="00102445">
        <w:rPr>
          <w:lang w:eastAsia="en-AU"/>
        </w:rPr>
        <w:t xml:space="preserve">in </w:t>
      </w:r>
      <w:r w:rsidR="7028F9BD" w:rsidRPr="00102445">
        <w:rPr>
          <w:lang w:eastAsia="en-AU"/>
        </w:rPr>
        <w:t>the</w:t>
      </w:r>
      <w:r w:rsidR="16081016" w:rsidRPr="00102445">
        <w:rPr>
          <w:lang w:eastAsia="en-AU"/>
        </w:rPr>
        <w:t xml:space="preserve"> rules</w:t>
      </w:r>
      <w:r w:rsidR="7028F9BD" w:rsidRPr="00102445">
        <w:rPr>
          <w:lang w:eastAsia="en-AU"/>
        </w:rPr>
        <w:t xml:space="preserve">. </w:t>
      </w:r>
      <w:r w:rsidR="542ADDE1" w:rsidRPr="00102445">
        <w:rPr>
          <w:lang w:eastAsia="en-AU"/>
        </w:rPr>
        <w:t xml:space="preserve">The </w:t>
      </w:r>
      <w:r w:rsidR="57627EA3" w:rsidRPr="00102445">
        <w:rPr>
          <w:lang w:eastAsia="en-AU"/>
        </w:rPr>
        <w:t xml:space="preserve">date an application is </w:t>
      </w:r>
      <w:r w:rsidR="5A9A1F65" w:rsidRPr="00102445">
        <w:rPr>
          <w:lang w:eastAsia="en-AU"/>
        </w:rPr>
        <w:t xml:space="preserve">due to the Regulator is specified in Column 2. The </w:t>
      </w:r>
      <w:r w:rsidR="48F96611" w:rsidRPr="00102445">
        <w:rPr>
          <w:lang w:eastAsia="en-AU"/>
        </w:rPr>
        <w:t xml:space="preserve">date by which a </w:t>
      </w:r>
      <w:r w:rsidR="0547E3D6" w:rsidRPr="00102445">
        <w:rPr>
          <w:lang w:eastAsia="en-AU"/>
        </w:rPr>
        <w:t>decision</w:t>
      </w:r>
      <w:r w:rsidR="48F96611" w:rsidRPr="00102445">
        <w:rPr>
          <w:lang w:eastAsia="en-AU"/>
        </w:rPr>
        <w:t xml:space="preserve"> </w:t>
      </w:r>
      <w:r w:rsidR="494FECB1" w:rsidRPr="00102445">
        <w:rPr>
          <w:lang w:eastAsia="en-AU"/>
        </w:rPr>
        <w:t>in regard to</w:t>
      </w:r>
      <w:r w:rsidR="48F96611" w:rsidRPr="00102445">
        <w:rPr>
          <w:lang w:eastAsia="en-AU"/>
        </w:rPr>
        <w:t xml:space="preserve"> an application </w:t>
      </w:r>
      <w:r w:rsidR="4C9DA2EC" w:rsidRPr="00102445">
        <w:rPr>
          <w:lang w:eastAsia="en-AU"/>
        </w:rPr>
        <w:t xml:space="preserve">is </w:t>
      </w:r>
      <w:r w:rsidR="00E952CE" w:rsidRPr="00102445">
        <w:rPr>
          <w:lang w:eastAsia="en-AU"/>
        </w:rPr>
        <w:t xml:space="preserve">due by the Regulator </w:t>
      </w:r>
      <w:r w:rsidR="4C9DA2EC" w:rsidRPr="00102445">
        <w:rPr>
          <w:lang w:eastAsia="en-AU"/>
        </w:rPr>
        <w:t>is specified in Column 3.</w:t>
      </w:r>
    </w:p>
    <w:p w14:paraId="2A6112B8" w14:textId="4F7C0AD9" w:rsidR="00ED40FC" w:rsidRPr="00102445" w:rsidRDefault="004F0840"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Section </w:t>
      </w:r>
      <w:r w:rsidR="007B22EC" w:rsidRPr="00102445">
        <w:rPr>
          <w:lang w:eastAsia="en-AU"/>
        </w:rPr>
        <w:t xml:space="preserve">53 </w:t>
      </w:r>
      <w:r w:rsidR="00265E15" w:rsidRPr="00102445">
        <w:rPr>
          <w:lang w:eastAsia="en-AU"/>
        </w:rPr>
        <w:t xml:space="preserve">provides that at any time before the Regulator </w:t>
      </w:r>
      <w:r w:rsidR="00E84856" w:rsidRPr="00102445">
        <w:rPr>
          <w:lang w:eastAsia="en-AU"/>
        </w:rPr>
        <w:t>makes a decision on</w:t>
      </w:r>
      <w:r w:rsidR="007C1C62" w:rsidRPr="00102445">
        <w:rPr>
          <w:lang w:eastAsia="en-AU"/>
        </w:rPr>
        <w:t xml:space="preserve"> an application</w:t>
      </w:r>
      <w:r w:rsidR="00FD3D90" w:rsidRPr="00102445">
        <w:rPr>
          <w:lang w:eastAsia="en-AU"/>
        </w:rPr>
        <w:t xml:space="preserve"> </w:t>
      </w:r>
      <w:r w:rsidR="00B05329" w:rsidRPr="00102445">
        <w:rPr>
          <w:lang w:eastAsia="en-AU"/>
        </w:rPr>
        <w:t xml:space="preserve">mentioned in column 1 of the table in section </w:t>
      </w:r>
      <w:r w:rsidR="002E44AE" w:rsidRPr="00102445">
        <w:rPr>
          <w:lang w:eastAsia="en-AU"/>
        </w:rPr>
        <w:t>52</w:t>
      </w:r>
      <w:r w:rsidR="00E84856" w:rsidRPr="00102445">
        <w:rPr>
          <w:lang w:eastAsia="en-AU"/>
        </w:rPr>
        <w:t>, the applicant may withdraw</w:t>
      </w:r>
      <w:r w:rsidR="00B05329" w:rsidRPr="00102445">
        <w:rPr>
          <w:lang w:eastAsia="en-AU"/>
        </w:rPr>
        <w:t xml:space="preserve"> the </w:t>
      </w:r>
      <w:r w:rsidR="00E84856" w:rsidRPr="00102445">
        <w:rPr>
          <w:lang w:eastAsia="en-AU"/>
        </w:rPr>
        <w:t>application in writing.</w:t>
      </w:r>
    </w:p>
    <w:p w14:paraId="60B079FD" w14:textId="4D4E2E38" w:rsidR="00A83F9A" w:rsidRPr="00102445" w:rsidRDefault="00A83F9A" w:rsidP="00A83F9A">
      <w:pPr>
        <w:pStyle w:val="Heading6"/>
      </w:pPr>
      <w:r w:rsidRPr="00102445">
        <w:t xml:space="preserve">Subdivision </w:t>
      </w:r>
      <w:r w:rsidR="003F521C" w:rsidRPr="00102445">
        <w:t>B</w:t>
      </w:r>
      <w:r w:rsidRPr="00102445">
        <w:t xml:space="preserve"> – </w:t>
      </w:r>
      <w:r w:rsidR="003F521C" w:rsidRPr="00102445">
        <w:t>Shale gas extraction facilities</w:t>
      </w:r>
      <w:r w:rsidRPr="00102445">
        <w:t xml:space="preserve"> </w:t>
      </w:r>
    </w:p>
    <w:p w14:paraId="18845DBE" w14:textId="6821042C" w:rsidR="00A83F9A" w:rsidRPr="00102445" w:rsidRDefault="00681FCF"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lang w:eastAsia="en-AU"/>
        </w:rPr>
        <w:t>Section 54</w:t>
      </w:r>
      <w:r w:rsidR="00A83F9A" w:rsidRPr="00102445">
        <w:rPr>
          <w:rFonts w:eastAsia="Times New Roman" w:cs="Times New Roman"/>
          <w:lang w:eastAsia="en-AU"/>
        </w:rPr>
        <w:t xml:space="preserve"> states that a facility is a ‘</w:t>
      </w:r>
      <w:r w:rsidR="00A83F9A" w:rsidRPr="00102445">
        <w:rPr>
          <w:rFonts w:eastAsia="Times New Roman" w:cs="Times New Roman"/>
          <w:i/>
          <w:lang w:eastAsia="en-AU"/>
        </w:rPr>
        <w:t>shale gas extraction facility</w:t>
      </w:r>
      <w:r w:rsidR="00A83F9A" w:rsidRPr="00102445">
        <w:rPr>
          <w:rFonts w:eastAsia="Times New Roman" w:cs="Times New Roman"/>
          <w:lang w:eastAsia="en-AU"/>
        </w:rPr>
        <w:t xml:space="preserve">’ </w:t>
      </w:r>
      <w:r w:rsidR="00A83F9A" w:rsidRPr="00102445">
        <w:t>if the activity, or the series of activities, that constitutes the facility is or includes the extraction of gas from a geological formation</w:t>
      </w:r>
      <w:r w:rsidR="00F14DE1" w:rsidRPr="00102445">
        <w:t xml:space="preserve"> by means of processes that include hydraulic fracturing</w:t>
      </w:r>
      <w:r w:rsidR="00A83F9A" w:rsidRPr="00102445">
        <w:t xml:space="preserve">; more than 90% of the extracted gas is shale gas; and emissions from the extraction and use of the gas from the geological formation are likely to exceed more than </w:t>
      </w:r>
      <w:r w:rsidR="00827191" w:rsidRPr="00102445">
        <w:t>100</w:t>
      </w:r>
      <w:r w:rsidR="00A83F9A" w:rsidRPr="00102445">
        <w:t xml:space="preserve"> million tonnes of carbon dioxide equivalence in total</w:t>
      </w:r>
      <w:r w:rsidR="00827191" w:rsidRPr="00102445">
        <w:t xml:space="preserve"> if the formation were fully exploited</w:t>
      </w:r>
      <w:r w:rsidR="00A83F9A" w:rsidRPr="00102445">
        <w:t>.</w:t>
      </w:r>
      <w:r w:rsidR="00050AB9" w:rsidRPr="00102445">
        <w:t xml:space="preserve"> </w:t>
      </w:r>
      <w:r w:rsidR="00883679" w:rsidRPr="00102445">
        <w:t>A facilit</w:t>
      </w:r>
      <w:r w:rsidR="00E57980" w:rsidRPr="00102445">
        <w:t xml:space="preserve">y that </w:t>
      </w:r>
      <w:r w:rsidR="00BE21F4" w:rsidRPr="00102445">
        <w:t>is primarily engaged in exploration for shale gas from such a formation would also be included.</w:t>
      </w:r>
      <w:r w:rsidR="00B32B03" w:rsidRPr="00102445">
        <w:t xml:space="preserve"> Subsection 10(2) provides that facilities that meet this definition will have a baseline of zero, </w:t>
      </w:r>
      <w:r w:rsidR="001A4B19" w:rsidRPr="00102445">
        <w:t>imply</w:t>
      </w:r>
      <w:r w:rsidR="00B32B03" w:rsidRPr="00102445">
        <w:t xml:space="preserve">ing that </w:t>
      </w:r>
      <w:r w:rsidR="007D7A9F" w:rsidRPr="00102445">
        <w:t xml:space="preserve">their obligation to avoid an excess emissions situation will require them </w:t>
      </w:r>
      <w:r w:rsidR="00B32B03" w:rsidRPr="00102445">
        <w:t>to offset all of their scope 1 emissions.</w:t>
      </w:r>
    </w:p>
    <w:p w14:paraId="1DB9D856" w14:textId="77777777" w:rsidR="004B4D74" w:rsidRPr="00102445" w:rsidRDefault="004B4D74"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szCs w:val="24"/>
          <w:lang w:eastAsia="en-AU"/>
        </w:rPr>
        <w:t>Shale is a fine-grained sedimentary rock that is less porous and less permeable than the rock formations that hold conventional gas. Because of this, artificial stimulation, such as hydraulic fracturing, must be used to extract the gas. Shale gas typically occurs in rock formations over 1,500 meters deep and differs from coal seam gas, which is stored in a different type of rock.</w:t>
      </w:r>
    </w:p>
    <w:p w14:paraId="4A76987B" w14:textId="56E6CAC9" w:rsidR="002E442E" w:rsidRPr="00102445" w:rsidRDefault="00534C59"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t xml:space="preserve">The </w:t>
      </w:r>
      <w:r w:rsidR="00C11B6D" w:rsidRPr="00102445">
        <w:t xml:space="preserve">intent of the </w:t>
      </w:r>
      <w:r w:rsidRPr="00102445">
        <w:t xml:space="preserve">condition that </w:t>
      </w:r>
      <w:r w:rsidR="00C11B6D" w:rsidRPr="00102445">
        <w:t>“</w:t>
      </w:r>
      <w:r w:rsidRPr="00102445">
        <w:t>emissions from the extraction and use of the gas from the geological formation are likely to exceed more than 100 million tonnes of carbon dioxide equivalence in total if the formation were fully exploited</w:t>
      </w:r>
      <w:r w:rsidR="00C11B6D" w:rsidRPr="00102445">
        <w:t xml:space="preserve">” </w:t>
      </w:r>
      <w:r w:rsidR="000316B2" w:rsidRPr="00102445">
        <w:t>relates to the significance</w:t>
      </w:r>
      <w:r w:rsidR="00561A7E" w:rsidRPr="00102445">
        <w:t xml:space="preserve">, in terms </w:t>
      </w:r>
      <w:r w:rsidR="0088448B" w:rsidRPr="00102445">
        <w:t xml:space="preserve">of </w:t>
      </w:r>
      <w:r w:rsidR="00305C1D" w:rsidRPr="00102445">
        <w:t>climate change</w:t>
      </w:r>
      <w:r w:rsidR="0088448B" w:rsidRPr="00102445">
        <w:t>, of the geological formation</w:t>
      </w:r>
      <w:r w:rsidR="000565FC" w:rsidRPr="00102445">
        <w:t>, and is</w:t>
      </w:r>
      <w:r w:rsidR="00DF5A12" w:rsidRPr="00102445">
        <w:t xml:space="preserve"> also</w:t>
      </w:r>
      <w:r w:rsidR="000565FC" w:rsidRPr="00102445">
        <w:t xml:space="preserve"> related to the </w:t>
      </w:r>
      <w:r w:rsidR="00305C1D" w:rsidRPr="00102445">
        <w:t>quantity</w:t>
      </w:r>
      <w:r w:rsidR="000565FC" w:rsidRPr="00102445">
        <w:t xml:space="preserve"> of resources in the geological formation</w:t>
      </w:r>
      <w:r w:rsidR="00692F3C" w:rsidRPr="00102445">
        <w:t>.</w:t>
      </w:r>
      <w:r w:rsidR="008C60D6" w:rsidRPr="00102445">
        <w:t xml:space="preserve"> As such, it </w:t>
      </w:r>
      <w:r w:rsidR="00945787" w:rsidRPr="00102445">
        <w:t xml:space="preserve">is not intended for it to </w:t>
      </w:r>
      <w:r w:rsidR="008C60D6" w:rsidRPr="00102445">
        <w:t xml:space="preserve">matter </w:t>
      </w:r>
      <w:r w:rsidR="00272892" w:rsidRPr="00102445">
        <w:t xml:space="preserve">whether emissions </w:t>
      </w:r>
      <w:r w:rsidR="001D2053" w:rsidRPr="00102445">
        <w:t xml:space="preserve">from the use of the gas </w:t>
      </w:r>
      <w:r w:rsidR="00272892" w:rsidRPr="00102445">
        <w:t xml:space="preserve">would be likely to </w:t>
      </w:r>
      <w:r w:rsidR="007C2496" w:rsidRPr="00102445">
        <w:t>occur within or outside Australia.</w:t>
      </w:r>
    </w:p>
    <w:p w14:paraId="6EFE645F" w14:textId="5792D15A" w:rsidR="0065187F" w:rsidRPr="00102445" w:rsidRDefault="00A5476B"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t>S</w:t>
      </w:r>
      <w:r w:rsidR="00177DA2" w:rsidRPr="00102445">
        <w:t xml:space="preserve">hale </w:t>
      </w:r>
      <w:r w:rsidR="00491B8D" w:rsidRPr="00102445">
        <w:t>gas</w:t>
      </w:r>
      <w:r w:rsidR="00177DA2" w:rsidRPr="00102445">
        <w:t xml:space="preserve"> </w:t>
      </w:r>
      <w:r w:rsidRPr="00102445">
        <w:t xml:space="preserve">has previously been extracted in </w:t>
      </w:r>
      <w:r w:rsidR="006A4E54" w:rsidRPr="00102445">
        <w:t xml:space="preserve">the Cooper </w:t>
      </w:r>
      <w:r w:rsidR="00C034CD" w:rsidRPr="00102445">
        <w:t>B</w:t>
      </w:r>
      <w:r w:rsidR="006A4E54" w:rsidRPr="00102445">
        <w:t>asin in 2013</w:t>
      </w:r>
      <w:r w:rsidR="00345CAD" w:rsidRPr="00102445">
        <w:t xml:space="preserve">, in quantities </w:t>
      </w:r>
      <w:r w:rsidR="00C034CD" w:rsidRPr="00102445">
        <w:t xml:space="preserve">significantly smaller </w:t>
      </w:r>
      <w:r w:rsidR="009512A1" w:rsidRPr="00102445">
        <w:t xml:space="preserve">than </w:t>
      </w:r>
      <w:r w:rsidR="00C034CD" w:rsidRPr="00102445">
        <w:t>the conventional gas operations in the Cooper Basin.</w:t>
      </w:r>
      <w:r w:rsidR="00D84132" w:rsidRPr="00102445">
        <w:t xml:space="preserve"> It is not</w:t>
      </w:r>
      <w:r w:rsidR="00097DCC" w:rsidRPr="00102445">
        <w:t xml:space="preserve"> intended </w:t>
      </w:r>
      <w:r w:rsidR="004958E1" w:rsidRPr="00102445">
        <w:t xml:space="preserve">for this definition to capture circumstances such as this, because that would lead to business decisions </w:t>
      </w:r>
      <w:r w:rsidR="00C932D9" w:rsidRPr="00102445">
        <w:t xml:space="preserve">not directly related to climate change </w:t>
      </w:r>
      <w:r w:rsidR="004958E1" w:rsidRPr="00102445">
        <w:t xml:space="preserve">being affected </w:t>
      </w:r>
      <w:r w:rsidR="00C932D9" w:rsidRPr="00102445">
        <w:t>by this decision.</w:t>
      </w:r>
      <w:r w:rsidR="00F600D9" w:rsidRPr="00102445">
        <w:t xml:space="preserve"> </w:t>
      </w:r>
      <w:r w:rsidR="00F91AF8" w:rsidRPr="00102445">
        <w:t xml:space="preserve">As such, </w:t>
      </w:r>
      <w:r w:rsidR="00A81EA2" w:rsidRPr="00102445">
        <w:t xml:space="preserve">this definition requires that more than 90% of the extracted gas </w:t>
      </w:r>
      <w:r w:rsidR="009512A1" w:rsidRPr="00102445">
        <w:t>is</w:t>
      </w:r>
      <w:r w:rsidR="00A81EA2" w:rsidRPr="00102445">
        <w:t xml:space="preserve"> shale gas</w:t>
      </w:r>
      <w:r w:rsidR="00DE7C31" w:rsidRPr="00102445">
        <w:t xml:space="preserve">. </w:t>
      </w:r>
      <w:r w:rsidR="00DD637A" w:rsidRPr="00102445">
        <w:t xml:space="preserve">This threshold reflects the understanding that large geological formations </w:t>
      </w:r>
      <w:r w:rsidR="008D172A" w:rsidRPr="00102445">
        <w:t>with shale gas that are being explored almost entirely consist of shale gas.</w:t>
      </w:r>
    </w:p>
    <w:p w14:paraId="1A46DB8E" w14:textId="08589C73" w:rsidR="00D655BA" w:rsidRPr="00102445" w:rsidRDefault="00D655BA"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rPr>
          <w:rFonts w:eastAsia="Times New Roman" w:cs="Times New Roman"/>
          <w:szCs w:val="24"/>
          <w:lang w:eastAsia="en-AU"/>
        </w:rPr>
        <w:lastRenderedPageBreak/>
        <w:t>On 3 December 2016 the Northern Territory Government announced an independent Scientific Inquiry into Hydraulic Fracturing of Onshore Unconventional Reservoirs in the Northern Territory.</w:t>
      </w:r>
      <w:r w:rsidR="004764FC" w:rsidRPr="00102445">
        <w:rPr>
          <w:rFonts w:eastAsia="Times New Roman" w:cs="Times New Roman"/>
          <w:szCs w:val="24"/>
          <w:lang w:eastAsia="en-AU"/>
        </w:rPr>
        <w:t xml:space="preserve"> The Scientific Inquiry into Hydraulic Fracturing in the Northern Territory released its final report on 27 March 2018. </w:t>
      </w:r>
      <w:r w:rsidR="0092439F" w:rsidRPr="00102445">
        <w:rPr>
          <w:rFonts w:eastAsia="Times New Roman" w:cs="Times New Roman"/>
          <w:szCs w:val="24"/>
          <w:lang w:eastAsia="en-AU"/>
        </w:rPr>
        <w:t>On 17 April 2018, the Northern Territory Government accepted all of the Inquiry’s recommendations and lifted the moratorium on unconventional shale gas developments in the Northern Territory.</w:t>
      </w:r>
    </w:p>
    <w:p w14:paraId="20D4DC1B" w14:textId="4DB2827F" w:rsidR="0042252E" w:rsidRPr="00102445" w:rsidRDefault="0042252E"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t xml:space="preserve">The Inquiry’s recommendations included </w:t>
      </w:r>
      <w:r w:rsidR="005544DB" w:rsidRPr="00102445">
        <w:t>r</w:t>
      </w:r>
      <w:r w:rsidRPr="00102445">
        <w:t xml:space="preserve">ecommendation 9.8 </w:t>
      </w:r>
      <w:r w:rsidR="005544DB" w:rsidRPr="00102445">
        <w:t>that “</w:t>
      </w:r>
      <w:r w:rsidRPr="00102445">
        <w:t xml:space="preserve">the NT and Australian governments seek to ensure that there is no net increase in the life cycle GHG emissions emitted in Australia from any onshore shale gas produced in the NT”. In April </w:t>
      </w:r>
      <w:r w:rsidR="005544DB" w:rsidRPr="00102445">
        <w:t>2022, the Australian Government committed to work with the Northern Territory to support its implementation of recommendation 9.8 of the Inquiry using available technology and policies.</w:t>
      </w:r>
    </w:p>
    <w:p w14:paraId="290CF4AD" w14:textId="3908BA24" w:rsidR="00A83F9A" w:rsidRPr="00102445" w:rsidRDefault="00A83F9A" w:rsidP="00591A9C">
      <w:pPr>
        <w:pStyle w:val="ListParagraph"/>
        <w:numPr>
          <w:ilvl w:val="0"/>
          <w:numId w:val="2"/>
        </w:numPr>
        <w:shd w:val="clear" w:color="auto" w:fill="FFFFFF" w:themeFill="background1"/>
        <w:spacing w:line="240" w:lineRule="auto"/>
        <w:contextualSpacing w:val="0"/>
        <w:rPr>
          <w:rFonts w:eastAsia="Times New Roman" w:cs="Times New Roman"/>
          <w:szCs w:val="24"/>
          <w:lang w:eastAsia="en-AU"/>
        </w:rPr>
      </w:pPr>
      <w:r w:rsidRPr="00102445">
        <w:t xml:space="preserve">The definition of </w:t>
      </w:r>
      <w:r w:rsidRPr="00102445">
        <w:rPr>
          <w:rFonts w:eastAsia="Times New Roman" w:cs="Times New Roman"/>
          <w:lang w:eastAsia="en-AU"/>
        </w:rPr>
        <w:t>‘</w:t>
      </w:r>
      <w:r w:rsidRPr="00102445">
        <w:rPr>
          <w:rFonts w:eastAsia="Times New Roman" w:cs="Times New Roman"/>
          <w:i/>
          <w:lang w:eastAsia="en-AU"/>
        </w:rPr>
        <w:t>shale gas extraction facility</w:t>
      </w:r>
      <w:r w:rsidRPr="00102445">
        <w:rPr>
          <w:rFonts w:eastAsia="Times New Roman" w:cs="Times New Roman"/>
          <w:lang w:eastAsia="en-AU"/>
        </w:rPr>
        <w:t>’</w:t>
      </w:r>
      <w:r w:rsidR="007C00A4" w:rsidRPr="00102445">
        <w:rPr>
          <w:rFonts w:eastAsia="Times New Roman" w:cs="Times New Roman"/>
          <w:lang w:eastAsia="en-AU"/>
        </w:rPr>
        <w:t>, along with subsection 10</w:t>
      </w:r>
      <w:r w:rsidR="00AF1D49" w:rsidRPr="00102445">
        <w:rPr>
          <w:rFonts w:eastAsia="Times New Roman" w:cs="Times New Roman"/>
          <w:lang w:eastAsia="en-AU"/>
        </w:rPr>
        <w:t>(2)</w:t>
      </w:r>
      <w:r w:rsidR="009512A1" w:rsidRPr="00102445">
        <w:rPr>
          <w:rFonts w:eastAsia="Times New Roman" w:cs="Times New Roman"/>
          <w:lang w:eastAsia="en-AU"/>
        </w:rPr>
        <w:t>,</w:t>
      </w:r>
      <w:r w:rsidR="00AF1D49" w:rsidRPr="00102445">
        <w:rPr>
          <w:rFonts w:eastAsia="Times New Roman" w:cs="Times New Roman"/>
          <w:lang w:eastAsia="en-AU"/>
        </w:rPr>
        <w:t xml:space="preserve"> implements recommendation 9.8 with respect to </w:t>
      </w:r>
      <w:r w:rsidR="00D72BD2" w:rsidRPr="00102445">
        <w:rPr>
          <w:rFonts w:eastAsia="Times New Roman" w:cs="Times New Roman"/>
          <w:lang w:eastAsia="en-AU"/>
        </w:rPr>
        <w:t xml:space="preserve">scope 1 emissions. </w:t>
      </w:r>
      <w:r w:rsidR="00573623" w:rsidRPr="00102445">
        <w:rPr>
          <w:rFonts w:eastAsia="Times New Roman" w:cs="Times New Roman"/>
          <w:lang w:eastAsia="en-AU"/>
        </w:rPr>
        <w:t xml:space="preserve">The geological formation </w:t>
      </w:r>
      <w:r w:rsidR="00351838" w:rsidRPr="00102445">
        <w:rPr>
          <w:rFonts w:eastAsia="Times New Roman" w:cs="Times New Roman"/>
          <w:lang w:eastAsia="en-AU"/>
        </w:rPr>
        <w:t xml:space="preserve">within the Northern Territory that is most likely to first achieve </w:t>
      </w:r>
      <w:r w:rsidR="001D19A1" w:rsidRPr="00102445">
        <w:rPr>
          <w:rFonts w:eastAsia="Times New Roman" w:cs="Times New Roman"/>
          <w:lang w:eastAsia="en-AU"/>
        </w:rPr>
        <w:t xml:space="preserve">commercial production is the </w:t>
      </w:r>
      <w:r w:rsidR="00AF1D49" w:rsidRPr="00102445">
        <w:rPr>
          <w:rFonts w:eastAsia="Times New Roman" w:cs="Times New Roman"/>
          <w:lang w:eastAsia="en-AU"/>
        </w:rPr>
        <w:t>Beetaloo sub-basin</w:t>
      </w:r>
      <w:r w:rsidR="001D19A1" w:rsidRPr="00102445">
        <w:rPr>
          <w:rFonts w:eastAsia="Times New Roman" w:cs="Times New Roman"/>
          <w:lang w:eastAsia="en-AU"/>
        </w:rPr>
        <w:t>.</w:t>
      </w:r>
      <w:r w:rsidR="00AF1D49" w:rsidRPr="00102445">
        <w:rPr>
          <w:rFonts w:eastAsia="Times New Roman" w:cs="Times New Roman"/>
          <w:lang w:eastAsia="en-AU"/>
        </w:rPr>
        <w:t xml:space="preserve"> </w:t>
      </w:r>
      <w:r w:rsidR="001D19A1" w:rsidRPr="00102445">
        <w:rPr>
          <w:rFonts w:eastAsia="Times New Roman" w:cs="Times New Roman"/>
          <w:lang w:eastAsia="en-AU"/>
        </w:rPr>
        <w:t>F</w:t>
      </w:r>
      <w:r w:rsidR="00A329C6" w:rsidRPr="00102445">
        <w:t>acilities th</w:t>
      </w:r>
      <w:r w:rsidR="00610556" w:rsidRPr="00102445">
        <w:t>at</w:t>
      </w:r>
      <w:r w:rsidR="00A329C6" w:rsidRPr="00102445">
        <w:t xml:space="preserve"> extract </w:t>
      </w:r>
      <w:r w:rsidR="006D7A66" w:rsidRPr="00102445">
        <w:t xml:space="preserve">or explore for </w:t>
      </w:r>
      <w:r w:rsidR="00A329C6" w:rsidRPr="00102445">
        <w:t xml:space="preserve">shale gas </w:t>
      </w:r>
      <w:r w:rsidR="00015365" w:rsidRPr="00102445">
        <w:t>from the Beetaloo su</w:t>
      </w:r>
      <w:r w:rsidR="006D7A66" w:rsidRPr="00102445">
        <w:rPr>
          <w:rFonts w:eastAsia="Times New Roman" w:cs="Times New Roman"/>
          <w:lang w:eastAsia="en-AU"/>
        </w:rPr>
        <w:t>b-basin would be covered by this definition</w:t>
      </w:r>
      <w:r w:rsidR="004363CF" w:rsidRPr="00102445">
        <w:rPr>
          <w:rFonts w:eastAsia="Times New Roman" w:cs="Times New Roman"/>
          <w:lang w:eastAsia="en-AU"/>
        </w:rPr>
        <w:t xml:space="preserve"> and be required to offset</w:t>
      </w:r>
      <w:r w:rsidR="001576A3" w:rsidRPr="00102445">
        <w:rPr>
          <w:rFonts w:eastAsia="Times New Roman" w:cs="Times New Roman"/>
          <w:lang w:eastAsia="en-AU"/>
        </w:rPr>
        <w:t xml:space="preserve"> their scope 1 emissions</w:t>
      </w:r>
      <w:r w:rsidR="006D7A66" w:rsidRPr="00102445">
        <w:rPr>
          <w:rFonts w:eastAsia="Times New Roman" w:cs="Times New Roman"/>
          <w:lang w:eastAsia="en-AU"/>
        </w:rPr>
        <w:t>.</w:t>
      </w:r>
      <w:r w:rsidR="00EC6D4E" w:rsidRPr="00102445">
        <w:rPr>
          <w:rFonts w:eastAsia="Times New Roman" w:cs="Times New Roman"/>
          <w:lang w:eastAsia="en-AU"/>
        </w:rPr>
        <w:t xml:space="preserve"> </w:t>
      </w:r>
      <w:r w:rsidR="001576A3" w:rsidRPr="00102445">
        <w:rPr>
          <w:rFonts w:eastAsia="Times New Roman" w:cs="Times New Roman"/>
          <w:lang w:eastAsia="en-AU"/>
        </w:rPr>
        <w:t xml:space="preserve">This definition applies nationally and </w:t>
      </w:r>
      <w:r w:rsidR="00984722" w:rsidRPr="00102445">
        <w:rPr>
          <w:rFonts w:eastAsia="Times New Roman" w:cs="Times New Roman"/>
          <w:lang w:eastAsia="en-AU"/>
        </w:rPr>
        <w:t>accordingly w</w:t>
      </w:r>
      <w:r w:rsidR="001576A3" w:rsidRPr="00102445">
        <w:rPr>
          <w:rFonts w:eastAsia="Times New Roman" w:cs="Times New Roman"/>
          <w:lang w:eastAsia="en-AU"/>
        </w:rPr>
        <w:t xml:space="preserve">ould apply to </w:t>
      </w:r>
      <w:r w:rsidR="00984722" w:rsidRPr="00102445">
        <w:rPr>
          <w:rFonts w:eastAsia="Times New Roman" w:cs="Times New Roman"/>
          <w:lang w:eastAsia="en-AU"/>
        </w:rPr>
        <w:t>other facilities that meet the conditions spelt out in this definition.</w:t>
      </w:r>
    </w:p>
    <w:p w14:paraId="5EB3A717" w14:textId="65182179" w:rsidR="34EB59F0" w:rsidRPr="00102445" w:rsidRDefault="3E5099EB" w:rsidP="007D11FC">
      <w:pPr>
        <w:pStyle w:val="Heading5"/>
      </w:pPr>
      <w:r w:rsidRPr="00102445">
        <w:t>Part 3A – Safeguard mechanism credit units</w:t>
      </w:r>
    </w:p>
    <w:p w14:paraId="1FF344AE" w14:textId="3FE276F9" w:rsidR="4A57083A" w:rsidRPr="00102445" w:rsidRDefault="4A57083A" w:rsidP="00591A9C">
      <w:pPr>
        <w:pStyle w:val="ListParagraph"/>
        <w:numPr>
          <w:ilvl w:val="0"/>
          <w:numId w:val="2"/>
        </w:numPr>
        <w:spacing w:line="240" w:lineRule="auto"/>
        <w:contextualSpacing w:val="0"/>
        <w:rPr>
          <w:lang w:eastAsia="en-AU"/>
        </w:rPr>
      </w:pPr>
      <w:r w:rsidRPr="00102445">
        <w:rPr>
          <w:lang w:eastAsia="en-AU"/>
        </w:rPr>
        <w:t xml:space="preserve">Part 3A sets out the rules relating to </w:t>
      </w:r>
      <w:r w:rsidR="765601B0" w:rsidRPr="00102445">
        <w:rPr>
          <w:lang w:eastAsia="en-AU"/>
        </w:rPr>
        <w:t>SMCs</w:t>
      </w:r>
      <w:r w:rsidR="00D24A28" w:rsidRPr="00102445">
        <w:rPr>
          <w:lang w:eastAsia="en-AU"/>
        </w:rPr>
        <w:t xml:space="preserve">, the </w:t>
      </w:r>
      <w:r w:rsidR="00396B71" w:rsidRPr="00102445">
        <w:rPr>
          <w:lang w:eastAsia="en-AU"/>
        </w:rPr>
        <w:t>type of credit that is provided for by the Safeguard Mechanism Act</w:t>
      </w:r>
      <w:r w:rsidR="765601B0" w:rsidRPr="00102445">
        <w:rPr>
          <w:lang w:eastAsia="en-AU"/>
        </w:rPr>
        <w:t xml:space="preserve">. </w:t>
      </w:r>
      <w:r w:rsidR="28D1C540" w:rsidRPr="00102445">
        <w:rPr>
          <w:lang w:eastAsia="en-AU"/>
        </w:rPr>
        <w:t xml:space="preserve">A </w:t>
      </w:r>
      <w:r w:rsidR="004C0CEC" w:rsidRPr="00102445">
        <w:rPr>
          <w:lang w:eastAsia="en-AU"/>
        </w:rPr>
        <w:t>designated large</w:t>
      </w:r>
      <w:r w:rsidR="28D1C540" w:rsidRPr="00102445">
        <w:rPr>
          <w:lang w:eastAsia="en-AU"/>
        </w:rPr>
        <w:t xml:space="preserve"> facility will be issued SMCs </w:t>
      </w:r>
      <w:r w:rsidR="004C0CEC" w:rsidRPr="00102445">
        <w:rPr>
          <w:lang w:eastAsia="en-AU"/>
        </w:rPr>
        <w:t>on application, if</w:t>
      </w:r>
      <w:r w:rsidR="30705B97" w:rsidRPr="00102445">
        <w:rPr>
          <w:lang w:eastAsia="en-AU"/>
        </w:rPr>
        <w:t xml:space="preserve"> in a particular financial year,</w:t>
      </w:r>
      <w:r w:rsidR="28D1C540" w:rsidRPr="00102445">
        <w:rPr>
          <w:lang w:eastAsia="en-AU"/>
        </w:rPr>
        <w:t xml:space="preserve"> their emissions are below their baseline. </w:t>
      </w:r>
      <w:r w:rsidR="5567CABB" w:rsidRPr="00102445">
        <w:rPr>
          <w:lang w:eastAsia="en-AU"/>
        </w:rPr>
        <w:t>Those credits can be sold, surrendered to meet compliance obligations</w:t>
      </w:r>
      <w:r w:rsidR="004862F6" w:rsidRPr="00102445">
        <w:rPr>
          <w:lang w:eastAsia="en-AU"/>
        </w:rPr>
        <w:t>,</w:t>
      </w:r>
      <w:r w:rsidR="5567CABB" w:rsidRPr="00102445">
        <w:rPr>
          <w:lang w:eastAsia="en-AU"/>
        </w:rPr>
        <w:t xml:space="preserve"> or banked for future </w:t>
      </w:r>
      <w:r w:rsidR="24927E3D" w:rsidRPr="00102445">
        <w:rPr>
          <w:lang w:eastAsia="en-AU"/>
        </w:rPr>
        <w:t>use. The</w:t>
      </w:r>
      <w:r w:rsidR="765601B0" w:rsidRPr="00102445">
        <w:rPr>
          <w:lang w:eastAsia="en-AU"/>
        </w:rPr>
        <w:t xml:space="preserve"> ability for </w:t>
      </w:r>
      <w:r w:rsidR="00425BC3" w:rsidRPr="00102445">
        <w:rPr>
          <w:lang w:eastAsia="en-AU"/>
        </w:rPr>
        <w:t>designated large facility that</w:t>
      </w:r>
      <w:r w:rsidR="6145A563" w:rsidRPr="00102445">
        <w:rPr>
          <w:lang w:eastAsia="en-AU"/>
        </w:rPr>
        <w:t xml:space="preserve"> </w:t>
      </w:r>
      <w:r w:rsidR="3CC7E56E" w:rsidRPr="00102445">
        <w:rPr>
          <w:lang w:eastAsia="en-AU"/>
        </w:rPr>
        <w:t xml:space="preserve">perform highly (meaning they have a lower emissions intensity compared to other </w:t>
      </w:r>
      <w:r w:rsidR="60A1A17A" w:rsidRPr="00102445">
        <w:rPr>
          <w:lang w:eastAsia="en-AU"/>
        </w:rPr>
        <w:t>facilities</w:t>
      </w:r>
      <w:r w:rsidR="3CC7E56E" w:rsidRPr="00102445">
        <w:rPr>
          <w:lang w:eastAsia="en-AU"/>
        </w:rPr>
        <w:t xml:space="preserve"> making the same product) </w:t>
      </w:r>
      <w:r w:rsidR="765601B0" w:rsidRPr="00102445">
        <w:rPr>
          <w:lang w:eastAsia="en-AU"/>
        </w:rPr>
        <w:t xml:space="preserve">to </w:t>
      </w:r>
      <w:r w:rsidR="073072D0" w:rsidRPr="00102445">
        <w:rPr>
          <w:lang w:eastAsia="en-AU"/>
        </w:rPr>
        <w:t xml:space="preserve">generate credits </w:t>
      </w:r>
      <w:r w:rsidR="0033109F" w:rsidRPr="00102445">
        <w:rPr>
          <w:lang w:eastAsia="en-AU"/>
        </w:rPr>
        <w:t>is a key po</w:t>
      </w:r>
      <w:r w:rsidR="00A825DD" w:rsidRPr="00102445">
        <w:rPr>
          <w:lang w:eastAsia="en-AU"/>
        </w:rPr>
        <w:t>licy element</w:t>
      </w:r>
      <w:r w:rsidR="073072D0" w:rsidRPr="00102445">
        <w:rPr>
          <w:lang w:eastAsia="en-AU"/>
        </w:rPr>
        <w:t xml:space="preserve"> because </w:t>
      </w:r>
      <w:r w:rsidR="1CFAFB9C" w:rsidRPr="00102445">
        <w:rPr>
          <w:lang w:eastAsia="en-AU"/>
        </w:rPr>
        <w:t>i</w:t>
      </w:r>
      <w:r w:rsidR="23C30250" w:rsidRPr="00102445">
        <w:rPr>
          <w:lang w:eastAsia="en-AU"/>
        </w:rPr>
        <w:t>t creates a</w:t>
      </w:r>
      <w:r w:rsidR="4D24455C" w:rsidRPr="00102445">
        <w:rPr>
          <w:lang w:eastAsia="en-AU"/>
        </w:rPr>
        <w:t xml:space="preserve"> financial</w:t>
      </w:r>
      <w:r w:rsidR="23C30250" w:rsidRPr="00102445">
        <w:rPr>
          <w:lang w:eastAsia="en-AU"/>
        </w:rPr>
        <w:t xml:space="preserve"> incentive for all facilities to </w:t>
      </w:r>
      <w:r w:rsidR="478C9786" w:rsidRPr="00102445">
        <w:rPr>
          <w:lang w:eastAsia="en-AU"/>
        </w:rPr>
        <w:t>reduce the emissions intensity of their product</w:t>
      </w:r>
      <w:r w:rsidR="35D7552A" w:rsidRPr="00102445">
        <w:rPr>
          <w:lang w:eastAsia="en-AU"/>
        </w:rPr>
        <w:t>, not just those facilities above their baseline.</w:t>
      </w:r>
      <w:r w:rsidR="00643259" w:rsidRPr="00102445">
        <w:rPr>
          <w:lang w:eastAsia="en-AU"/>
        </w:rPr>
        <w:t xml:space="preserve"> </w:t>
      </w:r>
    </w:p>
    <w:p w14:paraId="200FEBCA" w14:textId="77777777" w:rsidR="00AB54A2" w:rsidRPr="00102445" w:rsidRDefault="00AB54A2" w:rsidP="00AB54A2">
      <w:pPr>
        <w:pStyle w:val="Heading5"/>
      </w:pPr>
      <w:r w:rsidRPr="00102445">
        <w:t xml:space="preserve">Division 1 – General </w:t>
      </w:r>
    </w:p>
    <w:p w14:paraId="533E59BE" w14:textId="1ED9D08B" w:rsidR="007158B1" w:rsidRPr="00102445" w:rsidRDefault="006B62A8" w:rsidP="00591A9C">
      <w:pPr>
        <w:pStyle w:val="ListParagraph"/>
        <w:numPr>
          <w:ilvl w:val="0"/>
          <w:numId w:val="2"/>
        </w:numPr>
        <w:spacing w:line="240" w:lineRule="auto"/>
        <w:contextualSpacing w:val="0"/>
        <w:rPr>
          <w:lang w:eastAsia="en-AU"/>
        </w:rPr>
      </w:pPr>
      <w:r w:rsidRPr="00102445">
        <w:rPr>
          <w:lang w:eastAsia="en-AU"/>
        </w:rPr>
        <w:t>Subsection</w:t>
      </w:r>
      <w:r w:rsidR="007158B1" w:rsidRPr="00102445">
        <w:rPr>
          <w:lang w:eastAsia="en-AU"/>
        </w:rPr>
        <w:t xml:space="preserve"> </w:t>
      </w:r>
      <w:r w:rsidR="00A77D64" w:rsidRPr="00102445">
        <w:rPr>
          <w:lang w:eastAsia="en-AU"/>
        </w:rPr>
        <w:t>55</w:t>
      </w:r>
      <w:r w:rsidRPr="00102445">
        <w:rPr>
          <w:lang w:eastAsia="en-AU"/>
        </w:rPr>
        <w:t>(1)</w:t>
      </w:r>
      <w:r w:rsidR="008C4CBE" w:rsidRPr="00102445">
        <w:rPr>
          <w:lang w:eastAsia="en-AU"/>
        </w:rPr>
        <w:t xml:space="preserve"> </w:t>
      </w:r>
      <w:r w:rsidR="00FE5D03" w:rsidRPr="00102445">
        <w:rPr>
          <w:lang w:eastAsia="en-AU"/>
        </w:rPr>
        <w:t>specifies that</w:t>
      </w:r>
      <w:r w:rsidR="0033362C" w:rsidRPr="00102445">
        <w:rPr>
          <w:lang w:eastAsia="en-AU"/>
        </w:rPr>
        <w:t xml:space="preserve"> the prov</w:t>
      </w:r>
      <w:r w:rsidR="00D031A9" w:rsidRPr="00102445">
        <w:rPr>
          <w:lang w:eastAsia="en-AU"/>
        </w:rPr>
        <w:t>isions in</w:t>
      </w:r>
      <w:r w:rsidR="00D55DE8" w:rsidRPr="00102445">
        <w:rPr>
          <w:lang w:eastAsia="en-AU"/>
        </w:rPr>
        <w:t xml:space="preserve"> Part 3A</w:t>
      </w:r>
      <w:r w:rsidR="00FC519A" w:rsidRPr="00102445">
        <w:rPr>
          <w:lang w:eastAsia="en-AU"/>
        </w:rPr>
        <w:t>, unless otherwise specified,</w:t>
      </w:r>
      <w:r w:rsidR="00BC2523" w:rsidRPr="00102445">
        <w:rPr>
          <w:lang w:eastAsia="en-AU"/>
        </w:rPr>
        <w:t xml:space="preserve"> are made for the </w:t>
      </w:r>
      <w:r w:rsidR="00EF39FB" w:rsidRPr="00102445">
        <w:rPr>
          <w:lang w:eastAsia="en-AU"/>
        </w:rPr>
        <w:t xml:space="preserve">purposes of subsection </w:t>
      </w:r>
      <w:r w:rsidR="00B7487E" w:rsidRPr="00102445">
        <w:rPr>
          <w:lang w:eastAsia="en-AU"/>
        </w:rPr>
        <w:t xml:space="preserve">22XNA(3) of </w:t>
      </w:r>
      <w:r w:rsidR="00B86E54" w:rsidRPr="00102445">
        <w:rPr>
          <w:lang w:eastAsia="en-AU"/>
        </w:rPr>
        <w:t>the NGER Act</w:t>
      </w:r>
      <w:r w:rsidR="00B7487E" w:rsidRPr="00102445">
        <w:rPr>
          <w:lang w:eastAsia="en-AU"/>
        </w:rPr>
        <w:t>,</w:t>
      </w:r>
      <w:r w:rsidR="0085747C" w:rsidRPr="00102445">
        <w:rPr>
          <w:lang w:eastAsia="en-AU"/>
        </w:rPr>
        <w:t xml:space="preserve"> which provides for the issuance</w:t>
      </w:r>
      <w:r w:rsidR="00305C5D" w:rsidRPr="00102445">
        <w:rPr>
          <w:lang w:eastAsia="en-AU"/>
        </w:rPr>
        <w:t xml:space="preserve"> </w:t>
      </w:r>
      <w:r w:rsidR="009352F1" w:rsidRPr="00102445">
        <w:rPr>
          <w:lang w:eastAsia="en-AU"/>
        </w:rPr>
        <w:t xml:space="preserve">of </w:t>
      </w:r>
      <w:r w:rsidR="00305C5D" w:rsidRPr="00102445">
        <w:rPr>
          <w:lang w:eastAsia="en-AU"/>
        </w:rPr>
        <w:t>SMCs.</w:t>
      </w:r>
      <w:r w:rsidR="00B7487E" w:rsidRPr="00102445">
        <w:rPr>
          <w:lang w:eastAsia="en-AU"/>
        </w:rPr>
        <w:t xml:space="preserve"> </w:t>
      </w:r>
      <w:r w:rsidRPr="00102445">
        <w:rPr>
          <w:lang w:eastAsia="en-AU"/>
        </w:rPr>
        <w:t xml:space="preserve">Subsection </w:t>
      </w:r>
      <w:r w:rsidR="00A77D64" w:rsidRPr="00102445">
        <w:rPr>
          <w:lang w:eastAsia="en-AU"/>
        </w:rPr>
        <w:t>55</w:t>
      </w:r>
      <w:r w:rsidRPr="00102445">
        <w:rPr>
          <w:lang w:eastAsia="en-AU"/>
        </w:rPr>
        <w:t xml:space="preserve">(2) specifies that </w:t>
      </w:r>
      <w:r w:rsidR="00243F02" w:rsidRPr="00102445">
        <w:rPr>
          <w:lang w:eastAsia="en-AU"/>
        </w:rPr>
        <w:t xml:space="preserve">Part 3A </w:t>
      </w:r>
      <w:r w:rsidR="00DF2DC4" w:rsidRPr="00102445">
        <w:rPr>
          <w:lang w:eastAsia="en-AU"/>
        </w:rPr>
        <w:t>applies in relation to</w:t>
      </w:r>
      <w:r w:rsidR="00BC1DE2" w:rsidRPr="00102445">
        <w:rPr>
          <w:lang w:eastAsia="en-AU"/>
        </w:rPr>
        <w:t xml:space="preserve"> financia</w:t>
      </w:r>
      <w:r w:rsidR="00C21D8A" w:rsidRPr="00102445">
        <w:rPr>
          <w:lang w:eastAsia="en-AU"/>
        </w:rPr>
        <w:t>l years</w:t>
      </w:r>
      <w:r w:rsidR="00E52F13" w:rsidRPr="00102445">
        <w:rPr>
          <w:lang w:eastAsia="en-AU"/>
        </w:rPr>
        <w:t xml:space="preserve"> and multi-year monitoring period that begin after 30 June 2023.</w:t>
      </w:r>
      <w:r w:rsidR="00DF2DC4" w:rsidRPr="00102445">
        <w:rPr>
          <w:lang w:eastAsia="en-AU"/>
        </w:rPr>
        <w:t xml:space="preserve"> </w:t>
      </w:r>
    </w:p>
    <w:p w14:paraId="71521F04" w14:textId="77777777" w:rsidR="00AB54A2" w:rsidRPr="00102445" w:rsidRDefault="00AB54A2" w:rsidP="00AB54A2">
      <w:pPr>
        <w:pStyle w:val="Heading5"/>
      </w:pPr>
      <w:r w:rsidRPr="00102445">
        <w:t>Division 2 – Issuing safeguard mechanism credit units</w:t>
      </w:r>
    </w:p>
    <w:p w14:paraId="6B21BBDD" w14:textId="5E6DFC73" w:rsidR="002507D2" w:rsidRPr="00102445" w:rsidRDefault="4713F269"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Section </w:t>
      </w:r>
      <w:r w:rsidR="00A77D64" w:rsidRPr="00102445">
        <w:rPr>
          <w:lang w:eastAsia="en-AU"/>
        </w:rPr>
        <w:t>56</w:t>
      </w:r>
      <w:r w:rsidRPr="00102445">
        <w:rPr>
          <w:lang w:eastAsia="en-AU"/>
        </w:rPr>
        <w:t xml:space="preserve"> sets out </w:t>
      </w:r>
      <w:r w:rsidR="5239DACB" w:rsidRPr="00102445">
        <w:rPr>
          <w:lang w:eastAsia="en-AU"/>
        </w:rPr>
        <w:t xml:space="preserve">matters relating </w:t>
      </w:r>
      <w:r w:rsidR="4CD4784D" w:rsidRPr="00102445">
        <w:rPr>
          <w:lang w:eastAsia="en-AU"/>
        </w:rPr>
        <w:t>to SMCs including application</w:t>
      </w:r>
      <w:r w:rsidR="646539B3" w:rsidRPr="00102445">
        <w:rPr>
          <w:lang w:eastAsia="en-AU"/>
        </w:rPr>
        <w:t>,</w:t>
      </w:r>
      <w:r w:rsidR="4CD4784D" w:rsidRPr="00102445">
        <w:rPr>
          <w:lang w:eastAsia="en-AU"/>
        </w:rPr>
        <w:t xml:space="preserve"> issuance</w:t>
      </w:r>
      <w:r w:rsidR="004862F6" w:rsidRPr="00102445">
        <w:rPr>
          <w:lang w:eastAsia="en-AU"/>
        </w:rPr>
        <w:t>,</w:t>
      </w:r>
      <w:r w:rsidR="34E90D01" w:rsidRPr="00102445">
        <w:rPr>
          <w:lang w:eastAsia="en-AU"/>
        </w:rPr>
        <w:t xml:space="preserve"> and calculation </w:t>
      </w:r>
      <w:r w:rsidR="66306FAF" w:rsidRPr="00102445">
        <w:rPr>
          <w:lang w:eastAsia="en-AU"/>
        </w:rPr>
        <w:t xml:space="preserve">of </w:t>
      </w:r>
      <w:r w:rsidR="318C4D64" w:rsidRPr="00102445">
        <w:rPr>
          <w:lang w:eastAsia="en-AU"/>
        </w:rPr>
        <w:t>the number of credits.</w:t>
      </w:r>
      <w:r w:rsidR="4BD674FB" w:rsidRPr="00102445">
        <w:rPr>
          <w:lang w:eastAsia="en-AU"/>
        </w:rPr>
        <w:t xml:space="preserve"> Subsection </w:t>
      </w:r>
      <w:r w:rsidR="00912E7F" w:rsidRPr="00102445">
        <w:rPr>
          <w:lang w:eastAsia="en-AU"/>
        </w:rPr>
        <w:t>56</w:t>
      </w:r>
      <w:r w:rsidR="4BD674FB" w:rsidRPr="00102445">
        <w:rPr>
          <w:lang w:eastAsia="en-AU"/>
        </w:rPr>
        <w:t>(1) provide</w:t>
      </w:r>
      <w:r w:rsidR="00C05500" w:rsidRPr="00102445">
        <w:rPr>
          <w:lang w:eastAsia="en-AU"/>
        </w:rPr>
        <w:t>s</w:t>
      </w:r>
      <w:r w:rsidR="4BD674FB" w:rsidRPr="00102445">
        <w:rPr>
          <w:lang w:eastAsia="en-AU"/>
        </w:rPr>
        <w:t xml:space="preserve"> for </w:t>
      </w:r>
      <w:r w:rsidR="009352F1" w:rsidRPr="00102445">
        <w:rPr>
          <w:lang w:eastAsia="en-AU"/>
        </w:rPr>
        <w:t xml:space="preserve">a </w:t>
      </w:r>
      <w:r w:rsidR="4BD674FB" w:rsidRPr="00102445">
        <w:rPr>
          <w:lang w:eastAsia="en-AU"/>
        </w:rPr>
        <w:t>responsible emitter to apply</w:t>
      </w:r>
      <w:r w:rsidR="4E3445D8" w:rsidRPr="00102445">
        <w:rPr>
          <w:lang w:eastAsia="en-AU"/>
        </w:rPr>
        <w:t xml:space="preserve"> to the Regulator </w:t>
      </w:r>
      <w:r w:rsidR="00C154AF" w:rsidRPr="00102445">
        <w:rPr>
          <w:lang w:eastAsia="en-AU"/>
        </w:rPr>
        <w:t xml:space="preserve">to </w:t>
      </w:r>
      <w:r w:rsidR="32B46604" w:rsidRPr="00102445">
        <w:rPr>
          <w:lang w:eastAsia="en-AU"/>
        </w:rPr>
        <w:t>issue</w:t>
      </w:r>
      <w:r w:rsidR="00A478B6" w:rsidRPr="00102445">
        <w:rPr>
          <w:lang w:eastAsia="en-AU"/>
        </w:rPr>
        <w:t xml:space="preserve"> </w:t>
      </w:r>
      <w:r w:rsidR="4E3445D8" w:rsidRPr="00102445">
        <w:rPr>
          <w:lang w:eastAsia="en-AU"/>
        </w:rPr>
        <w:t>SMCs</w:t>
      </w:r>
      <w:r w:rsidR="003640C2" w:rsidRPr="00102445">
        <w:rPr>
          <w:lang w:eastAsia="en-AU"/>
        </w:rPr>
        <w:t xml:space="preserve"> to the responsible emitter</w:t>
      </w:r>
      <w:r w:rsidR="00620EF7" w:rsidRPr="00102445">
        <w:rPr>
          <w:lang w:eastAsia="en-AU"/>
        </w:rPr>
        <w:t xml:space="preserve"> in relation to the facility for a particular financial year</w:t>
      </w:r>
      <w:r w:rsidR="4E3445D8" w:rsidRPr="00102445">
        <w:rPr>
          <w:lang w:eastAsia="en-AU"/>
        </w:rPr>
        <w:t xml:space="preserve">. </w:t>
      </w:r>
      <w:r w:rsidR="00E41326" w:rsidRPr="00102445">
        <w:rPr>
          <w:lang w:eastAsia="en-AU"/>
        </w:rPr>
        <w:t>The Regulator</w:t>
      </w:r>
      <w:r w:rsidR="000A2218" w:rsidRPr="00102445">
        <w:rPr>
          <w:lang w:eastAsia="en-AU"/>
        </w:rPr>
        <w:t xml:space="preserve">, </w:t>
      </w:r>
      <w:r w:rsidR="00E41326" w:rsidRPr="00102445">
        <w:rPr>
          <w:lang w:eastAsia="en-AU"/>
        </w:rPr>
        <w:t xml:space="preserve">as provided by </w:t>
      </w:r>
      <w:r w:rsidR="00912E7F" w:rsidRPr="00102445">
        <w:rPr>
          <w:lang w:eastAsia="en-AU"/>
        </w:rPr>
        <w:t>subsection 56</w:t>
      </w:r>
      <w:r w:rsidR="00EE598C" w:rsidRPr="00102445">
        <w:rPr>
          <w:lang w:eastAsia="en-AU"/>
        </w:rPr>
        <w:t>(2)</w:t>
      </w:r>
      <w:r w:rsidR="000A2218" w:rsidRPr="00102445">
        <w:rPr>
          <w:lang w:eastAsia="en-AU"/>
        </w:rPr>
        <w:t xml:space="preserve">, must consider the application as soon as reasonably practicable </w:t>
      </w:r>
      <w:r w:rsidR="00CD40C1" w:rsidRPr="00102445">
        <w:rPr>
          <w:lang w:eastAsia="en-AU"/>
        </w:rPr>
        <w:t>after</w:t>
      </w:r>
      <w:r w:rsidR="000A2218" w:rsidRPr="00102445">
        <w:rPr>
          <w:lang w:eastAsia="en-AU"/>
        </w:rPr>
        <w:t xml:space="preserve"> receiving the application</w:t>
      </w:r>
      <w:r w:rsidR="00962197" w:rsidRPr="00102445">
        <w:rPr>
          <w:lang w:eastAsia="en-AU"/>
        </w:rPr>
        <w:t xml:space="preserve">. </w:t>
      </w:r>
      <w:r w:rsidR="00BF74E8" w:rsidRPr="00102445">
        <w:rPr>
          <w:lang w:eastAsia="en-AU"/>
        </w:rPr>
        <w:t xml:space="preserve">Where </w:t>
      </w:r>
      <w:r w:rsidR="00A27A13" w:rsidRPr="00102445">
        <w:rPr>
          <w:lang w:eastAsia="en-AU"/>
        </w:rPr>
        <w:t xml:space="preserve">the </w:t>
      </w:r>
      <w:r w:rsidR="008D5A38" w:rsidRPr="00102445">
        <w:rPr>
          <w:lang w:eastAsia="en-AU"/>
        </w:rPr>
        <w:t xml:space="preserve">Regulator is satisfied </w:t>
      </w:r>
      <w:r w:rsidR="000E1D81" w:rsidRPr="00102445">
        <w:rPr>
          <w:lang w:eastAsia="en-AU"/>
        </w:rPr>
        <w:t>of the matter</w:t>
      </w:r>
      <w:r w:rsidR="00A66645" w:rsidRPr="00102445">
        <w:rPr>
          <w:lang w:eastAsia="en-AU"/>
        </w:rPr>
        <w:t>s specified</w:t>
      </w:r>
      <w:r w:rsidR="000E1D81" w:rsidRPr="00102445">
        <w:rPr>
          <w:lang w:eastAsia="en-AU"/>
        </w:rPr>
        <w:t xml:space="preserve"> in subsection </w:t>
      </w:r>
      <w:r w:rsidR="009352F1" w:rsidRPr="00102445">
        <w:rPr>
          <w:lang w:eastAsia="en-AU"/>
        </w:rPr>
        <w:t>56</w:t>
      </w:r>
      <w:r w:rsidR="000E1D81" w:rsidRPr="00102445">
        <w:rPr>
          <w:lang w:eastAsia="en-AU"/>
        </w:rPr>
        <w:t>(3)</w:t>
      </w:r>
      <w:r w:rsidR="00A66645" w:rsidRPr="00102445">
        <w:rPr>
          <w:lang w:eastAsia="en-AU"/>
        </w:rPr>
        <w:t>, and has no evidenc</w:t>
      </w:r>
      <w:r w:rsidR="00303448" w:rsidRPr="00102445">
        <w:rPr>
          <w:lang w:eastAsia="en-AU"/>
        </w:rPr>
        <w:t xml:space="preserve">e that the </w:t>
      </w:r>
      <w:r w:rsidR="00366A5D" w:rsidRPr="00102445">
        <w:rPr>
          <w:lang w:eastAsia="en-AU"/>
        </w:rPr>
        <w:t>quantity of the production variable or the covered emissions of greenhouse gases from the operation</w:t>
      </w:r>
      <w:r w:rsidR="009C20C3" w:rsidRPr="00102445">
        <w:rPr>
          <w:lang w:eastAsia="en-AU"/>
        </w:rPr>
        <w:t xml:space="preserve"> of the facility in the financial year have been inaccurately reported</w:t>
      </w:r>
      <w:r w:rsidR="00174071" w:rsidRPr="00102445">
        <w:rPr>
          <w:lang w:eastAsia="en-AU"/>
        </w:rPr>
        <w:t>,</w:t>
      </w:r>
      <w:r w:rsidR="00821F35" w:rsidRPr="00102445">
        <w:rPr>
          <w:lang w:eastAsia="en-AU"/>
        </w:rPr>
        <w:t xml:space="preserve"> </w:t>
      </w:r>
      <w:r w:rsidR="00B02E04" w:rsidRPr="00102445">
        <w:rPr>
          <w:lang w:eastAsia="en-AU"/>
        </w:rPr>
        <w:t>they m</w:t>
      </w:r>
      <w:r w:rsidR="00097B67" w:rsidRPr="00102445">
        <w:rPr>
          <w:lang w:eastAsia="en-AU"/>
        </w:rPr>
        <w:t xml:space="preserve">ust determine the number of units to be </w:t>
      </w:r>
      <w:r w:rsidR="00097B67" w:rsidRPr="00102445">
        <w:rPr>
          <w:lang w:eastAsia="en-AU"/>
        </w:rPr>
        <w:lastRenderedPageBreak/>
        <w:t>issued</w:t>
      </w:r>
      <w:r w:rsidR="00C92367" w:rsidRPr="00102445">
        <w:rPr>
          <w:lang w:eastAsia="en-AU"/>
        </w:rPr>
        <w:t xml:space="preserve"> as provided by </w:t>
      </w:r>
      <w:r w:rsidR="005F00B1" w:rsidRPr="00102445">
        <w:rPr>
          <w:lang w:eastAsia="en-AU"/>
        </w:rPr>
        <w:t xml:space="preserve">paragraph </w:t>
      </w:r>
      <w:r w:rsidR="001F058D" w:rsidRPr="00102445">
        <w:rPr>
          <w:lang w:eastAsia="en-AU"/>
        </w:rPr>
        <w:t>56</w:t>
      </w:r>
      <w:r w:rsidR="00401169" w:rsidRPr="00102445">
        <w:rPr>
          <w:lang w:eastAsia="en-AU"/>
        </w:rPr>
        <w:t>(2)</w:t>
      </w:r>
      <w:r w:rsidR="005E7DCC" w:rsidRPr="00102445">
        <w:rPr>
          <w:lang w:eastAsia="en-AU"/>
        </w:rPr>
        <w:t>(c)</w:t>
      </w:r>
      <w:r w:rsidR="00975FD2" w:rsidRPr="00102445">
        <w:rPr>
          <w:lang w:eastAsia="en-AU"/>
        </w:rPr>
        <w:t xml:space="preserve">; and decide to issue that number of units to the responsible emitter. </w:t>
      </w:r>
    </w:p>
    <w:p w14:paraId="071A0176" w14:textId="4F3D7189" w:rsidR="009352F1" w:rsidRPr="00102445" w:rsidRDefault="00084A27"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Section </w:t>
      </w:r>
      <w:r w:rsidR="00154BA5" w:rsidRPr="00102445">
        <w:rPr>
          <w:lang w:eastAsia="en-AU"/>
        </w:rPr>
        <w:t>56</w:t>
      </w:r>
      <w:r w:rsidRPr="00102445">
        <w:rPr>
          <w:lang w:eastAsia="en-AU"/>
        </w:rPr>
        <w:t xml:space="preserve">(3) </w:t>
      </w:r>
      <w:r w:rsidR="003D7480" w:rsidRPr="00102445">
        <w:rPr>
          <w:lang w:eastAsia="en-AU"/>
        </w:rPr>
        <w:t>provides the matters for which the</w:t>
      </w:r>
      <w:r w:rsidR="00A73D29" w:rsidRPr="00102445">
        <w:rPr>
          <w:lang w:eastAsia="en-AU"/>
        </w:rPr>
        <w:t xml:space="preserve"> Regulator </w:t>
      </w:r>
      <w:r w:rsidR="006A65C1" w:rsidRPr="00102445">
        <w:rPr>
          <w:lang w:eastAsia="en-AU"/>
        </w:rPr>
        <w:t>must be satisfied before issuing SMCs</w:t>
      </w:r>
      <w:r w:rsidR="00625492" w:rsidRPr="00102445">
        <w:rPr>
          <w:lang w:eastAsia="en-AU"/>
        </w:rPr>
        <w:t xml:space="preserve">. These include </w:t>
      </w:r>
      <w:r w:rsidR="009352F1" w:rsidRPr="00102445">
        <w:rPr>
          <w:lang w:eastAsia="en-AU"/>
        </w:rPr>
        <w:t xml:space="preserve">that </w:t>
      </w:r>
      <w:r w:rsidR="00625492" w:rsidRPr="00102445">
        <w:rPr>
          <w:lang w:eastAsia="en-AU"/>
        </w:rPr>
        <w:t>no borrowing adjustment determination</w:t>
      </w:r>
      <w:r w:rsidR="00CF0811" w:rsidRPr="00102445">
        <w:rPr>
          <w:lang w:eastAsia="en-AU"/>
        </w:rPr>
        <w:t xml:space="preserve"> specifies</w:t>
      </w:r>
      <w:r w:rsidR="005E7836" w:rsidRPr="00102445">
        <w:rPr>
          <w:lang w:eastAsia="en-AU"/>
        </w:rPr>
        <w:t xml:space="preserve"> a borrowing adjustment number for the </w:t>
      </w:r>
      <w:r w:rsidR="00695E45" w:rsidRPr="00102445">
        <w:rPr>
          <w:lang w:eastAsia="en-AU"/>
        </w:rPr>
        <w:t>facility for the financial year</w:t>
      </w:r>
      <w:r w:rsidR="009352F1" w:rsidRPr="00102445">
        <w:rPr>
          <w:lang w:eastAsia="en-AU"/>
        </w:rPr>
        <w:t>. A borrowing adjustment determination increases the baseline emissions number for a financial year and decreases it in the subsequent financial year. This provision means that a facility cannot get SMCs in relation to the financial year that the baseline increases but does not prevent the facility from getting SMCs in the subsequent financial year.</w:t>
      </w:r>
    </w:p>
    <w:p w14:paraId="0ABE3532" w14:textId="2D0C02EF" w:rsidR="009352F1" w:rsidRPr="00102445" w:rsidRDefault="009352F1"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Section 56(3) also requires</w:t>
      </w:r>
      <w:r w:rsidR="00695E45" w:rsidRPr="00102445">
        <w:rPr>
          <w:lang w:eastAsia="en-AU"/>
        </w:rPr>
        <w:t xml:space="preserve"> </w:t>
      </w:r>
      <w:r w:rsidR="00E91C52" w:rsidRPr="00102445">
        <w:rPr>
          <w:lang w:eastAsia="en-AU"/>
        </w:rPr>
        <w:t xml:space="preserve">the baseline </w:t>
      </w:r>
      <w:r w:rsidR="000603A2" w:rsidRPr="00102445">
        <w:rPr>
          <w:lang w:eastAsia="en-AU"/>
        </w:rPr>
        <w:t xml:space="preserve">emissions number for the facility for the financial year </w:t>
      </w:r>
      <w:r w:rsidRPr="00102445">
        <w:rPr>
          <w:lang w:eastAsia="en-AU"/>
        </w:rPr>
        <w:t>to be</w:t>
      </w:r>
      <w:r w:rsidR="0015342F" w:rsidRPr="00102445">
        <w:rPr>
          <w:lang w:eastAsia="en-AU"/>
        </w:rPr>
        <w:t xml:space="preserve"> greater </w:t>
      </w:r>
      <w:r w:rsidR="00F87FCF" w:rsidRPr="00102445">
        <w:rPr>
          <w:lang w:eastAsia="en-AU"/>
        </w:rPr>
        <w:t xml:space="preserve">than the sum of the </w:t>
      </w:r>
      <w:r w:rsidR="00B008F0" w:rsidRPr="00102445">
        <w:rPr>
          <w:lang w:eastAsia="en-AU"/>
        </w:rPr>
        <w:t>number of tonnes of covered emissions</w:t>
      </w:r>
      <w:r w:rsidR="002A471E" w:rsidRPr="00102445">
        <w:rPr>
          <w:lang w:eastAsia="en-AU"/>
        </w:rPr>
        <w:t xml:space="preserve"> and the </w:t>
      </w:r>
      <w:r w:rsidR="00DE7F33" w:rsidRPr="00102445">
        <w:rPr>
          <w:lang w:eastAsia="en-AU"/>
        </w:rPr>
        <w:t xml:space="preserve">number of </w:t>
      </w:r>
      <w:r w:rsidR="007F1F20" w:rsidRPr="00102445">
        <w:rPr>
          <w:lang w:eastAsia="en-AU"/>
        </w:rPr>
        <w:t>ACCU</w:t>
      </w:r>
      <w:r w:rsidR="00DE7F33" w:rsidRPr="00102445">
        <w:rPr>
          <w:lang w:eastAsia="en-AU"/>
        </w:rPr>
        <w:t xml:space="preserve">s (if any) </w:t>
      </w:r>
      <w:r w:rsidR="005C7592" w:rsidRPr="00102445">
        <w:rPr>
          <w:lang w:eastAsia="en-AU"/>
        </w:rPr>
        <w:t>by which the net emissions number for the facility for the financial year is increased under subsection 22</w:t>
      </w:r>
      <w:r w:rsidR="006026CD" w:rsidRPr="00102445">
        <w:rPr>
          <w:lang w:eastAsia="en-AU"/>
        </w:rPr>
        <w:t xml:space="preserve">XK(4) of </w:t>
      </w:r>
      <w:r w:rsidR="00B86E54" w:rsidRPr="00102445">
        <w:rPr>
          <w:lang w:eastAsia="en-AU"/>
        </w:rPr>
        <w:t>the NGER Act</w:t>
      </w:r>
      <w:r w:rsidRPr="00102445">
        <w:rPr>
          <w:lang w:eastAsia="en-AU"/>
        </w:rPr>
        <w:t>. It requires</w:t>
      </w:r>
      <w:r w:rsidR="00177430" w:rsidRPr="00102445">
        <w:rPr>
          <w:lang w:eastAsia="en-AU"/>
        </w:rPr>
        <w:t xml:space="preserve"> the facility </w:t>
      </w:r>
      <w:r w:rsidRPr="00102445">
        <w:rPr>
          <w:lang w:eastAsia="en-AU"/>
        </w:rPr>
        <w:t>to</w:t>
      </w:r>
      <w:r w:rsidR="00177430" w:rsidRPr="00102445">
        <w:rPr>
          <w:lang w:eastAsia="en-AU"/>
        </w:rPr>
        <w:t xml:space="preserve"> not </w:t>
      </w:r>
      <w:r w:rsidRPr="00102445">
        <w:rPr>
          <w:lang w:eastAsia="en-AU"/>
        </w:rPr>
        <w:t>be</w:t>
      </w:r>
      <w:r w:rsidR="00177430" w:rsidRPr="00102445">
        <w:rPr>
          <w:lang w:eastAsia="en-AU"/>
        </w:rPr>
        <w:t xml:space="preserve"> landfill</w:t>
      </w:r>
      <w:r w:rsidR="006A05D5" w:rsidRPr="00102445">
        <w:rPr>
          <w:lang w:eastAsia="en-AU"/>
        </w:rPr>
        <w:t xml:space="preserve"> facility</w:t>
      </w:r>
      <w:r w:rsidRPr="00102445">
        <w:rPr>
          <w:lang w:eastAsia="en-AU"/>
        </w:rPr>
        <w:t>; and requires</w:t>
      </w:r>
      <w:r w:rsidR="00AC06D6" w:rsidRPr="00102445">
        <w:rPr>
          <w:lang w:eastAsia="en-AU"/>
        </w:rPr>
        <w:t xml:space="preserve"> the facility</w:t>
      </w:r>
      <w:r w:rsidR="00131BCE" w:rsidRPr="00102445">
        <w:rPr>
          <w:lang w:eastAsia="en-AU"/>
        </w:rPr>
        <w:t xml:space="preserve"> </w:t>
      </w:r>
      <w:r w:rsidRPr="00102445">
        <w:rPr>
          <w:lang w:eastAsia="en-AU"/>
        </w:rPr>
        <w:t xml:space="preserve">to be </w:t>
      </w:r>
      <w:r w:rsidR="00131BCE" w:rsidRPr="00102445">
        <w:rPr>
          <w:lang w:eastAsia="en-AU"/>
        </w:rPr>
        <w:t xml:space="preserve">a designated large facility or an eligible facility for the </w:t>
      </w:r>
      <w:r w:rsidR="007B68B6" w:rsidRPr="00102445">
        <w:rPr>
          <w:lang w:eastAsia="en-AU"/>
        </w:rPr>
        <w:t>financial</w:t>
      </w:r>
      <w:r w:rsidR="00131BCE" w:rsidRPr="00102445">
        <w:rPr>
          <w:lang w:eastAsia="en-AU"/>
        </w:rPr>
        <w:t xml:space="preserve"> year</w:t>
      </w:r>
      <w:r w:rsidRPr="00102445">
        <w:rPr>
          <w:lang w:eastAsia="en-AU"/>
        </w:rPr>
        <w:t>.</w:t>
      </w:r>
    </w:p>
    <w:p w14:paraId="5A8FDC2C" w14:textId="3C528B97" w:rsidR="0045202E" w:rsidRPr="00102445" w:rsidRDefault="009352F1"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Section 56(3)</w:t>
      </w:r>
      <w:r w:rsidR="00131BCE" w:rsidRPr="00102445">
        <w:rPr>
          <w:lang w:eastAsia="en-AU"/>
        </w:rPr>
        <w:t xml:space="preserve"> </w:t>
      </w:r>
      <w:r w:rsidRPr="00102445">
        <w:rPr>
          <w:lang w:eastAsia="en-AU"/>
        </w:rPr>
        <w:t>requires</w:t>
      </w:r>
      <w:r w:rsidR="007B68B6" w:rsidRPr="00102445">
        <w:rPr>
          <w:lang w:eastAsia="en-AU"/>
        </w:rPr>
        <w:t xml:space="preserve"> the </w:t>
      </w:r>
      <w:r w:rsidR="00550999" w:rsidRPr="00102445">
        <w:rPr>
          <w:lang w:eastAsia="en-AU"/>
        </w:rPr>
        <w:t>financial year</w:t>
      </w:r>
      <w:r w:rsidR="00493043" w:rsidRPr="00102445">
        <w:rPr>
          <w:lang w:eastAsia="en-AU"/>
        </w:rPr>
        <w:t xml:space="preserve"> </w:t>
      </w:r>
      <w:r w:rsidRPr="00102445">
        <w:rPr>
          <w:lang w:eastAsia="en-AU"/>
        </w:rPr>
        <w:t>to</w:t>
      </w:r>
      <w:r w:rsidR="00493043" w:rsidRPr="00102445">
        <w:rPr>
          <w:lang w:eastAsia="en-AU"/>
        </w:rPr>
        <w:t xml:space="preserve"> not </w:t>
      </w:r>
      <w:r w:rsidRPr="00102445">
        <w:rPr>
          <w:lang w:eastAsia="en-AU"/>
        </w:rPr>
        <w:t xml:space="preserve">be </w:t>
      </w:r>
      <w:r w:rsidR="00493043" w:rsidRPr="00102445">
        <w:rPr>
          <w:lang w:eastAsia="en-AU"/>
        </w:rPr>
        <w:t xml:space="preserve">included in a declared multi-year </w:t>
      </w:r>
      <w:r w:rsidR="00E65ABA" w:rsidRPr="00102445">
        <w:rPr>
          <w:lang w:eastAsia="en-AU"/>
        </w:rPr>
        <w:t>period</w:t>
      </w:r>
      <w:r w:rsidRPr="00102445">
        <w:rPr>
          <w:lang w:eastAsia="en-AU"/>
        </w:rPr>
        <w:t xml:space="preserve"> </w:t>
      </w:r>
      <w:r w:rsidR="0068700F" w:rsidRPr="00102445">
        <w:rPr>
          <w:lang w:eastAsia="en-AU"/>
        </w:rPr>
        <w:t xml:space="preserve">for </w:t>
      </w:r>
      <w:r w:rsidR="00E65ABA" w:rsidRPr="00102445">
        <w:rPr>
          <w:lang w:eastAsia="en-AU"/>
        </w:rPr>
        <w:t xml:space="preserve">the facility. </w:t>
      </w:r>
      <w:r w:rsidRPr="00102445">
        <w:rPr>
          <w:lang w:eastAsia="en-AU"/>
        </w:rPr>
        <w:t xml:space="preserve">If the financial year is </w:t>
      </w:r>
      <w:r w:rsidR="0068700F" w:rsidRPr="00102445">
        <w:rPr>
          <w:lang w:eastAsia="en-AU"/>
        </w:rPr>
        <w:t>included in a declared multi-year period, they must apply for SMCs to be issued under section 57 instead.</w:t>
      </w:r>
    </w:p>
    <w:p w14:paraId="6471F728" w14:textId="45C1F1C1" w:rsidR="00B502A4" w:rsidRPr="00102445" w:rsidRDefault="009939AA"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Section </w:t>
      </w:r>
      <w:r w:rsidR="001514E0" w:rsidRPr="00102445">
        <w:rPr>
          <w:lang w:eastAsia="en-AU"/>
        </w:rPr>
        <w:t>56</w:t>
      </w:r>
      <w:r w:rsidRPr="00102445">
        <w:rPr>
          <w:lang w:eastAsia="en-AU"/>
        </w:rPr>
        <w:t>(4) pr</w:t>
      </w:r>
      <w:r w:rsidR="000700F2" w:rsidRPr="00102445">
        <w:rPr>
          <w:lang w:eastAsia="en-AU"/>
        </w:rPr>
        <w:t>ovides the method for determining the number of SMCs to be issued</w:t>
      </w:r>
      <w:r w:rsidR="00D1016A" w:rsidRPr="00102445">
        <w:rPr>
          <w:lang w:eastAsia="en-AU"/>
        </w:rPr>
        <w:t xml:space="preserve">. </w:t>
      </w:r>
      <w:r w:rsidR="0068700F" w:rsidRPr="00102445">
        <w:rPr>
          <w:lang w:eastAsia="en-AU"/>
        </w:rPr>
        <w:t xml:space="preserve">For facilities without an emissions reduction fund project, the number equates to their baseline emissions number minus their covered emissions for a financial year. </w:t>
      </w:r>
      <w:r w:rsidR="00D1016A" w:rsidRPr="00102445">
        <w:rPr>
          <w:lang w:eastAsia="en-AU"/>
        </w:rPr>
        <w:t>Where</w:t>
      </w:r>
      <w:r w:rsidR="000461A9" w:rsidRPr="00102445">
        <w:rPr>
          <w:lang w:eastAsia="en-AU"/>
        </w:rPr>
        <w:t xml:space="preserve"> sub-paragraph 2(c)(ii)</w:t>
      </w:r>
      <w:r w:rsidR="00023CF9" w:rsidRPr="00102445">
        <w:rPr>
          <w:lang w:eastAsia="en-AU"/>
        </w:rPr>
        <w:t xml:space="preserve"> does not apply</w:t>
      </w:r>
      <w:r w:rsidR="00B502A4" w:rsidRPr="00102445">
        <w:rPr>
          <w:lang w:eastAsia="en-AU"/>
        </w:rPr>
        <w:t>, the number of units to be issued is worked out using the following formula:</w:t>
      </w:r>
    </w:p>
    <w:p w14:paraId="09B1BC9A" w14:textId="77777777" w:rsidR="00B22728" w:rsidRPr="00102445" w:rsidRDefault="00FB64CB" w:rsidP="00B502A4">
      <w:pPr>
        <w:pStyle w:val="ListParagraph"/>
        <w:shd w:val="clear" w:color="auto" w:fill="FFFFFF" w:themeFill="background1"/>
        <w:spacing w:line="240" w:lineRule="auto"/>
        <w:ind w:left="1276"/>
        <w:contextualSpacing w:val="0"/>
        <w:rPr>
          <w:lang w:eastAsia="en-AU"/>
        </w:rPr>
      </w:pPr>
      <w:r w:rsidRPr="00102445">
        <w:rPr>
          <w:noProof/>
          <w:lang w:eastAsia="en-AU"/>
        </w:rPr>
        <w:drawing>
          <wp:inline distT="0" distB="0" distL="0" distR="0" wp14:anchorId="63FE9CA6" wp14:editId="342A2BBE">
            <wp:extent cx="1599796" cy="337457"/>
            <wp:effectExtent l="0" t="0" r="635" b="0"/>
            <wp:docPr id="1" name="Picture 1" descr="BEN minus E minus 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EN minus E minus Increas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99796" cy="337457"/>
                    </a:xfrm>
                    <a:prstGeom prst="rect">
                      <a:avLst/>
                    </a:prstGeom>
                    <a:noFill/>
                    <a:ln>
                      <a:noFill/>
                    </a:ln>
                  </pic:spPr>
                </pic:pic>
              </a:graphicData>
            </a:graphic>
          </wp:inline>
        </w:drawing>
      </w:r>
    </w:p>
    <w:p w14:paraId="115D4E37" w14:textId="4DBAA6EE" w:rsidR="0049117D" w:rsidRPr="00102445" w:rsidRDefault="00E12895" w:rsidP="00B502A4">
      <w:pPr>
        <w:pStyle w:val="ListParagraph"/>
        <w:shd w:val="clear" w:color="auto" w:fill="FFFFFF" w:themeFill="background1"/>
        <w:spacing w:line="240" w:lineRule="auto"/>
        <w:ind w:left="1276"/>
        <w:contextualSpacing w:val="0"/>
        <w:rPr>
          <w:lang w:eastAsia="en-AU"/>
        </w:rPr>
      </w:pPr>
      <w:r w:rsidRPr="00102445">
        <w:rPr>
          <w:lang w:eastAsia="en-AU"/>
        </w:rPr>
        <w:t>Where</w:t>
      </w:r>
      <w:r w:rsidR="0049117D" w:rsidRPr="00102445">
        <w:rPr>
          <w:lang w:eastAsia="en-AU"/>
        </w:rPr>
        <w:t>:</w:t>
      </w:r>
    </w:p>
    <w:p w14:paraId="540D54AB" w14:textId="6404C291" w:rsidR="00E65ABA" w:rsidRPr="00102445" w:rsidRDefault="00C9029A" w:rsidP="00B502A4">
      <w:pPr>
        <w:pStyle w:val="ListParagraph"/>
        <w:shd w:val="clear" w:color="auto" w:fill="FFFFFF" w:themeFill="background1"/>
        <w:spacing w:line="240" w:lineRule="auto"/>
        <w:ind w:left="1276"/>
        <w:contextualSpacing w:val="0"/>
        <w:rPr>
          <w:lang w:eastAsia="en-AU"/>
        </w:rPr>
      </w:pPr>
      <w:r w:rsidRPr="00102445">
        <w:rPr>
          <w:i/>
          <w:lang w:eastAsia="en-AU"/>
        </w:rPr>
        <w:t>BEN</w:t>
      </w:r>
      <w:r w:rsidR="0049117D" w:rsidRPr="00102445">
        <w:rPr>
          <w:i/>
          <w:lang w:eastAsia="en-AU"/>
        </w:rPr>
        <w:t xml:space="preserve"> </w:t>
      </w:r>
      <w:r w:rsidR="0049117D" w:rsidRPr="00102445">
        <w:rPr>
          <w:lang w:eastAsia="en-AU"/>
        </w:rPr>
        <w:t xml:space="preserve">is the </w:t>
      </w:r>
      <w:r w:rsidR="003F2695" w:rsidRPr="00102445">
        <w:rPr>
          <w:lang w:eastAsia="en-AU"/>
        </w:rPr>
        <w:t>baseline emissions number</w:t>
      </w:r>
      <w:r w:rsidR="00045EBA" w:rsidRPr="00102445">
        <w:rPr>
          <w:lang w:eastAsia="en-AU"/>
        </w:rPr>
        <w:t xml:space="preserve"> </w:t>
      </w:r>
      <w:r w:rsidR="00AD3B12" w:rsidRPr="00102445">
        <w:rPr>
          <w:lang w:eastAsia="en-AU"/>
        </w:rPr>
        <w:t xml:space="preserve">for the facility </w:t>
      </w:r>
      <w:r w:rsidR="00D81A6D" w:rsidRPr="00102445">
        <w:rPr>
          <w:lang w:eastAsia="en-AU"/>
        </w:rPr>
        <w:t xml:space="preserve">for the financial year that is determined in accordance </w:t>
      </w:r>
      <w:r w:rsidR="00605C4A" w:rsidRPr="00102445">
        <w:rPr>
          <w:lang w:eastAsia="en-AU"/>
        </w:rPr>
        <w:t>with</w:t>
      </w:r>
      <w:r w:rsidR="00D81A6D" w:rsidRPr="00102445">
        <w:rPr>
          <w:lang w:eastAsia="en-AU"/>
        </w:rPr>
        <w:t xml:space="preserve"> P</w:t>
      </w:r>
      <w:r w:rsidR="008F3471" w:rsidRPr="00102445">
        <w:rPr>
          <w:lang w:eastAsia="en-AU"/>
        </w:rPr>
        <w:t>art</w:t>
      </w:r>
      <w:r w:rsidR="00687CC5" w:rsidRPr="00102445">
        <w:rPr>
          <w:lang w:eastAsia="en-AU"/>
        </w:rPr>
        <w:t xml:space="preserve"> </w:t>
      </w:r>
      <w:r w:rsidR="008F3471" w:rsidRPr="00102445">
        <w:rPr>
          <w:lang w:eastAsia="en-AU"/>
        </w:rPr>
        <w:t xml:space="preserve">3 </w:t>
      </w:r>
      <w:r w:rsidR="00735ECC" w:rsidRPr="00102445">
        <w:rPr>
          <w:szCs w:val="24"/>
        </w:rPr>
        <w:t>if the minimum baseline provision in subsection 10(1) did not apply.</w:t>
      </w:r>
    </w:p>
    <w:p w14:paraId="2730585D" w14:textId="25A91F13" w:rsidR="009C68A1" w:rsidRPr="00102445" w:rsidRDefault="009C68A1" w:rsidP="00B502A4">
      <w:pPr>
        <w:pStyle w:val="ListParagraph"/>
        <w:shd w:val="clear" w:color="auto" w:fill="FFFFFF" w:themeFill="background1"/>
        <w:spacing w:line="240" w:lineRule="auto"/>
        <w:ind w:left="1276"/>
        <w:contextualSpacing w:val="0"/>
      </w:pPr>
      <w:r w:rsidRPr="00102445">
        <w:rPr>
          <w:i/>
          <w:lang w:eastAsia="en-AU"/>
        </w:rPr>
        <w:t xml:space="preserve">E </w:t>
      </w:r>
      <w:r w:rsidRPr="00102445">
        <w:rPr>
          <w:lang w:eastAsia="en-AU"/>
        </w:rPr>
        <w:t xml:space="preserve">is the number of tonnes of </w:t>
      </w:r>
      <w:r w:rsidR="00D55B2F" w:rsidRPr="00102445">
        <w:t>carbon dioxide equivalence of covered emissions of greenhouse gases from the operation of the facility during the financial year</w:t>
      </w:r>
      <w:r w:rsidR="00735ECC" w:rsidRPr="00102445">
        <w:t>.</w:t>
      </w:r>
    </w:p>
    <w:p w14:paraId="227397AC" w14:textId="6419F30B" w:rsidR="00DB1347" w:rsidRPr="00102445" w:rsidRDefault="00DB1347" w:rsidP="005A0C16">
      <w:pPr>
        <w:pStyle w:val="Definition"/>
        <w:ind w:left="1276"/>
        <w:rPr>
          <w:sz w:val="24"/>
          <w:szCs w:val="24"/>
        </w:rPr>
      </w:pPr>
      <w:r w:rsidRPr="00102445">
        <w:rPr>
          <w:i/>
          <w:sz w:val="24"/>
          <w:szCs w:val="24"/>
        </w:rPr>
        <w:t>Increase</w:t>
      </w:r>
      <w:r w:rsidRPr="00102445">
        <w:rPr>
          <w:sz w:val="24"/>
          <w:szCs w:val="24"/>
        </w:rPr>
        <w:t xml:space="preserve"> is the number of </w:t>
      </w:r>
      <w:r w:rsidR="007F1F20" w:rsidRPr="00102445">
        <w:rPr>
          <w:sz w:val="24"/>
          <w:szCs w:val="24"/>
        </w:rPr>
        <w:t>ACCU</w:t>
      </w:r>
      <w:r w:rsidRPr="00102445">
        <w:rPr>
          <w:sz w:val="24"/>
          <w:szCs w:val="24"/>
        </w:rPr>
        <w:t xml:space="preserve">s (if any) by which the net emissions number for the facility for the financial year is increased under subsection 22XK(4) of the </w:t>
      </w:r>
      <w:r w:rsidR="0068700F" w:rsidRPr="00102445">
        <w:rPr>
          <w:sz w:val="24"/>
          <w:szCs w:val="24"/>
        </w:rPr>
        <w:t xml:space="preserve">NGER </w:t>
      </w:r>
      <w:r w:rsidRPr="00102445">
        <w:rPr>
          <w:sz w:val="24"/>
          <w:szCs w:val="24"/>
        </w:rPr>
        <w:t>Act.</w:t>
      </w:r>
    </w:p>
    <w:p w14:paraId="2A1AE5E5" w14:textId="528DD05A" w:rsidR="00DB1347" w:rsidRPr="00102445" w:rsidRDefault="00A6783B" w:rsidP="00591A9C">
      <w:pPr>
        <w:pStyle w:val="ListParagraph"/>
        <w:numPr>
          <w:ilvl w:val="0"/>
          <w:numId w:val="2"/>
        </w:numPr>
        <w:shd w:val="clear" w:color="auto" w:fill="FFFFFF" w:themeFill="background1"/>
        <w:spacing w:line="240" w:lineRule="auto"/>
        <w:rPr>
          <w:lang w:eastAsia="en-AU"/>
        </w:rPr>
      </w:pPr>
      <w:r w:rsidRPr="00102445">
        <w:rPr>
          <w:lang w:eastAsia="en-AU"/>
        </w:rPr>
        <w:t xml:space="preserve">Section </w:t>
      </w:r>
      <w:r w:rsidR="009828BD" w:rsidRPr="00102445">
        <w:rPr>
          <w:lang w:eastAsia="en-AU"/>
        </w:rPr>
        <w:t>56</w:t>
      </w:r>
      <w:r w:rsidR="00D95D61" w:rsidRPr="00102445">
        <w:rPr>
          <w:lang w:eastAsia="en-AU"/>
        </w:rPr>
        <w:t>(5) provides</w:t>
      </w:r>
      <w:r w:rsidR="007A4B7B" w:rsidRPr="00102445">
        <w:rPr>
          <w:lang w:eastAsia="en-AU"/>
        </w:rPr>
        <w:t xml:space="preserve"> the method for calculating the number of unit</w:t>
      </w:r>
      <w:r w:rsidR="00911B52" w:rsidRPr="00102445">
        <w:rPr>
          <w:lang w:eastAsia="en-AU"/>
        </w:rPr>
        <w:t xml:space="preserve">s to be issued where a facility was a </w:t>
      </w:r>
      <w:r w:rsidR="00D95D61" w:rsidRPr="00102445">
        <w:rPr>
          <w:lang w:eastAsia="en-AU"/>
        </w:rPr>
        <w:t xml:space="preserve">responsible emitter </w:t>
      </w:r>
      <w:r w:rsidR="00911B52" w:rsidRPr="00102445">
        <w:rPr>
          <w:lang w:eastAsia="en-AU"/>
        </w:rPr>
        <w:t xml:space="preserve">for less than 365 days </w:t>
      </w:r>
      <w:r w:rsidR="00504818" w:rsidRPr="00102445">
        <w:rPr>
          <w:lang w:eastAsia="en-AU"/>
        </w:rPr>
        <w:t>in the financial year</w:t>
      </w:r>
      <w:r w:rsidR="00061ED2" w:rsidRPr="00102445">
        <w:rPr>
          <w:lang w:eastAsia="en-AU"/>
        </w:rPr>
        <w:t>. The formula is given by:</w:t>
      </w:r>
    </w:p>
    <w:p w14:paraId="7433D861" w14:textId="77777777" w:rsidR="00061ED2" w:rsidRPr="00102445" w:rsidRDefault="00061ED2" w:rsidP="00061ED2">
      <w:pPr>
        <w:pStyle w:val="ListParagraph"/>
        <w:shd w:val="clear" w:color="auto" w:fill="FFFFFF" w:themeFill="background1"/>
        <w:spacing w:line="240" w:lineRule="auto"/>
        <w:ind w:left="1276"/>
        <w:rPr>
          <w:lang w:eastAsia="en-AU"/>
        </w:rPr>
      </w:pPr>
    </w:p>
    <w:p w14:paraId="0DB8D457" w14:textId="5DE7CAFD" w:rsidR="00061ED2" w:rsidRPr="00102445" w:rsidRDefault="00771FFC" w:rsidP="00061ED2">
      <w:pPr>
        <w:pStyle w:val="ListParagraph"/>
        <w:shd w:val="clear" w:color="auto" w:fill="FFFFFF" w:themeFill="background1"/>
        <w:spacing w:line="240" w:lineRule="auto"/>
        <w:ind w:left="1276"/>
        <w:rPr>
          <w:lang w:eastAsia="en-AU"/>
        </w:rPr>
      </w:pPr>
      <w:r w:rsidRPr="00102445">
        <w:rPr>
          <w:noProof/>
          <w:position w:val="-32"/>
          <w:lang w:eastAsia="en-AU"/>
        </w:rPr>
        <w:drawing>
          <wp:inline distT="0" distB="0" distL="0" distR="0" wp14:anchorId="26921AA7" wp14:editId="3A32663F">
            <wp:extent cx="821653" cy="555171"/>
            <wp:effectExtent l="0" t="0" r="0" b="0"/>
            <wp:docPr id="3" name="Picture 3" descr="SMC times RN divided by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MC times RN divided by 36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1653" cy="555171"/>
                    </a:xfrm>
                    <a:prstGeom prst="rect">
                      <a:avLst/>
                    </a:prstGeom>
                    <a:noFill/>
                    <a:ln>
                      <a:noFill/>
                    </a:ln>
                  </pic:spPr>
                </pic:pic>
              </a:graphicData>
            </a:graphic>
          </wp:inline>
        </w:drawing>
      </w:r>
    </w:p>
    <w:p w14:paraId="0633F1E6" w14:textId="0347F316" w:rsidR="00771FFC" w:rsidRPr="00102445" w:rsidRDefault="00771FFC" w:rsidP="00A357EE">
      <w:pPr>
        <w:pStyle w:val="ListParagraph"/>
        <w:shd w:val="clear" w:color="auto" w:fill="FFFFFF" w:themeFill="background1"/>
        <w:spacing w:line="240" w:lineRule="auto"/>
        <w:ind w:left="567"/>
        <w:rPr>
          <w:lang w:eastAsia="en-AU"/>
        </w:rPr>
      </w:pPr>
      <w:r w:rsidRPr="00102445">
        <w:rPr>
          <w:lang w:eastAsia="en-AU"/>
        </w:rPr>
        <w:t>where:</w:t>
      </w:r>
    </w:p>
    <w:p w14:paraId="658F3F6B" w14:textId="77777777" w:rsidR="00B068E9" w:rsidRPr="00102445" w:rsidRDefault="00B068E9" w:rsidP="00B068E9">
      <w:pPr>
        <w:pStyle w:val="ListParagraph"/>
        <w:shd w:val="clear" w:color="auto" w:fill="FFFFFF" w:themeFill="background1"/>
        <w:spacing w:line="240" w:lineRule="auto"/>
        <w:ind w:left="1276"/>
        <w:rPr>
          <w:lang w:eastAsia="en-AU"/>
        </w:rPr>
      </w:pPr>
    </w:p>
    <w:p w14:paraId="5004CE78" w14:textId="23181CC8" w:rsidR="00B068E9" w:rsidRPr="00102445" w:rsidRDefault="00B068E9" w:rsidP="00B068E9">
      <w:pPr>
        <w:pStyle w:val="ListParagraph"/>
        <w:shd w:val="clear" w:color="auto" w:fill="FFFFFF" w:themeFill="background1"/>
        <w:spacing w:line="240" w:lineRule="auto"/>
        <w:ind w:left="1276"/>
        <w:rPr>
          <w:lang w:eastAsia="en-AU"/>
        </w:rPr>
      </w:pPr>
      <w:r w:rsidRPr="00102445">
        <w:rPr>
          <w:i/>
          <w:lang w:eastAsia="en-AU"/>
        </w:rPr>
        <w:t>SMC</w:t>
      </w:r>
      <w:r w:rsidR="002F3EEB" w:rsidRPr="00102445">
        <w:rPr>
          <w:i/>
          <w:lang w:eastAsia="en-AU"/>
        </w:rPr>
        <w:t xml:space="preserve"> </w:t>
      </w:r>
      <w:r w:rsidR="002F3EEB" w:rsidRPr="00102445">
        <w:rPr>
          <w:lang w:eastAsia="en-AU"/>
        </w:rPr>
        <w:t>means the number</w:t>
      </w:r>
      <w:r w:rsidR="00D353F1" w:rsidRPr="00102445">
        <w:rPr>
          <w:lang w:eastAsia="en-AU"/>
        </w:rPr>
        <w:t xml:space="preserve"> worked out using the formula in subsection (4)</w:t>
      </w:r>
      <w:r w:rsidR="00A357EE" w:rsidRPr="00102445">
        <w:rPr>
          <w:lang w:eastAsia="en-AU"/>
        </w:rPr>
        <w:t>; and</w:t>
      </w:r>
    </w:p>
    <w:p w14:paraId="56D068A7" w14:textId="77777777" w:rsidR="00172104" w:rsidRPr="00102445" w:rsidRDefault="00172104" w:rsidP="00B068E9">
      <w:pPr>
        <w:pStyle w:val="ListParagraph"/>
        <w:shd w:val="clear" w:color="auto" w:fill="FFFFFF" w:themeFill="background1"/>
        <w:spacing w:line="240" w:lineRule="auto"/>
        <w:ind w:left="1276"/>
        <w:rPr>
          <w:b/>
          <w:bCs/>
          <w:lang w:eastAsia="en-AU"/>
        </w:rPr>
      </w:pPr>
    </w:p>
    <w:p w14:paraId="217601B4" w14:textId="54F8EB8A" w:rsidR="00D353F1" w:rsidRPr="00102445" w:rsidRDefault="00E81414" w:rsidP="005A0C16">
      <w:pPr>
        <w:pStyle w:val="ListParagraph"/>
        <w:shd w:val="clear" w:color="auto" w:fill="FFFFFF" w:themeFill="background1"/>
        <w:spacing w:line="240" w:lineRule="auto"/>
        <w:ind w:left="1276"/>
        <w:rPr>
          <w:lang w:eastAsia="en-AU"/>
        </w:rPr>
      </w:pPr>
      <w:r w:rsidRPr="00102445">
        <w:rPr>
          <w:i/>
          <w:lang w:eastAsia="en-AU"/>
        </w:rPr>
        <w:t>RN</w:t>
      </w:r>
      <w:r w:rsidRPr="00102445">
        <w:rPr>
          <w:b/>
          <w:bCs/>
          <w:lang w:eastAsia="en-AU"/>
        </w:rPr>
        <w:t xml:space="preserve"> </w:t>
      </w:r>
      <w:r w:rsidR="00172104" w:rsidRPr="00102445">
        <w:rPr>
          <w:lang w:eastAsia="en-AU"/>
        </w:rPr>
        <w:t>means the relevant number</w:t>
      </w:r>
      <w:r w:rsidR="0068700F" w:rsidRPr="00102445">
        <w:rPr>
          <w:lang w:eastAsia="en-AU"/>
        </w:rPr>
        <w:t>.</w:t>
      </w:r>
    </w:p>
    <w:p w14:paraId="6DB53F1B" w14:textId="18356E89" w:rsidR="0088509A" w:rsidRPr="00102445" w:rsidRDefault="006D08CA" w:rsidP="00591A9C">
      <w:pPr>
        <w:pStyle w:val="ListParagraph"/>
        <w:numPr>
          <w:ilvl w:val="0"/>
          <w:numId w:val="2"/>
        </w:numPr>
        <w:spacing w:line="240" w:lineRule="auto"/>
        <w:contextualSpacing w:val="0"/>
        <w:rPr>
          <w:lang w:eastAsia="en-AU"/>
        </w:rPr>
      </w:pPr>
      <w:r w:rsidRPr="00102445">
        <w:rPr>
          <w:lang w:eastAsia="en-AU"/>
        </w:rPr>
        <w:t xml:space="preserve">Section </w:t>
      </w:r>
      <w:r w:rsidR="000C72D9" w:rsidRPr="00102445">
        <w:rPr>
          <w:lang w:eastAsia="en-AU"/>
        </w:rPr>
        <w:t>57</w:t>
      </w:r>
      <w:r w:rsidR="0011164D" w:rsidRPr="00102445">
        <w:rPr>
          <w:lang w:eastAsia="en-AU"/>
        </w:rPr>
        <w:t xml:space="preserve"> </w:t>
      </w:r>
      <w:r w:rsidR="00110C4F" w:rsidRPr="00102445">
        <w:rPr>
          <w:lang w:eastAsia="en-AU"/>
        </w:rPr>
        <w:t xml:space="preserve">details </w:t>
      </w:r>
      <w:r w:rsidR="00E75385" w:rsidRPr="00102445">
        <w:rPr>
          <w:lang w:eastAsia="en-AU"/>
        </w:rPr>
        <w:t>the process for issuing SMCs for a declared multi-year period.</w:t>
      </w:r>
      <w:r w:rsidR="00717059" w:rsidRPr="00102445">
        <w:rPr>
          <w:lang w:eastAsia="en-AU"/>
        </w:rPr>
        <w:t xml:space="preserve"> </w:t>
      </w:r>
      <w:r w:rsidR="0068700F" w:rsidRPr="00102445">
        <w:rPr>
          <w:lang w:eastAsia="en-AU"/>
        </w:rPr>
        <w:t>The approach taken by this section mirrors the approach in section 56, but uses a formula that reflects the baseline for each financial year in the period. Accordingly, s</w:t>
      </w:r>
      <w:r w:rsidR="00717059" w:rsidRPr="00102445">
        <w:rPr>
          <w:lang w:eastAsia="en-AU"/>
        </w:rPr>
        <w:t xml:space="preserve">ubsection </w:t>
      </w:r>
      <w:r w:rsidR="0068700F" w:rsidRPr="00102445">
        <w:rPr>
          <w:lang w:eastAsia="en-AU"/>
        </w:rPr>
        <w:t>57</w:t>
      </w:r>
      <w:r w:rsidR="00770F3B" w:rsidRPr="00102445">
        <w:rPr>
          <w:lang w:eastAsia="en-AU"/>
        </w:rPr>
        <w:t xml:space="preserve">(1) </w:t>
      </w:r>
      <w:r w:rsidR="0095566A" w:rsidRPr="00102445">
        <w:rPr>
          <w:lang w:eastAsia="en-AU"/>
        </w:rPr>
        <w:t xml:space="preserve">provides </w:t>
      </w:r>
      <w:r w:rsidR="00A4201E" w:rsidRPr="00102445">
        <w:rPr>
          <w:lang w:eastAsia="en-AU"/>
        </w:rPr>
        <w:t xml:space="preserve">that </w:t>
      </w:r>
      <w:r w:rsidR="0095566A" w:rsidRPr="00102445">
        <w:rPr>
          <w:lang w:eastAsia="en-AU"/>
        </w:rPr>
        <w:t xml:space="preserve">the </w:t>
      </w:r>
      <w:r w:rsidR="00A4201E" w:rsidRPr="00102445">
        <w:rPr>
          <w:lang w:eastAsia="en-AU"/>
        </w:rPr>
        <w:t xml:space="preserve">responsible emitter for a facility may apply to the Regulator to issue SMCs </w:t>
      </w:r>
      <w:r w:rsidR="00D87C09" w:rsidRPr="00102445">
        <w:rPr>
          <w:lang w:eastAsia="en-AU"/>
        </w:rPr>
        <w:t xml:space="preserve">to the responsible emitter in relation to the facility for a particular multi-year period for the facility. </w:t>
      </w:r>
      <w:r w:rsidR="001146B1" w:rsidRPr="00102445">
        <w:rPr>
          <w:lang w:eastAsia="en-AU"/>
        </w:rPr>
        <w:t xml:space="preserve">Subsection </w:t>
      </w:r>
      <w:r w:rsidR="0068700F" w:rsidRPr="00102445">
        <w:rPr>
          <w:lang w:eastAsia="en-AU"/>
        </w:rPr>
        <w:t>57</w:t>
      </w:r>
      <w:r w:rsidR="001146B1" w:rsidRPr="00102445">
        <w:rPr>
          <w:lang w:eastAsia="en-AU"/>
        </w:rPr>
        <w:t xml:space="preserve">(2) </w:t>
      </w:r>
      <w:r w:rsidR="00A247CB" w:rsidRPr="00102445">
        <w:rPr>
          <w:lang w:eastAsia="en-AU"/>
        </w:rPr>
        <w:t xml:space="preserve">provides </w:t>
      </w:r>
      <w:r w:rsidR="000A5009" w:rsidRPr="00102445">
        <w:rPr>
          <w:lang w:eastAsia="en-AU"/>
        </w:rPr>
        <w:t>tha</w:t>
      </w:r>
      <w:r w:rsidR="00686B1A" w:rsidRPr="00102445">
        <w:rPr>
          <w:lang w:eastAsia="en-AU"/>
        </w:rPr>
        <w:t>t</w:t>
      </w:r>
      <w:r w:rsidR="000A5009" w:rsidRPr="00102445">
        <w:rPr>
          <w:lang w:eastAsia="en-AU"/>
        </w:rPr>
        <w:t xml:space="preserve"> the Regulator must </w:t>
      </w:r>
      <w:r w:rsidR="008E04D0" w:rsidRPr="00102445">
        <w:rPr>
          <w:lang w:eastAsia="en-AU"/>
        </w:rPr>
        <w:t xml:space="preserve">consider the application </w:t>
      </w:r>
      <w:r w:rsidR="000A5009" w:rsidRPr="00102445">
        <w:rPr>
          <w:lang w:eastAsia="en-AU"/>
        </w:rPr>
        <w:t xml:space="preserve">as soon as reasonably practicable after receiving </w:t>
      </w:r>
      <w:r w:rsidR="008E04D0" w:rsidRPr="00102445">
        <w:rPr>
          <w:lang w:eastAsia="en-AU"/>
        </w:rPr>
        <w:t>it</w:t>
      </w:r>
      <w:r w:rsidR="00686B1A" w:rsidRPr="00102445">
        <w:rPr>
          <w:lang w:eastAsia="en-AU"/>
        </w:rPr>
        <w:t xml:space="preserve">. </w:t>
      </w:r>
      <w:r w:rsidR="00D8174C" w:rsidRPr="00102445">
        <w:rPr>
          <w:lang w:eastAsia="en-AU"/>
        </w:rPr>
        <w:t>Where</w:t>
      </w:r>
      <w:r w:rsidR="00686B1A" w:rsidRPr="00102445">
        <w:rPr>
          <w:lang w:eastAsia="en-AU"/>
        </w:rPr>
        <w:t xml:space="preserve"> the Regulator is satisfied the matter</w:t>
      </w:r>
      <w:r w:rsidR="006C5614" w:rsidRPr="00102445">
        <w:rPr>
          <w:lang w:eastAsia="en-AU"/>
        </w:rPr>
        <w:t xml:space="preserve">s specified in subsection </w:t>
      </w:r>
      <w:r w:rsidR="0068700F" w:rsidRPr="00102445">
        <w:rPr>
          <w:lang w:eastAsia="en-AU"/>
        </w:rPr>
        <w:t>57</w:t>
      </w:r>
      <w:r w:rsidR="006C5614" w:rsidRPr="00102445">
        <w:rPr>
          <w:lang w:eastAsia="en-AU"/>
        </w:rPr>
        <w:t>(3)</w:t>
      </w:r>
      <w:r w:rsidR="00D8174C" w:rsidRPr="00102445">
        <w:rPr>
          <w:lang w:eastAsia="en-AU"/>
        </w:rPr>
        <w:t xml:space="preserve">, and has no evidence to suggest that the quantity </w:t>
      </w:r>
      <w:r w:rsidR="00227B7B" w:rsidRPr="00102445">
        <w:rPr>
          <w:lang w:eastAsia="en-AU"/>
        </w:rPr>
        <w:t>of production variable for the facility for a financial year included in the declared multi-year period</w:t>
      </w:r>
      <w:r w:rsidR="00E43F5F" w:rsidRPr="00102445">
        <w:rPr>
          <w:lang w:eastAsia="en-AU"/>
        </w:rPr>
        <w:t xml:space="preserve">, or the covered </w:t>
      </w:r>
      <w:r w:rsidR="001D00A3" w:rsidRPr="00102445">
        <w:rPr>
          <w:lang w:eastAsia="en-AU"/>
        </w:rPr>
        <w:t>emissions of greenhouse gases from the operation of the facility in the declared multi-year period have been inaccurately reported, then the Regulator must</w:t>
      </w:r>
      <w:r w:rsidR="00B85F4A" w:rsidRPr="00102445">
        <w:rPr>
          <w:lang w:eastAsia="en-AU"/>
        </w:rPr>
        <w:t xml:space="preserve"> determine in accordance with subsection </w:t>
      </w:r>
      <w:r w:rsidR="0068700F" w:rsidRPr="00102445">
        <w:rPr>
          <w:lang w:eastAsia="en-AU"/>
        </w:rPr>
        <w:t>57</w:t>
      </w:r>
      <w:r w:rsidR="00B85F4A" w:rsidRPr="00102445">
        <w:rPr>
          <w:lang w:eastAsia="en-AU"/>
        </w:rPr>
        <w:t xml:space="preserve">(4) the number of units to be issued; and decide to issue that </w:t>
      </w:r>
      <w:r w:rsidR="00605CC7" w:rsidRPr="00102445">
        <w:rPr>
          <w:lang w:eastAsia="en-AU"/>
        </w:rPr>
        <w:t>number of units to the responsible emitter.</w:t>
      </w:r>
    </w:p>
    <w:p w14:paraId="1C599409" w14:textId="40D9572D" w:rsidR="00BB1E5B" w:rsidRPr="00102445" w:rsidRDefault="0088509A"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S</w:t>
      </w:r>
      <w:r w:rsidR="00D461BF" w:rsidRPr="00102445">
        <w:rPr>
          <w:lang w:eastAsia="en-AU"/>
        </w:rPr>
        <w:t>ection</w:t>
      </w:r>
      <w:r w:rsidRPr="00102445">
        <w:rPr>
          <w:lang w:eastAsia="en-AU"/>
        </w:rPr>
        <w:t xml:space="preserve"> </w:t>
      </w:r>
      <w:r w:rsidR="00ED16CA" w:rsidRPr="00102445">
        <w:rPr>
          <w:lang w:eastAsia="en-AU"/>
        </w:rPr>
        <w:t>57</w:t>
      </w:r>
      <w:r w:rsidRPr="00102445">
        <w:rPr>
          <w:lang w:eastAsia="en-AU"/>
        </w:rPr>
        <w:t xml:space="preserve">(3) provides for the </w:t>
      </w:r>
      <w:r w:rsidR="00F323EB" w:rsidRPr="00102445">
        <w:rPr>
          <w:lang w:eastAsia="en-AU"/>
        </w:rPr>
        <w:t xml:space="preserve">matters the Regulator must be satisfied </w:t>
      </w:r>
      <w:r w:rsidR="001A2940" w:rsidRPr="00102445">
        <w:rPr>
          <w:lang w:eastAsia="en-AU"/>
        </w:rPr>
        <w:t xml:space="preserve">before issuing any SMCs. </w:t>
      </w:r>
      <w:r w:rsidR="0006227D" w:rsidRPr="00102445">
        <w:rPr>
          <w:lang w:eastAsia="en-AU"/>
        </w:rPr>
        <w:t>These matters include: no borr</w:t>
      </w:r>
      <w:r w:rsidR="00274AC3" w:rsidRPr="00102445">
        <w:rPr>
          <w:lang w:eastAsia="en-AU"/>
        </w:rPr>
        <w:t>owing a</w:t>
      </w:r>
      <w:r w:rsidR="005C66B9" w:rsidRPr="00102445">
        <w:rPr>
          <w:lang w:eastAsia="en-AU"/>
        </w:rPr>
        <w:t xml:space="preserve">djustment </w:t>
      </w:r>
      <w:r w:rsidR="00D35F11" w:rsidRPr="00102445">
        <w:rPr>
          <w:lang w:eastAsia="en-AU"/>
        </w:rPr>
        <w:t xml:space="preserve">determination specifies a borrowing adjustment number for the facility for a financial </w:t>
      </w:r>
      <w:r w:rsidR="00F93C11" w:rsidRPr="00102445">
        <w:rPr>
          <w:lang w:eastAsia="en-AU"/>
        </w:rPr>
        <w:t>year included</w:t>
      </w:r>
      <w:r w:rsidR="00F3537E" w:rsidRPr="00102445">
        <w:rPr>
          <w:lang w:eastAsia="en-AU"/>
        </w:rPr>
        <w:t xml:space="preserve"> in the declared</w:t>
      </w:r>
      <w:r w:rsidR="00D51721" w:rsidRPr="00102445">
        <w:rPr>
          <w:lang w:eastAsia="en-AU"/>
        </w:rPr>
        <w:t xml:space="preserve"> multi-year</w:t>
      </w:r>
      <w:r w:rsidR="00F93C11" w:rsidRPr="00102445">
        <w:rPr>
          <w:lang w:eastAsia="en-AU"/>
        </w:rPr>
        <w:t xml:space="preserve"> period; </w:t>
      </w:r>
      <w:r w:rsidR="00BB1E5B" w:rsidRPr="00102445">
        <w:rPr>
          <w:lang w:eastAsia="en-AU"/>
        </w:rPr>
        <w:t xml:space="preserve">the baseline emissions number for the facility for the </w:t>
      </w:r>
      <w:r w:rsidR="00143C24" w:rsidRPr="00102445">
        <w:rPr>
          <w:lang w:eastAsia="en-AU"/>
        </w:rPr>
        <w:t>declared multi-yea</w:t>
      </w:r>
      <w:r w:rsidR="00E2301A" w:rsidRPr="00102445">
        <w:rPr>
          <w:lang w:eastAsia="en-AU"/>
        </w:rPr>
        <w:t>r</w:t>
      </w:r>
      <w:r w:rsidR="00C240C4" w:rsidRPr="00102445">
        <w:rPr>
          <w:lang w:eastAsia="en-AU"/>
        </w:rPr>
        <w:t xml:space="preserve"> period</w:t>
      </w:r>
      <w:r w:rsidR="00BB1E5B" w:rsidRPr="00102445">
        <w:rPr>
          <w:lang w:eastAsia="en-AU"/>
        </w:rPr>
        <w:t xml:space="preserve"> is greater than the sum of the number of tonnes of covered emissions</w:t>
      </w:r>
      <w:r w:rsidR="003F6ACD" w:rsidRPr="00102445">
        <w:rPr>
          <w:lang w:eastAsia="en-AU"/>
        </w:rPr>
        <w:t xml:space="preserve"> from the operation of the facili</w:t>
      </w:r>
      <w:r w:rsidR="00A66BA5" w:rsidRPr="00102445">
        <w:rPr>
          <w:lang w:eastAsia="en-AU"/>
        </w:rPr>
        <w:t>ty</w:t>
      </w:r>
      <w:r w:rsidR="001D52CA" w:rsidRPr="00102445">
        <w:rPr>
          <w:lang w:eastAsia="en-AU"/>
        </w:rPr>
        <w:t xml:space="preserve"> during each financial year included in the declared multi-year period</w:t>
      </w:r>
      <w:r w:rsidR="00BB1E5B" w:rsidRPr="00102445">
        <w:rPr>
          <w:lang w:eastAsia="en-AU"/>
        </w:rPr>
        <w:t xml:space="preserve">, and the number of ACCUs (if any) by which the net emissions number for the facility for the </w:t>
      </w:r>
      <w:r w:rsidR="00154E78" w:rsidRPr="00102445">
        <w:rPr>
          <w:lang w:eastAsia="en-AU"/>
        </w:rPr>
        <w:t>declared multi</w:t>
      </w:r>
      <w:r w:rsidR="00F73784" w:rsidRPr="00102445">
        <w:rPr>
          <w:lang w:eastAsia="en-AU"/>
        </w:rPr>
        <w:t>-year</w:t>
      </w:r>
      <w:r w:rsidR="00A6305C" w:rsidRPr="00102445">
        <w:rPr>
          <w:lang w:eastAsia="en-AU"/>
        </w:rPr>
        <w:t xml:space="preserve"> period </w:t>
      </w:r>
      <w:r w:rsidR="00BB1E5B" w:rsidRPr="00102445">
        <w:rPr>
          <w:lang w:eastAsia="en-AU"/>
        </w:rPr>
        <w:t xml:space="preserve">is increased under subsection 22XK(4) of </w:t>
      </w:r>
      <w:r w:rsidR="00B86E54" w:rsidRPr="00102445">
        <w:rPr>
          <w:lang w:eastAsia="en-AU"/>
        </w:rPr>
        <w:t>the NGER Act</w:t>
      </w:r>
      <w:r w:rsidR="00BB1E5B" w:rsidRPr="00102445">
        <w:rPr>
          <w:lang w:eastAsia="en-AU"/>
        </w:rPr>
        <w:t xml:space="preserve">; the facility is not a landfill facility; </w:t>
      </w:r>
      <w:r w:rsidR="00446ED5" w:rsidRPr="00102445">
        <w:rPr>
          <w:lang w:eastAsia="en-AU"/>
        </w:rPr>
        <w:t xml:space="preserve">and </w:t>
      </w:r>
      <w:r w:rsidR="00BB1E5B" w:rsidRPr="00102445">
        <w:rPr>
          <w:lang w:eastAsia="en-AU"/>
        </w:rPr>
        <w:t xml:space="preserve">the facility is a designated large facility, or an eligible facility for </w:t>
      </w:r>
      <w:r w:rsidR="00BD771C" w:rsidRPr="00102445">
        <w:rPr>
          <w:lang w:eastAsia="en-AU"/>
        </w:rPr>
        <w:t xml:space="preserve">each of </w:t>
      </w:r>
      <w:r w:rsidR="00BB1E5B" w:rsidRPr="00102445">
        <w:rPr>
          <w:lang w:eastAsia="en-AU"/>
        </w:rPr>
        <w:t>the financial year</w:t>
      </w:r>
      <w:r w:rsidR="00BD771C" w:rsidRPr="00102445">
        <w:rPr>
          <w:lang w:eastAsia="en-AU"/>
        </w:rPr>
        <w:t>s included</w:t>
      </w:r>
      <w:r w:rsidR="00E133B9" w:rsidRPr="00102445">
        <w:rPr>
          <w:lang w:eastAsia="en-AU"/>
        </w:rPr>
        <w:t xml:space="preserve"> in the declared multi-year</w:t>
      </w:r>
      <w:r w:rsidR="00446ED5" w:rsidRPr="00102445">
        <w:rPr>
          <w:lang w:eastAsia="en-AU"/>
        </w:rPr>
        <w:t xml:space="preserve"> period</w:t>
      </w:r>
      <w:r w:rsidR="00BB1E5B" w:rsidRPr="00102445">
        <w:rPr>
          <w:lang w:eastAsia="en-AU"/>
        </w:rPr>
        <w:t xml:space="preserve">. </w:t>
      </w:r>
    </w:p>
    <w:p w14:paraId="6F52D092" w14:textId="6503906D" w:rsidR="008E3176" w:rsidRPr="00102445" w:rsidRDefault="00D461BF" w:rsidP="00591A9C">
      <w:pPr>
        <w:pStyle w:val="ListParagraph"/>
        <w:numPr>
          <w:ilvl w:val="0"/>
          <w:numId w:val="2"/>
        </w:numPr>
        <w:shd w:val="clear" w:color="auto" w:fill="FFFFFF" w:themeFill="background1"/>
        <w:spacing w:line="240" w:lineRule="auto"/>
        <w:contextualSpacing w:val="0"/>
        <w:rPr>
          <w:lang w:eastAsia="en-AU"/>
        </w:rPr>
      </w:pPr>
      <w:r w:rsidRPr="00102445">
        <w:rPr>
          <w:lang w:eastAsia="en-AU"/>
        </w:rPr>
        <w:t xml:space="preserve">Section </w:t>
      </w:r>
      <w:r w:rsidR="00ED16CA" w:rsidRPr="00102445">
        <w:rPr>
          <w:lang w:eastAsia="en-AU"/>
        </w:rPr>
        <w:t>57</w:t>
      </w:r>
      <w:r w:rsidRPr="00102445">
        <w:rPr>
          <w:lang w:eastAsia="en-AU"/>
        </w:rPr>
        <w:t xml:space="preserve">(4) </w:t>
      </w:r>
      <w:r w:rsidR="00015738" w:rsidRPr="00102445">
        <w:rPr>
          <w:lang w:eastAsia="en-AU"/>
        </w:rPr>
        <w:t xml:space="preserve">provides the method for </w:t>
      </w:r>
      <w:r w:rsidR="00B950A4" w:rsidRPr="00102445">
        <w:rPr>
          <w:lang w:eastAsia="en-AU"/>
        </w:rPr>
        <w:t>calculating the number of SMCs to be issued</w:t>
      </w:r>
      <w:r w:rsidR="008E3176" w:rsidRPr="00102445">
        <w:rPr>
          <w:lang w:eastAsia="en-AU"/>
        </w:rPr>
        <w:t xml:space="preserve"> using the following</w:t>
      </w:r>
      <w:r w:rsidR="002848DF" w:rsidRPr="00102445">
        <w:rPr>
          <w:lang w:eastAsia="en-AU"/>
        </w:rPr>
        <w:t xml:space="preserve"> formula</w:t>
      </w:r>
      <w:r w:rsidR="008E3176" w:rsidRPr="00102445">
        <w:rPr>
          <w:lang w:eastAsia="en-AU"/>
        </w:rPr>
        <w:t>:</w:t>
      </w:r>
    </w:p>
    <w:p w14:paraId="5875BC0E" w14:textId="77777777" w:rsidR="00A2293D" w:rsidRPr="00102445" w:rsidRDefault="00A2293D" w:rsidP="008E3176">
      <w:pPr>
        <w:pStyle w:val="ListParagraph"/>
        <w:shd w:val="clear" w:color="auto" w:fill="FFFFFF" w:themeFill="background1"/>
        <w:spacing w:line="240" w:lineRule="auto"/>
        <w:ind w:left="1276"/>
        <w:contextualSpacing w:val="0"/>
        <w:rPr>
          <w:lang w:eastAsia="en-AU"/>
        </w:rPr>
      </w:pPr>
      <w:r w:rsidRPr="00102445">
        <w:rPr>
          <w:noProof/>
          <w:position w:val="-24"/>
          <w:lang w:eastAsia="en-AU"/>
        </w:rPr>
        <w:drawing>
          <wp:inline distT="0" distB="0" distL="0" distR="0" wp14:anchorId="006B8D5E" wp14:editId="283CA702">
            <wp:extent cx="1730831" cy="402772"/>
            <wp:effectExtent l="0" t="0" r="3175" b="0"/>
            <wp:docPr id="4" name="Picture 4" descr="Sigma t BEN minus E minus 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ma t BEN minus E minus Increas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0831" cy="402772"/>
                    </a:xfrm>
                    <a:prstGeom prst="rect">
                      <a:avLst/>
                    </a:prstGeom>
                    <a:noFill/>
                    <a:ln>
                      <a:noFill/>
                    </a:ln>
                  </pic:spPr>
                </pic:pic>
              </a:graphicData>
            </a:graphic>
          </wp:inline>
        </w:drawing>
      </w:r>
    </w:p>
    <w:p w14:paraId="375CB80E" w14:textId="77777777" w:rsidR="00EF18C1" w:rsidRPr="00102445" w:rsidRDefault="00EF18C1" w:rsidP="00B901F8">
      <w:pPr>
        <w:pStyle w:val="ListParagraph"/>
        <w:shd w:val="clear" w:color="auto" w:fill="FFFFFF" w:themeFill="background1"/>
        <w:spacing w:line="240" w:lineRule="auto"/>
        <w:ind w:left="567"/>
        <w:contextualSpacing w:val="0"/>
        <w:rPr>
          <w:lang w:eastAsia="en-AU"/>
        </w:rPr>
      </w:pPr>
      <w:r w:rsidRPr="00102445">
        <w:rPr>
          <w:lang w:eastAsia="en-AU"/>
        </w:rPr>
        <w:t>where:</w:t>
      </w:r>
    </w:p>
    <w:p w14:paraId="20E0A8B6" w14:textId="6F04B89B" w:rsidR="000C2B88" w:rsidRPr="00102445" w:rsidRDefault="000C2B88" w:rsidP="005A0C16">
      <w:pPr>
        <w:pStyle w:val="Definition"/>
        <w:ind w:firstLine="142"/>
        <w:rPr>
          <w:sz w:val="24"/>
          <w:szCs w:val="24"/>
        </w:rPr>
      </w:pPr>
      <w:r w:rsidRPr="00102445">
        <w:rPr>
          <w:bCs/>
          <w:i/>
          <w:sz w:val="24"/>
          <w:szCs w:val="24"/>
        </w:rPr>
        <w:t>t</w:t>
      </w:r>
      <w:r w:rsidRPr="00102445">
        <w:rPr>
          <w:sz w:val="24"/>
          <w:szCs w:val="24"/>
        </w:rPr>
        <w:t xml:space="preserve"> is a financial year included in the declared multi</w:t>
      </w:r>
      <w:r w:rsidRPr="00102445">
        <w:rPr>
          <w:sz w:val="24"/>
          <w:szCs w:val="24"/>
        </w:rPr>
        <w:noBreakHyphen/>
        <w:t>year period.</w:t>
      </w:r>
    </w:p>
    <w:p w14:paraId="65B5045D" w14:textId="3FF95587" w:rsidR="000C2B88" w:rsidRPr="00102445" w:rsidRDefault="000C2B88" w:rsidP="005A0C16">
      <w:pPr>
        <w:pStyle w:val="Definition"/>
        <w:ind w:left="1276"/>
        <w:rPr>
          <w:sz w:val="24"/>
          <w:szCs w:val="24"/>
        </w:rPr>
      </w:pPr>
      <w:r w:rsidRPr="00102445">
        <w:rPr>
          <w:bCs/>
          <w:i/>
          <w:sz w:val="24"/>
          <w:szCs w:val="24"/>
        </w:rPr>
        <w:t>BEN</w:t>
      </w:r>
      <w:r w:rsidRPr="00102445">
        <w:rPr>
          <w:b/>
          <w:i/>
          <w:sz w:val="24"/>
          <w:szCs w:val="24"/>
          <w:vertAlign w:val="subscript"/>
        </w:rPr>
        <w:t xml:space="preserve">, </w:t>
      </w:r>
      <w:r w:rsidRPr="00102445">
        <w:rPr>
          <w:sz w:val="24"/>
          <w:szCs w:val="24"/>
        </w:rPr>
        <w:t>in relation to a financial year included in the declared multi</w:t>
      </w:r>
      <w:r w:rsidRPr="00102445">
        <w:rPr>
          <w:sz w:val="24"/>
          <w:szCs w:val="24"/>
        </w:rPr>
        <w:noBreakHyphen/>
        <w:t xml:space="preserve">year period, is the baseline emissions number for the facility for the financial year that would be ascertained in accordance with Part 3 if </w:t>
      </w:r>
      <w:r w:rsidR="0068700F" w:rsidRPr="00102445">
        <w:rPr>
          <w:sz w:val="24"/>
          <w:szCs w:val="24"/>
        </w:rPr>
        <w:t>the minimum baseline provision in subsection</w:t>
      </w:r>
      <w:r w:rsidRPr="00102445">
        <w:rPr>
          <w:sz w:val="24"/>
          <w:szCs w:val="24"/>
        </w:rPr>
        <w:t xml:space="preserve"> </w:t>
      </w:r>
      <w:r w:rsidR="00A2112E" w:rsidRPr="00102445">
        <w:rPr>
          <w:sz w:val="24"/>
          <w:szCs w:val="24"/>
        </w:rPr>
        <w:t>10</w:t>
      </w:r>
      <w:r w:rsidRPr="00102445">
        <w:rPr>
          <w:sz w:val="24"/>
          <w:szCs w:val="24"/>
        </w:rPr>
        <w:t xml:space="preserve">(1) </w:t>
      </w:r>
      <w:r w:rsidR="0068700F" w:rsidRPr="00102445">
        <w:rPr>
          <w:sz w:val="24"/>
          <w:szCs w:val="24"/>
        </w:rPr>
        <w:t>did not apply</w:t>
      </w:r>
      <w:r w:rsidR="00735ECC" w:rsidRPr="00102445">
        <w:rPr>
          <w:sz w:val="24"/>
          <w:szCs w:val="24"/>
        </w:rPr>
        <w:t>.</w:t>
      </w:r>
    </w:p>
    <w:p w14:paraId="48CB211E" w14:textId="5B52E8FE" w:rsidR="00040FFA" w:rsidRPr="00102445" w:rsidRDefault="00040FFA" w:rsidP="005A0C16">
      <w:pPr>
        <w:pStyle w:val="Definition"/>
        <w:ind w:left="1276"/>
        <w:rPr>
          <w:sz w:val="24"/>
          <w:szCs w:val="24"/>
        </w:rPr>
      </w:pPr>
      <w:r w:rsidRPr="00102445">
        <w:rPr>
          <w:bCs/>
          <w:i/>
          <w:sz w:val="24"/>
          <w:szCs w:val="24"/>
        </w:rPr>
        <w:t>E</w:t>
      </w:r>
      <w:r w:rsidRPr="00102445">
        <w:rPr>
          <w:sz w:val="24"/>
          <w:szCs w:val="24"/>
        </w:rPr>
        <w:t>, in relation to a financial year included in the declared multi</w:t>
      </w:r>
      <w:r w:rsidRPr="00102445">
        <w:rPr>
          <w:sz w:val="24"/>
          <w:szCs w:val="24"/>
        </w:rPr>
        <w:noBreakHyphen/>
        <w:t>year period, is the number of tonnes of carbon dioxide equivalence of covered emissions of greenhouse gases from the operation of the facility during the financial year.</w:t>
      </w:r>
    </w:p>
    <w:p w14:paraId="33C25B6F" w14:textId="16C14705" w:rsidR="00040FFA" w:rsidRPr="00102445" w:rsidRDefault="00040FFA" w:rsidP="005A0C16">
      <w:pPr>
        <w:pStyle w:val="Definition"/>
        <w:ind w:left="1276"/>
        <w:rPr>
          <w:sz w:val="24"/>
          <w:szCs w:val="24"/>
        </w:rPr>
      </w:pPr>
      <w:r w:rsidRPr="00102445">
        <w:rPr>
          <w:bCs/>
          <w:i/>
          <w:sz w:val="24"/>
          <w:szCs w:val="24"/>
        </w:rPr>
        <w:t>Increase</w:t>
      </w:r>
      <w:r w:rsidRPr="00102445">
        <w:rPr>
          <w:sz w:val="24"/>
          <w:szCs w:val="24"/>
        </w:rPr>
        <w:t>, in relation to a financial year included in the declared multi</w:t>
      </w:r>
      <w:r w:rsidRPr="00102445">
        <w:rPr>
          <w:sz w:val="24"/>
          <w:szCs w:val="24"/>
        </w:rPr>
        <w:noBreakHyphen/>
        <w:t xml:space="preserve">year period, is the number of Australian carbon credit units (if any) by which the net emissions number for the facility for the financial year is increased under subsection 22XK(4) of the </w:t>
      </w:r>
      <w:r w:rsidR="00D76650" w:rsidRPr="00102445">
        <w:rPr>
          <w:sz w:val="24"/>
          <w:szCs w:val="24"/>
        </w:rPr>
        <w:t xml:space="preserve">NGER </w:t>
      </w:r>
      <w:r w:rsidRPr="00102445">
        <w:rPr>
          <w:sz w:val="24"/>
          <w:szCs w:val="24"/>
        </w:rPr>
        <w:t>Act.</w:t>
      </w:r>
    </w:p>
    <w:p w14:paraId="386F8D92" w14:textId="54C7BA7E" w:rsidR="00455816" w:rsidRPr="00102445" w:rsidRDefault="00176167" w:rsidP="00591A9C">
      <w:pPr>
        <w:pStyle w:val="ListParagraph"/>
        <w:numPr>
          <w:ilvl w:val="0"/>
          <w:numId w:val="2"/>
        </w:numPr>
        <w:spacing w:line="240" w:lineRule="auto"/>
        <w:contextualSpacing w:val="0"/>
        <w:rPr>
          <w:lang w:eastAsia="en-AU"/>
        </w:rPr>
      </w:pPr>
      <w:r w:rsidRPr="00102445">
        <w:rPr>
          <w:lang w:eastAsia="en-AU"/>
        </w:rPr>
        <w:lastRenderedPageBreak/>
        <w:t>Section</w:t>
      </w:r>
      <w:r w:rsidR="00180B1B" w:rsidRPr="00102445">
        <w:rPr>
          <w:lang w:eastAsia="en-AU"/>
        </w:rPr>
        <w:t xml:space="preserve"> </w:t>
      </w:r>
      <w:r w:rsidR="00447C6E" w:rsidRPr="00102445">
        <w:rPr>
          <w:lang w:eastAsia="en-AU"/>
        </w:rPr>
        <w:t>58</w:t>
      </w:r>
      <w:r w:rsidRPr="00102445">
        <w:rPr>
          <w:lang w:eastAsia="en-AU"/>
        </w:rPr>
        <w:t xml:space="preserve"> </w:t>
      </w:r>
      <w:r w:rsidR="00180B1B" w:rsidRPr="00102445">
        <w:rPr>
          <w:lang w:eastAsia="en-AU"/>
        </w:rPr>
        <w:t xml:space="preserve">sets out </w:t>
      </w:r>
      <w:r w:rsidR="00B30E52" w:rsidRPr="00102445">
        <w:rPr>
          <w:lang w:eastAsia="en-AU"/>
        </w:rPr>
        <w:t xml:space="preserve">requirements for </w:t>
      </w:r>
      <w:r w:rsidR="00180B1B" w:rsidRPr="00102445">
        <w:rPr>
          <w:lang w:eastAsia="en-AU"/>
        </w:rPr>
        <w:t>applications for SMCs that are made under sub</w:t>
      </w:r>
      <w:r w:rsidR="00B651A9" w:rsidRPr="00102445">
        <w:rPr>
          <w:lang w:eastAsia="en-AU"/>
        </w:rPr>
        <w:t xml:space="preserve">section </w:t>
      </w:r>
      <w:r w:rsidR="00447C6E" w:rsidRPr="00102445">
        <w:rPr>
          <w:lang w:eastAsia="en-AU"/>
        </w:rPr>
        <w:t>56</w:t>
      </w:r>
      <w:r w:rsidR="00B651A9" w:rsidRPr="00102445">
        <w:rPr>
          <w:lang w:eastAsia="en-AU"/>
        </w:rPr>
        <w:t>(1)</w:t>
      </w:r>
      <w:r w:rsidR="00180B1B" w:rsidRPr="00102445">
        <w:rPr>
          <w:lang w:eastAsia="en-AU"/>
        </w:rPr>
        <w:t xml:space="preserve"> or subsection 57(1)</w:t>
      </w:r>
      <w:r w:rsidR="00F27C69" w:rsidRPr="00102445">
        <w:rPr>
          <w:lang w:eastAsia="en-AU"/>
        </w:rPr>
        <w:t>. The applica</w:t>
      </w:r>
      <w:r w:rsidR="00981828" w:rsidRPr="00102445">
        <w:rPr>
          <w:lang w:eastAsia="en-AU"/>
        </w:rPr>
        <w:t>tion m</w:t>
      </w:r>
      <w:r w:rsidR="00BC2088" w:rsidRPr="00102445">
        <w:rPr>
          <w:lang w:eastAsia="en-AU"/>
        </w:rPr>
        <w:t>ust be in writing and specify the Registry account kept by the responsible emitter in whic</w:t>
      </w:r>
      <w:r w:rsidR="00F16FDD" w:rsidRPr="00102445">
        <w:rPr>
          <w:lang w:eastAsia="en-AU"/>
        </w:rPr>
        <w:t>h the Regulator is to make an ent</w:t>
      </w:r>
      <w:r w:rsidR="00D36688" w:rsidRPr="00102445">
        <w:rPr>
          <w:lang w:eastAsia="en-AU"/>
        </w:rPr>
        <w:t>ry of the units</w:t>
      </w:r>
      <w:r w:rsidR="008A6D80" w:rsidRPr="00102445">
        <w:rPr>
          <w:lang w:eastAsia="en-AU"/>
        </w:rPr>
        <w:t>; and include an a</w:t>
      </w:r>
      <w:r w:rsidR="002E3D24" w:rsidRPr="00102445">
        <w:rPr>
          <w:lang w:eastAsia="en-AU"/>
        </w:rPr>
        <w:t>cknowledgement that the Regulator may require the relin</w:t>
      </w:r>
      <w:r w:rsidR="001A30D9" w:rsidRPr="00102445">
        <w:rPr>
          <w:lang w:eastAsia="en-AU"/>
        </w:rPr>
        <w:t>quishment of SMC</w:t>
      </w:r>
      <w:r w:rsidR="00F847D6" w:rsidRPr="00102445">
        <w:rPr>
          <w:lang w:eastAsia="en-AU"/>
        </w:rPr>
        <w:t xml:space="preserve"> units issued on false or misleading information or as a result of fraudulent conduct. </w:t>
      </w:r>
      <w:r w:rsidR="00F711CF" w:rsidRPr="00102445">
        <w:rPr>
          <w:lang w:eastAsia="en-AU"/>
        </w:rPr>
        <w:t xml:space="preserve">Subsection </w:t>
      </w:r>
      <w:r w:rsidR="00D76650" w:rsidRPr="00102445">
        <w:rPr>
          <w:lang w:eastAsia="en-AU"/>
        </w:rPr>
        <w:t>58</w:t>
      </w:r>
      <w:r w:rsidR="00063248" w:rsidRPr="00102445">
        <w:rPr>
          <w:lang w:eastAsia="en-AU"/>
        </w:rPr>
        <w:t xml:space="preserve">(2) includes that </w:t>
      </w:r>
      <w:r w:rsidR="00670568" w:rsidRPr="00102445">
        <w:rPr>
          <w:lang w:eastAsia="en-AU"/>
        </w:rPr>
        <w:t xml:space="preserve">at any time before the Regulator decides the application, the responsible emitter may, in writing, withdraw the application. </w:t>
      </w:r>
      <w:r w:rsidR="000D30C8" w:rsidRPr="00102445">
        <w:rPr>
          <w:lang w:eastAsia="en-AU"/>
        </w:rPr>
        <w:t>See s</w:t>
      </w:r>
      <w:r w:rsidR="00D817CA" w:rsidRPr="00102445">
        <w:rPr>
          <w:lang w:eastAsia="en-AU"/>
        </w:rPr>
        <w:t xml:space="preserve">ections 22XNE and 22XNF of the </w:t>
      </w:r>
      <w:r w:rsidR="00D76650" w:rsidRPr="00102445">
        <w:rPr>
          <w:lang w:eastAsia="en-AU"/>
        </w:rPr>
        <w:t xml:space="preserve">NGER </w:t>
      </w:r>
      <w:r w:rsidR="00D817CA" w:rsidRPr="00102445">
        <w:rPr>
          <w:lang w:eastAsia="en-AU"/>
        </w:rPr>
        <w:t xml:space="preserve">Act </w:t>
      </w:r>
      <w:r w:rsidR="000D30C8" w:rsidRPr="00102445">
        <w:rPr>
          <w:lang w:eastAsia="en-AU"/>
        </w:rPr>
        <w:t xml:space="preserve">for </w:t>
      </w:r>
      <w:r w:rsidR="00EA24C1" w:rsidRPr="00102445">
        <w:rPr>
          <w:lang w:eastAsia="en-AU"/>
        </w:rPr>
        <w:t>the requirement to relinquish SMCs in certain circumstances.</w:t>
      </w:r>
    </w:p>
    <w:p w14:paraId="5D5DCCE4" w14:textId="17307119" w:rsidR="007C145A" w:rsidRPr="00102445" w:rsidRDefault="007C145A" w:rsidP="00AB4A58">
      <w:pPr>
        <w:pStyle w:val="Heading5"/>
      </w:pPr>
      <w:r w:rsidRPr="00102445">
        <w:t xml:space="preserve">Division </w:t>
      </w:r>
      <w:r w:rsidR="00455816" w:rsidRPr="00102445">
        <w:t>3</w:t>
      </w:r>
      <w:r w:rsidRPr="00102445">
        <w:t xml:space="preserve"> – </w:t>
      </w:r>
      <w:r w:rsidR="00455816" w:rsidRPr="00102445">
        <w:t xml:space="preserve">Timing etc. of issue of safeguard mechanism credit units </w:t>
      </w:r>
    </w:p>
    <w:p w14:paraId="13D57988" w14:textId="1764FCBC" w:rsidR="00455816" w:rsidRPr="00102445" w:rsidRDefault="00455816" w:rsidP="00591A9C">
      <w:pPr>
        <w:pStyle w:val="ListParagraph"/>
        <w:numPr>
          <w:ilvl w:val="0"/>
          <w:numId w:val="2"/>
        </w:numPr>
        <w:spacing w:line="240" w:lineRule="auto"/>
        <w:contextualSpacing w:val="0"/>
        <w:rPr>
          <w:rFonts w:eastAsia="Times New Roman" w:cs="Times New Roman"/>
          <w:lang w:eastAsia="en-AU"/>
        </w:rPr>
      </w:pPr>
      <w:r w:rsidRPr="00102445">
        <w:rPr>
          <w:lang w:eastAsia="en-AU"/>
        </w:rPr>
        <w:t>S</w:t>
      </w:r>
      <w:r w:rsidR="00353A2C" w:rsidRPr="00102445">
        <w:rPr>
          <w:lang w:eastAsia="en-AU"/>
        </w:rPr>
        <w:t>ubs</w:t>
      </w:r>
      <w:r w:rsidRPr="00102445">
        <w:rPr>
          <w:lang w:eastAsia="en-AU"/>
        </w:rPr>
        <w:t>ection</w:t>
      </w:r>
      <w:r w:rsidRPr="00102445" w:rsidDel="00AD2FC3">
        <w:rPr>
          <w:lang w:eastAsia="en-AU"/>
        </w:rPr>
        <w:t xml:space="preserve"> </w:t>
      </w:r>
      <w:r w:rsidR="00FD389A" w:rsidRPr="00102445">
        <w:rPr>
          <w:lang w:eastAsia="en-AU"/>
        </w:rPr>
        <w:t>58A</w:t>
      </w:r>
      <w:r w:rsidR="00353A2C" w:rsidRPr="00102445">
        <w:rPr>
          <w:lang w:eastAsia="en-AU"/>
        </w:rPr>
        <w:t>(1)</w:t>
      </w:r>
      <w:r w:rsidRPr="00102445" w:rsidDel="00AD2FC3">
        <w:rPr>
          <w:lang w:eastAsia="en-AU"/>
        </w:rPr>
        <w:t xml:space="preserve"> requires that each </w:t>
      </w:r>
      <w:r w:rsidR="00A4660E" w:rsidRPr="00102445">
        <w:rPr>
          <w:lang w:eastAsia="en-AU"/>
        </w:rPr>
        <w:t>SMC</w:t>
      </w:r>
      <w:r w:rsidRPr="00102445" w:rsidDel="00AD2FC3">
        <w:rPr>
          <w:lang w:eastAsia="en-AU"/>
        </w:rPr>
        <w:t xml:space="preserve"> issued should be identified with the relevant financial year</w:t>
      </w:r>
      <w:r w:rsidR="003A7EEF" w:rsidRPr="00102445">
        <w:rPr>
          <w:lang w:eastAsia="en-AU"/>
        </w:rPr>
        <w:t xml:space="preserve"> used to calculate how many are issued</w:t>
      </w:r>
      <w:r w:rsidRPr="00102445" w:rsidDel="00AD2FC3">
        <w:rPr>
          <w:lang w:eastAsia="en-AU"/>
        </w:rPr>
        <w:t xml:space="preserve">. This allows </w:t>
      </w:r>
      <w:r w:rsidR="00D72728" w:rsidRPr="00102445">
        <w:rPr>
          <w:lang w:eastAsia="en-AU"/>
        </w:rPr>
        <w:t>SMCs</w:t>
      </w:r>
      <w:r w:rsidRPr="00102445" w:rsidDel="00AD2FC3">
        <w:rPr>
          <w:lang w:eastAsia="en-AU"/>
        </w:rPr>
        <w:t xml:space="preserve"> to be traced to the year in which they were generated. </w:t>
      </w:r>
      <w:r w:rsidR="00C47BA3" w:rsidRPr="00102445">
        <w:rPr>
          <w:lang w:eastAsia="en-AU"/>
        </w:rPr>
        <w:t xml:space="preserve">Because the number of SMCs issued </w:t>
      </w:r>
      <w:r w:rsidR="002632B7" w:rsidRPr="00102445">
        <w:rPr>
          <w:lang w:eastAsia="en-AU"/>
        </w:rPr>
        <w:t xml:space="preserve">for a financial year </w:t>
      </w:r>
      <w:r w:rsidR="00C47BA3" w:rsidRPr="00102445">
        <w:rPr>
          <w:lang w:eastAsia="en-AU"/>
        </w:rPr>
        <w:t xml:space="preserve">depends on information that must be reported after </w:t>
      </w:r>
      <w:r w:rsidR="0012348D" w:rsidRPr="00102445">
        <w:rPr>
          <w:lang w:eastAsia="en-AU"/>
        </w:rPr>
        <w:t>the financial year</w:t>
      </w:r>
      <w:r w:rsidR="002632B7" w:rsidRPr="00102445">
        <w:rPr>
          <w:lang w:eastAsia="en-AU"/>
        </w:rPr>
        <w:t>,</w:t>
      </w:r>
      <w:r w:rsidR="0012348D" w:rsidRPr="00102445">
        <w:rPr>
          <w:lang w:eastAsia="en-AU"/>
        </w:rPr>
        <w:t xml:space="preserve"> </w:t>
      </w:r>
      <w:r w:rsidR="00D72728" w:rsidRPr="00102445">
        <w:rPr>
          <w:lang w:eastAsia="en-AU"/>
        </w:rPr>
        <w:t>SMCs</w:t>
      </w:r>
      <w:r w:rsidRPr="00102445" w:rsidDel="00AD2FC3">
        <w:rPr>
          <w:lang w:eastAsia="en-AU"/>
        </w:rPr>
        <w:t xml:space="preserve"> for a financial year </w:t>
      </w:r>
      <w:r w:rsidR="002632B7" w:rsidRPr="00102445">
        <w:rPr>
          <w:lang w:eastAsia="en-AU"/>
        </w:rPr>
        <w:t xml:space="preserve">are </w:t>
      </w:r>
      <w:r w:rsidRPr="00102445" w:rsidDel="00AD2FC3">
        <w:rPr>
          <w:lang w:eastAsia="en-AU"/>
        </w:rPr>
        <w:t xml:space="preserve">issued in the following financial year. It is the relevant reporting period that will be identified </w:t>
      </w:r>
      <w:r w:rsidR="00E24E04" w:rsidRPr="00102445">
        <w:rPr>
          <w:lang w:eastAsia="en-AU"/>
        </w:rPr>
        <w:t>with</w:t>
      </w:r>
      <w:r w:rsidRPr="00102445" w:rsidDel="00AD2FC3">
        <w:rPr>
          <w:lang w:eastAsia="en-AU"/>
        </w:rPr>
        <w:t xml:space="preserve"> a</w:t>
      </w:r>
      <w:r w:rsidR="00E24E04" w:rsidRPr="00102445">
        <w:rPr>
          <w:lang w:eastAsia="en-AU"/>
        </w:rPr>
        <w:t>n</w:t>
      </w:r>
      <w:r w:rsidRPr="00102445" w:rsidDel="00AD2FC3">
        <w:rPr>
          <w:lang w:eastAsia="en-AU"/>
        </w:rPr>
        <w:t xml:space="preserve"> </w:t>
      </w:r>
      <w:r w:rsidR="00D72728" w:rsidRPr="00102445">
        <w:rPr>
          <w:lang w:eastAsia="en-AU"/>
        </w:rPr>
        <w:t>SMC</w:t>
      </w:r>
      <w:r w:rsidRPr="00102445" w:rsidDel="00AD2FC3">
        <w:rPr>
          <w:lang w:eastAsia="en-AU"/>
        </w:rPr>
        <w:t>, not the year of issuance.</w:t>
      </w:r>
    </w:p>
    <w:p w14:paraId="67BF7CB3" w14:textId="52F723B5" w:rsidR="00D84B63" w:rsidRPr="00102445" w:rsidDel="00AD2FC3" w:rsidRDefault="00C91C24" w:rsidP="00591A9C">
      <w:pPr>
        <w:pStyle w:val="ListParagraph"/>
        <w:numPr>
          <w:ilvl w:val="0"/>
          <w:numId w:val="2"/>
        </w:numPr>
        <w:spacing w:line="240" w:lineRule="auto"/>
        <w:contextualSpacing w:val="0"/>
        <w:rPr>
          <w:rFonts w:eastAsia="Times New Roman" w:cs="Times New Roman"/>
          <w:lang w:eastAsia="en-AU"/>
        </w:rPr>
      </w:pPr>
      <w:r w:rsidRPr="00102445">
        <w:rPr>
          <w:lang w:eastAsia="en-AU"/>
        </w:rPr>
        <w:t>If the</w:t>
      </w:r>
      <w:r w:rsidR="00A44BEF" w:rsidRPr="00102445">
        <w:rPr>
          <w:lang w:eastAsia="en-AU"/>
        </w:rPr>
        <w:t xml:space="preserve">re was a </w:t>
      </w:r>
      <w:r w:rsidR="00A2170B" w:rsidRPr="00102445">
        <w:rPr>
          <w:lang w:eastAsia="en-AU"/>
        </w:rPr>
        <w:t>declared</w:t>
      </w:r>
      <w:r w:rsidR="00A44BEF" w:rsidRPr="00102445">
        <w:rPr>
          <w:lang w:eastAsia="en-AU"/>
        </w:rPr>
        <w:t xml:space="preserve"> multi-year period for the </w:t>
      </w:r>
      <w:r w:rsidR="00775D18" w:rsidRPr="00102445">
        <w:rPr>
          <w:lang w:eastAsia="en-AU"/>
        </w:rPr>
        <w:t xml:space="preserve">facility that </w:t>
      </w:r>
      <w:r w:rsidR="004B239B" w:rsidRPr="00102445">
        <w:rPr>
          <w:lang w:eastAsia="en-AU"/>
        </w:rPr>
        <w:t xml:space="preserve">includes </w:t>
      </w:r>
      <w:r w:rsidR="005626D0" w:rsidRPr="00102445">
        <w:rPr>
          <w:lang w:eastAsia="en-AU"/>
        </w:rPr>
        <w:t xml:space="preserve">the </w:t>
      </w:r>
      <w:r w:rsidRPr="00102445">
        <w:rPr>
          <w:lang w:eastAsia="en-AU"/>
        </w:rPr>
        <w:t>financial year</w:t>
      </w:r>
      <w:r w:rsidR="00FE27C2" w:rsidRPr="00102445">
        <w:rPr>
          <w:lang w:eastAsia="en-AU"/>
        </w:rPr>
        <w:t xml:space="preserve"> </w:t>
      </w:r>
      <w:r w:rsidR="005626D0" w:rsidRPr="00102445">
        <w:rPr>
          <w:lang w:eastAsia="en-AU"/>
        </w:rPr>
        <w:t>before the financial year in which the SMCs are issued, the SMCs are identified with the last financial year in that period.</w:t>
      </w:r>
    </w:p>
    <w:p w14:paraId="502CCA7D" w14:textId="18407DFC" w:rsidR="00455816" w:rsidRPr="00102445" w:rsidRDefault="00C2766A" w:rsidP="00591A9C">
      <w:pPr>
        <w:pStyle w:val="ListParagraph"/>
        <w:numPr>
          <w:ilvl w:val="0"/>
          <w:numId w:val="2"/>
        </w:numPr>
        <w:spacing w:line="240" w:lineRule="auto"/>
        <w:contextualSpacing w:val="0"/>
      </w:pPr>
      <w:r w:rsidRPr="00102445">
        <w:rPr>
          <w:lang w:eastAsia="en-AU"/>
        </w:rPr>
        <w:t>Subsection</w:t>
      </w:r>
      <w:r w:rsidR="00175D4F" w:rsidRPr="00102445">
        <w:rPr>
          <w:lang w:eastAsia="en-AU"/>
        </w:rPr>
        <w:t xml:space="preserve"> </w:t>
      </w:r>
      <w:r w:rsidR="00FD389A" w:rsidRPr="00102445">
        <w:rPr>
          <w:lang w:eastAsia="en-AU"/>
        </w:rPr>
        <w:t>58A</w:t>
      </w:r>
      <w:r w:rsidR="007B22AE" w:rsidRPr="00102445">
        <w:rPr>
          <w:lang w:eastAsia="en-AU"/>
        </w:rPr>
        <w:t xml:space="preserve">(2) requires the Regulator to issue </w:t>
      </w:r>
      <w:r w:rsidR="004C7CD5" w:rsidRPr="00102445">
        <w:rPr>
          <w:lang w:eastAsia="en-AU"/>
        </w:rPr>
        <w:t>SMCs</w:t>
      </w:r>
      <w:r w:rsidR="00890C9D" w:rsidRPr="00102445">
        <w:rPr>
          <w:lang w:eastAsia="en-AU"/>
        </w:rPr>
        <w:t xml:space="preserve"> as soon as reasonably practicable </w:t>
      </w:r>
      <w:r w:rsidR="004C7CD5" w:rsidRPr="00102445">
        <w:rPr>
          <w:lang w:eastAsia="en-AU"/>
        </w:rPr>
        <w:t xml:space="preserve">after </w:t>
      </w:r>
      <w:r w:rsidR="0032277D" w:rsidRPr="00102445">
        <w:rPr>
          <w:lang w:eastAsia="en-AU"/>
        </w:rPr>
        <w:t xml:space="preserve">31 January </w:t>
      </w:r>
      <w:r w:rsidR="00F846C2" w:rsidRPr="00102445">
        <w:rPr>
          <w:lang w:eastAsia="en-AU"/>
        </w:rPr>
        <w:t xml:space="preserve">of the </w:t>
      </w:r>
      <w:r w:rsidR="002A562A" w:rsidRPr="00102445">
        <w:rPr>
          <w:lang w:eastAsia="en-AU"/>
        </w:rPr>
        <w:t xml:space="preserve">financial year following </w:t>
      </w:r>
      <w:r w:rsidR="00011DF1" w:rsidRPr="00102445">
        <w:rPr>
          <w:lang w:eastAsia="en-AU"/>
        </w:rPr>
        <w:t xml:space="preserve">the </w:t>
      </w:r>
      <w:r w:rsidR="00F76083" w:rsidRPr="00102445">
        <w:rPr>
          <w:lang w:eastAsia="en-AU"/>
        </w:rPr>
        <w:t>relevant reporting period</w:t>
      </w:r>
      <w:r w:rsidR="00B97861" w:rsidRPr="00102445">
        <w:rPr>
          <w:lang w:eastAsia="en-AU"/>
        </w:rPr>
        <w:t xml:space="preserve">. </w:t>
      </w:r>
      <w:r w:rsidR="005362A9" w:rsidRPr="00102445">
        <w:rPr>
          <w:lang w:eastAsia="en-AU"/>
        </w:rPr>
        <w:t>For this requirement to apply</w:t>
      </w:r>
      <w:r w:rsidR="00F76083" w:rsidRPr="00102445">
        <w:rPr>
          <w:lang w:eastAsia="en-AU"/>
        </w:rPr>
        <w:t>,</w:t>
      </w:r>
      <w:r w:rsidR="005362A9" w:rsidRPr="00102445">
        <w:rPr>
          <w:lang w:eastAsia="en-AU"/>
        </w:rPr>
        <w:t xml:space="preserve"> the </w:t>
      </w:r>
      <w:r w:rsidR="00FB522C" w:rsidRPr="00102445">
        <w:rPr>
          <w:lang w:eastAsia="en-AU"/>
        </w:rPr>
        <w:t>application must have</w:t>
      </w:r>
      <w:r w:rsidR="00BD2D6A" w:rsidRPr="00102445">
        <w:rPr>
          <w:lang w:eastAsia="en-AU"/>
        </w:rPr>
        <w:t xml:space="preserve"> been made before 31 January </w:t>
      </w:r>
      <w:r w:rsidR="009479A1" w:rsidRPr="00102445">
        <w:rPr>
          <w:lang w:eastAsia="en-AU"/>
        </w:rPr>
        <w:t xml:space="preserve">and the </w:t>
      </w:r>
      <w:r w:rsidR="00D05442" w:rsidRPr="00102445">
        <w:rPr>
          <w:lang w:eastAsia="en-AU"/>
        </w:rPr>
        <w:t>Regulator must decide to issue SMCs</w:t>
      </w:r>
      <w:r w:rsidR="004416C5" w:rsidRPr="00102445">
        <w:rPr>
          <w:lang w:eastAsia="en-AU"/>
        </w:rPr>
        <w:t xml:space="preserve"> in relation to the facility for the </w:t>
      </w:r>
      <w:r w:rsidR="00B9257A" w:rsidRPr="00102445">
        <w:rPr>
          <w:lang w:eastAsia="en-AU"/>
        </w:rPr>
        <w:t>financial year</w:t>
      </w:r>
      <w:r w:rsidR="000373A7" w:rsidRPr="00102445">
        <w:rPr>
          <w:lang w:eastAsia="en-AU"/>
        </w:rPr>
        <w:t xml:space="preserve">. </w:t>
      </w:r>
    </w:p>
    <w:p w14:paraId="2E9D6577" w14:textId="7D2DDD2C" w:rsidR="00BA016F" w:rsidRPr="00102445" w:rsidRDefault="009D7750" w:rsidP="00591A9C">
      <w:pPr>
        <w:pStyle w:val="ListParagraph"/>
        <w:numPr>
          <w:ilvl w:val="0"/>
          <w:numId w:val="2"/>
        </w:numPr>
        <w:spacing w:line="240" w:lineRule="auto"/>
        <w:contextualSpacing w:val="0"/>
      </w:pPr>
      <w:r w:rsidRPr="00102445">
        <w:rPr>
          <w:lang w:eastAsia="en-AU"/>
        </w:rPr>
        <w:t xml:space="preserve">If a </w:t>
      </w:r>
      <w:r w:rsidR="00DA27CD" w:rsidRPr="00102445">
        <w:rPr>
          <w:lang w:eastAsia="en-AU"/>
        </w:rPr>
        <w:t xml:space="preserve">responsible emitter has applied under </w:t>
      </w:r>
      <w:r w:rsidR="00912E7F" w:rsidRPr="00102445">
        <w:rPr>
          <w:lang w:eastAsia="en-AU"/>
        </w:rPr>
        <w:t>subsection 57</w:t>
      </w:r>
      <w:r w:rsidR="00AE6C6F" w:rsidRPr="00102445" w:rsidDel="00AE6C6F">
        <w:rPr>
          <w:lang w:eastAsia="en-AU"/>
        </w:rPr>
        <w:t xml:space="preserve"> </w:t>
      </w:r>
      <w:r w:rsidR="00A52D84" w:rsidRPr="00102445">
        <w:rPr>
          <w:lang w:eastAsia="en-AU"/>
        </w:rPr>
        <w:t xml:space="preserve">(1) </w:t>
      </w:r>
      <w:r w:rsidR="004D76BB" w:rsidRPr="00102445">
        <w:rPr>
          <w:lang w:eastAsia="en-AU"/>
        </w:rPr>
        <w:t xml:space="preserve">to be issued </w:t>
      </w:r>
      <w:r w:rsidR="00665EB7" w:rsidRPr="00102445">
        <w:rPr>
          <w:lang w:eastAsia="en-AU"/>
        </w:rPr>
        <w:t xml:space="preserve">SMCs in relation to </w:t>
      </w:r>
      <w:r w:rsidR="00B05828" w:rsidRPr="00102445">
        <w:rPr>
          <w:lang w:eastAsia="en-AU"/>
        </w:rPr>
        <w:t>a declared multi-year monitoring period</w:t>
      </w:r>
      <w:r w:rsidR="00FE018C" w:rsidRPr="00102445">
        <w:rPr>
          <w:lang w:eastAsia="en-AU"/>
        </w:rPr>
        <w:t>,</w:t>
      </w:r>
      <w:r w:rsidR="00A52D84" w:rsidRPr="00102445">
        <w:rPr>
          <w:lang w:eastAsia="en-AU"/>
        </w:rPr>
        <w:t xml:space="preserve"> </w:t>
      </w:r>
      <w:r w:rsidR="00FE018C" w:rsidRPr="00102445">
        <w:rPr>
          <w:lang w:eastAsia="en-AU"/>
        </w:rPr>
        <w:t>s</w:t>
      </w:r>
      <w:r w:rsidR="00BA016F" w:rsidRPr="00102445">
        <w:rPr>
          <w:lang w:eastAsia="en-AU"/>
        </w:rPr>
        <w:t xml:space="preserve">ubsection </w:t>
      </w:r>
      <w:r w:rsidR="00AE6C6F" w:rsidRPr="00102445">
        <w:rPr>
          <w:lang w:eastAsia="en-AU"/>
        </w:rPr>
        <w:t>@58A</w:t>
      </w:r>
      <w:r w:rsidR="00BA016F" w:rsidRPr="00102445">
        <w:rPr>
          <w:lang w:eastAsia="en-AU"/>
        </w:rPr>
        <w:t xml:space="preserve">(3) requires the Regulator to issue SMCs as soon as reasonably practicable after 31 January of the financial year following the </w:t>
      </w:r>
      <w:r w:rsidR="005F3DA9" w:rsidRPr="00102445">
        <w:rPr>
          <w:lang w:eastAsia="en-AU"/>
        </w:rPr>
        <w:t>end of the multi-monitoring year</w:t>
      </w:r>
      <w:r w:rsidR="00BA016F" w:rsidRPr="00102445">
        <w:rPr>
          <w:lang w:eastAsia="en-AU"/>
        </w:rPr>
        <w:t xml:space="preserve"> period. For this requirement to apply, the application must have been made before 31 January and the Regulator must decide to issue SMCs in relation to the facility for the </w:t>
      </w:r>
      <w:r w:rsidR="00686249" w:rsidRPr="00102445">
        <w:rPr>
          <w:lang w:eastAsia="en-AU"/>
        </w:rPr>
        <w:t>multi-year monitoring period.</w:t>
      </w:r>
    </w:p>
    <w:p w14:paraId="7DFBF098" w14:textId="5C7C650C" w:rsidR="00586B50" w:rsidRPr="00102445" w:rsidRDefault="00A24B06" w:rsidP="005A0C16">
      <w:pPr>
        <w:pStyle w:val="Heading5"/>
      </w:pPr>
      <w:r w:rsidRPr="00102445">
        <w:t xml:space="preserve">Division </w:t>
      </w:r>
      <w:r w:rsidR="00455816" w:rsidRPr="00102445">
        <w:t>4</w:t>
      </w:r>
      <w:r w:rsidRPr="00102445">
        <w:t xml:space="preserve"> – </w:t>
      </w:r>
      <w:r w:rsidR="00455816" w:rsidRPr="00102445">
        <w:t>Eligible facilitie</w:t>
      </w:r>
      <w:r w:rsidRPr="00102445">
        <w:t>s</w:t>
      </w:r>
    </w:p>
    <w:p w14:paraId="11EB8416" w14:textId="0EB56404" w:rsidR="19BF315D" w:rsidRPr="00102445" w:rsidRDefault="00912E7F" w:rsidP="00591A9C">
      <w:pPr>
        <w:pStyle w:val="ListParagraph"/>
        <w:numPr>
          <w:ilvl w:val="0"/>
          <w:numId w:val="2"/>
        </w:numPr>
        <w:spacing w:line="240" w:lineRule="auto"/>
        <w:contextualSpacing w:val="0"/>
        <w:rPr>
          <w:lang w:eastAsia="en-AU"/>
        </w:rPr>
      </w:pPr>
      <w:r w:rsidRPr="00102445">
        <w:rPr>
          <w:lang w:eastAsia="en-AU"/>
        </w:rPr>
        <w:t xml:space="preserve">Subsection </w:t>
      </w:r>
      <w:r w:rsidR="00C72049" w:rsidRPr="00102445">
        <w:rPr>
          <w:lang w:eastAsia="en-AU"/>
        </w:rPr>
        <w:t>58B</w:t>
      </w:r>
      <w:r w:rsidR="19BF315D" w:rsidRPr="00102445">
        <w:rPr>
          <w:lang w:eastAsia="en-AU"/>
        </w:rPr>
        <w:t>(</w:t>
      </w:r>
      <w:r w:rsidR="00A0322F" w:rsidRPr="00102445">
        <w:rPr>
          <w:lang w:eastAsia="en-AU"/>
        </w:rPr>
        <w:t>1</w:t>
      </w:r>
      <w:r w:rsidR="19BF315D" w:rsidRPr="00102445">
        <w:rPr>
          <w:lang w:eastAsia="en-AU"/>
        </w:rPr>
        <w:t xml:space="preserve">) </w:t>
      </w:r>
      <w:r w:rsidR="004D5FD7" w:rsidRPr="00102445">
        <w:rPr>
          <w:lang w:eastAsia="en-AU"/>
        </w:rPr>
        <w:t>a</w:t>
      </w:r>
      <w:r w:rsidR="7733434A" w:rsidRPr="00102445">
        <w:rPr>
          <w:lang w:eastAsia="en-AU"/>
        </w:rPr>
        <w:t>llows</w:t>
      </w:r>
      <w:r w:rsidR="693546ED" w:rsidRPr="00102445">
        <w:rPr>
          <w:lang w:eastAsia="en-AU"/>
        </w:rPr>
        <w:t xml:space="preserve"> – but does not </w:t>
      </w:r>
      <w:r w:rsidR="15EE14AC" w:rsidRPr="00102445">
        <w:rPr>
          <w:lang w:eastAsia="en-AU"/>
        </w:rPr>
        <w:t xml:space="preserve">require </w:t>
      </w:r>
      <w:r w:rsidR="693546ED" w:rsidRPr="00102445">
        <w:rPr>
          <w:lang w:eastAsia="en-AU"/>
        </w:rPr>
        <w:t xml:space="preserve">– </w:t>
      </w:r>
      <w:r w:rsidR="7733434A" w:rsidRPr="00102445">
        <w:rPr>
          <w:lang w:eastAsia="en-AU"/>
        </w:rPr>
        <w:t>facilities wh</w:t>
      </w:r>
      <w:r w:rsidR="1B913179" w:rsidRPr="00102445">
        <w:rPr>
          <w:lang w:eastAsia="en-AU"/>
        </w:rPr>
        <w:t xml:space="preserve">ose emissions </w:t>
      </w:r>
      <w:r w:rsidR="7733434A" w:rsidRPr="00102445">
        <w:rPr>
          <w:lang w:eastAsia="en-AU"/>
        </w:rPr>
        <w:t xml:space="preserve">drop below the </w:t>
      </w:r>
      <w:r w:rsidR="15BDC06B" w:rsidRPr="00102445">
        <w:rPr>
          <w:lang w:eastAsia="en-AU"/>
        </w:rPr>
        <w:t>coverage</w:t>
      </w:r>
      <w:r w:rsidR="7733434A" w:rsidRPr="00102445">
        <w:rPr>
          <w:lang w:eastAsia="en-AU"/>
        </w:rPr>
        <w:t xml:space="preserve"> threshold</w:t>
      </w:r>
      <w:r w:rsidR="40577B25" w:rsidRPr="00102445">
        <w:rPr>
          <w:lang w:eastAsia="en-AU"/>
        </w:rPr>
        <w:t xml:space="preserve"> to access </w:t>
      </w:r>
      <w:r w:rsidR="6FC6CABB" w:rsidRPr="00102445">
        <w:rPr>
          <w:lang w:eastAsia="en-AU"/>
        </w:rPr>
        <w:t xml:space="preserve">aspects </w:t>
      </w:r>
      <w:r w:rsidR="40577B25" w:rsidRPr="00102445">
        <w:rPr>
          <w:lang w:eastAsia="en-AU"/>
        </w:rPr>
        <w:t xml:space="preserve">of the scheme, primarily the issuance of </w:t>
      </w:r>
      <w:r w:rsidR="008E3C4C" w:rsidRPr="00102445">
        <w:rPr>
          <w:lang w:eastAsia="en-AU"/>
        </w:rPr>
        <w:t>SMCs</w:t>
      </w:r>
      <w:r w:rsidR="00824BBF" w:rsidRPr="00102445">
        <w:rPr>
          <w:lang w:eastAsia="en-AU"/>
        </w:rPr>
        <w:t xml:space="preserve">, if they meet the criteria </w:t>
      </w:r>
      <w:r w:rsidR="00E561CF" w:rsidRPr="00102445">
        <w:rPr>
          <w:lang w:eastAsia="en-AU"/>
        </w:rPr>
        <w:t>laid out in</w:t>
      </w:r>
      <w:r w:rsidR="002118EE" w:rsidRPr="00102445">
        <w:rPr>
          <w:lang w:eastAsia="en-AU"/>
        </w:rPr>
        <w:t xml:space="preserve"> </w:t>
      </w:r>
      <w:r w:rsidR="00DB39B9" w:rsidRPr="00102445">
        <w:rPr>
          <w:lang w:eastAsia="en-AU"/>
        </w:rPr>
        <w:t>paragraphs</w:t>
      </w:r>
      <w:r w:rsidR="002118EE" w:rsidRPr="00102445">
        <w:rPr>
          <w:lang w:eastAsia="en-AU"/>
        </w:rPr>
        <w:t xml:space="preserve"> </w:t>
      </w:r>
      <w:r w:rsidR="00FF60BD" w:rsidRPr="00102445">
        <w:rPr>
          <w:lang w:eastAsia="en-AU"/>
        </w:rPr>
        <w:t>58B</w:t>
      </w:r>
      <w:r w:rsidR="00E02911" w:rsidRPr="00102445">
        <w:rPr>
          <w:lang w:eastAsia="en-AU"/>
        </w:rPr>
        <w:t>(</w:t>
      </w:r>
      <w:r w:rsidR="00036A84" w:rsidRPr="00102445">
        <w:rPr>
          <w:lang w:eastAsia="en-AU"/>
        </w:rPr>
        <w:t>3</w:t>
      </w:r>
      <w:r w:rsidR="00E02911" w:rsidRPr="00102445">
        <w:rPr>
          <w:lang w:eastAsia="en-AU"/>
        </w:rPr>
        <w:t>)(a)-(e)</w:t>
      </w:r>
      <w:r w:rsidR="40577B25" w:rsidRPr="00102445">
        <w:rPr>
          <w:lang w:eastAsia="en-AU"/>
        </w:rPr>
        <w:t>.</w:t>
      </w:r>
      <w:r w:rsidR="7021E5D5" w:rsidRPr="00102445">
        <w:rPr>
          <w:lang w:eastAsia="en-AU"/>
        </w:rPr>
        <w:t xml:space="preserve"> This is intended to ensure the incentive to decarbonise is not removed after a facility reduces it</w:t>
      </w:r>
      <w:r w:rsidR="5A20571B" w:rsidRPr="00102445">
        <w:rPr>
          <w:lang w:eastAsia="en-AU"/>
        </w:rPr>
        <w:t>s emissions below 100,000</w:t>
      </w:r>
      <w:r w:rsidR="4AB25E2E" w:rsidRPr="00102445">
        <w:rPr>
          <w:rFonts w:cs="Times New Roman"/>
        </w:rPr>
        <w:t xml:space="preserve"> t CO</w:t>
      </w:r>
      <w:r w:rsidR="4AB25E2E" w:rsidRPr="00102445">
        <w:rPr>
          <w:rFonts w:cs="Times New Roman"/>
          <w:vertAlign w:val="subscript"/>
        </w:rPr>
        <w:t>2</w:t>
      </w:r>
      <w:r w:rsidR="4AB25E2E" w:rsidRPr="00102445">
        <w:rPr>
          <w:rFonts w:cs="Times New Roman"/>
        </w:rPr>
        <w:t>-e</w:t>
      </w:r>
      <w:r w:rsidR="5A20571B" w:rsidRPr="00102445">
        <w:rPr>
          <w:lang w:eastAsia="en-AU"/>
        </w:rPr>
        <w:t xml:space="preserve">. </w:t>
      </w:r>
      <w:r w:rsidR="00694252" w:rsidRPr="00102445">
        <w:rPr>
          <w:lang w:eastAsia="en-AU"/>
        </w:rPr>
        <w:t>For a facility to</w:t>
      </w:r>
      <w:r w:rsidR="00260D8A" w:rsidRPr="00102445">
        <w:rPr>
          <w:lang w:eastAsia="en-AU"/>
        </w:rPr>
        <w:t xml:space="preserve"> </w:t>
      </w:r>
      <w:r w:rsidR="006E42E6" w:rsidRPr="00102445">
        <w:rPr>
          <w:lang w:eastAsia="en-AU"/>
        </w:rPr>
        <w:t xml:space="preserve">be considered an eligible facility under </w:t>
      </w:r>
      <w:r w:rsidRPr="00102445">
        <w:rPr>
          <w:lang w:eastAsia="en-AU"/>
        </w:rPr>
        <w:t xml:space="preserve">subsection </w:t>
      </w:r>
      <w:r w:rsidR="006D2379" w:rsidRPr="00102445">
        <w:rPr>
          <w:lang w:eastAsia="en-AU"/>
        </w:rPr>
        <w:t>58B</w:t>
      </w:r>
      <w:r w:rsidR="000B7061" w:rsidRPr="00102445">
        <w:rPr>
          <w:lang w:eastAsia="en-AU"/>
        </w:rPr>
        <w:t xml:space="preserve">(1) it must </w:t>
      </w:r>
      <w:r w:rsidR="00F96D5A" w:rsidRPr="00102445">
        <w:rPr>
          <w:lang w:eastAsia="en-AU"/>
        </w:rPr>
        <w:t xml:space="preserve">have been a designated </w:t>
      </w:r>
      <w:r w:rsidR="00E80E7E" w:rsidRPr="00102445">
        <w:rPr>
          <w:lang w:eastAsia="en-AU"/>
        </w:rPr>
        <w:t xml:space="preserve">large </w:t>
      </w:r>
      <w:r w:rsidR="00F96D5A" w:rsidRPr="00102445">
        <w:rPr>
          <w:lang w:eastAsia="en-AU"/>
        </w:rPr>
        <w:t xml:space="preserve">facility </w:t>
      </w:r>
      <w:r w:rsidR="00581394" w:rsidRPr="00102445">
        <w:rPr>
          <w:lang w:eastAsia="en-AU"/>
        </w:rPr>
        <w:t xml:space="preserve">for a financial year </w:t>
      </w:r>
      <w:r w:rsidR="004C7925" w:rsidRPr="00102445">
        <w:rPr>
          <w:lang w:eastAsia="en-AU"/>
        </w:rPr>
        <w:t xml:space="preserve">within the </w:t>
      </w:r>
      <w:r w:rsidR="006270E9" w:rsidRPr="00102445">
        <w:rPr>
          <w:lang w:eastAsia="en-AU"/>
        </w:rPr>
        <w:t>previous 10 years (</w:t>
      </w:r>
      <w:r w:rsidR="00A554BF" w:rsidRPr="00102445">
        <w:rPr>
          <w:lang w:eastAsia="en-AU"/>
        </w:rPr>
        <w:t xml:space="preserve">not </w:t>
      </w:r>
      <w:r w:rsidR="006270E9" w:rsidRPr="00102445">
        <w:rPr>
          <w:lang w:eastAsia="en-AU"/>
        </w:rPr>
        <w:t xml:space="preserve">including the </w:t>
      </w:r>
      <w:r w:rsidR="006D2244" w:rsidRPr="00102445">
        <w:rPr>
          <w:lang w:eastAsia="en-AU"/>
        </w:rPr>
        <w:t xml:space="preserve">current </w:t>
      </w:r>
      <w:r w:rsidR="0053770E" w:rsidRPr="00102445">
        <w:rPr>
          <w:lang w:eastAsia="en-AU"/>
        </w:rPr>
        <w:t>financial year</w:t>
      </w:r>
      <w:r w:rsidR="00D4274B" w:rsidRPr="00102445">
        <w:rPr>
          <w:lang w:eastAsia="en-AU"/>
        </w:rPr>
        <w:t xml:space="preserve">). It must have been a designated </w:t>
      </w:r>
      <w:r w:rsidR="00E80E7E" w:rsidRPr="00102445">
        <w:rPr>
          <w:lang w:eastAsia="en-AU"/>
        </w:rPr>
        <w:t xml:space="preserve">large </w:t>
      </w:r>
      <w:r w:rsidR="00D4274B" w:rsidRPr="00102445">
        <w:rPr>
          <w:lang w:eastAsia="en-AU"/>
        </w:rPr>
        <w:t xml:space="preserve">facility </w:t>
      </w:r>
      <w:r w:rsidR="00EB7FC7" w:rsidRPr="00102445">
        <w:rPr>
          <w:lang w:eastAsia="en-AU"/>
        </w:rPr>
        <w:t>in at least 3 historical years or</w:t>
      </w:r>
      <w:r w:rsidR="000747AE" w:rsidRPr="00102445">
        <w:rPr>
          <w:lang w:eastAsia="en-AU"/>
        </w:rPr>
        <w:t xml:space="preserve"> 2 of the 4 financial years immediately </w:t>
      </w:r>
      <w:r w:rsidR="000B2298" w:rsidRPr="00102445">
        <w:rPr>
          <w:lang w:eastAsia="en-AU"/>
        </w:rPr>
        <w:t>preceding</w:t>
      </w:r>
      <w:r w:rsidR="000747AE" w:rsidRPr="00102445">
        <w:rPr>
          <w:lang w:eastAsia="en-AU"/>
        </w:rPr>
        <w:t xml:space="preserve"> the </w:t>
      </w:r>
      <w:r w:rsidR="00502C02" w:rsidRPr="00102445">
        <w:rPr>
          <w:lang w:eastAsia="en-AU"/>
        </w:rPr>
        <w:t>last financial year</w:t>
      </w:r>
      <w:r w:rsidR="000B2298" w:rsidRPr="00102445">
        <w:rPr>
          <w:lang w:eastAsia="en-AU"/>
        </w:rPr>
        <w:t xml:space="preserve"> that</w:t>
      </w:r>
      <w:r w:rsidR="00502C02" w:rsidRPr="00102445">
        <w:rPr>
          <w:lang w:eastAsia="en-AU"/>
        </w:rPr>
        <w:t xml:space="preserve"> it was </w:t>
      </w:r>
      <w:r w:rsidR="00B14C51" w:rsidRPr="00102445">
        <w:rPr>
          <w:lang w:eastAsia="en-AU"/>
        </w:rPr>
        <w:t xml:space="preserve">a designated </w:t>
      </w:r>
      <w:r w:rsidR="00E80E7E" w:rsidRPr="00102445">
        <w:rPr>
          <w:lang w:eastAsia="en-AU"/>
        </w:rPr>
        <w:t xml:space="preserve">large </w:t>
      </w:r>
      <w:r w:rsidR="00B14C51" w:rsidRPr="00102445">
        <w:rPr>
          <w:lang w:eastAsia="en-AU"/>
        </w:rPr>
        <w:t xml:space="preserve">facility. </w:t>
      </w:r>
      <w:r w:rsidR="005C74D7" w:rsidRPr="00102445">
        <w:rPr>
          <w:lang w:eastAsia="en-AU"/>
        </w:rPr>
        <w:t xml:space="preserve">It </w:t>
      </w:r>
      <w:r w:rsidR="009F65E8" w:rsidRPr="00102445">
        <w:rPr>
          <w:lang w:eastAsia="en-AU"/>
        </w:rPr>
        <w:t xml:space="preserve">must </w:t>
      </w:r>
      <w:r w:rsidR="005C74D7" w:rsidRPr="00102445">
        <w:rPr>
          <w:lang w:eastAsia="en-AU"/>
        </w:rPr>
        <w:t>also</w:t>
      </w:r>
      <w:r w:rsidR="00CC2F4E" w:rsidRPr="00102445">
        <w:rPr>
          <w:lang w:eastAsia="en-AU"/>
        </w:rPr>
        <w:t xml:space="preserve"> either</w:t>
      </w:r>
      <w:r w:rsidR="005C74D7" w:rsidRPr="00102445">
        <w:rPr>
          <w:lang w:eastAsia="en-AU"/>
        </w:rPr>
        <w:t xml:space="preserve"> </w:t>
      </w:r>
      <w:r w:rsidR="008E2F58" w:rsidRPr="00102445">
        <w:rPr>
          <w:lang w:eastAsia="en-AU"/>
        </w:rPr>
        <w:t xml:space="preserve">have a </w:t>
      </w:r>
      <w:r w:rsidR="006A7854" w:rsidRPr="00102445">
        <w:rPr>
          <w:lang w:eastAsia="en-AU"/>
        </w:rPr>
        <w:t xml:space="preserve">current emissions intensity determination </w:t>
      </w:r>
      <w:r w:rsidR="00434BBF" w:rsidRPr="00102445">
        <w:rPr>
          <w:lang w:eastAsia="en-AU"/>
        </w:rPr>
        <w:t xml:space="preserve">or be a new facility. </w:t>
      </w:r>
      <w:r w:rsidR="009F2C40" w:rsidRPr="00102445">
        <w:rPr>
          <w:lang w:eastAsia="en-AU"/>
        </w:rPr>
        <w:t>It must not have</w:t>
      </w:r>
      <w:r w:rsidR="00611A6A" w:rsidRPr="00102445">
        <w:rPr>
          <w:lang w:eastAsia="en-AU"/>
        </w:rPr>
        <w:t xml:space="preserve"> </w:t>
      </w:r>
      <w:r w:rsidR="00B83077" w:rsidRPr="00102445">
        <w:rPr>
          <w:lang w:eastAsia="en-AU"/>
        </w:rPr>
        <w:t xml:space="preserve">had ACCUs issued </w:t>
      </w:r>
      <w:r w:rsidR="00FA2FB6" w:rsidRPr="00102445">
        <w:rPr>
          <w:lang w:eastAsia="en-AU"/>
        </w:rPr>
        <w:t xml:space="preserve">in relation to covered emissions </w:t>
      </w:r>
      <w:r w:rsidR="00B83077" w:rsidRPr="00102445">
        <w:rPr>
          <w:lang w:eastAsia="en-AU"/>
        </w:rPr>
        <w:t xml:space="preserve">at the facility </w:t>
      </w:r>
      <w:r w:rsidR="00E369B9" w:rsidRPr="00102445">
        <w:rPr>
          <w:lang w:eastAsia="en-AU"/>
        </w:rPr>
        <w:t xml:space="preserve">for the current financial year. </w:t>
      </w:r>
    </w:p>
    <w:p w14:paraId="0A00A155" w14:textId="7C3ED41C" w:rsidR="00964695" w:rsidRPr="00102445" w:rsidRDefault="00B561DB" w:rsidP="00591A9C">
      <w:pPr>
        <w:pStyle w:val="ListParagraph"/>
        <w:numPr>
          <w:ilvl w:val="0"/>
          <w:numId w:val="2"/>
        </w:numPr>
        <w:spacing w:line="240" w:lineRule="auto"/>
        <w:contextualSpacing w:val="0"/>
        <w:rPr>
          <w:lang w:eastAsia="en-AU"/>
        </w:rPr>
      </w:pPr>
      <w:r w:rsidRPr="00102445">
        <w:rPr>
          <w:lang w:eastAsia="en-AU"/>
        </w:rPr>
        <w:lastRenderedPageBreak/>
        <w:t xml:space="preserve">Subsection </w:t>
      </w:r>
      <w:r w:rsidR="00E80E7E" w:rsidRPr="00102445">
        <w:rPr>
          <w:lang w:eastAsia="en-AU"/>
        </w:rPr>
        <w:t>58</w:t>
      </w:r>
      <w:r w:rsidR="00DA01EC" w:rsidRPr="00102445">
        <w:rPr>
          <w:lang w:eastAsia="en-AU"/>
        </w:rPr>
        <w:t>B</w:t>
      </w:r>
      <w:r w:rsidR="001457BB" w:rsidRPr="00102445">
        <w:rPr>
          <w:lang w:eastAsia="en-AU"/>
        </w:rPr>
        <w:t xml:space="preserve">(2) </w:t>
      </w:r>
      <w:r w:rsidR="00DC6445" w:rsidRPr="00102445">
        <w:rPr>
          <w:lang w:eastAsia="en-AU"/>
        </w:rPr>
        <w:t xml:space="preserve">provides for a facility to be considered an </w:t>
      </w:r>
      <w:r w:rsidR="00B05AA8" w:rsidRPr="00102445">
        <w:rPr>
          <w:lang w:eastAsia="en-AU"/>
        </w:rPr>
        <w:t>eligible</w:t>
      </w:r>
      <w:r w:rsidR="00DC6445" w:rsidRPr="00102445">
        <w:rPr>
          <w:lang w:eastAsia="en-AU"/>
        </w:rPr>
        <w:t xml:space="preserve"> facility </w:t>
      </w:r>
      <w:r w:rsidR="00DA6D77" w:rsidRPr="00102445">
        <w:rPr>
          <w:lang w:eastAsia="en-AU"/>
        </w:rPr>
        <w:t xml:space="preserve">after </w:t>
      </w:r>
      <w:r w:rsidR="003505C7" w:rsidRPr="00102445">
        <w:rPr>
          <w:lang w:eastAsia="en-AU"/>
        </w:rPr>
        <w:t xml:space="preserve">the </w:t>
      </w:r>
      <w:r w:rsidR="00474530" w:rsidRPr="00102445">
        <w:rPr>
          <w:lang w:eastAsia="en-AU"/>
        </w:rPr>
        <w:t xml:space="preserve">financial year </w:t>
      </w:r>
      <w:r w:rsidR="003505C7" w:rsidRPr="00102445">
        <w:rPr>
          <w:lang w:eastAsia="en-AU"/>
        </w:rPr>
        <w:t>ending on 30 June 2028</w:t>
      </w:r>
      <w:r w:rsidR="007F7186" w:rsidRPr="00102445">
        <w:rPr>
          <w:lang w:eastAsia="en-AU"/>
        </w:rPr>
        <w:t xml:space="preserve"> </w:t>
      </w:r>
      <w:r w:rsidR="00DC6445" w:rsidRPr="00102445">
        <w:rPr>
          <w:lang w:eastAsia="en-AU"/>
        </w:rPr>
        <w:t xml:space="preserve">if </w:t>
      </w:r>
      <w:r w:rsidR="00AB16AC" w:rsidRPr="00102445">
        <w:rPr>
          <w:lang w:eastAsia="en-AU"/>
        </w:rPr>
        <w:t xml:space="preserve">it </w:t>
      </w:r>
      <w:r w:rsidR="00177806" w:rsidRPr="00102445">
        <w:rPr>
          <w:lang w:eastAsia="en-AU"/>
        </w:rPr>
        <w:t>was a designated large facility fo</w:t>
      </w:r>
      <w:r w:rsidR="00040B65" w:rsidRPr="00102445">
        <w:rPr>
          <w:lang w:eastAsia="en-AU"/>
        </w:rPr>
        <w:t>r at least 3 of the 5 years immediately preceding the current financial year</w:t>
      </w:r>
      <w:r w:rsidR="00A32F7B" w:rsidRPr="00102445">
        <w:rPr>
          <w:lang w:eastAsia="en-AU"/>
        </w:rPr>
        <w:t>.</w:t>
      </w:r>
      <w:r w:rsidR="00C26E66" w:rsidRPr="00102445">
        <w:rPr>
          <w:lang w:eastAsia="en-AU"/>
        </w:rPr>
        <w:t xml:space="preserve"> </w:t>
      </w:r>
      <w:r w:rsidR="00A32F7B" w:rsidRPr="00102445">
        <w:rPr>
          <w:lang w:eastAsia="en-AU"/>
        </w:rPr>
        <w:t xml:space="preserve">It must also either have a current emissions intensity determination or be a new facility. It must not have had ACCUs issued in relation to covered emissions at the facility for the current financial year. </w:t>
      </w:r>
    </w:p>
    <w:p w14:paraId="31F9DE77" w14:textId="79FB4CE2" w:rsidR="00546AED" w:rsidRPr="00102445" w:rsidRDefault="003378C9" w:rsidP="00711BC3">
      <w:pPr>
        <w:pStyle w:val="Itemheadings"/>
      </w:pPr>
      <w:r w:rsidRPr="00102445">
        <w:t>Ite</w:t>
      </w:r>
      <w:r w:rsidR="005E414B" w:rsidRPr="00102445">
        <w:t>m 3</w:t>
      </w:r>
      <w:r w:rsidR="00976BA5" w:rsidRPr="00102445">
        <w:t>7</w:t>
      </w:r>
      <w:r w:rsidR="005E414B" w:rsidRPr="00102445">
        <w:t xml:space="preserve"> – Subsection 65(3)</w:t>
      </w:r>
    </w:p>
    <w:p w14:paraId="56667189" w14:textId="38C1676C" w:rsidR="00D07107" w:rsidRPr="00102445" w:rsidRDefault="005E414B" w:rsidP="00591A9C">
      <w:pPr>
        <w:pStyle w:val="ListParagraph"/>
        <w:numPr>
          <w:ilvl w:val="0"/>
          <w:numId w:val="2"/>
        </w:numPr>
        <w:spacing w:line="240" w:lineRule="auto"/>
        <w:contextualSpacing w:val="0"/>
        <w:rPr>
          <w:rFonts w:eastAsia="Times New Roman" w:cs="Times New Roman"/>
          <w:lang w:eastAsia="en-AU"/>
        </w:rPr>
      </w:pPr>
      <w:r w:rsidRPr="00102445">
        <w:t>Re</w:t>
      </w:r>
      <w:r w:rsidR="001A7BF4" w:rsidRPr="00102445">
        <w:t>moves</w:t>
      </w:r>
      <w:r w:rsidRPr="00102445">
        <w:t xml:space="preserve"> the existing s</w:t>
      </w:r>
      <w:r w:rsidR="00B004B3" w:rsidRPr="00102445">
        <w:rPr>
          <w:rFonts w:eastAsia="Times New Roman" w:cs="Times New Roman"/>
          <w:lang w:eastAsia="en-AU"/>
        </w:rPr>
        <w:t xml:space="preserve">ubsection 65(3) </w:t>
      </w:r>
      <w:r w:rsidR="00623E00" w:rsidRPr="00102445">
        <w:rPr>
          <w:rFonts w:eastAsia="Times New Roman" w:cs="Times New Roman"/>
          <w:lang w:eastAsia="en-AU"/>
        </w:rPr>
        <w:t xml:space="preserve">and </w:t>
      </w:r>
      <w:r w:rsidR="001A7BF4" w:rsidRPr="00102445">
        <w:rPr>
          <w:rFonts w:eastAsia="Times New Roman" w:cs="Times New Roman"/>
          <w:lang w:eastAsia="en-AU"/>
        </w:rPr>
        <w:t>introduces</w:t>
      </w:r>
      <w:r w:rsidR="00623E00" w:rsidRPr="00102445">
        <w:rPr>
          <w:rFonts w:eastAsia="Times New Roman" w:cs="Times New Roman"/>
          <w:lang w:eastAsia="en-AU"/>
        </w:rPr>
        <w:t xml:space="preserve"> a new subsection 65(3)</w:t>
      </w:r>
      <w:r w:rsidR="00D115F8" w:rsidRPr="00102445">
        <w:rPr>
          <w:rFonts w:eastAsia="Times New Roman" w:cs="Times New Roman"/>
          <w:lang w:eastAsia="en-AU"/>
        </w:rPr>
        <w:t xml:space="preserve"> </w:t>
      </w:r>
      <w:r w:rsidR="2BB3B10F" w:rsidRPr="00102445">
        <w:rPr>
          <w:rFonts w:eastAsia="Times New Roman" w:cs="Times New Roman"/>
          <w:lang w:eastAsia="en-AU"/>
        </w:rPr>
        <w:t xml:space="preserve">detailing the requirements for an application for a multi-year </w:t>
      </w:r>
      <w:r w:rsidR="00B908F5" w:rsidRPr="00102445">
        <w:rPr>
          <w:rFonts w:eastAsia="Times New Roman" w:cs="Times New Roman"/>
          <w:lang w:eastAsia="en-AU"/>
        </w:rPr>
        <w:t xml:space="preserve">period </w:t>
      </w:r>
      <w:r w:rsidR="2BB3B10F" w:rsidRPr="00102445">
        <w:rPr>
          <w:rFonts w:eastAsia="Times New Roman" w:cs="Times New Roman"/>
          <w:lang w:eastAsia="en-AU"/>
        </w:rPr>
        <w:t>declaration.</w:t>
      </w:r>
      <w:r w:rsidR="002501F4" w:rsidRPr="00102445">
        <w:rPr>
          <w:rFonts w:eastAsia="Times New Roman" w:cs="Times New Roman"/>
          <w:lang w:eastAsia="en-AU"/>
        </w:rPr>
        <w:t xml:space="preserve"> Section 65 is related to applications </w:t>
      </w:r>
      <w:r w:rsidR="00A22653" w:rsidRPr="00102445">
        <w:t>for a declaration that a specified period is a declared multi-year period for a facility</w:t>
      </w:r>
      <w:r w:rsidR="00097C3A" w:rsidRPr="00102445">
        <w:t>. De</w:t>
      </w:r>
      <w:r w:rsidR="006E4ECB" w:rsidRPr="00102445">
        <w:t>c</w:t>
      </w:r>
      <w:r w:rsidR="00097C3A" w:rsidRPr="00102445">
        <w:t>lared multi-year periods are also known as multi-year monitoring periods</w:t>
      </w:r>
      <w:r w:rsidR="006A61E2" w:rsidRPr="00102445">
        <w:t>.</w:t>
      </w:r>
      <w:r w:rsidR="006E4ECB" w:rsidRPr="00102445">
        <w:t xml:space="preserve"> </w:t>
      </w:r>
      <w:r w:rsidR="006A61E2" w:rsidRPr="00102445">
        <w:t>S</w:t>
      </w:r>
      <w:r w:rsidR="006E4ECB" w:rsidRPr="00102445">
        <w:t xml:space="preserve">ection </w:t>
      </w:r>
      <w:r w:rsidR="006A61E2" w:rsidRPr="00102445">
        <w:t xml:space="preserve">22XG of the NGER Act provides for multi-year monitoring periods, which mean that the duty to avoid an excess emissions situation (i.e. </w:t>
      </w:r>
      <w:r w:rsidR="00BF5C1F" w:rsidRPr="00102445">
        <w:t xml:space="preserve">to avoid having a net emissions number </w:t>
      </w:r>
      <w:r w:rsidR="00E8316B" w:rsidRPr="00102445">
        <w:t xml:space="preserve">that is greater than a </w:t>
      </w:r>
      <w:r w:rsidR="00D85785" w:rsidRPr="00102445">
        <w:t xml:space="preserve">baseline emissions number) applies to a period that consists of more than one </w:t>
      </w:r>
      <w:r w:rsidR="00050CFB" w:rsidRPr="00102445">
        <w:t>financial year.</w:t>
      </w:r>
    </w:p>
    <w:p w14:paraId="240C0321" w14:textId="6CF236B5" w:rsidR="00B80E10" w:rsidRPr="00102445" w:rsidRDefault="00FA6E73"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Extended </w:t>
      </w:r>
      <w:r w:rsidR="005E26F8" w:rsidRPr="00102445">
        <w:rPr>
          <w:rFonts w:eastAsia="Times New Roman" w:cs="Times New Roman"/>
          <w:lang w:eastAsia="en-AU"/>
        </w:rPr>
        <w:t xml:space="preserve">multi-year monitoring periods will be made available, on application, to give facilities flexibility while they invest in new projects that reduce their emissions. </w:t>
      </w:r>
      <w:r w:rsidR="00866AFC" w:rsidRPr="00102445">
        <w:rPr>
          <w:rFonts w:eastAsia="Times New Roman" w:cs="Times New Roman"/>
          <w:lang w:eastAsia="en-AU"/>
        </w:rPr>
        <w:t xml:space="preserve">The application </w:t>
      </w:r>
      <w:r w:rsidR="004A596E" w:rsidRPr="00102445">
        <w:rPr>
          <w:rFonts w:eastAsia="Times New Roman" w:cs="Times New Roman"/>
          <w:lang w:eastAsia="en-AU"/>
        </w:rPr>
        <w:t>must</w:t>
      </w:r>
      <w:r w:rsidR="001A1136" w:rsidRPr="00102445">
        <w:rPr>
          <w:rFonts w:eastAsia="Times New Roman" w:cs="Times New Roman"/>
          <w:lang w:eastAsia="en-AU"/>
        </w:rPr>
        <w:t xml:space="preserve"> be given in a manner </w:t>
      </w:r>
      <w:r w:rsidR="007933A2" w:rsidRPr="00102445">
        <w:rPr>
          <w:rFonts w:eastAsia="Times New Roman" w:cs="Times New Roman"/>
          <w:lang w:eastAsia="en-AU"/>
        </w:rPr>
        <w:t>and form approved in writing by the Regulator</w:t>
      </w:r>
      <w:r w:rsidR="00EC4D56" w:rsidRPr="00102445">
        <w:rPr>
          <w:rFonts w:eastAsia="Times New Roman" w:cs="Times New Roman"/>
          <w:lang w:eastAsia="en-AU"/>
        </w:rPr>
        <w:t>; specif</w:t>
      </w:r>
      <w:r w:rsidR="000A7AB1" w:rsidRPr="00102445">
        <w:rPr>
          <w:rFonts w:eastAsia="Times New Roman" w:cs="Times New Roman"/>
          <w:lang w:eastAsia="en-AU"/>
        </w:rPr>
        <w:t>y</w:t>
      </w:r>
      <w:r w:rsidR="006F23F2" w:rsidRPr="00102445">
        <w:rPr>
          <w:rFonts w:eastAsia="Times New Roman" w:cs="Times New Roman"/>
          <w:lang w:eastAsia="en-AU"/>
        </w:rPr>
        <w:t xml:space="preserve"> the</w:t>
      </w:r>
      <w:r w:rsidR="000A7AB1" w:rsidRPr="00102445">
        <w:rPr>
          <w:rFonts w:eastAsia="Times New Roman" w:cs="Times New Roman"/>
          <w:lang w:eastAsia="en-AU"/>
        </w:rPr>
        <w:t xml:space="preserve"> </w:t>
      </w:r>
      <w:r w:rsidR="00C17B38" w:rsidRPr="00102445">
        <w:rPr>
          <w:rFonts w:eastAsia="Times New Roman" w:cs="Times New Roman"/>
          <w:lang w:eastAsia="en-AU"/>
        </w:rPr>
        <w:t xml:space="preserve">multi-year period </w:t>
      </w:r>
      <w:r w:rsidR="00096331" w:rsidRPr="00102445">
        <w:rPr>
          <w:rFonts w:eastAsia="Times New Roman" w:cs="Times New Roman"/>
          <w:lang w:eastAsia="en-AU"/>
        </w:rPr>
        <w:t>for which the declaration is sought</w:t>
      </w:r>
      <w:r w:rsidR="00B80E10" w:rsidRPr="00102445">
        <w:rPr>
          <w:rFonts w:eastAsia="Times New Roman" w:cs="Times New Roman"/>
          <w:lang w:eastAsia="en-AU"/>
        </w:rPr>
        <w:t>;</w:t>
      </w:r>
      <w:r w:rsidR="00654046" w:rsidRPr="00102445">
        <w:rPr>
          <w:rFonts w:eastAsia="Times New Roman" w:cs="Times New Roman"/>
          <w:lang w:eastAsia="en-AU"/>
        </w:rPr>
        <w:t xml:space="preserve"> </w:t>
      </w:r>
      <w:r w:rsidR="00B80E10" w:rsidRPr="00102445">
        <w:rPr>
          <w:rFonts w:eastAsia="Times New Roman" w:cs="Times New Roman"/>
          <w:lang w:eastAsia="en-AU"/>
        </w:rPr>
        <w:t xml:space="preserve">specify the amount of covered </w:t>
      </w:r>
      <w:r w:rsidR="00CF0DCD" w:rsidRPr="00102445">
        <w:rPr>
          <w:rFonts w:eastAsia="Times New Roman" w:cs="Times New Roman"/>
          <w:lang w:eastAsia="en-AU"/>
        </w:rPr>
        <w:t>carbon di</w:t>
      </w:r>
      <w:r w:rsidR="00A475F7" w:rsidRPr="00102445">
        <w:rPr>
          <w:rFonts w:eastAsia="Times New Roman" w:cs="Times New Roman"/>
          <w:lang w:eastAsia="en-AU"/>
        </w:rPr>
        <w:t xml:space="preserve">oxide </w:t>
      </w:r>
      <w:r w:rsidR="00B32D20" w:rsidRPr="00102445">
        <w:rPr>
          <w:rFonts w:eastAsia="Times New Roman" w:cs="Times New Roman"/>
          <w:lang w:eastAsia="en-AU"/>
        </w:rPr>
        <w:t xml:space="preserve">equivalent of </w:t>
      </w:r>
      <w:r w:rsidR="00B80E10" w:rsidRPr="00102445">
        <w:rPr>
          <w:rFonts w:eastAsia="Times New Roman" w:cs="Times New Roman"/>
          <w:lang w:eastAsia="en-AU"/>
        </w:rPr>
        <w:t xml:space="preserve">emissions </w:t>
      </w:r>
      <w:r w:rsidR="006E2F2C" w:rsidRPr="00102445">
        <w:rPr>
          <w:rFonts w:eastAsia="Times New Roman" w:cs="Times New Roman"/>
          <w:lang w:eastAsia="en-AU"/>
        </w:rPr>
        <w:t xml:space="preserve">emitted, or </w:t>
      </w:r>
      <w:r w:rsidR="00691EC0" w:rsidRPr="00102445">
        <w:rPr>
          <w:rFonts w:eastAsia="Times New Roman" w:cs="Times New Roman"/>
          <w:lang w:eastAsia="en-AU"/>
        </w:rPr>
        <w:t>reasonably likely to be emitted</w:t>
      </w:r>
      <w:r w:rsidR="00E65BFF" w:rsidRPr="00102445">
        <w:rPr>
          <w:rFonts w:eastAsia="Times New Roman" w:cs="Times New Roman"/>
          <w:lang w:eastAsia="en-AU"/>
        </w:rPr>
        <w:t xml:space="preserve"> for the proposed first financial year of the </w:t>
      </w:r>
      <w:r w:rsidR="001D1C83" w:rsidRPr="00102445">
        <w:rPr>
          <w:rFonts w:eastAsia="Times New Roman" w:cs="Times New Roman"/>
          <w:lang w:eastAsia="en-AU"/>
        </w:rPr>
        <w:t>declared multi</w:t>
      </w:r>
      <w:r w:rsidR="00C32179" w:rsidRPr="00102445">
        <w:rPr>
          <w:rFonts w:eastAsia="Times New Roman" w:cs="Times New Roman"/>
          <w:lang w:eastAsia="en-AU"/>
        </w:rPr>
        <w:t xml:space="preserve">-year </w:t>
      </w:r>
      <w:r w:rsidR="002D4C15" w:rsidRPr="00102445">
        <w:rPr>
          <w:rFonts w:eastAsia="Times New Roman" w:cs="Times New Roman"/>
          <w:lang w:eastAsia="en-AU"/>
        </w:rPr>
        <w:t xml:space="preserve">period; </w:t>
      </w:r>
      <w:r w:rsidR="009C68BC" w:rsidRPr="00102445">
        <w:rPr>
          <w:rFonts w:eastAsia="Times New Roman" w:cs="Times New Roman"/>
          <w:lang w:eastAsia="en-AU"/>
        </w:rPr>
        <w:t xml:space="preserve">include a declaration </w:t>
      </w:r>
      <w:r w:rsidR="00DB18CD" w:rsidRPr="00102445">
        <w:rPr>
          <w:rFonts w:eastAsia="Times New Roman" w:cs="Times New Roman"/>
          <w:lang w:eastAsia="en-AU"/>
        </w:rPr>
        <w:t xml:space="preserve">that the facility will </w:t>
      </w:r>
      <w:r w:rsidR="004B7E39" w:rsidRPr="00102445">
        <w:rPr>
          <w:rFonts w:eastAsia="Times New Roman" w:cs="Times New Roman"/>
          <w:lang w:eastAsia="en-AU"/>
        </w:rPr>
        <w:t xml:space="preserve">conduct one or more </w:t>
      </w:r>
      <w:r w:rsidR="005B0DFB" w:rsidRPr="00102445">
        <w:rPr>
          <w:rFonts w:eastAsia="Times New Roman" w:cs="Times New Roman"/>
          <w:lang w:eastAsia="en-AU"/>
        </w:rPr>
        <w:t xml:space="preserve">activities to reduce the </w:t>
      </w:r>
      <w:r w:rsidR="004760E1" w:rsidRPr="00102445">
        <w:rPr>
          <w:rFonts w:eastAsia="Times New Roman" w:cs="Times New Roman"/>
          <w:lang w:eastAsia="en-AU"/>
        </w:rPr>
        <w:t>emissions intensity of the facility’s pro</w:t>
      </w:r>
      <w:r w:rsidR="00BB0805" w:rsidRPr="00102445">
        <w:rPr>
          <w:rFonts w:eastAsia="Times New Roman" w:cs="Times New Roman"/>
          <w:lang w:eastAsia="en-AU"/>
        </w:rPr>
        <w:t>duction variables</w:t>
      </w:r>
      <w:r w:rsidR="00890F17" w:rsidRPr="00102445">
        <w:rPr>
          <w:rFonts w:eastAsia="Times New Roman" w:cs="Times New Roman"/>
          <w:lang w:eastAsia="en-AU"/>
        </w:rPr>
        <w:t xml:space="preserve"> and that as a result of th</w:t>
      </w:r>
      <w:r w:rsidR="00C9048E" w:rsidRPr="00102445">
        <w:rPr>
          <w:rFonts w:eastAsia="Times New Roman" w:cs="Times New Roman"/>
          <w:lang w:eastAsia="en-AU"/>
        </w:rPr>
        <w:t>ose activities</w:t>
      </w:r>
      <w:r w:rsidR="00376AE4" w:rsidRPr="00102445">
        <w:rPr>
          <w:rFonts w:eastAsia="Times New Roman" w:cs="Times New Roman"/>
          <w:lang w:eastAsia="en-AU"/>
        </w:rPr>
        <w:t xml:space="preserve">, will </w:t>
      </w:r>
      <w:r w:rsidR="00DB18CD" w:rsidRPr="00102445">
        <w:rPr>
          <w:rFonts w:eastAsia="Times New Roman" w:cs="Times New Roman"/>
          <w:lang w:eastAsia="en-AU"/>
        </w:rPr>
        <w:t>be reasonably likely to avoid an excess emissions situation</w:t>
      </w:r>
      <w:r w:rsidR="00F05134" w:rsidRPr="00102445">
        <w:rPr>
          <w:rFonts w:eastAsia="Times New Roman" w:cs="Times New Roman"/>
          <w:lang w:eastAsia="en-AU"/>
        </w:rPr>
        <w:t xml:space="preserve"> at the end of the declared multi-year monitoring period</w:t>
      </w:r>
      <w:r w:rsidR="00311BD2" w:rsidRPr="00102445">
        <w:rPr>
          <w:rFonts w:eastAsia="Times New Roman" w:cs="Times New Roman"/>
          <w:lang w:eastAsia="en-AU"/>
        </w:rPr>
        <w:t>;</w:t>
      </w:r>
      <w:r w:rsidR="004B6177" w:rsidRPr="00102445">
        <w:rPr>
          <w:rFonts w:eastAsia="Times New Roman" w:cs="Times New Roman"/>
          <w:lang w:eastAsia="en-AU"/>
        </w:rPr>
        <w:t xml:space="preserve"> </w:t>
      </w:r>
      <w:r w:rsidR="00DB18CD" w:rsidRPr="00102445">
        <w:rPr>
          <w:rFonts w:eastAsia="Times New Roman" w:cs="Times New Roman"/>
          <w:lang w:eastAsia="en-AU"/>
        </w:rPr>
        <w:t xml:space="preserve">include </w:t>
      </w:r>
      <w:r w:rsidR="004B6177" w:rsidRPr="00102445">
        <w:rPr>
          <w:rFonts w:eastAsia="Times New Roman" w:cs="Times New Roman"/>
          <w:lang w:eastAsia="en-AU"/>
        </w:rPr>
        <w:t xml:space="preserve">a credible plan for how </w:t>
      </w:r>
      <w:r w:rsidR="007F6F4D" w:rsidRPr="00102445">
        <w:rPr>
          <w:rFonts w:eastAsia="Times New Roman" w:cs="Times New Roman"/>
          <w:lang w:eastAsia="en-AU"/>
        </w:rPr>
        <w:t xml:space="preserve">those </w:t>
      </w:r>
      <w:r w:rsidR="003035FF" w:rsidRPr="00102445">
        <w:rPr>
          <w:rFonts w:eastAsia="Times New Roman" w:cs="Times New Roman"/>
          <w:lang w:eastAsia="en-AU"/>
        </w:rPr>
        <w:t>activities</w:t>
      </w:r>
      <w:r w:rsidR="00DB18CD" w:rsidRPr="00102445">
        <w:rPr>
          <w:rFonts w:eastAsia="Times New Roman" w:cs="Times New Roman"/>
          <w:lang w:eastAsia="en-AU"/>
        </w:rPr>
        <w:t xml:space="preserve"> will be </w:t>
      </w:r>
      <w:r w:rsidR="003035FF" w:rsidRPr="00102445">
        <w:rPr>
          <w:rFonts w:eastAsia="Times New Roman" w:cs="Times New Roman"/>
          <w:lang w:eastAsia="en-AU"/>
        </w:rPr>
        <w:t>reasonably likely to reduce the facility’s emissions number</w:t>
      </w:r>
      <w:r w:rsidR="0021565B" w:rsidRPr="00102445">
        <w:rPr>
          <w:rFonts w:eastAsia="Times New Roman" w:cs="Times New Roman"/>
          <w:lang w:eastAsia="en-AU"/>
        </w:rPr>
        <w:t xml:space="preserve"> and a summary of the plan for publication</w:t>
      </w:r>
      <w:r w:rsidR="004B6177" w:rsidRPr="00102445">
        <w:rPr>
          <w:rFonts w:eastAsia="Times New Roman" w:cs="Times New Roman"/>
          <w:lang w:eastAsia="en-AU"/>
        </w:rPr>
        <w:t xml:space="preserve">; provide an explanation of any known risks that may breach section 22XF of </w:t>
      </w:r>
      <w:r w:rsidR="00B86E54" w:rsidRPr="00102445">
        <w:rPr>
          <w:rFonts w:eastAsia="Times New Roman" w:cs="Times New Roman"/>
          <w:lang w:eastAsia="en-AU"/>
        </w:rPr>
        <w:t>the NGER Act</w:t>
      </w:r>
      <w:r w:rsidR="00684D81" w:rsidRPr="00102445">
        <w:rPr>
          <w:rFonts w:eastAsia="Times New Roman" w:cs="Times New Roman"/>
          <w:lang w:eastAsia="en-AU"/>
        </w:rPr>
        <w:t xml:space="preserve"> </w:t>
      </w:r>
      <w:r w:rsidR="0056033C" w:rsidRPr="00102445">
        <w:rPr>
          <w:rFonts w:eastAsia="Times New Roman" w:cs="Times New Roman"/>
          <w:lang w:eastAsia="en-AU"/>
        </w:rPr>
        <w:t>(</w:t>
      </w:r>
      <w:r w:rsidR="00684D81" w:rsidRPr="00102445">
        <w:rPr>
          <w:rFonts w:eastAsia="Times New Roman" w:cs="Times New Roman"/>
          <w:lang w:eastAsia="en-AU"/>
        </w:rPr>
        <w:t xml:space="preserve">the </w:t>
      </w:r>
      <w:r w:rsidR="00F110E6" w:rsidRPr="00102445">
        <w:rPr>
          <w:rFonts w:eastAsia="Times New Roman" w:cs="Times New Roman"/>
          <w:lang w:eastAsia="en-AU"/>
        </w:rPr>
        <w:t>duty to avoid an excess emissions sit</w:t>
      </w:r>
      <w:r w:rsidR="0056033C" w:rsidRPr="00102445">
        <w:rPr>
          <w:rFonts w:eastAsia="Times New Roman" w:cs="Times New Roman"/>
          <w:lang w:eastAsia="en-AU"/>
        </w:rPr>
        <w:t>u</w:t>
      </w:r>
      <w:r w:rsidR="00F110E6" w:rsidRPr="00102445">
        <w:rPr>
          <w:rFonts w:eastAsia="Times New Roman" w:cs="Times New Roman"/>
          <w:lang w:eastAsia="en-AU"/>
        </w:rPr>
        <w:t>ation</w:t>
      </w:r>
      <w:r w:rsidR="00FB2461" w:rsidRPr="00102445">
        <w:rPr>
          <w:rFonts w:eastAsia="Times New Roman" w:cs="Times New Roman"/>
          <w:lang w:eastAsia="en-AU"/>
        </w:rPr>
        <w:t xml:space="preserve"> by 1 </w:t>
      </w:r>
      <w:r w:rsidR="00E93A98" w:rsidRPr="00102445">
        <w:rPr>
          <w:rFonts w:eastAsia="Times New Roman" w:cs="Times New Roman"/>
          <w:lang w:eastAsia="en-AU"/>
        </w:rPr>
        <w:t xml:space="preserve">April in </w:t>
      </w:r>
      <w:r w:rsidR="00FB2461" w:rsidRPr="00102445">
        <w:rPr>
          <w:rFonts w:eastAsia="Times New Roman" w:cs="Times New Roman"/>
          <w:lang w:eastAsia="en-AU"/>
        </w:rPr>
        <w:t>the following financial year)</w:t>
      </w:r>
      <w:r w:rsidR="004B6177" w:rsidRPr="00102445">
        <w:rPr>
          <w:rFonts w:eastAsia="Times New Roman" w:cs="Times New Roman"/>
          <w:lang w:eastAsia="en-AU"/>
        </w:rPr>
        <w:t xml:space="preserve">; and be signed </w:t>
      </w:r>
      <w:r w:rsidR="0037597F" w:rsidRPr="00102445">
        <w:rPr>
          <w:rFonts w:eastAsia="Times New Roman" w:cs="Times New Roman"/>
          <w:lang w:eastAsia="en-AU"/>
        </w:rPr>
        <w:t xml:space="preserve">by a responsible </w:t>
      </w:r>
      <w:r w:rsidR="00C459C6" w:rsidRPr="00102445">
        <w:rPr>
          <w:rFonts w:eastAsia="Times New Roman" w:cs="Times New Roman"/>
          <w:lang w:eastAsia="en-AU"/>
        </w:rPr>
        <w:t>financial officer for the responsible emitter of a facility</w:t>
      </w:r>
      <w:r w:rsidR="00783218" w:rsidRPr="00102445">
        <w:rPr>
          <w:rFonts w:eastAsia="Times New Roman" w:cs="Times New Roman"/>
          <w:lang w:eastAsia="en-AU"/>
        </w:rPr>
        <w:t xml:space="preserve">; or a person </w:t>
      </w:r>
      <w:r w:rsidR="00ED75A9" w:rsidRPr="00102445">
        <w:rPr>
          <w:rFonts w:eastAsia="Times New Roman" w:cs="Times New Roman"/>
          <w:lang w:eastAsia="en-AU"/>
        </w:rPr>
        <w:t xml:space="preserve">authorised by the responsible officer. </w:t>
      </w:r>
    </w:p>
    <w:p w14:paraId="3F5649FB" w14:textId="78927CDB" w:rsidR="0075062E" w:rsidRPr="00102445" w:rsidRDefault="0075062E" w:rsidP="00711BC3">
      <w:pPr>
        <w:pStyle w:val="Itemheadings"/>
      </w:pPr>
      <w:r w:rsidRPr="00102445">
        <w:t>Item 3</w:t>
      </w:r>
      <w:r w:rsidR="005D7CD1" w:rsidRPr="00102445">
        <w:t>8</w:t>
      </w:r>
      <w:r w:rsidRPr="00102445">
        <w:t xml:space="preserve"> – </w:t>
      </w:r>
      <w:r w:rsidR="00B305AA" w:rsidRPr="00102445">
        <w:t>Subsection 65(4)</w:t>
      </w:r>
    </w:p>
    <w:p w14:paraId="6B324A15" w14:textId="26CCD4EC" w:rsidR="3F31D549" w:rsidRPr="00102445" w:rsidRDefault="00296070" w:rsidP="00591A9C">
      <w:pPr>
        <w:pStyle w:val="ListParagraph"/>
        <w:numPr>
          <w:ilvl w:val="0"/>
          <w:numId w:val="2"/>
        </w:numPr>
        <w:shd w:val="clear" w:color="auto" w:fill="FFFFFF" w:themeFill="background1"/>
        <w:spacing w:line="240" w:lineRule="auto"/>
        <w:contextualSpacing w:val="0"/>
        <w:rPr>
          <w:rFonts w:eastAsia="Times New Roman" w:cs="Times New Roman"/>
          <w:lang w:eastAsia="en-AU"/>
        </w:rPr>
      </w:pPr>
      <w:r w:rsidRPr="00102445">
        <w:rPr>
          <w:rFonts w:eastAsia="Times New Roman" w:cs="Times New Roman"/>
          <w:lang w:eastAsia="en-AU"/>
        </w:rPr>
        <w:t>Updates</w:t>
      </w:r>
      <w:r w:rsidR="00B305AA" w:rsidRPr="00102445">
        <w:rPr>
          <w:rFonts w:eastAsia="Times New Roman" w:cs="Times New Roman"/>
          <w:lang w:eastAsia="en-AU"/>
        </w:rPr>
        <w:t xml:space="preserve"> the date for an </w:t>
      </w:r>
      <w:r w:rsidR="00085AED" w:rsidRPr="00102445">
        <w:rPr>
          <w:rFonts w:eastAsia="Times New Roman" w:cs="Times New Roman"/>
          <w:lang w:eastAsia="en-AU"/>
        </w:rPr>
        <w:t>application</w:t>
      </w:r>
      <w:r w:rsidR="00B305AA" w:rsidRPr="00102445">
        <w:rPr>
          <w:rFonts w:eastAsia="Times New Roman" w:cs="Times New Roman"/>
          <w:lang w:eastAsia="en-AU"/>
        </w:rPr>
        <w:t xml:space="preserve"> for a multi-year monitoring period declaration which is due to the Regulator on 15 </w:t>
      </w:r>
      <w:r w:rsidR="00085AED" w:rsidRPr="00102445">
        <w:rPr>
          <w:rFonts w:eastAsia="Times New Roman" w:cs="Times New Roman"/>
          <w:lang w:eastAsia="en-AU"/>
        </w:rPr>
        <w:t>November</w:t>
      </w:r>
      <w:r w:rsidR="00B305AA" w:rsidRPr="00102445">
        <w:rPr>
          <w:rFonts w:eastAsia="Times New Roman" w:cs="Times New Roman"/>
          <w:lang w:eastAsia="en-AU"/>
        </w:rPr>
        <w:t xml:space="preserve">. </w:t>
      </w:r>
      <w:r w:rsidR="0095547B" w:rsidRPr="00102445">
        <w:rPr>
          <w:rFonts w:eastAsia="Times New Roman" w:cs="Times New Roman"/>
          <w:lang w:eastAsia="en-AU"/>
        </w:rPr>
        <w:t>As such, f</w:t>
      </w:r>
      <w:r w:rsidR="0006534F" w:rsidRPr="00102445">
        <w:rPr>
          <w:rFonts w:eastAsia="Times New Roman" w:cs="Times New Roman"/>
          <w:lang w:eastAsia="en-AU"/>
        </w:rPr>
        <w:t xml:space="preserve">acilities must submit a </w:t>
      </w:r>
      <w:r w:rsidR="00BD17AD" w:rsidRPr="00102445">
        <w:rPr>
          <w:rFonts w:eastAsia="Times New Roman" w:cs="Times New Roman"/>
          <w:lang w:eastAsia="en-AU"/>
        </w:rPr>
        <w:t xml:space="preserve">declaration </w:t>
      </w:r>
      <w:r w:rsidR="0006534F" w:rsidRPr="00102445">
        <w:rPr>
          <w:rFonts w:eastAsia="Times New Roman" w:cs="Times New Roman"/>
          <w:lang w:eastAsia="en-AU"/>
        </w:rPr>
        <w:t xml:space="preserve">application </w:t>
      </w:r>
      <w:r w:rsidR="0095547B" w:rsidRPr="00102445">
        <w:rPr>
          <w:rFonts w:eastAsia="Times New Roman" w:cs="Times New Roman"/>
          <w:lang w:eastAsia="en-AU"/>
        </w:rPr>
        <w:t xml:space="preserve">within </w:t>
      </w:r>
      <w:r w:rsidR="0006534F" w:rsidRPr="00102445">
        <w:rPr>
          <w:rFonts w:eastAsia="Times New Roman" w:cs="Times New Roman"/>
          <w:lang w:eastAsia="en-AU"/>
        </w:rPr>
        <w:t xml:space="preserve">two weeks after </w:t>
      </w:r>
      <w:r w:rsidR="004A4F67" w:rsidRPr="00102445">
        <w:rPr>
          <w:rFonts w:eastAsia="Times New Roman" w:cs="Times New Roman"/>
          <w:lang w:eastAsia="en-AU"/>
        </w:rPr>
        <w:t xml:space="preserve">31 October when </w:t>
      </w:r>
      <w:r w:rsidR="0006534F" w:rsidRPr="00102445">
        <w:rPr>
          <w:rFonts w:eastAsia="Times New Roman" w:cs="Times New Roman"/>
          <w:lang w:eastAsia="en-AU"/>
        </w:rPr>
        <w:t xml:space="preserve">they </w:t>
      </w:r>
      <w:r w:rsidR="0095547B" w:rsidRPr="00102445">
        <w:rPr>
          <w:rFonts w:eastAsia="Times New Roman" w:cs="Times New Roman"/>
          <w:lang w:eastAsia="en-AU"/>
        </w:rPr>
        <w:t xml:space="preserve">must have </w:t>
      </w:r>
      <w:r w:rsidR="0006534F" w:rsidRPr="00102445">
        <w:rPr>
          <w:rFonts w:eastAsia="Times New Roman" w:cs="Times New Roman"/>
          <w:lang w:eastAsia="en-AU"/>
        </w:rPr>
        <w:t>report</w:t>
      </w:r>
      <w:r w:rsidR="0095547B" w:rsidRPr="00102445">
        <w:rPr>
          <w:rFonts w:eastAsia="Times New Roman" w:cs="Times New Roman"/>
          <w:lang w:eastAsia="en-AU"/>
        </w:rPr>
        <w:t>ed</w:t>
      </w:r>
      <w:r w:rsidR="0006534F" w:rsidRPr="00102445">
        <w:rPr>
          <w:rFonts w:eastAsia="Times New Roman" w:cs="Times New Roman"/>
          <w:lang w:eastAsia="en-AU"/>
        </w:rPr>
        <w:t xml:space="preserve"> their emissions and production.</w:t>
      </w:r>
      <w:r w:rsidR="00B931D1" w:rsidRPr="00102445">
        <w:rPr>
          <w:rFonts w:eastAsia="Times New Roman" w:cs="Times New Roman"/>
          <w:lang w:eastAsia="en-AU"/>
        </w:rPr>
        <w:t xml:space="preserve"> </w:t>
      </w:r>
    </w:p>
    <w:p w14:paraId="3B79DC30" w14:textId="1B1122DA" w:rsidR="0048518A" w:rsidRPr="00102445" w:rsidRDefault="0048518A" w:rsidP="00B656BF">
      <w:pPr>
        <w:pStyle w:val="Itemheadings"/>
        <w:rPr>
          <w:lang w:eastAsia="en-AU"/>
        </w:rPr>
      </w:pPr>
      <w:r w:rsidRPr="00102445">
        <w:rPr>
          <w:lang w:eastAsia="en-AU"/>
        </w:rPr>
        <w:t>Item 3</w:t>
      </w:r>
      <w:r w:rsidR="006A2530" w:rsidRPr="00102445">
        <w:rPr>
          <w:lang w:eastAsia="en-AU"/>
        </w:rPr>
        <w:t>9</w:t>
      </w:r>
      <w:r w:rsidRPr="00102445">
        <w:rPr>
          <w:lang w:eastAsia="en-AU"/>
        </w:rPr>
        <w:t xml:space="preserve"> – Subsection 67(1)</w:t>
      </w:r>
    </w:p>
    <w:p w14:paraId="60F8EF49" w14:textId="108EB429" w:rsidR="7DBB9BC2" w:rsidRPr="00102445" w:rsidRDefault="00C35A84"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P</w:t>
      </w:r>
      <w:r w:rsidR="00B305AA" w:rsidRPr="00102445">
        <w:rPr>
          <w:rFonts w:eastAsia="Times New Roman" w:cs="Times New Roman"/>
          <w:lang w:eastAsia="en-AU"/>
        </w:rPr>
        <w:t xml:space="preserve">rovides that section 67 applies if an application under section 65 has been made for a multi-year monitoring period declaration for a facility. </w:t>
      </w:r>
      <w:r w:rsidR="004D20C0" w:rsidRPr="00102445">
        <w:rPr>
          <w:rFonts w:eastAsia="Times New Roman" w:cs="Times New Roman"/>
          <w:lang w:eastAsia="en-AU"/>
        </w:rPr>
        <w:t xml:space="preserve">Section </w:t>
      </w:r>
      <w:r w:rsidR="00696BD5" w:rsidRPr="00102445">
        <w:rPr>
          <w:rFonts w:eastAsia="Times New Roman" w:cs="Times New Roman"/>
          <w:lang w:eastAsia="en-AU"/>
        </w:rPr>
        <w:t>67</w:t>
      </w:r>
      <w:r w:rsidR="0047104A" w:rsidRPr="00102445">
        <w:rPr>
          <w:rFonts w:eastAsia="Times New Roman" w:cs="Times New Roman"/>
          <w:lang w:eastAsia="en-AU"/>
        </w:rPr>
        <w:t xml:space="preserve"> enables </w:t>
      </w:r>
      <w:r w:rsidR="00757899" w:rsidRPr="00102445">
        <w:rPr>
          <w:rFonts w:eastAsia="Times New Roman" w:cs="Times New Roman"/>
          <w:lang w:eastAsia="en-AU"/>
        </w:rPr>
        <w:t>the Regulator to make such a declaration.</w:t>
      </w:r>
    </w:p>
    <w:p w14:paraId="7B928112" w14:textId="7B72B2C0" w:rsidR="00AB24F7" w:rsidRPr="00102445" w:rsidRDefault="00AB24F7" w:rsidP="00B656BF">
      <w:pPr>
        <w:pStyle w:val="Itemheadings"/>
        <w:rPr>
          <w:lang w:eastAsia="en-AU"/>
        </w:rPr>
      </w:pPr>
      <w:r w:rsidRPr="00102445">
        <w:rPr>
          <w:lang w:eastAsia="en-AU"/>
        </w:rPr>
        <w:t xml:space="preserve">Item </w:t>
      </w:r>
      <w:r w:rsidR="00315B90" w:rsidRPr="00102445">
        <w:rPr>
          <w:lang w:eastAsia="en-AU"/>
        </w:rPr>
        <w:t>40</w:t>
      </w:r>
      <w:r w:rsidR="00F27223" w:rsidRPr="00102445">
        <w:rPr>
          <w:lang w:eastAsia="en-AU"/>
        </w:rPr>
        <w:t xml:space="preserve"> – </w:t>
      </w:r>
      <w:r w:rsidR="00F05A01" w:rsidRPr="00102445">
        <w:rPr>
          <w:lang w:eastAsia="en-AU"/>
        </w:rPr>
        <w:t xml:space="preserve">Subsection 67(2) </w:t>
      </w:r>
    </w:p>
    <w:p w14:paraId="1D5D520C" w14:textId="75B436FF" w:rsidR="00F05A01" w:rsidRPr="00102445" w:rsidRDefault="00AB24F7"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R</w:t>
      </w:r>
      <w:r w:rsidR="6F348361" w:rsidRPr="00102445">
        <w:t>emoves the wording “reasonably likely to be”.</w:t>
      </w:r>
      <w:r w:rsidR="51CCE645" w:rsidRPr="00102445">
        <w:t xml:space="preserve"> Th</w:t>
      </w:r>
      <w:r w:rsidR="00753F97" w:rsidRPr="00102445">
        <w:t>e</w:t>
      </w:r>
      <w:r w:rsidR="51CCE645" w:rsidRPr="00102445">
        <w:t xml:space="preserve"> Regulator must be </w:t>
      </w:r>
      <w:r w:rsidR="0FABDCEF" w:rsidRPr="00102445">
        <w:t>satisfied</w:t>
      </w:r>
      <w:r w:rsidR="256B6607" w:rsidRPr="00102445">
        <w:t xml:space="preserve"> that a facility’s covered emissions are greater than its baseline for the first year of the mul</w:t>
      </w:r>
      <w:r w:rsidR="35887E80" w:rsidRPr="00102445">
        <w:t>t</w:t>
      </w:r>
      <w:r w:rsidR="256B6607" w:rsidRPr="00102445">
        <w:t xml:space="preserve">i-year monitoring </w:t>
      </w:r>
      <w:r w:rsidR="493A6D57" w:rsidRPr="00102445">
        <w:t>period</w:t>
      </w:r>
      <w:r w:rsidR="1E7F37FD" w:rsidRPr="00102445">
        <w:t xml:space="preserve"> before it makes a multi-year monitoring period</w:t>
      </w:r>
      <w:r w:rsidR="00753F97" w:rsidRPr="00102445">
        <w:t xml:space="preserve"> declaration</w:t>
      </w:r>
      <w:r w:rsidR="1E7F37FD" w:rsidRPr="00102445">
        <w:t>.</w:t>
      </w:r>
      <w:r w:rsidR="00C648B1" w:rsidRPr="00102445">
        <w:t xml:space="preserve"> This </w:t>
      </w:r>
      <w:r w:rsidR="007E4BC7" w:rsidRPr="00102445">
        <w:t xml:space="preserve">tightens </w:t>
      </w:r>
      <w:r w:rsidR="003C62C0" w:rsidRPr="00102445">
        <w:t xml:space="preserve">one of </w:t>
      </w:r>
      <w:r w:rsidR="007E4BC7" w:rsidRPr="00102445">
        <w:t>the requirements that must be</w:t>
      </w:r>
      <w:r w:rsidR="003C62C0" w:rsidRPr="00102445">
        <w:t xml:space="preserve"> met in order to make sucha declaration.</w:t>
      </w:r>
    </w:p>
    <w:p w14:paraId="7B4E7298" w14:textId="0D7197F2" w:rsidR="00104E2C" w:rsidRPr="00102445" w:rsidRDefault="003A2752" w:rsidP="00B656BF">
      <w:pPr>
        <w:pStyle w:val="Itemheadings"/>
        <w:rPr>
          <w:rFonts w:eastAsia="Times New Roman"/>
          <w:lang w:eastAsia="en-AU"/>
        </w:rPr>
      </w:pPr>
      <w:r w:rsidRPr="00102445">
        <w:rPr>
          <w:lang w:eastAsia="en-AU"/>
        </w:rPr>
        <w:lastRenderedPageBreak/>
        <w:t xml:space="preserve">Item </w:t>
      </w:r>
      <w:r w:rsidR="00C412A5" w:rsidRPr="00102445">
        <w:rPr>
          <w:lang w:eastAsia="en-AU"/>
        </w:rPr>
        <w:t>41</w:t>
      </w:r>
      <w:r w:rsidRPr="00102445">
        <w:rPr>
          <w:lang w:eastAsia="en-AU"/>
        </w:rPr>
        <w:t xml:space="preserve"> – After paragraph 67(2)(c)</w:t>
      </w:r>
    </w:p>
    <w:p w14:paraId="0B08C890" w14:textId="15C335FE" w:rsidR="1EAF7288" w:rsidRPr="00102445" w:rsidRDefault="1EAF7288"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Introduces</w:t>
      </w:r>
      <w:r w:rsidR="00753F97" w:rsidRPr="00102445">
        <w:rPr>
          <w:rFonts w:eastAsia="Times New Roman" w:cs="Times New Roman"/>
          <w:lang w:eastAsia="en-AU"/>
        </w:rPr>
        <w:t xml:space="preserve"> new provision (ca)</w:t>
      </w:r>
      <w:r w:rsidRPr="00102445">
        <w:rPr>
          <w:rFonts w:eastAsia="Times New Roman" w:cs="Times New Roman"/>
          <w:lang w:eastAsia="en-AU"/>
        </w:rPr>
        <w:t xml:space="preserve"> </w:t>
      </w:r>
      <w:r w:rsidR="00F05A01" w:rsidRPr="00102445">
        <w:rPr>
          <w:rFonts w:eastAsia="Times New Roman" w:cs="Times New Roman"/>
          <w:lang w:eastAsia="en-AU"/>
        </w:rPr>
        <w:t>after paragraph 67(2)(c</w:t>
      </w:r>
      <w:r w:rsidR="00917E30" w:rsidRPr="00102445">
        <w:rPr>
          <w:rFonts w:eastAsia="Times New Roman" w:cs="Times New Roman"/>
          <w:lang w:eastAsia="en-AU"/>
        </w:rPr>
        <w:t>) and</w:t>
      </w:r>
      <w:r w:rsidR="00F05A01" w:rsidRPr="00102445">
        <w:rPr>
          <w:rFonts w:eastAsia="Times New Roman" w:cs="Times New Roman"/>
          <w:lang w:eastAsia="en-AU"/>
        </w:rPr>
        <w:t xml:space="preserve"> details </w:t>
      </w:r>
      <w:r w:rsidRPr="00102445">
        <w:rPr>
          <w:rFonts w:eastAsia="Times New Roman" w:cs="Times New Roman"/>
          <w:lang w:eastAsia="en-AU"/>
        </w:rPr>
        <w:t xml:space="preserve">the requirement for the Regulator to consider </w:t>
      </w:r>
      <w:r w:rsidR="1892D855" w:rsidRPr="00102445">
        <w:rPr>
          <w:rFonts w:eastAsia="Times New Roman" w:cs="Times New Roman"/>
          <w:lang w:eastAsia="en-AU"/>
        </w:rPr>
        <w:t xml:space="preserve">whether </w:t>
      </w:r>
      <w:r w:rsidRPr="00102445">
        <w:rPr>
          <w:rFonts w:eastAsia="Times New Roman" w:cs="Times New Roman"/>
          <w:lang w:eastAsia="en-AU"/>
        </w:rPr>
        <w:t>a facility’s plan to reduce emissions</w:t>
      </w:r>
      <w:r w:rsidR="2CA9EA87" w:rsidRPr="00102445">
        <w:rPr>
          <w:rFonts w:eastAsia="Times New Roman" w:cs="Times New Roman"/>
          <w:lang w:eastAsia="en-AU"/>
        </w:rPr>
        <w:t xml:space="preserve"> is likely to be effective in reducing emissions below their baseline</w:t>
      </w:r>
      <w:r w:rsidR="16E95F2A" w:rsidRPr="00102445">
        <w:rPr>
          <w:rFonts w:eastAsia="Times New Roman" w:cs="Times New Roman"/>
          <w:lang w:eastAsia="en-AU"/>
        </w:rPr>
        <w:t xml:space="preserve"> when deciding whether to make a multi-year monitoring period declaration</w:t>
      </w:r>
      <w:r w:rsidR="037A923D" w:rsidRPr="00102445">
        <w:rPr>
          <w:rFonts w:eastAsia="Times New Roman" w:cs="Times New Roman"/>
          <w:lang w:eastAsia="en-AU"/>
        </w:rPr>
        <w:t>. This h</w:t>
      </w:r>
      <w:r w:rsidR="339184C6" w:rsidRPr="00102445">
        <w:rPr>
          <w:rFonts w:eastAsia="Times New Roman" w:cs="Times New Roman"/>
          <w:lang w:eastAsia="en-AU"/>
        </w:rPr>
        <w:t xml:space="preserve">elps to ensure multi-year monitoring periods </w:t>
      </w:r>
      <w:r w:rsidR="16BB4379" w:rsidRPr="00102445">
        <w:rPr>
          <w:rFonts w:eastAsia="Times New Roman" w:cs="Times New Roman"/>
          <w:lang w:eastAsia="en-AU"/>
        </w:rPr>
        <w:t xml:space="preserve">provide flexibility for facilities with </w:t>
      </w:r>
      <w:r w:rsidR="005C6FA0" w:rsidRPr="00102445">
        <w:rPr>
          <w:rFonts w:eastAsia="Times New Roman" w:cs="Times New Roman"/>
          <w:lang w:eastAsia="en-AU"/>
        </w:rPr>
        <w:t>d</w:t>
      </w:r>
      <w:r w:rsidR="16BB4379" w:rsidRPr="00102445">
        <w:rPr>
          <w:rFonts w:eastAsia="Times New Roman" w:cs="Times New Roman"/>
          <w:lang w:eastAsia="en-AU"/>
        </w:rPr>
        <w:t xml:space="preserve">ecarbonisation projects with long lead times, as intended. </w:t>
      </w:r>
      <w:r w:rsidR="002066B9" w:rsidRPr="00102445">
        <w:rPr>
          <w:rFonts w:eastAsia="Times New Roman" w:cs="Times New Roman"/>
          <w:lang w:eastAsia="en-AU"/>
        </w:rPr>
        <w:t xml:space="preserve">Along with section 69B, which allows the Regulator to reduce the length of a multi-year monitoring period where emissions are not being reduced, </w:t>
      </w:r>
      <w:r w:rsidR="007008FC" w:rsidRPr="00102445">
        <w:rPr>
          <w:rFonts w:eastAsia="Times New Roman" w:cs="Times New Roman"/>
          <w:lang w:eastAsia="en-AU"/>
        </w:rPr>
        <w:t>this provision</w:t>
      </w:r>
      <w:r w:rsidR="5D867581" w:rsidRPr="00102445">
        <w:rPr>
          <w:rFonts w:eastAsia="Times New Roman" w:cs="Times New Roman"/>
          <w:lang w:eastAsia="en-AU"/>
        </w:rPr>
        <w:t xml:space="preserve"> reduces the potential that multi-year monitoring periods can be used to delay the implementation of onsite abatement projects</w:t>
      </w:r>
      <w:r w:rsidR="00D006F9" w:rsidRPr="00102445">
        <w:rPr>
          <w:rFonts w:eastAsia="Times New Roman" w:cs="Times New Roman"/>
          <w:lang w:eastAsia="en-AU"/>
        </w:rPr>
        <w:t xml:space="preserve"> or </w:t>
      </w:r>
      <w:r w:rsidR="00D759B3" w:rsidRPr="00102445">
        <w:rPr>
          <w:rFonts w:eastAsia="Times New Roman" w:cs="Times New Roman"/>
          <w:lang w:eastAsia="en-AU"/>
        </w:rPr>
        <w:t xml:space="preserve">delay </w:t>
      </w:r>
      <w:r w:rsidR="007436C4" w:rsidRPr="00102445">
        <w:rPr>
          <w:rFonts w:eastAsia="Times New Roman" w:cs="Times New Roman"/>
          <w:lang w:eastAsia="en-AU"/>
        </w:rPr>
        <w:t xml:space="preserve">liability without the intention of </w:t>
      </w:r>
      <w:r w:rsidR="00791CC7" w:rsidRPr="00102445">
        <w:rPr>
          <w:rFonts w:eastAsia="Times New Roman" w:cs="Times New Roman"/>
          <w:lang w:eastAsia="en-AU"/>
        </w:rPr>
        <w:t>conducting onsite abatement</w:t>
      </w:r>
      <w:r w:rsidR="5D867581" w:rsidRPr="00102445">
        <w:rPr>
          <w:rFonts w:eastAsia="Times New Roman" w:cs="Times New Roman"/>
          <w:lang w:eastAsia="en-AU"/>
        </w:rPr>
        <w:t>.</w:t>
      </w:r>
      <w:r w:rsidR="001E755F" w:rsidRPr="00102445">
        <w:rPr>
          <w:rFonts w:eastAsia="Times New Roman" w:cs="Times New Roman"/>
          <w:lang w:eastAsia="en-AU"/>
        </w:rPr>
        <w:t xml:space="preserve"> </w:t>
      </w:r>
      <w:r w:rsidR="00DD3B03" w:rsidRPr="00102445">
        <w:rPr>
          <w:rFonts w:eastAsia="Times New Roman" w:cs="Times New Roman"/>
          <w:lang w:eastAsia="en-AU"/>
        </w:rPr>
        <w:t xml:space="preserve">Borrowing adjustments are also available to provide flexibility to facilities to </w:t>
      </w:r>
      <w:r w:rsidR="007E4CFF" w:rsidRPr="00102445">
        <w:rPr>
          <w:rFonts w:eastAsia="Times New Roman" w:cs="Times New Roman"/>
          <w:lang w:eastAsia="en-AU"/>
        </w:rPr>
        <w:t>manage their obligation to avoid an excess emissions situation.</w:t>
      </w:r>
    </w:p>
    <w:p w14:paraId="6BBD0BBB" w14:textId="7483003E" w:rsidR="00752AD0" w:rsidRPr="00102445" w:rsidRDefault="003A2752" w:rsidP="00B656BF">
      <w:pPr>
        <w:pStyle w:val="Itemheadings"/>
        <w:rPr>
          <w:lang w:eastAsia="en-AU"/>
        </w:rPr>
      </w:pPr>
      <w:r w:rsidRPr="00102445">
        <w:rPr>
          <w:lang w:eastAsia="en-AU"/>
        </w:rPr>
        <w:t xml:space="preserve">Item </w:t>
      </w:r>
      <w:r w:rsidR="00752AD0" w:rsidRPr="00102445">
        <w:rPr>
          <w:lang w:eastAsia="en-AU"/>
        </w:rPr>
        <w:t>4</w:t>
      </w:r>
      <w:r w:rsidR="00407DF4" w:rsidRPr="00102445">
        <w:rPr>
          <w:lang w:eastAsia="en-AU"/>
        </w:rPr>
        <w:t>2</w:t>
      </w:r>
      <w:r w:rsidR="00752AD0" w:rsidRPr="00102445">
        <w:rPr>
          <w:lang w:eastAsia="en-AU"/>
        </w:rPr>
        <w:t xml:space="preserve"> – </w:t>
      </w:r>
      <w:r w:rsidR="00F05A01" w:rsidRPr="00102445">
        <w:rPr>
          <w:lang w:eastAsia="en-AU"/>
        </w:rPr>
        <w:t xml:space="preserve">Subsection 67(3) </w:t>
      </w:r>
    </w:p>
    <w:p w14:paraId="0B1339B4" w14:textId="5C08FFC6" w:rsidR="006F6BB8" w:rsidRPr="00102445" w:rsidRDefault="00752AD0"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R</w:t>
      </w:r>
      <w:r w:rsidR="00F05A01" w:rsidRPr="00102445">
        <w:rPr>
          <w:rFonts w:eastAsia="Times New Roman" w:cs="Times New Roman"/>
          <w:lang w:eastAsia="en-AU"/>
        </w:rPr>
        <w:t>epeal</w:t>
      </w:r>
      <w:r w:rsidRPr="00102445">
        <w:rPr>
          <w:rFonts w:eastAsia="Times New Roman" w:cs="Times New Roman"/>
          <w:lang w:eastAsia="en-AU"/>
        </w:rPr>
        <w:t>s</w:t>
      </w:r>
      <w:r w:rsidR="002626C6" w:rsidRPr="00102445">
        <w:rPr>
          <w:rFonts w:eastAsia="Times New Roman" w:cs="Times New Roman"/>
          <w:lang w:eastAsia="en-AU"/>
        </w:rPr>
        <w:t xml:space="preserve"> the </w:t>
      </w:r>
      <w:r w:rsidR="00291CD3" w:rsidRPr="00102445">
        <w:rPr>
          <w:rFonts w:eastAsia="Times New Roman" w:cs="Times New Roman"/>
          <w:lang w:eastAsia="en-AU"/>
        </w:rPr>
        <w:t xml:space="preserve">subsection </w:t>
      </w:r>
      <w:r w:rsidR="00F05A01" w:rsidRPr="00102445">
        <w:rPr>
          <w:rFonts w:eastAsia="Times New Roman" w:cs="Times New Roman"/>
          <w:lang w:eastAsia="en-AU"/>
        </w:rPr>
        <w:t xml:space="preserve">and </w:t>
      </w:r>
      <w:r w:rsidR="00AB086A" w:rsidRPr="00102445">
        <w:rPr>
          <w:rFonts w:eastAsia="Times New Roman" w:cs="Times New Roman"/>
          <w:lang w:eastAsia="en-AU"/>
        </w:rPr>
        <w:t>replaces</w:t>
      </w:r>
      <w:r w:rsidR="00F05A01" w:rsidRPr="00102445">
        <w:rPr>
          <w:rFonts w:eastAsia="Times New Roman" w:cs="Times New Roman"/>
          <w:lang w:eastAsia="en-AU"/>
        </w:rPr>
        <w:t xml:space="preserve"> with a new subsection 67(3) r</w:t>
      </w:r>
      <w:r w:rsidR="54587DBC" w:rsidRPr="00102445">
        <w:rPr>
          <w:rFonts w:eastAsia="Times New Roman" w:cs="Times New Roman"/>
          <w:lang w:eastAsia="en-AU"/>
        </w:rPr>
        <w:t>equir</w:t>
      </w:r>
      <w:r w:rsidR="00F05A01" w:rsidRPr="00102445">
        <w:rPr>
          <w:rFonts w:eastAsia="Times New Roman" w:cs="Times New Roman"/>
          <w:lang w:eastAsia="en-AU"/>
        </w:rPr>
        <w:t>ing</w:t>
      </w:r>
      <w:r w:rsidR="54587DBC" w:rsidRPr="00102445">
        <w:rPr>
          <w:rFonts w:eastAsia="Times New Roman" w:cs="Times New Roman"/>
          <w:lang w:eastAsia="en-AU"/>
        </w:rPr>
        <w:t xml:space="preserve"> the Regulator to specify the length of a multi-year monitoring period when a declaration is made. </w:t>
      </w:r>
      <w:r w:rsidR="00F05A01" w:rsidRPr="00102445">
        <w:rPr>
          <w:rFonts w:eastAsia="Times New Roman" w:cs="Times New Roman"/>
          <w:lang w:eastAsia="en-AU"/>
        </w:rPr>
        <w:t>M</w:t>
      </w:r>
      <w:r w:rsidR="6A75F9D1" w:rsidRPr="00102445">
        <w:rPr>
          <w:rFonts w:eastAsia="Times New Roman" w:cs="Times New Roman"/>
          <w:lang w:eastAsia="en-AU"/>
        </w:rPr>
        <w:t xml:space="preserve">ulti-year monitoring periods may be granted for 2, 3, 4 or 5 financial years. Defining the length of a multi-year monitoring period at the point the declaration is made </w:t>
      </w:r>
      <w:r w:rsidR="749C53FD" w:rsidRPr="00102445">
        <w:rPr>
          <w:rFonts w:eastAsia="Times New Roman" w:cs="Times New Roman"/>
          <w:lang w:eastAsia="en-AU"/>
        </w:rPr>
        <w:t>provides certainty for facilities</w:t>
      </w:r>
      <w:r w:rsidR="00FC12EB" w:rsidRPr="00102445">
        <w:rPr>
          <w:rFonts w:eastAsia="Times New Roman" w:cs="Times New Roman"/>
          <w:lang w:eastAsia="en-AU"/>
        </w:rPr>
        <w:t xml:space="preserve"> in</w:t>
      </w:r>
      <w:r w:rsidR="00DF6C16" w:rsidRPr="00102445">
        <w:rPr>
          <w:rFonts w:eastAsia="Times New Roman" w:cs="Times New Roman"/>
          <w:lang w:eastAsia="en-AU"/>
        </w:rPr>
        <w:t xml:space="preserve"> </w:t>
      </w:r>
      <w:r w:rsidR="009F71B5" w:rsidRPr="00102445">
        <w:rPr>
          <w:rFonts w:eastAsia="Times New Roman" w:cs="Times New Roman"/>
          <w:lang w:eastAsia="en-AU"/>
        </w:rPr>
        <w:t xml:space="preserve">implementing their plan </w:t>
      </w:r>
      <w:r w:rsidR="00106897" w:rsidRPr="00102445">
        <w:rPr>
          <w:rFonts w:eastAsia="Times New Roman" w:cs="Times New Roman"/>
          <w:lang w:eastAsia="en-AU"/>
        </w:rPr>
        <w:t xml:space="preserve">to </w:t>
      </w:r>
      <w:r w:rsidR="00DF6C16" w:rsidRPr="00102445">
        <w:rPr>
          <w:rFonts w:eastAsia="Times New Roman" w:cs="Times New Roman"/>
          <w:lang w:eastAsia="en-AU"/>
        </w:rPr>
        <w:t>ensur</w:t>
      </w:r>
      <w:r w:rsidR="00106897" w:rsidRPr="00102445">
        <w:rPr>
          <w:rFonts w:eastAsia="Times New Roman" w:cs="Times New Roman"/>
          <w:lang w:eastAsia="en-AU"/>
        </w:rPr>
        <w:t>e</w:t>
      </w:r>
      <w:r w:rsidR="00DF6C16" w:rsidRPr="00102445">
        <w:rPr>
          <w:rFonts w:eastAsia="Times New Roman" w:cs="Times New Roman"/>
          <w:lang w:eastAsia="en-AU"/>
        </w:rPr>
        <w:t xml:space="preserve"> the</w:t>
      </w:r>
      <w:r w:rsidR="00835ED5" w:rsidRPr="00102445">
        <w:rPr>
          <w:rFonts w:eastAsia="Times New Roman" w:cs="Times New Roman"/>
          <w:lang w:eastAsia="en-AU"/>
        </w:rPr>
        <w:t>y</w:t>
      </w:r>
      <w:r w:rsidR="00DF6C16" w:rsidRPr="00102445">
        <w:rPr>
          <w:rFonts w:eastAsia="Times New Roman" w:cs="Times New Roman"/>
          <w:lang w:eastAsia="en-AU"/>
        </w:rPr>
        <w:t xml:space="preserve"> </w:t>
      </w:r>
      <w:r w:rsidR="0048790B" w:rsidRPr="00102445">
        <w:rPr>
          <w:rFonts w:eastAsia="Times New Roman" w:cs="Times New Roman"/>
          <w:lang w:eastAsia="en-AU"/>
        </w:rPr>
        <w:t xml:space="preserve">do not exceed their baseline. </w:t>
      </w:r>
      <w:r w:rsidR="006F6BB8" w:rsidRPr="00102445">
        <w:rPr>
          <w:rFonts w:eastAsia="Times New Roman" w:cs="Times New Roman"/>
          <w:lang w:eastAsia="en-AU"/>
        </w:rPr>
        <w:t xml:space="preserve"> </w:t>
      </w:r>
    </w:p>
    <w:p w14:paraId="1AF0BA93" w14:textId="60494457" w:rsidR="00D7124B" w:rsidRPr="00102445" w:rsidRDefault="00D7124B" w:rsidP="00B656BF">
      <w:pPr>
        <w:pStyle w:val="Itemheadings"/>
        <w:rPr>
          <w:rFonts w:eastAsia="Times New Roman"/>
          <w:lang w:eastAsia="en-AU"/>
        </w:rPr>
      </w:pPr>
      <w:r w:rsidRPr="00102445">
        <w:rPr>
          <w:lang w:eastAsia="en-AU"/>
        </w:rPr>
        <w:t>Item 4</w:t>
      </w:r>
      <w:r w:rsidR="00897CEA" w:rsidRPr="00102445">
        <w:rPr>
          <w:lang w:eastAsia="en-AU"/>
        </w:rPr>
        <w:t>3</w:t>
      </w:r>
      <w:r w:rsidRPr="00102445">
        <w:rPr>
          <w:lang w:eastAsia="en-AU"/>
        </w:rPr>
        <w:t xml:space="preserve"> – After subsection 67(3)</w:t>
      </w:r>
    </w:p>
    <w:p w14:paraId="0C989D44" w14:textId="302EBBCA" w:rsidR="00BD7009" w:rsidRPr="00102445" w:rsidRDefault="00D7124B" w:rsidP="00591A9C">
      <w:pPr>
        <w:pStyle w:val="ListParagraph"/>
        <w:numPr>
          <w:ilvl w:val="0"/>
          <w:numId w:val="2"/>
        </w:numPr>
        <w:spacing w:line="240" w:lineRule="auto"/>
        <w:ind w:left="851"/>
        <w:rPr>
          <w:rFonts w:eastAsia="Times New Roman" w:cs="Times New Roman"/>
          <w:lang w:eastAsia="en-AU"/>
        </w:rPr>
      </w:pPr>
      <w:r w:rsidRPr="00102445">
        <w:rPr>
          <w:rFonts w:eastAsia="Times New Roman" w:cs="Times New Roman"/>
          <w:lang w:eastAsia="en-AU"/>
        </w:rPr>
        <w:t>Introduces</w:t>
      </w:r>
      <w:r w:rsidR="00760AFB" w:rsidRPr="00102445">
        <w:rPr>
          <w:rFonts w:eastAsia="Times New Roman" w:cs="Times New Roman"/>
          <w:lang w:eastAsia="en-AU"/>
        </w:rPr>
        <w:t xml:space="preserve"> subsection</w:t>
      </w:r>
      <w:r w:rsidR="00F05A01" w:rsidRPr="00102445">
        <w:rPr>
          <w:rFonts w:eastAsia="Times New Roman" w:cs="Times New Roman"/>
          <w:lang w:eastAsia="en-AU"/>
        </w:rPr>
        <w:t xml:space="preserve"> </w:t>
      </w:r>
      <w:r w:rsidR="00422A6A" w:rsidRPr="00102445">
        <w:rPr>
          <w:rFonts w:eastAsia="Times New Roman" w:cs="Times New Roman"/>
          <w:lang w:eastAsia="en-AU"/>
        </w:rPr>
        <w:t>67</w:t>
      </w:r>
      <w:r w:rsidR="00F05A01" w:rsidRPr="00102445">
        <w:rPr>
          <w:rFonts w:eastAsia="Times New Roman" w:cs="Times New Roman"/>
          <w:lang w:eastAsia="en-AU"/>
        </w:rPr>
        <w:t>(3A) which p</w:t>
      </w:r>
      <w:r w:rsidR="0B29A82A" w:rsidRPr="00102445">
        <w:rPr>
          <w:rFonts w:eastAsia="Times New Roman" w:cs="Times New Roman"/>
          <w:lang w:eastAsia="en-AU"/>
        </w:rPr>
        <w:t xml:space="preserve">revents the Regulator from making </w:t>
      </w:r>
      <w:r w:rsidR="3FE44C5D" w:rsidRPr="00102445">
        <w:rPr>
          <w:rFonts w:eastAsia="Times New Roman" w:cs="Times New Roman"/>
          <w:lang w:eastAsia="en-AU"/>
        </w:rPr>
        <w:t>a</w:t>
      </w:r>
      <w:r w:rsidR="0B29A82A" w:rsidRPr="00102445">
        <w:rPr>
          <w:rFonts w:eastAsia="Times New Roman" w:cs="Times New Roman"/>
          <w:lang w:eastAsia="en-AU"/>
        </w:rPr>
        <w:t xml:space="preserve"> multi-year monitoring period declaration which has an end date later than 30 June 2030. </w:t>
      </w:r>
      <w:r w:rsidR="00A72CDB" w:rsidRPr="00102445">
        <w:rPr>
          <w:rFonts w:eastAsia="Times New Roman" w:cs="Times New Roman"/>
          <w:lang w:eastAsia="en-AU"/>
        </w:rPr>
        <w:t xml:space="preserve">This provision helps ensure Australia </w:t>
      </w:r>
      <w:r w:rsidR="00F93461" w:rsidRPr="00102445">
        <w:rPr>
          <w:rFonts w:eastAsia="Times New Roman" w:cs="Times New Roman"/>
          <w:lang w:eastAsia="en-AU"/>
        </w:rPr>
        <w:t>will</w:t>
      </w:r>
      <w:r w:rsidR="00A72CDB" w:rsidRPr="00102445">
        <w:rPr>
          <w:rFonts w:eastAsia="Times New Roman" w:cs="Times New Roman"/>
          <w:lang w:eastAsia="en-AU"/>
        </w:rPr>
        <w:t xml:space="preserve"> </w:t>
      </w:r>
      <w:r w:rsidR="002C1AA8" w:rsidRPr="00102445">
        <w:rPr>
          <w:rFonts w:eastAsia="Times New Roman" w:cs="Times New Roman"/>
          <w:lang w:eastAsia="en-AU"/>
        </w:rPr>
        <w:t xml:space="preserve">meet </w:t>
      </w:r>
      <w:r w:rsidR="00A72CDB" w:rsidRPr="00102445">
        <w:rPr>
          <w:rFonts w:eastAsia="Times New Roman" w:cs="Times New Roman"/>
          <w:lang w:eastAsia="en-AU"/>
        </w:rPr>
        <w:t xml:space="preserve">its </w:t>
      </w:r>
      <w:r w:rsidR="00F93461" w:rsidRPr="00102445">
        <w:rPr>
          <w:rFonts w:eastAsia="Times New Roman" w:cs="Times New Roman"/>
          <w:lang w:eastAsia="en-AU"/>
        </w:rPr>
        <w:t xml:space="preserve">2030 </w:t>
      </w:r>
      <w:r w:rsidR="00A72CDB" w:rsidRPr="00102445">
        <w:rPr>
          <w:rFonts w:eastAsia="Times New Roman" w:cs="Times New Roman"/>
          <w:lang w:eastAsia="en-AU"/>
        </w:rPr>
        <w:t>emissions</w:t>
      </w:r>
      <w:r w:rsidR="00F93461" w:rsidRPr="00102445">
        <w:rPr>
          <w:rFonts w:eastAsia="Times New Roman" w:cs="Times New Roman"/>
          <w:lang w:eastAsia="en-AU"/>
        </w:rPr>
        <w:t xml:space="preserve"> reduction</w:t>
      </w:r>
      <w:r w:rsidR="00A72CDB" w:rsidRPr="00102445">
        <w:rPr>
          <w:rFonts w:eastAsia="Times New Roman" w:cs="Times New Roman"/>
          <w:lang w:eastAsia="en-AU"/>
        </w:rPr>
        <w:t xml:space="preserve"> target</w:t>
      </w:r>
      <w:r w:rsidR="007269BE" w:rsidRPr="00102445">
        <w:rPr>
          <w:rFonts w:eastAsia="Times New Roman" w:cs="Times New Roman"/>
          <w:lang w:eastAsia="en-AU"/>
        </w:rPr>
        <w:t xml:space="preserve">s. </w:t>
      </w:r>
      <w:r w:rsidR="004F35F8" w:rsidRPr="00102445">
        <w:rPr>
          <w:rFonts w:eastAsia="Times New Roman" w:cs="Times New Roman"/>
          <w:lang w:eastAsia="en-AU"/>
        </w:rPr>
        <w:t>It</w:t>
      </w:r>
      <w:r w:rsidR="003F146A" w:rsidRPr="00102445">
        <w:rPr>
          <w:rFonts w:eastAsia="Times New Roman" w:cs="Times New Roman"/>
          <w:lang w:eastAsia="en-AU"/>
        </w:rPr>
        <w:t xml:space="preserve"> </w:t>
      </w:r>
      <w:r w:rsidR="00E87750" w:rsidRPr="00102445">
        <w:rPr>
          <w:rFonts w:eastAsia="Times New Roman" w:cs="Times New Roman"/>
          <w:lang w:eastAsia="en-AU"/>
        </w:rPr>
        <w:t>prevent</w:t>
      </w:r>
      <w:r w:rsidR="003F146A" w:rsidRPr="00102445">
        <w:rPr>
          <w:rFonts w:eastAsia="Times New Roman" w:cs="Times New Roman"/>
          <w:lang w:eastAsia="en-AU"/>
        </w:rPr>
        <w:t>s</w:t>
      </w:r>
      <w:r w:rsidR="00E87750" w:rsidRPr="00102445">
        <w:rPr>
          <w:rFonts w:eastAsia="Times New Roman" w:cs="Times New Roman"/>
          <w:lang w:eastAsia="en-AU"/>
        </w:rPr>
        <w:t xml:space="preserve"> </w:t>
      </w:r>
      <w:r w:rsidR="00496873" w:rsidRPr="00102445">
        <w:rPr>
          <w:rFonts w:eastAsia="Times New Roman" w:cs="Times New Roman"/>
          <w:lang w:eastAsia="en-AU"/>
        </w:rPr>
        <w:t xml:space="preserve">a situation where a facility </w:t>
      </w:r>
      <w:r w:rsidR="00B20DF4" w:rsidRPr="00102445">
        <w:rPr>
          <w:rFonts w:eastAsia="Times New Roman" w:cs="Times New Roman"/>
          <w:lang w:eastAsia="en-AU"/>
        </w:rPr>
        <w:t xml:space="preserve">with a multi-year monitoring period declaration </w:t>
      </w:r>
      <w:r w:rsidR="00A973DD" w:rsidRPr="00102445">
        <w:rPr>
          <w:rFonts w:eastAsia="Times New Roman" w:cs="Times New Roman"/>
          <w:lang w:eastAsia="en-AU"/>
        </w:rPr>
        <w:t xml:space="preserve">has </w:t>
      </w:r>
      <w:r w:rsidR="001418B4" w:rsidRPr="00102445">
        <w:rPr>
          <w:rFonts w:eastAsia="Times New Roman" w:cs="Times New Roman"/>
          <w:lang w:eastAsia="en-AU"/>
        </w:rPr>
        <w:t>been in exceedance</w:t>
      </w:r>
      <w:r w:rsidR="001E0042" w:rsidRPr="00102445">
        <w:rPr>
          <w:rFonts w:eastAsia="Times New Roman" w:cs="Times New Roman"/>
          <w:lang w:eastAsia="en-AU"/>
        </w:rPr>
        <w:t xml:space="preserve"> on an annual basis </w:t>
      </w:r>
      <w:r w:rsidR="00B20DF4" w:rsidRPr="00102445">
        <w:rPr>
          <w:rFonts w:eastAsia="Times New Roman" w:cs="Times New Roman"/>
          <w:lang w:eastAsia="en-AU"/>
        </w:rPr>
        <w:t>but has not</w:t>
      </w:r>
      <w:r w:rsidR="001418B4" w:rsidRPr="00102445">
        <w:rPr>
          <w:rFonts w:eastAsia="Times New Roman" w:cs="Times New Roman"/>
          <w:lang w:eastAsia="en-AU"/>
        </w:rPr>
        <w:t xml:space="preserve"> </w:t>
      </w:r>
      <w:r w:rsidR="00B20DF4" w:rsidRPr="00102445">
        <w:rPr>
          <w:rFonts w:eastAsia="Times New Roman" w:cs="Times New Roman"/>
          <w:lang w:eastAsia="en-AU"/>
        </w:rPr>
        <w:t xml:space="preserve">yet </w:t>
      </w:r>
      <w:r w:rsidR="00807E31" w:rsidRPr="00102445">
        <w:rPr>
          <w:rFonts w:eastAsia="Times New Roman" w:cs="Times New Roman"/>
          <w:lang w:eastAsia="en-AU"/>
        </w:rPr>
        <w:t>‘trued up’</w:t>
      </w:r>
      <w:r w:rsidR="006013C1" w:rsidRPr="00102445">
        <w:rPr>
          <w:rFonts w:eastAsia="Times New Roman" w:cs="Times New Roman"/>
          <w:lang w:eastAsia="en-AU"/>
        </w:rPr>
        <w:t xml:space="preserve"> its net emissions</w:t>
      </w:r>
      <w:r w:rsidR="00807E31" w:rsidRPr="00102445">
        <w:rPr>
          <w:rFonts w:eastAsia="Times New Roman" w:cs="Times New Roman"/>
          <w:lang w:eastAsia="en-AU"/>
        </w:rPr>
        <w:t xml:space="preserve"> </w:t>
      </w:r>
      <w:r w:rsidR="0026134B" w:rsidRPr="00102445">
        <w:rPr>
          <w:rFonts w:eastAsia="Times New Roman" w:cs="Times New Roman"/>
          <w:lang w:eastAsia="en-AU"/>
        </w:rPr>
        <w:t>(</w:t>
      </w:r>
      <w:r w:rsidR="003E0321" w:rsidRPr="00102445">
        <w:rPr>
          <w:rFonts w:eastAsia="Times New Roman" w:cs="Times New Roman"/>
          <w:lang w:eastAsia="en-AU"/>
        </w:rPr>
        <w:t xml:space="preserve">for example through </w:t>
      </w:r>
      <w:r w:rsidR="00F04ACA" w:rsidRPr="00102445">
        <w:rPr>
          <w:rFonts w:eastAsia="Times New Roman" w:cs="Times New Roman"/>
          <w:lang w:eastAsia="en-AU"/>
        </w:rPr>
        <w:t xml:space="preserve">implementation of </w:t>
      </w:r>
      <w:r w:rsidR="00104BF8" w:rsidRPr="00102445">
        <w:rPr>
          <w:rFonts w:eastAsia="Times New Roman" w:cs="Times New Roman"/>
          <w:lang w:eastAsia="en-AU"/>
        </w:rPr>
        <w:t>low emissions technology which will bring its emissions below its baseline)</w:t>
      </w:r>
      <w:r w:rsidR="006013C1" w:rsidRPr="00102445">
        <w:rPr>
          <w:rFonts w:eastAsia="Times New Roman" w:cs="Times New Roman"/>
          <w:lang w:eastAsia="en-AU"/>
        </w:rPr>
        <w:t xml:space="preserve">. </w:t>
      </w:r>
      <w:r w:rsidR="00765AC3" w:rsidRPr="00102445">
        <w:rPr>
          <w:rFonts w:eastAsia="Times New Roman" w:cs="Times New Roman"/>
          <w:lang w:eastAsia="en-AU"/>
        </w:rPr>
        <w:t>In this scenario t</w:t>
      </w:r>
      <w:r w:rsidR="006013C1" w:rsidRPr="00102445">
        <w:rPr>
          <w:rFonts w:eastAsia="Times New Roman" w:cs="Times New Roman"/>
          <w:lang w:eastAsia="en-AU"/>
        </w:rPr>
        <w:t xml:space="preserve">he </w:t>
      </w:r>
      <w:r w:rsidR="005835D3" w:rsidRPr="00102445">
        <w:rPr>
          <w:rFonts w:eastAsia="Times New Roman" w:cs="Times New Roman"/>
          <w:lang w:eastAsia="en-AU"/>
        </w:rPr>
        <w:t xml:space="preserve">excess </w:t>
      </w:r>
      <w:r w:rsidR="006013C1" w:rsidRPr="00102445">
        <w:rPr>
          <w:rFonts w:eastAsia="Times New Roman" w:cs="Times New Roman"/>
          <w:lang w:eastAsia="en-AU"/>
        </w:rPr>
        <w:t xml:space="preserve">emissions </w:t>
      </w:r>
      <w:r w:rsidR="00765AC3" w:rsidRPr="00102445">
        <w:rPr>
          <w:rFonts w:eastAsia="Times New Roman" w:cs="Times New Roman"/>
          <w:lang w:eastAsia="en-AU"/>
        </w:rPr>
        <w:t xml:space="preserve">would </w:t>
      </w:r>
      <w:r w:rsidR="004B20ED" w:rsidRPr="00102445">
        <w:rPr>
          <w:rFonts w:eastAsia="Times New Roman" w:cs="Times New Roman"/>
          <w:lang w:eastAsia="en-AU"/>
        </w:rPr>
        <w:t xml:space="preserve">not be accounted for in </w:t>
      </w:r>
      <w:r w:rsidR="00D2474B" w:rsidRPr="00102445">
        <w:rPr>
          <w:rFonts w:eastAsia="Times New Roman" w:cs="Times New Roman"/>
          <w:lang w:eastAsia="en-AU"/>
        </w:rPr>
        <w:t xml:space="preserve">the year 2030 and may </w:t>
      </w:r>
      <w:r w:rsidR="00170525" w:rsidRPr="00102445">
        <w:rPr>
          <w:rFonts w:eastAsia="Times New Roman" w:cs="Times New Roman"/>
          <w:lang w:eastAsia="en-AU"/>
        </w:rPr>
        <w:t>pose a risk to Australia meeting its national targets.</w:t>
      </w:r>
      <w:r w:rsidR="0B29A82A" w:rsidRPr="00102445">
        <w:rPr>
          <w:rFonts w:eastAsia="Times New Roman" w:cs="Times New Roman"/>
          <w:lang w:eastAsia="en-AU"/>
        </w:rPr>
        <w:t xml:space="preserve"> </w:t>
      </w:r>
      <w:r w:rsidR="00307006" w:rsidRPr="00102445">
        <w:rPr>
          <w:rFonts w:eastAsia="Times New Roman" w:cs="Times New Roman"/>
          <w:lang w:eastAsia="en-AU"/>
        </w:rPr>
        <w:t>T</w:t>
      </w:r>
      <w:r w:rsidR="00F05A01" w:rsidRPr="00102445">
        <w:rPr>
          <w:rFonts w:eastAsia="Times New Roman" w:cs="Times New Roman"/>
          <w:lang w:eastAsia="en-AU"/>
        </w:rPr>
        <w:t>he 2026-27 review of the Safeguard Mechanism</w:t>
      </w:r>
      <w:r w:rsidR="00307006" w:rsidRPr="00102445">
        <w:rPr>
          <w:rFonts w:eastAsia="Times New Roman" w:cs="Times New Roman"/>
          <w:lang w:eastAsia="en-AU"/>
        </w:rPr>
        <w:t xml:space="preserve"> will consider </w:t>
      </w:r>
      <w:r w:rsidR="0001376F" w:rsidRPr="00102445">
        <w:rPr>
          <w:rFonts w:eastAsia="Times New Roman" w:cs="Times New Roman"/>
          <w:lang w:eastAsia="en-AU"/>
        </w:rPr>
        <w:t>the treatment of flexibility mechanisms beyond 2030, such as banking and borrowing and multi-year monitoring periods</w:t>
      </w:r>
      <w:r w:rsidR="00F05A01" w:rsidRPr="00102445">
        <w:rPr>
          <w:rFonts w:eastAsia="Times New Roman" w:cs="Times New Roman"/>
          <w:lang w:eastAsia="en-AU"/>
        </w:rPr>
        <w:t>.</w:t>
      </w:r>
      <w:r w:rsidR="00AA2EB1" w:rsidRPr="00102445">
        <w:rPr>
          <w:rFonts w:eastAsia="Times New Roman" w:cs="Times New Roman"/>
          <w:lang w:eastAsia="en-AU"/>
        </w:rPr>
        <w:t xml:space="preserve"> </w:t>
      </w:r>
    </w:p>
    <w:p w14:paraId="524CB7DD" w14:textId="0BE6F892" w:rsidR="00E36357" w:rsidRPr="00102445" w:rsidRDefault="00E36357" w:rsidP="00B656BF">
      <w:pPr>
        <w:pStyle w:val="Itemheadings"/>
        <w:rPr>
          <w:lang w:eastAsia="en-AU"/>
        </w:rPr>
      </w:pPr>
      <w:r w:rsidRPr="00102445">
        <w:rPr>
          <w:lang w:eastAsia="en-AU"/>
        </w:rPr>
        <w:t xml:space="preserve">Item </w:t>
      </w:r>
      <w:r w:rsidR="00DB771F" w:rsidRPr="00102445">
        <w:rPr>
          <w:lang w:eastAsia="en-AU"/>
        </w:rPr>
        <w:t>4</w:t>
      </w:r>
      <w:r w:rsidR="00897CEA" w:rsidRPr="00102445">
        <w:rPr>
          <w:lang w:eastAsia="en-AU"/>
        </w:rPr>
        <w:t>4</w:t>
      </w:r>
      <w:r w:rsidR="00DB771F" w:rsidRPr="00102445">
        <w:rPr>
          <w:lang w:eastAsia="en-AU"/>
        </w:rPr>
        <w:t xml:space="preserve"> – </w:t>
      </w:r>
      <w:r w:rsidR="002626E1" w:rsidRPr="00102445">
        <w:rPr>
          <w:lang w:eastAsia="en-AU"/>
        </w:rPr>
        <w:t xml:space="preserve">Subsection 67(4) </w:t>
      </w:r>
    </w:p>
    <w:p w14:paraId="26670BC2" w14:textId="7ED0D977" w:rsidR="00086BAA" w:rsidRPr="00102445" w:rsidRDefault="00DB771F"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R</w:t>
      </w:r>
      <w:r w:rsidR="002626E1" w:rsidRPr="00102445">
        <w:rPr>
          <w:rFonts w:eastAsia="Times New Roman" w:cs="Times New Roman"/>
          <w:lang w:eastAsia="en-AU"/>
        </w:rPr>
        <w:t>epeal</w:t>
      </w:r>
      <w:r w:rsidR="00CD26C8" w:rsidRPr="00102445">
        <w:rPr>
          <w:rFonts w:eastAsia="Times New Roman" w:cs="Times New Roman"/>
          <w:lang w:eastAsia="en-AU"/>
        </w:rPr>
        <w:t>s the subsection</w:t>
      </w:r>
      <w:r w:rsidR="002626E1" w:rsidRPr="00102445">
        <w:rPr>
          <w:rFonts w:eastAsia="Times New Roman" w:cs="Times New Roman"/>
          <w:lang w:eastAsia="en-AU"/>
        </w:rPr>
        <w:t xml:space="preserve"> and </w:t>
      </w:r>
      <w:r w:rsidR="00CD26C8" w:rsidRPr="00102445">
        <w:rPr>
          <w:rFonts w:eastAsia="Times New Roman" w:cs="Times New Roman"/>
          <w:lang w:eastAsia="en-AU"/>
        </w:rPr>
        <w:t xml:space="preserve">replaces it </w:t>
      </w:r>
      <w:r w:rsidR="001A0370" w:rsidRPr="00102445">
        <w:rPr>
          <w:rFonts w:eastAsia="Times New Roman" w:cs="Times New Roman"/>
          <w:lang w:eastAsia="en-AU"/>
        </w:rPr>
        <w:t>with a new subsection 67(4)</w:t>
      </w:r>
      <w:r w:rsidR="00E21379" w:rsidRPr="00102445">
        <w:rPr>
          <w:rFonts w:eastAsia="Times New Roman" w:cs="Times New Roman"/>
          <w:lang w:eastAsia="en-AU"/>
        </w:rPr>
        <w:t>. It</w:t>
      </w:r>
      <w:r w:rsidR="004503A2" w:rsidRPr="00102445" w:rsidDel="002B547B">
        <w:rPr>
          <w:rFonts w:eastAsia="Times New Roman" w:cs="Times New Roman"/>
          <w:lang w:eastAsia="en-AU"/>
        </w:rPr>
        <w:t xml:space="preserve"> </w:t>
      </w:r>
      <w:r w:rsidR="002B547B" w:rsidRPr="00102445">
        <w:rPr>
          <w:rFonts w:eastAsia="Times New Roman" w:cs="Times New Roman"/>
          <w:lang w:eastAsia="en-AU"/>
        </w:rPr>
        <w:t>specifies that</w:t>
      </w:r>
      <w:r w:rsidR="004503A2" w:rsidRPr="00102445">
        <w:rPr>
          <w:rFonts w:eastAsia="Times New Roman" w:cs="Times New Roman"/>
          <w:lang w:eastAsia="en-AU"/>
        </w:rPr>
        <w:t xml:space="preserve"> the </w:t>
      </w:r>
      <w:r w:rsidR="007D191D" w:rsidRPr="00102445">
        <w:rPr>
          <w:rFonts w:eastAsia="Times New Roman" w:cs="Times New Roman"/>
          <w:lang w:eastAsia="en-AU"/>
        </w:rPr>
        <w:t>Regulator is to take all reasonable steps to ensur</w:t>
      </w:r>
      <w:r w:rsidR="001F5A22" w:rsidRPr="00102445">
        <w:rPr>
          <w:rFonts w:eastAsia="Times New Roman" w:cs="Times New Roman"/>
          <w:lang w:eastAsia="en-AU"/>
        </w:rPr>
        <w:t>e a decision on</w:t>
      </w:r>
      <w:r w:rsidR="009446D2" w:rsidRPr="00102445">
        <w:rPr>
          <w:rFonts w:eastAsia="Times New Roman" w:cs="Times New Roman"/>
          <w:lang w:eastAsia="en-AU"/>
        </w:rPr>
        <w:t xml:space="preserve"> a</w:t>
      </w:r>
      <w:r w:rsidR="003748D0" w:rsidRPr="00102445">
        <w:rPr>
          <w:rFonts w:eastAsia="Times New Roman" w:cs="Times New Roman"/>
          <w:lang w:eastAsia="en-AU"/>
        </w:rPr>
        <w:t xml:space="preserve">n application for </w:t>
      </w:r>
      <w:r w:rsidR="00065DC1" w:rsidRPr="00102445">
        <w:rPr>
          <w:rFonts w:eastAsia="Times New Roman" w:cs="Times New Roman"/>
          <w:lang w:eastAsia="en-AU"/>
        </w:rPr>
        <w:t>a multi</w:t>
      </w:r>
      <w:r w:rsidR="009446D2" w:rsidRPr="00102445">
        <w:rPr>
          <w:rFonts w:eastAsia="Times New Roman" w:cs="Times New Roman"/>
          <w:lang w:eastAsia="en-AU"/>
        </w:rPr>
        <w:t xml:space="preserve">-year monitoring </w:t>
      </w:r>
      <w:r w:rsidR="003748D0" w:rsidRPr="00102445">
        <w:rPr>
          <w:rFonts w:eastAsia="Times New Roman" w:cs="Times New Roman"/>
          <w:lang w:eastAsia="en-AU"/>
        </w:rPr>
        <w:t xml:space="preserve">period </w:t>
      </w:r>
      <w:r w:rsidR="009446D2" w:rsidRPr="00102445">
        <w:rPr>
          <w:rFonts w:eastAsia="Times New Roman" w:cs="Times New Roman"/>
          <w:lang w:eastAsia="en-AU"/>
        </w:rPr>
        <w:t>is</w:t>
      </w:r>
      <w:r w:rsidR="001F5A22" w:rsidRPr="00102445">
        <w:rPr>
          <w:rFonts w:eastAsia="Times New Roman" w:cs="Times New Roman"/>
          <w:lang w:eastAsia="en-AU"/>
        </w:rPr>
        <w:t xml:space="preserve"> made no later than 31 January after the </w:t>
      </w:r>
      <w:r w:rsidR="00E56B21" w:rsidRPr="00102445">
        <w:rPr>
          <w:rFonts w:eastAsia="Times New Roman" w:cs="Times New Roman"/>
          <w:lang w:eastAsia="en-AU"/>
        </w:rPr>
        <w:t xml:space="preserve">end of the proposed </w:t>
      </w:r>
      <w:r w:rsidR="00905592" w:rsidRPr="00102445">
        <w:rPr>
          <w:rFonts w:eastAsia="Times New Roman" w:cs="Times New Roman"/>
          <w:lang w:eastAsia="en-AU"/>
        </w:rPr>
        <w:t xml:space="preserve">first </w:t>
      </w:r>
      <w:r w:rsidR="00E56B21" w:rsidRPr="00102445">
        <w:rPr>
          <w:rFonts w:eastAsia="Times New Roman" w:cs="Times New Roman"/>
          <w:lang w:eastAsia="en-AU"/>
        </w:rPr>
        <w:t>financial year</w:t>
      </w:r>
      <w:r w:rsidR="00905592" w:rsidRPr="00102445">
        <w:rPr>
          <w:rFonts w:eastAsia="Times New Roman" w:cs="Times New Roman"/>
          <w:lang w:eastAsia="en-AU"/>
        </w:rPr>
        <w:t xml:space="preserve"> of the declared mul</w:t>
      </w:r>
      <w:r w:rsidR="00E07DF7" w:rsidRPr="00102445">
        <w:rPr>
          <w:rFonts w:eastAsia="Times New Roman" w:cs="Times New Roman"/>
          <w:lang w:eastAsia="en-AU"/>
        </w:rPr>
        <w:t>ti</w:t>
      </w:r>
      <w:r w:rsidR="00905592" w:rsidRPr="00102445">
        <w:rPr>
          <w:rFonts w:eastAsia="Times New Roman" w:cs="Times New Roman"/>
          <w:lang w:eastAsia="en-AU"/>
        </w:rPr>
        <w:t xml:space="preserve">-year period; and </w:t>
      </w:r>
      <w:r w:rsidR="009D244C" w:rsidRPr="00102445">
        <w:rPr>
          <w:rFonts w:eastAsia="Times New Roman" w:cs="Times New Roman"/>
          <w:lang w:eastAsia="en-AU"/>
        </w:rPr>
        <w:t>allows the</w:t>
      </w:r>
      <w:r w:rsidR="00BE2E13" w:rsidRPr="00102445">
        <w:rPr>
          <w:rFonts w:eastAsia="Times New Roman" w:cs="Times New Roman"/>
          <w:lang w:eastAsia="en-AU"/>
        </w:rPr>
        <w:t xml:space="preserve"> Regulator to request further information </w:t>
      </w:r>
      <w:r w:rsidR="00050353" w:rsidRPr="00102445">
        <w:rPr>
          <w:rFonts w:eastAsia="Times New Roman" w:cs="Times New Roman"/>
          <w:lang w:eastAsia="en-AU"/>
        </w:rPr>
        <w:t xml:space="preserve">up </w:t>
      </w:r>
      <w:r w:rsidR="00CA4F2F" w:rsidRPr="00102445">
        <w:rPr>
          <w:rFonts w:eastAsia="Times New Roman" w:cs="Times New Roman"/>
          <w:lang w:eastAsia="en-AU"/>
        </w:rPr>
        <w:t xml:space="preserve">to </w:t>
      </w:r>
      <w:r w:rsidR="00E8553E" w:rsidRPr="00102445">
        <w:rPr>
          <w:rFonts w:eastAsia="Times New Roman" w:cs="Times New Roman"/>
          <w:lang w:eastAsia="en-AU"/>
        </w:rPr>
        <w:t xml:space="preserve">60 days after the applicant </w:t>
      </w:r>
      <w:r w:rsidR="006E0E06" w:rsidRPr="00102445">
        <w:rPr>
          <w:rFonts w:eastAsia="Times New Roman" w:cs="Times New Roman"/>
          <w:lang w:eastAsia="en-AU"/>
        </w:rPr>
        <w:t xml:space="preserve">gave the Regulator the information. </w:t>
      </w:r>
      <w:r w:rsidR="005608BB" w:rsidRPr="00102445">
        <w:rPr>
          <w:rFonts w:eastAsia="Times New Roman" w:cs="Times New Roman"/>
          <w:lang w:eastAsia="en-AU"/>
        </w:rPr>
        <w:t xml:space="preserve">This provision aligns </w:t>
      </w:r>
      <w:r w:rsidR="00973BA2" w:rsidRPr="00102445">
        <w:rPr>
          <w:rFonts w:eastAsia="Times New Roman" w:cs="Times New Roman"/>
          <w:lang w:eastAsia="en-AU"/>
        </w:rPr>
        <w:t>these decisions with the date that most SMCs will be issued.</w:t>
      </w:r>
    </w:p>
    <w:p w14:paraId="3D6E185D" w14:textId="36DAB7C1" w:rsidR="002B547B" w:rsidRPr="00102445" w:rsidRDefault="002B547B" w:rsidP="00B656BF">
      <w:pPr>
        <w:pStyle w:val="Itemheadings"/>
        <w:rPr>
          <w:lang w:eastAsia="en-AU"/>
        </w:rPr>
      </w:pPr>
      <w:bookmarkStart w:id="11" w:name="_Hlk133497483"/>
      <w:r w:rsidRPr="00102445">
        <w:rPr>
          <w:lang w:eastAsia="en-AU"/>
        </w:rPr>
        <w:t>Item 4</w:t>
      </w:r>
      <w:r w:rsidR="00897CEA" w:rsidRPr="00102445">
        <w:rPr>
          <w:lang w:eastAsia="en-AU"/>
        </w:rPr>
        <w:t>5</w:t>
      </w:r>
      <w:r w:rsidRPr="00102445">
        <w:rPr>
          <w:lang w:eastAsia="en-AU"/>
        </w:rPr>
        <w:t xml:space="preserve"> – </w:t>
      </w:r>
      <w:r w:rsidR="00512AF5" w:rsidRPr="00102445">
        <w:rPr>
          <w:lang w:eastAsia="en-AU"/>
        </w:rPr>
        <w:t>Subsection</w:t>
      </w:r>
      <w:r w:rsidR="00833B87" w:rsidRPr="00102445">
        <w:rPr>
          <w:lang w:eastAsia="en-AU"/>
        </w:rPr>
        <w:t xml:space="preserve"> 68(1) </w:t>
      </w:r>
    </w:p>
    <w:bookmarkEnd w:id="11"/>
    <w:p w14:paraId="29CFA345" w14:textId="398D0904" w:rsidR="003C302B" w:rsidRPr="00102445" w:rsidRDefault="002B547B"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R</w:t>
      </w:r>
      <w:r w:rsidR="00833B87" w:rsidRPr="00102445">
        <w:rPr>
          <w:rFonts w:eastAsia="Times New Roman" w:cs="Times New Roman"/>
          <w:lang w:eastAsia="en-AU"/>
        </w:rPr>
        <w:t>epeal</w:t>
      </w:r>
      <w:r w:rsidRPr="00102445">
        <w:rPr>
          <w:rFonts w:eastAsia="Times New Roman" w:cs="Times New Roman"/>
          <w:lang w:eastAsia="en-AU"/>
        </w:rPr>
        <w:t>s</w:t>
      </w:r>
      <w:r w:rsidR="00833B87" w:rsidRPr="00102445">
        <w:rPr>
          <w:rFonts w:eastAsia="Times New Roman" w:cs="Times New Roman"/>
          <w:lang w:eastAsia="en-AU"/>
        </w:rPr>
        <w:t xml:space="preserve"> </w:t>
      </w:r>
      <w:r w:rsidRPr="00102445">
        <w:rPr>
          <w:rFonts w:eastAsia="Times New Roman" w:cs="Times New Roman"/>
          <w:lang w:eastAsia="en-AU"/>
        </w:rPr>
        <w:t xml:space="preserve">the subsection </w:t>
      </w:r>
      <w:r w:rsidR="00833B87" w:rsidRPr="00102445">
        <w:rPr>
          <w:rFonts w:eastAsia="Times New Roman" w:cs="Times New Roman"/>
          <w:lang w:eastAsia="en-AU"/>
        </w:rPr>
        <w:t>an</w:t>
      </w:r>
      <w:r w:rsidR="004F54FA" w:rsidRPr="00102445">
        <w:rPr>
          <w:rFonts w:eastAsia="Times New Roman" w:cs="Times New Roman"/>
          <w:lang w:eastAsia="en-AU"/>
        </w:rPr>
        <w:t xml:space="preserve">d </w:t>
      </w:r>
      <w:r w:rsidRPr="00102445">
        <w:rPr>
          <w:rFonts w:eastAsia="Times New Roman" w:cs="Times New Roman"/>
          <w:lang w:eastAsia="en-AU"/>
        </w:rPr>
        <w:t>replaces</w:t>
      </w:r>
      <w:r w:rsidR="004F54FA" w:rsidRPr="00102445">
        <w:rPr>
          <w:rFonts w:eastAsia="Times New Roman" w:cs="Times New Roman"/>
          <w:lang w:eastAsia="en-AU"/>
        </w:rPr>
        <w:t xml:space="preserve"> with a new subsection 68(1). </w:t>
      </w:r>
      <w:r w:rsidR="00102E78" w:rsidRPr="00102445">
        <w:rPr>
          <w:rFonts w:eastAsia="Times New Roman" w:cs="Times New Roman"/>
          <w:lang w:eastAsia="en-AU"/>
        </w:rPr>
        <w:t>T</w:t>
      </w:r>
      <w:r w:rsidR="00F37E10" w:rsidRPr="00102445">
        <w:rPr>
          <w:rFonts w:eastAsia="Times New Roman" w:cs="Times New Roman"/>
          <w:lang w:eastAsia="en-AU"/>
        </w:rPr>
        <w:t>he responsible emitter may apply to the Regulator to reduce the length of the declared mult</w:t>
      </w:r>
      <w:r w:rsidR="00A4643E" w:rsidRPr="00102445">
        <w:rPr>
          <w:rFonts w:eastAsia="Times New Roman" w:cs="Times New Roman"/>
          <w:lang w:eastAsia="en-AU"/>
        </w:rPr>
        <w:t>i</w:t>
      </w:r>
      <w:r w:rsidR="00F37E10" w:rsidRPr="00102445">
        <w:rPr>
          <w:rFonts w:eastAsia="Times New Roman" w:cs="Times New Roman"/>
          <w:lang w:eastAsia="en-AU"/>
        </w:rPr>
        <w:t>-year period</w:t>
      </w:r>
      <w:r w:rsidR="00B36A1C" w:rsidRPr="00102445">
        <w:rPr>
          <w:rFonts w:eastAsia="Times New Roman" w:cs="Times New Roman"/>
          <w:lang w:eastAsia="en-AU"/>
        </w:rPr>
        <w:t xml:space="preserve"> </w:t>
      </w:r>
      <w:r w:rsidR="007A1943" w:rsidRPr="00102445">
        <w:rPr>
          <w:rFonts w:eastAsia="Times New Roman" w:cs="Times New Roman"/>
          <w:lang w:eastAsia="en-AU"/>
        </w:rPr>
        <w:t>in a mult</w:t>
      </w:r>
      <w:r w:rsidR="00A40ED5" w:rsidRPr="00102445">
        <w:rPr>
          <w:rFonts w:eastAsia="Times New Roman" w:cs="Times New Roman"/>
          <w:lang w:eastAsia="en-AU"/>
        </w:rPr>
        <w:t>i</w:t>
      </w:r>
      <w:r w:rsidR="007A1943" w:rsidRPr="00102445">
        <w:rPr>
          <w:rFonts w:eastAsia="Times New Roman" w:cs="Times New Roman"/>
          <w:lang w:eastAsia="en-AU"/>
        </w:rPr>
        <w:t>-yea</w:t>
      </w:r>
      <w:r w:rsidR="00291789" w:rsidRPr="00102445">
        <w:rPr>
          <w:rFonts w:eastAsia="Times New Roman" w:cs="Times New Roman"/>
          <w:lang w:eastAsia="en-AU"/>
        </w:rPr>
        <w:t>r</w:t>
      </w:r>
      <w:r w:rsidR="007A1943" w:rsidRPr="00102445">
        <w:rPr>
          <w:rFonts w:eastAsia="Times New Roman" w:cs="Times New Roman"/>
          <w:lang w:eastAsia="en-AU"/>
        </w:rPr>
        <w:t xml:space="preserve"> period de</w:t>
      </w:r>
      <w:r w:rsidR="00291789" w:rsidRPr="00102445">
        <w:rPr>
          <w:rFonts w:eastAsia="Times New Roman" w:cs="Times New Roman"/>
          <w:lang w:eastAsia="en-AU"/>
        </w:rPr>
        <w:t xml:space="preserve">claration by </w:t>
      </w:r>
      <w:r w:rsidR="00146A7D" w:rsidRPr="00102445">
        <w:rPr>
          <w:rFonts w:eastAsia="Times New Roman" w:cs="Times New Roman"/>
          <w:lang w:eastAsia="en-AU"/>
        </w:rPr>
        <w:t>one</w:t>
      </w:r>
      <w:r w:rsidR="00291789" w:rsidRPr="00102445">
        <w:rPr>
          <w:rFonts w:eastAsia="Times New Roman" w:cs="Times New Roman"/>
          <w:lang w:eastAsia="en-AU"/>
        </w:rPr>
        <w:t xml:space="preserve"> or more years, down to a minimum of </w:t>
      </w:r>
      <w:r w:rsidR="00146A7D" w:rsidRPr="00102445">
        <w:rPr>
          <w:rFonts w:eastAsia="Times New Roman" w:cs="Times New Roman"/>
          <w:lang w:eastAsia="en-AU"/>
        </w:rPr>
        <w:t>two years.</w:t>
      </w:r>
      <w:r w:rsidR="004C764D" w:rsidRPr="00102445">
        <w:rPr>
          <w:rFonts w:eastAsia="Times New Roman" w:cs="Times New Roman"/>
          <w:lang w:eastAsia="en-AU"/>
        </w:rPr>
        <w:t xml:space="preserve"> Similarly</w:t>
      </w:r>
      <w:r w:rsidR="00260E34" w:rsidRPr="00102445">
        <w:rPr>
          <w:rFonts w:eastAsia="Times New Roman" w:cs="Times New Roman"/>
          <w:lang w:eastAsia="en-AU"/>
        </w:rPr>
        <w:t xml:space="preserve">, </w:t>
      </w:r>
      <w:r w:rsidR="003C302B" w:rsidRPr="00102445">
        <w:rPr>
          <w:rFonts w:eastAsia="Times New Roman" w:cs="Times New Roman"/>
          <w:lang w:eastAsia="en-AU"/>
        </w:rPr>
        <w:t xml:space="preserve">a facility may apply to the Regulator to extend the length of a declared multi-year period in a multi-year </w:t>
      </w:r>
      <w:r w:rsidR="003C302B" w:rsidRPr="00102445">
        <w:rPr>
          <w:rFonts w:eastAsia="Times New Roman" w:cs="Times New Roman"/>
          <w:lang w:eastAsia="en-AU"/>
        </w:rPr>
        <w:lastRenderedPageBreak/>
        <w:t>period declaration</w:t>
      </w:r>
      <w:r w:rsidR="00233362" w:rsidRPr="00102445">
        <w:rPr>
          <w:rFonts w:eastAsia="Times New Roman" w:cs="Times New Roman"/>
          <w:lang w:eastAsia="en-AU"/>
        </w:rPr>
        <w:t xml:space="preserve"> by one or more years, up to a maximum of five years</w:t>
      </w:r>
      <w:r w:rsidR="001E6CF7" w:rsidRPr="00102445">
        <w:rPr>
          <w:rFonts w:eastAsia="Times New Roman" w:cs="Times New Roman"/>
          <w:lang w:eastAsia="en-AU"/>
        </w:rPr>
        <w:t>.</w:t>
      </w:r>
      <w:r w:rsidR="00F91C2A" w:rsidRPr="00102445">
        <w:rPr>
          <w:rFonts w:eastAsia="Times New Roman" w:cs="Times New Roman"/>
          <w:lang w:eastAsia="en-AU"/>
        </w:rPr>
        <w:t xml:space="preserve"> Further</w:t>
      </w:r>
      <w:r w:rsidR="005353FC" w:rsidRPr="00102445">
        <w:rPr>
          <w:rFonts w:eastAsia="Times New Roman" w:cs="Times New Roman"/>
          <w:lang w:eastAsia="en-AU"/>
        </w:rPr>
        <w:t>, a facility may apply to the Regulator to revoke the multi-year period declaration.</w:t>
      </w:r>
      <w:r w:rsidR="008A3881" w:rsidRPr="00102445">
        <w:rPr>
          <w:rFonts w:eastAsia="Times New Roman" w:cs="Times New Roman"/>
          <w:lang w:eastAsia="en-AU"/>
        </w:rPr>
        <w:t xml:space="preserve"> This provision gives greater flexibility to a facility </w:t>
      </w:r>
      <w:r w:rsidR="00D8601E" w:rsidRPr="00102445">
        <w:rPr>
          <w:rFonts w:eastAsia="Times New Roman" w:cs="Times New Roman"/>
          <w:lang w:eastAsia="en-AU"/>
        </w:rPr>
        <w:t>where an</w:t>
      </w:r>
      <w:r w:rsidR="00CF431E" w:rsidRPr="00102445">
        <w:rPr>
          <w:rFonts w:eastAsia="Times New Roman" w:cs="Times New Roman"/>
          <w:lang w:eastAsia="en-AU"/>
        </w:rPr>
        <w:t xml:space="preserve"> activity</w:t>
      </w:r>
      <w:r w:rsidR="000B3923" w:rsidRPr="00102445">
        <w:rPr>
          <w:rFonts w:eastAsia="Times New Roman" w:cs="Times New Roman"/>
          <w:lang w:eastAsia="en-AU"/>
        </w:rPr>
        <w:t xml:space="preserve"> to reduce emissions intensity becomes available sooner, or</w:t>
      </w:r>
      <w:r w:rsidR="004D26B7" w:rsidRPr="00102445">
        <w:rPr>
          <w:rFonts w:eastAsia="Times New Roman" w:cs="Times New Roman"/>
          <w:lang w:eastAsia="en-AU"/>
        </w:rPr>
        <w:t xml:space="preserve"> later than expected</w:t>
      </w:r>
      <w:r w:rsidR="00A54C9A" w:rsidRPr="00102445">
        <w:rPr>
          <w:rFonts w:eastAsia="Times New Roman" w:cs="Times New Roman"/>
          <w:lang w:eastAsia="en-AU"/>
        </w:rPr>
        <w:t xml:space="preserve"> in a </w:t>
      </w:r>
      <w:r w:rsidR="00BF2327" w:rsidRPr="00102445">
        <w:rPr>
          <w:rFonts w:eastAsia="Times New Roman" w:cs="Times New Roman"/>
          <w:lang w:eastAsia="en-AU"/>
        </w:rPr>
        <w:t xml:space="preserve">declared </w:t>
      </w:r>
      <w:r w:rsidR="00A54C9A" w:rsidRPr="00102445">
        <w:rPr>
          <w:rFonts w:eastAsia="Times New Roman" w:cs="Times New Roman"/>
          <w:lang w:eastAsia="en-AU"/>
        </w:rPr>
        <w:t xml:space="preserve">multi-year </w:t>
      </w:r>
      <w:r w:rsidR="00BF2327" w:rsidRPr="00102445">
        <w:rPr>
          <w:rFonts w:eastAsia="Times New Roman" w:cs="Times New Roman"/>
          <w:lang w:eastAsia="en-AU"/>
        </w:rPr>
        <w:t>period.</w:t>
      </w:r>
    </w:p>
    <w:p w14:paraId="22FA4286" w14:textId="2C73EF64" w:rsidR="004609CE" w:rsidRPr="00102445" w:rsidRDefault="004609CE" w:rsidP="004609CE">
      <w:pPr>
        <w:pStyle w:val="Itemheadings"/>
        <w:rPr>
          <w:lang w:eastAsia="en-AU"/>
        </w:rPr>
      </w:pPr>
      <w:r w:rsidRPr="00102445">
        <w:rPr>
          <w:lang w:eastAsia="en-AU"/>
        </w:rPr>
        <w:t>Item 4</w:t>
      </w:r>
      <w:r w:rsidR="002F605B" w:rsidRPr="00102445">
        <w:rPr>
          <w:lang w:eastAsia="en-AU"/>
        </w:rPr>
        <w:t>6</w:t>
      </w:r>
      <w:r w:rsidRPr="00102445">
        <w:rPr>
          <w:lang w:eastAsia="en-AU"/>
        </w:rPr>
        <w:t xml:space="preserve"> – </w:t>
      </w:r>
      <w:r w:rsidR="002F605B" w:rsidRPr="00102445">
        <w:rPr>
          <w:lang w:eastAsia="en-AU"/>
        </w:rPr>
        <w:t>At the end of s</w:t>
      </w:r>
      <w:r w:rsidRPr="00102445">
        <w:rPr>
          <w:lang w:eastAsia="en-AU"/>
        </w:rPr>
        <w:t>ubsection 68(</w:t>
      </w:r>
      <w:r w:rsidR="002F605B" w:rsidRPr="00102445">
        <w:rPr>
          <w:lang w:eastAsia="en-AU"/>
        </w:rPr>
        <w:t>3</w:t>
      </w:r>
      <w:r w:rsidRPr="00102445">
        <w:rPr>
          <w:lang w:eastAsia="en-AU"/>
        </w:rPr>
        <w:t xml:space="preserve">) </w:t>
      </w:r>
    </w:p>
    <w:p w14:paraId="3B49D202" w14:textId="0A9A9677" w:rsidR="00CF51D2" w:rsidRPr="00102445" w:rsidRDefault="000517F6"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Adds a note referring to </w:t>
      </w:r>
      <w:r w:rsidR="004A30D4" w:rsidRPr="00102445">
        <w:rPr>
          <w:rFonts w:eastAsia="Times New Roman" w:cs="Times New Roman"/>
          <w:lang w:eastAsia="en-AU"/>
        </w:rPr>
        <w:t>section 90</w:t>
      </w:r>
      <w:r w:rsidR="00C266CE" w:rsidRPr="00102445">
        <w:rPr>
          <w:rFonts w:eastAsia="Times New Roman" w:cs="Times New Roman"/>
          <w:lang w:eastAsia="en-AU"/>
        </w:rPr>
        <w:t>, which is added by this instrument and prevents the Regulator from extending multi-year monitoring periods in force before 1 July 2023.</w:t>
      </w:r>
    </w:p>
    <w:p w14:paraId="47BE1AD2" w14:textId="58B8981D" w:rsidR="00F831FC" w:rsidRPr="00102445" w:rsidRDefault="00F831FC" w:rsidP="00B656BF">
      <w:pPr>
        <w:pStyle w:val="Itemheadings"/>
        <w:rPr>
          <w:lang w:eastAsia="en-AU"/>
        </w:rPr>
      </w:pPr>
      <w:r w:rsidRPr="00102445">
        <w:rPr>
          <w:lang w:eastAsia="en-AU"/>
        </w:rPr>
        <w:t>Item 4</w:t>
      </w:r>
      <w:r w:rsidR="00561D2D" w:rsidRPr="00102445">
        <w:rPr>
          <w:lang w:eastAsia="en-AU"/>
        </w:rPr>
        <w:t>7</w:t>
      </w:r>
      <w:r w:rsidRPr="00102445">
        <w:rPr>
          <w:lang w:eastAsia="en-AU"/>
        </w:rPr>
        <w:t xml:space="preserve"> – A</w:t>
      </w:r>
      <w:r w:rsidR="00B455AD" w:rsidRPr="00102445">
        <w:rPr>
          <w:lang w:eastAsia="en-AU"/>
        </w:rPr>
        <w:t>t the end of Division 2 of Part 4</w:t>
      </w:r>
    </w:p>
    <w:p w14:paraId="6D9A84B4" w14:textId="430E107A" w:rsidR="0095342B" w:rsidRPr="00102445" w:rsidRDefault="00C36E26"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Introduces new section</w:t>
      </w:r>
      <w:r w:rsidR="00F1239E" w:rsidRPr="00102445">
        <w:rPr>
          <w:rFonts w:eastAsia="Times New Roman" w:cs="Times New Roman"/>
          <w:lang w:eastAsia="en-AU"/>
        </w:rPr>
        <w:t xml:space="preserve"> 69A</w:t>
      </w:r>
      <w:r w:rsidR="00CA464A" w:rsidRPr="00102445">
        <w:rPr>
          <w:rFonts w:eastAsia="Times New Roman" w:cs="Times New Roman"/>
          <w:lang w:eastAsia="en-AU"/>
        </w:rPr>
        <w:t xml:space="preserve"> which </w:t>
      </w:r>
      <w:r w:rsidR="001F383A" w:rsidRPr="00102445">
        <w:rPr>
          <w:rFonts w:eastAsia="Times New Roman" w:cs="Times New Roman"/>
          <w:lang w:eastAsia="en-AU"/>
        </w:rPr>
        <w:t xml:space="preserve">requires a facility </w:t>
      </w:r>
      <w:r w:rsidR="005C0D90" w:rsidRPr="00102445">
        <w:rPr>
          <w:rFonts w:eastAsia="Times New Roman" w:cs="Times New Roman"/>
          <w:lang w:eastAsia="en-AU"/>
        </w:rPr>
        <w:t xml:space="preserve">at the end of </w:t>
      </w:r>
      <w:r w:rsidR="001F383A" w:rsidRPr="00102445">
        <w:rPr>
          <w:rFonts w:eastAsia="Times New Roman" w:cs="Times New Roman"/>
          <w:lang w:eastAsia="en-AU"/>
        </w:rPr>
        <w:t xml:space="preserve">a </w:t>
      </w:r>
      <w:r w:rsidR="00C37149" w:rsidRPr="00102445">
        <w:rPr>
          <w:rFonts w:eastAsia="Times New Roman" w:cs="Times New Roman"/>
          <w:lang w:eastAsia="en-AU"/>
        </w:rPr>
        <w:t xml:space="preserve">multi-year monitoring </w:t>
      </w:r>
      <w:r w:rsidR="005C0D90" w:rsidRPr="00102445">
        <w:rPr>
          <w:rFonts w:eastAsia="Times New Roman" w:cs="Times New Roman"/>
          <w:lang w:eastAsia="en-AU"/>
        </w:rPr>
        <w:t>period</w:t>
      </w:r>
      <w:r w:rsidR="006F613F" w:rsidRPr="00102445">
        <w:rPr>
          <w:rFonts w:eastAsia="Times New Roman" w:cs="Times New Roman"/>
          <w:lang w:eastAsia="en-AU"/>
        </w:rPr>
        <w:t xml:space="preserve"> to </w:t>
      </w:r>
      <w:r w:rsidR="00821D45" w:rsidRPr="00102445">
        <w:rPr>
          <w:rFonts w:eastAsia="Times New Roman" w:cs="Times New Roman"/>
          <w:lang w:eastAsia="en-AU"/>
        </w:rPr>
        <w:t xml:space="preserve">submit a report to the Regulator </w:t>
      </w:r>
      <w:r w:rsidR="006357A8" w:rsidRPr="00102445">
        <w:rPr>
          <w:rFonts w:eastAsia="Times New Roman" w:cs="Times New Roman"/>
          <w:lang w:eastAsia="en-AU"/>
        </w:rPr>
        <w:t xml:space="preserve">describing </w:t>
      </w:r>
      <w:r w:rsidR="003F4FDC" w:rsidRPr="00102445">
        <w:rPr>
          <w:rFonts w:eastAsia="Times New Roman" w:cs="Times New Roman"/>
          <w:lang w:eastAsia="en-AU"/>
        </w:rPr>
        <w:t xml:space="preserve">how the facility performed against its </w:t>
      </w:r>
      <w:r w:rsidR="00D731F8" w:rsidRPr="00102445">
        <w:rPr>
          <w:rFonts w:eastAsia="Times New Roman" w:cs="Times New Roman"/>
          <w:lang w:eastAsia="en-AU"/>
        </w:rPr>
        <w:t>plan to reduce</w:t>
      </w:r>
      <w:r w:rsidR="007505E7" w:rsidRPr="00102445">
        <w:rPr>
          <w:rFonts w:eastAsia="Times New Roman" w:cs="Times New Roman"/>
          <w:lang w:eastAsia="en-AU"/>
        </w:rPr>
        <w:t xml:space="preserve"> </w:t>
      </w:r>
      <w:r w:rsidR="00EC56CB" w:rsidRPr="00102445">
        <w:rPr>
          <w:rFonts w:eastAsia="Times New Roman" w:cs="Times New Roman"/>
          <w:lang w:eastAsia="en-AU"/>
        </w:rPr>
        <w:t xml:space="preserve">emissions </w:t>
      </w:r>
      <w:r w:rsidR="002C2DD5" w:rsidRPr="00102445">
        <w:rPr>
          <w:rFonts w:eastAsia="Times New Roman" w:cs="Times New Roman"/>
          <w:lang w:eastAsia="en-AU"/>
        </w:rPr>
        <w:t>to be below its baseline</w:t>
      </w:r>
      <w:r w:rsidR="006C27F3" w:rsidRPr="00102445">
        <w:rPr>
          <w:rFonts w:eastAsia="Times New Roman" w:cs="Times New Roman"/>
          <w:lang w:eastAsia="en-AU"/>
        </w:rPr>
        <w:t xml:space="preserve"> for the purpo</w:t>
      </w:r>
      <w:r w:rsidR="00121B9F" w:rsidRPr="00102445">
        <w:rPr>
          <w:rFonts w:eastAsia="Times New Roman" w:cs="Times New Roman"/>
          <w:lang w:eastAsia="en-AU"/>
        </w:rPr>
        <w:t>ses of paragraph 65(3)(e)</w:t>
      </w:r>
      <w:r w:rsidR="002C2DD5" w:rsidRPr="00102445">
        <w:rPr>
          <w:rFonts w:eastAsia="Times New Roman" w:cs="Times New Roman"/>
          <w:lang w:eastAsia="en-AU"/>
        </w:rPr>
        <w:t>.</w:t>
      </w:r>
      <w:r w:rsidR="00ED5DE6" w:rsidRPr="00102445">
        <w:rPr>
          <w:rFonts w:eastAsia="Times New Roman" w:cs="Times New Roman"/>
          <w:lang w:eastAsia="en-AU"/>
        </w:rPr>
        <w:t xml:space="preserve"> This report is due </w:t>
      </w:r>
      <w:r w:rsidR="007E397D" w:rsidRPr="00102445">
        <w:rPr>
          <w:rFonts w:eastAsia="Times New Roman" w:cs="Times New Roman"/>
          <w:lang w:eastAsia="en-AU"/>
        </w:rPr>
        <w:t>by</w:t>
      </w:r>
      <w:r w:rsidR="00512E95" w:rsidRPr="00102445">
        <w:rPr>
          <w:rFonts w:eastAsia="Times New Roman" w:cs="Times New Roman"/>
          <w:lang w:eastAsia="en-AU"/>
        </w:rPr>
        <w:t xml:space="preserve"> 31</w:t>
      </w:r>
      <w:r w:rsidR="005D779F" w:rsidRPr="00102445">
        <w:rPr>
          <w:rFonts w:eastAsia="Times New Roman" w:cs="Times New Roman"/>
          <w:lang w:eastAsia="en-AU"/>
        </w:rPr>
        <w:t xml:space="preserve"> October </w:t>
      </w:r>
      <w:r w:rsidR="00032F8F" w:rsidRPr="00102445">
        <w:rPr>
          <w:rFonts w:eastAsia="Times New Roman" w:cs="Times New Roman"/>
          <w:lang w:eastAsia="en-AU"/>
        </w:rPr>
        <w:t xml:space="preserve">after the last year </w:t>
      </w:r>
      <w:r w:rsidR="001B4874" w:rsidRPr="00102445">
        <w:rPr>
          <w:rFonts w:eastAsia="Times New Roman" w:cs="Times New Roman"/>
          <w:lang w:eastAsia="en-AU"/>
        </w:rPr>
        <w:t xml:space="preserve">of the multi-year monitoring declaration. </w:t>
      </w:r>
    </w:p>
    <w:p w14:paraId="3925F74E" w14:textId="57397797" w:rsidR="00D203CF" w:rsidRPr="00102445" w:rsidRDefault="003D1A54"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Introduces new section 69B </w:t>
      </w:r>
      <w:r w:rsidR="00B516B8" w:rsidRPr="00102445">
        <w:rPr>
          <w:rFonts w:eastAsia="Times New Roman" w:cs="Times New Roman"/>
          <w:lang w:eastAsia="en-AU"/>
        </w:rPr>
        <w:t xml:space="preserve">which allows the Regulator to </w:t>
      </w:r>
      <w:r w:rsidR="009A1615" w:rsidRPr="00102445">
        <w:rPr>
          <w:rFonts w:eastAsia="Times New Roman" w:cs="Times New Roman"/>
          <w:lang w:eastAsia="en-AU"/>
        </w:rPr>
        <w:t xml:space="preserve">reduce the </w:t>
      </w:r>
      <w:r w:rsidR="00B035FD" w:rsidRPr="00102445">
        <w:rPr>
          <w:rFonts w:eastAsia="Times New Roman" w:cs="Times New Roman"/>
          <w:lang w:eastAsia="en-AU"/>
        </w:rPr>
        <w:t xml:space="preserve">length of a multi-year monitoring period </w:t>
      </w:r>
      <w:r w:rsidR="00A15521" w:rsidRPr="00102445">
        <w:rPr>
          <w:rFonts w:eastAsia="Times New Roman" w:cs="Times New Roman"/>
          <w:lang w:eastAsia="en-AU"/>
        </w:rPr>
        <w:t xml:space="preserve">where emissions are not being reduced. </w:t>
      </w:r>
      <w:r w:rsidR="007A1728" w:rsidRPr="00102445">
        <w:rPr>
          <w:rFonts w:eastAsia="Times New Roman" w:cs="Times New Roman"/>
          <w:lang w:eastAsia="en-AU"/>
        </w:rPr>
        <w:t xml:space="preserve">Subsection </w:t>
      </w:r>
      <w:r w:rsidR="001A706C" w:rsidRPr="00102445">
        <w:rPr>
          <w:rFonts w:eastAsia="Times New Roman" w:cs="Times New Roman"/>
          <w:lang w:eastAsia="en-AU"/>
        </w:rPr>
        <w:t xml:space="preserve">69B(1) </w:t>
      </w:r>
      <w:r w:rsidR="00A361D3" w:rsidRPr="00102445">
        <w:rPr>
          <w:rFonts w:eastAsia="Times New Roman" w:cs="Times New Roman"/>
          <w:lang w:eastAsia="en-AU"/>
        </w:rPr>
        <w:t>specifies that</w:t>
      </w:r>
      <w:r w:rsidR="005212FC" w:rsidRPr="00102445">
        <w:rPr>
          <w:rFonts w:eastAsia="Times New Roman" w:cs="Times New Roman"/>
          <w:lang w:eastAsia="en-AU"/>
        </w:rPr>
        <w:t>,</w:t>
      </w:r>
      <w:r w:rsidR="00A361D3" w:rsidRPr="00102445">
        <w:rPr>
          <w:rFonts w:eastAsia="Times New Roman" w:cs="Times New Roman"/>
          <w:lang w:eastAsia="en-AU"/>
        </w:rPr>
        <w:t xml:space="preserve"> </w:t>
      </w:r>
      <w:r w:rsidR="005212FC" w:rsidRPr="00102445">
        <w:rPr>
          <w:rFonts w:eastAsia="Times New Roman" w:cs="Times New Roman"/>
          <w:lang w:eastAsia="en-AU"/>
        </w:rPr>
        <w:t>t</w:t>
      </w:r>
      <w:r w:rsidR="00285A93" w:rsidRPr="00102445">
        <w:rPr>
          <w:rFonts w:eastAsia="Times New Roman" w:cs="Times New Roman"/>
          <w:lang w:eastAsia="en-AU"/>
        </w:rPr>
        <w:t xml:space="preserve">o </w:t>
      </w:r>
      <w:r w:rsidR="00867F66" w:rsidRPr="00102445">
        <w:rPr>
          <w:rFonts w:eastAsia="Times New Roman" w:cs="Times New Roman"/>
          <w:lang w:eastAsia="en-AU"/>
        </w:rPr>
        <w:t xml:space="preserve">make </w:t>
      </w:r>
      <w:r w:rsidR="00AD7C58" w:rsidRPr="00102445">
        <w:rPr>
          <w:rFonts w:eastAsia="Times New Roman" w:cs="Times New Roman"/>
          <w:lang w:eastAsia="en-AU"/>
        </w:rPr>
        <w:t>a</w:t>
      </w:r>
      <w:r w:rsidR="00867F66" w:rsidRPr="00102445">
        <w:rPr>
          <w:rFonts w:eastAsia="Times New Roman" w:cs="Times New Roman"/>
          <w:lang w:eastAsia="en-AU"/>
        </w:rPr>
        <w:t xml:space="preserve"> variation</w:t>
      </w:r>
      <w:r w:rsidR="00AD7C58" w:rsidRPr="00102445">
        <w:rPr>
          <w:rFonts w:eastAsia="Times New Roman" w:cs="Times New Roman"/>
          <w:lang w:eastAsia="en-AU"/>
        </w:rPr>
        <w:t xml:space="preserve"> to </w:t>
      </w:r>
      <w:r w:rsidR="00817A5C" w:rsidRPr="00102445">
        <w:rPr>
          <w:rFonts w:eastAsia="Times New Roman" w:cs="Times New Roman"/>
          <w:lang w:eastAsia="en-AU"/>
        </w:rPr>
        <w:t xml:space="preserve">reduce the length of </w:t>
      </w:r>
      <w:r w:rsidR="00AD7C58" w:rsidRPr="00102445">
        <w:rPr>
          <w:rFonts w:eastAsia="Times New Roman" w:cs="Times New Roman"/>
          <w:lang w:eastAsia="en-AU"/>
        </w:rPr>
        <w:t xml:space="preserve">a multi-year monitoring period </w:t>
      </w:r>
      <w:r w:rsidR="00817A5C" w:rsidRPr="00102445">
        <w:rPr>
          <w:rFonts w:eastAsia="Times New Roman" w:cs="Times New Roman"/>
          <w:lang w:eastAsia="en-AU"/>
        </w:rPr>
        <w:t>declaration</w:t>
      </w:r>
      <w:r w:rsidR="005212FC" w:rsidRPr="00102445">
        <w:rPr>
          <w:rFonts w:eastAsia="Times New Roman" w:cs="Times New Roman"/>
          <w:lang w:eastAsia="en-AU"/>
        </w:rPr>
        <w:t>,</w:t>
      </w:r>
      <w:r w:rsidR="00817A5C" w:rsidRPr="00102445">
        <w:rPr>
          <w:rFonts w:eastAsia="Times New Roman" w:cs="Times New Roman"/>
          <w:lang w:eastAsia="en-AU"/>
        </w:rPr>
        <w:t xml:space="preserve"> the Regulator must be satisfied that </w:t>
      </w:r>
      <w:r w:rsidR="005C4434" w:rsidRPr="00102445">
        <w:rPr>
          <w:rFonts w:eastAsia="Times New Roman" w:cs="Times New Roman"/>
          <w:lang w:eastAsia="en-AU"/>
        </w:rPr>
        <w:t>the facility is not implementing or is unable to implement their plan for reducing emissions</w:t>
      </w:r>
      <w:r w:rsidR="004D1D4D" w:rsidRPr="00102445">
        <w:rPr>
          <w:rFonts w:eastAsia="Times New Roman" w:cs="Times New Roman"/>
          <w:lang w:eastAsia="en-AU"/>
        </w:rPr>
        <w:t xml:space="preserve"> as submitted with their application for a multi</w:t>
      </w:r>
      <w:r w:rsidR="00557941" w:rsidRPr="00102445">
        <w:rPr>
          <w:rFonts w:eastAsia="Times New Roman" w:cs="Times New Roman"/>
          <w:lang w:eastAsia="en-AU"/>
        </w:rPr>
        <w:t>-</w:t>
      </w:r>
      <w:r w:rsidR="004D1D4D" w:rsidRPr="00102445">
        <w:rPr>
          <w:rFonts w:eastAsia="Times New Roman" w:cs="Times New Roman"/>
          <w:lang w:eastAsia="en-AU"/>
        </w:rPr>
        <w:t xml:space="preserve">year monitoring period </w:t>
      </w:r>
      <w:r w:rsidR="00726513" w:rsidRPr="00102445">
        <w:rPr>
          <w:rFonts w:eastAsia="Times New Roman" w:cs="Times New Roman"/>
          <w:lang w:eastAsia="en-AU"/>
        </w:rPr>
        <w:t>under subsection 6</w:t>
      </w:r>
      <w:r w:rsidR="00410D04" w:rsidRPr="00102445">
        <w:rPr>
          <w:rFonts w:eastAsia="Times New Roman" w:cs="Times New Roman"/>
          <w:lang w:eastAsia="en-AU"/>
        </w:rPr>
        <w:t>5</w:t>
      </w:r>
      <w:r w:rsidR="00726513" w:rsidRPr="00102445">
        <w:rPr>
          <w:rFonts w:eastAsia="Times New Roman" w:cs="Times New Roman"/>
          <w:lang w:eastAsia="en-AU"/>
        </w:rPr>
        <w:t>(3)(e)</w:t>
      </w:r>
      <w:r w:rsidR="0004612C" w:rsidRPr="00102445">
        <w:rPr>
          <w:rFonts w:eastAsia="Times New Roman" w:cs="Times New Roman"/>
          <w:lang w:eastAsia="en-AU"/>
        </w:rPr>
        <w:t xml:space="preserve">; and </w:t>
      </w:r>
      <w:r w:rsidR="0024080B" w:rsidRPr="00102445">
        <w:rPr>
          <w:rFonts w:eastAsia="Times New Roman" w:cs="Times New Roman"/>
          <w:lang w:eastAsia="en-AU"/>
        </w:rPr>
        <w:t xml:space="preserve">that </w:t>
      </w:r>
      <w:r w:rsidR="00D91CAF" w:rsidRPr="00102445">
        <w:rPr>
          <w:rFonts w:eastAsia="Times New Roman" w:cs="Times New Roman"/>
          <w:lang w:eastAsia="en-AU"/>
        </w:rPr>
        <w:t>the covered emissions</w:t>
      </w:r>
      <w:r w:rsidR="007F7A76" w:rsidRPr="00102445">
        <w:rPr>
          <w:rFonts w:eastAsia="Times New Roman" w:cs="Times New Roman"/>
          <w:lang w:eastAsia="en-AU"/>
        </w:rPr>
        <w:t xml:space="preserve"> over the period</w:t>
      </w:r>
      <w:r w:rsidR="0024080B" w:rsidRPr="00102445">
        <w:rPr>
          <w:rFonts w:eastAsia="Times New Roman" w:cs="Times New Roman"/>
          <w:lang w:eastAsia="en-AU"/>
        </w:rPr>
        <w:t xml:space="preserve"> is likely to </w:t>
      </w:r>
      <w:r w:rsidR="007F7A76" w:rsidRPr="00102445">
        <w:rPr>
          <w:rFonts w:eastAsia="Times New Roman" w:cs="Times New Roman"/>
          <w:lang w:eastAsia="en-AU"/>
        </w:rPr>
        <w:t xml:space="preserve">exceed the baseline over for the </w:t>
      </w:r>
      <w:r w:rsidR="0024080B" w:rsidRPr="00102445">
        <w:rPr>
          <w:rFonts w:eastAsia="Times New Roman" w:cs="Times New Roman"/>
          <w:lang w:eastAsia="en-AU"/>
        </w:rPr>
        <w:t>period</w:t>
      </w:r>
      <w:r w:rsidR="007F7A76" w:rsidRPr="00102445">
        <w:rPr>
          <w:rFonts w:eastAsia="Times New Roman" w:cs="Times New Roman"/>
          <w:lang w:eastAsia="en-AU"/>
        </w:rPr>
        <w:t xml:space="preserve"> for the facility</w:t>
      </w:r>
      <w:r w:rsidR="00E03ED2" w:rsidRPr="00102445">
        <w:rPr>
          <w:rFonts w:eastAsia="Times New Roman" w:cs="Times New Roman"/>
          <w:lang w:eastAsia="en-AU"/>
        </w:rPr>
        <w:t>.</w:t>
      </w:r>
      <w:r w:rsidR="003F77FB" w:rsidRPr="00102445">
        <w:rPr>
          <w:rFonts w:eastAsia="Times New Roman" w:cs="Times New Roman"/>
          <w:lang w:eastAsia="en-AU"/>
        </w:rPr>
        <w:t xml:space="preserve"> </w:t>
      </w:r>
      <w:r w:rsidR="00D203CF" w:rsidRPr="00102445">
        <w:rPr>
          <w:rFonts w:eastAsia="Times New Roman" w:cs="Times New Roman"/>
          <w:lang w:eastAsia="en-AU"/>
        </w:rPr>
        <w:t xml:space="preserve">This situation could arise if the plan was subject to approvals </w:t>
      </w:r>
      <w:r w:rsidR="007073A6" w:rsidRPr="00102445">
        <w:rPr>
          <w:rFonts w:eastAsia="Times New Roman" w:cs="Times New Roman"/>
          <w:lang w:eastAsia="en-AU"/>
        </w:rPr>
        <w:t xml:space="preserve">that </w:t>
      </w:r>
      <w:r w:rsidR="00D203CF" w:rsidRPr="00102445">
        <w:rPr>
          <w:rFonts w:eastAsia="Times New Roman" w:cs="Times New Roman"/>
          <w:lang w:eastAsia="en-AU"/>
        </w:rPr>
        <w:t>were not granted.</w:t>
      </w:r>
    </w:p>
    <w:p w14:paraId="1F3D628F" w14:textId="008D367E" w:rsidR="003A3466" w:rsidRPr="00102445" w:rsidRDefault="00F239C6"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Subsection 69B(3) provides for the Regulator to </w:t>
      </w:r>
      <w:r w:rsidR="00AC5E3B" w:rsidRPr="00102445">
        <w:rPr>
          <w:rFonts w:eastAsia="Times New Roman" w:cs="Times New Roman"/>
          <w:lang w:eastAsia="en-AU"/>
        </w:rPr>
        <w:t>request</w:t>
      </w:r>
      <w:r w:rsidR="001D75A6" w:rsidRPr="00102445">
        <w:rPr>
          <w:rFonts w:eastAsia="Times New Roman" w:cs="Times New Roman"/>
          <w:lang w:eastAsia="en-AU"/>
        </w:rPr>
        <w:t xml:space="preserve"> specif</w:t>
      </w:r>
      <w:r w:rsidR="002D1DF9" w:rsidRPr="00102445">
        <w:rPr>
          <w:rFonts w:eastAsia="Times New Roman" w:cs="Times New Roman"/>
          <w:lang w:eastAsia="en-AU"/>
        </w:rPr>
        <w:t xml:space="preserve">ic information </w:t>
      </w:r>
      <w:r w:rsidR="001F2B74" w:rsidRPr="00102445">
        <w:rPr>
          <w:rFonts w:eastAsia="Times New Roman" w:cs="Times New Roman"/>
          <w:lang w:eastAsia="en-AU"/>
        </w:rPr>
        <w:t xml:space="preserve">from the facility </w:t>
      </w:r>
      <w:r w:rsidR="001F2E2C" w:rsidRPr="00102445">
        <w:rPr>
          <w:rFonts w:eastAsia="Times New Roman" w:cs="Times New Roman"/>
          <w:lang w:eastAsia="en-AU"/>
        </w:rPr>
        <w:t xml:space="preserve">if the Regulator is considering </w:t>
      </w:r>
      <w:r w:rsidR="005A0318" w:rsidRPr="00102445">
        <w:rPr>
          <w:rFonts w:eastAsia="Times New Roman" w:cs="Times New Roman"/>
          <w:lang w:eastAsia="en-AU"/>
        </w:rPr>
        <w:t>making</w:t>
      </w:r>
      <w:r w:rsidR="001F2E2C" w:rsidRPr="00102445">
        <w:rPr>
          <w:rFonts w:eastAsia="Times New Roman" w:cs="Times New Roman"/>
          <w:lang w:eastAsia="en-AU"/>
        </w:rPr>
        <w:t xml:space="preserve"> a variation under this section. The request for information must be </w:t>
      </w:r>
      <w:r w:rsidR="007B60FE" w:rsidRPr="00102445">
        <w:rPr>
          <w:rFonts w:eastAsia="Times New Roman" w:cs="Times New Roman"/>
          <w:lang w:eastAsia="en-AU"/>
        </w:rPr>
        <w:t>given</w:t>
      </w:r>
      <w:r w:rsidR="009D5332" w:rsidRPr="00102445">
        <w:rPr>
          <w:rFonts w:eastAsia="Times New Roman" w:cs="Times New Roman"/>
          <w:lang w:eastAsia="en-AU"/>
        </w:rPr>
        <w:t xml:space="preserve"> to th</w:t>
      </w:r>
      <w:r w:rsidR="00FD48C5" w:rsidRPr="00102445">
        <w:rPr>
          <w:rFonts w:eastAsia="Times New Roman" w:cs="Times New Roman"/>
          <w:lang w:eastAsia="en-AU"/>
        </w:rPr>
        <w:t>e responsible emitter</w:t>
      </w:r>
      <w:r w:rsidR="007B60FE" w:rsidRPr="00102445">
        <w:rPr>
          <w:rFonts w:eastAsia="Times New Roman" w:cs="Times New Roman"/>
          <w:lang w:eastAsia="en-AU"/>
        </w:rPr>
        <w:t xml:space="preserve"> in writing and the Regulator must consider the information </w:t>
      </w:r>
      <w:r w:rsidR="00FD48C5" w:rsidRPr="00102445">
        <w:rPr>
          <w:rFonts w:eastAsia="Times New Roman" w:cs="Times New Roman"/>
          <w:lang w:eastAsia="en-AU"/>
        </w:rPr>
        <w:t xml:space="preserve">requested </w:t>
      </w:r>
      <w:r w:rsidR="007B60FE" w:rsidRPr="00102445">
        <w:rPr>
          <w:rFonts w:eastAsia="Times New Roman" w:cs="Times New Roman"/>
          <w:lang w:eastAsia="en-AU"/>
        </w:rPr>
        <w:t xml:space="preserve">relevant to the </w:t>
      </w:r>
      <w:r w:rsidR="0078103B" w:rsidRPr="00102445">
        <w:rPr>
          <w:rFonts w:eastAsia="Times New Roman" w:cs="Times New Roman"/>
          <w:lang w:eastAsia="en-AU"/>
        </w:rPr>
        <w:t>variation.</w:t>
      </w:r>
      <w:r w:rsidR="00FC400D" w:rsidRPr="00102445">
        <w:rPr>
          <w:rFonts w:eastAsia="Times New Roman" w:cs="Times New Roman"/>
          <w:lang w:eastAsia="en-AU"/>
        </w:rPr>
        <w:t xml:space="preserve"> </w:t>
      </w:r>
      <w:r w:rsidR="001151ED" w:rsidRPr="00102445">
        <w:rPr>
          <w:rFonts w:eastAsia="Times New Roman" w:cs="Times New Roman"/>
          <w:lang w:eastAsia="en-AU"/>
        </w:rPr>
        <w:t>If the Regulator decides to vary the declaration</w:t>
      </w:r>
      <w:r w:rsidR="00235090" w:rsidRPr="00102445">
        <w:rPr>
          <w:rFonts w:eastAsia="Times New Roman" w:cs="Times New Roman"/>
          <w:lang w:eastAsia="en-AU"/>
        </w:rPr>
        <w:t>, s</w:t>
      </w:r>
      <w:r w:rsidR="00FC400D" w:rsidRPr="00102445">
        <w:rPr>
          <w:rFonts w:eastAsia="Times New Roman" w:cs="Times New Roman"/>
          <w:lang w:eastAsia="en-AU"/>
        </w:rPr>
        <w:t xml:space="preserve">ubsection 69B(3) provides for the </w:t>
      </w:r>
      <w:r w:rsidR="00F9271D" w:rsidRPr="00102445">
        <w:rPr>
          <w:rFonts w:eastAsia="Times New Roman" w:cs="Times New Roman"/>
          <w:lang w:eastAsia="en-AU"/>
        </w:rPr>
        <w:t>Regulator to vary the</w:t>
      </w:r>
      <w:r w:rsidR="00415EB9" w:rsidRPr="00102445">
        <w:rPr>
          <w:rFonts w:eastAsia="Times New Roman" w:cs="Times New Roman"/>
          <w:lang w:eastAsia="en-AU"/>
        </w:rPr>
        <w:t xml:space="preserve"> declaration so that it </w:t>
      </w:r>
      <w:r w:rsidR="00AF1F5F" w:rsidRPr="00102445">
        <w:rPr>
          <w:rFonts w:eastAsia="Times New Roman" w:cs="Times New Roman"/>
          <w:lang w:eastAsia="en-AU"/>
        </w:rPr>
        <w:t xml:space="preserve">ends at the end of the financial year in which the </w:t>
      </w:r>
      <w:r w:rsidR="009C6556" w:rsidRPr="00102445">
        <w:rPr>
          <w:rFonts w:eastAsia="Times New Roman" w:cs="Times New Roman"/>
          <w:lang w:eastAsia="en-AU"/>
        </w:rPr>
        <w:t>Regulator beco</w:t>
      </w:r>
      <w:r w:rsidR="00F245F9" w:rsidRPr="00102445">
        <w:rPr>
          <w:rFonts w:eastAsia="Times New Roman" w:cs="Times New Roman"/>
          <w:lang w:eastAsia="en-AU"/>
        </w:rPr>
        <w:t xml:space="preserve">mes satisfied of the </w:t>
      </w:r>
      <w:r w:rsidR="002E53C2" w:rsidRPr="00102445">
        <w:rPr>
          <w:rFonts w:eastAsia="Times New Roman" w:cs="Times New Roman"/>
          <w:lang w:eastAsia="en-AU"/>
        </w:rPr>
        <w:t>relevant</w:t>
      </w:r>
      <w:r w:rsidR="007C02EF" w:rsidRPr="00102445">
        <w:rPr>
          <w:rFonts w:eastAsia="Times New Roman" w:cs="Times New Roman"/>
          <w:lang w:eastAsia="en-AU"/>
        </w:rPr>
        <w:t xml:space="preserve"> </w:t>
      </w:r>
      <w:r w:rsidR="002E53C2" w:rsidRPr="00102445">
        <w:rPr>
          <w:rFonts w:eastAsia="Times New Roman" w:cs="Times New Roman"/>
          <w:lang w:eastAsia="en-AU"/>
        </w:rPr>
        <w:t>criteria</w:t>
      </w:r>
      <w:r w:rsidR="008860ED" w:rsidRPr="00102445">
        <w:rPr>
          <w:rFonts w:eastAsia="Times New Roman" w:cs="Times New Roman"/>
          <w:lang w:eastAsia="en-AU"/>
        </w:rPr>
        <w:t xml:space="preserve"> as specified in subsection 69B(1).</w:t>
      </w:r>
    </w:p>
    <w:p w14:paraId="4E44CADA" w14:textId="51501BE0" w:rsidR="008C691E" w:rsidRPr="00102445" w:rsidRDefault="008C691E"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Section 69B is not intended to limit subsection 33(3) of the </w:t>
      </w:r>
      <w:r w:rsidRPr="00102445">
        <w:rPr>
          <w:rFonts w:eastAsia="Times New Roman" w:cs="Times New Roman"/>
          <w:i/>
          <w:iCs/>
          <w:lang w:eastAsia="en-AU"/>
        </w:rPr>
        <w:t>Acts Interpretation Act 190</w:t>
      </w:r>
      <w:r w:rsidR="005E161D" w:rsidRPr="00102445">
        <w:rPr>
          <w:rFonts w:eastAsia="Times New Roman" w:cs="Times New Roman"/>
          <w:i/>
          <w:iCs/>
          <w:lang w:eastAsia="en-AU"/>
        </w:rPr>
        <w:t>1</w:t>
      </w:r>
      <w:r w:rsidR="005E161D" w:rsidRPr="00102445">
        <w:rPr>
          <w:rFonts w:eastAsia="Times New Roman" w:cs="Times New Roman"/>
          <w:lang w:eastAsia="en-AU"/>
        </w:rPr>
        <w:t xml:space="preserve">, which </w:t>
      </w:r>
      <w:r w:rsidR="00BD6BBF" w:rsidRPr="00102445">
        <w:rPr>
          <w:rFonts w:eastAsia="Times New Roman" w:cs="Times New Roman"/>
          <w:lang w:eastAsia="en-AU"/>
        </w:rPr>
        <w:t xml:space="preserve">is applicable to </w:t>
      </w:r>
      <w:r w:rsidR="00D46BB7" w:rsidRPr="00102445">
        <w:rPr>
          <w:rFonts w:eastAsia="Times New Roman" w:cs="Times New Roman"/>
          <w:lang w:eastAsia="en-AU"/>
        </w:rPr>
        <w:t>multi-year period declarations</w:t>
      </w:r>
      <w:r w:rsidR="00014DC4" w:rsidRPr="00102445">
        <w:rPr>
          <w:rFonts w:eastAsia="Times New Roman" w:cs="Times New Roman"/>
          <w:lang w:eastAsia="en-AU"/>
        </w:rPr>
        <w:t>.</w:t>
      </w:r>
    </w:p>
    <w:p w14:paraId="4031FFE0" w14:textId="717B8D28" w:rsidR="00FD4C20" w:rsidRPr="00102445" w:rsidRDefault="00FD4C20" w:rsidP="00FD4C20">
      <w:pPr>
        <w:pStyle w:val="Itemheadings"/>
        <w:rPr>
          <w:lang w:eastAsia="en-AU"/>
        </w:rPr>
      </w:pPr>
      <w:r w:rsidRPr="00102445">
        <w:rPr>
          <w:lang w:eastAsia="en-AU"/>
        </w:rPr>
        <w:t>Item 4</w:t>
      </w:r>
      <w:r w:rsidR="00561D2D" w:rsidRPr="00102445">
        <w:rPr>
          <w:lang w:eastAsia="en-AU"/>
        </w:rPr>
        <w:t>8</w:t>
      </w:r>
      <w:r w:rsidRPr="00102445">
        <w:rPr>
          <w:lang w:eastAsia="en-AU"/>
        </w:rPr>
        <w:t xml:space="preserve"> – </w:t>
      </w:r>
      <w:r w:rsidR="00C16202" w:rsidRPr="00102445">
        <w:rPr>
          <w:lang w:eastAsia="en-AU"/>
        </w:rPr>
        <w:t>Paragraph 71(3)(c)</w:t>
      </w:r>
    </w:p>
    <w:p w14:paraId="319D1533" w14:textId="627DD34B" w:rsidR="00C92CD3" w:rsidRPr="00102445" w:rsidRDefault="00B73A94"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P</w:t>
      </w:r>
      <w:r w:rsidR="00C92CD3" w:rsidRPr="00102445">
        <w:rPr>
          <w:rFonts w:eastAsia="Times New Roman" w:cs="Times New Roman"/>
          <w:lang w:eastAsia="en-AU"/>
        </w:rPr>
        <w:t>aragraph 71(3)(c) is repealed</w:t>
      </w:r>
      <w:r w:rsidR="00A43B44" w:rsidRPr="00102445">
        <w:rPr>
          <w:rFonts w:eastAsia="Times New Roman" w:cs="Times New Roman"/>
          <w:lang w:eastAsia="en-AU"/>
        </w:rPr>
        <w:t xml:space="preserve"> as it is no longer applicable.</w:t>
      </w:r>
    </w:p>
    <w:p w14:paraId="101FBE17" w14:textId="2BE31D36" w:rsidR="007D2111" w:rsidRPr="00102445" w:rsidRDefault="007D2111" w:rsidP="005A0C16">
      <w:pPr>
        <w:pStyle w:val="Itemheadings"/>
        <w:rPr>
          <w:rFonts w:eastAsia="Times New Roman"/>
          <w:lang w:eastAsia="en-AU"/>
        </w:rPr>
      </w:pPr>
      <w:r w:rsidRPr="00102445">
        <w:rPr>
          <w:lang w:eastAsia="en-AU"/>
        </w:rPr>
        <w:t>Ite</w:t>
      </w:r>
      <w:r w:rsidR="001C41B7" w:rsidRPr="00102445">
        <w:rPr>
          <w:rFonts w:eastAsia="Times New Roman"/>
          <w:lang w:eastAsia="en-AU"/>
        </w:rPr>
        <w:t>m 4</w:t>
      </w:r>
      <w:r w:rsidR="00561D2D" w:rsidRPr="00102445">
        <w:rPr>
          <w:rFonts w:eastAsia="Times New Roman"/>
          <w:lang w:eastAsia="en-AU"/>
        </w:rPr>
        <w:t>9</w:t>
      </w:r>
      <w:r w:rsidR="001C41B7" w:rsidRPr="00102445">
        <w:rPr>
          <w:rFonts w:eastAsia="Times New Roman"/>
          <w:lang w:eastAsia="en-AU"/>
        </w:rPr>
        <w:t xml:space="preserve"> – Paragraph 72(1)(a)</w:t>
      </w:r>
    </w:p>
    <w:p w14:paraId="6295C1DB" w14:textId="42E466D3" w:rsidR="003E6F49" w:rsidRPr="00102445" w:rsidRDefault="0002761C"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S</w:t>
      </w:r>
      <w:r w:rsidR="00CA0943" w:rsidRPr="00102445">
        <w:rPr>
          <w:rFonts w:eastAsia="Times New Roman" w:cs="Times New Roman"/>
          <w:lang w:eastAsia="en-AU"/>
        </w:rPr>
        <w:t xml:space="preserve">ection 72 provides for </w:t>
      </w:r>
      <w:r w:rsidR="00A7405B" w:rsidRPr="00102445">
        <w:rPr>
          <w:rFonts w:eastAsia="Times New Roman" w:cs="Times New Roman"/>
          <w:lang w:eastAsia="en-AU"/>
        </w:rPr>
        <w:t>information to</w:t>
      </w:r>
      <w:r w:rsidR="005F53CC" w:rsidRPr="00102445">
        <w:rPr>
          <w:rFonts w:eastAsia="Times New Roman" w:cs="Times New Roman"/>
          <w:lang w:eastAsia="en-AU"/>
        </w:rPr>
        <w:t xml:space="preserve"> be published </w:t>
      </w:r>
      <w:r w:rsidR="00F8388B" w:rsidRPr="00102445">
        <w:rPr>
          <w:rFonts w:eastAsia="Times New Roman" w:cs="Times New Roman"/>
          <w:lang w:eastAsia="en-AU"/>
        </w:rPr>
        <w:t>that is related to the Safeguard Mechanism.</w:t>
      </w:r>
      <w:r w:rsidR="007D56A3" w:rsidRPr="00102445">
        <w:rPr>
          <w:rFonts w:eastAsia="Times New Roman" w:cs="Times New Roman"/>
          <w:lang w:eastAsia="en-AU"/>
        </w:rPr>
        <w:t xml:space="preserve"> </w:t>
      </w:r>
      <w:r w:rsidR="00F8388B" w:rsidRPr="00102445">
        <w:rPr>
          <w:rFonts w:eastAsia="Times New Roman" w:cs="Times New Roman"/>
          <w:lang w:eastAsia="en-AU"/>
        </w:rPr>
        <w:t>P</w:t>
      </w:r>
      <w:r w:rsidR="00BF5CAE" w:rsidRPr="00102445">
        <w:rPr>
          <w:rFonts w:eastAsia="Times New Roman" w:cs="Times New Roman"/>
          <w:lang w:eastAsia="en-AU"/>
        </w:rPr>
        <w:t>aragraph 7</w:t>
      </w:r>
      <w:r w:rsidR="003E6F49" w:rsidRPr="00102445">
        <w:rPr>
          <w:rFonts w:eastAsia="Times New Roman" w:cs="Times New Roman"/>
          <w:lang w:eastAsia="en-AU"/>
        </w:rPr>
        <w:t xml:space="preserve">2(1)(a) </w:t>
      </w:r>
      <w:r w:rsidR="00AA4075" w:rsidRPr="00102445">
        <w:rPr>
          <w:rFonts w:eastAsia="Times New Roman" w:cs="Times New Roman"/>
          <w:lang w:eastAsia="en-AU"/>
        </w:rPr>
        <w:t>detai</w:t>
      </w:r>
      <w:r w:rsidR="007D351E" w:rsidRPr="00102445">
        <w:rPr>
          <w:rFonts w:eastAsia="Times New Roman" w:cs="Times New Roman"/>
          <w:lang w:eastAsia="en-AU"/>
        </w:rPr>
        <w:t>ls</w:t>
      </w:r>
      <w:r w:rsidR="00680AA7" w:rsidRPr="00102445">
        <w:rPr>
          <w:rFonts w:eastAsia="Times New Roman" w:cs="Times New Roman"/>
          <w:lang w:eastAsia="en-AU"/>
        </w:rPr>
        <w:t xml:space="preserve"> </w:t>
      </w:r>
      <w:r w:rsidR="001E705F" w:rsidRPr="00102445">
        <w:rPr>
          <w:rFonts w:eastAsia="Times New Roman" w:cs="Times New Roman"/>
          <w:lang w:eastAsia="en-AU"/>
        </w:rPr>
        <w:t>what the Regulator must publish</w:t>
      </w:r>
      <w:r w:rsidR="0089328A" w:rsidRPr="00102445">
        <w:rPr>
          <w:rFonts w:eastAsia="Times New Roman" w:cs="Times New Roman"/>
          <w:lang w:eastAsia="en-AU"/>
        </w:rPr>
        <w:t xml:space="preserve"> on its website </w:t>
      </w:r>
      <w:r w:rsidR="00C47167" w:rsidRPr="00102445">
        <w:rPr>
          <w:rFonts w:eastAsia="Times New Roman" w:cs="Times New Roman"/>
          <w:lang w:eastAsia="en-AU"/>
        </w:rPr>
        <w:t>for each facility that is a designated large facility or an eligible facility, for a financial year.</w:t>
      </w:r>
      <w:r w:rsidR="002745CF" w:rsidRPr="00102445">
        <w:rPr>
          <w:rFonts w:eastAsia="Times New Roman" w:cs="Times New Roman"/>
          <w:lang w:eastAsia="en-AU"/>
        </w:rPr>
        <w:t xml:space="preserve"> This provision </w:t>
      </w:r>
      <w:r w:rsidR="00F67E08" w:rsidRPr="00102445">
        <w:rPr>
          <w:rFonts w:eastAsia="Times New Roman" w:cs="Times New Roman"/>
          <w:lang w:eastAsia="en-AU"/>
        </w:rPr>
        <w:t>provides for it to apply to eligible facilities.</w:t>
      </w:r>
    </w:p>
    <w:p w14:paraId="7A482ABC" w14:textId="79743F14" w:rsidR="00AB3A78" w:rsidRPr="00102445" w:rsidRDefault="00AB3A78"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Publication of information related to the Safeguard Mechanism supports </w:t>
      </w:r>
      <w:r w:rsidR="00CD4D8D" w:rsidRPr="00102445">
        <w:rPr>
          <w:rFonts w:eastAsia="Times New Roman" w:cs="Times New Roman"/>
          <w:lang w:eastAsia="en-AU"/>
        </w:rPr>
        <w:t xml:space="preserve">the </w:t>
      </w:r>
      <w:r w:rsidRPr="00102445">
        <w:rPr>
          <w:rFonts w:eastAsia="Times New Roman" w:cs="Times New Roman"/>
          <w:lang w:eastAsia="en-AU"/>
        </w:rPr>
        <w:t xml:space="preserve">transparency </w:t>
      </w:r>
      <w:r w:rsidR="00CD4D8D" w:rsidRPr="00102445">
        <w:rPr>
          <w:rFonts w:eastAsia="Times New Roman" w:cs="Times New Roman"/>
          <w:lang w:eastAsia="en-AU"/>
        </w:rPr>
        <w:t>and integrity</w:t>
      </w:r>
      <w:r w:rsidR="004C60D8" w:rsidRPr="00102445">
        <w:rPr>
          <w:rFonts w:eastAsia="Times New Roman" w:cs="Times New Roman"/>
          <w:lang w:eastAsia="en-AU"/>
        </w:rPr>
        <w:t xml:space="preserve"> </w:t>
      </w:r>
      <w:r w:rsidRPr="00102445">
        <w:rPr>
          <w:rFonts w:eastAsia="Times New Roman" w:cs="Times New Roman"/>
          <w:lang w:eastAsia="en-AU"/>
        </w:rPr>
        <w:t xml:space="preserve">of these arrangements and is necessary or convenient to give effect to the Safeguard </w:t>
      </w:r>
      <w:r w:rsidRPr="00102445">
        <w:rPr>
          <w:rFonts w:eastAsia="Times New Roman" w:cs="Times New Roman"/>
          <w:lang w:eastAsia="en-AU"/>
        </w:rPr>
        <w:lastRenderedPageBreak/>
        <w:t xml:space="preserve">provisions in the NGER Act. Section 25 of the NGER Act enables NGER reporters to </w:t>
      </w:r>
      <w:r w:rsidRPr="00102445">
        <w:t>apply to the Regulator requesting information not be published if the information is commercially sensitive.</w:t>
      </w:r>
    </w:p>
    <w:p w14:paraId="7D6BD328" w14:textId="7614039E" w:rsidR="002B08FB" w:rsidRPr="00102445" w:rsidRDefault="002B08FB" w:rsidP="002B08FB">
      <w:pPr>
        <w:pStyle w:val="Itemheadings"/>
        <w:rPr>
          <w:lang w:eastAsia="en-AU"/>
        </w:rPr>
      </w:pPr>
      <w:r w:rsidRPr="00102445">
        <w:rPr>
          <w:lang w:eastAsia="en-AU"/>
        </w:rPr>
        <w:t xml:space="preserve">Item </w:t>
      </w:r>
      <w:r w:rsidR="00D00F39" w:rsidRPr="00102445">
        <w:rPr>
          <w:lang w:eastAsia="en-AU"/>
        </w:rPr>
        <w:t>50</w:t>
      </w:r>
      <w:r w:rsidRPr="00102445">
        <w:rPr>
          <w:lang w:eastAsia="en-AU"/>
        </w:rPr>
        <w:t xml:space="preserve"> – Subparagraphs 72(1)(a)(iv) and (v)</w:t>
      </w:r>
    </w:p>
    <w:p w14:paraId="12709DD6" w14:textId="78DBB636" w:rsidR="00C92CD3" w:rsidRPr="00102445" w:rsidRDefault="005F1568"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Sub</w:t>
      </w:r>
      <w:r w:rsidR="009345EC" w:rsidRPr="00102445">
        <w:rPr>
          <w:rFonts w:eastAsia="Times New Roman" w:cs="Times New Roman"/>
          <w:lang w:eastAsia="en-AU"/>
        </w:rPr>
        <w:t>-</w:t>
      </w:r>
      <w:r w:rsidRPr="00102445">
        <w:rPr>
          <w:rFonts w:eastAsia="Times New Roman" w:cs="Times New Roman"/>
          <w:lang w:eastAsia="en-AU"/>
        </w:rPr>
        <w:t>paragraph</w:t>
      </w:r>
      <w:r w:rsidR="00103199" w:rsidRPr="00102445">
        <w:rPr>
          <w:rFonts w:eastAsia="Times New Roman" w:cs="Times New Roman"/>
          <w:lang w:eastAsia="en-AU"/>
        </w:rPr>
        <w:t xml:space="preserve">s 72(1)(a)(iv) and (v) are updated to reflect </w:t>
      </w:r>
      <w:r w:rsidR="0084431F" w:rsidRPr="00102445">
        <w:rPr>
          <w:rFonts w:eastAsia="Times New Roman" w:cs="Times New Roman"/>
          <w:lang w:eastAsia="en-AU"/>
        </w:rPr>
        <w:t xml:space="preserve">the Regulator is to publish information relating to baseline emissions number </w:t>
      </w:r>
      <w:r w:rsidR="007B075A" w:rsidRPr="00102445">
        <w:rPr>
          <w:rFonts w:eastAsia="Times New Roman" w:cs="Times New Roman"/>
          <w:lang w:eastAsia="en-AU"/>
        </w:rPr>
        <w:t>and covered emissions of</w:t>
      </w:r>
      <w:r w:rsidR="0075710D" w:rsidRPr="00102445">
        <w:rPr>
          <w:rFonts w:eastAsia="Times New Roman" w:cs="Times New Roman"/>
          <w:lang w:eastAsia="en-AU"/>
        </w:rPr>
        <w:t xml:space="preserve"> a facility for each financial year that the facility is a designated large facility or an eligible facility (as the case may be). </w:t>
      </w:r>
    </w:p>
    <w:p w14:paraId="23F5A78F" w14:textId="1FEA3286" w:rsidR="006508D0" w:rsidRPr="00102445" w:rsidRDefault="006508D0" w:rsidP="006508D0">
      <w:pPr>
        <w:pStyle w:val="Itemheadings"/>
        <w:rPr>
          <w:lang w:eastAsia="en-AU"/>
        </w:rPr>
      </w:pPr>
      <w:r w:rsidRPr="00102445">
        <w:rPr>
          <w:lang w:eastAsia="en-AU"/>
        </w:rPr>
        <w:t xml:space="preserve">Item </w:t>
      </w:r>
      <w:r w:rsidR="002B22A3" w:rsidRPr="00102445">
        <w:rPr>
          <w:lang w:eastAsia="en-AU"/>
        </w:rPr>
        <w:t>51</w:t>
      </w:r>
      <w:r w:rsidRPr="00102445">
        <w:rPr>
          <w:lang w:eastAsia="en-AU"/>
        </w:rPr>
        <w:t xml:space="preserve"> – At the end of paragraph 72(1)(a)</w:t>
      </w:r>
    </w:p>
    <w:p w14:paraId="1E69DE65" w14:textId="1C0B8571" w:rsidR="0075710D" w:rsidRPr="00102445" w:rsidRDefault="005F3D09"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New subparagraphs </w:t>
      </w:r>
      <w:r w:rsidR="002C0D06" w:rsidRPr="00102445">
        <w:rPr>
          <w:rFonts w:eastAsia="Times New Roman" w:cs="Times New Roman"/>
          <w:lang w:eastAsia="en-AU"/>
        </w:rPr>
        <w:t>(xii)–(x</w:t>
      </w:r>
      <w:r w:rsidR="00084AF1" w:rsidRPr="00102445">
        <w:rPr>
          <w:rFonts w:eastAsia="Times New Roman" w:cs="Times New Roman"/>
          <w:lang w:eastAsia="en-AU"/>
        </w:rPr>
        <w:t>iv) are introduced at the end of p</w:t>
      </w:r>
      <w:r w:rsidR="00896730" w:rsidRPr="00102445">
        <w:rPr>
          <w:rFonts w:eastAsia="Times New Roman" w:cs="Times New Roman"/>
          <w:lang w:eastAsia="en-AU"/>
        </w:rPr>
        <w:t>aragraph 72(1)(a)</w:t>
      </w:r>
      <w:r w:rsidR="005A4C12" w:rsidRPr="00102445">
        <w:rPr>
          <w:rFonts w:eastAsia="Times New Roman" w:cs="Times New Roman"/>
          <w:lang w:eastAsia="en-AU"/>
        </w:rPr>
        <w:t>. They specif</w:t>
      </w:r>
      <w:r w:rsidR="00DD5A22" w:rsidRPr="00102445">
        <w:rPr>
          <w:rFonts w:eastAsia="Times New Roman" w:cs="Times New Roman"/>
          <w:lang w:eastAsia="en-AU"/>
        </w:rPr>
        <w:t xml:space="preserve">y the Regulator is to publish </w:t>
      </w:r>
      <w:r w:rsidR="00FF73DA" w:rsidRPr="00102445">
        <w:rPr>
          <w:rFonts w:eastAsia="Times New Roman" w:cs="Times New Roman"/>
          <w:lang w:eastAsia="en-AU"/>
        </w:rPr>
        <w:t>whether there is a</w:t>
      </w:r>
      <w:r w:rsidR="001F37CC" w:rsidRPr="00102445">
        <w:rPr>
          <w:rFonts w:eastAsia="Times New Roman" w:cs="Times New Roman"/>
          <w:lang w:eastAsia="en-AU"/>
        </w:rPr>
        <w:t xml:space="preserve"> facility specific emissions reduction contribution</w:t>
      </w:r>
      <w:r w:rsidR="00BE3022" w:rsidRPr="00102445">
        <w:rPr>
          <w:rFonts w:eastAsia="Times New Roman" w:cs="Times New Roman"/>
          <w:lang w:eastAsia="en-AU"/>
        </w:rPr>
        <w:t xml:space="preserve">, borrowing adjustment number, and </w:t>
      </w:r>
      <w:r w:rsidR="002F471A" w:rsidRPr="00102445">
        <w:rPr>
          <w:rFonts w:eastAsia="Times New Roman" w:cs="Times New Roman"/>
          <w:lang w:eastAsia="en-AU"/>
        </w:rPr>
        <w:t>the number of safeguard mechanism credits is</w:t>
      </w:r>
      <w:r w:rsidR="00854533" w:rsidRPr="00102445">
        <w:rPr>
          <w:rFonts w:eastAsia="Times New Roman" w:cs="Times New Roman"/>
          <w:lang w:eastAsia="en-AU"/>
        </w:rPr>
        <w:t xml:space="preserve">sued to </w:t>
      </w:r>
      <w:r w:rsidR="004C4315" w:rsidRPr="00102445">
        <w:rPr>
          <w:rFonts w:eastAsia="Times New Roman" w:cs="Times New Roman"/>
          <w:lang w:eastAsia="en-AU"/>
        </w:rPr>
        <w:t xml:space="preserve">the responsible emitter for that financial year. </w:t>
      </w:r>
    </w:p>
    <w:p w14:paraId="03094128" w14:textId="010AF9D3" w:rsidR="006508D0" w:rsidRPr="00102445" w:rsidRDefault="006508D0" w:rsidP="00B656BF">
      <w:pPr>
        <w:pStyle w:val="Itemheadings"/>
        <w:rPr>
          <w:lang w:eastAsia="en-AU"/>
        </w:rPr>
      </w:pPr>
      <w:r w:rsidRPr="00102445">
        <w:rPr>
          <w:lang w:eastAsia="en-AU"/>
        </w:rPr>
        <w:t xml:space="preserve">Item </w:t>
      </w:r>
      <w:r w:rsidR="002B22A3" w:rsidRPr="00102445">
        <w:rPr>
          <w:lang w:eastAsia="en-AU"/>
        </w:rPr>
        <w:t>52</w:t>
      </w:r>
      <w:r w:rsidRPr="00102445">
        <w:rPr>
          <w:lang w:eastAsia="en-AU"/>
        </w:rPr>
        <w:t xml:space="preserve"> – Paragraphs 7</w:t>
      </w:r>
      <w:r w:rsidR="00E73494" w:rsidRPr="00102445">
        <w:rPr>
          <w:lang w:eastAsia="en-AU"/>
        </w:rPr>
        <w:t>2</w:t>
      </w:r>
      <w:r w:rsidRPr="00102445">
        <w:rPr>
          <w:lang w:eastAsia="en-AU"/>
        </w:rPr>
        <w:t xml:space="preserve">(1)(d) and (e)  </w:t>
      </w:r>
    </w:p>
    <w:p w14:paraId="75FE3B1A" w14:textId="3DFFA1DF" w:rsidR="00C96B32" w:rsidRPr="00102445" w:rsidRDefault="00B26793"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Paragraphs 72(1)(d) and (e)</w:t>
      </w:r>
      <w:r w:rsidR="003F5D4F" w:rsidRPr="00102445">
        <w:rPr>
          <w:rFonts w:eastAsia="Times New Roman" w:cs="Times New Roman"/>
          <w:lang w:eastAsia="en-AU"/>
        </w:rPr>
        <w:t xml:space="preserve"> are removed and</w:t>
      </w:r>
      <w:r w:rsidR="00434005" w:rsidRPr="00102445">
        <w:rPr>
          <w:rFonts w:eastAsia="Times New Roman" w:cs="Times New Roman"/>
          <w:lang w:eastAsia="en-AU"/>
        </w:rPr>
        <w:t xml:space="preserve"> replaced with new </w:t>
      </w:r>
      <w:r w:rsidR="00F90591" w:rsidRPr="00102445">
        <w:rPr>
          <w:rFonts w:eastAsia="Times New Roman" w:cs="Times New Roman"/>
          <w:lang w:eastAsia="en-AU"/>
        </w:rPr>
        <w:t>paragraphs 72(1)(d) and (e)</w:t>
      </w:r>
      <w:r w:rsidR="00796A36" w:rsidRPr="00102445">
        <w:rPr>
          <w:rFonts w:eastAsia="Times New Roman" w:cs="Times New Roman"/>
          <w:lang w:eastAsia="en-AU"/>
        </w:rPr>
        <w:t>. They provide the Regulator is to publish on their website</w:t>
      </w:r>
      <w:r w:rsidR="00B537BB" w:rsidRPr="00102445">
        <w:rPr>
          <w:rFonts w:eastAsia="Times New Roman" w:cs="Times New Roman"/>
          <w:lang w:eastAsia="en-AU"/>
        </w:rPr>
        <w:t xml:space="preserve"> </w:t>
      </w:r>
      <w:r w:rsidR="009D6FC5" w:rsidRPr="00102445">
        <w:rPr>
          <w:rFonts w:eastAsia="Times New Roman" w:cs="Times New Roman"/>
          <w:lang w:eastAsia="en-AU"/>
        </w:rPr>
        <w:t xml:space="preserve">the </w:t>
      </w:r>
      <w:r w:rsidR="002F19AC" w:rsidRPr="00102445">
        <w:rPr>
          <w:rFonts w:eastAsia="Times New Roman" w:cs="Times New Roman"/>
          <w:lang w:eastAsia="en-AU"/>
        </w:rPr>
        <w:t>summary of the plan</w:t>
      </w:r>
      <w:r w:rsidR="00994BB6" w:rsidRPr="00102445">
        <w:rPr>
          <w:rFonts w:eastAsia="Times New Roman" w:cs="Times New Roman"/>
          <w:lang w:eastAsia="en-AU"/>
        </w:rPr>
        <w:t xml:space="preserve"> to reduce the facility’s</w:t>
      </w:r>
      <w:r w:rsidR="00501A96" w:rsidRPr="00102445">
        <w:rPr>
          <w:rFonts w:eastAsia="Times New Roman" w:cs="Times New Roman"/>
          <w:lang w:eastAsia="en-AU"/>
        </w:rPr>
        <w:t xml:space="preserve"> covered emissions</w:t>
      </w:r>
      <w:r w:rsidR="00AD1E12" w:rsidRPr="00102445">
        <w:rPr>
          <w:rFonts w:eastAsia="Times New Roman" w:cs="Times New Roman"/>
          <w:lang w:eastAsia="en-AU"/>
        </w:rPr>
        <w:t xml:space="preserve"> as mentioned in section 65(3)(f)</w:t>
      </w:r>
      <w:r w:rsidR="00BF7D17" w:rsidRPr="00102445">
        <w:rPr>
          <w:rFonts w:eastAsia="Times New Roman" w:cs="Times New Roman"/>
          <w:lang w:eastAsia="en-AU"/>
        </w:rPr>
        <w:t>, and each report submitted to the Regulator under subsection 69A(2).</w:t>
      </w:r>
    </w:p>
    <w:p w14:paraId="452EB3D9" w14:textId="1D1EC8DB" w:rsidR="00046D2C" w:rsidRPr="00102445" w:rsidRDefault="00046D2C" w:rsidP="00711BC3">
      <w:pPr>
        <w:pStyle w:val="Itemheadings"/>
      </w:pPr>
      <w:r w:rsidRPr="00102445">
        <w:t>Item 5</w:t>
      </w:r>
      <w:r w:rsidR="002B22A3" w:rsidRPr="00102445">
        <w:t>3</w:t>
      </w:r>
      <w:r w:rsidRPr="00102445">
        <w:t xml:space="preserve"> – Subsection 72(3)</w:t>
      </w:r>
    </w:p>
    <w:p w14:paraId="2BB656FD" w14:textId="410C2BB0" w:rsidR="00046D2C" w:rsidRPr="00102445" w:rsidRDefault="00046D2C"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Substitutes the date with 1 April, moving the publishing date later by 1 month to reflect changes to application dates as set out in section </w:t>
      </w:r>
      <w:r w:rsidR="00CD45B9" w:rsidRPr="00102445">
        <w:rPr>
          <w:rFonts w:eastAsia="Times New Roman" w:cs="Times New Roman"/>
          <w:lang w:eastAsia="en-AU"/>
        </w:rPr>
        <w:t>52</w:t>
      </w:r>
      <w:r w:rsidRPr="00102445">
        <w:rPr>
          <w:rFonts w:eastAsia="Times New Roman" w:cs="Times New Roman"/>
          <w:lang w:eastAsia="en-AU"/>
        </w:rPr>
        <w:t>.</w:t>
      </w:r>
    </w:p>
    <w:p w14:paraId="0D33E282" w14:textId="0AF4D1C6" w:rsidR="00046D2C" w:rsidRPr="00102445" w:rsidRDefault="00046D2C" w:rsidP="00711BC3">
      <w:pPr>
        <w:pStyle w:val="Itemheadings"/>
      </w:pPr>
      <w:r w:rsidRPr="00102445">
        <w:t>Item 5</w:t>
      </w:r>
      <w:r w:rsidR="002B22A3" w:rsidRPr="00102445">
        <w:t>4</w:t>
      </w:r>
      <w:r w:rsidRPr="00102445">
        <w:t xml:space="preserve"> – Division 4 of Part 4 (heading)</w:t>
      </w:r>
    </w:p>
    <w:p w14:paraId="1A854A5A" w14:textId="5F5B318B" w:rsidR="00046D2C" w:rsidRPr="00102445" w:rsidRDefault="003B6A93"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Removes </w:t>
      </w:r>
      <w:r w:rsidR="008825E5" w:rsidRPr="00102445">
        <w:rPr>
          <w:rFonts w:eastAsia="Times New Roman" w:cs="Times New Roman"/>
          <w:lang w:eastAsia="en-AU"/>
        </w:rPr>
        <w:t xml:space="preserve">the heading </w:t>
      </w:r>
      <w:r w:rsidRPr="00102445">
        <w:rPr>
          <w:rFonts w:eastAsia="Times New Roman" w:cs="Times New Roman"/>
          <w:lang w:eastAsia="en-AU"/>
        </w:rPr>
        <w:t xml:space="preserve">‘Excess surrender situations’ and introduces the heading </w:t>
      </w:r>
      <w:r w:rsidR="007D1C1D" w:rsidRPr="00102445">
        <w:rPr>
          <w:rFonts w:eastAsia="Times New Roman" w:cs="Times New Roman"/>
          <w:lang w:eastAsia="en-AU"/>
        </w:rPr>
        <w:t xml:space="preserve">‘Net emissions number’ for which </w:t>
      </w:r>
      <w:r w:rsidR="00963CA9" w:rsidRPr="00102445">
        <w:rPr>
          <w:rFonts w:eastAsia="Times New Roman" w:cs="Times New Roman"/>
          <w:lang w:eastAsia="en-AU"/>
        </w:rPr>
        <w:t>Division 4 now</w:t>
      </w:r>
      <w:r w:rsidR="007D1C1D" w:rsidRPr="00102445">
        <w:rPr>
          <w:rFonts w:eastAsia="Times New Roman" w:cs="Times New Roman"/>
          <w:lang w:eastAsia="en-AU"/>
        </w:rPr>
        <w:t xml:space="preserve"> relates. </w:t>
      </w:r>
    </w:p>
    <w:p w14:paraId="44A5C559" w14:textId="6D205804" w:rsidR="00046D2C" w:rsidRPr="00102445" w:rsidRDefault="00140E7A" w:rsidP="00B656BF">
      <w:pPr>
        <w:pStyle w:val="Itemheadings"/>
      </w:pPr>
      <w:r w:rsidRPr="00102445">
        <w:t>Item 5</w:t>
      </w:r>
      <w:r w:rsidR="00586594" w:rsidRPr="00102445">
        <w:t>5</w:t>
      </w:r>
      <w:r w:rsidRPr="00102445">
        <w:t xml:space="preserve"> – Section </w:t>
      </w:r>
      <w:r w:rsidR="0091466A" w:rsidRPr="00102445">
        <w:t>72A</w:t>
      </w:r>
    </w:p>
    <w:p w14:paraId="3A020053" w14:textId="46440173" w:rsidR="008B7700" w:rsidRPr="00102445" w:rsidRDefault="0015122A"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Repeals the section and introduces</w:t>
      </w:r>
      <w:r w:rsidR="00EA4393" w:rsidRPr="00102445">
        <w:rPr>
          <w:rFonts w:eastAsia="Times New Roman" w:cs="Times New Roman"/>
          <w:lang w:eastAsia="en-AU"/>
        </w:rPr>
        <w:t xml:space="preserve"> 72A</w:t>
      </w:r>
      <w:r w:rsidR="0000771D" w:rsidRPr="00102445">
        <w:rPr>
          <w:rFonts w:eastAsia="Times New Roman" w:cs="Times New Roman"/>
          <w:lang w:eastAsia="en-AU"/>
        </w:rPr>
        <w:t xml:space="preserve"> ‘</w:t>
      </w:r>
      <w:r w:rsidR="0092552D" w:rsidRPr="00102445">
        <w:rPr>
          <w:rFonts w:eastAsia="Times New Roman" w:cs="Times New Roman"/>
          <w:lang w:eastAsia="en-AU"/>
        </w:rPr>
        <w:t>Excess surrender s</w:t>
      </w:r>
      <w:r w:rsidR="001514E7" w:rsidRPr="00102445">
        <w:rPr>
          <w:rFonts w:eastAsia="Times New Roman" w:cs="Times New Roman"/>
          <w:lang w:eastAsia="en-AU"/>
        </w:rPr>
        <w:t>ituation</w:t>
      </w:r>
      <w:r w:rsidR="00DF66E3" w:rsidRPr="00102445">
        <w:rPr>
          <w:rFonts w:eastAsia="Times New Roman" w:cs="Times New Roman"/>
          <w:lang w:eastAsia="en-AU"/>
        </w:rPr>
        <w:t>’</w:t>
      </w:r>
      <w:r w:rsidR="00D8028B" w:rsidRPr="00102445">
        <w:rPr>
          <w:rFonts w:eastAsia="Times New Roman" w:cs="Times New Roman"/>
          <w:lang w:eastAsia="en-AU"/>
        </w:rPr>
        <w:t xml:space="preserve"> </w:t>
      </w:r>
      <w:r w:rsidR="008B7700" w:rsidRPr="00102445">
        <w:rPr>
          <w:rFonts w:eastAsia="Times New Roman" w:cs="Times New Roman"/>
          <w:lang w:eastAsia="en-AU"/>
        </w:rPr>
        <w:t xml:space="preserve">and 72B </w:t>
      </w:r>
      <w:r w:rsidR="005D5B99" w:rsidRPr="00102445">
        <w:rPr>
          <w:rFonts w:eastAsia="Times New Roman" w:cs="Times New Roman"/>
          <w:lang w:eastAsia="en-AU"/>
        </w:rPr>
        <w:t xml:space="preserve">which details circumstance in which subsection 22XK(4) of </w:t>
      </w:r>
      <w:r w:rsidR="00B86E54" w:rsidRPr="00102445">
        <w:rPr>
          <w:rFonts w:eastAsia="Times New Roman" w:cs="Times New Roman"/>
          <w:lang w:eastAsia="en-AU"/>
        </w:rPr>
        <w:t>the NGER Act</w:t>
      </w:r>
      <w:r w:rsidR="005D5B99" w:rsidRPr="00102445">
        <w:rPr>
          <w:rFonts w:eastAsia="Times New Roman" w:cs="Times New Roman"/>
          <w:lang w:eastAsia="en-AU"/>
        </w:rPr>
        <w:t xml:space="preserve"> does not apply.</w:t>
      </w:r>
    </w:p>
    <w:p w14:paraId="0571ACFC" w14:textId="39F88101" w:rsidR="00637313" w:rsidRPr="00102445" w:rsidRDefault="00F5431E"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The new section 72A sets out </w:t>
      </w:r>
      <w:r w:rsidR="00B6218E" w:rsidRPr="00102445">
        <w:rPr>
          <w:rFonts w:eastAsia="Times New Roman" w:cs="Times New Roman"/>
          <w:lang w:eastAsia="en-AU"/>
        </w:rPr>
        <w:t>how</w:t>
      </w:r>
      <w:r w:rsidRPr="00102445">
        <w:rPr>
          <w:rFonts w:eastAsia="Times New Roman" w:cs="Times New Roman"/>
          <w:lang w:eastAsia="en-AU"/>
        </w:rPr>
        <w:t xml:space="preserve"> an ‘Excess surrender situation’</w:t>
      </w:r>
      <w:r w:rsidR="00D8028B" w:rsidRPr="00102445" w:rsidDel="00503D99">
        <w:rPr>
          <w:rFonts w:eastAsia="Times New Roman" w:cs="Times New Roman"/>
          <w:lang w:eastAsia="en-AU"/>
        </w:rPr>
        <w:t xml:space="preserve"> </w:t>
      </w:r>
      <w:r w:rsidR="0053328E" w:rsidRPr="00102445">
        <w:rPr>
          <w:rFonts w:eastAsia="Times New Roman" w:cs="Times New Roman"/>
          <w:lang w:eastAsia="en-AU"/>
        </w:rPr>
        <w:t>applies where a person has surrendered a number of</w:t>
      </w:r>
      <w:r w:rsidR="00DA07A5" w:rsidRPr="00102445">
        <w:rPr>
          <w:rFonts w:eastAsia="Times New Roman" w:cs="Times New Roman"/>
          <w:lang w:eastAsia="en-AU"/>
        </w:rPr>
        <w:t xml:space="preserve"> prescribed carbon units for the purpose of reducing the net emission</w:t>
      </w:r>
      <w:r w:rsidR="007F7026" w:rsidRPr="00102445">
        <w:rPr>
          <w:rFonts w:eastAsia="Times New Roman" w:cs="Times New Roman"/>
          <w:lang w:eastAsia="en-AU"/>
        </w:rPr>
        <w:t xml:space="preserve">s number for a facility </w:t>
      </w:r>
      <w:r w:rsidR="00EA7177" w:rsidRPr="00102445">
        <w:rPr>
          <w:rFonts w:eastAsia="Times New Roman" w:cs="Times New Roman"/>
          <w:lang w:eastAsia="en-AU"/>
        </w:rPr>
        <w:t>f</w:t>
      </w:r>
      <w:r w:rsidR="007F7026" w:rsidRPr="00102445">
        <w:rPr>
          <w:rFonts w:eastAsia="Times New Roman" w:cs="Times New Roman"/>
          <w:lang w:eastAsia="en-AU"/>
        </w:rPr>
        <w:t xml:space="preserve">or a period, also defined as the </w:t>
      </w:r>
      <w:r w:rsidR="00FD04B6" w:rsidRPr="00102445">
        <w:rPr>
          <w:rFonts w:eastAsia="Times New Roman" w:cs="Times New Roman"/>
          <w:lang w:eastAsia="en-AU"/>
        </w:rPr>
        <w:t>‘</w:t>
      </w:r>
      <w:r w:rsidR="00EA7177" w:rsidRPr="00102445">
        <w:rPr>
          <w:rFonts w:eastAsia="Times New Roman" w:cs="Times New Roman"/>
          <w:i/>
          <w:iCs/>
          <w:lang w:eastAsia="en-AU"/>
        </w:rPr>
        <w:t xml:space="preserve">relevant </w:t>
      </w:r>
      <w:r w:rsidR="007F7026" w:rsidRPr="00102445">
        <w:rPr>
          <w:rFonts w:eastAsia="Times New Roman" w:cs="Times New Roman"/>
          <w:i/>
          <w:iCs/>
          <w:lang w:eastAsia="en-AU"/>
        </w:rPr>
        <w:t>period</w:t>
      </w:r>
      <w:r w:rsidR="008F3C57" w:rsidRPr="00102445">
        <w:rPr>
          <w:rFonts w:eastAsia="Times New Roman" w:cs="Times New Roman"/>
          <w:lang w:eastAsia="en-AU"/>
        </w:rPr>
        <w:t>’</w:t>
      </w:r>
      <w:r w:rsidR="007F7026" w:rsidRPr="00102445">
        <w:rPr>
          <w:rFonts w:eastAsia="Times New Roman" w:cs="Times New Roman"/>
          <w:lang w:eastAsia="en-AU"/>
        </w:rPr>
        <w:t xml:space="preserve">. </w:t>
      </w:r>
      <w:r w:rsidR="00FF591D" w:rsidRPr="00102445">
        <w:rPr>
          <w:rFonts w:eastAsia="Times New Roman" w:cs="Times New Roman"/>
          <w:lang w:eastAsia="en-AU"/>
        </w:rPr>
        <w:t>An excess surrender situation i</w:t>
      </w:r>
      <w:r w:rsidR="005631FD" w:rsidRPr="00102445">
        <w:rPr>
          <w:rFonts w:eastAsia="Times New Roman" w:cs="Times New Roman"/>
          <w:lang w:eastAsia="en-AU"/>
        </w:rPr>
        <w:t>s</w:t>
      </w:r>
      <w:r w:rsidR="00447166" w:rsidRPr="00102445">
        <w:rPr>
          <w:rFonts w:eastAsia="Times New Roman" w:cs="Times New Roman"/>
          <w:lang w:eastAsia="en-AU"/>
        </w:rPr>
        <w:t xml:space="preserve"> </w:t>
      </w:r>
      <w:r w:rsidR="00F835FA" w:rsidRPr="00102445">
        <w:rPr>
          <w:rFonts w:eastAsia="Times New Roman" w:cs="Times New Roman"/>
          <w:lang w:eastAsia="en-AU"/>
        </w:rPr>
        <w:t xml:space="preserve">taken </w:t>
      </w:r>
      <w:r w:rsidR="00353566" w:rsidRPr="00102445">
        <w:rPr>
          <w:rFonts w:eastAsia="Times New Roman" w:cs="Times New Roman"/>
          <w:lang w:eastAsia="en-AU"/>
        </w:rPr>
        <w:t xml:space="preserve">to be </w:t>
      </w:r>
      <w:r w:rsidR="00F835FA" w:rsidRPr="00102445">
        <w:rPr>
          <w:rFonts w:eastAsia="Times New Roman" w:cs="Times New Roman"/>
          <w:lang w:eastAsia="en-AU"/>
        </w:rPr>
        <w:t>w</w:t>
      </w:r>
      <w:r w:rsidR="007D3F19" w:rsidRPr="00102445">
        <w:rPr>
          <w:rFonts w:eastAsia="Times New Roman" w:cs="Times New Roman"/>
          <w:lang w:eastAsia="en-AU"/>
        </w:rPr>
        <w:t xml:space="preserve">here the person in relation to the facility for the </w:t>
      </w:r>
      <w:r w:rsidR="00A82EAB" w:rsidRPr="00102445">
        <w:rPr>
          <w:rFonts w:eastAsia="Times New Roman" w:cs="Times New Roman"/>
          <w:lang w:eastAsia="en-AU"/>
        </w:rPr>
        <w:t>relevant</w:t>
      </w:r>
      <w:r w:rsidR="007D3F19" w:rsidRPr="00102445">
        <w:rPr>
          <w:rFonts w:eastAsia="Times New Roman" w:cs="Times New Roman"/>
          <w:lang w:eastAsia="en-AU"/>
        </w:rPr>
        <w:t xml:space="preserve"> period </w:t>
      </w:r>
      <w:r w:rsidR="001D2CDC" w:rsidRPr="00102445">
        <w:rPr>
          <w:rFonts w:eastAsia="Times New Roman" w:cs="Times New Roman"/>
          <w:lang w:eastAsia="en-AU"/>
        </w:rPr>
        <w:t xml:space="preserve">surrendered some or all of those units because of an error on </w:t>
      </w:r>
      <w:r w:rsidR="007C589D" w:rsidRPr="00102445">
        <w:rPr>
          <w:rFonts w:eastAsia="Times New Roman" w:cs="Times New Roman"/>
          <w:lang w:eastAsia="en-AU"/>
        </w:rPr>
        <w:t>t</w:t>
      </w:r>
      <w:r w:rsidR="001D2CDC" w:rsidRPr="00102445">
        <w:rPr>
          <w:rFonts w:eastAsia="Times New Roman" w:cs="Times New Roman"/>
          <w:lang w:eastAsia="en-AU"/>
        </w:rPr>
        <w:t>he part of the Regulator</w:t>
      </w:r>
      <w:r w:rsidR="004C6187" w:rsidRPr="00102445">
        <w:rPr>
          <w:rFonts w:eastAsia="Times New Roman" w:cs="Times New Roman"/>
          <w:lang w:eastAsia="en-AU"/>
        </w:rPr>
        <w:t xml:space="preserve">, </w:t>
      </w:r>
      <w:r w:rsidR="00836E9F" w:rsidRPr="00102445">
        <w:rPr>
          <w:rFonts w:eastAsia="Times New Roman" w:cs="Times New Roman"/>
          <w:lang w:eastAsia="en-AU"/>
        </w:rPr>
        <w:t xml:space="preserve">or error on </w:t>
      </w:r>
      <w:r w:rsidR="000A5D19" w:rsidRPr="00102445">
        <w:rPr>
          <w:rFonts w:eastAsia="Times New Roman" w:cs="Times New Roman"/>
          <w:lang w:eastAsia="en-AU"/>
        </w:rPr>
        <w:t>part of the person</w:t>
      </w:r>
      <w:r w:rsidR="003F6B52" w:rsidRPr="00102445">
        <w:rPr>
          <w:rFonts w:eastAsia="Times New Roman" w:cs="Times New Roman"/>
          <w:lang w:eastAsia="en-AU"/>
        </w:rPr>
        <w:t xml:space="preserve"> </w:t>
      </w:r>
      <w:r w:rsidR="007E0C56" w:rsidRPr="00102445">
        <w:rPr>
          <w:rFonts w:eastAsia="Times New Roman" w:cs="Times New Roman"/>
          <w:lang w:eastAsia="en-AU"/>
        </w:rPr>
        <w:t>or another person</w:t>
      </w:r>
      <w:r w:rsidR="00041037" w:rsidRPr="00102445">
        <w:rPr>
          <w:rFonts w:eastAsia="Times New Roman" w:cs="Times New Roman"/>
          <w:lang w:eastAsia="en-AU"/>
        </w:rPr>
        <w:t xml:space="preserve">; </w:t>
      </w:r>
      <w:r w:rsidR="00887A6B" w:rsidRPr="00102445">
        <w:rPr>
          <w:rFonts w:eastAsia="Times New Roman" w:cs="Times New Roman"/>
          <w:lang w:eastAsia="en-AU"/>
        </w:rPr>
        <w:t xml:space="preserve">the </w:t>
      </w:r>
      <w:r w:rsidR="00935A72" w:rsidRPr="00102445">
        <w:rPr>
          <w:rFonts w:eastAsia="Times New Roman" w:cs="Times New Roman"/>
          <w:lang w:eastAsia="en-AU"/>
        </w:rPr>
        <w:t>error</w:t>
      </w:r>
      <w:r w:rsidR="001A0BB6" w:rsidRPr="00102445">
        <w:rPr>
          <w:rFonts w:eastAsia="Times New Roman" w:cs="Times New Roman"/>
          <w:lang w:eastAsia="en-AU"/>
        </w:rPr>
        <w:t xml:space="preserve"> </w:t>
      </w:r>
      <w:r w:rsidR="00887A6B" w:rsidRPr="00102445">
        <w:rPr>
          <w:rFonts w:eastAsia="Times New Roman" w:cs="Times New Roman"/>
          <w:lang w:eastAsia="en-AU"/>
        </w:rPr>
        <w:t>concerned</w:t>
      </w:r>
      <w:r w:rsidR="001A0BB6" w:rsidRPr="00102445">
        <w:rPr>
          <w:rFonts w:eastAsia="Times New Roman" w:cs="Times New Roman"/>
          <w:lang w:eastAsia="en-AU"/>
        </w:rPr>
        <w:t xml:space="preserve"> the amount of covered emissions of greenhouse gases from the operation of the facility, or quantity of a production variable for the facility, during the first period; </w:t>
      </w:r>
      <w:r w:rsidR="008126E5" w:rsidRPr="00102445">
        <w:rPr>
          <w:rFonts w:eastAsia="Times New Roman" w:cs="Times New Roman"/>
          <w:lang w:eastAsia="en-AU"/>
        </w:rPr>
        <w:t xml:space="preserve">the Regulator required a report under </w:t>
      </w:r>
      <w:r w:rsidR="00B86E54" w:rsidRPr="00102445">
        <w:rPr>
          <w:rFonts w:eastAsia="Times New Roman" w:cs="Times New Roman"/>
          <w:lang w:eastAsia="en-AU"/>
        </w:rPr>
        <w:t>the NGER Act</w:t>
      </w:r>
      <w:r w:rsidR="008126E5" w:rsidRPr="00102445">
        <w:rPr>
          <w:rFonts w:eastAsia="Times New Roman" w:cs="Times New Roman"/>
          <w:lang w:eastAsia="en-AU"/>
        </w:rPr>
        <w:t xml:space="preserve"> to be re-submitted because of the error</w:t>
      </w:r>
      <w:r w:rsidR="00CE3959" w:rsidRPr="00102445">
        <w:rPr>
          <w:rFonts w:eastAsia="Times New Roman" w:cs="Times New Roman"/>
          <w:lang w:eastAsia="en-AU"/>
        </w:rPr>
        <w:t xml:space="preserve">; and </w:t>
      </w:r>
      <w:r w:rsidR="00BC5E7C" w:rsidRPr="00102445">
        <w:rPr>
          <w:rFonts w:eastAsia="Times New Roman" w:cs="Times New Roman"/>
          <w:lang w:eastAsia="en-AU"/>
        </w:rPr>
        <w:t xml:space="preserve">the Regulator is satisfied the error was made in good faith. </w:t>
      </w:r>
      <w:r w:rsidR="00220509" w:rsidRPr="00102445">
        <w:rPr>
          <w:rFonts w:eastAsia="Times New Roman" w:cs="Times New Roman"/>
          <w:lang w:eastAsia="en-AU"/>
        </w:rPr>
        <w:t xml:space="preserve">The units surrendered because of the error </w:t>
      </w:r>
      <w:r w:rsidR="00CA236D" w:rsidRPr="00102445">
        <w:rPr>
          <w:rFonts w:eastAsia="Times New Roman" w:cs="Times New Roman"/>
          <w:lang w:eastAsia="en-AU"/>
        </w:rPr>
        <w:t xml:space="preserve">in </w:t>
      </w:r>
      <w:r w:rsidR="00AA54EC" w:rsidRPr="00102445">
        <w:rPr>
          <w:rFonts w:eastAsia="Times New Roman" w:cs="Times New Roman"/>
          <w:lang w:eastAsia="en-AU"/>
        </w:rPr>
        <w:t>subsection</w:t>
      </w:r>
      <w:r w:rsidR="00CA236D" w:rsidRPr="00102445">
        <w:rPr>
          <w:rFonts w:eastAsia="Times New Roman" w:cs="Times New Roman"/>
          <w:lang w:eastAsia="en-AU"/>
        </w:rPr>
        <w:t xml:space="preserve"> 72A</w:t>
      </w:r>
      <w:r w:rsidR="00AA54EC" w:rsidRPr="00102445">
        <w:rPr>
          <w:rFonts w:eastAsia="Times New Roman" w:cs="Times New Roman"/>
          <w:lang w:eastAsia="en-AU"/>
        </w:rPr>
        <w:t>(2)</w:t>
      </w:r>
      <w:r w:rsidR="00D26777" w:rsidRPr="00102445">
        <w:rPr>
          <w:rFonts w:eastAsia="Times New Roman" w:cs="Times New Roman"/>
          <w:lang w:eastAsia="en-AU"/>
        </w:rPr>
        <w:t xml:space="preserve"> in the relevant period</w:t>
      </w:r>
      <w:r w:rsidR="00506200" w:rsidRPr="00102445">
        <w:rPr>
          <w:rFonts w:eastAsia="Times New Roman" w:cs="Times New Roman"/>
          <w:lang w:eastAsia="en-AU"/>
        </w:rPr>
        <w:t>, defined as excess units, are taken to be covered by the e</w:t>
      </w:r>
      <w:r w:rsidR="00EA148A" w:rsidRPr="00102445">
        <w:rPr>
          <w:rFonts w:eastAsia="Times New Roman" w:cs="Times New Roman"/>
          <w:lang w:eastAsia="en-AU"/>
        </w:rPr>
        <w:t xml:space="preserve">xcess surrender situation. </w:t>
      </w:r>
      <w:r w:rsidR="0032106A" w:rsidRPr="00102445">
        <w:rPr>
          <w:rFonts w:eastAsia="Times New Roman" w:cs="Times New Roman"/>
          <w:lang w:eastAsia="en-AU"/>
        </w:rPr>
        <w:t>The person</w:t>
      </w:r>
      <w:r w:rsidR="00B96963" w:rsidRPr="00102445">
        <w:rPr>
          <w:rFonts w:eastAsia="Times New Roman" w:cs="Times New Roman"/>
          <w:lang w:eastAsia="en-AU"/>
        </w:rPr>
        <w:t xml:space="preserve"> may</w:t>
      </w:r>
      <w:r w:rsidR="006D4E10" w:rsidRPr="00102445">
        <w:rPr>
          <w:rFonts w:eastAsia="Times New Roman" w:cs="Times New Roman"/>
          <w:lang w:eastAsia="en-AU"/>
        </w:rPr>
        <w:t xml:space="preserve"> by written notic</w:t>
      </w:r>
      <w:r w:rsidR="00440FBA" w:rsidRPr="00102445">
        <w:rPr>
          <w:rFonts w:eastAsia="Times New Roman" w:cs="Times New Roman"/>
          <w:lang w:eastAsia="en-AU"/>
        </w:rPr>
        <w:t>e to the Regulator</w:t>
      </w:r>
      <w:r w:rsidR="00DC69AB" w:rsidRPr="00102445">
        <w:rPr>
          <w:rFonts w:eastAsia="Times New Roman" w:cs="Times New Roman"/>
          <w:lang w:eastAsia="en-AU"/>
        </w:rPr>
        <w:t xml:space="preserve"> </w:t>
      </w:r>
      <w:r w:rsidR="00867723" w:rsidRPr="00102445">
        <w:rPr>
          <w:rFonts w:eastAsia="Times New Roman" w:cs="Times New Roman"/>
          <w:lang w:eastAsia="en-AU"/>
        </w:rPr>
        <w:t>request</w:t>
      </w:r>
      <w:r w:rsidR="00DB7299" w:rsidRPr="00102445">
        <w:rPr>
          <w:rFonts w:eastAsia="Times New Roman" w:cs="Times New Roman"/>
          <w:lang w:eastAsia="en-AU"/>
        </w:rPr>
        <w:t xml:space="preserve"> that </w:t>
      </w:r>
      <w:r w:rsidR="00CA4D51" w:rsidRPr="00102445">
        <w:rPr>
          <w:rFonts w:eastAsia="Times New Roman" w:cs="Times New Roman"/>
          <w:lang w:eastAsia="en-AU"/>
        </w:rPr>
        <w:t xml:space="preserve">the excess units be surrendered </w:t>
      </w:r>
      <w:r w:rsidR="005656C0" w:rsidRPr="00102445">
        <w:rPr>
          <w:rFonts w:eastAsia="Times New Roman" w:cs="Times New Roman"/>
          <w:lang w:eastAsia="en-AU"/>
        </w:rPr>
        <w:t>for the</w:t>
      </w:r>
      <w:r w:rsidR="00924632" w:rsidRPr="00102445">
        <w:rPr>
          <w:rFonts w:eastAsia="Times New Roman" w:cs="Times New Roman"/>
          <w:lang w:eastAsia="en-AU"/>
        </w:rPr>
        <w:t xml:space="preserve"> </w:t>
      </w:r>
      <w:r w:rsidR="009676F4" w:rsidRPr="00102445">
        <w:rPr>
          <w:rFonts w:eastAsia="Times New Roman" w:cs="Times New Roman"/>
          <w:lang w:eastAsia="en-AU"/>
        </w:rPr>
        <w:t>purpose</w:t>
      </w:r>
      <w:r w:rsidR="00E361BA" w:rsidRPr="00102445">
        <w:rPr>
          <w:rFonts w:eastAsia="Times New Roman" w:cs="Times New Roman"/>
          <w:lang w:eastAsia="en-AU"/>
        </w:rPr>
        <w:t xml:space="preserve"> of </w:t>
      </w:r>
      <w:r w:rsidR="00E361BA" w:rsidRPr="00102445">
        <w:rPr>
          <w:rFonts w:eastAsia="Times New Roman" w:cs="Times New Roman"/>
          <w:lang w:eastAsia="en-AU"/>
        </w:rPr>
        <w:lastRenderedPageBreak/>
        <w:t>reducing the net emissions number for the facility in the next financial year</w:t>
      </w:r>
      <w:r w:rsidR="00B96963" w:rsidRPr="00102445">
        <w:rPr>
          <w:rFonts w:eastAsia="Times New Roman" w:cs="Times New Roman"/>
          <w:lang w:eastAsia="en-AU"/>
        </w:rPr>
        <w:t xml:space="preserve">, </w:t>
      </w:r>
      <w:r w:rsidR="006B7D97" w:rsidRPr="00102445">
        <w:rPr>
          <w:rFonts w:eastAsia="Times New Roman" w:cs="Times New Roman"/>
          <w:lang w:eastAsia="en-AU"/>
        </w:rPr>
        <w:t xml:space="preserve">a period </w:t>
      </w:r>
      <w:r w:rsidR="00A846A9" w:rsidRPr="00102445">
        <w:rPr>
          <w:rFonts w:eastAsia="Times New Roman" w:cs="Times New Roman"/>
          <w:lang w:eastAsia="en-AU"/>
        </w:rPr>
        <w:t xml:space="preserve">starting </w:t>
      </w:r>
      <w:r w:rsidR="00447E2C" w:rsidRPr="00102445">
        <w:rPr>
          <w:rFonts w:eastAsia="Times New Roman" w:cs="Times New Roman"/>
          <w:lang w:eastAsia="en-AU"/>
        </w:rPr>
        <w:t xml:space="preserve">immediately after </w:t>
      </w:r>
      <w:r w:rsidR="00A73F75" w:rsidRPr="00102445">
        <w:rPr>
          <w:rFonts w:eastAsia="Times New Roman" w:cs="Times New Roman"/>
          <w:lang w:eastAsia="en-AU"/>
        </w:rPr>
        <w:t xml:space="preserve">the </w:t>
      </w:r>
      <w:r w:rsidR="00356F3B" w:rsidRPr="00102445">
        <w:rPr>
          <w:rFonts w:eastAsia="Times New Roman" w:cs="Times New Roman"/>
          <w:lang w:eastAsia="en-AU"/>
        </w:rPr>
        <w:t>relevant period</w:t>
      </w:r>
      <w:r w:rsidR="00A73F75" w:rsidRPr="00102445">
        <w:rPr>
          <w:rFonts w:eastAsia="Times New Roman" w:cs="Times New Roman"/>
          <w:lang w:eastAsia="en-AU"/>
        </w:rPr>
        <w:t xml:space="preserve"> </w:t>
      </w:r>
      <w:r w:rsidR="00DE4465" w:rsidRPr="00102445">
        <w:rPr>
          <w:rFonts w:eastAsia="Times New Roman" w:cs="Times New Roman"/>
          <w:lang w:eastAsia="en-AU"/>
        </w:rPr>
        <w:t xml:space="preserve">and </w:t>
      </w:r>
      <w:r w:rsidR="006B7D97" w:rsidRPr="00102445">
        <w:rPr>
          <w:rFonts w:eastAsia="Times New Roman" w:cs="Times New Roman"/>
          <w:lang w:eastAsia="en-AU"/>
        </w:rPr>
        <w:t>ending before 1 July 20</w:t>
      </w:r>
      <w:r w:rsidR="00526F85" w:rsidRPr="00102445">
        <w:rPr>
          <w:rFonts w:eastAsia="Times New Roman" w:cs="Times New Roman"/>
          <w:lang w:eastAsia="en-AU"/>
        </w:rPr>
        <w:t>30</w:t>
      </w:r>
      <w:r w:rsidR="002A09D5" w:rsidRPr="00102445">
        <w:rPr>
          <w:rFonts w:eastAsia="Times New Roman" w:cs="Times New Roman"/>
          <w:lang w:eastAsia="en-AU"/>
        </w:rPr>
        <w:t xml:space="preserve">. </w:t>
      </w:r>
    </w:p>
    <w:p w14:paraId="78E44368" w14:textId="15369BF0" w:rsidR="00EB234E" w:rsidRPr="00102445" w:rsidRDefault="00EB234E"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F</w:t>
      </w:r>
      <w:r w:rsidR="00C21258" w:rsidRPr="00102445">
        <w:rPr>
          <w:rFonts w:eastAsia="Times New Roman" w:cs="Times New Roman"/>
          <w:lang w:eastAsia="en-AU"/>
        </w:rPr>
        <w:t>or the purpose of subsection 22XK(3)</w:t>
      </w:r>
      <w:r w:rsidR="00AB1AF3" w:rsidRPr="00102445">
        <w:rPr>
          <w:rFonts w:eastAsia="Times New Roman" w:cs="Times New Roman"/>
          <w:lang w:eastAsia="en-AU"/>
        </w:rPr>
        <w:t xml:space="preserve"> of </w:t>
      </w:r>
      <w:r w:rsidR="00B86E54" w:rsidRPr="00102445">
        <w:rPr>
          <w:rFonts w:eastAsia="Times New Roman" w:cs="Times New Roman"/>
          <w:lang w:eastAsia="en-AU"/>
        </w:rPr>
        <w:t>the NGER Act</w:t>
      </w:r>
      <w:r w:rsidR="00AB1AF3" w:rsidRPr="00102445">
        <w:rPr>
          <w:rFonts w:eastAsia="Times New Roman" w:cs="Times New Roman"/>
          <w:lang w:eastAsia="en-AU"/>
        </w:rPr>
        <w:t>, section 22</w:t>
      </w:r>
      <w:r w:rsidR="00D571C8" w:rsidRPr="00102445">
        <w:rPr>
          <w:rFonts w:eastAsia="Times New Roman" w:cs="Times New Roman"/>
          <w:lang w:eastAsia="en-AU"/>
        </w:rPr>
        <w:t xml:space="preserve">XK of </w:t>
      </w:r>
      <w:r w:rsidR="00B86E54" w:rsidRPr="00102445">
        <w:rPr>
          <w:rFonts w:eastAsia="Times New Roman" w:cs="Times New Roman"/>
          <w:lang w:eastAsia="en-AU"/>
        </w:rPr>
        <w:t>the NGER Act</w:t>
      </w:r>
      <w:r w:rsidR="00D571C8" w:rsidRPr="00102445">
        <w:rPr>
          <w:rFonts w:eastAsia="Times New Roman" w:cs="Times New Roman"/>
          <w:lang w:eastAsia="en-AU"/>
        </w:rPr>
        <w:t xml:space="preserve"> has effect as if</w:t>
      </w:r>
      <w:r w:rsidR="00910762" w:rsidRPr="00102445">
        <w:rPr>
          <w:rFonts w:eastAsia="Times New Roman" w:cs="Times New Roman"/>
          <w:lang w:eastAsia="en-AU"/>
        </w:rPr>
        <w:t xml:space="preserve"> the person has not surrende</w:t>
      </w:r>
      <w:r w:rsidR="007124BF" w:rsidRPr="00102445">
        <w:rPr>
          <w:rFonts w:eastAsia="Times New Roman" w:cs="Times New Roman"/>
          <w:lang w:eastAsia="en-AU"/>
        </w:rPr>
        <w:t>red the excess units for the purpose of reducing the net emissions number</w:t>
      </w:r>
      <w:r w:rsidR="006C0774" w:rsidRPr="00102445">
        <w:rPr>
          <w:rFonts w:eastAsia="Times New Roman" w:cs="Times New Roman"/>
          <w:lang w:eastAsia="en-AU"/>
        </w:rPr>
        <w:t xml:space="preserve"> for the facility for the </w:t>
      </w:r>
      <w:r w:rsidR="0014305C" w:rsidRPr="00102445">
        <w:rPr>
          <w:rFonts w:eastAsia="Times New Roman" w:cs="Times New Roman"/>
          <w:lang w:eastAsia="en-AU"/>
        </w:rPr>
        <w:t xml:space="preserve">relevant </w:t>
      </w:r>
      <w:r w:rsidR="006C0774" w:rsidRPr="00102445">
        <w:rPr>
          <w:rFonts w:eastAsia="Times New Roman" w:cs="Times New Roman"/>
          <w:lang w:eastAsia="en-AU"/>
        </w:rPr>
        <w:t>period; a</w:t>
      </w:r>
      <w:r w:rsidR="00622971" w:rsidRPr="00102445">
        <w:rPr>
          <w:rFonts w:eastAsia="Times New Roman" w:cs="Times New Roman"/>
          <w:lang w:eastAsia="en-AU"/>
        </w:rPr>
        <w:t xml:space="preserve">nd </w:t>
      </w:r>
      <w:r w:rsidR="00634DDB" w:rsidRPr="00102445">
        <w:rPr>
          <w:rFonts w:eastAsia="Times New Roman" w:cs="Times New Roman"/>
          <w:lang w:eastAsia="en-AU"/>
        </w:rPr>
        <w:t>the person had</w:t>
      </w:r>
      <w:r w:rsidR="00F51537" w:rsidRPr="00102445">
        <w:rPr>
          <w:rFonts w:eastAsia="Times New Roman" w:cs="Times New Roman"/>
          <w:lang w:eastAsia="en-AU"/>
        </w:rPr>
        <w:t xml:space="preserve"> surrendered </w:t>
      </w:r>
      <w:r w:rsidR="00453CDA" w:rsidRPr="00102445">
        <w:rPr>
          <w:rFonts w:eastAsia="Times New Roman" w:cs="Times New Roman"/>
          <w:lang w:eastAsia="en-AU"/>
        </w:rPr>
        <w:t>th</w:t>
      </w:r>
      <w:r w:rsidR="00551147" w:rsidRPr="00102445">
        <w:rPr>
          <w:rFonts w:eastAsia="Times New Roman" w:cs="Times New Roman"/>
          <w:lang w:eastAsia="en-AU"/>
        </w:rPr>
        <w:t xml:space="preserve">ose units </w:t>
      </w:r>
      <w:r w:rsidR="00453CDA" w:rsidRPr="00102445">
        <w:rPr>
          <w:rFonts w:eastAsia="Times New Roman" w:cs="Times New Roman"/>
          <w:lang w:eastAsia="en-AU"/>
        </w:rPr>
        <w:t xml:space="preserve">for the </w:t>
      </w:r>
      <w:r w:rsidR="00864CBE" w:rsidRPr="00102445">
        <w:rPr>
          <w:rFonts w:eastAsia="Times New Roman" w:cs="Times New Roman"/>
          <w:lang w:eastAsia="en-AU"/>
        </w:rPr>
        <w:t>next financial year</w:t>
      </w:r>
      <w:r w:rsidR="00453CDA" w:rsidRPr="00102445">
        <w:rPr>
          <w:rFonts w:eastAsia="Times New Roman" w:cs="Times New Roman"/>
          <w:lang w:eastAsia="en-AU"/>
        </w:rPr>
        <w:t xml:space="preserve"> for the purpose of reducing the net emissions number</w:t>
      </w:r>
      <w:r w:rsidR="00551147" w:rsidRPr="00102445">
        <w:rPr>
          <w:rFonts w:eastAsia="Times New Roman" w:cs="Times New Roman"/>
          <w:lang w:eastAsia="en-AU"/>
        </w:rPr>
        <w:t xml:space="preserve">, and had done so on the </w:t>
      </w:r>
      <w:r w:rsidR="005F6152" w:rsidRPr="00102445">
        <w:rPr>
          <w:rFonts w:eastAsia="Times New Roman" w:cs="Times New Roman"/>
          <w:lang w:eastAsia="en-AU"/>
        </w:rPr>
        <w:t xml:space="preserve">later of the </w:t>
      </w:r>
      <w:r w:rsidR="00551147" w:rsidRPr="00102445">
        <w:rPr>
          <w:rFonts w:eastAsia="Times New Roman" w:cs="Times New Roman"/>
          <w:lang w:eastAsia="en-AU"/>
        </w:rPr>
        <w:t>first day of the next financial year</w:t>
      </w:r>
      <w:r w:rsidR="00453CDA" w:rsidRPr="00102445" w:rsidDel="00525408">
        <w:rPr>
          <w:rFonts w:eastAsia="Times New Roman" w:cs="Times New Roman"/>
          <w:lang w:eastAsia="en-AU"/>
        </w:rPr>
        <w:t xml:space="preserve"> </w:t>
      </w:r>
      <w:r w:rsidR="0010677C" w:rsidRPr="00102445">
        <w:rPr>
          <w:rFonts w:eastAsia="Times New Roman" w:cs="Times New Roman"/>
          <w:lang w:eastAsia="en-AU"/>
        </w:rPr>
        <w:t>and</w:t>
      </w:r>
      <w:r w:rsidR="00453CDA" w:rsidRPr="00102445" w:rsidDel="00525408">
        <w:rPr>
          <w:rFonts w:eastAsia="Times New Roman" w:cs="Times New Roman"/>
          <w:lang w:eastAsia="en-AU"/>
        </w:rPr>
        <w:t xml:space="preserve"> </w:t>
      </w:r>
      <w:r w:rsidR="00453CDA" w:rsidRPr="00102445" w:rsidDel="00525408">
        <w:t xml:space="preserve">the </w:t>
      </w:r>
      <w:r w:rsidR="0010677C" w:rsidRPr="00102445">
        <w:t>day</w:t>
      </w:r>
      <w:r w:rsidR="00453CDA" w:rsidRPr="00102445" w:rsidDel="00525408">
        <w:t xml:space="preserve"> the </w:t>
      </w:r>
      <w:r w:rsidR="0010677C" w:rsidRPr="00102445">
        <w:t>notice was given to the Regulator</w:t>
      </w:r>
      <w:r w:rsidR="00453CDA" w:rsidRPr="00102445" w:rsidDel="00525408">
        <w:t xml:space="preserve"> </w:t>
      </w:r>
      <w:r w:rsidR="008A1D9D" w:rsidRPr="00102445">
        <w:t xml:space="preserve">under section </w:t>
      </w:r>
      <w:r w:rsidR="009F038D" w:rsidRPr="00102445">
        <w:t>72A</w:t>
      </w:r>
      <w:r w:rsidR="00453CDA" w:rsidRPr="00102445">
        <w:rPr>
          <w:rFonts w:eastAsia="Times New Roman" w:cs="Times New Roman"/>
          <w:lang w:eastAsia="en-AU"/>
        </w:rPr>
        <w:t>.</w:t>
      </w:r>
      <w:r w:rsidR="00525408" w:rsidRPr="00102445">
        <w:rPr>
          <w:rFonts w:eastAsia="Times New Roman" w:cs="Times New Roman"/>
          <w:lang w:eastAsia="en-AU"/>
        </w:rPr>
        <w:t xml:space="preserve"> </w:t>
      </w:r>
      <w:r w:rsidR="00453CDA" w:rsidRPr="00102445">
        <w:rPr>
          <w:rFonts w:eastAsia="Times New Roman" w:cs="Times New Roman"/>
          <w:lang w:eastAsia="en-AU"/>
        </w:rPr>
        <w:t xml:space="preserve"> </w:t>
      </w:r>
    </w:p>
    <w:p w14:paraId="37E4461E" w14:textId="6B090F9D" w:rsidR="00B47555" w:rsidRPr="00102445" w:rsidRDefault="00B6218E"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N</w:t>
      </w:r>
      <w:r w:rsidR="00E27117" w:rsidRPr="00102445">
        <w:rPr>
          <w:rFonts w:eastAsia="Times New Roman" w:cs="Times New Roman"/>
          <w:lang w:eastAsia="en-AU"/>
        </w:rPr>
        <w:t xml:space="preserve">ew section </w:t>
      </w:r>
      <w:r w:rsidR="008E7A22" w:rsidRPr="00102445">
        <w:rPr>
          <w:rFonts w:eastAsia="Times New Roman" w:cs="Times New Roman"/>
          <w:lang w:eastAsia="en-AU"/>
        </w:rPr>
        <w:t xml:space="preserve">72B </w:t>
      </w:r>
      <w:r w:rsidRPr="00102445">
        <w:rPr>
          <w:rFonts w:eastAsia="Times New Roman" w:cs="Times New Roman"/>
          <w:lang w:eastAsia="en-AU"/>
        </w:rPr>
        <w:t>is introduced</w:t>
      </w:r>
      <w:r w:rsidR="00C01B82" w:rsidRPr="00102445">
        <w:rPr>
          <w:rFonts w:eastAsia="Times New Roman" w:cs="Times New Roman"/>
          <w:lang w:eastAsia="en-AU"/>
        </w:rPr>
        <w:t xml:space="preserve"> which </w:t>
      </w:r>
      <w:r w:rsidR="00DE4F05" w:rsidRPr="00102445">
        <w:rPr>
          <w:rFonts w:eastAsia="Times New Roman" w:cs="Times New Roman"/>
          <w:lang w:eastAsia="en-AU"/>
        </w:rPr>
        <w:t xml:space="preserve">describes </w:t>
      </w:r>
      <w:r w:rsidR="000A2B1D" w:rsidRPr="00102445">
        <w:rPr>
          <w:rFonts w:eastAsia="Times New Roman" w:cs="Times New Roman"/>
          <w:lang w:eastAsia="en-AU"/>
        </w:rPr>
        <w:t>circumstance</w:t>
      </w:r>
      <w:r w:rsidR="00DE4F05" w:rsidRPr="00102445">
        <w:rPr>
          <w:rFonts w:eastAsia="Times New Roman" w:cs="Times New Roman"/>
          <w:lang w:eastAsia="en-AU"/>
        </w:rPr>
        <w:t>s</w:t>
      </w:r>
      <w:r w:rsidR="000A2B1D" w:rsidRPr="00102445">
        <w:rPr>
          <w:rFonts w:eastAsia="Times New Roman" w:cs="Times New Roman"/>
          <w:lang w:eastAsia="en-AU"/>
        </w:rPr>
        <w:t xml:space="preserve"> in which subsection 22XK(4) of the </w:t>
      </w:r>
      <w:r w:rsidR="00B82F90" w:rsidRPr="00102445">
        <w:rPr>
          <w:rFonts w:eastAsia="Times New Roman" w:cs="Times New Roman"/>
          <w:lang w:eastAsia="en-AU"/>
        </w:rPr>
        <w:t xml:space="preserve">NGER </w:t>
      </w:r>
      <w:r w:rsidR="000A2B1D" w:rsidRPr="00102445">
        <w:rPr>
          <w:rFonts w:eastAsia="Times New Roman" w:cs="Times New Roman"/>
          <w:lang w:eastAsia="en-AU"/>
        </w:rPr>
        <w:t>Act</w:t>
      </w:r>
      <w:r w:rsidR="00B92D7E" w:rsidRPr="00102445">
        <w:rPr>
          <w:rFonts w:eastAsia="Times New Roman" w:cs="Times New Roman"/>
          <w:lang w:eastAsia="en-AU"/>
        </w:rPr>
        <w:t xml:space="preserve">, </w:t>
      </w:r>
      <w:r w:rsidR="009E0DC1" w:rsidRPr="00102445">
        <w:rPr>
          <w:rFonts w:eastAsia="Times New Roman" w:cs="Times New Roman"/>
          <w:lang w:eastAsia="en-AU"/>
        </w:rPr>
        <w:t xml:space="preserve">known as </w:t>
      </w:r>
      <w:r w:rsidR="00CF57E4" w:rsidRPr="00102445">
        <w:rPr>
          <w:rFonts w:eastAsia="Times New Roman" w:cs="Times New Roman"/>
          <w:lang w:eastAsia="en-AU"/>
        </w:rPr>
        <w:t xml:space="preserve">the </w:t>
      </w:r>
      <w:r w:rsidR="00B92D7E" w:rsidRPr="00102445">
        <w:rPr>
          <w:rFonts w:eastAsia="Times New Roman" w:cs="Times New Roman"/>
          <w:lang w:eastAsia="en-AU"/>
        </w:rPr>
        <w:t xml:space="preserve">double counting add-back </w:t>
      </w:r>
      <w:r w:rsidR="007F1F20" w:rsidRPr="00102445">
        <w:rPr>
          <w:rFonts w:eastAsia="Times New Roman" w:cs="Times New Roman"/>
          <w:lang w:eastAsia="en-AU"/>
        </w:rPr>
        <w:t>of ACCUs</w:t>
      </w:r>
      <w:r w:rsidR="009E0DC1" w:rsidRPr="00102445">
        <w:rPr>
          <w:rFonts w:eastAsia="Times New Roman" w:cs="Times New Roman"/>
          <w:lang w:eastAsia="en-AU"/>
        </w:rPr>
        <w:t>,</w:t>
      </w:r>
      <w:r w:rsidR="007F1F20" w:rsidRPr="00102445">
        <w:rPr>
          <w:rFonts w:eastAsia="Times New Roman" w:cs="Times New Roman"/>
          <w:lang w:eastAsia="en-AU"/>
        </w:rPr>
        <w:t xml:space="preserve"> </w:t>
      </w:r>
      <w:r w:rsidR="000A2B1D" w:rsidRPr="00102445">
        <w:rPr>
          <w:rFonts w:eastAsia="Times New Roman" w:cs="Times New Roman"/>
          <w:lang w:eastAsia="en-AU"/>
        </w:rPr>
        <w:t>does not appl</w:t>
      </w:r>
      <w:r w:rsidR="00B815C2" w:rsidRPr="00102445">
        <w:rPr>
          <w:rFonts w:eastAsia="Times New Roman" w:cs="Times New Roman"/>
          <w:lang w:eastAsia="en-AU"/>
        </w:rPr>
        <w:t>y</w:t>
      </w:r>
      <w:r w:rsidR="005476D3" w:rsidRPr="00102445">
        <w:rPr>
          <w:rFonts w:eastAsia="Times New Roman" w:cs="Times New Roman"/>
          <w:lang w:eastAsia="en-AU"/>
        </w:rPr>
        <w:t xml:space="preserve">. </w:t>
      </w:r>
      <w:r w:rsidR="00452C5E" w:rsidRPr="00102445">
        <w:rPr>
          <w:rFonts w:eastAsia="Times New Roman" w:cs="Times New Roman"/>
          <w:lang w:eastAsia="en-AU"/>
        </w:rPr>
        <w:t>Section 22XK(4)</w:t>
      </w:r>
      <w:r w:rsidR="00B82F90" w:rsidRPr="00102445">
        <w:rPr>
          <w:rFonts w:eastAsia="Times New Roman" w:cs="Times New Roman"/>
          <w:lang w:eastAsia="en-AU"/>
        </w:rPr>
        <w:t xml:space="preserve"> of the NGER Act </w:t>
      </w:r>
      <w:r w:rsidR="00DD1781" w:rsidRPr="00102445">
        <w:rPr>
          <w:rFonts w:eastAsia="Times New Roman" w:cs="Times New Roman"/>
          <w:lang w:eastAsia="en-AU"/>
        </w:rPr>
        <w:t xml:space="preserve">can </w:t>
      </w:r>
      <w:r w:rsidR="00902196" w:rsidRPr="00102445">
        <w:rPr>
          <w:rFonts w:eastAsia="Times New Roman" w:cs="Times New Roman"/>
          <w:lang w:eastAsia="en-AU"/>
        </w:rPr>
        <w:t xml:space="preserve">increase the </w:t>
      </w:r>
      <w:r w:rsidR="00247786" w:rsidRPr="00102445">
        <w:rPr>
          <w:rFonts w:eastAsia="Times New Roman" w:cs="Times New Roman"/>
          <w:lang w:eastAsia="en-AU"/>
        </w:rPr>
        <w:t>net emi</w:t>
      </w:r>
      <w:r w:rsidR="00782A5E" w:rsidRPr="00102445">
        <w:rPr>
          <w:rFonts w:eastAsia="Times New Roman" w:cs="Times New Roman"/>
          <w:lang w:eastAsia="en-AU"/>
        </w:rPr>
        <w:t>ssions nu</w:t>
      </w:r>
      <w:r w:rsidR="00CA67BD" w:rsidRPr="00102445">
        <w:rPr>
          <w:rFonts w:eastAsia="Times New Roman" w:cs="Times New Roman"/>
          <w:lang w:eastAsia="en-AU"/>
        </w:rPr>
        <w:t xml:space="preserve">mber of a designated large facility </w:t>
      </w:r>
      <w:r w:rsidR="008C5CB2" w:rsidRPr="00102445">
        <w:rPr>
          <w:rFonts w:eastAsia="Times New Roman" w:cs="Times New Roman"/>
          <w:lang w:eastAsia="en-AU"/>
        </w:rPr>
        <w:t xml:space="preserve">if </w:t>
      </w:r>
      <w:r w:rsidR="007F2895" w:rsidRPr="00102445">
        <w:rPr>
          <w:rFonts w:eastAsia="Times New Roman" w:cs="Times New Roman"/>
          <w:lang w:eastAsia="en-AU"/>
        </w:rPr>
        <w:t xml:space="preserve">ACCUs were issued under </w:t>
      </w:r>
      <w:r w:rsidR="005233DA" w:rsidRPr="00102445">
        <w:t>in respect of an eligible offsets project</w:t>
      </w:r>
      <w:r w:rsidR="00452C5E" w:rsidRPr="00102445">
        <w:rPr>
          <w:rFonts w:eastAsia="Times New Roman" w:cs="Times New Roman"/>
          <w:lang w:eastAsia="en-AU"/>
        </w:rPr>
        <w:t xml:space="preserve"> </w:t>
      </w:r>
      <w:r w:rsidR="00B72CFC" w:rsidRPr="00102445">
        <w:rPr>
          <w:rFonts w:eastAsia="Times New Roman" w:cs="Times New Roman"/>
          <w:lang w:eastAsia="en-AU"/>
        </w:rPr>
        <w:t xml:space="preserve">and </w:t>
      </w:r>
      <w:r w:rsidR="00C633AC" w:rsidRPr="00102445">
        <w:rPr>
          <w:rFonts w:eastAsia="Times New Roman" w:cs="Times New Roman"/>
          <w:lang w:eastAsia="en-AU"/>
        </w:rPr>
        <w:t xml:space="preserve">some or all of those </w:t>
      </w:r>
      <w:r w:rsidR="008D467D" w:rsidRPr="00102445">
        <w:rPr>
          <w:rFonts w:eastAsia="Times New Roman" w:cs="Times New Roman"/>
          <w:lang w:eastAsia="en-AU"/>
        </w:rPr>
        <w:t xml:space="preserve">ACCUs are attributable to carbon abatement at the facility. </w:t>
      </w:r>
      <w:r w:rsidR="001E6450" w:rsidRPr="00102445">
        <w:rPr>
          <w:rFonts w:eastAsia="Times New Roman" w:cs="Times New Roman"/>
          <w:lang w:eastAsia="en-AU"/>
        </w:rPr>
        <w:t>Subsection</w:t>
      </w:r>
      <w:r w:rsidR="005476D3" w:rsidRPr="00102445">
        <w:rPr>
          <w:rFonts w:eastAsia="Times New Roman" w:cs="Times New Roman"/>
          <w:lang w:eastAsia="en-AU"/>
        </w:rPr>
        <w:t xml:space="preserve"> </w:t>
      </w:r>
      <w:r w:rsidR="001E6450" w:rsidRPr="00102445">
        <w:rPr>
          <w:rFonts w:eastAsia="Times New Roman" w:cs="Times New Roman"/>
          <w:lang w:eastAsia="en-AU"/>
        </w:rPr>
        <w:t xml:space="preserve">22XK(5) of </w:t>
      </w:r>
      <w:r w:rsidR="00B86E54" w:rsidRPr="00102445">
        <w:rPr>
          <w:rFonts w:eastAsia="Times New Roman" w:cs="Times New Roman"/>
          <w:lang w:eastAsia="en-AU"/>
        </w:rPr>
        <w:t>the NGER Act</w:t>
      </w:r>
      <w:r w:rsidR="001E6450" w:rsidRPr="00102445">
        <w:rPr>
          <w:rFonts w:eastAsia="Times New Roman" w:cs="Times New Roman"/>
          <w:lang w:eastAsia="en-AU"/>
        </w:rPr>
        <w:t xml:space="preserve"> provides for the Safeguard Rules to</w:t>
      </w:r>
      <w:r w:rsidR="009467F1" w:rsidRPr="00102445">
        <w:rPr>
          <w:rFonts w:eastAsia="Times New Roman" w:cs="Times New Roman"/>
          <w:lang w:eastAsia="en-AU"/>
        </w:rPr>
        <w:t xml:space="preserve"> specify circumstances in which subsection 22XK(4) does not apply.</w:t>
      </w:r>
      <w:r w:rsidR="001E6450" w:rsidRPr="00102445">
        <w:rPr>
          <w:rFonts w:eastAsia="Times New Roman" w:cs="Times New Roman"/>
          <w:lang w:eastAsia="en-AU"/>
        </w:rPr>
        <w:t xml:space="preserve"> </w:t>
      </w:r>
      <w:r w:rsidR="001D7C81" w:rsidRPr="00102445">
        <w:rPr>
          <w:rFonts w:eastAsia="Times New Roman" w:cs="Times New Roman"/>
          <w:lang w:eastAsia="en-AU"/>
        </w:rPr>
        <w:t xml:space="preserve">Section 72B </w:t>
      </w:r>
      <w:r w:rsidR="00F0429C" w:rsidRPr="00102445">
        <w:rPr>
          <w:rFonts w:eastAsia="Times New Roman" w:cs="Times New Roman"/>
          <w:lang w:eastAsia="en-AU"/>
        </w:rPr>
        <w:t xml:space="preserve">ensures that </w:t>
      </w:r>
      <w:r w:rsidR="000C3D75" w:rsidRPr="00102445">
        <w:rPr>
          <w:rFonts w:eastAsia="Times New Roman" w:cs="Times New Roman"/>
          <w:lang w:eastAsia="en-AU"/>
        </w:rPr>
        <w:t xml:space="preserve">the </w:t>
      </w:r>
      <w:r w:rsidR="00F271BA" w:rsidRPr="00102445">
        <w:rPr>
          <w:rFonts w:eastAsia="Times New Roman" w:cs="Times New Roman"/>
          <w:lang w:eastAsia="en-AU"/>
        </w:rPr>
        <w:t>net emissions number is only adjusted</w:t>
      </w:r>
      <w:r w:rsidR="000C3D75" w:rsidRPr="00102445">
        <w:rPr>
          <w:rFonts w:eastAsia="Times New Roman" w:cs="Times New Roman"/>
          <w:lang w:eastAsia="en-AU"/>
        </w:rPr>
        <w:t xml:space="preserve"> if the carbon abatement </w:t>
      </w:r>
      <w:r w:rsidR="006A547A" w:rsidRPr="00102445">
        <w:rPr>
          <w:rFonts w:eastAsia="Times New Roman" w:cs="Times New Roman"/>
          <w:lang w:eastAsia="en-AU"/>
        </w:rPr>
        <w:t xml:space="preserve">involves carbon abatement of </w:t>
      </w:r>
      <w:r w:rsidR="00A82970" w:rsidRPr="00102445">
        <w:rPr>
          <w:rFonts w:eastAsia="Times New Roman" w:cs="Times New Roman"/>
          <w:lang w:eastAsia="en-AU"/>
        </w:rPr>
        <w:t>covered emissions at the facility.</w:t>
      </w:r>
    </w:p>
    <w:p w14:paraId="06ADEB5F" w14:textId="77777777" w:rsidR="0045135E" w:rsidRPr="00102445" w:rsidRDefault="00F271BA"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An example of </w:t>
      </w:r>
      <w:r w:rsidR="00B2530B" w:rsidRPr="00102445">
        <w:rPr>
          <w:rFonts w:eastAsia="Times New Roman" w:cs="Times New Roman"/>
          <w:lang w:eastAsia="en-AU"/>
        </w:rPr>
        <w:t xml:space="preserve">a project </w:t>
      </w:r>
      <w:r w:rsidR="00C72F1D" w:rsidRPr="00102445">
        <w:rPr>
          <w:rFonts w:eastAsia="Times New Roman" w:cs="Times New Roman"/>
          <w:lang w:eastAsia="en-AU"/>
        </w:rPr>
        <w:t xml:space="preserve">where </w:t>
      </w:r>
      <w:r w:rsidR="00DF5007" w:rsidRPr="00102445">
        <w:rPr>
          <w:rFonts w:eastAsia="Times New Roman" w:cs="Times New Roman"/>
          <w:lang w:eastAsia="en-AU"/>
        </w:rPr>
        <w:t xml:space="preserve">ACCUs are attributable </w:t>
      </w:r>
      <w:r w:rsidR="003B2C73" w:rsidRPr="00102445">
        <w:rPr>
          <w:rFonts w:eastAsia="Times New Roman" w:cs="Times New Roman"/>
          <w:lang w:eastAsia="en-AU"/>
        </w:rPr>
        <w:t xml:space="preserve">to carbon abatement at a designated large facility </w:t>
      </w:r>
      <w:r w:rsidR="00696FC1" w:rsidRPr="00102445">
        <w:rPr>
          <w:rFonts w:eastAsia="Times New Roman" w:cs="Times New Roman"/>
          <w:lang w:eastAsia="en-AU"/>
        </w:rPr>
        <w:t xml:space="preserve">could be a project that reduces covered emissions </w:t>
      </w:r>
      <w:r w:rsidR="00D30BBD" w:rsidRPr="00102445">
        <w:rPr>
          <w:rFonts w:eastAsia="Times New Roman" w:cs="Times New Roman"/>
          <w:lang w:eastAsia="en-AU"/>
        </w:rPr>
        <w:t xml:space="preserve">of </w:t>
      </w:r>
      <w:r w:rsidR="004A3C59" w:rsidRPr="00102445">
        <w:rPr>
          <w:rFonts w:eastAsia="Times New Roman" w:cs="Times New Roman"/>
          <w:lang w:eastAsia="en-AU"/>
        </w:rPr>
        <w:t xml:space="preserve">the facility by </w:t>
      </w:r>
      <w:r w:rsidR="00ED741D" w:rsidRPr="00102445">
        <w:rPr>
          <w:rFonts w:eastAsia="Times New Roman" w:cs="Times New Roman"/>
          <w:lang w:eastAsia="en-AU"/>
        </w:rPr>
        <w:t xml:space="preserve">substituting </w:t>
      </w:r>
      <w:r w:rsidR="000247A4" w:rsidRPr="00102445">
        <w:rPr>
          <w:rFonts w:eastAsia="Times New Roman" w:cs="Times New Roman"/>
          <w:lang w:eastAsia="en-AU"/>
        </w:rPr>
        <w:t>a less emission</w:t>
      </w:r>
      <w:r w:rsidR="004271BC" w:rsidRPr="00102445">
        <w:rPr>
          <w:rFonts w:eastAsia="Times New Roman" w:cs="Times New Roman"/>
          <w:lang w:eastAsia="en-AU"/>
        </w:rPr>
        <w:t>s</w:t>
      </w:r>
      <w:r w:rsidR="00ED741D" w:rsidRPr="00102445">
        <w:rPr>
          <w:rFonts w:eastAsia="Times New Roman" w:cs="Times New Roman"/>
          <w:lang w:eastAsia="en-AU"/>
        </w:rPr>
        <w:t xml:space="preserve"> intensive fuel for a more emissions intensive fuel as a sour</w:t>
      </w:r>
      <w:r w:rsidR="00D706C1" w:rsidRPr="00102445">
        <w:rPr>
          <w:rFonts w:eastAsia="Times New Roman" w:cs="Times New Roman"/>
          <w:lang w:eastAsia="en-AU"/>
        </w:rPr>
        <w:t>ce of heat</w:t>
      </w:r>
      <w:r w:rsidR="00354965" w:rsidRPr="00102445">
        <w:rPr>
          <w:rFonts w:eastAsia="Times New Roman" w:cs="Times New Roman"/>
          <w:lang w:eastAsia="en-AU"/>
        </w:rPr>
        <w:t>.</w:t>
      </w:r>
    </w:p>
    <w:p w14:paraId="15586801" w14:textId="53F7C4B0" w:rsidR="00F271BA" w:rsidRPr="00102445" w:rsidRDefault="0003655E"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Another example of a project where ACCUs are attributable to carbon abatement at a designated large facility could be a project </w:t>
      </w:r>
      <w:r w:rsidR="00922E28" w:rsidRPr="00102445">
        <w:rPr>
          <w:rFonts w:eastAsia="Times New Roman" w:cs="Times New Roman"/>
          <w:lang w:eastAsia="en-AU"/>
        </w:rPr>
        <w:t xml:space="preserve">that </w:t>
      </w:r>
      <w:r w:rsidR="0096000C" w:rsidRPr="00102445">
        <w:rPr>
          <w:rFonts w:eastAsia="Times New Roman" w:cs="Times New Roman"/>
          <w:lang w:eastAsia="en-AU"/>
        </w:rPr>
        <w:t>cap</w:t>
      </w:r>
      <w:r w:rsidR="003E224D" w:rsidRPr="00102445">
        <w:rPr>
          <w:rFonts w:eastAsia="Times New Roman" w:cs="Times New Roman"/>
          <w:lang w:eastAsia="en-AU"/>
        </w:rPr>
        <w:t>tures landfill gas or waste coal mine gas from the facility</w:t>
      </w:r>
      <w:r w:rsidR="004D6E91" w:rsidRPr="00102445">
        <w:rPr>
          <w:rFonts w:eastAsia="Times New Roman" w:cs="Times New Roman"/>
          <w:lang w:eastAsia="en-AU"/>
        </w:rPr>
        <w:t xml:space="preserve"> (whether or not the project takes place at the facility)</w:t>
      </w:r>
      <w:r w:rsidR="00036862" w:rsidRPr="00102445">
        <w:rPr>
          <w:rFonts w:eastAsia="Times New Roman" w:cs="Times New Roman"/>
          <w:lang w:eastAsia="en-AU"/>
        </w:rPr>
        <w:t xml:space="preserve"> and combusts it to generate electricity</w:t>
      </w:r>
      <w:r w:rsidR="004D6E91" w:rsidRPr="00102445">
        <w:rPr>
          <w:rFonts w:eastAsia="Times New Roman" w:cs="Times New Roman"/>
          <w:lang w:eastAsia="en-AU"/>
        </w:rPr>
        <w:t xml:space="preserve">, </w:t>
      </w:r>
      <w:r w:rsidR="00551239" w:rsidRPr="00102445">
        <w:rPr>
          <w:rFonts w:eastAsia="Times New Roman" w:cs="Times New Roman"/>
          <w:lang w:eastAsia="en-AU"/>
        </w:rPr>
        <w:t>resulting in</w:t>
      </w:r>
      <w:r w:rsidR="004D6E91" w:rsidRPr="00102445">
        <w:rPr>
          <w:rFonts w:eastAsia="Times New Roman" w:cs="Times New Roman"/>
          <w:lang w:eastAsia="en-AU"/>
        </w:rPr>
        <w:t xml:space="preserve"> ACCUs </w:t>
      </w:r>
      <w:r w:rsidR="00EF2947" w:rsidRPr="00102445">
        <w:rPr>
          <w:rFonts w:eastAsia="Times New Roman" w:cs="Times New Roman"/>
          <w:lang w:eastAsia="en-AU"/>
        </w:rPr>
        <w:t xml:space="preserve">being issued </w:t>
      </w:r>
      <w:r w:rsidR="004D6E91" w:rsidRPr="00102445">
        <w:rPr>
          <w:rFonts w:eastAsia="Times New Roman" w:cs="Times New Roman"/>
          <w:lang w:eastAsia="en-AU"/>
        </w:rPr>
        <w:t>for reducing the methane emissions</w:t>
      </w:r>
      <w:r w:rsidR="00686BE4" w:rsidRPr="00102445">
        <w:rPr>
          <w:rFonts w:eastAsia="Times New Roman" w:cs="Times New Roman"/>
          <w:lang w:eastAsia="en-AU"/>
        </w:rPr>
        <w:t xml:space="preserve"> of the facility. These ACCUs </w:t>
      </w:r>
      <w:r w:rsidR="00425F5F" w:rsidRPr="00102445">
        <w:rPr>
          <w:rFonts w:eastAsia="Times New Roman" w:cs="Times New Roman"/>
          <w:lang w:eastAsia="en-AU"/>
        </w:rPr>
        <w:t xml:space="preserve">would be attributable </w:t>
      </w:r>
      <w:r w:rsidR="00D00F74" w:rsidRPr="00102445">
        <w:rPr>
          <w:rFonts w:eastAsia="Times New Roman" w:cs="Times New Roman"/>
          <w:lang w:eastAsia="en-AU"/>
        </w:rPr>
        <w:t>to</w:t>
      </w:r>
      <w:r w:rsidR="00425F5F" w:rsidRPr="00102445">
        <w:rPr>
          <w:rFonts w:eastAsia="Times New Roman" w:cs="Times New Roman"/>
          <w:lang w:eastAsia="en-AU"/>
        </w:rPr>
        <w:t xml:space="preserve"> carbon </w:t>
      </w:r>
      <w:r w:rsidR="00A50EB4" w:rsidRPr="00102445">
        <w:rPr>
          <w:rFonts w:eastAsia="Times New Roman" w:cs="Times New Roman"/>
          <w:lang w:eastAsia="en-AU"/>
        </w:rPr>
        <w:t>abatement at the facility</w:t>
      </w:r>
      <w:r w:rsidR="00722608" w:rsidRPr="00102445">
        <w:rPr>
          <w:rFonts w:eastAsia="Times New Roman" w:cs="Times New Roman"/>
          <w:lang w:eastAsia="en-AU"/>
        </w:rPr>
        <w:t xml:space="preserve"> because they reduce the emissions of the facility</w:t>
      </w:r>
      <w:r w:rsidR="00A50EB4" w:rsidRPr="00102445">
        <w:rPr>
          <w:rFonts w:eastAsia="Times New Roman" w:cs="Times New Roman"/>
          <w:lang w:eastAsia="en-AU"/>
        </w:rPr>
        <w:t>.</w:t>
      </w:r>
      <w:r w:rsidR="00FE65FA" w:rsidRPr="00102445">
        <w:rPr>
          <w:rFonts w:eastAsia="Times New Roman" w:cs="Times New Roman"/>
          <w:lang w:eastAsia="en-AU"/>
        </w:rPr>
        <w:t xml:space="preserve"> I</w:t>
      </w:r>
      <w:r w:rsidR="008F2E00" w:rsidRPr="00102445">
        <w:rPr>
          <w:rFonts w:eastAsia="Times New Roman" w:cs="Times New Roman"/>
          <w:lang w:eastAsia="en-AU"/>
        </w:rPr>
        <w:t xml:space="preserve">f the </w:t>
      </w:r>
      <w:r w:rsidR="0045135E" w:rsidRPr="00102445">
        <w:rPr>
          <w:rFonts w:eastAsia="Times New Roman" w:cs="Times New Roman"/>
          <w:lang w:eastAsia="en-AU"/>
        </w:rPr>
        <w:t xml:space="preserve">project also generated </w:t>
      </w:r>
      <w:r w:rsidR="00D9664D" w:rsidRPr="00102445">
        <w:rPr>
          <w:rFonts w:eastAsia="Times New Roman" w:cs="Times New Roman"/>
          <w:lang w:eastAsia="en-AU"/>
        </w:rPr>
        <w:t>ACCUs for providing electricity to a grid</w:t>
      </w:r>
      <w:r w:rsidR="00A84B49" w:rsidRPr="00102445">
        <w:rPr>
          <w:rFonts w:eastAsia="Times New Roman" w:cs="Times New Roman"/>
          <w:lang w:eastAsia="en-AU"/>
        </w:rPr>
        <w:t xml:space="preserve">, those </w:t>
      </w:r>
      <w:r w:rsidR="009848A7" w:rsidRPr="00102445">
        <w:rPr>
          <w:rFonts w:eastAsia="Times New Roman" w:cs="Times New Roman"/>
          <w:lang w:eastAsia="en-AU"/>
        </w:rPr>
        <w:t>ACCUs</w:t>
      </w:r>
      <w:r w:rsidR="00D00F74" w:rsidRPr="00102445">
        <w:rPr>
          <w:rFonts w:eastAsia="Times New Roman" w:cs="Times New Roman"/>
          <w:lang w:eastAsia="en-AU"/>
        </w:rPr>
        <w:t xml:space="preserve"> would not be attributable to carbon abatement at the facility</w:t>
      </w:r>
      <w:r w:rsidR="00575B30" w:rsidRPr="00102445">
        <w:rPr>
          <w:rFonts w:eastAsia="Times New Roman" w:cs="Times New Roman"/>
          <w:lang w:eastAsia="en-AU"/>
        </w:rPr>
        <w:t>, b</w:t>
      </w:r>
      <w:r w:rsidR="00CE52BE" w:rsidRPr="00102445">
        <w:rPr>
          <w:rFonts w:eastAsia="Times New Roman" w:cs="Times New Roman"/>
          <w:lang w:eastAsia="en-AU"/>
        </w:rPr>
        <w:t xml:space="preserve">ecause they </w:t>
      </w:r>
      <w:r w:rsidR="007926FE" w:rsidRPr="00102445">
        <w:rPr>
          <w:rFonts w:eastAsia="Times New Roman" w:cs="Times New Roman"/>
          <w:lang w:eastAsia="en-AU"/>
        </w:rPr>
        <w:t>do not reduce the emissions of the facility</w:t>
      </w:r>
      <w:r w:rsidR="00D00F74" w:rsidRPr="00102445">
        <w:rPr>
          <w:rFonts w:eastAsia="Times New Roman" w:cs="Times New Roman"/>
          <w:lang w:eastAsia="en-AU"/>
        </w:rPr>
        <w:t>.</w:t>
      </w:r>
    </w:p>
    <w:p w14:paraId="3CB93C1C" w14:textId="7F40C0E1" w:rsidR="007926FE" w:rsidRPr="00102445" w:rsidRDefault="007926FE"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A</w:t>
      </w:r>
      <w:r w:rsidR="00DC3E49" w:rsidRPr="00102445">
        <w:rPr>
          <w:rFonts w:eastAsia="Times New Roman" w:cs="Times New Roman"/>
          <w:lang w:eastAsia="en-AU"/>
        </w:rPr>
        <w:t>n example of a project where ACCUs are attributable to carbon abatement at a designated large facility, b</w:t>
      </w:r>
      <w:r w:rsidR="00D40D83" w:rsidRPr="00102445">
        <w:rPr>
          <w:rFonts w:eastAsia="Times New Roman" w:cs="Times New Roman"/>
          <w:lang w:eastAsia="en-AU"/>
        </w:rPr>
        <w:t>ut do not involve carbon abatement of covered emissions at the facility</w:t>
      </w:r>
      <w:r w:rsidR="00234DFB" w:rsidRPr="00102445">
        <w:rPr>
          <w:rFonts w:eastAsia="Times New Roman" w:cs="Times New Roman"/>
          <w:lang w:eastAsia="en-AU"/>
        </w:rPr>
        <w:t xml:space="preserve">, could be a project that generates ACCUs by </w:t>
      </w:r>
      <w:r w:rsidR="00FA591F" w:rsidRPr="00102445">
        <w:rPr>
          <w:rFonts w:eastAsia="Times New Roman" w:cs="Times New Roman"/>
          <w:lang w:eastAsia="en-AU"/>
        </w:rPr>
        <w:t>installing efficient lighting</w:t>
      </w:r>
      <w:r w:rsidR="00A03F3D" w:rsidRPr="00102445">
        <w:rPr>
          <w:rFonts w:eastAsia="Times New Roman" w:cs="Times New Roman"/>
          <w:lang w:eastAsia="en-AU"/>
        </w:rPr>
        <w:t xml:space="preserve">, reducing electricity </w:t>
      </w:r>
      <w:r w:rsidR="001171F8" w:rsidRPr="00102445">
        <w:rPr>
          <w:rFonts w:eastAsia="Times New Roman" w:cs="Times New Roman"/>
          <w:lang w:eastAsia="en-AU"/>
        </w:rPr>
        <w:t xml:space="preserve">usage. </w:t>
      </w:r>
      <w:r w:rsidR="005B0946" w:rsidRPr="00102445">
        <w:rPr>
          <w:rFonts w:eastAsia="Times New Roman" w:cs="Times New Roman"/>
          <w:lang w:eastAsia="en-AU"/>
        </w:rPr>
        <w:t>This project would only reduce scope 2 emissions, which are not covered by the Safeguard Mechanism.</w:t>
      </w:r>
    </w:p>
    <w:p w14:paraId="19CDCB55" w14:textId="3C59D494" w:rsidR="00131E44" w:rsidRPr="00102445" w:rsidRDefault="00C84E0B" w:rsidP="00591A9C">
      <w:pPr>
        <w:pStyle w:val="ListParagraph"/>
        <w:numPr>
          <w:ilvl w:val="0"/>
          <w:numId w:val="2"/>
        </w:numPr>
        <w:spacing w:line="240" w:lineRule="auto"/>
        <w:contextualSpacing w:val="0"/>
        <w:rPr>
          <w:rStyle w:val="ui-provider"/>
          <w:rFonts w:eastAsia="Times New Roman" w:cs="Times New Roman"/>
          <w:lang w:eastAsia="en-AU"/>
        </w:rPr>
      </w:pPr>
      <w:r w:rsidRPr="00102445">
        <w:rPr>
          <w:rFonts w:eastAsia="Times New Roman" w:cs="Times New Roman"/>
          <w:lang w:eastAsia="en-AU"/>
        </w:rPr>
        <w:t>For the purposes of subsection 22XK(5</w:t>
      </w:r>
      <w:r w:rsidR="00C74775" w:rsidRPr="00102445">
        <w:rPr>
          <w:rFonts w:eastAsia="Times New Roman" w:cs="Times New Roman"/>
          <w:lang w:eastAsia="en-AU"/>
        </w:rPr>
        <w:t xml:space="preserve">) of </w:t>
      </w:r>
      <w:r w:rsidR="00B86E54" w:rsidRPr="00102445">
        <w:rPr>
          <w:rFonts w:eastAsia="Times New Roman" w:cs="Times New Roman"/>
          <w:lang w:eastAsia="en-AU"/>
        </w:rPr>
        <w:t>the NGER Act</w:t>
      </w:r>
      <w:r w:rsidR="003B58C5" w:rsidRPr="00102445">
        <w:rPr>
          <w:rFonts w:eastAsia="Times New Roman" w:cs="Times New Roman"/>
          <w:lang w:eastAsia="en-AU"/>
        </w:rPr>
        <w:t>, if the facility is a designated large facility</w:t>
      </w:r>
      <w:r w:rsidR="000D51BB" w:rsidRPr="00102445">
        <w:rPr>
          <w:rFonts w:eastAsia="Times New Roman" w:cs="Times New Roman"/>
          <w:lang w:eastAsia="en-AU"/>
        </w:rPr>
        <w:t>, the net emissions number for the facility for a period is not</w:t>
      </w:r>
      <w:r w:rsidR="00F91618" w:rsidRPr="00102445">
        <w:rPr>
          <w:rFonts w:eastAsia="Times New Roman" w:cs="Times New Roman"/>
          <w:lang w:eastAsia="en-AU"/>
        </w:rPr>
        <w:t xml:space="preserve"> increased under subsection 22XK(4) of </w:t>
      </w:r>
      <w:r w:rsidR="00B86E54" w:rsidRPr="00102445">
        <w:rPr>
          <w:rFonts w:eastAsia="Times New Roman" w:cs="Times New Roman"/>
          <w:lang w:eastAsia="en-AU"/>
        </w:rPr>
        <w:t>the NGER Act</w:t>
      </w:r>
      <w:r w:rsidR="00F91618" w:rsidRPr="00102445">
        <w:rPr>
          <w:rFonts w:eastAsia="Times New Roman" w:cs="Times New Roman"/>
          <w:lang w:eastAsia="en-AU"/>
        </w:rPr>
        <w:t xml:space="preserve"> by a number of </w:t>
      </w:r>
      <w:r w:rsidR="007F1F20" w:rsidRPr="00102445">
        <w:rPr>
          <w:rFonts w:eastAsia="Times New Roman" w:cs="Times New Roman"/>
          <w:lang w:eastAsia="en-AU"/>
        </w:rPr>
        <w:t>ACCU</w:t>
      </w:r>
      <w:r w:rsidR="00F91618" w:rsidRPr="00102445">
        <w:rPr>
          <w:rFonts w:eastAsia="Times New Roman" w:cs="Times New Roman"/>
          <w:lang w:eastAsia="en-AU"/>
        </w:rPr>
        <w:t>s if those units are not</w:t>
      </w:r>
      <w:r w:rsidR="00DE129D" w:rsidRPr="00102445">
        <w:rPr>
          <w:rFonts w:eastAsia="Times New Roman" w:cs="Times New Roman"/>
          <w:lang w:eastAsia="en-AU"/>
        </w:rPr>
        <w:t xml:space="preserve"> attribu</w:t>
      </w:r>
      <w:r w:rsidR="00A9704B" w:rsidRPr="00102445">
        <w:rPr>
          <w:rFonts w:eastAsia="Times New Roman" w:cs="Times New Roman"/>
          <w:lang w:eastAsia="en-AU"/>
        </w:rPr>
        <w:t xml:space="preserve">table </w:t>
      </w:r>
      <w:r w:rsidR="00342881" w:rsidRPr="00102445">
        <w:rPr>
          <w:rFonts w:eastAsia="Times New Roman" w:cs="Times New Roman"/>
          <w:lang w:eastAsia="en-AU"/>
        </w:rPr>
        <w:t>to the av</w:t>
      </w:r>
      <w:r w:rsidR="00E045DB" w:rsidRPr="00102445">
        <w:rPr>
          <w:rFonts w:eastAsia="Times New Roman" w:cs="Times New Roman"/>
          <w:lang w:eastAsia="en-AU"/>
        </w:rPr>
        <w:t xml:space="preserve">oidance of covered </w:t>
      </w:r>
      <w:r w:rsidR="005730B5" w:rsidRPr="00102445">
        <w:rPr>
          <w:rFonts w:eastAsia="Times New Roman" w:cs="Times New Roman"/>
          <w:lang w:eastAsia="en-AU"/>
        </w:rPr>
        <w:t xml:space="preserve">emissions of greenhouse gasses from the operation of the facility during the period. </w:t>
      </w:r>
      <w:r w:rsidR="00F22D80" w:rsidRPr="00102445">
        <w:rPr>
          <w:rFonts w:eastAsia="Times New Roman" w:cs="Times New Roman"/>
          <w:lang w:eastAsia="en-AU"/>
        </w:rPr>
        <w:t>Put another way, i</w:t>
      </w:r>
      <w:r w:rsidR="0041197E" w:rsidRPr="00102445">
        <w:rPr>
          <w:rStyle w:val="ui-provider"/>
        </w:rPr>
        <w:t xml:space="preserve">f </w:t>
      </w:r>
      <w:r w:rsidR="007F1F20" w:rsidRPr="00102445">
        <w:rPr>
          <w:rFonts w:eastAsia="Times New Roman" w:cs="Times New Roman"/>
          <w:lang w:eastAsia="en-AU"/>
        </w:rPr>
        <w:t>ACCUs</w:t>
      </w:r>
      <w:r w:rsidR="0041197E" w:rsidRPr="00102445">
        <w:rPr>
          <w:rStyle w:val="ui-provider"/>
        </w:rPr>
        <w:t xml:space="preserve"> </w:t>
      </w:r>
      <w:r w:rsidR="007F1F20" w:rsidRPr="00102445">
        <w:rPr>
          <w:rStyle w:val="ui-provider"/>
        </w:rPr>
        <w:t xml:space="preserve">are issued for carbon abatement </w:t>
      </w:r>
      <w:r w:rsidR="00C97210" w:rsidRPr="00102445">
        <w:rPr>
          <w:rStyle w:val="ui-provider"/>
        </w:rPr>
        <w:t xml:space="preserve">at the facility </w:t>
      </w:r>
      <w:r w:rsidR="007F1F20" w:rsidRPr="00102445">
        <w:rPr>
          <w:rStyle w:val="ui-provider"/>
        </w:rPr>
        <w:t>of</w:t>
      </w:r>
      <w:r w:rsidR="0041197E" w:rsidRPr="00102445">
        <w:rPr>
          <w:rStyle w:val="ui-provider"/>
        </w:rPr>
        <w:t xml:space="preserve"> emissions </w:t>
      </w:r>
      <w:r w:rsidR="00C97210" w:rsidRPr="00102445">
        <w:rPr>
          <w:rStyle w:val="ui-provider"/>
        </w:rPr>
        <w:t>not covered by the Safeguard Mechanism</w:t>
      </w:r>
      <w:r w:rsidR="0041197E" w:rsidRPr="00102445">
        <w:rPr>
          <w:rStyle w:val="ui-provider"/>
        </w:rPr>
        <w:t xml:space="preserve"> (</w:t>
      </w:r>
      <w:r w:rsidR="003C2F11" w:rsidRPr="00102445">
        <w:rPr>
          <w:rStyle w:val="ui-provider"/>
        </w:rPr>
        <w:t>e.g.,</w:t>
      </w:r>
      <w:r w:rsidR="0041197E" w:rsidRPr="00102445">
        <w:rPr>
          <w:rStyle w:val="ui-provider"/>
        </w:rPr>
        <w:t xml:space="preserve"> scope 2 emissions) the add-back doesn't </w:t>
      </w:r>
      <w:r w:rsidR="003C2F11" w:rsidRPr="00102445">
        <w:rPr>
          <w:rStyle w:val="ui-provider"/>
        </w:rPr>
        <w:t>occur.</w:t>
      </w:r>
      <w:r w:rsidR="009F5BC8" w:rsidRPr="00102445">
        <w:rPr>
          <w:rStyle w:val="ui-provider"/>
        </w:rPr>
        <w:t xml:space="preserve"> </w:t>
      </w:r>
    </w:p>
    <w:p w14:paraId="1CFEF590" w14:textId="61E85395" w:rsidR="00E751ED" w:rsidRPr="00102445" w:rsidRDefault="00401222" w:rsidP="00591A9C">
      <w:pPr>
        <w:pStyle w:val="ListParagraph"/>
        <w:numPr>
          <w:ilvl w:val="0"/>
          <w:numId w:val="2"/>
        </w:numPr>
        <w:spacing w:line="240" w:lineRule="auto"/>
        <w:contextualSpacing w:val="0"/>
        <w:rPr>
          <w:rFonts w:eastAsia="Times New Roman" w:cs="Times New Roman"/>
          <w:lang w:eastAsia="en-AU"/>
        </w:rPr>
      </w:pPr>
      <w:r w:rsidRPr="00102445">
        <w:rPr>
          <w:rStyle w:val="ui-provider"/>
        </w:rPr>
        <w:t>New s</w:t>
      </w:r>
      <w:r w:rsidR="00AE780D" w:rsidRPr="00102445">
        <w:rPr>
          <w:rStyle w:val="ui-provider"/>
        </w:rPr>
        <w:t xml:space="preserve">ection </w:t>
      </w:r>
      <w:r w:rsidR="00311E78" w:rsidRPr="00102445">
        <w:rPr>
          <w:rStyle w:val="ui-provider"/>
        </w:rPr>
        <w:t>72B</w:t>
      </w:r>
      <w:r w:rsidR="009F5BC8" w:rsidRPr="00102445">
        <w:rPr>
          <w:rStyle w:val="ui-provider"/>
        </w:rPr>
        <w:t xml:space="preserve"> </w:t>
      </w:r>
      <w:r w:rsidR="00E205FC" w:rsidRPr="00102445">
        <w:rPr>
          <w:rStyle w:val="ui-provider"/>
        </w:rPr>
        <w:t>is not intended</w:t>
      </w:r>
      <w:r w:rsidR="009F5BC8" w:rsidRPr="00102445">
        <w:rPr>
          <w:rStyle w:val="ui-provider"/>
        </w:rPr>
        <w:t xml:space="preserve"> to </w:t>
      </w:r>
      <w:r w:rsidR="00E205FC" w:rsidRPr="00102445">
        <w:rPr>
          <w:rStyle w:val="ui-provider"/>
        </w:rPr>
        <w:t>prevent</w:t>
      </w:r>
      <w:r w:rsidR="00224150" w:rsidRPr="00102445">
        <w:rPr>
          <w:rStyle w:val="ui-provider"/>
        </w:rPr>
        <w:t xml:space="preserve"> the application of </w:t>
      </w:r>
      <w:r w:rsidR="00AE780D" w:rsidRPr="00102445">
        <w:rPr>
          <w:rStyle w:val="ui-provider"/>
        </w:rPr>
        <w:t xml:space="preserve">subsection </w:t>
      </w:r>
      <w:r w:rsidR="007F0962" w:rsidRPr="00102445">
        <w:rPr>
          <w:rStyle w:val="ui-provider"/>
        </w:rPr>
        <w:t>22XK(4) to</w:t>
      </w:r>
      <w:r w:rsidR="00474AB6" w:rsidRPr="00102445">
        <w:rPr>
          <w:rStyle w:val="ui-provider"/>
        </w:rPr>
        <w:t xml:space="preserve"> </w:t>
      </w:r>
      <w:r w:rsidR="00902CF1" w:rsidRPr="00102445">
        <w:rPr>
          <w:rStyle w:val="ui-provider"/>
        </w:rPr>
        <w:t>emissions that are covered</w:t>
      </w:r>
      <w:r w:rsidR="00440563" w:rsidRPr="00102445">
        <w:rPr>
          <w:rStyle w:val="ui-provider"/>
        </w:rPr>
        <w:t xml:space="preserve"> </w:t>
      </w:r>
      <w:r w:rsidR="00902CF1" w:rsidRPr="00102445">
        <w:rPr>
          <w:rStyle w:val="ui-provider"/>
        </w:rPr>
        <w:t xml:space="preserve">by the </w:t>
      </w:r>
      <w:r w:rsidR="00440563" w:rsidRPr="00102445">
        <w:rPr>
          <w:rStyle w:val="ui-provider"/>
        </w:rPr>
        <w:t>S</w:t>
      </w:r>
      <w:r w:rsidR="00902CF1" w:rsidRPr="00102445">
        <w:rPr>
          <w:rStyle w:val="ui-provider"/>
        </w:rPr>
        <w:t xml:space="preserve">afeguard </w:t>
      </w:r>
      <w:r w:rsidR="00440563" w:rsidRPr="00102445">
        <w:rPr>
          <w:rStyle w:val="ui-provider"/>
        </w:rPr>
        <w:t>M</w:t>
      </w:r>
      <w:r w:rsidR="00902CF1" w:rsidRPr="00102445">
        <w:rPr>
          <w:rStyle w:val="ui-provider"/>
        </w:rPr>
        <w:t xml:space="preserve">echanism. </w:t>
      </w:r>
      <w:r w:rsidR="00F54218" w:rsidRPr="00102445">
        <w:rPr>
          <w:rStyle w:val="ui-provider"/>
        </w:rPr>
        <w:t xml:space="preserve">Only scope 1 emissions are covered by the Safeguard Mechanism, and </w:t>
      </w:r>
      <w:r w:rsidR="00204016" w:rsidRPr="00102445">
        <w:rPr>
          <w:rStyle w:val="ui-provider"/>
        </w:rPr>
        <w:t>covered emissions also do</w:t>
      </w:r>
      <w:r w:rsidR="00DF52C1" w:rsidRPr="00102445">
        <w:rPr>
          <w:rStyle w:val="ui-provider"/>
        </w:rPr>
        <w:t xml:space="preserve"> not include</w:t>
      </w:r>
      <w:r w:rsidR="00F54218" w:rsidRPr="00102445">
        <w:rPr>
          <w:rStyle w:val="ui-provider"/>
        </w:rPr>
        <w:t xml:space="preserve"> emissions from legacy waste </w:t>
      </w:r>
      <w:r w:rsidR="00F54218" w:rsidRPr="00102445">
        <w:rPr>
          <w:rStyle w:val="ui-provider"/>
        </w:rPr>
        <w:lastRenderedPageBreak/>
        <w:t xml:space="preserve">(that is, waste deposited before 1 July 2016) deposited in a landfill. Emissions </w:t>
      </w:r>
      <w:r w:rsidR="001C0F91" w:rsidRPr="00102445">
        <w:rPr>
          <w:rStyle w:val="ui-provider"/>
        </w:rPr>
        <w:t>from waste</w:t>
      </w:r>
      <w:r w:rsidR="00F54218" w:rsidRPr="00102445">
        <w:rPr>
          <w:rStyle w:val="ui-provider"/>
        </w:rPr>
        <w:t xml:space="preserve"> </w:t>
      </w:r>
      <w:r w:rsidR="00B5726B" w:rsidRPr="00102445">
        <w:rPr>
          <w:rStyle w:val="ui-provider"/>
        </w:rPr>
        <w:t xml:space="preserve">deposited </w:t>
      </w:r>
      <w:r w:rsidR="008F01AA" w:rsidRPr="00102445">
        <w:rPr>
          <w:rStyle w:val="ui-provider"/>
        </w:rPr>
        <w:t>after 1 July 2016 are covered by the Safeguard Mechanism.</w:t>
      </w:r>
      <w:r w:rsidR="00902CF1" w:rsidRPr="00102445">
        <w:rPr>
          <w:rStyle w:val="ui-provider"/>
        </w:rPr>
        <w:t xml:space="preserve"> Where some or all </w:t>
      </w:r>
      <w:r w:rsidR="007F1F20" w:rsidRPr="00102445">
        <w:rPr>
          <w:rStyle w:val="ui-provider"/>
        </w:rPr>
        <w:t>of the ACCU</w:t>
      </w:r>
      <w:r w:rsidR="00EE4255" w:rsidRPr="00102445">
        <w:rPr>
          <w:rStyle w:val="ui-provider"/>
        </w:rPr>
        <w:t>s</w:t>
      </w:r>
      <w:r w:rsidR="00D770AF" w:rsidRPr="00102445">
        <w:rPr>
          <w:rStyle w:val="ui-provider"/>
        </w:rPr>
        <w:t xml:space="preserve"> issued </w:t>
      </w:r>
      <w:r w:rsidR="00EE4255" w:rsidRPr="00102445">
        <w:rPr>
          <w:rStyle w:val="ui-provider"/>
        </w:rPr>
        <w:t xml:space="preserve">are attributable to carbon abatement </w:t>
      </w:r>
      <w:r w:rsidR="009E1926" w:rsidRPr="00102445">
        <w:rPr>
          <w:rStyle w:val="ui-provider"/>
        </w:rPr>
        <w:t xml:space="preserve">of covered </w:t>
      </w:r>
      <w:r w:rsidR="00440563" w:rsidRPr="00102445">
        <w:rPr>
          <w:rStyle w:val="ui-provider"/>
        </w:rPr>
        <w:t>emissions</w:t>
      </w:r>
      <w:r w:rsidR="00064CA3" w:rsidRPr="00102445">
        <w:rPr>
          <w:rStyle w:val="ui-provider"/>
        </w:rPr>
        <w:t xml:space="preserve"> at a </w:t>
      </w:r>
      <w:r w:rsidR="008336DE" w:rsidRPr="00102445">
        <w:rPr>
          <w:rStyle w:val="ui-provider"/>
        </w:rPr>
        <w:t xml:space="preserve">designated large </w:t>
      </w:r>
      <w:r w:rsidR="00064CA3" w:rsidRPr="00102445">
        <w:rPr>
          <w:rStyle w:val="ui-provider"/>
        </w:rPr>
        <w:t>facility</w:t>
      </w:r>
      <w:r w:rsidR="00B338CC" w:rsidRPr="00102445">
        <w:rPr>
          <w:rStyle w:val="ui-provider"/>
        </w:rPr>
        <w:t xml:space="preserve">, then </w:t>
      </w:r>
      <w:r w:rsidR="007B1F5C" w:rsidRPr="00102445">
        <w:rPr>
          <w:rStyle w:val="ui-provider"/>
        </w:rPr>
        <w:t>22XK(4) should continue to apply</w:t>
      </w:r>
      <w:r w:rsidR="00322A59" w:rsidRPr="00102445">
        <w:rPr>
          <w:rStyle w:val="ui-provider"/>
        </w:rPr>
        <w:t xml:space="preserve"> and the </w:t>
      </w:r>
      <w:r w:rsidR="002D7B29" w:rsidRPr="00102445">
        <w:rPr>
          <w:rStyle w:val="ui-provider"/>
        </w:rPr>
        <w:t xml:space="preserve">double counting </w:t>
      </w:r>
      <w:r w:rsidR="00322A59" w:rsidRPr="00102445">
        <w:rPr>
          <w:rStyle w:val="ui-provider"/>
        </w:rPr>
        <w:t>a</w:t>
      </w:r>
      <w:r w:rsidR="002F478C" w:rsidRPr="00102445">
        <w:rPr>
          <w:rStyle w:val="ui-provider"/>
        </w:rPr>
        <w:t>dd-back</w:t>
      </w:r>
      <w:r w:rsidR="00DB62D8" w:rsidRPr="00102445">
        <w:rPr>
          <w:rStyle w:val="ui-provider"/>
        </w:rPr>
        <w:t xml:space="preserve"> mechanism should occur</w:t>
      </w:r>
      <w:r w:rsidR="007A5322" w:rsidRPr="00102445">
        <w:rPr>
          <w:rStyle w:val="ui-provider"/>
        </w:rPr>
        <w:t xml:space="preserve"> for the ACCUs attributable to carbon abatement of covered emissions</w:t>
      </w:r>
      <w:r w:rsidR="00DB62D8" w:rsidRPr="00102445">
        <w:rPr>
          <w:rStyle w:val="ui-provider"/>
        </w:rPr>
        <w:t>.</w:t>
      </w:r>
      <w:r w:rsidR="00195675" w:rsidRPr="00102445">
        <w:rPr>
          <w:rStyle w:val="ui-provider"/>
        </w:rPr>
        <w:t xml:space="preserve"> </w:t>
      </w:r>
    </w:p>
    <w:p w14:paraId="467FBE58" w14:textId="28DB7125" w:rsidR="007C3A25" w:rsidRPr="00102445" w:rsidRDefault="007C3A25" w:rsidP="007C3A25">
      <w:pPr>
        <w:pStyle w:val="Itemheadings"/>
        <w:rPr>
          <w:lang w:eastAsia="en-AU"/>
        </w:rPr>
      </w:pPr>
      <w:r w:rsidRPr="00102445">
        <w:rPr>
          <w:lang w:eastAsia="en-AU"/>
        </w:rPr>
        <w:t>Item 5</w:t>
      </w:r>
      <w:r w:rsidR="00586594" w:rsidRPr="00102445">
        <w:rPr>
          <w:lang w:eastAsia="en-AU"/>
        </w:rPr>
        <w:t>6</w:t>
      </w:r>
      <w:r w:rsidRPr="00102445">
        <w:rPr>
          <w:lang w:eastAsia="en-AU"/>
        </w:rPr>
        <w:t xml:space="preserve"> – At the end of Part 4</w:t>
      </w:r>
    </w:p>
    <w:p w14:paraId="0A611CA8" w14:textId="6798037B" w:rsidR="00DF2F6E" w:rsidRPr="00102445" w:rsidRDefault="007C3A25"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Introduces </w:t>
      </w:r>
      <w:r w:rsidR="00676838" w:rsidRPr="00102445">
        <w:rPr>
          <w:rFonts w:eastAsia="Times New Roman" w:cs="Times New Roman"/>
          <w:lang w:eastAsia="en-AU"/>
        </w:rPr>
        <w:t xml:space="preserve">a new </w:t>
      </w:r>
      <w:r w:rsidR="004A43EE" w:rsidRPr="00102445">
        <w:rPr>
          <w:rFonts w:eastAsia="Times New Roman" w:cs="Times New Roman"/>
          <w:lang w:eastAsia="en-AU"/>
        </w:rPr>
        <w:t>D</w:t>
      </w:r>
      <w:r w:rsidR="00676838" w:rsidRPr="00102445">
        <w:rPr>
          <w:rFonts w:eastAsia="Times New Roman" w:cs="Times New Roman"/>
          <w:lang w:eastAsia="en-AU"/>
        </w:rPr>
        <w:t>ivision</w:t>
      </w:r>
      <w:r w:rsidR="004A43EE" w:rsidRPr="00102445">
        <w:rPr>
          <w:rFonts w:eastAsia="Times New Roman" w:cs="Times New Roman"/>
          <w:lang w:eastAsia="en-AU"/>
        </w:rPr>
        <w:t xml:space="preserve"> 5 </w:t>
      </w:r>
      <w:r w:rsidR="00E5787A" w:rsidRPr="00102445">
        <w:rPr>
          <w:rFonts w:eastAsia="Times New Roman" w:cs="Times New Roman"/>
          <w:lang w:eastAsia="en-AU"/>
        </w:rPr>
        <w:t>– Surrender of prescribed carbon units</w:t>
      </w:r>
      <w:r w:rsidR="00CB4915" w:rsidRPr="00102445">
        <w:rPr>
          <w:rFonts w:eastAsia="Times New Roman" w:cs="Times New Roman"/>
          <w:lang w:eastAsia="en-AU"/>
        </w:rPr>
        <w:t>,</w:t>
      </w:r>
      <w:r w:rsidR="00676838" w:rsidRPr="00102445">
        <w:rPr>
          <w:rFonts w:eastAsia="Times New Roman" w:cs="Times New Roman"/>
          <w:lang w:eastAsia="en-AU"/>
        </w:rPr>
        <w:t xml:space="preserve"> </w:t>
      </w:r>
      <w:r w:rsidR="00927125" w:rsidRPr="00102445">
        <w:rPr>
          <w:rFonts w:eastAsia="Times New Roman" w:cs="Times New Roman"/>
          <w:lang w:eastAsia="en-AU"/>
        </w:rPr>
        <w:t xml:space="preserve">to </w:t>
      </w:r>
      <w:r w:rsidR="00062529" w:rsidRPr="00102445">
        <w:rPr>
          <w:rFonts w:eastAsia="Times New Roman" w:cs="Times New Roman"/>
          <w:lang w:eastAsia="en-AU"/>
        </w:rPr>
        <w:t>P</w:t>
      </w:r>
      <w:r w:rsidR="00661FE6" w:rsidRPr="00102445">
        <w:rPr>
          <w:rFonts w:eastAsia="Times New Roman" w:cs="Times New Roman"/>
          <w:lang w:eastAsia="en-AU"/>
        </w:rPr>
        <w:t xml:space="preserve">art 4 </w:t>
      </w:r>
      <w:r w:rsidR="003D2D2F" w:rsidRPr="00102445">
        <w:rPr>
          <w:rFonts w:eastAsia="Times New Roman" w:cs="Times New Roman"/>
          <w:lang w:eastAsia="en-AU"/>
        </w:rPr>
        <w:t xml:space="preserve">of </w:t>
      </w:r>
      <w:r w:rsidR="00676838" w:rsidRPr="00102445">
        <w:rPr>
          <w:rFonts w:eastAsia="Times New Roman" w:cs="Times New Roman"/>
          <w:lang w:eastAsia="en-AU"/>
        </w:rPr>
        <w:t xml:space="preserve">the </w:t>
      </w:r>
      <w:r w:rsidR="003D2D2F" w:rsidRPr="00102445">
        <w:rPr>
          <w:rFonts w:eastAsia="Times New Roman" w:cs="Times New Roman"/>
          <w:lang w:eastAsia="en-AU"/>
        </w:rPr>
        <w:t xml:space="preserve">Rules </w:t>
      </w:r>
      <w:r w:rsidR="005E71D3" w:rsidRPr="00102445">
        <w:rPr>
          <w:rFonts w:eastAsia="Times New Roman" w:cs="Times New Roman"/>
          <w:lang w:eastAsia="en-AU"/>
        </w:rPr>
        <w:t xml:space="preserve">concerning </w:t>
      </w:r>
      <w:r w:rsidR="00FA5904" w:rsidRPr="00102445">
        <w:rPr>
          <w:rFonts w:eastAsia="Times New Roman" w:cs="Times New Roman"/>
          <w:lang w:eastAsia="en-AU"/>
        </w:rPr>
        <w:t xml:space="preserve">the </w:t>
      </w:r>
      <w:r w:rsidR="00542FFB" w:rsidRPr="00102445">
        <w:rPr>
          <w:rFonts w:eastAsia="Times New Roman" w:cs="Times New Roman"/>
          <w:lang w:eastAsia="en-AU"/>
        </w:rPr>
        <w:t xml:space="preserve">period that </w:t>
      </w:r>
      <w:r w:rsidR="003D2D2F" w:rsidRPr="00102445">
        <w:rPr>
          <w:rFonts w:eastAsia="Times New Roman" w:cs="Times New Roman"/>
          <w:lang w:eastAsia="en-AU"/>
        </w:rPr>
        <w:t xml:space="preserve">responsible emitters are able to </w:t>
      </w:r>
      <w:r w:rsidR="00676838" w:rsidRPr="00102445">
        <w:rPr>
          <w:rFonts w:eastAsia="Times New Roman" w:cs="Times New Roman"/>
          <w:lang w:eastAsia="en-AU"/>
        </w:rPr>
        <w:t>surrender carbon units.</w:t>
      </w:r>
    </w:p>
    <w:p w14:paraId="36FBDE76" w14:textId="12C117FD" w:rsidR="00AA6B18" w:rsidRPr="00102445" w:rsidRDefault="004C0685"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New </w:t>
      </w:r>
      <w:r w:rsidR="00DC305A" w:rsidRPr="00102445">
        <w:rPr>
          <w:rFonts w:eastAsia="Times New Roman" w:cs="Times New Roman"/>
          <w:lang w:eastAsia="en-AU"/>
        </w:rPr>
        <w:t>section 72C</w:t>
      </w:r>
      <w:r w:rsidR="00231BA3" w:rsidRPr="00102445">
        <w:rPr>
          <w:rFonts w:eastAsia="Times New Roman" w:cs="Times New Roman"/>
          <w:lang w:eastAsia="en-AU"/>
        </w:rPr>
        <w:t xml:space="preserve"> provides requirements for surrender of prescribed carbon units</w:t>
      </w:r>
      <w:r w:rsidR="00021F77" w:rsidRPr="00102445">
        <w:rPr>
          <w:rFonts w:eastAsia="Times New Roman" w:cs="Times New Roman"/>
          <w:lang w:eastAsia="en-AU"/>
        </w:rPr>
        <w:t xml:space="preserve">. </w:t>
      </w:r>
      <w:r w:rsidR="00AA6B18" w:rsidRPr="00102445">
        <w:rPr>
          <w:rFonts w:eastAsia="Times New Roman" w:cs="Times New Roman"/>
          <w:lang w:eastAsia="en-AU"/>
        </w:rPr>
        <w:t>These requirements are intended to provide an additional incentive for onsite abatement and require the responsible emitter to consider why onsite emissions are not being reduced. The identification of barriers to such abatement will also assist governments prioritise actions to address these limitations.</w:t>
      </w:r>
    </w:p>
    <w:p w14:paraId="24556B58" w14:textId="17B5DD6A" w:rsidR="0057251C" w:rsidRPr="00102445" w:rsidRDefault="00021F77"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If </w:t>
      </w:r>
      <w:r w:rsidR="004A27CC" w:rsidRPr="00102445">
        <w:rPr>
          <w:rFonts w:eastAsia="Times New Roman" w:cs="Times New Roman"/>
          <w:lang w:eastAsia="en-AU"/>
        </w:rPr>
        <w:t xml:space="preserve">none of the prescribed carbon units are </w:t>
      </w:r>
      <w:r w:rsidR="008C17BE" w:rsidRPr="00102445">
        <w:rPr>
          <w:rFonts w:eastAsia="Times New Roman" w:cs="Times New Roman"/>
          <w:lang w:eastAsia="en-AU"/>
        </w:rPr>
        <w:t>ACCUs</w:t>
      </w:r>
      <w:r w:rsidR="005B7653" w:rsidRPr="00102445">
        <w:rPr>
          <w:rFonts w:eastAsia="Times New Roman" w:cs="Times New Roman"/>
          <w:lang w:eastAsia="en-AU"/>
        </w:rPr>
        <w:t xml:space="preserve">, </w:t>
      </w:r>
      <w:r w:rsidR="0057251C" w:rsidRPr="00102445">
        <w:rPr>
          <w:rFonts w:eastAsia="Times New Roman" w:cs="Times New Roman"/>
          <w:lang w:eastAsia="en-AU"/>
        </w:rPr>
        <w:t xml:space="preserve">or the total number of ACCUs surrendered for a facility and period are less than 30 per cent of the facility’s baseline emissions number, </w:t>
      </w:r>
      <w:r w:rsidR="005B7653" w:rsidRPr="00102445">
        <w:rPr>
          <w:rFonts w:eastAsia="Times New Roman" w:cs="Times New Roman"/>
          <w:lang w:eastAsia="en-AU"/>
        </w:rPr>
        <w:t>the surrender meets the requirements of this section.</w:t>
      </w:r>
      <w:r w:rsidR="005D31ED" w:rsidRPr="00102445">
        <w:t xml:space="preserve"> </w:t>
      </w:r>
    </w:p>
    <w:p w14:paraId="3045ABAA" w14:textId="66B4519C" w:rsidR="00DC305A" w:rsidRPr="00102445" w:rsidRDefault="005D31ED" w:rsidP="00591A9C">
      <w:pPr>
        <w:pStyle w:val="ListParagraph"/>
        <w:numPr>
          <w:ilvl w:val="0"/>
          <w:numId w:val="2"/>
        </w:numPr>
        <w:spacing w:line="240" w:lineRule="auto"/>
        <w:contextualSpacing w:val="0"/>
        <w:rPr>
          <w:rFonts w:eastAsia="Times New Roman" w:cs="Times New Roman"/>
          <w:lang w:eastAsia="en-AU"/>
        </w:rPr>
      </w:pPr>
      <w:r w:rsidRPr="00102445">
        <w:t>If the t</w:t>
      </w:r>
      <w:r w:rsidRPr="00102445">
        <w:rPr>
          <w:rFonts w:eastAsia="Times New Roman" w:cs="Times New Roman"/>
          <w:lang w:eastAsia="en-AU"/>
        </w:rPr>
        <w:t xml:space="preserve">otal number of ACCUs surrendered </w:t>
      </w:r>
      <w:r w:rsidR="00C178B2" w:rsidRPr="00102445">
        <w:rPr>
          <w:rFonts w:eastAsia="Times New Roman" w:cs="Times New Roman"/>
          <w:lang w:eastAsia="en-AU"/>
        </w:rPr>
        <w:t>for a facility and period e</w:t>
      </w:r>
      <w:r w:rsidR="0066118C" w:rsidRPr="00102445">
        <w:rPr>
          <w:rFonts w:eastAsia="Times New Roman" w:cs="Times New Roman"/>
          <w:lang w:eastAsia="en-AU"/>
        </w:rPr>
        <w:t>xceed 30 per cent of the facility’s baseline emissions number</w:t>
      </w:r>
      <w:r w:rsidR="00297229" w:rsidRPr="00102445">
        <w:rPr>
          <w:rFonts w:eastAsia="Times New Roman" w:cs="Times New Roman"/>
          <w:lang w:eastAsia="en-AU"/>
        </w:rPr>
        <w:t xml:space="preserve">, the responsible emitter must have provided a written explanation </w:t>
      </w:r>
      <w:r w:rsidR="00433B93" w:rsidRPr="00102445">
        <w:t xml:space="preserve">of why more carbon abatement was not undertaken at a facility during a period </w:t>
      </w:r>
      <w:r w:rsidR="000A5783" w:rsidRPr="00102445">
        <w:t xml:space="preserve">to the Regulator that meets the requirements of subsection </w:t>
      </w:r>
      <w:r w:rsidR="00502BC0" w:rsidRPr="00102445">
        <w:t>72C(5).</w:t>
      </w:r>
      <w:r w:rsidR="008C200D" w:rsidRPr="00102445">
        <w:rPr>
          <w:rFonts w:eastAsia="Times New Roman" w:cs="Times New Roman"/>
          <w:lang w:eastAsia="en-AU"/>
        </w:rPr>
        <w:t xml:space="preserve"> </w:t>
      </w:r>
    </w:p>
    <w:p w14:paraId="3E687A2F" w14:textId="30BAA46E" w:rsidR="004A27CC" w:rsidRPr="00102445" w:rsidRDefault="0098719E"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Subsection 72C(5) requires the explanation to </w:t>
      </w:r>
      <w:r w:rsidR="00E34140" w:rsidRPr="00102445">
        <w:rPr>
          <w:rFonts w:eastAsia="Times New Roman" w:cs="Times New Roman"/>
          <w:lang w:eastAsia="en-AU"/>
        </w:rPr>
        <w:t xml:space="preserve">address </w:t>
      </w:r>
      <w:r w:rsidR="00C82E03" w:rsidRPr="00102445">
        <w:t>whether limitations in available technologies affected the level of carbon abatement undertaken at the facility during the period</w:t>
      </w:r>
      <w:r w:rsidR="00FF7184" w:rsidRPr="00102445">
        <w:t xml:space="preserve"> and whether </w:t>
      </w:r>
      <w:r w:rsidR="009D0E71" w:rsidRPr="00102445">
        <w:t>there are barriers, including regulatory barriers, to undertaking carbon abatement at the facility</w:t>
      </w:r>
      <w:r w:rsidR="001D4125" w:rsidRPr="00102445">
        <w:t>. It</w:t>
      </w:r>
      <w:r w:rsidR="00701984" w:rsidRPr="00102445">
        <w:t xml:space="preserve"> must </w:t>
      </w:r>
      <w:r w:rsidR="00AB5DC9" w:rsidRPr="00102445">
        <w:t xml:space="preserve">include information about future opportunities for undertaking carbon abatement at the facility. It must also </w:t>
      </w:r>
      <w:r w:rsidR="00362289" w:rsidRPr="00102445">
        <w:t xml:space="preserve">identify any information included in the explanation that is commercially sensitive and </w:t>
      </w:r>
      <w:r w:rsidR="00E34B1D" w:rsidRPr="00102445">
        <w:t>be given to the Regulator in the form approved, in writing, by the Regulator.</w:t>
      </w:r>
    </w:p>
    <w:p w14:paraId="6AB7D9D1" w14:textId="45355647" w:rsidR="007E1C0E" w:rsidRPr="00102445" w:rsidRDefault="00985DDF" w:rsidP="00591A9C">
      <w:pPr>
        <w:pStyle w:val="ListParagraph"/>
        <w:numPr>
          <w:ilvl w:val="0"/>
          <w:numId w:val="2"/>
        </w:numPr>
        <w:spacing w:line="240" w:lineRule="auto"/>
        <w:contextualSpacing w:val="0"/>
        <w:rPr>
          <w:rFonts w:eastAsia="Times New Roman" w:cs="Times New Roman"/>
          <w:lang w:eastAsia="en-AU"/>
        </w:rPr>
      </w:pPr>
      <w:r w:rsidRPr="00102445">
        <w:t xml:space="preserve">The Regulator </w:t>
      </w:r>
      <w:r w:rsidR="00725088" w:rsidRPr="00102445">
        <w:t xml:space="preserve">must publish the explanation </w:t>
      </w:r>
      <w:r w:rsidR="009C717D" w:rsidRPr="00102445">
        <w:t xml:space="preserve">as soon as practicable on its website after receiving it, </w:t>
      </w:r>
      <w:r w:rsidR="0017629B" w:rsidRPr="00102445">
        <w:t xml:space="preserve">except for any commercially sensitive information </w:t>
      </w:r>
      <w:r w:rsidR="006A1171" w:rsidRPr="00102445">
        <w:t>identified</w:t>
      </w:r>
      <w:r w:rsidR="002316F0" w:rsidRPr="00102445">
        <w:t xml:space="preserve"> </w:t>
      </w:r>
      <w:r w:rsidR="001C4F3E" w:rsidRPr="00102445">
        <w:t xml:space="preserve">in </w:t>
      </w:r>
      <w:r w:rsidR="004A4737" w:rsidRPr="00102445">
        <w:t>explanation by the responsible emitter.</w:t>
      </w:r>
      <w:r w:rsidR="00AA6B18" w:rsidRPr="00102445">
        <w:t xml:space="preserve"> This allows for public scrutiny, including by investors, of the facility’s pathway to net zero by 2050. </w:t>
      </w:r>
    </w:p>
    <w:p w14:paraId="1C9A5A93" w14:textId="7C86C054" w:rsidR="00DF2F6E" w:rsidRPr="00102445" w:rsidRDefault="009C717D"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New </w:t>
      </w:r>
      <w:r w:rsidR="00724D8A" w:rsidRPr="00102445">
        <w:rPr>
          <w:rFonts w:eastAsia="Times New Roman" w:cs="Times New Roman"/>
          <w:lang w:eastAsia="en-AU"/>
        </w:rPr>
        <w:t xml:space="preserve">section </w:t>
      </w:r>
      <w:r w:rsidR="006A50F8" w:rsidRPr="00102445">
        <w:rPr>
          <w:rFonts w:eastAsia="Times New Roman" w:cs="Times New Roman"/>
          <w:lang w:eastAsia="en-AU"/>
        </w:rPr>
        <w:t>72</w:t>
      </w:r>
      <w:r w:rsidR="00DC305A" w:rsidRPr="00102445">
        <w:rPr>
          <w:rFonts w:eastAsia="Times New Roman" w:cs="Times New Roman"/>
          <w:lang w:eastAsia="en-AU"/>
        </w:rPr>
        <w:t>D</w:t>
      </w:r>
      <w:r w:rsidR="006A50F8" w:rsidRPr="00102445">
        <w:rPr>
          <w:rFonts w:eastAsia="Times New Roman" w:cs="Times New Roman"/>
          <w:lang w:eastAsia="en-AU"/>
        </w:rPr>
        <w:t xml:space="preserve"> </w:t>
      </w:r>
      <w:r w:rsidR="00CE750B" w:rsidRPr="00102445">
        <w:rPr>
          <w:rFonts w:eastAsia="Times New Roman" w:cs="Times New Roman"/>
          <w:lang w:eastAsia="en-AU"/>
        </w:rPr>
        <w:t xml:space="preserve">provides requirements </w:t>
      </w:r>
      <w:r w:rsidR="00BD097A" w:rsidRPr="00102445">
        <w:rPr>
          <w:rFonts w:eastAsia="Times New Roman" w:cs="Times New Roman"/>
          <w:lang w:eastAsia="en-AU"/>
        </w:rPr>
        <w:t>for</w:t>
      </w:r>
      <w:r w:rsidR="00B145CE" w:rsidRPr="00102445">
        <w:rPr>
          <w:rFonts w:eastAsia="Times New Roman" w:cs="Times New Roman"/>
          <w:lang w:eastAsia="en-AU"/>
        </w:rPr>
        <w:t xml:space="preserve"> a</w:t>
      </w:r>
      <w:r w:rsidR="00BD097A" w:rsidRPr="00102445">
        <w:rPr>
          <w:rFonts w:eastAsia="Times New Roman" w:cs="Times New Roman"/>
          <w:lang w:eastAsia="en-AU"/>
        </w:rPr>
        <w:t xml:space="preserve"> period for which </w:t>
      </w:r>
      <w:r w:rsidRPr="00102445">
        <w:rPr>
          <w:rFonts w:eastAsia="Times New Roman" w:cs="Times New Roman"/>
          <w:lang w:eastAsia="en-AU"/>
        </w:rPr>
        <w:t xml:space="preserve">the </w:t>
      </w:r>
      <w:r w:rsidR="00BD097A" w:rsidRPr="00102445">
        <w:rPr>
          <w:rFonts w:eastAsia="Times New Roman" w:cs="Times New Roman"/>
          <w:lang w:eastAsia="en-AU"/>
        </w:rPr>
        <w:t>net emissions number is reduced by surrendering units</w:t>
      </w:r>
      <w:r w:rsidR="00AC127E" w:rsidRPr="00102445">
        <w:rPr>
          <w:rFonts w:eastAsia="Times New Roman" w:cs="Times New Roman"/>
          <w:lang w:eastAsia="en-AU"/>
        </w:rPr>
        <w:t xml:space="preserve">. For the </w:t>
      </w:r>
      <w:r w:rsidR="004B4D1F" w:rsidRPr="00102445">
        <w:rPr>
          <w:rFonts w:eastAsia="Times New Roman" w:cs="Times New Roman"/>
          <w:lang w:eastAsia="en-AU"/>
        </w:rPr>
        <w:t xml:space="preserve">purposes of paragraph </w:t>
      </w:r>
      <w:r w:rsidR="00946E51" w:rsidRPr="00102445">
        <w:rPr>
          <w:rFonts w:eastAsia="Times New Roman" w:cs="Times New Roman"/>
          <w:lang w:eastAsia="en-AU"/>
        </w:rPr>
        <w:t>22XN(1)</w:t>
      </w:r>
      <w:r w:rsidR="00874748" w:rsidRPr="00102445">
        <w:rPr>
          <w:rFonts w:eastAsia="Times New Roman" w:cs="Times New Roman"/>
          <w:lang w:eastAsia="en-AU"/>
        </w:rPr>
        <w:t>(c)</w:t>
      </w:r>
      <w:r w:rsidR="00946E51" w:rsidRPr="00102445">
        <w:rPr>
          <w:rFonts w:eastAsia="Times New Roman" w:cs="Times New Roman"/>
          <w:lang w:eastAsia="en-AU"/>
        </w:rPr>
        <w:t xml:space="preserve"> </w:t>
      </w:r>
      <w:r w:rsidR="00874748" w:rsidRPr="00102445">
        <w:rPr>
          <w:rFonts w:eastAsia="Times New Roman" w:cs="Times New Roman"/>
          <w:lang w:eastAsia="en-AU"/>
        </w:rPr>
        <w:t>o</w:t>
      </w:r>
      <w:r w:rsidR="00946E51" w:rsidRPr="00102445">
        <w:rPr>
          <w:rFonts w:eastAsia="Times New Roman" w:cs="Times New Roman"/>
          <w:lang w:eastAsia="en-AU"/>
        </w:rPr>
        <w:t xml:space="preserve">f </w:t>
      </w:r>
      <w:r w:rsidR="00B86E54" w:rsidRPr="00102445">
        <w:rPr>
          <w:rFonts w:eastAsia="Times New Roman" w:cs="Times New Roman"/>
          <w:lang w:eastAsia="en-AU"/>
        </w:rPr>
        <w:t>the NGER Act</w:t>
      </w:r>
      <w:r w:rsidR="00766110" w:rsidRPr="00102445">
        <w:rPr>
          <w:rFonts w:eastAsia="Times New Roman" w:cs="Times New Roman"/>
          <w:lang w:eastAsia="en-AU"/>
        </w:rPr>
        <w:t xml:space="preserve">, </w:t>
      </w:r>
      <w:r w:rsidR="0052485A" w:rsidRPr="00102445">
        <w:rPr>
          <w:rFonts w:eastAsia="Times New Roman" w:cs="Times New Roman"/>
          <w:lang w:eastAsia="en-AU"/>
        </w:rPr>
        <w:t xml:space="preserve">a registered holder of </w:t>
      </w:r>
      <w:r w:rsidR="00907603" w:rsidRPr="00102445">
        <w:rPr>
          <w:rFonts w:eastAsia="Times New Roman" w:cs="Times New Roman"/>
          <w:lang w:eastAsia="en-AU"/>
        </w:rPr>
        <w:t xml:space="preserve">prescribed carbon credits may surrender </w:t>
      </w:r>
      <w:r w:rsidR="007D345A" w:rsidRPr="00102445">
        <w:rPr>
          <w:rFonts w:eastAsia="Times New Roman" w:cs="Times New Roman"/>
          <w:lang w:eastAsia="en-AU"/>
        </w:rPr>
        <w:t xml:space="preserve">any or all of these units for the </w:t>
      </w:r>
      <w:r w:rsidR="00974041" w:rsidRPr="00102445">
        <w:rPr>
          <w:rFonts w:eastAsia="Times New Roman" w:cs="Times New Roman"/>
          <w:lang w:eastAsia="en-AU"/>
        </w:rPr>
        <w:t>purposes</w:t>
      </w:r>
      <w:r w:rsidR="007D345A" w:rsidRPr="00102445">
        <w:rPr>
          <w:rFonts w:eastAsia="Times New Roman" w:cs="Times New Roman"/>
          <w:lang w:eastAsia="en-AU"/>
        </w:rPr>
        <w:t xml:space="preserve"> of reducing the facilities net emissions number for </w:t>
      </w:r>
      <w:r w:rsidR="005D6D97" w:rsidRPr="00102445">
        <w:rPr>
          <w:rFonts w:eastAsia="Times New Roman" w:cs="Times New Roman"/>
          <w:lang w:eastAsia="en-AU"/>
        </w:rPr>
        <w:t>a period</w:t>
      </w:r>
      <w:r w:rsidR="0060646E" w:rsidRPr="00102445">
        <w:rPr>
          <w:rFonts w:eastAsia="Times New Roman" w:cs="Times New Roman"/>
          <w:lang w:eastAsia="en-AU"/>
        </w:rPr>
        <w:t xml:space="preserve">, so long as the </w:t>
      </w:r>
      <w:r w:rsidR="005D6D97" w:rsidRPr="00102445">
        <w:rPr>
          <w:rFonts w:eastAsia="Times New Roman" w:cs="Times New Roman"/>
          <w:lang w:eastAsia="en-AU"/>
        </w:rPr>
        <w:t xml:space="preserve">period is </w:t>
      </w:r>
      <w:r w:rsidR="000209D3" w:rsidRPr="00102445">
        <w:rPr>
          <w:rFonts w:eastAsia="Times New Roman" w:cs="Times New Roman"/>
          <w:lang w:eastAsia="en-AU"/>
        </w:rPr>
        <w:t xml:space="preserve">a monitoring period for </w:t>
      </w:r>
      <w:r w:rsidR="00B3496A" w:rsidRPr="00102445">
        <w:rPr>
          <w:rFonts w:eastAsia="Times New Roman" w:cs="Times New Roman"/>
          <w:lang w:eastAsia="en-AU"/>
        </w:rPr>
        <w:t>the</w:t>
      </w:r>
      <w:r w:rsidR="000209D3" w:rsidRPr="00102445">
        <w:rPr>
          <w:rFonts w:eastAsia="Times New Roman" w:cs="Times New Roman"/>
          <w:lang w:eastAsia="en-AU"/>
        </w:rPr>
        <w:t xml:space="preserve"> facility in relation</w:t>
      </w:r>
      <w:r w:rsidR="0060646E" w:rsidRPr="00102445">
        <w:rPr>
          <w:rFonts w:eastAsia="Times New Roman" w:cs="Times New Roman"/>
          <w:lang w:eastAsia="en-AU"/>
        </w:rPr>
        <w:t xml:space="preserve"> to the responsible emitter for </w:t>
      </w:r>
      <w:r w:rsidR="00B3496A" w:rsidRPr="00102445">
        <w:rPr>
          <w:rFonts w:eastAsia="Times New Roman" w:cs="Times New Roman"/>
          <w:lang w:eastAsia="en-AU"/>
        </w:rPr>
        <w:t>the faci</w:t>
      </w:r>
      <w:r w:rsidR="00C844CD" w:rsidRPr="00102445">
        <w:rPr>
          <w:rFonts w:eastAsia="Times New Roman" w:cs="Times New Roman"/>
          <w:lang w:eastAsia="en-AU"/>
        </w:rPr>
        <w:t xml:space="preserve">lity; and the period commenced before the surrender was made. </w:t>
      </w:r>
    </w:p>
    <w:p w14:paraId="3F1ADB98" w14:textId="5B96AF00" w:rsidR="00330D0B" w:rsidRPr="00102445" w:rsidRDefault="005A158E"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New</w:t>
      </w:r>
      <w:r w:rsidR="00FD6BE4" w:rsidRPr="00102445">
        <w:rPr>
          <w:rFonts w:eastAsia="Times New Roman" w:cs="Times New Roman"/>
          <w:lang w:eastAsia="en-AU"/>
        </w:rPr>
        <w:t xml:space="preserve"> section </w:t>
      </w:r>
      <w:r w:rsidR="00C95C09" w:rsidRPr="00102445">
        <w:rPr>
          <w:rFonts w:eastAsia="Times New Roman" w:cs="Times New Roman"/>
          <w:lang w:eastAsia="en-AU"/>
        </w:rPr>
        <w:t>72</w:t>
      </w:r>
      <w:r w:rsidR="00DC305A" w:rsidRPr="00102445">
        <w:rPr>
          <w:rFonts w:eastAsia="Times New Roman" w:cs="Times New Roman"/>
          <w:lang w:eastAsia="en-AU"/>
        </w:rPr>
        <w:t>E</w:t>
      </w:r>
      <w:r w:rsidR="00C95C09" w:rsidRPr="00102445">
        <w:rPr>
          <w:rFonts w:eastAsia="Times New Roman" w:cs="Times New Roman"/>
          <w:lang w:eastAsia="en-AU"/>
        </w:rPr>
        <w:t xml:space="preserve"> </w:t>
      </w:r>
      <w:r w:rsidR="00FD6BE4" w:rsidRPr="00102445">
        <w:rPr>
          <w:rFonts w:eastAsia="Times New Roman" w:cs="Times New Roman"/>
          <w:lang w:eastAsia="en-AU"/>
        </w:rPr>
        <w:t xml:space="preserve">provides </w:t>
      </w:r>
      <w:r w:rsidR="00A10F7B" w:rsidRPr="00102445">
        <w:rPr>
          <w:rFonts w:eastAsia="Times New Roman" w:cs="Times New Roman"/>
          <w:lang w:eastAsia="en-AU"/>
        </w:rPr>
        <w:t xml:space="preserve">circumstances in which subsection 22XN(6) of the </w:t>
      </w:r>
      <w:r w:rsidR="000D5CE8" w:rsidRPr="00102445">
        <w:rPr>
          <w:rFonts w:eastAsia="Times New Roman" w:cs="Times New Roman"/>
          <w:lang w:eastAsia="en-AU"/>
        </w:rPr>
        <w:t xml:space="preserve">NGER </w:t>
      </w:r>
      <w:r w:rsidR="0021146E" w:rsidRPr="00102445">
        <w:rPr>
          <w:rFonts w:eastAsia="Times New Roman" w:cs="Times New Roman"/>
          <w:lang w:eastAsia="en-AU"/>
        </w:rPr>
        <w:t>Act</w:t>
      </w:r>
      <w:r w:rsidR="000D5CE8" w:rsidRPr="00102445">
        <w:rPr>
          <w:rFonts w:eastAsia="Times New Roman" w:cs="Times New Roman"/>
          <w:lang w:eastAsia="en-AU"/>
        </w:rPr>
        <w:t xml:space="preserve"> does </w:t>
      </w:r>
      <w:r w:rsidR="0021146E" w:rsidRPr="00102445">
        <w:rPr>
          <w:rFonts w:eastAsia="Times New Roman" w:cs="Times New Roman"/>
          <w:lang w:eastAsia="en-AU"/>
        </w:rPr>
        <w:t>not appl</w:t>
      </w:r>
      <w:r w:rsidR="00886318" w:rsidRPr="00102445">
        <w:rPr>
          <w:rFonts w:eastAsia="Times New Roman" w:cs="Times New Roman"/>
          <w:lang w:eastAsia="en-AU"/>
        </w:rPr>
        <w:t xml:space="preserve">y. </w:t>
      </w:r>
      <w:r w:rsidR="00863363" w:rsidRPr="00102445">
        <w:rPr>
          <w:rFonts w:eastAsia="Times New Roman" w:cs="Times New Roman"/>
          <w:lang w:eastAsia="en-AU"/>
        </w:rPr>
        <w:t xml:space="preserve">This </w:t>
      </w:r>
      <w:r w:rsidR="009B752F" w:rsidRPr="00102445">
        <w:rPr>
          <w:rFonts w:eastAsia="Times New Roman" w:cs="Times New Roman"/>
          <w:lang w:eastAsia="en-AU"/>
        </w:rPr>
        <w:t xml:space="preserve">section </w:t>
      </w:r>
      <w:r w:rsidR="005E239D" w:rsidRPr="00102445">
        <w:rPr>
          <w:rFonts w:eastAsia="Times New Roman" w:cs="Times New Roman"/>
          <w:lang w:eastAsia="en-AU"/>
        </w:rPr>
        <w:t>is provided for by</w:t>
      </w:r>
      <w:r w:rsidR="00EA1D7B" w:rsidRPr="00102445">
        <w:rPr>
          <w:rFonts w:eastAsia="Times New Roman" w:cs="Times New Roman"/>
          <w:lang w:eastAsia="en-AU"/>
        </w:rPr>
        <w:t xml:space="preserve"> subsection </w:t>
      </w:r>
      <w:r w:rsidR="00C40903" w:rsidRPr="00102445">
        <w:rPr>
          <w:rFonts w:eastAsia="Times New Roman" w:cs="Times New Roman"/>
          <w:lang w:eastAsia="en-AU"/>
        </w:rPr>
        <w:t>22XN(7)</w:t>
      </w:r>
      <w:r w:rsidR="002132E5" w:rsidRPr="00102445">
        <w:rPr>
          <w:rFonts w:eastAsia="Times New Roman" w:cs="Times New Roman"/>
          <w:lang w:eastAsia="en-AU"/>
        </w:rPr>
        <w:t xml:space="preserve"> of the </w:t>
      </w:r>
      <w:r w:rsidR="005E239D" w:rsidRPr="00102445">
        <w:rPr>
          <w:rFonts w:eastAsia="Times New Roman" w:cs="Times New Roman"/>
          <w:lang w:eastAsia="en-AU"/>
        </w:rPr>
        <w:t xml:space="preserve">NGER </w:t>
      </w:r>
      <w:r w:rsidR="002132E5" w:rsidRPr="00102445">
        <w:rPr>
          <w:rFonts w:eastAsia="Times New Roman" w:cs="Times New Roman"/>
          <w:lang w:eastAsia="en-AU"/>
        </w:rPr>
        <w:t>Act</w:t>
      </w:r>
      <w:r w:rsidR="00435641" w:rsidRPr="00102445">
        <w:rPr>
          <w:rFonts w:eastAsia="Times New Roman" w:cs="Times New Roman"/>
          <w:lang w:eastAsia="en-AU"/>
        </w:rPr>
        <w:t xml:space="preserve">. </w:t>
      </w:r>
      <w:r w:rsidR="00330D0B" w:rsidRPr="00102445">
        <w:rPr>
          <w:rFonts w:eastAsia="Times New Roman" w:cs="Times New Roman"/>
          <w:lang w:eastAsia="en-AU"/>
        </w:rPr>
        <w:t>Subsection 22XN(</w:t>
      </w:r>
      <w:r w:rsidR="007B5695" w:rsidRPr="00102445">
        <w:rPr>
          <w:rFonts w:eastAsia="Times New Roman" w:cs="Times New Roman"/>
          <w:lang w:eastAsia="en-AU"/>
        </w:rPr>
        <w:t xml:space="preserve">6) of the NGER states that if </w:t>
      </w:r>
      <w:r w:rsidR="008F4324" w:rsidRPr="00102445">
        <w:rPr>
          <w:rFonts w:eastAsia="Times New Roman" w:cs="Times New Roman"/>
          <w:lang w:eastAsia="en-AU"/>
        </w:rPr>
        <w:t xml:space="preserve">some </w:t>
      </w:r>
      <w:r w:rsidR="00FC47DF" w:rsidRPr="00102445">
        <w:rPr>
          <w:rFonts w:eastAsia="Times New Roman" w:cs="Times New Roman"/>
          <w:lang w:eastAsia="en-AU"/>
        </w:rPr>
        <w:t>ACCUs were issued in relation to an eligible offsets project (with</w:t>
      </w:r>
      <w:r w:rsidR="004B0464" w:rsidRPr="00102445">
        <w:rPr>
          <w:rFonts w:eastAsia="Times New Roman" w:cs="Times New Roman"/>
          <w:lang w:eastAsia="en-AU"/>
        </w:rPr>
        <w:t>in the meaning of the Carbon Farming Initiative Act)</w:t>
      </w:r>
      <w:r w:rsidR="004C12A3" w:rsidRPr="00102445">
        <w:rPr>
          <w:rFonts w:eastAsia="Times New Roman" w:cs="Times New Roman"/>
          <w:lang w:eastAsia="en-AU"/>
        </w:rPr>
        <w:t xml:space="preserve">, </w:t>
      </w:r>
      <w:r w:rsidR="00F4620A" w:rsidRPr="00102445">
        <w:rPr>
          <w:rFonts w:eastAsia="Times New Roman" w:cs="Times New Roman"/>
          <w:lang w:eastAsia="en-AU"/>
        </w:rPr>
        <w:t xml:space="preserve">are attributable to </w:t>
      </w:r>
      <w:r w:rsidR="00B9150A" w:rsidRPr="00102445">
        <w:rPr>
          <w:rFonts w:eastAsia="Times New Roman" w:cs="Times New Roman"/>
          <w:lang w:eastAsia="en-AU"/>
        </w:rPr>
        <w:t xml:space="preserve">carbon </w:t>
      </w:r>
      <w:r w:rsidR="00B9150A" w:rsidRPr="00102445">
        <w:rPr>
          <w:rFonts w:eastAsia="Times New Roman" w:cs="Times New Roman"/>
          <w:lang w:eastAsia="en-AU"/>
        </w:rPr>
        <w:lastRenderedPageBreak/>
        <w:t>abatement at the facility</w:t>
      </w:r>
      <w:r w:rsidR="007729AD" w:rsidRPr="00102445">
        <w:rPr>
          <w:rFonts w:eastAsia="Times New Roman" w:cs="Times New Roman"/>
          <w:lang w:eastAsia="en-AU"/>
        </w:rPr>
        <w:t xml:space="preserve">, </w:t>
      </w:r>
      <w:r w:rsidR="004C12A3" w:rsidRPr="00102445">
        <w:rPr>
          <w:rFonts w:eastAsia="Times New Roman" w:cs="Times New Roman"/>
          <w:lang w:eastAsia="en-AU"/>
        </w:rPr>
        <w:t xml:space="preserve">and were </w:t>
      </w:r>
      <w:r w:rsidR="0059292E" w:rsidRPr="00102445">
        <w:rPr>
          <w:rFonts w:eastAsia="Times New Roman" w:cs="Times New Roman"/>
          <w:lang w:eastAsia="en-AU"/>
        </w:rPr>
        <w:t xml:space="preserve">purchased by the Commonwealth under a carbon abatement contract, </w:t>
      </w:r>
      <w:r w:rsidR="00B51373" w:rsidRPr="00102445">
        <w:rPr>
          <w:rFonts w:eastAsia="Times New Roman" w:cs="Times New Roman"/>
          <w:lang w:eastAsia="en-AU"/>
        </w:rPr>
        <w:t>they should be treated as if they are ‘deemed surrenders’ and accordingly reduce the net emissions number of the facility</w:t>
      </w:r>
      <w:r w:rsidR="00DE3AD8" w:rsidRPr="00102445">
        <w:rPr>
          <w:rFonts w:eastAsia="Times New Roman" w:cs="Times New Roman"/>
          <w:lang w:eastAsia="en-AU"/>
        </w:rPr>
        <w:t xml:space="preserve"> for the period within which the ACCUs were issued</w:t>
      </w:r>
      <w:r w:rsidR="00B51373" w:rsidRPr="00102445">
        <w:rPr>
          <w:rFonts w:eastAsia="Times New Roman" w:cs="Times New Roman"/>
          <w:lang w:eastAsia="en-AU"/>
        </w:rPr>
        <w:t>.</w:t>
      </w:r>
    </w:p>
    <w:p w14:paraId="206EDC79" w14:textId="074F7BD6" w:rsidR="00D136CD" w:rsidRPr="00102445" w:rsidRDefault="009C287A"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Under section 72E, s</w:t>
      </w:r>
      <w:r w:rsidR="002707A7" w:rsidRPr="00102445">
        <w:rPr>
          <w:rFonts w:eastAsia="Times New Roman" w:cs="Times New Roman"/>
          <w:lang w:eastAsia="en-AU"/>
        </w:rPr>
        <w:t xml:space="preserve">ubsection 22XN(6) of </w:t>
      </w:r>
      <w:r w:rsidR="00B86E54" w:rsidRPr="00102445">
        <w:rPr>
          <w:rFonts w:eastAsia="Times New Roman" w:cs="Times New Roman"/>
          <w:lang w:eastAsia="en-AU"/>
        </w:rPr>
        <w:t>the NGER Act</w:t>
      </w:r>
      <w:r w:rsidR="002707A7" w:rsidRPr="00102445">
        <w:rPr>
          <w:rFonts w:eastAsia="Times New Roman" w:cs="Times New Roman"/>
          <w:lang w:eastAsia="en-AU"/>
        </w:rPr>
        <w:t xml:space="preserve"> </w:t>
      </w:r>
      <w:r w:rsidR="00947368" w:rsidRPr="00102445">
        <w:rPr>
          <w:rFonts w:eastAsia="Times New Roman" w:cs="Times New Roman"/>
          <w:lang w:eastAsia="en-AU"/>
        </w:rPr>
        <w:t xml:space="preserve">does not apply </w:t>
      </w:r>
      <w:r w:rsidR="00CF3B9C" w:rsidRPr="00102445">
        <w:rPr>
          <w:rFonts w:eastAsia="Times New Roman" w:cs="Times New Roman"/>
          <w:lang w:eastAsia="en-AU"/>
        </w:rPr>
        <w:t>in</w:t>
      </w:r>
      <w:r w:rsidR="00947368" w:rsidRPr="00102445">
        <w:rPr>
          <w:rFonts w:eastAsia="Times New Roman" w:cs="Times New Roman"/>
          <w:lang w:eastAsia="en-AU"/>
        </w:rPr>
        <w:t xml:space="preserve"> relation to a carbon abatement contract entered into after 30 March 2023</w:t>
      </w:r>
      <w:r w:rsidR="00E165AB" w:rsidRPr="00102445">
        <w:rPr>
          <w:rFonts w:eastAsia="Times New Roman" w:cs="Times New Roman"/>
          <w:lang w:eastAsia="en-AU"/>
        </w:rPr>
        <w:t xml:space="preserve"> (otherwise than by way of novation</w:t>
      </w:r>
      <w:r w:rsidR="00CF3B9C" w:rsidRPr="00102445">
        <w:rPr>
          <w:rFonts w:eastAsia="Times New Roman" w:cs="Times New Roman"/>
          <w:lang w:eastAsia="en-AU"/>
        </w:rPr>
        <w:t>)</w:t>
      </w:r>
      <w:r w:rsidR="00E165AB" w:rsidRPr="00102445">
        <w:rPr>
          <w:rFonts w:eastAsia="Times New Roman" w:cs="Times New Roman"/>
          <w:lang w:eastAsia="en-AU"/>
        </w:rPr>
        <w:t xml:space="preserve">. </w:t>
      </w:r>
      <w:r w:rsidR="00E34614" w:rsidRPr="00102445">
        <w:rPr>
          <w:rFonts w:eastAsia="Times New Roman" w:cs="Times New Roman"/>
          <w:lang w:eastAsia="en-AU"/>
        </w:rPr>
        <w:t xml:space="preserve">For the purpose of </w:t>
      </w:r>
      <w:r w:rsidR="007A4A07" w:rsidRPr="00102445">
        <w:rPr>
          <w:rFonts w:eastAsia="Times New Roman" w:cs="Times New Roman"/>
          <w:lang w:eastAsia="en-AU"/>
        </w:rPr>
        <w:t xml:space="preserve">22XN(6) of </w:t>
      </w:r>
      <w:r w:rsidR="00B86E54" w:rsidRPr="00102445">
        <w:rPr>
          <w:rFonts w:eastAsia="Times New Roman" w:cs="Times New Roman"/>
          <w:lang w:eastAsia="en-AU"/>
        </w:rPr>
        <w:t>the NGER Act</w:t>
      </w:r>
      <w:r w:rsidR="00B905CE" w:rsidRPr="00102445">
        <w:rPr>
          <w:rFonts w:eastAsia="Times New Roman" w:cs="Times New Roman"/>
          <w:lang w:eastAsia="en-AU"/>
        </w:rPr>
        <w:t xml:space="preserve">, </w:t>
      </w:r>
      <w:r w:rsidR="007F1F20" w:rsidRPr="00102445">
        <w:rPr>
          <w:rFonts w:eastAsia="Times New Roman" w:cs="Times New Roman"/>
          <w:lang w:eastAsia="en-AU"/>
        </w:rPr>
        <w:t>ACCU</w:t>
      </w:r>
      <w:r w:rsidR="00B905CE" w:rsidRPr="00102445">
        <w:rPr>
          <w:rFonts w:eastAsia="Times New Roman" w:cs="Times New Roman"/>
          <w:lang w:eastAsia="en-AU"/>
        </w:rPr>
        <w:t>s</w:t>
      </w:r>
      <w:r w:rsidR="00562F77" w:rsidRPr="00102445">
        <w:rPr>
          <w:rFonts w:eastAsia="Times New Roman" w:cs="Times New Roman"/>
          <w:lang w:eastAsia="en-AU"/>
        </w:rPr>
        <w:t xml:space="preserve"> are not taken </w:t>
      </w:r>
      <w:r w:rsidR="00FC7649" w:rsidRPr="00102445">
        <w:rPr>
          <w:rFonts w:eastAsia="Times New Roman" w:cs="Times New Roman"/>
          <w:lang w:eastAsia="en-AU"/>
        </w:rPr>
        <w:t xml:space="preserve">to have been surrendered for the </w:t>
      </w:r>
      <w:r w:rsidR="00641A6F" w:rsidRPr="00102445">
        <w:rPr>
          <w:rFonts w:eastAsia="Times New Roman" w:cs="Times New Roman"/>
          <w:lang w:eastAsia="en-AU"/>
        </w:rPr>
        <w:t>purpose</w:t>
      </w:r>
      <w:r w:rsidR="00FC7649" w:rsidRPr="00102445">
        <w:rPr>
          <w:rFonts w:eastAsia="Times New Roman" w:cs="Times New Roman"/>
          <w:lang w:eastAsia="en-AU"/>
        </w:rPr>
        <w:t xml:space="preserve"> of reducing the net emissions number for a facility for a period if </w:t>
      </w:r>
      <w:r w:rsidR="00641A6F" w:rsidRPr="00102445">
        <w:rPr>
          <w:rFonts w:eastAsia="Times New Roman" w:cs="Times New Roman"/>
          <w:lang w:eastAsia="en-AU"/>
        </w:rPr>
        <w:t>those</w:t>
      </w:r>
      <w:r w:rsidR="00FC7649" w:rsidRPr="00102445">
        <w:rPr>
          <w:rFonts w:eastAsia="Times New Roman" w:cs="Times New Roman"/>
          <w:lang w:eastAsia="en-AU"/>
        </w:rPr>
        <w:t xml:space="preserve"> units are not attrib</w:t>
      </w:r>
      <w:r w:rsidR="00641A6F" w:rsidRPr="00102445">
        <w:rPr>
          <w:rFonts w:eastAsia="Times New Roman" w:cs="Times New Roman"/>
          <w:lang w:eastAsia="en-AU"/>
        </w:rPr>
        <w:t xml:space="preserve">utable </w:t>
      </w:r>
      <w:r w:rsidR="009F65C3" w:rsidRPr="00102445">
        <w:rPr>
          <w:rFonts w:eastAsia="Times New Roman" w:cs="Times New Roman"/>
          <w:lang w:eastAsia="en-AU"/>
        </w:rPr>
        <w:t xml:space="preserve">to the avoidance of covered </w:t>
      </w:r>
      <w:r w:rsidR="00316B55" w:rsidRPr="00102445">
        <w:rPr>
          <w:rFonts w:eastAsia="Times New Roman" w:cs="Times New Roman"/>
          <w:lang w:eastAsia="en-AU"/>
        </w:rPr>
        <w:t>emissions</w:t>
      </w:r>
      <w:r w:rsidR="009F65C3" w:rsidRPr="00102445">
        <w:rPr>
          <w:rFonts w:eastAsia="Times New Roman" w:cs="Times New Roman"/>
          <w:lang w:eastAsia="en-AU"/>
        </w:rPr>
        <w:t xml:space="preserve"> of greenhouse gases from the operation of the facility during the period. </w:t>
      </w:r>
      <w:r w:rsidR="00025832" w:rsidRPr="00102445">
        <w:rPr>
          <w:rFonts w:eastAsia="Times New Roman" w:cs="Times New Roman"/>
          <w:lang w:eastAsia="en-AU"/>
        </w:rPr>
        <w:t xml:space="preserve">Further, 22XN(6) of </w:t>
      </w:r>
      <w:r w:rsidR="00B86E54" w:rsidRPr="00102445">
        <w:rPr>
          <w:rFonts w:eastAsia="Times New Roman" w:cs="Times New Roman"/>
          <w:lang w:eastAsia="en-AU"/>
        </w:rPr>
        <w:t>the NGER Act</w:t>
      </w:r>
      <w:r w:rsidR="00025832" w:rsidRPr="00102445">
        <w:rPr>
          <w:rFonts w:eastAsia="Times New Roman" w:cs="Times New Roman"/>
          <w:lang w:eastAsia="en-AU"/>
        </w:rPr>
        <w:t xml:space="preserve"> does not apply </w:t>
      </w:r>
      <w:r w:rsidR="00F63071" w:rsidRPr="00102445">
        <w:rPr>
          <w:rFonts w:eastAsia="Times New Roman" w:cs="Times New Roman"/>
          <w:lang w:eastAsia="en-AU"/>
        </w:rPr>
        <w:t xml:space="preserve">if the ACCUs </w:t>
      </w:r>
      <w:r w:rsidR="00E4294F" w:rsidRPr="00102445">
        <w:rPr>
          <w:rFonts w:eastAsia="Times New Roman" w:cs="Times New Roman"/>
          <w:lang w:eastAsia="en-AU"/>
        </w:rPr>
        <w:t xml:space="preserve">are </w:t>
      </w:r>
      <w:r w:rsidR="00F63071" w:rsidRPr="00102445">
        <w:rPr>
          <w:rFonts w:eastAsia="Times New Roman" w:cs="Times New Roman"/>
          <w:lang w:eastAsia="en-AU"/>
        </w:rPr>
        <w:t>purch</w:t>
      </w:r>
      <w:r w:rsidR="00E4294F" w:rsidRPr="00102445">
        <w:rPr>
          <w:rFonts w:eastAsia="Times New Roman" w:cs="Times New Roman"/>
          <w:lang w:eastAsia="en-AU"/>
        </w:rPr>
        <w:t>as</w:t>
      </w:r>
      <w:r w:rsidR="00F63071" w:rsidRPr="00102445">
        <w:rPr>
          <w:rFonts w:eastAsia="Times New Roman" w:cs="Times New Roman"/>
          <w:lang w:eastAsia="en-AU"/>
        </w:rPr>
        <w:t>e</w:t>
      </w:r>
      <w:r w:rsidR="00E4294F" w:rsidRPr="00102445">
        <w:rPr>
          <w:rFonts w:eastAsia="Times New Roman" w:cs="Times New Roman"/>
          <w:lang w:eastAsia="en-AU"/>
        </w:rPr>
        <w:t xml:space="preserve">d under </w:t>
      </w:r>
      <w:r w:rsidR="007A164D" w:rsidRPr="00102445">
        <w:rPr>
          <w:rFonts w:eastAsia="Times New Roman" w:cs="Times New Roman"/>
          <w:lang w:eastAsia="en-AU"/>
        </w:rPr>
        <w:t xml:space="preserve">a carbon abatement contract that does not refer to the </w:t>
      </w:r>
      <w:r w:rsidR="000E130A" w:rsidRPr="00102445">
        <w:rPr>
          <w:rFonts w:eastAsia="Times New Roman" w:cs="Times New Roman"/>
          <w:lang w:eastAsia="en-AU"/>
        </w:rPr>
        <w:t>project for which the ACCUs were issued.</w:t>
      </w:r>
    </w:p>
    <w:p w14:paraId="08207C9E" w14:textId="0E642F50" w:rsidR="00A01E94" w:rsidRPr="00102445" w:rsidRDefault="00A01E94" w:rsidP="00A01E94">
      <w:pPr>
        <w:spacing w:line="240" w:lineRule="auto"/>
        <w:rPr>
          <w:rFonts w:eastAsia="Times New Roman" w:cs="Times New Roman"/>
          <w:b/>
          <w:bCs/>
          <w:lang w:eastAsia="en-AU"/>
        </w:rPr>
      </w:pPr>
      <w:r w:rsidRPr="00102445">
        <w:rPr>
          <w:rFonts w:eastAsia="Times New Roman" w:cs="Times New Roman"/>
          <w:b/>
          <w:bCs/>
          <w:lang w:eastAsia="en-AU"/>
        </w:rPr>
        <w:t>Item 5</w:t>
      </w:r>
      <w:r w:rsidR="00127179" w:rsidRPr="00102445">
        <w:rPr>
          <w:rFonts w:eastAsia="Times New Roman" w:cs="Times New Roman"/>
          <w:b/>
          <w:bCs/>
          <w:lang w:eastAsia="en-AU"/>
        </w:rPr>
        <w:t>7</w:t>
      </w:r>
      <w:r w:rsidRPr="00102445">
        <w:rPr>
          <w:rFonts w:eastAsia="Times New Roman" w:cs="Times New Roman"/>
          <w:b/>
          <w:bCs/>
          <w:lang w:eastAsia="en-AU"/>
        </w:rPr>
        <w:t xml:space="preserve"> </w:t>
      </w:r>
      <w:r w:rsidR="00696F40" w:rsidRPr="00102445">
        <w:rPr>
          <w:rFonts w:eastAsia="Times New Roman" w:cs="Times New Roman"/>
          <w:b/>
          <w:bCs/>
          <w:lang w:eastAsia="en-AU"/>
        </w:rPr>
        <w:t xml:space="preserve">– </w:t>
      </w:r>
      <w:r w:rsidRPr="00102445">
        <w:rPr>
          <w:rFonts w:eastAsia="Times New Roman" w:cs="Times New Roman"/>
          <w:b/>
          <w:bCs/>
          <w:lang w:eastAsia="en-AU"/>
        </w:rPr>
        <w:t>Before Division 1 of Part 5</w:t>
      </w:r>
    </w:p>
    <w:p w14:paraId="58D54156" w14:textId="2F077D59" w:rsidR="00A01E94" w:rsidRPr="00102445" w:rsidRDefault="00E83513" w:rsidP="00591A9C">
      <w:pPr>
        <w:pStyle w:val="ListParagraph"/>
        <w:numPr>
          <w:ilvl w:val="0"/>
          <w:numId w:val="2"/>
        </w:numPr>
        <w:spacing w:line="240" w:lineRule="auto"/>
        <w:rPr>
          <w:rFonts w:eastAsia="Times New Roman" w:cs="Times New Roman"/>
          <w:b/>
          <w:bCs/>
          <w:lang w:eastAsia="en-AU"/>
        </w:rPr>
      </w:pPr>
      <w:r w:rsidRPr="00102445">
        <w:rPr>
          <w:rFonts w:eastAsia="Times New Roman" w:cs="Times New Roman"/>
          <w:lang w:eastAsia="en-AU"/>
        </w:rPr>
        <w:t>Inserts new</w:t>
      </w:r>
      <w:r w:rsidR="001B5DCD" w:rsidRPr="00102445">
        <w:rPr>
          <w:rFonts w:eastAsia="Times New Roman" w:cs="Times New Roman"/>
          <w:lang w:eastAsia="en-AU"/>
        </w:rPr>
        <w:t xml:space="preserve"> Division 1A </w:t>
      </w:r>
      <w:r w:rsidR="00836A48" w:rsidRPr="00102445">
        <w:rPr>
          <w:rFonts w:eastAsia="Times New Roman" w:cs="Times New Roman"/>
          <w:lang w:eastAsia="en-AU"/>
        </w:rPr>
        <w:t>–</w:t>
      </w:r>
      <w:r w:rsidR="001B5DCD" w:rsidRPr="00102445">
        <w:rPr>
          <w:rFonts w:eastAsia="Times New Roman" w:cs="Times New Roman"/>
          <w:lang w:eastAsia="en-AU"/>
        </w:rPr>
        <w:t xml:space="preserve"> </w:t>
      </w:r>
      <w:r w:rsidR="00836A48" w:rsidRPr="00102445">
        <w:rPr>
          <w:rFonts w:eastAsia="Times New Roman" w:cs="Times New Roman"/>
          <w:lang w:eastAsia="en-AU"/>
        </w:rPr>
        <w:t>Voluntary registration</w:t>
      </w:r>
      <w:r w:rsidR="00A979BA" w:rsidRPr="00102445">
        <w:rPr>
          <w:rFonts w:eastAsia="Times New Roman" w:cs="Times New Roman"/>
          <w:lang w:eastAsia="en-AU"/>
        </w:rPr>
        <w:t>.</w:t>
      </w:r>
    </w:p>
    <w:p w14:paraId="63B2B414" w14:textId="77777777" w:rsidR="00545D9B" w:rsidRPr="00102445" w:rsidRDefault="00545D9B" w:rsidP="00545D9B">
      <w:pPr>
        <w:pStyle w:val="ListParagraph"/>
        <w:spacing w:line="240" w:lineRule="auto"/>
        <w:ind w:left="567"/>
        <w:rPr>
          <w:rFonts w:eastAsia="Times New Roman" w:cs="Times New Roman"/>
          <w:b/>
          <w:bCs/>
          <w:lang w:eastAsia="en-AU"/>
        </w:rPr>
      </w:pPr>
    </w:p>
    <w:p w14:paraId="0B8B198F" w14:textId="09C22BA6" w:rsidR="00A979BA" w:rsidRPr="00102445" w:rsidRDefault="006D321B" w:rsidP="00591A9C">
      <w:pPr>
        <w:pStyle w:val="ListParagraph"/>
        <w:numPr>
          <w:ilvl w:val="0"/>
          <w:numId w:val="2"/>
        </w:numPr>
        <w:spacing w:line="240" w:lineRule="auto"/>
        <w:rPr>
          <w:rFonts w:eastAsia="Times New Roman" w:cs="Times New Roman"/>
          <w:b/>
          <w:bCs/>
          <w:lang w:eastAsia="en-AU"/>
        </w:rPr>
      </w:pPr>
      <w:r w:rsidRPr="00102445">
        <w:rPr>
          <w:rFonts w:eastAsia="Times New Roman" w:cs="Times New Roman"/>
          <w:lang w:eastAsia="en-AU"/>
        </w:rPr>
        <w:t>N</w:t>
      </w:r>
      <w:r w:rsidR="00A61599" w:rsidRPr="00102445">
        <w:rPr>
          <w:rFonts w:eastAsia="Times New Roman" w:cs="Times New Roman"/>
          <w:lang w:eastAsia="en-AU"/>
        </w:rPr>
        <w:t xml:space="preserve">ew </w:t>
      </w:r>
      <w:r w:rsidR="00B10FFE" w:rsidRPr="00102445">
        <w:rPr>
          <w:rFonts w:eastAsia="Times New Roman" w:cs="Times New Roman"/>
          <w:lang w:eastAsia="en-AU"/>
        </w:rPr>
        <w:t xml:space="preserve">section 72D </w:t>
      </w:r>
      <w:r w:rsidR="00CA6271" w:rsidRPr="00102445">
        <w:rPr>
          <w:rFonts w:eastAsia="Times New Roman" w:cs="Times New Roman"/>
          <w:lang w:eastAsia="en-AU"/>
        </w:rPr>
        <w:t xml:space="preserve">provides for registration of eligible facilities. </w:t>
      </w:r>
      <w:r w:rsidR="00744C20" w:rsidRPr="00102445">
        <w:rPr>
          <w:rFonts w:eastAsia="Times New Roman" w:cs="Times New Roman"/>
          <w:lang w:eastAsia="en-AU"/>
        </w:rPr>
        <w:t xml:space="preserve">For the purposes of paragraph </w:t>
      </w:r>
      <w:r w:rsidR="00F87D32" w:rsidRPr="00102445">
        <w:rPr>
          <w:rFonts w:eastAsia="Times New Roman" w:cs="Times New Roman"/>
          <w:lang w:eastAsia="en-AU"/>
        </w:rPr>
        <w:t xml:space="preserve">15B(3A)(a) </w:t>
      </w:r>
      <w:r w:rsidR="00773168" w:rsidRPr="00102445">
        <w:rPr>
          <w:rFonts w:eastAsia="Times New Roman" w:cs="Times New Roman"/>
          <w:lang w:eastAsia="en-AU"/>
        </w:rPr>
        <w:t xml:space="preserve">of </w:t>
      </w:r>
      <w:r w:rsidR="00B86E54" w:rsidRPr="00102445">
        <w:rPr>
          <w:rFonts w:eastAsia="Times New Roman" w:cs="Times New Roman"/>
          <w:lang w:eastAsia="en-AU"/>
        </w:rPr>
        <w:t>the NGER Act</w:t>
      </w:r>
      <w:r w:rsidR="00F87D32" w:rsidRPr="00102445">
        <w:rPr>
          <w:rFonts w:eastAsia="Times New Roman" w:cs="Times New Roman"/>
          <w:lang w:eastAsia="en-AU"/>
        </w:rPr>
        <w:t>, a person who has operational control of an eligible facility for a financial year may app</w:t>
      </w:r>
      <w:r w:rsidR="00773168" w:rsidRPr="00102445">
        <w:rPr>
          <w:rFonts w:eastAsia="Times New Roman" w:cs="Times New Roman"/>
          <w:lang w:eastAsia="en-AU"/>
        </w:rPr>
        <w:t>ly</w:t>
      </w:r>
      <w:r w:rsidR="00F21C49" w:rsidRPr="00102445">
        <w:rPr>
          <w:rFonts w:eastAsia="Times New Roman" w:cs="Times New Roman"/>
          <w:lang w:eastAsia="en-AU"/>
        </w:rPr>
        <w:t xml:space="preserve">, in accordance with section 15B of </w:t>
      </w:r>
      <w:r w:rsidR="00B86E54" w:rsidRPr="00102445">
        <w:rPr>
          <w:rFonts w:eastAsia="Times New Roman" w:cs="Times New Roman"/>
          <w:lang w:eastAsia="en-AU"/>
        </w:rPr>
        <w:t>the NGER Act</w:t>
      </w:r>
      <w:r w:rsidR="00F21C49" w:rsidRPr="00102445">
        <w:rPr>
          <w:rFonts w:eastAsia="Times New Roman" w:cs="Times New Roman"/>
          <w:lang w:eastAsia="en-AU"/>
        </w:rPr>
        <w:t xml:space="preserve">, to be registered under </w:t>
      </w:r>
      <w:r w:rsidR="00B86E54" w:rsidRPr="00102445">
        <w:rPr>
          <w:rFonts w:eastAsia="Times New Roman" w:cs="Times New Roman"/>
          <w:lang w:eastAsia="en-AU"/>
        </w:rPr>
        <w:t>the NGER Act</w:t>
      </w:r>
      <w:r w:rsidR="00F21C49" w:rsidRPr="00102445">
        <w:rPr>
          <w:rFonts w:eastAsia="Times New Roman" w:cs="Times New Roman"/>
          <w:lang w:eastAsia="en-AU"/>
        </w:rPr>
        <w:t xml:space="preserve">. </w:t>
      </w:r>
    </w:p>
    <w:p w14:paraId="69426A31" w14:textId="189FF613" w:rsidR="002E5580" w:rsidRPr="00102445" w:rsidRDefault="002E5580" w:rsidP="002E5580">
      <w:pPr>
        <w:spacing w:line="240" w:lineRule="auto"/>
        <w:rPr>
          <w:rFonts w:eastAsia="Times New Roman" w:cs="Times New Roman"/>
          <w:b/>
          <w:bCs/>
          <w:lang w:eastAsia="en-AU"/>
        </w:rPr>
      </w:pPr>
      <w:r w:rsidRPr="00102445">
        <w:rPr>
          <w:rFonts w:eastAsia="Times New Roman" w:cs="Times New Roman"/>
          <w:b/>
          <w:bCs/>
          <w:lang w:eastAsia="en-AU"/>
        </w:rPr>
        <w:t>Item 5</w:t>
      </w:r>
      <w:r w:rsidR="00DB7E5A" w:rsidRPr="00102445">
        <w:rPr>
          <w:rFonts w:eastAsia="Times New Roman" w:cs="Times New Roman"/>
          <w:b/>
          <w:bCs/>
          <w:lang w:eastAsia="en-AU"/>
        </w:rPr>
        <w:t>8</w:t>
      </w:r>
      <w:r w:rsidRPr="00102445">
        <w:rPr>
          <w:rFonts w:eastAsia="Times New Roman" w:cs="Times New Roman"/>
          <w:b/>
          <w:bCs/>
          <w:lang w:eastAsia="en-AU"/>
        </w:rPr>
        <w:t xml:space="preserve"> </w:t>
      </w:r>
      <w:r w:rsidR="00696F40" w:rsidRPr="00102445">
        <w:rPr>
          <w:rFonts w:eastAsia="Times New Roman" w:cs="Times New Roman"/>
          <w:b/>
          <w:bCs/>
          <w:lang w:eastAsia="en-AU"/>
        </w:rPr>
        <w:t xml:space="preserve">– </w:t>
      </w:r>
      <w:r w:rsidRPr="00102445">
        <w:rPr>
          <w:rFonts w:eastAsia="Times New Roman" w:cs="Times New Roman"/>
          <w:b/>
          <w:bCs/>
          <w:lang w:eastAsia="en-AU"/>
        </w:rPr>
        <w:t>Division 1 of Part 5</w:t>
      </w:r>
      <w:r w:rsidR="00A93186" w:rsidRPr="00102445">
        <w:rPr>
          <w:rFonts w:eastAsia="Times New Roman" w:cs="Times New Roman"/>
          <w:b/>
          <w:bCs/>
          <w:lang w:eastAsia="en-AU"/>
        </w:rPr>
        <w:t xml:space="preserve"> (at the end of the heading)</w:t>
      </w:r>
    </w:p>
    <w:p w14:paraId="4B011C3F" w14:textId="5E4E3656" w:rsidR="00EB76E0" w:rsidRPr="00102445" w:rsidRDefault="00945A2F" w:rsidP="00591A9C">
      <w:pPr>
        <w:pStyle w:val="ListParagraph"/>
        <w:numPr>
          <w:ilvl w:val="0"/>
          <w:numId w:val="2"/>
        </w:numPr>
        <w:spacing w:line="240" w:lineRule="auto"/>
        <w:rPr>
          <w:rFonts w:eastAsia="Times New Roman" w:cs="Times New Roman"/>
          <w:lang w:eastAsia="en-AU"/>
        </w:rPr>
      </w:pPr>
      <w:r w:rsidRPr="00102445">
        <w:rPr>
          <w:rFonts w:eastAsia="Times New Roman" w:cs="Times New Roman"/>
          <w:lang w:eastAsia="en-AU"/>
        </w:rPr>
        <w:t>Updates the heading of Division 1 of Part 5 to ‘</w:t>
      </w:r>
      <w:r w:rsidR="0013606A" w:rsidRPr="00102445">
        <w:rPr>
          <w:rFonts w:eastAsia="Times New Roman" w:cs="Times New Roman"/>
          <w:lang w:eastAsia="en-AU"/>
        </w:rPr>
        <w:t xml:space="preserve">Registration </w:t>
      </w:r>
      <w:r w:rsidR="00090F71" w:rsidRPr="00102445">
        <w:rPr>
          <w:rFonts w:eastAsia="Times New Roman" w:cs="Times New Roman"/>
          <w:lang w:eastAsia="en-AU"/>
        </w:rPr>
        <w:t>applications’.</w:t>
      </w:r>
    </w:p>
    <w:p w14:paraId="37D04D32" w14:textId="4BAFFCA9" w:rsidR="002E5580" w:rsidRPr="00102445" w:rsidRDefault="00090F71" w:rsidP="000638CD">
      <w:pPr>
        <w:pStyle w:val="Itemheadings"/>
        <w:rPr>
          <w:rFonts w:eastAsia="Times New Roman"/>
          <w:lang w:eastAsia="en-AU"/>
        </w:rPr>
      </w:pPr>
      <w:r w:rsidRPr="00102445">
        <w:rPr>
          <w:lang w:eastAsia="en-AU"/>
        </w:rPr>
        <w:t>Item 5</w:t>
      </w:r>
      <w:r w:rsidR="003A43C7" w:rsidRPr="00102445">
        <w:rPr>
          <w:rFonts w:eastAsia="Times New Roman"/>
          <w:lang w:eastAsia="en-AU"/>
        </w:rPr>
        <w:t>9</w:t>
      </w:r>
      <w:r w:rsidRPr="00102445">
        <w:rPr>
          <w:rFonts w:eastAsia="Times New Roman"/>
          <w:lang w:eastAsia="en-AU"/>
        </w:rPr>
        <w:t xml:space="preserve"> </w:t>
      </w:r>
      <w:r w:rsidR="00696F40" w:rsidRPr="00102445">
        <w:rPr>
          <w:rFonts w:eastAsia="Times New Roman"/>
          <w:b w:val="0"/>
          <w:bCs/>
          <w:lang w:eastAsia="en-AU"/>
        </w:rPr>
        <w:t xml:space="preserve">– </w:t>
      </w:r>
      <w:r w:rsidR="003E4C66" w:rsidRPr="00102445">
        <w:rPr>
          <w:rFonts w:eastAsia="Times New Roman"/>
          <w:lang w:eastAsia="en-AU"/>
        </w:rPr>
        <w:t>Section 76</w:t>
      </w:r>
    </w:p>
    <w:p w14:paraId="4A10E849" w14:textId="1A2AB321" w:rsidR="003E4C66" w:rsidRPr="00102445" w:rsidRDefault="00957CE4" w:rsidP="00591A9C">
      <w:pPr>
        <w:pStyle w:val="ListParagraph"/>
        <w:numPr>
          <w:ilvl w:val="0"/>
          <w:numId w:val="2"/>
        </w:numPr>
        <w:spacing w:line="240" w:lineRule="auto"/>
        <w:rPr>
          <w:rFonts w:eastAsia="Times New Roman" w:cs="Times New Roman"/>
          <w:b/>
          <w:bCs/>
          <w:lang w:eastAsia="en-AU"/>
        </w:rPr>
      </w:pPr>
      <w:r w:rsidRPr="00102445">
        <w:rPr>
          <w:rFonts w:eastAsia="Times New Roman" w:cs="Times New Roman"/>
          <w:lang w:eastAsia="en-AU"/>
        </w:rPr>
        <w:t xml:space="preserve">Updates the formatting </w:t>
      </w:r>
      <w:r w:rsidR="00037B57" w:rsidRPr="00102445">
        <w:rPr>
          <w:rFonts w:eastAsia="Times New Roman" w:cs="Times New Roman"/>
          <w:lang w:eastAsia="en-AU"/>
        </w:rPr>
        <w:t>by inserting</w:t>
      </w:r>
      <w:r w:rsidR="00541E8D" w:rsidRPr="00102445">
        <w:rPr>
          <w:rFonts w:eastAsia="Times New Roman" w:cs="Times New Roman"/>
          <w:lang w:eastAsia="en-AU"/>
        </w:rPr>
        <w:t xml:space="preserve"> </w:t>
      </w:r>
      <w:r w:rsidR="0036111C" w:rsidRPr="00102445">
        <w:rPr>
          <w:rFonts w:eastAsia="Times New Roman" w:cs="Times New Roman"/>
          <w:lang w:eastAsia="en-AU"/>
        </w:rPr>
        <w:t>subsection</w:t>
      </w:r>
      <w:r w:rsidR="00037B57" w:rsidRPr="00102445">
        <w:rPr>
          <w:rFonts w:eastAsia="Times New Roman" w:cs="Times New Roman"/>
          <w:lang w:eastAsia="en-AU"/>
        </w:rPr>
        <w:t xml:space="preserve"> (1) </w:t>
      </w:r>
      <w:r w:rsidR="00853F8A" w:rsidRPr="00102445">
        <w:rPr>
          <w:rFonts w:eastAsia="Times New Roman" w:cs="Times New Roman"/>
          <w:lang w:eastAsia="en-AU"/>
        </w:rPr>
        <w:t xml:space="preserve">before ‘A report’ so now that it is </w:t>
      </w:r>
      <w:r w:rsidR="00FC0B75" w:rsidRPr="00102445">
        <w:rPr>
          <w:rFonts w:eastAsia="Times New Roman" w:cs="Times New Roman"/>
          <w:lang w:eastAsia="en-AU"/>
        </w:rPr>
        <w:t xml:space="preserve">section </w:t>
      </w:r>
      <w:r w:rsidR="00803E46" w:rsidRPr="00102445">
        <w:rPr>
          <w:rFonts w:eastAsia="Times New Roman" w:cs="Times New Roman"/>
          <w:lang w:eastAsia="en-AU"/>
        </w:rPr>
        <w:t xml:space="preserve">76(1). </w:t>
      </w:r>
      <w:r w:rsidR="003B0C8D" w:rsidRPr="00102445">
        <w:rPr>
          <w:rFonts w:eastAsia="Times New Roman" w:cs="Times New Roman"/>
          <w:lang w:eastAsia="en-AU"/>
        </w:rPr>
        <w:t xml:space="preserve">This </w:t>
      </w:r>
      <w:r w:rsidR="000A20D3" w:rsidRPr="00102445">
        <w:rPr>
          <w:rFonts w:eastAsia="Times New Roman" w:cs="Times New Roman"/>
          <w:lang w:eastAsia="en-AU"/>
        </w:rPr>
        <w:t>subsection</w:t>
      </w:r>
      <w:r w:rsidR="00C848D5" w:rsidRPr="00102445">
        <w:rPr>
          <w:rFonts w:eastAsia="Times New Roman" w:cs="Times New Roman"/>
          <w:lang w:eastAsia="en-AU"/>
        </w:rPr>
        <w:t xml:space="preserve"> details </w:t>
      </w:r>
      <w:r w:rsidR="00F52FE5" w:rsidRPr="00102445">
        <w:rPr>
          <w:rFonts w:eastAsia="Times New Roman" w:cs="Times New Roman"/>
          <w:lang w:eastAsia="en-AU"/>
        </w:rPr>
        <w:t>what</w:t>
      </w:r>
      <w:r w:rsidR="000A20D3" w:rsidRPr="00102445">
        <w:rPr>
          <w:rFonts w:eastAsia="Times New Roman" w:cs="Times New Roman"/>
          <w:lang w:eastAsia="en-AU"/>
        </w:rPr>
        <w:t xml:space="preserve"> information is required by the report under section 22XB of the </w:t>
      </w:r>
      <w:r w:rsidR="00194D2E" w:rsidRPr="00102445">
        <w:rPr>
          <w:rFonts w:eastAsia="Times New Roman" w:cs="Times New Roman"/>
          <w:lang w:eastAsia="en-AU"/>
        </w:rPr>
        <w:t xml:space="preserve">NGER </w:t>
      </w:r>
      <w:r w:rsidR="000A20D3" w:rsidRPr="00102445">
        <w:rPr>
          <w:rFonts w:eastAsia="Times New Roman" w:cs="Times New Roman"/>
          <w:lang w:eastAsia="en-AU"/>
        </w:rPr>
        <w:t xml:space="preserve">Act. </w:t>
      </w:r>
    </w:p>
    <w:p w14:paraId="6A774825" w14:textId="397CBD5B" w:rsidR="00DB13BA" w:rsidRPr="00102445" w:rsidRDefault="00DB13BA" w:rsidP="00DB13BA">
      <w:pPr>
        <w:spacing w:line="240" w:lineRule="auto"/>
        <w:rPr>
          <w:rFonts w:eastAsia="Times New Roman" w:cs="Times New Roman"/>
          <w:b/>
          <w:bCs/>
          <w:lang w:eastAsia="en-AU"/>
        </w:rPr>
      </w:pPr>
      <w:r w:rsidRPr="00102445">
        <w:rPr>
          <w:rFonts w:eastAsia="Times New Roman" w:cs="Times New Roman"/>
          <w:b/>
          <w:bCs/>
          <w:lang w:eastAsia="en-AU"/>
        </w:rPr>
        <w:t xml:space="preserve">Item </w:t>
      </w:r>
      <w:r w:rsidR="003A43C7" w:rsidRPr="00102445">
        <w:rPr>
          <w:rFonts w:eastAsia="Times New Roman" w:cs="Times New Roman"/>
          <w:b/>
          <w:bCs/>
          <w:lang w:eastAsia="en-AU"/>
        </w:rPr>
        <w:t>60</w:t>
      </w:r>
      <w:r w:rsidR="001D40BC" w:rsidRPr="00102445">
        <w:rPr>
          <w:rFonts w:eastAsia="Times New Roman" w:cs="Times New Roman"/>
          <w:b/>
          <w:bCs/>
          <w:lang w:eastAsia="en-AU"/>
        </w:rPr>
        <w:t xml:space="preserve"> </w:t>
      </w:r>
      <w:r w:rsidR="00696F40" w:rsidRPr="00102445">
        <w:rPr>
          <w:rFonts w:eastAsia="Times New Roman" w:cs="Times New Roman"/>
          <w:b/>
          <w:bCs/>
          <w:lang w:eastAsia="en-AU"/>
        </w:rPr>
        <w:t xml:space="preserve">– </w:t>
      </w:r>
      <w:r w:rsidR="001D40BC" w:rsidRPr="00102445">
        <w:rPr>
          <w:rFonts w:eastAsia="Times New Roman" w:cs="Times New Roman"/>
          <w:b/>
          <w:bCs/>
          <w:lang w:eastAsia="en-AU"/>
        </w:rPr>
        <w:t>At the end of section 76</w:t>
      </w:r>
    </w:p>
    <w:p w14:paraId="1812D08F" w14:textId="182CF4EE" w:rsidR="00E242EE" w:rsidRPr="00102445" w:rsidRDefault="00A16708" w:rsidP="00591A9C">
      <w:pPr>
        <w:pStyle w:val="ListParagraph"/>
        <w:numPr>
          <w:ilvl w:val="0"/>
          <w:numId w:val="2"/>
        </w:numPr>
        <w:spacing w:line="240" w:lineRule="auto"/>
        <w:rPr>
          <w:rFonts w:eastAsia="Times New Roman" w:cs="Times New Roman"/>
          <w:b/>
          <w:bCs/>
          <w:lang w:eastAsia="en-AU"/>
        </w:rPr>
      </w:pPr>
      <w:r w:rsidRPr="00102445">
        <w:rPr>
          <w:rFonts w:eastAsia="Times New Roman" w:cs="Times New Roman"/>
          <w:lang w:eastAsia="en-AU"/>
        </w:rPr>
        <w:t>New s</w:t>
      </w:r>
      <w:r w:rsidR="00903877" w:rsidRPr="00102445">
        <w:rPr>
          <w:rFonts w:eastAsia="Times New Roman" w:cs="Times New Roman"/>
          <w:lang w:eastAsia="en-AU"/>
        </w:rPr>
        <w:t>ubsection 76(2)</w:t>
      </w:r>
      <w:r w:rsidR="00C213E0" w:rsidRPr="00102445">
        <w:rPr>
          <w:rFonts w:eastAsia="Times New Roman" w:cs="Times New Roman"/>
          <w:lang w:eastAsia="en-AU"/>
        </w:rPr>
        <w:t xml:space="preserve"> </w:t>
      </w:r>
      <w:r w:rsidR="00BE77B8" w:rsidRPr="00102445">
        <w:rPr>
          <w:rFonts w:eastAsia="Times New Roman" w:cs="Times New Roman"/>
          <w:lang w:eastAsia="en-AU"/>
        </w:rPr>
        <w:t xml:space="preserve">provides </w:t>
      </w:r>
      <w:r w:rsidR="003803EF" w:rsidRPr="00102445">
        <w:rPr>
          <w:rFonts w:eastAsia="Times New Roman" w:cs="Times New Roman"/>
          <w:lang w:eastAsia="en-AU"/>
        </w:rPr>
        <w:t>the information</w:t>
      </w:r>
      <w:r w:rsidR="00D2261A" w:rsidRPr="00102445">
        <w:rPr>
          <w:rFonts w:eastAsia="Times New Roman" w:cs="Times New Roman"/>
          <w:lang w:eastAsia="en-AU"/>
        </w:rPr>
        <w:t xml:space="preserve"> requirements </w:t>
      </w:r>
      <w:r w:rsidR="00BE77B8" w:rsidRPr="00102445">
        <w:rPr>
          <w:rFonts w:eastAsia="Times New Roman" w:cs="Times New Roman"/>
          <w:lang w:eastAsia="en-AU"/>
        </w:rPr>
        <w:t>for</w:t>
      </w:r>
      <w:r w:rsidR="00215314" w:rsidRPr="00102445">
        <w:rPr>
          <w:rFonts w:eastAsia="Times New Roman" w:cs="Times New Roman"/>
          <w:lang w:eastAsia="en-AU"/>
        </w:rPr>
        <w:t xml:space="preserve"> reporting</w:t>
      </w:r>
      <w:r w:rsidR="00BE77B8" w:rsidRPr="00102445">
        <w:rPr>
          <w:rFonts w:eastAsia="Times New Roman" w:cs="Times New Roman"/>
          <w:lang w:eastAsia="en-AU"/>
        </w:rPr>
        <w:t xml:space="preserve"> quantities of production variables used to calculate baseline emissions number</w:t>
      </w:r>
      <w:r w:rsidR="00544D34" w:rsidRPr="00102445">
        <w:rPr>
          <w:rFonts w:eastAsia="Times New Roman" w:cs="Times New Roman"/>
          <w:lang w:eastAsia="en-AU"/>
        </w:rPr>
        <w:t xml:space="preserve"> for reporters </w:t>
      </w:r>
      <w:r w:rsidR="00194D2E" w:rsidRPr="00102445">
        <w:rPr>
          <w:rFonts w:eastAsia="Times New Roman" w:cs="Times New Roman"/>
          <w:lang w:eastAsia="en-AU"/>
        </w:rPr>
        <w:t>who report under section 22XB of the NGER Act</w:t>
      </w:r>
      <w:r w:rsidR="00BE77B8" w:rsidRPr="00102445">
        <w:rPr>
          <w:rFonts w:eastAsia="Times New Roman" w:cs="Times New Roman"/>
          <w:lang w:eastAsia="en-AU"/>
        </w:rPr>
        <w:t xml:space="preserve">. </w:t>
      </w:r>
      <w:r w:rsidR="00B869A8" w:rsidRPr="00102445">
        <w:rPr>
          <w:rFonts w:eastAsia="Times New Roman" w:cs="Times New Roman"/>
          <w:lang w:eastAsia="en-AU"/>
        </w:rPr>
        <w:t xml:space="preserve">It states that they must report the same information that they would report under </w:t>
      </w:r>
      <w:r w:rsidR="00B869A8" w:rsidRPr="00102445">
        <w:t xml:space="preserve">regulation 4.23C of the NGER Regulations if they were a corporation </w:t>
      </w:r>
      <w:r w:rsidR="00C67A1B" w:rsidRPr="00102445">
        <w:t>for which</w:t>
      </w:r>
      <w:r w:rsidR="00B869A8" w:rsidRPr="00102445">
        <w:t xml:space="preserve"> Division 4.4A of those regulations applied</w:t>
      </w:r>
      <w:r w:rsidR="00C67A1B" w:rsidRPr="00102445">
        <w:t>.</w:t>
      </w:r>
    </w:p>
    <w:p w14:paraId="1EF1703D" w14:textId="3439ADF6" w:rsidR="00B51816" w:rsidRPr="00102445" w:rsidRDefault="000226A1" w:rsidP="00B51816">
      <w:pPr>
        <w:spacing w:line="240" w:lineRule="auto"/>
        <w:rPr>
          <w:rFonts w:eastAsia="Times New Roman" w:cs="Times New Roman"/>
          <w:b/>
          <w:bCs/>
          <w:lang w:eastAsia="en-AU"/>
        </w:rPr>
      </w:pPr>
      <w:r w:rsidRPr="00102445">
        <w:rPr>
          <w:rFonts w:eastAsia="Times New Roman" w:cs="Times New Roman"/>
          <w:b/>
          <w:bCs/>
          <w:lang w:eastAsia="en-AU"/>
        </w:rPr>
        <w:t xml:space="preserve">Item </w:t>
      </w:r>
      <w:r w:rsidR="003A43C7" w:rsidRPr="00102445">
        <w:rPr>
          <w:rFonts w:eastAsia="Times New Roman" w:cs="Times New Roman"/>
          <w:b/>
          <w:bCs/>
          <w:lang w:eastAsia="en-AU"/>
        </w:rPr>
        <w:t>61</w:t>
      </w:r>
      <w:r w:rsidRPr="00102445">
        <w:rPr>
          <w:rFonts w:eastAsia="Times New Roman" w:cs="Times New Roman"/>
          <w:b/>
          <w:bCs/>
          <w:lang w:eastAsia="en-AU"/>
        </w:rPr>
        <w:t xml:space="preserve"> </w:t>
      </w:r>
      <w:r w:rsidR="00696F40" w:rsidRPr="00102445">
        <w:rPr>
          <w:rFonts w:eastAsia="Times New Roman" w:cs="Times New Roman"/>
          <w:b/>
          <w:bCs/>
          <w:lang w:eastAsia="en-AU"/>
        </w:rPr>
        <w:t xml:space="preserve">– </w:t>
      </w:r>
      <w:r w:rsidRPr="00102445">
        <w:rPr>
          <w:rFonts w:eastAsia="Times New Roman" w:cs="Times New Roman"/>
          <w:b/>
          <w:bCs/>
          <w:lang w:eastAsia="en-AU"/>
        </w:rPr>
        <w:t>After Part 5</w:t>
      </w:r>
    </w:p>
    <w:p w14:paraId="4B27A19A" w14:textId="06E9AECD" w:rsidR="003F25B5" w:rsidRPr="00102445" w:rsidRDefault="00287CDE" w:rsidP="00591A9C">
      <w:pPr>
        <w:pStyle w:val="ListParagraph"/>
        <w:numPr>
          <w:ilvl w:val="0"/>
          <w:numId w:val="2"/>
        </w:numPr>
        <w:spacing w:line="240" w:lineRule="auto"/>
        <w:ind w:left="851"/>
        <w:contextualSpacing w:val="0"/>
        <w:rPr>
          <w:rFonts w:eastAsia="Times New Roman" w:cs="Times New Roman"/>
          <w:b/>
          <w:bCs/>
          <w:lang w:eastAsia="en-AU"/>
        </w:rPr>
      </w:pPr>
      <w:r w:rsidRPr="00102445">
        <w:rPr>
          <w:rFonts w:eastAsia="Times New Roman" w:cs="Times New Roman"/>
          <w:lang w:eastAsia="en-AU"/>
        </w:rPr>
        <w:t>Introduc</w:t>
      </w:r>
      <w:r w:rsidR="00DC7E3B" w:rsidRPr="00102445">
        <w:rPr>
          <w:rFonts w:eastAsia="Times New Roman" w:cs="Times New Roman"/>
          <w:lang w:eastAsia="en-AU"/>
        </w:rPr>
        <w:t>es</w:t>
      </w:r>
      <w:r w:rsidR="000A699F" w:rsidRPr="00102445">
        <w:rPr>
          <w:rFonts w:eastAsia="Times New Roman" w:cs="Times New Roman"/>
          <w:lang w:eastAsia="en-AU"/>
        </w:rPr>
        <w:t>, at the end of Part 5,</w:t>
      </w:r>
      <w:r w:rsidR="00DC7E3B" w:rsidRPr="00102445">
        <w:rPr>
          <w:rFonts w:eastAsia="Times New Roman" w:cs="Times New Roman"/>
          <w:lang w:eastAsia="en-AU"/>
        </w:rPr>
        <w:t xml:space="preserve"> </w:t>
      </w:r>
      <w:r w:rsidR="00F35D1B" w:rsidRPr="00102445">
        <w:rPr>
          <w:rFonts w:eastAsia="Times New Roman" w:cs="Times New Roman"/>
          <w:lang w:eastAsia="en-AU"/>
        </w:rPr>
        <w:t xml:space="preserve">new Division 4 </w:t>
      </w:r>
      <w:r w:rsidR="00415803" w:rsidRPr="00102445">
        <w:rPr>
          <w:rFonts w:eastAsia="Times New Roman" w:cs="Times New Roman"/>
          <w:lang w:eastAsia="en-AU"/>
        </w:rPr>
        <w:t>–</w:t>
      </w:r>
      <w:r w:rsidR="00F35D1B" w:rsidRPr="00102445">
        <w:rPr>
          <w:rFonts w:eastAsia="Times New Roman" w:cs="Times New Roman"/>
          <w:lang w:eastAsia="en-AU"/>
        </w:rPr>
        <w:t xml:space="preserve"> </w:t>
      </w:r>
      <w:r w:rsidR="00415803" w:rsidRPr="00102445">
        <w:rPr>
          <w:rFonts w:eastAsia="Times New Roman" w:cs="Times New Roman"/>
          <w:lang w:eastAsia="en-AU"/>
        </w:rPr>
        <w:t>Other information about the Safeguard mechanism.</w:t>
      </w:r>
    </w:p>
    <w:p w14:paraId="7CBC43EC" w14:textId="1A762902" w:rsidR="0031100B" w:rsidRPr="00102445" w:rsidRDefault="00D85266" w:rsidP="00591A9C">
      <w:pPr>
        <w:pStyle w:val="ListParagraph"/>
        <w:numPr>
          <w:ilvl w:val="0"/>
          <w:numId w:val="2"/>
        </w:numPr>
        <w:spacing w:line="240" w:lineRule="auto"/>
        <w:ind w:left="851"/>
        <w:contextualSpacing w:val="0"/>
      </w:pPr>
      <w:r w:rsidRPr="00102445">
        <w:rPr>
          <w:rFonts w:eastAsia="Times New Roman" w:cs="Times New Roman"/>
          <w:lang w:eastAsia="en-AU"/>
        </w:rPr>
        <w:t xml:space="preserve">New section 78A </w:t>
      </w:r>
      <w:r w:rsidR="00D203DD" w:rsidRPr="00102445">
        <w:rPr>
          <w:rFonts w:eastAsia="Times New Roman" w:cs="Times New Roman"/>
          <w:lang w:eastAsia="en-AU"/>
        </w:rPr>
        <w:t>requires designated large facilities to sub</w:t>
      </w:r>
      <w:r w:rsidR="008A38CC" w:rsidRPr="00102445">
        <w:rPr>
          <w:rFonts w:eastAsia="Times New Roman" w:cs="Times New Roman"/>
          <w:lang w:eastAsia="en-AU"/>
        </w:rPr>
        <w:t xml:space="preserve">mit an audit report when they </w:t>
      </w:r>
      <w:r w:rsidR="00E50A22" w:rsidRPr="00102445">
        <w:rPr>
          <w:rFonts w:eastAsia="Times New Roman" w:cs="Times New Roman"/>
          <w:lang w:eastAsia="en-AU"/>
        </w:rPr>
        <w:t xml:space="preserve">provide a </w:t>
      </w:r>
      <w:r w:rsidR="008A38CC" w:rsidRPr="00102445">
        <w:rPr>
          <w:rFonts w:eastAsia="Times New Roman" w:cs="Times New Roman"/>
          <w:lang w:eastAsia="en-AU"/>
        </w:rPr>
        <w:t>report under</w:t>
      </w:r>
      <w:r w:rsidR="00D937B7" w:rsidRPr="00102445">
        <w:rPr>
          <w:rFonts w:eastAsia="Times New Roman" w:cs="Times New Roman"/>
          <w:lang w:eastAsia="en-AU"/>
        </w:rPr>
        <w:t xml:space="preserve"> </w:t>
      </w:r>
      <w:r w:rsidR="007C0DCF" w:rsidRPr="00102445">
        <w:rPr>
          <w:rFonts w:eastAsia="Times New Roman" w:cs="Times New Roman"/>
          <w:lang w:eastAsia="en-AU"/>
        </w:rPr>
        <w:t>section</w:t>
      </w:r>
      <w:r w:rsidR="00C949E5" w:rsidRPr="00102445">
        <w:rPr>
          <w:rFonts w:eastAsia="Times New Roman" w:cs="Times New Roman"/>
          <w:lang w:eastAsia="en-AU"/>
        </w:rPr>
        <w:t xml:space="preserve"> </w:t>
      </w:r>
      <w:r w:rsidR="00C949E5" w:rsidRPr="00102445">
        <w:t>19, 22G, 22X or 22XB of the NGER Act</w:t>
      </w:r>
      <w:r w:rsidR="00D21BCB" w:rsidRPr="00102445">
        <w:t>, if thei</w:t>
      </w:r>
      <w:r w:rsidR="0043435C" w:rsidRPr="00102445">
        <w:t>r</w:t>
      </w:r>
      <w:r w:rsidR="005B69EB" w:rsidRPr="00102445">
        <w:t xml:space="preserve"> covered emissions exceed 1 Mt CO</w:t>
      </w:r>
      <w:r w:rsidR="005B69EB" w:rsidRPr="00102445">
        <w:rPr>
          <w:vertAlign w:val="subscript"/>
        </w:rPr>
        <w:t>2</w:t>
      </w:r>
      <w:r w:rsidR="005B69EB" w:rsidRPr="00102445">
        <w:t xml:space="preserve">-e in a financial year. This report must include a reasonable assurance conclusion or a qualified reasonable assurance conclusion as to </w:t>
      </w:r>
      <w:r w:rsidR="00D31F8A" w:rsidRPr="00102445">
        <w:t xml:space="preserve">whether, in all material respects, </w:t>
      </w:r>
      <w:r w:rsidR="00D31F8A" w:rsidRPr="00102445">
        <w:lastRenderedPageBreak/>
        <w:t xml:space="preserve">the quantities specified in the regulatory report that relate to </w:t>
      </w:r>
      <w:r w:rsidR="004413F7" w:rsidRPr="00102445">
        <w:t>covered emissions and quantities of production variables</w:t>
      </w:r>
      <w:r w:rsidR="00D31F8A" w:rsidRPr="00102445">
        <w:t xml:space="preserve"> are correct</w:t>
      </w:r>
      <w:r w:rsidR="004413F7" w:rsidRPr="00102445">
        <w:t>.</w:t>
      </w:r>
    </w:p>
    <w:p w14:paraId="49C4B928" w14:textId="420FF23D" w:rsidR="00417826" w:rsidRPr="00102445" w:rsidRDefault="00252143" w:rsidP="0031100B">
      <w:pPr>
        <w:spacing w:line="240" w:lineRule="auto"/>
        <w:rPr>
          <w:b/>
        </w:rPr>
      </w:pPr>
      <w:r w:rsidRPr="00102445">
        <w:rPr>
          <w:b/>
        </w:rPr>
        <w:t xml:space="preserve">Item </w:t>
      </w:r>
      <w:r w:rsidR="005A44B0" w:rsidRPr="00102445">
        <w:rPr>
          <w:b/>
        </w:rPr>
        <w:t>62</w:t>
      </w:r>
      <w:r w:rsidRPr="00102445">
        <w:rPr>
          <w:b/>
        </w:rPr>
        <w:t xml:space="preserve"> – At the end of Part 6</w:t>
      </w:r>
    </w:p>
    <w:p w14:paraId="6D8026DB" w14:textId="09D4932A" w:rsidR="00DC25B6" w:rsidRPr="00102445" w:rsidRDefault="0013598E"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Introduces a new division to Part 6 </w:t>
      </w:r>
      <w:r w:rsidR="0094736C" w:rsidRPr="00102445">
        <w:rPr>
          <w:rFonts w:eastAsia="Times New Roman" w:cs="Times New Roman"/>
          <w:lang w:eastAsia="en-AU"/>
        </w:rPr>
        <w:t xml:space="preserve">of the Rules </w:t>
      </w:r>
      <w:r w:rsidR="00DF5793" w:rsidRPr="00102445">
        <w:rPr>
          <w:rFonts w:eastAsia="Times New Roman" w:cs="Times New Roman"/>
          <w:lang w:eastAsia="en-AU"/>
        </w:rPr>
        <w:t>specifying</w:t>
      </w:r>
      <w:r w:rsidR="0094736C" w:rsidRPr="00102445">
        <w:rPr>
          <w:rFonts w:eastAsia="Times New Roman" w:cs="Times New Roman"/>
          <w:lang w:eastAsia="en-AU"/>
        </w:rPr>
        <w:t xml:space="preserve"> </w:t>
      </w:r>
      <w:r w:rsidR="000164DD" w:rsidRPr="00102445">
        <w:rPr>
          <w:rFonts w:eastAsia="Times New Roman" w:cs="Times New Roman"/>
          <w:lang w:eastAsia="en-AU"/>
        </w:rPr>
        <w:t>when</w:t>
      </w:r>
      <w:r w:rsidR="00DF5793" w:rsidRPr="00102445">
        <w:rPr>
          <w:rFonts w:eastAsia="Times New Roman" w:cs="Times New Roman"/>
          <w:lang w:eastAsia="en-AU"/>
        </w:rPr>
        <w:t xml:space="preserve"> different aspects of the </w:t>
      </w:r>
      <w:r w:rsidR="000164DD" w:rsidRPr="00102445">
        <w:rPr>
          <w:rFonts w:eastAsia="Times New Roman" w:cs="Times New Roman"/>
          <w:lang w:eastAsia="en-AU"/>
        </w:rPr>
        <w:t xml:space="preserve">updated </w:t>
      </w:r>
      <w:r w:rsidR="00DF5793" w:rsidRPr="00102445">
        <w:rPr>
          <w:rFonts w:eastAsia="Times New Roman" w:cs="Times New Roman"/>
          <w:lang w:eastAsia="en-AU"/>
        </w:rPr>
        <w:t xml:space="preserve">Rules </w:t>
      </w:r>
      <w:r w:rsidR="000164DD" w:rsidRPr="00102445">
        <w:rPr>
          <w:rFonts w:eastAsia="Times New Roman" w:cs="Times New Roman"/>
          <w:lang w:eastAsia="en-AU"/>
        </w:rPr>
        <w:t>begin</w:t>
      </w:r>
      <w:r w:rsidR="002D22DE" w:rsidRPr="00102445">
        <w:rPr>
          <w:rFonts w:eastAsia="Times New Roman" w:cs="Times New Roman"/>
          <w:lang w:eastAsia="en-AU"/>
        </w:rPr>
        <w:t xml:space="preserve"> to </w:t>
      </w:r>
      <w:r w:rsidR="000164DD" w:rsidRPr="00102445">
        <w:rPr>
          <w:rFonts w:eastAsia="Times New Roman" w:cs="Times New Roman"/>
          <w:lang w:eastAsia="en-AU"/>
        </w:rPr>
        <w:t>apply</w:t>
      </w:r>
      <w:r w:rsidR="00953990" w:rsidRPr="00102445">
        <w:rPr>
          <w:rFonts w:eastAsia="Times New Roman" w:cs="Times New Roman"/>
          <w:lang w:eastAsia="en-AU"/>
        </w:rPr>
        <w:t>.</w:t>
      </w:r>
    </w:p>
    <w:p w14:paraId="36BEC8C6" w14:textId="520E3D99" w:rsidR="00BD7009" w:rsidRPr="00102445" w:rsidRDefault="00DC25B6" w:rsidP="00B656BF">
      <w:pPr>
        <w:pStyle w:val="Heading5"/>
        <w:rPr>
          <w:b w:val="0"/>
          <w:bCs/>
        </w:rPr>
      </w:pPr>
      <w:r w:rsidRPr="00102445">
        <w:t>Division 5</w:t>
      </w:r>
      <w:r w:rsidR="002F53F7" w:rsidRPr="00102445">
        <w:rPr>
          <w:b w:val="0"/>
        </w:rPr>
        <w:t xml:space="preserve"> </w:t>
      </w:r>
      <w:r w:rsidR="002F53F7" w:rsidRPr="00102445">
        <w:t xml:space="preserve">– </w:t>
      </w:r>
      <w:r w:rsidRPr="00102445">
        <w:t>Application, saving and transitional provisions relating to the National Greenhouse and Energy Reporting (Safeguard Mechanism) Amendment (Reforms) Rules 2023</w:t>
      </w:r>
    </w:p>
    <w:p w14:paraId="50292813" w14:textId="3A321DF3" w:rsidR="00BD7009" w:rsidRPr="00102445" w:rsidRDefault="00B76F4C"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Section 87</w:t>
      </w:r>
      <w:r w:rsidR="00894DFF" w:rsidRPr="00102445">
        <w:rPr>
          <w:rFonts w:eastAsia="Times New Roman" w:cs="Times New Roman"/>
          <w:lang w:eastAsia="en-AU"/>
        </w:rPr>
        <w:t xml:space="preserve"> </w:t>
      </w:r>
      <w:r w:rsidR="006708B5" w:rsidRPr="00102445">
        <w:rPr>
          <w:rFonts w:eastAsia="Times New Roman" w:cs="Times New Roman"/>
          <w:lang w:eastAsia="en-AU"/>
        </w:rPr>
        <w:t>provide</w:t>
      </w:r>
      <w:r w:rsidR="007A20BD" w:rsidRPr="00102445">
        <w:rPr>
          <w:rFonts w:eastAsia="Times New Roman" w:cs="Times New Roman"/>
          <w:lang w:eastAsia="en-AU"/>
        </w:rPr>
        <w:t>s</w:t>
      </w:r>
      <w:r w:rsidR="006708B5" w:rsidRPr="00102445">
        <w:rPr>
          <w:rFonts w:eastAsia="Times New Roman" w:cs="Times New Roman"/>
          <w:lang w:eastAsia="en-AU"/>
        </w:rPr>
        <w:t xml:space="preserve"> </w:t>
      </w:r>
      <w:r w:rsidR="00B149F6" w:rsidRPr="00102445">
        <w:rPr>
          <w:rFonts w:eastAsia="Times New Roman" w:cs="Times New Roman"/>
          <w:lang w:eastAsia="en-AU"/>
        </w:rPr>
        <w:t>for the application of certain provisions within th</w:t>
      </w:r>
      <w:r w:rsidR="002D5505" w:rsidRPr="00102445">
        <w:rPr>
          <w:rFonts w:eastAsia="Times New Roman" w:cs="Times New Roman"/>
          <w:lang w:eastAsia="en-AU"/>
        </w:rPr>
        <w:t xml:space="preserve">e </w:t>
      </w:r>
      <w:r w:rsidR="002D5505" w:rsidRPr="00102445">
        <w:rPr>
          <w:i/>
        </w:rPr>
        <w:t>National Greenhouse and Energy Reporting (Safeguard Mechanism) Amendment (Reforms) Rules 2023</w:t>
      </w:r>
      <w:r w:rsidR="00DF769B" w:rsidRPr="00102445">
        <w:rPr>
          <w:rFonts w:eastAsia="Times New Roman" w:cs="Times New Roman"/>
          <w:lang w:eastAsia="en-AU"/>
        </w:rPr>
        <w:t xml:space="preserve">. </w:t>
      </w:r>
    </w:p>
    <w:p w14:paraId="38782935" w14:textId="2505B3DE" w:rsidR="00B423F3" w:rsidRPr="00102445" w:rsidRDefault="00FC4CC1"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The amendment to section 7 and new Part 3 of the Safeguard Rules</w:t>
      </w:r>
      <w:r w:rsidR="00241415" w:rsidRPr="00102445">
        <w:rPr>
          <w:rFonts w:eastAsia="Times New Roman" w:cs="Times New Roman"/>
          <w:lang w:eastAsia="en-AU"/>
        </w:rPr>
        <w:t xml:space="preserve"> would </w:t>
      </w:r>
      <w:r w:rsidR="00336E11" w:rsidRPr="00102445">
        <w:rPr>
          <w:rFonts w:eastAsia="Times New Roman" w:cs="Times New Roman"/>
          <w:lang w:eastAsia="en-AU"/>
        </w:rPr>
        <w:t>apply to financial years</w:t>
      </w:r>
      <w:r w:rsidR="00776A49" w:rsidRPr="00102445">
        <w:rPr>
          <w:rFonts w:eastAsia="Times New Roman" w:cs="Times New Roman"/>
          <w:lang w:eastAsia="en-AU"/>
        </w:rPr>
        <w:t xml:space="preserve"> that begin after 30 June 2023.</w:t>
      </w:r>
    </w:p>
    <w:p w14:paraId="7F6F80F4" w14:textId="4DD43D11" w:rsidR="006219FF" w:rsidRPr="00102445" w:rsidRDefault="006219FF" w:rsidP="00591A9C">
      <w:pPr>
        <w:pStyle w:val="ListParagraph"/>
        <w:numPr>
          <w:ilvl w:val="0"/>
          <w:numId w:val="2"/>
        </w:numPr>
        <w:spacing w:line="240" w:lineRule="auto"/>
        <w:ind w:left="851"/>
        <w:contextualSpacing w:val="0"/>
        <w:rPr>
          <w:rFonts w:eastAsia="Times New Roman" w:cs="Times New Roman"/>
          <w:lang w:eastAsia="en-AU"/>
        </w:rPr>
      </w:pPr>
      <w:r w:rsidRPr="00102445">
        <w:rPr>
          <w:rFonts w:eastAsia="Times New Roman" w:cs="Times New Roman"/>
          <w:lang w:eastAsia="en-AU"/>
        </w:rPr>
        <w:t>Section 72B</w:t>
      </w:r>
      <w:r w:rsidR="00673EB0" w:rsidRPr="00102445">
        <w:rPr>
          <w:rFonts w:eastAsia="Times New Roman" w:cs="Times New Roman"/>
          <w:lang w:eastAsia="en-AU"/>
        </w:rPr>
        <w:t>,</w:t>
      </w:r>
      <w:r w:rsidRPr="00102445">
        <w:rPr>
          <w:rFonts w:eastAsia="Times New Roman" w:cs="Times New Roman"/>
          <w:lang w:eastAsia="en-AU"/>
        </w:rPr>
        <w:t xml:space="preserve"> </w:t>
      </w:r>
      <w:r w:rsidR="004A34B9" w:rsidRPr="00102445">
        <w:rPr>
          <w:rFonts w:eastAsia="Times New Roman" w:cs="Times New Roman"/>
          <w:lang w:eastAsia="en-AU"/>
        </w:rPr>
        <w:t>which relate</w:t>
      </w:r>
      <w:r w:rsidR="00673EB0" w:rsidRPr="00102445">
        <w:rPr>
          <w:rFonts w:eastAsia="Times New Roman" w:cs="Times New Roman"/>
          <w:lang w:eastAsia="en-AU"/>
        </w:rPr>
        <w:t>s</w:t>
      </w:r>
      <w:r w:rsidR="004A34B9" w:rsidRPr="00102445">
        <w:rPr>
          <w:rFonts w:eastAsia="Times New Roman" w:cs="Times New Roman"/>
          <w:lang w:eastAsia="en-AU"/>
        </w:rPr>
        <w:t xml:space="preserve"> to the</w:t>
      </w:r>
      <w:r w:rsidR="00673EB0" w:rsidRPr="00102445">
        <w:rPr>
          <w:rFonts w:eastAsia="Times New Roman" w:cs="Times New Roman"/>
          <w:lang w:eastAsia="en-AU"/>
        </w:rPr>
        <w:t xml:space="preserve"> double counting add-back of ACCUs, </w:t>
      </w:r>
      <w:r w:rsidR="005C015D" w:rsidRPr="00102445">
        <w:rPr>
          <w:rFonts w:eastAsia="Times New Roman" w:cs="Times New Roman"/>
          <w:lang w:eastAsia="en-AU"/>
        </w:rPr>
        <w:t xml:space="preserve">section 72D, </w:t>
      </w:r>
      <w:r w:rsidR="00CB4F2B" w:rsidRPr="00102445">
        <w:rPr>
          <w:rFonts w:eastAsia="Times New Roman" w:cs="Times New Roman"/>
          <w:lang w:eastAsia="en-AU"/>
        </w:rPr>
        <w:t xml:space="preserve">which relates to requirements for the </w:t>
      </w:r>
      <w:r w:rsidR="00C5271C" w:rsidRPr="00102445">
        <w:rPr>
          <w:rFonts w:eastAsia="Times New Roman" w:cs="Times New Roman"/>
          <w:lang w:eastAsia="en-AU"/>
        </w:rPr>
        <w:t xml:space="preserve">period that a surrender relates to, and </w:t>
      </w:r>
      <w:r w:rsidR="00673EB0" w:rsidRPr="00102445">
        <w:rPr>
          <w:rFonts w:eastAsia="Times New Roman" w:cs="Times New Roman"/>
          <w:lang w:eastAsia="en-AU"/>
        </w:rPr>
        <w:t>subsection 72E(3), which relate</w:t>
      </w:r>
      <w:r w:rsidR="00237D22" w:rsidRPr="00102445">
        <w:rPr>
          <w:rFonts w:eastAsia="Times New Roman" w:cs="Times New Roman"/>
          <w:lang w:eastAsia="en-AU"/>
        </w:rPr>
        <w:t>s</w:t>
      </w:r>
      <w:r w:rsidR="00673EB0" w:rsidRPr="00102445">
        <w:rPr>
          <w:rFonts w:eastAsia="Times New Roman" w:cs="Times New Roman"/>
          <w:lang w:eastAsia="en-AU"/>
        </w:rPr>
        <w:t xml:space="preserve"> to deemed surrender, </w:t>
      </w:r>
      <w:r w:rsidR="003A2C9E" w:rsidRPr="00102445">
        <w:rPr>
          <w:rFonts w:eastAsia="Times New Roman" w:cs="Times New Roman"/>
          <w:lang w:eastAsia="en-AU"/>
        </w:rPr>
        <w:t>a</w:t>
      </w:r>
      <w:r w:rsidR="00C5271C" w:rsidRPr="00102445">
        <w:rPr>
          <w:rFonts w:eastAsia="Times New Roman" w:cs="Times New Roman"/>
          <w:lang w:eastAsia="en-AU"/>
        </w:rPr>
        <w:t xml:space="preserve">pply to periods that </w:t>
      </w:r>
      <w:r w:rsidR="001D1535" w:rsidRPr="00102445">
        <w:rPr>
          <w:rFonts w:eastAsia="Times New Roman" w:cs="Times New Roman"/>
          <w:lang w:eastAsia="en-AU"/>
        </w:rPr>
        <w:t xml:space="preserve">begin after </w:t>
      </w:r>
      <w:r w:rsidR="00421629" w:rsidRPr="00102445">
        <w:rPr>
          <w:rFonts w:eastAsia="Times New Roman" w:cs="Times New Roman"/>
          <w:lang w:eastAsia="en-AU"/>
        </w:rPr>
        <w:t>30 June 2022.</w:t>
      </w:r>
    </w:p>
    <w:p w14:paraId="5622D829" w14:textId="2BC95330" w:rsidR="009C1A0A" w:rsidRPr="00102445" w:rsidRDefault="009C1A0A" w:rsidP="00591A9C">
      <w:pPr>
        <w:pStyle w:val="ListParagraph"/>
        <w:numPr>
          <w:ilvl w:val="0"/>
          <w:numId w:val="2"/>
        </w:numPr>
        <w:spacing w:line="240" w:lineRule="auto"/>
        <w:ind w:left="851"/>
        <w:contextualSpacing w:val="0"/>
        <w:rPr>
          <w:rFonts w:eastAsia="Times New Roman" w:cs="Times New Roman"/>
          <w:lang w:eastAsia="en-AU"/>
        </w:rPr>
      </w:pPr>
      <w:r w:rsidRPr="00102445">
        <w:rPr>
          <w:rFonts w:eastAsia="Times New Roman" w:cs="Times New Roman"/>
          <w:lang w:eastAsia="en-AU"/>
        </w:rPr>
        <w:t xml:space="preserve">Section 72C, regarding an explanation if the number of ACCUs surrendered exceeds a threshold, </w:t>
      </w:r>
      <w:r w:rsidR="009A1287" w:rsidRPr="00102445">
        <w:rPr>
          <w:rFonts w:eastAsia="Times New Roman" w:cs="Times New Roman"/>
          <w:lang w:eastAsia="en-AU"/>
        </w:rPr>
        <w:t xml:space="preserve">applies on and after </w:t>
      </w:r>
      <w:r w:rsidR="00A22849" w:rsidRPr="00102445">
        <w:rPr>
          <w:rFonts w:eastAsia="Times New Roman" w:cs="Times New Roman"/>
          <w:lang w:eastAsia="en-AU"/>
        </w:rPr>
        <w:t>1 July 2023</w:t>
      </w:r>
      <w:r w:rsidR="009A1287" w:rsidRPr="00102445">
        <w:rPr>
          <w:rFonts w:eastAsia="Times New Roman" w:cs="Times New Roman"/>
          <w:lang w:eastAsia="en-AU"/>
        </w:rPr>
        <w:t>.</w:t>
      </w:r>
    </w:p>
    <w:p w14:paraId="66DE09CA" w14:textId="77777777" w:rsidR="00637076" w:rsidRPr="00102445" w:rsidRDefault="00D60575" w:rsidP="00591A9C">
      <w:pPr>
        <w:pStyle w:val="ListParagraph"/>
        <w:numPr>
          <w:ilvl w:val="0"/>
          <w:numId w:val="2"/>
        </w:numPr>
        <w:spacing w:line="240" w:lineRule="auto"/>
        <w:ind w:left="851"/>
        <w:contextualSpacing w:val="0"/>
        <w:rPr>
          <w:rFonts w:eastAsia="Times New Roman" w:cs="Times New Roman"/>
          <w:lang w:eastAsia="en-AU"/>
        </w:rPr>
      </w:pPr>
      <w:r w:rsidRPr="00102445">
        <w:rPr>
          <w:rFonts w:eastAsia="Times New Roman" w:cs="Times New Roman"/>
          <w:lang w:eastAsia="en-AU"/>
        </w:rPr>
        <w:t>Section 88</w:t>
      </w:r>
      <w:r w:rsidR="00B83F39" w:rsidRPr="00102445">
        <w:rPr>
          <w:rFonts w:eastAsia="Times New Roman" w:cs="Times New Roman"/>
          <w:lang w:eastAsia="en-AU"/>
        </w:rPr>
        <w:t xml:space="preserve"> </w:t>
      </w:r>
      <w:r w:rsidR="006E5F8D" w:rsidRPr="00102445">
        <w:rPr>
          <w:rFonts w:eastAsia="Times New Roman" w:cs="Times New Roman"/>
          <w:lang w:eastAsia="en-AU"/>
        </w:rPr>
        <w:t>includes savin</w:t>
      </w:r>
      <w:r w:rsidR="00177E02" w:rsidRPr="00102445">
        <w:rPr>
          <w:rFonts w:eastAsia="Times New Roman" w:cs="Times New Roman"/>
          <w:lang w:eastAsia="en-AU"/>
        </w:rPr>
        <w:t xml:space="preserve">g provisions </w:t>
      </w:r>
      <w:r w:rsidR="00702C3C" w:rsidRPr="00102445">
        <w:rPr>
          <w:rFonts w:eastAsia="Times New Roman" w:cs="Times New Roman"/>
          <w:lang w:eastAsia="en-AU"/>
        </w:rPr>
        <w:t xml:space="preserve">of certain elements </w:t>
      </w:r>
      <w:r w:rsidR="00D75180" w:rsidRPr="00102445">
        <w:rPr>
          <w:rFonts w:eastAsia="Times New Roman" w:cs="Times New Roman"/>
          <w:lang w:eastAsia="en-AU"/>
        </w:rPr>
        <w:t xml:space="preserve">amended by the </w:t>
      </w:r>
      <w:r w:rsidR="00D75180" w:rsidRPr="00102445">
        <w:rPr>
          <w:i/>
        </w:rPr>
        <w:t>National Greenhouse and Energy Reporting (Safeguard Mechanism) Amendment (Reforms) Rules 2023</w:t>
      </w:r>
      <w:r w:rsidR="00ED6303" w:rsidRPr="00102445">
        <w:rPr>
          <w:rFonts w:eastAsia="Times New Roman" w:cs="Times New Roman"/>
          <w:lang w:eastAsia="en-AU"/>
        </w:rPr>
        <w:t xml:space="preserve"> relating to </w:t>
      </w:r>
      <w:r w:rsidR="00E90F25" w:rsidRPr="00102445">
        <w:rPr>
          <w:rFonts w:eastAsia="Times New Roman" w:cs="Times New Roman"/>
          <w:lang w:eastAsia="en-AU"/>
        </w:rPr>
        <w:t xml:space="preserve">Part 3 </w:t>
      </w:r>
      <w:r w:rsidR="00FB4916" w:rsidRPr="00102445">
        <w:rPr>
          <w:rFonts w:eastAsia="Times New Roman" w:cs="Times New Roman"/>
          <w:lang w:eastAsia="en-AU"/>
        </w:rPr>
        <w:t xml:space="preserve">baseline </w:t>
      </w:r>
      <w:r w:rsidR="00DB38CF" w:rsidRPr="00102445">
        <w:rPr>
          <w:rFonts w:eastAsia="Times New Roman" w:cs="Times New Roman"/>
          <w:lang w:eastAsia="en-AU"/>
        </w:rPr>
        <w:t>e</w:t>
      </w:r>
      <w:r w:rsidR="00FB4916" w:rsidRPr="00102445">
        <w:rPr>
          <w:rFonts w:eastAsia="Times New Roman" w:cs="Times New Roman"/>
          <w:lang w:eastAsia="en-AU"/>
        </w:rPr>
        <w:t xml:space="preserve">missions number. </w:t>
      </w:r>
      <w:r w:rsidR="00317595" w:rsidRPr="00102445">
        <w:rPr>
          <w:rFonts w:eastAsia="Times New Roman" w:cs="Times New Roman"/>
          <w:lang w:eastAsia="en-AU"/>
        </w:rPr>
        <w:t>Part 3</w:t>
      </w:r>
      <w:r w:rsidR="005969F5" w:rsidRPr="00102445">
        <w:rPr>
          <w:rFonts w:eastAsia="Times New Roman" w:cs="Times New Roman"/>
          <w:lang w:eastAsia="en-AU"/>
        </w:rPr>
        <w:t xml:space="preserve"> </w:t>
      </w:r>
      <w:r w:rsidR="0060423F" w:rsidRPr="00102445">
        <w:rPr>
          <w:rFonts w:eastAsia="Times New Roman" w:cs="Times New Roman"/>
          <w:lang w:eastAsia="en-AU"/>
        </w:rPr>
        <w:t xml:space="preserve">of the Safeguard Rules as in force before this instrument commences </w:t>
      </w:r>
      <w:r w:rsidR="00A53AAD" w:rsidRPr="00102445">
        <w:rPr>
          <w:rFonts w:eastAsia="Times New Roman" w:cs="Times New Roman"/>
          <w:lang w:eastAsia="en-AU"/>
        </w:rPr>
        <w:t xml:space="preserve">continues to apply for the </w:t>
      </w:r>
      <w:r w:rsidR="00637076" w:rsidRPr="00102445">
        <w:rPr>
          <w:rFonts w:eastAsia="Times New Roman" w:cs="Times New Roman"/>
          <w:lang w:eastAsia="en-AU"/>
        </w:rPr>
        <w:t>2022</w:t>
      </w:r>
      <w:r w:rsidR="00637076" w:rsidRPr="00102445">
        <w:rPr>
          <w:rFonts w:eastAsia="Times New Roman" w:cs="Times New Roman"/>
          <w:lang w:eastAsia="en-AU"/>
        </w:rPr>
        <w:noBreakHyphen/>
        <w:t>23 financial year</w:t>
      </w:r>
      <w:r w:rsidR="00A53AAD" w:rsidRPr="00102445">
        <w:rPr>
          <w:rFonts w:eastAsia="Times New Roman" w:cs="Times New Roman"/>
          <w:lang w:eastAsia="en-AU"/>
        </w:rPr>
        <w:t>.</w:t>
      </w:r>
      <w:r w:rsidR="00F44586" w:rsidRPr="00102445">
        <w:rPr>
          <w:rFonts w:eastAsia="Times New Roman" w:cs="Times New Roman"/>
          <w:lang w:eastAsia="en-AU"/>
        </w:rPr>
        <w:t xml:space="preserve"> </w:t>
      </w:r>
      <w:r w:rsidR="002267BC" w:rsidRPr="00102445">
        <w:rPr>
          <w:rFonts w:eastAsia="Times New Roman" w:cs="Times New Roman"/>
          <w:lang w:eastAsia="en-AU"/>
        </w:rPr>
        <w:t>Determinations made under that pa</w:t>
      </w:r>
      <w:r w:rsidR="006D2288" w:rsidRPr="00102445">
        <w:rPr>
          <w:rFonts w:eastAsia="Times New Roman" w:cs="Times New Roman"/>
          <w:lang w:eastAsia="en-AU"/>
        </w:rPr>
        <w:t xml:space="preserve">rt continue to apply </w:t>
      </w:r>
      <w:r w:rsidR="00927974" w:rsidRPr="00102445">
        <w:rPr>
          <w:rFonts w:eastAsia="Times New Roman" w:cs="Times New Roman"/>
          <w:lang w:eastAsia="en-AU"/>
        </w:rPr>
        <w:t>in relation to determining baselines</w:t>
      </w:r>
      <w:r w:rsidR="00637076" w:rsidRPr="00102445">
        <w:rPr>
          <w:rFonts w:eastAsia="Times New Roman" w:cs="Times New Roman"/>
          <w:lang w:eastAsia="en-AU"/>
        </w:rPr>
        <w:t xml:space="preserve"> for the 2022</w:t>
      </w:r>
      <w:r w:rsidR="00637076" w:rsidRPr="00102445">
        <w:rPr>
          <w:rFonts w:eastAsia="Times New Roman" w:cs="Times New Roman"/>
          <w:lang w:eastAsia="en-AU"/>
        </w:rPr>
        <w:noBreakHyphen/>
        <w:t>23 financial year.</w:t>
      </w:r>
    </w:p>
    <w:p w14:paraId="728B38C8" w14:textId="280682A2" w:rsidR="00C24A34" w:rsidRPr="00102445" w:rsidRDefault="00AE0DBF" w:rsidP="00591A9C">
      <w:pPr>
        <w:pStyle w:val="ListParagraph"/>
        <w:numPr>
          <w:ilvl w:val="0"/>
          <w:numId w:val="2"/>
        </w:numPr>
        <w:spacing w:line="240" w:lineRule="auto"/>
        <w:ind w:left="851"/>
        <w:contextualSpacing w:val="0"/>
        <w:rPr>
          <w:rFonts w:eastAsia="Times New Roman" w:cs="Times New Roman"/>
          <w:lang w:eastAsia="en-AU"/>
        </w:rPr>
      </w:pPr>
      <w:r w:rsidRPr="00102445">
        <w:rPr>
          <w:rFonts w:eastAsia="Times New Roman" w:cs="Times New Roman"/>
          <w:lang w:eastAsia="en-AU"/>
        </w:rPr>
        <w:t xml:space="preserve">However, in order for facilities to </w:t>
      </w:r>
      <w:r w:rsidR="004C5BCA" w:rsidRPr="00102445">
        <w:rPr>
          <w:rFonts w:eastAsia="Times New Roman" w:cs="Times New Roman"/>
          <w:lang w:eastAsia="en-AU"/>
        </w:rPr>
        <w:t xml:space="preserve">apply for baselines </w:t>
      </w:r>
      <w:r w:rsidR="00637076" w:rsidRPr="00102445">
        <w:rPr>
          <w:rFonts w:eastAsia="Times New Roman" w:cs="Times New Roman"/>
          <w:lang w:eastAsia="en-AU"/>
        </w:rPr>
        <w:t>for the 2022</w:t>
      </w:r>
      <w:r w:rsidR="00637076" w:rsidRPr="00102445">
        <w:rPr>
          <w:rFonts w:eastAsia="Times New Roman" w:cs="Times New Roman"/>
          <w:lang w:eastAsia="en-AU"/>
        </w:rPr>
        <w:noBreakHyphen/>
        <w:t>23 financial year</w:t>
      </w:r>
      <w:r w:rsidR="004C5BCA" w:rsidRPr="00102445">
        <w:rPr>
          <w:rFonts w:eastAsia="Times New Roman" w:cs="Times New Roman"/>
          <w:lang w:eastAsia="en-AU"/>
        </w:rPr>
        <w:t xml:space="preserve">, </w:t>
      </w:r>
      <w:r w:rsidRPr="00102445">
        <w:rPr>
          <w:rFonts w:eastAsia="Times New Roman" w:cs="Times New Roman"/>
          <w:lang w:eastAsia="en-AU"/>
        </w:rPr>
        <w:t>it applies as if the following provisions were omitted</w:t>
      </w:r>
      <w:r w:rsidR="004C5BCA" w:rsidRPr="00102445">
        <w:rPr>
          <w:rFonts w:eastAsia="Times New Roman" w:cs="Times New Roman"/>
          <w:lang w:eastAsia="en-AU"/>
        </w:rPr>
        <w:t>:</w:t>
      </w:r>
      <w:r w:rsidR="00E558E3" w:rsidRPr="00102445">
        <w:rPr>
          <w:rFonts w:eastAsia="Times New Roman" w:cs="Times New Roman"/>
          <w:lang w:eastAsia="en-AU"/>
        </w:rPr>
        <w:t xml:space="preserve"> </w:t>
      </w:r>
      <w:r w:rsidR="00D06E96" w:rsidRPr="00102445">
        <w:rPr>
          <w:rFonts w:eastAsia="Times New Roman" w:cs="Times New Roman"/>
          <w:lang w:eastAsia="en-AU"/>
        </w:rPr>
        <w:t>subsection 26A(6) (criteria for a transitional calculated baseline); subparagraphs 40(1)(ab)(i) and (ii) (criteria for a production adjusted baseline determination);</w:t>
      </w:r>
      <w:r w:rsidR="00C24A34" w:rsidRPr="00102445">
        <w:rPr>
          <w:rFonts w:eastAsia="Times New Roman" w:cs="Times New Roman"/>
          <w:lang w:eastAsia="en-AU"/>
        </w:rPr>
        <w:t xml:space="preserve"> and </w:t>
      </w:r>
      <w:r w:rsidR="00D06E96" w:rsidRPr="00102445">
        <w:rPr>
          <w:rFonts w:eastAsia="Times New Roman" w:cs="Times New Roman"/>
          <w:lang w:eastAsia="en-AU"/>
        </w:rPr>
        <w:t>paragraph 40(1)(b) (criteria for a production adjusted baseline determination).</w:t>
      </w:r>
    </w:p>
    <w:p w14:paraId="3EC0A3E7" w14:textId="6F503196" w:rsidR="00D60575" w:rsidRPr="00102445" w:rsidRDefault="00D60575" w:rsidP="00591A9C">
      <w:pPr>
        <w:pStyle w:val="ListParagraph"/>
        <w:numPr>
          <w:ilvl w:val="0"/>
          <w:numId w:val="2"/>
        </w:numPr>
        <w:spacing w:line="240" w:lineRule="auto"/>
        <w:ind w:left="851"/>
        <w:contextualSpacing w:val="0"/>
        <w:rPr>
          <w:rFonts w:eastAsia="Times New Roman" w:cs="Times New Roman"/>
          <w:lang w:eastAsia="en-AU"/>
        </w:rPr>
      </w:pPr>
      <w:r w:rsidRPr="00102445">
        <w:rPr>
          <w:rFonts w:eastAsia="Times New Roman" w:cs="Times New Roman"/>
          <w:lang w:eastAsia="en-AU"/>
        </w:rPr>
        <w:t xml:space="preserve">Section 89 </w:t>
      </w:r>
      <w:r w:rsidR="001A406C" w:rsidRPr="00102445">
        <w:rPr>
          <w:rFonts w:eastAsia="Times New Roman" w:cs="Times New Roman"/>
          <w:lang w:eastAsia="en-AU"/>
        </w:rPr>
        <w:t xml:space="preserve">applies to a </w:t>
      </w:r>
      <w:r w:rsidR="00940892" w:rsidRPr="00102445">
        <w:rPr>
          <w:rFonts w:eastAsia="Times New Roman" w:cs="Times New Roman"/>
          <w:lang w:eastAsia="en-AU"/>
        </w:rPr>
        <w:t xml:space="preserve">declared multi-year monitoring period </w:t>
      </w:r>
      <w:r w:rsidR="00522002" w:rsidRPr="00102445">
        <w:rPr>
          <w:rFonts w:eastAsia="Times New Roman" w:cs="Times New Roman"/>
          <w:lang w:eastAsia="en-AU"/>
        </w:rPr>
        <w:t xml:space="preserve">in a multi-year period declaration </w:t>
      </w:r>
      <w:r w:rsidR="007A18BC" w:rsidRPr="00102445">
        <w:rPr>
          <w:rFonts w:eastAsia="Times New Roman" w:cs="Times New Roman"/>
          <w:lang w:eastAsia="en-AU"/>
        </w:rPr>
        <w:t>in force immediately before this section commences. If the end date of the declared mul</w:t>
      </w:r>
      <w:r w:rsidR="00437DAC" w:rsidRPr="00102445">
        <w:rPr>
          <w:rFonts w:eastAsia="Times New Roman" w:cs="Times New Roman"/>
          <w:lang w:eastAsia="en-AU"/>
        </w:rPr>
        <w:t>ti</w:t>
      </w:r>
      <w:r w:rsidR="007A18BC" w:rsidRPr="00102445">
        <w:rPr>
          <w:rFonts w:eastAsia="Times New Roman" w:cs="Times New Roman"/>
          <w:lang w:eastAsia="en-AU"/>
        </w:rPr>
        <w:t xml:space="preserve">-year period </w:t>
      </w:r>
      <w:r w:rsidR="00437DAC" w:rsidRPr="00102445">
        <w:rPr>
          <w:rFonts w:eastAsia="Times New Roman" w:cs="Times New Roman"/>
          <w:lang w:eastAsia="en-AU"/>
        </w:rPr>
        <w:t xml:space="preserve">is a date later than 30 June 2024, the end date is taken to be 30 June 2024. </w:t>
      </w:r>
    </w:p>
    <w:p w14:paraId="55F33A11" w14:textId="0176470E" w:rsidR="00BD7009" w:rsidRPr="00102445" w:rsidRDefault="00BD7009" w:rsidP="00711BC3">
      <w:pPr>
        <w:pStyle w:val="Itemheadings"/>
      </w:pPr>
      <w:r w:rsidRPr="00102445">
        <w:t xml:space="preserve">Item </w:t>
      </w:r>
      <w:r w:rsidR="004A578B" w:rsidRPr="00102445">
        <w:t>63</w:t>
      </w:r>
      <w:r w:rsidRPr="00102445">
        <w:t xml:space="preserve"> –</w:t>
      </w:r>
      <w:r w:rsidR="00BF222C" w:rsidRPr="00102445">
        <w:t xml:space="preserve"> Schedule 1</w:t>
      </w:r>
    </w:p>
    <w:p w14:paraId="6F077DDB" w14:textId="602C4CF3" w:rsidR="00BD7009" w:rsidRPr="00102445" w:rsidRDefault="006C7D69" w:rsidP="00591A9C">
      <w:pPr>
        <w:pStyle w:val="ListParagraph"/>
        <w:numPr>
          <w:ilvl w:val="0"/>
          <w:numId w:val="2"/>
        </w:numPr>
        <w:spacing w:line="240" w:lineRule="auto"/>
        <w:contextualSpacing w:val="0"/>
      </w:pPr>
      <w:r w:rsidRPr="00102445">
        <w:t>Repeals</w:t>
      </w:r>
      <w:r w:rsidR="001F1C5C" w:rsidRPr="00102445">
        <w:t xml:space="preserve"> Schedule</w:t>
      </w:r>
      <w:r w:rsidR="00900468" w:rsidRPr="00102445">
        <w:t xml:space="preserve"> 1</w:t>
      </w:r>
      <w:r w:rsidR="000C59AF" w:rsidRPr="00102445">
        <w:t xml:space="preserve"> </w:t>
      </w:r>
      <w:r w:rsidR="00C43D49" w:rsidRPr="00102445">
        <w:t>–</w:t>
      </w:r>
      <w:r w:rsidR="000C59AF" w:rsidRPr="00102445">
        <w:t xml:space="preserve"> </w:t>
      </w:r>
      <w:r w:rsidR="00C43D49" w:rsidRPr="00102445">
        <w:t>‘Benchmark Emission Intensity Index’</w:t>
      </w:r>
      <w:r w:rsidR="006A7A87" w:rsidRPr="00102445">
        <w:t xml:space="preserve"> as</w:t>
      </w:r>
      <w:r w:rsidR="006364B1" w:rsidRPr="00102445">
        <w:t xml:space="preserve"> it is no longer applicable. </w:t>
      </w:r>
    </w:p>
    <w:p w14:paraId="0D74390A" w14:textId="31909A09" w:rsidR="00BD7009" w:rsidRPr="00102445" w:rsidRDefault="00BD7009" w:rsidP="00711BC3">
      <w:pPr>
        <w:pStyle w:val="Itemheadings"/>
      </w:pPr>
      <w:r w:rsidRPr="00102445">
        <w:t xml:space="preserve">Item </w:t>
      </w:r>
      <w:r w:rsidR="0016038F" w:rsidRPr="00102445">
        <w:t>64</w:t>
      </w:r>
      <w:r w:rsidRPr="00102445">
        <w:t xml:space="preserve"> –</w:t>
      </w:r>
      <w:r w:rsidR="00BF222C" w:rsidRPr="00102445">
        <w:t xml:space="preserve"> Schedule 2 (heading)</w:t>
      </w:r>
    </w:p>
    <w:p w14:paraId="490D741B" w14:textId="0DB26F69" w:rsidR="002B168B" w:rsidRPr="00102445" w:rsidRDefault="00101FC6" w:rsidP="00591A9C">
      <w:pPr>
        <w:pStyle w:val="ListParagraph"/>
        <w:numPr>
          <w:ilvl w:val="0"/>
          <w:numId w:val="2"/>
        </w:numPr>
      </w:pPr>
      <w:r w:rsidRPr="00102445">
        <w:t>Re</w:t>
      </w:r>
      <w:r w:rsidR="004667AE" w:rsidRPr="00102445">
        <w:t xml:space="preserve">peals the heading </w:t>
      </w:r>
      <w:r w:rsidR="00900468" w:rsidRPr="00102445">
        <w:t xml:space="preserve">of Schedule 2 and </w:t>
      </w:r>
      <w:r w:rsidR="00BB0AA5" w:rsidRPr="00102445">
        <w:t>introduces a new Schedule 1</w:t>
      </w:r>
      <w:r w:rsidR="005A2E97" w:rsidRPr="00102445">
        <w:t>:</w:t>
      </w:r>
    </w:p>
    <w:p w14:paraId="3D8CA47C" w14:textId="24248985" w:rsidR="001D7290" w:rsidRPr="00102445" w:rsidRDefault="001D7290" w:rsidP="005A0C16">
      <w:pPr>
        <w:pStyle w:val="Itemheadings"/>
      </w:pPr>
      <w:r w:rsidRPr="00102445">
        <w:lastRenderedPageBreak/>
        <w:t>Schedule</w:t>
      </w:r>
      <w:r w:rsidRPr="00102445">
        <w:rPr>
          <w:b w:val="0"/>
          <w:bCs/>
        </w:rPr>
        <w:t xml:space="preserve"> </w:t>
      </w:r>
      <w:r w:rsidRPr="00102445">
        <w:t>1 – Production Variables</w:t>
      </w:r>
    </w:p>
    <w:p w14:paraId="4ED093F0" w14:textId="1BC48ED5" w:rsidR="009851C1" w:rsidRPr="00102445" w:rsidRDefault="009851C1" w:rsidP="005A0C16">
      <w:pPr>
        <w:pStyle w:val="Itemheadings"/>
      </w:pPr>
      <w:r w:rsidRPr="00102445">
        <w:t xml:space="preserve">Item </w:t>
      </w:r>
      <w:r w:rsidR="00832CB7" w:rsidRPr="00102445">
        <w:rPr>
          <w:bCs/>
        </w:rPr>
        <w:t>65</w:t>
      </w:r>
      <w:r w:rsidR="00924D10" w:rsidRPr="00102445">
        <w:rPr>
          <w:bCs/>
        </w:rPr>
        <w:t xml:space="preserve"> </w:t>
      </w:r>
      <w:r w:rsidR="00192AC8" w:rsidRPr="00102445">
        <w:t xml:space="preserve">– </w:t>
      </w:r>
      <w:r w:rsidR="00924D10" w:rsidRPr="00102445">
        <w:rPr>
          <w:bCs/>
        </w:rPr>
        <w:t xml:space="preserve">Section </w:t>
      </w:r>
      <w:r w:rsidR="00192AC8" w:rsidRPr="00102445">
        <w:rPr>
          <w:bCs/>
        </w:rPr>
        <w:t>35</w:t>
      </w:r>
      <w:r w:rsidR="00924D10" w:rsidRPr="00102445">
        <w:rPr>
          <w:bCs/>
        </w:rPr>
        <w:t xml:space="preserve"> o</w:t>
      </w:r>
      <w:r w:rsidR="00235D8B" w:rsidRPr="00102445">
        <w:rPr>
          <w:bCs/>
        </w:rPr>
        <w:t>f</w:t>
      </w:r>
      <w:r w:rsidR="006726F1" w:rsidRPr="00102445">
        <w:rPr>
          <w:bCs/>
        </w:rPr>
        <w:t xml:space="preserve"> Schedule 2 (at the end of the heading)</w:t>
      </w:r>
    </w:p>
    <w:p w14:paraId="173DBAB4" w14:textId="5EA84440" w:rsidR="00784E6F" w:rsidRPr="00102445" w:rsidRDefault="00F043C3" w:rsidP="00591A9C">
      <w:pPr>
        <w:pStyle w:val="ListParagraph"/>
        <w:numPr>
          <w:ilvl w:val="0"/>
          <w:numId w:val="2"/>
        </w:numPr>
        <w:spacing w:line="240" w:lineRule="auto"/>
        <w:ind w:left="851"/>
        <w:contextualSpacing w:val="0"/>
        <w:rPr>
          <w:rFonts w:eastAsia="Times New Roman" w:cs="Times New Roman"/>
          <w:lang w:eastAsia="en-AU"/>
        </w:rPr>
      </w:pPr>
      <w:r w:rsidRPr="00102445">
        <w:rPr>
          <w:rFonts w:eastAsia="Times New Roman" w:cs="Times New Roman"/>
          <w:lang w:eastAsia="en-AU"/>
        </w:rPr>
        <w:t xml:space="preserve">Updates the </w:t>
      </w:r>
      <w:r w:rsidR="00B425CF" w:rsidRPr="00102445">
        <w:rPr>
          <w:rFonts w:eastAsia="Times New Roman" w:cs="Times New Roman"/>
          <w:lang w:eastAsia="en-AU"/>
        </w:rPr>
        <w:t xml:space="preserve">heading of </w:t>
      </w:r>
      <w:r w:rsidR="00FF167A" w:rsidRPr="00102445">
        <w:rPr>
          <w:rFonts w:eastAsia="Times New Roman" w:cs="Times New Roman"/>
          <w:lang w:eastAsia="en-AU"/>
        </w:rPr>
        <w:t xml:space="preserve">section </w:t>
      </w:r>
      <w:r w:rsidR="002540F3" w:rsidRPr="00102445">
        <w:rPr>
          <w:rFonts w:eastAsia="Times New Roman" w:cs="Times New Roman"/>
          <w:lang w:eastAsia="en-AU"/>
        </w:rPr>
        <w:t>42</w:t>
      </w:r>
      <w:r w:rsidR="00FF167A" w:rsidRPr="00102445">
        <w:rPr>
          <w:rFonts w:eastAsia="Times New Roman" w:cs="Times New Roman"/>
          <w:lang w:eastAsia="en-AU"/>
        </w:rPr>
        <w:t xml:space="preserve"> to</w:t>
      </w:r>
      <w:r w:rsidR="004533BF" w:rsidRPr="00102445">
        <w:rPr>
          <w:rFonts w:eastAsia="Times New Roman" w:cs="Times New Roman"/>
          <w:lang w:eastAsia="en-AU"/>
        </w:rPr>
        <w:t xml:space="preserve"> now</w:t>
      </w:r>
      <w:r w:rsidR="00FF167A" w:rsidRPr="00102445">
        <w:rPr>
          <w:rFonts w:eastAsia="Times New Roman" w:cs="Times New Roman"/>
          <w:lang w:eastAsia="en-AU"/>
        </w:rPr>
        <w:t xml:space="preserve"> be </w:t>
      </w:r>
      <w:r w:rsidR="00354D8E" w:rsidRPr="00102445">
        <w:rPr>
          <w:rFonts w:eastAsia="Times New Roman" w:cs="Times New Roman"/>
          <w:lang w:eastAsia="en-AU"/>
        </w:rPr>
        <w:t>‘</w:t>
      </w:r>
      <w:r w:rsidR="004533BF" w:rsidRPr="00102445">
        <w:rPr>
          <w:rFonts w:eastAsia="Times New Roman" w:cs="Times New Roman"/>
          <w:lang w:eastAsia="en-AU"/>
        </w:rPr>
        <w:t>Reservoir carbon dioxide</w:t>
      </w:r>
      <w:r w:rsidR="00354D8E" w:rsidRPr="00102445">
        <w:rPr>
          <w:rFonts w:eastAsia="Times New Roman" w:cs="Times New Roman"/>
          <w:lang w:eastAsia="en-AU"/>
        </w:rPr>
        <w:t xml:space="preserve"> </w:t>
      </w:r>
      <w:r w:rsidR="00E663F8" w:rsidRPr="00102445">
        <w:rPr>
          <w:rFonts w:eastAsia="Times New Roman" w:cs="Times New Roman"/>
          <w:lang w:eastAsia="en-AU"/>
        </w:rPr>
        <w:t xml:space="preserve">from </w:t>
      </w:r>
      <w:r w:rsidR="00354D8E" w:rsidRPr="00102445">
        <w:rPr>
          <w:rFonts w:eastAsia="Times New Roman" w:cs="Times New Roman"/>
          <w:lang w:eastAsia="en-AU"/>
        </w:rPr>
        <w:t>existing gas field</w:t>
      </w:r>
      <w:r w:rsidR="0027560A" w:rsidRPr="00102445">
        <w:rPr>
          <w:rFonts w:eastAsia="Times New Roman" w:cs="Times New Roman"/>
          <w:lang w:eastAsia="en-AU"/>
        </w:rPr>
        <w:t>s</w:t>
      </w:r>
      <w:r w:rsidR="004533BF" w:rsidRPr="00102445">
        <w:rPr>
          <w:rFonts w:eastAsia="Times New Roman" w:cs="Times New Roman"/>
          <w:lang w:eastAsia="en-AU"/>
        </w:rPr>
        <w:t>’.</w:t>
      </w:r>
    </w:p>
    <w:p w14:paraId="33DAC6EB" w14:textId="53034DC2" w:rsidR="00350020" w:rsidRPr="00102445" w:rsidRDefault="00064B37" w:rsidP="00CB0CE4">
      <w:pPr>
        <w:rPr>
          <w:b/>
          <w:bCs/>
        </w:rPr>
      </w:pPr>
      <w:r w:rsidRPr="00102445">
        <w:rPr>
          <w:b/>
          <w:bCs/>
        </w:rPr>
        <w:t xml:space="preserve">Item </w:t>
      </w:r>
      <w:r w:rsidR="00832CB7" w:rsidRPr="00102445">
        <w:rPr>
          <w:b/>
          <w:bCs/>
        </w:rPr>
        <w:t>66</w:t>
      </w:r>
      <w:r w:rsidRPr="00102445">
        <w:rPr>
          <w:b/>
          <w:bCs/>
        </w:rPr>
        <w:t xml:space="preserve"> </w:t>
      </w:r>
      <w:r w:rsidR="00192AC8" w:rsidRPr="00102445">
        <w:t xml:space="preserve">– </w:t>
      </w:r>
      <w:r w:rsidRPr="00102445">
        <w:rPr>
          <w:b/>
          <w:bCs/>
        </w:rPr>
        <w:t xml:space="preserve">Paragraphs </w:t>
      </w:r>
      <w:r w:rsidR="002B6BE2" w:rsidRPr="00102445">
        <w:rPr>
          <w:b/>
          <w:bCs/>
        </w:rPr>
        <w:t>35</w:t>
      </w:r>
      <w:r w:rsidRPr="00102445">
        <w:rPr>
          <w:b/>
          <w:bCs/>
        </w:rPr>
        <w:t>(1)(a) of Schedule 2</w:t>
      </w:r>
    </w:p>
    <w:p w14:paraId="3D5D573F" w14:textId="559EE0F1" w:rsidR="00023C31" w:rsidRPr="00102445" w:rsidRDefault="0040146A" w:rsidP="00591A9C">
      <w:pPr>
        <w:pStyle w:val="ListParagraph"/>
        <w:numPr>
          <w:ilvl w:val="0"/>
          <w:numId w:val="2"/>
        </w:numPr>
        <w:spacing w:line="240" w:lineRule="auto"/>
        <w:ind w:left="851"/>
        <w:contextualSpacing w:val="0"/>
        <w:rPr>
          <w:rFonts w:eastAsia="Times New Roman" w:cs="Times New Roman"/>
          <w:lang w:eastAsia="en-AU"/>
        </w:rPr>
      </w:pPr>
      <w:r w:rsidRPr="00102445">
        <w:rPr>
          <w:rFonts w:eastAsia="Times New Roman" w:cs="Times New Roman"/>
          <w:lang w:eastAsia="en-AU"/>
        </w:rPr>
        <w:t xml:space="preserve">Updates the definition of reservoir carbon dioxide from existing gas fields </w:t>
      </w:r>
      <w:r w:rsidR="00B82444" w:rsidRPr="00102445">
        <w:rPr>
          <w:rFonts w:eastAsia="Times New Roman" w:cs="Times New Roman"/>
          <w:lang w:eastAsia="en-AU"/>
        </w:rPr>
        <w:t xml:space="preserve">by removing </w:t>
      </w:r>
      <w:r w:rsidRPr="00102445">
        <w:rPr>
          <w:rFonts w:eastAsia="Times New Roman" w:cs="Times New Roman"/>
          <w:lang w:eastAsia="en-AU"/>
        </w:rPr>
        <w:t>“(</w:t>
      </w:r>
      <w:r w:rsidR="00B82444" w:rsidRPr="00102445">
        <w:rPr>
          <w:rFonts w:eastAsia="Times New Roman" w:cs="Times New Roman"/>
          <w:lang w:eastAsia="en-AU"/>
        </w:rPr>
        <w:t>from natural gas, crude oil mixtures or products produced from extracted hydrocarbons)</w:t>
      </w:r>
      <w:r w:rsidRPr="00102445">
        <w:rPr>
          <w:rFonts w:eastAsia="Times New Roman" w:cs="Times New Roman"/>
          <w:lang w:eastAsia="en-AU"/>
        </w:rPr>
        <w:t>”</w:t>
      </w:r>
      <w:r w:rsidR="00B82444" w:rsidRPr="00102445">
        <w:rPr>
          <w:rFonts w:eastAsia="Times New Roman" w:cs="Times New Roman"/>
          <w:lang w:eastAsia="en-AU"/>
        </w:rPr>
        <w:t>,</w:t>
      </w:r>
      <w:r w:rsidR="001C2A72" w:rsidRPr="00102445">
        <w:rPr>
          <w:rFonts w:eastAsia="Times New Roman" w:cs="Times New Roman"/>
          <w:lang w:eastAsia="en-AU"/>
        </w:rPr>
        <w:t xml:space="preserve"> and </w:t>
      </w:r>
      <w:r w:rsidR="00B47B82" w:rsidRPr="00102445">
        <w:rPr>
          <w:rFonts w:eastAsia="Times New Roman" w:cs="Times New Roman"/>
          <w:lang w:eastAsia="en-AU"/>
        </w:rPr>
        <w:t>replac</w:t>
      </w:r>
      <w:r w:rsidRPr="00102445">
        <w:rPr>
          <w:rFonts w:eastAsia="Times New Roman" w:cs="Times New Roman"/>
          <w:lang w:eastAsia="en-AU"/>
        </w:rPr>
        <w:t xml:space="preserve">ing </w:t>
      </w:r>
      <w:r w:rsidR="001C2A72" w:rsidRPr="00102445">
        <w:rPr>
          <w:rFonts w:eastAsia="Times New Roman" w:cs="Times New Roman"/>
          <w:lang w:eastAsia="en-AU"/>
        </w:rPr>
        <w:t>it with</w:t>
      </w:r>
      <w:r w:rsidR="00B82444" w:rsidRPr="00102445">
        <w:rPr>
          <w:rFonts w:eastAsia="Times New Roman" w:cs="Times New Roman"/>
          <w:lang w:eastAsia="en-AU"/>
        </w:rPr>
        <w:t xml:space="preserve"> </w:t>
      </w:r>
      <w:r w:rsidRPr="00102445">
        <w:rPr>
          <w:rFonts w:eastAsia="Times New Roman" w:cs="Times New Roman"/>
          <w:lang w:eastAsia="en-AU"/>
        </w:rPr>
        <w:t>“from natural gas, crude oil mixtures or products produced from extracted hydrocarbons that are not covered extracted hydrocarbons”</w:t>
      </w:r>
      <w:r w:rsidR="00B82444" w:rsidRPr="00102445">
        <w:rPr>
          <w:rFonts w:eastAsia="Times New Roman" w:cs="Times New Roman"/>
          <w:lang w:eastAsia="en-AU"/>
        </w:rPr>
        <w:t>.</w:t>
      </w:r>
      <w:r w:rsidR="00313962" w:rsidRPr="00102445">
        <w:rPr>
          <w:rFonts w:eastAsia="Times New Roman" w:cs="Times New Roman"/>
          <w:lang w:eastAsia="en-AU"/>
        </w:rPr>
        <w:t xml:space="preserve"> This is because such covered extracted hydrocarbons are dealt with by section 35A of Schedule 2.</w:t>
      </w:r>
    </w:p>
    <w:p w14:paraId="223EBA49" w14:textId="46BD18B4" w:rsidR="00215E92" w:rsidRPr="00102445" w:rsidRDefault="00DE7552" w:rsidP="00B559E6">
      <w:r w:rsidRPr="00102445">
        <w:rPr>
          <w:b/>
          <w:bCs/>
        </w:rPr>
        <w:t xml:space="preserve">Item </w:t>
      </w:r>
      <w:r w:rsidR="00450E06" w:rsidRPr="00102445">
        <w:rPr>
          <w:b/>
          <w:bCs/>
        </w:rPr>
        <w:t>6</w:t>
      </w:r>
      <w:r w:rsidR="003E05F6" w:rsidRPr="00102445">
        <w:rPr>
          <w:b/>
          <w:bCs/>
        </w:rPr>
        <w:t>7</w:t>
      </w:r>
      <w:r w:rsidRPr="00102445">
        <w:rPr>
          <w:b/>
          <w:bCs/>
        </w:rPr>
        <w:t xml:space="preserve"> </w:t>
      </w:r>
      <w:r w:rsidR="00192AC8" w:rsidRPr="00102445">
        <w:t xml:space="preserve">– </w:t>
      </w:r>
      <w:r w:rsidRPr="00102445">
        <w:rPr>
          <w:b/>
          <w:bCs/>
        </w:rPr>
        <w:t xml:space="preserve">After section </w:t>
      </w:r>
      <w:r w:rsidR="00744F0E" w:rsidRPr="00102445">
        <w:rPr>
          <w:b/>
          <w:bCs/>
        </w:rPr>
        <w:t>35</w:t>
      </w:r>
      <w:r w:rsidRPr="00102445">
        <w:rPr>
          <w:b/>
          <w:bCs/>
        </w:rPr>
        <w:t xml:space="preserve"> of Schedule 2</w:t>
      </w:r>
    </w:p>
    <w:p w14:paraId="757D8291" w14:textId="79112657" w:rsidR="00313962" w:rsidRPr="00102445" w:rsidRDefault="00B62DFA" w:rsidP="00591A9C">
      <w:pPr>
        <w:pStyle w:val="ListParagraph"/>
        <w:numPr>
          <w:ilvl w:val="0"/>
          <w:numId w:val="2"/>
        </w:numPr>
        <w:spacing w:line="240" w:lineRule="auto"/>
        <w:ind w:left="851"/>
        <w:contextualSpacing w:val="0"/>
        <w:rPr>
          <w:rFonts w:eastAsia="Times New Roman" w:cs="Times New Roman"/>
          <w:lang w:eastAsia="en-AU"/>
        </w:rPr>
      </w:pPr>
      <w:r w:rsidRPr="00102445">
        <w:rPr>
          <w:rFonts w:eastAsia="Times New Roman" w:cs="Times New Roman"/>
          <w:lang w:eastAsia="en-AU"/>
        </w:rPr>
        <w:t xml:space="preserve">Introduces new section </w:t>
      </w:r>
      <w:r w:rsidR="009B392D" w:rsidRPr="00102445">
        <w:rPr>
          <w:rFonts w:eastAsia="Times New Roman" w:cs="Times New Roman"/>
          <w:lang w:eastAsia="en-AU"/>
        </w:rPr>
        <w:t>35A</w:t>
      </w:r>
      <w:r w:rsidR="00017BD7" w:rsidRPr="00102445">
        <w:rPr>
          <w:rFonts w:eastAsia="Times New Roman" w:cs="Times New Roman"/>
          <w:lang w:eastAsia="en-AU"/>
        </w:rPr>
        <w:t xml:space="preserve"> which</w:t>
      </w:r>
      <w:r w:rsidR="0003314B" w:rsidRPr="00102445">
        <w:rPr>
          <w:rFonts w:eastAsia="Times New Roman" w:cs="Times New Roman"/>
          <w:lang w:eastAsia="en-AU"/>
        </w:rPr>
        <w:t xml:space="preserve"> </w:t>
      </w:r>
      <w:r w:rsidR="009B392D" w:rsidRPr="00102445">
        <w:rPr>
          <w:rFonts w:eastAsia="Times New Roman" w:cs="Times New Roman"/>
          <w:lang w:eastAsia="en-AU"/>
        </w:rPr>
        <w:t>define</w:t>
      </w:r>
      <w:r w:rsidR="0003314B" w:rsidRPr="00102445">
        <w:rPr>
          <w:rFonts w:eastAsia="Times New Roman" w:cs="Times New Roman"/>
          <w:lang w:eastAsia="en-AU"/>
        </w:rPr>
        <w:t>s reservoir carbon dioxide from new gas fields</w:t>
      </w:r>
      <w:r w:rsidR="0078643F" w:rsidRPr="00102445">
        <w:rPr>
          <w:rFonts w:eastAsia="Times New Roman" w:cs="Times New Roman"/>
          <w:lang w:eastAsia="en-AU"/>
        </w:rPr>
        <w:t xml:space="preserve">. </w:t>
      </w:r>
      <w:r w:rsidR="00313962" w:rsidRPr="00102445">
        <w:rPr>
          <w:rFonts w:eastAsia="Times New Roman" w:cs="Times New Roman"/>
          <w:lang w:eastAsia="en-AU"/>
        </w:rPr>
        <w:t xml:space="preserve">It reflects the particular characteristics of </w:t>
      </w:r>
      <w:r w:rsidR="00A5085A" w:rsidRPr="00102445">
        <w:rPr>
          <w:rFonts w:eastAsia="Times New Roman" w:cs="Times New Roman"/>
          <w:lang w:eastAsia="en-AU"/>
        </w:rPr>
        <w:t>new</w:t>
      </w:r>
      <w:r w:rsidR="00313962" w:rsidRPr="00102445">
        <w:rPr>
          <w:rFonts w:eastAsia="Times New Roman" w:cs="Times New Roman"/>
          <w:lang w:eastAsia="en-AU"/>
        </w:rPr>
        <w:t xml:space="preserve"> fields for liquefied natural gas facilities</w:t>
      </w:r>
      <w:r w:rsidR="00EE5123" w:rsidRPr="00102445">
        <w:rPr>
          <w:rFonts w:eastAsia="Times New Roman" w:cs="Times New Roman"/>
          <w:lang w:eastAsia="en-AU"/>
        </w:rPr>
        <w:t xml:space="preserve"> which are similar to new entrant facilities in other industries. The reservoir carbon dioxide allocation is zero due to the existence of very low reservoir carbon dioxide fields, the application of carbon capture and storage and regulatory practice in Australia.</w:t>
      </w:r>
    </w:p>
    <w:p w14:paraId="7666A91E" w14:textId="1B35AEBE" w:rsidR="00CE6964" w:rsidRPr="00102445" w:rsidRDefault="00AF314B" w:rsidP="00591A9C">
      <w:pPr>
        <w:pStyle w:val="ListParagraph"/>
        <w:numPr>
          <w:ilvl w:val="0"/>
          <w:numId w:val="2"/>
        </w:numPr>
        <w:spacing w:line="240" w:lineRule="auto"/>
        <w:ind w:left="851"/>
        <w:contextualSpacing w:val="0"/>
        <w:rPr>
          <w:rFonts w:eastAsia="Times New Roman" w:cs="Times New Roman"/>
          <w:lang w:eastAsia="en-AU"/>
        </w:rPr>
      </w:pPr>
      <w:r w:rsidRPr="00102445">
        <w:rPr>
          <w:rFonts w:eastAsia="Times New Roman" w:cs="Times New Roman"/>
          <w:lang w:eastAsia="en-AU"/>
        </w:rPr>
        <w:t>It relates to tonnes of reservoir carbon dioxide that</w:t>
      </w:r>
      <w:r w:rsidR="00E45D9B" w:rsidRPr="00102445">
        <w:rPr>
          <w:rFonts w:eastAsia="Times New Roman" w:cs="Times New Roman"/>
          <w:lang w:eastAsia="en-AU"/>
        </w:rPr>
        <w:t xml:space="preserve"> were separated in an acid gas removal unit from natural gas, crude oil mixtures or products produced from extracted hydrocarbons </w:t>
      </w:r>
      <w:r w:rsidR="00D90F04" w:rsidRPr="00102445">
        <w:rPr>
          <w:rFonts w:eastAsia="Times New Roman" w:cs="Times New Roman"/>
          <w:lang w:eastAsia="en-AU"/>
        </w:rPr>
        <w:t>from activities that mirror the definition of reservoir carbon dioxide from existing gas fields;</w:t>
      </w:r>
      <w:r w:rsidR="00B82108" w:rsidRPr="00102445">
        <w:rPr>
          <w:rFonts w:eastAsia="Times New Roman" w:cs="Times New Roman"/>
          <w:lang w:eastAsia="en-AU"/>
        </w:rPr>
        <w:t xml:space="preserve"> when separated</w:t>
      </w:r>
      <w:r w:rsidR="00285419" w:rsidRPr="00102445">
        <w:rPr>
          <w:rFonts w:eastAsia="Times New Roman" w:cs="Times New Roman"/>
          <w:lang w:eastAsia="en-AU"/>
        </w:rPr>
        <w:t xml:space="preserve"> consist </w:t>
      </w:r>
      <w:r w:rsidR="008303CB" w:rsidRPr="00102445">
        <w:rPr>
          <w:rFonts w:eastAsia="Times New Roman" w:cs="Times New Roman"/>
          <w:lang w:eastAsia="en-AU"/>
        </w:rPr>
        <w:t>of a mi</w:t>
      </w:r>
      <w:r w:rsidR="00EF747C" w:rsidRPr="00102445">
        <w:rPr>
          <w:rFonts w:eastAsia="Times New Roman" w:cs="Times New Roman"/>
          <w:lang w:eastAsia="en-AU"/>
        </w:rPr>
        <w:t>xture that is overwhelmingly carbon di</w:t>
      </w:r>
      <w:r w:rsidR="005E5F53" w:rsidRPr="00102445">
        <w:rPr>
          <w:rFonts w:eastAsia="Times New Roman" w:cs="Times New Roman"/>
          <w:lang w:eastAsia="en-AU"/>
        </w:rPr>
        <w:t>oxide</w:t>
      </w:r>
      <w:r w:rsidR="00CC1454" w:rsidRPr="00102445">
        <w:rPr>
          <w:rFonts w:eastAsia="Times New Roman" w:cs="Times New Roman"/>
          <w:lang w:eastAsia="en-AU"/>
        </w:rPr>
        <w:t>; have not</w:t>
      </w:r>
      <w:r w:rsidR="000067BA" w:rsidRPr="00102445">
        <w:rPr>
          <w:rFonts w:eastAsia="Times New Roman" w:cs="Times New Roman"/>
          <w:lang w:eastAsia="en-AU"/>
        </w:rPr>
        <w:t xml:space="preserve"> previously been included</w:t>
      </w:r>
      <w:r w:rsidR="00096412" w:rsidRPr="00102445">
        <w:rPr>
          <w:rFonts w:eastAsia="Times New Roman" w:cs="Times New Roman"/>
          <w:lang w:eastAsia="en-AU"/>
        </w:rPr>
        <w:t xml:space="preserve"> as a </w:t>
      </w:r>
      <w:r w:rsidR="00EE2ADD" w:rsidRPr="00102445">
        <w:rPr>
          <w:rFonts w:eastAsia="Times New Roman" w:cs="Times New Roman"/>
          <w:lang w:eastAsia="en-AU"/>
        </w:rPr>
        <w:t xml:space="preserve">tonne of reservoir carbon dioxide </w:t>
      </w:r>
      <w:r w:rsidR="00BE4F0D" w:rsidRPr="00102445">
        <w:rPr>
          <w:rFonts w:eastAsia="Times New Roman" w:cs="Times New Roman"/>
          <w:lang w:eastAsia="en-AU"/>
        </w:rPr>
        <w:t>under this section; and</w:t>
      </w:r>
      <w:r w:rsidR="000D3F4B" w:rsidRPr="00102445">
        <w:rPr>
          <w:rFonts w:eastAsia="Times New Roman" w:cs="Times New Roman"/>
          <w:lang w:eastAsia="en-AU"/>
        </w:rPr>
        <w:t xml:space="preserve"> were not imported as a carbon dioxide stream from another facility</w:t>
      </w:r>
      <w:r w:rsidR="00A300A9" w:rsidRPr="00102445">
        <w:rPr>
          <w:rFonts w:eastAsia="Times New Roman" w:cs="Times New Roman"/>
          <w:lang w:eastAsia="en-AU"/>
        </w:rPr>
        <w:t xml:space="preserve">. </w:t>
      </w:r>
    </w:p>
    <w:p w14:paraId="42789A77" w14:textId="70AFF55A" w:rsidR="00817387" w:rsidRPr="00102445" w:rsidRDefault="00817387" w:rsidP="00591A9C">
      <w:pPr>
        <w:pStyle w:val="ListParagraph"/>
        <w:numPr>
          <w:ilvl w:val="0"/>
          <w:numId w:val="2"/>
        </w:numPr>
        <w:spacing w:line="240" w:lineRule="auto"/>
        <w:ind w:left="851"/>
        <w:contextualSpacing w:val="0"/>
        <w:rPr>
          <w:rFonts w:eastAsia="Times New Roman" w:cs="Times New Roman"/>
          <w:lang w:eastAsia="en-AU"/>
        </w:rPr>
      </w:pPr>
      <w:r w:rsidRPr="00102445">
        <w:rPr>
          <w:rFonts w:eastAsia="Times New Roman" w:cs="Times New Roman"/>
          <w:lang w:eastAsia="en-AU"/>
        </w:rPr>
        <w:t xml:space="preserve">The </w:t>
      </w:r>
      <w:r w:rsidR="00F54569" w:rsidRPr="00102445">
        <w:rPr>
          <w:rFonts w:eastAsia="Times New Roman" w:cs="Times New Roman"/>
          <w:lang w:eastAsia="en-AU"/>
        </w:rPr>
        <w:t xml:space="preserve">metric in </w:t>
      </w:r>
      <w:r w:rsidR="00165C36" w:rsidRPr="00102445">
        <w:rPr>
          <w:rFonts w:eastAsia="Times New Roman" w:cs="Times New Roman"/>
          <w:lang w:eastAsia="en-AU"/>
        </w:rPr>
        <w:t>35</w:t>
      </w:r>
      <w:r w:rsidR="00F54569" w:rsidRPr="00102445">
        <w:rPr>
          <w:rFonts w:eastAsia="Times New Roman" w:cs="Times New Roman"/>
          <w:lang w:eastAsia="en-AU"/>
        </w:rPr>
        <w:t xml:space="preserve">(1) is </w:t>
      </w:r>
      <w:r w:rsidR="0065447B" w:rsidRPr="00102445">
        <w:rPr>
          <w:rFonts w:eastAsia="Times New Roman" w:cs="Times New Roman"/>
          <w:lang w:eastAsia="en-AU"/>
        </w:rPr>
        <w:t xml:space="preserve">applicable to a facility that </w:t>
      </w:r>
      <w:r w:rsidR="00AB55AD" w:rsidRPr="00102445">
        <w:rPr>
          <w:rFonts w:eastAsia="Times New Roman" w:cs="Times New Roman"/>
          <w:lang w:eastAsia="en-AU"/>
        </w:rPr>
        <w:t>separates</w:t>
      </w:r>
      <w:r w:rsidR="0065447B" w:rsidRPr="00102445">
        <w:rPr>
          <w:rFonts w:eastAsia="Times New Roman" w:cs="Times New Roman"/>
          <w:lang w:eastAsia="en-AU"/>
        </w:rPr>
        <w:t xml:space="preserve"> reservoir carbon dioxide from </w:t>
      </w:r>
      <w:r w:rsidR="00AB55AD" w:rsidRPr="00102445">
        <w:rPr>
          <w:rFonts w:eastAsia="Times New Roman" w:cs="Times New Roman"/>
          <w:lang w:eastAsia="en-AU"/>
        </w:rPr>
        <w:t>natural</w:t>
      </w:r>
      <w:r w:rsidR="0065447B" w:rsidRPr="00102445">
        <w:rPr>
          <w:rFonts w:eastAsia="Times New Roman" w:cs="Times New Roman"/>
          <w:lang w:eastAsia="en-AU"/>
        </w:rPr>
        <w:t xml:space="preserve"> gas, crude oil mixtures or products produced from extracted hydrocarbons as part of</w:t>
      </w:r>
      <w:r w:rsidR="001E5FDA" w:rsidRPr="00102445">
        <w:rPr>
          <w:rFonts w:eastAsia="Times New Roman" w:cs="Times New Roman"/>
          <w:lang w:eastAsia="en-AU"/>
        </w:rPr>
        <w:t xml:space="preserve"> </w:t>
      </w:r>
      <w:r w:rsidR="00760FC6" w:rsidRPr="00102445">
        <w:rPr>
          <w:rFonts w:eastAsia="Times New Roman" w:cs="Times New Roman"/>
          <w:lang w:eastAsia="en-AU"/>
        </w:rPr>
        <w:t xml:space="preserve">one of </w:t>
      </w:r>
      <w:r w:rsidR="001E5FDA" w:rsidRPr="00102445">
        <w:rPr>
          <w:rFonts w:eastAsia="Times New Roman" w:cs="Times New Roman"/>
          <w:lang w:eastAsia="en-AU"/>
        </w:rPr>
        <w:t xml:space="preserve">the following </w:t>
      </w:r>
      <w:r w:rsidR="00AB55AD" w:rsidRPr="00102445">
        <w:rPr>
          <w:rFonts w:eastAsia="Times New Roman" w:cs="Times New Roman"/>
          <w:lang w:eastAsia="en-AU"/>
        </w:rPr>
        <w:t xml:space="preserve">activities: </w:t>
      </w:r>
      <w:r w:rsidR="00A53FF1" w:rsidRPr="00102445">
        <w:rPr>
          <w:rFonts w:eastAsia="Times New Roman" w:cs="Times New Roman"/>
          <w:lang w:eastAsia="en-AU"/>
        </w:rPr>
        <w:t>oil and gas extraction; integrated crude oil extraction and stabilisation</w:t>
      </w:r>
      <w:r w:rsidR="00B744C9" w:rsidRPr="00102445">
        <w:rPr>
          <w:rFonts w:eastAsia="Times New Roman" w:cs="Times New Roman"/>
          <w:lang w:eastAsia="en-AU"/>
        </w:rPr>
        <w:t>; natural gas processing;</w:t>
      </w:r>
      <w:r w:rsidR="00926FA4" w:rsidRPr="00102445">
        <w:rPr>
          <w:rFonts w:eastAsia="Times New Roman" w:cs="Times New Roman"/>
          <w:lang w:eastAsia="en-AU"/>
        </w:rPr>
        <w:t xml:space="preserve"> integrated natural gas extraction and processing; processed natural gas liquefaction</w:t>
      </w:r>
      <w:r w:rsidR="00A878E2" w:rsidRPr="00102445">
        <w:rPr>
          <w:rFonts w:eastAsia="Times New Roman" w:cs="Times New Roman"/>
          <w:lang w:eastAsia="en-AU"/>
        </w:rPr>
        <w:t xml:space="preserve">; </w:t>
      </w:r>
      <w:r w:rsidR="00D4558B" w:rsidRPr="00102445">
        <w:rPr>
          <w:rFonts w:eastAsia="Times New Roman" w:cs="Times New Roman"/>
          <w:lang w:eastAsia="en-AU"/>
        </w:rPr>
        <w:t>and unprocessed</w:t>
      </w:r>
      <w:r w:rsidR="008116E7" w:rsidRPr="00102445">
        <w:rPr>
          <w:rFonts w:eastAsia="Times New Roman" w:cs="Times New Roman"/>
          <w:lang w:eastAsia="en-AU"/>
        </w:rPr>
        <w:t xml:space="preserve"> natural </w:t>
      </w:r>
      <w:r w:rsidR="00C6549D" w:rsidRPr="00102445">
        <w:rPr>
          <w:rFonts w:eastAsia="Times New Roman" w:cs="Times New Roman"/>
          <w:lang w:eastAsia="en-AU"/>
        </w:rPr>
        <w:t xml:space="preserve">gas liquefaction. </w:t>
      </w:r>
    </w:p>
    <w:p w14:paraId="59A14435" w14:textId="3A8B77D9" w:rsidR="00962710" w:rsidRPr="00102445" w:rsidRDefault="00AB04C3" w:rsidP="00591A9C">
      <w:pPr>
        <w:pStyle w:val="ListParagraph"/>
        <w:numPr>
          <w:ilvl w:val="0"/>
          <w:numId w:val="2"/>
        </w:numPr>
        <w:spacing w:line="240" w:lineRule="auto"/>
        <w:ind w:left="851"/>
        <w:contextualSpacing w:val="0"/>
        <w:rPr>
          <w:rFonts w:eastAsia="Times New Roman" w:cs="Times New Roman"/>
          <w:lang w:eastAsia="en-AU"/>
        </w:rPr>
      </w:pPr>
      <w:r w:rsidRPr="00102445">
        <w:rPr>
          <w:rFonts w:eastAsia="Times New Roman" w:cs="Times New Roman"/>
          <w:lang w:eastAsia="en-AU"/>
        </w:rPr>
        <w:t>Extracted hydrocarbon</w:t>
      </w:r>
      <w:r w:rsidR="0060469A" w:rsidRPr="00102445">
        <w:rPr>
          <w:rFonts w:eastAsia="Times New Roman" w:cs="Times New Roman"/>
          <w:lang w:eastAsia="en-AU"/>
        </w:rPr>
        <w:t>s</w:t>
      </w:r>
      <w:r w:rsidR="003F117A" w:rsidRPr="00102445">
        <w:rPr>
          <w:rFonts w:eastAsia="Times New Roman" w:cs="Times New Roman"/>
          <w:lang w:eastAsia="en-AU"/>
        </w:rPr>
        <w:t xml:space="preserve"> meet the condition </w:t>
      </w:r>
      <w:r w:rsidR="004929C6" w:rsidRPr="00102445">
        <w:rPr>
          <w:rFonts w:eastAsia="Times New Roman" w:cs="Times New Roman"/>
          <w:lang w:eastAsia="en-AU"/>
        </w:rPr>
        <w:t>if the</w:t>
      </w:r>
      <w:r w:rsidR="00B40140" w:rsidRPr="00102445">
        <w:rPr>
          <w:rFonts w:eastAsia="Times New Roman" w:cs="Times New Roman"/>
          <w:lang w:eastAsia="en-AU"/>
        </w:rPr>
        <w:t>y, originate from a</w:t>
      </w:r>
      <w:r w:rsidR="000256E7" w:rsidRPr="00102445">
        <w:rPr>
          <w:rFonts w:eastAsia="Times New Roman" w:cs="Times New Roman"/>
          <w:lang w:eastAsia="en-AU"/>
        </w:rPr>
        <w:t xml:space="preserve"> </w:t>
      </w:r>
      <w:r w:rsidR="00EE5123" w:rsidRPr="00102445">
        <w:rPr>
          <w:rFonts w:eastAsia="Times New Roman" w:cs="Times New Roman"/>
          <w:lang w:eastAsia="en-AU"/>
        </w:rPr>
        <w:t xml:space="preserve">gas field </w:t>
      </w:r>
      <w:r w:rsidR="001B49D5" w:rsidRPr="00102445">
        <w:rPr>
          <w:rFonts w:eastAsia="Times New Roman" w:cs="Times New Roman"/>
          <w:lang w:eastAsia="en-AU"/>
        </w:rPr>
        <w:t>in respect of which commercial production was not undertaken before 1 July 2023</w:t>
      </w:r>
      <w:r w:rsidR="00F25ED5" w:rsidRPr="00102445">
        <w:rPr>
          <w:rFonts w:eastAsia="Times New Roman" w:cs="Times New Roman"/>
          <w:lang w:eastAsia="en-AU"/>
        </w:rPr>
        <w:t>; are used as an input in the unprocessed natural gas liquefaction activity</w:t>
      </w:r>
      <w:r w:rsidR="00967467" w:rsidRPr="00102445">
        <w:rPr>
          <w:rFonts w:eastAsia="Times New Roman" w:cs="Times New Roman"/>
          <w:lang w:eastAsia="en-AU"/>
        </w:rPr>
        <w:t xml:space="preserve"> or the processed natural gas liquefaction activity</w:t>
      </w:r>
      <w:r w:rsidR="00DB5B42" w:rsidRPr="00102445">
        <w:rPr>
          <w:rFonts w:eastAsia="Times New Roman" w:cs="Times New Roman"/>
          <w:lang w:eastAsia="en-AU"/>
        </w:rPr>
        <w:t xml:space="preserve"> (whether or not they are processed at a natural</w:t>
      </w:r>
      <w:r w:rsidR="001D479F" w:rsidRPr="00102445">
        <w:rPr>
          <w:rFonts w:eastAsia="Times New Roman" w:cs="Times New Roman"/>
          <w:lang w:eastAsia="en-AU"/>
        </w:rPr>
        <w:t xml:space="preserve"> gas processing facility to produce pipeline gas beforehand)</w:t>
      </w:r>
      <w:r w:rsidR="009F3443" w:rsidRPr="00102445">
        <w:rPr>
          <w:rFonts w:eastAsia="Times New Roman" w:cs="Times New Roman"/>
          <w:lang w:eastAsia="en-AU"/>
        </w:rPr>
        <w:t>; and are not purchased from the domestic wholesale gas market</w:t>
      </w:r>
      <w:r w:rsidR="005E4BCB" w:rsidRPr="00102445">
        <w:rPr>
          <w:rFonts w:eastAsia="Times New Roman" w:cs="Times New Roman"/>
          <w:lang w:eastAsia="en-AU"/>
        </w:rPr>
        <w:t>.</w:t>
      </w:r>
      <w:r w:rsidR="00EE5123" w:rsidRPr="00102445">
        <w:rPr>
          <w:rFonts w:eastAsia="Times New Roman" w:cs="Times New Roman"/>
          <w:lang w:eastAsia="en-AU"/>
        </w:rPr>
        <w:t xml:space="preserve"> The concept of a gas field is intended to be understood according to its industry meaning and is not intended to be interpreted narrowly. However, a gas field is not the same as a basin which may include a number of fields. The reference to the domestic wholesale gas market reflects arrangements on the east coast where gas is traded and cannot be traced in the same manner as bilaterally traded gas. </w:t>
      </w:r>
    </w:p>
    <w:p w14:paraId="412C74B7" w14:textId="138194BB" w:rsidR="001403C8" w:rsidRPr="00102445" w:rsidRDefault="001403C8" w:rsidP="00591A9C">
      <w:pPr>
        <w:pStyle w:val="ListParagraph"/>
        <w:numPr>
          <w:ilvl w:val="0"/>
          <w:numId w:val="2"/>
        </w:numPr>
        <w:spacing w:line="240" w:lineRule="auto"/>
        <w:ind w:left="851"/>
        <w:contextualSpacing w:val="0"/>
        <w:rPr>
          <w:rFonts w:eastAsia="Times New Roman" w:cs="Times New Roman"/>
          <w:lang w:eastAsia="en-AU"/>
        </w:rPr>
      </w:pPr>
      <w:r w:rsidRPr="00102445">
        <w:rPr>
          <w:rFonts w:eastAsia="Times New Roman" w:cs="Times New Roman"/>
          <w:lang w:eastAsia="en-AU"/>
        </w:rPr>
        <w:t xml:space="preserve">Extracted hydrocarbons are not included in this definition if they are from fields </w:t>
      </w:r>
      <w:r w:rsidR="007826C5" w:rsidRPr="00102445">
        <w:rPr>
          <w:rFonts w:eastAsia="Times New Roman" w:cs="Times New Roman"/>
          <w:lang w:eastAsia="en-AU"/>
        </w:rPr>
        <w:t xml:space="preserve">for which </w:t>
      </w:r>
      <w:r w:rsidR="003E05F6" w:rsidRPr="00102445">
        <w:rPr>
          <w:rFonts w:eastAsia="Times New Roman" w:cs="Times New Roman"/>
          <w:lang w:eastAsia="en-AU"/>
        </w:rPr>
        <w:t xml:space="preserve">before 1 July 2023, the field, or part of the field, was included in an area in which the commercial extraction of hydrocarbons was occurring in accordance with a </w:t>
      </w:r>
      <w:r w:rsidR="0090285F" w:rsidRPr="00102445">
        <w:rPr>
          <w:rFonts w:eastAsia="Times New Roman" w:cs="Times New Roman"/>
          <w:lang w:eastAsia="en-AU"/>
        </w:rPr>
        <w:t xml:space="preserve">licence </w:t>
      </w:r>
      <w:r w:rsidR="003E05F6" w:rsidRPr="00102445">
        <w:rPr>
          <w:rFonts w:eastAsia="Times New Roman" w:cs="Times New Roman"/>
          <w:lang w:eastAsia="en-AU"/>
        </w:rPr>
        <w:t>(however described) granted under a law of the Commonwealth, a State or a Territory.</w:t>
      </w:r>
    </w:p>
    <w:p w14:paraId="571F881B" w14:textId="277E2A71" w:rsidR="005B35AC" w:rsidRPr="00102445" w:rsidRDefault="005B35AC" w:rsidP="00591A9C">
      <w:pPr>
        <w:pStyle w:val="ListParagraph"/>
        <w:numPr>
          <w:ilvl w:val="0"/>
          <w:numId w:val="2"/>
        </w:numPr>
        <w:spacing w:line="240" w:lineRule="auto"/>
        <w:ind w:left="851"/>
        <w:contextualSpacing w:val="0"/>
        <w:rPr>
          <w:rFonts w:eastAsia="Times New Roman" w:cs="Times New Roman"/>
          <w:lang w:eastAsia="en-AU"/>
        </w:rPr>
      </w:pPr>
      <w:r w:rsidRPr="00102445">
        <w:rPr>
          <w:rFonts w:eastAsia="Times New Roman" w:cs="Times New Roman"/>
          <w:lang w:eastAsia="en-AU"/>
        </w:rPr>
        <w:lastRenderedPageBreak/>
        <w:t>The Society of Petroleum Engineers defines a ‘field’ to be</w:t>
      </w:r>
      <w:r w:rsidR="000F31CD" w:rsidRPr="00102445">
        <w:rPr>
          <w:rFonts w:eastAsia="Times New Roman" w:cs="Times New Roman"/>
          <w:lang w:eastAsia="en-AU"/>
        </w:rPr>
        <w:t>:</w:t>
      </w:r>
      <w:r w:rsidRPr="00102445">
        <w:rPr>
          <w:rFonts w:eastAsia="Times New Roman" w:cs="Times New Roman"/>
          <w:lang w:eastAsia="en-AU"/>
        </w:rPr>
        <w:t xml:space="preserve"> </w:t>
      </w:r>
      <w:r w:rsidR="000F31CD" w:rsidRPr="00102445">
        <w:rPr>
          <w:rFonts w:eastAsia="Times New Roman" w:cs="Times New Roman"/>
          <w:lang w:eastAsia="en-AU"/>
        </w:rPr>
        <w:t>“An area consisting of a single reservoir or multiple reservoirs all grouped on, or related to, the same individual geological structural feature and/or stratigraphic condition. There may be two or more reservoirs in a field that are separated vertically by intervening impermeable rock, laterally by local geologic barriers, or both. It could be defined differently by regulatory authorities.”</w:t>
      </w:r>
      <w:r w:rsidR="003504B8" w:rsidRPr="00102445">
        <w:rPr>
          <w:rStyle w:val="FootnoteReference"/>
          <w:rFonts w:eastAsia="Times New Roman" w:cs="Times New Roman"/>
          <w:lang w:eastAsia="en-AU"/>
        </w:rPr>
        <w:footnoteReference w:id="4"/>
      </w:r>
    </w:p>
    <w:p w14:paraId="5EEF3C59" w14:textId="26F9C5A1" w:rsidR="00EE5123" w:rsidRPr="00102445" w:rsidRDefault="00EE5123" w:rsidP="00591A9C">
      <w:pPr>
        <w:pStyle w:val="ListParagraph"/>
        <w:numPr>
          <w:ilvl w:val="0"/>
          <w:numId w:val="2"/>
        </w:numPr>
        <w:spacing w:line="240" w:lineRule="auto"/>
        <w:ind w:left="851"/>
        <w:contextualSpacing w:val="0"/>
        <w:rPr>
          <w:rFonts w:eastAsia="Times New Roman" w:cs="Times New Roman"/>
          <w:lang w:eastAsia="en-AU"/>
        </w:rPr>
      </w:pPr>
      <w:r w:rsidRPr="00102445">
        <w:rPr>
          <w:rFonts w:eastAsia="Times New Roman" w:cs="Times New Roman"/>
          <w:lang w:eastAsia="en-AU"/>
        </w:rPr>
        <w:t>Where there is the possibility of multiple gas streams being processed by a liquefaction facility it is intended that practical accounting approaches would be put in place</w:t>
      </w:r>
      <w:r w:rsidR="00167DF3" w:rsidRPr="00102445">
        <w:rPr>
          <w:rFonts w:eastAsia="Times New Roman" w:cs="Times New Roman"/>
          <w:lang w:eastAsia="en-AU"/>
        </w:rPr>
        <w:t xml:space="preserve"> to apply the definitions over the course of a year.</w:t>
      </w:r>
    </w:p>
    <w:p w14:paraId="328A2D51" w14:textId="115C42F7" w:rsidR="003A64AD" w:rsidRPr="00102445" w:rsidRDefault="00706D36" w:rsidP="00591A9C">
      <w:pPr>
        <w:pStyle w:val="ListParagraph"/>
        <w:numPr>
          <w:ilvl w:val="0"/>
          <w:numId w:val="2"/>
        </w:numPr>
        <w:spacing w:line="240" w:lineRule="auto"/>
        <w:ind w:left="851"/>
        <w:contextualSpacing w:val="0"/>
        <w:rPr>
          <w:rFonts w:eastAsia="Times New Roman" w:cs="Times New Roman"/>
          <w:lang w:eastAsia="en-AU"/>
        </w:rPr>
      </w:pPr>
      <w:r w:rsidRPr="00102445">
        <w:rPr>
          <w:rFonts w:eastAsia="Times New Roman" w:cs="Times New Roman"/>
          <w:lang w:eastAsia="en-AU"/>
        </w:rPr>
        <w:t xml:space="preserve">For reservoir carbon dioxide from new gas fields, the </w:t>
      </w:r>
      <w:r w:rsidR="005E4BCB" w:rsidRPr="00102445">
        <w:rPr>
          <w:rFonts w:eastAsia="Times New Roman" w:cs="Times New Roman"/>
          <w:lang w:eastAsia="en-AU"/>
        </w:rPr>
        <w:t>default emissions intensity is zero t CO</w:t>
      </w:r>
      <w:r w:rsidR="005E4BCB" w:rsidRPr="00102445">
        <w:rPr>
          <w:rFonts w:eastAsia="Times New Roman" w:cs="Times New Roman"/>
          <w:vertAlign w:val="subscript"/>
          <w:lang w:eastAsia="en-AU"/>
        </w:rPr>
        <w:t>2</w:t>
      </w:r>
      <w:r w:rsidR="005E4BCB" w:rsidRPr="00102445">
        <w:rPr>
          <w:rFonts w:eastAsia="Times New Roman" w:cs="Times New Roman"/>
          <w:lang w:eastAsia="en-AU"/>
        </w:rPr>
        <w:noBreakHyphen/>
        <w:t>e per tonnes of reservoir carbon dioxide</w:t>
      </w:r>
      <w:r w:rsidR="00554589" w:rsidRPr="00102445">
        <w:rPr>
          <w:rFonts w:eastAsia="Times New Roman" w:cs="Times New Roman"/>
          <w:lang w:eastAsia="en-AU"/>
        </w:rPr>
        <w:t>; and t</w:t>
      </w:r>
      <w:r w:rsidR="00D30741" w:rsidRPr="00102445">
        <w:rPr>
          <w:rFonts w:eastAsia="Times New Roman" w:cs="Times New Roman"/>
          <w:lang w:eastAsia="en-AU"/>
        </w:rPr>
        <w:t>he best practice</w:t>
      </w:r>
      <w:r w:rsidR="00F463FC" w:rsidRPr="00102445">
        <w:rPr>
          <w:rFonts w:eastAsia="Times New Roman" w:cs="Times New Roman"/>
          <w:lang w:eastAsia="en-AU"/>
        </w:rPr>
        <w:t xml:space="preserve"> emissions intensity is zero t CO</w:t>
      </w:r>
      <w:r w:rsidR="00F463FC" w:rsidRPr="00102445">
        <w:rPr>
          <w:rFonts w:eastAsia="Times New Roman" w:cs="Times New Roman"/>
          <w:vertAlign w:val="subscript"/>
          <w:lang w:eastAsia="en-AU"/>
        </w:rPr>
        <w:t>2</w:t>
      </w:r>
      <w:r w:rsidR="00F463FC" w:rsidRPr="00102445">
        <w:rPr>
          <w:rFonts w:eastAsia="Times New Roman" w:cs="Times New Roman"/>
          <w:lang w:eastAsia="en-AU"/>
        </w:rPr>
        <w:noBreakHyphen/>
        <w:t>e per tonnes of reservoir carbon dioxide.</w:t>
      </w:r>
    </w:p>
    <w:p w14:paraId="73A2237E" w14:textId="29646759" w:rsidR="00BD7009" w:rsidRPr="00102445" w:rsidRDefault="00BD7009" w:rsidP="00711BC3">
      <w:pPr>
        <w:pStyle w:val="Itemheadings"/>
      </w:pPr>
      <w:r w:rsidRPr="00102445">
        <w:t xml:space="preserve">Item </w:t>
      </w:r>
      <w:r w:rsidR="00601D55" w:rsidRPr="00102445">
        <w:t>6</w:t>
      </w:r>
      <w:r w:rsidR="008F3978" w:rsidRPr="00102445">
        <w:t>8</w:t>
      </w:r>
      <w:r w:rsidRPr="00102445">
        <w:t xml:space="preserve"> –</w:t>
      </w:r>
      <w:r w:rsidR="00BF222C" w:rsidRPr="00102445">
        <w:t xml:space="preserve"> At the end of Schedule 2</w:t>
      </w:r>
    </w:p>
    <w:p w14:paraId="2E3884BF" w14:textId="56DAEEA7" w:rsidR="00BD7009" w:rsidRPr="00102445" w:rsidRDefault="0048732D"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Introduces Part 46 which specifies </w:t>
      </w:r>
      <w:r w:rsidR="00F1482C" w:rsidRPr="00102445">
        <w:rPr>
          <w:rFonts w:eastAsia="Times New Roman" w:cs="Times New Roman"/>
          <w:lang w:eastAsia="en-AU"/>
        </w:rPr>
        <w:t xml:space="preserve">the </w:t>
      </w:r>
      <w:r w:rsidR="00585A4E" w:rsidRPr="00102445">
        <w:rPr>
          <w:rFonts w:eastAsia="Times New Roman" w:cs="Times New Roman"/>
          <w:lang w:eastAsia="en-AU"/>
        </w:rPr>
        <w:t xml:space="preserve">meaning of </w:t>
      </w:r>
      <w:r w:rsidR="004A3A6C" w:rsidRPr="00102445">
        <w:rPr>
          <w:rFonts w:eastAsia="Times New Roman" w:cs="Times New Roman"/>
          <w:lang w:eastAsia="en-AU"/>
        </w:rPr>
        <w:t xml:space="preserve">petroleum </w:t>
      </w:r>
      <w:r w:rsidR="00112249" w:rsidRPr="00102445">
        <w:rPr>
          <w:rFonts w:eastAsia="Times New Roman" w:cs="Times New Roman"/>
          <w:lang w:eastAsia="en-AU"/>
        </w:rPr>
        <w:t>refining activities</w:t>
      </w:r>
      <w:r w:rsidR="0011059A" w:rsidRPr="00102445">
        <w:rPr>
          <w:rFonts w:eastAsia="Times New Roman" w:cs="Times New Roman"/>
          <w:lang w:eastAsia="en-AU"/>
        </w:rPr>
        <w:t xml:space="preserve"> and related feedstock material.</w:t>
      </w:r>
      <w:r w:rsidR="009C0FCD" w:rsidRPr="00102445">
        <w:rPr>
          <w:rFonts w:eastAsia="Times New Roman" w:cs="Times New Roman"/>
          <w:lang w:eastAsia="en-AU"/>
        </w:rPr>
        <w:t xml:space="preserve"> This part </w:t>
      </w:r>
      <w:r w:rsidR="00336AAA" w:rsidRPr="00102445">
        <w:rPr>
          <w:rFonts w:eastAsia="Times New Roman" w:cs="Times New Roman"/>
          <w:lang w:eastAsia="en-AU"/>
        </w:rPr>
        <w:t>was previously in a different Schedule</w:t>
      </w:r>
      <w:r w:rsidR="009468EE" w:rsidRPr="00102445">
        <w:rPr>
          <w:rFonts w:eastAsia="Times New Roman" w:cs="Times New Roman"/>
          <w:lang w:eastAsia="en-AU"/>
        </w:rPr>
        <w:t xml:space="preserve"> of the </w:t>
      </w:r>
      <w:r w:rsidR="00B86E54" w:rsidRPr="00102445">
        <w:rPr>
          <w:rFonts w:eastAsia="Times New Roman" w:cs="Times New Roman"/>
          <w:lang w:eastAsia="en-AU"/>
        </w:rPr>
        <w:t xml:space="preserve">Safeguard Rules </w:t>
      </w:r>
      <w:r w:rsidR="00916929" w:rsidRPr="00102445">
        <w:rPr>
          <w:rFonts w:eastAsia="Times New Roman" w:cs="Times New Roman"/>
          <w:lang w:eastAsia="en-AU"/>
        </w:rPr>
        <w:t xml:space="preserve">and moved </w:t>
      </w:r>
      <w:r w:rsidR="006F6E1E" w:rsidRPr="00102445">
        <w:rPr>
          <w:rFonts w:eastAsia="Times New Roman" w:cs="Times New Roman"/>
          <w:lang w:eastAsia="en-AU"/>
        </w:rPr>
        <w:t>to the end of Schedule 2</w:t>
      </w:r>
      <w:r w:rsidR="00336AAA" w:rsidRPr="00102445">
        <w:rPr>
          <w:rFonts w:eastAsia="Times New Roman" w:cs="Times New Roman"/>
          <w:lang w:eastAsia="en-AU"/>
        </w:rPr>
        <w:t>.</w:t>
      </w:r>
    </w:p>
    <w:p w14:paraId="611A1995" w14:textId="19A5751B" w:rsidR="00B14495" w:rsidRPr="00102445" w:rsidRDefault="00002A1F"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The previous </w:t>
      </w:r>
      <w:r w:rsidR="008C5331" w:rsidRPr="00102445">
        <w:rPr>
          <w:rFonts w:eastAsia="Times New Roman" w:cs="Times New Roman"/>
          <w:lang w:eastAsia="en-AU"/>
        </w:rPr>
        <w:t xml:space="preserve">production variable </w:t>
      </w:r>
      <w:r w:rsidR="00195FC1" w:rsidRPr="00102445">
        <w:rPr>
          <w:rFonts w:eastAsia="Times New Roman" w:cs="Times New Roman"/>
          <w:lang w:eastAsia="en-AU"/>
        </w:rPr>
        <w:t xml:space="preserve">for petroleum </w:t>
      </w:r>
      <w:r w:rsidR="003A1322" w:rsidRPr="00102445">
        <w:rPr>
          <w:rFonts w:eastAsia="Times New Roman" w:cs="Times New Roman"/>
          <w:lang w:eastAsia="en-AU"/>
        </w:rPr>
        <w:t xml:space="preserve">refining activities was </w:t>
      </w:r>
      <w:r w:rsidR="00BA1A5F" w:rsidRPr="00102445">
        <w:rPr>
          <w:rFonts w:eastAsia="Times New Roman" w:cs="Times New Roman"/>
          <w:lang w:eastAsia="en-AU"/>
        </w:rPr>
        <w:t>non-</w:t>
      </w:r>
      <w:r w:rsidR="003A1322" w:rsidRPr="00102445">
        <w:rPr>
          <w:rFonts w:eastAsia="Times New Roman" w:cs="Times New Roman"/>
          <w:lang w:eastAsia="en-AU"/>
        </w:rPr>
        <w:t xml:space="preserve">output </w:t>
      </w:r>
      <w:r w:rsidR="00CB729C" w:rsidRPr="00102445">
        <w:rPr>
          <w:rFonts w:eastAsia="Times New Roman" w:cs="Times New Roman"/>
          <w:lang w:eastAsia="en-AU"/>
        </w:rPr>
        <w:t>based</w:t>
      </w:r>
      <w:r w:rsidR="0079622F" w:rsidRPr="00102445">
        <w:rPr>
          <w:rFonts w:eastAsia="Times New Roman" w:cs="Times New Roman"/>
          <w:lang w:eastAsia="en-AU"/>
        </w:rPr>
        <w:t xml:space="preserve"> and f</w:t>
      </w:r>
      <w:r w:rsidR="00B47D80" w:rsidRPr="00102445">
        <w:rPr>
          <w:rFonts w:eastAsia="Times New Roman" w:cs="Times New Roman"/>
          <w:lang w:eastAsia="en-AU"/>
        </w:rPr>
        <w:t xml:space="preserve">acilities using it </w:t>
      </w:r>
      <w:r w:rsidR="00E1532A" w:rsidRPr="00102445">
        <w:rPr>
          <w:rFonts w:eastAsia="Times New Roman" w:cs="Times New Roman"/>
          <w:lang w:eastAsia="en-AU"/>
        </w:rPr>
        <w:t>were limited to</w:t>
      </w:r>
      <w:r w:rsidR="00B14495" w:rsidRPr="00102445">
        <w:rPr>
          <w:rFonts w:eastAsia="Times New Roman" w:cs="Times New Roman"/>
          <w:lang w:eastAsia="en-AU"/>
        </w:rPr>
        <w:t xml:space="preserve"> a </w:t>
      </w:r>
      <w:r w:rsidR="000B7EC9" w:rsidRPr="00102445">
        <w:rPr>
          <w:rFonts w:eastAsia="Times New Roman" w:cs="Times New Roman"/>
          <w:lang w:eastAsia="en-AU"/>
        </w:rPr>
        <w:t>fixed-bas</w:t>
      </w:r>
      <w:r w:rsidR="001F569A" w:rsidRPr="00102445">
        <w:rPr>
          <w:rFonts w:eastAsia="Times New Roman" w:cs="Times New Roman"/>
          <w:lang w:eastAsia="en-AU"/>
        </w:rPr>
        <w:t>eline rather</w:t>
      </w:r>
      <w:r w:rsidR="00E1532A" w:rsidRPr="00102445">
        <w:rPr>
          <w:rFonts w:eastAsia="Times New Roman" w:cs="Times New Roman"/>
          <w:lang w:eastAsia="en-AU"/>
        </w:rPr>
        <w:t xml:space="preserve"> than production-adjusted. </w:t>
      </w:r>
      <w:r w:rsidR="007E04AB" w:rsidRPr="00102445">
        <w:rPr>
          <w:rFonts w:eastAsia="Times New Roman" w:cs="Times New Roman"/>
          <w:lang w:eastAsia="en-AU"/>
        </w:rPr>
        <w:t xml:space="preserve">The reforms to the Safeguard Mechanism are based on a production-adjusted </w:t>
      </w:r>
      <w:r w:rsidR="00C33353" w:rsidRPr="00102445">
        <w:rPr>
          <w:rFonts w:eastAsia="Times New Roman" w:cs="Times New Roman"/>
          <w:lang w:eastAsia="en-AU"/>
        </w:rPr>
        <w:t>baseline setting framework</w:t>
      </w:r>
      <w:r w:rsidR="00DF2396" w:rsidRPr="00102445">
        <w:rPr>
          <w:rFonts w:eastAsia="Times New Roman" w:cs="Times New Roman"/>
          <w:lang w:eastAsia="en-AU"/>
        </w:rPr>
        <w:t>.</w:t>
      </w:r>
      <w:r w:rsidR="007C5C74" w:rsidRPr="00102445">
        <w:rPr>
          <w:rFonts w:eastAsia="Times New Roman" w:cs="Times New Roman"/>
          <w:lang w:eastAsia="en-AU"/>
        </w:rPr>
        <w:t xml:space="preserve"> To align with this,</w:t>
      </w:r>
      <w:r w:rsidR="00DF2396" w:rsidRPr="00102445">
        <w:rPr>
          <w:rFonts w:eastAsia="Times New Roman" w:cs="Times New Roman"/>
          <w:lang w:eastAsia="en-AU"/>
        </w:rPr>
        <w:t xml:space="preserve"> </w:t>
      </w:r>
      <w:r w:rsidR="007C5C74" w:rsidRPr="00102445">
        <w:rPr>
          <w:rFonts w:eastAsia="Times New Roman" w:cs="Times New Roman"/>
          <w:lang w:eastAsia="en-AU"/>
        </w:rPr>
        <w:t>t</w:t>
      </w:r>
      <w:r w:rsidR="00DF2396" w:rsidRPr="00102445">
        <w:rPr>
          <w:rFonts w:eastAsia="Times New Roman" w:cs="Times New Roman"/>
          <w:lang w:eastAsia="en-AU"/>
        </w:rPr>
        <w:t xml:space="preserve">he petroleum </w:t>
      </w:r>
      <w:r w:rsidR="006D38F5" w:rsidRPr="00102445">
        <w:rPr>
          <w:rFonts w:eastAsia="Times New Roman" w:cs="Times New Roman"/>
          <w:lang w:eastAsia="en-AU"/>
        </w:rPr>
        <w:t xml:space="preserve">refining </w:t>
      </w:r>
      <w:r w:rsidR="00E02EED" w:rsidRPr="00102445">
        <w:rPr>
          <w:rFonts w:eastAsia="Times New Roman" w:cs="Times New Roman"/>
          <w:lang w:eastAsia="en-AU"/>
        </w:rPr>
        <w:t xml:space="preserve">production variable </w:t>
      </w:r>
      <w:r w:rsidR="000C5860" w:rsidRPr="00102445">
        <w:rPr>
          <w:rFonts w:eastAsia="Times New Roman" w:cs="Times New Roman"/>
          <w:lang w:eastAsia="en-AU"/>
        </w:rPr>
        <w:t xml:space="preserve">has been adjusted to </w:t>
      </w:r>
      <w:r w:rsidR="0079622F" w:rsidRPr="00102445">
        <w:rPr>
          <w:rFonts w:eastAsia="Times New Roman" w:cs="Times New Roman"/>
          <w:lang w:eastAsia="en-AU"/>
        </w:rPr>
        <w:t xml:space="preserve">be </w:t>
      </w:r>
      <w:r w:rsidR="007C5C74" w:rsidRPr="00102445">
        <w:rPr>
          <w:rFonts w:eastAsia="Times New Roman" w:cs="Times New Roman"/>
          <w:lang w:eastAsia="en-AU"/>
        </w:rPr>
        <w:t>suitable for use in a production</w:t>
      </w:r>
      <w:r w:rsidR="00D558CB" w:rsidRPr="00102445">
        <w:rPr>
          <w:rFonts w:eastAsia="Times New Roman" w:cs="Times New Roman"/>
          <w:lang w:eastAsia="en-AU"/>
        </w:rPr>
        <w:t xml:space="preserve">-adjusted framework </w:t>
      </w:r>
      <w:r w:rsidR="00F96609" w:rsidRPr="00102445">
        <w:rPr>
          <w:rFonts w:eastAsia="Times New Roman" w:cs="Times New Roman"/>
          <w:lang w:eastAsia="en-AU"/>
        </w:rPr>
        <w:t xml:space="preserve">and moved to </w:t>
      </w:r>
      <w:r w:rsidR="00A16E61" w:rsidRPr="00102445">
        <w:rPr>
          <w:rFonts w:eastAsia="Times New Roman" w:cs="Times New Roman"/>
          <w:lang w:eastAsia="en-AU"/>
        </w:rPr>
        <w:t>S</w:t>
      </w:r>
      <w:r w:rsidR="00F96609" w:rsidRPr="00102445">
        <w:rPr>
          <w:rFonts w:eastAsia="Times New Roman" w:cs="Times New Roman"/>
          <w:lang w:eastAsia="en-AU"/>
        </w:rPr>
        <w:t xml:space="preserve">chedule </w:t>
      </w:r>
      <w:r w:rsidR="00A16E61" w:rsidRPr="00102445">
        <w:rPr>
          <w:rFonts w:eastAsia="Times New Roman" w:cs="Times New Roman"/>
          <w:lang w:eastAsia="en-AU"/>
        </w:rPr>
        <w:t xml:space="preserve">2 of the Safeguard Rules. </w:t>
      </w:r>
      <w:r w:rsidR="00F120AA" w:rsidRPr="00102445">
        <w:rPr>
          <w:rFonts w:eastAsia="Times New Roman" w:cs="Times New Roman"/>
          <w:lang w:eastAsia="en-AU"/>
        </w:rPr>
        <w:t>An output</w:t>
      </w:r>
      <w:r w:rsidR="00911C20" w:rsidRPr="00102445">
        <w:rPr>
          <w:rFonts w:eastAsia="Times New Roman" w:cs="Times New Roman"/>
          <w:lang w:eastAsia="en-AU"/>
        </w:rPr>
        <w:t>-</w:t>
      </w:r>
      <w:r w:rsidR="00F120AA" w:rsidRPr="00102445">
        <w:rPr>
          <w:rFonts w:eastAsia="Times New Roman" w:cs="Times New Roman"/>
          <w:lang w:eastAsia="en-AU"/>
        </w:rPr>
        <w:t>based production variable is unsuitable for petroleum refining activities</w:t>
      </w:r>
      <w:r w:rsidR="00FA008F" w:rsidRPr="00102445">
        <w:rPr>
          <w:rFonts w:eastAsia="Times New Roman" w:cs="Times New Roman"/>
          <w:lang w:eastAsia="en-AU"/>
        </w:rPr>
        <w:t xml:space="preserve"> so </w:t>
      </w:r>
      <w:r w:rsidR="000B46C1" w:rsidRPr="00102445">
        <w:rPr>
          <w:rFonts w:eastAsia="Times New Roman" w:cs="Times New Roman"/>
          <w:lang w:eastAsia="en-AU"/>
        </w:rPr>
        <w:t xml:space="preserve">the </w:t>
      </w:r>
      <w:r w:rsidR="00271566" w:rsidRPr="00102445">
        <w:rPr>
          <w:rFonts w:eastAsia="Times New Roman" w:cs="Times New Roman"/>
          <w:lang w:eastAsia="en-AU"/>
        </w:rPr>
        <w:t xml:space="preserve">updated petroleum refining production variable will </w:t>
      </w:r>
      <w:r w:rsidR="002A2E15" w:rsidRPr="00102445">
        <w:rPr>
          <w:rFonts w:eastAsia="Times New Roman" w:cs="Times New Roman"/>
          <w:lang w:eastAsia="en-AU"/>
        </w:rPr>
        <w:t xml:space="preserve">remain input based. </w:t>
      </w:r>
      <w:r w:rsidR="00161172" w:rsidRPr="00102445">
        <w:t xml:space="preserve">Allowing an input-based production variable to annually adjust carries the risk that a facility may consume more inputs to increase its baseline. However, in </w:t>
      </w:r>
      <w:r w:rsidR="007C2734" w:rsidRPr="00102445">
        <w:t>the case of oil refining in Australia</w:t>
      </w:r>
      <w:r w:rsidR="00755DE4" w:rsidRPr="00102445">
        <w:t>,</w:t>
      </w:r>
      <w:r w:rsidR="007C2734" w:rsidRPr="00102445">
        <w:t xml:space="preserve"> this risk is </w:t>
      </w:r>
      <w:r w:rsidR="00021602" w:rsidRPr="00102445">
        <w:t xml:space="preserve">limited and manageable. </w:t>
      </w:r>
      <w:r w:rsidR="00755DE4" w:rsidRPr="00102445">
        <w:t xml:space="preserve">The nature of </w:t>
      </w:r>
      <w:r w:rsidR="00793EE4" w:rsidRPr="00102445">
        <w:t xml:space="preserve">the </w:t>
      </w:r>
      <w:r w:rsidR="00755DE4" w:rsidRPr="00102445">
        <w:t xml:space="preserve">oil refining </w:t>
      </w:r>
      <w:r w:rsidR="001D5CC4" w:rsidRPr="00102445">
        <w:t>activities</w:t>
      </w:r>
      <w:r w:rsidR="00755DE4" w:rsidRPr="00102445">
        <w:t xml:space="preserve"> </w:t>
      </w:r>
      <w:r w:rsidR="00C933E2" w:rsidRPr="00102445">
        <w:t xml:space="preserve">means that </w:t>
      </w:r>
      <w:r w:rsidR="00161172" w:rsidRPr="00102445">
        <w:t>there are commercial incentives to use input materials efficiently</w:t>
      </w:r>
      <w:r w:rsidR="001D5CC4" w:rsidRPr="00102445">
        <w:t xml:space="preserve"> and </w:t>
      </w:r>
      <w:r w:rsidR="00161172" w:rsidRPr="00102445">
        <w:t>only two facilities use this production variable</w:t>
      </w:r>
      <w:r w:rsidR="001D5CC4" w:rsidRPr="00102445">
        <w:t>.</w:t>
      </w:r>
    </w:p>
    <w:p w14:paraId="7B8A51D0" w14:textId="1024B110" w:rsidR="00167DF3" w:rsidRPr="00102445" w:rsidRDefault="00167DF3"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As with the existing definition, the petroleum refining activity refers to the ATO </w:t>
      </w:r>
      <w:r w:rsidR="00A159E6" w:rsidRPr="00102445">
        <w:rPr>
          <w:rFonts w:eastAsia="Times New Roman" w:cs="Times New Roman"/>
          <w:lang w:eastAsia="en-AU"/>
        </w:rPr>
        <w:t xml:space="preserve">interpretative </w:t>
      </w:r>
      <w:r w:rsidRPr="00102445">
        <w:rPr>
          <w:rFonts w:eastAsia="Times New Roman" w:cs="Times New Roman"/>
          <w:lang w:eastAsia="en-AU"/>
        </w:rPr>
        <w:t>decision about stabilised crude petroleum oil</w:t>
      </w:r>
      <w:r w:rsidR="00A159E6" w:rsidRPr="00102445">
        <w:rPr>
          <w:rFonts w:eastAsia="Times New Roman" w:cs="Times New Roman"/>
          <w:lang w:eastAsia="en-AU"/>
        </w:rPr>
        <w:t xml:space="preserve"> available from http://www.ato.gov.au.</w:t>
      </w:r>
    </w:p>
    <w:p w14:paraId="21612E28" w14:textId="0BDD794F" w:rsidR="00BF222C" w:rsidRPr="00102445" w:rsidRDefault="00BF222C" w:rsidP="00711BC3">
      <w:pPr>
        <w:pStyle w:val="Itemheadings"/>
      </w:pPr>
      <w:r w:rsidRPr="00102445">
        <w:t xml:space="preserve">Item </w:t>
      </w:r>
      <w:r w:rsidR="004C3430" w:rsidRPr="00102445">
        <w:t>69</w:t>
      </w:r>
      <w:r w:rsidRPr="00102445">
        <w:t xml:space="preserve"> – </w:t>
      </w:r>
      <w:r w:rsidR="00454109" w:rsidRPr="00102445">
        <w:t>Schedule 3</w:t>
      </w:r>
    </w:p>
    <w:p w14:paraId="53088589" w14:textId="77777777" w:rsidR="00DF4650" w:rsidRPr="00102445" w:rsidRDefault="006555A6"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Rep</w:t>
      </w:r>
      <w:r w:rsidR="00CF70C0" w:rsidRPr="00102445">
        <w:rPr>
          <w:rFonts w:eastAsia="Times New Roman" w:cs="Times New Roman"/>
          <w:lang w:eastAsia="en-AU"/>
        </w:rPr>
        <w:t>eals the schedule and replaces it with</w:t>
      </w:r>
      <w:r w:rsidR="00DF4650" w:rsidRPr="00102445">
        <w:rPr>
          <w:rFonts w:eastAsia="Times New Roman" w:cs="Times New Roman"/>
          <w:lang w:eastAsia="en-AU"/>
        </w:rPr>
        <w:t>:</w:t>
      </w:r>
    </w:p>
    <w:p w14:paraId="38E7C3F2" w14:textId="77777777" w:rsidR="00F47A71" w:rsidRPr="00102445" w:rsidRDefault="00CF70C0" w:rsidP="000638CD">
      <w:pPr>
        <w:spacing w:line="240" w:lineRule="auto"/>
        <w:rPr>
          <w:rFonts w:eastAsia="Times New Roman" w:cs="Times New Roman"/>
          <w:b/>
          <w:bCs/>
          <w:lang w:eastAsia="en-AU"/>
        </w:rPr>
      </w:pPr>
      <w:r w:rsidRPr="00102445">
        <w:rPr>
          <w:rFonts w:eastAsia="Times New Roman" w:cs="Times New Roman"/>
          <w:b/>
          <w:lang w:eastAsia="en-AU"/>
        </w:rPr>
        <w:t xml:space="preserve">Schedule </w:t>
      </w:r>
      <w:r w:rsidR="00EC361C" w:rsidRPr="00102445">
        <w:rPr>
          <w:rFonts w:eastAsia="Times New Roman" w:cs="Times New Roman"/>
          <w:b/>
          <w:lang w:eastAsia="en-AU"/>
        </w:rPr>
        <w:t xml:space="preserve">2 – </w:t>
      </w:r>
      <w:r w:rsidR="00543B33" w:rsidRPr="00102445">
        <w:rPr>
          <w:rFonts w:eastAsia="Times New Roman" w:cs="Times New Roman"/>
          <w:b/>
          <w:lang w:eastAsia="en-AU"/>
        </w:rPr>
        <w:t>T</w:t>
      </w:r>
      <w:r w:rsidR="00EC361C" w:rsidRPr="00102445">
        <w:rPr>
          <w:rFonts w:eastAsia="Times New Roman" w:cs="Times New Roman"/>
          <w:b/>
          <w:lang w:eastAsia="en-AU"/>
        </w:rPr>
        <w:t>rade</w:t>
      </w:r>
      <w:r w:rsidR="00543B33" w:rsidRPr="00102445">
        <w:rPr>
          <w:rFonts w:eastAsia="Times New Roman" w:cs="Times New Roman"/>
          <w:b/>
          <w:lang w:eastAsia="en-AU"/>
        </w:rPr>
        <w:t>-</w:t>
      </w:r>
      <w:r w:rsidR="00EC361C" w:rsidRPr="00102445">
        <w:rPr>
          <w:rFonts w:eastAsia="Times New Roman" w:cs="Times New Roman"/>
          <w:b/>
          <w:lang w:eastAsia="en-AU"/>
        </w:rPr>
        <w:t>exposed</w:t>
      </w:r>
      <w:r w:rsidR="00C86089" w:rsidRPr="00102445">
        <w:rPr>
          <w:rFonts w:eastAsia="Times New Roman" w:cs="Times New Roman"/>
          <w:b/>
          <w:lang w:eastAsia="en-AU"/>
        </w:rPr>
        <w:t xml:space="preserve"> production </w:t>
      </w:r>
      <w:r w:rsidR="00543B33" w:rsidRPr="00102445">
        <w:rPr>
          <w:rFonts w:eastAsia="Times New Roman" w:cs="Times New Roman"/>
          <w:b/>
          <w:lang w:eastAsia="en-AU"/>
        </w:rPr>
        <w:t>variables</w:t>
      </w:r>
      <w:r w:rsidR="0019009E" w:rsidRPr="00102445">
        <w:rPr>
          <w:rFonts w:eastAsia="Times New Roman" w:cs="Times New Roman"/>
          <w:b/>
          <w:bCs/>
          <w:lang w:eastAsia="en-AU"/>
        </w:rPr>
        <w:t xml:space="preserve"> and manufacturing </w:t>
      </w:r>
      <w:r w:rsidR="00F47A71" w:rsidRPr="00102445">
        <w:rPr>
          <w:rFonts w:eastAsia="Times New Roman" w:cs="Times New Roman"/>
          <w:b/>
          <w:bCs/>
          <w:lang w:eastAsia="en-AU"/>
        </w:rPr>
        <w:t>variables</w:t>
      </w:r>
    </w:p>
    <w:p w14:paraId="06283C27" w14:textId="145C5C23" w:rsidR="00C34E4B" w:rsidRPr="00102445" w:rsidRDefault="00F452D4"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Trade-exposed</w:t>
      </w:r>
      <w:r w:rsidR="006D7D38" w:rsidRPr="00102445">
        <w:rPr>
          <w:rFonts w:eastAsia="Times New Roman" w:cs="Times New Roman"/>
          <w:lang w:eastAsia="en-AU"/>
        </w:rPr>
        <w:t xml:space="preserve"> production variable and manufacturing production variable are defined in section 4 of this Rule.</w:t>
      </w:r>
    </w:p>
    <w:p w14:paraId="5E348F0F" w14:textId="331E1AF2" w:rsidR="00BF222C" w:rsidRPr="00102445" w:rsidRDefault="00537869"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lastRenderedPageBreak/>
        <w:t xml:space="preserve">Section 1 </w:t>
      </w:r>
      <w:r w:rsidR="00036390" w:rsidRPr="00102445">
        <w:rPr>
          <w:rFonts w:eastAsia="Times New Roman" w:cs="Times New Roman"/>
          <w:lang w:eastAsia="en-AU"/>
        </w:rPr>
        <w:t xml:space="preserve">of this Schedule </w:t>
      </w:r>
      <w:r w:rsidR="00BB2110" w:rsidRPr="00102445">
        <w:rPr>
          <w:rFonts w:eastAsia="Times New Roman" w:cs="Times New Roman"/>
          <w:lang w:eastAsia="en-AU"/>
        </w:rPr>
        <w:t xml:space="preserve">provides a table which lists </w:t>
      </w:r>
      <w:r w:rsidR="00CC35A8" w:rsidRPr="00102445">
        <w:rPr>
          <w:rFonts w:eastAsia="Times New Roman" w:cs="Times New Roman"/>
          <w:lang w:eastAsia="en-AU"/>
        </w:rPr>
        <w:t>trade</w:t>
      </w:r>
      <w:r w:rsidR="006D7D38" w:rsidRPr="00102445">
        <w:rPr>
          <w:rFonts w:eastAsia="Times New Roman" w:cs="Times New Roman"/>
          <w:lang w:eastAsia="en-AU"/>
        </w:rPr>
        <w:t>-</w:t>
      </w:r>
      <w:r w:rsidR="00CC35A8" w:rsidRPr="00102445">
        <w:rPr>
          <w:rFonts w:eastAsia="Times New Roman" w:cs="Times New Roman"/>
          <w:lang w:eastAsia="en-AU"/>
        </w:rPr>
        <w:t>exposed</w:t>
      </w:r>
      <w:r w:rsidRPr="00102445">
        <w:rPr>
          <w:rFonts w:eastAsia="Times New Roman" w:cs="Times New Roman"/>
          <w:lang w:eastAsia="en-AU"/>
        </w:rPr>
        <w:t xml:space="preserve"> </w:t>
      </w:r>
      <w:r w:rsidR="007D4E6B" w:rsidRPr="00102445">
        <w:rPr>
          <w:rFonts w:eastAsia="Times New Roman" w:cs="Times New Roman"/>
          <w:lang w:eastAsia="en-AU"/>
        </w:rPr>
        <w:t xml:space="preserve">production variables </w:t>
      </w:r>
      <w:r w:rsidR="00554826" w:rsidRPr="00102445">
        <w:rPr>
          <w:rFonts w:eastAsia="Times New Roman" w:cs="Times New Roman"/>
          <w:lang w:eastAsia="en-AU"/>
        </w:rPr>
        <w:t>that are also</w:t>
      </w:r>
      <w:r w:rsidR="007D4E6B" w:rsidRPr="00102445">
        <w:rPr>
          <w:rFonts w:eastAsia="Times New Roman" w:cs="Times New Roman"/>
          <w:lang w:eastAsia="en-AU"/>
        </w:rPr>
        <w:t xml:space="preserve"> manufacturing sector facilities</w:t>
      </w:r>
      <w:r w:rsidR="00BB2110" w:rsidRPr="00102445">
        <w:rPr>
          <w:rFonts w:eastAsia="Times New Roman" w:cs="Times New Roman"/>
          <w:lang w:eastAsia="en-AU"/>
        </w:rPr>
        <w:t xml:space="preserve">. Section </w:t>
      </w:r>
      <w:r w:rsidR="00036390" w:rsidRPr="00102445">
        <w:rPr>
          <w:rFonts w:eastAsia="Times New Roman" w:cs="Times New Roman"/>
          <w:lang w:eastAsia="en-AU"/>
        </w:rPr>
        <w:t xml:space="preserve">2 of this Schedule provides </w:t>
      </w:r>
      <w:r w:rsidR="00522952" w:rsidRPr="00102445">
        <w:rPr>
          <w:rFonts w:eastAsia="Times New Roman" w:cs="Times New Roman"/>
          <w:lang w:eastAsia="en-AU"/>
        </w:rPr>
        <w:t xml:space="preserve">another table that </w:t>
      </w:r>
      <w:r w:rsidR="007D4E6B" w:rsidRPr="00102445">
        <w:rPr>
          <w:rFonts w:eastAsia="Times New Roman" w:cs="Times New Roman"/>
          <w:lang w:eastAsia="en-AU"/>
        </w:rPr>
        <w:t xml:space="preserve">lists </w:t>
      </w:r>
      <w:r w:rsidR="00522952" w:rsidRPr="00102445">
        <w:rPr>
          <w:rFonts w:eastAsia="Times New Roman" w:cs="Times New Roman"/>
          <w:lang w:eastAsia="en-AU"/>
        </w:rPr>
        <w:t xml:space="preserve">production </w:t>
      </w:r>
      <w:r w:rsidR="007D4E6B" w:rsidRPr="00102445">
        <w:rPr>
          <w:rFonts w:eastAsia="Times New Roman" w:cs="Times New Roman"/>
          <w:lang w:eastAsia="en-AU"/>
        </w:rPr>
        <w:t xml:space="preserve">variables </w:t>
      </w:r>
      <w:r w:rsidR="00A72481" w:rsidRPr="00102445">
        <w:rPr>
          <w:rFonts w:eastAsia="Times New Roman" w:cs="Times New Roman"/>
          <w:lang w:eastAsia="en-AU"/>
        </w:rPr>
        <w:t>that are</w:t>
      </w:r>
      <w:r w:rsidR="007D4E6B" w:rsidRPr="00102445">
        <w:rPr>
          <w:rFonts w:eastAsia="Times New Roman" w:cs="Times New Roman"/>
          <w:lang w:eastAsia="en-AU"/>
        </w:rPr>
        <w:t xml:space="preserve"> non-manufacturing </w:t>
      </w:r>
      <w:r w:rsidR="00A72481" w:rsidRPr="00102445">
        <w:rPr>
          <w:rFonts w:eastAsia="Times New Roman" w:cs="Times New Roman"/>
          <w:lang w:eastAsia="en-AU"/>
        </w:rPr>
        <w:t>production variables</w:t>
      </w:r>
      <w:r w:rsidR="007D4E6B" w:rsidRPr="00102445">
        <w:rPr>
          <w:rFonts w:eastAsia="Times New Roman" w:cs="Times New Roman"/>
          <w:lang w:eastAsia="en-AU"/>
        </w:rPr>
        <w:t>.</w:t>
      </w:r>
    </w:p>
    <w:p w14:paraId="4949637C" w14:textId="71D20128" w:rsidR="00BD7009" w:rsidRPr="00102445" w:rsidRDefault="00BD7009" w:rsidP="00711BC3">
      <w:pPr>
        <w:pStyle w:val="Itemheadings"/>
      </w:pPr>
      <w:r w:rsidRPr="00102445">
        <w:t>Ite</w:t>
      </w:r>
      <w:r w:rsidR="00F30349" w:rsidRPr="00102445">
        <w:t>m</w:t>
      </w:r>
      <w:r w:rsidRPr="00102445">
        <w:t xml:space="preserve"> </w:t>
      </w:r>
      <w:r w:rsidR="00AC07F3" w:rsidRPr="00102445">
        <w:t>7</w:t>
      </w:r>
      <w:r w:rsidR="00626F4E" w:rsidRPr="00102445">
        <w:t xml:space="preserve">0 </w:t>
      </w:r>
      <w:r w:rsidRPr="00102445">
        <w:t>–</w:t>
      </w:r>
      <w:r w:rsidR="00BF222C" w:rsidRPr="00102445">
        <w:t xml:space="preserve"> </w:t>
      </w:r>
      <w:r w:rsidR="00AF1299" w:rsidRPr="00102445">
        <w:t>Amendments of listed provisions</w:t>
      </w:r>
      <w:r w:rsidR="002F53F7" w:rsidRPr="00102445">
        <w:t xml:space="preserve"> – </w:t>
      </w:r>
      <w:r w:rsidR="00AF1299" w:rsidRPr="00102445">
        <w:t xml:space="preserve">prescribed (annually adjusted) </w:t>
      </w:r>
      <w:r w:rsidR="008649FA" w:rsidRPr="00102445">
        <w:t>production</w:t>
      </w:r>
      <w:r w:rsidR="00AF1299" w:rsidRPr="00102445">
        <w:t xml:space="preserve"> variables</w:t>
      </w:r>
    </w:p>
    <w:p w14:paraId="1F7A6C8F" w14:textId="285E1156" w:rsidR="00BD7009" w:rsidRPr="00102445" w:rsidRDefault="0090587E"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Removes </w:t>
      </w:r>
      <w:r w:rsidR="009C1BB2" w:rsidRPr="00102445">
        <w:rPr>
          <w:rFonts w:eastAsia="Times New Roman" w:cs="Times New Roman"/>
          <w:lang w:eastAsia="en-AU"/>
        </w:rPr>
        <w:t xml:space="preserve">the </w:t>
      </w:r>
      <w:r w:rsidR="00613515" w:rsidRPr="00102445">
        <w:rPr>
          <w:rFonts w:eastAsia="Times New Roman" w:cs="Times New Roman"/>
          <w:lang w:eastAsia="en-AU"/>
        </w:rPr>
        <w:t>terminology of prescribed (annually adjusted) production variables</w:t>
      </w:r>
      <w:r w:rsidR="00366BFD" w:rsidRPr="00102445">
        <w:rPr>
          <w:rFonts w:eastAsia="Times New Roman" w:cs="Times New Roman"/>
          <w:lang w:eastAsia="en-AU"/>
        </w:rPr>
        <w:t xml:space="preserve"> across varying provisions of Schedule</w:t>
      </w:r>
      <w:r w:rsidR="00337C5D" w:rsidRPr="00102445">
        <w:rPr>
          <w:rFonts w:eastAsia="Times New Roman" w:cs="Times New Roman"/>
          <w:lang w:eastAsia="en-AU"/>
        </w:rPr>
        <w:t xml:space="preserve"> 2</w:t>
      </w:r>
      <w:r w:rsidR="00613515" w:rsidRPr="00102445">
        <w:rPr>
          <w:rFonts w:eastAsia="Times New Roman" w:cs="Times New Roman"/>
          <w:lang w:eastAsia="en-AU"/>
        </w:rPr>
        <w:t xml:space="preserve"> as </w:t>
      </w:r>
      <w:r w:rsidR="00B67EDC" w:rsidRPr="00102445">
        <w:rPr>
          <w:rFonts w:eastAsia="Times New Roman" w:cs="Times New Roman"/>
          <w:lang w:eastAsia="en-AU"/>
        </w:rPr>
        <w:t xml:space="preserve">it is </w:t>
      </w:r>
      <w:r w:rsidR="00366BFD" w:rsidRPr="00102445">
        <w:rPr>
          <w:rFonts w:eastAsia="Times New Roman" w:cs="Times New Roman"/>
          <w:lang w:eastAsia="en-AU"/>
        </w:rPr>
        <w:t xml:space="preserve">no longer applicable. </w:t>
      </w:r>
      <w:r w:rsidR="006D7715" w:rsidRPr="00102445">
        <w:rPr>
          <w:rFonts w:eastAsia="Times New Roman" w:cs="Times New Roman"/>
          <w:lang w:eastAsia="en-AU"/>
        </w:rPr>
        <w:t xml:space="preserve"> </w:t>
      </w:r>
    </w:p>
    <w:p w14:paraId="45325D1F" w14:textId="4A83731C" w:rsidR="00BD7009" w:rsidRPr="00102445" w:rsidRDefault="00BD7009" w:rsidP="00711BC3">
      <w:pPr>
        <w:pStyle w:val="Itemheadings"/>
      </w:pPr>
      <w:r w:rsidRPr="00102445">
        <w:t xml:space="preserve">Item </w:t>
      </w:r>
      <w:r w:rsidR="00AC07F3" w:rsidRPr="00102445">
        <w:t>7</w:t>
      </w:r>
      <w:r w:rsidR="00626F4E" w:rsidRPr="00102445">
        <w:t>1</w:t>
      </w:r>
      <w:r w:rsidRPr="00102445">
        <w:t xml:space="preserve"> –</w:t>
      </w:r>
      <w:r w:rsidR="00AF1299" w:rsidRPr="00102445">
        <w:t xml:space="preserve"> Amendments of listed provisions—Schedule 2</w:t>
      </w:r>
    </w:p>
    <w:p w14:paraId="51F985AE" w14:textId="43AD9A6A" w:rsidR="00BD4C0F" w:rsidRPr="00102445" w:rsidRDefault="00892C32" w:rsidP="00591A9C">
      <w:pPr>
        <w:pStyle w:val="ListParagraph"/>
        <w:numPr>
          <w:ilvl w:val="0"/>
          <w:numId w:val="2"/>
        </w:numPr>
        <w:spacing w:line="240" w:lineRule="auto"/>
        <w:contextualSpacing w:val="0"/>
        <w:rPr>
          <w:rFonts w:eastAsia="Times New Roman" w:cs="Times New Roman"/>
          <w:lang w:eastAsia="en-AU"/>
        </w:rPr>
      </w:pPr>
      <w:r w:rsidRPr="00102445">
        <w:rPr>
          <w:rFonts w:eastAsia="Times New Roman" w:cs="Times New Roman"/>
          <w:lang w:eastAsia="en-AU"/>
        </w:rPr>
        <w:t xml:space="preserve">Removes </w:t>
      </w:r>
      <w:r w:rsidR="00D505B3" w:rsidRPr="00102445">
        <w:rPr>
          <w:rFonts w:eastAsia="Times New Roman" w:cs="Times New Roman"/>
          <w:lang w:eastAsia="en-AU"/>
        </w:rPr>
        <w:t xml:space="preserve">wording of </w:t>
      </w:r>
      <w:r w:rsidR="006E0CE9" w:rsidRPr="00102445">
        <w:rPr>
          <w:rFonts w:eastAsia="Times New Roman" w:cs="Times New Roman"/>
          <w:lang w:eastAsia="en-AU"/>
        </w:rPr>
        <w:t>‘</w:t>
      </w:r>
      <w:r w:rsidR="00D505B3" w:rsidRPr="00102445">
        <w:rPr>
          <w:rFonts w:eastAsia="Times New Roman" w:cs="Times New Roman"/>
          <w:lang w:eastAsia="en-AU"/>
        </w:rPr>
        <w:t>Schedule</w:t>
      </w:r>
      <w:r w:rsidR="00E809CB" w:rsidRPr="00102445">
        <w:rPr>
          <w:rFonts w:eastAsia="Times New Roman" w:cs="Times New Roman"/>
          <w:lang w:eastAsia="en-AU"/>
        </w:rPr>
        <w:t xml:space="preserve"> 2</w:t>
      </w:r>
      <w:r w:rsidR="006E0CE9" w:rsidRPr="00102445">
        <w:rPr>
          <w:rFonts w:eastAsia="Times New Roman" w:cs="Times New Roman"/>
          <w:lang w:eastAsia="en-AU"/>
        </w:rPr>
        <w:t>’</w:t>
      </w:r>
      <w:r w:rsidR="00AC6A0E" w:rsidRPr="00102445">
        <w:rPr>
          <w:rFonts w:eastAsia="Times New Roman" w:cs="Times New Roman"/>
          <w:lang w:eastAsia="en-AU"/>
        </w:rPr>
        <w:t>, and substitutes ‘this Schedule’</w:t>
      </w:r>
      <w:r w:rsidR="00D92255" w:rsidRPr="00102445">
        <w:rPr>
          <w:rFonts w:eastAsia="Times New Roman" w:cs="Times New Roman"/>
          <w:lang w:eastAsia="en-AU"/>
        </w:rPr>
        <w:t xml:space="preserve"> across varying provisions </w:t>
      </w:r>
      <w:r w:rsidR="005D2DC5" w:rsidRPr="00102445">
        <w:rPr>
          <w:rFonts w:eastAsia="Times New Roman" w:cs="Times New Roman"/>
          <w:lang w:eastAsia="en-AU"/>
        </w:rPr>
        <w:t xml:space="preserve">in referring to the correct </w:t>
      </w:r>
      <w:r w:rsidR="00DD3302" w:rsidRPr="00102445">
        <w:rPr>
          <w:rFonts w:eastAsia="Times New Roman" w:cs="Times New Roman"/>
          <w:lang w:eastAsia="en-AU"/>
        </w:rPr>
        <w:t xml:space="preserve">Schedule. </w:t>
      </w:r>
    </w:p>
    <w:p w14:paraId="1FD2E5AC" w14:textId="77777777" w:rsidR="00380A20" w:rsidRPr="00102445" w:rsidRDefault="00380A20">
      <w:pPr>
        <w:spacing w:before="0" w:after="160" w:line="259" w:lineRule="auto"/>
        <w:rPr>
          <w:rFonts w:eastAsiaTheme="majorEastAsia" w:cstheme="majorBidi"/>
          <w:b/>
          <w:color w:val="000000" w:themeColor="text1"/>
          <w:szCs w:val="26"/>
        </w:rPr>
      </w:pPr>
      <w:r w:rsidRPr="00102445">
        <w:br w:type="page"/>
      </w:r>
    </w:p>
    <w:p w14:paraId="790810DB" w14:textId="77777777" w:rsidR="00591A9C" w:rsidRPr="00102445" w:rsidRDefault="00E34BE3" w:rsidP="00591A9C">
      <w:pPr>
        <w:pStyle w:val="Heading2"/>
        <w:jc w:val="center"/>
      </w:pPr>
      <w:r w:rsidRPr="00102445">
        <w:lastRenderedPageBreak/>
        <w:t>ATTACHMENT A – Statement of Reasons</w:t>
      </w:r>
    </w:p>
    <w:p w14:paraId="51F0207D" w14:textId="77777777" w:rsidR="00DE1382" w:rsidRPr="00102445" w:rsidRDefault="00DE1382" w:rsidP="000627D5"/>
    <w:p w14:paraId="15B69529" w14:textId="77777777" w:rsidR="00676DA1" w:rsidRPr="00102445" w:rsidRDefault="00E34BE3" w:rsidP="00676DA1">
      <w:pPr>
        <w:pStyle w:val="Heading1"/>
        <w:keepNext w:val="0"/>
        <w:keepLines w:val="0"/>
        <w:pageBreakBefore w:val="0"/>
        <w:widowControl w:val="0"/>
        <w:spacing w:before="120" w:after="120" w:line="240" w:lineRule="auto"/>
        <w:contextualSpacing/>
        <w:jc w:val="left"/>
        <w:rPr>
          <w:rFonts w:asciiTheme="minorHAnsi" w:hAnsiTheme="minorHAnsi" w:cstheme="minorHAnsi"/>
          <w:sz w:val="32"/>
          <w:szCs w:val="32"/>
        </w:rPr>
      </w:pPr>
      <w:r w:rsidRPr="00102445">
        <w:br w:type="page"/>
      </w:r>
      <w:r w:rsidR="00676DA1" w:rsidRPr="00102445">
        <w:rPr>
          <w:rFonts w:asciiTheme="minorHAnsi" w:hAnsiTheme="minorHAnsi" w:cstheme="minorHAnsi"/>
          <w:sz w:val="32"/>
          <w:szCs w:val="32"/>
        </w:rPr>
        <w:lastRenderedPageBreak/>
        <w:t xml:space="preserve">Statement of reasons under s 22XS(1B) of the </w:t>
      </w:r>
      <w:r w:rsidR="00676DA1" w:rsidRPr="00102445">
        <w:rPr>
          <w:rFonts w:asciiTheme="minorHAnsi" w:hAnsiTheme="minorHAnsi" w:cstheme="minorHAnsi"/>
          <w:i/>
          <w:sz w:val="32"/>
          <w:szCs w:val="32"/>
        </w:rPr>
        <w:t xml:space="preserve">National Greenhouse and Energy Reporting Act 2007 </w:t>
      </w:r>
      <w:r w:rsidR="00676DA1" w:rsidRPr="00102445">
        <w:rPr>
          <w:rFonts w:asciiTheme="minorHAnsi" w:hAnsiTheme="minorHAnsi" w:cstheme="minorHAnsi"/>
          <w:sz w:val="32"/>
          <w:szCs w:val="32"/>
        </w:rPr>
        <w:t xml:space="preserve">(NGER Act) – How the </w:t>
      </w:r>
      <w:r w:rsidR="00676DA1" w:rsidRPr="00102445">
        <w:rPr>
          <w:rFonts w:asciiTheme="minorHAnsi" w:hAnsiTheme="minorHAnsi" w:cstheme="minorHAnsi"/>
          <w:i/>
          <w:sz w:val="32"/>
          <w:szCs w:val="32"/>
        </w:rPr>
        <w:t>National Greenhouse and Energy Reporting (Safeguard Mechanism) Rule 2015</w:t>
      </w:r>
      <w:r w:rsidR="00676DA1" w:rsidRPr="00102445">
        <w:rPr>
          <w:rFonts w:asciiTheme="minorHAnsi" w:hAnsiTheme="minorHAnsi" w:cstheme="minorHAnsi"/>
          <w:sz w:val="32"/>
          <w:szCs w:val="32"/>
        </w:rPr>
        <w:t xml:space="preserve"> as amended delivers the legislated safeguard outcomes </w:t>
      </w:r>
    </w:p>
    <w:p w14:paraId="188514DF" w14:textId="77777777" w:rsidR="00676DA1" w:rsidRPr="00102445" w:rsidRDefault="00676DA1" w:rsidP="00676DA1"/>
    <w:p w14:paraId="447E73B9" w14:textId="77777777" w:rsidR="00676DA1" w:rsidRPr="00102445" w:rsidRDefault="00676DA1" w:rsidP="00676DA1">
      <w:pPr>
        <w:pStyle w:val="ListNumberDotted"/>
        <w:numPr>
          <w:ilvl w:val="0"/>
          <w:numId w:val="56"/>
        </w:numPr>
        <w:ind w:left="360"/>
      </w:pPr>
      <w:r w:rsidRPr="00102445">
        <w:t xml:space="preserve">In accordance with section 22XS(1A) and (1B) of the NGER Act, this statement sets out my reasons for being satisfied that the </w:t>
      </w:r>
      <w:r w:rsidRPr="00102445">
        <w:rPr>
          <w:i/>
        </w:rPr>
        <w:t>National Greenhouse and Energy Reporting (Safeguard Mechanism) Rule 2015</w:t>
      </w:r>
      <w:r w:rsidRPr="00102445">
        <w:t xml:space="preserve"> (</w:t>
      </w:r>
      <w:r w:rsidRPr="00102445">
        <w:rPr>
          <w:b/>
        </w:rPr>
        <w:t>Safeguard Rules</w:t>
      </w:r>
      <w:r w:rsidRPr="00102445">
        <w:t xml:space="preserve">) as amended by the </w:t>
      </w:r>
      <w:r w:rsidRPr="00102445">
        <w:rPr>
          <w:i/>
        </w:rPr>
        <w:t xml:space="preserve">National Greenhouse and Energy Reporting (Safeguard Mechanism) Amendment (Reforms) Rules 2023 </w:t>
      </w:r>
      <w:r w:rsidRPr="00102445">
        <w:t>(</w:t>
      </w:r>
      <w:r w:rsidRPr="00102445">
        <w:rPr>
          <w:b/>
        </w:rPr>
        <w:t>Amendment Rules</w:t>
      </w:r>
      <w:r w:rsidRPr="00102445">
        <w:t xml:space="preserve">) are consistent with each of the safeguard outcomes in paragraphs 3(2)(b), (c) and (d), and that they take into account the safeguard outcomes in paragraphs 3(2)(e) and (f), of the NGER Act. </w:t>
      </w:r>
    </w:p>
    <w:p w14:paraId="422A4956" w14:textId="77777777" w:rsidR="00676DA1" w:rsidRPr="00102445" w:rsidRDefault="00676DA1" w:rsidP="00C1715D">
      <w:pPr>
        <w:pStyle w:val="Heading2"/>
        <w:keepNext w:val="0"/>
        <w:keepLines w:val="0"/>
        <w:spacing w:before="120" w:after="240" w:line="240" w:lineRule="auto"/>
      </w:pPr>
      <w:r w:rsidRPr="00102445">
        <w:rPr>
          <w:rFonts w:ascii="Calibri" w:eastAsiaTheme="minorEastAsia" w:hAnsi="Calibri" w:cstheme="minorBidi"/>
          <w:bCs/>
          <w:color w:val="auto"/>
          <w:szCs w:val="28"/>
          <w:lang w:eastAsia="ja-JP"/>
        </w:rPr>
        <w:t>Summary</w:t>
      </w:r>
    </w:p>
    <w:p w14:paraId="6B4C4CDE" w14:textId="77777777" w:rsidR="00676DA1" w:rsidRPr="00102445" w:rsidRDefault="00676DA1" w:rsidP="00676DA1">
      <w:pPr>
        <w:pStyle w:val="ListNumberDotted"/>
        <w:numPr>
          <w:ilvl w:val="0"/>
          <w:numId w:val="56"/>
        </w:numPr>
        <w:ind w:left="360"/>
      </w:pPr>
      <w:r w:rsidRPr="00102445">
        <w:t>Collectively, the Safeguard Rules and related instruments and policies, put net emissions limits on Australia’s largest industrial emitters and reduce those limits consistent with a proportional share of Australia’s targets. The scheme established by the Safeguard Rules delivers the required emissions reductions while providing a strong incentive to reduce onsite emissions at each designated large facility, and supporting the competitiveness of trade-exposed industries. In particular, the Safeguard Rules as amended ensure that:</w:t>
      </w:r>
    </w:p>
    <w:p w14:paraId="692DDEAD" w14:textId="77777777" w:rsidR="00676DA1" w:rsidRPr="00102445" w:rsidRDefault="00676DA1" w:rsidP="00676DA1">
      <w:pPr>
        <w:pStyle w:val="ListParagraph"/>
        <w:numPr>
          <w:ilvl w:val="0"/>
          <w:numId w:val="5"/>
        </w:numPr>
        <w:spacing w:before="0" w:after="120" w:line="264" w:lineRule="auto"/>
      </w:pPr>
      <w:r w:rsidRPr="00102445">
        <w:t>Enforceable baselines are set for the net emissions of each designated large facility (relevant to safeguard outcome (a) – but noting that this safeguard outcome is not engaged by the requirement in section 22XS(1A) of the NGER Act)</w:t>
      </w:r>
    </w:p>
    <w:p w14:paraId="1FC480C5" w14:textId="77777777" w:rsidR="00676DA1" w:rsidRPr="00102445" w:rsidRDefault="00676DA1" w:rsidP="00676DA1">
      <w:pPr>
        <w:pStyle w:val="ListParagraph"/>
        <w:numPr>
          <w:ilvl w:val="0"/>
          <w:numId w:val="5"/>
        </w:numPr>
        <w:spacing w:before="0" w:line="264" w:lineRule="auto"/>
      </w:pPr>
      <w:r w:rsidRPr="00102445">
        <w:t xml:space="preserve">Baselines will decline and are </w:t>
      </w:r>
      <w:r w:rsidRPr="00102445" w:rsidDel="00FA0223">
        <w:t>reasonably expected</w:t>
      </w:r>
      <w:r w:rsidRPr="00102445">
        <w:t xml:space="preserve"> to achieve the 1,233 million tonne 10-year limit on total net safeguard emissions (referred to as the ‘net emissions budget’), including with an appropriate reserve for uncertainty about future emissions (relevant to safeguard outcome (b))</w:t>
      </w:r>
    </w:p>
    <w:p w14:paraId="508CCAF3" w14:textId="77777777" w:rsidR="00676DA1" w:rsidRPr="00102445" w:rsidRDefault="00676DA1" w:rsidP="00676DA1">
      <w:pPr>
        <w:pStyle w:val="ListParagraph"/>
        <w:numPr>
          <w:ilvl w:val="0"/>
          <w:numId w:val="5"/>
        </w:numPr>
        <w:spacing w:before="0" w:line="264" w:lineRule="auto"/>
      </w:pPr>
      <w:r w:rsidRPr="00102445">
        <w:t xml:space="preserve">The baseline decline </w:t>
      </w:r>
      <w:r w:rsidRPr="00102445" w:rsidDel="006E11BF">
        <w:t>is reasonably expected</w:t>
      </w:r>
      <w:r w:rsidRPr="00102445">
        <w:t xml:space="preserve"> to result in less than 100 million tonnes of net safeguard emissions in 2030, and baselines will be set at zero from 30 June 2049 (relevant to safeguard outcome (c))</w:t>
      </w:r>
    </w:p>
    <w:p w14:paraId="4452ADC2" w14:textId="77777777" w:rsidR="00676DA1" w:rsidRPr="00102445" w:rsidRDefault="00676DA1" w:rsidP="00676DA1">
      <w:pPr>
        <w:pStyle w:val="ListParagraph"/>
        <w:numPr>
          <w:ilvl w:val="0"/>
          <w:numId w:val="5"/>
        </w:numPr>
        <w:spacing w:before="0" w:line="264" w:lineRule="auto"/>
      </w:pPr>
      <w:r w:rsidRPr="00102445">
        <w:t xml:space="preserve">The incentives created </w:t>
      </w:r>
      <w:r w:rsidRPr="00102445" w:rsidDel="0000192D">
        <w:t>are reasonably expected to result in</w:t>
      </w:r>
      <w:r w:rsidRPr="00102445">
        <w:t xml:space="preserve"> emissions declining consistent with the 5-year rolling average for each financial year that begins after </w:t>
      </w:r>
      <w:r w:rsidRPr="00102445">
        <w:br w:type="textWrapping" w:clear="all"/>
        <w:t>30 June 2024 (relevant to safeguard outcome (d))</w:t>
      </w:r>
    </w:p>
    <w:p w14:paraId="32E0D161" w14:textId="77777777" w:rsidR="00676DA1" w:rsidRPr="00102445" w:rsidRDefault="00676DA1" w:rsidP="00676DA1">
      <w:pPr>
        <w:pStyle w:val="ListParagraph"/>
        <w:numPr>
          <w:ilvl w:val="0"/>
          <w:numId w:val="5"/>
        </w:numPr>
        <w:spacing w:before="0" w:line="264" w:lineRule="auto"/>
      </w:pPr>
      <w:r w:rsidRPr="00102445">
        <w:t>Strong incentives from baseline decline and Safeguard Mechanism Credits provide a material incentive for onsite abatement (relevant to safeguard outcome (e))</w:t>
      </w:r>
    </w:p>
    <w:p w14:paraId="75CD5146" w14:textId="77777777" w:rsidR="00676DA1" w:rsidRPr="00102445" w:rsidRDefault="00676DA1" w:rsidP="00676DA1">
      <w:pPr>
        <w:pStyle w:val="ListParagraph"/>
        <w:numPr>
          <w:ilvl w:val="0"/>
          <w:numId w:val="5"/>
        </w:numPr>
        <w:spacing w:before="0" w:line="264" w:lineRule="auto"/>
      </w:pPr>
      <w:r w:rsidRPr="00102445">
        <w:t>Competitiveness of trade-exposed industries is supported, including through trade-exposed baseline adjusted provisions (relevant to safeguard outcome (f)).</w:t>
      </w:r>
    </w:p>
    <w:p w14:paraId="60B3DEDE" w14:textId="77777777" w:rsidR="00676DA1" w:rsidRPr="00102445" w:rsidRDefault="00676DA1" w:rsidP="00676DA1">
      <w:pPr>
        <w:pStyle w:val="ListNumberDotted"/>
        <w:numPr>
          <w:ilvl w:val="0"/>
          <w:numId w:val="56"/>
        </w:numPr>
        <w:ind w:left="360"/>
      </w:pPr>
      <w:r w:rsidRPr="00102445">
        <w:t>Overall, the amendments to the Safeguard Rules provide investment certainty for Australia’s industrial sector to reduce their emissions and remain competitive in a global net zero economy.</w:t>
      </w:r>
    </w:p>
    <w:p w14:paraId="24D802ED" w14:textId="77777777" w:rsidR="001D4040" w:rsidRPr="00102445" w:rsidRDefault="001D4040">
      <w:pPr>
        <w:spacing w:before="0" w:after="160" w:line="259" w:lineRule="auto"/>
        <w:rPr>
          <w:rFonts w:asciiTheme="minorHAnsi" w:eastAsiaTheme="majorEastAsia" w:hAnsiTheme="minorHAnsi" w:cstheme="minorHAnsi"/>
          <w:b/>
          <w:color w:val="000000" w:themeColor="text1"/>
          <w:sz w:val="22"/>
        </w:rPr>
      </w:pPr>
      <w:r w:rsidRPr="00102445">
        <w:rPr>
          <w:rFonts w:asciiTheme="minorHAnsi" w:hAnsiTheme="minorHAnsi" w:cstheme="minorHAnsi"/>
          <w:sz w:val="22"/>
        </w:rPr>
        <w:br w:type="page"/>
      </w:r>
    </w:p>
    <w:p w14:paraId="6F79CEFA" w14:textId="17048E69" w:rsidR="00676DA1" w:rsidRPr="00102445" w:rsidRDefault="00676DA1" w:rsidP="00676DA1">
      <w:pPr>
        <w:pStyle w:val="Heading2"/>
        <w:rPr>
          <w:rFonts w:asciiTheme="minorHAnsi" w:hAnsiTheme="minorHAnsi" w:cstheme="minorHAnsi"/>
          <w:sz w:val="22"/>
          <w:szCs w:val="22"/>
        </w:rPr>
      </w:pPr>
      <w:r w:rsidRPr="00102445">
        <w:rPr>
          <w:rFonts w:asciiTheme="minorHAnsi" w:hAnsiTheme="minorHAnsi" w:cstheme="minorHAnsi"/>
          <w:sz w:val="22"/>
          <w:szCs w:val="22"/>
        </w:rPr>
        <w:lastRenderedPageBreak/>
        <w:t>Definitions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4"/>
        <w:gridCol w:w="7700"/>
      </w:tblGrid>
      <w:tr w:rsidR="00676DA1" w:rsidRPr="00102445" w14:paraId="41D8562C" w14:textId="77777777" w:rsidTr="004F1695">
        <w:trPr>
          <w:trHeight w:val="375"/>
        </w:trPr>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2F062EFA"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b/>
                <w:sz w:val="22"/>
                <w:lang w:eastAsia="en-AU"/>
              </w:rPr>
              <w:t>Abbreviation</w:t>
            </w:r>
            <w:r w:rsidRPr="00102445">
              <w:rPr>
                <w:rFonts w:asciiTheme="minorHAnsi" w:eastAsia="Times New Roman" w:hAnsiTheme="minorHAnsi" w:cstheme="minorHAnsi"/>
                <w:sz w:val="22"/>
                <w:lang w:eastAsia="en-AU"/>
              </w:rPr>
              <w:t> </w:t>
            </w:r>
          </w:p>
        </w:tc>
        <w:tc>
          <w:tcPr>
            <w:tcW w:w="7700" w:type="dxa"/>
            <w:tcBorders>
              <w:top w:val="single" w:sz="6" w:space="0" w:color="auto"/>
              <w:left w:val="single" w:sz="6" w:space="0" w:color="auto"/>
              <w:bottom w:val="single" w:sz="6" w:space="0" w:color="auto"/>
              <w:right w:val="single" w:sz="6" w:space="0" w:color="auto"/>
            </w:tcBorders>
            <w:shd w:val="clear" w:color="auto" w:fill="auto"/>
            <w:hideMark/>
          </w:tcPr>
          <w:p w14:paraId="1B4504DD"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b/>
                <w:sz w:val="22"/>
                <w:lang w:eastAsia="en-AU"/>
              </w:rPr>
              <w:t>Definition</w:t>
            </w:r>
            <w:r w:rsidRPr="00102445">
              <w:rPr>
                <w:rFonts w:asciiTheme="minorHAnsi" w:eastAsia="Times New Roman" w:hAnsiTheme="minorHAnsi" w:cstheme="minorHAnsi"/>
                <w:sz w:val="22"/>
                <w:lang w:eastAsia="en-AU"/>
              </w:rPr>
              <w:t> </w:t>
            </w:r>
          </w:p>
        </w:tc>
      </w:tr>
      <w:tr w:rsidR="00676DA1" w:rsidRPr="00102445" w14:paraId="0BE88CD1"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236E9F31"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ACCU  </w:t>
            </w:r>
          </w:p>
        </w:tc>
        <w:tc>
          <w:tcPr>
            <w:tcW w:w="7700" w:type="dxa"/>
            <w:tcBorders>
              <w:top w:val="single" w:sz="6" w:space="0" w:color="auto"/>
              <w:left w:val="single" w:sz="6" w:space="0" w:color="auto"/>
              <w:bottom w:val="single" w:sz="6" w:space="0" w:color="auto"/>
              <w:right w:val="single" w:sz="6" w:space="0" w:color="auto"/>
            </w:tcBorders>
            <w:shd w:val="clear" w:color="auto" w:fill="auto"/>
            <w:hideMark/>
          </w:tcPr>
          <w:p w14:paraId="65DDE008" w14:textId="77777777" w:rsidR="00676DA1" w:rsidRPr="00102445" w:rsidRDefault="00676DA1" w:rsidP="004F1695">
            <w:pPr>
              <w:spacing w:line="240" w:lineRule="auto"/>
              <w:ind w:right="90"/>
              <w:textAlignment w:val="baseline"/>
              <w:rPr>
                <w:rFonts w:asciiTheme="minorHAnsi" w:hAnsiTheme="minorHAnsi" w:cstheme="minorHAnsi"/>
                <w:sz w:val="22"/>
              </w:rPr>
            </w:pPr>
            <w:r w:rsidRPr="00102445">
              <w:rPr>
                <w:rFonts w:asciiTheme="minorHAnsi" w:eastAsia="Times New Roman" w:hAnsiTheme="minorHAnsi" w:cstheme="minorHAnsi"/>
                <w:sz w:val="22"/>
                <w:lang w:eastAsia="en-AU"/>
              </w:rPr>
              <w:t xml:space="preserve">Australian Carbon Credit Unit, which has the same meaning as in the </w:t>
            </w:r>
            <w:r w:rsidRPr="00102445">
              <w:rPr>
                <w:rFonts w:asciiTheme="minorHAnsi" w:eastAsia="Times New Roman" w:hAnsiTheme="minorHAnsi" w:cstheme="minorHAnsi"/>
                <w:i/>
                <w:iCs/>
                <w:sz w:val="22"/>
                <w:lang w:eastAsia="en-AU"/>
              </w:rPr>
              <w:t>Carbon Credits (Carbon Farming Initiative) Act 2011.</w:t>
            </w:r>
          </w:p>
        </w:tc>
      </w:tr>
      <w:tr w:rsidR="00676DA1" w:rsidRPr="00102445" w14:paraId="3FAFAA31"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tcPr>
          <w:p w14:paraId="736EF5B4"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Amendment Rules</w:t>
            </w:r>
          </w:p>
        </w:tc>
        <w:tc>
          <w:tcPr>
            <w:tcW w:w="7700" w:type="dxa"/>
            <w:tcBorders>
              <w:top w:val="single" w:sz="6" w:space="0" w:color="auto"/>
              <w:left w:val="single" w:sz="6" w:space="0" w:color="auto"/>
              <w:bottom w:val="single" w:sz="6" w:space="0" w:color="auto"/>
              <w:right w:val="single" w:sz="6" w:space="0" w:color="auto"/>
            </w:tcBorders>
            <w:shd w:val="clear" w:color="auto" w:fill="auto"/>
          </w:tcPr>
          <w:p w14:paraId="02D4FB0C"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hAnsiTheme="minorHAnsi" w:cstheme="minorHAnsi"/>
                <w:i/>
                <w:iCs/>
                <w:sz w:val="22"/>
              </w:rPr>
              <w:t>National Greenhouse and Energy Reporting (Safeguard Mechanism) Amendment (Reforms) Rules 2023.</w:t>
            </w:r>
          </w:p>
        </w:tc>
      </w:tr>
      <w:tr w:rsidR="00676DA1" w:rsidRPr="00102445" w14:paraId="2E8BE182"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5120E16F"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Baseline  </w:t>
            </w:r>
          </w:p>
        </w:tc>
        <w:tc>
          <w:tcPr>
            <w:tcW w:w="7700" w:type="dxa"/>
            <w:tcBorders>
              <w:top w:val="single" w:sz="6" w:space="0" w:color="auto"/>
              <w:left w:val="single" w:sz="6" w:space="0" w:color="auto"/>
              <w:bottom w:val="single" w:sz="6" w:space="0" w:color="auto"/>
              <w:right w:val="single" w:sz="6" w:space="0" w:color="auto"/>
            </w:tcBorders>
            <w:shd w:val="clear" w:color="auto" w:fill="auto"/>
            <w:hideMark/>
          </w:tcPr>
          <w:p w14:paraId="757542AD"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The baseline emissions number for a facility, as specified in section 22XL of the NGER Act.  </w:t>
            </w:r>
          </w:p>
        </w:tc>
      </w:tr>
      <w:tr w:rsidR="00676DA1" w:rsidRPr="00102445" w14:paraId="115921BE"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4756F90A"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CO</w:t>
            </w:r>
            <w:r w:rsidRPr="00102445">
              <w:rPr>
                <w:rFonts w:asciiTheme="minorHAnsi" w:eastAsia="Times New Roman" w:hAnsiTheme="minorHAnsi" w:cstheme="minorHAnsi"/>
                <w:sz w:val="22"/>
                <w:vertAlign w:val="subscript"/>
                <w:lang w:eastAsia="en-AU"/>
              </w:rPr>
              <w:t>2</w:t>
            </w:r>
            <w:r w:rsidRPr="00102445">
              <w:rPr>
                <w:rFonts w:asciiTheme="minorHAnsi" w:eastAsia="Times New Roman" w:hAnsiTheme="minorHAnsi" w:cstheme="minorHAnsi"/>
                <w:sz w:val="22"/>
                <w:lang w:eastAsia="en-AU"/>
              </w:rPr>
              <w:t>-e </w:t>
            </w:r>
          </w:p>
        </w:tc>
        <w:tc>
          <w:tcPr>
            <w:tcW w:w="7700" w:type="dxa"/>
            <w:tcBorders>
              <w:top w:val="single" w:sz="6" w:space="0" w:color="auto"/>
              <w:left w:val="single" w:sz="6" w:space="0" w:color="auto"/>
              <w:bottom w:val="single" w:sz="6" w:space="0" w:color="auto"/>
              <w:right w:val="single" w:sz="6" w:space="0" w:color="auto"/>
            </w:tcBorders>
            <w:shd w:val="clear" w:color="auto" w:fill="auto"/>
            <w:hideMark/>
          </w:tcPr>
          <w:p w14:paraId="6E9CD30A"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 xml:space="preserve">Abbreviation for carbon dioxide equivalent, a way of quantifying greenhouse gases to reflect their contribution to climate change compared to a unit of carbon dioxide equivalent. In the NGER Act, the </w:t>
            </w:r>
            <w:r w:rsidRPr="00102445">
              <w:rPr>
                <w:rFonts w:asciiTheme="minorHAnsi" w:hAnsiTheme="minorHAnsi" w:cstheme="minorHAnsi"/>
                <w:sz w:val="22"/>
              </w:rPr>
              <w:t>carbon dioxide equivalence of an amount of greenhouse gas, means the amount of the gas multiplied by a value specified in the regulations in relation to that kind of greenhouse gas.</w:t>
            </w:r>
            <w:r w:rsidRPr="00102445">
              <w:rPr>
                <w:rFonts w:asciiTheme="minorHAnsi" w:eastAsia="Times New Roman" w:hAnsiTheme="minorHAnsi" w:cstheme="minorHAnsi"/>
                <w:sz w:val="22"/>
                <w:lang w:eastAsia="en-AU"/>
              </w:rPr>
              <w:t> </w:t>
            </w:r>
          </w:p>
        </w:tc>
      </w:tr>
      <w:tr w:rsidR="00676DA1" w:rsidRPr="00102445" w14:paraId="6BA549E1"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tcPr>
          <w:p w14:paraId="23703A49"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Covered emissions</w:t>
            </w:r>
          </w:p>
        </w:tc>
        <w:tc>
          <w:tcPr>
            <w:tcW w:w="7700" w:type="dxa"/>
            <w:tcBorders>
              <w:top w:val="single" w:sz="6" w:space="0" w:color="auto"/>
              <w:left w:val="single" w:sz="6" w:space="0" w:color="auto"/>
              <w:bottom w:val="single" w:sz="6" w:space="0" w:color="auto"/>
              <w:right w:val="single" w:sz="6" w:space="0" w:color="auto"/>
            </w:tcBorders>
            <w:shd w:val="clear" w:color="auto" w:fill="auto"/>
          </w:tcPr>
          <w:p w14:paraId="2378C834"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hAnsiTheme="minorHAnsi" w:cstheme="minorHAnsi"/>
                <w:sz w:val="22"/>
              </w:rPr>
              <w:t>Has the meaning given by section 22XI of the NGER Act</w:t>
            </w:r>
            <w:r w:rsidRPr="00102445">
              <w:rPr>
                <w:rFonts w:asciiTheme="minorHAnsi" w:eastAsia="Times New Roman" w:hAnsiTheme="minorHAnsi" w:cstheme="minorHAnsi"/>
                <w:sz w:val="22"/>
                <w:lang w:eastAsia="en-AU"/>
              </w:rPr>
              <w:t xml:space="preserve"> i.e. </w:t>
            </w:r>
            <w:r w:rsidRPr="00102445">
              <w:rPr>
                <w:rFonts w:asciiTheme="minorHAnsi" w:hAnsiTheme="minorHAnsi" w:cstheme="minorHAnsi"/>
                <w:sz w:val="22"/>
              </w:rPr>
              <w:t>scope 1 emissions of one or more greenhouse gases, other than emissions of a kind specified in the Safeguard Rules.</w:t>
            </w:r>
          </w:p>
        </w:tc>
      </w:tr>
      <w:tr w:rsidR="00676DA1" w:rsidRPr="00102445" w14:paraId="1926EB8D"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tcPr>
          <w:p w14:paraId="3F103885"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Department</w:t>
            </w:r>
          </w:p>
        </w:tc>
        <w:tc>
          <w:tcPr>
            <w:tcW w:w="7700" w:type="dxa"/>
            <w:tcBorders>
              <w:top w:val="single" w:sz="6" w:space="0" w:color="auto"/>
              <w:left w:val="single" w:sz="6" w:space="0" w:color="auto"/>
              <w:bottom w:val="single" w:sz="6" w:space="0" w:color="auto"/>
              <w:right w:val="single" w:sz="6" w:space="0" w:color="auto"/>
            </w:tcBorders>
            <w:shd w:val="clear" w:color="auto" w:fill="auto"/>
          </w:tcPr>
          <w:p w14:paraId="6C5522DA" w14:textId="77777777" w:rsidR="00676DA1" w:rsidRPr="00102445" w:rsidDel="003A21E1"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Department of Climate Change, Energy, the Environment and Water</w:t>
            </w:r>
          </w:p>
        </w:tc>
      </w:tr>
      <w:tr w:rsidR="00676DA1" w:rsidRPr="00102445" w14:paraId="75EEC46B"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tcPr>
          <w:p w14:paraId="0527387F"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Default emissions reduction contribution</w:t>
            </w:r>
          </w:p>
        </w:tc>
        <w:tc>
          <w:tcPr>
            <w:tcW w:w="7700" w:type="dxa"/>
            <w:tcBorders>
              <w:top w:val="single" w:sz="6" w:space="0" w:color="auto"/>
              <w:left w:val="single" w:sz="6" w:space="0" w:color="auto"/>
              <w:bottom w:val="single" w:sz="6" w:space="0" w:color="auto"/>
              <w:right w:val="single" w:sz="6" w:space="0" w:color="auto"/>
            </w:tcBorders>
            <w:shd w:val="clear" w:color="auto" w:fill="auto"/>
          </w:tcPr>
          <w:p w14:paraId="4CAF236C"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For a financial year, has the meaning given by section 31 of the Amendment Rules.</w:t>
            </w:r>
          </w:p>
        </w:tc>
      </w:tr>
      <w:tr w:rsidR="00676DA1" w:rsidRPr="00102445" w14:paraId="1CD8FFBC"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63F22312"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Designated large facility </w:t>
            </w:r>
          </w:p>
        </w:tc>
        <w:tc>
          <w:tcPr>
            <w:tcW w:w="7700" w:type="dxa"/>
            <w:tcBorders>
              <w:top w:val="single" w:sz="6" w:space="0" w:color="auto"/>
              <w:left w:val="single" w:sz="6" w:space="0" w:color="auto"/>
              <w:bottom w:val="single" w:sz="6" w:space="0" w:color="auto"/>
              <w:right w:val="single" w:sz="6" w:space="0" w:color="auto"/>
            </w:tcBorders>
            <w:shd w:val="clear" w:color="auto" w:fill="auto"/>
            <w:hideMark/>
          </w:tcPr>
          <w:p w14:paraId="5B386073"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A facility covered by the Safeguard Mechanism, as defined in section 22XJ of the NGER Act.</w:t>
            </w:r>
          </w:p>
        </w:tc>
      </w:tr>
      <w:tr w:rsidR="00676DA1" w:rsidRPr="00102445" w14:paraId="7CC5C30E"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4BD78E9C"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EBIT </w:t>
            </w:r>
          </w:p>
        </w:tc>
        <w:tc>
          <w:tcPr>
            <w:tcW w:w="7700" w:type="dxa"/>
            <w:tcBorders>
              <w:top w:val="single" w:sz="6" w:space="0" w:color="auto"/>
              <w:left w:val="single" w:sz="6" w:space="0" w:color="auto"/>
              <w:bottom w:val="single" w:sz="6" w:space="0" w:color="auto"/>
              <w:right w:val="single" w:sz="6" w:space="0" w:color="auto"/>
            </w:tcBorders>
            <w:shd w:val="clear" w:color="auto" w:fill="auto"/>
            <w:hideMark/>
          </w:tcPr>
          <w:p w14:paraId="2786E32B"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Refers to the number of dollars that is equal to the earnings before interest and tax of the facility in the first adjusted financial year for the facility.</w:t>
            </w:r>
          </w:p>
        </w:tc>
      </w:tr>
      <w:tr w:rsidR="00676DA1" w:rsidRPr="00102445" w14:paraId="2FA07945"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49D8F981"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Facility </w:t>
            </w:r>
          </w:p>
        </w:tc>
        <w:tc>
          <w:tcPr>
            <w:tcW w:w="7700" w:type="dxa"/>
            <w:tcBorders>
              <w:top w:val="single" w:sz="6" w:space="0" w:color="auto"/>
              <w:left w:val="single" w:sz="6" w:space="0" w:color="auto"/>
              <w:bottom w:val="single" w:sz="6" w:space="0" w:color="auto"/>
              <w:right w:val="single" w:sz="6" w:space="0" w:color="auto"/>
            </w:tcBorders>
            <w:shd w:val="clear" w:color="auto" w:fill="auto"/>
            <w:hideMark/>
          </w:tcPr>
          <w:p w14:paraId="23E8A8CD"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An activity or a series of activities that involve greenhouse gas emissions, the production of energy or the consumption of energy, as defined in section 9 of the NGER Act. </w:t>
            </w:r>
          </w:p>
        </w:tc>
      </w:tr>
      <w:tr w:rsidR="00676DA1" w:rsidRPr="00102445" w14:paraId="7E5895BD"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tcPr>
          <w:p w14:paraId="3A5919C5"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Mt</w:t>
            </w:r>
          </w:p>
        </w:tc>
        <w:tc>
          <w:tcPr>
            <w:tcW w:w="7700" w:type="dxa"/>
            <w:tcBorders>
              <w:top w:val="single" w:sz="6" w:space="0" w:color="auto"/>
              <w:left w:val="single" w:sz="6" w:space="0" w:color="auto"/>
              <w:bottom w:val="single" w:sz="6" w:space="0" w:color="auto"/>
              <w:right w:val="single" w:sz="6" w:space="0" w:color="auto"/>
            </w:tcBorders>
            <w:shd w:val="clear" w:color="auto" w:fill="auto"/>
          </w:tcPr>
          <w:p w14:paraId="073E5BE8"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Million tonnes</w:t>
            </w:r>
          </w:p>
        </w:tc>
      </w:tr>
      <w:tr w:rsidR="00676DA1" w:rsidRPr="00102445" w14:paraId="34B9D5AF"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27757849"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NDC </w:t>
            </w:r>
          </w:p>
        </w:tc>
        <w:tc>
          <w:tcPr>
            <w:tcW w:w="7700" w:type="dxa"/>
            <w:tcBorders>
              <w:top w:val="single" w:sz="6" w:space="0" w:color="auto"/>
              <w:left w:val="single" w:sz="6" w:space="0" w:color="auto"/>
              <w:bottom w:val="single" w:sz="6" w:space="0" w:color="auto"/>
              <w:right w:val="single" w:sz="6" w:space="0" w:color="auto"/>
            </w:tcBorders>
            <w:shd w:val="clear" w:color="auto" w:fill="auto"/>
            <w:hideMark/>
          </w:tcPr>
          <w:p w14:paraId="60944F7A"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Nationally Determined Contribution under the Paris Agreement</w:t>
            </w:r>
          </w:p>
        </w:tc>
      </w:tr>
      <w:tr w:rsidR="00676DA1" w:rsidRPr="00102445" w14:paraId="40379ED2"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tcPr>
          <w:p w14:paraId="584776A9"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Net covered emissions</w:t>
            </w:r>
          </w:p>
        </w:tc>
        <w:tc>
          <w:tcPr>
            <w:tcW w:w="7700" w:type="dxa"/>
            <w:tcBorders>
              <w:top w:val="single" w:sz="6" w:space="0" w:color="auto"/>
              <w:left w:val="single" w:sz="6" w:space="0" w:color="auto"/>
              <w:bottom w:val="single" w:sz="6" w:space="0" w:color="auto"/>
              <w:right w:val="single" w:sz="6" w:space="0" w:color="auto"/>
            </w:tcBorders>
            <w:shd w:val="clear" w:color="auto" w:fill="auto"/>
          </w:tcPr>
          <w:p w14:paraId="48A0144D" w14:textId="77777777" w:rsidR="00676DA1" w:rsidRPr="00102445" w:rsidRDefault="00676DA1" w:rsidP="004F1695">
            <w:pPr>
              <w:spacing w:line="240" w:lineRule="auto"/>
              <w:ind w:right="90"/>
              <w:textAlignment w:val="baseline"/>
              <w:rPr>
                <w:rFonts w:asciiTheme="minorHAnsi" w:eastAsia="Times New Roman" w:hAnsiTheme="minorHAnsi" w:cstheme="minorHAnsi"/>
                <w:iCs/>
                <w:sz w:val="22"/>
                <w:lang w:eastAsia="en-AU"/>
              </w:rPr>
            </w:pPr>
            <w:r w:rsidRPr="00102445">
              <w:rPr>
                <w:rFonts w:asciiTheme="minorHAnsi" w:eastAsia="Times New Roman" w:hAnsiTheme="minorHAnsi" w:cstheme="minorHAnsi"/>
                <w:iCs/>
                <w:sz w:val="22"/>
                <w:lang w:eastAsia="en-AU"/>
              </w:rPr>
              <w:t xml:space="preserve">Means the total amount, in tonnes of carbon dioxide equivalence, of covered emissions for a particular designated large facility adjusted for the total amount of ACCUs or SMCs surrendered. The NGER Act established the Safeguard Mechanism to ensure </w:t>
            </w:r>
            <w:r w:rsidRPr="00102445">
              <w:rPr>
                <w:rFonts w:asciiTheme="minorHAnsi" w:hAnsiTheme="minorHAnsi" w:cstheme="minorHAnsi"/>
                <w:sz w:val="22"/>
              </w:rPr>
              <w:t>that net covered emissions of greenhouse gases from the operation of a designated large facility do not exceed the baseline applicable to the facility.</w:t>
            </w:r>
          </w:p>
        </w:tc>
      </w:tr>
      <w:tr w:rsidR="00676DA1" w:rsidRPr="00102445" w14:paraId="17086A55"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tcPr>
          <w:p w14:paraId="30D4B7C1"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lastRenderedPageBreak/>
              <w:t>Net emissions budget</w:t>
            </w:r>
          </w:p>
        </w:tc>
        <w:tc>
          <w:tcPr>
            <w:tcW w:w="7700" w:type="dxa"/>
            <w:tcBorders>
              <w:top w:val="single" w:sz="6" w:space="0" w:color="auto"/>
              <w:left w:val="single" w:sz="6" w:space="0" w:color="auto"/>
              <w:bottom w:val="single" w:sz="6" w:space="0" w:color="auto"/>
              <w:right w:val="single" w:sz="6" w:space="0" w:color="auto"/>
            </w:tcBorders>
            <w:shd w:val="clear" w:color="auto" w:fill="auto"/>
          </w:tcPr>
          <w:p w14:paraId="6B9A3C4E" w14:textId="77777777" w:rsidR="00676DA1" w:rsidRPr="00102445" w:rsidRDefault="00676DA1" w:rsidP="004F1695">
            <w:pPr>
              <w:spacing w:line="240" w:lineRule="auto"/>
              <w:ind w:right="90"/>
              <w:textAlignment w:val="baseline"/>
              <w:rPr>
                <w:rFonts w:asciiTheme="minorHAnsi" w:eastAsia="Times New Roman" w:hAnsiTheme="minorHAnsi" w:cstheme="minorHAnsi"/>
                <w:iCs/>
                <w:sz w:val="22"/>
                <w:lang w:eastAsia="en-AU"/>
              </w:rPr>
            </w:pPr>
            <w:r w:rsidRPr="00102445">
              <w:rPr>
                <w:rFonts w:asciiTheme="minorHAnsi" w:hAnsiTheme="minorHAnsi" w:cstheme="minorHAnsi"/>
                <w:sz w:val="22"/>
              </w:rPr>
              <w:t>The 1,233 million tonne limit on net safeguard emissions for all of the financial years between 1 July 2020 and 30 June 2030 referred to in safeguard outcome (b).</w:t>
            </w:r>
          </w:p>
        </w:tc>
      </w:tr>
      <w:tr w:rsidR="00676DA1" w:rsidRPr="00102445" w14:paraId="6267167F"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tcPr>
          <w:p w14:paraId="38E40B3B"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Net emissions number</w:t>
            </w:r>
          </w:p>
        </w:tc>
        <w:tc>
          <w:tcPr>
            <w:tcW w:w="7700" w:type="dxa"/>
            <w:tcBorders>
              <w:top w:val="single" w:sz="6" w:space="0" w:color="auto"/>
              <w:left w:val="single" w:sz="6" w:space="0" w:color="auto"/>
              <w:bottom w:val="single" w:sz="6" w:space="0" w:color="auto"/>
              <w:right w:val="single" w:sz="6" w:space="0" w:color="auto"/>
            </w:tcBorders>
            <w:shd w:val="clear" w:color="auto" w:fill="auto"/>
          </w:tcPr>
          <w:p w14:paraId="1F8FB3CC" w14:textId="77777777" w:rsidR="00676DA1" w:rsidRPr="00102445" w:rsidRDefault="00676DA1" w:rsidP="004F1695">
            <w:pPr>
              <w:spacing w:line="240" w:lineRule="auto"/>
              <w:ind w:right="90"/>
              <w:textAlignment w:val="baseline"/>
              <w:rPr>
                <w:rFonts w:asciiTheme="minorHAnsi" w:hAnsiTheme="minorHAnsi" w:cstheme="minorHAnsi"/>
                <w:sz w:val="22"/>
              </w:rPr>
            </w:pPr>
            <w:r w:rsidRPr="00102445">
              <w:rPr>
                <w:rFonts w:asciiTheme="minorHAnsi" w:hAnsiTheme="minorHAnsi" w:cstheme="minorHAnsi"/>
                <w:sz w:val="22"/>
              </w:rPr>
              <w:t>Has the meaning given by section 22XD of the NGER Act, i.e., the number of tonnes of carbon dioxide equivalence of the total amount of covered emissions of greenhouse gases from the operation of the facility during the period:</w:t>
            </w:r>
          </w:p>
          <w:p w14:paraId="66F15905" w14:textId="77777777" w:rsidR="00676DA1" w:rsidRPr="00102445" w:rsidRDefault="00676DA1" w:rsidP="00676DA1">
            <w:pPr>
              <w:pStyle w:val="ListParagraph"/>
              <w:numPr>
                <w:ilvl w:val="0"/>
                <w:numId w:val="59"/>
              </w:numPr>
              <w:spacing w:before="0" w:line="240" w:lineRule="auto"/>
              <w:ind w:right="90"/>
              <w:contextualSpacing w:val="0"/>
              <w:textAlignment w:val="baseline"/>
              <w:rPr>
                <w:rFonts w:asciiTheme="minorHAnsi" w:hAnsiTheme="minorHAnsi" w:cstheme="minorHAnsi"/>
                <w:sz w:val="22"/>
              </w:rPr>
            </w:pPr>
            <w:r w:rsidRPr="00102445">
              <w:rPr>
                <w:rFonts w:asciiTheme="minorHAnsi" w:hAnsiTheme="minorHAnsi" w:cstheme="minorHAnsi"/>
                <w:sz w:val="22"/>
              </w:rPr>
              <w:t>reduced by surrendered prescribed carbon units; and</w:t>
            </w:r>
          </w:p>
          <w:p w14:paraId="53F112B2" w14:textId="77777777" w:rsidR="00676DA1" w:rsidRPr="00102445" w:rsidRDefault="00676DA1" w:rsidP="00676DA1">
            <w:pPr>
              <w:pStyle w:val="ListParagraph"/>
              <w:numPr>
                <w:ilvl w:val="0"/>
                <w:numId w:val="59"/>
              </w:numPr>
              <w:spacing w:before="0" w:line="240" w:lineRule="auto"/>
              <w:ind w:right="90"/>
              <w:contextualSpacing w:val="0"/>
              <w:textAlignment w:val="baseline"/>
              <w:rPr>
                <w:rFonts w:asciiTheme="minorHAnsi" w:hAnsiTheme="minorHAnsi" w:cstheme="minorHAnsi"/>
                <w:sz w:val="22"/>
              </w:rPr>
            </w:pPr>
            <w:r w:rsidRPr="00102445">
              <w:rPr>
                <w:rFonts w:asciiTheme="minorHAnsi" w:hAnsiTheme="minorHAnsi" w:cstheme="minorHAnsi"/>
                <w:sz w:val="22"/>
              </w:rPr>
              <w:t>increased by Australian carbon credit units that were issued in relation to the facility.</w:t>
            </w:r>
          </w:p>
        </w:tc>
      </w:tr>
      <w:tr w:rsidR="00676DA1" w:rsidRPr="00102445" w14:paraId="75416657"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tcPr>
          <w:p w14:paraId="27D6EC31"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Net safeguard emissions</w:t>
            </w:r>
          </w:p>
        </w:tc>
        <w:tc>
          <w:tcPr>
            <w:tcW w:w="7700" w:type="dxa"/>
            <w:tcBorders>
              <w:top w:val="single" w:sz="6" w:space="0" w:color="auto"/>
              <w:left w:val="single" w:sz="6" w:space="0" w:color="auto"/>
              <w:bottom w:val="single" w:sz="6" w:space="0" w:color="auto"/>
              <w:right w:val="single" w:sz="6" w:space="0" w:color="auto"/>
            </w:tcBorders>
            <w:shd w:val="clear" w:color="auto" w:fill="auto"/>
          </w:tcPr>
          <w:p w14:paraId="7B2FD669" w14:textId="77777777" w:rsidR="00676DA1" w:rsidRPr="00102445" w:rsidRDefault="00676DA1" w:rsidP="004F1695">
            <w:pPr>
              <w:spacing w:line="240" w:lineRule="auto"/>
              <w:ind w:right="90"/>
              <w:textAlignment w:val="baseline"/>
              <w:rPr>
                <w:rFonts w:asciiTheme="minorHAnsi" w:eastAsia="Times New Roman" w:hAnsiTheme="minorHAnsi" w:cstheme="minorHAnsi"/>
                <w:iCs/>
                <w:sz w:val="22"/>
                <w:lang w:eastAsia="en-AU"/>
              </w:rPr>
            </w:pPr>
            <w:r w:rsidRPr="00102445">
              <w:rPr>
                <w:rFonts w:asciiTheme="minorHAnsi" w:eastAsia="Times New Roman" w:hAnsiTheme="minorHAnsi" w:cstheme="minorHAnsi"/>
                <w:iCs/>
                <w:sz w:val="22"/>
                <w:lang w:eastAsia="en-AU"/>
              </w:rPr>
              <w:t>For a financial year, means the total amount, in tonnes of carbon dioxide equivalence, of net covered emissions from the operation, during the financial year, of all designated large facilities in the financial year.</w:t>
            </w:r>
          </w:p>
        </w:tc>
      </w:tr>
      <w:tr w:rsidR="00676DA1" w:rsidRPr="00102445" w14:paraId="5AD06112"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68FFFC88"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NGER Act  </w:t>
            </w:r>
          </w:p>
        </w:tc>
        <w:tc>
          <w:tcPr>
            <w:tcW w:w="7700" w:type="dxa"/>
            <w:tcBorders>
              <w:top w:val="single" w:sz="6" w:space="0" w:color="auto"/>
              <w:left w:val="single" w:sz="6" w:space="0" w:color="auto"/>
              <w:bottom w:val="single" w:sz="6" w:space="0" w:color="auto"/>
              <w:right w:val="single" w:sz="6" w:space="0" w:color="auto"/>
            </w:tcBorders>
            <w:shd w:val="clear" w:color="auto" w:fill="auto"/>
            <w:hideMark/>
          </w:tcPr>
          <w:p w14:paraId="3F87E105"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i/>
                <w:sz w:val="22"/>
                <w:lang w:eastAsia="en-AU"/>
              </w:rPr>
              <w:t>National Greenhouse and Energy Reporting Act 2007</w:t>
            </w:r>
            <w:r w:rsidRPr="00102445">
              <w:rPr>
                <w:rFonts w:asciiTheme="minorHAnsi" w:eastAsia="Times New Roman" w:hAnsiTheme="minorHAnsi" w:cstheme="minorHAnsi"/>
                <w:sz w:val="22"/>
                <w:lang w:eastAsia="en-AU"/>
              </w:rPr>
              <w:t>  </w:t>
            </w:r>
          </w:p>
        </w:tc>
      </w:tr>
      <w:tr w:rsidR="00676DA1" w:rsidRPr="00102445" w14:paraId="76D9B910"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tcPr>
          <w:p w14:paraId="0728CABB"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Prescribed carbon unit</w:t>
            </w:r>
          </w:p>
        </w:tc>
        <w:tc>
          <w:tcPr>
            <w:tcW w:w="7700" w:type="dxa"/>
            <w:tcBorders>
              <w:top w:val="single" w:sz="6" w:space="0" w:color="auto"/>
              <w:left w:val="single" w:sz="6" w:space="0" w:color="auto"/>
              <w:bottom w:val="single" w:sz="6" w:space="0" w:color="auto"/>
              <w:right w:val="single" w:sz="6" w:space="0" w:color="auto"/>
            </w:tcBorders>
            <w:shd w:val="clear" w:color="auto" w:fill="auto"/>
          </w:tcPr>
          <w:p w14:paraId="42F61D95"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Has the meaning given by section 22XM of the NGER Act, namely ACCUs and SMCs.</w:t>
            </w:r>
          </w:p>
        </w:tc>
      </w:tr>
      <w:tr w:rsidR="00676DA1" w:rsidRPr="00102445" w14:paraId="0A2613DE"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199D9626"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Regulator  </w:t>
            </w:r>
          </w:p>
        </w:tc>
        <w:tc>
          <w:tcPr>
            <w:tcW w:w="7700" w:type="dxa"/>
            <w:tcBorders>
              <w:top w:val="single" w:sz="6" w:space="0" w:color="auto"/>
              <w:left w:val="single" w:sz="6" w:space="0" w:color="auto"/>
              <w:bottom w:val="single" w:sz="6" w:space="0" w:color="auto"/>
              <w:right w:val="single" w:sz="6" w:space="0" w:color="auto"/>
            </w:tcBorders>
            <w:shd w:val="clear" w:color="auto" w:fill="auto"/>
            <w:hideMark/>
          </w:tcPr>
          <w:p w14:paraId="4D95E2AE"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Clean Energy Regulator</w:t>
            </w:r>
          </w:p>
        </w:tc>
      </w:tr>
      <w:tr w:rsidR="00676DA1" w:rsidRPr="00102445" w14:paraId="5E1E1987"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tcPr>
          <w:p w14:paraId="71D4D947"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Responsible emitter</w:t>
            </w:r>
          </w:p>
        </w:tc>
        <w:tc>
          <w:tcPr>
            <w:tcW w:w="7700" w:type="dxa"/>
            <w:tcBorders>
              <w:top w:val="single" w:sz="6" w:space="0" w:color="auto"/>
              <w:left w:val="single" w:sz="6" w:space="0" w:color="auto"/>
              <w:bottom w:val="single" w:sz="6" w:space="0" w:color="auto"/>
              <w:right w:val="single" w:sz="6" w:space="0" w:color="auto"/>
            </w:tcBorders>
            <w:shd w:val="clear" w:color="auto" w:fill="auto"/>
          </w:tcPr>
          <w:p w14:paraId="0DA06A63"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The person with operational control of a facility (see further section 22XH of the NGER Act).</w:t>
            </w:r>
          </w:p>
        </w:tc>
      </w:tr>
      <w:tr w:rsidR="00676DA1" w:rsidRPr="00102445" w14:paraId="4BE1A2ED"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43C62769"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Safeguard Mechanism </w:t>
            </w:r>
          </w:p>
        </w:tc>
        <w:tc>
          <w:tcPr>
            <w:tcW w:w="7700" w:type="dxa"/>
            <w:tcBorders>
              <w:top w:val="single" w:sz="6" w:space="0" w:color="auto"/>
              <w:left w:val="single" w:sz="6" w:space="0" w:color="auto"/>
              <w:bottom w:val="single" w:sz="6" w:space="0" w:color="auto"/>
              <w:right w:val="single" w:sz="6" w:space="0" w:color="auto"/>
            </w:tcBorders>
            <w:shd w:val="clear" w:color="auto" w:fill="auto"/>
            <w:hideMark/>
          </w:tcPr>
          <w:p w14:paraId="23E2B90B"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A mechanism to ensure the net covered emissions of greenhouse gases from the operation of a designated large facility do not exceed the baseline applicable to the facility and ensure that aggregate net covered emissions from the operation of designated large facilities decline. The mechanism is established under Part 3H of the NGER Act. </w:t>
            </w:r>
          </w:p>
        </w:tc>
      </w:tr>
      <w:tr w:rsidR="00676DA1" w:rsidRPr="00102445" w14:paraId="27001352"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2A344653"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Safeguard Mechanism Act </w:t>
            </w:r>
          </w:p>
        </w:tc>
        <w:tc>
          <w:tcPr>
            <w:tcW w:w="7700" w:type="dxa"/>
            <w:tcBorders>
              <w:top w:val="single" w:sz="6" w:space="0" w:color="auto"/>
              <w:left w:val="single" w:sz="6" w:space="0" w:color="auto"/>
              <w:bottom w:val="single" w:sz="6" w:space="0" w:color="auto"/>
              <w:right w:val="single" w:sz="6" w:space="0" w:color="auto"/>
            </w:tcBorders>
            <w:shd w:val="clear" w:color="auto" w:fill="auto"/>
            <w:hideMark/>
          </w:tcPr>
          <w:p w14:paraId="327AAB08"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i/>
                <w:sz w:val="22"/>
                <w:lang w:eastAsia="en-AU"/>
              </w:rPr>
              <w:t>Safeguard Mechanism (Crediting) Amendment Act 2023</w:t>
            </w:r>
            <w:r w:rsidRPr="00102445">
              <w:rPr>
                <w:rFonts w:asciiTheme="minorHAnsi" w:eastAsia="Times New Roman" w:hAnsiTheme="minorHAnsi" w:cstheme="minorHAnsi"/>
                <w:sz w:val="22"/>
                <w:lang w:eastAsia="en-AU"/>
              </w:rPr>
              <w:t> </w:t>
            </w:r>
          </w:p>
        </w:tc>
      </w:tr>
      <w:tr w:rsidR="00676DA1" w:rsidRPr="00102445" w14:paraId="0A9A2C3B"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48F1FA38"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Safeguard Rules </w:t>
            </w:r>
          </w:p>
        </w:tc>
        <w:tc>
          <w:tcPr>
            <w:tcW w:w="7700" w:type="dxa"/>
            <w:tcBorders>
              <w:top w:val="single" w:sz="6" w:space="0" w:color="auto"/>
              <w:left w:val="single" w:sz="6" w:space="0" w:color="auto"/>
              <w:bottom w:val="single" w:sz="6" w:space="0" w:color="auto"/>
              <w:right w:val="single" w:sz="6" w:space="0" w:color="auto"/>
            </w:tcBorders>
            <w:shd w:val="clear" w:color="auto" w:fill="auto"/>
            <w:hideMark/>
          </w:tcPr>
          <w:p w14:paraId="0619107D"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hAnsiTheme="minorHAnsi" w:cstheme="minorHAnsi"/>
                <w:i/>
                <w:sz w:val="22"/>
              </w:rPr>
              <w:t>National Greenhouse and Energy Reporting (Safeguard Mechanism) Rule 2015</w:t>
            </w:r>
          </w:p>
        </w:tc>
      </w:tr>
      <w:tr w:rsidR="00676DA1" w:rsidRPr="00102445" w14:paraId="5030CB8B"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tcPr>
          <w:p w14:paraId="579F9C56"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Safeguard emissions</w:t>
            </w:r>
          </w:p>
        </w:tc>
        <w:tc>
          <w:tcPr>
            <w:tcW w:w="7700" w:type="dxa"/>
            <w:tcBorders>
              <w:top w:val="single" w:sz="6" w:space="0" w:color="auto"/>
              <w:left w:val="single" w:sz="6" w:space="0" w:color="auto"/>
              <w:bottom w:val="single" w:sz="6" w:space="0" w:color="auto"/>
              <w:right w:val="single" w:sz="6" w:space="0" w:color="auto"/>
            </w:tcBorders>
            <w:shd w:val="clear" w:color="auto" w:fill="auto"/>
          </w:tcPr>
          <w:p w14:paraId="213D8555"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For a financial year, means the total amount in tonnes of carbon dioxide equivalence, of covered emissions from the operation, during the financial year, of all designated large facilities for the financial year.</w:t>
            </w:r>
          </w:p>
        </w:tc>
      </w:tr>
      <w:tr w:rsidR="00676DA1" w:rsidRPr="00102445" w14:paraId="60BBB607"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7AFD8024"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Scope 1 emissions  </w:t>
            </w:r>
          </w:p>
        </w:tc>
        <w:tc>
          <w:tcPr>
            <w:tcW w:w="7700" w:type="dxa"/>
            <w:tcBorders>
              <w:top w:val="single" w:sz="6" w:space="0" w:color="auto"/>
              <w:left w:val="single" w:sz="6" w:space="0" w:color="auto"/>
              <w:bottom w:val="single" w:sz="6" w:space="0" w:color="auto"/>
              <w:right w:val="single" w:sz="6" w:space="0" w:color="auto"/>
            </w:tcBorders>
            <w:shd w:val="clear" w:color="auto" w:fill="auto"/>
            <w:hideMark/>
          </w:tcPr>
          <w:p w14:paraId="6A29CD73"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Emissions released to the atmosphere as a direct result of an activity, or series of activities at a facility level (sometimes referred to as direct emissions). </w:t>
            </w:r>
          </w:p>
        </w:tc>
      </w:tr>
      <w:tr w:rsidR="00676DA1" w:rsidRPr="00102445" w14:paraId="7C493F56"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1C43110C"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SMCs  </w:t>
            </w:r>
          </w:p>
        </w:tc>
        <w:tc>
          <w:tcPr>
            <w:tcW w:w="7700" w:type="dxa"/>
            <w:tcBorders>
              <w:top w:val="single" w:sz="6" w:space="0" w:color="auto"/>
              <w:left w:val="single" w:sz="6" w:space="0" w:color="auto"/>
              <w:bottom w:val="single" w:sz="6" w:space="0" w:color="auto"/>
              <w:right w:val="single" w:sz="6" w:space="0" w:color="auto"/>
            </w:tcBorders>
            <w:shd w:val="clear" w:color="auto" w:fill="auto"/>
            <w:hideMark/>
          </w:tcPr>
          <w:p w14:paraId="53F1BF6B"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Safeguard Mechanism Credit units, which are units issued under section 22XNA of the NGER Act</w:t>
            </w:r>
          </w:p>
        </w:tc>
      </w:tr>
      <w:tr w:rsidR="00676DA1" w:rsidRPr="00102445" w14:paraId="66C006CA"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210FD3C9"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TEBA facilities</w:t>
            </w:r>
          </w:p>
        </w:tc>
        <w:tc>
          <w:tcPr>
            <w:tcW w:w="7700" w:type="dxa"/>
            <w:tcBorders>
              <w:top w:val="single" w:sz="6" w:space="0" w:color="auto"/>
              <w:left w:val="single" w:sz="6" w:space="0" w:color="auto"/>
              <w:bottom w:val="single" w:sz="6" w:space="0" w:color="auto"/>
              <w:right w:val="single" w:sz="6" w:space="0" w:color="auto"/>
            </w:tcBorders>
            <w:shd w:val="clear" w:color="auto" w:fill="auto"/>
            <w:hideMark/>
          </w:tcPr>
          <w:p w14:paraId="773C7E23"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t xml:space="preserve">Trade-exposed baseline-adjusted facilities </w:t>
            </w:r>
          </w:p>
        </w:tc>
      </w:tr>
      <w:tr w:rsidR="00676DA1" w:rsidRPr="00102445" w14:paraId="3FE9C169" w14:textId="77777777" w:rsidTr="004F1695">
        <w:trPr>
          <w:trHeight w:val="300"/>
        </w:trPr>
        <w:tc>
          <w:tcPr>
            <w:tcW w:w="1354" w:type="dxa"/>
            <w:tcBorders>
              <w:top w:val="single" w:sz="6" w:space="0" w:color="auto"/>
              <w:left w:val="single" w:sz="6" w:space="0" w:color="auto"/>
              <w:bottom w:val="single" w:sz="6" w:space="0" w:color="auto"/>
              <w:right w:val="single" w:sz="6" w:space="0" w:color="auto"/>
            </w:tcBorders>
            <w:shd w:val="clear" w:color="auto" w:fill="auto"/>
          </w:tcPr>
          <w:p w14:paraId="6FD159CF"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eastAsia="Times New Roman" w:hAnsiTheme="minorHAnsi" w:cstheme="minorHAnsi"/>
                <w:sz w:val="22"/>
                <w:lang w:eastAsia="en-AU"/>
              </w:rPr>
              <w:lastRenderedPageBreak/>
              <w:t>Trade exposed facilities</w:t>
            </w:r>
          </w:p>
        </w:tc>
        <w:tc>
          <w:tcPr>
            <w:tcW w:w="7700" w:type="dxa"/>
            <w:tcBorders>
              <w:top w:val="single" w:sz="6" w:space="0" w:color="auto"/>
              <w:left w:val="single" w:sz="6" w:space="0" w:color="auto"/>
              <w:bottom w:val="single" w:sz="6" w:space="0" w:color="auto"/>
              <w:right w:val="single" w:sz="6" w:space="0" w:color="auto"/>
            </w:tcBorders>
            <w:shd w:val="clear" w:color="auto" w:fill="auto"/>
          </w:tcPr>
          <w:p w14:paraId="4D6F3FA7" w14:textId="77777777" w:rsidR="00676DA1" w:rsidRPr="00102445" w:rsidRDefault="00676DA1" w:rsidP="004F1695">
            <w:pPr>
              <w:spacing w:line="240" w:lineRule="auto"/>
              <w:ind w:right="90"/>
              <w:textAlignment w:val="baseline"/>
              <w:rPr>
                <w:rFonts w:asciiTheme="minorHAnsi" w:eastAsia="Times New Roman" w:hAnsiTheme="minorHAnsi" w:cstheme="minorHAnsi"/>
                <w:sz w:val="22"/>
                <w:lang w:eastAsia="en-AU"/>
              </w:rPr>
            </w:pPr>
            <w:r w:rsidRPr="00102445">
              <w:rPr>
                <w:rFonts w:asciiTheme="minorHAnsi" w:hAnsiTheme="minorHAnsi" w:cstheme="minorHAnsi"/>
                <w:sz w:val="22"/>
              </w:rPr>
              <w:t xml:space="preserve">Designated large facilities </w:t>
            </w:r>
            <w:r w:rsidRPr="00102445">
              <w:rPr>
                <w:rFonts w:asciiTheme="minorHAnsi" w:eastAsia="Times New Roman" w:hAnsiTheme="minorHAnsi" w:cstheme="minorHAnsi"/>
                <w:sz w:val="22"/>
                <w:lang w:eastAsia="en-AU"/>
              </w:rPr>
              <w:t xml:space="preserve">for </w:t>
            </w:r>
            <w:r w:rsidRPr="00102445">
              <w:rPr>
                <w:rFonts w:asciiTheme="minorHAnsi" w:hAnsiTheme="minorHAnsi" w:cstheme="minorHAnsi"/>
                <w:sz w:val="22"/>
              </w:rPr>
              <w:t xml:space="preserve">which </w:t>
            </w:r>
            <w:r w:rsidRPr="00102445">
              <w:rPr>
                <w:rFonts w:asciiTheme="minorHAnsi" w:eastAsia="Times New Roman" w:hAnsiTheme="minorHAnsi" w:cstheme="minorHAnsi"/>
                <w:sz w:val="22"/>
                <w:lang w:eastAsia="en-AU"/>
              </w:rPr>
              <w:t>the primary</w:t>
            </w:r>
            <w:r w:rsidRPr="00102445">
              <w:rPr>
                <w:rFonts w:asciiTheme="minorHAnsi" w:hAnsiTheme="minorHAnsi" w:cstheme="minorHAnsi"/>
                <w:sz w:val="22"/>
              </w:rPr>
              <w:t xml:space="preserve"> production </w:t>
            </w:r>
            <w:r w:rsidRPr="00102445">
              <w:rPr>
                <w:rFonts w:asciiTheme="minorHAnsi" w:eastAsia="Times New Roman" w:hAnsiTheme="minorHAnsi" w:cstheme="minorHAnsi"/>
                <w:sz w:val="22"/>
                <w:lang w:eastAsia="en-AU"/>
              </w:rPr>
              <w:t xml:space="preserve">variable </w:t>
            </w:r>
            <w:r w:rsidRPr="00102445">
              <w:rPr>
                <w:rFonts w:asciiTheme="minorHAnsi" w:hAnsiTheme="minorHAnsi" w:cstheme="minorHAnsi"/>
                <w:sz w:val="22"/>
              </w:rPr>
              <w:t>is listed in Schedule 2 of the Safeguard Rules, as amended</w:t>
            </w:r>
            <w:r w:rsidRPr="00102445">
              <w:rPr>
                <w:rFonts w:asciiTheme="minorHAnsi" w:eastAsia="Times New Roman" w:hAnsiTheme="minorHAnsi" w:cstheme="minorHAnsi"/>
                <w:sz w:val="22"/>
                <w:lang w:eastAsia="en-AU"/>
              </w:rPr>
              <w:t>. T</w:t>
            </w:r>
            <w:r w:rsidRPr="00102445">
              <w:rPr>
                <w:rFonts w:asciiTheme="minorHAnsi" w:hAnsiTheme="minorHAnsi" w:cstheme="minorHAnsi"/>
                <w:sz w:val="22"/>
              </w:rPr>
              <w:t>he primary production variable for a facility is the production variable that is most significant for its operation, having primary regard to the share of revenue and covered emissions attributable to that production variable.</w:t>
            </w:r>
          </w:p>
        </w:tc>
      </w:tr>
    </w:tbl>
    <w:p w14:paraId="05ADA786" w14:textId="77777777" w:rsidR="00676DA1" w:rsidRPr="00102445" w:rsidRDefault="00676DA1" w:rsidP="00676DA1">
      <w:pPr>
        <w:pStyle w:val="Heading2"/>
      </w:pPr>
      <w:r w:rsidRPr="00102445">
        <w:br w:type="page"/>
      </w:r>
    </w:p>
    <w:p w14:paraId="72007301" w14:textId="77777777" w:rsidR="00676DA1" w:rsidRPr="00102445" w:rsidRDefault="00676DA1" w:rsidP="00C1715D">
      <w:pPr>
        <w:pStyle w:val="Heading2"/>
        <w:keepNext w:val="0"/>
        <w:keepLines w:val="0"/>
        <w:spacing w:before="120" w:after="240" w:line="240" w:lineRule="auto"/>
      </w:pPr>
      <w:r w:rsidRPr="00102445">
        <w:lastRenderedPageBreak/>
        <w:t xml:space="preserve">Key </w:t>
      </w:r>
      <w:r w:rsidRPr="00102445">
        <w:rPr>
          <w:rFonts w:ascii="Calibri" w:eastAsiaTheme="minorEastAsia" w:hAnsi="Calibri" w:cstheme="minorBidi"/>
          <w:bCs/>
          <w:color w:val="auto"/>
          <w:szCs w:val="28"/>
          <w:lang w:eastAsia="ja-JP"/>
        </w:rPr>
        <w:t>legislative</w:t>
      </w:r>
      <w:r w:rsidRPr="00102445">
        <w:t xml:space="preserve"> provisions</w:t>
      </w:r>
    </w:p>
    <w:p w14:paraId="1648D777" w14:textId="77777777" w:rsidR="00676DA1" w:rsidRPr="00102445" w:rsidRDefault="00676DA1" w:rsidP="00676DA1">
      <w:pPr>
        <w:pStyle w:val="ListNumberDotted"/>
        <w:numPr>
          <w:ilvl w:val="0"/>
          <w:numId w:val="56"/>
        </w:numPr>
        <w:ind w:left="360"/>
      </w:pPr>
      <w:r w:rsidRPr="00102445">
        <w:t>Section 22XS of the NGER Act relevantly provides:</w:t>
      </w:r>
    </w:p>
    <w:p w14:paraId="037EAB81" w14:textId="77777777" w:rsidR="00676DA1" w:rsidRPr="00102445" w:rsidRDefault="00676DA1" w:rsidP="00676DA1">
      <w:pPr>
        <w:ind w:left="425" w:hanging="425"/>
      </w:pPr>
      <w:r w:rsidRPr="00102445">
        <w:t xml:space="preserve">(1A) </w:t>
      </w:r>
      <w:r w:rsidRPr="00102445">
        <w:tab/>
        <w:t>The Minister must not make safeguard rules unless the Minister is satisfied that those rules:</w:t>
      </w:r>
    </w:p>
    <w:p w14:paraId="2D861AFA" w14:textId="77777777" w:rsidR="00676DA1" w:rsidRPr="00102445" w:rsidRDefault="00676DA1" w:rsidP="00676DA1">
      <w:pPr>
        <w:pStyle w:val="subsection"/>
        <w:numPr>
          <w:ilvl w:val="0"/>
          <w:numId w:val="57"/>
        </w:numPr>
        <w:spacing w:after="200"/>
        <w:rPr>
          <w:rFonts w:asciiTheme="minorHAnsi" w:hAnsiTheme="minorHAnsi"/>
        </w:rPr>
      </w:pPr>
      <w:r w:rsidRPr="00102445">
        <w:rPr>
          <w:rFonts w:asciiTheme="minorHAnsi" w:hAnsiTheme="minorHAnsi"/>
        </w:rPr>
        <w:t xml:space="preserve">are consistent with each of the safeguard outcomes in paragraphs 3(2)(b), (c) and (d); and </w:t>
      </w:r>
    </w:p>
    <w:p w14:paraId="0CC5BB9F" w14:textId="77777777" w:rsidR="00676DA1" w:rsidRPr="00102445" w:rsidRDefault="00676DA1" w:rsidP="00676DA1">
      <w:pPr>
        <w:pStyle w:val="subsection"/>
        <w:numPr>
          <w:ilvl w:val="0"/>
          <w:numId w:val="57"/>
        </w:numPr>
        <w:spacing w:after="200"/>
        <w:rPr>
          <w:rFonts w:asciiTheme="minorHAnsi" w:hAnsiTheme="minorHAnsi"/>
        </w:rPr>
      </w:pPr>
      <w:r w:rsidRPr="00102445">
        <w:rPr>
          <w:rFonts w:asciiTheme="minorHAnsi" w:hAnsiTheme="minorHAnsi"/>
        </w:rPr>
        <w:t>take into account the safeguard outcomes in paragraphs 3(2)(e) and (f).</w:t>
      </w:r>
    </w:p>
    <w:p w14:paraId="18BB6B3A" w14:textId="77777777" w:rsidR="00676DA1" w:rsidRPr="00102445" w:rsidRDefault="00676DA1" w:rsidP="00676DA1">
      <w:r w:rsidRPr="00102445">
        <w:t xml:space="preserve">(1B) If the Minister makes safeguard rules, the Minister must publish on the Department’s website the Minister’s reasons for being satisfied that the safeguard rules: </w:t>
      </w:r>
    </w:p>
    <w:p w14:paraId="690D46D7" w14:textId="77777777" w:rsidR="00676DA1" w:rsidRPr="00102445" w:rsidRDefault="00676DA1" w:rsidP="00676DA1">
      <w:pPr>
        <w:pStyle w:val="subsection"/>
        <w:numPr>
          <w:ilvl w:val="0"/>
          <w:numId w:val="57"/>
        </w:numPr>
        <w:spacing w:after="200"/>
        <w:rPr>
          <w:rFonts w:asciiTheme="minorHAnsi" w:hAnsiTheme="minorHAnsi"/>
        </w:rPr>
      </w:pPr>
      <w:r w:rsidRPr="00102445">
        <w:rPr>
          <w:rFonts w:asciiTheme="minorHAnsi" w:hAnsiTheme="minorHAnsi"/>
        </w:rPr>
        <w:t>are consistent with each of the safeguard outcomes in paragraphs 3(2)(b), (c) and (d); and</w:t>
      </w:r>
    </w:p>
    <w:p w14:paraId="3D639DD7" w14:textId="77777777" w:rsidR="00676DA1" w:rsidRPr="00102445" w:rsidRDefault="00676DA1" w:rsidP="00676DA1">
      <w:pPr>
        <w:pStyle w:val="subsection"/>
        <w:numPr>
          <w:ilvl w:val="0"/>
          <w:numId w:val="57"/>
        </w:numPr>
        <w:spacing w:after="200"/>
        <w:rPr>
          <w:rFonts w:asciiTheme="minorHAnsi" w:hAnsiTheme="minorHAnsi"/>
        </w:rPr>
      </w:pPr>
      <w:r w:rsidRPr="00102445">
        <w:rPr>
          <w:rFonts w:asciiTheme="minorHAnsi" w:hAnsiTheme="minorHAnsi"/>
        </w:rPr>
        <w:t>take into account the safeguard outcomes in paragraphs 3(2)(e) and (f).</w:t>
      </w:r>
    </w:p>
    <w:p w14:paraId="31AB24FC" w14:textId="77777777" w:rsidR="00676DA1" w:rsidRPr="00102445" w:rsidRDefault="00676DA1" w:rsidP="00676DA1">
      <w:pPr>
        <w:pStyle w:val="ListNumberDotted"/>
        <w:numPr>
          <w:ilvl w:val="0"/>
          <w:numId w:val="56"/>
        </w:numPr>
        <w:ind w:left="360"/>
      </w:pPr>
      <w:r w:rsidRPr="00102445">
        <w:t>Section 3(2) of the NGER Act sets out the safeguard outcomes as follows:</w:t>
      </w:r>
    </w:p>
    <w:p w14:paraId="0DB6B642" w14:textId="77777777" w:rsidR="00676DA1" w:rsidRPr="00102445" w:rsidRDefault="00676DA1" w:rsidP="00676DA1">
      <w:pPr>
        <w:pStyle w:val="subsection"/>
        <w:spacing w:after="200"/>
        <w:ind w:left="0" w:firstLine="0"/>
        <w:rPr>
          <w:rFonts w:asciiTheme="minorHAnsi" w:hAnsiTheme="minorHAnsi" w:cstheme="minorHAnsi"/>
        </w:rPr>
      </w:pPr>
      <w:r w:rsidRPr="00102445">
        <w:rPr>
          <w:rFonts w:asciiTheme="minorHAnsi" w:hAnsiTheme="minorHAnsi" w:cstheme="minorHAnsi"/>
        </w:rPr>
        <w:t xml:space="preserve">(2) </w:t>
      </w:r>
      <w:r w:rsidRPr="00102445">
        <w:rPr>
          <w:rFonts w:asciiTheme="minorHAnsi" w:hAnsiTheme="minorHAnsi" w:cstheme="minorHAnsi"/>
        </w:rPr>
        <w:tab/>
        <w:t xml:space="preserve">The second object of this Act is to contribute to the achievement of Australia’s greenhouse gas emissions reduction targets by ensuring that each of the following outcomes (the </w:t>
      </w:r>
      <w:r w:rsidRPr="00102445">
        <w:rPr>
          <w:rFonts w:asciiTheme="minorHAnsi" w:hAnsiTheme="minorHAnsi" w:cstheme="minorHAnsi"/>
          <w:b/>
          <w:i/>
        </w:rPr>
        <w:t>safeguard outcomes</w:t>
      </w:r>
      <w:r w:rsidRPr="00102445">
        <w:rPr>
          <w:rFonts w:asciiTheme="minorHAnsi" w:hAnsiTheme="minorHAnsi" w:cstheme="minorHAnsi"/>
        </w:rPr>
        <w:t>) are achieved:</w:t>
      </w:r>
    </w:p>
    <w:p w14:paraId="357ACC3B" w14:textId="77777777" w:rsidR="00676DA1" w:rsidRPr="00102445" w:rsidRDefault="00676DA1" w:rsidP="00676DA1">
      <w:pPr>
        <w:pStyle w:val="subsection"/>
        <w:numPr>
          <w:ilvl w:val="0"/>
          <w:numId w:val="58"/>
        </w:numPr>
        <w:spacing w:after="200"/>
        <w:rPr>
          <w:rFonts w:asciiTheme="minorHAnsi" w:hAnsiTheme="minorHAnsi" w:cstheme="minorBidi"/>
        </w:rPr>
      </w:pPr>
      <w:r w:rsidRPr="00102445">
        <w:rPr>
          <w:rFonts w:asciiTheme="minorHAnsi" w:hAnsiTheme="minorHAnsi" w:cstheme="minorBidi"/>
        </w:rPr>
        <w:t>net covered emissions of greenhouse gases from the operation of a designated large facility do not exceed the baseline applicable to the facility;</w:t>
      </w:r>
    </w:p>
    <w:p w14:paraId="42F9CD7F" w14:textId="77777777" w:rsidR="00676DA1" w:rsidRPr="00102445" w:rsidRDefault="00676DA1" w:rsidP="00676DA1">
      <w:pPr>
        <w:pStyle w:val="subsection"/>
        <w:numPr>
          <w:ilvl w:val="0"/>
          <w:numId w:val="58"/>
        </w:numPr>
        <w:spacing w:after="200"/>
        <w:rPr>
          <w:rFonts w:asciiTheme="minorHAnsi" w:hAnsiTheme="minorHAnsi" w:cstheme="minorHAnsi"/>
        </w:rPr>
      </w:pPr>
      <w:r w:rsidRPr="00102445">
        <w:rPr>
          <w:rFonts w:asciiTheme="minorHAnsi" w:hAnsiTheme="minorHAnsi" w:cstheme="minorHAnsi"/>
        </w:rPr>
        <w:t>total net safeguard emissions for all of the financial years between 1 July 2020 and 30 June 2030 do not exceed a total of 1,233 million tonnes of carbon dioxide equivalence;</w:t>
      </w:r>
    </w:p>
    <w:p w14:paraId="044D67B8" w14:textId="77777777" w:rsidR="00676DA1" w:rsidRPr="00102445" w:rsidRDefault="00676DA1" w:rsidP="00676DA1">
      <w:pPr>
        <w:pStyle w:val="paragraph"/>
        <w:numPr>
          <w:ilvl w:val="0"/>
          <w:numId w:val="58"/>
        </w:numPr>
        <w:rPr>
          <w:rFonts w:asciiTheme="minorHAnsi" w:hAnsiTheme="minorHAnsi" w:cstheme="minorBidi"/>
        </w:rPr>
      </w:pPr>
      <w:r w:rsidRPr="00102445">
        <w:rPr>
          <w:rFonts w:asciiTheme="minorHAnsi" w:hAnsiTheme="minorHAnsi" w:cstheme="minorBidi"/>
        </w:rPr>
        <w:t>net safeguard emissions decline to:</w:t>
      </w:r>
    </w:p>
    <w:p w14:paraId="2890A482" w14:textId="77777777" w:rsidR="00676DA1" w:rsidRPr="00102445" w:rsidRDefault="00676DA1" w:rsidP="00676DA1">
      <w:pPr>
        <w:pStyle w:val="paragraphsub"/>
        <w:numPr>
          <w:ilvl w:val="1"/>
          <w:numId w:val="58"/>
        </w:numPr>
        <w:rPr>
          <w:rFonts w:asciiTheme="minorHAnsi" w:hAnsiTheme="minorHAnsi" w:cstheme="minorBidi"/>
        </w:rPr>
      </w:pPr>
      <w:r w:rsidRPr="00102445">
        <w:rPr>
          <w:rFonts w:asciiTheme="minorHAnsi" w:hAnsiTheme="minorHAnsi" w:cstheme="minorBidi"/>
        </w:rPr>
        <w:t>no more than 100 million tonnes of carbon dioxide equivalence for the financial year beginning on 1 July 2029; and</w:t>
      </w:r>
    </w:p>
    <w:p w14:paraId="5003DE93" w14:textId="77777777" w:rsidR="00676DA1" w:rsidRPr="00102445" w:rsidRDefault="00676DA1" w:rsidP="00676DA1">
      <w:pPr>
        <w:pStyle w:val="paragraphsub"/>
        <w:numPr>
          <w:ilvl w:val="1"/>
          <w:numId w:val="58"/>
        </w:numPr>
        <w:rPr>
          <w:rFonts w:asciiTheme="minorHAnsi" w:hAnsiTheme="minorHAnsi" w:cstheme="minorBidi"/>
        </w:rPr>
      </w:pPr>
      <w:r w:rsidRPr="00102445">
        <w:rPr>
          <w:rFonts w:asciiTheme="minorHAnsi" w:hAnsiTheme="minorHAnsi" w:cstheme="minorBidi"/>
        </w:rPr>
        <w:t>zero for any financial year to begin after 30 June 2049;</w:t>
      </w:r>
    </w:p>
    <w:p w14:paraId="3F7E94F4" w14:textId="77777777" w:rsidR="00676DA1" w:rsidRPr="00102445" w:rsidRDefault="00676DA1" w:rsidP="00676DA1">
      <w:pPr>
        <w:pStyle w:val="subsection"/>
        <w:numPr>
          <w:ilvl w:val="0"/>
          <w:numId w:val="58"/>
        </w:numPr>
        <w:spacing w:after="200"/>
        <w:rPr>
          <w:rFonts w:asciiTheme="minorHAnsi" w:hAnsiTheme="minorHAnsi" w:cstheme="minorHAnsi"/>
        </w:rPr>
      </w:pPr>
      <w:r w:rsidRPr="00102445">
        <w:rPr>
          <w:rFonts w:asciiTheme="minorHAnsi" w:hAnsiTheme="minorHAnsi" w:cstheme="minorHAnsi"/>
        </w:rPr>
        <w:t>the 5</w:t>
      </w:r>
      <w:r w:rsidRPr="00102445">
        <w:rPr>
          <w:rFonts w:asciiTheme="minorHAnsi" w:hAnsiTheme="minorHAnsi" w:cstheme="minorHAnsi"/>
        </w:rPr>
        <w:noBreakHyphen/>
        <w:t>year rolling average safeguard emissions for each financial year that begins after 30 June 2024 are lower than the past 5</w:t>
      </w:r>
      <w:r w:rsidRPr="00102445">
        <w:rPr>
          <w:rFonts w:asciiTheme="minorHAnsi" w:hAnsiTheme="minorHAnsi" w:cstheme="minorHAnsi"/>
        </w:rPr>
        <w:noBreakHyphen/>
        <w:t>year rolling average safeguard emissions for that financial year;</w:t>
      </w:r>
    </w:p>
    <w:p w14:paraId="76252F87" w14:textId="77777777" w:rsidR="00676DA1" w:rsidRPr="00102445" w:rsidRDefault="00676DA1" w:rsidP="00676DA1">
      <w:pPr>
        <w:pStyle w:val="subsection"/>
        <w:numPr>
          <w:ilvl w:val="0"/>
          <w:numId w:val="58"/>
        </w:numPr>
        <w:spacing w:after="200"/>
        <w:rPr>
          <w:rFonts w:asciiTheme="minorHAnsi" w:hAnsiTheme="minorHAnsi" w:cstheme="minorHAnsi"/>
        </w:rPr>
      </w:pPr>
      <w:r w:rsidRPr="00102445">
        <w:rPr>
          <w:rFonts w:asciiTheme="minorHAnsi" w:hAnsiTheme="minorHAnsi" w:cstheme="minorHAnsi"/>
        </w:rPr>
        <w:tab/>
        <w:t>the responsible emitter for each designated large facility has a material incentive to invest in reducing covered emissions from the operation of the facility;</w:t>
      </w:r>
    </w:p>
    <w:p w14:paraId="0B9D348C" w14:textId="77777777" w:rsidR="00676DA1" w:rsidRPr="00102445" w:rsidRDefault="00676DA1" w:rsidP="00676DA1">
      <w:pPr>
        <w:pStyle w:val="subsection"/>
        <w:numPr>
          <w:ilvl w:val="0"/>
          <w:numId w:val="58"/>
        </w:numPr>
        <w:spacing w:after="200"/>
        <w:rPr>
          <w:rFonts w:asciiTheme="minorHAnsi" w:hAnsiTheme="minorHAnsi" w:cstheme="minorHAnsi"/>
        </w:rPr>
      </w:pPr>
      <w:r w:rsidRPr="00102445">
        <w:rPr>
          <w:rFonts w:asciiTheme="minorHAnsi" w:hAnsiTheme="minorHAnsi" w:cstheme="minorHAnsi"/>
        </w:rPr>
        <w:tab/>
        <w:t>the competitiveness of trade-exposed industries is appropriately supported as Australia and its regions seize the opportunities of the move to a global net zero economy.</w:t>
      </w:r>
    </w:p>
    <w:p w14:paraId="28F5A4EB" w14:textId="77777777" w:rsidR="00676DA1" w:rsidRPr="00102445" w:rsidRDefault="00676DA1" w:rsidP="00C1715D">
      <w:pPr>
        <w:pStyle w:val="Heading2"/>
        <w:keepNext w:val="0"/>
        <w:keepLines w:val="0"/>
        <w:spacing w:before="120" w:after="240" w:line="240" w:lineRule="auto"/>
      </w:pPr>
      <w:r w:rsidRPr="00102445">
        <w:rPr>
          <w:rFonts w:ascii="Calibri" w:eastAsiaTheme="minorEastAsia" w:hAnsi="Calibri" w:cstheme="minorBidi"/>
          <w:bCs/>
          <w:color w:val="auto"/>
          <w:szCs w:val="28"/>
          <w:lang w:eastAsia="ja-JP"/>
        </w:rPr>
        <w:t>Background</w:t>
      </w:r>
    </w:p>
    <w:p w14:paraId="72C49ED7" w14:textId="77777777" w:rsidR="00676DA1" w:rsidRPr="00102445" w:rsidRDefault="00676DA1" w:rsidP="00C1715D">
      <w:pPr>
        <w:spacing w:before="0" w:after="200"/>
        <w:rPr>
          <w:rFonts w:asciiTheme="minorHAnsi" w:hAnsiTheme="minorHAnsi"/>
          <w:b/>
          <w:i/>
          <w:sz w:val="22"/>
        </w:rPr>
      </w:pPr>
      <w:r w:rsidRPr="00102445">
        <w:rPr>
          <w:rFonts w:asciiTheme="minorHAnsi" w:hAnsiTheme="minorHAnsi"/>
          <w:b/>
          <w:i/>
          <w:sz w:val="22"/>
        </w:rPr>
        <w:t xml:space="preserve">The Safeguard Mechanism and Australia’s Nationally Determined Contribution </w:t>
      </w:r>
    </w:p>
    <w:p w14:paraId="7C0E8547" w14:textId="77777777" w:rsidR="00676DA1" w:rsidRPr="00102445" w:rsidRDefault="00676DA1" w:rsidP="00676DA1">
      <w:pPr>
        <w:pStyle w:val="ListNumberDotted"/>
        <w:numPr>
          <w:ilvl w:val="0"/>
          <w:numId w:val="56"/>
        </w:numPr>
        <w:ind w:left="360"/>
      </w:pPr>
      <w:r w:rsidRPr="00102445">
        <w:t>The NGER Act establishes a single national framework for reporting and disseminating company information about greenhouse gas emissions, energy production, energy consumption and other information. The Safeguard Mechanism is established under Part 3H of the Act. Together with the reporting obligations under the Act, the Safeguard Mechanism provides a framework for Australia’s largest industrial emitters to measure, report and manage their emissions.</w:t>
      </w:r>
    </w:p>
    <w:p w14:paraId="541BF9A4" w14:textId="77777777" w:rsidR="00676DA1" w:rsidRPr="00102445" w:rsidRDefault="00676DA1" w:rsidP="00676DA1">
      <w:pPr>
        <w:pStyle w:val="ListNumberDotted"/>
        <w:numPr>
          <w:ilvl w:val="0"/>
          <w:numId w:val="56"/>
        </w:numPr>
        <w:ind w:left="360"/>
        <w:rPr>
          <w:rFonts w:cs="Times New Roman"/>
          <w:szCs w:val="24"/>
        </w:rPr>
      </w:pPr>
      <w:r w:rsidRPr="00102445">
        <w:lastRenderedPageBreak/>
        <w:t xml:space="preserve">The Safeguard Mechanism provides a legislated framework that limits the net emissions of around 215 large industrial facilities—those with more than </w:t>
      </w:r>
      <w:r w:rsidRPr="00102445">
        <w:rPr>
          <w:rFonts w:cs="Times New Roman"/>
          <w:szCs w:val="24"/>
        </w:rPr>
        <w:t>100,000 tonnes of scope 1 (direct) carbon dioxide equivalent (CO</w:t>
      </w:r>
      <w:r w:rsidRPr="00102445">
        <w:rPr>
          <w:rFonts w:cs="Times New Roman"/>
          <w:color w:val="000000" w:themeColor="text1"/>
          <w:szCs w:val="24"/>
          <w:vertAlign w:val="subscript"/>
        </w:rPr>
        <w:t>2</w:t>
      </w:r>
      <w:r w:rsidRPr="00102445">
        <w:rPr>
          <w:rFonts w:cs="Times New Roman"/>
          <w:szCs w:val="24"/>
        </w:rPr>
        <w:t>-e) emissions each year (‘designated large facilities’ under s 22XJ of the NGER Act). Each year, every designated large facility needs to prove that their net emissions for that year are equal to or below their baseline. Each designated large facility reports their emissions to the Regulator, which publishes the results on its website.</w:t>
      </w:r>
    </w:p>
    <w:p w14:paraId="5044E45D" w14:textId="77777777" w:rsidR="00676DA1" w:rsidRPr="00102445" w:rsidRDefault="00676DA1" w:rsidP="00676DA1">
      <w:pPr>
        <w:pStyle w:val="ListNumberDotted"/>
        <w:numPr>
          <w:ilvl w:val="0"/>
          <w:numId w:val="56"/>
        </w:numPr>
        <w:ind w:left="360"/>
      </w:pPr>
      <w:r w:rsidRPr="00102445">
        <w:t>Since it commenced on 1 July 2016, reported covered emissions from designated large facilities have grown over 4 per cent from 131.3 Mt CO</w:t>
      </w:r>
      <w:r w:rsidRPr="00102445">
        <w:rPr>
          <w:vertAlign w:val="subscript"/>
        </w:rPr>
        <w:t>2</w:t>
      </w:r>
      <w:r w:rsidRPr="00102445">
        <w:t>-e in 2016-17 to 136.9 Mt CO</w:t>
      </w:r>
      <w:r w:rsidRPr="00102445">
        <w:rPr>
          <w:vertAlign w:val="subscript"/>
        </w:rPr>
        <w:t>2</w:t>
      </w:r>
      <w:r w:rsidRPr="00102445">
        <w:t>-e in 2020-21.</w:t>
      </w:r>
      <w:r w:rsidRPr="00102445">
        <w:rPr>
          <w:rStyle w:val="FootnoteReference"/>
        </w:rPr>
        <w:footnoteReference w:id="5"/>
      </w:r>
      <w:r w:rsidRPr="00102445">
        <w:t xml:space="preserve"> Under existing policy settings, these aggregate emissions are projected to reach 146 Mt CO</w:t>
      </w:r>
      <w:r w:rsidRPr="00102445">
        <w:rPr>
          <w:vertAlign w:val="subscript"/>
        </w:rPr>
        <w:t>2</w:t>
      </w:r>
      <w:r w:rsidRPr="00102445">
        <w:t>-e in 2029-30.</w:t>
      </w:r>
      <w:r w:rsidRPr="00102445">
        <w:rPr>
          <w:rStyle w:val="FootnoteReference"/>
        </w:rPr>
        <w:footnoteReference w:id="6"/>
      </w:r>
      <w:r w:rsidRPr="00102445">
        <w:rPr>
          <w:rFonts w:ascii="Times New Roman" w:eastAsia="Times New Roman" w:hAnsi="Times New Roman" w:cs="Times New Roman"/>
          <w:sz w:val="24"/>
          <w:szCs w:val="24"/>
          <w:lang w:eastAsia="en-AU"/>
        </w:rPr>
        <w:t xml:space="preserve"> </w:t>
      </w:r>
    </w:p>
    <w:p w14:paraId="7DF9B12D" w14:textId="77777777" w:rsidR="00676DA1" w:rsidRPr="00102445" w:rsidRDefault="00676DA1" w:rsidP="00676DA1">
      <w:pPr>
        <w:pStyle w:val="ListNumberDotted"/>
        <w:numPr>
          <w:ilvl w:val="0"/>
          <w:numId w:val="56"/>
        </w:numPr>
        <w:ind w:left="360"/>
      </w:pPr>
      <w:r w:rsidRPr="00102445">
        <w:t>Under the Paris Agreement, to which Australia is a Party, Parties are required to communicate their Nationally Determined Contribution (NDC) which sets out their emissions reduction commitments. On 16 June 2022, Australia communicated its updated NDC under Article 4 of the Paris Agreement to the United Nations</w:t>
      </w:r>
      <w:r w:rsidRPr="00102445">
        <w:rPr>
          <w:rStyle w:val="FootnoteReference"/>
        </w:rPr>
        <w:footnoteReference w:id="7"/>
      </w:r>
      <w:r w:rsidRPr="00102445">
        <w:t xml:space="preserve">. This updated NDC included confirmation of Australia’s commitment to achieve net zero emissions by 2050, and a new, increased, 2030 target of 43 per cent below 2005 levels by 2030. The </w:t>
      </w:r>
      <w:r w:rsidRPr="00102445">
        <w:rPr>
          <w:i/>
          <w:iCs/>
        </w:rPr>
        <w:t>Climate Change Act 2022</w:t>
      </w:r>
      <w:r w:rsidRPr="00102445">
        <w:t xml:space="preserve"> prescribes these commitments into Australian law.</w:t>
      </w:r>
    </w:p>
    <w:p w14:paraId="6F0F130A" w14:textId="77777777" w:rsidR="00676DA1" w:rsidRPr="00102445" w:rsidRDefault="00676DA1" w:rsidP="00676DA1">
      <w:pPr>
        <w:pStyle w:val="ListNumberDotted"/>
        <w:numPr>
          <w:ilvl w:val="0"/>
          <w:numId w:val="56"/>
        </w:numPr>
        <w:ind w:left="360"/>
      </w:pPr>
      <w:r w:rsidRPr="00102445">
        <w:t xml:space="preserve">The Australian Government is reforming the Safeguard Mechanism to reduce emissions consistent with these legislated targets. The reforms will support industry to reduce emissions efficiently, helping them maintain competitiveness as the global economy decarbonises. </w:t>
      </w:r>
    </w:p>
    <w:p w14:paraId="305A650A" w14:textId="77777777" w:rsidR="00676DA1" w:rsidRPr="00102445" w:rsidRDefault="00676DA1" w:rsidP="00676DA1">
      <w:pPr>
        <w:pStyle w:val="ListNumberDotted"/>
        <w:ind w:left="142"/>
        <w:rPr>
          <w:b/>
          <w:i/>
          <w:lang w:eastAsia="en-AU"/>
        </w:rPr>
      </w:pPr>
      <w:r w:rsidRPr="00102445">
        <w:rPr>
          <w:b/>
          <w:i/>
          <w:lang w:eastAsia="en-AU"/>
        </w:rPr>
        <w:t xml:space="preserve">Amendments to the Safeguard Rules </w:t>
      </w:r>
    </w:p>
    <w:p w14:paraId="16E2F498" w14:textId="77777777" w:rsidR="00676DA1" w:rsidRPr="00102445" w:rsidRDefault="00676DA1" w:rsidP="00676DA1">
      <w:pPr>
        <w:pStyle w:val="ListNumberDotted"/>
        <w:numPr>
          <w:ilvl w:val="0"/>
          <w:numId w:val="56"/>
        </w:numPr>
        <w:ind w:left="360"/>
      </w:pPr>
      <w:r w:rsidRPr="00102445">
        <w:t xml:space="preserve">Section 22XS of the NGER Act empowers me to make rules to implement the Safeguard Mechanism by legislative instrument. These rules may prescribe matters required or permitted by the NGER Act and matters necessary or convenient to be prescribed for carrying out or giving effect to the Safeguard provisions in the NGER Act. The Safeguard Rules are a legislative instrument made under section 22XS(1) of the NGER Act. The measures set out in the Amendment Rules, such as the creation of SMCs, are consistent with </w:t>
      </w:r>
      <w:r w:rsidRPr="00102445">
        <w:rPr>
          <w:i/>
          <w:iCs/>
        </w:rPr>
        <w:t>the Safeguard Mechanism (Crediting) Amendment Act 2023</w:t>
      </w:r>
      <w:r w:rsidRPr="00102445">
        <w:t xml:space="preserve"> (Safeguard Mechanism Act).</w:t>
      </w:r>
    </w:p>
    <w:p w14:paraId="1BCE3B65" w14:textId="77777777" w:rsidR="00676DA1" w:rsidRPr="00102445" w:rsidRDefault="00676DA1" w:rsidP="00676DA1">
      <w:pPr>
        <w:pStyle w:val="ListNumberDotted"/>
        <w:numPr>
          <w:ilvl w:val="0"/>
          <w:numId w:val="56"/>
        </w:numPr>
        <w:ind w:left="360"/>
      </w:pPr>
      <w:r w:rsidRPr="00102445">
        <w:t>The Amendment Rules amend the Safeguard Rules to implement reforms to the Safeguard Mechanism, a commitment in the Government’s Powering Australia Plan. The reformed Safeguard Mechanism will require Australia's largest industrial facilities to reduce their emissions, gradually and predictably in line with our national targets, and will ensure that Australian businesses remain competitive as the world decarbonises.  </w:t>
      </w:r>
    </w:p>
    <w:p w14:paraId="51C952CE" w14:textId="77777777" w:rsidR="00676DA1" w:rsidRPr="00102445" w:rsidRDefault="00676DA1" w:rsidP="00676DA1">
      <w:pPr>
        <w:pStyle w:val="ListNumberDotted"/>
        <w:numPr>
          <w:ilvl w:val="0"/>
          <w:numId w:val="56"/>
        </w:numPr>
        <w:ind w:left="360"/>
      </w:pPr>
      <w:r w:rsidRPr="00102445">
        <w:t xml:space="preserve">The amendments to the Safeguard Rules are intended to arrest and reverse the growth in covered emissions, position designated large facilities to do a proportionate share of the emissions reduction task to 2030 and </w:t>
      </w:r>
      <w:r w:rsidRPr="00102445">
        <w:lastRenderedPageBreak/>
        <w:t>achieve net zero by 2050. Without a contribution from designated large facilities, other sectors of the economy would face a disproportionately high burden for Australia to meet its legislated 2030 emissions reduction target.</w:t>
      </w:r>
    </w:p>
    <w:p w14:paraId="337A7CC2" w14:textId="77777777" w:rsidR="00676DA1" w:rsidRPr="00102445" w:rsidRDefault="00676DA1" w:rsidP="00676DA1">
      <w:pPr>
        <w:pStyle w:val="ListNumberDotted"/>
        <w:numPr>
          <w:ilvl w:val="0"/>
          <w:numId w:val="56"/>
        </w:numPr>
        <w:ind w:left="360"/>
      </w:pPr>
      <w:r w:rsidRPr="00102445">
        <w:t>Key provisions in the Amendment Rules which facilitate emissions reduction, consistent with the safeguard outcomes in subparagraphs 3(2)(b) – (d) of the NGER Act, and taking account of the outcomes in subparagraphs 3(2)(e) and (f) include:</w:t>
      </w:r>
    </w:p>
    <w:p w14:paraId="7D10E2BC" w14:textId="77777777" w:rsidR="00676DA1" w:rsidRPr="00102445" w:rsidRDefault="00676DA1" w:rsidP="00676DA1">
      <w:pPr>
        <w:pStyle w:val="ListNumberDotted"/>
        <w:numPr>
          <w:ilvl w:val="1"/>
          <w:numId w:val="56"/>
        </w:numPr>
      </w:pPr>
      <w:r w:rsidRPr="00102445">
        <w:t xml:space="preserve">baseline setting arrangements for existing and new facilities, </w:t>
      </w:r>
    </w:p>
    <w:p w14:paraId="0BD73259" w14:textId="77777777" w:rsidR="00676DA1" w:rsidRPr="00102445" w:rsidRDefault="00676DA1" w:rsidP="00676DA1">
      <w:pPr>
        <w:pStyle w:val="ListNumberDotted"/>
        <w:numPr>
          <w:ilvl w:val="1"/>
          <w:numId w:val="56"/>
        </w:numPr>
      </w:pPr>
      <w:r w:rsidRPr="00102445">
        <w:t xml:space="preserve">declining baselines over time so that designated large facilities contribute their proportional share of the national emissions reduction task, </w:t>
      </w:r>
    </w:p>
    <w:p w14:paraId="59B3311C" w14:textId="77777777" w:rsidR="00676DA1" w:rsidRPr="00102445" w:rsidRDefault="00676DA1" w:rsidP="00676DA1">
      <w:pPr>
        <w:pStyle w:val="ListNumberDotted"/>
        <w:numPr>
          <w:ilvl w:val="1"/>
          <w:numId w:val="56"/>
        </w:numPr>
      </w:pPr>
      <w:r w:rsidRPr="00102445">
        <w:t>the detail of how SMCs can be created and used by facilities, which will provide an incentive for facilities to reduce emissions below their baselines,</w:t>
      </w:r>
    </w:p>
    <w:p w14:paraId="4A6FE287" w14:textId="77777777" w:rsidR="00676DA1" w:rsidRPr="00102445" w:rsidRDefault="00676DA1" w:rsidP="00676DA1">
      <w:pPr>
        <w:pStyle w:val="ListNumberDotted"/>
        <w:numPr>
          <w:ilvl w:val="1"/>
          <w:numId w:val="56"/>
        </w:numPr>
      </w:pPr>
      <w:r w:rsidRPr="00102445">
        <w:t>flexible compliance options including below-baseline crediting,</w:t>
      </w:r>
    </w:p>
    <w:p w14:paraId="41522956" w14:textId="77777777" w:rsidR="00676DA1" w:rsidRPr="00102445" w:rsidRDefault="00676DA1" w:rsidP="00676DA1">
      <w:pPr>
        <w:pStyle w:val="ListNumberDotted"/>
        <w:numPr>
          <w:ilvl w:val="1"/>
          <w:numId w:val="56"/>
        </w:numPr>
      </w:pPr>
      <w:r w:rsidRPr="00102445">
        <w:t>tailored treatment for trade-exposed facilities, and</w:t>
      </w:r>
    </w:p>
    <w:p w14:paraId="0808AF59" w14:textId="77777777" w:rsidR="00676DA1" w:rsidRPr="00102445" w:rsidRDefault="00676DA1" w:rsidP="00676DA1">
      <w:pPr>
        <w:pStyle w:val="ListNumberDotted"/>
        <w:numPr>
          <w:ilvl w:val="1"/>
          <w:numId w:val="56"/>
        </w:numPr>
      </w:pPr>
      <w:r w:rsidRPr="00102445">
        <w:t>confirming interactions with ACCU projects.</w:t>
      </w:r>
    </w:p>
    <w:p w14:paraId="503B9A69" w14:textId="77777777" w:rsidR="00676DA1" w:rsidRPr="00102445" w:rsidRDefault="00676DA1" w:rsidP="00676DA1">
      <w:pPr>
        <w:pStyle w:val="ListNumberDotted"/>
        <w:numPr>
          <w:ilvl w:val="0"/>
          <w:numId w:val="56"/>
        </w:numPr>
        <w:ind w:left="360"/>
      </w:pPr>
      <w:r w:rsidRPr="00102445">
        <w:t xml:space="preserve">I note that the Government has committed to review the Safeguard Mechanism in 2026-27, which will provide an opportunity for the Government to consider if any risks have emerged that may affect achievement of the relevant safeguard outcomes. This provides an opportunity to amend the Safeguard Rules to address any such risks, including to the required 2030 outcomes. Additionally, under the </w:t>
      </w:r>
      <w:r w:rsidRPr="00102445">
        <w:rPr>
          <w:i/>
          <w:iCs/>
        </w:rPr>
        <w:t>Climate Change Act 2022</w:t>
      </w:r>
      <w:r w:rsidRPr="00102445">
        <w:rPr>
          <w:iCs/>
        </w:rPr>
        <w:t>,</w:t>
      </w:r>
      <w:r w:rsidRPr="00102445">
        <w:t xml:space="preserve"> the Climate Change Authority will provide independent advice to Government about the effectiveness of the Safeguard Mechanism as part of the Annual Climate Change Statement. This process could also result in changes to the rules under subsection 22XS(1C) of the NGER Act. The Secretary of the Department may also raise similar concerns in accordance with subsection 22XS(1D) of the NGER Act.</w:t>
      </w:r>
    </w:p>
    <w:p w14:paraId="199F8703" w14:textId="77777777" w:rsidR="00676DA1" w:rsidRPr="00102445" w:rsidRDefault="00676DA1" w:rsidP="00676DA1">
      <w:pPr>
        <w:pStyle w:val="ListNumberDotted"/>
        <w:ind w:left="360"/>
        <w:rPr>
          <w:b/>
          <w:i/>
          <w:color w:val="000000"/>
          <w:shd w:val="clear" w:color="auto" w:fill="FFFFFF"/>
        </w:rPr>
      </w:pPr>
      <w:r w:rsidRPr="00102445">
        <w:rPr>
          <w:b/>
          <w:i/>
          <w:color w:val="000000"/>
          <w:shd w:val="clear" w:color="auto" w:fill="FFFFFF"/>
        </w:rPr>
        <w:t>Consultations</w:t>
      </w:r>
    </w:p>
    <w:p w14:paraId="180B41E7" w14:textId="77777777" w:rsidR="00676DA1" w:rsidRPr="00102445" w:rsidRDefault="00676DA1" w:rsidP="00676DA1">
      <w:pPr>
        <w:pStyle w:val="ListNumberDotted"/>
        <w:numPr>
          <w:ilvl w:val="0"/>
          <w:numId w:val="56"/>
        </w:numPr>
        <w:ind w:left="360"/>
      </w:pPr>
      <w:r w:rsidRPr="00102445">
        <w:t xml:space="preserve">The Department has consulted extensively on the best approach to reform the Safeguard Mechanism which has informed the development of the Amendment Rules. Consultation has been undertaken broadly with affected facilities, industry bodies, government agencies, non-Safeguard industrial businesses, carbon market participants, environmental groups and other interested parties. </w:t>
      </w:r>
    </w:p>
    <w:p w14:paraId="02EBFD29" w14:textId="77777777" w:rsidR="00676DA1" w:rsidRPr="00102445" w:rsidRDefault="00676DA1" w:rsidP="00676DA1">
      <w:pPr>
        <w:pStyle w:val="ListNumberDotted"/>
        <w:numPr>
          <w:ilvl w:val="0"/>
          <w:numId w:val="56"/>
        </w:numPr>
        <w:ind w:left="360"/>
        <w:rPr>
          <w:color w:val="000000"/>
          <w:shd w:val="clear" w:color="auto" w:fill="FFFFFF"/>
        </w:rPr>
      </w:pPr>
      <w:r w:rsidRPr="00102445">
        <w:t>This extensive consultation process has included:</w:t>
      </w:r>
    </w:p>
    <w:p w14:paraId="325BB0E3" w14:textId="77777777" w:rsidR="00676DA1" w:rsidRPr="00102445" w:rsidRDefault="00676DA1" w:rsidP="00676DA1">
      <w:pPr>
        <w:pStyle w:val="ListParagraph"/>
        <w:numPr>
          <w:ilvl w:val="0"/>
          <w:numId w:val="5"/>
        </w:numPr>
        <w:spacing w:before="0" w:after="120" w:line="264" w:lineRule="auto"/>
        <w:rPr>
          <w:rFonts w:asciiTheme="minorHAnsi" w:hAnsiTheme="minorHAnsi" w:cstheme="minorHAnsi"/>
          <w:sz w:val="22"/>
        </w:rPr>
      </w:pPr>
      <w:r w:rsidRPr="00102445">
        <w:rPr>
          <w:rFonts w:asciiTheme="minorHAnsi" w:hAnsiTheme="minorHAnsi" w:cstheme="minorHAnsi"/>
          <w:sz w:val="22"/>
        </w:rPr>
        <w:t xml:space="preserve">a </w:t>
      </w:r>
      <w:r w:rsidRPr="00102445">
        <w:rPr>
          <w:rFonts w:asciiTheme="minorHAnsi" w:hAnsiTheme="minorHAnsi" w:cstheme="minorHAnsi"/>
          <w:i/>
          <w:iCs/>
          <w:sz w:val="22"/>
        </w:rPr>
        <w:t>Consultation Paper</w:t>
      </w:r>
      <w:r w:rsidRPr="00102445">
        <w:rPr>
          <w:rFonts w:asciiTheme="minorHAnsi" w:hAnsiTheme="minorHAnsi" w:cstheme="minorHAnsi"/>
          <w:sz w:val="22"/>
        </w:rPr>
        <w:t xml:space="preserve"> (August-September 2022), factsheets, webinar, and 5 roundtables </w:t>
      </w:r>
    </w:p>
    <w:p w14:paraId="029DC7A4" w14:textId="77777777" w:rsidR="00676DA1" w:rsidRPr="00102445" w:rsidRDefault="00676DA1" w:rsidP="00676DA1">
      <w:pPr>
        <w:pStyle w:val="ListParagraph"/>
        <w:numPr>
          <w:ilvl w:val="0"/>
          <w:numId w:val="5"/>
        </w:numPr>
        <w:spacing w:before="0" w:after="120" w:line="264" w:lineRule="auto"/>
        <w:rPr>
          <w:rFonts w:asciiTheme="minorHAnsi" w:hAnsiTheme="minorHAnsi" w:cstheme="minorHAnsi"/>
          <w:sz w:val="22"/>
        </w:rPr>
      </w:pPr>
      <w:r w:rsidRPr="00102445">
        <w:rPr>
          <w:rFonts w:asciiTheme="minorHAnsi" w:hAnsiTheme="minorHAnsi" w:cstheme="minorHAnsi"/>
          <w:sz w:val="22"/>
        </w:rPr>
        <w:t>exposure draft legislation (October 2022)</w:t>
      </w:r>
    </w:p>
    <w:p w14:paraId="7A009A84" w14:textId="77777777" w:rsidR="00676DA1" w:rsidRPr="00102445" w:rsidRDefault="00676DA1" w:rsidP="00676DA1">
      <w:pPr>
        <w:pStyle w:val="ListParagraph"/>
        <w:numPr>
          <w:ilvl w:val="1"/>
          <w:numId w:val="5"/>
        </w:numPr>
        <w:spacing w:before="0" w:after="120" w:line="264" w:lineRule="auto"/>
        <w:rPr>
          <w:rFonts w:asciiTheme="minorHAnsi" w:hAnsiTheme="minorHAnsi" w:cstheme="minorHAnsi"/>
          <w:sz w:val="22"/>
        </w:rPr>
      </w:pPr>
      <w:r w:rsidRPr="00102445">
        <w:rPr>
          <w:rFonts w:asciiTheme="minorHAnsi" w:hAnsiTheme="minorHAnsi" w:cstheme="minorHAnsi"/>
          <w:sz w:val="22"/>
        </w:rPr>
        <w:t>draft</w:t>
      </w:r>
      <w:r w:rsidRPr="00102445">
        <w:rPr>
          <w:rFonts w:asciiTheme="minorHAnsi" w:hAnsiTheme="minorHAnsi" w:cstheme="minorHAnsi"/>
          <w:i/>
          <w:iCs/>
          <w:sz w:val="22"/>
        </w:rPr>
        <w:t xml:space="preserve"> Safeguard Mechanism Reforms (Crediting) Amendment Bill 2022,</w:t>
      </w:r>
    </w:p>
    <w:p w14:paraId="0434C626" w14:textId="77777777" w:rsidR="00676DA1" w:rsidRPr="00102445" w:rsidRDefault="00676DA1" w:rsidP="00676DA1">
      <w:pPr>
        <w:pStyle w:val="ListParagraph"/>
        <w:numPr>
          <w:ilvl w:val="1"/>
          <w:numId w:val="5"/>
        </w:numPr>
        <w:spacing w:before="0" w:after="120" w:line="264" w:lineRule="auto"/>
        <w:rPr>
          <w:rFonts w:asciiTheme="minorHAnsi" w:hAnsiTheme="minorHAnsi" w:cstheme="minorHAnsi"/>
          <w:sz w:val="22"/>
        </w:rPr>
      </w:pPr>
      <w:r w:rsidRPr="00102445">
        <w:rPr>
          <w:rFonts w:asciiTheme="minorHAnsi" w:hAnsiTheme="minorHAnsi" w:cstheme="minorHAnsi"/>
          <w:sz w:val="22"/>
        </w:rPr>
        <w:t>draft</w:t>
      </w:r>
      <w:r w:rsidRPr="00102445">
        <w:rPr>
          <w:rFonts w:asciiTheme="minorHAnsi" w:hAnsiTheme="minorHAnsi" w:cstheme="minorHAnsi"/>
          <w:i/>
          <w:iCs/>
          <w:sz w:val="22"/>
        </w:rPr>
        <w:t xml:space="preserve"> Carbon Credits (Carbon Farming Initiative) Amendment (Safeguard Facility Eligibility Requirements) Rules 2022</w:t>
      </w:r>
      <w:r w:rsidRPr="00102445">
        <w:rPr>
          <w:rFonts w:asciiTheme="minorHAnsi" w:hAnsiTheme="minorHAnsi" w:cstheme="minorHAnsi"/>
          <w:sz w:val="22"/>
        </w:rPr>
        <w:t xml:space="preserve">) </w:t>
      </w:r>
    </w:p>
    <w:p w14:paraId="77A26483" w14:textId="77777777" w:rsidR="00676DA1" w:rsidRPr="00102445" w:rsidRDefault="00676DA1" w:rsidP="00676DA1">
      <w:pPr>
        <w:pStyle w:val="ListParagraph"/>
        <w:numPr>
          <w:ilvl w:val="0"/>
          <w:numId w:val="5"/>
        </w:numPr>
        <w:spacing w:before="0" w:after="120" w:line="264" w:lineRule="auto"/>
        <w:rPr>
          <w:rFonts w:asciiTheme="minorHAnsi" w:hAnsiTheme="minorHAnsi" w:cstheme="minorHAnsi"/>
          <w:sz w:val="22"/>
        </w:rPr>
      </w:pPr>
      <w:r w:rsidRPr="00102445">
        <w:rPr>
          <w:rFonts w:asciiTheme="minorHAnsi" w:hAnsiTheme="minorHAnsi" w:cstheme="minorHAnsi"/>
          <w:sz w:val="22"/>
        </w:rPr>
        <w:t xml:space="preserve">a </w:t>
      </w:r>
      <w:r w:rsidRPr="00102445">
        <w:rPr>
          <w:rFonts w:asciiTheme="minorHAnsi" w:hAnsiTheme="minorHAnsi" w:cstheme="minorHAnsi"/>
          <w:i/>
          <w:iCs/>
          <w:sz w:val="22"/>
        </w:rPr>
        <w:t>Position Paper</w:t>
      </w:r>
      <w:r w:rsidRPr="00102445">
        <w:rPr>
          <w:rFonts w:asciiTheme="minorHAnsi" w:hAnsiTheme="minorHAnsi" w:cstheme="minorHAnsi"/>
          <w:sz w:val="22"/>
        </w:rPr>
        <w:t xml:space="preserve"> (January – February 2023), factsheets, webinar, and 3 roundtables</w:t>
      </w:r>
    </w:p>
    <w:p w14:paraId="2BF6E516" w14:textId="77777777" w:rsidR="00676DA1" w:rsidRPr="00102445" w:rsidRDefault="00676DA1" w:rsidP="00676DA1">
      <w:pPr>
        <w:pStyle w:val="ListParagraph"/>
        <w:numPr>
          <w:ilvl w:val="0"/>
          <w:numId w:val="5"/>
        </w:numPr>
        <w:spacing w:before="0" w:after="120" w:line="264" w:lineRule="auto"/>
        <w:rPr>
          <w:rFonts w:asciiTheme="minorHAnsi" w:hAnsiTheme="minorHAnsi" w:cstheme="minorHAnsi"/>
          <w:sz w:val="22"/>
        </w:rPr>
      </w:pPr>
      <w:r w:rsidRPr="00102445">
        <w:rPr>
          <w:rFonts w:asciiTheme="minorHAnsi" w:hAnsiTheme="minorHAnsi" w:cstheme="minorHAnsi"/>
          <w:sz w:val="22"/>
        </w:rPr>
        <w:t>exposure draft legislation (January – February 2023)</w:t>
      </w:r>
    </w:p>
    <w:p w14:paraId="39BF3B42" w14:textId="77777777" w:rsidR="00676DA1" w:rsidRPr="00102445" w:rsidRDefault="00676DA1" w:rsidP="00676DA1">
      <w:pPr>
        <w:pStyle w:val="ListParagraph"/>
        <w:numPr>
          <w:ilvl w:val="1"/>
          <w:numId w:val="5"/>
        </w:numPr>
        <w:spacing w:before="0" w:after="120" w:line="264" w:lineRule="auto"/>
        <w:rPr>
          <w:rFonts w:asciiTheme="minorHAnsi" w:hAnsiTheme="minorHAnsi" w:cstheme="minorHAnsi"/>
          <w:sz w:val="22"/>
        </w:rPr>
      </w:pPr>
      <w:r w:rsidRPr="00102445">
        <w:rPr>
          <w:rFonts w:asciiTheme="minorHAnsi" w:hAnsiTheme="minorHAnsi" w:cstheme="minorHAnsi"/>
          <w:sz w:val="22"/>
        </w:rPr>
        <w:t xml:space="preserve">draft </w:t>
      </w:r>
      <w:r w:rsidRPr="00102445">
        <w:rPr>
          <w:rFonts w:asciiTheme="minorHAnsi" w:hAnsiTheme="minorHAnsi" w:cstheme="minorHAnsi"/>
          <w:i/>
          <w:iCs/>
          <w:sz w:val="22"/>
        </w:rPr>
        <w:t>National Greenhouse and Energy Reporting (Safeguard Mechanism) Amendment (Reforms) Rules 2023</w:t>
      </w:r>
      <w:r w:rsidRPr="00102445">
        <w:rPr>
          <w:rFonts w:asciiTheme="minorHAnsi" w:hAnsiTheme="minorHAnsi" w:cstheme="minorHAnsi"/>
          <w:sz w:val="22"/>
        </w:rPr>
        <w:t>,</w:t>
      </w:r>
    </w:p>
    <w:p w14:paraId="78512AA4" w14:textId="77777777" w:rsidR="00676DA1" w:rsidRPr="00102445" w:rsidRDefault="00676DA1" w:rsidP="00676DA1">
      <w:pPr>
        <w:pStyle w:val="ListParagraph"/>
        <w:numPr>
          <w:ilvl w:val="1"/>
          <w:numId w:val="5"/>
        </w:numPr>
        <w:spacing w:before="0" w:after="120" w:line="264" w:lineRule="auto"/>
        <w:rPr>
          <w:rFonts w:asciiTheme="minorHAnsi" w:hAnsiTheme="minorHAnsi" w:cstheme="minorHAnsi"/>
          <w:sz w:val="22"/>
        </w:rPr>
      </w:pPr>
      <w:r w:rsidRPr="00102445">
        <w:rPr>
          <w:rFonts w:asciiTheme="minorHAnsi" w:hAnsiTheme="minorHAnsi" w:cstheme="minorHAnsi"/>
          <w:sz w:val="22"/>
        </w:rPr>
        <w:t xml:space="preserve">draft </w:t>
      </w:r>
      <w:r w:rsidRPr="00102445">
        <w:rPr>
          <w:rFonts w:asciiTheme="minorHAnsi" w:hAnsiTheme="minorHAnsi" w:cstheme="minorHAnsi"/>
          <w:i/>
          <w:iCs/>
          <w:sz w:val="22"/>
        </w:rPr>
        <w:t>Carbon Credits (Carbon Farming Initiative) Amendment (No. 2) 2023,</w:t>
      </w:r>
    </w:p>
    <w:p w14:paraId="5CDDC359" w14:textId="77777777" w:rsidR="00676DA1" w:rsidRPr="00102445" w:rsidRDefault="00676DA1" w:rsidP="00676DA1">
      <w:pPr>
        <w:pStyle w:val="ListParagraph"/>
        <w:numPr>
          <w:ilvl w:val="1"/>
          <w:numId w:val="5"/>
        </w:numPr>
        <w:spacing w:before="0" w:after="120" w:line="264" w:lineRule="auto"/>
        <w:rPr>
          <w:rFonts w:asciiTheme="minorHAnsi" w:hAnsiTheme="minorHAnsi" w:cstheme="minorHAnsi"/>
          <w:sz w:val="22"/>
        </w:rPr>
      </w:pPr>
      <w:r w:rsidRPr="00102445">
        <w:rPr>
          <w:rFonts w:asciiTheme="minorHAnsi" w:hAnsiTheme="minorHAnsi" w:cstheme="minorHAnsi"/>
          <w:sz w:val="22"/>
        </w:rPr>
        <w:lastRenderedPageBreak/>
        <w:t xml:space="preserve">draft </w:t>
      </w:r>
      <w:r w:rsidRPr="00102445">
        <w:rPr>
          <w:rFonts w:asciiTheme="minorHAnsi" w:hAnsiTheme="minorHAnsi" w:cstheme="minorHAnsi"/>
          <w:i/>
          <w:iCs/>
          <w:sz w:val="22"/>
        </w:rPr>
        <w:t>Australian National Registry of Emissions Units Rules 2023</w:t>
      </w:r>
      <w:r w:rsidRPr="00102445">
        <w:rPr>
          <w:rFonts w:asciiTheme="minorHAnsi" w:hAnsiTheme="minorHAnsi" w:cstheme="minorHAnsi"/>
          <w:sz w:val="22"/>
        </w:rPr>
        <w:t>,</w:t>
      </w:r>
    </w:p>
    <w:p w14:paraId="429C0B38" w14:textId="77777777" w:rsidR="00676DA1" w:rsidRPr="00102445" w:rsidRDefault="00676DA1" w:rsidP="00676DA1">
      <w:pPr>
        <w:pStyle w:val="ListParagraph"/>
        <w:numPr>
          <w:ilvl w:val="1"/>
          <w:numId w:val="5"/>
        </w:numPr>
        <w:spacing w:before="0" w:after="120" w:line="264" w:lineRule="auto"/>
        <w:rPr>
          <w:rFonts w:asciiTheme="minorHAnsi" w:hAnsiTheme="minorHAnsi" w:cstheme="minorHAnsi"/>
          <w:sz w:val="22"/>
        </w:rPr>
      </w:pPr>
      <w:r w:rsidRPr="00102445">
        <w:rPr>
          <w:rFonts w:asciiTheme="minorHAnsi" w:hAnsiTheme="minorHAnsi" w:cstheme="minorHAnsi"/>
          <w:sz w:val="22"/>
        </w:rPr>
        <w:t xml:space="preserve">draft </w:t>
      </w:r>
      <w:r w:rsidRPr="00102445">
        <w:rPr>
          <w:rFonts w:asciiTheme="minorHAnsi" w:hAnsiTheme="minorHAnsi" w:cstheme="minorHAnsi"/>
          <w:i/>
          <w:iCs/>
          <w:sz w:val="22"/>
        </w:rPr>
        <w:t>Safeguard Mechanism Legislation Amendment (2023 Measures No 1) Regulations 2023</w:t>
      </w:r>
    </w:p>
    <w:p w14:paraId="77672DAB" w14:textId="77777777" w:rsidR="00676DA1" w:rsidRPr="00102445" w:rsidRDefault="00676DA1" w:rsidP="00676DA1">
      <w:pPr>
        <w:pStyle w:val="ListParagraph"/>
        <w:numPr>
          <w:ilvl w:val="0"/>
          <w:numId w:val="5"/>
        </w:numPr>
        <w:spacing w:before="0" w:after="120" w:line="264" w:lineRule="auto"/>
        <w:rPr>
          <w:rFonts w:asciiTheme="minorHAnsi" w:hAnsiTheme="minorHAnsi" w:cstheme="minorHAnsi"/>
          <w:sz w:val="22"/>
        </w:rPr>
      </w:pPr>
      <w:r w:rsidRPr="00102445">
        <w:rPr>
          <w:rFonts w:asciiTheme="minorHAnsi" w:hAnsiTheme="minorHAnsi" w:cstheme="minorHAnsi"/>
          <w:sz w:val="22"/>
        </w:rPr>
        <w:t>Over 170 meetings held between June 2022 to April 2023</w:t>
      </w:r>
    </w:p>
    <w:p w14:paraId="4C500084" w14:textId="77777777" w:rsidR="00676DA1" w:rsidRPr="00102445" w:rsidRDefault="00676DA1" w:rsidP="00676DA1">
      <w:pPr>
        <w:pStyle w:val="ListParagraph"/>
        <w:numPr>
          <w:ilvl w:val="0"/>
          <w:numId w:val="5"/>
        </w:numPr>
        <w:spacing w:before="0" w:after="120" w:line="264" w:lineRule="auto"/>
        <w:rPr>
          <w:rFonts w:asciiTheme="minorHAnsi" w:hAnsiTheme="minorHAnsi" w:cstheme="minorHAnsi"/>
          <w:sz w:val="22"/>
        </w:rPr>
      </w:pPr>
      <w:r w:rsidRPr="00102445">
        <w:rPr>
          <w:rFonts w:asciiTheme="minorHAnsi" w:hAnsiTheme="minorHAnsi" w:cstheme="minorHAnsi"/>
          <w:sz w:val="22"/>
        </w:rPr>
        <w:t>Over 570 submissions have been received on the consultation paper, exposure draft legislation and position paper</w:t>
      </w:r>
    </w:p>
    <w:p w14:paraId="3430AA7C" w14:textId="77777777" w:rsidR="00676DA1" w:rsidRPr="00102445" w:rsidRDefault="00676DA1" w:rsidP="00676DA1">
      <w:pPr>
        <w:pStyle w:val="ListParagraph"/>
        <w:numPr>
          <w:ilvl w:val="0"/>
          <w:numId w:val="5"/>
        </w:numPr>
        <w:spacing w:before="0" w:after="120" w:line="264" w:lineRule="auto"/>
        <w:rPr>
          <w:rFonts w:asciiTheme="minorHAnsi" w:hAnsiTheme="minorHAnsi" w:cstheme="minorHAnsi"/>
          <w:sz w:val="22"/>
        </w:rPr>
      </w:pPr>
      <w:r w:rsidRPr="00102445">
        <w:rPr>
          <w:rFonts w:asciiTheme="minorHAnsi" w:hAnsiTheme="minorHAnsi" w:cstheme="minorHAnsi"/>
          <w:sz w:val="22"/>
        </w:rPr>
        <w:t>A summary of the consultation is included in the Regulatory Impact Analysis referred to in paragraph 18(i) below.</w:t>
      </w:r>
    </w:p>
    <w:p w14:paraId="4A092B6A" w14:textId="77777777" w:rsidR="00676DA1" w:rsidRPr="00102445" w:rsidRDefault="00676DA1" w:rsidP="00C1715D">
      <w:pPr>
        <w:pStyle w:val="Heading2"/>
        <w:keepNext w:val="0"/>
        <w:keepLines w:val="0"/>
        <w:spacing w:before="120" w:after="240" w:line="240" w:lineRule="auto"/>
        <w:rPr>
          <w:rFonts w:ascii="Calibri" w:eastAsiaTheme="minorEastAsia" w:hAnsi="Calibri" w:cstheme="minorBidi"/>
          <w:bCs/>
          <w:color w:val="auto"/>
          <w:szCs w:val="28"/>
          <w:lang w:eastAsia="ja-JP"/>
        </w:rPr>
      </w:pPr>
      <w:r w:rsidRPr="00102445">
        <w:rPr>
          <w:rFonts w:ascii="Calibri" w:eastAsiaTheme="minorEastAsia" w:hAnsi="Calibri" w:cstheme="minorBidi"/>
          <w:bCs/>
          <w:color w:val="auto"/>
          <w:szCs w:val="28"/>
          <w:lang w:eastAsia="ja-JP"/>
        </w:rPr>
        <w:t>Material on which my decision was based</w:t>
      </w:r>
    </w:p>
    <w:p w14:paraId="5CD36F93" w14:textId="77777777" w:rsidR="00676DA1" w:rsidRPr="00102445" w:rsidRDefault="00676DA1" w:rsidP="00676DA1">
      <w:pPr>
        <w:pStyle w:val="ListNumberDotted"/>
        <w:numPr>
          <w:ilvl w:val="0"/>
          <w:numId w:val="56"/>
        </w:numPr>
        <w:ind w:left="360"/>
        <w:rPr>
          <w:rFonts w:ascii="Calibri" w:hAnsi="Calibri" w:cs="Calibri"/>
        </w:rPr>
      </w:pPr>
      <w:r w:rsidRPr="00102445">
        <w:rPr>
          <w:rFonts w:ascii="Calibri" w:hAnsi="Calibri" w:cs="Calibri"/>
        </w:rPr>
        <w:t>My decision that I was satisfied that the Safeguard Rules as amended are consistent with each of the outcomes in paragraphs 3(2)(b), (c) and (d), and take into account the safeguard outcomes in paragraphs 3(2)(e) and (f) was made after considering a brief from the Department (MS23-900672), which contained the following attachments relevant to this decision:</w:t>
      </w:r>
    </w:p>
    <w:p w14:paraId="366C5416" w14:textId="77777777" w:rsidR="00676DA1" w:rsidRPr="00102445" w:rsidRDefault="00676DA1" w:rsidP="00676DA1">
      <w:pPr>
        <w:pStyle w:val="ListNumberDotted"/>
        <w:numPr>
          <w:ilvl w:val="1"/>
          <w:numId w:val="56"/>
        </w:numPr>
        <w:rPr>
          <w:rFonts w:ascii="Calibri" w:hAnsi="Calibri" w:cs="Calibri"/>
        </w:rPr>
      </w:pPr>
      <w:r w:rsidRPr="00102445">
        <w:rPr>
          <w:rFonts w:ascii="Calibri" w:hAnsi="Calibri" w:cs="Calibri"/>
        </w:rPr>
        <w:t>National Greenhouse and Energy Reporting (Safeguard Mechanism) Amendment (Reforms) Rules 2023</w:t>
      </w:r>
    </w:p>
    <w:p w14:paraId="74E2A93B" w14:textId="77777777" w:rsidR="00676DA1" w:rsidRPr="00102445" w:rsidRDefault="00676DA1" w:rsidP="00676DA1">
      <w:pPr>
        <w:pStyle w:val="ListNumberDotted"/>
        <w:numPr>
          <w:ilvl w:val="1"/>
          <w:numId w:val="56"/>
        </w:numPr>
        <w:rPr>
          <w:rFonts w:ascii="Calibri" w:hAnsi="Calibri" w:cs="Calibri"/>
        </w:rPr>
      </w:pPr>
      <w:r w:rsidRPr="00102445">
        <w:rPr>
          <w:rFonts w:ascii="Calibri" w:hAnsi="Calibri" w:cs="Calibri"/>
        </w:rPr>
        <w:t>Carbon Credits (Carbon Farming Initiative) Amendment (No.2) Rules 2023</w:t>
      </w:r>
    </w:p>
    <w:p w14:paraId="36832316" w14:textId="77777777" w:rsidR="00676DA1" w:rsidRPr="00102445" w:rsidRDefault="00676DA1" w:rsidP="00676DA1">
      <w:pPr>
        <w:pStyle w:val="ListNumberDotted"/>
        <w:numPr>
          <w:ilvl w:val="1"/>
          <w:numId w:val="56"/>
        </w:numPr>
        <w:rPr>
          <w:rFonts w:ascii="Calibri" w:hAnsi="Calibri" w:cs="Calibri"/>
        </w:rPr>
      </w:pPr>
      <w:r w:rsidRPr="00102445">
        <w:rPr>
          <w:rFonts w:ascii="Calibri" w:hAnsi="Calibri" w:cs="Calibri"/>
        </w:rPr>
        <w:t>Australian National Registry of Emissions Units Rules 2023</w:t>
      </w:r>
    </w:p>
    <w:p w14:paraId="5FE5D723" w14:textId="77777777" w:rsidR="00676DA1" w:rsidRPr="00102445" w:rsidRDefault="00676DA1" w:rsidP="00676DA1">
      <w:pPr>
        <w:pStyle w:val="ListNumberDotted"/>
        <w:numPr>
          <w:ilvl w:val="1"/>
          <w:numId w:val="56"/>
        </w:numPr>
        <w:rPr>
          <w:rFonts w:ascii="Calibri" w:hAnsi="Calibri" w:cs="Calibri"/>
        </w:rPr>
      </w:pPr>
      <w:r w:rsidRPr="00102445">
        <w:rPr>
          <w:rFonts w:ascii="Calibri" w:hAnsi="Calibri" w:cs="Calibri"/>
        </w:rPr>
        <w:t>Explanatory Statement: National Greenhouse and Energy Reporting (Safeguard Mechanism) Amendment (Reforms) Rules 2023</w:t>
      </w:r>
    </w:p>
    <w:p w14:paraId="0F7B32E2" w14:textId="77777777" w:rsidR="00676DA1" w:rsidRPr="00102445" w:rsidRDefault="00676DA1" w:rsidP="00676DA1">
      <w:pPr>
        <w:pStyle w:val="ListNumberDotted"/>
        <w:numPr>
          <w:ilvl w:val="1"/>
          <w:numId w:val="56"/>
        </w:numPr>
        <w:rPr>
          <w:rFonts w:ascii="Calibri" w:hAnsi="Calibri" w:cs="Calibri"/>
        </w:rPr>
      </w:pPr>
      <w:r w:rsidRPr="00102445">
        <w:rPr>
          <w:rFonts w:ascii="Calibri" w:hAnsi="Calibri" w:cs="Calibri"/>
        </w:rPr>
        <w:t>Explanatory Statement: Carbon Credits (Carbon Farming Initiative) Amendment (No.2) 2023</w:t>
      </w:r>
    </w:p>
    <w:p w14:paraId="045BC16D" w14:textId="77777777" w:rsidR="00676DA1" w:rsidRPr="00102445" w:rsidRDefault="00676DA1" w:rsidP="00676DA1">
      <w:pPr>
        <w:pStyle w:val="ListNumberDotted"/>
        <w:numPr>
          <w:ilvl w:val="1"/>
          <w:numId w:val="56"/>
        </w:numPr>
        <w:rPr>
          <w:rFonts w:ascii="Calibri" w:hAnsi="Calibri" w:cs="Calibri"/>
        </w:rPr>
      </w:pPr>
      <w:r w:rsidRPr="00102445">
        <w:rPr>
          <w:rFonts w:ascii="Calibri" w:hAnsi="Calibri" w:cs="Calibri"/>
        </w:rPr>
        <w:t>Explanatory Statement: Australian National Registry of Emissions Units Rules 2023</w:t>
      </w:r>
    </w:p>
    <w:p w14:paraId="4F182459" w14:textId="77777777" w:rsidR="00676DA1" w:rsidRPr="00102445" w:rsidRDefault="00676DA1" w:rsidP="00676DA1">
      <w:pPr>
        <w:pStyle w:val="ListNumberDotted"/>
        <w:numPr>
          <w:ilvl w:val="1"/>
          <w:numId w:val="56"/>
        </w:numPr>
        <w:rPr>
          <w:rFonts w:ascii="Calibri" w:hAnsi="Calibri" w:cs="Calibri"/>
        </w:rPr>
      </w:pPr>
      <w:r w:rsidRPr="00102445">
        <w:rPr>
          <w:rFonts w:ascii="Calibri" w:hAnsi="Calibri" w:cs="Calibri"/>
        </w:rPr>
        <w:t xml:space="preserve">Draft Statement of Reasons </w:t>
      </w:r>
    </w:p>
    <w:p w14:paraId="6C375B8C" w14:textId="77777777" w:rsidR="00676DA1" w:rsidRPr="00102445" w:rsidRDefault="00676DA1" w:rsidP="00676DA1">
      <w:pPr>
        <w:pStyle w:val="ListNumberDotted"/>
        <w:numPr>
          <w:ilvl w:val="1"/>
          <w:numId w:val="56"/>
        </w:numPr>
        <w:rPr>
          <w:rFonts w:ascii="Calibri" w:hAnsi="Calibri" w:cs="Calibri"/>
        </w:rPr>
      </w:pPr>
      <w:r w:rsidRPr="00102445">
        <w:rPr>
          <w:rFonts w:ascii="Calibri" w:hAnsi="Calibri" w:cs="Calibri"/>
        </w:rPr>
        <w:t xml:space="preserve">Other analysis relating to Statement of Reasons – including calculations that contain Cabinet-in-Confidence information </w:t>
      </w:r>
    </w:p>
    <w:p w14:paraId="22BFF54F" w14:textId="77777777" w:rsidR="00676DA1" w:rsidRPr="00102445" w:rsidRDefault="00676DA1" w:rsidP="00676DA1">
      <w:pPr>
        <w:pStyle w:val="ListNumberDotted"/>
        <w:numPr>
          <w:ilvl w:val="2"/>
          <w:numId w:val="56"/>
        </w:numPr>
      </w:pPr>
      <w:r w:rsidRPr="00102445">
        <w:t>Decline rate analysis – Calculations from the Department relating to projected emissions without reforms and specific default decline rate required to achieve net emissions outcomes.</w:t>
      </w:r>
    </w:p>
    <w:p w14:paraId="39329D75" w14:textId="77777777" w:rsidR="00676DA1" w:rsidRPr="00102445" w:rsidRDefault="00676DA1" w:rsidP="00676DA1">
      <w:pPr>
        <w:pStyle w:val="ListNumberDotted"/>
        <w:numPr>
          <w:ilvl w:val="2"/>
          <w:numId w:val="56"/>
        </w:numPr>
      </w:pPr>
      <w:r w:rsidRPr="00102445">
        <w:t>Gross emissions analysis – Calculations from the Department relating to projected emissions without reforms, potential uptake of on-site abatement and historical emissions data, relating to 5 year rolling average emissions outcomes. The data underlying these calculations is classified Cabinet in Confidence and in addition, the information could be market sensitive. It has consequently been covered by public interest immunity claims tabled to the Senate Environment and Communications Legislation Committee (1 March 2023) and provided to the Senate on 9 March 2023 under a Senate Order of 7 March 2023.</w:t>
      </w:r>
    </w:p>
    <w:p w14:paraId="65CF6F76" w14:textId="77777777" w:rsidR="00676DA1" w:rsidRPr="00102445" w:rsidRDefault="00676DA1" w:rsidP="00676DA1">
      <w:pPr>
        <w:pStyle w:val="ListNumberDotted"/>
        <w:numPr>
          <w:ilvl w:val="1"/>
          <w:numId w:val="56"/>
        </w:numPr>
        <w:rPr>
          <w:rFonts w:ascii="Calibri" w:hAnsi="Calibri" w:cs="Calibri"/>
        </w:rPr>
      </w:pPr>
      <w:r w:rsidRPr="00102445">
        <w:rPr>
          <w:rFonts w:ascii="Calibri" w:hAnsi="Calibri" w:cs="Calibri"/>
        </w:rPr>
        <w:t>Regulatory Impact Analysis (which includes a summary of the stakeholder consultations)</w:t>
      </w:r>
    </w:p>
    <w:p w14:paraId="61F3F987" w14:textId="77777777" w:rsidR="00676DA1" w:rsidRPr="00102445" w:rsidRDefault="00676DA1" w:rsidP="00676DA1">
      <w:pPr>
        <w:pStyle w:val="ListNumberDotted"/>
        <w:numPr>
          <w:ilvl w:val="1"/>
          <w:numId w:val="56"/>
        </w:numPr>
        <w:rPr>
          <w:rFonts w:ascii="Calibri" w:hAnsi="Calibri" w:cs="Calibri"/>
        </w:rPr>
      </w:pPr>
      <w:r w:rsidRPr="00102445">
        <w:rPr>
          <w:rFonts w:ascii="Calibri" w:hAnsi="Calibri" w:cs="Calibri"/>
        </w:rPr>
        <w:t>Department’s certification letter</w:t>
      </w:r>
    </w:p>
    <w:p w14:paraId="67B88CF4" w14:textId="77777777" w:rsidR="00676DA1" w:rsidRPr="00102445" w:rsidRDefault="00676DA1" w:rsidP="00676DA1">
      <w:pPr>
        <w:pStyle w:val="ListNumberDotted"/>
        <w:numPr>
          <w:ilvl w:val="1"/>
          <w:numId w:val="56"/>
        </w:numPr>
        <w:rPr>
          <w:rFonts w:ascii="Calibri" w:hAnsi="Calibri" w:cs="Calibri"/>
        </w:rPr>
      </w:pPr>
      <w:r w:rsidRPr="00102445">
        <w:rPr>
          <w:rFonts w:ascii="Calibri" w:hAnsi="Calibri" w:cs="Calibri"/>
        </w:rPr>
        <w:lastRenderedPageBreak/>
        <w:t>Office of Impact Analysis assessment letter</w:t>
      </w:r>
    </w:p>
    <w:p w14:paraId="0A5175A7" w14:textId="77777777" w:rsidR="001D4040" w:rsidRPr="00102445" w:rsidRDefault="001D4040">
      <w:pPr>
        <w:spacing w:before="0" w:after="160" w:line="259" w:lineRule="auto"/>
        <w:rPr>
          <w:rFonts w:ascii="Calibri" w:eastAsiaTheme="minorEastAsia" w:hAnsi="Calibri"/>
          <w:b/>
          <w:bCs/>
          <w:szCs w:val="28"/>
          <w:lang w:eastAsia="ja-JP"/>
        </w:rPr>
      </w:pPr>
      <w:r w:rsidRPr="00102445">
        <w:rPr>
          <w:rFonts w:ascii="Calibri" w:eastAsiaTheme="minorEastAsia" w:hAnsi="Calibri"/>
          <w:bCs/>
          <w:szCs w:val="28"/>
          <w:lang w:eastAsia="ja-JP"/>
        </w:rPr>
        <w:br w:type="page"/>
      </w:r>
    </w:p>
    <w:p w14:paraId="2E044F79" w14:textId="0DF4FB18" w:rsidR="00676DA1" w:rsidRPr="00102445" w:rsidRDefault="00676DA1" w:rsidP="00C1715D">
      <w:pPr>
        <w:pStyle w:val="Heading2"/>
        <w:keepNext w:val="0"/>
        <w:keepLines w:val="0"/>
        <w:spacing w:before="120" w:after="240" w:line="240" w:lineRule="auto"/>
        <w:rPr>
          <w:rStyle w:val="Heading3Char"/>
          <w:rFonts w:eastAsiaTheme="minorEastAsia"/>
          <w:b w:val="0"/>
          <w:bCs w:val="0"/>
          <w:szCs w:val="28"/>
          <w:lang w:eastAsia="ja-JP"/>
        </w:rPr>
      </w:pPr>
      <w:r w:rsidRPr="00102445">
        <w:rPr>
          <w:rFonts w:ascii="Calibri" w:eastAsiaTheme="minorEastAsia" w:hAnsi="Calibri" w:cstheme="minorBidi"/>
          <w:bCs/>
          <w:color w:val="auto"/>
          <w:szCs w:val="28"/>
          <w:lang w:eastAsia="ja-JP"/>
        </w:rPr>
        <w:lastRenderedPageBreak/>
        <w:t>Reasons</w:t>
      </w:r>
      <w:r w:rsidRPr="00102445">
        <w:t xml:space="preserve"> </w:t>
      </w:r>
    </w:p>
    <w:p w14:paraId="76699ED5" w14:textId="77777777" w:rsidR="00676DA1" w:rsidRPr="00102445" w:rsidRDefault="00676DA1" w:rsidP="00676DA1">
      <w:pPr>
        <w:pStyle w:val="paragraph"/>
        <w:ind w:left="0" w:firstLine="0"/>
        <w:rPr>
          <w:rFonts w:asciiTheme="minorHAnsi" w:hAnsiTheme="minorHAnsi" w:cstheme="minorHAnsi"/>
          <w:b/>
          <w:bCs/>
        </w:rPr>
      </w:pPr>
      <w:r w:rsidRPr="00102445">
        <w:rPr>
          <w:rFonts w:asciiTheme="minorHAnsi" w:hAnsiTheme="minorHAnsi" w:cstheme="minorHAnsi"/>
          <w:i/>
          <w:iCs/>
        </w:rPr>
        <w:tab/>
      </w:r>
      <w:r w:rsidRPr="00102445">
        <w:rPr>
          <w:rFonts w:asciiTheme="minorHAnsi" w:hAnsiTheme="minorHAnsi" w:cstheme="minorHAnsi"/>
          <w:b/>
          <w:bCs/>
        </w:rPr>
        <w:t>I am satisfied that the Safeguard Rules as amended are consistent with safeguard outcome (b): that total net safeguard emissions for all of the financial years between 1 July 2020 and 30 June 2030 do not exceed a total of 1,233 million tonnes of carbon dioxide equivalence</w:t>
      </w:r>
    </w:p>
    <w:p w14:paraId="4CFF5554" w14:textId="77777777" w:rsidR="00676DA1" w:rsidRPr="00102445" w:rsidRDefault="00676DA1" w:rsidP="00676DA1">
      <w:pPr>
        <w:pStyle w:val="ListNumberDotted"/>
        <w:numPr>
          <w:ilvl w:val="0"/>
          <w:numId w:val="56"/>
        </w:numPr>
        <w:ind w:left="360"/>
        <w:rPr>
          <w:szCs w:val="24"/>
          <w:lang w:eastAsia="en-AU"/>
        </w:rPr>
      </w:pPr>
      <w:r w:rsidRPr="00102445">
        <w:rPr>
          <w:rFonts w:eastAsia="Times New Roman" w:cs="Times New Roman"/>
          <w:szCs w:val="24"/>
          <w:lang w:eastAsia="en-AU"/>
        </w:rPr>
        <w:t xml:space="preserve">Part 3 of </w:t>
      </w:r>
      <w:r w:rsidRPr="00102445">
        <w:rPr>
          <w:lang w:eastAsia="en-AU"/>
        </w:rPr>
        <w:t>the Safeguard Rules as amended specifies the default decline rate for a financial year. The default decline rate is a percentage representation of the amount that baselines, and therefore the cap on aggregate net emissions, are reduced in each financial year, subject to changes in production. The default decline rate is translated for use in baseline calculations in the default emissions reduction contribution number.</w:t>
      </w:r>
    </w:p>
    <w:p w14:paraId="7A794C68" w14:textId="77777777" w:rsidR="00676DA1" w:rsidRPr="00102445" w:rsidRDefault="00676DA1" w:rsidP="00676DA1">
      <w:pPr>
        <w:pStyle w:val="ListNumberDotted"/>
        <w:numPr>
          <w:ilvl w:val="1"/>
          <w:numId w:val="56"/>
        </w:numPr>
        <w:rPr>
          <w:rStyle w:val="normaltextrun"/>
          <w:szCs w:val="24"/>
        </w:rPr>
      </w:pPr>
      <w:r w:rsidRPr="00102445">
        <w:rPr>
          <w:rStyle w:val="normaltextrun"/>
        </w:rPr>
        <w:t xml:space="preserve">For each financial year in the period that ends on 30 June 2030, the default decline rate is 0.049, or 4.9 per cent. </w:t>
      </w:r>
    </w:p>
    <w:p w14:paraId="1A752A45" w14:textId="77777777" w:rsidR="00676DA1" w:rsidRPr="00102445" w:rsidRDefault="00676DA1" w:rsidP="00676DA1">
      <w:pPr>
        <w:pStyle w:val="ListNumberDotted"/>
        <w:numPr>
          <w:ilvl w:val="1"/>
          <w:numId w:val="56"/>
        </w:numPr>
        <w:rPr>
          <w:szCs w:val="24"/>
        </w:rPr>
      </w:pPr>
      <w:r w:rsidRPr="00102445">
        <w:rPr>
          <w:rStyle w:val="normaltextrun"/>
        </w:rPr>
        <w:t>For each financial year in the period that begins on 1 July 2030, the default decline rate is 0.03285, or 3.285 per cent.</w:t>
      </w:r>
    </w:p>
    <w:p w14:paraId="1BE34F8B" w14:textId="77777777" w:rsidR="00676DA1" w:rsidRPr="00102445" w:rsidRDefault="00676DA1" w:rsidP="00676DA1">
      <w:pPr>
        <w:pStyle w:val="ListNumberDotted"/>
        <w:numPr>
          <w:ilvl w:val="0"/>
          <w:numId w:val="56"/>
        </w:numPr>
        <w:ind w:left="360"/>
      </w:pPr>
      <w:r w:rsidRPr="00102445">
        <w:rPr>
          <w:lang w:eastAsia="en-AU"/>
        </w:rPr>
        <w:t>The default emissions reduction contribution number is a key input to baseline calculations. It translates the default decline rate to a form suitable for use in baseline calculations. For the year beginning 1 July 2023 it equates to 1 minus the default decline rate of 0.049. For each year, an additional 0.049 is subtracted from the default emissions reduction contribution of the previous year up until 1 July 2030.</w:t>
      </w:r>
    </w:p>
    <w:p w14:paraId="7A6F3CFE" w14:textId="77777777" w:rsidR="00676DA1" w:rsidRPr="00102445" w:rsidRDefault="00676DA1" w:rsidP="00676DA1">
      <w:pPr>
        <w:pStyle w:val="ListNumberDotted"/>
        <w:numPr>
          <w:ilvl w:val="0"/>
          <w:numId w:val="56"/>
        </w:numPr>
        <w:ind w:left="360"/>
      </w:pPr>
      <w:r w:rsidRPr="00102445">
        <w:t xml:space="preserve">The default decline rate as provided for within Part 3 of the Safeguard Rules as amended was specifically calculated by the Department to ensure net safeguard emissions do not exceed a total of 1,233 million tonnes of carbon dioxide equivalence between 1 July 2020 and 30 June 2030, as outlined in following paragraphs. </w:t>
      </w:r>
    </w:p>
    <w:p w14:paraId="1883D0A4" w14:textId="77777777" w:rsidR="00676DA1" w:rsidRPr="00102445" w:rsidRDefault="00676DA1" w:rsidP="00676DA1">
      <w:pPr>
        <w:pStyle w:val="ListNumberDotted"/>
        <w:numPr>
          <w:ilvl w:val="0"/>
          <w:numId w:val="56"/>
        </w:numPr>
        <w:ind w:left="360"/>
      </w:pPr>
      <w:r w:rsidRPr="00102445">
        <w:t xml:space="preserve">The default decline rate to 30 June 2030 was formulated on the basis of analysis completed by the Department, which was informed by projected safeguard emissions from </w:t>
      </w:r>
      <w:r w:rsidRPr="00102445">
        <w:rPr>
          <w:i/>
          <w:iCs/>
        </w:rPr>
        <w:t>Australia’s emissions projections 2022</w:t>
      </w:r>
      <w:r w:rsidRPr="00102445">
        <w:rPr>
          <w:rStyle w:val="FootnoteReference"/>
          <w:i/>
          <w:iCs/>
        </w:rPr>
        <w:footnoteReference w:id="8"/>
      </w:r>
      <w:r w:rsidRPr="00102445">
        <w:t>, Australia’s 2030 targets expressed in Australia’s NDC and data contained in the National Greenhouse Gas Inventory Quarterly Update: June 2022</w:t>
      </w:r>
      <w:r w:rsidRPr="00102445">
        <w:rPr>
          <w:rStyle w:val="FootnoteReference"/>
        </w:rPr>
        <w:footnoteReference w:id="9"/>
      </w:r>
      <w:r w:rsidRPr="00102445">
        <w:t xml:space="preserve">. </w:t>
      </w:r>
    </w:p>
    <w:p w14:paraId="13E7DA81" w14:textId="77777777" w:rsidR="00676DA1" w:rsidRPr="00102445" w:rsidRDefault="00676DA1" w:rsidP="00676DA1">
      <w:pPr>
        <w:pStyle w:val="ListNumberDotted"/>
        <w:numPr>
          <w:ilvl w:val="0"/>
          <w:numId w:val="56"/>
        </w:numPr>
        <w:ind w:left="360"/>
      </w:pPr>
      <w:r w:rsidRPr="00102445">
        <w:rPr>
          <w:i/>
        </w:rPr>
        <w:t>Australia’s emissions projections 2022</w:t>
      </w:r>
      <w:r w:rsidRPr="00102445">
        <w:t xml:space="preserve"> suggested that an estimated 421 Mt CO</w:t>
      </w:r>
      <w:r w:rsidRPr="00102445">
        <w:rPr>
          <w:vertAlign w:val="subscript"/>
        </w:rPr>
        <w:t>2</w:t>
      </w:r>
      <w:r w:rsidRPr="00102445">
        <w:t>-e could be emitted from designated large facilities over the period 2020-21 to 2022-23. This would have left 812 Mt CO</w:t>
      </w:r>
      <w:r w:rsidRPr="00102445">
        <w:rPr>
          <w:vertAlign w:val="subscript"/>
        </w:rPr>
        <w:t>2</w:t>
      </w:r>
      <w:r w:rsidRPr="00102445">
        <w:t>-e from the 1,233 Mt CO</w:t>
      </w:r>
      <w:r w:rsidRPr="00102445">
        <w:rPr>
          <w:vertAlign w:val="subscript"/>
        </w:rPr>
        <w:t>2</w:t>
      </w:r>
      <w:r w:rsidRPr="00102445">
        <w:t>-e safeguard net emissions budget for the period 2023-24 to 2029-30. Based on the outcomes from the 2021-22 compliance year, net safeguard emissions were 3 Mt CO</w:t>
      </w:r>
      <w:r w:rsidRPr="00102445">
        <w:rPr>
          <w:vertAlign w:val="subscript"/>
        </w:rPr>
        <w:t>2</w:t>
      </w:r>
      <w:r w:rsidRPr="00102445">
        <w:t>-e lower than projected, and so the remaining portion of the net emissions budget for 2023-24 to 2029-30 is 815 Mt CO</w:t>
      </w:r>
      <w:r w:rsidRPr="00102445">
        <w:rPr>
          <w:vertAlign w:val="subscript"/>
        </w:rPr>
        <w:t>2</w:t>
      </w:r>
      <w:r w:rsidRPr="00102445">
        <w:t xml:space="preserve">-e. </w:t>
      </w:r>
    </w:p>
    <w:p w14:paraId="40B63FCF" w14:textId="77777777" w:rsidR="00676DA1" w:rsidRPr="00102445" w:rsidRDefault="00676DA1" w:rsidP="00676DA1">
      <w:pPr>
        <w:pStyle w:val="ListNumberDotted"/>
        <w:numPr>
          <w:ilvl w:val="0"/>
          <w:numId w:val="56"/>
        </w:numPr>
        <w:ind w:left="360"/>
      </w:pPr>
      <w:r w:rsidRPr="00102445">
        <w:t xml:space="preserve">The Department’s decline rate analysis, which I relied on, calculates the projected declining baselines for designated large facilities over 2023-24 to 2029-30 on the basis of a facility specific consideration of the baseline emissions numbers in accordance with Part 3 of the Safeguard Rules as amended. In undertaking consideration on a facility by facility basis, the decline rate analysis took into account the likely numbers of </w:t>
      </w:r>
      <w:r w:rsidRPr="00102445">
        <w:lastRenderedPageBreak/>
        <w:t xml:space="preserve">facilities subject to each of the following provisions in paragraph 25 below. Since international best practice emissions intensities have not yet been determined apart from reservoir carbon dioxide feeding existing liquefied natural gas, the decline rate analysis applied Australian best practice as a proxy for international best practice, adapted for Australian circumstances. This is a conservative approach to the analysis since there will be times when Australian best practice is the lowest emissions intensity and other times when best practice occurs in another country or countries. Consequently, the overall outcome is expected to be lower using international best practice, adapted for Australian circumstances, than Australian best practice.  </w:t>
      </w:r>
    </w:p>
    <w:p w14:paraId="2ABAC3D7" w14:textId="77777777" w:rsidR="00676DA1" w:rsidRPr="00102445" w:rsidRDefault="00676DA1" w:rsidP="00676DA1">
      <w:pPr>
        <w:pStyle w:val="ListNumberDotted"/>
        <w:numPr>
          <w:ilvl w:val="0"/>
          <w:numId w:val="56"/>
        </w:numPr>
        <w:ind w:left="360"/>
      </w:pPr>
      <w:r w:rsidRPr="00102445">
        <w:t>The decline rate analysis took into account the following provisions in Part 3 of the Safeguard Rules as amended:</w:t>
      </w:r>
    </w:p>
    <w:p w14:paraId="59F7C833" w14:textId="77777777" w:rsidR="00676DA1" w:rsidRPr="00102445" w:rsidRDefault="00676DA1" w:rsidP="00676DA1">
      <w:pPr>
        <w:pStyle w:val="ListNumberDotted"/>
        <w:numPr>
          <w:ilvl w:val="1"/>
          <w:numId w:val="56"/>
        </w:numPr>
      </w:pPr>
      <w:r w:rsidRPr="00102445">
        <w:t xml:space="preserve">Division 1 of Part 3 – General – which establishes that the minimum baseline emissions number is 100,000 (unless a borrowing adjustment applies); the baseline emissions for a shale gas facility (as defined in Division 7 of Part 3) for a financial year is zero; and the baseline emissions number for a facility for a financial year that begins after 30 June 2049 is to be zero. </w:t>
      </w:r>
    </w:p>
    <w:p w14:paraId="11C8361B" w14:textId="77777777" w:rsidR="00676DA1" w:rsidRPr="00102445" w:rsidRDefault="00676DA1" w:rsidP="00676DA1">
      <w:pPr>
        <w:pStyle w:val="ListNumberDotted"/>
        <w:numPr>
          <w:ilvl w:val="1"/>
          <w:numId w:val="56"/>
        </w:numPr>
      </w:pPr>
      <w:r w:rsidRPr="00102445">
        <w:t>Division 2 of Part 3 – Existing facilities – which establishes the hybrid model initially weighted towards the use of</w:t>
      </w:r>
      <w:r w:rsidRPr="00102445">
        <w:rPr>
          <w:rFonts w:ascii="Calibri" w:eastAsia="Calibri" w:hAnsi="Calibri" w:cs="Calibri"/>
        </w:rPr>
        <w:t xml:space="preserve"> site-specific emissions intensity values, transitioning to industry average emissions intensity values by 2030. </w:t>
      </w:r>
      <w:r w:rsidRPr="00102445">
        <w:t xml:space="preserve">Reservoir carbon dioxide from new gas fields supplying existing liquefied natural gas has a production variable at best practice emission intensity of zero. </w:t>
      </w:r>
    </w:p>
    <w:p w14:paraId="48D05AA9" w14:textId="77777777" w:rsidR="00676DA1" w:rsidRPr="00102445" w:rsidRDefault="00676DA1" w:rsidP="00676DA1">
      <w:pPr>
        <w:pStyle w:val="ListNumberDotted"/>
        <w:numPr>
          <w:ilvl w:val="1"/>
          <w:numId w:val="56"/>
        </w:numPr>
      </w:pPr>
      <w:r w:rsidRPr="00102445">
        <w:t xml:space="preserve">Division 3 of Part 3 – New facilities – which establishes that baselines will be set at international best practice, adapted for Australian circumstances.  </w:t>
      </w:r>
    </w:p>
    <w:p w14:paraId="7C32EFB7" w14:textId="77777777" w:rsidR="00676DA1" w:rsidRPr="00102445" w:rsidRDefault="00676DA1" w:rsidP="00676DA1">
      <w:pPr>
        <w:pStyle w:val="ListNumberDotted"/>
        <w:numPr>
          <w:ilvl w:val="1"/>
          <w:numId w:val="56"/>
        </w:numPr>
      </w:pPr>
      <w:r w:rsidRPr="00102445">
        <w:t>Division 4 of Part 3 – Landfill facilities – which provides the baseline arrangement of landfill facilities. I note that landfill facilities have different coverage and baseline setting arrangements to other facilities—calculated from a default capture efficiency rate of 37.2 per cent.</w:t>
      </w:r>
    </w:p>
    <w:p w14:paraId="49233604" w14:textId="77777777" w:rsidR="00676DA1" w:rsidRPr="00102445" w:rsidRDefault="00676DA1" w:rsidP="00676DA1">
      <w:pPr>
        <w:pStyle w:val="ListNumberDotted"/>
        <w:numPr>
          <w:ilvl w:val="1"/>
          <w:numId w:val="56"/>
        </w:numPr>
      </w:pPr>
      <w:r w:rsidRPr="00102445">
        <w:t xml:space="preserve">Division 5 of Part 3 – Emissions reduction contribution – which establishes the emissions contribution for both facilities which are not TEBA (ie ‘regular facilities’) and those that are TEBA. </w:t>
      </w:r>
    </w:p>
    <w:p w14:paraId="66DC1F14" w14:textId="77777777" w:rsidR="00676DA1" w:rsidRPr="00102445" w:rsidRDefault="00676DA1" w:rsidP="00676DA1">
      <w:pPr>
        <w:pStyle w:val="ListNumberDotted"/>
        <w:numPr>
          <w:ilvl w:val="0"/>
          <w:numId w:val="56"/>
        </w:numPr>
        <w:ind w:left="360"/>
      </w:pPr>
      <w:r w:rsidRPr="00102445">
        <w:t>The Department’s decline rate analysis allows for a 15 Mt CO</w:t>
      </w:r>
      <w:r w:rsidRPr="00102445">
        <w:rPr>
          <w:vertAlign w:val="subscript"/>
        </w:rPr>
        <w:t>2</w:t>
      </w:r>
      <w:r w:rsidRPr="00102445">
        <w:t xml:space="preserve">-e emissions reserve, to protect against the event that emissions from designated large facilities are higher than originally projected. The reserve has been established to:  </w:t>
      </w:r>
    </w:p>
    <w:p w14:paraId="25A12420" w14:textId="77777777" w:rsidR="00676DA1" w:rsidRPr="00102445" w:rsidRDefault="00676DA1" w:rsidP="00676DA1">
      <w:pPr>
        <w:pStyle w:val="ListNumberDotted"/>
        <w:numPr>
          <w:ilvl w:val="1"/>
          <w:numId w:val="56"/>
        </w:numPr>
      </w:pPr>
      <w:r w:rsidRPr="00102445">
        <w:t xml:space="preserve">Manage uncertainty in the production and emissions from new projects that may enter the Safeguard Mechanism, as well as uncertainty in the future production and emissions from existing designated large facilities. </w:t>
      </w:r>
    </w:p>
    <w:p w14:paraId="31F39BA5" w14:textId="77777777" w:rsidR="00676DA1" w:rsidRPr="00102445" w:rsidRDefault="00676DA1" w:rsidP="00676DA1">
      <w:pPr>
        <w:pStyle w:val="ListNumberDotted"/>
        <w:numPr>
          <w:ilvl w:val="2"/>
          <w:numId w:val="56"/>
        </w:numPr>
      </w:pPr>
      <w:r w:rsidRPr="00102445">
        <w:t xml:space="preserve">The level of production uncertainty included in the reserve is benchmarked to the interannual variability of historical reported emissions from designated large facilities of around 1 per cent. </w:t>
      </w:r>
      <w:r w:rsidRPr="00102445">
        <w:rPr>
          <w:rFonts w:eastAsiaTheme="minorEastAsia"/>
        </w:rPr>
        <w:t xml:space="preserve">Without the Safeguard reforms, emissions are projected by </w:t>
      </w:r>
      <w:r w:rsidRPr="00102445">
        <w:rPr>
          <w:rFonts w:eastAsiaTheme="minorEastAsia"/>
          <w:i/>
          <w:iCs/>
        </w:rPr>
        <w:t>Australia’s emissions projections 2022</w:t>
      </w:r>
      <w:r w:rsidRPr="00102445">
        <w:rPr>
          <w:rFonts w:eastAsiaTheme="minorEastAsia"/>
        </w:rPr>
        <w:t xml:space="preserve"> to grow at an annual average of 0.7 per cent a year between 2020-21 and 2029-30. The production uncertainty component allows for annual average growth in emissions of over 0.9 per cent a year between 2020-21 and 2029-30.</w:t>
      </w:r>
      <w:r w:rsidRPr="00102445">
        <w:t xml:space="preserve"> </w:t>
      </w:r>
    </w:p>
    <w:p w14:paraId="69A6CF5F" w14:textId="77777777" w:rsidR="00676DA1" w:rsidRPr="00102445" w:rsidRDefault="00676DA1" w:rsidP="00676DA1">
      <w:pPr>
        <w:pStyle w:val="ListNumberDotted"/>
        <w:numPr>
          <w:ilvl w:val="2"/>
          <w:numId w:val="56"/>
        </w:numPr>
      </w:pPr>
      <w:r w:rsidRPr="00102445">
        <w:t xml:space="preserve">Expectations of new facilities estimated to enter the Safeguard Mechanism were aligned with Australia’s emissions projections 2022 and the Office of Chief Economist’s Resources </w:t>
      </w:r>
      <w:r w:rsidRPr="00102445">
        <w:lastRenderedPageBreak/>
        <w:t>and Energy Major Projects List: 2022</w:t>
      </w:r>
      <w:r w:rsidRPr="00102445">
        <w:rPr>
          <w:vertAlign w:val="superscript"/>
        </w:rPr>
        <w:footnoteReference w:id="10"/>
      </w:r>
      <w:r w:rsidRPr="00102445">
        <w:t xml:space="preserve"> where those projects have a high likelihood of proceeding.  </w:t>
      </w:r>
    </w:p>
    <w:p w14:paraId="3F6E65D3" w14:textId="77777777" w:rsidR="00676DA1" w:rsidRPr="00102445" w:rsidRDefault="00676DA1" w:rsidP="00676DA1">
      <w:pPr>
        <w:pStyle w:val="ListNumberDotted"/>
        <w:numPr>
          <w:ilvl w:val="2"/>
          <w:numId w:val="56"/>
        </w:numPr>
      </w:pPr>
      <w:r w:rsidRPr="00102445">
        <w:t>The approach to setting baselines for new entrants under the Safeguard Rules, as amended, at international best practice (as outlined in Part 3, Division 3, Section 29) leads to net emissions from new entrants being estimated at 15 Mt to 2030, compared to estimated emissions of 38 Mt to 2030 without reforms.</w:t>
      </w:r>
    </w:p>
    <w:p w14:paraId="0945223A" w14:textId="77777777" w:rsidR="00676DA1" w:rsidRPr="00102445" w:rsidRDefault="00676DA1" w:rsidP="00676DA1">
      <w:pPr>
        <w:pStyle w:val="ListNumberDotted"/>
        <w:numPr>
          <w:ilvl w:val="1"/>
          <w:numId w:val="56"/>
        </w:numPr>
      </w:pPr>
      <w:r w:rsidRPr="00102445">
        <w:t xml:space="preserve">Account for the event that designated large facilities access trade-exposed baseline-adjustments to a greater extent than estimated in the decline rate analysis. </w:t>
      </w:r>
    </w:p>
    <w:p w14:paraId="3C3EC4FE" w14:textId="77777777" w:rsidR="00676DA1" w:rsidRPr="00102445" w:rsidRDefault="00676DA1" w:rsidP="00676DA1">
      <w:pPr>
        <w:pStyle w:val="ListNumberDotted"/>
        <w:numPr>
          <w:ilvl w:val="0"/>
          <w:numId w:val="56"/>
        </w:numPr>
        <w:ind w:left="360"/>
      </w:pPr>
      <w:r w:rsidRPr="00102445">
        <w:t>Through its components as described above, the reserve accounts for greater than anticipated emissions from existing facilities and new facilities and higher than anticipated access to trade-exposed baseline adjustments.</w:t>
      </w:r>
    </w:p>
    <w:p w14:paraId="4F180769" w14:textId="77777777" w:rsidR="00676DA1" w:rsidRPr="00102445" w:rsidRDefault="00676DA1" w:rsidP="00676DA1">
      <w:pPr>
        <w:pStyle w:val="ListNumberDotted"/>
        <w:numPr>
          <w:ilvl w:val="0"/>
          <w:numId w:val="56"/>
        </w:numPr>
        <w:ind w:left="360"/>
      </w:pPr>
      <w:r w:rsidRPr="00102445">
        <w:t>The Department’s decline rate analysis calculates the default decline rate from projected baselines to limit emissions to the remaining net emissions budget of 800 Mt CO</w:t>
      </w:r>
      <w:r w:rsidRPr="00102445">
        <w:rPr>
          <w:vertAlign w:val="subscript"/>
        </w:rPr>
        <w:t>2</w:t>
      </w:r>
      <w:r w:rsidRPr="00102445">
        <w:t>-e (i.e., 815 Mt CO</w:t>
      </w:r>
      <w:r w:rsidRPr="00102445">
        <w:rPr>
          <w:vertAlign w:val="subscript"/>
        </w:rPr>
        <w:t>2</w:t>
      </w:r>
      <w:r w:rsidRPr="00102445">
        <w:t>-e – 15 Mt CO</w:t>
      </w:r>
      <w:r w:rsidRPr="00102445">
        <w:rPr>
          <w:vertAlign w:val="subscript"/>
        </w:rPr>
        <w:t>2</w:t>
      </w:r>
      <w:r w:rsidRPr="00102445">
        <w:t>-e) over the financial years 2023-24 to 2029-30. This decline rate analysis, together with the expectation that net safeguard emissions would total 418 Mt CO</w:t>
      </w:r>
      <w:r w:rsidRPr="00102445">
        <w:rPr>
          <w:vertAlign w:val="subscript"/>
        </w:rPr>
        <w:t>2</w:t>
      </w:r>
      <w:r w:rsidRPr="00102445">
        <w:t>e over 2020-21 to 2022-23, is consistent with net emissions from designated large facilities not exceeding 1,233 Mt CO</w:t>
      </w:r>
      <w:r w:rsidRPr="00102445">
        <w:rPr>
          <w:vertAlign w:val="subscript"/>
        </w:rPr>
        <w:t>2</w:t>
      </w:r>
      <w:r w:rsidRPr="00102445">
        <w:t>-e over the 10 years 2020-21 to 2029-30 (ie 418 Mt CO</w:t>
      </w:r>
      <w:r w:rsidRPr="00102445">
        <w:rPr>
          <w:vertAlign w:val="subscript"/>
        </w:rPr>
        <w:t>2</w:t>
      </w:r>
      <w:r w:rsidRPr="00102445">
        <w:t>-e + 815 Mt CO</w:t>
      </w:r>
      <w:r w:rsidRPr="00102445">
        <w:rPr>
          <w:vertAlign w:val="subscript"/>
        </w:rPr>
        <w:t>2</w:t>
      </w:r>
      <w:r w:rsidRPr="00102445">
        <w:t xml:space="preserve">-e). </w:t>
      </w:r>
    </w:p>
    <w:p w14:paraId="67E11764" w14:textId="77777777" w:rsidR="00676DA1" w:rsidRPr="00102445" w:rsidRDefault="00676DA1" w:rsidP="00676DA1">
      <w:pPr>
        <w:pStyle w:val="ListNumberDotted"/>
        <w:numPr>
          <w:ilvl w:val="0"/>
          <w:numId w:val="56"/>
        </w:numPr>
        <w:ind w:left="360"/>
      </w:pPr>
      <w:r w:rsidRPr="00102445">
        <w:t>I note there are several flexibility measures in the Safeguard Rules as amended that would not directly affect the total amount of net safeguard emissions to 30 June 2030, however, establish certain frameworks for designated large facilities in meeting their baselines. These include:</w:t>
      </w:r>
    </w:p>
    <w:p w14:paraId="414B45C6" w14:textId="77777777" w:rsidR="00676DA1" w:rsidRPr="00102445" w:rsidRDefault="00676DA1" w:rsidP="00676DA1">
      <w:pPr>
        <w:pStyle w:val="ListNumberDotted"/>
        <w:numPr>
          <w:ilvl w:val="1"/>
          <w:numId w:val="56"/>
        </w:numPr>
      </w:pPr>
      <w:r w:rsidRPr="00102445">
        <w:t xml:space="preserve">SMCs – Part 3A of the Safeguard Rules as amended provides for the application for, and calculation and issuance of, SMCs where the emissions of a designated large facility or eligible facility (as defined under subsection 58B) are below the facility’s baseline in a given year. Part 4, Division 5 of the Safeguard Rules as amended provides that facilities can surrender SMCs to meet their compliance obligations for a given financial year. </w:t>
      </w:r>
    </w:p>
    <w:p w14:paraId="7FC08CBA" w14:textId="77777777" w:rsidR="00676DA1" w:rsidRPr="00102445" w:rsidRDefault="00676DA1" w:rsidP="00676DA1">
      <w:pPr>
        <w:pStyle w:val="ListNumberDotted"/>
        <w:numPr>
          <w:ilvl w:val="1"/>
          <w:numId w:val="56"/>
        </w:numPr>
      </w:pPr>
      <w:r w:rsidRPr="00102445">
        <w:t xml:space="preserve">ACCUs – Part 4, Division 5 of the Safeguard Rules as amended provides that designated large facilities can surrender ACCUs to meet their obligations. </w:t>
      </w:r>
      <w:r w:rsidRPr="00102445">
        <w:rPr>
          <w:lang w:eastAsia="ja-JP"/>
        </w:rPr>
        <w:t xml:space="preserve">An ACCU represents one tonne of emissions avoided or sequestered. Each ACCU surrendered by a facility reduces its net emissions by one tonne. </w:t>
      </w:r>
    </w:p>
    <w:p w14:paraId="18E3A692" w14:textId="77777777" w:rsidR="00676DA1" w:rsidRPr="00102445" w:rsidRDefault="00676DA1" w:rsidP="00676DA1">
      <w:pPr>
        <w:pStyle w:val="ListNumberDotted"/>
        <w:numPr>
          <w:ilvl w:val="1"/>
          <w:numId w:val="56"/>
        </w:numPr>
      </w:pPr>
      <w:r w:rsidRPr="00102445">
        <w:t xml:space="preserve">Borrowing arrangements – Part 3, Division 6 of the Safeguard Rules as amended provides for borrowing adjustments for facilities’ baselines. Up to 10 percent of a facility’s baseline will be allowed to be borrowed each year up to 30 June 2030, with a 2 per cent interest applied in the year after the borrowing occurs for the first 2 years, and a 10 per cent interest applied in the year after borrowing occurs in subsequent years. This means facilities will be allowed to have a higher number of net safeguard emissions in one financial year by up to 10 per cent, provided their net </w:t>
      </w:r>
      <w:r w:rsidRPr="00102445">
        <w:lastRenderedPageBreak/>
        <w:t>safeguard emissions in the next financial year are reduced by that amount plus the relevant interest rate.</w:t>
      </w:r>
    </w:p>
    <w:p w14:paraId="7079F133" w14:textId="77777777" w:rsidR="00676DA1" w:rsidRPr="00102445" w:rsidRDefault="00676DA1" w:rsidP="00676DA1">
      <w:pPr>
        <w:pStyle w:val="ListNumberDotted"/>
        <w:numPr>
          <w:ilvl w:val="1"/>
          <w:numId w:val="56"/>
        </w:numPr>
      </w:pPr>
      <w:r w:rsidRPr="00102445">
        <w:t>Declared multi-year periods – Part 4, Division 2 provides for five-year declared multi-year periods. This will allow facilities to smooth out abatement trajectories by allowing facilities to average out an exceedance in an initial year (or years) with below-baseline emissions in later years, after a facility has implemented a project.</w:t>
      </w:r>
    </w:p>
    <w:p w14:paraId="11271A48" w14:textId="77777777" w:rsidR="00676DA1" w:rsidRPr="00102445" w:rsidRDefault="00676DA1" w:rsidP="00676DA1">
      <w:pPr>
        <w:pStyle w:val="ListNumberDotted"/>
        <w:numPr>
          <w:ilvl w:val="0"/>
          <w:numId w:val="56"/>
        </w:numPr>
        <w:ind w:left="360"/>
      </w:pPr>
      <w:r w:rsidRPr="00102445">
        <w:t>These measures do not allow for increases in net emissions over the period to 2030, rather they provide flexibility for when and how facilities meet their compliance obligations up until 2030.</w:t>
      </w:r>
    </w:p>
    <w:p w14:paraId="2427ED3C" w14:textId="77777777" w:rsidR="00676DA1" w:rsidRPr="00102445" w:rsidRDefault="00676DA1" w:rsidP="00676DA1">
      <w:pPr>
        <w:pStyle w:val="ListNumberDotted"/>
        <w:numPr>
          <w:ilvl w:val="0"/>
          <w:numId w:val="56"/>
        </w:numPr>
        <w:ind w:left="360"/>
      </w:pPr>
      <w:r w:rsidRPr="00102445">
        <w:t>I am satisfied that these measures are consistent with safeguard outcome (b), for the following reasons:</w:t>
      </w:r>
    </w:p>
    <w:p w14:paraId="2AC4EFAA" w14:textId="77777777" w:rsidR="00676DA1" w:rsidRPr="00102445" w:rsidRDefault="00676DA1" w:rsidP="00676DA1">
      <w:pPr>
        <w:pStyle w:val="ListNumberDotted"/>
        <w:numPr>
          <w:ilvl w:val="1"/>
          <w:numId w:val="56"/>
        </w:numPr>
      </w:pPr>
      <w:r w:rsidRPr="00102445">
        <w:t>Each SMC is equivalent to one tonne of carbon dioxide equivalent. SMCs are issued within the overall carbon constraint of the declining baselines as described above. Any use of SMCs for the purposes of compliance to 30 June 2030 would not add to the overall net safeguard emissions from designated large facilities since they represent a reduction in emissions from another facility or from that facility in a previous financial year in the period up to 30 June 2030.</w:t>
      </w:r>
    </w:p>
    <w:p w14:paraId="602B1091" w14:textId="77777777" w:rsidR="00676DA1" w:rsidRPr="00102445" w:rsidRDefault="00676DA1" w:rsidP="00676DA1">
      <w:pPr>
        <w:pStyle w:val="ListNumberDotted"/>
        <w:numPr>
          <w:ilvl w:val="1"/>
          <w:numId w:val="56"/>
        </w:numPr>
        <w:rPr>
          <w:rFonts w:ascii="Times New Roman" w:eastAsia="Cambria" w:hAnsi="Times New Roman" w:cs="Times New Roman"/>
          <w:sz w:val="24"/>
          <w:szCs w:val="24"/>
          <w:lang w:eastAsia="en-AU"/>
        </w:rPr>
      </w:pPr>
      <w:r w:rsidRPr="00102445">
        <w:t xml:space="preserve">Each ACCU </w:t>
      </w:r>
      <w:r w:rsidRPr="00102445">
        <w:rPr>
          <w:lang w:eastAsia="ja-JP"/>
        </w:rPr>
        <w:t xml:space="preserve">represents one tonne of emissions avoided or sequestered. Each ACCU surrendered by a designated large facility reduces its net covered emissions by one tonne. I note the </w:t>
      </w:r>
      <w:r w:rsidRPr="00102445">
        <w:rPr>
          <w:i/>
          <w:iCs/>
          <w:lang w:eastAsia="ja-JP"/>
        </w:rPr>
        <w:t>Carbon Credits (Carbon Farming Initiative) Act 2011</w:t>
      </w:r>
      <w:r w:rsidRPr="00102445">
        <w:rPr>
          <w:lang w:eastAsia="ja-JP"/>
        </w:rPr>
        <w:t xml:space="preserve"> has arrangements to ensure the integrity of ACCUs and further work is underway to enhance this framework</w:t>
      </w:r>
      <w:r w:rsidRPr="00102445">
        <w:rPr>
          <w:rStyle w:val="FootnoteReference"/>
          <w:lang w:eastAsia="ja-JP"/>
        </w:rPr>
        <w:footnoteReference w:id="11"/>
      </w:r>
      <w:r w:rsidRPr="00102445">
        <w:rPr>
          <w:lang w:eastAsia="ja-JP"/>
        </w:rPr>
        <w:t>.</w:t>
      </w:r>
      <w:r w:rsidRPr="00102445">
        <w:rPr>
          <w:rFonts w:ascii="Times New Roman" w:eastAsia="Cambria" w:hAnsi="Times New Roman" w:cs="Times New Roman"/>
          <w:sz w:val="24"/>
          <w:szCs w:val="24"/>
          <w:lang w:eastAsia="en-AU"/>
        </w:rPr>
        <w:t xml:space="preserve"> </w:t>
      </w:r>
    </w:p>
    <w:p w14:paraId="6F277346" w14:textId="77777777" w:rsidR="00676DA1" w:rsidRPr="00102445" w:rsidRDefault="00676DA1" w:rsidP="00676DA1">
      <w:pPr>
        <w:pStyle w:val="ListNumberDotted"/>
        <w:numPr>
          <w:ilvl w:val="1"/>
          <w:numId w:val="56"/>
        </w:numPr>
      </w:pPr>
      <w:r w:rsidRPr="00102445">
        <w:t xml:space="preserve">Neither borrowing arrangements nor declared multi-year periods extend beyond </w:t>
      </w:r>
      <w:r w:rsidRPr="00102445">
        <w:br w:type="textWrapping" w:clear="all"/>
        <w:t>30 June 2030, ensuring that they are consistent with safeguard outcome (b) by requiring on-site emissions reduction or the surrender of ACCUs or SMCs to occur by 30 June 2030.</w:t>
      </w:r>
    </w:p>
    <w:p w14:paraId="577E3426" w14:textId="77777777" w:rsidR="00676DA1" w:rsidRPr="00102445" w:rsidRDefault="00676DA1" w:rsidP="00676DA1">
      <w:pPr>
        <w:pStyle w:val="ListNumberDotted"/>
        <w:numPr>
          <w:ilvl w:val="0"/>
          <w:numId w:val="56"/>
        </w:numPr>
        <w:ind w:left="360"/>
      </w:pPr>
      <w:r w:rsidRPr="00102445">
        <w:t>I am aware that the treatment of TEBA facilities as provided by Part 3, Division 5 of the Safeguard Rules as amended will not contribute the same emissions reductions relative to other designated large facilities. I am satisfied that this is consistent with both safeguard outcomes (2)(b) and (2)(c)(i) because:</w:t>
      </w:r>
    </w:p>
    <w:p w14:paraId="1FA3690D" w14:textId="77777777" w:rsidR="00676DA1" w:rsidRPr="00102445" w:rsidRDefault="00676DA1" w:rsidP="00676DA1">
      <w:pPr>
        <w:pStyle w:val="ListNumberDotted"/>
        <w:numPr>
          <w:ilvl w:val="1"/>
          <w:numId w:val="56"/>
        </w:numPr>
      </w:pPr>
      <w:r w:rsidRPr="00102445">
        <w:t>The Department’s decline rate analysis used to set the decline rate took into account the number of facilities that are expected to qualify as TEBA based on the considerations below.</w:t>
      </w:r>
    </w:p>
    <w:p w14:paraId="5B01E9FE" w14:textId="77777777" w:rsidR="00676DA1" w:rsidRPr="00102445" w:rsidRDefault="00676DA1" w:rsidP="00676DA1">
      <w:pPr>
        <w:pStyle w:val="ListNumberDotted"/>
        <w:numPr>
          <w:ilvl w:val="2"/>
          <w:numId w:val="56"/>
        </w:numPr>
      </w:pPr>
      <w:r w:rsidRPr="00102445">
        <w:t>Using activity forecasts consistent with</w:t>
      </w:r>
      <w:r w:rsidRPr="00102445">
        <w:rPr>
          <w:i/>
        </w:rPr>
        <w:t xml:space="preserve"> </w:t>
      </w:r>
      <w:r w:rsidRPr="00102445">
        <w:rPr>
          <w:i/>
          <w:iCs/>
        </w:rPr>
        <w:t>Australia’s</w:t>
      </w:r>
      <w:r w:rsidRPr="00102445">
        <w:rPr>
          <w:i/>
        </w:rPr>
        <w:t xml:space="preserve"> emissions projections 2022</w:t>
      </w:r>
      <w:r w:rsidRPr="00102445">
        <w:t xml:space="preserve">, declining hybrid baselines were projected at a facility level for trade exposed facilities. </w:t>
      </w:r>
    </w:p>
    <w:p w14:paraId="737AA00B" w14:textId="77777777" w:rsidR="00676DA1" w:rsidRPr="00102445" w:rsidRDefault="00676DA1" w:rsidP="00676DA1">
      <w:pPr>
        <w:pStyle w:val="ListNumberDotted"/>
        <w:numPr>
          <w:ilvl w:val="2"/>
          <w:numId w:val="56"/>
        </w:numPr>
      </w:pPr>
      <w:r w:rsidRPr="00102445">
        <w:t xml:space="preserve">Cost impacts were estimated based on projected facility exceedances multiplied by central ACCU price forecasts. Estimated revenue was based on five year historical commodity data or publicly available revenue data. Estimated EBIT was based on publicly available data. </w:t>
      </w:r>
    </w:p>
    <w:p w14:paraId="425ABFFB" w14:textId="77777777" w:rsidR="00676DA1" w:rsidRPr="00102445" w:rsidRDefault="00676DA1" w:rsidP="00676DA1">
      <w:pPr>
        <w:pStyle w:val="ListNumberDotted"/>
        <w:numPr>
          <w:ilvl w:val="2"/>
          <w:numId w:val="56"/>
        </w:numPr>
      </w:pPr>
      <w:r w:rsidRPr="00102445">
        <w:t xml:space="preserve">Where cost impact was estimated to exceed the ratio of cost impacts given by section 29 of the Safeguard Rules as amended, facility baselines were adjusted according to section </w:t>
      </w:r>
      <w:r w:rsidRPr="00102445">
        <w:lastRenderedPageBreak/>
        <w:t xml:space="preserve">28. The classification of manufacturing and non-manufacturing facilities was undertaken according to Schedule 2 in the Safeguard Rules as amended. </w:t>
      </w:r>
    </w:p>
    <w:p w14:paraId="2E83CEEF" w14:textId="77777777" w:rsidR="00676DA1" w:rsidRPr="00102445" w:rsidRDefault="00676DA1" w:rsidP="00676DA1">
      <w:pPr>
        <w:pStyle w:val="ListNumberDotted"/>
        <w:numPr>
          <w:ilvl w:val="2"/>
          <w:numId w:val="56"/>
        </w:numPr>
      </w:pPr>
      <w:r w:rsidRPr="00102445">
        <w:t>The total amount of baseline-adjustments estimated over 2023-24 to 2029-30 for trade-exposed facilities was incorporated into the baseline decline calculation.</w:t>
      </w:r>
    </w:p>
    <w:p w14:paraId="11A67CFF" w14:textId="77777777" w:rsidR="00676DA1" w:rsidRPr="00102445" w:rsidRDefault="00676DA1" w:rsidP="00676DA1">
      <w:pPr>
        <w:pStyle w:val="ListNumberDotted"/>
        <w:numPr>
          <w:ilvl w:val="1"/>
          <w:numId w:val="56"/>
        </w:numPr>
      </w:pPr>
      <w:r w:rsidRPr="00102445">
        <w:t>As outlined in paragraph 26 above, the baseline decline rate was calculated factoring in a reserve, which provides a buffer if more facilities than expected qualify for TEBA status.</w:t>
      </w:r>
    </w:p>
    <w:p w14:paraId="3B15F1C4" w14:textId="77777777" w:rsidR="00676DA1" w:rsidRPr="00102445" w:rsidRDefault="00676DA1" w:rsidP="00676DA1">
      <w:pPr>
        <w:pStyle w:val="ListNumberDotted"/>
        <w:numPr>
          <w:ilvl w:val="0"/>
          <w:numId w:val="56"/>
        </w:numPr>
        <w:ind w:left="360"/>
        <w:rPr>
          <w:rFonts w:eastAsia="Times New Roman" w:cs="Times New Roman"/>
          <w:lang w:eastAsia="en-AU"/>
        </w:rPr>
      </w:pPr>
      <w:r w:rsidRPr="00102445">
        <w:rPr>
          <w:rFonts w:eastAsia="Times New Roman" w:cs="Times New Roman"/>
          <w:lang w:eastAsia="en-AU"/>
        </w:rPr>
        <w:t>The provisions in Part 4, Division 4 help ensure there are necessary checks and balances to ensure that the correct net emissions information is reported.</w:t>
      </w:r>
    </w:p>
    <w:p w14:paraId="53E8CFB5" w14:textId="77777777" w:rsidR="00676DA1" w:rsidRPr="00102445" w:rsidRDefault="00676DA1" w:rsidP="00676DA1">
      <w:pPr>
        <w:pStyle w:val="ListNumberDotted"/>
        <w:numPr>
          <w:ilvl w:val="1"/>
          <w:numId w:val="56"/>
        </w:numPr>
        <w:rPr>
          <w:rFonts w:eastAsia="Times New Roman" w:cs="Times New Roman"/>
          <w:lang w:eastAsia="en-AU"/>
        </w:rPr>
      </w:pPr>
      <w:r w:rsidRPr="00102445">
        <w:rPr>
          <w:rFonts w:eastAsia="Times New Roman" w:cs="Times New Roman"/>
          <w:lang w:eastAsia="en-AU"/>
        </w:rPr>
        <w:t xml:space="preserve">Section 72A in Part 4, Division 4 provides for excess surrender situations in circumstances where a person has surrendered a number of prescribed carbon units for the purposes of reducing the net emissions number for a facility in error. </w:t>
      </w:r>
    </w:p>
    <w:p w14:paraId="257534FD" w14:textId="77777777" w:rsidR="00676DA1" w:rsidRPr="00102445" w:rsidRDefault="00676DA1" w:rsidP="00676DA1">
      <w:pPr>
        <w:pStyle w:val="ListNumberDotted"/>
        <w:numPr>
          <w:ilvl w:val="1"/>
          <w:numId w:val="56"/>
        </w:numPr>
        <w:rPr>
          <w:rFonts w:eastAsia="Times New Roman" w:cs="Times New Roman"/>
          <w:lang w:eastAsia="en-AU"/>
        </w:rPr>
      </w:pPr>
      <w:r w:rsidRPr="00102445">
        <w:t>Subsection 22XK(4) of the NGER Act provides that if ACCUs attributable to carbon abatement at a designated large facility are issued for a particular period, the net emissions number for that period is increased by the quantum of ACCUs.</w:t>
      </w:r>
      <w:r w:rsidRPr="00102445">
        <w:rPr>
          <w:rFonts w:eastAsia="Times New Roman" w:cs="Times New Roman"/>
          <w:lang w:eastAsia="en-AU"/>
        </w:rPr>
        <w:t xml:space="preserve"> Section 72B details circumstances in which subsection 22XK(4) of the Act does not apply, whereby if ACCUs are issued for carbon abatement at a facility for emissions not covered by the Safeguard Mechanism (e.g., scope 2 emissions) the increase to the net emissions number does not occur. </w:t>
      </w:r>
    </w:p>
    <w:p w14:paraId="1C7E8669" w14:textId="77777777" w:rsidR="00676DA1" w:rsidRPr="00102445" w:rsidRDefault="00676DA1" w:rsidP="00676DA1">
      <w:pPr>
        <w:pStyle w:val="ListNumberDotted"/>
        <w:numPr>
          <w:ilvl w:val="0"/>
          <w:numId w:val="56"/>
        </w:numPr>
        <w:ind w:left="360"/>
        <w:rPr>
          <w:rFonts w:eastAsia="Times New Roman" w:cs="Times New Roman"/>
          <w:lang w:eastAsia="en-AU"/>
        </w:rPr>
      </w:pPr>
      <w:r w:rsidRPr="00102445">
        <w:rPr>
          <w:rFonts w:eastAsia="Times New Roman" w:cs="Times New Roman"/>
          <w:lang w:eastAsia="en-AU"/>
        </w:rPr>
        <w:t>Section</w:t>
      </w:r>
      <w:r w:rsidRPr="00102445">
        <w:t xml:space="preserve"> 22XN(6) of the NGER Act provides that</w:t>
      </w:r>
      <w:r w:rsidRPr="00102445">
        <w:rPr>
          <w:rFonts w:eastAsia="Times New Roman" w:cs="Times New Roman"/>
          <w:lang w:eastAsia="en-AU"/>
        </w:rPr>
        <w:t>,</w:t>
      </w:r>
      <w:r w:rsidRPr="00102445">
        <w:t xml:space="preserve"> if ACCUs attributable to carbon abatement at a designated large facility are purchased by the Commonwealth under a carbon abatement contract</w:t>
      </w:r>
      <w:r w:rsidRPr="00102445">
        <w:rPr>
          <w:rFonts w:eastAsia="Times New Roman" w:cs="Times New Roman"/>
          <w:lang w:eastAsia="en-AU"/>
        </w:rPr>
        <w:t>,</w:t>
      </w:r>
      <w:r w:rsidRPr="00102445">
        <w:t xml:space="preserve"> they are treated as though they had been surrendered for the purpose of reducing the net emissions number for the facility for the relevant period</w:t>
      </w:r>
      <w:r w:rsidRPr="00102445">
        <w:rPr>
          <w:rFonts w:eastAsia="Times New Roman" w:cs="Times New Roman"/>
          <w:lang w:eastAsia="en-AU"/>
        </w:rPr>
        <w:t xml:space="preserve">. Subsection 22XN(7) of the NGER Act states that subsection 22XN(6) does not apply in circumstances prescribed in the Safeguard Rules. Under section 72E of the Safeguard Rules as amended, subsection 22XN(6) of the Act does not apply in relation to a carbon abatement contract entered into after 30 March 2023 (otherwise than by way of novation). Further, section 22XN(6) of the Act does not apply if ACCUs are purchased under a carbon abatement contract that does not refer to the project for which the ACCUs were issued. These provisions grandfather the access to ‘deemed surrender’ arrangements. These arrangements do not change the quantum of ACCUs required to meet a facility’s baseline. The quantity of ACCUs potentially affected by these arrangements is capped because new carbon abatement contracts will not be able to access these arrangements. Overall, I am satisfied that the access to ‘deemed surrender’ arrangements in the Safeguard Rules as amended, is consistent with meeting the net emissions budget to 30 June 2030, since under ‘deemed surrender’ arrangements the same quantum of ACCUs required to meet a particular facility’s baseline are still surrendered to the Australian Government. </w:t>
      </w:r>
    </w:p>
    <w:p w14:paraId="3CF71BF9" w14:textId="77777777" w:rsidR="00676DA1" w:rsidRPr="00102445" w:rsidRDefault="00676DA1" w:rsidP="00676DA1">
      <w:pPr>
        <w:pStyle w:val="ListNumberDotted"/>
        <w:numPr>
          <w:ilvl w:val="0"/>
          <w:numId w:val="56"/>
        </w:numPr>
        <w:ind w:left="360"/>
        <w:rPr>
          <w:lang w:eastAsia="en-AU"/>
        </w:rPr>
      </w:pPr>
      <w:r w:rsidRPr="00102445">
        <w:rPr>
          <w:lang w:eastAsia="en-AU"/>
        </w:rPr>
        <w:t>I also note that the NGER Act has a robust penalty regime for the enforcement of the obligations under the Safeguard Mechanism, addressing any risks that non-compliance could increase net emissions. This includes civil penalties, infringement notices and injunctions to require a non-compliant entity to surrender ACCUs or SMCs to bring their net emissions down to their baseline.</w:t>
      </w:r>
    </w:p>
    <w:p w14:paraId="6EF8F147" w14:textId="77777777" w:rsidR="00676DA1" w:rsidRPr="00102445" w:rsidRDefault="00676DA1" w:rsidP="00676DA1">
      <w:pPr>
        <w:pStyle w:val="paragraph"/>
        <w:ind w:left="0" w:firstLine="0"/>
        <w:rPr>
          <w:rFonts w:asciiTheme="minorHAnsi" w:eastAsiaTheme="minorHAnsi" w:hAnsiTheme="minorHAnsi" w:cstheme="minorBidi"/>
          <w:b/>
          <w:bCs/>
          <w:lang w:eastAsia="en-US"/>
        </w:rPr>
      </w:pPr>
    </w:p>
    <w:p w14:paraId="5F4D181E" w14:textId="77777777" w:rsidR="00676DA1" w:rsidRPr="00102445" w:rsidRDefault="00676DA1" w:rsidP="00676DA1">
      <w:pPr>
        <w:pStyle w:val="paragraph"/>
        <w:ind w:left="0" w:firstLine="0"/>
        <w:rPr>
          <w:rFonts w:asciiTheme="minorHAnsi" w:eastAsiaTheme="minorHAnsi" w:hAnsiTheme="minorHAnsi" w:cstheme="minorBidi"/>
          <w:b/>
          <w:bCs/>
          <w:lang w:eastAsia="en-US"/>
        </w:rPr>
      </w:pPr>
      <w:r w:rsidRPr="00102445">
        <w:rPr>
          <w:rFonts w:asciiTheme="minorHAnsi" w:eastAsiaTheme="minorHAnsi" w:hAnsiTheme="minorHAnsi" w:cstheme="minorBidi"/>
          <w:b/>
          <w:bCs/>
          <w:lang w:eastAsia="en-US"/>
        </w:rPr>
        <w:br w:type="page"/>
      </w:r>
    </w:p>
    <w:p w14:paraId="2BA32352" w14:textId="77777777" w:rsidR="00676DA1" w:rsidRPr="00102445" w:rsidRDefault="00676DA1" w:rsidP="00676DA1">
      <w:pPr>
        <w:pStyle w:val="paragraph"/>
        <w:ind w:left="0" w:firstLine="0"/>
        <w:rPr>
          <w:rFonts w:asciiTheme="minorHAnsi" w:hAnsiTheme="minorHAnsi" w:cstheme="minorHAnsi"/>
          <w:b/>
          <w:bCs/>
        </w:rPr>
      </w:pPr>
      <w:r w:rsidRPr="00102445">
        <w:rPr>
          <w:rFonts w:asciiTheme="minorHAnsi" w:eastAsiaTheme="minorHAnsi" w:hAnsiTheme="minorHAnsi" w:cstheme="minorBidi"/>
          <w:b/>
          <w:bCs/>
          <w:lang w:eastAsia="en-US"/>
        </w:rPr>
        <w:lastRenderedPageBreak/>
        <w:t>I am satisfied that the Safeguard Rules as amended are consistent with safeguard outcome (c): that net safeguard emissions decline to (i) no more than 100 million tonnes of carbon dioxide equivalence for the financial year beginning on 1 July 2029; and (ii) zero for any financial year to begin after 30 June 2049</w:t>
      </w:r>
    </w:p>
    <w:p w14:paraId="2C8ED443" w14:textId="77777777" w:rsidR="00676DA1" w:rsidRPr="00102445" w:rsidRDefault="00676DA1" w:rsidP="00676DA1">
      <w:pPr>
        <w:pStyle w:val="ListNumberDotted"/>
        <w:numPr>
          <w:ilvl w:val="0"/>
          <w:numId w:val="56"/>
        </w:numPr>
        <w:ind w:left="360"/>
      </w:pPr>
      <w:r w:rsidRPr="00102445">
        <w:t>The default decline rate that is established through the default emissions reduction contribution in Part 3, Division 5 of the Safeguard Rules as amended corresponds to a baseline trajectory that is estimated to finish at 96.0 Mt CO</w:t>
      </w:r>
      <w:r w:rsidRPr="00102445">
        <w:rPr>
          <w:vertAlign w:val="subscript"/>
        </w:rPr>
        <w:t>2</w:t>
      </w:r>
      <w:r w:rsidRPr="00102445">
        <w:t>-e of net safeguard emissions in financial year 2029-30. This is shown in Figure 1 from the Department’s decline rate analysis, which shows the different components of the net emissions budget and reductions, and the baseline trajectory with the decline rate. The end point in 2029-30 is below the 100 Mt CO</w:t>
      </w:r>
      <w:r w:rsidRPr="00102445">
        <w:rPr>
          <w:vertAlign w:val="subscript"/>
        </w:rPr>
        <w:t>2</w:t>
      </w:r>
      <w:r w:rsidRPr="00102445">
        <w:t xml:space="preserve">-e required in safeguard outcome (c) and is therefore consistent with safeguard outcome (c)(i).   </w:t>
      </w:r>
    </w:p>
    <w:p w14:paraId="7E71CF26" w14:textId="77777777" w:rsidR="00676DA1" w:rsidRPr="00102445" w:rsidRDefault="00676DA1" w:rsidP="00676DA1">
      <w:pPr>
        <w:ind w:left="720"/>
      </w:pPr>
      <w:r w:rsidRPr="00102445">
        <w:t xml:space="preserve"> </w:t>
      </w:r>
    </w:p>
    <w:p w14:paraId="6F24E993" w14:textId="77777777" w:rsidR="00676DA1" w:rsidRPr="00102445" w:rsidRDefault="00676DA1" w:rsidP="00676DA1">
      <w:pPr>
        <w:ind w:left="720"/>
      </w:pPr>
      <w:r w:rsidRPr="00102445">
        <w:rPr>
          <w:noProof/>
          <w:lang w:eastAsia="en-AU"/>
        </w:rPr>
        <w:drawing>
          <wp:inline distT="0" distB="0" distL="0" distR="0" wp14:anchorId="4660A55A" wp14:editId="5C8038DD">
            <wp:extent cx="5387410" cy="2550621"/>
            <wp:effectExtent l="0" t="0" r="3810" b="2540"/>
            <wp:docPr id="11" name="Graphic 1" descr="Graph showing the Safeguard baseline trajectory from 2023-24 to 2029-30, in megatonnes of CO2 equival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 descr="Graph showing the Safeguard baseline trajectory from 2023-24 to 2029-30, in megatonnes of CO2 equivalent"/>
                    <pic:cNvPicPr>
                      <a:picLocks noChangeAspect="1" noChangeArrowheads="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bwMode="auto">
                    <a:xfrm>
                      <a:off x="0" y="0"/>
                      <a:ext cx="5387410" cy="2550621"/>
                    </a:xfrm>
                    <a:prstGeom prst="rect">
                      <a:avLst/>
                    </a:prstGeom>
                  </pic:spPr>
                </pic:pic>
              </a:graphicData>
            </a:graphic>
          </wp:inline>
        </w:drawing>
      </w:r>
    </w:p>
    <w:p w14:paraId="7621A782" w14:textId="77777777" w:rsidR="00676DA1" w:rsidRPr="00102445" w:rsidRDefault="00676DA1" w:rsidP="00676DA1">
      <w:pPr>
        <w:ind w:left="720" w:firstLine="720"/>
        <w:rPr>
          <w:color w:val="5B9BD5" w:themeColor="accent1"/>
        </w:rPr>
      </w:pPr>
      <w:r w:rsidRPr="00102445">
        <w:rPr>
          <w:color w:val="5B9BD5" w:themeColor="accent1"/>
        </w:rPr>
        <w:t>Figure 1. Safeguard baseline trajectory, 2023-24 to 2029-30</w:t>
      </w:r>
    </w:p>
    <w:p w14:paraId="042410DA" w14:textId="77777777" w:rsidR="00676DA1" w:rsidRPr="00102445" w:rsidRDefault="00676DA1" w:rsidP="00676DA1">
      <w:pPr>
        <w:pStyle w:val="ListNumberDotted"/>
        <w:numPr>
          <w:ilvl w:val="0"/>
          <w:numId w:val="56"/>
        </w:numPr>
        <w:ind w:left="360"/>
      </w:pPr>
      <w:r w:rsidRPr="00102445">
        <w:t xml:space="preserve">The default decline rate detailed within Part 3, Division 5 of the Safeguard Rules as amended for a financial year beginning 1 July 2030 or later is a rate that reduces to zero over the 20 years 2030-31 to 2049-50, ensuring that aggregate baselines for designated large facilities reach net zero by 2049-50 (referred to here as the emissions target), which is consistent with safeguard outcome (c)(ii). </w:t>
      </w:r>
    </w:p>
    <w:p w14:paraId="76A740F3" w14:textId="77777777" w:rsidR="00676DA1" w:rsidRPr="00102445" w:rsidRDefault="00676DA1" w:rsidP="00676DA1">
      <w:pPr>
        <w:pStyle w:val="ListNumberDotted"/>
        <w:numPr>
          <w:ilvl w:val="0"/>
          <w:numId w:val="56"/>
        </w:numPr>
        <w:ind w:left="360"/>
      </w:pPr>
      <w:r w:rsidRPr="00102445">
        <w:t xml:space="preserve">Part 3, Division 1 of the Safeguard Rules as amended provides a direct obligation that emissions baselines for a facility for a financial year that begins after 30 June 2049 are zero. </w:t>
      </w:r>
    </w:p>
    <w:p w14:paraId="0973AE9B" w14:textId="77777777" w:rsidR="00676DA1" w:rsidRPr="00102445" w:rsidRDefault="00676DA1" w:rsidP="00676DA1">
      <w:pPr>
        <w:pStyle w:val="ListNumberDotted"/>
        <w:numPr>
          <w:ilvl w:val="0"/>
          <w:numId w:val="56"/>
        </w:numPr>
        <w:ind w:left="360"/>
      </w:pPr>
      <w:r w:rsidRPr="00102445">
        <w:t xml:space="preserve">I am aware that baselines adjusting based on production levels as provided for in Part 3 need mechanisms to address risks that total emissions may exceed the emissions target if production increases more than expected.  For the reasons outlined in paragraph 26 above, I am satisfied that this risk has been managed.  </w:t>
      </w:r>
    </w:p>
    <w:p w14:paraId="35FE1B65" w14:textId="77777777" w:rsidR="00676DA1" w:rsidRPr="00102445" w:rsidRDefault="00676DA1" w:rsidP="00676DA1">
      <w:pPr>
        <w:pStyle w:val="ListNumberDotted"/>
        <w:numPr>
          <w:ilvl w:val="0"/>
          <w:numId w:val="56"/>
        </w:numPr>
        <w:ind w:left="360"/>
      </w:pPr>
      <w:r w:rsidRPr="00102445">
        <w:t xml:space="preserve">The default decline rate has also been specifically calculated to take account of the risk that new entrants will lead to an exceedance of the overall budget as it has been calculated to include all expected new entrants, as well as a buffer for unexpected production increases from new and existing facilities, as outlined in paragraph 26 above. </w:t>
      </w:r>
    </w:p>
    <w:p w14:paraId="07117189" w14:textId="77777777" w:rsidR="00595D7A" w:rsidRPr="00102445" w:rsidRDefault="00595D7A" w:rsidP="00676DA1">
      <w:pPr>
        <w:pStyle w:val="paragraph"/>
        <w:ind w:left="360" w:firstLine="0"/>
        <w:rPr>
          <w:rFonts w:asciiTheme="minorHAnsi" w:eastAsiaTheme="minorHAnsi" w:hAnsiTheme="minorHAnsi" w:cstheme="minorBidi"/>
          <w:b/>
          <w:bCs/>
          <w:lang w:eastAsia="en-US"/>
        </w:rPr>
      </w:pPr>
    </w:p>
    <w:p w14:paraId="706DB62C" w14:textId="76507124" w:rsidR="00676DA1" w:rsidRPr="00102445" w:rsidRDefault="00676DA1" w:rsidP="00676DA1">
      <w:pPr>
        <w:pStyle w:val="paragraph"/>
        <w:ind w:left="360" w:firstLine="0"/>
        <w:rPr>
          <w:rFonts w:asciiTheme="minorHAnsi" w:hAnsiTheme="minorHAnsi" w:cstheme="minorHAnsi"/>
          <w:b/>
          <w:bCs/>
        </w:rPr>
      </w:pPr>
      <w:r w:rsidRPr="00102445">
        <w:rPr>
          <w:rFonts w:asciiTheme="minorHAnsi" w:eastAsiaTheme="minorHAnsi" w:hAnsiTheme="minorHAnsi" w:cstheme="minorBidi"/>
          <w:b/>
          <w:bCs/>
          <w:lang w:eastAsia="en-US"/>
        </w:rPr>
        <w:lastRenderedPageBreak/>
        <w:t xml:space="preserve">I </w:t>
      </w:r>
      <w:r w:rsidRPr="00102445">
        <w:rPr>
          <w:rFonts w:asciiTheme="minorHAnsi" w:eastAsiaTheme="minorHAnsi" w:hAnsiTheme="minorHAnsi" w:cstheme="minorBidi"/>
          <w:b/>
          <w:lang w:eastAsia="en-US"/>
        </w:rPr>
        <w:t>am</w:t>
      </w:r>
      <w:r w:rsidRPr="00102445">
        <w:rPr>
          <w:rFonts w:asciiTheme="minorHAnsi" w:eastAsiaTheme="minorHAnsi" w:hAnsiTheme="minorHAnsi" w:cstheme="minorBidi"/>
          <w:b/>
          <w:bCs/>
          <w:lang w:eastAsia="en-US"/>
        </w:rPr>
        <w:t xml:space="preserve"> satisfied that the Safeguard Rules as amended are consistent with safeguard outcome </w:t>
      </w:r>
      <w:r w:rsidRPr="00102445">
        <w:rPr>
          <w:rFonts w:asciiTheme="minorHAnsi" w:hAnsiTheme="minorHAnsi" w:cstheme="minorHAnsi"/>
          <w:b/>
          <w:bCs/>
        </w:rPr>
        <w:t>(d): that the 5</w:t>
      </w:r>
      <w:r w:rsidRPr="00102445">
        <w:rPr>
          <w:rFonts w:asciiTheme="minorHAnsi" w:hAnsiTheme="minorHAnsi" w:cstheme="minorHAnsi"/>
          <w:b/>
          <w:bCs/>
        </w:rPr>
        <w:noBreakHyphen/>
        <w:t>year rolling average safeguard emissions for each financial year that begins after 30 June 2024 are lower than the past 5</w:t>
      </w:r>
      <w:r w:rsidRPr="00102445">
        <w:rPr>
          <w:rFonts w:asciiTheme="minorHAnsi" w:hAnsiTheme="minorHAnsi" w:cstheme="minorHAnsi"/>
          <w:b/>
          <w:bCs/>
        </w:rPr>
        <w:noBreakHyphen/>
        <w:t xml:space="preserve">year rolling average safeguard emissions for that financial year. </w:t>
      </w:r>
    </w:p>
    <w:p w14:paraId="3BF2B6F0" w14:textId="77777777" w:rsidR="00676DA1" w:rsidRPr="00102445" w:rsidRDefault="00676DA1" w:rsidP="00676DA1">
      <w:pPr>
        <w:pStyle w:val="ListNumberDotted"/>
        <w:numPr>
          <w:ilvl w:val="0"/>
          <w:numId w:val="56"/>
        </w:numPr>
        <w:ind w:left="360"/>
      </w:pPr>
      <w:r w:rsidRPr="00102445">
        <w:t>Safeguard outcome (d) requires the 5-year rolling average safeguard emissions for each financial year that begins after 30 June 2024 to be lower than the past 5-year rolling average safeguard emissions for that financial year, where the past 5-year rolling average Safeguard emissions is defined as one fifth of the total amount of safeguard emissions for the 5 financial years previous to the financial year that ended 3 years before the start of the current financial year (for financial years that begin before 1 July 2027), and from the 2027-28 financial year onwards, for the 5 financial years that ended 2 years before the start of the current financial year.</w:t>
      </w:r>
    </w:p>
    <w:p w14:paraId="6960DFE4" w14:textId="77777777" w:rsidR="00676DA1" w:rsidRPr="00102445" w:rsidRDefault="00676DA1" w:rsidP="00676DA1">
      <w:pPr>
        <w:pStyle w:val="ListNumberDotted"/>
        <w:numPr>
          <w:ilvl w:val="0"/>
          <w:numId w:val="56"/>
        </w:numPr>
        <w:ind w:left="360"/>
      </w:pPr>
      <w:r w:rsidRPr="00102445">
        <w:t xml:space="preserve">The Department, alongside the Department of Treasury, undertook modelling of the abatement and carbon market opportunities and the resulting safeguard emissions under policy elements, including borrowing, reflected in Safeguard Rules as amended, to inform Cabinet deliberations. A summary of this analysis, on which I relied, was included in the Department’s gross emissions analysis. </w:t>
      </w:r>
    </w:p>
    <w:p w14:paraId="447A0B57" w14:textId="77777777" w:rsidR="00676DA1" w:rsidRPr="00102445" w:rsidRDefault="00676DA1" w:rsidP="00676DA1">
      <w:pPr>
        <w:pStyle w:val="ListNumberDotted"/>
        <w:numPr>
          <w:ilvl w:val="0"/>
          <w:numId w:val="56"/>
        </w:numPr>
        <w:ind w:left="360"/>
      </w:pPr>
      <w:r w:rsidRPr="00102445">
        <w:t xml:space="preserve">The Department’s gross emissions analysis indicates the 5-year rolling average safeguard emissions for each financial year that begins after 30 June 2024 are estimated to be lower than the past 5-year rolling average safeguard emissions for that financial year, which is consistent with outcome (d). </w:t>
      </w:r>
    </w:p>
    <w:p w14:paraId="1911D675" w14:textId="77777777" w:rsidR="00676DA1" w:rsidRPr="00102445" w:rsidRDefault="00676DA1" w:rsidP="00676DA1">
      <w:pPr>
        <w:pStyle w:val="ListNumberDotted"/>
        <w:numPr>
          <w:ilvl w:val="0"/>
          <w:numId w:val="56"/>
        </w:numPr>
        <w:ind w:left="360"/>
      </w:pPr>
      <w:r w:rsidRPr="00102445">
        <w:t xml:space="preserve">The decline rate analysis I have received provides that the default baseline decline rates as outlined by Part 3, Division 5, which were used in formulating the default emissions reduction contribution have taken into consideration new entrants into the Safeguard Mechanism consistent with the assumptions and inputs to Australia’s emissions projections 2022, as well as the level of TEBA facilities that will be made to 2030. The default emissions reduction contribution provided in Part 3, Division 5 has been calculated to ensure that emissions will steadily decline to zero by 2050, accounting for any greater than expected increases in emissions from production, consistent with safeguard outcome (d).  </w:t>
      </w:r>
    </w:p>
    <w:p w14:paraId="5C5D15C7" w14:textId="77777777" w:rsidR="00676DA1" w:rsidRPr="00102445" w:rsidRDefault="00676DA1" w:rsidP="00676DA1">
      <w:pPr>
        <w:pStyle w:val="ListNumberDotted"/>
        <w:numPr>
          <w:ilvl w:val="0"/>
          <w:numId w:val="56"/>
        </w:numPr>
        <w:ind w:left="360"/>
      </w:pPr>
      <w:r w:rsidRPr="00102445">
        <w:t>To encourage on-site abatement, Part 3A of the Safeguard Rules as amended provides for the creation and issuance of SMCs where designated large facilities reduce their emissions beyond their baselines. Designated large facilities are able to sell these SMCs to other designated large facilities or bank them to use in future years when it is anticipated that the cost of prescribed carbon units will have increased. This provides an economic incentive for designated large facilities to undertake on-site abatement, thereby reducing safeguard emissions.</w:t>
      </w:r>
    </w:p>
    <w:p w14:paraId="7A1953DF" w14:textId="77777777" w:rsidR="00676DA1" w:rsidRPr="00102445" w:rsidRDefault="00676DA1" w:rsidP="00676DA1">
      <w:pPr>
        <w:pStyle w:val="ListNumberDotted"/>
        <w:numPr>
          <w:ilvl w:val="0"/>
          <w:numId w:val="56"/>
        </w:numPr>
        <w:ind w:left="360"/>
        <w:rPr>
          <w:rStyle w:val="Advisorytext"/>
        </w:rPr>
      </w:pPr>
      <w:r w:rsidRPr="00102445">
        <w:t>I note that, in facilitating emissions reduction, the Government is providing $600 million of funding from the Safeguard Transformation Stream in supporting development of onsite abatement opportunities of designated large facilities. Facilities that use the production variables listed in Schedule 2 of the Amended Rules are eligible to access these funds.</w:t>
      </w:r>
      <w:r w:rsidRPr="00102445">
        <w:rPr>
          <w:rStyle w:val="Advisorytext"/>
        </w:rPr>
        <w:t xml:space="preserve"> </w:t>
      </w:r>
    </w:p>
    <w:p w14:paraId="38B39763" w14:textId="77777777" w:rsidR="00676DA1" w:rsidRPr="00102445" w:rsidRDefault="00676DA1" w:rsidP="00676DA1">
      <w:pPr>
        <w:pStyle w:val="ListNumberDotted"/>
        <w:numPr>
          <w:ilvl w:val="0"/>
          <w:numId w:val="56"/>
        </w:numPr>
        <w:ind w:left="360"/>
      </w:pPr>
      <w:r w:rsidRPr="00102445">
        <w:t xml:space="preserve">The Safeguard Transformation Stream is additional to a range of other Commonwealth, State and Territory programs that can support on-site abatement at designated large facilities, such as support from the Australian Renewable Energy Agency, Clean Energy Finance Corporation and National Reconstruction Fund. </w:t>
      </w:r>
    </w:p>
    <w:p w14:paraId="5CC370BA" w14:textId="77777777" w:rsidR="00676DA1" w:rsidRPr="00102445" w:rsidRDefault="00676DA1" w:rsidP="00676DA1">
      <w:pPr>
        <w:pStyle w:val="ListNumberDotted"/>
        <w:numPr>
          <w:ilvl w:val="0"/>
          <w:numId w:val="56"/>
        </w:numPr>
        <w:ind w:left="360"/>
      </w:pPr>
      <w:r w:rsidRPr="00102445">
        <w:t xml:space="preserve">While these sources of funding or financing are not directly provided for by the Safeguard Rules, as amended, they are indirectly relevant in the sense that the provision of additional financial incentives for onsite carbon </w:t>
      </w:r>
      <w:r w:rsidRPr="00102445">
        <w:lastRenderedPageBreak/>
        <w:t>abatement would be anticipated to lead to a reduction in covered emissions. Since they are not directly provided for by the Safeguard Rules, as amended, I did not rely on these sources of funding or financing in deciding that I am satisfied that the Safeguard Rules as amended are consistent with safeguard outcome (d).</w:t>
      </w:r>
    </w:p>
    <w:p w14:paraId="50C87F83" w14:textId="77777777" w:rsidR="00676DA1" w:rsidRPr="00102445" w:rsidRDefault="00676DA1" w:rsidP="00676DA1">
      <w:pPr>
        <w:pStyle w:val="ListNumberDotted"/>
        <w:numPr>
          <w:ilvl w:val="0"/>
          <w:numId w:val="56"/>
        </w:numPr>
        <w:ind w:left="360"/>
      </w:pPr>
      <w:r w:rsidRPr="00102445">
        <w:t>I note there are a range of flexibility mechanisms that interact with the declining baselines which a designated large facility can use in meeting their compliance obligations. Such measures include borrowing adjustments (Part 3, Division 6) and declared multi-year periods (Part 4, Division 2). I have considered the consistency of these mechanisms with safeguard outcome (d) and have concluded they are consistent with outcome (d), as well as outcomes (b) and (c), for the following reasons:</w:t>
      </w:r>
    </w:p>
    <w:p w14:paraId="36D0ACAB" w14:textId="77777777" w:rsidR="00676DA1" w:rsidRPr="00102445" w:rsidRDefault="00676DA1" w:rsidP="00676DA1">
      <w:pPr>
        <w:pStyle w:val="ListNumberDotted"/>
        <w:numPr>
          <w:ilvl w:val="1"/>
          <w:numId w:val="56"/>
        </w:numPr>
        <w:rPr>
          <w:rStyle w:val="Advisorytext"/>
          <w:bdr w:val="none" w:sz="0" w:space="0" w:color="auto"/>
          <w:shd w:val="clear" w:color="auto" w:fill="auto"/>
        </w:rPr>
      </w:pPr>
      <w:bookmarkStart w:id="12" w:name="_Hlk133488691"/>
      <w:r w:rsidRPr="00102445">
        <w:rPr>
          <w:rStyle w:val="Advisorytext"/>
          <w:bdr w:val="none" w:sz="0" w:space="0" w:color="auto"/>
          <w:shd w:val="clear" w:color="auto" w:fill="auto"/>
        </w:rPr>
        <w:t xml:space="preserve">Neither borrowing nor declared multi-year periods are intended to allow for increases in emissions compared to the previous financial year, but to provide assistance to facilities to manage the declining baseline framework (including the default decline rate of 4.9 per cent each year) for a given period. Despite their compliance being offset temporarily, there is still the requirement to meet the declining baselines with the overall price signal to reduce gross emissions. </w:t>
      </w:r>
    </w:p>
    <w:p w14:paraId="7E7CDB0F" w14:textId="77777777" w:rsidR="00676DA1" w:rsidRPr="00102445" w:rsidRDefault="00676DA1" w:rsidP="00676DA1">
      <w:pPr>
        <w:pStyle w:val="ListNumberDotted"/>
        <w:numPr>
          <w:ilvl w:val="1"/>
          <w:numId w:val="56"/>
        </w:numPr>
        <w:rPr>
          <w:rStyle w:val="Advisorytext"/>
          <w:bdr w:val="none" w:sz="0" w:space="0" w:color="auto"/>
          <w:shd w:val="clear" w:color="auto" w:fill="auto"/>
        </w:rPr>
      </w:pPr>
      <w:r w:rsidRPr="00102445">
        <w:rPr>
          <w:rStyle w:val="Advisorytext"/>
          <w:bdr w:val="none" w:sz="0" w:space="0" w:color="auto"/>
          <w:shd w:val="clear" w:color="auto" w:fill="auto"/>
        </w:rPr>
        <w:t>As provided by Part 3, Division 6, borrowing is limited to up to 10 per cent of a future year’s baseline number. When accessing borrowing arrangements, facilities would need to plan to meet their next year’s baseline, which would be decreased by the default decline rate and by the amount borrowed (plus interest) the following year.  This level of interest applied to a facility’s emissions baseline effectively increases their abatement obligation for the following financial year, and therefore reduces the likelihood of the use of borrowing arrangements.</w:t>
      </w:r>
    </w:p>
    <w:p w14:paraId="16ECBE78" w14:textId="77777777" w:rsidR="00676DA1" w:rsidRPr="00102445" w:rsidRDefault="00676DA1" w:rsidP="00676DA1">
      <w:pPr>
        <w:pStyle w:val="ListNumberDotted"/>
        <w:numPr>
          <w:ilvl w:val="1"/>
          <w:numId w:val="56"/>
        </w:numPr>
        <w:rPr>
          <w:rStyle w:val="Advisorytext"/>
        </w:rPr>
      </w:pPr>
      <w:r w:rsidRPr="00102445">
        <w:t>As outlined by Part 4, Division 2, declared multi-year periods are available to facilities that have large scale abatement projects in the near-term pipeline. Facilities must provide a declaration to the Regulator that the facility will conduct one or more activities to reduce the emissions intensity of the facility’s production variables and that, as a result of those activities, they will be reasonably likely to avoid an excess emissions situation at the end of the declared multi-year period. Because of these requirements, it is anticipated that only a small number of facilities will qualify for a multi-year period in a given year and it is particularly unlikely that</w:t>
      </w:r>
      <w:r w:rsidRPr="00102445">
        <w:rPr>
          <w:rFonts w:eastAsia="Times New Roman" w:cs="Times New Roman"/>
          <w:lang w:eastAsia="en-AU"/>
        </w:rPr>
        <w:t xml:space="preserve"> any of these facilities will be able to increase its emissions during the initial years of the multi-year period and still avoid excess emissions situation at the end of the period. Further, section 69B of the Safeguard Rules as amended allows the Regulator to reduce the length of a declared multi-year period where emissions are not being reduced, limiting the potential that declared multi-year periods can be used to delay the implementation of onsite abatement projects, or delay liability without the intention of conducting onsite abatement. While the Department’s gross emissions analysis did not make assumptions on the use of declared multi-year periods, because of these requirements in the Safeguard Rules as amended, it is anticipated that only a small number of facilities will qualify for a declared multi-year period in a given year.  These arrangements occur in the context that baselines for all designated large facilities will be subject to an annual decline rate and that the 5 year rolling average safeguard emissions is compared to the financial year which ended either three years or two years before the financial year in focus. Consequently, in aggregate across all designated large facilities, it is unlikely that the amount of any additional emissions allowed in a financial year from a declared multi-year period would be sufficient to </w:t>
      </w:r>
      <w:r w:rsidRPr="00102445">
        <w:rPr>
          <w:rFonts w:eastAsia="Times New Roman" w:cs="Times New Roman"/>
          <w:lang w:eastAsia="en-AU"/>
        </w:rPr>
        <w:lastRenderedPageBreak/>
        <w:t xml:space="preserve">outweigh the reductions in emissions by other facilities, such that it is reasonable to expect the 5 year rolling average to be lower than the financial year which ended either three years or two years before the financial year in focus. </w:t>
      </w:r>
    </w:p>
    <w:p w14:paraId="1353CA5A" w14:textId="77777777" w:rsidR="00676DA1" w:rsidRPr="00102445" w:rsidRDefault="00676DA1" w:rsidP="00676DA1">
      <w:pPr>
        <w:pStyle w:val="ListNumberDotted"/>
        <w:numPr>
          <w:ilvl w:val="1"/>
          <w:numId w:val="56"/>
        </w:numPr>
        <w:rPr>
          <w:rStyle w:val="Advisorytext"/>
        </w:rPr>
      </w:pPr>
      <w:r w:rsidRPr="00102445">
        <w:rPr>
          <w:rStyle w:val="Advisorytext"/>
          <w:bdr w:val="none" w:sz="0" w:space="0" w:color="auto"/>
          <w:shd w:val="clear" w:color="auto" w:fill="auto"/>
        </w:rPr>
        <w:t>I also note that the Safeguard Rules as amended, in Part 4, Division 1 provide for exemption declarations whereby, in the event of criminal activity or natural disaster, the Regulator may exempt a facility from meeting their emissions baseline for a monitoring period. Since the</w:t>
      </w:r>
      <w:r w:rsidRPr="00102445">
        <w:rPr>
          <w:rStyle w:val="Advisorytext"/>
        </w:rPr>
        <w:t xml:space="preserve"> </w:t>
      </w:r>
      <w:r w:rsidRPr="00102445">
        <w:rPr>
          <w:rStyle w:val="Advisorytext"/>
          <w:bdr w:val="none" w:sz="0" w:space="0" w:color="auto"/>
          <w:shd w:val="clear" w:color="auto" w:fill="auto"/>
        </w:rPr>
        <w:t>commencement of the Safeguard Mechanism in 2016, the Regulator has never provided an exemption declaration. These provisions are only anticipated to be used in ‘exceptional circumstances’</w:t>
      </w:r>
      <w:r w:rsidRPr="00102445">
        <w:rPr>
          <w:rStyle w:val="Advisorytext"/>
          <w:bdr w:val="none" w:sz="0" w:space="0" w:color="auto"/>
          <w:shd w:val="clear" w:color="auto" w:fill="auto"/>
        </w:rPr>
        <w:footnoteReference w:id="12"/>
      </w:r>
      <w:r w:rsidRPr="00102445">
        <w:rPr>
          <w:rStyle w:val="Advisorytext"/>
          <w:bdr w:val="none" w:sz="0" w:space="0" w:color="auto"/>
          <w:shd w:val="clear" w:color="auto" w:fill="auto"/>
        </w:rPr>
        <w:t xml:space="preserve"> and, under the Safeguard Rules as amended, responsible emitters are required to undertake reasonable steps to mitigate the risks that the circumstances could result in an excess emissions situation before the circumstances occur and mitigate the likelihood of an excess emissions situation after the circumstances occur. They are therefore only anticipated to be used in very few cases and given the requirement to mitigate risks even if circumstances occur are not anticipated to have a material impact on the rolling 5 year period.</w:t>
      </w:r>
      <w:r w:rsidRPr="00102445">
        <w:rPr>
          <w:rStyle w:val="Advisorytext"/>
        </w:rPr>
        <w:t xml:space="preserve">   </w:t>
      </w:r>
      <w:bookmarkEnd w:id="12"/>
    </w:p>
    <w:p w14:paraId="1086A07C" w14:textId="77777777" w:rsidR="00676DA1" w:rsidRPr="00102445" w:rsidRDefault="00676DA1" w:rsidP="00676DA1">
      <w:pPr>
        <w:pStyle w:val="paragraph"/>
        <w:ind w:left="0" w:firstLine="0"/>
        <w:rPr>
          <w:rFonts w:asciiTheme="minorHAnsi" w:hAnsiTheme="minorHAnsi" w:cstheme="minorHAnsi"/>
          <w:b/>
          <w:bCs/>
        </w:rPr>
      </w:pPr>
      <w:r w:rsidRPr="00102445">
        <w:rPr>
          <w:rFonts w:asciiTheme="minorHAnsi" w:hAnsiTheme="minorHAnsi" w:cstheme="minorHAnsi"/>
        </w:rPr>
        <w:tab/>
      </w:r>
      <w:r w:rsidRPr="00102445">
        <w:rPr>
          <w:rFonts w:asciiTheme="minorHAnsi" w:hAnsiTheme="minorHAnsi" w:cstheme="minorHAnsi"/>
          <w:b/>
          <w:bCs/>
        </w:rPr>
        <w:t xml:space="preserve">I </w:t>
      </w:r>
      <w:r w:rsidRPr="00102445">
        <w:rPr>
          <w:rFonts w:asciiTheme="minorHAnsi" w:hAnsiTheme="minorHAnsi" w:cstheme="minorHAnsi"/>
          <w:b/>
        </w:rPr>
        <w:t>am</w:t>
      </w:r>
      <w:r w:rsidRPr="00102445">
        <w:rPr>
          <w:rFonts w:asciiTheme="minorHAnsi" w:hAnsiTheme="minorHAnsi" w:cstheme="minorHAnsi"/>
          <w:b/>
          <w:bCs/>
        </w:rPr>
        <w:t xml:space="preserve"> satisfied the Safeguard Rules as amended take into account safeguard outcome (e): that the responsible emitter for each designated large facility has a material incentive to invest in reducing covered emissions from the operation of the facility</w:t>
      </w:r>
    </w:p>
    <w:p w14:paraId="17C77AF5" w14:textId="77777777" w:rsidR="00676DA1" w:rsidRPr="00102445" w:rsidRDefault="00676DA1" w:rsidP="00676DA1">
      <w:pPr>
        <w:pStyle w:val="ListNumberDotted"/>
        <w:numPr>
          <w:ilvl w:val="0"/>
          <w:numId w:val="56"/>
        </w:numPr>
        <w:ind w:left="360"/>
      </w:pPr>
      <w:r w:rsidRPr="00102445">
        <w:t>Part 3A of the Safeguard Rules as amended establishes a framework for incentivising designated large facilities to reduce emissions because if, in a given financial year, a facility’s emissions are below their baseline, the facility will be rewarded through the issuance of SMCs. These SMCs can be sold to other designated large facilities or banked for future use and therefore represent a material incentive as baselines decline. Further, where facilities are above their baseline, there is a material financial incentive to invest in onsite abatement, as this will avoid the compliance cost of purchasing and surrendering prescribed carbon credits to reduce their net emissions. While still expected to be available at a price lower than the ceiling set by the cost containment measure, the cost of prescribed carbon credits is expected to increase over time as baselines decline. This provides an economic incentive for designated large facilities to invest in reducing covered emissions onsite where it is technically feasible and at an overall cost less than prescribed carbon credits. Collectively, this also provides an economic incentive for increased development in low emissions technology, which has the potential to increase the commercial availability and ultimately the cost of low-emissions technology.</w:t>
      </w:r>
    </w:p>
    <w:p w14:paraId="5AC4CE89" w14:textId="77777777" w:rsidR="00676DA1" w:rsidRPr="00102445" w:rsidRDefault="00676DA1" w:rsidP="00676DA1">
      <w:pPr>
        <w:pStyle w:val="ListNumberDotted"/>
        <w:numPr>
          <w:ilvl w:val="0"/>
          <w:numId w:val="56"/>
        </w:numPr>
        <w:ind w:left="360"/>
        <w:rPr>
          <w:rStyle w:val="Advisorytext"/>
          <w:bdr w:val="none" w:sz="0" w:space="0" w:color="auto"/>
          <w:shd w:val="clear" w:color="auto" w:fill="auto"/>
        </w:rPr>
      </w:pPr>
      <w:r w:rsidRPr="00102445">
        <w:t>Section 72C of the S</w:t>
      </w:r>
      <w:r w:rsidRPr="00102445">
        <w:rPr>
          <w:lang w:eastAsia="en-AU"/>
        </w:rPr>
        <w:t xml:space="preserve">afeguard Rules as amended requires that if, under subsection 22XN(1) of the NGER Act, </w:t>
      </w:r>
      <w:r w:rsidRPr="00102445">
        <w:t>the t</w:t>
      </w:r>
      <w:r w:rsidRPr="00102445">
        <w:rPr>
          <w:rFonts w:eastAsia="Times New Roman" w:cs="Times New Roman"/>
          <w:lang w:eastAsia="en-AU"/>
        </w:rPr>
        <w:t xml:space="preserve">otal number of ACCUs surrendered for a period exceed 30 per cent of the facility’s baseline emissions number, the responsible emitter must provide a written explanation to the Clean Energy Regulator </w:t>
      </w:r>
      <w:r w:rsidRPr="00102445">
        <w:t xml:space="preserve">of why more carbon abatement was not undertaken at the facility. The Regulator will publish non-commercially sensitive details of the explanation on the Regulator’s website. </w:t>
      </w:r>
      <w:r w:rsidRPr="00102445">
        <w:rPr>
          <w:lang w:eastAsia="en-AU"/>
        </w:rPr>
        <w:t xml:space="preserve">This requirement provides increased </w:t>
      </w:r>
      <w:r w:rsidRPr="00102445">
        <w:rPr>
          <w:rStyle w:val="Advisorytext"/>
          <w:bdr w:val="none" w:sz="0" w:space="0" w:color="auto"/>
          <w:shd w:val="clear" w:color="auto" w:fill="auto"/>
        </w:rPr>
        <w:t xml:space="preserve">transparency and accountability of designated large facilities’ onsite abatement activity within the financial </w:t>
      </w:r>
      <w:r w:rsidRPr="00102445">
        <w:rPr>
          <w:rStyle w:val="Advisorytext"/>
          <w:bdr w:val="none" w:sz="0" w:space="0" w:color="auto"/>
          <w:shd w:val="clear" w:color="auto" w:fill="auto"/>
        </w:rPr>
        <w:lastRenderedPageBreak/>
        <w:t xml:space="preserve">year. It will ensure that designated large facilities are carefully considering their options regarding the potential for onsite abatement activities against the use of ACCUs to meet their obligations. </w:t>
      </w:r>
    </w:p>
    <w:p w14:paraId="4B344D30" w14:textId="77777777" w:rsidR="00676DA1" w:rsidRPr="00102445" w:rsidRDefault="00676DA1" w:rsidP="00676DA1">
      <w:pPr>
        <w:pStyle w:val="ListNumberDotted"/>
        <w:numPr>
          <w:ilvl w:val="0"/>
          <w:numId w:val="56"/>
        </w:numPr>
        <w:ind w:left="360"/>
        <w:rPr>
          <w:rStyle w:val="Advisorytext"/>
          <w:bdr w:val="none" w:sz="0" w:space="0" w:color="auto"/>
          <w:shd w:val="clear" w:color="auto" w:fill="auto"/>
        </w:rPr>
      </w:pPr>
      <w:r w:rsidRPr="00102445">
        <w:rPr>
          <w:rStyle w:val="Advisorytext"/>
          <w:bdr w:val="none" w:sz="0" w:space="0" w:color="auto"/>
          <w:shd w:val="clear" w:color="auto" w:fill="auto"/>
        </w:rPr>
        <w:t xml:space="preserve"> I note that around 80 per cent of designated large facilities, generating around 86 per cent of safeguard emissions, have corporate commitments to reach net zero. In taking account safeguard outcome (e), section 72C of the Safeguard Rules as amended provides increased transparency around corporate decision making on the use of ACCUs, which is expected to lead to prioritisation of onsite abatement where it is technologically feasible and available at a price broadly relative or less than ACCUs. This provides an incentive for onsite abatement relative to the use of ACCUs and is therefore consistent with safeguard outcome (d) and takes account of safeguard outcome (e).</w:t>
      </w:r>
    </w:p>
    <w:p w14:paraId="30820819" w14:textId="77777777" w:rsidR="00676DA1" w:rsidRPr="00102445" w:rsidRDefault="00676DA1" w:rsidP="00676DA1">
      <w:pPr>
        <w:pStyle w:val="ListNumberDotted"/>
        <w:numPr>
          <w:ilvl w:val="0"/>
          <w:numId w:val="56"/>
        </w:numPr>
        <w:ind w:left="360"/>
      </w:pPr>
      <w:r w:rsidRPr="00102445">
        <w:t>I have heard from stakeholders during consultation that in adopting flexibility mechanisms, including declared multi-year periods, industry also need to have incentives in reducing emissions onsite. Taking this into consideration, section 42AA of the Safeguard Rules as amended provides a process for issuing SMCs to a designated large facility for a declared multi-year period, which will bolster industry investment in onsite emissions abatement, therefore taking account of safeguard outcome (e)</w:t>
      </w:r>
      <w:r w:rsidRPr="00102445">
        <w:rPr>
          <w:lang w:eastAsia="en-AU"/>
        </w:rPr>
        <w:t>.</w:t>
      </w:r>
    </w:p>
    <w:p w14:paraId="077D82DF" w14:textId="77777777" w:rsidR="00676DA1" w:rsidRPr="00102445" w:rsidRDefault="00676DA1" w:rsidP="00676DA1">
      <w:pPr>
        <w:pStyle w:val="paragraph"/>
        <w:ind w:left="0" w:firstLine="0"/>
        <w:rPr>
          <w:rFonts w:asciiTheme="minorHAnsi" w:hAnsiTheme="minorHAnsi" w:cstheme="minorBidi"/>
          <w:b/>
          <w:bCs/>
        </w:rPr>
      </w:pPr>
      <w:r w:rsidRPr="00102445">
        <w:rPr>
          <w:rFonts w:asciiTheme="minorHAnsi" w:hAnsiTheme="minorHAnsi" w:cstheme="minorHAnsi"/>
          <w:b/>
          <w:bCs/>
        </w:rPr>
        <w:t xml:space="preserve">I am satisfied the Safeguard Rules as amended take into account safeguard outcome </w:t>
      </w:r>
      <w:r w:rsidRPr="00102445">
        <w:rPr>
          <w:rFonts w:asciiTheme="minorHAnsi" w:hAnsiTheme="minorHAnsi" w:cstheme="minorBidi"/>
          <w:b/>
          <w:bCs/>
        </w:rPr>
        <w:t>(f): the competitiveness of trade-exposed</w:t>
      </w:r>
      <w:r w:rsidRPr="00102445">
        <w:rPr>
          <w:rFonts w:asciiTheme="minorHAnsi" w:hAnsiTheme="minorHAnsi" w:cstheme="minorBidi"/>
          <w:b/>
          <w:bCs/>
        </w:rPr>
        <w:noBreakHyphen/>
        <w:t xml:space="preserve"> industries is appropriately supported as Australia and its regions seize the opportunities of the move to a global net zero economy</w:t>
      </w:r>
    </w:p>
    <w:p w14:paraId="75126C0A" w14:textId="77777777" w:rsidR="00676DA1" w:rsidRPr="00102445" w:rsidRDefault="00676DA1" w:rsidP="00676DA1">
      <w:pPr>
        <w:pStyle w:val="ListNumberDotted"/>
        <w:numPr>
          <w:ilvl w:val="0"/>
          <w:numId w:val="56"/>
        </w:numPr>
        <w:ind w:left="360"/>
      </w:pPr>
      <w:r w:rsidRPr="00102445">
        <w:t>Under the Safeguard Rules as amended, two categories of trade exposed facilities will receive assistance to manage competitiveness issues and carbon leakage risks. These categories are ‘trade exposed’ facilities and TEBA facilities and are defined in Section 4 of the Safeguard Rules</w:t>
      </w:r>
      <w:r w:rsidRPr="00102445">
        <w:rPr>
          <w:i/>
        </w:rPr>
        <w:t xml:space="preserve">. </w:t>
      </w:r>
      <w:r w:rsidRPr="00102445">
        <w:t>The arrangements for these different categories of facilities will provide appropriate support to the competitiveness of trade-exposed industries, as Australia and its regions seize the opportunities of the move to a global net zero economy.</w:t>
      </w:r>
    </w:p>
    <w:p w14:paraId="5EC7C354" w14:textId="77777777" w:rsidR="00676DA1" w:rsidRPr="00102445" w:rsidRDefault="00676DA1" w:rsidP="00676DA1">
      <w:pPr>
        <w:pStyle w:val="ListNumberDotted"/>
        <w:numPr>
          <w:ilvl w:val="0"/>
          <w:numId w:val="56"/>
        </w:numPr>
        <w:ind w:left="360"/>
      </w:pPr>
      <w:r w:rsidRPr="00102445">
        <w:t xml:space="preserve">As provided by Part 3, Division 5, Subdivision D, of the Safeguard Rules as amended, TEBA facilities will be eligible to apply to the Regulator for a discounted decline rate based on a scheme impact metric. The minimum decline rate and scheme impact metric will differ depending on whether the facility’s primary production variable is designated as manufacturing or non-manufacturing. This </w:t>
      </w:r>
      <w:r w:rsidRPr="00102445">
        <w:rPr>
          <w:rFonts w:ascii="Calibri" w:eastAsia="Calibri" w:hAnsi="Calibri" w:cs="Calibri"/>
        </w:rPr>
        <w:t xml:space="preserve">differential treatment </w:t>
      </w:r>
      <w:r w:rsidRPr="00102445">
        <w:t xml:space="preserve">recognises the differences between the </w:t>
      </w:r>
      <w:r w:rsidRPr="00102445">
        <w:rPr>
          <w:rFonts w:ascii="Calibri" w:eastAsia="Calibri" w:hAnsi="Calibri" w:cs="Calibri"/>
        </w:rPr>
        <w:t xml:space="preserve">two in terms of structural margins and capital intensity, </w:t>
      </w:r>
      <w:r w:rsidRPr="00102445">
        <w:t>and the increased impacts to manufacturing within Australia. As outlined above, as well as taking this into account in relation to safeguard outcome (f), I have considered the consistency of these arrangements with safeguard outcomes (b), (c) and (d).</w:t>
      </w:r>
    </w:p>
    <w:p w14:paraId="309D458F" w14:textId="77777777" w:rsidR="00676DA1" w:rsidRPr="00102445" w:rsidRDefault="00676DA1" w:rsidP="00676DA1">
      <w:pPr>
        <w:pStyle w:val="ListNumberDotted"/>
        <w:numPr>
          <w:ilvl w:val="0"/>
          <w:numId w:val="56"/>
        </w:numPr>
        <w:ind w:left="360"/>
      </w:pPr>
      <w:r w:rsidRPr="00102445">
        <w:t xml:space="preserve">Part 3, Division 5, Subdivision C of the Safeguard Rules as amended provides the framework for specialised treatment for TEBA facilities. Facilities that can demonstrate that their scheme cost impacts under the scheme are above a specified threshold may apply to the Regulator to have a reduced baseline decline rate applied for a three-year period. </w:t>
      </w:r>
    </w:p>
    <w:p w14:paraId="1C8242D6" w14:textId="77777777" w:rsidR="00676DA1" w:rsidRPr="00102445" w:rsidRDefault="00676DA1" w:rsidP="00676DA1">
      <w:pPr>
        <w:pStyle w:val="ListNumberDotted"/>
        <w:numPr>
          <w:ilvl w:val="0"/>
          <w:numId w:val="56"/>
        </w:numPr>
        <w:ind w:left="360"/>
      </w:pPr>
      <w:r w:rsidRPr="00102445">
        <w:t xml:space="preserve">As outlined within Part 3, Division 5, Subdivision C, in determining the lower decline rate, manufacturing facilities will use scheme cost as a percentage of facility Earnings Before Interest and Taxes (EBIT), reflecting the value-added nature of their margins. Scheme cost for a facility will be determined by multiplying a baseline exceedance in a particular year by the default prescribed unit price. Assistance to the manufacturing sector will commence at 3% and the minimum baseline decline rate will be available at 10%. The minimum baseline decline rate for manufacturing facilities will be 1% each year. Non-manufacturing facilities will use </w:t>
      </w:r>
      <w:r w:rsidRPr="00102445">
        <w:lastRenderedPageBreak/>
        <w:t>scheme cost as a percentage of facility revenue, with access to concessional baseline decline rates commencing at 3% and the minimum baseline decline rate will be available at 8%. The minimum baseline decline rate for non-manufacturing facilities will be 2% each year.</w:t>
      </w:r>
    </w:p>
    <w:p w14:paraId="4C4AD4F2" w14:textId="77777777" w:rsidR="00676DA1" w:rsidRPr="00102445" w:rsidRDefault="00676DA1" w:rsidP="00676DA1">
      <w:pPr>
        <w:pStyle w:val="ListNumberDotted"/>
        <w:numPr>
          <w:ilvl w:val="0"/>
          <w:numId w:val="56"/>
        </w:numPr>
        <w:ind w:left="360"/>
      </w:pPr>
      <w:r w:rsidRPr="00102445">
        <w:t>I note that both categories of trade-exposed and TEBA facilities, as designated under the Safeguard Rules as amended, will be eligible to access the $1.9 billion Powering the Regions Fund (PRF). Within the PRF, the Government will support trade-exposed facilities to invest in low emissions technology through the $600 million Safeguard Transformation Stream and will also support industries providing critical inputs to clean energy industries (including steel, cement, lime, aluminium and alumina) through the $400 million Critical Inputs Fund. This assistance will complement the Safeguard Mechanism and other government policies to help Australia and its regions seize the opportunities of the move to a global net zero economy.</w:t>
      </w:r>
    </w:p>
    <w:p w14:paraId="6DD83382" w14:textId="77777777" w:rsidR="00676DA1" w:rsidRPr="00102445" w:rsidRDefault="00676DA1" w:rsidP="00676DA1">
      <w:pPr>
        <w:pStyle w:val="ListNumberDotted"/>
        <w:numPr>
          <w:ilvl w:val="0"/>
          <w:numId w:val="56"/>
        </w:numPr>
        <w:ind w:left="360"/>
      </w:pPr>
      <w:r w:rsidRPr="00102445">
        <w:t>Part 3, Division 2 sets baselines for existing facilities using a production adjusted framework with a hybrid approach between site-specific and industry average values that transitions towards full industry average values from 2030. I note that production adjusting baselines as provided in Division 2 of this Part take into account supporting the competitiveness of trade-exposed facilities as:</w:t>
      </w:r>
    </w:p>
    <w:p w14:paraId="1A3CFC23" w14:textId="77777777" w:rsidR="00676DA1" w:rsidRPr="00102445" w:rsidRDefault="00676DA1" w:rsidP="00676DA1">
      <w:pPr>
        <w:pStyle w:val="ListNumberDotted"/>
        <w:numPr>
          <w:ilvl w:val="1"/>
          <w:numId w:val="56"/>
        </w:numPr>
      </w:pPr>
      <w:r w:rsidRPr="00102445">
        <w:t>They do not penalise facilities that increase their production, and</w:t>
      </w:r>
    </w:p>
    <w:p w14:paraId="30A19293" w14:textId="77777777" w:rsidR="00676DA1" w:rsidRPr="00102445" w:rsidRDefault="00676DA1" w:rsidP="00676DA1">
      <w:pPr>
        <w:pStyle w:val="ListNumberDotted"/>
        <w:numPr>
          <w:ilvl w:val="1"/>
          <w:numId w:val="56"/>
        </w:numPr>
      </w:pPr>
      <w:r w:rsidRPr="00102445">
        <w:t>They do not create an incentive for facilities to reduce their production to avoid their safeguard liability, which could occur if baselines were set on an absolute basis.</w:t>
      </w:r>
    </w:p>
    <w:p w14:paraId="4180CC4C" w14:textId="77777777" w:rsidR="00676DA1" w:rsidRPr="00102445" w:rsidRDefault="00676DA1" w:rsidP="00676DA1">
      <w:pPr>
        <w:pStyle w:val="ListNumberDotted"/>
        <w:numPr>
          <w:ilvl w:val="0"/>
          <w:numId w:val="56"/>
        </w:numPr>
        <w:ind w:left="360"/>
      </w:pPr>
      <w:r w:rsidRPr="00102445">
        <w:t>I note that the general design of the Safeguard Mechanism, which does not impose costs on every tonne of emissions, but declines baselines on a trajectory to net zero by 2050, supports competitiveness and has similarities to free allocation used internationally in schemes to reduce emissions. International actions to reduce emissions consistent with commitments under the Paris Agreement are also relevant to the nature of potential competitiveness impacts, along with corporate commitments of trade-exposed industries.</w:t>
      </w:r>
    </w:p>
    <w:p w14:paraId="052A509C" w14:textId="77777777" w:rsidR="00676DA1" w:rsidRPr="00102445" w:rsidRDefault="00676DA1" w:rsidP="00676DA1">
      <w:pPr>
        <w:pStyle w:val="ListNumberDotted"/>
        <w:numPr>
          <w:ilvl w:val="0"/>
          <w:numId w:val="56"/>
        </w:numPr>
        <w:ind w:left="360"/>
        <w:rPr>
          <w:lang w:eastAsia="en-AU"/>
        </w:rPr>
      </w:pPr>
      <w:r w:rsidRPr="00102445">
        <w:rPr>
          <w:lang w:eastAsia="en-AU"/>
        </w:rPr>
        <w:t xml:space="preserve">Schedule 2 provides the basis for defining the ‘trade exposure’ of facilities and is relevant to how the Safeguard Rules take into account safeguard outcome (f) of the Act. Section 1 of Schedule 2 provides a table which lists trade-exposed production variables that are also manufacturing sector facilities. Section 2 of this Schedule provides another table that lists production variables that are non-manufacturing production variables. </w:t>
      </w:r>
    </w:p>
    <w:p w14:paraId="436331B6" w14:textId="77777777" w:rsidR="00676DA1" w:rsidRPr="00102445" w:rsidRDefault="00676DA1" w:rsidP="00676DA1">
      <w:pPr>
        <w:pStyle w:val="ListNumberDotted"/>
        <w:ind w:left="643" w:hanging="360"/>
        <w:rPr>
          <w:b/>
          <w:bCs/>
        </w:rPr>
      </w:pPr>
      <w:r w:rsidRPr="00102445">
        <w:rPr>
          <w:b/>
          <w:bCs/>
        </w:rPr>
        <w:br w:type="page"/>
      </w:r>
    </w:p>
    <w:p w14:paraId="4F76E011" w14:textId="77777777" w:rsidR="00676DA1" w:rsidRPr="00102445" w:rsidRDefault="00676DA1" w:rsidP="00676DA1">
      <w:pPr>
        <w:pStyle w:val="ListNumberDotted"/>
        <w:ind w:left="643" w:hanging="360"/>
      </w:pPr>
      <w:r w:rsidRPr="00102445">
        <w:rPr>
          <w:b/>
          <w:bCs/>
        </w:rPr>
        <w:lastRenderedPageBreak/>
        <w:t xml:space="preserve">Other provisions </w:t>
      </w:r>
    </w:p>
    <w:p w14:paraId="1E7EDAEC" w14:textId="77777777" w:rsidR="00676DA1" w:rsidRPr="00102445" w:rsidRDefault="00676DA1" w:rsidP="00676DA1">
      <w:pPr>
        <w:pStyle w:val="ListNumberDotted"/>
        <w:numPr>
          <w:ilvl w:val="0"/>
          <w:numId w:val="56"/>
        </w:numPr>
        <w:ind w:left="360"/>
      </w:pPr>
      <w:r w:rsidRPr="00102445">
        <w:t>In deciding to make the Amendment Rules, I considered the following Parts and Schedules of the Safeguard Rules as amended which are not discussed above and which support the effective operation of the Safeguard Mechanism regulatory scheme but do not otherwise directly relate to the safeguard outcomes:</w:t>
      </w:r>
    </w:p>
    <w:p w14:paraId="03A1550C" w14:textId="77777777" w:rsidR="00676DA1" w:rsidRPr="00102445" w:rsidRDefault="00676DA1" w:rsidP="00676DA1">
      <w:pPr>
        <w:pStyle w:val="ListNumberDotted"/>
        <w:numPr>
          <w:ilvl w:val="1"/>
          <w:numId w:val="56"/>
        </w:numPr>
      </w:pPr>
      <w:r w:rsidRPr="00102445">
        <w:t>Part 1 provides definitions of terms used within the Safeguard Rules.</w:t>
      </w:r>
    </w:p>
    <w:p w14:paraId="5F486182" w14:textId="77777777" w:rsidR="00676DA1" w:rsidRPr="00102445" w:rsidRDefault="00676DA1" w:rsidP="00676DA1">
      <w:pPr>
        <w:pStyle w:val="ListNumberDotted"/>
        <w:numPr>
          <w:ilvl w:val="1"/>
          <w:numId w:val="56"/>
        </w:numPr>
      </w:pPr>
      <w:r w:rsidRPr="00102445">
        <w:t xml:space="preserve">Part 2 of the Safeguard Rules as amended provides that emissions of the kind specified are not ‘covered emissions’ for the purposes of this Act (as contemplated by section 22XI of the NGER Act), and specifies the designated large facility threshold for paragraph 22XJ(1)(b) of the Act. This Part accordingly determines the coverage of the Safeguard Mechanism. </w:t>
      </w:r>
    </w:p>
    <w:p w14:paraId="76D1A23F" w14:textId="77777777" w:rsidR="00676DA1" w:rsidRPr="00102445" w:rsidRDefault="00676DA1" w:rsidP="00676DA1">
      <w:pPr>
        <w:pStyle w:val="ListNumberDotted"/>
        <w:numPr>
          <w:ilvl w:val="1"/>
          <w:numId w:val="56"/>
        </w:numPr>
        <w:rPr>
          <w:rStyle w:val="Advisorytext"/>
          <w:rFonts w:cstheme="minorHAnsi"/>
        </w:rPr>
      </w:pPr>
      <w:r w:rsidRPr="00102445">
        <w:rPr>
          <w:rFonts w:eastAsia="Times New Roman" w:cs="Times New Roman"/>
          <w:lang w:eastAsia="en-AU"/>
        </w:rPr>
        <w:t xml:space="preserve">Part 5 of the Safeguard Rules as amended concerns the registration of facilities, reporting and record keeping required under the NGER Act. </w:t>
      </w:r>
      <w:r w:rsidRPr="00102445">
        <w:t>New section 78A of Part 5 sets the conditions in which an audit of a regulatory report must be provided under s 74AA of the Act and matters the audit report must contain. It requires that, if emissions for a facility exceed 1 million tonnes in any financial year, the responsible emitter must submit an audit report that provides either a reasonable assurance conclusion or a qualified reasonable assurance conclusion that the quantities specified of greenhouse gases from the operation of the facility are correct. This section provides additional assurance, as part of a mature monitoring, reporting and verification regulatory scheme, of the accuracy of emissions figures which underpins the tracking of emissions against the objects of the Act.</w:t>
      </w:r>
    </w:p>
    <w:p w14:paraId="634A4BE9" w14:textId="77777777" w:rsidR="00676DA1" w:rsidRPr="00102445" w:rsidRDefault="00676DA1" w:rsidP="00676DA1">
      <w:pPr>
        <w:pStyle w:val="ListNumberDotted"/>
        <w:numPr>
          <w:ilvl w:val="1"/>
          <w:numId w:val="56"/>
        </w:numPr>
        <w:rPr>
          <w:rStyle w:val="Advisorytext"/>
          <w:bdr w:val="none" w:sz="0" w:space="0" w:color="auto"/>
          <w:shd w:val="clear" w:color="auto" w:fill="auto"/>
        </w:rPr>
      </w:pPr>
      <w:r w:rsidRPr="00102445">
        <w:rPr>
          <w:rStyle w:val="Advisorytext"/>
          <w:bdr w:val="none" w:sz="0" w:space="0" w:color="auto"/>
          <w:shd w:val="clear" w:color="auto" w:fill="auto"/>
        </w:rPr>
        <w:t xml:space="preserve">Part 6 of the Safeguard Rules as amended outlines the application and transitional arrangements for previous amendments to the Safeguard Rules. New Division 5 of Part 6 contains application, saving and transitional provisions relation to the Amendment Rules, to ensure the new provisions apply in a way and at a time that ensure the reforms operate as described above, from 1 July 2023, and continue existing obligations for the remainder of the 2022-23 financial year, which contributes to ensuring the net emissions budget in safeguard outcome (b) is met. </w:t>
      </w:r>
    </w:p>
    <w:p w14:paraId="344F21C1" w14:textId="77777777" w:rsidR="00676DA1" w:rsidRPr="00102445" w:rsidRDefault="00676DA1" w:rsidP="00676DA1">
      <w:pPr>
        <w:pStyle w:val="ListNumberDotted"/>
        <w:numPr>
          <w:ilvl w:val="1"/>
          <w:numId w:val="56"/>
        </w:numPr>
        <w:rPr>
          <w:rStyle w:val="Advisorytext"/>
          <w:bdr w:val="none" w:sz="0" w:space="0" w:color="auto"/>
          <w:shd w:val="clear" w:color="auto" w:fill="auto"/>
        </w:rPr>
      </w:pPr>
      <w:r w:rsidRPr="00102445">
        <w:rPr>
          <w:rStyle w:val="Advisorytext"/>
          <w:bdr w:val="none" w:sz="0" w:space="0" w:color="auto"/>
          <w:shd w:val="clear" w:color="auto" w:fill="auto"/>
        </w:rPr>
        <w:t xml:space="preserve">Schedule 1 of the Safeguard Rules as amended lists production variables, which are metrics associated with designated large facilities, and default emissions intensity values for these production variables. These production variables and default emissions intensity values are an input to the calculations for determining the baseline emissions number, as described above. The Department is undertaking a review of production variables to ensure that they continue to incentivise, wherever possible, lower emissions production. </w:t>
      </w:r>
    </w:p>
    <w:p w14:paraId="5ACEC978" w14:textId="77777777" w:rsidR="00676DA1" w:rsidRPr="00102445" w:rsidRDefault="00676DA1" w:rsidP="00676DA1">
      <w:pPr>
        <w:pStyle w:val="ListNumberDotted"/>
      </w:pPr>
    </w:p>
    <w:p w14:paraId="4A13F110" w14:textId="77777777" w:rsidR="00676DA1" w:rsidRPr="00102445" w:rsidRDefault="00676DA1" w:rsidP="00676DA1">
      <w:pPr>
        <w:pStyle w:val="ListNumberDotted"/>
      </w:pPr>
    </w:p>
    <w:p w14:paraId="7A13BEF0" w14:textId="77777777" w:rsidR="00676DA1" w:rsidRPr="00102445" w:rsidRDefault="00676DA1" w:rsidP="00676DA1">
      <w:pPr>
        <w:pStyle w:val="ListNumberDotted"/>
      </w:pPr>
      <w:r w:rsidRPr="00102445">
        <w:br w:type="page"/>
      </w:r>
    </w:p>
    <w:p w14:paraId="6290EC01" w14:textId="77777777" w:rsidR="00676DA1" w:rsidRPr="00102445" w:rsidRDefault="00676DA1" w:rsidP="00676DA1">
      <w:pPr>
        <w:pStyle w:val="ListNumberDotted"/>
      </w:pPr>
      <w:r w:rsidRPr="00102445">
        <w:lastRenderedPageBreak/>
        <w:t>For the reasons above, I, the Hon Chris Bowen MP, Minister for Climate Change and Energy, am satisfied that Safeguard Rules as amended are consistent with the safeguard outcomes in paragraphs 3(2)(b), (c) and (d), and take into account the safeguard outcomes in paragraphs 3(2)(e) and (f), of the NGER Act.</w:t>
      </w:r>
    </w:p>
    <w:p w14:paraId="6CBAD513" w14:textId="77777777" w:rsidR="00676DA1" w:rsidRPr="00102445" w:rsidRDefault="00676DA1" w:rsidP="00676DA1">
      <w:pPr>
        <w:pStyle w:val="ListNumberDotted"/>
        <w:ind w:left="425" w:hanging="425"/>
      </w:pPr>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551"/>
        <w:gridCol w:w="7653"/>
      </w:tblGrid>
      <w:tr w:rsidR="00676DA1" w:rsidRPr="00102445" w14:paraId="2EB54BAD" w14:textId="77777777" w:rsidTr="004F1695">
        <w:tc>
          <w:tcPr>
            <w:tcW w:w="1250" w:type="pct"/>
            <w:tcMar>
              <w:left w:w="108" w:type="dxa"/>
              <w:right w:w="108" w:type="dxa"/>
            </w:tcMar>
          </w:tcPr>
          <w:p w14:paraId="568D3DA0" w14:textId="77777777" w:rsidR="00676DA1" w:rsidRPr="00102445" w:rsidRDefault="00676DA1" w:rsidP="004F1695">
            <w:pPr>
              <w:rPr>
                <w:rStyle w:val="Strong"/>
              </w:rPr>
            </w:pPr>
            <w:r w:rsidRPr="00102445">
              <w:rPr>
                <w:rStyle w:val="Strong"/>
              </w:rPr>
              <w:t>Name and position</w:t>
            </w:r>
          </w:p>
        </w:tc>
        <w:tc>
          <w:tcPr>
            <w:tcW w:w="3750" w:type="pct"/>
            <w:tcMar>
              <w:left w:w="108" w:type="dxa"/>
              <w:right w:w="108" w:type="dxa"/>
            </w:tcMar>
          </w:tcPr>
          <w:p w14:paraId="0382098E" w14:textId="77777777" w:rsidR="00676DA1" w:rsidRPr="00102445" w:rsidRDefault="00676DA1" w:rsidP="004F1695">
            <w:pPr>
              <w:pStyle w:val="NoSpacing"/>
            </w:pPr>
            <w:r w:rsidRPr="00102445">
              <w:t xml:space="preserve">Hon Chris Bowen MP, Minister for Climate Change and Energy </w:t>
            </w:r>
          </w:p>
        </w:tc>
      </w:tr>
      <w:tr w:rsidR="00676DA1" w:rsidRPr="00102445" w14:paraId="26FE8651" w14:textId="77777777" w:rsidTr="004F1695">
        <w:tc>
          <w:tcPr>
            <w:tcW w:w="1250" w:type="pct"/>
            <w:tcMar>
              <w:left w:w="108" w:type="dxa"/>
              <w:right w:w="108" w:type="dxa"/>
            </w:tcMar>
          </w:tcPr>
          <w:p w14:paraId="7C25036F" w14:textId="77777777" w:rsidR="00676DA1" w:rsidRPr="00102445" w:rsidRDefault="00676DA1" w:rsidP="004F1695">
            <w:pPr>
              <w:rPr>
                <w:rStyle w:val="Strong"/>
              </w:rPr>
            </w:pPr>
            <w:r w:rsidRPr="00102445">
              <w:rPr>
                <w:rStyle w:val="Strong"/>
              </w:rPr>
              <w:t>Signature</w:t>
            </w:r>
          </w:p>
        </w:tc>
        <w:tc>
          <w:tcPr>
            <w:tcW w:w="3750" w:type="pct"/>
            <w:tcMar>
              <w:left w:w="108" w:type="dxa"/>
              <w:right w:w="108" w:type="dxa"/>
            </w:tcMar>
          </w:tcPr>
          <w:p w14:paraId="3301C67D" w14:textId="77777777" w:rsidR="00676DA1" w:rsidRPr="00102445" w:rsidRDefault="00676DA1" w:rsidP="004F1695"/>
          <w:p w14:paraId="66288B57" w14:textId="77777777" w:rsidR="00676DA1" w:rsidRPr="00102445" w:rsidRDefault="00676DA1" w:rsidP="004F1695"/>
          <w:p w14:paraId="3C7671F5" w14:textId="77777777" w:rsidR="00676DA1" w:rsidRPr="00102445" w:rsidRDefault="00676DA1" w:rsidP="004F1695"/>
        </w:tc>
      </w:tr>
      <w:tr w:rsidR="00676DA1" w:rsidRPr="00102445" w14:paraId="31E4B127" w14:textId="77777777" w:rsidTr="004F1695">
        <w:tc>
          <w:tcPr>
            <w:tcW w:w="1250" w:type="pct"/>
            <w:tcMar>
              <w:left w:w="108" w:type="dxa"/>
              <w:right w:w="108" w:type="dxa"/>
            </w:tcMar>
          </w:tcPr>
          <w:p w14:paraId="0D73A1C1" w14:textId="77777777" w:rsidR="00676DA1" w:rsidRPr="00102445" w:rsidRDefault="00676DA1" w:rsidP="004F1695">
            <w:pPr>
              <w:rPr>
                <w:rStyle w:val="Strong"/>
              </w:rPr>
            </w:pPr>
            <w:r w:rsidRPr="00102445">
              <w:rPr>
                <w:rStyle w:val="Strong"/>
              </w:rPr>
              <w:t>Date of decision</w:t>
            </w:r>
          </w:p>
        </w:tc>
        <w:tc>
          <w:tcPr>
            <w:tcW w:w="3750" w:type="pct"/>
            <w:tcMar>
              <w:left w:w="108" w:type="dxa"/>
              <w:right w:w="108" w:type="dxa"/>
            </w:tcMar>
          </w:tcPr>
          <w:p w14:paraId="281111CD" w14:textId="5CDC897B" w:rsidR="00676DA1" w:rsidRPr="00102445" w:rsidRDefault="00814CBA" w:rsidP="004F1695">
            <w:pPr>
              <w:rPr>
                <w:rStyle w:val="Advisorytext"/>
              </w:rPr>
            </w:pPr>
            <w:r>
              <w:rPr>
                <w:rStyle w:val="Advisorytext"/>
              </w:rPr>
              <w:t>3 May 2023</w:t>
            </w:r>
          </w:p>
        </w:tc>
      </w:tr>
    </w:tbl>
    <w:p w14:paraId="2D6CEA2E" w14:textId="77777777" w:rsidR="00676DA1" w:rsidRPr="00102445" w:rsidRDefault="00676DA1" w:rsidP="00676DA1"/>
    <w:p w14:paraId="12169E72" w14:textId="12EE8F39" w:rsidR="00CB721C" w:rsidRPr="00102445" w:rsidRDefault="00CB721C">
      <w:pPr>
        <w:spacing w:before="0" w:after="160" w:line="259" w:lineRule="auto"/>
      </w:pPr>
      <w:r w:rsidRPr="00102445">
        <w:br w:type="page"/>
      </w:r>
    </w:p>
    <w:p w14:paraId="74B78573" w14:textId="280251A3" w:rsidR="00380A20" w:rsidRPr="00102445" w:rsidRDefault="00380A20" w:rsidP="00F75B84">
      <w:pPr>
        <w:pStyle w:val="Heading2"/>
        <w:jc w:val="center"/>
      </w:pPr>
      <w:r w:rsidRPr="00102445">
        <w:lastRenderedPageBreak/>
        <w:t xml:space="preserve">ATTACHMENT </w:t>
      </w:r>
      <w:r w:rsidR="00E34BE3" w:rsidRPr="00102445">
        <w:t xml:space="preserve">B </w:t>
      </w:r>
      <w:r w:rsidRPr="00102445">
        <w:t xml:space="preserve">– </w:t>
      </w:r>
      <w:r w:rsidR="008464D0" w:rsidRPr="00102445">
        <w:t>Matters to be considered by the 2026-27 Review into the Safeguard Mechanism</w:t>
      </w:r>
    </w:p>
    <w:p w14:paraId="18946279" w14:textId="6B4F794A" w:rsidR="007A6208" w:rsidRPr="00102445" w:rsidRDefault="007A6208" w:rsidP="007A6208">
      <w:pPr>
        <w:pStyle w:val="Itemheadings"/>
      </w:pPr>
      <w:r w:rsidRPr="00102445">
        <w:t xml:space="preserve">Context </w:t>
      </w:r>
    </w:p>
    <w:p w14:paraId="30493126" w14:textId="2A863AE9" w:rsidR="007A032F" w:rsidRPr="00102445" w:rsidRDefault="007A032F" w:rsidP="007A032F">
      <w:r w:rsidRPr="00102445">
        <w:rPr>
          <w:lang w:eastAsia="ja-JP"/>
        </w:rPr>
        <w:t xml:space="preserve">The Government has committed to review Safeguard Mechanism policy settings in the financial year 2026-27, to ensure the scheme’s design is appropriately calibrated and effectively delivering emissions reductions in line with Australia’s targets. The 2026-27 review will be made on two years of post-reform data and consider reforms </w:t>
      </w:r>
      <w:r w:rsidR="009E397A" w:rsidRPr="00102445">
        <w:rPr>
          <w:lang w:eastAsia="ja-JP"/>
        </w:rPr>
        <w:t>outcomes</w:t>
      </w:r>
      <w:r w:rsidRPr="00102445">
        <w:rPr>
          <w:lang w:eastAsia="ja-JP"/>
        </w:rPr>
        <w:t xml:space="preserve">, whilst providing an opportunity to </w:t>
      </w:r>
      <w:r w:rsidR="00107E80" w:rsidRPr="00102445">
        <w:rPr>
          <w:lang w:eastAsia="ja-JP"/>
        </w:rPr>
        <w:t xml:space="preserve">ensure </w:t>
      </w:r>
      <w:r w:rsidRPr="00102445">
        <w:rPr>
          <w:lang w:eastAsia="ja-JP"/>
        </w:rPr>
        <w:t xml:space="preserve">its continued effectiveness. The review will be an opportunity to provide stakeholders with certainty on a range of key policy measures to 2030 and beyond in driving further investment in on-site abatement. </w:t>
      </w:r>
    </w:p>
    <w:p w14:paraId="2119955D" w14:textId="2CE282E3" w:rsidR="007A6208" w:rsidRPr="00102445" w:rsidRDefault="00405EDB" w:rsidP="007A6208">
      <w:pPr>
        <w:pStyle w:val="Itemheadings"/>
      </w:pPr>
      <w:r w:rsidRPr="00102445">
        <w:t>Scope</w:t>
      </w:r>
    </w:p>
    <w:p w14:paraId="7C0EB429" w14:textId="50532AC6" w:rsidR="00A82D0B" w:rsidRPr="00102445" w:rsidRDefault="00A82D0B" w:rsidP="00A82D0B">
      <w:r w:rsidRPr="00102445">
        <w:t xml:space="preserve">The review will broadly consider the effectiveness of the design of the Safeguard Mechanism reform in achieving the objects of the </w:t>
      </w:r>
      <w:r w:rsidRPr="00102445">
        <w:rPr>
          <w:i/>
          <w:iCs/>
        </w:rPr>
        <w:t xml:space="preserve">National Greenhouse and Energy Reporting Act 2007 </w:t>
      </w:r>
      <w:r w:rsidRPr="00102445">
        <w:t>(NGER Act). The review will assess the ongoing effectiveness of a range of policy elements that are key to the scheme’s success. The scope of the review will include matters such as:</w:t>
      </w:r>
    </w:p>
    <w:p w14:paraId="55479A90" w14:textId="681CA52E" w:rsidR="00A82D0B" w:rsidRPr="00102445" w:rsidRDefault="00DF47A4" w:rsidP="00591A9C">
      <w:pPr>
        <w:pStyle w:val="ListParagraph"/>
        <w:numPr>
          <w:ilvl w:val="0"/>
          <w:numId w:val="3"/>
        </w:numPr>
        <w:spacing w:before="0" w:after="160" w:line="259" w:lineRule="auto"/>
      </w:pPr>
      <w:r w:rsidRPr="00102445">
        <w:t>the</w:t>
      </w:r>
      <w:r w:rsidR="00A82D0B" w:rsidRPr="00102445">
        <w:t xml:space="preserve"> emissions baseline decline value </w:t>
      </w:r>
    </w:p>
    <w:p w14:paraId="37017150" w14:textId="7FD53CA7" w:rsidR="00B70C0C" w:rsidRPr="00102445" w:rsidRDefault="008E44D9" w:rsidP="00591A9C">
      <w:pPr>
        <w:pStyle w:val="ListParagraph"/>
        <w:numPr>
          <w:ilvl w:val="0"/>
          <w:numId w:val="3"/>
        </w:numPr>
        <w:spacing w:before="0" w:after="160" w:line="259" w:lineRule="auto"/>
      </w:pPr>
      <w:r w:rsidRPr="00102445">
        <w:t>whether</w:t>
      </w:r>
      <w:r w:rsidR="00EC24A0" w:rsidRPr="00102445">
        <w:t xml:space="preserve"> international units</w:t>
      </w:r>
      <w:r w:rsidR="000F73DD" w:rsidRPr="00102445">
        <w:t xml:space="preserve"> should be considered</w:t>
      </w:r>
    </w:p>
    <w:p w14:paraId="7A035A33" w14:textId="35D0297E" w:rsidR="00B70C0C" w:rsidRPr="00102445" w:rsidRDefault="006977A3" w:rsidP="00591A9C">
      <w:pPr>
        <w:pStyle w:val="ListParagraph"/>
        <w:numPr>
          <w:ilvl w:val="0"/>
          <w:numId w:val="3"/>
        </w:numPr>
        <w:spacing w:before="0" w:after="100" w:line="259" w:lineRule="auto"/>
      </w:pPr>
      <w:r w:rsidRPr="00102445">
        <w:t>t</w:t>
      </w:r>
      <w:r w:rsidR="00EC24A0" w:rsidRPr="00102445">
        <w:t>he suitability of arrangements for emissions-intensive, trade-exposed activities</w:t>
      </w:r>
    </w:p>
    <w:p w14:paraId="4D855149" w14:textId="1B81BCE6" w:rsidR="00FD5F36" w:rsidRPr="00102445" w:rsidRDefault="006977A3" w:rsidP="00591A9C">
      <w:pPr>
        <w:pStyle w:val="ListParagraph"/>
        <w:numPr>
          <w:ilvl w:val="0"/>
          <w:numId w:val="3"/>
        </w:numPr>
        <w:spacing w:before="0" w:after="160" w:line="259" w:lineRule="auto"/>
      </w:pPr>
      <w:r w:rsidRPr="00102445">
        <w:t>t</w:t>
      </w:r>
      <w:r w:rsidR="00FD5F36" w:rsidRPr="00102445">
        <w:t>he role and importance of manufacturing facilities in providing sovereign manufacturing capability (in particular capabilities that support national decarbonisation investment</w:t>
      </w:r>
      <w:r w:rsidR="00B155F4" w:rsidRPr="00102445">
        <w:t xml:space="preserve"> and investments made by such facilities after the commencement of the reforms</w:t>
      </w:r>
      <w:r w:rsidR="00FD5F36" w:rsidRPr="00102445">
        <w:t>)</w:t>
      </w:r>
    </w:p>
    <w:p w14:paraId="0E8C3A49" w14:textId="5B387BC0" w:rsidR="00FD5F36" w:rsidRPr="00102445" w:rsidRDefault="006977A3" w:rsidP="00591A9C">
      <w:pPr>
        <w:pStyle w:val="ListParagraph"/>
        <w:numPr>
          <w:ilvl w:val="0"/>
          <w:numId w:val="3"/>
        </w:numPr>
        <w:spacing w:before="0" w:after="160" w:line="259" w:lineRule="auto"/>
      </w:pPr>
      <w:r w:rsidRPr="00102445">
        <w:t>t</w:t>
      </w:r>
      <w:r w:rsidR="00FD5F36" w:rsidRPr="00102445">
        <w:t>he impact of any carbon border adjustment mechanism that might be in place at the time of the review</w:t>
      </w:r>
    </w:p>
    <w:p w14:paraId="34A4B10D" w14:textId="20F0576F" w:rsidR="00FD5F36" w:rsidRPr="00102445" w:rsidRDefault="006977A3" w:rsidP="00591A9C">
      <w:pPr>
        <w:pStyle w:val="ListParagraph"/>
        <w:numPr>
          <w:ilvl w:val="0"/>
          <w:numId w:val="3"/>
        </w:numPr>
        <w:spacing w:before="0" w:after="160" w:line="259" w:lineRule="auto"/>
      </w:pPr>
      <w:r w:rsidRPr="00102445">
        <w:t>t</w:t>
      </w:r>
      <w:r w:rsidR="00FD5F36" w:rsidRPr="00102445">
        <w:t xml:space="preserve">he commercial readiness and viability of technology to reduce emissions from manufacturing </w:t>
      </w:r>
      <w:r w:rsidR="00CE747D" w:rsidRPr="00102445">
        <w:t>and other</w:t>
      </w:r>
      <w:r w:rsidR="00FD5F36" w:rsidRPr="00102445">
        <w:t xml:space="preserve"> facilities</w:t>
      </w:r>
    </w:p>
    <w:p w14:paraId="04232EBC" w14:textId="77777777" w:rsidR="005B1BB8" w:rsidRPr="00102445" w:rsidRDefault="006977A3" w:rsidP="00591A9C">
      <w:pPr>
        <w:pStyle w:val="ListParagraph"/>
        <w:numPr>
          <w:ilvl w:val="0"/>
          <w:numId w:val="3"/>
        </w:numPr>
        <w:spacing w:before="0" w:after="160" w:line="259" w:lineRule="auto"/>
      </w:pPr>
      <w:r w:rsidRPr="00102445">
        <w:t>t</w:t>
      </w:r>
      <w:r w:rsidR="00FD5F36" w:rsidRPr="00102445">
        <w:t xml:space="preserve">he carbon efficiency of these facilities when compared to the competing import facilities; </w:t>
      </w:r>
    </w:p>
    <w:p w14:paraId="2D2911D8" w14:textId="3251B896" w:rsidR="00FD5F36" w:rsidRPr="00102445" w:rsidRDefault="00FD5F36" w:rsidP="00591A9C">
      <w:pPr>
        <w:pStyle w:val="ListParagraph"/>
        <w:numPr>
          <w:ilvl w:val="0"/>
          <w:numId w:val="3"/>
        </w:numPr>
        <w:spacing w:before="0" w:after="160" w:line="259" w:lineRule="auto"/>
      </w:pPr>
      <w:r w:rsidRPr="00102445">
        <w:t>the progress of international commitments and policies to reduce emissions</w:t>
      </w:r>
    </w:p>
    <w:p w14:paraId="4D64CC39" w14:textId="4E08717D" w:rsidR="00A82D0B" w:rsidRPr="00102445" w:rsidRDefault="006977A3" w:rsidP="00591A9C">
      <w:pPr>
        <w:pStyle w:val="ListParagraph"/>
        <w:numPr>
          <w:ilvl w:val="0"/>
          <w:numId w:val="3"/>
        </w:numPr>
        <w:spacing w:before="0" w:after="160" w:line="259" w:lineRule="auto"/>
      </w:pPr>
      <w:r w:rsidRPr="00102445">
        <w:t>t</w:t>
      </w:r>
      <w:r w:rsidR="00A82D0B" w:rsidRPr="00102445">
        <w:t>he sufficiency of the cost containment measure</w:t>
      </w:r>
      <w:r w:rsidR="005B1BB8" w:rsidRPr="00102445">
        <w:t>;</w:t>
      </w:r>
    </w:p>
    <w:p w14:paraId="2EFB8F75" w14:textId="57D20E63" w:rsidR="00A82D0B" w:rsidRPr="00102445" w:rsidRDefault="006977A3" w:rsidP="00591A9C">
      <w:pPr>
        <w:pStyle w:val="ListParagraph"/>
        <w:numPr>
          <w:ilvl w:val="0"/>
          <w:numId w:val="3"/>
        </w:numPr>
        <w:spacing w:before="0" w:after="160" w:line="259" w:lineRule="auto"/>
      </w:pPr>
      <w:r w:rsidRPr="00102445">
        <w:t>t</w:t>
      </w:r>
      <w:r w:rsidR="00A82D0B" w:rsidRPr="00102445">
        <w:t xml:space="preserve">he treatment </w:t>
      </w:r>
      <w:r w:rsidR="00A82D0B" w:rsidRPr="00102445">
        <w:rPr>
          <w:lang w:eastAsia="ja-JP"/>
        </w:rPr>
        <w:t>of flexibility mechanisms beyond 2030, such as banking and borrowing and multi-year monitoring periods</w:t>
      </w:r>
      <w:r w:rsidR="005B1BB8" w:rsidRPr="00102445">
        <w:rPr>
          <w:lang w:eastAsia="ja-JP"/>
        </w:rPr>
        <w:t>;</w:t>
      </w:r>
    </w:p>
    <w:p w14:paraId="57EE796E" w14:textId="4C6569DD" w:rsidR="005E6456" w:rsidRPr="00102445" w:rsidRDefault="00431E58" w:rsidP="00591A9C">
      <w:pPr>
        <w:pStyle w:val="ListParagraph"/>
        <w:numPr>
          <w:ilvl w:val="0"/>
          <w:numId w:val="3"/>
        </w:numPr>
        <w:spacing w:before="0" w:after="160" w:line="259" w:lineRule="auto"/>
      </w:pPr>
      <w:r w:rsidRPr="00102445">
        <w:t>the u</w:t>
      </w:r>
      <w:r w:rsidR="00A82D0B" w:rsidRPr="00102445">
        <w:t>se of Safeguard Mechanism Credits and offsets beyond 2030, noting these credits provide a significant incentive for investment in onsite abatement</w:t>
      </w:r>
      <w:r w:rsidR="005B1BB8" w:rsidRPr="00102445">
        <w:t>;</w:t>
      </w:r>
    </w:p>
    <w:p w14:paraId="03BB52CD" w14:textId="659BA8F2" w:rsidR="00A82D0B" w:rsidRPr="00102445" w:rsidRDefault="005E6456" w:rsidP="00591A9C">
      <w:pPr>
        <w:pStyle w:val="ListParagraph"/>
        <w:numPr>
          <w:ilvl w:val="0"/>
          <w:numId w:val="3"/>
        </w:numPr>
        <w:spacing w:before="0" w:after="160" w:line="259" w:lineRule="auto"/>
      </w:pPr>
      <w:r w:rsidRPr="00102445">
        <w:t>whether any competitive neutrality issues have arisen with the coverage arrangements</w:t>
      </w:r>
      <w:r w:rsidR="00A82D0B" w:rsidRPr="00102445">
        <w:t>.</w:t>
      </w:r>
    </w:p>
    <w:p w14:paraId="4464270A" w14:textId="59BFB0C1" w:rsidR="00A82D0B" w:rsidRPr="00102445" w:rsidRDefault="00A82D0B" w:rsidP="00A82D0B">
      <w:pPr>
        <w:rPr>
          <w:lang w:eastAsia="ja-JP"/>
        </w:rPr>
      </w:pPr>
      <w:r w:rsidRPr="00102445">
        <w:rPr>
          <w:lang w:eastAsia="ja-JP"/>
        </w:rPr>
        <w:t>As part of the 2026-27 review, the Climate Change Authority will advise the Government on the extent to which on-site abatement is being driven by the reforms, and whether any additional incentives are required</w:t>
      </w:r>
      <w:r w:rsidR="0026205F" w:rsidRPr="00102445">
        <w:rPr>
          <w:lang w:eastAsia="ja-JP"/>
        </w:rPr>
        <w:t xml:space="preserve"> (such as a discount on ACCUs when used for more than a certain percentage of a baseline or any circumstances where limits on the use of ACCUs may be appropriate)</w:t>
      </w:r>
      <w:r w:rsidRPr="00102445">
        <w:rPr>
          <w:lang w:eastAsia="ja-JP"/>
        </w:rPr>
        <w:t xml:space="preserve">. </w:t>
      </w:r>
    </w:p>
    <w:p w14:paraId="774F52CB" w14:textId="63086C05" w:rsidR="00CF66B7" w:rsidRPr="00102445" w:rsidRDefault="00CF66B7">
      <w:pPr>
        <w:spacing w:before="0" w:after="160" w:line="259" w:lineRule="auto"/>
        <w:rPr>
          <w:rFonts w:eastAsiaTheme="majorEastAsia" w:cstheme="majorBidi"/>
          <w:b/>
          <w:color w:val="000000" w:themeColor="text1"/>
          <w:szCs w:val="26"/>
        </w:rPr>
      </w:pPr>
      <w:r w:rsidRPr="00102445">
        <w:br w:type="page"/>
      </w:r>
    </w:p>
    <w:p w14:paraId="05BBE9EB" w14:textId="5D5C9EDD" w:rsidR="006000CB" w:rsidRPr="00102445" w:rsidRDefault="00F6554C" w:rsidP="00380A20">
      <w:pPr>
        <w:pStyle w:val="Heading2"/>
        <w:jc w:val="center"/>
      </w:pPr>
      <w:r w:rsidRPr="00102445">
        <w:lastRenderedPageBreak/>
        <w:t>A</w:t>
      </w:r>
      <w:r w:rsidR="00380A20" w:rsidRPr="00102445">
        <w:t>TTACHMENT</w:t>
      </w:r>
      <w:r w:rsidRPr="00102445">
        <w:t xml:space="preserve"> </w:t>
      </w:r>
      <w:r w:rsidR="00E34BE3" w:rsidRPr="00102445">
        <w:t xml:space="preserve">C </w:t>
      </w:r>
      <w:r w:rsidR="00380A20" w:rsidRPr="00102445">
        <w:t xml:space="preserve">– </w:t>
      </w:r>
      <w:r w:rsidR="006000CB" w:rsidRPr="00102445">
        <w:t>STATEMENT OF COMPATIBILITY WITH HUMAN RIGHTS</w:t>
      </w:r>
    </w:p>
    <w:p w14:paraId="15099A55" w14:textId="77777777" w:rsidR="006000CB" w:rsidRPr="00102445" w:rsidRDefault="006000CB" w:rsidP="006000CB">
      <w:pPr>
        <w:spacing w:before="120" w:after="120"/>
        <w:jc w:val="center"/>
        <w:rPr>
          <w:rFonts w:cs="Times New Roman"/>
          <w:i/>
        </w:rPr>
      </w:pPr>
      <w:r w:rsidRPr="00102445">
        <w:rPr>
          <w:rFonts w:cs="Times New Roman"/>
          <w:i/>
        </w:rPr>
        <w:t>Prepared in accordance with Part 3 of the Human Rights (Parliamentary Scrutiny) Act 2011</w:t>
      </w:r>
    </w:p>
    <w:p w14:paraId="16571F50" w14:textId="77777777" w:rsidR="00CF66B7" w:rsidRPr="00102445" w:rsidRDefault="00CF66B7" w:rsidP="00CF66B7">
      <w:pPr>
        <w:spacing w:before="120" w:after="120"/>
        <w:jc w:val="center"/>
        <w:rPr>
          <w:rFonts w:cs="Times New Roman"/>
          <w:i/>
        </w:rPr>
      </w:pPr>
    </w:p>
    <w:p w14:paraId="2758F2CA" w14:textId="302B865F" w:rsidR="00CF66B7" w:rsidRPr="00102445" w:rsidRDefault="00CF66B7" w:rsidP="00CF66B7">
      <w:pPr>
        <w:spacing w:before="120" w:after="120"/>
        <w:jc w:val="center"/>
        <w:rPr>
          <w:rFonts w:cs="Times New Roman"/>
          <w:b/>
        </w:rPr>
      </w:pPr>
      <w:r w:rsidRPr="00102445">
        <w:rPr>
          <w:rFonts w:cs="Times New Roman"/>
          <w:b/>
        </w:rPr>
        <w:t>National Greenhouse and Energy Reporting (Safeguard Mechanism) Amendment (Reforms) Rules 2023</w:t>
      </w:r>
    </w:p>
    <w:p w14:paraId="1A67081A" w14:textId="77777777" w:rsidR="00CF66B7" w:rsidRPr="00102445" w:rsidRDefault="00CF66B7" w:rsidP="00CF66B7">
      <w:pPr>
        <w:spacing w:before="120" w:after="120"/>
        <w:jc w:val="center"/>
        <w:rPr>
          <w:rFonts w:cs="Times New Roman"/>
          <w:b/>
        </w:rPr>
      </w:pPr>
    </w:p>
    <w:p w14:paraId="7DAE8351" w14:textId="77777777" w:rsidR="00CF66B7" w:rsidRPr="00102445" w:rsidRDefault="00CF66B7" w:rsidP="00CF66B7">
      <w:pPr>
        <w:spacing w:line="240" w:lineRule="auto"/>
        <w:jc w:val="center"/>
        <w:rPr>
          <w:i/>
          <w:iCs/>
        </w:rPr>
      </w:pPr>
      <w:r w:rsidRPr="00102445">
        <w:rPr>
          <w:i/>
          <w:iCs/>
        </w:rPr>
        <w:t>The Amendment Rules are compatible with the human rights and freedoms recognised or declared in the international instruments listed in section 3 of the Human Rights (Parliamentary Scrutiny) Act 2011</w:t>
      </w:r>
    </w:p>
    <w:p w14:paraId="072FBCB5" w14:textId="77777777" w:rsidR="006000CB" w:rsidRPr="00102445" w:rsidRDefault="006000CB" w:rsidP="006000CB">
      <w:pPr>
        <w:pStyle w:val="Heading2"/>
        <w:rPr>
          <w:rFonts w:cs="Times New Roman"/>
          <w:b w:val="0"/>
          <w:szCs w:val="24"/>
        </w:rPr>
      </w:pPr>
      <w:r w:rsidRPr="00102445">
        <w:t>Overview of the Legislative Instrument</w:t>
      </w:r>
    </w:p>
    <w:p w14:paraId="4D67291F" w14:textId="0EA5900E" w:rsidR="006000CB" w:rsidRPr="00102445" w:rsidRDefault="006000CB" w:rsidP="006000CB">
      <w:r w:rsidRPr="00102445">
        <w:t xml:space="preserve">The </w:t>
      </w:r>
      <w:r w:rsidRPr="00102445">
        <w:rPr>
          <w:i/>
        </w:rPr>
        <w:t>National Greenhouse and Energy Reporting Act 2007</w:t>
      </w:r>
      <w:r w:rsidRPr="00102445">
        <w:t xml:space="preserve"> (the NGER Act) establishes a single national framework for reporting and disseminating company information about greenhouse gas emissions, energy production, energy consumption and other information. The Safeguard Mechanism is part of </w:t>
      </w:r>
      <w:r w:rsidR="00B86E54" w:rsidRPr="00102445">
        <w:t>the NGER Act</w:t>
      </w:r>
      <w:r w:rsidRPr="00102445">
        <w:t xml:space="preserve">. Together with the reporting obligations under </w:t>
      </w:r>
      <w:r w:rsidR="00B86E54" w:rsidRPr="00102445">
        <w:t>the NGER Act</w:t>
      </w:r>
      <w:r w:rsidRPr="00102445">
        <w:t>, the Safeguard Mechanism provides a framework for Australia’s largest emitters to measure, report and manage their emissions.</w:t>
      </w:r>
    </w:p>
    <w:p w14:paraId="09A15B0A" w14:textId="45476DA2" w:rsidR="006000CB" w:rsidRPr="00102445" w:rsidRDefault="006000CB" w:rsidP="006000CB">
      <w:r w:rsidRPr="00102445">
        <w:t xml:space="preserve">The </w:t>
      </w:r>
      <w:r w:rsidRPr="00102445">
        <w:rPr>
          <w:i/>
        </w:rPr>
        <w:t>Safeguard Mechanism (Crediting) Amendment Act 2023</w:t>
      </w:r>
      <w:r w:rsidRPr="00102445">
        <w:t xml:space="preserve"> amends the NGER Act, the </w:t>
      </w:r>
      <w:r w:rsidRPr="00102445">
        <w:rPr>
          <w:i/>
          <w:iCs/>
        </w:rPr>
        <w:t>Carbon Credits (Carbon Farming Initiative) Act 2011</w:t>
      </w:r>
      <w:r w:rsidRPr="00102445">
        <w:t xml:space="preserve"> (</w:t>
      </w:r>
      <w:r w:rsidR="004B2D24" w:rsidRPr="00102445">
        <w:t>Carbon Farming Initiative Act</w:t>
      </w:r>
      <w:r w:rsidRPr="00102445">
        <w:t xml:space="preserve">), and </w:t>
      </w:r>
      <w:r w:rsidRPr="00102445">
        <w:rPr>
          <w:i/>
        </w:rPr>
        <w:t>Australian National Registry of Emissions Units Act 2011</w:t>
      </w:r>
      <w:r w:rsidRPr="00102445">
        <w:t xml:space="preserve"> (ANREU Act) to establish the framework for creating SMCs, covering how credits are issued, purchased, and included in Australia's National Registry of Emissions Units. These credits each</w:t>
      </w:r>
      <w:r w:rsidRPr="00102445" w:rsidDel="00EE4FB1">
        <w:t xml:space="preserve"> </w:t>
      </w:r>
      <w:r w:rsidRPr="00102445">
        <w:t>correspond to a tonne carbon dioxide equivalent of emissions (or difference in emissions compared to a facility’s baseline) and can be traded and used by other facilities to reduce their net emissions.</w:t>
      </w:r>
    </w:p>
    <w:p w14:paraId="494392F7" w14:textId="2CAF2EB2" w:rsidR="005D5334" w:rsidRPr="00102445" w:rsidRDefault="005D5334" w:rsidP="006000CB">
      <w:pPr>
        <w:rPr>
          <w:i/>
          <w:iCs/>
        </w:rPr>
      </w:pPr>
      <w:r w:rsidRPr="00102445">
        <w:t xml:space="preserve">The Amendment Rules support the changes made to the NGER Act, by amending the </w:t>
      </w:r>
      <w:r w:rsidRPr="00102445">
        <w:rPr>
          <w:i/>
          <w:iCs/>
        </w:rPr>
        <w:t>National Greenhouse and Energy Reporting (Safeguard Mechanism) Rule 2015.</w:t>
      </w:r>
    </w:p>
    <w:p w14:paraId="68A745EE" w14:textId="77777777" w:rsidR="006000CB" w:rsidRPr="00102445" w:rsidRDefault="006000CB" w:rsidP="006000CB">
      <w:pPr>
        <w:pStyle w:val="Heading2"/>
      </w:pPr>
      <w:bookmarkStart w:id="13" w:name="_Toc119074148"/>
      <w:r w:rsidRPr="00102445">
        <w:t>Human rights implications</w:t>
      </w:r>
      <w:bookmarkEnd w:id="13"/>
    </w:p>
    <w:p w14:paraId="7432A123" w14:textId="27307C45" w:rsidR="001157B2" w:rsidRPr="00102445" w:rsidRDefault="001157B2" w:rsidP="007A1C78">
      <w:r w:rsidRPr="00102445">
        <w:t xml:space="preserve">The </w:t>
      </w:r>
      <w:r w:rsidR="00A62723" w:rsidRPr="00102445">
        <w:t>Amendment Rules</w:t>
      </w:r>
      <w:r w:rsidRPr="00102445">
        <w:t xml:space="preserve"> will primarily regulate entities or corporations, which are not covered by human rights treaties, rather than individuals.</w:t>
      </w:r>
    </w:p>
    <w:p w14:paraId="555CA836" w14:textId="1E52E52D" w:rsidR="001157B2" w:rsidRPr="00102445" w:rsidRDefault="001157B2" w:rsidP="007A1C78">
      <w:pPr>
        <w:rPr>
          <w:color w:val="000000"/>
        </w:rPr>
      </w:pPr>
      <w:r w:rsidRPr="00102445">
        <w:rPr>
          <w:color w:val="000000"/>
        </w:rPr>
        <w:t xml:space="preserve">The </w:t>
      </w:r>
      <w:r w:rsidR="00A62723" w:rsidRPr="00102445">
        <w:rPr>
          <w:color w:val="000000"/>
        </w:rPr>
        <w:t>Amendment Rules</w:t>
      </w:r>
      <w:r w:rsidRPr="00102445">
        <w:rPr>
          <w:color w:val="000000"/>
        </w:rPr>
        <w:t xml:space="preserve"> engage, or may engage, the following human rights:</w:t>
      </w:r>
    </w:p>
    <w:p w14:paraId="5EADFA0E" w14:textId="478850E9" w:rsidR="001157B2" w:rsidRPr="00102445" w:rsidRDefault="001157B2" w:rsidP="00591A9C">
      <w:pPr>
        <w:pStyle w:val="ListParagraph"/>
        <w:numPr>
          <w:ilvl w:val="0"/>
          <w:numId w:val="3"/>
        </w:numPr>
        <w:rPr>
          <w:color w:val="000000"/>
        </w:rPr>
      </w:pPr>
      <w:r w:rsidRPr="00102445">
        <w:rPr>
          <w:color w:val="000000" w:themeColor="text1"/>
        </w:rPr>
        <w:t>the right to privacy – Article 17 of the International Covenant on Civil and Political Rights (ICCPR)</w:t>
      </w:r>
    </w:p>
    <w:p w14:paraId="07B16339" w14:textId="3C3A31C2" w:rsidR="006000CB" w:rsidRPr="00102445" w:rsidRDefault="006000CB" w:rsidP="007A1C78">
      <w:r w:rsidRPr="00102445">
        <w:t>The effects of climate change can exacerbate extreme weather events such as bushfires, flooding, heatwaves, and dangerous storms that threaten the life and health. This could engage the right to life in Article 6 of the ICCPR. The Amendment Rules, by helping to deliver Australia’s greenhouse gas emissions reduction targets, could promote human rights by mitigating the effects of climate change.</w:t>
      </w:r>
    </w:p>
    <w:p w14:paraId="771719DC" w14:textId="3A9B456C" w:rsidR="001157B2" w:rsidRPr="00102445" w:rsidRDefault="001157B2" w:rsidP="007A1C78">
      <w:pPr>
        <w:pStyle w:val="Heading2"/>
      </w:pPr>
      <w:r w:rsidRPr="00102445">
        <w:lastRenderedPageBreak/>
        <w:t xml:space="preserve">The </w:t>
      </w:r>
      <w:r w:rsidR="00C35E5F" w:rsidRPr="00102445">
        <w:t xml:space="preserve">Rules </w:t>
      </w:r>
      <w:r w:rsidRPr="00102445">
        <w:t>will primarily regulate entities rather than individuals</w:t>
      </w:r>
    </w:p>
    <w:p w14:paraId="4C480482" w14:textId="274F25E8" w:rsidR="001157B2" w:rsidRPr="00102445" w:rsidRDefault="001157B2" w:rsidP="00DD6E46">
      <w:r w:rsidRPr="00102445">
        <w:t xml:space="preserve">While the </w:t>
      </w:r>
      <w:r w:rsidR="00367BEC" w:rsidRPr="00102445">
        <w:t>Amendment Rules</w:t>
      </w:r>
      <w:r w:rsidRPr="00102445">
        <w:t xml:space="preserve"> purport to place various obligations on “persons”, generally it uses that term to denote an entity which is not an individual, including body corporate safeguard-covered entities and greenhouse gas project proponents (see the definition of “person” under sections 2B and 2C of the </w:t>
      </w:r>
      <w:r w:rsidRPr="00102445">
        <w:rPr>
          <w:i/>
        </w:rPr>
        <w:t>Acts Interpretation Act 1901</w:t>
      </w:r>
      <w:r w:rsidRPr="00102445">
        <w:t>).</w:t>
      </w:r>
    </w:p>
    <w:p w14:paraId="01E1C52C" w14:textId="10E6C0E0" w:rsidR="001157B2" w:rsidRPr="00102445" w:rsidRDefault="001157B2" w:rsidP="00DD6E46">
      <w:r w:rsidRPr="00102445">
        <w:t xml:space="preserve">The primary classes of “persons” that will be regulated by </w:t>
      </w:r>
      <w:r w:rsidR="00367BEC" w:rsidRPr="00102445">
        <w:t>the Amendment Rules</w:t>
      </w:r>
      <w:r w:rsidRPr="00102445">
        <w:t xml:space="preserve"> are “responsible emitters”, as defined in 22XH of the </w:t>
      </w:r>
      <w:r w:rsidRPr="00102445">
        <w:rPr>
          <w:i/>
        </w:rPr>
        <w:t>National Greenhouse and Energy Reporting Act 2007</w:t>
      </w:r>
      <w:r w:rsidRPr="00102445">
        <w:t> (NGER Act), for facilities covered by the Safeguard Mechanism. These entities are listed on the Clean Energy Regulator’s website at https://www.cleanenergyregulator.gov.au/NGER/The-safeguard-mechanism, and it is understood that each so listed is a constitutional corporation.</w:t>
      </w:r>
    </w:p>
    <w:p w14:paraId="4D55E992" w14:textId="7E40BB52" w:rsidR="001157B2" w:rsidRPr="00102445" w:rsidRDefault="001157B2" w:rsidP="00DD6E46">
      <w:r w:rsidRPr="00102445">
        <w:t xml:space="preserve">As such, there are very few provisions of the </w:t>
      </w:r>
      <w:r w:rsidR="00D77429" w:rsidRPr="00102445">
        <w:t>Amendment Rules</w:t>
      </w:r>
      <w:r w:rsidRPr="00102445">
        <w:t xml:space="preserve"> that regulate and consequently limit the human rights of individuals.</w:t>
      </w:r>
    </w:p>
    <w:p w14:paraId="1E2E3D65" w14:textId="72276A7F" w:rsidR="001157B2" w:rsidRPr="00102445" w:rsidRDefault="001157B2" w:rsidP="00DD6E46">
      <w:pPr>
        <w:pStyle w:val="Heading2"/>
      </w:pPr>
      <w:r w:rsidRPr="00102445">
        <w:t>Right to Privacy and Reputation – Article 17</w:t>
      </w:r>
      <w:r w:rsidRPr="00102445">
        <w:rPr>
          <w:b w:val="0"/>
          <w:bCs/>
          <w:color w:val="000000"/>
        </w:rPr>
        <w:t xml:space="preserve"> </w:t>
      </w:r>
      <w:r w:rsidRPr="00102445">
        <w:rPr>
          <w:color w:val="000000"/>
        </w:rPr>
        <w:t>ICCPR</w:t>
      </w:r>
    </w:p>
    <w:p w14:paraId="147CB2AD" w14:textId="0718A912" w:rsidR="001157B2" w:rsidRPr="00102445" w:rsidRDefault="001157B2" w:rsidP="00DD6E46">
      <w:r w:rsidRPr="00102445">
        <w:t>Article 17 of the ICCPR prohibits unlawful or arbitrary interferences with a person’s privacy, family, home and correspondence, and unlawful attacks on a person’s reputation. The right to privacy includes respect for informational privacy, including in respect of storing, using and sharing personal information, and the right to control the dissemination of this information. It also provides that persons have the right to protection of the law against such interference or attacks. The rights contained in Article 17 of the ICCPR may be subject to permissible limitations where limitations are authorised by law and are non-arbitrary. For limitations to be non-arbitrary they must be reasonable, necessary and proportionate to a legitimate objective.</w:t>
      </w:r>
    </w:p>
    <w:p w14:paraId="17B5C811" w14:textId="2323DD03" w:rsidR="00D73E39" w:rsidRPr="00102445" w:rsidRDefault="00D73E39" w:rsidP="00DD6E46">
      <w:r w:rsidRPr="00102445">
        <w:t xml:space="preserve">The Amendment Rules amend and further impose reporting requirements on regulated entities, with regard to their greenhouse gas emissions. </w:t>
      </w:r>
    </w:p>
    <w:p w14:paraId="389F1965" w14:textId="77777777" w:rsidR="006000CB" w:rsidRPr="00102445" w:rsidRDefault="006000CB" w:rsidP="006000CB">
      <w:pPr>
        <w:pStyle w:val="Heading2"/>
      </w:pPr>
      <w:r w:rsidRPr="00102445">
        <w:t>Conclusion</w:t>
      </w:r>
    </w:p>
    <w:p w14:paraId="2EA8ADD8" w14:textId="6329C91B" w:rsidR="006000CB" w:rsidRPr="00102445" w:rsidRDefault="006000CB" w:rsidP="006000CB">
      <w:r w:rsidRPr="00102445">
        <w:t xml:space="preserve">The Amendment Rules are compatible with human </w:t>
      </w:r>
      <w:r w:rsidR="006773B7" w:rsidRPr="00102445">
        <w:t xml:space="preserve">rights and freedoms outlined above. </w:t>
      </w:r>
      <w:r w:rsidR="006773B7" w:rsidRPr="00102445">
        <w:rPr>
          <w:color w:val="000000"/>
          <w:shd w:val="clear" w:color="auto" w:fill="FFFFFF"/>
        </w:rPr>
        <w:t xml:space="preserve">Although they engage with some human rights and freedoms, the nature of these measures being largely limited to corporate entities ensures that any such limitations are reasonable, necessary and proportionate to achieving the legitimate objective of reducing greenhouse gas emissions. </w:t>
      </w:r>
    </w:p>
    <w:p w14:paraId="18220B3E" w14:textId="77777777" w:rsidR="006000CB" w:rsidRPr="00102445" w:rsidRDefault="006000CB" w:rsidP="006000CB">
      <w:pPr>
        <w:jc w:val="center"/>
        <w:rPr>
          <w:b/>
          <w:bCs/>
        </w:rPr>
      </w:pPr>
      <w:r w:rsidRPr="00102445">
        <w:rPr>
          <w:b/>
          <w:bCs/>
        </w:rPr>
        <w:t>The Hon. Chris Bowen MP</w:t>
      </w:r>
    </w:p>
    <w:p w14:paraId="6D15FFD8" w14:textId="77777777" w:rsidR="006000CB" w:rsidRPr="00102445" w:rsidRDefault="006000CB" w:rsidP="006000CB">
      <w:pPr>
        <w:jc w:val="center"/>
        <w:rPr>
          <w:b/>
          <w:bCs/>
        </w:rPr>
      </w:pPr>
      <w:r w:rsidRPr="00102445">
        <w:rPr>
          <w:b/>
          <w:bCs/>
        </w:rPr>
        <w:t>Minister for Climate Change and Energy</w:t>
      </w:r>
    </w:p>
    <w:p w14:paraId="22673F28" w14:textId="709BB585" w:rsidR="002F0C9A" w:rsidRPr="008A719D" w:rsidRDefault="002F0C9A" w:rsidP="008A719D">
      <w:pPr>
        <w:spacing w:before="0" w:after="160" w:line="259" w:lineRule="auto"/>
        <w:rPr>
          <w:rFonts w:eastAsiaTheme="majorEastAsia" w:cstheme="majorBidi"/>
          <w:b/>
          <w:color w:val="000000" w:themeColor="text1"/>
          <w:szCs w:val="26"/>
          <w:lang w:eastAsia="en-AU"/>
        </w:rPr>
      </w:pPr>
    </w:p>
    <w:sectPr w:rsidR="002F0C9A" w:rsidRPr="008A719D" w:rsidSect="00C856AB">
      <w:headerReference w:type="default" r:id="rId25"/>
      <w:footerReference w:type="default" r:id="rId26"/>
      <w:headerReference w:type="first" r:id="rId27"/>
      <w:footerReference w:type="first" r:id="rId28"/>
      <w:pgSz w:w="11906" w:h="16838"/>
      <w:pgMar w:top="1559" w:right="851" w:bottom="1701" w:left="851" w:header="567"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B52AD" w14:textId="77777777" w:rsidR="00C506A7" w:rsidRDefault="00C506A7" w:rsidP="00783FAB">
      <w:pPr>
        <w:spacing w:line="240" w:lineRule="auto"/>
      </w:pPr>
      <w:r>
        <w:separator/>
      </w:r>
    </w:p>
  </w:endnote>
  <w:endnote w:type="continuationSeparator" w:id="0">
    <w:p w14:paraId="037535DC" w14:textId="77777777" w:rsidR="00C506A7" w:rsidRDefault="00C506A7" w:rsidP="00783FAB">
      <w:pPr>
        <w:spacing w:line="240" w:lineRule="auto"/>
      </w:pPr>
      <w:r>
        <w:continuationSeparator/>
      </w:r>
    </w:p>
  </w:endnote>
  <w:endnote w:type="continuationNotice" w:id="1">
    <w:p w14:paraId="0E75FD20" w14:textId="77777777" w:rsidR="00C506A7" w:rsidRDefault="00C506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368206"/>
      <w:docPartObj>
        <w:docPartGallery w:val="Page Numbers (Bottom of Page)"/>
        <w:docPartUnique/>
      </w:docPartObj>
    </w:sdtPr>
    <w:sdtEndPr>
      <w:rPr>
        <w:noProof/>
      </w:rPr>
    </w:sdtEndPr>
    <w:sdtContent>
      <w:p w14:paraId="28328C77" w14:textId="6796F973" w:rsidR="00CB721C" w:rsidRDefault="00CB721C" w:rsidP="00D1295F">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1261D">
          <w:rPr>
            <w:noProof/>
          </w:rPr>
          <w:t>1</w:t>
        </w:r>
        <w:r>
          <w:rPr>
            <w:noProof/>
            <w:color w:val="2B579A"/>
            <w:shd w:val="clear" w:color="auto" w:fill="E6E6E6"/>
          </w:rPr>
          <w:fldChar w:fldCharType="end"/>
        </w:r>
      </w:p>
    </w:sdtContent>
  </w:sdt>
  <w:p w14:paraId="36437BB6" w14:textId="77777777" w:rsidR="00CB721C" w:rsidRDefault="00CB721C" w:rsidP="00785B1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C237" w14:textId="77777777" w:rsidR="00CB721C" w:rsidRPr="00B87E45" w:rsidRDefault="00CB721C" w:rsidP="00CB721C">
    <w:pPr>
      <w:pStyle w:val="ProtectiveMarking"/>
    </w:pPr>
  </w:p>
  <w:p w14:paraId="5D9FA021" w14:textId="77777777" w:rsidR="00CB721C" w:rsidRPr="00073D52" w:rsidRDefault="00CB721C" w:rsidP="00CB721C">
    <w:pPr>
      <w:pStyle w:val="Footerline"/>
    </w:pPr>
    <w:r>
      <w:rPr>
        <w:lang w:eastAsia="en-AU"/>
      </w:rPr>
      <mc:AlternateContent>
        <mc:Choice Requires="wps">
          <w:drawing>
            <wp:anchor distT="45720" distB="45720" distL="114300" distR="114300" simplePos="0" relativeHeight="251659264" behindDoc="0" locked="1" layoutInCell="1" allowOverlap="1" wp14:anchorId="45CBFF9A" wp14:editId="3E19938F">
              <wp:simplePos x="0" y="0"/>
              <wp:positionH relativeFrom="margin">
                <wp:posOffset>6142355</wp:posOffset>
              </wp:positionH>
              <wp:positionV relativeFrom="page">
                <wp:posOffset>9950450</wp:posOffset>
              </wp:positionV>
              <wp:extent cx="332105" cy="726440"/>
              <wp:effectExtent l="0" t="0" r="1079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726440"/>
                      </a:xfrm>
                      <a:prstGeom prst="rect">
                        <a:avLst/>
                      </a:prstGeom>
                      <a:noFill/>
                      <a:ln w="9525">
                        <a:noFill/>
                        <a:miter lim="800000"/>
                        <a:headEnd/>
                        <a:tailEnd/>
                      </a:ln>
                    </wps:spPr>
                    <wps:txbx>
                      <w:txbxContent>
                        <w:p w14:paraId="67B756D9" w14:textId="0D1771B7" w:rsidR="00CB721C" w:rsidRPr="00825B23" w:rsidRDefault="00CB721C" w:rsidP="00CB721C">
                          <w:pPr>
                            <w:pStyle w:val="Footer"/>
                            <w:rPr>
                              <w:b/>
                              <w:bCs/>
                              <w:sz w:val="16"/>
                              <w:szCs w:val="16"/>
                            </w:rPr>
                          </w:pPr>
                          <w:r w:rsidRPr="00825B23">
                            <w:rPr>
                              <w:b/>
                              <w:bCs/>
                              <w:sz w:val="16"/>
                              <w:szCs w:val="16"/>
                            </w:rPr>
                            <w:fldChar w:fldCharType="begin"/>
                          </w:r>
                          <w:r w:rsidRPr="00825B23">
                            <w:rPr>
                              <w:bCs/>
                              <w:sz w:val="16"/>
                              <w:szCs w:val="16"/>
                            </w:rPr>
                            <w:instrText xml:space="preserve"> PAGE   \* MERGEFORMAT </w:instrText>
                          </w:r>
                          <w:r w:rsidRPr="00825B23">
                            <w:rPr>
                              <w:b/>
                              <w:bCs/>
                              <w:sz w:val="16"/>
                              <w:szCs w:val="16"/>
                            </w:rPr>
                            <w:fldChar w:fldCharType="separate"/>
                          </w:r>
                          <w:r w:rsidR="0051261D" w:rsidRPr="0051261D">
                            <w:rPr>
                              <w:b/>
                              <w:bCs/>
                              <w:noProof/>
                              <w:sz w:val="16"/>
                              <w:szCs w:val="16"/>
                            </w:rPr>
                            <w:t>139</w:t>
                          </w:r>
                          <w:r w:rsidRPr="00825B23">
                            <w:rPr>
                              <w:b/>
                              <w:bCs/>
                              <w:noProof/>
                              <w:sz w:val="16"/>
                              <w:szCs w:val="16"/>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CBFF9A" id="_x0000_t202" coordsize="21600,21600" o:spt="202" path="m,l,21600r21600,l21600,xe">
              <v:stroke joinstyle="miter"/>
              <v:path gradientshapeok="t" o:connecttype="rect"/>
            </v:shapetype>
            <v:shape id="Text Box 2" o:spid="_x0000_s1026" type="#_x0000_t202" style="position:absolute;margin-left:483.65pt;margin-top:783.5pt;width:26.15pt;height:57.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" filled="f" stroked="f">
              <v:textbox inset="0,0,0,0">
                <w:txbxContent>
                  <w:p w14:paraId="67B756D9" w14:textId="0D1771B7" w:rsidR="00CB721C" w:rsidRPr="00825B23" w:rsidRDefault="00CB721C" w:rsidP="00CB721C">
                    <w:pPr>
                      <w:pStyle w:val="Footer"/>
                      <w:rPr>
                        <w:b/>
                        <w:bCs/>
                        <w:sz w:val="16"/>
                        <w:szCs w:val="16"/>
                      </w:rPr>
                    </w:pPr>
                    <w:r w:rsidRPr="00825B23">
                      <w:rPr>
                        <w:b/>
                        <w:bCs/>
                        <w:sz w:val="16"/>
                        <w:szCs w:val="16"/>
                      </w:rPr>
                      <w:fldChar w:fldCharType="begin"/>
                    </w:r>
                    <w:r w:rsidRPr="00825B23">
                      <w:rPr>
                        <w:bCs/>
                        <w:sz w:val="16"/>
                        <w:szCs w:val="16"/>
                      </w:rPr>
                      <w:instrText xml:space="preserve"> PAGE   \* MERGEFORMAT </w:instrText>
                    </w:r>
                    <w:r w:rsidRPr="00825B23">
                      <w:rPr>
                        <w:b/>
                        <w:bCs/>
                        <w:sz w:val="16"/>
                        <w:szCs w:val="16"/>
                      </w:rPr>
                      <w:fldChar w:fldCharType="separate"/>
                    </w:r>
                    <w:r w:rsidR="0051261D" w:rsidRPr="0051261D">
                      <w:rPr>
                        <w:b/>
                        <w:bCs/>
                        <w:noProof/>
                        <w:sz w:val="16"/>
                        <w:szCs w:val="16"/>
                      </w:rPr>
                      <w:t>139</w:t>
                    </w:r>
                    <w:r w:rsidRPr="00825B23">
                      <w:rPr>
                        <w:b/>
                        <w:bCs/>
                        <w:noProof/>
                        <w:sz w:val="16"/>
                        <w:szCs w:val="16"/>
                      </w:rPr>
                      <w:fldChar w:fldCharType="end"/>
                    </w:r>
                  </w:p>
                </w:txbxContent>
              </v:textbox>
              <w10:wrap anchorx="margin" anchory="page"/>
              <w10:anchorlock/>
            </v:shape>
          </w:pict>
        </mc:Fallback>
      </mc:AlternateContent>
    </w:r>
  </w:p>
  <w:p w14:paraId="4FCEFE69" w14:textId="68A396A1" w:rsidR="00CB721C" w:rsidRPr="00825B23" w:rsidRDefault="00CB721C" w:rsidP="00CB721C">
    <w:pPr>
      <w:pStyle w:val="Footer"/>
      <w:spacing w:after="500"/>
      <w:contextualSpacing/>
      <w:rPr>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Classification"/>
      <w:tag w:val="Classification"/>
      <w:id w:val="624817226"/>
      <w:dataBinding w:xpath="/root[1]/Classification[1]" w:storeItemID="{F533AE62-A212-4B26-92DA-A3B336E8AE06}"/>
      <w:text/>
    </w:sdtPr>
    <w:sdtEndPr/>
    <w:sdtContent>
      <w:p w14:paraId="47E27641" w14:textId="77777777" w:rsidR="00CB721C" w:rsidRPr="00B87E45" w:rsidRDefault="00CB721C" w:rsidP="00CB721C">
        <w:pPr>
          <w:pStyle w:val="ProtectiveMarking"/>
        </w:pPr>
        <w:r>
          <w:t>PROTECTED CABINET</w:t>
        </w:r>
      </w:p>
    </w:sdtContent>
  </w:sdt>
  <w:p w14:paraId="55DF76CD" w14:textId="77777777" w:rsidR="00CB721C" w:rsidRPr="00073D52" w:rsidRDefault="00CB721C" w:rsidP="00CB721C">
    <w:pPr>
      <w:pStyle w:val="Footerline"/>
    </w:pPr>
  </w:p>
  <w:p w14:paraId="78DD727B" w14:textId="77777777" w:rsidR="00CB721C" w:rsidRPr="00CB721C" w:rsidRDefault="00CB721C" w:rsidP="00CB721C">
    <w:pPr>
      <w:pStyle w:val="Footer"/>
      <w:spacing w:after="500"/>
      <w:contextualSpacing/>
      <w:rPr>
        <w:color w:val="25303B"/>
        <w:sz w:val="16"/>
        <w:szCs w:val="16"/>
      </w:rPr>
    </w:pPr>
    <w:r w:rsidRPr="00CB721C">
      <w:rPr>
        <w:color w:val="25303B"/>
        <w:sz w:val="16"/>
        <w:szCs w:val="16"/>
      </w:rPr>
      <w:t xml:space="preserve">PM&amp;C | </w:t>
    </w:r>
    <w:sdt>
      <w:sdtPr>
        <w:rPr>
          <w:caps/>
          <w:color w:val="25303B"/>
          <w:sz w:val="16"/>
          <w:szCs w:val="16"/>
        </w:rPr>
        <w:alias w:val="Section Name"/>
        <w:tag w:val="SectionName"/>
        <w:id w:val="-414706023"/>
        <w:placeholder>
          <w:docPart w:val="17871839307F4E5B84937277171FEAA5"/>
        </w:placeholder>
        <w:showingPlcHdr/>
        <w:dataBinding w:xpath="/root[1]/SectionName[1]" w:storeItemID="{F533AE62-A212-4B26-92DA-A3B336E8AE06}"/>
        <w:text/>
      </w:sdtPr>
      <w:sdtEndPr/>
      <w:sdtContent>
        <w:r w:rsidRPr="00CB721C">
          <w:rPr>
            <w:color w:val="25303B"/>
            <w:sz w:val="16"/>
            <w:szCs w:val="16"/>
          </w:rPr>
          <w:t>[Section Name]</w:t>
        </w:r>
      </w:sdtContent>
    </w:sdt>
    <w:r w:rsidRPr="00CB721C">
      <w:rPr>
        <w:color w:val="25303B"/>
        <w:sz w:val="16"/>
        <w:szCs w:val="16"/>
      </w:rPr>
      <w:t xml:space="preserve"> |</w:t>
    </w:r>
    <w:r w:rsidRPr="00CB721C">
      <w:rPr>
        <w:bCs/>
        <w:color w:val="25303B"/>
        <w:sz w:val="16"/>
        <w:szCs w:val="16"/>
      </w:rPr>
      <w:t xml:space="preserve"> </w:t>
    </w:r>
    <w:sdt>
      <w:sdtPr>
        <w:rPr>
          <w:b/>
          <w:bCs/>
          <w:caps/>
          <w:color w:val="25303B"/>
          <w:sz w:val="16"/>
          <w:szCs w:val="16"/>
        </w:rPr>
        <w:alias w:val="Document Heading"/>
        <w:tag w:val="DH"/>
        <w:id w:val="-317419879"/>
        <w:placeholder>
          <w:docPart w:val="F7AAD8AE87624BF996289DA1EC9BD278"/>
        </w:placeholder>
        <w:dataBinding w:xpath="/root[1]/DH[1]" w:storeItemID="{F533AE62-A212-4B26-92DA-A3B336E8AE06}"/>
        <w:text/>
      </w:sdtPr>
      <w:sdtEndPr>
        <w:rPr>
          <w:b w:val="0"/>
          <w:bCs w:val="0"/>
          <w:caps w:val="0"/>
          <w:color w:val="auto"/>
          <w:sz w:val="24"/>
          <w:szCs w:val="22"/>
        </w:rPr>
      </w:sdtEndPr>
      <w:sdtContent>
        <w:r w:rsidRPr="00CB721C">
          <w:t>Reforms to the Safeguard Mechanism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52E75" w14:textId="77777777" w:rsidR="00C506A7" w:rsidRDefault="00C506A7" w:rsidP="00783FAB">
      <w:pPr>
        <w:spacing w:line="240" w:lineRule="auto"/>
      </w:pPr>
      <w:r>
        <w:separator/>
      </w:r>
    </w:p>
  </w:footnote>
  <w:footnote w:type="continuationSeparator" w:id="0">
    <w:p w14:paraId="47B8F19F" w14:textId="77777777" w:rsidR="00C506A7" w:rsidRDefault="00C506A7" w:rsidP="00783FAB">
      <w:pPr>
        <w:spacing w:line="240" w:lineRule="auto"/>
      </w:pPr>
      <w:r>
        <w:continuationSeparator/>
      </w:r>
    </w:p>
  </w:footnote>
  <w:footnote w:type="continuationNotice" w:id="1">
    <w:p w14:paraId="1429E1E5" w14:textId="77777777" w:rsidR="00C506A7" w:rsidRDefault="00C506A7">
      <w:pPr>
        <w:spacing w:line="240" w:lineRule="auto"/>
      </w:pPr>
    </w:p>
  </w:footnote>
  <w:footnote w:id="2">
    <w:p w14:paraId="01E041AE" w14:textId="77777777" w:rsidR="00CB721C" w:rsidRPr="00970DD1" w:rsidRDefault="00CB721C" w:rsidP="005050C2">
      <w:pPr>
        <w:pStyle w:val="FootnoteText"/>
        <w:rPr>
          <w:lang w:val="en-AU"/>
        </w:rPr>
      </w:pPr>
      <w:r>
        <w:rPr>
          <w:rStyle w:val="FootnoteReference"/>
        </w:rPr>
        <w:footnoteRef/>
      </w:r>
      <w:r>
        <w:t xml:space="preserve"> </w:t>
      </w:r>
      <w:r>
        <w:rPr>
          <w:lang w:val="en-AU"/>
        </w:rPr>
        <w:t>In 2023 this standard could be accessed at:</w:t>
      </w:r>
      <w:r>
        <w:rPr>
          <w:lang w:val="en-AU"/>
        </w:rPr>
        <w:br/>
        <w:t xml:space="preserve"> </w:t>
      </w:r>
      <w:r w:rsidRPr="00C85D95">
        <w:rPr>
          <w:u w:val="single"/>
          <w:lang w:val="en-AU"/>
        </w:rPr>
        <w:t>https://aasb.gov.au/admin/file/content105/c9/AASB15_12-14_COMPmay22_07-22.pdf</w:t>
      </w:r>
      <w:r>
        <w:rPr>
          <w:u w:val="single"/>
          <w:lang w:val="en-AU"/>
        </w:rPr>
        <w:t xml:space="preserve"> </w:t>
      </w:r>
      <w:r>
        <w:rPr>
          <w:lang w:val="en-AU"/>
        </w:rPr>
        <w:t xml:space="preserve"> </w:t>
      </w:r>
    </w:p>
  </w:footnote>
  <w:footnote w:id="3">
    <w:p w14:paraId="134452E8" w14:textId="00CDEF00" w:rsidR="00CB721C" w:rsidRPr="005A0C16" w:rsidRDefault="00CB721C" w:rsidP="005050C2">
      <w:pPr>
        <w:pStyle w:val="FootnoteText"/>
        <w:rPr>
          <w:u w:val="single"/>
          <w:lang w:val="en-AU"/>
        </w:rPr>
      </w:pPr>
      <w:r>
        <w:rPr>
          <w:rStyle w:val="FootnoteReference"/>
        </w:rPr>
        <w:footnoteRef/>
      </w:r>
      <w:r>
        <w:t xml:space="preserve"> </w:t>
      </w:r>
      <w:r>
        <w:rPr>
          <w:lang w:val="en-AU"/>
        </w:rPr>
        <w:t xml:space="preserve">In 2023 </w:t>
      </w:r>
      <w:hyperlink r:id="rId1" w:history="1">
        <w:r w:rsidRPr="005A0C16">
          <w:rPr>
            <w:rStyle w:val="Hyperlink"/>
            <w:color w:val="000000" w:themeColor="text1"/>
            <w:u w:val="none"/>
          </w:rPr>
          <w:t>AASB 15</w:t>
        </w:r>
      </w:hyperlink>
      <w:r w:rsidRPr="005A0C16">
        <w:rPr>
          <w:rStyle w:val="Hyperlink"/>
          <w:color w:val="000000" w:themeColor="text1"/>
          <w:u w:val="none"/>
          <w:lang w:val="en-AU"/>
        </w:rPr>
        <w:t xml:space="preserve"> c</w:t>
      </w:r>
      <w:r>
        <w:rPr>
          <w:rStyle w:val="Hyperlink"/>
          <w:color w:val="000000" w:themeColor="text1"/>
          <w:u w:val="none"/>
          <w:lang w:val="en-AU"/>
        </w:rPr>
        <w:t>ould</w:t>
      </w:r>
      <w:r w:rsidRPr="005A0C16">
        <w:rPr>
          <w:rStyle w:val="Hyperlink"/>
          <w:color w:val="000000" w:themeColor="text1"/>
          <w:u w:val="none"/>
          <w:lang w:val="en-AU"/>
        </w:rPr>
        <w:t xml:space="preserve"> be found at </w:t>
      </w:r>
      <w:r w:rsidRPr="005A0C16">
        <w:rPr>
          <w:rStyle w:val="Hyperlink"/>
          <w:color w:val="000000" w:themeColor="text1"/>
          <w:lang w:val="en-AU"/>
        </w:rPr>
        <w:t>https://aasb.gov.au/admin/file/content105/c9/AASB15_12-14_COMPmay22_07-22.pdf</w:t>
      </w:r>
    </w:p>
  </w:footnote>
  <w:footnote w:id="4">
    <w:p w14:paraId="2E2EF9BC" w14:textId="0C1FEE34" w:rsidR="00CB721C" w:rsidRPr="000627D5" w:rsidRDefault="00CB721C">
      <w:pPr>
        <w:pStyle w:val="FootnoteText"/>
        <w:rPr>
          <w:lang w:val="en-AU"/>
        </w:rPr>
      </w:pPr>
      <w:r>
        <w:rPr>
          <w:rStyle w:val="FootnoteReference"/>
        </w:rPr>
        <w:footnoteRef/>
      </w:r>
      <w:r>
        <w:t xml:space="preserve"> </w:t>
      </w:r>
      <w:r>
        <w:rPr>
          <w:lang w:val="en-AU"/>
        </w:rPr>
        <w:t xml:space="preserve">In 2023 this definition was available on the Society of Petroleum Engineers glossary at </w:t>
      </w:r>
      <w:r w:rsidRPr="00A41F35">
        <w:rPr>
          <w:lang w:val="en-AU"/>
        </w:rPr>
        <w:t>https://www.spe.org/en/industry/terms-used-petroleum-reserves-resource-definitions/</w:t>
      </w:r>
    </w:p>
  </w:footnote>
  <w:footnote w:id="5">
    <w:p w14:paraId="124EAE46" w14:textId="77777777" w:rsidR="00676DA1" w:rsidRDefault="00676DA1" w:rsidP="00676DA1">
      <w:pPr>
        <w:pStyle w:val="FootnoteText"/>
      </w:pPr>
      <w:r>
        <w:rPr>
          <w:rStyle w:val="FootnoteReference"/>
        </w:rPr>
        <w:footnoteRef/>
      </w:r>
      <w:r>
        <w:t xml:space="preserve"> Safeguard facility emissions are published by the Clean Energy Regulator at: </w:t>
      </w:r>
      <w:hyperlink r:id="rId2" w:history="1">
        <w:r w:rsidRPr="00B43DCA">
          <w:rPr>
            <w:rStyle w:val="Hyperlink"/>
          </w:rPr>
          <w:t>https://www.cleanenergyregulator.gov.au/NGER/The-safeguard-mechanism/safeguard-data/safeguard-facility-reported-emissions</w:t>
        </w:r>
      </w:hyperlink>
      <w:r>
        <w:t xml:space="preserve"> </w:t>
      </w:r>
      <w:r>
        <w:rPr>
          <w:rStyle w:val="Hyperlink"/>
        </w:rPr>
        <w:t>.</w:t>
      </w:r>
    </w:p>
  </w:footnote>
  <w:footnote w:id="6">
    <w:p w14:paraId="6F806CBF" w14:textId="77777777" w:rsidR="00676DA1" w:rsidRDefault="00676DA1" w:rsidP="00676DA1">
      <w:pPr>
        <w:pStyle w:val="FootnoteText"/>
      </w:pPr>
      <w:r>
        <w:rPr>
          <w:rStyle w:val="FootnoteReference"/>
        </w:rPr>
        <w:footnoteRef/>
      </w:r>
      <w:r>
        <w:t xml:space="preserve"> Department of Climate Change, Energy, the Environment and Water, December 2022, Australia’s emissions projections 2022, available at: </w:t>
      </w:r>
      <w:hyperlink r:id="rId3" w:anchor=":~:text=In%20June%202022%20Australia%20updated,emissions%20budget%20from%202021%2D2030" w:history="1">
        <w:r w:rsidRPr="00B43DCA">
          <w:rPr>
            <w:rStyle w:val="Hyperlink"/>
          </w:rPr>
          <w:t>https://www.dcceew.gov.au/climate-change/publications/australias-emissions-projections-2022#:~:text=In%20June%202022%20Australia%20updated,emissions%20budget%20from%202021%2D2030</w:t>
        </w:r>
      </w:hyperlink>
      <w:r>
        <w:t xml:space="preserve"> </w:t>
      </w:r>
      <w:r w:rsidRPr="00665D14">
        <w:t>.</w:t>
      </w:r>
    </w:p>
  </w:footnote>
  <w:footnote w:id="7">
    <w:p w14:paraId="2CD8D9DE" w14:textId="77777777" w:rsidR="00676DA1" w:rsidRDefault="00676DA1" w:rsidP="00676DA1">
      <w:pPr>
        <w:pStyle w:val="FootnoteText"/>
      </w:pPr>
      <w:r>
        <w:rPr>
          <w:rStyle w:val="FootnoteReference"/>
        </w:rPr>
        <w:footnoteRef/>
      </w:r>
      <w:r>
        <w:t xml:space="preserve"> Australia’s Nationally Determined Contribution, available at: </w:t>
      </w:r>
      <w:hyperlink r:id="rId4" w:history="1">
        <w:r>
          <w:rPr>
            <w:rStyle w:val="Hyperlink"/>
          </w:rPr>
          <w:t>https://unfccc.int/sites/default/files/NDC/2022-06/Australias NDC June 2022 Update %283%29.pdf</w:t>
        </w:r>
      </w:hyperlink>
    </w:p>
  </w:footnote>
  <w:footnote w:id="8">
    <w:p w14:paraId="162AE481" w14:textId="77777777" w:rsidR="00676DA1" w:rsidRDefault="00676DA1" w:rsidP="00676DA1">
      <w:pPr>
        <w:pStyle w:val="FootnoteText"/>
      </w:pPr>
      <w:r>
        <w:rPr>
          <w:rStyle w:val="FootnoteReference"/>
        </w:rPr>
        <w:footnoteRef/>
      </w:r>
      <w:r>
        <w:t xml:space="preserve"> Department of Climate Change, Energy, the Environment and Water, December 2022, Australia’s emissions projections 2022, available at: </w:t>
      </w:r>
      <w:hyperlink r:id="rId5" w:anchor=":~:text=In%20June%202022%20Australia%20updated,emissions%20budget%20from%202021%2D2030" w:history="1">
        <w:r w:rsidRPr="00B43DCA">
          <w:rPr>
            <w:rStyle w:val="Hyperlink"/>
          </w:rPr>
          <w:t>https://www.dcceew.gov.au/climate-change/publications/australias-emissions-projections-2022#:~:text=In%20June%202022%20Australia%20updated,emissions%20budget%20from%202021%2D2030</w:t>
        </w:r>
      </w:hyperlink>
      <w:r w:rsidRPr="00D52BDB">
        <w:t>.</w:t>
      </w:r>
      <w:r>
        <w:t xml:space="preserve">  </w:t>
      </w:r>
    </w:p>
  </w:footnote>
  <w:footnote w:id="9">
    <w:p w14:paraId="068CEDF3" w14:textId="77777777" w:rsidR="00676DA1" w:rsidRDefault="00676DA1" w:rsidP="00676DA1">
      <w:pPr>
        <w:pStyle w:val="FootnoteText"/>
      </w:pPr>
      <w:r>
        <w:rPr>
          <w:rStyle w:val="FootnoteReference"/>
        </w:rPr>
        <w:footnoteRef/>
      </w:r>
      <w:r>
        <w:t xml:space="preserve"> </w:t>
      </w:r>
      <w:hyperlink r:id="rId6" w:anchor=":~:text=The%20trend%20result%20for%20the,electricity)%20and%20fugitive%20emissions%20sectors" w:history="1">
        <w:r w:rsidRPr="00B43DCA">
          <w:rPr>
            <w:rStyle w:val="Hyperlink"/>
          </w:rPr>
          <w:t>https://www.dcceew.gov.au/climate-change/publications/national-greenhouse-gas-inventory-quarterly-update-june-2022#:~:text=The%20trend%20result%20for%20the,electricity)%20and%20fugitive%20emissions%20sectors</w:t>
        </w:r>
      </w:hyperlink>
      <w:r w:rsidRPr="00A10D18">
        <w:t>.</w:t>
      </w:r>
      <w:r>
        <w:t xml:space="preserve"> </w:t>
      </w:r>
    </w:p>
  </w:footnote>
  <w:footnote w:id="10">
    <w:p w14:paraId="679148E2" w14:textId="77777777" w:rsidR="00676DA1" w:rsidRDefault="00676DA1" w:rsidP="00676DA1">
      <w:pPr>
        <w:pStyle w:val="FootnoteText"/>
      </w:pPr>
      <w:r>
        <w:rPr>
          <w:rStyle w:val="FootnoteReference"/>
        </w:rPr>
        <w:footnoteRef/>
      </w:r>
      <w:r>
        <w:t xml:space="preserve"> </w:t>
      </w:r>
      <w:r w:rsidRPr="00C01E30">
        <w:t>Department of Industry, Science and Resources</w:t>
      </w:r>
      <w:r>
        <w:t xml:space="preserve">, December 2022, </w:t>
      </w:r>
      <w:r w:rsidRPr="00C01E30">
        <w:t>Resources and energy major projects: 2022</w:t>
      </w:r>
      <w:r>
        <w:t xml:space="preserve">, available at: </w:t>
      </w:r>
      <w:hyperlink r:id="rId7" w:history="1">
        <w:r w:rsidRPr="00B43DCA">
          <w:rPr>
            <w:rStyle w:val="Hyperlink"/>
          </w:rPr>
          <w:t>https://www.industry.gov.au/publications/resources-and-energy-major-projects-2022</w:t>
        </w:r>
      </w:hyperlink>
      <w:r>
        <w:t xml:space="preserve"> </w:t>
      </w:r>
    </w:p>
  </w:footnote>
  <w:footnote w:id="11">
    <w:p w14:paraId="4BA5FC7D" w14:textId="77777777" w:rsidR="00676DA1" w:rsidRDefault="00676DA1" w:rsidP="00676DA1">
      <w:pPr>
        <w:pStyle w:val="FootnoteText"/>
      </w:pPr>
      <w:r>
        <w:rPr>
          <w:rStyle w:val="FootnoteReference"/>
        </w:rPr>
        <w:footnoteRef/>
      </w:r>
      <w:r>
        <w:t xml:space="preserve"> </w:t>
      </w:r>
      <w:r w:rsidRPr="00250C2B">
        <w:t>https://www.dcceew.gov.au/climate-change/emissions-reduction/independent-review-accus</w:t>
      </w:r>
    </w:p>
  </w:footnote>
  <w:footnote w:id="12">
    <w:p w14:paraId="39D420F3" w14:textId="77777777" w:rsidR="00676DA1" w:rsidRDefault="00676DA1" w:rsidP="00676DA1">
      <w:pPr>
        <w:pStyle w:val="FootnoteText"/>
      </w:pPr>
      <w:r>
        <w:rPr>
          <w:rStyle w:val="FootnoteReference"/>
        </w:rPr>
        <w:footnoteRef/>
      </w:r>
      <w:r>
        <w:t xml:space="preserve"> </w:t>
      </w:r>
      <w:hyperlink r:id="rId8" w:history="1">
        <w:r w:rsidRPr="00B43DCA">
          <w:rPr>
            <w:rStyle w:val="Hyperlink"/>
          </w:rPr>
          <w:t>https://www.cleanenergyregulator.gov.au/NGER/The-safeguard-mechanism/Managing-excess-emissions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5EF4" w14:textId="77777777" w:rsidR="00CB721C" w:rsidRPr="00CB721C" w:rsidRDefault="00CB721C" w:rsidP="00CB721C">
    <w:pPr>
      <w:pStyle w:val="Header"/>
      <w:jc w:val="center"/>
      <w:rPr>
        <w:rFonts w:ascii="Calibri" w:hAnsi="Calibri" w:cs="Calibri"/>
        <w:b/>
        <w:color w:val="000000"/>
      </w:rPr>
    </w:pPr>
  </w:p>
  <w:p w14:paraId="1ED2AEE7" w14:textId="77777777" w:rsidR="00CB721C" w:rsidRPr="00753174" w:rsidRDefault="00CB721C" w:rsidP="00CB721C">
    <w:pPr>
      <w:pStyle w:val="Header"/>
    </w:pPr>
  </w:p>
  <w:p w14:paraId="138C9BED" w14:textId="77777777" w:rsidR="00CB721C" w:rsidRPr="00753174" w:rsidRDefault="00CB721C" w:rsidP="00CB7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Classification"/>
      <w:tag w:val="Classification"/>
      <w:id w:val="-84993280"/>
      <w:dataBinding w:xpath="/root[1]/Classification[1]" w:storeItemID="{F533AE62-A212-4B26-92DA-A3B336E8AE06}"/>
      <w:text/>
    </w:sdtPr>
    <w:sdtEndPr/>
    <w:sdtContent>
      <w:p w14:paraId="2EC9CF36" w14:textId="77777777" w:rsidR="00CB721C" w:rsidRPr="00B87E45" w:rsidRDefault="00CB721C" w:rsidP="00CB721C">
        <w:pPr>
          <w:pStyle w:val="ProtectiveMarking"/>
        </w:pPr>
        <w:r>
          <w:t>PROTECTED CABINET</w:t>
        </w:r>
      </w:p>
    </w:sdtContent>
  </w:sdt>
  <w:p w14:paraId="0F1F2908" w14:textId="77777777" w:rsidR="00CB721C" w:rsidRPr="00073D52" w:rsidRDefault="00CB721C" w:rsidP="00CB721C">
    <w:pPr>
      <w:pStyle w:val="Footerline"/>
    </w:pPr>
  </w:p>
  <w:p w14:paraId="3975C64A" w14:textId="77777777" w:rsidR="00CB721C" w:rsidRDefault="00CB721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7D56"/>
    <w:multiLevelType w:val="hybridMultilevel"/>
    <w:tmpl w:val="470E5C86"/>
    <w:lvl w:ilvl="0" w:tplc="F60023D0">
      <w:numFmt w:val="bullet"/>
      <w:lvlText w:val="-"/>
      <w:lvlJc w:val="left"/>
      <w:pPr>
        <w:ind w:left="720" w:hanging="360"/>
      </w:pPr>
      <w:rPr>
        <w:rFonts w:ascii="Calibri" w:eastAsiaTheme="minorHAnsi" w:hAnsi="Calibri" w:cs="Calibri" w:hint="default"/>
      </w:rPr>
    </w:lvl>
    <w:lvl w:ilvl="1" w:tplc="E36889C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824943"/>
    <w:multiLevelType w:val="hybridMultilevel"/>
    <w:tmpl w:val="21A28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27683"/>
    <w:multiLevelType w:val="hybridMultilevel"/>
    <w:tmpl w:val="5332048E"/>
    <w:lvl w:ilvl="0" w:tplc="0C090001">
      <w:start w:val="1"/>
      <w:numFmt w:val="bullet"/>
      <w:lvlText w:val=""/>
      <w:lvlJc w:val="left"/>
      <w:pPr>
        <w:ind w:left="1352" w:hanging="360"/>
      </w:pPr>
      <w:rPr>
        <w:rFonts w:ascii="Symbol" w:hAnsi="Symbol" w:hint="default"/>
      </w:rPr>
    </w:lvl>
    <w:lvl w:ilvl="1" w:tplc="F1F4B682">
      <w:numFmt w:val="bullet"/>
      <w:lvlText w:val="-"/>
      <w:lvlJc w:val="left"/>
      <w:pPr>
        <w:ind w:left="1777" w:hanging="360"/>
      </w:pPr>
      <w:rPr>
        <w:rFonts w:ascii="Arial" w:eastAsia="Calibri" w:hAnsi="Arial" w:cs="Arial"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3" w15:restartNumberingAfterBreak="0">
    <w:nsid w:val="0C69371C"/>
    <w:multiLevelType w:val="multilevel"/>
    <w:tmpl w:val="B2D40500"/>
    <w:lvl w:ilvl="0">
      <w:start w:val="1"/>
      <w:numFmt w:val="decimal"/>
      <w:pStyle w:val="List"/>
      <w:lvlText w:val="%1"/>
      <w:lvlJc w:val="left"/>
      <w:pPr>
        <w:ind w:left="403" w:hanging="288"/>
      </w:pPr>
      <w:rPr>
        <w:rFonts w:hint="default"/>
        <w:color w:val="5B9BD5" w:themeColor="accent1"/>
      </w:rPr>
    </w:lvl>
    <w:lvl w:ilvl="1">
      <w:start w:val="1"/>
      <w:numFmt w:val="lowerRoman"/>
      <w:lvlText w:val="%2"/>
      <w:lvlJc w:val="left"/>
      <w:pPr>
        <w:ind w:left="691" w:hanging="288"/>
      </w:pPr>
      <w:rPr>
        <w:rFonts w:hint="default"/>
        <w:color w:val="5B9BD5" w:themeColor="accent1"/>
      </w:rPr>
    </w:lvl>
    <w:lvl w:ilvl="2">
      <w:start w:val="1"/>
      <w:numFmt w:val="upperRoman"/>
      <w:lvlText w:val="%3"/>
      <w:lvlJc w:val="left"/>
      <w:pPr>
        <w:ind w:left="979" w:hanging="288"/>
      </w:pPr>
      <w:rPr>
        <w:rFonts w:hint="default"/>
        <w:color w:val="5B9BD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4" w15:restartNumberingAfterBreak="0">
    <w:nsid w:val="0E1D1707"/>
    <w:multiLevelType w:val="hybridMultilevel"/>
    <w:tmpl w:val="077802B6"/>
    <w:lvl w:ilvl="0" w:tplc="E36889C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7658CC"/>
    <w:multiLevelType w:val="hybridMultilevel"/>
    <w:tmpl w:val="99FCD280"/>
    <w:lvl w:ilvl="0" w:tplc="E36889C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90CD7"/>
    <w:multiLevelType w:val="hybridMultilevel"/>
    <w:tmpl w:val="A2E00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CA431E"/>
    <w:multiLevelType w:val="hybridMultilevel"/>
    <w:tmpl w:val="1E9CB0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5960C4"/>
    <w:multiLevelType w:val="hybridMultilevel"/>
    <w:tmpl w:val="FDDC7D8E"/>
    <w:lvl w:ilvl="0" w:tplc="E36889C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6F5ED0"/>
    <w:multiLevelType w:val="hybridMultilevel"/>
    <w:tmpl w:val="15A6C464"/>
    <w:lvl w:ilvl="0" w:tplc="78B8B626">
      <w:start w:val="1"/>
      <w:numFmt w:val="bullet"/>
      <w:lvlText w:val=""/>
      <w:lvlJc w:val="left"/>
      <w:pPr>
        <w:ind w:left="720" w:hanging="360"/>
      </w:pPr>
      <w:rPr>
        <w:rFonts w:ascii="Symbol" w:hAnsi="Symbol" w:hint="default"/>
        <w:color w:val="44546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6747FC"/>
    <w:multiLevelType w:val="hybridMultilevel"/>
    <w:tmpl w:val="84A4ECC0"/>
    <w:lvl w:ilvl="0" w:tplc="53DC791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05E4B1B"/>
    <w:multiLevelType w:val="hybridMultilevel"/>
    <w:tmpl w:val="283266D2"/>
    <w:lvl w:ilvl="0" w:tplc="E36889C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D02274"/>
    <w:multiLevelType w:val="hybridMultilevel"/>
    <w:tmpl w:val="E11A2514"/>
    <w:lvl w:ilvl="0" w:tplc="E36889C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4696CF6"/>
    <w:multiLevelType w:val="hybridMultilevel"/>
    <w:tmpl w:val="1EE0EF1E"/>
    <w:lvl w:ilvl="0" w:tplc="F60023D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80B19"/>
    <w:multiLevelType w:val="multilevel"/>
    <w:tmpl w:val="0960EFCE"/>
    <w:styleLink w:val="BulletsEnergetics"/>
    <w:lvl w:ilvl="0">
      <w:start w:val="1"/>
      <w:numFmt w:val="bullet"/>
      <w:pStyle w:val="ListBullet"/>
      <w:lvlText w:val="●"/>
      <w:lvlJc w:val="left"/>
      <w:pPr>
        <w:ind w:left="227" w:hanging="227"/>
      </w:pPr>
      <w:rPr>
        <w:rFonts w:ascii="Arial" w:hAnsi="Arial" w:cs="Times New Roman" w:hint="default"/>
        <w:b w:val="0"/>
        <w:i w:val="0"/>
        <w:color w:val="auto"/>
        <w:sz w:val="16"/>
      </w:rPr>
    </w:lvl>
    <w:lvl w:ilvl="1">
      <w:start w:val="1"/>
      <w:numFmt w:val="bullet"/>
      <w:pStyle w:val="ListBullet2"/>
      <w:lvlText w:val="○"/>
      <w:lvlJc w:val="left"/>
      <w:pPr>
        <w:ind w:left="454" w:hanging="227"/>
      </w:pPr>
      <w:rPr>
        <w:rFonts w:ascii="Arial" w:hAnsi="Arial" w:cs="Times New Roman" w:hint="default"/>
        <w:b w:val="0"/>
        <w:i w:val="0"/>
        <w:sz w:val="16"/>
      </w:rPr>
    </w:lvl>
    <w:lvl w:ilvl="2">
      <w:start w:val="1"/>
      <w:numFmt w:val="bullet"/>
      <w:pStyle w:val="ListBullet3"/>
      <w:lvlText w:val="–"/>
      <w:lvlJc w:val="left"/>
      <w:pPr>
        <w:ind w:left="681" w:hanging="227"/>
      </w:pPr>
      <w:rPr>
        <w:rFonts w:ascii="Arial" w:hAnsi="Arial" w:cs="Times New Roman" w:hint="default"/>
        <w:b w:val="0"/>
        <w:i w:val="0"/>
        <w:sz w:val="16"/>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9" w15:restartNumberingAfterBreak="0">
    <w:nsid w:val="37062DB4"/>
    <w:multiLevelType w:val="hybridMultilevel"/>
    <w:tmpl w:val="0456A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1" w15:restartNumberingAfterBreak="0">
    <w:nsid w:val="3AF10125"/>
    <w:multiLevelType w:val="hybridMultilevel"/>
    <w:tmpl w:val="087CE3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E13F51"/>
    <w:multiLevelType w:val="hybridMultilevel"/>
    <w:tmpl w:val="700A9620"/>
    <w:lvl w:ilvl="0" w:tplc="E36889C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C56964"/>
    <w:multiLevelType w:val="hybridMultilevel"/>
    <w:tmpl w:val="E1D65C5A"/>
    <w:lvl w:ilvl="0" w:tplc="F1F4B682">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E914946"/>
    <w:multiLevelType w:val="hybridMultilevel"/>
    <w:tmpl w:val="6F2EB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B2574E"/>
    <w:multiLevelType w:val="hybridMultilevel"/>
    <w:tmpl w:val="5830C5A0"/>
    <w:lvl w:ilvl="0" w:tplc="1C7401D0">
      <w:start w:val="1"/>
      <w:numFmt w:val="lowerLetter"/>
      <w:lvlText w:val="(%1)"/>
      <w:lvlJc w:val="left"/>
      <w:pPr>
        <w:ind w:left="1080" w:hanging="360"/>
      </w:pPr>
    </w:lvl>
    <w:lvl w:ilvl="1" w:tplc="10503CEC">
      <w:start w:val="1"/>
      <w:numFmt w:val="lowerRoman"/>
      <w:lvlText w:val="(%2)"/>
      <w:lvlJc w:val="left"/>
      <w:pPr>
        <w:ind w:left="1800" w:hanging="360"/>
      </w:pPr>
      <w:rPr>
        <w:rFonts w:asciiTheme="minorHAnsi" w:eastAsia="Times New Roman" w:hAnsiTheme="minorHAnsi" w:cstheme="minorBidi"/>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8" w15:restartNumberingAfterBreak="0">
    <w:nsid w:val="52F42A55"/>
    <w:multiLevelType w:val="hybridMultilevel"/>
    <w:tmpl w:val="708ADFCA"/>
    <w:lvl w:ilvl="0" w:tplc="E36889C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3A93ACE"/>
    <w:multiLevelType w:val="hybridMultilevel"/>
    <w:tmpl w:val="7FD234E0"/>
    <w:lvl w:ilvl="0" w:tplc="FFFFFFFF">
      <w:start w:val="1"/>
      <w:numFmt w:val="decimal"/>
      <w:lvlText w:val="%1."/>
      <w:lvlJc w:val="left"/>
      <w:pPr>
        <w:ind w:left="643" w:hanging="360"/>
      </w:pPr>
      <w:rPr>
        <w:b w:val="0"/>
        <w:bCs w:val="0"/>
        <w:sz w:val="22"/>
        <w:szCs w:val="22"/>
      </w:rPr>
    </w:lvl>
    <w:lvl w:ilvl="1" w:tplc="081A18AE">
      <w:start w:val="1"/>
      <w:numFmt w:val="lowerLetter"/>
      <w:lvlText w:val="%2."/>
      <w:lvlJc w:val="left"/>
      <w:pPr>
        <w:ind w:left="1440" w:hanging="360"/>
      </w:pPr>
      <w:rPr>
        <w:b w:val="0"/>
        <w:bCs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548837C0"/>
    <w:multiLevelType w:val="hybridMultilevel"/>
    <w:tmpl w:val="F3B4D9F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569A1EBE"/>
    <w:multiLevelType w:val="hybridMultilevel"/>
    <w:tmpl w:val="F5E269FC"/>
    <w:lvl w:ilvl="0" w:tplc="E36889C0">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33" w15:restartNumberingAfterBreak="0">
    <w:nsid w:val="5AA12966"/>
    <w:multiLevelType w:val="multilevel"/>
    <w:tmpl w:val="A0241B28"/>
    <w:styleLink w:val="List1"/>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4" w15:restartNumberingAfterBreak="0">
    <w:nsid w:val="5B8F3B04"/>
    <w:multiLevelType w:val="multilevel"/>
    <w:tmpl w:val="BE78A4F8"/>
    <w:styleLink w:val="Numberlist"/>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5" w15:restartNumberingAfterBreak="0">
    <w:nsid w:val="5D3E6B6E"/>
    <w:multiLevelType w:val="hybridMultilevel"/>
    <w:tmpl w:val="B4F002B6"/>
    <w:lvl w:ilvl="0" w:tplc="3DD6C948">
      <w:start w:val="1"/>
      <w:numFmt w:val="decimal"/>
      <w:lvlText w:val="%1."/>
      <w:lvlJc w:val="left"/>
      <w:pPr>
        <w:ind w:left="850" w:hanging="567"/>
      </w:pPr>
      <w:rPr>
        <w:rFonts w:hint="default"/>
        <w:b w:val="0"/>
        <w:bCs/>
        <w:color w:val="auto"/>
      </w:rPr>
    </w:lvl>
    <w:lvl w:ilvl="1" w:tplc="0C090001">
      <w:start w:val="1"/>
      <w:numFmt w:val="bullet"/>
      <w:lvlText w:val=""/>
      <w:lvlJc w:val="left"/>
      <w:pPr>
        <w:ind w:left="371" w:hanging="360"/>
      </w:pPr>
      <w:rPr>
        <w:rFonts w:ascii="Symbol" w:hAnsi="Symbol" w:hint="default"/>
      </w:r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36" w15:restartNumberingAfterBreak="0">
    <w:nsid w:val="5DB93B97"/>
    <w:multiLevelType w:val="multilevel"/>
    <w:tmpl w:val="624681D2"/>
    <w:styleLink w:val="ListTableBullet"/>
    <w:lvl w:ilvl="0">
      <w:start w:val="1"/>
      <w:numFmt w:val="bullet"/>
      <w:lvlText w:val=""/>
      <w:lvlJc w:val="left"/>
      <w:pPr>
        <w:tabs>
          <w:tab w:val="num" w:pos="284"/>
        </w:tabs>
        <w:ind w:left="284" w:hanging="284"/>
      </w:pPr>
      <w:rPr>
        <w:rFonts w:ascii="Symbol" w:hAnsi="Symbol" w:hint="default"/>
        <w:color w:val="auto"/>
        <w:sz w:val="20"/>
      </w:rPr>
    </w:lvl>
    <w:lvl w:ilvl="1">
      <w:start w:val="1"/>
      <w:numFmt w:val="bullet"/>
      <w:lvlText w:val="–"/>
      <w:lvlJc w:val="left"/>
      <w:pPr>
        <w:tabs>
          <w:tab w:val="num" w:pos="567"/>
        </w:tabs>
        <w:ind w:left="567" w:hanging="283"/>
      </w:pPr>
      <w:rPr>
        <w:rFonts w:ascii="Arial" w:hAnsi="Arial" w:cs="Times New Roman" w:hint="default"/>
        <w:color w:val="auto"/>
        <w:sz w:val="20"/>
      </w:rPr>
    </w:lvl>
    <w:lvl w:ilvl="2">
      <w:start w:val="1"/>
      <w:numFmt w:val="none"/>
      <w:lvlText w:val=""/>
      <w:lvlJc w:val="left"/>
      <w:pPr>
        <w:ind w:left="-32767" w:firstLine="0"/>
      </w:pPr>
      <w:rPr>
        <w:color w:val="000000"/>
      </w:rPr>
    </w:lvl>
    <w:lvl w:ilvl="3">
      <w:start w:val="1"/>
      <w:numFmt w:val="none"/>
      <w:lvlText w:val="%4"/>
      <w:lvlJc w:val="left"/>
      <w:pPr>
        <w:ind w:left="-32767" w:firstLine="0"/>
      </w:pPr>
    </w:lvl>
    <w:lvl w:ilvl="4">
      <w:start w:val="1"/>
      <w:numFmt w:val="none"/>
      <w:lvlText w:val=""/>
      <w:lvlJc w:val="left"/>
      <w:pPr>
        <w:ind w:left="-32767" w:firstLine="0"/>
      </w:pPr>
      <w:rPr>
        <w:color w:val="000000"/>
      </w:rPr>
    </w:lvl>
    <w:lvl w:ilvl="5">
      <w:start w:val="1"/>
      <w:numFmt w:val="none"/>
      <w:lvlText w:val=""/>
      <w:lvlJc w:val="left"/>
      <w:pPr>
        <w:ind w:left="-32767" w:firstLine="0"/>
      </w:pPr>
    </w:lvl>
    <w:lvl w:ilvl="6">
      <w:start w:val="1"/>
      <w:numFmt w:val="none"/>
      <w:lvlText w:val=""/>
      <w:lvlJc w:val="left"/>
      <w:pPr>
        <w:ind w:left="-32767" w:firstLine="0"/>
      </w:pPr>
      <w:rPr>
        <w:color w:val="000000"/>
      </w:rPr>
    </w:lvl>
    <w:lvl w:ilvl="7">
      <w:start w:val="1"/>
      <w:numFmt w:val="none"/>
      <w:lvlText w:val="%8"/>
      <w:lvlJc w:val="left"/>
      <w:pPr>
        <w:ind w:left="-32767" w:firstLine="0"/>
      </w:pPr>
    </w:lvl>
    <w:lvl w:ilvl="8">
      <w:start w:val="1"/>
      <w:numFmt w:val="none"/>
      <w:lvlText w:val=""/>
      <w:lvlJc w:val="left"/>
      <w:pPr>
        <w:ind w:left="-32767" w:firstLine="0"/>
      </w:pPr>
      <w:rPr>
        <w:color w:val="000000"/>
      </w:rPr>
    </w:lvl>
  </w:abstractNum>
  <w:abstractNum w:abstractNumId="37" w15:restartNumberingAfterBreak="0">
    <w:nsid w:val="5F150643"/>
    <w:multiLevelType w:val="hybridMultilevel"/>
    <w:tmpl w:val="CBE83AD6"/>
    <w:lvl w:ilvl="0" w:tplc="58845506">
      <w:start w:val="42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9" w15:restartNumberingAfterBreak="0">
    <w:nsid w:val="5FB01F8D"/>
    <w:multiLevelType w:val="hybridMultilevel"/>
    <w:tmpl w:val="52841C38"/>
    <w:lvl w:ilvl="0" w:tplc="F60023D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1" w15:restartNumberingAfterBreak="0">
    <w:nsid w:val="61AB21D2"/>
    <w:multiLevelType w:val="hybridMultilevel"/>
    <w:tmpl w:val="64883A18"/>
    <w:lvl w:ilvl="0" w:tplc="E36889C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9D592F"/>
    <w:multiLevelType w:val="hybridMultilevel"/>
    <w:tmpl w:val="3B6C0322"/>
    <w:lvl w:ilvl="0" w:tplc="F60023D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71442EC"/>
    <w:multiLevelType w:val="hybridMultilevel"/>
    <w:tmpl w:val="93F0F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9B21F21"/>
    <w:multiLevelType w:val="hybridMultilevel"/>
    <w:tmpl w:val="C3900A70"/>
    <w:lvl w:ilvl="0" w:tplc="B672E708">
      <w:start w:val="1"/>
      <w:numFmt w:val="decimal"/>
      <w:pStyle w:val="Normal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C181079"/>
    <w:multiLevelType w:val="multilevel"/>
    <w:tmpl w:val="42F8A376"/>
    <w:lvl w:ilvl="0">
      <w:start w:val="1"/>
      <w:numFmt w:val="bullet"/>
      <w:pStyle w:val="Bullet"/>
      <w:lvlText w:val="•"/>
      <w:lvlJc w:val="left"/>
      <w:pPr>
        <w:ind w:left="284" w:hanging="284"/>
      </w:pPr>
      <w:rPr>
        <w:rFonts w:ascii="Calibri Light" w:hAnsi="Calibri Light" w:cs="Calibri Light" w:hint="default"/>
        <w:vertAlign w:val="baseline"/>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6" w15:restartNumberingAfterBreak="0">
    <w:nsid w:val="71161695"/>
    <w:multiLevelType w:val="hybridMultilevel"/>
    <w:tmpl w:val="18B41DF8"/>
    <w:lvl w:ilvl="0" w:tplc="F60023D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48"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49" w15:restartNumberingAfterBreak="0">
    <w:nsid w:val="74384884"/>
    <w:multiLevelType w:val="hybridMultilevel"/>
    <w:tmpl w:val="18C47D4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489798A"/>
    <w:multiLevelType w:val="hybridMultilevel"/>
    <w:tmpl w:val="D44ADBFE"/>
    <w:lvl w:ilvl="0" w:tplc="F60023D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56A29D1"/>
    <w:multiLevelType w:val="hybridMultilevel"/>
    <w:tmpl w:val="D00E6184"/>
    <w:lvl w:ilvl="0" w:tplc="E36889C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78800DC5"/>
    <w:multiLevelType w:val="hybridMultilevel"/>
    <w:tmpl w:val="5830C5A0"/>
    <w:lvl w:ilvl="0" w:tplc="FFFFFFFF">
      <w:start w:val="1"/>
      <w:numFmt w:val="lowerLetter"/>
      <w:lvlText w:val="(%1)"/>
      <w:lvlJc w:val="left"/>
      <w:pPr>
        <w:ind w:left="1069" w:hanging="360"/>
      </w:pPr>
    </w:lvl>
    <w:lvl w:ilvl="1" w:tplc="FFFFFFFF">
      <w:start w:val="1"/>
      <w:numFmt w:val="lowerRoman"/>
      <w:lvlText w:val="(%2)"/>
      <w:lvlJc w:val="left"/>
      <w:pPr>
        <w:ind w:left="1789" w:hanging="360"/>
      </w:pPr>
      <w:rPr>
        <w:rFonts w:asciiTheme="minorHAnsi" w:eastAsia="Times New Roman" w:hAnsiTheme="minorHAnsi" w:cstheme="minorBidi"/>
      </w:r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53" w15:restartNumberingAfterBreak="0">
    <w:nsid w:val="794C1811"/>
    <w:multiLevelType w:val="hybridMultilevel"/>
    <w:tmpl w:val="CEC63940"/>
    <w:lvl w:ilvl="0" w:tplc="0C090001">
      <w:start w:val="1"/>
      <w:numFmt w:val="bullet"/>
      <w:lvlText w:val=""/>
      <w:lvlJc w:val="left"/>
      <w:pPr>
        <w:ind w:left="770" w:hanging="360"/>
      </w:pPr>
      <w:rPr>
        <w:rFonts w:ascii="Symbol" w:hAnsi="Symbol" w:hint="default"/>
      </w:rPr>
    </w:lvl>
    <w:lvl w:ilvl="1" w:tplc="F1F4B682">
      <w:numFmt w:val="bullet"/>
      <w:lvlText w:val="-"/>
      <w:lvlJc w:val="left"/>
      <w:pPr>
        <w:ind w:left="1490" w:hanging="360"/>
      </w:pPr>
      <w:rPr>
        <w:rFonts w:ascii="Arial" w:eastAsiaTheme="minorHAnsi" w:hAnsi="Arial" w:cs="Arial" w:hint="default"/>
      </w:rPr>
    </w:lvl>
    <w:lvl w:ilvl="2" w:tplc="0C090005">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4" w15:restartNumberingAfterBreak="0">
    <w:nsid w:val="795E6724"/>
    <w:multiLevelType w:val="hybridMultilevel"/>
    <w:tmpl w:val="2EB06EB0"/>
    <w:lvl w:ilvl="0" w:tplc="E36889C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BD03704"/>
    <w:multiLevelType w:val="hybridMultilevel"/>
    <w:tmpl w:val="A52E544E"/>
    <w:lvl w:ilvl="0" w:tplc="58845506">
      <w:start w:val="42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CE104FC"/>
    <w:multiLevelType w:val="hybridMultilevel"/>
    <w:tmpl w:val="AECEC6CE"/>
    <w:lvl w:ilvl="0" w:tplc="1C7401D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7" w15:restartNumberingAfterBreak="0">
    <w:nsid w:val="7F7169AC"/>
    <w:multiLevelType w:val="hybridMultilevel"/>
    <w:tmpl w:val="881E81A0"/>
    <w:lvl w:ilvl="0" w:tplc="E36889C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48429976">
    <w:abstractNumId w:val="10"/>
  </w:num>
  <w:num w:numId="2" w16cid:durableId="76487364">
    <w:abstractNumId w:val="35"/>
  </w:num>
  <w:num w:numId="3" w16cid:durableId="1110246689">
    <w:abstractNumId w:val="1"/>
  </w:num>
  <w:num w:numId="4" w16cid:durableId="13699910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3232458">
    <w:abstractNumId w:val="2"/>
  </w:num>
  <w:num w:numId="6" w16cid:durableId="51734012">
    <w:abstractNumId w:val="38"/>
  </w:num>
  <w:num w:numId="7" w16cid:durableId="576675448">
    <w:abstractNumId w:val="40"/>
  </w:num>
  <w:num w:numId="8" w16cid:durableId="1375689016">
    <w:abstractNumId w:val="20"/>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9" w16cid:durableId="267395162">
    <w:abstractNumId w:val="3"/>
  </w:num>
  <w:num w:numId="10" w16cid:durableId="535238638">
    <w:abstractNumId w:val="48"/>
  </w:num>
  <w:num w:numId="11" w16cid:durableId="1018386161">
    <w:abstractNumId w:val="47"/>
  </w:num>
  <w:num w:numId="12" w16cid:durableId="939220412">
    <w:abstractNumId w:val="42"/>
  </w:num>
  <w:num w:numId="13" w16cid:durableId="1756126195">
    <w:abstractNumId w:val="53"/>
  </w:num>
  <w:num w:numId="14" w16cid:durableId="1569458013">
    <w:abstractNumId w:val="49"/>
  </w:num>
  <w:num w:numId="15" w16cid:durableId="1906181756">
    <w:abstractNumId w:val="37"/>
  </w:num>
  <w:num w:numId="16" w16cid:durableId="1018315742">
    <w:abstractNumId w:val="55"/>
  </w:num>
  <w:num w:numId="17" w16cid:durableId="1939017405">
    <w:abstractNumId w:val="54"/>
  </w:num>
  <w:num w:numId="18" w16cid:durableId="1060177709">
    <w:abstractNumId w:val="28"/>
  </w:num>
  <w:num w:numId="19" w16cid:durableId="728647125">
    <w:abstractNumId w:val="5"/>
  </w:num>
  <w:num w:numId="20" w16cid:durableId="2006859588">
    <w:abstractNumId w:val="16"/>
  </w:num>
  <w:num w:numId="21" w16cid:durableId="1676766453">
    <w:abstractNumId w:val="31"/>
  </w:num>
  <w:num w:numId="22" w16cid:durableId="72316148">
    <w:abstractNumId w:val="26"/>
  </w:num>
  <w:num w:numId="23" w16cid:durableId="179858728">
    <w:abstractNumId w:val="19"/>
  </w:num>
  <w:num w:numId="24" w16cid:durableId="188689508">
    <w:abstractNumId w:val="25"/>
  </w:num>
  <w:num w:numId="25" w16cid:durableId="2036222893">
    <w:abstractNumId w:val="4"/>
  </w:num>
  <w:num w:numId="26" w16cid:durableId="1801221736">
    <w:abstractNumId w:val="15"/>
  </w:num>
  <w:num w:numId="27" w16cid:durableId="237522558">
    <w:abstractNumId w:val="50"/>
  </w:num>
  <w:num w:numId="28" w16cid:durableId="71709224">
    <w:abstractNumId w:val="17"/>
  </w:num>
  <w:num w:numId="29" w16cid:durableId="1646203314">
    <w:abstractNumId w:val="39"/>
  </w:num>
  <w:num w:numId="30" w16cid:durableId="836189269">
    <w:abstractNumId w:val="57"/>
  </w:num>
  <w:num w:numId="31" w16cid:durableId="1934047946">
    <w:abstractNumId w:val="51"/>
  </w:num>
  <w:num w:numId="32" w16cid:durableId="1050223743">
    <w:abstractNumId w:val="41"/>
  </w:num>
  <w:num w:numId="33" w16cid:durableId="1363943374">
    <w:abstractNumId w:val="11"/>
  </w:num>
  <w:num w:numId="34" w16cid:durableId="316765262">
    <w:abstractNumId w:val="22"/>
  </w:num>
  <w:num w:numId="35" w16cid:durableId="1511410039">
    <w:abstractNumId w:val="0"/>
  </w:num>
  <w:num w:numId="36" w16cid:durableId="393630010">
    <w:abstractNumId w:val="46"/>
  </w:num>
  <w:num w:numId="37" w16cid:durableId="410085212">
    <w:abstractNumId w:val="7"/>
  </w:num>
  <w:num w:numId="38" w16cid:durableId="360665736">
    <w:abstractNumId w:val="18"/>
  </w:num>
  <w:num w:numId="39" w16cid:durableId="180819645">
    <w:abstractNumId w:val="6"/>
  </w:num>
  <w:num w:numId="40" w16cid:durableId="376709490">
    <w:abstractNumId w:val="4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8883950">
    <w:abstractNumId w:val="12"/>
  </w:num>
  <w:num w:numId="42" w16cid:durableId="836963513">
    <w:abstractNumId w:val="30"/>
  </w:num>
  <w:num w:numId="43" w16cid:durableId="2087802787">
    <w:abstractNumId w:val="36"/>
  </w:num>
  <w:num w:numId="44" w16cid:durableId="1388534046">
    <w:abstractNumId w:val="21"/>
  </w:num>
  <w:num w:numId="45" w16cid:durableId="1432897109">
    <w:abstractNumId w:val="14"/>
  </w:num>
  <w:num w:numId="46" w16cid:durableId="277030717">
    <w:abstractNumId w:val="8"/>
  </w:num>
  <w:num w:numId="47" w16cid:durableId="119953935">
    <w:abstractNumId w:val="43"/>
  </w:num>
  <w:num w:numId="48" w16cid:durableId="1563760179">
    <w:abstractNumId w:val="23"/>
  </w:num>
  <w:num w:numId="49" w16cid:durableId="1672638689">
    <w:abstractNumId w:val="9"/>
  </w:num>
  <w:num w:numId="50" w16cid:durableId="575748737">
    <w:abstractNumId w:val="33"/>
  </w:num>
  <w:num w:numId="51" w16cid:durableId="1233275559">
    <w:abstractNumId w:val="34"/>
  </w:num>
  <w:num w:numId="52" w16cid:durableId="89128993">
    <w:abstractNumId w:val="13"/>
  </w:num>
  <w:num w:numId="53" w16cid:durableId="1807891626">
    <w:abstractNumId w:val="32"/>
  </w:num>
  <w:num w:numId="54" w16cid:durableId="1842812555">
    <w:abstractNumId w:val="24"/>
  </w:num>
  <w:num w:numId="55" w16cid:durableId="949747791">
    <w:abstractNumId w:val="44"/>
  </w:num>
  <w:num w:numId="56" w16cid:durableId="224412775">
    <w:abstractNumId w:val="29"/>
  </w:num>
  <w:num w:numId="57" w16cid:durableId="811098824">
    <w:abstractNumId w:val="27"/>
  </w:num>
  <w:num w:numId="58" w16cid:durableId="1336103982">
    <w:abstractNumId w:val="52"/>
  </w:num>
  <w:num w:numId="59" w16cid:durableId="1295520592">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4FE"/>
    <w:rsid w:val="000005BF"/>
    <w:rsid w:val="000009D4"/>
    <w:rsid w:val="00000A47"/>
    <w:rsid w:val="00000AB0"/>
    <w:rsid w:val="00000F09"/>
    <w:rsid w:val="00000F56"/>
    <w:rsid w:val="000010EA"/>
    <w:rsid w:val="000015CF"/>
    <w:rsid w:val="0000187B"/>
    <w:rsid w:val="000020CE"/>
    <w:rsid w:val="000025C7"/>
    <w:rsid w:val="0000260E"/>
    <w:rsid w:val="000029AD"/>
    <w:rsid w:val="00002A1F"/>
    <w:rsid w:val="00002B2B"/>
    <w:rsid w:val="00003184"/>
    <w:rsid w:val="000036EB"/>
    <w:rsid w:val="0000395C"/>
    <w:rsid w:val="0000405C"/>
    <w:rsid w:val="0000423C"/>
    <w:rsid w:val="0000451C"/>
    <w:rsid w:val="00004626"/>
    <w:rsid w:val="0000474B"/>
    <w:rsid w:val="00004990"/>
    <w:rsid w:val="00004A84"/>
    <w:rsid w:val="00004D9A"/>
    <w:rsid w:val="00004DED"/>
    <w:rsid w:val="000050EA"/>
    <w:rsid w:val="0000527F"/>
    <w:rsid w:val="0000576D"/>
    <w:rsid w:val="00005994"/>
    <w:rsid w:val="000059BE"/>
    <w:rsid w:val="00005FD4"/>
    <w:rsid w:val="00006176"/>
    <w:rsid w:val="000063BC"/>
    <w:rsid w:val="00006443"/>
    <w:rsid w:val="000064CB"/>
    <w:rsid w:val="000067BA"/>
    <w:rsid w:val="000069B7"/>
    <w:rsid w:val="00006BD5"/>
    <w:rsid w:val="000076D2"/>
    <w:rsid w:val="0000771D"/>
    <w:rsid w:val="00007847"/>
    <w:rsid w:val="0000790B"/>
    <w:rsid w:val="00007A82"/>
    <w:rsid w:val="00007A99"/>
    <w:rsid w:val="00007AD2"/>
    <w:rsid w:val="00007BC0"/>
    <w:rsid w:val="00007FF7"/>
    <w:rsid w:val="00010033"/>
    <w:rsid w:val="0001015C"/>
    <w:rsid w:val="000102B3"/>
    <w:rsid w:val="00010360"/>
    <w:rsid w:val="000105DB"/>
    <w:rsid w:val="0001068A"/>
    <w:rsid w:val="00010976"/>
    <w:rsid w:val="000109F6"/>
    <w:rsid w:val="00010B99"/>
    <w:rsid w:val="00010D2F"/>
    <w:rsid w:val="00010F01"/>
    <w:rsid w:val="00011202"/>
    <w:rsid w:val="00011471"/>
    <w:rsid w:val="0001156A"/>
    <w:rsid w:val="0001182B"/>
    <w:rsid w:val="00011859"/>
    <w:rsid w:val="00011DF1"/>
    <w:rsid w:val="00011E4D"/>
    <w:rsid w:val="0001258D"/>
    <w:rsid w:val="000126B1"/>
    <w:rsid w:val="00012714"/>
    <w:rsid w:val="00012911"/>
    <w:rsid w:val="00012C67"/>
    <w:rsid w:val="00012E8B"/>
    <w:rsid w:val="0001344F"/>
    <w:rsid w:val="0001376F"/>
    <w:rsid w:val="000138CF"/>
    <w:rsid w:val="00013A7D"/>
    <w:rsid w:val="00013C4B"/>
    <w:rsid w:val="00013D91"/>
    <w:rsid w:val="0001403B"/>
    <w:rsid w:val="000140D5"/>
    <w:rsid w:val="0001445B"/>
    <w:rsid w:val="000146FA"/>
    <w:rsid w:val="00014887"/>
    <w:rsid w:val="00014BCB"/>
    <w:rsid w:val="00014DC4"/>
    <w:rsid w:val="00015365"/>
    <w:rsid w:val="0001554B"/>
    <w:rsid w:val="00015738"/>
    <w:rsid w:val="00015B36"/>
    <w:rsid w:val="00015E21"/>
    <w:rsid w:val="000164DD"/>
    <w:rsid w:val="00016580"/>
    <w:rsid w:val="000166FB"/>
    <w:rsid w:val="00016A5E"/>
    <w:rsid w:val="00016AFF"/>
    <w:rsid w:val="00016C38"/>
    <w:rsid w:val="00017189"/>
    <w:rsid w:val="000173EE"/>
    <w:rsid w:val="000174F7"/>
    <w:rsid w:val="00017512"/>
    <w:rsid w:val="000177E9"/>
    <w:rsid w:val="000179D6"/>
    <w:rsid w:val="00017B22"/>
    <w:rsid w:val="00017BD7"/>
    <w:rsid w:val="00017D46"/>
    <w:rsid w:val="00017F54"/>
    <w:rsid w:val="00017F71"/>
    <w:rsid w:val="000209D3"/>
    <w:rsid w:val="00020C68"/>
    <w:rsid w:val="00021602"/>
    <w:rsid w:val="000219C8"/>
    <w:rsid w:val="00021E3F"/>
    <w:rsid w:val="00021F77"/>
    <w:rsid w:val="0002211E"/>
    <w:rsid w:val="000226A1"/>
    <w:rsid w:val="00022A6C"/>
    <w:rsid w:val="00022D09"/>
    <w:rsid w:val="00022DF6"/>
    <w:rsid w:val="00023949"/>
    <w:rsid w:val="000239BE"/>
    <w:rsid w:val="00023C31"/>
    <w:rsid w:val="00023C91"/>
    <w:rsid w:val="00023CF9"/>
    <w:rsid w:val="00023D3F"/>
    <w:rsid w:val="00023F1B"/>
    <w:rsid w:val="00023FC0"/>
    <w:rsid w:val="000242BB"/>
    <w:rsid w:val="000244AB"/>
    <w:rsid w:val="000247A4"/>
    <w:rsid w:val="0002481C"/>
    <w:rsid w:val="00024875"/>
    <w:rsid w:val="00024E77"/>
    <w:rsid w:val="000256E7"/>
    <w:rsid w:val="00025832"/>
    <w:rsid w:val="00025A57"/>
    <w:rsid w:val="00025BFF"/>
    <w:rsid w:val="0002671F"/>
    <w:rsid w:val="0002681E"/>
    <w:rsid w:val="00026AA7"/>
    <w:rsid w:val="00026D51"/>
    <w:rsid w:val="00026DF3"/>
    <w:rsid w:val="0002761C"/>
    <w:rsid w:val="00027915"/>
    <w:rsid w:val="00027BAA"/>
    <w:rsid w:val="00027C93"/>
    <w:rsid w:val="00027D03"/>
    <w:rsid w:val="00027F36"/>
    <w:rsid w:val="00027F92"/>
    <w:rsid w:val="0002E5B7"/>
    <w:rsid w:val="000301BA"/>
    <w:rsid w:val="000305EA"/>
    <w:rsid w:val="00030D3C"/>
    <w:rsid w:val="00030DB0"/>
    <w:rsid w:val="00030E25"/>
    <w:rsid w:val="0003104D"/>
    <w:rsid w:val="0003108B"/>
    <w:rsid w:val="000316B2"/>
    <w:rsid w:val="00031B20"/>
    <w:rsid w:val="00031B76"/>
    <w:rsid w:val="00031C19"/>
    <w:rsid w:val="00031E3C"/>
    <w:rsid w:val="00031E3E"/>
    <w:rsid w:val="00032054"/>
    <w:rsid w:val="000320E3"/>
    <w:rsid w:val="00032878"/>
    <w:rsid w:val="00032B83"/>
    <w:rsid w:val="00032CB3"/>
    <w:rsid w:val="00032E45"/>
    <w:rsid w:val="00032F8F"/>
    <w:rsid w:val="00032FCF"/>
    <w:rsid w:val="0003314B"/>
    <w:rsid w:val="0003316A"/>
    <w:rsid w:val="00033194"/>
    <w:rsid w:val="000335F5"/>
    <w:rsid w:val="00033E5A"/>
    <w:rsid w:val="00033F82"/>
    <w:rsid w:val="000343F8"/>
    <w:rsid w:val="00034627"/>
    <w:rsid w:val="00034757"/>
    <w:rsid w:val="00034C1C"/>
    <w:rsid w:val="00034D6B"/>
    <w:rsid w:val="000358E7"/>
    <w:rsid w:val="00035B57"/>
    <w:rsid w:val="00035D25"/>
    <w:rsid w:val="00035E1D"/>
    <w:rsid w:val="00036390"/>
    <w:rsid w:val="0003655E"/>
    <w:rsid w:val="000365DA"/>
    <w:rsid w:val="00036857"/>
    <w:rsid w:val="00036862"/>
    <w:rsid w:val="00036A84"/>
    <w:rsid w:val="00036FAE"/>
    <w:rsid w:val="000373A7"/>
    <w:rsid w:val="00037AD1"/>
    <w:rsid w:val="00037B57"/>
    <w:rsid w:val="00037CB7"/>
    <w:rsid w:val="00037FB0"/>
    <w:rsid w:val="0003BAED"/>
    <w:rsid w:val="0004029D"/>
    <w:rsid w:val="0004029E"/>
    <w:rsid w:val="000403C4"/>
    <w:rsid w:val="00040406"/>
    <w:rsid w:val="00040473"/>
    <w:rsid w:val="000405A7"/>
    <w:rsid w:val="0004072F"/>
    <w:rsid w:val="00040745"/>
    <w:rsid w:val="00040760"/>
    <w:rsid w:val="00040B65"/>
    <w:rsid w:val="00040D2B"/>
    <w:rsid w:val="00040FFA"/>
    <w:rsid w:val="00041037"/>
    <w:rsid w:val="0004130E"/>
    <w:rsid w:val="00041354"/>
    <w:rsid w:val="00041447"/>
    <w:rsid w:val="000415C3"/>
    <w:rsid w:val="00041739"/>
    <w:rsid w:val="00041AAC"/>
    <w:rsid w:val="00041E2D"/>
    <w:rsid w:val="0004229F"/>
    <w:rsid w:val="0004230F"/>
    <w:rsid w:val="00042899"/>
    <w:rsid w:val="00042AAD"/>
    <w:rsid w:val="0004301B"/>
    <w:rsid w:val="00043032"/>
    <w:rsid w:val="00043153"/>
    <w:rsid w:val="00043475"/>
    <w:rsid w:val="00043AED"/>
    <w:rsid w:val="00043D9F"/>
    <w:rsid w:val="00043FDB"/>
    <w:rsid w:val="000441FB"/>
    <w:rsid w:val="00044508"/>
    <w:rsid w:val="000445CE"/>
    <w:rsid w:val="00044A3D"/>
    <w:rsid w:val="00044FBB"/>
    <w:rsid w:val="00045032"/>
    <w:rsid w:val="00045741"/>
    <w:rsid w:val="0004574C"/>
    <w:rsid w:val="00045B19"/>
    <w:rsid w:val="00045BFE"/>
    <w:rsid w:val="00045D80"/>
    <w:rsid w:val="00045EBA"/>
    <w:rsid w:val="00045F29"/>
    <w:rsid w:val="00045F8C"/>
    <w:rsid w:val="0004612C"/>
    <w:rsid w:val="000461A9"/>
    <w:rsid w:val="0004679D"/>
    <w:rsid w:val="00046954"/>
    <w:rsid w:val="00046D2C"/>
    <w:rsid w:val="0004702C"/>
    <w:rsid w:val="00047668"/>
    <w:rsid w:val="00047A2A"/>
    <w:rsid w:val="00047DFC"/>
    <w:rsid w:val="0005020B"/>
    <w:rsid w:val="0005028A"/>
    <w:rsid w:val="00050353"/>
    <w:rsid w:val="000503F4"/>
    <w:rsid w:val="000503FD"/>
    <w:rsid w:val="00050AB9"/>
    <w:rsid w:val="00050B32"/>
    <w:rsid w:val="00050CFB"/>
    <w:rsid w:val="00051064"/>
    <w:rsid w:val="0005108E"/>
    <w:rsid w:val="0005110C"/>
    <w:rsid w:val="00051296"/>
    <w:rsid w:val="000512F4"/>
    <w:rsid w:val="00051531"/>
    <w:rsid w:val="00051736"/>
    <w:rsid w:val="000517F6"/>
    <w:rsid w:val="000519BC"/>
    <w:rsid w:val="00051AB8"/>
    <w:rsid w:val="00051CCE"/>
    <w:rsid w:val="00051EC2"/>
    <w:rsid w:val="00052507"/>
    <w:rsid w:val="000525C8"/>
    <w:rsid w:val="000529D5"/>
    <w:rsid w:val="00052A2C"/>
    <w:rsid w:val="00052BB0"/>
    <w:rsid w:val="00052C3E"/>
    <w:rsid w:val="00052C74"/>
    <w:rsid w:val="00052C97"/>
    <w:rsid w:val="00052DA6"/>
    <w:rsid w:val="00053D22"/>
    <w:rsid w:val="00054926"/>
    <w:rsid w:val="000549D4"/>
    <w:rsid w:val="00054C21"/>
    <w:rsid w:val="000551EA"/>
    <w:rsid w:val="00055429"/>
    <w:rsid w:val="00055B0A"/>
    <w:rsid w:val="00055E2E"/>
    <w:rsid w:val="00055EBA"/>
    <w:rsid w:val="0005651E"/>
    <w:rsid w:val="000565FC"/>
    <w:rsid w:val="00056F2F"/>
    <w:rsid w:val="00057213"/>
    <w:rsid w:val="00057421"/>
    <w:rsid w:val="000574BE"/>
    <w:rsid w:val="0005758B"/>
    <w:rsid w:val="00057815"/>
    <w:rsid w:val="00057A1E"/>
    <w:rsid w:val="00057BC7"/>
    <w:rsid w:val="00057F05"/>
    <w:rsid w:val="000603A2"/>
    <w:rsid w:val="00060A01"/>
    <w:rsid w:val="00060C60"/>
    <w:rsid w:val="00060E34"/>
    <w:rsid w:val="000611F2"/>
    <w:rsid w:val="000614A1"/>
    <w:rsid w:val="00061620"/>
    <w:rsid w:val="000617D3"/>
    <w:rsid w:val="000617EF"/>
    <w:rsid w:val="00061ED2"/>
    <w:rsid w:val="00061FAC"/>
    <w:rsid w:val="00062201"/>
    <w:rsid w:val="0006227D"/>
    <w:rsid w:val="00062529"/>
    <w:rsid w:val="00062794"/>
    <w:rsid w:val="000627D5"/>
    <w:rsid w:val="000629F6"/>
    <w:rsid w:val="00062A74"/>
    <w:rsid w:val="00062E28"/>
    <w:rsid w:val="00062F37"/>
    <w:rsid w:val="0006304A"/>
    <w:rsid w:val="0006313E"/>
    <w:rsid w:val="00063248"/>
    <w:rsid w:val="00063414"/>
    <w:rsid w:val="00063552"/>
    <w:rsid w:val="000638CD"/>
    <w:rsid w:val="00063BAD"/>
    <w:rsid w:val="00064030"/>
    <w:rsid w:val="0006442A"/>
    <w:rsid w:val="0006484E"/>
    <w:rsid w:val="00064B37"/>
    <w:rsid w:val="00064CA3"/>
    <w:rsid w:val="00064CCB"/>
    <w:rsid w:val="00064DF4"/>
    <w:rsid w:val="00064FAE"/>
    <w:rsid w:val="0006534F"/>
    <w:rsid w:val="000655E7"/>
    <w:rsid w:val="00065DC1"/>
    <w:rsid w:val="00066830"/>
    <w:rsid w:val="000668B0"/>
    <w:rsid w:val="000669ED"/>
    <w:rsid w:val="00066A68"/>
    <w:rsid w:val="00066AC7"/>
    <w:rsid w:val="00066C41"/>
    <w:rsid w:val="000670D5"/>
    <w:rsid w:val="000673D2"/>
    <w:rsid w:val="00067CDF"/>
    <w:rsid w:val="00067CF2"/>
    <w:rsid w:val="000700F2"/>
    <w:rsid w:val="000701EA"/>
    <w:rsid w:val="00070954"/>
    <w:rsid w:val="00070D77"/>
    <w:rsid w:val="00071164"/>
    <w:rsid w:val="00071373"/>
    <w:rsid w:val="00071B0F"/>
    <w:rsid w:val="00071E5C"/>
    <w:rsid w:val="00072709"/>
    <w:rsid w:val="00072ACC"/>
    <w:rsid w:val="00072D1C"/>
    <w:rsid w:val="00072D8D"/>
    <w:rsid w:val="00072E92"/>
    <w:rsid w:val="00073017"/>
    <w:rsid w:val="000732F2"/>
    <w:rsid w:val="00073D0C"/>
    <w:rsid w:val="00073F7F"/>
    <w:rsid w:val="00074274"/>
    <w:rsid w:val="00074487"/>
    <w:rsid w:val="000747AE"/>
    <w:rsid w:val="000747F4"/>
    <w:rsid w:val="00074BE4"/>
    <w:rsid w:val="00074D67"/>
    <w:rsid w:val="00075264"/>
    <w:rsid w:val="0007576F"/>
    <w:rsid w:val="00075922"/>
    <w:rsid w:val="00075C8C"/>
    <w:rsid w:val="00075EF1"/>
    <w:rsid w:val="00076653"/>
    <w:rsid w:val="00076D27"/>
    <w:rsid w:val="00076E76"/>
    <w:rsid w:val="000770ED"/>
    <w:rsid w:val="000774AF"/>
    <w:rsid w:val="00077EE9"/>
    <w:rsid w:val="00078958"/>
    <w:rsid w:val="00080014"/>
    <w:rsid w:val="00080167"/>
    <w:rsid w:val="0008035C"/>
    <w:rsid w:val="00080576"/>
    <w:rsid w:val="000806CD"/>
    <w:rsid w:val="00080E3A"/>
    <w:rsid w:val="0008118C"/>
    <w:rsid w:val="00081387"/>
    <w:rsid w:val="00081635"/>
    <w:rsid w:val="00081735"/>
    <w:rsid w:val="000822E4"/>
    <w:rsid w:val="00083267"/>
    <w:rsid w:val="000832FD"/>
    <w:rsid w:val="00083922"/>
    <w:rsid w:val="000839B0"/>
    <w:rsid w:val="00083CF7"/>
    <w:rsid w:val="00083F41"/>
    <w:rsid w:val="000845A8"/>
    <w:rsid w:val="000846A5"/>
    <w:rsid w:val="000846B7"/>
    <w:rsid w:val="00084A27"/>
    <w:rsid w:val="00084AF1"/>
    <w:rsid w:val="00084B8D"/>
    <w:rsid w:val="00084C8E"/>
    <w:rsid w:val="00085058"/>
    <w:rsid w:val="000852BF"/>
    <w:rsid w:val="000852EA"/>
    <w:rsid w:val="000855C3"/>
    <w:rsid w:val="0008561B"/>
    <w:rsid w:val="00085A2C"/>
    <w:rsid w:val="00085AED"/>
    <w:rsid w:val="00085C49"/>
    <w:rsid w:val="00086250"/>
    <w:rsid w:val="0008635F"/>
    <w:rsid w:val="000864EC"/>
    <w:rsid w:val="000865AF"/>
    <w:rsid w:val="00086842"/>
    <w:rsid w:val="00086BAA"/>
    <w:rsid w:val="00086D37"/>
    <w:rsid w:val="00086EBC"/>
    <w:rsid w:val="0008702D"/>
    <w:rsid w:val="000871E3"/>
    <w:rsid w:val="000872FB"/>
    <w:rsid w:val="00087551"/>
    <w:rsid w:val="0008763F"/>
    <w:rsid w:val="000877F2"/>
    <w:rsid w:val="00087C2C"/>
    <w:rsid w:val="000900A2"/>
    <w:rsid w:val="000906CC"/>
    <w:rsid w:val="00090C52"/>
    <w:rsid w:val="00090C68"/>
    <w:rsid w:val="00090D65"/>
    <w:rsid w:val="00090E38"/>
    <w:rsid w:val="00090F71"/>
    <w:rsid w:val="00090FC4"/>
    <w:rsid w:val="00091232"/>
    <w:rsid w:val="00091723"/>
    <w:rsid w:val="00091733"/>
    <w:rsid w:val="00091747"/>
    <w:rsid w:val="00091899"/>
    <w:rsid w:val="00091B52"/>
    <w:rsid w:val="00091E3E"/>
    <w:rsid w:val="00091F1B"/>
    <w:rsid w:val="0009250B"/>
    <w:rsid w:val="00092A76"/>
    <w:rsid w:val="00092B8A"/>
    <w:rsid w:val="00092E25"/>
    <w:rsid w:val="00092FC2"/>
    <w:rsid w:val="0009307E"/>
    <w:rsid w:val="000933EC"/>
    <w:rsid w:val="00093596"/>
    <w:rsid w:val="00093833"/>
    <w:rsid w:val="00093978"/>
    <w:rsid w:val="00093FB5"/>
    <w:rsid w:val="000941CD"/>
    <w:rsid w:val="00094411"/>
    <w:rsid w:val="000944BC"/>
    <w:rsid w:val="00094DB4"/>
    <w:rsid w:val="0009541A"/>
    <w:rsid w:val="000960DE"/>
    <w:rsid w:val="000961F5"/>
    <w:rsid w:val="0009627B"/>
    <w:rsid w:val="000962E2"/>
    <w:rsid w:val="00096331"/>
    <w:rsid w:val="0009636A"/>
    <w:rsid w:val="00096412"/>
    <w:rsid w:val="00096940"/>
    <w:rsid w:val="000969B4"/>
    <w:rsid w:val="00096C8B"/>
    <w:rsid w:val="00096E97"/>
    <w:rsid w:val="00096F00"/>
    <w:rsid w:val="00096F45"/>
    <w:rsid w:val="00097240"/>
    <w:rsid w:val="0009738A"/>
    <w:rsid w:val="00097666"/>
    <w:rsid w:val="00097B67"/>
    <w:rsid w:val="00097C3A"/>
    <w:rsid w:val="00097DCC"/>
    <w:rsid w:val="00097F60"/>
    <w:rsid w:val="000A0622"/>
    <w:rsid w:val="000A09CB"/>
    <w:rsid w:val="000A0C19"/>
    <w:rsid w:val="000A0EE2"/>
    <w:rsid w:val="000A10F9"/>
    <w:rsid w:val="000A126C"/>
    <w:rsid w:val="000A13A0"/>
    <w:rsid w:val="000A1430"/>
    <w:rsid w:val="000A1712"/>
    <w:rsid w:val="000A1981"/>
    <w:rsid w:val="000A20BB"/>
    <w:rsid w:val="000A20D3"/>
    <w:rsid w:val="000A2218"/>
    <w:rsid w:val="000A2538"/>
    <w:rsid w:val="000A25A3"/>
    <w:rsid w:val="000A29C5"/>
    <w:rsid w:val="000A2A28"/>
    <w:rsid w:val="000A2B1D"/>
    <w:rsid w:val="000A2D3A"/>
    <w:rsid w:val="000A2D81"/>
    <w:rsid w:val="000A30E1"/>
    <w:rsid w:val="000A3124"/>
    <w:rsid w:val="000A3577"/>
    <w:rsid w:val="000A35D6"/>
    <w:rsid w:val="000A3C59"/>
    <w:rsid w:val="000A3E69"/>
    <w:rsid w:val="000A3EBD"/>
    <w:rsid w:val="000A44D8"/>
    <w:rsid w:val="000A473E"/>
    <w:rsid w:val="000A4C18"/>
    <w:rsid w:val="000A4EB5"/>
    <w:rsid w:val="000A4EFE"/>
    <w:rsid w:val="000A5009"/>
    <w:rsid w:val="000A510C"/>
    <w:rsid w:val="000A522B"/>
    <w:rsid w:val="000A5783"/>
    <w:rsid w:val="000A598D"/>
    <w:rsid w:val="000A5A96"/>
    <w:rsid w:val="000A5D19"/>
    <w:rsid w:val="000A5D54"/>
    <w:rsid w:val="000A61CD"/>
    <w:rsid w:val="000A699F"/>
    <w:rsid w:val="000A6A35"/>
    <w:rsid w:val="000A6BA6"/>
    <w:rsid w:val="000A6D85"/>
    <w:rsid w:val="000A6E4F"/>
    <w:rsid w:val="000A7570"/>
    <w:rsid w:val="000A791C"/>
    <w:rsid w:val="000A7AB1"/>
    <w:rsid w:val="000A7B82"/>
    <w:rsid w:val="000A7B91"/>
    <w:rsid w:val="000A7DC1"/>
    <w:rsid w:val="000AE7E0"/>
    <w:rsid w:val="000B0313"/>
    <w:rsid w:val="000B0373"/>
    <w:rsid w:val="000B103F"/>
    <w:rsid w:val="000B1042"/>
    <w:rsid w:val="000B13C4"/>
    <w:rsid w:val="000B14DF"/>
    <w:rsid w:val="000B189E"/>
    <w:rsid w:val="000B1BE1"/>
    <w:rsid w:val="000B2298"/>
    <w:rsid w:val="000B27FA"/>
    <w:rsid w:val="000B2C50"/>
    <w:rsid w:val="000B2EAA"/>
    <w:rsid w:val="000B3147"/>
    <w:rsid w:val="000B3208"/>
    <w:rsid w:val="000B3914"/>
    <w:rsid w:val="000B3923"/>
    <w:rsid w:val="000B3B25"/>
    <w:rsid w:val="000B3C3C"/>
    <w:rsid w:val="000B46C1"/>
    <w:rsid w:val="000B57E2"/>
    <w:rsid w:val="000B620A"/>
    <w:rsid w:val="000B6430"/>
    <w:rsid w:val="000B6D2A"/>
    <w:rsid w:val="000B7061"/>
    <w:rsid w:val="000B7145"/>
    <w:rsid w:val="000B759C"/>
    <w:rsid w:val="000B7617"/>
    <w:rsid w:val="000B79EA"/>
    <w:rsid w:val="000B7EC9"/>
    <w:rsid w:val="000C04AA"/>
    <w:rsid w:val="000C0B2F"/>
    <w:rsid w:val="000C0ED8"/>
    <w:rsid w:val="000C10AD"/>
    <w:rsid w:val="000C1132"/>
    <w:rsid w:val="000C1703"/>
    <w:rsid w:val="000C1796"/>
    <w:rsid w:val="000C1E5F"/>
    <w:rsid w:val="000C20A5"/>
    <w:rsid w:val="000C224C"/>
    <w:rsid w:val="000C24A4"/>
    <w:rsid w:val="000C24DB"/>
    <w:rsid w:val="000C2698"/>
    <w:rsid w:val="000C28A7"/>
    <w:rsid w:val="000C2ADE"/>
    <w:rsid w:val="000C2B88"/>
    <w:rsid w:val="000C34FD"/>
    <w:rsid w:val="000C360B"/>
    <w:rsid w:val="000C36F9"/>
    <w:rsid w:val="000C38FD"/>
    <w:rsid w:val="000C3D75"/>
    <w:rsid w:val="000C47A2"/>
    <w:rsid w:val="000C4808"/>
    <w:rsid w:val="000C4BCF"/>
    <w:rsid w:val="000C4D6B"/>
    <w:rsid w:val="000C501A"/>
    <w:rsid w:val="000C557A"/>
    <w:rsid w:val="000C56D1"/>
    <w:rsid w:val="000C5860"/>
    <w:rsid w:val="000C58FD"/>
    <w:rsid w:val="000C59AF"/>
    <w:rsid w:val="000C5A98"/>
    <w:rsid w:val="000C5B01"/>
    <w:rsid w:val="000C60BB"/>
    <w:rsid w:val="000C62E2"/>
    <w:rsid w:val="000C65AA"/>
    <w:rsid w:val="000C6C31"/>
    <w:rsid w:val="000C6D12"/>
    <w:rsid w:val="000C6EE6"/>
    <w:rsid w:val="000C72CD"/>
    <w:rsid w:val="000C72D9"/>
    <w:rsid w:val="000C779F"/>
    <w:rsid w:val="000C7CA5"/>
    <w:rsid w:val="000D0951"/>
    <w:rsid w:val="000D0A56"/>
    <w:rsid w:val="000D110E"/>
    <w:rsid w:val="000D1472"/>
    <w:rsid w:val="000D17F7"/>
    <w:rsid w:val="000D189B"/>
    <w:rsid w:val="000D1B58"/>
    <w:rsid w:val="000D1BA2"/>
    <w:rsid w:val="000D1E06"/>
    <w:rsid w:val="000D2395"/>
    <w:rsid w:val="000D23BF"/>
    <w:rsid w:val="000D266D"/>
    <w:rsid w:val="000D2890"/>
    <w:rsid w:val="000D290C"/>
    <w:rsid w:val="000D30C8"/>
    <w:rsid w:val="000D32B5"/>
    <w:rsid w:val="000D386D"/>
    <w:rsid w:val="000D39AB"/>
    <w:rsid w:val="000D39B5"/>
    <w:rsid w:val="000D39E9"/>
    <w:rsid w:val="000D3CF1"/>
    <w:rsid w:val="000D3D49"/>
    <w:rsid w:val="000D3F4B"/>
    <w:rsid w:val="000D4590"/>
    <w:rsid w:val="000D4B4D"/>
    <w:rsid w:val="000D4DD3"/>
    <w:rsid w:val="000D4E86"/>
    <w:rsid w:val="000D51BB"/>
    <w:rsid w:val="000D51D8"/>
    <w:rsid w:val="000D5CE8"/>
    <w:rsid w:val="000D5E6D"/>
    <w:rsid w:val="000D6211"/>
    <w:rsid w:val="000D6328"/>
    <w:rsid w:val="000D6A0F"/>
    <w:rsid w:val="000D73A8"/>
    <w:rsid w:val="000D79AA"/>
    <w:rsid w:val="000D7E73"/>
    <w:rsid w:val="000D7EE7"/>
    <w:rsid w:val="000E00E1"/>
    <w:rsid w:val="000E095D"/>
    <w:rsid w:val="000E0999"/>
    <w:rsid w:val="000E0CEE"/>
    <w:rsid w:val="000E130A"/>
    <w:rsid w:val="000E15DB"/>
    <w:rsid w:val="000E1D81"/>
    <w:rsid w:val="000E2051"/>
    <w:rsid w:val="000E2267"/>
    <w:rsid w:val="000E2677"/>
    <w:rsid w:val="000E2DAF"/>
    <w:rsid w:val="000E3516"/>
    <w:rsid w:val="000E360E"/>
    <w:rsid w:val="000E389A"/>
    <w:rsid w:val="000E3A73"/>
    <w:rsid w:val="000E3E9A"/>
    <w:rsid w:val="000E40A8"/>
    <w:rsid w:val="000E41AF"/>
    <w:rsid w:val="000E43D6"/>
    <w:rsid w:val="000E4414"/>
    <w:rsid w:val="000E49AC"/>
    <w:rsid w:val="000E4ABB"/>
    <w:rsid w:val="000E4C89"/>
    <w:rsid w:val="000E4FEA"/>
    <w:rsid w:val="000E5112"/>
    <w:rsid w:val="000E5332"/>
    <w:rsid w:val="000E553B"/>
    <w:rsid w:val="000E5631"/>
    <w:rsid w:val="000E57DB"/>
    <w:rsid w:val="000E5F15"/>
    <w:rsid w:val="000E64FB"/>
    <w:rsid w:val="000E668F"/>
    <w:rsid w:val="000E6D59"/>
    <w:rsid w:val="000E6FD5"/>
    <w:rsid w:val="000E6FD6"/>
    <w:rsid w:val="000E7412"/>
    <w:rsid w:val="000E781C"/>
    <w:rsid w:val="000E784B"/>
    <w:rsid w:val="000E7A9B"/>
    <w:rsid w:val="000F0358"/>
    <w:rsid w:val="000F0833"/>
    <w:rsid w:val="000F0AEF"/>
    <w:rsid w:val="000F0B68"/>
    <w:rsid w:val="000F0C26"/>
    <w:rsid w:val="000F0F5C"/>
    <w:rsid w:val="000F1187"/>
    <w:rsid w:val="000F1594"/>
    <w:rsid w:val="000F15E4"/>
    <w:rsid w:val="000F1704"/>
    <w:rsid w:val="000F1811"/>
    <w:rsid w:val="000F1848"/>
    <w:rsid w:val="000F187D"/>
    <w:rsid w:val="000F1FFB"/>
    <w:rsid w:val="000F2097"/>
    <w:rsid w:val="000F2176"/>
    <w:rsid w:val="000F2268"/>
    <w:rsid w:val="000F228C"/>
    <w:rsid w:val="000F2554"/>
    <w:rsid w:val="000F25C2"/>
    <w:rsid w:val="000F2BB4"/>
    <w:rsid w:val="000F2C4B"/>
    <w:rsid w:val="000F2D81"/>
    <w:rsid w:val="000F31CD"/>
    <w:rsid w:val="000F34AA"/>
    <w:rsid w:val="000F3A05"/>
    <w:rsid w:val="000F4078"/>
    <w:rsid w:val="000F4254"/>
    <w:rsid w:val="000F463A"/>
    <w:rsid w:val="000F4ABD"/>
    <w:rsid w:val="000F4CAF"/>
    <w:rsid w:val="000F525B"/>
    <w:rsid w:val="000F5294"/>
    <w:rsid w:val="000F59DF"/>
    <w:rsid w:val="000F5A45"/>
    <w:rsid w:val="000F5A90"/>
    <w:rsid w:val="000F5C2F"/>
    <w:rsid w:val="000F5DFA"/>
    <w:rsid w:val="000F6232"/>
    <w:rsid w:val="000F6575"/>
    <w:rsid w:val="000F6620"/>
    <w:rsid w:val="000F6660"/>
    <w:rsid w:val="000F6D22"/>
    <w:rsid w:val="000F6E7D"/>
    <w:rsid w:val="000F6FE2"/>
    <w:rsid w:val="000F703B"/>
    <w:rsid w:val="000F715E"/>
    <w:rsid w:val="000F73DD"/>
    <w:rsid w:val="000F7566"/>
    <w:rsid w:val="000F77BC"/>
    <w:rsid w:val="000F7816"/>
    <w:rsid w:val="000F7A8C"/>
    <w:rsid w:val="0010018A"/>
    <w:rsid w:val="001001FA"/>
    <w:rsid w:val="00100657"/>
    <w:rsid w:val="00100694"/>
    <w:rsid w:val="00101283"/>
    <w:rsid w:val="0010180F"/>
    <w:rsid w:val="0010196A"/>
    <w:rsid w:val="00101FC6"/>
    <w:rsid w:val="00102445"/>
    <w:rsid w:val="00102AB4"/>
    <w:rsid w:val="00102E78"/>
    <w:rsid w:val="00103015"/>
    <w:rsid w:val="0010312D"/>
    <w:rsid w:val="00103199"/>
    <w:rsid w:val="00103253"/>
    <w:rsid w:val="001032E2"/>
    <w:rsid w:val="001039E5"/>
    <w:rsid w:val="0010416C"/>
    <w:rsid w:val="001042BA"/>
    <w:rsid w:val="0010435A"/>
    <w:rsid w:val="0010461C"/>
    <w:rsid w:val="00104B1D"/>
    <w:rsid w:val="00104BF8"/>
    <w:rsid w:val="00104C44"/>
    <w:rsid w:val="00104E2C"/>
    <w:rsid w:val="001051D6"/>
    <w:rsid w:val="00105260"/>
    <w:rsid w:val="001052AE"/>
    <w:rsid w:val="0010532C"/>
    <w:rsid w:val="00105352"/>
    <w:rsid w:val="00105A56"/>
    <w:rsid w:val="00105B50"/>
    <w:rsid w:val="00105D21"/>
    <w:rsid w:val="0010677C"/>
    <w:rsid w:val="00106897"/>
    <w:rsid w:val="00106FB4"/>
    <w:rsid w:val="0010710A"/>
    <w:rsid w:val="0010748D"/>
    <w:rsid w:val="0010750B"/>
    <w:rsid w:val="001075E4"/>
    <w:rsid w:val="00107E80"/>
    <w:rsid w:val="001100A4"/>
    <w:rsid w:val="0011059A"/>
    <w:rsid w:val="0011063E"/>
    <w:rsid w:val="001109CA"/>
    <w:rsid w:val="00110A2A"/>
    <w:rsid w:val="00110C4F"/>
    <w:rsid w:val="00111485"/>
    <w:rsid w:val="001114A8"/>
    <w:rsid w:val="0011164D"/>
    <w:rsid w:val="00111726"/>
    <w:rsid w:val="00111898"/>
    <w:rsid w:val="00111AC6"/>
    <w:rsid w:val="00111AE9"/>
    <w:rsid w:val="00111EDB"/>
    <w:rsid w:val="00111FA5"/>
    <w:rsid w:val="00112249"/>
    <w:rsid w:val="00112D1B"/>
    <w:rsid w:val="00112D93"/>
    <w:rsid w:val="0011311E"/>
    <w:rsid w:val="0011343A"/>
    <w:rsid w:val="00114032"/>
    <w:rsid w:val="001141A5"/>
    <w:rsid w:val="001146B1"/>
    <w:rsid w:val="00114A31"/>
    <w:rsid w:val="00114D67"/>
    <w:rsid w:val="00114D9F"/>
    <w:rsid w:val="001151ED"/>
    <w:rsid w:val="00115239"/>
    <w:rsid w:val="0011560D"/>
    <w:rsid w:val="0011561F"/>
    <w:rsid w:val="0011564F"/>
    <w:rsid w:val="00115661"/>
    <w:rsid w:val="0011576C"/>
    <w:rsid w:val="001157B2"/>
    <w:rsid w:val="0011584A"/>
    <w:rsid w:val="00115A47"/>
    <w:rsid w:val="00115BC1"/>
    <w:rsid w:val="00115D8F"/>
    <w:rsid w:val="001162F3"/>
    <w:rsid w:val="0011666B"/>
    <w:rsid w:val="00116A32"/>
    <w:rsid w:val="00116A9A"/>
    <w:rsid w:val="00116F03"/>
    <w:rsid w:val="001171F8"/>
    <w:rsid w:val="0011751B"/>
    <w:rsid w:val="00117A8B"/>
    <w:rsid w:val="00117C44"/>
    <w:rsid w:val="001204ED"/>
    <w:rsid w:val="001205D3"/>
    <w:rsid w:val="00120A34"/>
    <w:rsid w:val="00120B21"/>
    <w:rsid w:val="001216B2"/>
    <w:rsid w:val="00121865"/>
    <w:rsid w:val="00121B9F"/>
    <w:rsid w:val="00122806"/>
    <w:rsid w:val="0012291B"/>
    <w:rsid w:val="00122D4E"/>
    <w:rsid w:val="00122DD6"/>
    <w:rsid w:val="001230B6"/>
    <w:rsid w:val="001230E5"/>
    <w:rsid w:val="00123354"/>
    <w:rsid w:val="0012348D"/>
    <w:rsid w:val="00123B04"/>
    <w:rsid w:val="00123BD5"/>
    <w:rsid w:val="00123E1B"/>
    <w:rsid w:val="001241BC"/>
    <w:rsid w:val="00124242"/>
    <w:rsid w:val="00124260"/>
    <w:rsid w:val="00124345"/>
    <w:rsid w:val="00124546"/>
    <w:rsid w:val="00124A03"/>
    <w:rsid w:val="00124F51"/>
    <w:rsid w:val="00125295"/>
    <w:rsid w:val="00125A8E"/>
    <w:rsid w:val="0012631F"/>
    <w:rsid w:val="001265BA"/>
    <w:rsid w:val="0012680E"/>
    <w:rsid w:val="001269C4"/>
    <w:rsid w:val="00126E43"/>
    <w:rsid w:val="00126F7E"/>
    <w:rsid w:val="00127179"/>
    <w:rsid w:val="00127393"/>
    <w:rsid w:val="001274C4"/>
    <w:rsid w:val="001275F5"/>
    <w:rsid w:val="0012761B"/>
    <w:rsid w:val="001276CA"/>
    <w:rsid w:val="00127981"/>
    <w:rsid w:val="00127AF4"/>
    <w:rsid w:val="00127AFB"/>
    <w:rsid w:val="00127C2C"/>
    <w:rsid w:val="00127CD8"/>
    <w:rsid w:val="00127CF8"/>
    <w:rsid w:val="001301AD"/>
    <w:rsid w:val="001302CC"/>
    <w:rsid w:val="001304EE"/>
    <w:rsid w:val="001310B0"/>
    <w:rsid w:val="001311BC"/>
    <w:rsid w:val="00131721"/>
    <w:rsid w:val="00131BCE"/>
    <w:rsid w:val="00131DCF"/>
    <w:rsid w:val="00131DEA"/>
    <w:rsid w:val="00131E44"/>
    <w:rsid w:val="00132399"/>
    <w:rsid w:val="00132AB5"/>
    <w:rsid w:val="00132F1D"/>
    <w:rsid w:val="00132F9F"/>
    <w:rsid w:val="001333ED"/>
    <w:rsid w:val="001334C0"/>
    <w:rsid w:val="001334D9"/>
    <w:rsid w:val="00133BDF"/>
    <w:rsid w:val="0013408B"/>
    <w:rsid w:val="001340B8"/>
    <w:rsid w:val="00134115"/>
    <w:rsid w:val="0013416C"/>
    <w:rsid w:val="0013421F"/>
    <w:rsid w:val="0013498B"/>
    <w:rsid w:val="00134C75"/>
    <w:rsid w:val="00134E58"/>
    <w:rsid w:val="0013598E"/>
    <w:rsid w:val="00135A76"/>
    <w:rsid w:val="00135D97"/>
    <w:rsid w:val="00135E32"/>
    <w:rsid w:val="00136044"/>
    <w:rsid w:val="0013606A"/>
    <w:rsid w:val="0013635E"/>
    <w:rsid w:val="0013653E"/>
    <w:rsid w:val="0013659B"/>
    <w:rsid w:val="00136960"/>
    <w:rsid w:val="001369CD"/>
    <w:rsid w:val="00136CAC"/>
    <w:rsid w:val="0013713A"/>
    <w:rsid w:val="00137391"/>
    <w:rsid w:val="001377D9"/>
    <w:rsid w:val="001379DF"/>
    <w:rsid w:val="00137ACD"/>
    <w:rsid w:val="00137C23"/>
    <w:rsid w:val="00137C77"/>
    <w:rsid w:val="00137E3D"/>
    <w:rsid w:val="001403C8"/>
    <w:rsid w:val="001406A1"/>
    <w:rsid w:val="00140D5E"/>
    <w:rsid w:val="00140DAD"/>
    <w:rsid w:val="00140E3D"/>
    <w:rsid w:val="00140E7A"/>
    <w:rsid w:val="0014100F"/>
    <w:rsid w:val="00141259"/>
    <w:rsid w:val="001418B4"/>
    <w:rsid w:val="001418E1"/>
    <w:rsid w:val="00142115"/>
    <w:rsid w:val="00142193"/>
    <w:rsid w:val="001421B0"/>
    <w:rsid w:val="001421FE"/>
    <w:rsid w:val="0014228F"/>
    <w:rsid w:val="00142A5A"/>
    <w:rsid w:val="00142BCA"/>
    <w:rsid w:val="00142C3B"/>
    <w:rsid w:val="00142C77"/>
    <w:rsid w:val="00142E72"/>
    <w:rsid w:val="0014305C"/>
    <w:rsid w:val="001431E6"/>
    <w:rsid w:val="0014321B"/>
    <w:rsid w:val="001434CE"/>
    <w:rsid w:val="00143684"/>
    <w:rsid w:val="0014374C"/>
    <w:rsid w:val="00143753"/>
    <w:rsid w:val="001437EA"/>
    <w:rsid w:val="00143C24"/>
    <w:rsid w:val="00143E78"/>
    <w:rsid w:val="00144126"/>
    <w:rsid w:val="0014416D"/>
    <w:rsid w:val="001441BF"/>
    <w:rsid w:val="00144950"/>
    <w:rsid w:val="00144B04"/>
    <w:rsid w:val="00144CF7"/>
    <w:rsid w:val="00144EA9"/>
    <w:rsid w:val="001450D4"/>
    <w:rsid w:val="001450EA"/>
    <w:rsid w:val="00145543"/>
    <w:rsid w:val="001457BB"/>
    <w:rsid w:val="00145A93"/>
    <w:rsid w:val="00145BE1"/>
    <w:rsid w:val="00145C2A"/>
    <w:rsid w:val="001464C9"/>
    <w:rsid w:val="00146929"/>
    <w:rsid w:val="0014693F"/>
    <w:rsid w:val="00146A7D"/>
    <w:rsid w:val="00146B32"/>
    <w:rsid w:val="00146C2C"/>
    <w:rsid w:val="00146EC6"/>
    <w:rsid w:val="001470F0"/>
    <w:rsid w:val="00147167"/>
    <w:rsid w:val="00147559"/>
    <w:rsid w:val="00147CBA"/>
    <w:rsid w:val="00147E90"/>
    <w:rsid w:val="0015004B"/>
    <w:rsid w:val="001503E6"/>
    <w:rsid w:val="00150555"/>
    <w:rsid w:val="0015076C"/>
    <w:rsid w:val="00150908"/>
    <w:rsid w:val="00150947"/>
    <w:rsid w:val="00150F81"/>
    <w:rsid w:val="00151201"/>
    <w:rsid w:val="0015122A"/>
    <w:rsid w:val="001514E0"/>
    <w:rsid w:val="001514E7"/>
    <w:rsid w:val="001514F5"/>
    <w:rsid w:val="001515A6"/>
    <w:rsid w:val="0015186A"/>
    <w:rsid w:val="00151DEB"/>
    <w:rsid w:val="00151EF1"/>
    <w:rsid w:val="00152513"/>
    <w:rsid w:val="0015270F"/>
    <w:rsid w:val="0015276C"/>
    <w:rsid w:val="00152876"/>
    <w:rsid w:val="00152947"/>
    <w:rsid w:val="0015295E"/>
    <w:rsid w:val="001531FC"/>
    <w:rsid w:val="0015332F"/>
    <w:rsid w:val="00153405"/>
    <w:rsid w:val="0015342F"/>
    <w:rsid w:val="001535A6"/>
    <w:rsid w:val="001536B2"/>
    <w:rsid w:val="001537A4"/>
    <w:rsid w:val="001538B5"/>
    <w:rsid w:val="00153A75"/>
    <w:rsid w:val="00153ACC"/>
    <w:rsid w:val="00153AF5"/>
    <w:rsid w:val="00153F8D"/>
    <w:rsid w:val="00153FE0"/>
    <w:rsid w:val="00154196"/>
    <w:rsid w:val="00154302"/>
    <w:rsid w:val="001543EA"/>
    <w:rsid w:val="00154558"/>
    <w:rsid w:val="001546B4"/>
    <w:rsid w:val="001546DA"/>
    <w:rsid w:val="00154ADD"/>
    <w:rsid w:val="00154BA5"/>
    <w:rsid w:val="00154CF6"/>
    <w:rsid w:val="00154E78"/>
    <w:rsid w:val="00154F40"/>
    <w:rsid w:val="0015508C"/>
    <w:rsid w:val="001552FD"/>
    <w:rsid w:val="001557A9"/>
    <w:rsid w:val="001557CB"/>
    <w:rsid w:val="00155B12"/>
    <w:rsid w:val="00155C83"/>
    <w:rsid w:val="00155CAF"/>
    <w:rsid w:val="00155E2B"/>
    <w:rsid w:val="00156081"/>
    <w:rsid w:val="0015659C"/>
    <w:rsid w:val="00156994"/>
    <w:rsid w:val="00156E21"/>
    <w:rsid w:val="0015720F"/>
    <w:rsid w:val="00157354"/>
    <w:rsid w:val="001576A2"/>
    <w:rsid w:val="001576A3"/>
    <w:rsid w:val="00157783"/>
    <w:rsid w:val="0016011B"/>
    <w:rsid w:val="00160153"/>
    <w:rsid w:val="0016038F"/>
    <w:rsid w:val="001603CA"/>
    <w:rsid w:val="001607B4"/>
    <w:rsid w:val="001609EC"/>
    <w:rsid w:val="00160B10"/>
    <w:rsid w:val="00160C47"/>
    <w:rsid w:val="0016101E"/>
    <w:rsid w:val="001610E5"/>
    <w:rsid w:val="00161172"/>
    <w:rsid w:val="001615DF"/>
    <w:rsid w:val="00161A1F"/>
    <w:rsid w:val="00161BF3"/>
    <w:rsid w:val="00161C95"/>
    <w:rsid w:val="00161CB6"/>
    <w:rsid w:val="00161DF4"/>
    <w:rsid w:val="0016221D"/>
    <w:rsid w:val="001629FE"/>
    <w:rsid w:val="00163336"/>
    <w:rsid w:val="00163468"/>
    <w:rsid w:val="001636BE"/>
    <w:rsid w:val="00163807"/>
    <w:rsid w:val="00163CDB"/>
    <w:rsid w:val="00163F2D"/>
    <w:rsid w:val="0016525A"/>
    <w:rsid w:val="0016564F"/>
    <w:rsid w:val="001659BD"/>
    <w:rsid w:val="00165C36"/>
    <w:rsid w:val="00165D47"/>
    <w:rsid w:val="001660FD"/>
    <w:rsid w:val="00166352"/>
    <w:rsid w:val="001666C8"/>
    <w:rsid w:val="00166D66"/>
    <w:rsid w:val="00166FB0"/>
    <w:rsid w:val="0016713A"/>
    <w:rsid w:val="001678E9"/>
    <w:rsid w:val="00167ABB"/>
    <w:rsid w:val="00167CCE"/>
    <w:rsid w:val="00167D8B"/>
    <w:rsid w:val="00167DF3"/>
    <w:rsid w:val="00167EFC"/>
    <w:rsid w:val="0017004B"/>
    <w:rsid w:val="0017006A"/>
    <w:rsid w:val="00170213"/>
    <w:rsid w:val="00170525"/>
    <w:rsid w:val="00170BDD"/>
    <w:rsid w:val="00170E88"/>
    <w:rsid w:val="00171247"/>
    <w:rsid w:val="001712EA"/>
    <w:rsid w:val="00171AC7"/>
    <w:rsid w:val="00171BC8"/>
    <w:rsid w:val="00171F6B"/>
    <w:rsid w:val="00172082"/>
    <w:rsid w:val="001720D5"/>
    <w:rsid w:val="00172104"/>
    <w:rsid w:val="001721E7"/>
    <w:rsid w:val="00172318"/>
    <w:rsid w:val="001724F3"/>
    <w:rsid w:val="00172526"/>
    <w:rsid w:val="001726BE"/>
    <w:rsid w:val="001729C6"/>
    <w:rsid w:val="00172AAC"/>
    <w:rsid w:val="00172BED"/>
    <w:rsid w:val="00172D7B"/>
    <w:rsid w:val="0017330B"/>
    <w:rsid w:val="00173382"/>
    <w:rsid w:val="0017381A"/>
    <w:rsid w:val="0017399C"/>
    <w:rsid w:val="00173A38"/>
    <w:rsid w:val="00173A64"/>
    <w:rsid w:val="00173E0C"/>
    <w:rsid w:val="00174052"/>
    <w:rsid w:val="00174071"/>
    <w:rsid w:val="001740EF"/>
    <w:rsid w:val="001741B9"/>
    <w:rsid w:val="0017468A"/>
    <w:rsid w:val="00174F8A"/>
    <w:rsid w:val="00175626"/>
    <w:rsid w:val="001757FD"/>
    <w:rsid w:val="00175ABB"/>
    <w:rsid w:val="00175ABE"/>
    <w:rsid w:val="00175D4F"/>
    <w:rsid w:val="00175D5A"/>
    <w:rsid w:val="00176167"/>
    <w:rsid w:val="0017629B"/>
    <w:rsid w:val="0017642C"/>
    <w:rsid w:val="00176842"/>
    <w:rsid w:val="001769A0"/>
    <w:rsid w:val="00176B6D"/>
    <w:rsid w:val="00176F71"/>
    <w:rsid w:val="00177242"/>
    <w:rsid w:val="00177430"/>
    <w:rsid w:val="001777CE"/>
    <w:rsid w:val="00177806"/>
    <w:rsid w:val="001778C4"/>
    <w:rsid w:val="00177A43"/>
    <w:rsid w:val="00177ADB"/>
    <w:rsid w:val="00177DA2"/>
    <w:rsid w:val="00177E02"/>
    <w:rsid w:val="00177FC8"/>
    <w:rsid w:val="0018036D"/>
    <w:rsid w:val="001803E1"/>
    <w:rsid w:val="001806DD"/>
    <w:rsid w:val="0018079D"/>
    <w:rsid w:val="001807E9"/>
    <w:rsid w:val="00180B1B"/>
    <w:rsid w:val="00181442"/>
    <w:rsid w:val="0018155A"/>
    <w:rsid w:val="001815D9"/>
    <w:rsid w:val="001819BA"/>
    <w:rsid w:val="00182122"/>
    <w:rsid w:val="00182224"/>
    <w:rsid w:val="00182257"/>
    <w:rsid w:val="001822FF"/>
    <w:rsid w:val="00182354"/>
    <w:rsid w:val="001824EA"/>
    <w:rsid w:val="0018288B"/>
    <w:rsid w:val="00182B20"/>
    <w:rsid w:val="00182FF0"/>
    <w:rsid w:val="0018359A"/>
    <w:rsid w:val="001838DA"/>
    <w:rsid w:val="00183B7B"/>
    <w:rsid w:val="0018441A"/>
    <w:rsid w:val="0018447E"/>
    <w:rsid w:val="00184771"/>
    <w:rsid w:val="00184CF8"/>
    <w:rsid w:val="00184D8D"/>
    <w:rsid w:val="0018509A"/>
    <w:rsid w:val="0018512C"/>
    <w:rsid w:val="00185491"/>
    <w:rsid w:val="00185586"/>
    <w:rsid w:val="001857C4"/>
    <w:rsid w:val="00185D50"/>
    <w:rsid w:val="0018619B"/>
    <w:rsid w:val="0018632A"/>
    <w:rsid w:val="001868F8"/>
    <w:rsid w:val="00186B06"/>
    <w:rsid w:val="00186B08"/>
    <w:rsid w:val="0018711B"/>
    <w:rsid w:val="00187148"/>
    <w:rsid w:val="001878B9"/>
    <w:rsid w:val="00187D03"/>
    <w:rsid w:val="00187D14"/>
    <w:rsid w:val="0019009E"/>
    <w:rsid w:val="001900A5"/>
    <w:rsid w:val="0019010F"/>
    <w:rsid w:val="001901AE"/>
    <w:rsid w:val="0019057F"/>
    <w:rsid w:val="001909DC"/>
    <w:rsid w:val="00190D71"/>
    <w:rsid w:val="00190EA9"/>
    <w:rsid w:val="0019101B"/>
    <w:rsid w:val="00191206"/>
    <w:rsid w:val="00191290"/>
    <w:rsid w:val="00191748"/>
    <w:rsid w:val="00191A84"/>
    <w:rsid w:val="00191AA9"/>
    <w:rsid w:val="00191D62"/>
    <w:rsid w:val="00191EE5"/>
    <w:rsid w:val="0019204D"/>
    <w:rsid w:val="00192104"/>
    <w:rsid w:val="001925CD"/>
    <w:rsid w:val="001925E8"/>
    <w:rsid w:val="001926C8"/>
    <w:rsid w:val="001929ED"/>
    <w:rsid w:val="00192A70"/>
    <w:rsid w:val="00192AC8"/>
    <w:rsid w:val="00192C75"/>
    <w:rsid w:val="001930BF"/>
    <w:rsid w:val="00193242"/>
    <w:rsid w:val="001933B4"/>
    <w:rsid w:val="001933E0"/>
    <w:rsid w:val="00193862"/>
    <w:rsid w:val="00193894"/>
    <w:rsid w:val="00193BF7"/>
    <w:rsid w:val="00193D30"/>
    <w:rsid w:val="001946D9"/>
    <w:rsid w:val="00194D2E"/>
    <w:rsid w:val="00194F2D"/>
    <w:rsid w:val="00195030"/>
    <w:rsid w:val="001955EC"/>
    <w:rsid w:val="00195675"/>
    <w:rsid w:val="00195847"/>
    <w:rsid w:val="00195A3F"/>
    <w:rsid w:val="00195F38"/>
    <w:rsid w:val="00195FC1"/>
    <w:rsid w:val="0019603B"/>
    <w:rsid w:val="001960C2"/>
    <w:rsid w:val="00196529"/>
    <w:rsid w:val="0019664C"/>
    <w:rsid w:val="001969FF"/>
    <w:rsid w:val="00196C7F"/>
    <w:rsid w:val="0019766E"/>
    <w:rsid w:val="0019789A"/>
    <w:rsid w:val="001978BC"/>
    <w:rsid w:val="0019797A"/>
    <w:rsid w:val="00197AD0"/>
    <w:rsid w:val="00197BE4"/>
    <w:rsid w:val="00197C3F"/>
    <w:rsid w:val="001A00DD"/>
    <w:rsid w:val="001A0370"/>
    <w:rsid w:val="001A0BB6"/>
    <w:rsid w:val="001A0CFD"/>
    <w:rsid w:val="001A0ED1"/>
    <w:rsid w:val="001A1003"/>
    <w:rsid w:val="001A1136"/>
    <w:rsid w:val="001A1265"/>
    <w:rsid w:val="001A1709"/>
    <w:rsid w:val="001A1A63"/>
    <w:rsid w:val="001A1C6C"/>
    <w:rsid w:val="001A2415"/>
    <w:rsid w:val="001A251C"/>
    <w:rsid w:val="001A2940"/>
    <w:rsid w:val="001A297E"/>
    <w:rsid w:val="001A2F95"/>
    <w:rsid w:val="001A2F9B"/>
    <w:rsid w:val="001A2FB4"/>
    <w:rsid w:val="001A2FE9"/>
    <w:rsid w:val="001A30D9"/>
    <w:rsid w:val="001A3231"/>
    <w:rsid w:val="001A3550"/>
    <w:rsid w:val="001A3610"/>
    <w:rsid w:val="001A39BD"/>
    <w:rsid w:val="001A3FA2"/>
    <w:rsid w:val="001A3FE4"/>
    <w:rsid w:val="001A406C"/>
    <w:rsid w:val="001A40B3"/>
    <w:rsid w:val="001A410E"/>
    <w:rsid w:val="001A414C"/>
    <w:rsid w:val="001A4389"/>
    <w:rsid w:val="001A46FF"/>
    <w:rsid w:val="001A4B19"/>
    <w:rsid w:val="001A4E04"/>
    <w:rsid w:val="001A4F7C"/>
    <w:rsid w:val="001A5858"/>
    <w:rsid w:val="001A5CB3"/>
    <w:rsid w:val="001A6407"/>
    <w:rsid w:val="001A66D4"/>
    <w:rsid w:val="001A6E70"/>
    <w:rsid w:val="001A703B"/>
    <w:rsid w:val="001A706C"/>
    <w:rsid w:val="001A720C"/>
    <w:rsid w:val="001A73A4"/>
    <w:rsid w:val="001A7450"/>
    <w:rsid w:val="001A7642"/>
    <w:rsid w:val="001A7BF4"/>
    <w:rsid w:val="001A7FE3"/>
    <w:rsid w:val="001B0DD0"/>
    <w:rsid w:val="001B0E7B"/>
    <w:rsid w:val="001B1373"/>
    <w:rsid w:val="001B170F"/>
    <w:rsid w:val="001B1B00"/>
    <w:rsid w:val="001B1B3D"/>
    <w:rsid w:val="001B24CB"/>
    <w:rsid w:val="001B29F1"/>
    <w:rsid w:val="001B311D"/>
    <w:rsid w:val="001B3351"/>
    <w:rsid w:val="001B3A3F"/>
    <w:rsid w:val="001B3B50"/>
    <w:rsid w:val="001B3C7A"/>
    <w:rsid w:val="001B3FC0"/>
    <w:rsid w:val="001B42A5"/>
    <w:rsid w:val="001B4317"/>
    <w:rsid w:val="001B456C"/>
    <w:rsid w:val="001B4819"/>
    <w:rsid w:val="001B4874"/>
    <w:rsid w:val="001B49D5"/>
    <w:rsid w:val="001B4A31"/>
    <w:rsid w:val="001B4A66"/>
    <w:rsid w:val="001B4D03"/>
    <w:rsid w:val="001B4F9C"/>
    <w:rsid w:val="001B4FC5"/>
    <w:rsid w:val="001B5136"/>
    <w:rsid w:val="001B5265"/>
    <w:rsid w:val="001B5600"/>
    <w:rsid w:val="001B5842"/>
    <w:rsid w:val="001B5926"/>
    <w:rsid w:val="001B5DCD"/>
    <w:rsid w:val="001B6527"/>
    <w:rsid w:val="001B678E"/>
    <w:rsid w:val="001B6DE7"/>
    <w:rsid w:val="001B6E28"/>
    <w:rsid w:val="001B72C0"/>
    <w:rsid w:val="001B7482"/>
    <w:rsid w:val="001B751F"/>
    <w:rsid w:val="001B77D7"/>
    <w:rsid w:val="001B7F27"/>
    <w:rsid w:val="001C08D1"/>
    <w:rsid w:val="001C0DA0"/>
    <w:rsid w:val="001C0F91"/>
    <w:rsid w:val="001C1063"/>
    <w:rsid w:val="001C127E"/>
    <w:rsid w:val="001C1468"/>
    <w:rsid w:val="001C16D9"/>
    <w:rsid w:val="001C1976"/>
    <w:rsid w:val="001C2349"/>
    <w:rsid w:val="001C2403"/>
    <w:rsid w:val="001C2A72"/>
    <w:rsid w:val="001C2C1C"/>
    <w:rsid w:val="001C2DEE"/>
    <w:rsid w:val="001C2FFA"/>
    <w:rsid w:val="001C30EF"/>
    <w:rsid w:val="001C3166"/>
    <w:rsid w:val="001C3687"/>
    <w:rsid w:val="001C38C1"/>
    <w:rsid w:val="001C3AC7"/>
    <w:rsid w:val="001C3C37"/>
    <w:rsid w:val="001C3E30"/>
    <w:rsid w:val="001C41B7"/>
    <w:rsid w:val="001C4642"/>
    <w:rsid w:val="001C4931"/>
    <w:rsid w:val="001C4E7A"/>
    <w:rsid w:val="001C4F04"/>
    <w:rsid w:val="001C4F3E"/>
    <w:rsid w:val="001C51DB"/>
    <w:rsid w:val="001C5210"/>
    <w:rsid w:val="001C570B"/>
    <w:rsid w:val="001C5CFD"/>
    <w:rsid w:val="001C608E"/>
    <w:rsid w:val="001C6379"/>
    <w:rsid w:val="001C6509"/>
    <w:rsid w:val="001C653A"/>
    <w:rsid w:val="001C657D"/>
    <w:rsid w:val="001C66E9"/>
    <w:rsid w:val="001C6B2F"/>
    <w:rsid w:val="001C7090"/>
    <w:rsid w:val="001C788E"/>
    <w:rsid w:val="001D00A3"/>
    <w:rsid w:val="001D00E3"/>
    <w:rsid w:val="001D0221"/>
    <w:rsid w:val="001D07AA"/>
    <w:rsid w:val="001D0AF3"/>
    <w:rsid w:val="001D100F"/>
    <w:rsid w:val="001D1535"/>
    <w:rsid w:val="001D15C6"/>
    <w:rsid w:val="001D19A1"/>
    <w:rsid w:val="001D19A5"/>
    <w:rsid w:val="001D1C83"/>
    <w:rsid w:val="001D1CF8"/>
    <w:rsid w:val="001D1D8A"/>
    <w:rsid w:val="001D2053"/>
    <w:rsid w:val="001D217D"/>
    <w:rsid w:val="001D2364"/>
    <w:rsid w:val="001D2CDC"/>
    <w:rsid w:val="001D2D47"/>
    <w:rsid w:val="001D36EE"/>
    <w:rsid w:val="001D3817"/>
    <w:rsid w:val="001D3961"/>
    <w:rsid w:val="001D3BA3"/>
    <w:rsid w:val="001D3C69"/>
    <w:rsid w:val="001D3C80"/>
    <w:rsid w:val="001D3DCA"/>
    <w:rsid w:val="001D3FF4"/>
    <w:rsid w:val="001D4040"/>
    <w:rsid w:val="001D40BC"/>
    <w:rsid w:val="001D4125"/>
    <w:rsid w:val="001D45F1"/>
    <w:rsid w:val="001D4746"/>
    <w:rsid w:val="001D479F"/>
    <w:rsid w:val="001D47BF"/>
    <w:rsid w:val="001D47C8"/>
    <w:rsid w:val="001D48CB"/>
    <w:rsid w:val="001D4984"/>
    <w:rsid w:val="001D49E4"/>
    <w:rsid w:val="001D4B39"/>
    <w:rsid w:val="001D4C04"/>
    <w:rsid w:val="001D4D20"/>
    <w:rsid w:val="001D4FD0"/>
    <w:rsid w:val="001D52CA"/>
    <w:rsid w:val="001D56D1"/>
    <w:rsid w:val="001D5891"/>
    <w:rsid w:val="001D5B62"/>
    <w:rsid w:val="001D5C7C"/>
    <w:rsid w:val="001D5CC4"/>
    <w:rsid w:val="001D6148"/>
    <w:rsid w:val="001D6440"/>
    <w:rsid w:val="001D6BCB"/>
    <w:rsid w:val="001D71AE"/>
    <w:rsid w:val="001D7290"/>
    <w:rsid w:val="001D75A6"/>
    <w:rsid w:val="001D7615"/>
    <w:rsid w:val="001D7BBE"/>
    <w:rsid w:val="001D7C43"/>
    <w:rsid w:val="001D7C81"/>
    <w:rsid w:val="001D7CEB"/>
    <w:rsid w:val="001D7EED"/>
    <w:rsid w:val="001E0042"/>
    <w:rsid w:val="001E0150"/>
    <w:rsid w:val="001E048D"/>
    <w:rsid w:val="001E070A"/>
    <w:rsid w:val="001E07CE"/>
    <w:rsid w:val="001E0BA0"/>
    <w:rsid w:val="001E0F65"/>
    <w:rsid w:val="001E1225"/>
    <w:rsid w:val="001E15B2"/>
    <w:rsid w:val="001E19B4"/>
    <w:rsid w:val="001E1AEB"/>
    <w:rsid w:val="001E1D8E"/>
    <w:rsid w:val="001E2148"/>
    <w:rsid w:val="001E2380"/>
    <w:rsid w:val="001E289A"/>
    <w:rsid w:val="001E2A36"/>
    <w:rsid w:val="001E2BB9"/>
    <w:rsid w:val="001E2D2E"/>
    <w:rsid w:val="001E2D60"/>
    <w:rsid w:val="001E2FC0"/>
    <w:rsid w:val="001E30CE"/>
    <w:rsid w:val="001E3180"/>
    <w:rsid w:val="001E3407"/>
    <w:rsid w:val="001E36DE"/>
    <w:rsid w:val="001E3FBE"/>
    <w:rsid w:val="001E3FD3"/>
    <w:rsid w:val="001E44DF"/>
    <w:rsid w:val="001E484B"/>
    <w:rsid w:val="001E4CB3"/>
    <w:rsid w:val="001E4D86"/>
    <w:rsid w:val="001E4F1A"/>
    <w:rsid w:val="001E52AF"/>
    <w:rsid w:val="001E52EB"/>
    <w:rsid w:val="001E5687"/>
    <w:rsid w:val="001E5A0B"/>
    <w:rsid w:val="001E5B53"/>
    <w:rsid w:val="001E5E1A"/>
    <w:rsid w:val="001E5FDA"/>
    <w:rsid w:val="001E61CB"/>
    <w:rsid w:val="001E6450"/>
    <w:rsid w:val="001E65FA"/>
    <w:rsid w:val="001E69BC"/>
    <w:rsid w:val="001E6CF7"/>
    <w:rsid w:val="001E6EE6"/>
    <w:rsid w:val="001E705F"/>
    <w:rsid w:val="001E717B"/>
    <w:rsid w:val="001E74C3"/>
    <w:rsid w:val="001E755F"/>
    <w:rsid w:val="001E75C7"/>
    <w:rsid w:val="001E7736"/>
    <w:rsid w:val="001E7B2C"/>
    <w:rsid w:val="001E7C12"/>
    <w:rsid w:val="001E7C53"/>
    <w:rsid w:val="001F045D"/>
    <w:rsid w:val="001F058D"/>
    <w:rsid w:val="001F0851"/>
    <w:rsid w:val="001F1169"/>
    <w:rsid w:val="001F127D"/>
    <w:rsid w:val="001F1606"/>
    <w:rsid w:val="001F175B"/>
    <w:rsid w:val="001F18D6"/>
    <w:rsid w:val="001F1C5C"/>
    <w:rsid w:val="001F1CDB"/>
    <w:rsid w:val="001F202B"/>
    <w:rsid w:val="001F27AF"/>
    <w:rsid w:val="001F2B74"/>
    <w:rsid w:val="001F2E2C"/>
    <w:rsid w:val="001F2E89"/>
    <w:rsid w:val="001F3626"/>
    <w:rsid w:val="001F36E6"/>
    <w:rsid w:val="001F37CC"/>
    <w:rsid w:val="001F383A"/>
    <w:rsid w:val="001F3A1E"/>
    <w:rsid w:val="001F3D75"/>
    <w:rsid w:val="001F50EF"/>
    <w:rsid w:val="001F535D"/>
    <w:rsid w:val="001F567B"/>
    <w:rsid w:val="001F569A"/>
    <w:rsid w:val="001F57AE"/>
    <w:rsid w:val="001F586C"/>
    <w:rsid w:val="001F59FE"/>
    <w:rsid w:val="001F5A22"/>
    <w:rsid w:val="001F5AF4"/>
    <w:rsid w:val="001F5D28"/>
    <w:rsid w:val="001F5D95"/>
    <w:rsid w:val="001F5F2D"/>
    <w:rsid w:val="001F630C"/>
    <w:rsid w:val="001F6558"/>
    <w:rsid w:val="001F682C"/>
    <w:rsid w:val="001F6DC6"/>
    <w:rsid w:val="001F7301"/>
    <w:rsid w:val="001F7336"/>
    <w:rsid w:val="001F759D"/>
    <w:rsid w:val="001F7726"/>
    <w:rsid w:val="001F7CDB"/>
    <w:rsid w:val="001F7F5D"/>
    <w:rsid w:val="001F7F7D"/>
    <w:rsid w:val="002000D2"/>
    <w:rsid w:val="002001AD"/>
    <w:rsid w:val="00200358"/>
    <w:rsid w:val="00200464"/>
    <w:rsid w:val="00200596"/>
    <w:rsid w:val="002005CD"/>
    <w:rsid w:val="002006A2"/>
    <w:rsid w:val="00200D38"/>
    <w:rsid w:val="00200F89"/>
    <w:rsid w:val="002012A1"/>
    <w:rsid w:val="00201696"/>
    <w:rsid w:val="00201B16"/>
    <w:rsid w:val="00201BA3"/>
    <w:rsid w:val="00201C69"/>
    <w:rsid w:val="00201F75"/>
    <w:rsid w:val="00202241"/>
    <w:rsid w:val="00202B77"/>
    <w:rsid w:val="00202DF8"/>
    <w:rsid w:val="00202EC1"/>
    <w:rsid w:val="00203537"/>
    <w:rsid w:val="002039D4"/>
    <w:rsid w:val="00203B6B"/>
    <w:rsid w:val="00203B95"/>
    <w:rsid w:val="00203C57"/>
    <w:rsid w:val="00203CCF"/>
    <w:rsid w:val="00203E77"/>
    <w:rsid w:val="00204016"/>
    <w:rsid w:val="0020413B"/>
    <w:rsid w:val="00204283"/>
    <w:rsid w:val="002042FE"/>
    <w:rsid w:val="002044F7"/>
    <w:rsid w:val="002045DE"/>
    <w:rsid w:val="00204634"/>
    <w:rsid w:val="00204EEF"/>
    <w:rsid w:val="002054AD"/>
    <w:rsid w:val="002054B7"/>
    <w:rsid w:val="00205807"/>
    <w:rsid w:val="00205C51"/>
    <w:rsid w:val="00205DBD"/>
    <w:rsid w:val="00205FF6"/>
    <w:rsid w:val="002066B9"/>
    <w:rsid w:val="00207186"/>
    <w:rsid w:val="002071F3"/>
    <w:rsid w:val="00207297"/>
    <w:rsid w:val="002075EF"/>
    <w:rsid w:val="00207A71"/>
    <w:rsid w:val="00207A79"/>
    <w:rsid w:val="00207F91"/>
    <w:rsid w:val="00210311"/>
    <w:rsid w:val="00210480"/>
    <w:rsid w:val="002104BF"/>
    <w:rsid w:val="00210C76"/>
    <w:rsid w:val="00210CA5"/>
    <w:rsid w:val="00210EDD"/>
    <w:rsid w:val="00210FE4"/>
    <w:rsid w:val="002112E0"/>
    <w:rsid w:val="002113B6"/>
    <w:rsid w:val="0021146E"/>
    <w:rsid w:val="0021179B"/>
    <w:rsid w:val="002118EE"/>
    <w:rsid w:val="00211C21"/>
    <w:rsid w:val="00211C50"/>
    <w:rsid w:val="00211D6E"/>
    <w:rsid w:val="00211D93"/>
    <w:rsid w:val="00212492"/>
    <w:rsid w:val="00213211"/>
    <w:rsid w:val="002132E5"/>
    <w:rsid w:val="0021337D"/>
    <w:rsid w:val="002135E9"/>
    <w:rsid w:val="00213C4B"/>
    <w:rsid w:val="00213C6A"/>
    <w:rsid w:val="00214143"/>
    <w:rsid w:val="002142FC"/>
    <w:rsid w:val="00214744"/>
    <w:rsid w:val="00215109"/>
    <w:rsid w:val="00215314"/>
    <w:rsid w:val="0021537C"/>
    <w:rsid w:val="00215455"/>
    <w:rsid w:val="0021565B"/>
    <w:rsid w:val="002159E5"/>
    <w:rsid w:val="00215D35"/>
    <w:rsid w:val="00215DBE"/>
    <w:rsid w:val="00215E92"/>
    <w:rsid w:val="00216366"/>
    <w:rsid w:val="002163E3"/>
    <w:rsid w:val="00216A1C"/>
    <w:rsid w:val="00216C3B"/>
    <w:rsid w:val="002170AE"/>
    <w:rsid w:val="002171CF"/>
    <w:rsid w:val="002171D6"/>
    <w:rsid w:val="00217A75"/>
    <w:rsid w:val="00220177"/>
    <w:rsid w:val="00220299"/>
    <w:rsid w:val="002202D0"/>
    <w:rsid w:val="00220509"/>
    <w:rsid w:val="00220579"/>
    <w:rsid w:val="002208CE"/>
    <w:rsid w:val="002209A0"/>
    <w:rsid w:val="00221211"/>
    <w:rsid w:val="0022135E"/>
    <w:rsid w:val="002213CE"/>
    <w:rsid w:val="00221567"/>
    <w:rsid w:val="00221991"/>
    <w:rsid w:val="00221F0D"/>
    <w:rsid w:val="002220C1"/>
    <w:rsid w:val="002221AE"/>
    <w:rsid w:val="00222321"/>
    <w:rsid w:val="002229DB"/>
    <w:rsid w:val="00222CDE"/>
    <w:rsid w:val="00222F0B"/>
    <w:rsid w:val="0022311C"/>
    <w:rsid w:val="00223750"/>
    <w:rsid w:val="00223AC4"/>
    <w:rsid w:val="00223F82"/>
    <w:rsid w:val="00224106"/>
    <w:rsid w:val="00224150"/>
    <w:rsid w:val="002242D7"/>
    <w:rsid w:val="0022448D"/>
    <w:rsid w:val="002244A1"/>
    <w:rsid w:val="00224A4D"/>
    <w:rsid w:val="00224A5D"/>
    <w:rsid w:val="00224C52"/>
    <w:rsid w:val="00224D95"/>
    <w:rsid w:val="00224FAB"/>
    <w:rsid w:val="00224FC9"/>
    <w:rsid w:val="002255D0"/>
    <w:rsid w:val="002256E4"/>
    <w:rsid w:val="002258B8"/>
    <w:rsid w:val="00225A8B"/>
    <w:rsid w:val="002263FB"/>
    <w:rsid w:val="0022648E"/>
    <w:rsid w:val="0022650E"/>
    <w:rsid w:val="002267BC"/>
    <w:rsid w:val="00226B6A"/>
    <w:rsid w:val="00226B79"/>
    <w:rsid w:val="00226C43"/>
    <w:rsid w:val="00226C4C"/>
    <w:rsid w:val="00227638"/>
    <w:rsid w:val="00227A67"/>
    <w:rsid w:val="00227B7B"/>
    <w:rsid w:val="00227B7F"/>
    <w:rsid w:val="00227BF8"/>
    <w:rsid w:val="00227F45"/>
    <w:rsid w:val="00230203"/>
    <w:rsid w:val="0023036C"/>
    <w:rsid w:val="0023038D"/>
    <w:rsid w:val="002306F9"/>
    <w:rsid w:val="00230A5D"/>
    <w:rsid w:val="00230AEA"/>
    <w:rsid w:val="00230DE1"/>
    <w:rsid w:val="002316F0"/>
    <w:rsid w:val="00231A5D"/>
    <w:rsid w:val="00231BA3"/>
    <w:rsid w:val="00231D27"/>
    <w:rsid w:val="00232304"/>
    <w:rsid w:val="00232828"/>
    <w:rsid w:val="002329DE"/>
    <w:rsid w:val="002329F8"/>
    <w:rsid w:val="00232B37"/>
    <w:rsid w:val="00232D1B"/>
    <w:rsid w:val="00233196"/>
    <w:rsid w:val="00233362"/>
    <w:rsid w:val="0023393A"/>
    <w:rsid w:val="00233A42"/>
    <w:rsid w:val="002341FE"/>
    <w:rsid w:val="002345EC"/>
    <w:rsid w:val="00234D03"/>
    <w:rsid w:val="00234DC4"/>
    <w:rsid w:val="00234DFB"/>
    <w:rsid w:val="00235090"/>
    <w:rsid w:val="0023515D"/>
    <w:rsid w:val="0023547D"/>
    <w:rsid w:val="002354A7"/>
    <w:rsid w:val="0023557D"/>
    <w:rsid w:val="0023582A"/>
    <w:rsid w:val="00235D8B"/>
    <w:rsid w:val="00235ED4"/>
    <w:rsid w:val="002366EA"/>
    <w:rsid w:val="0023694F"/>
    <w:rsid w:val="002369E4"/>
    <w:rsid w:val="00236B55"/>
    <w:rsid w:val="00236C54"/>
    <w:rsid w:val="00237001"/>
    <w:rsid w:val="0023724F"/>
    <w:rsid w:val="002375E1"/>
    <w:rsid w:val="00237816"/>
    <w:rsid w:val="002378EE"/>
    <w:rsid w:val="002379F3"/>
    <w:rsid w:val="00237D22"/>
    <w:rsid w:val="002402AD"/>
    <w:rsid w:val="0024045A"/>
    <w:rsid w:val="0024080B"/>
    <w:rsid w:val="00240868"/>
    <w:rsid w:val="00240CF2"/>
    <w:rsid w:val="00240D63"/>
    <w:rsid w:val="00241046"/>
    <w:rsid w:val="00241415"/>
    <w:rsid w:val="002414E3"/>
    <w:rsid w:val="002416E3"/>
    <w:rsid w:val="002416FB"/>
    <w:rsid w:val="00241AD6"/>
    <w:rsid w:val="00241B36"/>
    <w:rsid w:val="00241CEF"/>
    <w:rsid w:val="00241D09"/>
    <w:rsid w:val="00241F8B"/>
    <w:rsid w:val="002425A8"/>
    <w:rsid w:val="00242903"/>
    <w:rsid w:val="0024290E"/>
    <w:rsid w:val="00242B78"/>
    <w:rsid w:val="00242BCE"/>
    <w:rsid w:val="00242EEE"/>
    <w:rsid w:val="002438BF"/>
    <w:rsid w:val="00243B75"/>
    <w:rsid w:val="00243C45"/>
    <w:rsid w:val="00243D87"/>
    <w:rsid w:val="00243E44"/>
    <w:rsid w:val="00243F02"/>
    <w:rsid w:val="002442CD"/>
    <w:rsid w:val="002444E0"/>
    <w:rsid w:val="0024452D"/>
    <w:rsid w:val="002445E3"/>
    <w:rsid w:val="002447B9"/>
    <w:rsid w:val="00244D8B"/>
    <w:rsid w:val="00244DBE"/>
    <w:rsid w:val="002455EC"/>
    <w:rsid w:val="00245A6E"/>
    <w:rsid w:val="00245ACE"/>
    <w:rsid w:val="00245CEE"/>
    <w:rsid w:val="00245DC2"/>
    <w:rsid w:val="002461D9"/>
    <w:rsid w:val="0024627D"/>
    <w:rsid w:val="0024628E"/>
    <w:rsid w:val="002465C5"/>
    <w:rsid w:val="00246D67"/>
    <w:rsid w:val="00246E54"/>
    <w:rsid w:val="002471B8"/>
    <w:rsid w:val="00247486"/>
    <w:rsid w:val="002475B8"/>
    <w:rsid w:val="00247786"/>
    <w:rsid w:val="002477DF"/>
    <w:rsid w:val="00247941"/>
    <w:rsid w:val="00247C57"/>
    <w:rsid w:val="00247EBF"/>
    <w:rsid w:val="002500D8"/>
    <w:rsid w:val="002501F4"/>
    <w:rsid w:val="002505CA"/>
    <w:rsid w:val="00250643"/>
    <w:rsid w:val="002507D2"/>
    <w:rsid w:val="002507E6"/>
    <w:rsid w:val="00250E5C"/>
    <w:rsid w:val="0025178A"/>
    <w:rsid w:val="00251950"/>
    <w:rsid w:val="00251B46"/>
    <w:rsid w:val="00251B80"/>
    <w:rsid w:val="00251E23"/>
    <w:rsid w:val="00252143"/>
    <w:rsid w:val="0025249C"/>
    <w:rsid w:val="00252507"/>
    <w:rsid w:val="00252552"/>
    <w:rsid w:val="00252E05"/>
    <w:rsid w:val="0025306F"/>
    <w:rsid w:val="002530FD"/>
    <w:rsid w:val="002533A3"/>
    <w:rsid w:val="002533CD"/>
    <w:rsid w:val="00253425"/>
    <w:rsid w:val="00253BFF"/>
    <w:rsid w:val="00253DB3"/>
    <w:rsid w:val="002540F3"/>
    <w:rsid w:val="00254366"/>
    <w:rsid w:val="0025463B"/>
    <w:rsid w:val="002548F8"/>
    <w:rsid w:val="00254E65"/>
    <w:rsid w:val="00254F7C"/>
    <w:rsid w:val="0025506F"/>
    <w:rsid w:val="002552C9"/>
    <w:rsid w:val="00255DD8"/>
    <w:rsid w:val="00256010"/>
    <w:rsid w:val="00256539"/>
    <w:rsid w:val="0025675A"/>
    <w:rsid w:val="00256AB0"/>
    <w:rsid w:val="00256B37"/>
    <w:rsid w:val="00256D07"/>
    <w:rsid w:val="00256D39"/>
    <w:rsid w:val="00256E79"/>
    <w:rsid w:val="002576D3"/>
    <w:rsid w:val="00257724"/>
    <w:rsid w:val="00257822"/>
    <w:rsid w:val="00257953"/>
    <w:rsid w:val="00257BB0"/>
    <w:rsid w:val="002600B9"/>
    <w:rsid w:val="002601DB"/>
    <w:rsid w:val="002603D2"/>
    <w:rsid w:val="00260444"/>
    <w:rsid w:val="00260533"/>
    <w:rsid w:val="0026058B"/>
    <w:rsid w:val="00260994"/>
    <w:rsid w:val="00260D8A"/>
    <w:rsid w:val="00260E34"/>
    <w:rsid w:val="00260EF7"/>
    <w:rsid w:val="0026117B"/>
    <w:rsid w:val="0026117D"/>
    <w:rsid w:val="00261243"/>
    <w:rsid w:val="0026133F"/>
    <w:rsid w:val="0026134B"/>
    <w:rsid w:val="00261499"/>
    <w:rsid w:val="00261CF1"/>
    <w:rsid w:val="0026205F"/>
    <w:rsid w:val="002622B1"/>
    <w:rsid w:val="002626C6"/>
    <w:rsid w:val="002626E1"/>
    <w:rsid w:val="0026272C"/>
    <w:rsid w:val="00262862"/>
    <w:rsid w:val="002628B8"/>
    <w:rsid w:val="00262A93"/>
    <w:rsid w:val="00262AC8"/>
    <w:rsid w:val="00262BD1"/>
    <w:rsid w:val="00262F1C"/>
    <w:rsid w:val="002631CF"/>
    <w:rsid w:val="002632B7"/>
    <w:rsid w:val="002633AC"/>
    <w:rsid w:val="0026344C"/>
    <w:rsid w:val="002637AC"/>
    <w:rsid w:val="00263C8F"/>
    <w:rsid w:val="00263F34"/>
    <w:rsid w:val="002643BC"/>
    <w:rsid w:val="00264DBA"/>
    <w:rsid w:val="0026542F"/>
    <w:rsid w:val="002654BA"/>
    <w:rsid w:val="00265521"/>
    <w:rsid w:val="00265628"/>
    <w:rsid w:val="00265666"/>
    <w:rsid w:val="00265812"/>
    <w:rsid w:val="00265C6D"/>
    <w:rsid w:val="00265E15"/>
    <w:rsid w:val="00266258"/>
    <w:rsid w:val="002664F9"/>
    <w:rsid w:val="002666EF"/>
    <w:rsid w:val="002671BE"/>
    <w:rsid w:val="002672A4"/>
    <w:rsid w:val="0026732D"/>
    <w:rsid w:val="002673E1"/>
    <w:rsid w:val="002700E4"/>
    <w:rsid w:val="002703B5"/>
    <w:rsid w:val="00270422"/>
    <w:rsid w:val="002704BB"/>
    <w:rsid w:val="002707A7"/>
    <w:rsid w:val="00270819"/>
    <w:rsid w:val="00270A4E"/>
    <w:rsid w:val="00270D6D"/>
    <w:rsid w:val="00270E41"/>
    <w:rsid w:val="00270E96"/>
    <w:rsid w:val="00270F2E"/>
    <w:rsid w:val="0027101E"/>
    <w:rsid w:val="002713E5"/>
    <w:rsid w:val="00271566"/>
    <w:rsid w:val="00271A4C"/>
    <w:rsid w:val="00271D55"/>
    <w:rsid w:val="00271FA8"/>
    <w:rsid w:val="00272148"/>
    <w:rsid w:val="0027216D"/>
    <w:rsid w:val="00272614"/>
    <w:rsid w:val="00272892"/>
    <w:rsid w:val="00272D34"/>
    <w:rsid w:val="00273038"/>
    <w:rsid w:val="00273CF9"/>
    <w:rsid w:val="00273D3F"/>
    <w:rsid w:val="00274509"/>
    <w:rsid w:val="002745CF"/>
    <w:rsid w:val="002747E8"/>
    <w:rsid w:val="00274AC3"/>
    <w:rsid w:val="00274B8E"/>
    <w:rsid w:val="00274EC9"/>
    <w:rsid w:val="00274EEA"/>
    <w:rsid w:val="0027560A"/>
    <w:rsid w:val="0027560E"/>
    <w:rsid w:val="00275623"/>
    <w:rsid w:val="00276741"/>
    <w:rsid w:val="0027686D"/>
    <w:rsid w:val="002768BF"/>
    <w:rsid w:val="00276EC0"/>
    <w:rsid w:val="00277475"/>
    <w:rsid w:val="0027768A"/>
    <w:rsid w:val="00277835"/>
    <w:rsid w:val="00277ADE"/>
    <w:rsid w:val="00280494"/>
    <w:rsid w:val="002806CF"/>
    <w:rsid w:val="00280801"/>
    <w:rsid w:val="002808A9"/>
    <w:rsid w:val="002808BF"/>
    <w:rsid w:val="00280937"/>
    <w:rsid w:val="002809D4"/>
    <w:rsid w:val="00280AA4"/>
    <w:rsid w:val="00280AED"/>
    <w:rsid w:val="00280C73"/>
    <w:rsid w:val="00280EEA"/>
    <w:rsid w:val="00281016"/>
    <w:rsid w:val="0028101B"/>
    <w:rsid w:val="00281124"/>
    <w:rsid w:val="002815D7"/>
    <w:rsid w:val="00281644"/>
    <w:rsid w:val="00281993"/>
    <w:rsid w:val="00281C64"/>
    <w:rsid w:val="00281F47"/>
    <w:rsid w:val="002820F2"/>
    <w:rsid w:val="00282C36"/>
    <w:rsid w:val="00282D25"/>
    <w:rsid w:val="00282EAA"/>
    <w:rsid w:val="00283133"/>
    <w:rsid w:val="002835C5"/>
    <w:rsid w:val="00283639"/>
    <w:rsid w:val="00283AEA"/>
    <w:rsid w:val="00283DCA"/>
    <w:rsid w:val="00283F16"/>
    <w:rsid w:val="00284343"/>
    <w:rsid w:val="002848DF"/>
    <w:rsid w:val="00284C9D"/>
    <w:rsid w:val="0028501C"/>
    <w:rsid w:val="002851AC"/>
    <w:rsid w:val="00285419"/>
    <w:rsid w:val="0028541C"/>
    <w:rsid w:val="0028565A"/>
    <w:rsid w:val="00285A93"/>
    <w:rsid w:val="00285F51"/>
    <w:rsid w:val="00286115"/>
    <w:rsid w:val="0028627A"/>
    <w:rsid w:val="00286451"/>
    <w:rsid w:val="00286765"/>
    <w:rsid w:val="00286846"/>
    <w:rsid w:val="00286960"/>
    <w:rsid w:val="00287205"/>
    <w:rsid w:val="00287442"/>
    <w:rsid w:val="00287CDE"/>
    <w:rsid w:val="00287F09"/>
    <w:rsid w:val="002900CA"/>
    <w:rsid w:val="0029011B"/>
    <w:rsid w:val="002901B6"/>
    <w:rsid w:val="002904CE"/>
    <w:rsid w:val="00290526"/>
    <w:rsid w:val="00290873"/>
    <w:rsid w:val="00290C07"/>
    <w:rsid w:val="00290D0B"/>
    <w:rsid w:val="00291682"/>
    <w:rsid w:val="00291789"/>
    <w:rsid w:val="002917E9"/>
    <w:rsid w:val="00291CD3"/>
    <w:rsid w:val="00292863"/>
    <w:rsid w:val="00292E9A"/>
    <w:rsid w:val="00293335"/>
    <w:rsid w:val="002938C3"/>
    <w:rsid w:val="00293AB4"/>
    <w:rsid w:val="00293C1C"/>
    <w:rsid w:val="00293D41"/>
    <w:rsid w:val="002940A2"/>
    <w:rsid w:val="00294430"/>
    <w:rsid w:val="00294BB0"/>
    <w:rsid w:val="00294EA7"/>
    <w:rsid w:val="00295105"/>
    <w:rsid w:val="002955CF"/>
    <w:rsid w:val="00295646"/>
    <w:rsid w:val="00295917"/>
    <w:rsid w:val="00296070"/>
    <w:rsid w:val="00296344"/>
    <w:rsid w:val="00296676"/>
    <w:rsid w:val="00296776"/>
    <w:rsid w:val="00296819"/>
    <w:rsid w:val="0029685F"/>
    <w:rsid w:val="00296B98"/>
    <w:rsid w:val="00296CA7"/>
    <w:rsid w:val="00296FAF"/>
    <w:rsid w:val="00297229"/>
    <w:rsid w:val="00297D66"/>
    <w:rsid w:val="00297EA0"/>
    <w:rsid w:val="00297EAB"/>
    <w:rsid w:val="0029A3E5"/>
    <w:rsid w:val="002A023E"/>
    <w:rsid w:val="002A0625"/>
    <w:rsid w:val="002A08DE"/>
    <w:rsid w:val="002A09D5"/>
    <w:rsid w:val="002A0D54"/>
    <w:rsid w:val="002A0F91"/>
    <w:rsid w:val="002A0FBF"/>
    <w:rsid w:val="002A1040"/>
    <w:rsid w:val="002A10D2"/>
    <w:rsid w:val="002A13D9"/>
    <w:rsid w:val="002A15F1"/>
    <w:rsid w:val="002A1867"/>
    <w:rsid w:val="002A1E93"/>
    <w:rsid w:val="002A2044"/>
    <w:rsid w:val="002A2288"/>
    <w:rsid w:val="002A22AB"/>
    <w:rsid w:val="002A24D9"/>
    <w:rsid w:val="002A295A"/>
    <w:rsid w:val="002A2E15"/>
    <w:rsid w:val="002A345C"/>
    <w:rsid w:val="002A3751"/>
    <w:rsid w:val="002A39BC"/>
    <w:rsid w:val="002A3BCF"/>
    <w:rsid w:val="002A3CAA"/>
    <w:rsid w:val="002A3EC8"/>
    <w:rsid w:val="002A4179"/>
    <w:rsid w:val="002A43CA"/>
    <w:rsid w:val="002A459C"/>
    <w:rsid w:val="002A46ED"/>
    <w:rsid w:val="002A471E"/>
    <w:rsid w:val="002A48D2"/>
    <w:rsid w:val="002A4927"/>
    <w:rsid w:val="002A4961"/>
    <w:rsid w:val="002A4EAC"/>
    <w:rsid w:val="002A5055"/>
    <w:rsid w:val="002A562A"/>
    <w:rsid w:val="002A574B"/>
    <w:rsid w:val="002A599E"/>
    <w:rsid w:val="002A5C1C"/>
    <w:rsid w:val="002A5D35"/>
    <w:rsid w:val="002A5D4F"/>
    <w:rsid w:val="002A6302"/>
    <w:rsid w:val="002A6BD9"/>
    <w:rsid w:val="002A6F7B"/>
    <w:rsid w:val="002A710C"/>
    <w:rsid w:val="002A71D1"/>
    <w:rsid w:val="002A7A01"/>
    <w:rsid w:val="002A7A74"/>
    <w:rsid w:val="002A7AFB"/>
    <w:rsid w:val="002A7E6A"/>
    <w:rsid w:val="002A7ED6"/>
    <w:rsid w:val="002B06CD"/>
    <w:rsid w:val="002B0738"/>
    <w:rsid w:val="002B08FB"/>
    <w:rsid w:val="002B0CC8"/>
    <w:rsid w:val="002B0EE8"/>
    <w:rsid w:val="002B0FCC"/>
    <w:rsid w:val="002B13AF"/>
    <w:rsid w:val="002B168B"/>
    <w:rsid w:val="002B1A23"/>
    <w:rsid w:val="002B1AA4"/>
    <w:rsid w:val="002B214B"/>
    <w:rsid w:val="002B22A3"/>
    <w:rsid w:val="002B279B"/>
    <w:rsid w:val="002B292E"/>
    <w:rsid w:val="002B2E7F"/>
    <w:rsid w:val="002B2E8D"/>
    <w:rsid w:val="002B313C"/>
    <w:rsid w:val="002B3644"/>
    <w:rsid w:val="002B384A"/>
    <w:rsid w:val="002B387C"/>
    <w:rsid w:val="002B3C21"/>
    <w:rsid w:val="002B3E0F"/>
    <w:rsid w:val="002B457B"/>
    <w:rsid w:val="002B45EA"/>
    <w:rsid w:val="002B493A"/>
    <w:rsid w:val="002B4BB1"/>
    <w:rsid w:val="002B4FF7"/>
    <w:rsid w:val="002B5392"/>
    <w:rsid w:val="002B547B"/>
    <w:rsid w:val="002B5C28"/>
    <w:rsid w:val="002B6001"/>
    <w:rsid w:val="002B633B"/>
    <w:rsid w:val="002B698C"/>
    <w:rsid w:val="002B6A94"/>
    <w:rsid w:val="002B6BE2"/>
    <w:rsid w:val="002B6CD1"/>
    <w:rsid w:val="002B7198"/>
    <w:rsid w:val="002B757F"/>
    <w:rsid w:val="002C006C"/>
    <w:rsid w:val="002C01AA"/>
    <w:rsid w:val="002C03F6"/>
    <w:rsid w:val="002C06BA"/>
    <w:rsid w:val="002C0B68"/>
    <w:rsid w:val="002C0D06"/>
    <w:rsid w:val="002C1415"/>
    <w:rsid w:val="002C1A5A"/>
    <w:rsid w:val="002C1AA8"/>
    <w:rsid w:val="002C1B3E"/>
    <w:rsid w:val="002C1E1B"/>
    <w:rsid w:val="002C1F84"/>
    <w:rsid w:val="002C2038"/>
    <w:rsid w:val="002C20B2"/>
    <w:rsid w:val="002C2488"/>
    <w:rsid w:val="002C26AD"/>
    <w:rsid w:val="002C2D31"/>
    <w:rsid w:val="002C2DD5"/>
    <w:rsid w:val="002C2E60"/>
    <w:rsid w:val="002C2FE1"/>
    <w:rsid w:val="002C3043"/>
    <w:rsid w:val="002C3751"/>
    <w:rsid w:val="002C3A9D"/>
    <w:rsid w:val="002C40FB"/>
    <w:rsid w:val="002C444E"/>
    <w:rsid w:val="002C473A"/>
    <w:rsid w:val="002C4999"/>
    <w:rsid w:val="002C519E"/>
    <w:rsid w:val="002C537D"/>
    <w:rsid w:val="002C54FA"/>
    <w:rsid w:val="002C5857"/>
    <w:rsid w:val="002C59E4"/>
    <w:rsid w:val="002C5A31"/>
    <w:rsid w:val="002C5C6B"/>
    <w:rsid w:val="002C5D4C"/>
    <w:rsid w:val="002C5D95"/>
    <w:rsid w:val="002C5F9C"/>
    <w:rsid w:val="002C608E"/>
    <w:rsid w:val="002C630E"/>
    <w:rsid w:val="002C640B"/>
    <w:rsid w:val="002C69E0"/>
    <w:rsid w:val="002C6C0D"/>
    <w:rsid w:val="002C6E9B"/>
    <w:rsid w:val="002D016A"/>
    <w:rsid w:val="002D01C7"/>
    <w:rsid w:val="002D01CE"/>
    <w:rsid w:val="002D02C4"/>
    <w:rsid w:val="002D06C8"/>
    <w:rsid w:val="002D08B7"/>
    <w:rsid w:val="002D0B31"/>
    <w:rsid w:val="002D0CD9"/>
    <w:rsid w:val="002D0F4E"/>
    <w:rsid w:val="002D1089"/>
    <w:rsid w:val="002D1504"/>
    <w:rsid w:val="002D1537"/>
    <w:rsid w:val="002D1856"/>
    <w:rsid w:val="002D1D4F"/>
    <w:rsid w:val="002D1DF9"/>
    <w:rsid w:val="002D1E59"/>
    <w:rsid w:val="002D1ECB"/>
    <w:rsid w:val="002D1FE4"/>
    <w:rsid w:val="002D22DE"/>
    <w:rsid w:val="002D26BB"/>
    <w:rsid w:val="002D29B0"/>
    <w:rsid w:val="002D2F32"/>
    <w:rsid w:val="002D338C"/>
    <w:rsid w:val="002D35CA"/>
    <w:rsid w:val="002D3679"/>
    <w:rsid w:val="002D375F"/>
    <w:rsid w:val="002D3CFE"/>
    <w:rsid w:val="002D3DA2"/>
    <w:rsid w:val="002D4208"/>
    <w:rsid w:val="002D44AF"/>
    <w:rsid w:val="002D479F"/>
    <w:rsid w:val="002D4C15"/>
    <w:rsid w:val="002D4D24"/>
    <w:rsid w:val="002D520D"/>
    <w:rsid w:val="002D5505"/>
    <w:rsid w:val="002D564A"/>
    <w:rsid w:val="002D573C"/>
    <w:rsid w:val="002D5D8B"/>
    <w:rsid w:val="002D6001"/>
    <w:rsid w:val="002D6554"/>
    <w:rsid w:val="002D6B9D"/>
    <w:rsid w:val="002D6D68"/>
    <w:rsid w:val="002D76A6"/>
    <w:rsid w:val="002D771D"/>
    <w:rsid w:val="002D7B29"/>
    <w:rsid w:val="002D7B8D"/>
    <w:rsid w:val="002D7C45"/>
    <w:rsid w:val="002D7E43"/>
    <w:rsid w:val="002E013D"/>
    <w:rsid w:val="002E0142"/>
    <w:rsid w:val="002E021A"/>
    <w:rsid w:val="002E02D2"/>
    <w:rsid w:val="002E0592"/>
    <w:rsid w:val="002E059B"/>
    <w:rsid w:val="002E06BB"/>
    <w:rsid w:val="002E0806"/>
    <w:rsid w:val="002E0EEB"/>
    <w:rsid w:val="002E0F2B"/>
    <w:rsid w:val="002E12E6"/>
    <w:rsid w:val="002E1780"/>
    <w:rsid w:val="002E17C6"/>
    <w:rsid w:val="002E18FD"/>
    <w:rsid w:val="002E1D52"/>
    <w:rsid w:val="002E1EF8"/>
    <w:rsid w:val="002E1FF4"/>
    <w:rsid w:val="002E20C8"/>
    <w:rsid w:val="002E216B"/>
    <w:rsid w:val="002E24AC"/>
    <w:rsid w:val="002E2E2E"/>
    <w:rsid w:val="002E2E8F"/>
    <w:rsid w:val="002E3498"/>
    <w:rsid w:val="002E37CF"/>
    <w:rsid w:val="002E3D24"/>
    <w:rsid w:val="002E4349"/>
    <w:rsid w:val="002E442E"/>
    <w:rsid w:val="002E44AE"/>
    <w:rsid w:val="002E4715"/>
    <w:rsid w:val="002E4716"/>
    <w:rsid w:val="002E48F5"/>
    <w:rsid w:val="002E4E07"/>
    <w:rsid w:val="002E4FB5"/>
    <w:rsid w:val="002E51D8"/>
    <w:rsid w:val="002E5277"/>
    <w:rsid w:val="002E52FD"/>
    <w:rsid w:val="002E53C2"/>
    <w:rsid w:val="002E5580"/>
    <w:rsid w:val="002E5A14"/>
    <w:rsid w:val="002E5AB1"/>
    <w:rsid w:val="002E6065"/>
    <w:rsid w:val="002E64DB"/>
    <w:rsid w:val="002E6511"/>
    <w:rsid w:val="002E652E"/>
    <w:rsid w:val="002E6988"/>
    <w:rsid w:val="002E6BE4"/>
    <w:rsid w:val="002E734F"/>
    <w:rsid w:val="002E7388"/>
    <w:rsid w:val="002E7594"/>
    <w:rsid w:val="002E7CE9"/>
    <w:rsid w:val="002ECB7C"/>
    <w:rsid w:val="002F0309"/>
    <w:rsid w:val="002F0733"/>
    <w:rsid w:val="002F0C9A"/>
    <w:rsid w:val="002F0D2E"/>
    <w:rsid w:val="002F1244"/>
    <w:rsid w:val="002F1355"/>
    <w:rsid w:val="002F15FE"/>
    <w:rsid w:val="002F19AC"/>
    <w:rsid w:val="002F1CE5"/>
    <w:rsid w:val="002F1FD9"/>
    <w:rsid w:val="002F219A"/>
    <w:rsid w:val="002F24BD"/>
    <w:rsid w:val="002F28B8"/>
    <w:rsid w:val="002F2D6B"/>
    <w:rsid w:val="002F32C0"/>
    <w:rsid w:val="002F375F"/>
    <w:rsid w:val="002F38B3"/>
    <w:rsid w:val="002F3C86"/>
    <w:rsid w:val="002F3D3E"/>
    <w:rsid w:val="002F3EEB"/>
    <w:rsid w:val="002F448B"/>
    <w:rsid w:val="002F471A"/>
    <w:rsid w:val="002F471E"/>
    <w:rsid w:val="002F478C"/>
    <w:rsid w:val="002F47EA"/>
    <w:rsid w:val="002F4B19"/>
    <w:rsid w:val="002F4D1E"/>
    <w:rsid w:val="002F4F61"/>
    <w:rsid w:val="002F53F7"/>
    <w:rsid w:val="002F55EF"/>
    <w:rsid w:val="002F605B"/>
    <w:rsid w:val="002F67E2"/>
    <w:rsid w:val="002F693A"/>
    <w:rsid w:val="002F69CE"/>
    <w:rsid w:val="002F6EDF"/>
    <w:rsid w:val="002F7061"/>
    <w:rsid w:val="002F73E1"/>
    <w:rsid w:val="002F76C6"/>
    <w:rsid w:val="002F7C9A"/>
    <w:rsid w:val="003001EF"/>
    <w:rsid w:val="00300544"/>
    <w:rsid w:val="003008CB"/>
    <w:rsid w:val="0030096A"/>
    <w:rsid w:val="00300AC0"/>
    <w:rsid w:val="003010BB"/>
    <w:rsid w:val="00301429"/>
    <w:rsid w:val="003017C8"/>
    <w:rsid w:val="00301BE1"/>
    <w:rsid w:val="00301ED2"/>
    <w:rsid w:val="0030258E"/>
    <w:rsid w:val="003027FC"/>
    <w:rsid w:val="00302851"/>
    <w:rsid w:val="00302CEE"/>
    <w:rsid w:val="00302EA7"/>
    <w:rsid w:val="003032CA"/>
    <w:rsid w:val="00303448"/>
    <w:rsid w:val="003035FF"/>
    <w:rsid w:val="00303D58"/>
    <w:rsid w:val="00303F71"/>
    <w:rsid w:val="003042CC"/>
    <w:rsid w:val="00304394"/>
    <w:rsid w:val="0030469B"/>
    <w:rsid w:val="00304885"/>
    <w:rsid w:val="00304969"/>
    <w:rsid w:val="0030496F"/>
    <w:rsid w:val="00304A0A"/>
    <w:rsid w:val="00304A88"/>
    <w:rsid w:val="00304E29"/>
    <w:rsid w:val="00304E64"/>
    <w:rsid w:val="00304F06"/>
    <w:rsid w:val="00305350"/>
    <w:rsid w:val="003056C0"/>
    <w:rsid w:val="00305C1D"/>
    <w:rsid w:val="00305C5D"/>
    <w:rsid w:val="00306F15"/>
    <w:rsid w:val="00307006"/>
    <w:rsid w:val="00307358"/>
    <w:rsid w:val="003073D6"/>
    <w:rsid w:val="00307ED5"/>
    <w:rsid w:val="003104B8"/>
    <w:rsid w:val="0031070C"/>
    <w:rsid w:val="00310A56"/>
    <w:rsid w:val="00310D40"/>
    <w:rsid w:val="0031100B"/>
    <w:rsid w:val="00311527"/>
    <w:rsid w:val="00311746"/>
    <w:rsid w:val="003119A1"/>
    <w:rsid w:val="00311BD2"/>
    <w:rsid w:val="00311BF7"/>
    <w:rsid w:val="00311E78"/>
    <w:rsid w:val="00311FBF"/>
    <w:rsid w:val="0031216D"/>
    <w:rsid w:val="00312187"/>
    <w:rsid w:val="003122C9"/>
    <w:rsid w:val="003127FD"/>
    <w:rsid w:val="0031282B"/>
    <w:rsid w:val="003128E9"/>
    <w:rsid w:val="00312AFE"/>
    <w:rsid w:val="00312E85"/>
    <w:rsid w:val="00312FF6"/>
    <w:rsid w:val="00313016"/>
    <w:rsid w:val="003131E1"/>
    <w:rsid w:val="00313494"/>
    <w:rsid w:val="003135A9"/>
    <w:rsid w:val="00313612"/>
    <w:rsid w:val="003136C8"/>
    <w:rsid w:val="003136FC"/>
    <w:rsid w:val="00313917"/>
    <w:rsid w:val="00313962"/>
    <w:rsid w:val="00313F65"/>
    <w:rsid w:val="003141EF"/>
    <w:rsid w:val="0031445E"/>
    <w:rsid w:val="00314B77"/>
    <w:rsid w:val="00314F80"/>
    <w:rsid w:val="0031521A"/>
    <w:rsid w:val="0031531F"/>
    <w:rsid w:val="0031592E"/>
    <w:rsid w:val="00315A20"/>
    <w:rsid w:val="00315B36"/>
    <w:rsid w:val="00315B90"/>
    <w:rsid w:val="00315FB6"/>
    <w:rsid w:val="00315FF7"/>
    <w:rsid w:val="00316053"/>
    <w:rsid w:val="0031651D"/>
    <w:rsid w:val="00316609"/>
    <w:rsid w:val="0031677E"/>
    <w:rsid w:val="003168D5"/>
    <w:rsid w:val="00316A22"/>
    <w:rsid w:val="00316B55"/>
    <w:rsid w:val="00316C41"/>
    <w:rsid w:val="00317034"/>
    <w:rsid w:val="003170AC"/>
    <w:rsid w:val="003171DE"/>
    <w:rsid w:val="00317595"/>
    <w:rsid w:val="0031760C"/>
    <w:rsid w:val="00317C04"/>
    <w:rsid w:val="0032027E"/>
    <w:rsid w:val="003203B2"/>
    <w:rsid w:val="00320796"/>
    <w:rsid w:val="003208CE"/>
    <w:rsid w:val="00320ADA"/>
    <w:rsid w:val="00320B91"/>
    <w:rsid w:val="00320E85"/>
    <w:rsid w:val="00320F7C"/>
    <w:rsid w:val="00320FC6"/>
    <w:rsid w:val="0032106A"/>
    <w:rsid w:val="00321667"/>
    <w:rsid w:val="003217B4"/>
    <w:rsid w:val="0032235B"/>
    <w:rsid w:val="00322365"/>
    <w:rsid w:val="003226CD"/>
    <w:rsid w:val="003226E2"/>
    <w:rsid w:val="0032277D"/>
    <w:rsid w:val="00322908"/>
    <w:rsid w:val="00322A59"/>
    <w:rsid w:val="00322A7B"/>
    <w:rsid w:val="00322AF9"/>
    <w:rsid w:val="00323066"/>
    <w:rsid w:val="00323257"/>
    <w:rsid w:val="0032345C"/>
    <w:rsid w:val="003235A3"/>
    <w:rsid w:val="003235CD"/>
    <w:rsid w:val="00323675"/>
    <w:rsid w:val="003239CA"/>
    <w:rsid w:val="00323FA0"/>
    <w:rsid w:val="00324230"/>
    <w:rsid w:val="003245FF"/>
    <w:rsid w:val="00324B2A"/>
    <w:rsid w:val="00324C95"/>
    <w:rsid w:val="003253D3"/>
    <w:rsid w:val="003255E1"/>
    <w:rsid w:val="0032586B"/>
    <w:rsid w:val="003259F1"/>
    <w:rsid w:val="00326166"/>
    <w:rsid w:val="00326187"/>
    <w:rsid w:val="0032643C"/>
    <w:rsid w:val="00326784"/>
    <w:rsid w:val="00326A55"/>
    <w:rsid w:val="00326C24"/>
    <w:rsid w:val="00326C67"/>
    <w:rsid w:val="00327485"/>
    <w:rsid w:val="00327488"/>
    <w:rsid w:val="00327946"/>
    <w:rsid w:val="00327AFB"/>
    <w:rsid w:val="00327FF7"/>
    <w:rsid w:val="00330489"/>
    <w:rsid w:val="0033063E"/>
    <w:rsid w:val="0033070E"/>
    <w:rsid w:val="00330742"/>
    <w:rsid w:val="00330834"/>
    <w:rsid w:val="00330C40"/>
    <w:rsid w:val="00330D0B"/>
    <w:rsid w:val="00330EB5"/>
    <w:rsid w:val="0033105D"/>
    <w:rsid w:val="0033109F"/>
    <w:rsid w:val="0033140F"/>
    <w:rsid w:val="00331AF4"/>
    <w:rsid w:val="00331B06"/>
    <w:rsid w:val="00331DA1"/>
    <w:rsid w:val="00331E57"/>
    <w:rsid w:val="003320C0"/>
    <w:rsid w:val="003321A1"/>
    <w:rsid w:val="003322F4"/>
    <w:rsid w:val="00332376"/>
    <w:rsid w:val="00332593"/>
    <w:rsid w:val="0033261F"/>
    <w:rsid w:val="00332D9A"/>
    <w:rsid w:val="00332E04"/>
    <w:rsid w:val="00333318"/>
    <w:rsid w:val="0033362C"/>
    <w:rsid w:val="0033363F"/>
    <w:rsid w:val="00333975"/>
    <w:rsid w:val="00333D7A"/>
    <w:rsid w:val="00333DA2"/>
    <w:rsid w:val="00333EC3"/>
    <w:rsid w:val="00333F7A"/>
    <w:rsid w:val="0033417B"/>
    <w:rsid w:val="003342BA"/>
    <w:rsid w:val="003348A3"/>
    <w:rsid w:val="00334F89"/>
    <w:rsid w:val="00335171"/>
    <w:rsid w:val="003353DF"/>
    <w:rsid w:val="003354A2"/>
    <w:rsid w:val="00335858"/>
    <w:rsid w:val="00335C58"/>
    <w:rsid w:val="00335F25"/>
    <w:rsid w:val="0033620C"/>
    <w:rsid w:val="00336AAA"/>
    <w:rsid w:val="00336E11"/>
    <w:rsid w:val="0033701E"/>
    <w:rsid w:val="00337044"/>
    <w:rsid w:val="00337560"/>
    <w:rsid w:val="003378C9"/>
    <w:rsid w:val="00337A1F"/>
    <w:rsid w:val="00337C5D"/>
    <w:rsid w:val="00337C9E"/>
    <w:rsid w:val="00337DB2"/>
    <w:rsid w:val="00337E60"/>
    <w:rsid w:val="0033FAE1"/>
    <w:rsid w:val="00340146"/>
    <w:rsid w:val="003407D8"/>
    <w:rsid w:val="0034146D"/>
    <w:rsid w:val="00341474"/>
    <w:rsid w:val="00341656"/>
    <w:rsid w:val="003417E9"/>
    <w:rsid w:val="00341CB7"/>
    <w:rsid w:val="00341DED"/>
    <w:rsid w:val="00341E39"/>
    <w:rsid w:val="00341F1F"/>
    <w:rsid w:val="003420CE"/>
    <w:rsid w:val="00342213"/>
    <w:rsid w:val="00342274"/>
    <w:rsid w:val="0034239F"/>
    <w:rsid w:val="00342511"/>
    <w:rsid w:val="00342512"/>
    <w:rsid w:val="003425E3"/>
    <w:rsid w:val="00342871"/>
    <w:rsid w:val="00342881"/>
    <w:rsid w:val="003429D3"/>
    <w:rsid w:val="00342E0A"/>
    <w:rsid w:val="00342F48"/>
    <w:rsid w:val="00342FD5"/>
    <w:rsid w:val="003435A7"/>
    <w:rsid w:val="00343777"/>
    <w:rsid w:val="003437C6"/>
    <w:rsid w:val="003438E7"/>
    <w:rsid w:val="0034399D"/>
    <w:rsid w:val="00343B49"/>
    <w:rsid w:val="00343E55"/>
    <w:rsid w:val="003440C7"/>
    <w:rsid w:val="0034415E"/>
    <w:rsid w:val="003441FA"/>
    <w:rsid w:val="00344341"/>
    <w:rsid w:val="00344365"/>
    <w:rsid w:val="003449AB"/>
    <w:rsid w:val="003449F2"/>
    <w:rsid w:val="00344FAD"/>
    <w:rsid w:val="00345533"/>
    <w:rsid w:val="003456BE"/>
    <w:rsid w:val="00345817"/>
    <w:rsid w:val="0034597F"/>
    <w:rsid w:val="00345B2A"/>
    <w:rsid w:val="00345C1D"/>
    <w:rsid w:val="00345C78"/>
    <w:rsid w:val="00345CAD"/>
    <w:rsid w:val="00346584"/>
    <w:rsid w:val="0034709B"/>
    <w:rsid w:val="003472A8"/>
    <w:rsid w:val="00347BA9"/>
    <w:rsid w:val="00350020"/>
    <w:rsid w:val="00350064"/>
    <w:rsid w:val="003500A6"/>
    <w:rsid w:val="003500F6"/>
    <w:rsid w:val="00350150"/>
    <w:rsid w:val="003504B8"/>
    <w:rsid w:val="003505C7"/>
    <w:rsid w:val="00350779"/>
    <w:rsid w:val="003507FD"/>
    <w:rsid w:val="00350CE6"/>
    <w:rsid w:val="00350E9D"/>
    <w:rsid w:val="00351092"/>
    <w:rsid w:val="0035174B"/>
    <w:rsid w:val="003517B3"/>
    <w:rsid w:val="00351838"/>
    <w:rsid w:val="0035185E"/>
    <w:rsid w:val="00351AFD"/>
    <w:rsid w:val="00351B32"/>
    <w:rsid w:val="0035227D"/>
    <w:rsid w:val="00352294"/>
    <w:rsid w:val="00352511"/>
    <w:rsid w:val="00352A56"/>
    <w:rsid w:val="00353531"/>
    <w:rsid w:val="00353566"/>
    <w:rsid w:val="00353602"/>
    <w:rsid w:val="00353912"/>
    <w:rsid w:val="00353A2C"/>
    <w:rsid w:val="00353D81"/>
    <w:rsid w:val="00353D97"/>
    <w:rsid w:val="00354132"/>
    <w:rsid w:val="0035418F"/>
    <w:rsid w:val="00354743"/>
    <w:rsid w:val="003548B2"/>
    <w:rsid w:val="00354965"/>
    <w:rsid w:val="00354ABF"/>
    <w:rsid w:val="00354D8E"/>
    <w:rsid w:val="003551C4"/>
    <w:rsid w:val="00355331"/>
    <w:rsid w:val="0035548A"/>
    <w:rsid w:val="003554F8"/>
    <w:rsid w:val="00355556"/>
    <w:rsid w:val="00355B4C"/>
    <w:rsid w:val="00355C8A"/>
    <w:rsid w:val="00355EB5"/>
    <w:rsid w:val="003560AB"/>
    <w:rsid w:val="003561B9"/>
    <w:rsid w:val="003563AC"/>
    <w:rsid w:val="00356785"/>
    <w:rsid w:val="00356832"/>
    <w:rsid w:val="00356A03"/>
    <w:rsid w:val="00356A21"/>
    <w:rsid w:val="00356F3B"/>
    <w:rsid w:val="00356F8F"/>
    <w:rsid w:val="00357110"/>
    <w:rsid w:val="0035716B"/>
    <w:rsid w:val="003571E4"/>
    <w:rsid w:val="003575EF"/>
    <w:rsid w:val="00357747"/>
    <w:rsid w:val="00360007"/>
    <w:rsid w:val="0036011D"/>
    <w:rsid w:val="0036030A"/>
    <w:rsid w:val="00360EA5"/>
    <w:rsid w:val="00360F44"/>
    <w:rsid w:val="0036111C"/>
    <w:rsid w:val="00361151"/>
    <w:rsid w:val="0036138A"/>
    <w:rsid w:val="00361700"/>
    <w:rsid w:val="00361EC9"/>
    <w:rsid w:val="00362289"/>
    <w:rsid w:val="003625C7"/>
    <w:rsid w:val="003625F0"/>
    <w:rsid w:val="0036275C"/>
    <w:rsid w:val="003627E2"/>
    <w:rsid w:val="003629FA"/>
    <w:rsid w:val="00362CE0"/>
    <w:rsid w:val="00363273"/>
    <w:rsid w:val="00363370"/>
    <w:rsid w:val="003635B0"/>
    <w:rsid w:val="00363727"/>
    <w:rsid w:val="003640C2"/>
    <w:rsid w:val="00364350"/>
    <w:rsid w:val="003647A5"/>
    <w:rsid w:val="0036496F"/>
    <w:rsid w:val="00364CF2"/>
    <w:rsid w:val="00364E39"/>
    <w:rsid w:val="00364F35"/>
    <w:rsid w:val="003651AF"/>
    <w:rsid w:val="003651FF"/>
    <w:rsid w:val="003652BB"/>
    <w:rsid w:val="00365408"/>
    <w:rsid w:val="0036558C"/>
    <w:rsid w:val="00365D2C"/>
    <w:rsid w:val="00366579"/>
    <w:rsid w:val="003667DA"/>
    <w:rsid w:val="00366A5D"/>
    <w:rsid w:val="00366A6A"/>
    <w:rsid w:val="00366BFD"/>
    <w:rsid w:val="00367A2A"/>
    <w:rsid w:val="00367BB3"/>
    <w:rsid w:val="00367BEC"/>
    <w:rsid w:val="00367C2D"/>
    <w:rsid w:val="00367C94"/>
    <w:rsid w:val="00367E55"/>
    <w:rsid w:val="00367E5D"/>
    <w:rsid w:val="0037002A"/>
    <w:rsid w:val="0037025A"/>
    <w:rsid w:val="0037028F"/>
    <w:rsid w:val="0037043D"/>
    <w:rsid w:val="00370D00"/>
    <w:rsid w:val="00370ECE"/>
    <w:rsid w:val="003714BA"/>
    <w:rsid w:val="00371649"/>
    <w:rsid w:val="003719BF"/>
    <w:rsid w:val="00371B12"/>
    <w:rsid w:val="00371F2A"/>
    <w:rsid w:val="00372780"/>
    <w:rsid w:val="003727FA"/>
    <w:rsid w:val="00372F3B"/>
    <w:rsid w:val="00373710"/>
    <w:rsid w:val="003738B9"/>
    <w:rsid w:val="003738CD"/>
    <w:rsid w:val="00373EAF"/>
    <w:rsid w:val="00373FF9"/>
    <w:rsid w:val="0037416A"/>
    <w:rsid w:val="00374184"/>
    <w:rsid w:val="003741AD"/>
    <w:rsid w:val="003748D0"/>
    <w:rsid w:val="00374948"/>
    <w:rsid w:val="00375010"/>
    <w:rsid w:val="003751FA"/>
    <w:rsid w:val="00375497"/>
    <w:rsid w:val="00375541"/>
    <w:rsid w:val="0037560F"/>
    <w:rsid w:val="0037561A"/>
    <w:rsid w:val="003756DE"/>
    <w:rsid w:val="0037597F"/>
    <w:rsid w:val="00375B29"/>
    <w:rsid w:val="00375DE2"/>
    <w:rsid w:val="00375E90"/>
    <w:rsid w:val="00375EFA"/>
    <w:rsid w:val="00376033"/>
    <w:rsid w:val="00376141"/>
    <w:rsid w:val="00376351"/>
    <w:rsid w:val="00376850"/>
    <w:rsid w:val="00376AE4"/>
    <w:rsid w:val="00376C6A"/>
    <w:rsid w:val="00376F06"/>
    <w:rsid w:val="0037728A"/>
    <w:rsid w:val="00377419"/>
    <w:rsid w:val="00377427"/>
    <w:rsid w:val="00377759"/>
    <w:rsid w:val="003777BC"/>
    <w:rsid w:val="0037784A"/>
    <w:rsid w:val="00377AC3"/>
    <w:rsid w:val="00377F99"/>
    <w:rsid w:val="00377FB6"/>
    <w:rsid w:val="0037C7E9"/>
    <w:rsid w:val="003803EF"/>
    <w:rsid w:val="00380403"/>
    <w:rsid w:val="00380A20"/>
    <w:rsid w:val="00380F53"/>
    <w:rsid w:val="003814BA"/>
    <w:rsid w:val="003814DE"/>
    <w:rsid w:val="003819F4"/>
    <w:rsid w:val="00381D8B"/>
    <w:rsid w:val="003820BE"/>
    <w:rsid w:val="003823F1"/>
    <w:rsid w:val="0038249B"/>
    <w:rsid w:val="0038284A"/>
    <w:rsid w:val="00382897"/>
    <w:rsid w:val="00382E29"/>
    <w:rsid w:val="00383680"/>
    <w:rsid w:val="00383BC9"/>
    <w:rsid w:val="00383EF9"/>
    <w:rsid w:val="00384690"/>
    <w:rsid w:val="003848EC"/>
    <w:rsid w:val="0038491A"/>
    <w:rsid w:val="003849D4"/>
    <w:rsid w:val="0038504B"/>
    <w:rsid w:val="00385105"/>
    <w:rsid w:val="003852C0"/>
    <w:rsid w:val="0038548B"/>
    <w:rsid w:val="00385608"/>
    <w:rsid w:val="00385A16"/>
    <w:rsid w:val="00385FAD"/>
    <w:rsid w:val="003864C1"/>
    <w:rsid w:val="003868C2"/>
    <w:rsid w:val="00386B68"/>
    <w:rsid w:val="00386E17"/>
    <w:rsid w:val="00386EAE"/>
    <w:rsid w:val="0038758C"/>
    <w:rsid w:val="003876A8"/>
    <w:rsid w:val="00387D13"/>
    <w:rsid w:val="00390060"/>
    <w:rsid w:val="0039011F"/>
    <w:rsid w:val="00390629"/>
    <w:rsid w:val="0039076E"/>
    <w:rsid w:val="003908B7"/>
    <w:rsid w:val="003909AE"/>
    <w:rsid w:val="003912FF"/>
    <w:rsid w:val="003913F1"/>
    <w:rsid w:val="003916A5"/>
    <w:rsid w:val="0039192D"/>
    <w:rsid w:val="00391AFE"/>
    <w:rsid w:val="00391CCB"/>
    <w:rsid w:val="00391DFE"/>
    <w:rsid w:val="00392342"/>
    <w:rsid w:val="00392356"/>
    <w:rsid w:val="003923C5"/>
    <w:rsid w:val="0039244E"/>
    <w:rsid w:val="00392877"/>
    <w:rsid w:val="0039290B"/>
    <w:rsid w:val="00392C09"/>
    <w:rsid w:val="00392FAE"/>
    <w:rsid w:val="00393074"/>
    <w:rsid w:val="00393283"/>
    <w:rsid w:val="003934B2"/>
    <w:rsid w:val="0039375F"/>
    <w:rsid w:val="003937A9"/>
    <w:rsid w:val="00393916"/>
    <w:rsid w:val="00393928"/>
    <w:rsid w:val="00393A61"/>
    <w:rsid w:val="00393BC3"/>
    <w:rsid w:val="00393DE0"/>
    <w:rsid w:val="00394170"/>
    <w:rsid w:val="0039443D"/>
    <w:rsid w:val="00394454"/>
    <w:rsid w:val="00394538"/>
    <w:rsid w:val="003954CC"/>
    <w:rsid w:val="00395655"/>
    <w:rsid w:val="00395F99"/>
    <w:rsid w:val="00395FDA"/>
    <w:rsid w:val="0039603B"/>
    <w:rsid w:val="00396162"/>
    <w:rsid w:val="00396324"/>
    <w:rsid w:val="00396510"/>
    <w:rsid w:val="00396AE4"/>
    <w:rsid w:val="00396B71"/>
    <w:rsid w:val="00396F3B"/>
    <w:rsid w:val="003971C0"/>
    <w:rsid w:val="00397611"/>
    <w:rsid w:val="003978C8"/>
    <w:rsid w:val="00397A40"/>
    <w:rsid w:val="00397D8D"/>
    <w:rsid w:val="00397F56"/>
    <w:rsid w:val="003A002D"/>
    <w:rsid w:val="003A003E"/>
    <w:rsid w:val="003A02E2"/>
    <w:rsid w:val="003A0965"/>
    <w:rsid w:val="003A0974"/>
    <w:rsid w:val="003A0D37"/>
    <w:rsid w:val="003A0DD2"/>
    <w:rsid w:val="003A1322"/>
    <w:rsid w:val="003A161F"/>
    <w:rsid w:val="003A21C8"/>
    <w:rsid w:val="003A23B1"/>
    <w:rsid w:val="003A2752"/>
    <w:rsid w:val="003A276E"/>
    <w:rsid w:val="003A2BB7"/>
    <w:rsid w:val="003A2BE9"/>
    <w:rsid w:val="003A2C9E"/>
    <w:rsid w:val="003A2CA0"/>
    <w:rsid w:val="003A3466"/>
    <w:rsid w:val="003A3717"/>
    <w:rsid w:val="003A373E"/>
    <w:rsid w:val="003A3853"/>
    <w:rsid w:val="003A3C5B"/>
    <w:rsid w:val="003A3CA2"/>
    <w:rsid w:val="003A3D0E"/>
    <w:rsid w:val="003A3DF1"/>
    <w:rsid w:val="003A3E53"/>
    <w:rsid w:val="003A4381"/>
    <w:rsid w:val="003A43B4"/>
    <w:rsid w:val="003A43C7"/>
    <w:rsid w:val="003A43CE"/>
    <w:rsid w:val="003A4424"/>
    <w:rsid w:val="003A4B1D"/>
    <w:rsid w:val="003A4BF2"/>
    <w:rsid w:val="003A530C"/>
    <w:rsid w:val="003A565E"/>
    <w:rsid w:val="003A5841"/>
    <w:rsid w:val="003A5BF2"/>
    <w:rsid w:val="003A5C1B"/>
    <w:rsid w:val="003A6034"/>
    <w:rsid w:val="003A64AD"/>
    <w:rsid w:val="003A6611"/>
    <w:rsid w:val="003A6616"/>
    <w:rsid w:val="003A663B"/>
    <w:rsid w:val="003A6979"/>
    <w:rsid w:val="003A7939"/>
    <w:rsid w:val="003A7B17"/>
    <w:rsid w:val="003A7BFC"/>
    <w:rsid w:val="003A7EEF"/>
    <w:rsid w:val="003B03EA"/>
    <w:rsid w:val="003B06EF"/>
    <w:rsid w:val="003B0BA4"/>
    <w:rsid w:val="003B0C8D"/>
    <w:rsid w:val="003B0D10"/>
    <w:rsid w:val="003B0DC5"/>
    <w:rsid w:val="003B14AE"/>
    <w:rsid w:val="003B16AC"/>
    <w:rsid w:val="003B1D4A"/>
    <w:rsid w:val="003B24E3"/>
    <w:rsid w:val="003B262A"/>
    <w:rsid w:val="003B29B0"/>
    <w:rsid w:val="003B2AEB"/>
    <w:rsid w:val="003B2B9F"/>
    <w:rsid w:val="003B2C60"/>
    <w:rsid w:val="003B2C73"/>
    <w:rsid w:val="003B2DA8"/>
    <w:rsid w:val="003B2ED7"/>
    <w:rsid w:val="003B2FDA"/>
    <w:rsid w:val="003B3044"/>
    <w:rsid w:val="003B3113"/>
    <w:rsid w:val="003B36BB"/>
    <w:rsid w:val="003B3D4E"/>
    <w:rsid w:val="003B3D7E"/>
    <w:rsid w:val="003B3E8F"/>
    <w:rsid w:val="003B42CE"/>
    <w:rsid w:val="003B4BD3"/>
    <w:rsid w:val="003B4BDF"/>
    <w:rsid w:val="003B539D"/>
    <w:rsid w:val="003B5635"/>
    <w:rsid w:val="003B58C5"/>
    <w:rsid w:val="003B597B"/>
    <w:rsid w:val="003B5ACB"/>
    <w:rsid w:val="003B5C10"/>
    <w:rsid w:val="003B5D24"/>
    <w:rsid w:val="003B5D66"/>
    <w:rsid w:val="003B5F64"/>
    <w:rsid w:val="003B62B0"/>
    <w:rsid w:val="003B6635"/>
    <w:rsid w:val="003B665E"/>
    <w:rsid w:val="003B6A6E"/>
    <w:rsid w:val="003B6A93"/>
    <w:rsid w:val="003B6C2D"/>
    <w:rsid w:val="003B727F"/>
    <w:rsid w:val="003B76C3"/>
    <w:rsid w:val="003B7885"/>
    <w:rsid w:val="003B7CC7"/>
    <w:rsid w:val="003B7FBA"/>
    <w:rsid w:val="003C013F"/>
    <w:rsid w:val="003C0171"/>
    <w:rsid w:val="003C0199"/>
    <w:rsid w:val="003C06CE"/>
    <w:rsid w:val="003C07EE"/>
    <w:rsid w:val="003C0A03"/>
    <w:rsid w:val="003C0D20"/>
    <w:rsid w:val="003C0FFD"/>
    <w:rsid w:val="003C13E8"/>
    <w:rsid w:val="003C16A9"/>
    <w:rsid w:val="003C19CB"/>
    <w:rsid w:val="003C19FB"/>
    <w:rsid w:val="003C1CE7"/>
    <w:rsid w:val="003C1E3C"/>
    <w:rsid w:val="003C1F94"/>
    <w:rsid w:val="003C202D"/>
    <w:rsid w:val="003C2267"/>
    <w:rsid w:val="003C23B1"/>
    <w:rsid w:val="003C2401"/>
    <w:rsid w:val="003C29DB"/>
    <w:rsid w:val="003C2A91"/>
    <w:rsid w:val="003C2C81"/>
    <w:rsid w:val="003C2E13"/>
    <w:rsid w:val="003C2F11"/>
    <w:rsid w:val="003C302B"/>
    <w:rsid w:val="003C321E"/>
    <w:rsid w:val="003C3566"/>
    <w:rsid w:val="003C3BB2"/>
    <w:rsid w:val="003C4462"/>
    <w:rsid w:val="003C4694"/>
    <w:rsid w:val="003C46C9"/>
    <w:rsid w:val="003C4809"/>
    <w:rsid w:val="003C4AB2"/>
    <w:rsid w:val="003C4D3E"/>
    <w:rsid w:val="003C507A"/>
    <w:rsid w:val="003C6060"/>
    <w:rsid w:val="003C62C0"/>
    <w:rsid w:val="003C66C0"/>
    <w:rsid w:val="003C6B22"/>
    <w:rsid w:val="003C6CA4"/>
    <w:rsid w:val="003C6F6E"/>
    <w:rsid w:val="003C716A"/>
    <w:rsid w:val="003D0B53"/>
    <w:rsid w:val="003D14CF"/>
    <w:rsid w:val="003D1529"/>
    <w:rsid w:val="003D16E3"/>
    <w:rsid w:val="003D1A54"/>
    <w:rsid w:val="003D1E71"/>
    <w:rsid w:val="003D22CF"/>
    <w:rsid w:val="003D2D2F"/>
    <w:rsid w:val="003D2D6C"/>
    <w:rsid w:val="003D2F10"/>
    <w:rsid w:val="003D3084"/>
    <w:rsid w:val="003D35A3"/>
    <w:rsid w:val="003D38B5"/>
    <w:rsid w:val="003D3B05"/>
    <w:rsid w:val="003D3FC3"/>
    <w:rsid w:val="003D417F"/>
    <w:rsid w:val="003D467E"/>
    <w:rsid w:val="003D47C4"/>
    <w:rsid w:val="003D4C78"/>
    <w:rsid w:val="003D4CD3"/>
    <w:rsid w:val="003D4F79"/>
    <w:rsid w:val="003D5011"/>
    <w:rsid w:val="003D59D0"/>
    <w:rsid w:val="003D5E5F"/>
    <w:rsid w:val="003D5F0F"/>
    <w:rsid w:val="003D6B05"/>
    <w:rsid w:val="003D6C62"/>
    <w:rsid w:val="003D6D20"/>
    <w:rsid w:val="003D7480"/>
    <w:rsid w:val="003D7CAF"/>
    <w:rsid w:val="003D7CE2"/>
    <w:rsid w:val="003D7D39"/>
    <w:rsid w:val="003D7E93"/>
    <w:rsid w:val="003E0321"/>
    <w:rsid w:val="003E05F6"/>
    <w:rsid w:val="003E0E90"/>
    <w:rsid w:val="003E0EB4"/>
    <w:rsid w:val="003E0F77"/>
    <w:rsid w:val="003E10F1"/>
    <w:rsid w:val="003E14D2"/>
    <w:rsid w:val="003E17AD"/>
    <w:rsid w:val="003E18ED"/>
    <w:rsid w:val="003E1D10"/>
    <w:rsid w:val="003E1D58"/>
    <w:rsid w:val="003E1F81"/>
    <w:rsid w:val="003E1F91"/>
    <w:rsid w:val="003E1FE4"/>
    <w:rsid w:val="003E21ED"/>
    <w:rsid w:val="003E224D"/>
    <w:rsid w:val="003E2782"/>
    <w:rsid w:val="003E2B61"/>
    <w:rsid w:val="003E31D8"/>
    <w:rsid w:val="003E33B2"/>
    <w:rsid w:val="003E342A"/>
    <w:rsid w:val="003E38CB"/>
    <w:rsid w:val="003E3A8A"/>
    <w:rsid w:val="003E3C2D"/>
    <w:rsid w:val="003E4051"/>
    <w:rsid w:val="003E4413"/>
    <w:rsid w:val="003E451B"/>
    <w:rsid w:val="003E45D7"/>
    <w:rsid w:val="003E498F"/>
    <w:rsid w:val="003E4A44"/>
    <w:rsid w:val="003E4C66"/>
    <w:rsid w:val="003E4CB7"/>
    <w:rsid w:val="003E4EE3"/>
    <w:rsid w:val="003E507D"/>
    <w:rsid w:val="003E52D6"/>
    <w:rsid w:val="003E542D"/>
    <w:rsid w:val="003E54A3"/>
    <w:rsid w:val="003E54EA"/>
    <w:rsid w:val="003E5AD1"/>
    <w:rsid w:val="003E5B26"/>
    <w:rsid w:val="003E5F02"/>
    <w:rsid w:val="003E5F37"/>
    <w:rsid w:val="003E6049"/>
    <w:rsid w:val="003E6958"/>
    <w:rsid w:val="003E6A36"/>
    <w:rsid w:val="003E6EAD"/>
    <w:rsid w:val="003E6ED4"/>
    <w:rsid w:val="003E6F49"/>
    <w:rsid w:val="003E7598"/>
    <w:rsid w:val="003E79B0"/>
    <w:rsid w:val="003E7E98"/>
    <w:rsid w:val="003F010B"/>
    <w:rsid w:val="003F0160"/>
    <w:rsid w:val="003F021C"/>
    <w:rsid w:val="003F05D4"/>
    <w:rsid w:val="003F0750"/>
    <w:rsid w:val="003F09F7"/>
    <w:rsid w:val="003F0BD0"/>
    <w:rsid w:val="003F0C4C"/>
    <w:rsid w:val="003F0EA4"/>
    <w:rsid w:val="003F117A"/>
    <w:rsid w:val="003F146A"/>
    <w:rsid w:val="003F165F"/>
    <w:rsid w:val="003F1744"/>
    <w:rsid w:val="003F19C1"/>
    <w:rsid w:val="003F1AA1"/>
    <w:rsid w:val="003F1C3A"/>
    <w:rsid w:val="003F1F56"/>
    <w:rsid w:val="003F2027"/>
    <w:rsid w:val="003F20CE"/>
    <w:rsid w:val="003F21A7"/>
    <w:rsid w:val="003F24BC"/>
    <w:rsid w:val="003F25B5"/>
    <w:rsid w:val="003F2695"/>
    <w:rsid w:val="003F2758"/>
    <w:rsid w:val="003F2DD9"/>
    <w:rsid w:val="003F30DC"/>
    <w:rsid w:val="003F3126"/>
    <w:rsid w:val="003F36AF"/>
    <w:rsid w:val="003F37FF"/>
    <w:rsid w:val="003F3A60"/>
    <w:rsid w:val="003F41FF"/>
    <w:rsid w:val="003F42B2"/>
    <w:rsid w:val="003F46FA"/>
    <w:rsid w:val="003F48C7"/>
    <w:rsid w:val="003F4CEA"/>
    <w:rsid w:val="003F4FDC"/>
    <w:rsid w:val="003F518D"/>
    <w:rsid w:val="003F521C"/>
    <w:rsid w:val="003F52C1"/>
    <w:rsid w:val="003F53A2"/>
    <w:rsid w:val="003F58D2"/>
    <w:rsid w:val="003F5D4F"/>
    <w:rsid w:val="003F5E13"/>
    <w:rsid w:val="003F5F95"/>
    <w:rsid w:val="003F6213"/>
    <w:rsid w:val="003F65DE"/>
    <w:rsid w:val="003F6888"/>
    <w:rsid w:val="003F68C9"/>
    <w:rsid w:val="003F6977"/>
    <w:rsid w:val="003F6A48"/>
    <w:rsid w:val="003F6ACD"/>
    <w:rsid w:val="003F6B52"/>
    <w:rsid w:val="003F6D00"/>
    <w:rsid w:val="003F6FA1"/>
    <w:rsid w:val="003F7520"/>
    <w:rsid w:val="003F768B"/>
    <w:rsid w:val="003F7782"/>
    <w:rsid w:val="003F77FB"/>
    <w:rsid w:val="003F795A"/>
    <w:rsid w:val="0040055D"/>
    <w:rsid w:val="00400794"/>
    <w:rsid w:val="00401169"/>
    <w:rsid w:val="00401222"/>
    <w:rsid w:val="004012D5"/>
    <w:rsid w:val="00401385"/>
    <w:rsid w:val="0040146A"/>
    <w:rsid w:val="004017A3"/>
    <w:rsid w:val="004017D1"/>
    <w:rsid w:val="004020CA"/>
    <w:rsid w:val="004026BB"/>
    <w:rsid w:val="00402CC7"/>
    <w:rsid w:val="00402D70"/>
    <w:rsid w:val="00402E16"/>
    <w:rsid w:val="00403486"/>
    <w:rsid w:val="00403630"/>
    <w:rsid w:val="00403CE4"/>
    <w:rsid w:val="00403E9D"/>
    <w:rsid w:val="004040D7"/>
    <w:rsid w:val="004044BD"/>
    <w:rsid w:val="004046EE"/>
    <w:rsid w:val="00404941"/>
    <w:rsid w:val="00404B69"/>
    <w:rsid w:val="00405070"/>
    <w:rsid w:val="00405324"/>
    <w:rsid w:val="0040540B"/>
    <w:rsid w:val="0040584F"/>
    <w:rsid w:val="00405C08"/>
    <w:rsid w:val="00405EDB"/>
    <w:rsid w:val="0040608A"/>
    <w:rsid w:val="004060DA"/>
    <w:rsid w:val="00406274"/>
    <w:rsid w:val="00406439"/>
    <w:rsid w:val="00406480"/>
    <w:rsid w:val="00406920"/>
    <w:rsid w:val="00406A58"/>
    <w:rsid w:val="004070A0"/>
    <w:rsid w:val="00407587"/>
    <w:rsid w:val="004075A3"/>
    <w:rsid w:val="00407918"/>
    <w:rsid w:val="00407B17"/>
    <w:rsid w:val="00407DF4"/>
    <w:rsid w:val="00407F33"/>
    <w:rsid w:val="004100C3"/>
    <w:rsid w:val="004101E9"/>
    <w:rsid w:val="004105C9"/>
    <w:rsid w:val="004105FA"/>
    <w:rsid w:val="004107FF"/>
    <w:rsid w:val="00410A10"/>
    <w:rsid w:val="00410A3F"/>
    <w:rsid w:val="00410A9C"/>
    <w:rsid w:val="00410AE8"/>
    <w:rsid w:val="00410D04"/>
    <w:rsid w:val="0041126E"/>
    <w:rsid w:val="004112AC"/>
    <w:rsid w:val="004113E5"/>
    <w:rsid w:val="0041144F"/>
    <w:rsid w:val="0041153F"/>
    <w:rsid w:val="0041167D"/>
    <w:rsid w:val="004117F4"/>
    <w:rsid w:val="0041197E"/>
    <w:rsid w:val="00411EC2"/>
    <w:rsid w:val="004121AA"/>
    <w:rsid w:val="004124ED"/>
    <w:rsid w:val="004126AE"/>
    <w:rsid w:val="00412C6A"/>
    <w:rsid w:val="00412F8B"/>
    <w:rsid w:val="004130BC"/>
    <w:rsid w:val="00413124"/>
    <w:rsid w:val="004132A2"/>
    <w:rsid w:val="0041393A"/>
    <w:rsid w:val="004141A3"/>
    <w:rsid w:val="00414221"/>
    <w:rsid w:val="0041432C"/>
    <w:rsid w:val="004143B1"/>
    <w:rsid w:val="004144D3"/>
    <w:rsid w:val="00414B2F"/>
    <w:rsid w:val="00414F9D"/>
    <w:rsid w:val="004152A6"/>
    <w:rsid w:val="00415301"/>
    <w:rsid w:val="0041578E"/>
    <w:rsid w:val="004157CD"/>
    <w:rsid w:val="00415803"/>
    <w:rsid w:val="00415857"/>
    <w:rsid w:val="00415A55"/>
    <w:rsid w:val="00415EB9"/>
    <w:rsid w:val="00416132"/>
    <w:rsid w:val="00416148"/>
    <w:rsid w:val="0041621E"/>
    <w:rsid w:val="004164B0"/>
    <w:rsid w:val="004165B7"/>
    <w:rsid w:val="004166B5"/>
    <w:rsid w:val="00416872"/>
    <w:rsid w:val="004172F4"/>
    <w:rsid w:val="00417638"/>
    <w:rsid w:val="0041767C"/>
    <w:rsid w:val="00417826"/>
    <w:rsid w:val="004179DB"/>
    <w:rsid w:val="00417BD5"/>
    <w:rsid w:val="00417C16"/>
    <w:rsid w:val="00417C78"/>
    <w:rsid w:val="004201AB"/>
    <w:rsid w:val="004207D1"/>
    <w:rsid w:val="00420D04"/>
    <w:rsid w:val="00420EBD"/>
    <w:rsid w:val="00421513"/>
    <w:rsid w:val="00421629"/>
    <w:rsid w:val="00421882"/>
    <w:rsid w:val="0042241F"/>
    <w:rsid w:val="0042252E"/>
    <w:rsid w:val="00422702"/>
    <w:rsid w:val="00422A6A"/>
    <w:rsid w:val="00422AB9"/>
    <w:rsid w:val="00422C64"/>
    <w:rsid w:val="00422E55"/>
    <w:rsid w:val="0042304F"/>
    <w:rsid w:val="00423077"/>
    <w:rsid w:val="004230C5"/>
    <w:rsid w:val="00423319"/>
    <w:rsid w:val="0042365C"/>
    <w:rsid w:val="00423683"/>
    <w:rsid w:val="004237E4"/>
    <w:rsid w:val="00423B60"/>
    <w:rsid w:val="00423E4C"/>
    <w:rsid w:val="00423EC7"/>
    <w:rsid w:val="0042400B"/>
    <w:rsid w:val="004247A8"/>
    <w:rsid w:val="00424D46"/>
    <w:rsid w:val="00424E88"/>
    <w:rsid w:val="00425153"/>
    <w:rsid w:val="00425431"/>
    <w:rsid w:val="00425811"/>
    <w:rsid w:val="00425A1E"/>
    <w:rsid w:val="00425A2E"/>
    <w:rsid w:val="00425BC3"/>
    <w:rsid w:val="00425D61"/>
    <w:rsid w:val="00425F5F"/>
    <w:rsid w:val="00425FCB"/>
    <w:rsid w:val="004260B4"/>
    <w:rsid w:val="004267B0"/>
    <w:rsid w:val="00426958"/>
    <w:rsid w:val="004269CE"/>
    <w:rsid w:val="00426A36"/>
    <w:rsid w:val="00426A4D"/>
    <w:rsid w:val="00426B13"/>
    <w:rsid w:val="004271BC"/>
    <w:rsid w:val="00427428"/>
    <w:rsid w:val="004300F3"/>
    <w:rsid w:val="0043018E"/>
    <w:rsid w:val="00430246"/>
    <w:rsid w:val="00430514"/>
    <w:rsid w:val="00430755"/>
    <w:rsid w:val="00430A3A"/>
    <w:rsid w:val="00430AC7"/>
    <w:rsid w:val="00430F1B"/>
    <w:rsid w:val="004315B6"/>
    <w:rsid w:val="00431941"/>
    <w:rsid w:val="00431E58"/>
    <w:rsid w:val="004325D4"/>
    <w:rsid w:val="004327E1"/>
    <w:rsid w:val="00432872"/>
    <w:rsid w:val="00432C4C"/>
    <w:rsid w:val="00432DB0"/>
    <w:rsid w:val="00432E45"/>
    <w:rsid w:val="00433605"/>
    <w:rsid w:val="00433609"/>
    <w:rsid w:val="00433899"/>
    <w:rsid w:val="00433B12"/>
    <w:rsid w:val="00433B93"/>
    <w:rsid w:val="00433C27"/>
    <w:rsid w:val="00434005"/>
    <w:rsid w:val="00434240"/>
    <w:rsid w:val="00434351"/>
    <w:rsid w:val="0043435C"/>
    <w:rsid w:val="004345CD"/>
    <w:rsid w:val="00434641"/>
    <w:rsid w:val="00434BBF"/>
    <w:rsid w:val="00434BE0"/>
    <w:rsid w:val="00434CDD"/>
    <w:rsid w:val="00435182"/>
    <w:rsid w:val="004352B6"/>
    <w:rsid w:val="004355D0"/>
    <w:rsid w:val="004355E8"/>
    <w:rsid w:val="00435641"/>
    <w:rsid w:val="00435BAA"/>
    <w:rsid w:val="00435D74"/>
    <w:rsid w:val="00435EA0"/>
    <w:rsid w:val="00435ED3"/>
    <w:rsid w:val="00436218"/>
    <w:rsid w:val="004363CF"/>
    <w:rsid w:val="00436435"/>
    <w:rsid w:val="00436A05"/>
    <w:rsid w:val="00436A12"/>
    <w:rsid w:val="004373D7"/>
    <w:rsid w:val="0043740A"/>
    <w:rsid w:val="0043758C"/>
    <w:rsid w:val="00437652"/>
    <w:rsid w:val="0043768B"/>
    <w:rsid w:val="00437941"/>
    <w:rsid w:val="00437DAC"/>
    <w:rsid w:val="00437DEC"/>
    <w:rsid w:val="00437F94"/>
    <w:rsid w:val="00440525"/>
    <w:rsid w:val="00440563"/>
    <w:rsid w:val="00440FBA"/>
    <w:rsid w:val="004413F7"/>
    <w:rsid w:val="004416C5"/>
    <w:rsid w:val="00441787"/>
    <w:rsid w:val="004419B4"/>
    <w:rsid w:val="00441A6B"/>
    <w:rsid w:val="00441F9D"/>
    <w:rsid w:val="004423D3"/>
    <w:rsid w:val="00442699"/>
    <w:rsid w:val="00442C0B"/>
    <w:rsid w:val="00442D18"/>
    <w:rsid w:val="0044367E"/>
    <w:rsid w:val="00443D3A"/>
    <w:rsid w:val="00443FC5"/>
    <w:rsid w:val="0044423A"/>
    <w:rsid w:val="004444AB"/>
    <w:rsid w:val="00444682"/>
    <w:rsid w:val="00445014"/>
    <w:rsid w:val="00445182"/>
    <w:rsid w:val="004452FE"/>
    <w:rsid w:val="004453A5"/>
    <w:rsid w:val="00445460"/>
    <w:rsid w:val="00445650"/>
    <w:rsid w:val="004459AD"/>
    <w:rsid w:val="0044605A"/>
    <w:rsid w:val="00446687"/>
    <w:rsid w:val="00446A54"/>
    <w:rsid w:val="00446B03"/>
    <w:rsid w:val="00446E6D"/>
    <w:rsid w:val="00446ED5"/>
    <w:rsid w:val="00447166"/>
    <w:rsid w:val="00447240"/>
    <w:rsid w:val="004477D9"/>
    <w:rsid w:val="0044797F"/>
    <w:rsid w:val="00447A3A"/>
    <w:rsid w:val="00447C6E"/>
    <w:rsid w:val="00447E2C"/>
    <w:rsid w:val="004500A0"/>
    <w:rsid w:val="00450135"/>
    <w:rsid w:val="0045014F"/>
    <w:rsid w:val="004503A2"/>
    <w:rsid w:val="0045053D"/>
    <w:rsid w:val="004505DD"/>
    <w:rsid w:val="00450C60"/>
    <w:rsid w:val="00450E06"/>
    <w:rsid w:val="00451208"/>
    <w:rsid w:val="0045135E"/>
    <w:rsid w:val="00451445"/>
    <w:rsid w:val="00451469"/>
    <w:rsid w:val="0045172E"/>
    <w:rsid w:val="0045183E"/>
    <w:rsid w:val="004519EC"/>
    <w:rsid w:val="00451A0A"/>
    <w:rsid w:val="00451A94"/>
    <w:rsid w:val="00451CF0"/>
    <w:rsid w:val="0045202E"/>
    <w:rsid w:val="00452045"/>
    <w:rsid w:val="00452773"/>
    <w:rsid w:val="004527FE"/>
    <w:rsid w:val="00452C5E"/>
    <w:rsid w:val="00452DAF"/>
    <w:rsid w:val="00453153"/>
    <w:rsid w:val="004533BF"/>
    <w:rsid w:val="004534E7"/>
    <w:rsid w:val="00453CDA"/>
    <w:rsid w:val="00454109"/>
    <w:rsid w:val="0045436C"/>
    <w:rsid w:val="004543E0"/>
    <w:rsid w:val="00454484"/>
    <w:rsid w:val="0045452B"/>
    <w:rsid w:val="00454B55"/>
    <w:rsid w:val="00454DB3"/>
    <w:rsid w:val="00454E72"/>
    <w:rsid w:val="0045521A"/>
    <w:rsid w:val="00455429"/>
    <w:rsid w:val="00455816"/>
    <w:rsid w:val="0045598D"/>
    <w:rsid w:val="004559BC"/>
    <w:rsid w:val="00455A5E"/>
    <w:rsid w:val="00455C2A"/>
    <w:rsid w:val="00455F91"/>
    <w:rsid w:val="004560A4"/>
    <w:rsid w:val="0045664C"/>
    <w:rsid w:val="00456BCE"/>
    <w:rsid w:val="00456D2C"/>
    <w:rsid w:val="00456F55"/>
    <w:rsid w:val="00457230"/>
    <w:rsid w:val="0045727B"/>
    <w:rsid w:val="00457B7A"/>
    <w:rsid w:val="00457DB8"/>
    <w:rsid w:val="004602F4"/>
    <w:rsid w:val="0046063E"/>
    <w:rsid w:val="004607FE"/>
    <w:rsid w:val="004609C1"/>
    <w:rsid w:val="004609CE"/>
    <w:rsid w:val="00460C28"/>
    <w:rsid w:val="00460D6B"/>
    <w:rsid w:val="00460E3F"/>
    <w:rsid w:val="00461161"/>
    <w:rsid w:val="00461342"/>
    <w:rsid w:val="00461716"/>
    <w:rsid w:val="00461C5C"/>
    <w:rsid w:val="0046248E"/>
    <w:rsid w:val="00462F35"/>
    <w:rsid w:val="00462F62"/>
    <w:rsid w:val="004636DB"/>
    <w:rsid w:val="00463905"/>
    <w:rsid w:val="004640BE"/>
    <w:rsid w:val="00464D55"/>
    <w:rsid w:val="00465265"/>
    <w:rsid w:val="004653F4"/>
    <w:rsid w:val="00465814"/>
    <w:rsid w:val="004659A1"/>
    <w:rsid w:val="00465D40"/>
    <w:rsid w:val="00465DE2"/>
    <w:rsid w:val="00466089"/>
    <w:rsid w:val="00466278"/>
    <w:rsid w:val="00466309"/>
    <w:rsid w:val="004667AE"/>
    <w:rsid w:val="004667FC"/>
    <w:rsid w:val="0046684F"/>
    <w:rsid w:val="00467261"/>
    <w:rsid w:val="004672CA"/>
    <w:rsid w:val="004672D1"/>
    <w:rsid w:val="00467BD8"/>
    <w:rsid w:val="00467DE3"/>
    <w:rsid w:val="00467FE9"/>
    <w:rsid w:val="00470DC8"/>
    <w:rsid w:val="00470DE0"/>
    <w:rsid w:val="00470EA5"/>
    <w:rsid w:val="00470FCC"/>
    <w:rsid w:val="0047103F"/>
    <w:rsid w:val="0047104A"/>
    <w:rsid w:val="0047112C"/>
    <w:rsid w:val="004714F0"/>
    <w:rsid w:val="00472284"/>
    <w:rsid w:val="004724AF"/>
    <w:rsid w:val="00472892"/>
    <w:rsid w:val="00472B35"/>
    <w:rsid w:val="00472F38"/>
    <w:rsid w:val="00472F61"/>
    <w:rsid w:val="0047348C"/>
    <w:rsid w:val="00473DA6"/>
    <w:rsid w:val="00473DBC"/>
    <w:rsid w:val="00473E53"/>
    <w:rsid w:val="00474395"/>
    <w:rsid w:val="00474530"/>
    <w:rsid w:val="00474870"/>
    <w:rsid w:val="004748F8"/>
    <w:rsid w:val="00474AB6"/>
    <w:rsid w:val="004752CD"/>
    <w:rsid w:val="00475964"/>
    <w:rsid w:val="00475C5C"/>
    <w:rsid w:val="00476005"/>
    <w:rsid w:val="004760E1"/>
    <w:rsid w:val="004762EC"/>
    <w:rsid w:val="004762F5"/>
    <w:rsid w:val="004763D2"/>
    <w:rsid w:val="004764F7"/>
    <w:rsid w:val="004764FC"/>
    <w:rsid w:val="00476568"/>
    <w:rsid w:val="004767B5"/>
    <w:rsid w:val="00476C0B"/>
    <w:rsid w:val="004771CB"/>
    <w:rsid w:val="0047773C"/>
    <w:rsid w:val="00477B5D"/>
    <w:rsid w:val="00477CBC"/>
    <w:rsid w:val="00480042"/>
    <w:rsid w:val="00480278"/>
    <w:rsid w:val="004802C3"/>
    <w:rsid w:val="00480363"/>
    <w:rsid w:val="00480583"/>
    <w:rsid w:val="00480BF8"/>
    <w:rsid w:val="00480E93"/>
    <w:rsid w:val="0048128C"/>
    <w:rsid w:val="004812AD"/>
    <w:rsid w:val="00481335"/>
    <w:rsid w:val="0048138B"/>
    <w:rsid w:val="0048154B"/>
    <w:rsid w:val="00481614"/>
    <w:rsid w:val="0048161B"/>
    <w:rsid w:val="00481658"/>
    <w:rsid w:val="004816EF"/>
    <w:rsid w:val="00481B2A"/>
    <w:rsid w:val="00481DE1"/>
    <w:rsid w:val="00481EDC"/>
    <w:rsid w:val="00482D11"/>
    <w:rsid w:val="00483534"/>
    <w:rsid w:val="004836AE"/>
    <w:rsid w:val="00483703"/>
    <w:rsid w:val="004838F6"/>
    <w:rsid w:val="00483ABF"/>
    <w:rsid w:val="00484338"/>
    <w:rsid w:val="00484BE2"/>
    <w:rsid w:val="00484DBC"/>
    <w:rsid w:val="00484EFB"/>
    <w:rsid w:val="00484F62"/>
    <w:rsid w:val="00485085"/>
    <w:rsid w:val="0048518A"/>
    <w:rsid w:val="0048537E"/>
    <w:rsid w:val="004856CF"/>
    <w:rsid w:val="00486160"/>
    <w:rsid w:val="0048629E"/>
    <w:rsid w:val="004862F6"/>
    <w:rsid w:val="00486303"/>
    <w:rsid w:val="004863F6"/>
    <w:rsid w:val="00486795"/>
    <w:rsid w:val="00487039"/>
    <w:rsid w:val="004870E1"/>
    <w:rsid w:val="004871CD"/>
    <w:rsid w:val="0048732D"/>
    <w:rsid w:val="00487688"/>
    <w:rsid w:val="0048779C"/>
    <w:rsid w:val="0048790B"/>
    <w:rsid w:val="00487911"/>
    <w:rsid w:val="00487F15"/>
    <w:rsid w:val="00490010"/>
    <w:rsid w:val="00490B58"/>
    <w:rsid w:val="00490BA0"/>
    <w:rsid w:val="00490F50"/>
    <w:rsid w:val="0049117D"/>
    <w:rsid w:val="00491B8D"/>
    <w:rsid w:val="00491BD3"/>
    <w:rsid w:val="00491D32"/>
    <w:rsid w:val="00491DB7"/>
    <w:rsid w:val="00491F18"/>
    <w:rsid w:val="0049233C"/>
    <w:rsid w:val="004926AF"/>
    <w:rsid w:val="0049284F"/>
    <w:rsid w:val="004929C6"/>
    <w:rsid w:val="00492B33"/>
    <w:rsid w:val="00492D2F"/>
    <w:rsid w:val="00493043"/>
    <w:rsid w:val="00493368"/>
    <w:rsid w:val="004936CD"/>
    <w:rsid w:val="00493E27"/>
    <w:rsid w:val="004940D2"/>
    <w:rsid w:val="0049435E"/>
    <w:rsid w:val="004944E8"/>
    <w:rsid w:val="00494622"/>
    <w:rsid w:val="00494834"/>
    <w:rsid w:val="0049486C"/>
    <w:rsid w:val="004948D7"/>
    <w:rsid w:val="004949F4"/>
    <w:rsid w:val="00494D70"/>
    <w:rsid w:val="00495141"/>
    <w:rsid w:val="0049547A"/>
    <w:rsid w:val="004958E1"/>
    <w:rsid w:val="00495A08"/>
    <w:rsid w:val="00495CDB"/>
    <w:rsid w:val="00496060"/>
    <w:rsid w:val="00496062"/>
    <w:rsid w:val="00496185"/>
    <w:rsid w:val="004963A9"/>
    <w:rsid w:val="004964D4"/>
    <w:rsid w:val="00496873"/>
    <w:rsid w:val="00496D2C"/>
    <w:rsid w:val="00496D96"/>
    <w:rsid w:val="00496FC2"/>
    <w:rsid w:val="00497A45"/>
    <w:rsid w:val="00497C1C"/>
    <w:rsid w:val="004A0183"/>
    <w:rsid w:val="004A091F"/>
    <w:rsid w:val="004A0B5E"/>
    <w:rsid w:val="004A0BDD"/>
    <w:rsid w:val="004A0C25"/>
    <w:rsid w:val="004A1474"/>
    <w:rsid w:val="004A16D2"/>
    <w:rsid w:val="004A1711"/>
    <w:rsid w:val="004A1BCE"/>
    <w:rsid w:val="004A1C55"/>
    <w:rsid w:val="004A20A2"/>
    <w:rsid w:val="004A21C1"/>
    <w:rsid w:val="004A237B"/>
    <w:rsid w:val="004A251D"/>
    <w:rsid w:val="004A27CC"/>
    <w:rsid w:val="004A2AE8"/>
    <w:rsid w:val="004A2F6D"/>
    <w:rsid w:val="004A2F70"/>
    <w:rsid w:val="004A30D4"/>
    <w:rsid w:val="004A30E7"/>
    <w:rsid w:val="004A31EA"/>
    <w:rsid w:val="004A349D"/>
    <w:rsid w:val="004A34B9"/>
    <w:rsid w:val="004A39F0"/>
    <w:rsid w:val="004A3A6C"/>
    <w:rsid w:val="004A3C59"/>
    <w:rsid w:val="004A3D64"/>
    <w:rsid w:val="004A3EC5"/>
    <w:rsid w:val="004A3FE2"/>
    <w:rsid w:val="004A409F"/>
    <w:rsid w:val="004A40F7"/>
    <w:rsid w:val="004A4258"/>
    <w:rsid w:val="004A43EE"/>
    <w:rsid w:val="004A4737"/>
    <w:rsid w:val="004A48D9"/>
    <w:rsid w:val="004A4DB9"/>
    <w:rsid w:val="004A4E35"/>
    <w:rsid w:val="004A4F67"/>
    <w:rsid w:val="004A5139"/>
    <w:rsid w:val="004A5321"/>
    <w:rsid w:val="004A5365"/>
    <w:rsid w:val="004A578B"/>
    <w:rsid w:val="004A5873"/>
    <w:rsid w:val="004A596E"/>
    <w:rsid w:val="004A5A6B"/>
    <w:rsid w:val="004A5B82"/>
    <w:rsid w:val="004A5C3C"/>
    <w:rsid w:val="004A64A1"/>
    <w:rsid w:val="004A66C6"/>
    <w:rsid w:val="004A6847"/>
    <w:rsid w:val="004A6B2D"/>
    <w:rsid w:val="004A6C81"/>
    <w:rsid w:val="004A71D9"/>
    <w:rsid w:val="004A7376"/>
    <w:rsid w:val="004A7920"/>
    <w:rsid w:val="004A7CE6"/>
    <w:rsid w:val="004A7DBA"/>
    <w:rsid w:val="004B0464"/>
    <w:rsid w:val="004B072C"/>
    <w:rsid w:val="004B0A02"/>
    <w:rsid w:val="004B0A2E"/>
    <w:rsid w:val="004B1005"/>
    <w:rsid w:val="004B103C"/>
    <w:rsid w:val="004B1076"/>
    <w:rsid w:val="004B1368"/>
    <w:rsid w:val="004B166A"/>
    <w:rsid w:val="004B16C9"/>
    <w:rsid w:val="004B16FD"/>
    <w:rsid w:val="004B1B94"/>
    <w:rsid w:val="004B20ED"/>
    <w:rsid w:val="004B239B"/>
    <w:rsid w:val="004B2424"/>
    <w:rsid w:val="004B25C9"/>
    <w:rsid w:val="004B2B4B"/>
    <w:rsid w:val="004B2C3F"/>
    <w:rsid w:val="004B2CEC"/>
    <w:rsid w:val="004B2D24"/>
    <w:rsid w:val="004B303E"/>
    <w:rsid w:val="004B3316"/>
    <w:rsid w:val="004B3526"/>
    <w:rsid w:val="004B3766"/>
    <w:rsid w:val="004B3A3A"/>
    <w:rsid w:val="004B4004"/>
    <w:rsid w:val="004B4546"/>
    <w:rsid w:val="004B47DC"/>
    <w:rsid w:val="004B4994"/>
    <w:rsid w:val="004B4B08"/>
    <w:rsid w:val="004B4B81"/>
    <w:rsid w:val="004B4C94"/>
    <w:rsid w:val="004B4D1F"/>
    <w:rsid w:val="004B4D74"/>
    <w:rsid w:val="004B54D6"/>
    <w:rsid w:val="004B55B3"/>
    <w:rsid w:val="004B5EEC"/>
    <w:rsid w:val="004B6177"/>
    <w:rsid w:val="004B62BF"/>
    <w:rsid w:val="004B6AAA"/>
    <w:rsid w:val="004B70F9"/>
    <w:rsid w:val="004B763E"/>
    <w:rsid w:val="004B7854"/>
    <w:rsid w:val="004B7E39"/>
    <w:rsid w:val="004B7F93"/>
    <w:rsid w:val="004C015F"/>
    <w:rsid w:val="004C0685"/>
    <w:rsid w:val="004C09A1"/>
    <w:rsid w:val="004C0CEC"/>
    <w:rsid w:val="004C12A3"/>
    <w:rsid w:val="004C13C5"/>
    <w:rsid w:val="004C177A"/>
    <w:rsid w:val="004C19BB"/>
    <w:rsid w:val="004C19DC"/>
    <w:rsid w:val="004C1AAA"/>
    <w:rsid w:val="004C2265"/>
    <w:rsid w:val="004C226A"/>
    <w:rsid w:val="004C2526"/>
    <w:rsid w:val="004C28AA"/>
    <w:rsid w:val="004C28F5"/>
    <w:rsid w:val="004C2AAA"/>
    <w:rsid w:val="004C2E90"/>
    <w:rsid w:val="004C2F74"/>
    <w:rsid w:val="004C3430"/>
    <w:rsid w:val="004C3FB5"/>
    <w:rsid w:val="004C4024"/>
    <w:rsid w:val="004C4315"/>
    <w:rsid w:val="004C44EE"/>
    <w:rsid w:val="004C45BD"/>
    <w:rsid w:val="004C4747"/>
    <w:rsid w:val="004C4D07"/>
    <w:rsid w:val="004C54A1"/>
    <w:rsid w:val="004C5592"/>
    <w:rsid w:val="004C5597"/>
    <w:rsid w:val="004C5BCA"/>
    <w:rsid w:val="004C5E04"/>
    <w:rsid w:val="004C60D8"/>
    <w:rsid w:val="004C6187"/>
    <w:rsid w:val="004C66F8"/>
    <w:rsid w:val="004C7244"/>
    <w:rsid w:val="004C735B"/>
    <w:rsid w:val="004C7563"/>
    <w:rsid w:val="004C764D"/>
    <w:rsid w:val="004C78FA"/>
    <w:rsid w:val="004C7925"/>
    <w:rsid w:val="004C797A"/>
    <w:rsid w:val="004C7A74"/>
    <w:rsid w:val="004C7BD5"/>
    <w:rsid w:val="004C7C9B"/>
    <w:rsid w:val="004C7CD5"/>
    <w:rsid w:val="004D018A"/>
    <w:rsid w:val="004D05FB"/>
    <w:rsid w:val="004D06FB"/>
    <w:rsid w:val="004D0780"/>
    <w:rsid w:val="004D0A28"/>
    <w:rsid w:val="004D0AA8"/>
    <w:rsid w:val="004D0B61"/>
    <w:rsid w:val="004D0BFC"/>
    <w:rsid w:val="004D0C2E"/>
    <w:rsid w:val="004D0F92"/>
    <w:rsid w:val="004D13BF"/>
    <w:rsid w:val="004D143E"/>
    <w:rsid w:val="004D18C1"/>
    <w:rsid w:val="004D1BF3"/>
    <w:rsid w:val="004D1D4D"/>
    <w:rsid w:val="004D1EB4"/>
    <w:rsid w:val="004D20C0"/>
    <w:rsid w:val="004D21FF"/>
    <w:rsid w:val="004D2486"/>
    <w:rsid w:val="004D24F1"/>
    <w:rsid w:val="004D26B7"/>
    <w:rsid w:val="004D27BF"/>
    <w:rsid w:val="004D2DEC"/>
    <w:rsid w:val="004D3463"/>
    <w:rsid w:val="004D3616"/>
    <w:rsid w:val="004D388B"/>
    <w:rsid w:val="004D3C0E"/>
    <w:rsid w:val="004D402F"/>
    <w:rsid w:val="004D42B2"/>
    <w:rsid w:val="004D447B"/>
    <w:rsid w:val="004D4B50"/>
    <w:rsid w:val="004D4D88"/>
    <w:rsid w:val="004D5102"/>
    <w:rsid w:val="004D538E"/>
    <w:rsid w:val="004D5522"/>
    <w:rsid w:val="004D55DD"/>
    <w:rsid w:val="004D5695"/>
    <w:rsid w:val="004D56B5"/>
    <w:rsid w:val="004D582B"/>
    <w:rsid w:val="004D5BB2"/>
    <w:rsid w:val="004D5BF4"/>
    <w:rsid w:val="004D5D4E"/>
    <w:rsid w:val="004D5EDB"/>
    <w:rsid w:val="004D5FD7"/>
    <w:rsid w:val="004D60EC"/>
    <w:rsid w:val="004D6351"/>
    <w:rsid w:val="004D665B"/>
    <w:rsid w:val="004D686B"/>
    <w:rsid w:val="004D6E91"/>
    <w:rsid w:val="004D757A"/>
    <w:rsid w:val="004D76BB"/>
    <w:rsid w:val="004D7825"/>
    <w:rsid w:val="004D7AC4"/>
    <w:rsid w:val="004D7B86"/>
    <w:rsid w:val="004E0016"/>
    <w:rsid w:val="004E06B3"/>
    <w:rsid w:val="004E0DB3"/>
    <w:rsid w:val="004E11E2"/>
    <w:rsid w:val="004E1928"/>
    <w:rsid w:val="004E196F"/>
    <w:rsid w:val="004E1AB7"/>
    <w:rsid w:val="004E1BE3"/>
    <w:rsid w:val="004E21DE"/>
    <w:rsid w:val="004E238D"/>
    <w:rsid w:val="004E2514"/>
    <w:rsid w:val="004E25F7"/>
    <w:rsid w:val="004E27CC"/>
    <w:rsid w:val="004E28D8"/>
    <w:rsid w:val="004E2A24"/>
    <w:rsid w:val="004E2B2A"/>
    <w:rsid w:val="004E2DA2"/>
    <w:rsid w:val="004E2E29"/>
    <w:rsid w:val="004E2FF9"/>
    <w:rsid w:val="004E303B"/>
    <w:rsid w:val="004E362C"/>
    <w:rsid w:val="004E3F1B"/>
    <w:rsid w:val="004E4206"/>
    <w:rsid w:val="004E42CD"/>
    <w:rsid w:val="004E43B8"/>
    <w:rsid w:val="004E43F3"/>
    <w:rsid w:val="004E47EB"/>
    <w:rsid w:val="004E50ED"/>
    <w:rsid w:val="004E5826"/>
    <w:rsid w:val="004E5944"/>
    <w:rsid w:val="004E5B31"/>
    <w:rsid w:val="004E63DD"/>
    <w:rsid w:val="004E656B"/>
    <w:rsid w:val="004E6599"/>
    <w:rsid w:val="004E685E"/>
    <w:rsid w:val="004E69A5"/>
    <w:rsid w:val="004E69BE"/>
    <w:rsid w:val="004E6AF1"/>
    <w:rsid w:val="004E7875"/>
    <w:rsid w:val="004E7895"/>
    <w:rsid w:val="004E7AA1"/>
    <w:rsid w:val="004F0105"/>
    <w:rsid w:val="004F04F9"/>
    <w:rsid w:val="004F0706"/>
    <w:rsid w:val="004F0840"/>
    <w:rsid w:val="004F0991"/>
    <w:rsid w:val="004F0D70"/>
    <w:rsid w:val="004F1046"/>
    <w:rsid w:val="004F1A24"/>
    <w:rsid w:val="004F1D20"/>
    <w:rsid w:val="004F204C"/>
    <w:rsid w:val="004F2E6D"/>
    <w:rsid w:val="004F31B1"/>
    <w:rsid w:val="004F33F8"/>
    <w:rsid w:val="004F35F8"/>
    <w:rsid w:val="004F379A"/>
    <w:rsid w:val="004F3C60"/>
    <w:rsid w:val="004F44A9"/>
    <w:rsid w:val="004F4C36"/>
    <w:rsid w:val="004F53E6"/>
    <w:rsid w:val="004F549F"/>
    <w:rsid w:val="004F54FA"/>
    <w:rsid w:val="004F54FF"/>
    <w:rsid w:val="004F59D9"/>
    <w:rsid w:val="004F5AB6"/>
    <w:rsid w:val="004F5C1B"/>
    <w:rsid w:val="004F5F90"/>
    <w:rsid w:val="004F62D6"/>
    <w:rsid w:val="004F6605"/>
    <w:rsid w:val="004F67F8"/>
    <w:rsid w:val="004F6ED7"/>
    <w:rsid w:val="004F6F5B"/>
    <w:rsid w:val="004F70A7"/>
    <w:rsid w:val="004F7100"/>
    <w:rsid w:val="004F723A"/>
    <w:rsid w:val="004F729D"/>
    <w:rsid w:val="005000F6"/>
    <w:rsid w:val="005001EC"/>
    <w:rsid w:val="005005CC"/>
    <w:rsid w:val="0050093E"/>
    <w:rsid w:val="00500EB4"/>
    <w:rsid w:val="00500EC2"/>
    <w:rsid w:val="00500FC1"/>
    <w:rsid w:val="00501118"/>
    <w:rsid w:val="00501498"/>
    <w:rsid w:val="0050151C"/>
    <w:rsid w:val="0050178E"/>
    <w:rsid w:val="00501A75"/>
    <w:rsid w:val="00501A96"/>
    <w:rsid w:val="00502017"/>
    <w:rsid w:val="005021F7"/>
    <w:rsid w:val="00502BC0"/>
    <w:rsid w:val="00502C02"/>
    <w:rsid w:val="00503218"/>
    <w:rsid w:val="005034E0"/>
    <w:rsid w:val="00503D99"/>
    <w:rsid w:val="00503FB8"/>
    <w:rsid w:val="00504806"/>
    <w:rsid w:val="00504818"/>
    <w:rsid w:val="00504BFE"/>
    <w:rsid w:val="005050C2"/>
    <w:rsid w:val="00505457"/>
    <w:rsid w:val="00505873"/>
    <w:rsid w:val="005059ED"/>
    <w:rsid w:val="0050611F"/>
    <w:rsid w:val="00506200"/>
    <w:rsid w:val="00506676"/>
    <w:rsid w:val="005067A9"/>
    <w:rsid w:val="0050694A"/>
    <w:rsid w:val="00506F28"/>
    <w:rsid w:val="00507229"/>
    <w:rsid w:val="0050738E"/>
    <w:rsid w:val="00507830"/>
    <w:rsid w:val="0050E80B"/>
    <w:rsid w:val="00510CA4"/>
    <w:rsid w:val="005113F5"/>
    <w:rsid w:val="00511448"/>
    <w:rsid w:val="0051171E"/>
    <w:rsid w:val="00511BC6"/>
    <w:rsid w:val="005121F1"/>
    <w:rsid w:val="0051258F"/>
    <w:rsid w:val="0051261D"/>
    <w:rsid w:val="00512A1B"/>
    <w:rsid w:val="00512AF5"/>
    <w:rsid w:val="00512E95"/>
    <w:rsid w:val="005131D7"/>
    <w:rsid w:val="00513214"/>
    <w:rsid w:val="005134B2"/>
    <w:rsid w:val="0051351E"/>
    <w:rsid w:val="005135FA"/>
    <w:rsid w:val="00513A66"/>
    <w:rsid w:val="00513B8D"/>
    <w:rsid w:val="00513C8C"/>
    <w:rsid w:val="00513DF7"/>
    <w:rsid w:val="00513FC1"/>
    <w:rsid w:val="0051404E"/>
    <w:rsid w:val="005140D0"/>
    <w:rsid w:val="00514394"/>
    <w:rsid w:val="00514517"/>
    <w:rsid w:val="005146EC"/>
    <w:rsid w:val="00514BD3"/>
    <w:rsid w:val="00514F48"/>
    <w:rsid w:val="005152CB"/>
    <w:rsid w:val="00515352"/>
    <w:rsid w:val="0051546C"/>
    <w:rsid w:val="0051563D"/>
    <w:rsid w:val="005159F3"/>
    <w:rsid w:val="00515BBD"/>
    <w:rsid w:val="00515BBE"/>
    <w:rsid w:val="00515F6F"/>
    <w:rsid w:val="00516632"/>
    <w:rsid w:val="005168E1"/>
    <w:rsid w:val="005169CB"/>
    <w:rsid w:val="00516D7D"/>
    <w:rsid w:val="00517029"/>
    <w:rsid w:val="00517337"/>
    <w:rsid w:val="005173FC"/>
    <w:rsid w:val="0051753F"/>
    <w:rsid w:val="00517925"/>
    <w:rsid w:val="0052004B"/>
    <w:rsid w:val="0052050B"/>
    <w:rsid w:val="005208B9"/>
    <w:rsid w:val="00520C5C"/>
    <w:rsid w:val="00520E22"/>
    <w:rsid w:val="0052105B"/>
    <w:rsid w:val="0052106B"/>
    <w:rsid w:val="005212FC"/>
    <w:rsid w:val="00521922"/>
    <w:rsid w:val="00522002"/>
    <w:rsid w:val="0052230C"/>
    <w:rsid w:val="0052244A"/>
    <w:rsid w:val="005224A2"/>
    <w:rsid w:val="005226B3"/>
    <w:rsid w:val="00522952"/>
    <w:rsid w:val="00522EDF"/>
    <w:rsid w:val="00523384"/>
    <w:rsid w:val="005233DA"/>
    <w:rsid w:val="00523886"/>
    <w:rsid w:val="00523907"/>
    <w:rsid w:val="00523CB4"/>
    <w:rsid w:val="00523D3A"/>
    <w:rsid w:val="00523FD8"/>
    <w:rsid w:val="005240CC"/>
    <w:rsid w:val="00524226"/>
    <w:rsid w:val="005243E1"/>
    <w:rsid w:val="005243EF"/>
    <w:rsid w:val="005247B0"/>
    <w:rsid w:val="0052485A"/>
    <w:rsid w:val="00524A76"/>
    <w:rsid w:val="00524D5A"/>
    <w:rsid w:val="0052528D"/>
    <w:rsid w:val="00525312"/>
    <w:rsid w:val="00525408"/>
    <w:rsid w:val="005255FB"/>
    <w:rsid w:val="00525B5D"/>
    <w:rsid w:val="00525C16"/>
    <w:rsid w:val="00525E40"/>
    <w:rsid w:val="00526040"/>
    <w:rsid w:val="00526374"/>
    <w:rsid w:val="00526E66"/>
    <w:rsid w:val="00526F85"/>
    <w:rsid w:val="005270F3"/>
    <w:rsid w:val="00527330"/>
    <w:rsid w:val="005274BA"/>
    <w:rsid w:val="00527912"/>
    <w:rsid w:val="00527943"/>
    <w:rsid w:val="00527C6E"/>
    <w:rsid w:val="00527FB9"/>
    <w:rsid w:val="005300E6"/>
    <w:rsid w:val="00530419"/>
    <w:rsid w:val="005308DA"/>
    <w:rsid w:val="0053097F"/>
    <w:rsid w:val="005309FE"/>
    <w:rsid w:val="00530C7C"/>
    <w:rsid w:val="00530F39"/>
    <w:rsid w:val="005311DE"/>
    <w:rsid w:val="00531585"/>
    <w:rsid w:val="00531B5F"/>
    <w:rsid w:val="0053212D"/>
    <w:rsid w:val="0053268F"/>
    <w:rsid w:val="00532730"/>
    <w:rsid w:val="00532774"/>
    <w:rsid w:val="0053283E"/>
    <w:rsid w:val="00532CCD"/>
    <w:rsid w:val="00532D5C"/>
    <w:rsid w:val="00532E5A"/>
    <w:rsid w:val="00532EEE"/>
    <w:rsid w:val="00533111"/>
    <w:rsid w:val="0053328E"/>
    <w:rsid w:val="005333B0"/>
    <w:rsid w:val="005339A3"/>
    <w:rsid w:val="005339C9"/>
    <w:rsid w:val="00533CBA"/>
    <w:rsid w:val="00533E47"/>
    <w:rsid w:val="00534295"/>
    <w:rsid w:val="0053455D"/>
    <w:rsid w:val="005346C4"/>
    <w:rsid w:val="005347B7"/>
    <w:rsid w:val="00534814"/>
    <w:rsid w:val="00534896"/>
    <w:rsid w:val="00534C59"/>
    <w:rsid w:val="0053515B"/>
    <w:rsid w:val="005353F0"/>
    <w:rsid w:val="005353FC"/>
    <w:rsid w:val="00535779"/>
    <w:rsid w:val="0053597F"/>
    <w:rsid w:val="00535A40"/>
    <w:rsid w:val="00535C42"/>
    <w:rsid w:val="00535DDE"/>
    <w:rsid w:val="00536034"/>
    <w:rsid w:val="00536136"/>
    <w:rsid w:val="00536261"/>
    <w:rsid w:val="005362A9"/>
    <w:rsid w:val="005364EB"/>
    <w:rsid w:val="00536596"/>
    <w:rsid w:val="005365DD"/>
    <w:rsid w:val="00536603"/>
    <w:rsid w:val="005366FF"/>
    <w:rsid w:val="0053680D"/>
    <w:rsid w:val="00536908"/>
    <w:rsid w:val="00536CB7"/>
    <w:rsid w:val="00536D73"/>
    <w:rsid w:val="00536E04"/>
    <w:rsid w:val="00536EE4"/>
    <w:rsid w:val="005370DF"/>
    <w:rsid w:val="0053734F"/>
    <w:rsid w:val="0053770E"/>
    <w:rsid w:val="00537869"/>
    <w:rsid w:val="00537A32"/>
    <w:rsid w:val="00537C80"/>
    <w:rsid w:val="00537D4E"/>
    <w:rsid w:val="00537F9C"/>
    <w:rsid w:val="00540256"/>
    <w:rsid w:val="005402C1"/>
    <w:rsid w:val="00540361"/>
    <w:rsid w:val="005409BF"/>
    <w:rsid w:val="00540B32"/>
    <w:rsid w:val="00540DDA"/>
    <w:rsid w:val="00540ED4"/>
    <w:rsid w:val="00540FA6"/>
    <w:rsid w:val="00540FB9"/>
    <w:rsid w:val="00541185"/>
    <w:rsid w:val="005414EF"/>
    <w:rsid w:val="005417E2"/>
    <w:rsid w:val="00541AA5"/>
    <w:rsid w:val="00541AF2"/>
    <w:rsid w:val="00541B97"/>
    <w:rsid w:val="00541D37"/>
    <w:rsid w:val="00541E8D"/>
    <w:rsid w:val="00542477"/>
    <w:rsid w:val="005424EE"/>
    <w:rsid w:val="005427C8"/>
    <w:rsid w:val="00542FFB"/>
    <w:rsid w:val="005431D2"/>
    <w:rsid w:val="00543B33"/>
    <w:rsid w:val="00543D96"/>
    <w:rsid w:val="005442ED"/>
    <w:rsid w:val="005445E6"/>
    <w:rsid w:val="00544D34"/>
    <w:rsid w:val="00544D37"/>
    <w:rsid w:val="0054512B"/>
    <w:rsid w:val="0054519B"/>
    <w:rsid w:val="005456B0"/>
    <w:rsid w:val="005457C0"/>
    <w:rsid w:val="00545819"/>
    <w:rsid w:val="00545916"/>
    <w:rsid w:val="00545BB7"/>
    <w:rsid w:val="00545D9B"/>
    <w:rsid w:val="0054602B"/>
    <w:rsid w:val="0054614A"/>
    <w:rsid w:val="00546375"/>
    <w:rsid w:val="00546463"/>
    <w:rsid w:val="0054662C"/>
    <w:rsid w:val="0054675A"/>
    <w:rsid w:val="00546A90"/>
    <w:rsid w:val="00546AD8"/>
    <w:rsid w:val="00546AED"/>
    <w:rsid w:val="00546D10"/>
    <w:rsid w:val="00546D3E"/>
    <w:rsid w:val="00546DAF"/>
    <w:rsid w:val="00546FD7"/>
    <w:rsid w:val="0054754C"/>
    <w:rsid w:val="005476D3"/>
    <w:rsid w:val="00547D21"/>
    <w:rsid w:val="00547D56"/>
    <w:rsid w:val="00550520"/>
    <w:rsid w:val="005506F2"/>
    <w:rsid w:val="00550938"/>
    <w:rsid w:val="00550999"/>
    <w:rsid w:val="005509F6"/>
    <w:rsid w:val="00550A1C"/>
    <w:rsid w:val="00550E19"/>
    <w:rsid w:val="00551147"/>
    <w:rsid w:val="00551239"/>
    <w:rsid w:val="00551388"/>
    <w:rsid w:val="0055174E"/>
    <w:rsid w:val="005519BC"/>
    <w:rsid w:val="00551C66"/>
    <w:rsid w:val="00552169"/>
    <w:rsid w:val="005523D8"/>
    <w:rsid w:val="005524B9"/>
    <w:rsid w:val="00552587"/>
    <w:rsid w:val="005527DB"/>
    <w:rsid w:val="00552840"/>
    <w:rsid w:val="00553245"/>
    <w:rsid w:val="005536E9"/>
    <w:rsid w:val="005538B2"/>
    <w:rsid w:val="0055394B"/>
    <w:rsid w:val="00553D41"/>
    <w:rsid w:val="005544DB"/>
    <w:rsid w:val="00554589"/>
    <w:rsid w:val="00554826"/>
    <w:rsid w:val="00554B05"/>
    <w:rsid w:val="00554DC4"/>
    <w:rsid w:val="00554EB3"/>
    <w:rsid w:val="00555427"/>
    <w:rsid w:val="00555626"/>
    <w:rsid w:val="00556058"/>
    <w:rsid w:val="0055631B"/>
    <w:rsid w:val="005565D0"/>
    <w:rsid w:val="005565F9"/>
    <w:rsid w:val="00556780"/>
    <w:rsid w:val="00556AFD"/>
    <w:rsid w:val="00556E18"/>
    <w:rsid w:val="00557424"/>
    <w:rsid w:val="0055763A"/>
    <w:rsid w:val="0055774B"/>
    <w:rsid w:val="00557799"/>
    <w:rsid w:val="0055779A"/>
    <w:rsid w:val="00557941"/>
    <w:rsid w:val="005579A5"/>
    <w:rsid w:val="005579B5"/>
    <w:rsid w:val="00557BF1"/>
    <w:rsid w:val="00557D3C"/>
    <w:rsid w:val="00557DAD"/>
    <w:rsid w:val="0056033C"/>
    <w:rsid w:val="00560597"/>
    <w:rsid w:val="005607FA"/>
    <w:rsid w:val="005608BB"/>
    <w:rsid w:val="005613FD"/>
    <w:rsid w:val="00561580"/>
    <w:rsid w:val="00561A7E"/>
    <w:rsid w:val="00561D2D"/>
    <w:rsid w:val="005620CA"/>
    <w:rsid w:val="00562111"/>
    <w:rsid w:val="005621B1"/>
    <w:rsid w:val="00562410"/>
    <w:rsid w:val="005626D0"/>
    <w:rsid w:val="005629BE"/>
    <w:rsid w:val="00562B74"/>
    <w:rsid w:val="00562CED"/>
    <w:rsid w:val="00562F77"/>
    <w:rsid w:val="00563178"/>
    <w:rsid w:val="005631FD"/>
    <w:rsid w:val="005632C1"/>
    <w:rsid w:val="0056343D"/>
    <w:rsid w:val="00563493"/>
    <w:rsid w:val="005635D9"/>
    <w:rsid w:val="00563655"/>
    <w:rsid w:val="005636F5"/>
    <w:rsid w:val="005639CF"/>
    <w:rsid w:val="005639E6"/>
    <w:rsid w:val="00563BC2"/>
    <w:rsid w:val="005643F4"/>
    <w:rsid w:val="005645A2"/>
    <w:rsid w:val="005646D5"/>
    <w:rsid w:val="005648DD"/>
    <w:rsid w:val="00564AF6"/>
    <w:rsid w:val="00564FCE"/>
    <w:rsid w:val="00564FD1"/>
    <w:rsid w:val="005652D3"/>
    <w:rsid w:val="005652E6"/>
    <w:rsid w:val="005656C0"/>
    <w:rsid w:val="00565D53"/>
    <w:rsid w:val="00565EC6"/>
    <w:rsid w:val="00566368"/>
    <w:rsid w:val="00566413"/>
    <w:rsid w:val="00566680"/>
    <w:rsid w:val="0056684A"/>
    <w:rsid w:val="00566D99"/>
    <w:rsid w:val="00566DA0"/>
    <w:rsid w:val="00567222"/>
    <w:rsid w:val="00567435"/>
    <w:rsid w:val="00567669"/>
    <w:rsid w:val="00567EAA"/>
    <w:rsid w:val="0057016B"/>
    <w:rsid w:val="005701B5"/>
    <w:rsid w:val="0057023D"/>
    <w:rsid w:val="00570722"/>
    <w:rsid w:val="005708D3"/>
    <w:rsid w:val="00570E0C"/>
    <w:rsid w:val="00570F3F"/>
    <w:rsid w:val="00570F85"/>
    <w:rsid w:val="005710D6"/>
    <w:rsid w:val="005719F4"/>
    <w:rsid w:val="00571EA7"/>
    <w:rsid w:val="00572401"/>
    <w:rsid w:val="005724B6"/>
    <w:rsid w:val="0057251C"/>
    <w:rsid w:val="00572644"/>
    <w:rsid w:val="005728C9"/>
    <w:rsid w:val="00572914"/>
    <w:rsid w:val="00572BE2"/>
    <w:rsid w:val="00572F47"/>
    <w:rsid w:val="005730B5"/>
    <w:rsid w:val="005732E6"/>
    <w:rsid w:val="00573623"/>
    <w:rsid w:val="00573663"/>
    <w:rsid w:val="0057371C"/>
    <w:rsid w:val="00573878"/>
    <w:rsid w:val="00573F2D"/>
    <w:rsid w:val="00573FD4"/>
    <w:rsid w:val="005741B1"/>
    <w:rsid w:val="00574259"/>
    <w:rsid w:val="00574837"/>
    <w:rsid w:val="005749EB"/>
    <w:rsid w:val="00574A94"/>
    <w:rsid w:val="00574D23"/>
    <w:rsid w:val="00574E25"/>
    <w:rsid w:val="00574FC8"/>
    <w:rsid w:val="005754A6"/>
    <w:rsid w:val="005754AA"/>
    <w:rsid w:val="00575879"/>
    <w:rsid w:val="0057593D"/>
    <w:rsid w:val="0057596D"/>
    <w:rsid w:val="00575AF7"/>
    <w:rsid w:val="00575B30"/>
    <w:rsid w:val="00575DD9"/>
    <w:rsid w:val="00575DFD"/>
    <w:rsid w:val="0057613A"/>
    <w:rsid w:val="005766FE"/>
    <w:rsid w:val="005768DC"/>
    <w:rsid w:val="00576B0A"/>
    <w:rsid w:val="00576CA1"/>
    <w:rsid w:val="00576E7E"/>
    <w:rsid w:val="00576F33"/>
    <w:rsid w:val="00577804"/>
    <w:rsid w:val="00577C30"/>
    <w:rsid w:val="00577C3C"/>
    <w:rsid w:val="00577F57"/>
    <w:rsid w:val="0058019A"/>
    <w:rsid w:val="005801E0"/>
    <w:rsid w:val="005803A0"/>
    <w:rsid w:val="005806C5"/>
    <w:rsid w:val="005806E3"/>
    <w:rsid w:val="00580B7E"/>
    <w:rsid w:val="005812FF"/>
    <w:rsid w:val="00581394"/>
    <w:rsid w:val="005813B4"/>
    <w:rsid w:val="00581822"/>
    <w:rsid w:val="005819C8"/>
    <w:rsid w:val="00581D6A"/>
    <w:rsid w:val="00582139"/>
    <w:rsid w:val="0058229E"/>
    <w:rsid w:val="005823F8"/>
    <w:rsid w:val="0058255E"/>
    <w:rsid w:val="005828DD"/>
    <w:rsid w:val="00582A96"/>
    <w:rsid w:val="00582B34"/>
    <w:rsid w:val="00582D68"/>
    <w:rsid w:val="00583004"/>
    <w:rsid w:val="00583106"/>
    <w:rsid w:val="005835D3"/>
    <w:rsid w:val="005839AB"/>
    <w:rsid w:val="0058422E"/>
    <w:rsid w:val="005845A3"/>
    <w:rsid w:val="005849C3"/>
    <w:rsid w:val="00584B84"/>
    <w:rsid w:val="00584DB7"/>
    <w:rsid w:val="00584E6A"/>
    <w:rsid w:val="00584F5C"/>
    <w:rsid w:val="00584FB0"/>
    <w:rsid w:val="005850FA"/>
    <w:rsid w:val="00585137"/>
    <w:rsid w:val="00585356"/>
    <w:rsid w:val="0058569A"/>
    <w:rsid w:val="005859E4"/>
    <w:rsid w:val="00585A4E"/>
    <w:rsid w:val="00585B71"/>
    <w:rsid w:val="00585BEA"/>
    <w:rsid w:val="00585CBA"/>
    <w:rsid w:val="00585E0F"/>
    <w:rsid w:val="0058619A"/>
    <w:rsid w:val="005863D6"/>
    <w:rsid w:val="00586594"/>
    <w:rsid w:val="005866C6"/>
    <w:rsid w:val="00586B50"/>
    <w:rsid w:val="00586D12"/>
    <w:rsid w:val="00586FB6"/>
    <w:rsid w:val="00587054"/>
    <w:rsid w:val="0058736E"/>
    <w:rsid w:val="005878C2"/>
    <w:rsid w:val="00587F8E"/>
    <w:rsid w:val="0059042D"/>
    <w:rsid w:val="005905A0"/>
    <w:rsid w:val="00590633"/>
    <w:rsid w:val="00590837"/>
    <w:rsid w:val="005909A7"/>
    <w:rsid w:val="00590E2D"/>
    <w:rsid w:val="00590E62"/>
    <w:rsid w:val="005912EC"/>
    <w:rsid w:val="005913E2"/>
    <w:rsid w:val="005915B5"/>
    <w:rsid w:val="00591A9C"/>
    <w:rsid w:val="00591B9E"/>
    <w:rsid w:val="00591BF0"/>
    <w:rsid w:val="00591CC8"/>
    <w:rsid w:val="00591EC0"/>
    <w:rsid w:val="00592730"/>
    <w:rsid w:val="0059290D"/>
    <w:rsid w:val="0059292E"/>
    <w:rsid w:val="00592D91"/>
    <w:rsid w:val="0059310D"/>
    <w:rsid w:val="005933A9"/>
    <w:rsid w:val="005936E2"/>
    <w:rsid w:val="005939D7"/>
    <w:rsid w:val="00593BAA"/>
    <w:rsid w:val="005940CC"/>
    <w:rsid w:val="00594459"/>
    <w:rsid w:val="00594800"/>
    <w:rsid w:val="00594808"/>
    <w:rsid w:val="00594A6A"/>
    <w:rsid w:val="00594C0A"/>
    <w:rsid w:val="00594C33"/>
    <w:rsid w:val="00594C62"/>
    <w:rsid w:val="00594E0F"/>
    <w:rsid w:val="005958D9"/>
    <w:rsid w:val="0059595D"/>
    <w:rsid w:val="00595D7A"/>
    <w:rsid w:val="00596536"/>
    <w:rsid w:val="005965D9"/>
    <w:rsid w:val="00596678"/>
    <w:rsid w:val="005969F5"/>
    <w:rsid w:val="00596D47"/>
    <w:rsid w:val="005971D2"/>
    <w:rsid w:val="005974A4"/>
    <w:rsid w:val="00597535"/>
    <w:rsid w:val="0059787D"/>
    <w:rsid w:val="00597A03"/>
    <w:rsid w:val="00597DF9"/>
    <w:rsid w:val="005A0318"/>
    <w:rsid w:val="005A03CD"/>
    <w:rsid w:val="005A074F"/>
    <w:rsid w:val="005A0C16"/>
    <w:rsid w:val="005A144A"/>
    <w:rsid w:val="005A158E"/>
    <w:rsid w:val="005A1D63"/>
    <w:rsid w:val="005A2354"/>
    <w:rsid w:val="005A2688"/>
    <w:rsid w:val="005A2B84"/>
    <w:rsid w:val="005A2DCA"/>
    <w:rsid w:val="005A2E97"/>
    <w:rsid w:val="005A34B0"/>
    <w:rsid w:val="005A35C9"/>
    <w:rsid w:val="005A36D9"/>
    <w:rsid w:val="005A39A8"/>
    <w:rsid w:val="005A3B98"/>
    <w:rsid w:val="005A4325"/>
    <w:rsid w:val="005A43CD"/>
    <w:rsid w:val="005A44B0"/>
    <w:rsid w:val="005A4587"/>
    <w:rsid w:val="005A4B89"/>
    <w:rsid w:val="005A4C12"/>
    <w:rsid w:val="005A54B4"/>
    <w:rsid w:val="005A55FA"/>
    <w:rsid w:val="005A56F1"/>
    <w:rsid w:val="005A5A41"/>
    <w:rsid w:val="005A5CEA"/>
    <w:rsid w:val="005A5D1A"/>
    <w:rsid w:val="005A5DF9"/>
    <w:rsid w:val="005A5F12"/>
    <w:rsid w:val="005A5FED"/>
    <w:rsid w:val="005A60F6"/>
    <w:rsid w:val="005A63C4"/>
    <w:rsid w:val="005A6525"/>
    <w:rsid w:val="005A6563"/>
    <w:rsid w:val="005A695C"/>
    <w:rsid w:val="005A6980"/>
    <w:rsid w:val="005A69B2"/>
    <w:rsid w:val="005A69DD"/>
    <w:rsid w:val="005A6C2C"/>
    <w:rsid w:val="005A6D38"/>
    <w:rsid w:val="005A7050"/>
    <w:rsid w:val="005A7267"/>
    <w:rsid w:val="005A7B2E"/>
    <w:rsid w:val="005A7D5F"/>
    <w:rsid w:val="005A7E8D"/>
    <w:rsid w:val="005A7EBA"/>
    <w:rsid w:val="005B02EE"/>
    <w:rsid w:val="005B03CD"/>
    <w:rsid w:val="005B05DE"/>
    <w:rsid w:val="005B0695"/>
    <w:rsid w:val="005B0726"/>
    <w:rsid w:val="005B0815"/>
    <w:rsid w:val="005B0946"/>
    <w:rsid w:val="005B0DFB"/>
    <w:rsid w:val="005B1423"/>
    <w:rsid w:val="005B1754"/>
    <w:rsid w:val="005B17C8"/>
    <w:rsid w:val="005B19BB"/>
    <w:rsid w:val="005B1BB8"/>
    <w:rsid w:val="005B1CE3"/>
    <w:rsid w:val="005B2299"/>
    <w:rsid w:val="005B22D3"/>
    <w:rsid w:val="005B25A8"/>
    <w:rsid w:val="005B2AA4"/>
    <w:rsid w:val="005B2C8E"/>
    <w:rsid w:val="005B2DB0"/>
    <w:rsid w:val="005B3383"/>
    <w:rsid w:val="005B35AC"/>
    <w:rsid w:val="005B367D"/>
    <w:rsid w:val="005B3888"/>
    <w:rsid w:val="005B3CBC"/>
    <w:rsid w:val="005B3D7A"/>
    <w:rsid w:val="005B4497"/>
    <w:rsid w:val="005B481B"/>
    <w:rsid w:val="005B4D19"/>
    <w:rsid w:val="005B510A"/>
    <w:rsid w:val="005B53CE"/>
    <w:rsid w:val="005B547A"/>
    <w:rsid w:val="005B5497"/>
    <w:rsid w:val="005B57CA"/>
    <w:rsid w:val="005B58BB"/>
    <w:rsid w:val="005B62C6"/>
    <w:rsid w:val="005B637F"/>
    <w:rsid w:val="005B63D7"/>
    <w:rsid w:val="005B69EB"/>
    <w:rsid w:val="005B7598"/>
    <w:rsid w:val="005B7653"/>
    <w:rsid w:val="005C015D"/>
    <w:rsid w:val="005C02B8"/>
    <w:rsid w:val="005C0391"/>
    <w:rsid w:val="005C043C"/>
    <w:rsid w:val="005C0740"/>
    <w:rsid w:val="005C0BF0"/>
    <w:rsid w:val="005C0C13"/>
    <w:rsid w:val="005C0D90"/>
    <w:rsid w:val="005C18D0"/>
    <w:rsid w:val="005C1BAA"/>
    <w:rsid w:val="005C1D06"/>
    <w:rsid w:val="005C213D"/>
    <w:rsid w:val="005C2681"/>
    <w:rsid w:val="005C2B49"/>
    <w:rsid w:val="005C2B55"/>
    <w:rsid w:val="005C2DD0"/>
    <w:rsid w:val="005C307B"/>
    <w:rsid w:val="005C310C"/>
    <w:rsid w:val="005C31ED"/>
    <w:rsid w:val="005C329B"/>
    <w:rsid w:val="005C32D3"/>
    <w:rsid w:val="005C32E4"/>
    <w:rsid w:val="005C3501"/>
    <w:rsid w:val="005C370C"/>
    <w:rsid w:val="005C3852"/>
    <w:rsid w:val="005C3CE5"/>
    <w:rsid w:val="005C3D1D"/>
    <w:rsid w:val="005C3E8A"/>
    <w:rsid w:val="005C4434"/>
    <w:rsid w:val="005C4632"/>
    <w:rsid w:val="005C4CF2"/>
    <w:rsid w:val="005C4D5C"/>
    <w:rsid w:val="005C53CA"/>
    <w:rsid w:val="005C53CD"/>
    <w:rsid w:val="005C54A0"/>
    <w:rsid w:val="005C5C8E"/>
    <w:rsid w:val="005C63A6"/>
    <w:rsid w:val="005C66B9"/>
    <w:rsid w:val="005C68DB"/>
    <w:rsid w:val="005C6FA0"/>
    <w:rsid w:val="005C74D7"/>
    <w:rsid w:val="005C7592"/>
    <w:rsid w:val="005C77C9"/>
    <w:rsid w:val="005C7883"/>
    <w:rsid w:val="005C7F25"/>
    <w:rsid w:val="005D07E4"/>
    <w:rsid w:val="005D08DE"/>
    <w:rsid w:val="005D0AA8"/>
    <w:rsid w:val="005D13D9"/>
    <w:rsid w:val="005D164B"/>
    <w:rsid w:val="005D1BA8"/>
    <w:rsid w:val="005D2321"/>
    <w:rsid w:val="005D26D5"/>
    <w:rsid w:val="005D274E"/>
    <w:rsid w:val="005D2C36"/>
    <w:rsid w:val="005D2DC5"/>
    <w:rsid w:val="005D31ED"/>
    <w:rsid w:val="005D35AF"/>
    <w:rsid w:val="005D3718"/>
    <w:rsid w:val="005D37B5"/>
    <w:rsid w:val="005D38C6"/>
    <w:rsid w:val="005D3A32"/>
    <w:rsid w:val="005D3B8B"/>
    <w:rsid w:val="005D3C82"/>
    <w:rsid w:val="005D404A"/>
    <w:rsid w:val="005D4A57"/>
    <w:rsid w:val="005D4DF9"/>
    <w:rsid w:val="005D5334"/>
    <w:rsid w:val="005D53C5"/>
    <w:rsid w:val="005D5571"/>
    <w:rsid w:val="005D5B99"/>
    <w:rsid w:val="005D5D84"/>
    <w:rsid w:val="005D5EFE"/>
    <w:rsid w:val="005D60A4"/>
    <w:rsid w:val="005D60EA"/>
    <w:rsid w:val="005D6236"/>
    <w:rsid w:val="005D62D9"/>
    <w:rsid w:val="005D673C"/>
    <w:rsid w:val="005D6C1C"/>
    <w:rsid w:val="005D6D97"/>
    <w:rsid w:val="005D71F4"/>
    <w:rsid w:val="005D720A"/>
    <w:rsid w:val="005D7398"/>
    <w:rsid w:val="005D7646"/>
    <w:rsid w:val="005D779F"/>
    <w:rsid w:val="005D7A15"/>
    <w:rsid w:val="005D7BB4"/>
    <w:rsid w:val="005D7CD1"/>
    <w:rsid w:val="005D7EA6"/>
    <w:rsid w:val="005D7F94"/>
    <w:rsid w:val="005E049F"/>
    <w:rsid w:val="005E053C"/>
    <w:rsid w:val="005E05F1"/>
    <w:rsid w:val="005E0B3C"/>
    <w:rsid w:val="005E0DF5"/>
    <w:rsid w:val="005E119F"/>
    <w:rsid w:val="005E161D"/>
    <w:rsid w:val="005E17D6"/>
    <w:rsid w:val="005E1B48"/>
    <w:rsid w:val="005E1F67"/>
    <w:rsid w:val="005E2026"/>
    <w:rsid w:val="005E239D"/>
    <w:rsid w:val="005E26F8"/>
    <w:rsid w:val="005E2AB5"/>
    <w:rsid w:val="005E3015"/>
    <w:rsid w:val="005E3299"/>
    <w:rsid w:val="005E3373"/>
    <w:rsid w:val="005E3757"/>
    <w:rsid w:val="005E3E6A"/>
    <w:rsid w:val="005E414B"/>
    <w:rsid w:val="005E41A7"/>
    <w:rsid w:val="005E4BCB"/>
    <w:rsid w:val="005E4BE3"/>
    <w:rsid w:val="005E4C8D"/>
    <w:rsid w:val="005E4D3A"/>
    <w:rsid w:val="005E50CD"/>
    <w:rsid w:val="005E5590"/>
    <w:rsid w:val="005E5750"/>
    <w:rsid w:val="005E5804"/>
    <w:rsid w:val="005E5F53"/>
    <w:rsid w:val="005E5F81"/>
    <w:rsid w:val="005E6021"/>
    <w:rsid w:val="005E6456"/>
    <w:rsid w:val="005E6911"/>
    <w:rsid w:val="005E6B4D"/>
    <w:rsid w:val="005E6CFC"/>
    <w:rsid w:val="005E6D0A"/>
    <w:rsid w:val="005E6EAA"/>
    <w:rsid w:val="005E6EB4"/>
    <w:rsid w:val="005E6FE0"/>
    <w:rsid w:val="005E71D3"/>
    <w:rsid w:val="005E7519"/>
    <w:rsid w:val="005E7836"/>
    <w:rsid w:val="005E7D5B"/>
    <w:rsid w:val="005E7DCC"/>
    <w:rsid w:val="005E7E6A"/>
    <w:rsid w:val="005F00B1"/>
    <w:rsid w:val="005F01CB"/>
    <w:rsid w:val="005F034D"/>
    <w:rsid w:val="005F04DD"/>
    <w:rsid w:val="005F04F1"/>
    <w:rsid w:val="005F094F"/>
    <w:rsid w:val="005F09CF"/>
    <w:rsid w:val="005F0B77"/>
    <w:rsid w:val="005F12D7"/>
    <w:rsid w:val="005F1425"/>
    <w:rsid w:val="005F1430"/>
    <w:rsid w:val="005F1568"/>
    <w:rsid w:val="005F1945"/>
    <w:rsid w:val="005F1D9E"/>
    <w:rsid w:val="005F1EA9"/>
    <w:rsid w:val="005F216C"/>
    <w:rsid w:val="005F2369"/>
    <w:rsid w:val="005F2857"/>
    <w:rsid w:val="005F2A90"/>
    <w:rsid w:val="005F2CFC"/>
    <w:rsid w:val="005F2DF5"/>
    <w:rsid w:val="005F3338"/>
    <w:rsid w:val="005F3566"/>
    <w:rsid w:val="005F3D09"/>
    <w:rsid w:val="005F3DA9"/>
    <w:rsid w:val="005F4914"/>
    <w:rsid w:val="005F4E64"/>
    <w:rsid w:val="005F50E6"/>
    <w:rsid w:val="005F53BE"/>
    <w:rsid w:val="005F53CC"/>
    <w:rsid w:val="005F5A6F"/>
    <w:rsid w:val="005F5DF6"/>
    <w:rsid w:val="005F5FA1"/>
    <w:rsid w:val="005F5FF8"/>
    <w:rsid w:val="005F6152"/>
    <w:rsid w:val="005F6218"/>
    <w:rsid w:val="005F6264"/>
    <w:rsid w:val="005F637A"/>
    <w:rsid w:val="005F6E72"/>
    <w:rsid w:val="005F7325"/>
    <w:rsid w:val="005F7D03"/>
    <w:rsid w:val="005F7D42"/>
    <w:rsid w:val="006000CB"/>
    <w:rsid w:val="006001BB"/>
    <w:rsid w:val="0060025A"/>
    <w:rsid w:val="00600450"/>
    <w:rsid w:val="0060088C"/>
    <w:rsid w:val="00600B8E"/>
    <w:rsid w:val="00600F18"/>
    <w:rsid w:val="006013C1"/>
    <w:rsid w:val="00601533"/>
    <w:rsid w:val="006015CE"/>
    <w:rsid w:val="00601C9D"/>
    <w:rsid w:val="00601D55"/>
    <w:rsid w:val="006021BF"/>
    <w:rsid w:val="0060247E"/>
    <w:rsid w:val="006024EE"/>
    <w:rsid w:val="0060261D"/>
    <w:rsid w:val="006026CD"/>
    <w:rsid w:val="00602918"/>
    <w:rsid w:val="0060301B"/>
    <w:rsid w:val="0060303A"/>
    <w:rsid w:val="006030EF"/>
    <w:rsid w:val="006032A1"/>
    <w:rsid w:val="00603429"/>
    <w:rsid w:val="00603504"/>
    <w:rsid w:val="006036F4"/>
    <w:rsid w:val="00603830"/>
    <w:rsid w:val="006039B1"/>
    <w:rsid w:val="00603E21"/>
    <w:rsid w:val="0060423F"/>
    <w:rsid w:val="00604355"/>
    <w:rsid w:val="0060469A"/>
    <w:rsid w:val="00604A11"/>
    <w:rsid w:val="00604CEF"/>
    <w:rsid w:val="00604D73"/>
    <w:rsid w:val="00604F05"/>
    <w:rsid w:val="006052F7"/>
    <w:rsid w:val="00605590"/>
    <w:rsid w:val="006057CE"/>
    <w:rsid w:val="00605829"/>
    <w:rsid w:val="00605C4A"/>
    <w:rsid w:val="00605C4E"/>
    <w:rsid w:val="00605CC7"/>
    <w:rsid w:val="00606150"/>
    <w:rsid w:val="00606281"/>
    <w:rsid w:val="006063AA"/>
    <w:rsid w:val="006063CB"/>
    <w:rsid w:val="0060646E"/>
    <w:rsid w:val="00606604"/>
    <w:rsid w:val="00606612"/>
    <w:rsid w:val="006066C8"/>
    <w:rsid w:val="00606DDF"/>
    <w:rsid w:val="00607514"/>
    <w:rsid w:val="006076B9"/>
    <w:rsid w:val="006076E6"/>
    <w:rsid w:val="006077BA"/>
    <w:rsid w:val="00607E45"/>
    <w:rsid w:val="00607E85"/>
    <w:rsid w:val="00610175"/>
    <w:rsid w:val="00610400"/>
    <w:rsid w:val="00610556"/>
    <w:rsid w:val="006107DE"/>
    <w:rsid w:val="00610B1E"/>
    <w:rsid w:val="00611174"/>
    <w:rsid w:val="006114C7"/>
    <w:rsid w:val="006116EB"/>
    <w:rsid w:val="00611A6A"/>
    <w:rsid w:val="00611B28"/>
    <w:rsid w:val="00611D31"/>
    <w:rsid w:val="00611E52"/>
    <w:rsid w:val="00611E92"/>
    <w:rsid w:val="00611EA2"/>
    <w:rsid w:val="00612660"/>
    <w:rsid w:val="00612693"/>
    <w:rsid w:val="00612742"/>
    <w:rsid w:val="006127A3"/>
    <w:rsid w:val="006129C6"/>
    <w:rsid w:val="00612D68"/>
    <w:rsid w:val="00612FD2"/>
    <w:rsid w:val="0061337C"/>
    <w:rsid w:val="00613515"/>
    <w:rsid w:val="0061463E"/>
    <w:rsid w:val="00614C9E"/>
    <w:rsid w:val="006158B9"/>
    <w:rsid w:val="00615C9F"/>
    <w:rsid w:val="00615F4E"/>
    <w:rsid w:val="0061623F"/>
    <w:rsid w:val="00616294"/>
    <w:rsid w:val="006168AC"/>
    <w:rsid w:val="00616E4D"/>
    <w:rsid w:val="0061700C"/>
    <w:rsid w:val="00617420"/>
    <w:rsid w:val="006177AC"/>
    <w:rsid w:val="006177B4"/>
    <w:rsid w:val="00617EA5"/>
    <w:rsid w:val="006202A1"/>
    <w:rsid w:val="00620343"/>
    <w:rsid w:val="0062072A"/>
    <w:rsid w:val="006208B9"/>
    <w:rsid w:val="00620C77"/>
    <w:rsid w:val="00620EF7"/>
    <w:rsid w:val="006211BE"/>
    <w:rsid w:val="006212E0"/>
    <w:rsid w:val="00621509"/>
    <w:rsid w:val="0062170B"/>
    <w:rsid w:val="00621957"/>
    <w:rsid w:val="006219FF"/>
    <w:rsid w:val="00621C45"/>
    <w:rsid w:val="00621DA9"/>
    <w:rsid w:val="00621DD4"/>
    <w:rsid w:val="00622320"/>
    <w:rsid w:val="0062244B"/>
    <w:rsid w:val="00622523"/>
    <w:rsid w:val="00622554"/>
    <w:rsid w:val="00622589"/>
    <w:rsid w:val="00622971"/>
    <w:rsid w:val="00622A2F"/>
    <w:rsid w:val="00622CA5"/>
    <w:rsid w:val="00622CD1"/>
    <w:rsid w:val="00622F1A"/>
    <w:rsid w:val="0062318D"/>
    <w:rsid w:val="0062319E"/>
    <w:rsid w:val="00623753"/>
    <w:rsid w:val="00623792"/>
    <w:rsid w:val="006237AA"/>
    <w:rsid w:val="00623E00"/>
    <w:rsid w:val="00623F46"/>
    <w:rsid w:val="00623FEB"/>
    <w:rsid w:val="006243BC"/>
    <w:rsid w:val="006247DA"/>
    <w:rsid w:val="00624A44"/>
    <w:rsid w:val="00624B78"/>
    <w:rsid w:val="00624C55"/>
    <w:rsid w:val="00625207"/>
    <w:rsid w:val="006253BB"/>
    <w:rsid w:val="00625432"/>
    <w:rsid w:val="00625492"/>
    <w:rsid w:val="006256E2"/>
    <w:rsid w:val="00626E42"/>
    <w:rsid w:val="00626F4E"/>
    <w:rsid w:val="00627088"/>
    <w:rsid w:val="0062708D"/>
    <w:rsid w:val="006270C0"/>
    <w:rsid w:val="006270E9"/>
    <w:rsid w:val="0062766E"/>
    <w:rsid w:val="00627B84"/>
    <w:rsid w:val="00627DA8"/>
    <w:rsid w:val="00627EDA"/>
    <w:rsid w:val="006303CC"/>
    <w:rsid w:val="006309F3"/>
    <w:rsid w:val="00630A4E"/>
    <w:rsid w:val="00630AC0"/>
    <w:rsid w:val="006310A5"/>
    <w:rsid w:val="0063117D"/>
    <w:rsid w:val="00631DE9"/>
    <w:rsid w:val="006321C2"/>
    <w:rsid w:val="00632818"/>
    <w:rsid w:val="006329CD"/>
    <w:rsid w:val="00633382"/>
    <w:rsid w:val="006338BE"/>
    <w:rsid w:val="00633B20"/>
    <w:rsid w:val="00633C84"/>
    <w:rsid w:val="00634054"/>
    <w:rsid w:val="00634B77"/>
    <w:rsid w:val="00634DDB"/>
    <w:rsid w:val="006355D0"/>
    <w:rsid w:val="006357A8"/>
    <w:rsid w:val="006357C8"/>
    <w:rsid w:val="00635CEA"/>
    <w:rsid w:val="00635CFE"/>
    <w:rsid w:val="00635EA7"/>
    <w:rsid w:val="00636200"/>
    <w:rsid w:val="006362AA"/>
    <w:rsid w:val="006364B1"/>
    <w:rsid w:val="0063653F"/>
    <w:rsid w:val="006365B9"/>
    <w:rsid w:val="00636768"/>
    <w:rsid w:val="00637076"/>
    <w:rsid w:val="00637147"/>
    <w:rsid w:val="00637313"/>
    <w:rsid w:val="0063736D"/>
    <w:rsid w:val="006375B4"/>
    <w:rsid w:val="006376D4"/>
    <w:rsid w:val="00637ECB"/>
    <w:rsid w:val="0064100E"/>
    <w:rsid w:val="0064117D"/>
    <w:rsid w:val="0064132B"/>
    <w:rsid w:val="006416D2"/>
    <w:rsid w:val="0064172C"/>
    <w:rsid w:val="006417D8"/>
    <w:rsid w:val="006419FD"/>
    <w:rsid w:val="00641A6F"/>
    <w:rsid w:val="00641BDE"/>
    <w:rsid w:val="0064218D"/>
    <w:rsid w:val="00642475"/>
    <w:rsid w:val="00642B46"/>
    <w:rsid w:val="00642D82"/>
    <w:rsid w:val="00642F57"/>
    <w:rsid w:val="00643259"/>
    <w:rsid w:val="0064344A"/>
    <w:rsid w:val="00643771"/>
    <w:rsid w:val="00643ABD"/>
    <w:rsid w:val="0064405A"/>
    <w:rsid w:val="00644415"/>
    <w:rsid w:val="00644E4F"/>
    <w:rsid w:val="006456DC"/>
    <w:rsid w:val="006458B6"/>
    <w:rsid w:val="00645DC7"/>
    <w:rsid w:val="00645E50"/>
    <w:rsid w:val="00645F2E"/>
    <w:rsid w:val="006461EE"/>
    <w:rsid w:val="00646760"/>
    <w:rsid w:val="0064689B"/>
    <w:rsid w:val="00646BE8"/>
    <w:rsid w:val="00646D4C"/>
    <w:rsid w:val="0064724F"/>
    <w:rsid w:val="00647530"/>
    <w:rsid w:val="0064768B"/>
    <w:rsid w:val="00647A04"/>
    <w:rsid w:val="00647B0F"/>
    <w:rsid w:val="006507CB"/>
    <w:rsid w:val="006508D0"/>
    <w:rsid w:val="00651129"/>
    <w:rsid w:val="0065148C"/>
    <w:rsid w:val="0065187F"/>
    <w:rsid w:val="00651D68"/>
    <w:rsid w:val="0065207D"/>
    <w:rsid w:val="006521E6"/>
    <w:rsid w:val="006522D6"/>
    <w:rsid w:val="006528CF"/>
    <w:rsid w:val="0065298B"/>
    <w:rsid w:val="00652BCC"/>
    <w:rsid w:val="00652D30"/>
    <w:rsid w:val="00652DA3"/>
    <w:rsid w:val="006536C3"/>
    <w:rsid w:val="00653837"/>
    <w:rsid w:val="0065398D"/>
    <w:rsid w:val="00653DC4"/>
    <w:rsid w:val="00654046"/>
    <w:rsid w:val="006540B0"/>
    <w:rsid w:val="0065447B"/>
    <w:rsid w:val="00654804"/>
    <w:rsid w:val="006549E5"/>
    <w:rsid w:val="00654BA0"/>
    <w:rsid w:val="00654BBE"/>
    <w:rsid w:val="00654D83"/>
    <w:rsid w:val="00654DD3"/>
    <w:rsid w:val="00654F6B"/>
    <w:rsid w:val="00655007"/>
    <w:rsid w:val="00655101"/>
    <w:rsid w:val="00655265"/>
    <w:rsid w:val="006552A0"/>
    <w:rsid w:val="006555A6"/>
    <w:rsid w:val="006557F7"/>
    <w:rsid w:val="006559D9"/>
    <w:rsid w:val="00655DFF"/>
    <w:rsid w:val="00656314"/>
    <w:rsid w:val="0065649B"/>
    <w:rsid w:val="00657038"/>
    <w:rsid w:val="00657204"/>
    <w:rsid w:val="00657384"/>
    <w:rsid w:val="0065778F"/>
    <w:rsid w:val="0066004A"/>
    <w:rsid w:val="00660138"/>
    <w:rsid w:val="0066033C"/>
    <w:rsid w:val="00660381"/>
    <w:rsid w:val="006603E5"/>
    <w:rsid w:val="00660ABE"/>
    <w:rsid w:val="00660F5D"/>
    <w:rsid w:val="0066118C"/>
    <w:rsid w:val="0066134E"/>
    <w:rsid w:val="00661570"/>
    <w:rsid w:val="00661626"/>
    <w:rsid w:val="006618B5"/>
    <w:rsid w:val="00661BE8"/>
    <w:rsid w:val="00661C95"/>
    <w:rsid w:val="00661CAE"/>
    <w:rsid w:val="00661D49"/>
    <w:rsid w:val="00661D99"/>
    <w:rsid w:val="00661FE6"/>
    <w:rsid w:val="00662504"/>
    <w:rsid w:val="00662782"/>
    <w:rsid w:val="00662EEF"/>
    <w:rsid w:val="006630C6"/>
    <w:rsid w:val="0066336D"/>
    <w:rsid w:val="006633D2"/>
    <w:rsid w:val="00663DCF"/>
    <w:rsid w:val="00663E68"/>
    <w:rsid w:val="00663F05"/>
    <w:rsid w:val="00663F1B"/>
    <w:rsid w:val="00663FA8"/>
    <w:rsid w:val="006644B8"/>
    <w:rsid w:val="00664634"/>
    <w:rsid w:val="00664668"/>
    <w:rsid w:val="006649B8"/>
    <w:rsid w:val="00664EBB"/>
    <w:rsid w:val="00664F63"/>
    <w:rsid w:val="0066505C"/>
    <w:rsid w:val="00665122"/>
    <w:rsid w:val="0066528F"/>
    <w:rsid w:val="00665599"/>
    <w:rsid w:val="0066565B"/>
    <w:rsid w:val="00665956"/>
    <w:rsid w:val="00665DE1"/>
    <w:rsid w:val="00665EB3"/>
    <w:rsid w:val="00665EB7"/>
    <w:rsid w:val="00665FA8"/>
    <w:rsid w:val="0066627D"/>
    <w:rsid w:val="0066642C"/>
    <w:rsid w:val="00666A2F"/>
    <w:rsid w:val="00666BD8"/>
    <w:rsid w:val="00666D57"/>
    <w:rsid w:val="00666D91"/>
    <w:rsid w:val="00666F6B"/>
    <w:rsid w:val="00666F7C"/>
    <w:rsid w:val="0066747D"/>
    <w:rsid w:val="0066756F"/>
    <w:rsid w:val="00667B6F"/>
    <w:rsid w:val="00667E0F"/>
    <w:rsid w:val="00667F82"/>
    <w:rsid w:val="006700AA"/>
    <w:rsid w:val="00670568"/>
    <w:rsid w:val="00670570"/>
    <w:rsid w:val="00670668"/>
    <w:rsid w:val="006708B5"/>
    <w:rsid w:val="00670BE1"/>
    <w:rsid w:val="0067122B"/>
    <w:rsid w:val="006716D4"/>
    <w:rsid w:val="00671F52"/>
    <w:rsid w:val="00672264"/>
    <w:rsid w:val="00672481"/>
    <w:rsid w:val="006726F1"/>
    <w:rsid w:val="00672724"/>
    <w:rsid w:val="00672797"/>
    <w:rsid w:val="00672852"/>
    <w:rsid w:val="00672B13"/>
    <w:rsid w:val="00673365"/>
    <w:rsid w:val="0067362A"/>
    <w:rsid w:val="00673930"/>
    <w:rsid w:val="00673A39"/>
    <w:rsid w:val="00673B3B"/>
    <w:rsid w:val="00673EB0"/>
    <w:rsid w:val="0067449B"/>
    <w:rsid w:val="006749C6"/>
    <w:rsid w:val="00675001"/>
    <w:rsid w:val="00675354"/>
    <w:rsid w:val="00675358"/>
    <w:rsid w:val="0067541B"/>
    <w:rsid w:val="0067566B"/>
    <w:rsid w:val="00675745"/>
    <w:rsid w:val="006757BA"/>
    <w:rsid w:val="00675836"/>
    <w:rsid w:val="00675AAE"/>
    <w:rsid w:val="00675ACE"/>
    <w:rsid w:val="00675F91"/>
    <w:rsid w:val="0067606E"/>
    <w:rsid w:val="00676213"/>
    <w:rsid w:val="00676303"/>
    <w:rsid w:val="00676838"/>
    <w:rsid w:val="00676A0D"/>
    <w:rsid w:val="00676DA1"/>
    <w:rsid w:val="00676DB0"/>
    <w:rsid w:val="00676DDB"/>
    <w:rsid w:val="00676E80"/>
    <w:rsid w:val="006773B7"/>
    <w:rsid w:val="00677680"/>
    <w:rsid w:val="00677A0D"/>
    <w:rsid w:val="00680164"/>
    <w:rsid w:val="006803C4"/>
    <w:rsid w:val="006805A5"/>
    <w:rsid w:val="00680761"/>
    <w:rsid w:val="00680997"/>
    <w:rsid w:val="00680AA7"/>
    <w:rsid w:val="00680BCF"/>
    <w:rsid w:val="00680F74"/>
    <w:rsid w:val="00680F78"/>
    <w:rsid w:val="00680F96"/>
    <w:rsid w:val="006810C4"/>
    <w:rsid w:val="0068178A"/>
    <w:rsid w:val="00681BA7"/>
    <w:rsid w:val="00681C7F"/>
    <w:rsid w:val="00681D3D"/>
    <w:rsid w:val="00681FCF"/>
    <w:rsid w:val="00682043"/>
    <w:rsid w:val="00682256"/>
    <w:rsid w:val="00682315"/>
    <w:rsid w:val="00682360"/>
    <w:rsid w:val="0068238F"/>
    <w:rsid w:val="00682A3E"/>
    <w:rsid w:val="0068301C"/>
    <w:rsid w:val="00683087"/>
    <w:rsid w:val="0068382A"/>
    <w:rsid w:val="00684100"/>
    <w:rsid w:val="006848DA"/>
    <w:rsid w:val="00684D81"/>
    <w:rsid w:val="00684E83"/>
    <w:rsid w:val="006850ED"/>
    <w:rsid w:val="006854EB"/>
    <w:rsid w:val="00685543"/>
    <w:rsid w:val="00685653"/>
    <w:rsid w:val="00685A55"/>
    <w:rsid w:val="00686249"/>
    <w:rsid w:val="00686294"/>
    <w:rsid w:val="00686300"/>
    <w:rsid w:val="00686421"/>
    <w:rsid w:val="00686710"/>
    <w:rsid w:val="00686832"/>
    <w:rsid w:val="00686996"/>
    <w:rsid w:val="00686B1A"/>
    <w:rsid w:val="00686BE4"/>
    <w:rsid w:val="0068700F"/>
    <w:rsid w:val="00687255"/>
    <w:rsid w:val="00687377"/>
    <w:rsid w:val="0068753C"/>
    <w:rsid w:val="006875B9"/>
    <w:rsid w:val="0068773D"/>
    <w:rsid w:val="006878BF"/>
    <w:rsid w:val="00687C97"/>
    <w:rsid w:val="00687CC5"/>
    <w:rsid w:val="00687DA3"/>
    <w:rsid w:val="0069012B"/>
    <w:rsid w:val="0069039F"/>
    <w:rsid w:val="00690491"/>
    <w:rsid w:val="006906D5"/>
    <w:rsid w:val="00690703"/>
    <w:rsid w:val="00690F67"/>
    <w:rsid w:val="006910C1"/>
    <w:rsid w:val="006914FC"/>
    <w:rsid w:val="0069158E"/>
    <w:rsid w:val="006916B9"/>
    <w:rsid w:val="00691887"/>
    <w:rsid w:val="006918DE"/>
    <w:rsid w:val="00691C77"/>
    <w:rsid w:val="00691EC0"/>
    <w:rsid w:val="00692680"/>
    <w:rsid w:val="006927E7"/>
    <w:rsid w:val="00692909"/>
    <w:rsid w:val="00692F3C"/>
    <w:rsid w:val="00692FC7"/>
    <w:rsid w:val="006930D1"/>
    <w:rsid w:val="006931AD"/>
    <w:rsid w:val="00693401"/>
    <w:rsid w:val="0069342A"/>
    <w:rsid w:val="0069346F"/>
    <w:rsid w:val="00693507"/>
    <w:rsid w:val="00693761"/>
    <w:rsid w:val="00693C8A"/>
    <w:rsid w:val="00693FE1"/>
    <w:rsid w:val="006940B8"/>
    <w:rsid w:val="006940BB"/>
    <w:rsid w:val="00694252"/>
    <w:rsid w:val="006942F6"/>
    <w:rsid w:val="00694569"/>
    <w:rsid w:val="00694DAD"/>
    <w:rsid w:val="00694E36"/>
    <w:rsid w:val="00694E76"/>
    <w:rsid w:val="006951B8"/>
    <w:rsid w:val="00695297"/>
    <w:rsid w:val="006955B9"/>
    <w:rsid w:val="00695793"/>
    <w:rsid w:val="006957A7"/>
    <w:rsid w:val="00695D4D"/>
    <w:rsid w:val="00695E45"/>
    <w:rsid w:val="006961DF"/>
    <w:rsid w:val="00696A2F"/>
    <w:rsid w:val="00696A81"/>
    <w:rsid w:val="00696A99"/>
    <w:rsid w:val="00696BD5"/>
    <w:rsid w:val="00696CF0"/>
    <w:rsid w:val="00696F40"/>
    <w:rsid w:val="00696FC1"/>
    <w:rsid w:val="00697001"/>
    <w:rsid w:val="00697060"/>
    <w:rsid w:val="0069726B"/>
    <w:rsid w:val="006977A3"/>
    <w:rsid w:val="0069793E"/>
    <w:rsid w:val="0069799B"/>
    <w:rsid w:val="00697A84"/>
    <w:rsid w:val="00697B10"/>
    <w:rsid w:val="006A0032"/>
    <w:rsid w:val="006A01ED"/>
    <w:rsid w:val="006A058A"/>
    <w:rsid w:val="006A05D5"/>
    <w:rsid w:val="006A0867"/>
    <w:rsid w:val="006A0B9A"/>
    <w:rsid w:val="006A0C86"/>
    <w:rsid w:val="006A0D3E"/>
    <w:rsid w:val="006A1171"/>
    <w:rsid w:val="006A136A"/>
    <w:rsid w:val="006A173A"/>
    <w:rsid w:val="006A1758"/>
    <w:rsid w:val="006A1788"/>
    <w:rsid w:val="006A1821"/>
    <w:rsid w:val="006A1B5D"/>
    <w:rsid w:val="006A1EE1"/>
    <w:rsid w:val="006A2530"/>
    <w:rsid w:val="006A28DD"/>
    <w:rsid w:val="006A294B"/>
    <w:rsid w:val="006A32E7"/>
    <w:rsid w:val="006A3544"/>
    <w:rsid w:val="006A3E15"/>
    <w:rsid w:val="006A3EA0"/>
    <w:rsid w:val="006A40F7"/>
    <w:rsid w:val="006A4156"/>
    <w:rsid w:val="006A41B6"/>
    <w:rsid w:val="006A447F"/>
    <w:rsid w:val="006A4512"/>
    <w:rsid w:val="006A4C30"/>
    <w:rsid w:val="006A4E54"/>
    <w:rsid w:val="006A50F8"/>
    <w:rsid w:val="006A52DE"/>
    <w:rsid w:val="006A547A"/>
    <w:rsid w:val="006A55AC"/>
    <w:rsid w:val="006A597F"/>
    <w:rsid w:val="006A5B1C"/>
    <w:rsid w:val="006A5B75"/>
    <w:rsid w:val="006A5CBD"/>
    <w:rsid w:val="006A5CF1"/>
    <w:rsid w:val="006A5D58"/>
    <w:rsid w:val="006A5F16"/>
    <w:rsid w:val="006A612A"/>
    <w:rsid w:val="006A61D3"/>
    <w:rsid w:val="006A61E2"/>
    <w:rsid w:val="006A651D"/>
    <w:rsid w:val="006A65C1"/>
    <w:rsid w:val="006A666D"/>
    <w:rsid w:val="006A6840"/>
    <w:rsid w:val="006A6A01"/>
    <w:rsid w:val="006A6A43"/>
    <w:rsid w:val="006A6BFD"/>
    <w:rsid w:val="006A6EC4"/>
    <w:rsid w:val="006A6EE0"/>
    <w:rsid w:val="006A6F07"/>
    <w:rsid w:val="006A7416"/>
    <w:rsid w:val="006A7796"/>
    <w:rsid w:val="006A7854"/>
    <w:rsid w:val="006A7994"/>
    <w:rsid w:val="006A79DF"/>
    <w:rsid w:val="006A7A5C"/>
    <w:rsid w:val="006A7A87"/>
    <w:rsid w:val="006A7AEA"/>
    <w:rsid w:val="006A7D0C"/>
    <w:rsid w:val="006A7DF7"/>
    <w:rsid w:val="006B035A"/>
    <w:rsid w:val="006B04AF"/>
    <w:rsid w:val="006B0533"/>
    <w:rsid w:val="006B0F4D"/>
    <w:rsid w:val="006B1011"/>
    <w:rsid w:val="006B1573"/>
    <w:rsid w:val="006B1909"/>
    <w:rsid w:val="006B1986"/>
    <w:rsid w:val="006B1D47"/>
    <w:rsid w:val="006B214E"/>
    <w:rsid w:val="006B227C"/>
    <w:rsid w:val="006B233C"/>
    <w:rsid w:val="006B2D99"/>
    <w:rsid w:val="006B33CE"/>
    <w:rsid w:val="006B36A6"/>
    <w:rsid w:val="006B3E51"/>
    <w:rsid w:val="006B3F0E"/>
    <w:rsid w:val="006B418F"/>
    <w:rsid w:val="006B43F5"/>
    <w:rsid w:val="006B4545"/>
    <w:rsid w:val="006B47AF"/>
    <w:rsid w:val="006B4B9B"/>
    <w:rsid w:val="006B51B1"/>
    <w:rsid w:val="006B55A3"/>
    <w:rsid w:val="006B5674"/>
    <w:rsid w:val="006B567D"/>
    <w:rsid w:val="006B58CB"/>
    <w:rsid w:val="006B5E74"/>
    <w:rsid w:val="006B6228"/>
    <w:rsid w:val="006B62A8"/>
    <w:rsid w:val="006B65A3"/>
    <w:rsid w:val="006B661E"/>
    <w:rsid w:val="006B686B"/>
    <w:rsid w:val="006B6DE5"/>
    <w:rsid w:val="006B6E38"/>
    <w:rsid w:val="006B7204"/>
    <w:rsid w:val="006B7740"/>
    <w:rsid w:val="006B7A05"/>
    <w:rsid w:val="006B7A51"/>
    <w:rsid w:val="006B7CDA"/>
    <w:rsid w:val="006B7D97"/>
    <w:rsid w:val="006B7DD5"/>
    <w:rsid w:val="006B7F96"/>
    <w:rsid w:val="006B7FDA"/>
    <w:rsid w:val="006C0774"/>
    <w:rsid w:val="006C07AE"/>
    <w:rsid w:val="006C0BE4"/>
    <w:rsid w:val="006C0EA5"/>
    <w:rsid w:val="006C108A"/>
    <w:rsid w:val="006C1257"/>
    <w:rsid w:val="006C195E"/>
    <w:rsid w:val="006C1CEE"/>
    <w:rsid w:val="006C2243"/>
    <w:rsid w:val="006C2478"/>
    <w:rsid w:val="006C27F3"/>
    <w:rsid w:val="006C2F74"/>
    <w:rsid w:val="006C3682"/>
    <w:rsid w:val="006C388B"/>
    <w:rsid w:val="006C4054"/>
    <w:rsid w:val="006C47B4"/>
    <w:rsid w:val="006C47EA"/>
    <w:rsid w:val="006C4AAD"/>
    <w:rsid w:val="006C4B28"/>
    <w:rsid w:val="006C4E6C"/>
    <w:rsid w:val="006C509A"/>
    <w:rsid w:val="006C520C"/>
    <w:rsid w:val="006C5614"/>
    <w:rsid w:val="006C5850"/>
    <w:rsid w:val="006C5905"/>
    <w:rsid w:val="006C5E98"/>
    <w:rsid w:val="006C6028"/>
    <w:rsid w:val="006C6279"/>
    <w:rsid w:val="006C69B7"/>
    <w:rsid w:val="006C6B33"/>
    <w:rsid w:val="006C70A7"/>
    <w:rsid w:val="006C7451"/>
    <w:rsid w:val="006C7532"/>
    <w:rsid w:val="006C7D69"/>
    <w:rsid w:val="006C7EDA"/>
    <w:rsid w:val="006C7F2E"/>
    <w:rsid w:val="006D08CA"/>
    <w:rsid w:val="006D08ED"/>
    <w:rsid w:val="006D09B4"/>
    <w:rsid w:val="006D0A3D"/>
    <w:rsid w:val="006D0CC9"/>
    <w:rsid w:val="006D11BE"/>
    <w:rsid w:val="006D1382"/>
    <w:rsid w:val="006D145B"/>
    <w:rsid w:val="006D1481"/>
    <w:rsid w:val="006D1950"/>
    <w:rsid w:val="006D19FF"/>
    <w:rsid w:val="006D1DE4"/>
    <w:rsid w:val="006D2244"/>
    <w:rsid w:val="006D2288"/>
    <w:rsid w:val="006D232F"/>
    <w:rsid w:val="006D2379"/>
    <w:rsid w:val="006D265A"/>
    <w:rsid w:val="006D29CA"/>
    <w:rsid w:val="006D2A8D"/>
    <w:rsid w:val="006D2AFD"/>
    <w:rsid w:val="006D2EB8"/>
    <w:rsid w:val="006D31B7"/>
    <w:rsid w:val="006D321B"/>
    <w:rsid w:val="006D38F5"/>
    <w:rsid w:val="006D3C0B"/>
    <w:rsid w:val="006D4585"/>
    <w:rsid w:val="006D463A"/>
    <w:rsid w:val="006D46FE"/>
    <w:rsid w:val="006D4CC5"/>
    <w:rsid w:val="006D4E10"/>
    <w:rsid w:val="006D4EC5"/>
    <w:rsid w:val="006D4F52"/>
    <w:rsid w:val="006D5007"/>
    <w:rsid w:val="006D529C"/>
    <w:rsid w:val="006D58E2"/>
    <w:rsid w:val="006D59CC"/>
    <w:rsid w:val="006D5C94"/>
    <w:rsid w:val="006D5D70"/>
    <w:rsid w:val="006D5EC3"/>
    <w:rsid w:val="006D60D1"/>
    <w:rsid w:val="006D64D2"/>
    <w:rsid w:val="006D6704"/>
    <w:rsid w:val="006D6A43"/>
    <w:rsid w:val="006D6C19"/>
    <w:rsid w:val="006D6D46"/>
    <w:rsid w:val="006D7005"/>
    <w:rsid w:val="006D70A9"/>
    <w:rsid w:val="006D73FC"/>
    <w:rsid w:val="006D7715"/>
    <w:rsid w:val="006D776C"/>
    <w:rsid w:val="006D7903"/>
    <w:rsid w:val="006D7A66"/>
    <w:rsid w:val="006D7B6B"/>
    <w:rsid w:val="006D7CA3"/>
    <w:rsid w:val="006D7D38"/>
    <w:rsid w:val="006D7F5E"/>
    <w:rsid w:val="006E0070"/>
    <w:rsid w:val="006E0128"/>
    <w:rsid w:val="006E019F"/>
    <w:rsid w:val="006E06F0"/>
    <w:rsid w:val="006E0ABF"/>
    <w:rsid w:val="006E0CE9"/>
    <w:rsid w:val="006E0D43"/>
    <w:rsid w:val="006E0E06"/>
    <w:rsid w:val="006E0F06"/>
    <w:rsid w:val="006E0FCF"/>
    <w:rsid w:val="006E1101"/>
    <w:rsid w:val="006E1256"/>
    <w:rsid w:val="006E159D"/>
    <w:rsid w:val="006E15B4"/>
    <w:rsid w:val="006E15E1"/>
    <w:rsid w:val="006E160F"/>
    <w:rsid w:val="006E1650"/>
    <w:rsid w:val="006E1F9B"/>
    <w:rsid w:val="006E20B2"/>
    <w:rsid w:val="006E20C3"/>
    <w:rsid w:val="006E2A17"/>
    <w:rsid w:val="006E2C0F"/>
    <w:rsid w:val="006E2D26"/>
    <w:rsid w:val="006E2DA1"/>
    <w:rsid w:val="006E2EF6"/>
    <w:rsid w:val="006E2F2C"/>
    <w:rsid w:val="006E3504"/>
    <w:rsid w:val="006E3838"/>
    <w:rsid w:val="006E3C10"/>
    <w:rsid w:val="006E3C40"/>
    <w:rsid w:val="006E3E3E"/>
    <w:rsid w:val="006E3F0C"/>
    <w:rsid w:val="006E42E6"/>
    <w:rsid w:val="006E44B6"/>
    <w:rsid w:val="006E468C"/>
    <w:rsid w:val="006E491D"/>
    <w:rsid w:val="006E4ECB"/>
    <w:rsid w:val="006E54BF"/>
    <w:rsid w:val="006E55CA"/>
    <w:rsid w:val="006E5638"/>
    <w:rsid w:val="006E5832"/>
    <w:rsid w:val="006E5EE7"/>
    <w:rsid w:val="006E5F26"/>
    <w:rsid w:val="006E5F8D"/>
    <w:rsid w:val="006E62E0"/>
    <w:rsid w:val="006E6A57"/>
    <w:rsid w:val="006E7699"/>
    <w:rsid w:val="006E78E2"/>
    <w:rsid w:val="006F0842"/>
    <w:rsid w:val="006F103D"/>
    <w:rsid w:val="006F150B"/>
    <w:rsid w:val="006F17F3"/>
    <w:rsid w:val="006F1B0D"/>
    <w:rsid w:val="006F1B77"/>
    <w:rsid w:val="006F1FE6"/>
    <w:rsid w:val="006F20E3"/>
    <w:rsid w:val="006F21BB"/>
    <w:rsid w:val="006F221C"/>
    <w:rsid w:val="006F23F2"/>
    <w:rsid w:val="006F2622"/>
    <w:rsid w:val="006F2679"/>
    <w:rsid w:val="006F27AC"/>
    <w:rsid w:val="006F28EE"/>
    <w:rsid w:val="006F2A0D"/>
    <w:rsid w:val="006F2AC1"/>
    <w:rsid w:val="006F2E83"/>
    <w:rsid w:val="006F2FB6"/>
    <w:rsid w:val="006F32B9"/>
    <w:rsid w:val="006F349A"/>
    <w:rsid w:val="006F35AB"/>
    <w:rsid w:val="006F3605"/>
    <w:rsid w:val="006F36D7"/>
    <w:rsid w:val="006F3949"/>
    <w:rsid w:val="006F3E5C"/>
    <w:rsid w:val="006F4049"/>
    <w:rsid w:val="006F4093"/>
    <w:rsid w:val="006F4112"/>
    <w:rsid w:val="006F45A7"/>
    <w:rsid w:val="006F47B1"/>
    <w:rsid w:val="006F4BE8"/>
    <w:rsid w:val="006F4BFA"/>
    <w:rsid w:val="006F4C76"/>
    <w:rsid w:val="006F4FB5"/>
    <w:rsid w:val="006F5630"/>
    <w:rsid w:val="006F5836"/>
    <w:rsid w:val="006F6032"/>
    <w:rsid w:val="006F613F"/>
    <w:rsid w:val="006F6273"/>
    <w:rsid w:val="006F627D"/>
    <w:rsid w:val="006F6784"/>
    <w:rsid w:val="006F6BB8"/>
    <w:rsid w:val="006F6E1E"/>
    <w:rsid w:val="006F7018"/>
    <w:rsid w:val="006F73D5"/>
    <w:rsid w:val="006F740E"/>
    <w:rsid w:val="006F750D"/>
    <w:rsid w:val="006F762D"/>
    <w:rsid w:val="0070000A"/>
    <w:rsid w:val="00700429"/>
    <w:rsid w:val="007008FC"/>
    <w:rsid w:val="007013C6"/>
    <w:rsid w:val="00701525"/>
    <w:rsid w:val="0070157D"/>
    <w:rsid w:val="00701663"/>
    <w:rsid w:val="00701846"/>
    <w:rsid w:val="00701984"/>
    <w:rsid w:val="00701B88"/>
    <w:rsid w:val="00701CB8"/>
    <w:rsid w:val="00701E47"/>
    <w:rsid w:val="00702095"/>
    <w:rsid w:val="007027E6"/>
    <w:rsid w:val="00702B8D"/>
    <w:rsid w:val="00702C3C"/>
    <w:rsid w:val="00702DAC"/>
    <w:rsid w:val="0070352B"/>
    <w:rsid w:val="0070399D"/>
    <w:rsid w:val="00703A44"/>
    <w:rsid w:val="00703B59"/>
    <w:rsid w:val="00703BD7"/>
    <w:rsid w:val="0070434D"/>
    <w:rsid w:val="007045EB"/>
    <w:rsid w:val="0070474A"/>
    <w:rsid w:val="00704800"/>
    <w:rsid w:val="0070494F"/>
    <w:rsid w:val="00704A18"/>
    <w:rsid w:val="00704B81"/>
    <w:rsid w:val="00704D58"/>
    <w:rsid w:val="00704E54"/>
    <w:rsid w:val="007053A3"/>
    <w:rsid w:val="007054BF"/>
    <w:rsid w:val="0070554D"/>
    <w:rsid w:val="00705581"/>
    <w:rsid w:val="00705951"/>
    <w:rsid w:val="00705BBF"/>
    <w:rsid w:val="00705F68"/>
    <w:rsid w:val="00705F80"/>
    <w:rsid w:val="007060D5"/>
    <w:rsid w:val="0070634E"/>
    <w:rsid w:val="00706395"/>
    <w:rsid w:val="007068DE"/>
    <w:rsid w:val="0070690F"/>
    <w:rsid w:val="00706D36"/>
    <w:rsid w:val="0070714E"/>
    <w:rsid w:val="007071B3"/>
    <w:rsid w:val="007073A6"/>
    <w:rsid w:val="0070787E"/>
    <w:rsid w:val="00707E57"/>
    <w:rsid w:val="00707F49"/>
    <w:rsid w:val="00710052"/>
    <w:rsid w:val="007103B5"/>
    <w:rsid w:val="0071061C"/>
    <w:rsid w:val="0071070D"/>
    <w:rsid w:val="007108B4"/>
    <w:rsid w:val="00710C08"/>
    <w:rsid w:val="007112A7"/>
    <w:rsid w:val="00711BC3"/>
    <w:rsid w:val="00711EAF"/>
    <w:rsid w:val="00712432"/>
    <w:rsid w:val="007124BF"/>
    <w:rsid w:val="007126E6"/>
    <w:rsid w:val="0071297C"/>
    <w:rsid w:val="007129FB"/>
    <w:rsid w:val="0071338A"/>
    <w:rsid w:val="0071343B"/>
    <w:rsid w:val="007139E0"/>
    <w:rsid w:val="00713C50"/>
    <w:rsid w:val="00713EF5"/>
    <w:rsid w:val="007142E5"/>
    <w:rsid w:val="0071441A"/>
    <w:rsid w:val="0071447A"/>
    <w:rsid w:val="00714550"/>
    <w:rsid w:val="007145F3"/>
    <w:rsid w:val="007146AA"/>
    <w:rsid w:val="007148E4"/>
    <w:rsid w:val="00714C6B"/>
    <w:rsid w:val="00714F8E"/>
    <w:rsid w:val="0071504D"/>
    <w:rsid w:val="00715388"/>
    <w:rsid w:val="0071573C"/>
    <w:rsid w:val="007158B1"/>
    <w:rsid w:val="00715BDB"/>
    <w:rsid w:val="00715C1F"/>
    <w:rsid w:val="00715CFA"/>
    <w:rsid w:val="00715F5F"/>
    <w:rsid w:val="0071646F"/>
    <w:rsid w:val="007167AA"/>
    <w:rsid w:val="007167CB"/>
    <w:rsid w:val="00716957"/>
    <w:rsid w:val="00716D93"/>
    <w:rsid w:val="00717059"/>
    <w:rsid w:val="007174F0"/>
    <w:rsid w:val="0071F159"/>
    <w:rsid w:val="0072035C"/>
    <w:rsid w:val="00720839"/>
    <w:rsid w:val="007213BB"/>
    <w:rsid w:val="007216B6"/>
    <w:rsid w:val="007216DA"/>
    <w:rsid w:val="0072185F"/>
    <w:rsid w:val="00721919"/>
    <w:rsid w:val="00721B82"/>
    <w:rsid w:val="00721E26"/>
    <w:rsid w:val="00722088"/>
    <w:rsid w:val="0072220D"/>
    <w:rsid w:val="007223A8"/>
    <w:rsid w:val="00722608"/>
    <w:rsid w:val="007228B4"/>
    <w:rsid w:val="00722A3D"/>
    <w:rsid w:val="00722DAD"/>
    <w:rsid w:val="00723013"/>
    <w:rsid w:val="0072371A"/>
    <w:rsid w:val="007241AF"/>
    <w:rsid w:val="00724702"/>
    <w:rsid w:val="007247DD"/>
    <w:rsid w:val="0072485B"/>
    <w:rsid w:val="00724A77"/>
    <w:rsid w:val="00724D8A"/>
    <w:rsid w:val="00724EDF"/>
    <w:rsid w:val="00725088"/>
    <w:rsid w:val="007258F6"/>
    <w:rsid w:val="00725A74"/>
    <w:rsid w:val="00725CCE"/>
    <w:rsid w:val="00725CCF"/>
    <w:rsid w:val="007261AC"/>
    <w:rsid w:val="007262AC"/>
    <w:rsid w:val="00726397"/>
    <w:rsid w:val="00726444"/>
    <w:rsid w:val="00726513"/>
    <w:rsid w:val="0072651B"/>
    <w:rsid w:val="00726762"/>
    <w:rsid w:val="007267C6"/>
    <w:rsid w:val="007269BE"/>
    <w:rsid w:val="00726CD5"/>
    <w:rsid w:val="00726D2D"/>
    <w:rsid w:val="00726D32"/>
    <w:rsid w:val="00727373"/>
    <w:rsid w:val="0072758F"/>
    <w:rsid w:val="00727686"/>
    <w:rsid w:val="00727F9B"/>
    <w:rsid w:val="00730298"/>
    <w:rsid w:val="00730DF8"/>
    <w:rsid w:val="007314EF"/>
    <w:rsid w:val="007316D7"/>
    <w:rsid w:val="00731807"/>
    <w:rsid w:val="00731B02"/>
    <w:rsid w:val="00731FFD"/>
    <w:rsid w:val="00732068"/>
    <w:rsid w:val="00732289"/>
    <w:rsid w:val="007325D5"/>
    <w:rsid w:val="00732E2D"/>
    <w:rsid w:val="007330BD"/>
    <w:rsid w:val="00733621"/>
    <w:rsid w:val="007338C3"/>
    <w:rsid w:val="007343A9"/>
    <w:rsid w:val="00735188"/>
    <w:rsid w:val="0073544B"/>
    <w:rsid w:val="007355D5"/>
    <w:rsid w:val="0073591C"/>
    <w:rsid w:val="00735D50"/>
    <w:rsid w:val="00735ECC"/>
    <w:rsid w:val="00735FF5"/>
    <w:rsid w:val="007363A2"/>
    <w:rsid w:val="0073672A"/>
    <w:rsid w:val="007368EE"/>
    <w:rsid w:val="00736E60"/>
    <w:rsid w:val="00736E6F"/>
    <w:rsid w:val="00736F81"/>
    <w:rsid w:val="00737303"/>
    <w:rsid w:val="0073763E"/>
    <w:rsid w:val="007378D3"/>
    <w:rsid w:val="00737901"/>
    <w:rsid w:val="007379CC"/>
    <w:rsid w:val="00737B5E"/>
    <w:rsid w:val="00740089"/>
    <w:rsid w:val="00740150"/>
    <w:rsid w:val="007404EB"/>
    <w:rsid w:val="00740B38"/>
    <w:rsid w:val="007411D6"/>
    <w:rsid w:val="00741670"/>
    <w:rsid w:val="007420A2"/>
    <w:rsid w:val="0074213D"/>
    <w:rsid w:val="0074224B"/>
    <w:rsid w:val="007425D6"/>
    <w:rsid w:val="00742623"/>
    <w:rsid w:val="007427E3"/>
    <w:rsid w:val="00742806"/>
    <w:rsid w:val="00742BF5"/>
    <w:rsid w:val="00742D9A"/>
    <w:rsid w:val="007434DA"/>
    <w:rsid w:val="007436C4"/>
    <w:rsid w:val="00743BB8"/>
    <w:rsid w:val="00743E4C"/>
    <w:rsid w:val="00744245"/>
    <w:rsid w:val="007442FB"/>
    <w:rsid w:val="007443C7"/>
    <w:rsid w:val="007445E5"/>
    <w:rsid w:val="00744C20"/>
    <w:rsid w:val="00744F0E"/>
    <w:rsid w:val="00744F4C"/>
    <w:rsid w:val="007452A0"/>
    <w:rsid w:val="007453D4"/>
    <w:rsid w:val="00745D59"/>
    <w:rsid w:val="00745EC7"/>
    <w:rsid w:val="00745F08"/>
    <w:rsid w:val="00745FCA"/>
    <w:rsid w:val="00746E2E"/>
    <w:rsid w:val="00747691"/>
    <w:rsid w:val="007477F2"/>
    <w:rsid w:val="00747943"/>
    <w:rsid w:val="007502AF"/>
    <w:rsid w:val="0075038F"/>
    <w:rsid w:val="00750545"/>
    <w:rsid w:val="007505E7"/>
    <w:rsid w:val="0075062E"/>
    <w:rsid w:val="00750D97"/>
    <w:rsid w:val="007510EA"/>
    <w:rsid w:val="00751154"/>
    <w:rsid w:val="007515C9"/>
    <w:rsid w:val="0075243A"/>
    <w:rsid w:val="00752AD0"/>
    <w:rsid w:val="00752BD5"/>
    <w:rsid w:val="00752DB0"/>
    <w:rsid w:val="00752E00"/>
    <w:rsid w:val="0075303F"/>
    <w:rsid w:val="00753090"/>
    <w:rsid w:val="007534D4"/>
    <w:rsid w:val="00753D50"/>
    <w:rsid w:val="00753F97"/>
    <w:rsid w:val="00754015"/>
    <w:rsid w:val="0075436C"/>
    <w:rsid w:val="007543BA"/>
    <w:rsid w:val="00754AEF"/>
    <w:rsid w:val="00754FCF"/>
    <w:rsid w:val="007550D0"/>
    <w:rsid w:val="00755187"/>
    <w:rsid w:val="0075573F"/>
    <w:rsid w:val="00755C6C"/>
    <w:rsid w:val="00755C90"/>
    <w:rsid w:val="00755CAC"/>
    <w:rsid w:val="00755DE4"/>
    <w:rsid w:val="00756008"/>
    <w:rsid w:val="007560CD"/>
    <w:rsid w:val="007564AA"/>
    <w:rsid w:val="007564B9"/>
    <w:rsid w:val="007566EE"/>
    <w:rsid w:val="007566EF"/>
    <w:rsid w:val="00756861"/>
    <w:rsid w:val="007569F5"/>
    <w:rsid w:val="00756D99"/>
    <w:rsid w:val="00756EF2"/>
    <w:rsid w:val="00756F20"/>
    <w:rsid w:val="0075710D"/>
    <w:rsid w:val="0075748E"/>
    <w:rsid w:val="00757561"/>
    <w:rsid w:val="007577FB"/>
    <w:rsid w:val="00757899"/>
    <w:rsid w:val="00757959"/>
    <w:rsid w:val="007579E6"/>
    <w:rsid w:val="007579EF"/>
    <w:rsid w:val="00757EFF"/>
    <w:rsid w:val="007600AF"/>
    <w:rsid w:val="00760772"/>
    <w:rsid w:val="00760AFB"/>
    <w:rsid w:val="00760DAF"/>
    <w:rsid w:val="00760DDE"/>
    <w:rsid w:val="00760E59"/>
    <w:rsid w:val="00760FC6"/>
    <w:rsid w:val="00761045"/>
    <w:rsid w:val="007612A5"/>
    <w:rsid w:val="00761717"/>
    <w:rsid w:val="00761974"/>
    <w:rsid w:val="00761A9A"/>
    <w:rsid w:val="00761D4B"/>
    <w:rsid w:val="00761FDB"/>
    <w:rsid w:val="007620AE"/>
    <w:rsid w:val="0076236F"/>
    <w:rsid w:val="00762555"/>
    <w:rsid w:val="007631D2"/>
    <w:rsid w:val="00763299"/>
    <w:rsid w:val="0076362D"/>
    <w:rsid w:val="00763D5E"/>
    <w:rsid w:val="00763F6B"/>
    <w:rsid w:val="007644C6"/>
    <w:rsid w:val="00764B3B"/>
    <w:rsid w:val="0076553C"/>
    <w:rsid w:val="00765794"/>
    <w:rsid w:val="00765AC3"/>
    <w:rsid w:val="00765AE2"/>
    <w:rsid w:val="00765D7D"/>
    <w:rsid w:val="00766036"/>
    <w:rsid w:val="00766110"/>
    <w:rsid w:val="00766817"/>
    <w:rsid w:val="00766950"/>
    <w:rsid w:val="007669DB"/>
    <w:rsid w:val="00766A27"/>
    <w:rsid w:val="00767A3C"/>
    <w:rsid w:val="00770539"/>
    <w:rsid w:val="0077058C"/>
    <w:rsid w:val="00770D28"/>
    <w:rsid w:val="00770F06"/>
    <w:rsid w:val="00770F3B"/>
    <w:rsid w:val="00771176"/>
    <w:rsid w:val="00771702"/>
    <w:rsid w:val="0077176B"/>
    <w:rsid w:val="00771BF0"/>
    <w:rsid w:val="00771D90"/>
    <w:rsid w:val="00771FFC"/>
    <w:rsid w:val="007722A7"/>
    <w:rsid w:val="00772715"/>
    <w:rsid w:val="00772744"/>
    <w:rsid w:val="0077281A"/>
    <w:rsid w:val="00772896"/>
    <w:rsid w:val="007729AD"/>
    <w:rsid w:val="00772F5F"/>
    <w:rsid w:val="00773168"/>
    <w:rsid w:val="00773654"/>
    <w:rsid w:val="00773830"/>
    <w:rsid w:val="00773A6B"/>
    <w:rsid w:val="00773C78"/>
    <w:rsid w:val="0077405B"/>
    <w:rsid w:val="007745F5"/>
    <w:rsid w:val="0077496E"/>
    <w:rsid w:val="007749A5"/>
    <w:rsid w:val="00774ABC"/>
    <w:rsid w:val="00774ED1"/>
    <w:rsid w:val="00774F83"/>
    <w:rsid w:val="00775046"/>
    <w:rsid w:val="0077527F"/>
    <w:rsid w:val="00775322"/>
    <w:rsid w:val="0077536C"/>
    <w:rsid w:val="00775815"/>
    <w:rsid w:val="00775CF7"/>
    <w:rsid w:val="00775D18"/>
    <w:rsid w:val="00775E5D"/>
    <w:rsid w:val="00775EA7"/>
    <w:rsid w:val="00776257"/>
    <w:rsid w:val="00776A49"/>
    <w:rsid w:val="00776BCF"/>
    <w:rsid w:val="00776C25"/>
    <w:rsid w:val="00776DAC"/>
    <w:rsid w:val="00776FDC"/>
    <w:rsid w:val="00777072"/>
    <w:rsid w:val="007771F5"/>
    <w:rsid w:val="007775E2"/>
    <w:rsid w:val="00777787"/>
    <w:rsid w:val="007778A2"/>
    <w:rsid w:val="00777A79"/>
    <w:rsid w:val="00780217"/>
    <w:rsid w:val="00780960"/>
    <w:rsid w:val="00780D1C"/>
    <w:rsid w:val="00780E08"/>
    <w:rsid w:val="0078103B"/>
    <w:rsid w:val="0078109E"/>
    <w:rsid w:val="00781767"/>
    <w:rsid w:val="00781F85"/>
    <w:rsid w:val="0078239A"/>
    <w:rsid w:val="00782538"/>
    <w:rsid w:val="007826C5"/>
    <w:rsid w:val="00782709"/>
    <w:rsid w:val="007828DD"/>
    <w:rsid w:val="00782A5E"/>
    <w:rsid w:val="00782A6A"/>
    <w:rsid w:val="00782C09"/>
    <w:rsid w:val="00782FAB"/>
    <w:rsid w:val="00783218"/>
    <w:rsid w:val="0078323E"/>
    <w:rsid w:val="007833DE"/>
    <w:rsid w:val="00783555"/>
    <w:rsid w:val="00783E89"/>
    <w:rsid w:val="00783FAB"/>
    <w:rsid w:val="00784E6F"/>
    <w:rsid w:val="0078521E"/>
    <w:rsid w:val="007853C3"/>
    <w:rsid w:val="00785657"/>
    <w:rsid w:val="00785896"/>
    <w:rsid w:val="0078592D"/>
    <w:rsid w:val="00785B13"/>
    <w:rsid w:val="00785D8B"/>
    <w:rsid w:val="00786283"/>
    <w:rsid w:val="0078643F"/>
    <w:rsid w:val="0078760F"/>
    <w:rsid w:val="007878A5"/>
    <w:rsid w:val="00787B06"/>
    <w:rsid w:val="00787CEB"/>
    <w:rsid w:val="007901F8"/>
    <w:rsid w:val="00790487"/>
    <w:rsid w:val="007907B4"/>
    <w:rsid w:val="00790ACB"/>
    <w:rsid w:val="00790B9A"/>
    <w:rsid w:val="00791237"/>
    <w:rsid w:val="00791AAC"/>
    <w:rsid w:val="00791CC7"/>
    <w:rsid w:val="00791FBE"/>
    <w:rsid w:val="00792344"/>
    <w:rsid w:val="0079263D"/>
    <w:rsid w:val="007926FE"/>
    <w:rsid w:val="0079274F"/>
    <w:rsid w:val="0079295B"/>
    <w:rsid w:val="00792F99"/>
    <w:rsid w:val="007933A2"/>
    <w:rsid w:val="00793615"/>
    <w:rsid w:val="00793757"/>
    <w:rsid w:val="007937A0"/>
    <w:rsid w:val="00793AF7"/>
    <w:rsid w:val="00793C9A"/>
    <w:rsid w:val="00793D08"/>
    <w:rsid w:val="00793EE4"/>
    <w:rsid w:val="00793F95"/>
    <w:rsid w:val="0079405C"/>
    <w:rsid w:val="00794252"/>
    <w:rsid w:val="00794464"/>
    <w:rsid w:val="007944AC"/>
    <w:rsid w:val="0079457D"/>
    <w:rsid w:val="00794C1C"/>
    <w:rsid w:val="00794C57"/>
    <w:rsid w:val="00794D33"/>
    <w:rsid w:val="00794D38"/>
    <w:rsid w:val="00794D3C"/>
    <w:rsid w:val="00794FA6"/>
    <w:rsid w:val="00795069"/>
    <w:rsid w:val="00795361"/>
    <w:rsid w:val="0079575F"/>
    <w:rsid w:val="00795969"/>
    <w:rsid w:val="00795B0A"/>
    <w:rsid w:val="00795FE8"/>
    <w:rsid w:val="0079610C"/>
    <w:rsid w:val="0079622F"/>
    <w:rsid w:val="007962A4"/>
    <w:rsid w:val="0079647F"/>
    <w:rsid w:val="00796855"/>
    <w:rsid w:val="00796A36"/>
    <w:rsid w:val="00796C39"/>
    <w:rsid w:val="00796D1D"/>
    <w:rsid w:val="007971EF"/>
    <w:rsid w:val="007973B9"/>
    <w:rsid w:val="00797622"/>
    <w:rsid w:val="007A000C"/>
    <w:rsid w:val="007A032F"/>
    <w:rsid w:val="007A05CA"/>
    <w:rsid w:val="007A0DA9"/>
    <w:rsid w:val="007A0E12"/>
    <w:rsid w:val="007A1218"/>
    <w:rsid w:val="007A12D0"/>
    <w:rsid w:val="007A164D"/>
    <w:rsid w:val="007A1728"/>
    <w:rsid w:val="007A1883"/>
    <w:rsid w:val="007A18BC"/>
    <w:rsid w:val="007A1943"/>
    <w:rsid w:val="007A1979"/>
    <w:rsid w:val="007A1A16"/>
    <w:rsid w:val="007A1BD4"/>
    <w:rsid w:val="007A1C63"/>
    <w:rsid w:val="007A1C78"/>
    <w:rsid w:val="007A1C81"/>
    <w:rsid w:val="007A1D29"/>
    <w:rsid w:val="007A20BD"/>
    <w:rsid w:val="007A2377"/>
    <w:rsid w:val="007A2468"/>
    <w:rsid w:val="007A25E6"/>
    <w:rsid w:val="007A2610"/>
    <w:rsid w:val="007A2882"/>
    <w:rsid w:val="007A31E0"/>
    <w:rsid w:val="007A36B3"/>
    <w:rsid w:val="007A3704"/>
    <w:rsid w:val="007A3D7C"/>
    <w:rsid w:val="007A3DA2"/>
    <w:rsid w:val="007A40D9"/>
    <w:rsid w:val="007A414F"/>
    <w:rsid w:val="007A4159"/>
    <w:rsid w:val="007A47DE"/>
    <w:rsid w:val="007A4A07"/>
    <w:rsid w:val="007A4A0A"/>
    <w:rsid w:val="007A4AEE"/>
    <w:rsid w:val="007A4B21"/>
    <w:rsid w:val="007A4B7B"/>
    <w:rsid w:val="007A4C56"/>
    <w:rsid w:val="007A5022"/>
    <w:rsid w:val="007A5067"/>
    <w:rsid w:val="007A5322"/>
    <w:rsid w:val="007A54A5"/>
    <w:rsid w:val="007A5834"/>
    <w:rsid w:val="007A5DA4"/>
    <w:rsid w:val="007A5FD7"/>
    <w:rsid w:val="007A6208"/>
    <w:rsid w:val="007A629C"/>
    <w:rsid w:val="007A66CF"/>
    <w:rsid w:val="007A66D9"/>
    <w:rsid w:val="007A6A87"/>
    <w:rsid w:val="007A6AF0"/>
    <w:rsid w:val="007A6AF3"/>
    <w:rsid w:val="007A6F8E"/>
    <w:rsid w:val="007A7868"/>
    <w:rsid w:val="007A7C23"/>
    <w:rsid w:val="007A7C6D"/>
    <w:rsid w:val="007A7E74"/>
    <w:rsid w:val="007A7F2F"/>
    <w:rsid w:val="007B0320"/>
    <w:rsid w:val="007B04C2"/>
    <w:rsid w:val="007B06DA"/>
    <w:rsid w:val="007B075A"/>
    <w:rsid w:val="007B0AA4"/>
    <w:rsid w:val="007B0ECA"/>
    <w:rsid w:val="007B0ED9"/>
    <w:rsid w:val="007B10ED"/>
    <w:rsid w:val="007B1675"/>
    <w:rsid w:val="007B1D88"/>
    <w:rsid w:val="007B1F5C"/>
    <w:rsid w:val="007B209D"/>
    <w:rsid w:val="007B22AE"/>
    <w:rsid w:val="007B22EC"/>
    <w:rsid w:val="007B28F7"/>
    <w:rsid w:val="007B2B3E"/>
    <w:rsid w:val="007B33F3"/>
    <w:rsid w:val="007B44CD"/>
    <w:rsid w:val="007B4836"/>
    <w:rsid w:val="007B48BF"/>
    <w:rsid w:val="007B4A09"/>
    <w:rsid w:val="007B51D9"/>
    <w:rsid w:val="007B5695"/>
    <w:rsid w:val="007B56E3"/>
    <w:rsid w:val="007B5DA2"/>
    <w:rsid w:val="007B5DFC"/>
    <w:rsid w:val="007B5EDC"/>
    <w:rsid w:val="007B60FE"/>
    <w:rsid w:val="007B642A"/>
    <w:rsid w:val="007B68B6"/>
    <w:rsid w:val="007B69D4"/>
    <w:rsid w:val="007B6A3B"/>
    <w:rsid w:val="007B6A3E"/>
    <w:rsid w:val="007B6C7F"/>
    <w:rsid w:val="007B6FD6"/>
    <w:rsid w:val="007B707D"/>
    <w:rsid w:val="007B70C4"/>
    <w:rsid w:val="007B758B"/>
    <w:rsid w:val="007B75CB"/>
    <w:rsid w:val="007B7770"/>
    <w:rsid w:val="007B7EA1"/>
    <w:rsid w:val="007C00A4"/>
    <w:rsid w:val="007C00D5"/>
    <w:rsid w:val="007C02EF"/>
    <w:rsid w:val="007C042B"/>
    <w:rsid w:val="007C053E"/>
    <w:rsid w:val="007C0648"/>
    <w:rsid w:val="007C0745"/>
    <w:rsid w:val="007C0A35"/>
    <w:rsid w:val="007C0DCF"/>
    <w:rsid w:val="007C0EDE"/>
    <w:rsid w:val="007C0EE9"/>
    <w:rsid w:val="007C1161"/>
    <w:rsid w:val="007C1295"/>
    <w:rsid w:val="007C145A"/>
    <w:rsid w:val="007C180D"/>
    <w:rsid w:val="007C1A37"/>
    <w:rsid w:val="007C1A38"/>
    <w:rsid w:val="007C1B94"/>
    <w:rsid w:val="007C1C62"/>
    <w:rsid w:val="007C1F08"/>
    <w:rsid w:val="007C222F"/>
    <w:rsid w:val="007C2496"/>
    <w:rsid w:val="007C250A"/>
    <w:rsid w:val="007C2651"/>
    <w:rsid w:val="007C2734"/>
    <w:rsid w:val="007C28C8"/>
    <w:rsid w:val="007C2DC7"/>
    <w:rsid w:val="007C2F57"/>
    <w:rsid w:val="007C3A25"/>
    <w:rsid w:val="007C3AD8"/>
    <w:rsid w:val="007C407A"/>
    <w:rsid w:val="007C44F1"/>
    <w:rsid w:val="007C48B0"/>
    <w:rsid w:val="007C4A6D"/>
    <w:rsid w:val="007C5020"/>
    <w:rsid w:val="007C508E"/>
    <w:rsid w:val="007C5102"/>
    <w:rsid w:val="007C538C"/>
    <w:rsid w:val="007C589D"/>
    <w:rsid w:val="007C5BF0"/>
    <w:rsid w:val="007C5C69"/>
    <w:rsid w:val="007C5C74"/>
    <w:rsid w:val="007C5DC9"/>
    <w:rsid w:val="007C5DE5"/>
    <w:rsid w:val="007C61A6"/>
    <w:rsid w:val="007C6407"/>
    <w:rsid w:val="007C659C"/>
    <w:rsid w:val="007C6611"/>
    <w:rsid w:val="007C67E0"/>
    <w:rsid w:val="007C688F"/>
    <w:rsid w:val="007C6912"/>
    <w:rsid w:val="007C6F50"/>
    <w:rsid w:val="007C6F90"/>
    <w:rsid w:val="007C760F"/>
    <w:rsid w:val="007C797E"/>
    <w:rsid w:val="007C79FE"/>
    <w:rsid w:val="007C7DDA"/>
    <w:rsid w:val="007D01AA"/>
    <w:rsid w:val="007D02D2"/>
    <w:rsid w:val="007D0768"/>
    <w:rsid w:val="007D0E56"/>
    <w:rsid w:val="007D11FC"/>
    <w:rsid w:val="007D12B2"/>
    <w:rsid w:val="007D1584"/>
    <w:rsid w:val="007D191D"/>
    <w:rsid w:val="007D1943"/>
    <w:rsid w:val="007D1BAB"/>
    <w:rsid w:val="007D1C1D"/>
    <w:rsid w:val="007D1E8C"/>
    <w:rsid w:val="007D1EDA"/>
    <w:rsid w:val="007D1F16"/>
    <w:rsid w:val="007D2111"/>
    <w:rsid w:val="007D2153"/>
    <w:rsid w:val="007D23AE"/>
    <w:rsid w:val="007D2609"/>
    <w:rsid w:val="007D2858"/>
    <w:rsid w:val="007D285B"/>
    <w:rsid w:val="007D345A"/>
    <w:rsid w:val="007D3491"/>
    <w:rsid w:val="007D351E"/>
    <w:rsid w:val="007D3952"/>
    <w:rsid w:val="007D3C2C"/>
    <w:rsid w:val="007D3F19"/>
    <w:rsid w:val="007D4009"/>
    <w:rsid w:val="007D4092"/>
    <w:rsid w:val="007D4265"/>
    <w:rsid w:val="007D4E08"/>
    <w:rsid w:val="007D4E6B"/>
    <w:rsid w:val="007D50AE"/>
    <w:rsid w:val="007D5349"/>
    <w:rsid w:val="007D56A3"/>
    <w:rsid w:val="007D58D8"/>
    <w:rsid w:val="007D597A"/>
    <w:rsid w:val="007D5AB8"/>
    <w:rsid w:val="007D5E57"/>
    <w:rsid w:val="007D5EC6"/>
    <w:rsid w:val="007D70D7"/>
    <w:rsid w:val="007D732C"/>
    <w:rsid w:val="007D7922"/>
    <w:rsid w:val="007D7A9F"/>
    <w:rsid w:val="007D7AA3"/>
    <w:rsid w:val="007D7BDA"/>
    <w:rsid w:val="007E00A8"/>
    <w:rsid w:val="007E025E"/>
    <w:rsid w:val="007E03AB"/>
    <w:rsid w:val="007E04AB"/>
    <w:rsid w:val="007E0842"/>
    <w:rsid w:val="007E0936"/>
    <w:rsid w:val="007E0AF8"/>
    <w:rsid w:val="007E0C56"/>
    <w:rsid w:val="007E0DCB"/>
    <w:rsid w:val="007E112E"/>
    <w:rsid w:val="007E16D6"/>
    <w:rsid w:val="007E1C0E"/>
    <w:rsid w:val="007E1CEB"/>
    <w:rsid w:val="007E2197"/>
    <w:rsid w:val="007E2408"/>
    <w:rsid w:val="007E2FF8"/>
    <w:rsid w:val="007E3069"/>
    <w:rsid w:val="007E30E3"/>
    <w:rsid w:val="007E330D"/>
    <w:rsid w:val="007E3446"/>
    <w:rsid w:val="007E3447"/>
    <w:rsid w:val="007E35B8"/>
    <w:rsid w:val="007E36E5"/>
    <w:rsid w:val="007E378C"/>
    <w:rsid w:val="007E397D"/>
    <w:rsid w:val="007E3ADD"/>
    <w:rsid w:val="007E3B3A"/>
    <w:rsid w:val="007E3B85"/>
    <w:rsid w:val="007E3C4E"/>
    <w:rsid w:val="007E4331"/>
    <w:rsid w:val="007E45B0"/>
    <w:rsid w:val="007E4B93"/>
    <w:rsid w:val="007E4BC7"/>
    <w:rsid w:val="007E4CFF"/>
    <w:rsid w:val="007E4DA5"/>
    <w:rsid w:val="007E4EFA"/>
    <w:rsid w:val="007E579D"/>
    <w:rsid w:val="007E5BBA"/>
    <w:rsid w:val="007E5C84"/>
    <w:rsid w:val="007E5CB7"/>
    <w:rsid w:val="007E642A"/>
    <w:rsid w:val="007E6454"/>
    <w:rsid w:val="007E6650"/>
    <w:rsid w:val="007E6849"/>
    <w:rsid w:val="007E6B30"/>
    <w:rsid w:val="007E6E56"/>
    <w:rsid w:val="007E6EC6"/>
    <w:rsid w:val="007E7544"/>
    <w:rsid w:val="007E7615"/>
    <w:rsid w:val="007E7673"/>
    <w:rsid w:val="007E76EA"/>
    <w:rsid w:val="007E7C86"/>
    <w:rsid w:val="007F0063"/>
    <w:rsid w:val="007F02D6"/>
    <w:rsid w:val="007F0477"/>
    <w:rsid w:val="007F055A"/>
    <w:rsid w:val="007F0962"/>
    <w:rsid w:val="007F0AC0"/>
    <w:rsid w:val="007F0CBE"/>
    <w:rsid w:val="007F0EBC"/>
    <w:rsid w:val="007F1204"/>
    <w:rsid w:val="007F159E"/>
    <w:rsid w:val="007F16E3"/>
    <w:rsid w:val="007F19C8"/>
    <w:rsid w:val="007F1F20"/>
    <w:rsid w:val="007F2895"/>
    <w:rsid w:val="007F2910"/>
    <w:rsid w:val="007F33AE"/>
    <w:rsid w:val="007F3834"/>
    <w:rsid w:val="007F3927"/>
    <w:rsid w:val="007F3AD0"/>
    <w:rsid w:val="007F40F7"/>
    <w:rsid w:val="007F4108"/>
    <w:rsid w:val="007F468E"/>
    <w:rsid w:val="007F4910"/>
    <w:rsid w:val="007F4DC4"/>
    <w:rsid w:val="007F4FA8"/>
    <w:rsid w:val="007F5366"/>
    <w:rsid w:val="007F5499"/>
    <w:rsid w:val="007F563E"/>
    <w:rsid w:val="007F57C1"/>
    <w:rsid w:val="007F5B9D"/>
    <w:rsid w:val="007F5DFA"/>
    <w:rsid w:val="007F6058"/>
    <w:rsid w:val="007F6DD4"/>
    <w:rsid w:val="007F6F4D"/>
    <w:rsid w:val="007F6F98"/>
    <w:rsid w:val="007F7026"/>
    <w:rsid w:val="007F7186"/>
    <w:rsid w:val="007F75F4"/>
    <w:rsid w:val="007F7656"/>
    <w:rsid w:val="007F77BB"/>
    <w:rsid w:val="007F77CB"/>
    <w:rsid w:val="007F7A76"/>
    <w:rsid w:val="007FE61B"/>
    <w:rsid w:val="008001A5"/>
    <w:rsid w:val="00800538"/>
    <w:rsid w:val="008005D8"/>
    <w:rsid w:val="00800636"/>
    <w:rsid w:val="0080068B"/>
    <w:rsid w:val="0080071B"/>
    <w:rsid w:val="00800B52"/>
    <w:rsid w:val="00800ECE"/>
    <w:rsid w:val="00801004"/>
    <w:rsid w:val="00801576"/>
    <w:rsid w:val="00801845"/>
    <w:rsid w:val="00801D88"/>
    <w:rsid w:val="00801E10"/>
    <w:rsid w:val="00801FA5"/>
    <w:rsid w:val="00801FD5"/>
    <w:rsid w:val="0080207A"/>
    <w:rsid w:val="00802257"/>
    <w:rsid w:val="0080233B"/>
    <w:rsid w:val="00802B57"/>
    <w:rsid w:val="00802CD8"/>
    <w:rsid w:val="00802F4D"/>
    <w:rsid w:val="00803045"/>
    <w:rsid w:val="0080320F"/>
    <w:rsid w:val="00803447"/>
    <w:rsid w:val="0080350C"/>
    <w:rsid w:val="008035CF"/>
    <w:rsid w:val="00803B63"/>
    <w:rsid w:val="00803E46"/>
    <w:rsid w:val="00804289"/>
    <w:rsid w:val="00804A45"/>
    <w:rsid w:val="00804DA6"/>
    <w:rsid w:val="00804F19"/>
    <w:rsid w:val="008053A0"/>
    <w:rsid w:val="008053E6"/>
    <w:rsid w:val="00805608"/>
    <w:rsid w:val="0080584E"/>
    <w:rsid w:val="00805B53"/>
    <w:rsid w:val="00805DC2"/>
    <w:rsid w:val="00805FEB"/>
    <w:rsid w:val="00806197"/>
    <w:rsid w:val="00806218"/>
    <w:rsid w:val="008066D3"/>
    <w:rsid w:val="00806802"/>
    <w:rsid w:val="00806AF1"/>
    <w:rsid w:val="00807BC6"/>
    <w:rsid w:val="00807E31"/>
    <w:rsid w:val="0081074A"/>
    <w:rsid w:val="00810C8E"/>
    <w:rsid w:val="00810D96"/>
    <w:rsid w:val="008114C6"/>
    <w:rsid w:val="008116E7"/>
    <w:rsid w:val="00811A92"/>
    <w:rsid w:val="00811B0F"/>
    <w:rsid w:val="00811B47"/>
    <w:rsid w:val="00811D20"/>
    <w:rsid w:val="00811E34"/>
    <w:rsid w:val="00811EF1"/>
    <w:rsid w:val="00812073"/>
    <w:rsid w:val="008126E5"/>
    <w:rsid w:val="008128CA"/>
    <w:rsid w:val="00812B00"/>
    <w:rsid w:val="00812C37"/>
    <w:rsid w:val="00812C65"/>
    <w:rsid w:val="00812DA1"/>
    <w:rsid w:val="00812FA3"/>
    <w:rsid w:val="0081331F"/>
    <w:rsid w:val="008134D5"/>
    <w:rsid w:val="008135A9"/>
    <w:rsid w:val="00813A38"/>
    <w:rsid w:val="00813B52"/>
    <w:rsid w:val="00813CAF"/>
    <w:rsid w:val="00813E62"/>
    <w:rsid w:val="0081424F"/>
    <w:rsid w:val="00814414"/>
    <w:rsid w:val="00814471"/>
    <w:rsid w:val="00814525"/>
    <w:rsid w:val="008146AF"/>
    <w:rsid w:val="008148A5"/>
    <w:rsid w:val="0081497A"/>
    <w:rsid w:val="00814CBA"/>
    <w:rsid w:val="00814CE9"/>
    <w:rsid w:val="00814D83"/>
    <w:rsid w:val="0081521C"/>
    <w:rsid w:val="00815B07"/>
    <w:rsid w:val="00815B38"/>
    <w:rsid w:val="0081608A"/>
    <w:rsid w:val="0081657E"/>
    <w:rsid w:val="0081685D"/>
    <w:rsid w:val="00816C4A"/>
    <w:rsid w:val="00816EB1"/>
    <w:rsid w:val="00817387"/>
    <w:rsid w:val="00817643"/>
    <w:rsid w:val="008177E0"/>
    <w:rsid w:val="00817A5C"/>
    <w:rsid w:val="00817A9A"/>
    <w:rsid w:val="00817CEC"/>
    <w:rsid w:val="00817E01"/>
    <w:rsid w:val="0082019B"/>
    <w:rsid w:val="00820346"/>
    <w:rsid w:val="0082040A"/>
    <w:rsid w:val="0082054C"/>
    <w:rsid w:val="0082066E"/>
    <w:rsid w:val="00820D88"/>
    <w:rsid w:val="00821A4B"/>
    <w:rsid w:val="00821B5C"/>
    <w:rsid w:val="00821BC8"/>
    <w:rsid w:val="00821D45"/>
    <w:rsid w:val="00821F35"/>
    <w:rsid w:val="00822348"/>
    <w:rsid w:val="008224D9"/>
    <w:rsid w:val="00822780"/>
    <w:rsid w:val="0082279F"/>
    <w:rsid w:val="00822B45"/>
    <w:rsid w:val="00822C2F"/>
    <w:rsid w:val="00822D2B"/>
    <w:rsid w:val="00822DDF"/>
    <w:rsid w:val="00822F89"/>
    <w:rsid w:val="008232DE"/>
    <w:rsid w:val="0082369E"/>
    <w:rsid w:val="00823723"/>
    <w:rsid w:val="00823B66"/>
    <w:rsid w:val="00823C3F"/>
    <w:rsid w:val="00824137"/>
    <w:rsid w:val="0082442D"/>
    <w:rsid w:val="0082446E"/>
    <w:rsid w:val="00824643"/>
    <w:rsid w:val="008246CD"/>
    <w:rsid w:val="0082499C"/>
    <w:rsid w:val="00824A98"/>
    <w:rsid w:val="00824BBF"/>
    <w:rsid w:val="00824CFA"/>
    <w:rsid w:val="00825080"/>
    <w:rsid w:val="00825B15"/>
    <w:rsid w:val="00825C98"/>
    <w:rsid w:val="00825E11"/>
    <w:rsid w:val="00826B4D"/>
    <w:rsid w:val="00826D79"/>
    <w:rsid w:val="00826EB6"/>
    <w:rsid w:val="00827191"/>
    <w:rsid w:val="0082723F"/>
    <w:rsid w:val="008275F0"/>
    <w:rsid w:val="008277F0"/>
    <w:rsid w:val="008279B5"/>
    <w:rsid w:val="00827E76"/>
    <w:rsid w:val="00827FE3"/>
    <w:rsid w:val="008303CB"/>
    <w:rsid w:val="008303EB"/>
    <w:rsid w:val="0083085A"/>
    <w:rsid w:val="00830B08"/>
    <w:rsid w:val="008310AA"/>
    <w:rsid w:val="0083169F"/>
    <w:rsid w:val="00831834"/>
    <w:rsid w:val="00831D1B"/>
    <w:rsid w:val="0083217A"/>
    <w:rsid w:val="008324B7"/>
    <w:rsid w:val="008328C1"/>
    <w:rsid w:val="00832CB7"/>
    <w:rsid w:val="008336DE"/>
    <w:rsid w:val="008336E0"/>
    <w:rsid w:val="00833725"/>
    <w:rsid w:val="00833A0B"/>
    <w:rsid w:val="00833B87"/>
    <w:rsid w:val="00834114"/>
    <w:rsid w:val="008343C9"/>
    <w:rsid w:val="00834585"/>
    <w:rsid w:val="008345DD"/>
    <w:rsid w:val="00834BBF"/>
    <w:rsid w:val="00834D9E"/>
    <w:rsid w:val="00834FC3"/>
    <w:rsid w:val="00835071"/>
    <w:rsid w:val="0083532C"/>
    <w:rsid w:val="008356A0"/>
    <w:rsid w:val="00835ED5"/>
    <w:rsid w:val="008367C1"/>
    <w:rsid w:val="00836908"/>
    <w:rsid w:val="00836A48"/>
    <w:rsid w:val="00836E1D"/>
    <w:rsid w:val="00836E9F"/>
    <w:rsid w:val="008370E2"/>
    <w:rsid w:val="008400E8"/>
    <w:rsid w:val="008406A6"/>
    <w:rsid w:val="008406C9"/>
    <w:rsid w:val="00840912"/>
    <w:rsid w:val="008413F6"/>
    <w:rsid w:val="008419D9"/>
    <w:rsid w:val="00841A8F"/>
    <w:rsid w:val="00841BC1"/>
    <w:rsid w:val="008422FC"/>
    <w:rsid w:val="008426F9"/>
    <w:rsid w:val="00842715"/>
    <w:rsid w:val="008428D0"/>
    <w:rsid w:val="00842A06"/>
    <w:rsid w:val="00842BF9"/>
    <w:rsid w:val="00842C0B"/>
    <w:rsid w:val="00842F07"/>
    <w:rsid w:val="008435DA"/>
    <w:rsid w:val="00843982"/>
    <w:rsid w:val="00843C7D"/>
    <w:rsid w:val="00844115"/>
    <w:rsid w:val="0084431F"/>
    <w:rsid w:val="00844377"/>
    <w:rsid w:val="008447FD"/>
    <w:rsid w:val="00844B8F"/>
    <w:rsid w:val="00844D23"/>
    <w:rsid w:val="0084545F"/>
    <w:rsid w:val="0084563D"/>
    <w:rsid w:val="00845802"/>
    <w:rsid w:val="0084616A"/>
    <w:rsid w:val="0084622C"/>
    <w:rsid w:val="008463CC"/>
    <w:rsid w:val="00846417"/>
    <w:rsid w:val="008464D0"/>
    <w:rsid w:val="00846A1E"/>
    <w:rsid w:val="00847013"/>
    <w:rsid w:val="00847204"/>
    <w:rsid w:val="00847372"/>
    <w:rsid w:val="00847618"/>
    <w:rsid w:val="00847905"/>
    <w:rsid w:val="00847A90"/>
    <w:rsid w:val="00847DBC"/>
    <w:rsid w:val="00847E42"/>
    <w:rsid w:val="00850099"/>
    <w:rsid w:val="00850751"/>
    <w:rsid w:val="00850B42"/>
    <w:rsid w:val="00850B59"/>
    <w:rsid w:val="00850E4B"/>
    <w:rsid w:val="00851146"/>
    <w:rsid w:val="008514A0"/>
    <w:rsid w:val="008517D8"/>
    <w:rsid w:val="00851962"/>
    <w:rsid w:val="00851D0B"/>
    <w:rsid w:val="00851D8B"/>
    <w:rsid w:val="00851E3D"/>
    <w:rsid w:val="00851FAF"/>
    <w:rsid w:val="008523F6"/>
    <w:rsid w:val="00852785"/>
    <w:rsid w:val="00852CEF"/>
    <w:rsid w:val="00852FD5"/>
    <w:rsid w:val="00853146"/>
    <w:rsid w:val="00853434"/>
    <w:rsid w:val="00853475"/>
    <w:rsid w:val="00853587"/>
    <w:rsid w:val="008535C2"/>
    <w:rsid w:val="008535FE"/>
    <w:rsid w:val="00853DCE"/>
    <w:rsid w:val="00853DE1"/>
    <w:rsid w:val="00853F8A"/>
    <w:rsid w:val="0085435F"/>
    <w:rsid w:val="0085440E"/>
    <w:rsid w:val="00854533"/>
    <w:rsid w:val="0085500A"/>
    <w:rsid w:val="008551A2"/>
    <w:rsid w:val="00855239"/>
    <w:rsid w:val="008554C2"/>
    <w:rsid w:val="00855542"/>
    <w:rsid w:val="008558A0"/>
    <w:rsid w:val="00855AF0"/>
    <w:rsid w:val="00855BE1"/>
    <w:rsid w:val="00855D40"/>
    <w:rsid w:val="00855DA6"/>
    <w:rsid w:val="008560C1"/>
    <w:rsid w:val="00856289"/>
    <w:rsid w:val="0085657D"/>
    <w:rsid w:val="00856BC4"/>
    <w:rsid w:val="0085747C"/>
    <w:rsid w:val="008576F3"/>
    <w:rsid w:val="00857F33"/>
    <w:rsid w:val="00860AA0"/>
    <w:rsid w:val="00860B71"/>
    <w:rsid w:val="00860D47"/>
    <w:rsid w:val="00861000"/>
    <w:rsid w:val="00861016"/>
    <w:rsid w:val="00861234"/>
    <w:rsid w:val="00861406"/>
    <w:rsid w:val="00861489"/>
    <w:rsid w:val="008616F6"/>
    <w:rsid w:val="00861D2E"/>
    <w:rsid w:val="008620EB"/>
    <w:rsid w:val="008625C4"/>
    <w:rsid w:val="0086277B"/>
    <w:rsid w:val="008628B9"/>
    <w:rsid w:val="00862BEA"/>
    <w:rsid w:val="00862C00"/>
    <w:rsid w:val="00862CCB"/>
    <w:rsid w:val="00862D50"/>
    <w:rsid w:val="00862EBA"/>
    <w:rsid w:val="00862EED"/>
    <w:rsid w:val="00863037"/>
    <w:rsid w:val="008632F6"/>
    <w:rsid w:val="00863363"/>
    <w:rsid w:val="00863BDD"/>
    <w:rsid w:val="00863DC1"/>
    <w:rsid w:val="00863EB0"/>
    <w:rsid w:val="00863F56"/>
    <w:rsid w:val="008642BF"/>
    <w:rsid w:val="0086435A"/>
    <w:rsid w:val="008645E0"/>
    <w:rsid w:val="00864807"/>
    <w:rsid w:val="008649CA"/>
    <w:rsid w:val="008649FA"/>
    <w:rsid w:val="00864C9F"/>
    <w:rsid w:val="00864CBE"/>
    <w:rsid w:val="00864DEB"/>
    <w:rsid w:val="00865176"/>
    <w:rsid w:val="00865281"/>
    <w:rsid w:val="00865459"/>
    <w:rsid w:val="00865762"/>
    <w:rsid w:val="00866265"/>
    <w:rsid w:val="00866473"/>
    <w:rsid w:val="00866AFC"/>
    <w:rsid w:val="00866C2E"/>
    <w:rsid w:val="00867101"/>
    <w:rsid w:val="008672D6"/>
    <w:rsid w:val="008676D6"/>
    <w:rsid w:val="00867723"/>
    <w:rsid w:val="00867854"/>
    <w:rsid w:val="00867A53"/>
    <w:rsid w:val="00867D10"/>
    <w:rsid w:val="00867F66"/>
    <w:rsid w:val="00867F98"/>
    <w:rsid w:val="00867F99"/>
    <w:rsid w:val="00870068"/>
    <w:rsid w:val="00870084"/>
    <w:rsid w:val="008704A1"/>
    <w:rsid w:val="0087087A"/>
    <w:rsid w:val="00870F23"/>
    <w:rsid w:val="0087141E"/>
    <w:rsid w:val="00871773"/>
    <w:rsid w:val="00871A40"/>
    <w:rsid w:val="00871A81"/>
    <w:rsid w:val="00871AAD"/>
    <w:rsid w:val="00871F9D"/>
    <w:rsid w:val="00871FDD"/>
    <w:rsid w:val="008720D6"/>
    <w:rsid w:val="0087220C"/>
    <w:rsid w:val="00872867"/>
    <w:rsid w:val="00872960"/>
    <w:rsid w:val="0087314F"/>
    <w:rsid w:val="00873177"/>
    <w:rsid w:val="008732C0"/>
    <w:rsid w:val="0087332D"/>
    <w:rsid w:val="008734AE"/>
    <w:rsid w:val="008736E3"/>
    <w:rsid w:val="00873844"/>
    <w:rsid w:val="00873A73"/>
    <w:rsid w:val="00874748"/>
    <w:rsid w:val="008749B5"/>
    <w:rsid w:val="008749DB"/>
    <w:rsid w:val="00874B35"/>
    <w:rsid w:val="00874D9F"/>
    <w:rsid w:val="00875173"/>
    <w:rsid w:val="0087528A"/>
    <w:rsid w:val="00875333"/>
    <w:rsid w:val="008754B7"/>
    <w:rsid w:val="008755D8"/>
    <w:rsid w:val="00875625"/>
    <w:rsid w:val="008758BD"/>
    <w:rsid w:val="00875926"/>
    <w:rsid w:val="00875D92"/>
    <w:rsid w:val="00876048"/>
    <w:rsid w:val="0087614A"/>
    <w:rsid w:val="00876698"/>
    <w:rsid w:val="008766D8"/>
    <w:rsid w:val="00876ABB"/>
    <w:rsid w:val="0087790A"/>
    <w:rsid w:val="00877E6B"/>
    <w:rsid w:val="00880428"/>
    <w:rsid w:val="00880AF0"/>
    <w:rsid w:val="00880C68"/>
    <w:rsid w:val="00880DB4"/>
    <w:rsid w:val="008815C8"/>
    <w:rsid w:val="00881628"/>
    <w:rsid w:val="0088184C"/>
    <w:rsid w:val="008818C5"/>
    <w:rsid w:val="008818D4"/>
    <w:rsid w:val="00881E02"/>
    <w:rsid w:val="00881F69"/>
    <w:rsid w:val="00882213"/>
    <w:rsid w:val="00882364"/>
    <w:rsid w:val="008825E5"/>
    <w:rsid w:val="00882D89"/>
    <w:rsid w:val="008832D8"/>
    <w:rsid w:val="008832F9"/>
    <w:rsid w:val="008834FD"/>
    <w:rsid w:val="00883679"/>
    <w:rsid w:val="0088376F"/>
    <w:rsid w:val="00883E47"/>
    <w:rsid w:val="00883F3F"/>
    <w:rsid w:val="008843AA"/>
    <w:rsid w:val="0088448B"/>
    <w:rsid w:val="00884665"/>
    <w:rsid w:val="0088497A"/>
    <w:rsid w:val="00884B53"/>
    <w:rsid w:val="00884BDC"/>
    <w:rsid w:val="0088509A"/>
    <w:rsid w:val="00885418"/>
    <w:rsid w:val="00885464"/>
    <w:rsid w:val="00885AB8"/>
    <w:rsid w:val="00885B21"/>
    <w:rsid w:val="00885F0B"/>
    <w:rsid w:val="00885F49"/>
    <w:rsid w:val="008860ED"/>
    <w:rsid w:val="008861CB"/>
    <w:rsid w:val="008862A4"/>
    <w:rsid w:val="00886318"/>
    <w:rsid w:val="00886821"/>
    <w:rsid w:val="00886A45"/>
    <w:rsid w:val="00886CF5"/>
    <w:rsid w:val="00886D5F"/>
    <w:rsid w:val="00886E26"/>
    <w:rsid w:val="00886F4C"/>
    <w:rsid w:val="0088713B"/>
    <w:rsid w:val="00887230"/>
    <w:rsid w:val="0088781F"/>
    <w:rsid w:val="00887995"/>
    <w:rsid w:val="00887A6B"/>
    <w:rsid w:val="00887BFD"/>
    <w:rsid w:val="00887C1E"/>
    <w:rsid w:val="00890209"/>
    <w:rsid w:val="008902C7"/>
    <w:rsid w:val="00890466"/>
    <w:rsid w:val="008904B1"/>
    <w:rsid w:val="008904DA"/>
    <w:rsid w:val="00890C9D"/>
    <w:rsid w:val="00890F17"/>
    <w:rsid w:val="00890F29"/>
    <w:rsid w:val="00891018"/>
    <w:rsid w:val="008913C6"/>
    <w:rsid w:val="0089176A"/>
    <w:rsid w:val="00891DE6"/>
    <w:rsid w:val="00891FE9"/>
    <w:rsid w:val="00892011"/>
    <w:rsid w:val="00892093"/>
    <w:rsid w:val="008922FC"/>
    <w:rsid w:val="00892798"/>
    <w:rsid w:val="00892C32"/>
    <w:rsid w:val="00892F61"/>
    <w:rsid w:val="008930D6"/>
    <w:rsid w:val="0089328A"/>
    <w:rsid w:val="00893444"/>
    <w:rsid w:val="008937C2"/>
    <w:rsid w:val="0089446A"/>
    <w:rsid w:val="0089457A"/>
    <w:rsid w:val="00894DFF"/>
    <w:rsid w:val="008952D6"/>
    <w:rsid w:val="0089547C"/>
    <w:rsid w:val="008954D2"/>
    <w:rsid w:val="00895842"/>
    <w:rsid w:val="00895995"/>
    <w:rsid w:val="00895ACF"/>
    <w:rsid w:val="00895B8D"/>
    <w:rsid w:val="00895D3D"/>
    <w:rsid w:val="0089651C"/>
    <w:rsid w:val="00896730"/>
    <w:rsid w:val="00896751"/>
    <w:rsid w:val="00896C22"/>
    <w:rsid w:val="00896FB8"/>
    <w:rsid w:val="0089751A"/>
    <w:rsid w:val="00897CEA"/>
    <w:rsid w:val="00897DAF"/>
    <w:rsid w:val="008A00C7"/>
    <w:rsid w:val="008A029B"/>
    <w:rsid w:val="008A03E8"/>
    <w:rsid w:val="008A0BB8"/>
    <w:rsid w:val="008A0DD7"/>
    <w:rsid w:val="008A11E2"/>
    <w:rsid w:val="008A16EB"/>
    <w:rsid w:val="008A1913"/>
    <w:rsid w:val="008A1B74"/>
    <w:rsid w:val="008A1C22"/>
    <w:rsid w:val="008A1D9D"/>
    <w:rsid w:val="008A1DFA"/>
    <w:rsid w:val="008A1DFF"/>
    <w:rsid w:val="008A1F97"/>
    <w:rsid w:val="008A234A"/>
    <w:rsid w:val="008A2888"/>
    <w:rsid w:val="008A2AA1"/>
    <w:rsid w:val="008A2CA2"/>
    <w:rsid w:val="008A33F3"/>
    <w:rsid w:val="008A359E"/>
    <w:rsid w:val="008A3881"/>
    <w:rsid w:val="008A38CC"/>
    <w:rsid w:val="008A3B61"/>
    <w:rsid w:val="008A3C5D"/>
    <w:rsid w:val="008A40D8"/>
    <w:rsid w:val="008A4AA5"/>
    <w:rsid w:val="008A4DDD"/>
    <w:rsid w:val="008A4E37"/>
    <w:rsid w:val="008A4F90"/>
    <w:rsid w:val="008A5712"/>
    <w:rsid w:val="008A5ABA"/>
    <w:rsid w:val="008A6224"/>
    <w:rsid w:val="008A62A3"/>
    <w:rsid w:val="008A64B8"/>
    <w:rsid w:val="008A69B9"/>
    <w:rsid w:val="008A6A54"/>
    <w:rsid w:val="008A6B13"/>
    <w:rsid w:val="008A6B65"/>
    <w:rsid w:val="008A6D80"/>
    <w:rsid w:val="008A7187"/>
    <w:rsid w:val="008A719D"/>
    <w:rsid w:val="008A731C"/>
    <w:rsid w:val="008A7514"/>
    <w:rsid w:val="008A7523"/>
    <w:rsid w:val="008A763C"/>
    <w:rsid w:val="008A77D1"/>
    <w:rsid w:val="008A7AC1"/>
    <w:rsid w:val="008B014C"/>
    <w:rsid w:val="008B0968"/>
    <w:rsid w:val="008B09D1"/>
    <w:rsid w:val="008B0C68"/>
    <w:rsid w:val="008B0FFC"/>
    <w:rsid w:val="008B1043"/>
    <w:rsid w:val="008B1436"/>
    <w:rsid w:val="008B181A"/>
    <w:rsid w:val="008B235D"/>
    <w:rsid w:val="008B3569"/>
    <w:rsid w:val="008B37D0"/>
    <w:rsid w:val="008B3A42"/>
    <w:rsid w:val="008B3AD7"/>
    <w:rsid w:val="008B3CF1"/>
    <w:rsid w:val="008B41E8"/>
    <w:rsid w:val="008B478B"/>
    <w:rsid w:val="008B499E"/>
    <w:rsid w:val="008B4B76"/>
    <w:rsid w:val="008B4F66"/>
    <w:rsid w:val="008B5270"/>
    <w:rsid w:val="008B53E3"/>
    <w:rsid w:val="008B541F"/>
    <w:rsid w:val="008B5B3B"/>
    <w:rsid w:val="008B61AC"/>
    <w:rsid w:val="008B61B7"/>
    <w:rsid w:val="008B6DFF"/>
    <w:rsid w:val="008B71D6"/>
    <w:rsid w:val="008B73FD"/>
    <w:rsid w:val="008B74DA"/>
    <w:rsid w:val="008B7700"/>
    <w:rsid w:val="008B78EB"/>
    <w:rsid w:val="008B797D"/>
    <w:rsid w:val="008B7E92"/>
    <w:rsid w:val="008C0B95"/>
    <w:rsid w:val="008C0E70"/>
    <w:rsid w:val="008C114C"/>
    <w:rsid w:val="008C17BE"/>
    <w:rsid w:val="008C200D"/>
    <w:rsid w:val="008C2381"/>
    <w:rsid w:val="008C2815"/>
    <w:rsid w:val="008C2FC7"/>
    <w:rsid w:val="008C3023"/>
    <w:rsid w:val="008C344D"/>
    <w:rsid w:val="008C3542"/>
    <w:rsid w:val="008C3745"/>
    <w:rsid w:val="008C374C"/>
    <w:rsid w:val="008C3C31"/>
    <w:rsid w:val="008C3E23"/>
    <w:rsid w:val="008C48EF"/>
    <w:rsid w:val="008C497B"/>
    <w:rsid w:val="008C4A5E"/>
    <w:rsid w:val="008C4BD7"/>
    <w:rsid w:val="008C4C98"/>
    <w:rsid w:val="008C4CBE"/>
    <w:rsid w:val="008C4EAE"/>
    <w:rsid w:val="008C4F55"/>
    <w:rsid w:val="008C5133"/>
    <w:rsid w:val="008C529B"/>
    <w:rsid w:val="008C5331"/>
    <w:rsid w:val="008C5637"/>
    <w:rsid w:val="008C599C"/>
    <w:rsid w:val="008C5CB2"/>
    <w:rsid w:val="008C60D6"/>
    <w:rsid w:val="008C63F8"/>
    <w:rsid w:val="008C68CF"/>
    <w:rsid w:val="008C691E"/>
    <w:rsid w:val="008C7196"/>
    <w:rsid w:val="008C76FD"/>
    <w:rsid w:val="008C799E"/>
    <w:rsid w:val="008C79DC"/>
    <w:rsid w:val="008C7A07"/>
    <w:rsid w:val="008D01C5"/>
    <w:rsid w:val="008D01EA"/>
    <w:rsid w:val="008D04BE"/>
    <w:rsid w:val="008D1559"/>
    <w:rsid w:val="008D172A"/>
    <w:rsid w:val="008D17EF"/>
    <w:rsid w:val="008D1825"/>
    <w:rsid w:val="008D19D4"/>
    <w:rsid w:val="008D1F61"/>
    <w:rsid w:val="008D28E0"/>
    <w:rsid w:val="008D2ECE"/>
    <w:rsid w:val="008D305D"/>
    <w:rsid w:val="008D33F8"/>
    <w:rsid w:val="008D3C31"/>
    <w:rsid w:val="008D3F6C"/>
    <w:rsid w:val="008D3FCA"/>
    <w:rsid w:val="008D4048"/>
    <w:rsid w:val="008D4293"/>
    <w:rsid w:val="008D4669"/>
    <w:rsid w:val="008D467D"/>
    <w:rsid w:val="008D4906"/>
    <w:rsid w:val="008D4BBB"/>
    <w:rsid w:val="008D4BCF"/>
    <w:rsid w:val="008D55B5"/>
    <w:rsid w:val="008D56EF"/>
    <w:rsid w:val="008D58D7"/>
    <w:rsid w:val="008D5A24"/>
    <w:rsid w:val="008D5A38"/>
    <w:rsid w:val="008D5B33"/>
    <w:rsid w:val="008D5D3A"/>
    <w:rsid w:val="008D5EF2"/>
    <w:rsid w:val="008D62DE"/>
    <w:rsid w:val="008D6458"/>
    <w:rsid w:val="008D662A"/>
    <w:rsid w:val="008D672C"/>
    <w:rsid w:val="008D69C6"/>
    <w:rsid w:val="008D6BC7"/>
    <w:rsid w:val="008D6CF6"/>
    <w:rsid w:val="008D6EC8"/>
    <w:rsid w:val="008D71B6"/>
    <w:rsid w:val="008D72EA"/>
    <w:rsid w:val="008D7409"/>
    <w:rsid w:val="008D7625"/>
    <w:rsid w:val="008D78D6"/>
    <w:rsid w:val="008D7CE0"/>
    <w:rsid w:val="008E0303"/>
    <w:rsid w:val="008E0453"/>
    <w:rsid w:val="008E04D0"/>
    <w:rsid w:val="008E054D"/>
    <w:rsid w:val="008E0777"/>
    <w:rsid w:val="008E0CA2"/>
    <w:rsid w:val="008E0DFA"/>
    <w:rsid w:val="008E0EF9"/>
    <w:rsid w:val="008E113B"/>
    <w:rsid w:val="008E1778"/>
    <w:rsid w:val="008E1784"/>
    <w:rsid w:val="008E1E90"/>
    <w:rsid w:val="008E1E9A"/>
    <w:rsid w:val="008E27E5"/>
    <w:rsid w:val="008E2B8A"/>
    <w:rsid w:val="008E2C7C"/>
    <w:rsid w:val="008E2F58"/>
    <w:rsid w:val="008E30D6"/>
    <w:rsid w:val="008E30D9"/>
    <w:rsid w:val="008E3176"/>
    <w:rsid w:val="008E328A"/>
    <w:rsid w:val="008E36A5"/>
    <w:rsid w:val="008E3888"/>
    <w:rsid w:val="008E3C4C"/>
    <w:rsid w:val="008E3EC9"/>
    <w:rsid w:val="008E41C6"/>
    <w:rsid w:val="008E4304"/>
    <w:rsid w:val="008E44D9"/>
    <w:rsid w:val="008E4630"/>
    <w:rsid w:val="008E4659"/>
    <w:rsid w:val="008E4A4A"/>
    <w:rsid w:val="008E4B1C"/>
    <w:rsid w:val="008E4BB7"/>
    <w:rsid w:val="008E5265"/>
    <w:rsid w:val="008E52D8"/>
    <w:rsid w:val="008E53C1"/>
    <w:rsid w:val="008E54D5"/>
    <w:rsid w:val="008E5C5F"/>
    <w:rsid w:val="008E5E0A"/>
    <w:rsid w:val="008E6137"/>
    <w:rsid w:val="008E68D3"/>
    <w:rsid w:val="008E6A0B"/>
    <w:rsid w:val="008E7108"/>
    <w:rsid w:val="008E7140"/>
    <w:rsid w:val="008E733B"/>
    <w:rsid w:val="008E735C"/>
    <w:rsid w:val="008E76A4"/>
    <w:rsid w:val="008E76BD"/>
    <w:rsid w:val="008E7762"/>
    <w:rsid w:val="008E79DF"/>
    <w:rsid w:val="008E7A22"/>
    <w:rsid w:val="008F002D"/>
    <w:rsid w:val="008F007A"/>
    <w:rsid w:val="008F01AA"/>
    <w:rsid w:val="008F01DD"/>
    <w:rsid w:val="008F0345"/>
    <w:rsid w:val="008F04FA"/>
    <w:rsid w:val="008F0AD5"/>
    <w:rsid w:val="008F0BA2"/>
    <w:rsid w:val="008F104C"/>
    <w:rsid w:val="008F106D"/>
    <w:rsid w:val="008F1170"/>
    <w:rsid w:val="008F11C0"/>
    <w:rsid w:val="008F1527"/>
    <w:rsid w:val="008F1719"/>
    <w:rsid w:val="008F1809"/>
    <w:rsid w:val="008F1DB6"/>
    <w:rsid w:val="008F20C1"/>
    <w:rsid w:val="008F20D7"/>
    <w:rsid w:val="008F2107"/>
    <w:rsid w:val="008F2250"/>
    <w:rsid w:val="008F22F7"/>
    <w:rsid w:val="008F2413"/>
    <w:rsid w:val="008F253D"/>
    <w:rsid w:val="008F2A56"/>
    <w:rsid w:val="008F2E00"/>
    <w:rsid w:val="008F3471"/>
    <w:rsid w:val="008F374B"/>
    <w:rsid w:val="008F3978"/>
    <w:rsid w:val="008F39C6"/>
    <w:rsid w:val="008F3B1A"/>
    <w:rsid w:val="008F3C0B"/>
    <w:rsid w:val="008F3C48"/>
    <w:rsid w:val="008F3C57"/>
    <w:rsid w:val="008F3C7D"/>
    <w:rsid w:val="008F3E2D"/>
    <w:rsid w:val="008F404E"/>
    <w:rsid w:val="008F4324"/>
    <w:rsid w:val="008F43E8"/>
    <w:rsid w:val="008F4603"/>
    <w:rsid w:val="008F4676"/>
    <w:rsid w:val="008F4841"/>
    <w:rsid w:val="008F4CE4"/>
    <w:rsid w:val="008F575C"/>
    <w:rsid w:val="008F5775"/>
    <w:rsid w:val="008F5866"/>
    <w:rsid w:val="008F591C"/>
    <w:rsid w:val="008F59BF"/>
    <w:rsid w:val="008F5B19"/>
    <w:rsid w:val="008F5C06"/>
    <w:rsid w:val="008F6043"/>
    <w:rsid w:val="008F6132"/>
    <w:rsid w:val="008F6A7D"/>
    <w:rsid w:val="008F6E87"/>
    <w:rsid w:val="008F7584"/>
    <w:rsid w:val="008F76A8"/>
    <w:rsid w:val="008F770A"/>
    <w:rsid w:val="008F7EBC"/>
    <w:rsid w:val="008F7FA5"/>
    <w:rsid w:val="00900304"/>
    <w:rsid w:val="0090042A"/>
    <w:rsid w:val="00900468"/>
    <w:rsid w:val="00900765"/>
    <w:rsid w:val="00900797"/>
    <w:rsid w:val="00900906"/>
    <w:rsid w:val="00900B82"/>
    <w:rsid w:val="00900D00"/>
    <w:rsid w:val="00900D80"/>
    <w:rsid w:val="00900E40"/>
    <w:rsid w:val="00901505"/>
    <w:rsid w:val="00901765"/>
    <w:rsid w:val="00901776"/>
    <w:rsid w:val="00901A98"/>
    <w:rsid w:val="00901C06"/>
    <w:rsid w:val="00901C4E"/>
    <w:rsid w:val="00901D52"/>
    <w:rsid w:val="00902196"/>
    <w:rsid w:val="00902390"/>
    <w:rsid w:val="009025A7"/>
    <w:rsid w:val="009026E8"/>
    <w:rsid w:val="0090285F"/>
    <w:rsid w:val="00902A26"/>
    <w:rsid w:val="00902CF1"/>
    <w:rsid w:val="00902F55"/>
    <w:rsid w:val="0090320E"/>
    <w:rsid w:val="00903257"/>
    <w:rsid w:val="009035A2"/>
    <w:rsid w:val="009037B4"/>
    <w:rsid w:val="00903877"/>
    <w:rsid w:val="00903D8A"/>
    <w:rsid w:val="00903F0E"/>
    <w:rsid w:val="00904164"/>
    <w:rsid w:val="009041BC"/>
    <w:rsid w:val="00904366"/>
    <w:rsid w:val="0090453E"/>
    <w:rsid w:val="0090465F"/>
    <w:rsid w:val="009048A2"/>
    <w:rsid w:val="00904C9A"/>
    <w:rsid w:val="00904D87"/>
    <w:rsid w:val="00904D8B"/>
    <w:rsid w:val="00905099"/>
    <w:rsid w:val="00905496"/>
    <w:rsid w:val="0090555F"/>
    <w:rsid w:val="00905592"/>
    <w:rsid w:val="009055EE"/>
    <w:rsid w:val="009057DE"/>
    <w:rsid w:val="0090587E"/>
    <w:rsid w:val="00905C61"/>
    <w:rsid w:val="00905EC0"/>
    <w:rsid w:val="00905EEC"/>
    <w:rsid w:val="0090636C"/>
    <w:rsid w:val="009065F1"/>
    <w:rsid w:val="00906744"/>
    <w:rsid w:val="0090685B"/>
    <w:rsid w:val="00906A25"/>
    <w:rsid w:val="00906CBC"/>
    <w:rsid w:val="00906CE2"/>
    <w:rsid w:val="00906FE6"/>
    <w:rsid w:val="009075F9"/>
    <w:rsid w:val="00907603"/>
    <w:rsid w:val="00907990"/>
    <w:rsid w:val="00907AB8"/>
    <w:rsid w:val="00907C7D"/>
    <w:rsid w:val="00907C8B"/>
    <w:rsid w:val="00907C92"/>
    <w:rsid w:val="00907D61"/>
    <w:rsid w:val="00907E3D"/>
    <w:rsid w:val="00910064"/>
    <w:rsid w:val="00910410"/>
    <w:rsid w:val="00910762"/>
    <w:rsid w:val="009107CF"/>
    <w:rsid w:val="00910A8F"/>
    <w:rsid w:val="00910D5A"/>
    <w:rsid w:val="00910E19"/>
    <w:rsid w:val="0091133F"/>
    <w:rsid w:val="009114DC"/>
    <w:rsid w:val="00911510"/>
    <w:rsid w:val="00911811"/>
    <w:rsid w:val="00911B4A"/>
    <w:rsid w:val="00911B52"/>
    <w:rsid w:val="00911C20"/>
    <w:rsid w:val="00911D92"/>
    <w:rsid w:val="009121D3"/>
    <w:rsid w:val="009123E9"/>
    <w:rsid w:val="009125FD"/>
    <w:rsid w:val="009129CF"/>
    <w:rsid w:val="00912BC0"/>
    <w:rsid w:val="00912BDA"/>
    <w:rsid w:val="00912CD3"/>
    <w:rsid w:val="00912E7F"/>
    <w:rsid w:val="00912E8C"/>
    <w:rsid w:val="00912EF3"/>
    <w:rsid w:val="00912F70"/>
    <w:rsid w:val="0091365E"/>
    <w:rsid w:val="00913DA5"/>
    <w:rsid w:val="00913F29"/>
    <w:rsid w:val="0091406E"/>
    <w:rsid w:val="0091428D"/>
    <w:rsid w:val="00914349"/>
    <w:rsid w:val="009143D0"/>
    <w:rsid w:val="009143E7"/>
    <w:rsid w:val="0091466A"/>
    <w:rsid w:val="00914A25"/>
    <w:rsid w:val="00914E34"/>
    <w:rsid w:val="00915086"/>
    <w:rsid w:val="009150C1"/>
    <w:rsid w:val="00915368"/>
    <w:rsid w:val="00915436"/>
    <w:rsid w:val="00915670"/>
    <w:rsid w:val="009156F3"/>
    <w:rsid w:val="00915896"/>
    <w:rsid w:val="00915C0A"/>
    <w:rsid w:val="0091618F"/>
    <w:rsid w:val="009163D3"/>
    <w:rsid w:val="009164C5"/>
    <w:rsid w:val="0091652D"/>
    <w:rsid w:val="009166A6"/>
    <w:rsid w:val="009166AA"/>
    <w:rsid w:val="00916929"/>
    <w:rsid w:val="009169D7"/>
    <w:rsid w:val="00916E9E"/>
    <w:rsid w:val="0091749A"/>
    <w:rsid w:val="00917545"/>
    <w:rsid w:val="009175B9"/>
    <w:rsid w:val="009176F5"/>
    <w:rsid w:val="0091776B"/>
    <w:rsid w:val="0091778B"/>
    <w:rsid w:val="00917B75"/>
    <w:rsid w:val="00917D7B"/>
    <w:rsid w:val="00917E30"/>
    <w:rsid w:val="0092009B"/>
    <w:rsid w:val="0092049B"/>
    <w:rsid w:val="009210A6"/>
    <w:rsid w:val="009210B2"/>
    <w:rsid w:val="009212BC"/>
    <w:rsid w:val="0092158A"/>
    <w:rsid w:val="009215F6"/>
    <w:rsid w:val="00921A42"/>
    <w:rsid w:val="009222FE"/>
    <w:rsid w:val="0092253D"/>
    <w:rsid w:val="00922B10"/>
    <w:rsid w:val="00922D76"/>
    <w:rsid w:val="00922E28"/>
    <w:rsid w:val="00922EF8"/>
    <w:rsid w:val="00923395"/>
    <w:rsid w:val="009233B2"/>
    <w:rsid w:val="009237A1"/>
    <w:rsid w:val="0092396C"/>
    <w:rsid w:val="00923ADD"/>
    <w:rsid w:val="00923B30"/>
    <w:rsid w:val="0092439F"/>
    <w:rsid w:val="0092441D"/>
    <w:rsid w:val="00924552"/>
    <w:rsid w:val="00924632"/>
    <w:rsid w:val="00924765"/>
    <w:rsid w:val="009248F1"/>
    <w:rsid w:val="009249D2"/>
    <w:rsid w:val="00924D10"/>
    <w:rsid w:val="00924F6C"/>
    <w:rsid w:val="009250C0"/>
    <w:rsid w:val="0092527D"/>
    <w:rsid w:val="0092552D"/>
    <w:rsid w:val="009258C5"/>
    <w:rsid w:val="009259DF"/>
    <w:rsid w:val="009259EF"/>
    <w:rsid w:val="00925CE4"/>
    <w:rsid w:val="0092602A"/>
    <w:rsid w:val="00926A17"/>
    <w:rsid w:val="00926FA4"/>
    <w:rsid w:val="00927125"/>
    <w:rsid w:val="009273F6"/>
    <w:rsid w:val="009278A0"/>
    <w:rsid w:val="009278E7"/>
    <w:rsid w:val="00927949"/>
    <w:rsid w:val="00927974"/>
    <w:rsid w:val="0093011B"/>
    <w:rsid w:val="0093025F"/>
    <w:rsid w:val="0093058A"/>
    <w:rsid w:val="00930E49"/>
    <w:rsid w:val="00930FE1"/>
    <w:rsid w:val="00931210"/>
    <w:rsid w:val="009312B8"/>
    <w:rsid w:val="00931575"/>
    <w:rsid w:val="00931591"/>
    <w:rsid w:val="00931922"/>
    <w:rsid w:val="00931C71"/>
    <w:rsid w:val="00931E60"/>
    <w:rsid w:val="009321AA"/>
    <w:rsid w:val="0093227E"/>
    <w:rsid w:val="00932BE8"/>
    <w:rsid w:val="009335E7"/>
    <w:rsid w:val="009338B9"/>
    <w:rsid w:val="00933AD6"/>
    <w:rsid w:val="00933E6A"/>
    <w:rsid w:val="00933E90"/>
    <w:rsid w:val="00934117"/>
    <w:rsid w:val="00934265"/>
    <w:rsid w:val="009343A6"/>
    <w:rsid w:val="009345EC"/>
    <w:rsid w:val="009346FD"/>
    <w:rsid w:val="00934A4C"/>
    <w:rsid w:val="00934D43"/>
    <w:rsid w:val="00935114"/>
    <w:rsid w:val="009351A1"/>
    <w:rsid w:val="00935296"/>
    <w:rsid w:val="009352F1"/>
    <w:rsid w:val="00935317"/>
    <w:rsid w:val="009354A9"/>
    <w:rsid w:val="009357F3"/>
    <w:rsid w:val="00935A15"/>
    <w:rsid w:val="00935A72"/>
    <w:rsid w:val="00935F31"/>
    <w:rsid w:val="00935FED"/>
    <w:rsid w:val="009363D4"/>
    <w:rsid w:val="00936568"/>
    <w:rsid w:val="00936725"/>
    <w:rsid w:val="009368F1"/>
    <w:rsid w:val="009368F8"/>
    <w:rsid w:val="009369A5"/>
    <w:rsid w:val="00936AEA"/>
    <w:rsid w:val="00936B82"/>
    <w:rsid w:val="00936C8F"/>
    <w:rsid w:val="00936DE3"/>
    <w:rsid w:val="00936E60"/>
    <w:rsid w:val="0093711A"/>
    <w:rsid w:val="00937403"/>
    <w:rsid w:val="0093765D"/>
    <w:rsid w:val="0093773F"/>
    <w:rsid w:val="009378BF"/>
    <w:rsid w:val="00937963"/>
    <w:rsid w:val="00937DB5"/>
    <w:rsid w:val="00937F43"/>
    <w:rsid w:val="00940353"/>
    <w:rsid w:val="00940892"/>
    <w:rsid w:val="0094097A"/>
    <w:rsid w:val="009409EE"/>
    <w:rsid w:val="00940B2E"/>
    <w:rsid w:val="00940B89"/>
    <w:rsid w:val="00940C64"/>
    <w:rsid w:val="00940FFB"/>
    <w:rsid w:val="009411BD"/>
    <w:rsid w:val="0094121A"/>
    <w:rsid w:val="009412F6"/>
    <w:rsid w:val="009414DB"/>
    <w:rsid w:val="0094187E"/>
    <w:rsid w:val="00941889"/>
    <w:rsid w:val="00941DF3"/>
    <w:rsid w:val="00941E48"/>
    <w:rsid w:val="00941EA5"/>
    <w:rsid w:val="009421AA"/>
    <w:rsid w:val="00943370"/>
    <w:rsid w:val="00943BCC"/>
    <w:rsid w:val="00943ED2"/>
    <w:rsid w:val="00944204"/>
    <w:rsid w:val="00944428"/>
    <w:rsid w:val="00944592"/>
    <w:rsid w:val="009445F1"/>
    <w:rsid w:val="009446D2"/>
    <w:rsid w:val="0094476A"/>
    <w:rsid w:val="00945488"/>
    <w:rsid w:val="0094559D"/>
    <w:rsid w:val="00945787"/>
    <w:rsid w:val="00945932"/>
    <w:rsid w:val="00945A2F"/>
    <w:rsid w:val="00946278"/>
    <w:rsid w:val="009463FD"/>
    <w:rsid w:val="009467F1"/>
    <w:rsid w:val="00946847"/>
    <w:rsid w:val="009468EE"/>
    <w:rsid w:val="00946A78"/>
    <w:rsid w:val="00946E51"/>
    <w:rsid w:val="00947368"/>
    <w:rsid w:val="0094736C"/>
    <w:rsid w:val="0094774B"/>
    <w:rsid w:val="009479A1"/>
    <w:rsid w:val="00947FC4"/>
    <w:rsid w:val="009503DE"/>
    <w:rsid w:val="00950996"/>
    <w:rsid w:val="00950C64"/>
    <w:rsid w:val="009512A1"/>
    <w:rsid w:val="009514CD"/>
    <w:rsid w:val="009515E2"/>
    <w:rsid w:val="009517E7"/>
    <w:rsid w:val="00951A46"/>
    <w:rsid w:val="00951CB9"/>
    <w:rsid w:val="0095239A"/>
    <w:rsid w:val="009523D8"/>
    <w:rsid w:val="00952407"/>
    <w:rsid w:val="0095251E"/>
    <w:rsid w:val="00952795"/>
    <w:rsid w:val="009529BD"/>
    <w:rsid w:val="00952A36"/>
    <w:rsid w:val="00952E13"/>
    <w:rsid w:val="00952FCD"/>
    <w:rsid w:val="0095342B"/>
    <w:rsid w:val="009538E7"/>
    <w:rsid w:val="00953990"/>
    <w:rsid w:val="00953B49"/>
    <w:rsid w:val="00953BF5"/>
    <w:rsid w:val="00953C8F"/>
    <w:rsid w:val="00953CCB"/>
    <w:rsid w:val="00953D09"/>
    <w:rsid w:val="00953E6C"/>
    <w:rsid w:val="00954285"/>
    <w:rsid w:val="00954401"/>
    <w:rsid w:val="009548BE"/>
    <w:rsid w:val="00954944"/>
    <w:rsid w:val="00954ACF"/>
    <w:rsid w:val="00954EBF"/>
    <w:rsid w:val="00955008"/>
    <w:rsid w:val="0095547B"/>
    <w:rsid w:val="0095558D"/>
    <w:rsid w:val="0095566A"/>
    <w:rsid w:val="009556EB"/>
    <w:rsid w:val="009557DF"/>
    <w:rsid w:val="00955813"/>
    <w:rsid w:val="00955A23"/>
    <w:rsid w:val="00955C8C"/>
    <w:rsid w:val="00955E9E"/>
    <w:rsid w:val="009563DD"/>
    <w:rsid w:val="00956BD3"/>
    <w:rsid w:val="009570A8"/>
    <w:rsid w:val="00957CE4"/>
    <w:rsid w:val="0096000C"/>
    <w:rsid w:val="009601FE"/>
    <w:rsid w:val="00961453"/>
    <w:rsid w:val="0096162F"/>
    <w:rsid w:val="0096199F"/>
    <w:rsid w:val="00961C2F"/>
    <w:rsid w:val="00961C75"/>
    <w:rsid w:val="00961D43"/>
    <w:rsid w:val="0096207B"/>
    <w:rsid w:val="00962197"/>
    <w:rsid w:val="00962546"/>
    <w:rsid w:val="00962710"/>
    <w:rsid w:val="00962952"/>
    <w:rsid w:val="00962A84"/>
    <w:rsid w:val="00962C01"/>
    <w:rsid w:val="00962DC9"/>
    <w:rsid w:val="00962F4B"/>
    <w:rsid w:val="00963319"/>
    <w:rsid w:val="00963492"/>
    <w:rsid w:val="009637C2"/>
    <w:rsid w:val="00963A6E"/>
    <w:rsid w:val="00963A79"/>
    <w:rsid w:val="00963BC1"/>
    <w:rsid w:val="00963CA9"/>
    <w:rsid w:val="00963D89"/>
    <w:rsid w:val="00963E17"/>
    <w:rsid w:val="009642F8"/>
    <w:rsid w:val="009643BC"/>
    <w:rsid w:val="009645A9"/>
    <w:rsid w:val="00964695"/>
    <w:rsid w:val="009646E8"/>
    <w:rsid w:val="00964ADB"/>
    <w:rsid w:val="00965054"/>
    <w:rsid w:val="00965626"/>
    <w:rsid w:val="00966229"/>
    <w:rsid w:val="00966966"/>
    <w:rsid w:val="00966A06"/>
    <w:rsid w:val="00966A07"/>
    <w:rsid w:val="00966F28"/>
    <w:rsid w:val="00966FDB"/>
    <w:rsid w:val="009671F7"/>
    <w:rsid w:val="00967467"/>
    <w:rsid w:val="009674B9"/>
    <w:rsid w:val="009674E9"/>
    <w:rsid w:val="009676F4"/>
    <w:rsid w:val="0096770C"/>
    <w:rsid w:val="00967DAE"/>
    <w:rsid w:val="00967DBB"/>
    <w:rsid w:val="00967F27"/>
    <w:rsid w:val="00967FAE"/>
    <w:rsid w:val="0096EB34"/>
    <w:rsid w:val="009700FB"/>
    <w:rsid w:val="00970677"/>
    <w:rsid w:val="00970882"/>
    <w:rsid w:val="00970AAB"/>
    <w:rsid w:val="00970B19"/>
    <w:rsid w:val="00970BBB"/>
    <w:rsid w:val="00970C18"/>
    <w:rsid w:val="00970DD1"/>
    <w:rsid w:val="00970DD3"/>
    <w:rsid w:val="009711D9"/>
    <w:rsid w:val="009718D2"/>
    <w:rsid w:val="00971908"/>
    <w:rsid w:val="00971B71"/>
    <w:rsid w:val="00972041"/>
    <w:rsid w:val="009722A5"/>
    <w:rsid w:val="009724FD"/>
    <w:rsid w:val="0097265C"/>
    <w:rsid w:val="00972A01"/>
    <w:rsid w:val="00972B7B"/>
    <w:rsid w:val="00972F61"/>
    <w:rsid w:val="00973180"/>
    <w:rsid w:val="009739E4"/>
    <w:rsid w:val="00973BA2"/>
    <w:rsid w:val="00973D0A"/>
    <w:rsid w:val="00973EA9"/>
    <w:rsid w:val="00973FAF"/>
    <w:rsid w:val="00974041"/>
    <w:rsid w:val="009742BA"/>
    <w:rsid w:val="009742DA"/>
    <w:rsid w:val="009742DD"/>
    <w:rsid w:val="00974482"/>
    <w:rsid w:val="009744B7"/>
    <w:rsid w:val="00974504"/>
    <w:rsid w:val="009748EB"/>
    <w:rsid w:val="00974ADF"/>
    <w:rsid w:val="00974DD8"/>
    <w:rsid w:val="00974E74"/>
    <w:rsid w:val="00974FC2"/>
    <w:rsid w:val="00975678"/>
    <w:rsid w:val="00975720"/>
    <w:rsid w:val="0097584E"/>
    <w:rsid w:val="00975A4A"/>
    <w:rsid w:val="00975C0B"/>
    <w:rsid w:val="00975FD2"/>
    <w:rsid w:val="00976001"/>
    <w:rsid w:val="009760EE"/>
    <w:rsid w:val="00976248"/>
    <w:rsid w:val="0097624B"/>
    <w:rsid w:val="00976379"/>
    <w:rsid w:val="00976413"/>
    <w:rsid w:val="009767B4"/>
    <w:rsid w:val="009768DA"/>
    <w:rsid w:val="00976BA5"/>
    <w:rsid w:val="00976C76"/>
    <w:rsid w:val="009773FE"/>
    <w:rsid w:val="009774FA"/>
    <w:rsid w:val="00977654"/>
    <w:rsid w:val="00977944"/>
    <w:rsid w:val="00977C83"/>
    <w:rsid w:val="00977D37"/>
    <w:rsid w:val="00977D8B"/>
    <w:rsid w:val="009801E5"/>
    <w:rsid w:val="009807AE"/>
    <w:rsid w:val="00980B39"/>
    <w:rsid w:val="00980C2F"/>
    <w:rsid w:val="009811D2"/>
    <w:rsid w:val="00981620"/>
    <w:rsid w:val="00981660"/>
    <w:rsid w:val="009816B5"/>
    <w:rsid w:val="00981828"/>
    <w:rsid w:val="00981854"/>
    <w:rsid w:val="00981ED7"/>
    <w:rsid w:val="00981F2A"/>
    <w:rsid w:val="009828BD"/>
    <w:rsid w:val="00982922"/>
    <w:rsid w:val="00983566"/>
    <w:rsid w:val="0098419B"/>
    <w:rsid w:val="009844E6"/>
    <w:rsid w:val="00984722"/>
    <w:rsid w:val="00984790"/>
    <w:rsid w:val="009848A7"/>
    <w:rsid w:val="00984D7C"/>
    <w:rsid w:val="0098516C"/>
    <w:rsid w:val="009851C1"/>
    <w:rsid w:val="00985833"/>
    <w:rsid w:val="009858AC"/>
    <w:rsid w:val="00985DDF"/>
    <w:rsid w:val="00985E6B"/>
    <w:rsid w:val="009861F4"/>
    <w:rsid w:val="00986834"/>
    <w:rsid w:val="00986A0F"/>
    <w:rsid w:val="00986BEB"/>
    <w:rsid w:val="009870CB"/>
    <w:rsid w:val="0098719E"/>
    <w:rsid w:val="00987823"/>
    <w:rsid w:val="009878A4"/>
    <w:rsid w:val="00987945"/>
    <w:rsid w:val="00987ED1"/>
    <w:rsid w:val="0099030D"/>
    <w:rsid w:val="00990334"/>
    <w:rsid w:val="00990AC9"/>
    <w:rsid w:val="00990B41"/>
    <w:rsid w:val="00991150"/>
    <w:rsid w:val="00991158"/>
    <w:rsid w:val="00991654"/>
    <w:rsid w:val="0099198F"/>
    <w:rsid w:val="0099199E"/>
    <w:rsid w:val="00991C81"/>
    <w:rsid w:val="00991D03"/>
    <w:rsid w:val="00991E2B"/>
    <w:rsid w:val="00992182"/>
    <w:rsid w:val="009921E3"/>
    <w:rsid w:val="009922D0"/>
    <w:rsid w:val="00992564"/>
    <w:rsid w:val="00992C65"/>
    <w:rsid w:val="0099361C"/>
    <w:rsid w:val="00993993"/>
    <w:rsid w:val="009939AA"/>
    <w:rsid w:val="00993ABE"/>
    <w:rsid w:val="00993C26"/>
    <w:rsid w:val="00993C2F"/>
    <w:rsid w:val="00993C6C"/>
    <w:rsid w:val="009940E3"/>
    <w:rsid w:val="009941A0"/>
    <w:rsid w:val="00994BB6"/>
    <w:rsid w:val="00994E42"/>
    <w:rsid w:val="00994EE3"/>
    <w:rsid w:val="00994F46"/>
    <w:rsid w:val="0099521B"/>
    <w:rsid w:val="009959C3"/>
    <w:rsid w:val="00995C44"/>
    <w:rsid w:val="00995D72"/>
    <w:rsid w:val="00995EB2"/>
    <w:rsid w:val="0099639A"/>
    <w:rsid w:val="00996439"/>
    <w:rsid w:val="0099643F"/>
    <w:rsid w:val="009964FC"/>
    <w:rsid w:val="0099695A"/>
    <w:rsid w:val="00996B4D"/>
    <w:rsid w:val="00996E00"/>
    <w:rsid w:val="00996EBD"/>
    <w:rsid w:val="00996F13"/>
    <w:rsid w:val="0099712F"/>
    <w:rsid w:val="00997453"/>
    <w:rsid w:val="009977C0"/>
    <w:rsid w:val="00997825"/>
    <w:rsid w:val="009978B3"/>
    <w:rsid w:val="00997E1E"/>
    <w:rsid w:val="00997EEA"/>
    <w:rsid w:val="009A023A"/>
    <w:rsid w:val="009A04A5"/>
    <w:rsid w:val="009A06AF"/>
    <w:rsid w:val="009A1287"/>
    <w:rsid w:val="009A12E4"/>
    <w:rsid w:val="009A1615"/>
    <w:rsid w:val="009A16A2"/>
    <w:rsid w:val="009A1B40"/>
    <w:rsid w:val="009A1BE3"/>
    <w:rsid w:val="009A1D43"/>
    <w:rsid w:val="009A1FE9"/>
    <w:rsid w:val="009A2186"/>
    <w:rsid w:val="009A249D"/>
    <w:rsid w:val="009A2895"/>
    <w:rsid w:val="009A2930"/>
    <w:rsid w:val="009A299C"/>
    <w:rsid w:val="009A30DB"/>
    <w:rsid w:val="009A3150"/>
    <w:rsid w:val="009A320E"/>
    <w:rsid w:val="009A3275"/>
    <w:rsid w:val="009A329C"/>
    <w:rsid w:val="009A35A0"/>
    <w:rsid w:val="009A41CC"/>
    <w:rsid w:val="009A457D"/>
    <w:rsid w:val="009A49DA"/>
    <w:rsid w:val="009A4A27"/>
    <w:rsid w:val="009A4E87"/>
    <w:rsid w:val="009A4ED7"/>
    <w:rsid w:val="009A4F54"/>
    <w:rsid w:val="009A4F67"/>
    <w:rsid w:val="009A4FE5"/>
    <w:rsid w:val="009A51AC"/>
    <w:rsid w:val="009A53BA"/>
    <w:rsid w:val="009A5400"/>
    <w:rsid w:val="009A5FF7"/>
    <w:rsid w:val="009A602B"/>
    <w:rsid w:val="009A66FE"/>
    <w:rsid w:val="009A68D7"/>
    <w:rsid w:val="009A70F2"/>
    <w:rsid w:val="009A7344"/>
    <w:rsid w:val="009A794B"/>
    <w:rsid w:val="009A7ACC"/>
    <w:rsid w:val="009A7CFA"/>
    <w:rsid w:val="009B0C51"/>
    <w:rsid w:val="009B0CD9"/>
    <w:rsid w:val="009B1855"/>
    <w:rsid w:val="009B1A0C"/>
    <w:rsid w:val="009B2183"/>
    <w:rsid w:val="009B23DD"/>
    <w:rsid w:val="009B29AC"/>
    <w:rsid w:val="009B2A39"/>
    <w:rsid w:val="009B2CC0"/>
    <w:rsid w:val="009B2CDF"/>
    <w:rsid w:val="009B2DF8"/>
    <w:rsid w:val="009B363D"/>
    <w:rsid w:val="009B36D3"/>
    <w:rsid w:val="009B392D"/>
    <w:rsid w:val="009B3C3B"/>
    <w:rsid w:val="009B3C7E"/>
    <w:rsid w:val="009B3D10"/>
    <w:rsid w:val="009B3F93"/>
    <w:rsid w:val="009B4223"/>
    <w:rsid w:val="009B498C"/>
    <w:rsid w:val="009B4B7F"/>
    <w:rsid w:val="009B550C"/>
    <w:rsid w:val="009B567B"/>
    <w:rsid w:val="009B56D8"/>
    <w:rsid w:val="009B5897"/>
    <w:rsid w:val="009B5F88"/>
    <w:rsid w:val="009B607A"/>
    <w:rsid w:val="009B61C8"/>
    <w:rsid w:val="009B62C8"/>
    <w:rsid w:val="009B6384"/>
    <w:rsid w:val="009B666D"/>
    <w:rsid w:val="009B6E77"/>
    <w:rsid w:val="009B71DE"/>
    <w:rsid w:val="009B72B2"/>
    <w:rsid w:val="009B7342"/>
    <w:rsid w:val="009B752F"/>
    <w:rsid w:val="009B76BD"/>
    <w:rsid w:val="009B76C5"/>
    <w:rsid w:val="009B7780"/>
    <w:rsid w:val="009B79A2"/>
    <w:rsid w:val="009B7A4B"/>
    <w:rsid w:val="009B7BA9"/>
    <w:rsid w:val="009C0032"/>
    <w:rsid w:val="009C0318"/>
    <w:rsid w:val="009C0538"/>
    <w:rsid w:val="009C0657"/>
    <w:rsid w:val="009C08EC"/>
    <w:rsid w:val="009C0B34"/>
    <w:rsid w:val="009C0F35"/>
    <w:rsid w:val="009C0FCD"/>
    <w:rsid w:val="009C0FDF"/>
    <w:rsid w:val="009C1006"/>
    <w:rsid w:val="009C10C1"/>
    <w:rsid w:val="009C13CC"/>
    <w:rsid w:val="009C16EA"/>
    <w:rsid w:val="009C17DD"/>
    <w:rsid w:val="009C181F"/>
    <w:rsid w:val="009C1A0A"/>
    <w:rsid w:val="009C1A46"/>
    <w:rsid w:val="009C1BB2"/>
    <w:rsid w:val="009C1FC4"/>
    <w:rsid w:val="009C20C3"/>
    <w:rsid w:val="009C287A"/>
    <w:rsid w:val="009C293C"/>
    <w:rsid w:val="009C2A82"/>
    <w:rsid w:val="009C2BDA"/>
    <w:rsid w:val="009C3862"/>
    <w:rsid w:val="009C3AC4"/>
    <w:rsid w:val="009C4291"/>
    <w:rsid w:val="009C4664"/>
    <w:rsid w:val="009C4698"/>
    <w:rsid w:val="009C4DD1"/>
    <w:rsid w:val="009C4F55"/>
    <w:rsid w:val="009C594A"/>
    <w:rsid w:val="009C5AC0"/>
    <w:rsid w:val="009C5E5D"/>
    <w:rsid w:val="009C5FF2"/>
    <w:rsid w:val="009C6338"/>
    <w:rsid w:val="009C6556"/>
    <w:rsid w:val="009C65B2"/>
    <w:rsid w:val="009C68A1"/>
    <w:rsid w:val="009C68BC"/>
    <w:rsid w:val="009C69A3"/>
    <w:rsid w:val="009C6CB6"/>
    <w:rsid w:val="009C6FC6"/>
    <w:rsid w:val="009C717D"/>
    <w:rsid w:val="009C732C"/>
    <w:rsid w:val="009C780E"/>
    <w:rsid w:val="009C7ACC"/>
    <w:rsid w:val="009C7C75"/>
    <w:rsid w:val="009C7E1F"/>
    <w:rsid w:val="009D005B"/>
    <w:rsid w:val="009D009E"/>
    <w:rsid w:val="009D0450"/>
    <w:rsid w:val="009D0839"/>
    <w:rsid w:val="009D0D86"/>
    <w:rsid w:val="009D0E71"/>
    <w:rsid w:val="009D0ECC"/>
    <w:rsid w:val="009D0F7A"/>
    <w:rsid w:val="009D0FCD"/>
    <w:rsid w:val="009D15DA"/>
    <w:rsid w:val="009D17B8"/>
    <w:rsid w:val="009D1874"/>
    <w:rsid w:val="009D1B54"/>
    <w:rsid w:val="009D1B8A"/>
    <w:rsid w:val="009D1CFE"/>
    <w:rsid w:val="009D1E21"/>
    <w:rsid w:val="009D1E68"/>
    <w:rsid w:val="009D2235"/>
    <w:rsid w:val="009D23A6"/>
    <w:rsid w:val="009D23FB"/>
    <w:rsid w:val="009D2405"/>
    <w:rsid w:val="009D244C"/>
    <w:rsid w:val="009D2472"/>
    <w:rsid w:val="009D26EC"/>
    <w:rsid w:val="009D2B92"/>
    <w:rsid w:val="009D3013"/>
    <w:rsid w:val="009D313D"/>
    <w:rsid w:val="009D3353"/>
    <w:rsid w:val="009D3596"/>
    <w:rsid w:val="009D3760"/>
    <w:rsid w:val="009D3B6D"/>
    <w:rsid w:val="009D45DA"/>
    <w:rsid w:val="009D4614"/>
    <w:rsid w:val="009D4786"/>
    <w:rsid w:val="009D484A"/>
    <w:rsid w:val="009D4B85"/>
    <w:rsid w:val="009D4E40"/>
    <w:rsid w:val="009D5332"/>
    <w:rsid w:val="009D5724"/>
    <w:rsid w:val="009D57A2"/>
    <w:rsid w:val="009D5A4A"/>
    <w:rsid w:val="009D5EAB"/>
    <w:rsid w:val="009D6223"/>
    <w:rsid w:val="009D65FB"/>
    <w:rsid w:val="009D6823"/>
    <w:rsid w:val="009D68E8"/>
    <w:rsid w:val="009D696F"/>
    <w:rsid w:val="009D6E97"/>
    <w:rsid w:val="009D6FC5"/>
    <w:rsid w:val="009D7138"/>
    <w:rsid w:val="009D7321"/>
    <w:rsid w:val="009D7562"/>
    <w:rsid w:val="009D75B8"/>
    <w:rsid w:val="009D773D"/>
    <w:rsid w:val="009D7750"/>
    <w:rsid w:val="009D7A0B"/>
    <w:rsid w:val="009D7D12"/>
    <w:rsid w:val="009D7DAD"/>
    <w:rsid w:val="009D7E08"/>
    <w:rsid w:val="009E02EB"/>
    <w:rsid w:val="009E036A"/>
    <w:rsid w:val="009E0803"/>
    <w:rsid w:val="009E0AE2"/>
    <w:rsid w:val="009E0DC1"/>
    <w:rsid w:val="009E0F22"/>
    <w:rsid w:val="009E0F2D"/>
    <w:rsid w:val="009E1065"/>
    <w:rsid w:val="009E10F0"/>
    <w:rsid w:val="009E11A9"/>
    <w:rsid w:val="009E1405"/>
    <w:rsid w:val="009E16B4"/>
    <w:rsid w:val="009E1926"/>
    <w:rsid w:val="009E1978"/>
    <w:rsid w:val="009E1BCC"/>
    <w:rsid w:val="009E2213"/>
    <w:rsid w:val="009E28DD"/>
    <w:rsid w:val="009E2B2F"/>
    <w:rsid w:val="009E2C69"/>
    <w:rsid w:val="009E2D80"/>
    <w:rsid w:val="009E2DA3"/>
    <w:rsid w:val="009E335F"/>
    <w:rsid w:val="009E3517"/>
    <w:rsid w:val="009E3620"/>
    <w:rsid w:val="009E3892"/>
    <w:rsid w:val="009E395A"/>
    <w:rsid w:val="009E397A"/>
    <w:rsid w:val="009E3994"/>
    <w:rsid w:val="009E4151"/>
    <w:rsid w:val="009E43CB"/>
    <w:rsid w:val="009E4715"/>
    <w:rsid w:val="009E4772"/>
    <w:rsid w:val="009E4A6F"/>
    <w:rsid w:val="009E4E89"/>
    <w:rsid w:val="009E51E1"/>
    <w:rsid w:val="009E52F3"/>
    <w:rsid w:val="009E54A3"/>
    <w:rsid w:val="009E54E5"/>
    <w:rsid w:val="009E55A5"/>
    <w:rsid w:val="009E5606"/>
    <w:rsid w:val="009E562C"/>
    <w:rsid w:val="009E56D4"/>
    <w:rsid w:val="009E5788"/>
    <w:rsid w:val="009E5CF0"/>
    <w:rsid w:val="009E5E19"/>
    <w:rsid w:val="009E5FB8"/>
    <w:rsid w:val="009E6245"/>
    <w:rsid w:val="009E6705"/>
    <w:rsid w:val="009E694A"/>
    <w:rsid w:val="009E7356"/>
    <w:rsid w:val="009E7927"/>
    <w:rsid w:val="009E7AC7"/>
    <w:rsid w:val="009E7B70"/>
    <w:rsid w:val="009E7C1C"/>
    <w:rsid w:val="009F038D"/>
    <w:rsid w:val="009F0CE6"/>
    <w:rsid w:val="009F13BF"/>
    <w:rsid w:val="009F147C"/>
    <w:rsid w:val="009F1623"/>
    <w:rsid w:val="009F16CF"/>
    <w:rsid w:val="009F175E"/>
    <w:rsid w:val="009F17ED"/>
    <w:rsid w:val="009F185C"/>
    <w:rsid w:val="009F18BB"/>
    <w:rsid w:val="009F1D34"/>
    <w:rsid w:val="009F1DC7"/>
    <w:rsid w:val="009F20F3"/>
    <w:rsid w:val="009F26FB"/>
    <w:rsid w:val="009F29B0"/>
    <w:rsid w:val="009F2A77"/>
    <w:rsid w:val="009F2C40"/>
    <w:rsid w:val="009F3212"/>
    <w:rsid w:val="009F32F6"/>
    <w:rsid w:val="009F3305"/>
    <w:rsid w:val="009F3443"/>
    <w:rsid w:val="009F36D5"/>
    <w:rsid w:val="009F3826"/>
    <w:rsid w:val="009F3933"/>
    <w:rsid w:val="009F3CB7"/>
    <w:rsid w:val="009F3CF3"/>
    <w:rsid w:val="009F3D26"/>
    <w:rsid w:val="009F3E39"/>
    <w:rsid w:val="009F3EAE"/>
    <w:rsid w:val="009F4090"/>
    <w:rsid w:val="009F4546"/>
    <w:rsid w:val="009F4770"/>
    <w:rsid w:val="009F4907"/>
    <w:rsid w:val="009F4B98"/>
    <w:rsid w:val="009F4C47"/>
    <w:rsid w:val="009F4D37"/>
    <w:rsid w:val="009F512A"/>
    <w:rsid w:val="009F528F"/>
    <w:rsid w:val="009F52DB"/>
    <w:rsid w:val="009F5512"/>
    <w:rsid w:val="009F5A19"/>
    <w:rsid w:val="009F5BC8"/>
    <w:rsid w:val="009F5C1C"/>
    <w:rsid w:val="009F5DC5"/>
    <w:rsid w:val="009F5F6C"/>
    <w:rsid w:val="009F62DF"/>
    <w:rsid w:val="009F6469"/>
    <w:rsid w:val="009F65C3"/>
    <w:rsid w:val="009F65E8"/>
    <w:rsid w:val="009F69EC"/>
    <w:rsid w:val="009F6AC9"/>
    <w:rsid w:val="009F6CEA"/>
    <w:rsid w:val="009F71B5"/>
    <w:rsid w:val="009F7376"/>
    <w:rsid w:val="009F7626"/>
    <w:rsid w:val="009F7BFB"/>
    <w:rsid w:val="009F7D19"/>
    <w:rsid w:val="00A000DD"/>
    <w:rsid w:val="00A00279"/>
    <w:rsid w:val="00A004D2"/>
    <w:rsid w:val="00A00A4F"/>
    <w:rsid w:val="00A00B27"/>
    <w:rsid w:val="00A00BDB"/>
    <w:rsid w:val="00A00C9F"/>
    <w:rsid w:val="00A00F69"/>
    <w:rsid w:val="00A00FF1"/>
    <w:rsid w:val="00A0135B"/>
    <w:rsid w:val="00A01A19"/>
    <w:rsid w:val="00A01E10"/>
    <w:rsid w:val="00A01E94"/>
    <w:rsid w:val="00A02690"/>
    <w:rsid w:val="00A027E2"/>
    <w:rsid w:val="00A028CF"/>
    <w:rsid w:val="00A02A57"/>
    <w:rsid w:val="00A03128"/>
    <w:rsid w:val="00A0322F"/>
    <w:rsid w:val="00A036D0"/>
    <w:rsid w:val="00A03877"/>
    <w:rsid w:val="00A03E19"/>
    <w:rsid w:val="00A03F3D"/>
    <w:rsid w:val="00A041FF"/>
    <w:rsid w:val="00A04457"/>
    <w:rsid w:val="00A045DA"/>
    <w:rsid w:val="00A045F5"/>
    <w:rsid w:val="00A0512E"/>
    <w:rsid w:val="00A057A8"/>
    <w:rsid w:val="00A058FA"/>
    <w:rsid w:val="00A05B38"/>
    <w:rsid w:val="00A05C02"/>
    <w:rsid w:val="00A05CCD"/>
    <w:rsid w:val="00A061CA"/>
    <w:rsid w:val="00A06713"/>
    <w:rsid w:val="00A0685D"/>
    <w:rsid w:val="00A06995"/>
    <w:rsid w:val="00A077A2"/>
    <w:rsid w:val="00A07819"/>
    <w:rsid w:val="00A07D0F"/>
    <w:rsid w:val="00A07F36"/>
    <w:rsid w:val="00A100B6"/>
    <w:rsid w:val="00A101AC"/>
    <w:rsid w:val="00A104D4"/>
    <w:rsid w:val="00A105DA"/>
    <w:rsid w:val="00A10EF9"/>
    <w:rsid w:val="00A10F7B"/>
    <w:rsid w:val="00A11963"/>
    <w:rsid w:val="00A11CBB"/>
    <w:rsid w:val="00A11EE1"/>
    <w:rsid w:val="00A11FEA"/>
    <w:rsid w:val="00A1209C"/>
    <w:rsid w:val="00A12871"/>
    <w:rsid w:val="00A139AD"/>
    <w:rsid w:val="00A13C27"/>
    <w:rsid w:val="00A13EF2"/>
    <w:rsid w:val="00A14043"/>
    <w:rsid w:val="00A145CF"/>
    <w:rsid w:val="00A14A3E"/>
    <w:rsid w:val="00A15279"/>
    <w:rsid w:val="00A15521"/>
    <w:rsid w:val="00A159E6"/>
    <w:rsid w:val="00A162AB"/>
    <w:rsid w:val="00A16486"/>
    <w:rsid w:val="00A16708"/>
    <w:rsid w:val="00A16722"/>
    <w:rsid w:val="00A16738"/>
    <w:rsid w:val="00A16E61"/>
    <w:rsid w:val="00A171E7"/>
    <w:rsid w:val="00A177F7"/>
    <w:rsid w:val="00A17B23"/>
    <w:rsid w:val="00A17DF0"/>
    <w:rsid w:val="00A17F10"/>
    <w:rsid w:val="00A20031"/>
    <w:rsid w:val="00A2021D"/>
    <w:rsid w:val="00A202D5"/>
    <w:rsid w:val="00A204B7"/>
    <w:rsid w:val="00A2057E"/>
    <w:rsid w:val="00A20C3B"/>
    <w:rsid w:val="00A20CB4"/>
    <w:rsid w:val="00A2112E"/>
    <w:rsid w:val="00A21466"/>
    <w:rsid w:val="00A2170B"/>
    <w:rsid w:val="00A21769"/>
    <w:rsid w:val="00A220BC"/>
    <w:rsid w:val="00A22110"/>
    <w:rsid w:val="00A2226E"/>
    <w:rsid w:val="00A225C5"/>
    <w:rsid w:val="00A22653"/>
    <w:rsid w:val="00A22849"/>
    <w:rsid w:val="00A2293D"/>
    <w:rsid w:val="00A22C02"/>
    <w:rsid w:val="00A22C7A"/>
    <w:rsid w:val="00A2342C"/>
    <w:rsid w:val="00A23CDC"/>
    <w:rsid w:val="00A24596"/>
    <w:rsid w:val="00A247CB"/>
    <w:rsid w:val="00A24A48"/>
    <w:rsid w:val="00A24B06"/>
    <w:rsid w:val="00A24B24"/>
    <w:rsid w:val="00A24BD5"/>
    <w:rsid w:val="00A24F29"/>
    <w:rsid w:val="00A251AA"/>
    <w:rsid w:val="00A25388"/>
    <w:rsid w:val="00A25416"/>
    <w:rsid w:val="00A25E6C"/>
    <w:rsid w:val="00A2605F"/>
    <w:rsid w:val="00A2632A"/>
    <w:rsid w:val="00A26692"/>
    <w:rsid w:val="00A26994"/>
    <w:rsid w:val="00A26B70"/>
    <w:rsid w:val="00A272E2"/>
    <w:rsid w:val="00A27408"/>
    <w:rsid w:val="00A27A13"/>
    <w:rsid w:val="00A27B65"/>
    <w:rsid w:val="00A27D35"/>
    <w:rsid w:val="00A27E60"/>
    <w:rsid w:val="00A300A9"/>
    <w:rsid w:val="00A30452"/>
    <w:rsid w:val="00A30698"/>
    <w:rsid w:val="00A306E2"/>
    <w:rsid w:val="00A30842"/>
    <w:rsid w:val="00A30CEE"/>
    <w:rsid w:val="00A30D06"/>
    <w:rsid w:val="00A30D29"/>
    <w:rsid w:val="00A30E04"/>
    <w:rsid w:val="00A30E89"/>
    <w:rsid w:val="00A31026"/>
    <w:rsid w:val="00A31319"/>
    <w:rsid w:val="00A315E0"/>
    <w:rsid w:val="00A31769"/>
    <w:rsid w:val="00A319F9"/>
    <w:rsid w:val="00A319FB"/>
    <w:rsid w:val="00A31A24"/>
    <w:rsid w:val="00A31E17"/>
    <w:rsid w:val="00A3226B"/>
    <w:rsid w:val="00A3265E"/>
    <w:rsid w:val="00A32715"/>
    <w:rsid w:val="00A3276D"/>
    <w:rsid w:val="00A329C6"/>
    <w:rsid w:val="00A32A64"/>
    <w:rsid w:val="00A32E21"/>
    <w:rsid w:val="00A32F46"/>
    <w:rsid w:val="00A32F7B"/>
    <w:rsid w:val="00A33442"/>
    <w:rsid w:val="00A3366C"/>
    <w:rsid w:val="00A3367D"/>
    <w:rsid w:val="00A33DE3"/>
    <w:rsid w:val="00A34096"/>
    <w:rsid w:val="00A3421A"/>
    <w:rsid w:val="00A343B3"/>
    <w:rsid w:val="00A34421"/>
    <w:rsid w:val="00A34556"/>
    <w:rsid w:val="00A34978"/>
    <w:rsid w:val="00A34B75"/>
    <w:rsid w:val="00A34E15"/>
    <w:rsid w:val="00A34F66"/>
    <w:rsid w:val="00A350D8"/>
    <w:rsid w:val="00A3510F"/>
    <w:rsid w:val="00A357EE"/>
    <w:rsid w:val="00A36054"/>
    <w:rsid w:val="00A3609B"/>
    <w:rsid w:val="00A361D3"/>
    <w:rsid w:val="00A362E2"/>
    <w:rsid w:val="00A3684A"/>
    <w:rsid w:val="00A36F71"/>
    <w:rsid w:val="00A37A45"/>
    <w:rsid w:val="00A37BA1"/>
    <w:rsid w:val="00A37D63"/>
    <w:rsid w:val="00A402C8"/>
    <w:rsid w:val="00A40680"/>
    <w:rsid w:val="00A40E3D"/>
    <w:rsid w:val="00A40EA6"/>
    <w:rsid w:val="00A40ED5"/>
    <w:rsid w:val="00A41286"/>
    <w:rsid w:val="00A413B3"/>
    <w:rsid w:val="00A41665"/>
    <w:rsid w:val="00A41C17"/>
    <w:rsid w:val="00A41F35"/>
    <w:rsid w:val="00A4201E"/>
    <w:rsid w:val="00A4206C"/>
    <w:rsid w:val="00A422D7"/>
    <w:rsid w:val="00A4231B"/>
    <w:rsid w:val="00A424F8"/>
    <w:rsid w:val="00A42A36"/>
    <w:rsid w:val="00A42D0B"/>
    <w:rsid w:val="00A43026"/>
    <w:rsid w:val="00A434E6"/>
    <w:rsid w:val="00A43B44"/>
    <w:rsid w:val="00A44055"/>
    <w:rsid w:val="00A449F1"/>
    <w:rsid w:val="00A44B78"/>
    <w:rsid w:val="00A44BEF"/>
    <w:rsid w:val="00A44C2D"/>
    <w:rsid w:val="00A44C3C"/>
    <w:rsid w:val="00A44C86"/>
    <w:rsid w:val="00A44DA8"/>
    <w:rsid w:val="00A44E51"/>
    <w:rsid w:val="00A4501E"/>
    <w:rsid w:val="00A45049"/>
    <w:rsid w:val="00A45248"/>
    <w:rsid w:val="00A453B3"/>
    <w:rsid w:val="00A45601"/>
    <w:rsid w:val="00A45E80"/>
    <w:rsid w:val="00A46033"/>
    <w:rsid w:val="00A46366"/>
    <w:rsid w:val="00A4643E"/>
    <w:rsid w:val="00A4660E"/>
    <w:rsid w:val="00A46620"/>
    <w:rsid w:val="00A46977"/>
    <w:rsid w:val="00A46FCA"/>
    <w:rsid w:val="00A47440"/>
    <w:rsid w:val="00A475A5"/>
    <w:rsid w:val="00A475F7"/>
    <w:rsid w:val="00A47761"/>
    <w:rsid w:val="00A478B6"/>
    <w:rsid w:val="00A47C4E"/>
    <w:rsid w:val="00A47DBA"/>
    <w:rsid w:val="00A47E57"/>
    <w:rsid w:val="00A5013F"/>
    <w:rsid w:val="00A50190"/>
    <w:rsid w:val="00A503BB"/>
    <w:rsid w:val="00A506B6"/>
    <w:rsid w:val="00A507F5"/>
    <w:rsid w:val="00A5085A"/>
    <w:rsid w:val="00A50C93"/>
    <w:rsid w:val="00A50EB4"/>
    <w:rsid w:val="00A512D1"/>
    <w:rsid w:val="00A5198D"/>
    <w:rsid w:val="00A51A91"/>
    <w:rsid w:val="00A51C18"/>
    <w:rsid w:val="00A51EC0"/>
    <w:rsid w:val="00A51F5D"/>
    <w:rsid w:val="00A52185"/>
    <w:rsid w:val="00A5231A"/>
    <w:rsid w:val="00A52753"/>
    <w:rsid w:val="00A52D84"/>
    <w:rsid w:val="00A530F7"/>
    <w:rsid w:val="00A5355D"/>
    <w:rsid w:val="00A53599"/>
    <w:rsid w:val="00A536ED"/>
    <w:rsid w:val="00A53AAD"/>
    <w:rsid w:val="00A53B1F"/>
    <w:rsid w:val="00A53CDD"/>
    <w:rsid w:val="00A53F62"/>
    <w:rsid w:val="00A53F82"/>
    <w:rsid w:val="00A53FF1"/>
    <w:rsid w:val="00A5432A"/>
    <w:rsid w:val="00A5476B"/>
    <w:rsid w:val="00A54A66"/>
    <w:rsid w:val="00A54C9A"/>
    <w:rsid w:val="00A550E8"/>
    <w:rsid w:val="00A55237"/>
    <w:rsid w:val="00A554BF"/>
    <w:rsid w:val="00A5555D"/>
    <w:rsid w:val="00A556D1"/>
    <w:rsid w:val="00A5570C"/>
    <w:rsid w:val="00A55808"/>
    <w:rsid w:val="00A55C25"/>
    <w:rsid w:val="00A55F83"/>
    <w:rsid w:val="00A560E0"/>
    <w:rsid w:val="00A5624F"/>
    <w:rsid w:val="00A5652C"/>
    <w:rsid w:val="00A5678A"/>
    <w:rsid w:val="00A569C7"/>
    <w:rsid w:val="00A56A30"/>
    <w:rsid w:val="00A56E8B"/>
    <w:rsid w:val="00A56EA1"/>
    <w:rsid w:val="00A5711B"/>
    <w:rsid w:val="00A5726F"/>
    <w:rsid w:val="00A573C3"/>
    <w:rsid w:val="00A574FA"/>
    <w:rsid w:val="00A57765"/>
    <w:rsid w:val="00A577C3"/>
    <w:rsid w:val="00A579AE"/>
    <w:rsid w:val="00A57A65"/>
    <w:rsid w:val="00A57B30"/>
    <w:rsid w:val="00A57E9A"/>
    <w:rsid w:val="00A57EAC"/>
    <w:rsid w:val="00A57EB2"/>
    <w:rsid w:val="00A57FC4"/>
    <w:rsid w:val="00A6026F"/>
    <w:rsid w:val="00A602A3"/>
    <w:rsid w:val="00A604D5"/>
    <w:rsid w:val="00A60642"/>
    <w:rsid w:val="00A60928"/>
    <w:rsid w:val="00A60FD4"/>
    <w:rsid w:val="00A61526"/>
    <w:rsid w:val="00A61599"/>
    <w:rsid w:val="00A616DA"/>
    <w:rsid w:val="00A61977"/>
    <w:rsid w:val="00A61AA8"/>
    <w:rsid w:val="00A61BE1"/>
    <w:rsid w:val="00A61CAA"/>
    <w:rsid w:val="00A61D0A"/>
    <w:rsid w:val="00A61D94"/>
    <w:rsid w:val="00A61F9D"/>
    <w:rsid w:val="00A62117"/>
    <w:rsid w:val="00A6211E"/>
    <w:rsid w:val="00A62577"/>
    <w:rsid w:val="00A625B4"/>
    <w:rsid w:val="00A62723"/>
    <w:rsid w:val="00A62A82"/>
    <w:rsid w:val="00A62D58"/>
    <w:rsid w:val="00A62E7B"/>
    <w:rsid w:val="00A6305C"/>
    <w:rsid w:val="00A63580"/>
    <w:rsid w:val="00A635CC"/>
    <w:rsid w:val="00A638BF"/>
    <w:rsid w:val="00A63A27"/>
    <w:rsid w:val="00A64201"/>
    <w:rsid w:val="00A642F0"/>
    <w:rsid w:val="00A64B2E"/>
    <w:rsid w:val="00A64B9D"/>
    <w:rsid w:val="00A6504B"/>
    <w:rsid w:val="00A65702"/>
    <w:rsid w:val="00A65722"/>
    <w:rsid w:val="00A658BB"/>
    <w:rsid w:val="00A65CF0"/>
    <w:rsid w:val="00A65EFC"/>
    <w:rsid w:val="00A66614"/>
    <w:rsid w:val="00A66625"/>
    <w:rsid w:val="00A66645"/>
    <w:rsid w:val="00A66661"/>
    <w:rsid w:val="00A6685B"/>
    <w:rsid w:val="00A66BA5"/>
    <w:rsid w:val="00A66EE2"/>
    <w:rsid w:val="00A6783B"/>
    <w:rsid w:val="00A67CF2"/>
    <w:rsid w:val="00A70315"/>
    <w:rsid w:val="00A70864"/>
    <w:rsid w:val="00A708A0"/>
    <w:rsid w:val="00A708A3"/>
    <w:rsid w:val="00A70F44"/>
    <w:rsid w:val="00A71133"/>
    <w:rsid w:val="00A71216"/>
    <w:rsid w:val="00A71284"/>
    <w:rsid w:val="00A7146A"/>
    <w:rsid w:val="00A7155F"/>
    <w:rsid w:val="00A7196D"/>
    <w:rsid w:val="00A7207B"/>
    <w:rsid w:val="00A7209C"/>
    <w:rsid w:val="00A7227C"/>
    <w:rsid w:val="00A72481"/>
    <w:rsid w:val="00A7248F"/>
    <w:rsid w:val="00A72589"/>
    <w:rsid w:val="00A72B25"/>
    <w:rsid w:val="00A72C2A"/>
    <w:rsid w:val="00A72CDB"/>
    <w:rsid w:val="00A731E8"/>
    <w:rsid w:val="00A73236"/>
    <w:rsid w:val="00A7330A"/>
    <w:rsid w:val="00A73D29"/>
    <w:rsid w:val="00A73E44"/>
    <w:rsid w:val="00A73F75"/>
    <w:rsid w:val="00A7405B"/>
    <w:rsid w:val="00A743D1"/>
    <w:rsid w:val="00A74537"/>
    <w:rsid w:val="00A745A3"/>
    <w:rsid w:val="00A747BC"/>
    <w:rsid w:val="00A7488D"/>
    <w:rsid w:val="00A74C71"/>
    <w:rsid w:val="00A752B6"/>
    <w:rsid w:val="00A75345"/>
    <w:rsid w:val="00A756CF"/>
    <w:rsid w:val="00A75844"/>
    <w:rsid w:val="00A761C7"/>
    <w:rsid w:val="00A76282"/>
    <w:rsid w:val="00A76424"/>
    <w:rsid w:val="00A76437"/>
    <w:rsid w:val="00A766AE"/>
    <w:rsid w:val="00A768E6"/>
    <w:rsid w:val="00A7693D"/>
    <w:rsid w:val="00A76B54"/>
    <w:rsid w:val="00A76BBE"/>
    <w:rsid w:val="00A76EAA"/>
    <w:rsid w:val="00A772C9"/>
    <w:rsid w:val="00A77340"/>
    <w:rsid w:val="00A77362"/>
    <w:rsid w:val="00A77388"/>
    <w:rsid w:val="00A7758A"/>
    <w:rsid w:val="00A7794F"/>
    <w:rsid w:val="00A77D22"/>
    <w:rsid w:val="00A77D42"/>
    <w:rsid w:val="00A77D64"/>
    <w:rsid w:val="00A7C9CE"/>
    <w:rsid w:val="00A801D6"/>
    <w:rsid w:val="00A8046B"/>
    <w:rsid w:val="00A808F5"/>
    <w:rsid w:val="00A80AE1"/>
    <w:rsid w:val="00A8118C"/>
    <w:rsid w:val="00A81438"/>
    <w:rsid w:val="00A816CC"/>
    <w:rsid w:val="00A819B7"/>
    <w:rsid w:val="00A81A6F"/>
    <w:rsid w:val="00A81AA8"/>
    <w:rsid w:val="00A81B33"/>
    <w:rsid w:val="00A81B88"/>
    <w:rsid w:val="00A81C3D"/>
    <w:rsid w:val="00A81C7A"/>
    <w:rsid w:val="00A81DF0"/>
    <w:rsid w:val="00A81EA2"/>
    <w:rsid w:val="00A825DD"/>
    <w:rsid w:val="00A8279C"/>
    <w:rsid w:val="00A82970"/>
    <w:rsid w:val="00A82B5D"/>
    <w:rsid w:val="00A82C39"/>
    <w:rsid w:val="00A82D0B"/>
    <w:rsid w:val="00A82E17"/>
    <w:rsid w:val="00A82EAB"/>
    <w:rsid w:val="00A8316E"/>
    <w:rsid w:val="00A836AB"/>
    <w:rsid w:val="00A83872"/>
    <w:rsid w:val="00A83F9A"/>
    <w:rsid w:val="00A84000"/>
    <w:rsid w:val="00A8426D"/>
    <w:rsid w:val="00A846A9"/>
    <w:rsid w:val="00A846F6"/>
    <w:rsid w:val="00A84B49"/>
    <w:rsid w:val="00A84F8F"/>
    <w:rsid w:val="00A85075"/>
    <w:rsid w:val="00A8524D"/>
    <w:rsid w:val="00A85476"/>
    <w:rsid w:val="00A85506"/>
    <w:rsid w:val="00A8588D"/>
    <w:rsid w:val="00A85953"/>
    <w:rsid w:val="00A859E2"/>
    <w:rsid w:val="00A85C5A"/>
    <w:rsid w:val="00A85D57"/>
    <w:rsid w:val="00A86560"/>
    <w:rsid w:val="00A86817"/>
    <w:rsid w:val="00A86887"/>
    <w:rsid w:val="00A868A4"/>
    <w:rsid w:val="00A869B7"/>
    <w:rsid w:val="00A86D40"/>
    <w:rsid w:val="00A86E30"/>
    <w:rsid w:val="00A872D8"/>
    <w:rsid w:val="00A878E2"/>
    <w:rsid w:val="00A90245"/>
    <w:rsid w:val="00A904A1"/>
    <w:rsid w:val="00A904D4"/>
    <w:rsid w:val="00A905E5"/>
    <w:rsid w:val="00A90A2D"/>
    <w:rsid w:val="00A90D72"/>
    <w:rsid w:val="00A90EF9"/>
    <w:rsid w:val="00A9122C"/>
    <w:rsid w:val="00A9136C"/>
    <w:rsid w:val="00A91412"/>
    <w:rsid w:val="00A916BB"/>
    <w:rsid w:val="00A91B60"/>
    <w:rsid w:val="00A91BEA"/>
    <w:rsid w:val="00A9202F"/>
    <w:rsid w:val="00A9234F"/>
    <w:rsid w:val="00A92630"/>
    <w:rsid w:val="00A92DCA"/>
    <w:rsid w:val="00A92F5D"/>
    <w:rsid w:val="00A93186"/>
    <w:rsid w:val="00A93DB8"/>
    <w:rsid w:val="00A93F1F"/>
    <w:rsid w:val="00A942DA"/>
    <w:rsid w:val="00A949DA"/>
    <w:rsid w:val="00A94A53"/>
    <w:rsid w:val="00A94A9C"/>
    <w:rsid w:val="00A94D1C"/>
    <w:rsid w:val="00A9599A"/>
    <w:rsid w:val="00A95D50"/>
    <w:rsid w:val="00A960B7"/>
    <w:rsid w:val="00A96373"/>
    <w:rsid w:val="00A96703"/>
    <w:rsid w:val="00A96711"/>
    <w:rsid w:val="00A9674C"/>
    <w:rsid w:val="00A96EA8"/>
    <w:rsid w:val="00A96F84"/>
    <w:rsid w:val="00A9700F"/>
    <w:rsid w:val="00A9704B"/>
    <w:rsid w:val="00A97078"/>
    <w:rsid w:val="00A973DD"/>
    <w:rsid w:val="00A9754B"/>
    <w:rsid w:val="00A97948"/>
    <w:rsid w:val="00A979BA"/>
    <w:rsid w:val="00A97E46"/>
    <w:rsid w:val="00A97F38"/>
    <w:rsid w:val="00AA08A2"/>
    <w:rsid w:val="00AA0EDB"/>
    <w:rsid w:val="00AA12F7"/>
    <w:rsid w:val="00AA17EB"/>
    <w:rsid w:val="00AA1F75"/>
    <w:rsid w:val="00AA20EF"/>
    <w:rsid w:val="00AA230C"/>
    <w:rsid w:val="00AA24CE"/>
    <w:rsid w:val="00AA2595"/>
    <w:rsid w:val="00AA280B"/>
    <w:rsid w:val="00AA2B29"/>
    <w:rsid w:val="00AA2EB1"/>
    <w:rsid w:val="00AA2F32"/>
    <w:rsid w:val="00AA3173"/>
    <w:rsid w:val="00AA3428"/>
    <w:rsid w:val="00AA36F0"/>
    <w:rsid w:val="00AA3A3E"/>
    <w:rsid w:val="00AA3F83"/>
    <w:rsid w:val="00AA4075"/>
    <w:rsid w:val="00AA482F"/>
    <w:rsid w:val="00AA4BF2"/>
    <w:rsid w:val="00AA4F73"/>
    <w:rsid w:val="00AA54EC"/>
    <w:rsid w:val="00AA5E99"/>
    <w:rsid w:val="00AA5F60"/>
    <w:rsid w:val="00AA61AC"/>
    <w:rsid w:val="00AA6213"/>
    <w:rsid w:val="00AA6285"/>
    <w:rsid w:val="00AA690B"/>
    <w:rsid w:val="00AA6A1C"/>
    <w:rsid w:val="00AA6A72"/>
    <w:rsid w:val="00AA6B18"/>
    <w:rsid w:val="00AA6DE6"/>
    <w:rsid w:val="00AA6E02"/>
    <w:rsid w:val="00AA715B"/>
    <w:rsid w:val="00AA7204"/>
    <w:rsid w:val="00AA7750"/>
    <w:rsid w:val="00AA77ED"/>
    <w:rsid w:val="00AA79F5"/>
    <w:rsid w:val="00AA7ABC"/>
    <w:rsid w:val="00AA7F29"/>
    <w:rsid w:val="00AB0246"/>
    <w:rsid w:val="00AB04C3"/>
    <w:rsid w:val="00AB086A"/>
    <w:rsid w:val="00AB094D"/>
    <w:rsid w:val="00AB0AAE"/>
    <w:rsid w:val="00AB0B13"/>
    <w:rsid w:val="00AB0B45"/>
    <w:rsid w:val="00AB0B7C"/>
    <w:rsid w:val="00AB0CFF"/>
    <w:rsid w:val="00AB0D16"/>
    <w:rsid w:val="00AB0E80"/>
    <w:rsid w:val="00AB0E84"/>
    <w:rsid w:val="00AB0F45"/>
    <w:rsid w:val="00AB10A5"/>
    <w:rsid w:val="00AB11EC"/>
    <w:rsid w:val="00AB138F"/>
    <w:rsid w:val="00AB16AC"/>
    <w:rsid w:val="00AB19B6"/>
    <w:rsid w:val="00AB1AF3"/>
    <w:rsid w:val="00AB1AF7"/>
    <w:rsid w:val="00AB1D59"/>
    <w:rsid w:val="00AB2454"/>
    <w:rsid w:val="00AB24F7"/>
    <w:rsid w:val="00AB2E14"/>
    <w:rsid w:val="00AB2FDD"/>
    <w:rsid w:val="00AB32B2"/>
    <w:rsid w:val="00AB37AE"/>
    <w:rsid w:val="00AB3A78"/>
    <w:rsid w:val="00AB3AE6"/>
    <w:rsid w:val="00AB4261"/>
    <w:rsid w:val="00AB4399"/>
    <w:rsid w:val="00AB49D9"/>
    <w:rsid w:val="00AB49DD"/>
    <w:rsid w:val="00AB4A58"/>
    <w:rsid w:val="00AB4B2B"/>
    <w:rsid w:val="00AB4C19"/>
    <w:rsid w:val="00AB4EE5"/>
    <w:rsid w:val="00AB5020"/>
    <w:rsid w:val="00AB54A2"/>
    <w:rsid w:val="00AB55AD"/>
    <w:rsid w:val="00AB5B78"/>
    <w:rsid w:val="00AB5DC9"/>
    <w:rsid w:val="00AB5F83"/>
    <w:rsid w:val="00AB5FED"/>
    <w:rsid w:val="00AB61CA"/>
    <w:rsid w:val="00AB627F"/>
    <w:rsid w:val="00AB6285"/>
    <w:rsid w:val="00AB6581"/>
    <w:rsid w:val="00AB687C"/>
    <w:rsid w:val="00AB6FB7"/>
    <w:rsid w:val="00AB72B0"/>
    <w:rsid w:val="00AB75C6"/>
    <w:rsid w:val="00AB7A66"/>
    <w:rsid w:val="00AB7B42"/>
    <w:rsid w:val="00AB7E51"/>
    <w:rsid w:val="00AB7E9C"/>
    <w:rsid w:val="00AB7F9D"/>
    <w:rsid w:val="00AC06D6"/>
    <w:rsid w:val="00AC076B"/>
    <w:rsid w:val="00AC07F3"/>
    <w:rsid w:val="00AC0B26"/>
    <w:rsid w:val="00AC0E76"/>
    <w:rsid w:val="00AC127E"/>
    <w:rsid w:val="00AC14D2"/>
    <w:rsid w:val="00AC1F99"/>
    <w:rsid w:val="00AC23FA"/>
    <w:rsid w:val="00AC2587"/>
    <w:rsid w:val="00AC26E6"/>
    <w:rsid w:val="00AC26F0"/>
    <w:rsid w:val="00AC29EE"/>
    <w:rsid w:val="00AC2EC4"/>
    <w:rsid w:val="00AC2F55"/>
    <w:rsid w:val="00AC34D3"/>
    <w:rsid w:val="00AC361A"/>
    <w:rsid w:val="00AC39D7"/>
    <w:rsid w:val="00AC3C32"/>
    <w:rsid w:val="00AC3CDB"/>
    <w:rsid w:val="00AC44D8"/>
    <w:rsid w:val="00AC479C"/>
    <w:rsid w:val="00AC481A"/>
    <w:rsid w:val="00AC4AE1"/>
    <w:rsid w:val="00AC4B23"/>
    <w:rsid w:val="00AC50F4"/>
    <w:rsid w:val="00AC5392"/>
    <w:rsid w:val="00AC5522"/>
    <w:rsid w:val="00AC56FC"/>
    <w:rsid w:val="00AC5E3B"/>
    <w:rsid w:val="00AC6086"/>
    <w:rsid w:val="00AC69C4"/>
    <w:rsid w:val="00AC6A0E"/>
    <w:rsid w:val="00AC6A51"/>
    <w:rsid w:val="00AC6AB7"/>
    <w:rsid w:val="00AC6ABA"/>
    <w:rsid w:val="00AC6DD3"/>
    <w:rsid w:val="00AC6F2F"/>
    <w:rsid w:val="00AC7021"/>
    <w:rsid w:val="00AC7263"/>
    <w:rsid w:val="00AC761D"/>
    <w:rsid w:val="00AC7986"/>
    <w:rsid w:val="00AC79CE"/>
    <w:rsid w:val="00AC7BF8"/>
    <w:rsid w:val="00AD07B5"/>
    <w:rsid w:val="00AD09B3"/>
    <w:rsid w:val="00AD09D3"/>
    <w:rsid w:val="00AD0D74"/>
    <w:rsid w:val="00AD11DA"/>
    <w:rsid w:val="00AD186D"/>
    <w:rsid w:val="00AD1875"/>
    <w:rsid w:val="00AD1B90"/>
    <w:rsid w:val="00AD1BAF"/>
    <w:rsid w:val="00AD1C80"/>
    <w:rsid w:val="00AD1E12"/>
    <w:rsid w:val="00AD240A"/>
    <w:rsid w:val="00AD2457"/>
    <w:rsid w:val="00AD2B33"/>
    <w:rsid w:val="00AD2BC9"/>
    <w:rsid w:val="00AD2D46"/>
    <w:rsid w:val="00AD2E24"/>
    <w:rsid w:val="00AD2F70"/>
    <w:rsid w:val="00AD2FC3"/>
    <w:rsid w:val="00AD3148"/>
    <w:rsid w:val="00AD35B8"/>
    <w:rsid w:val="00AD36D9"/>
    <w:rsid w:val="00AD378B"/>
    <w:rsid w:val="00AD39C0"/>
    <w:rsid w:val="00AD3B12"/>
    <w:rsid w:val="00AD3C39"/>
    <w:rsid w:val="00AD3CB9"/>
    <w:rsid w:val="00AD3EE2"/>
    <w:rsid w:val="00AD3F5A"/>
    <w:rsid w:val="00AD43E0"/>
    <w:rsid w:val="00AD457F"/>
    <w:rsid w:val="00AD4C5B"/>
    <w:rsid w:val="00AD4DCA"/>
    <w:rsid w:val="00AD4FE4"/>
    <w:rsid w:val="00AD53AB"/>
    <w:rsid w:val="00AD5627"/>
    <w:rsid w:val="00AD5909"/>
    <w:rsid w:val="00AD5D1C"/>
    <w:rsid w:val="00AD5E9C"/>
    <w:rsid w:val="00AD5EC7"/>
    <w:rsid w:val="00AD5F54"/>
    <w:rsid w:val="00AD65C9"/>
    <w:rsid w:val="00AD6639"/>
    <w:rsid w:val="00AD6688"/>
    <w:rsid w:val="00AD708E"/>
    <w:rsid w:val="00AD7588"/>
    <w:rsid w:val="00AD7C58"/>
    <w:rsid w:val="00AD7CEF"/>
    <w:rsid w:val="00AE00D7"/>
    <w:rsid w:val="00AE02D0"/>
    <w:rsid w:val="00AE03FE"/>
    <w:rsid w:val="00AE0962"/>
    <w:rsid w:val="00AE09D4"/>
    <w:rsid w:val="00AE09F5"/>
    <w:rsid w:val="00AE0DBF"/>
    <w:rsid w:val="00AE1831"/>
    <w:rsid w:val="00AE1CF9"/>
    <w:rsid w:val="00AE22E1"/>
    <w:rsid w:val="00AE2673"/>
    <w:rsid w:val="00AE2B68"/>
    <w:rsid w:val="00AE2B6D"/>
    <w:rsid w:val="00AE3DFD"/>
    <w:rsid w:val="00AE4263"/>
    <w:rsid w:val="00AE49AB"/>
    <w:rsid w:val="00AE4A25"/>
    <w:rsid w:val="00AE4A89"/>
    <w:rsid w:val="00AE4ED6"/>
    <w:rsid w:val="00AE515F"/>
    <w:rsid w:val="00AE51D7"/>
    <w:rsid w:val="00AE52C3"/>
    <w:rsid w:val="00AE5331"/>
    <w:rsid w:val="00AE5372"/>
    <w:rsid w:val="00AE5AD5"/>
    <w:rsid w:val="00AE5BA6"/>
    <w:rsid w:val="00AE5CCB"/>
    <w:rsid w:val="00AE6966"/>
    <w:rsid w:val="00AE6C6F"/>
    <w:rsid w:val="00AE7179"/>
    <w:rsid w:val="00AE780D"/>
    <w:rsid w:val="00AF040E"/>
    <w:rsid w:val="00AF04BD"/>
    <w:rsid w:val="00AF0B1F"/>
    <w:rsid w:val="00AF1299"/>
    <w:rsid w:val="00AF14EA"/>
    <w:rsid w:val="00AF1599"/>
    <w:rsid w:val="00AF1A8B"/>
    <w:rsid w:val="00AF1D49"/>
    <w:rsid w:val="00AF1E25"/>
    <w:rsid w:val="00AF1F5F"/>
    <w:rsid w:val="00AF2A2A"/>
    <w:rsid w:val="00AF2CD1"/>
    <w:rsid w:val="00AF314B"/>
    <w:rsid w:val="00AF3312"/>
    <w:rsid w:val="00AF3700"/>
    <w:rsid w:val="00AF3793"/>
    <w:rsid w:val="00AF39BA"/>
    <w:rsid w:val="00AF4120"/>
    <w:rsid w:val="00AF47D4"/>
    <w:rsid w:val="00AF496C"/>
    <w:rsid w:val="00AF4C62"/>
    <w:rsid w:val="00AF5068"/>
    <w:rsid w:val="00AF5263"/>
    <w:rsid w:val="00AF5665"/>
    <w:rsid w:val="00AF5763"/>
    <w:rsid w:val="00AF57B5"/>
    <w:rsid w:val="00AF58D0"/>
    <w:rsid w:val="00AF5DE5"/>
    <w:rsid w:val="00AF6042"/>
    <w:rsid w:val="00AF6050"/>
    <w:rsid w:val="00AF6144"/>
    <w:rsid w:val="00AF6215"/>
    <w:rsid w:val="00AF6F6E"/>
    <w:rsid w:val="00AF70AD"/>
    <w:rsid w:val="00AF71DD"/>
    <w:rsid w:val="00AF7247"/>
    <w:rsid w:val="00AF7410"/>
    <w:rsid w:val="00AF7780"/>
    <w:rsid w:val="00AF795A"/>
    <w:rsid w:val="00AF7A86"/>
    <w:rsid w:val="00AF7E5F"/>
    <w:rsid w:val="00B00036"/>
    <w:rsid w:val="00B00173"/>
    <w:rsid w:val="00B001DA"/>
    <w:rsid w:val="00B00269"/>
    <w:rsid w:val="00B004B3"/>
    <w:rsid w:val="00B008BE"/>
    <w:rsid w:val="00B008F0"/>
    <w:rsid w:val="00B0093E"/>
    <w:rsid w:val="00B00A18"/>
    <w:rsid w:val="00B0108B"/>
    <w:rsid w:val="00B01480"/>
    <w:rsid w:val="00B0192A"/>
    <w:rsid w:val="00B01B8D"/>
    <w:rsid w:val="00B01CA1"/>
    <w:rsid w:val="00B01F68"/>
    <w:rsid w:val="00B024FA"/>
    <w:rsid w:val="00B027CB"/>
    <w:rsid w:val="00B02E04"/>
    <w:rsid w:val="00B02EC8"/>
    <w:rsid w:val="00B0313B"/>
    <w:rsid w:val="00B03278"/>
    <w:rsid w:val="00B03514"/>
    <w:rsid w:val="00B035FD"/>
    <w:rsid w:val="00B036EB"/>
    <w:rsid w:val="00B03AD8"/>
    <w:rsid w:val="00B03E18"/>
    <w:rsid w:val="00B041AC"/>
    <w:rsid w:val="00B04550"/>
    <w:rsid w:val="00B04B46"/>
    <w:rsid w:val="00B04D0A"/>
    <w:rsid w:val="00B04D2D"/>
    <w:rsid w:val="00B05329"/>
    <w:rsid w:val="00B05388"/>
    <w:rsid w:val="00B054AB"/>
    <w:rsid w:val="00B05524"/>
    <w:rsid w:val="00B05828"/>
    <w:rsid w:val="00B05AA8"/>
    <w:rsid w:val="00B05B18"/>
    <w:rsid w:val="00B05C30"/>
    <w:rsid w:val="00B06024"/>
    <w:rsid w:val="00B060CD"/>
    <w:rsid w:val="00B068E9"/>
    <w:rsid w:val="00B06F9C"/>
    <w:rsid w:val="00B070F1"/>
    <w:rsid w:val="00B0718D"/>
    <w:rsid w:val="00B07199"/>
    <w:rsid w:val="00B07517"/>
    <w:rsid w:val="00B076E9"/>
    <w:rsid w:val="00B0787C"/>
    <w:rsid w:val="00B0789F"/>
    <w:rsid w:val="00B07B91"/>
    <w:rsid w:val="00B07FB4"/>
    <w:rsid w:val="00B10311"/>
    <w:rsid w:val="00B1031E"/>
    <w:rsid w:val="00B104B4"/>
    <w:rsid w:val="00B10627"/>
    <w:rsid w:val="00B1084F"/>
    <w:rsid w:val="00B10951"/>
    <w:rsid w:val="00B10A88"/>
    <w:rsid w:val="00B10FFE"/>
    <w:rsid w:val="00B11323"/>
    <w:rsid w:val="00B11A33"/>
    <w:rsid w:val="00B11B7B"/>
    <w:rsid w:val="00B11BDC"/>
    <w:rsid w:val="00B11C5D"/>
    <w:rsid w:val="00B11F73"/>
    <w:rsid w:val="00B11FDB"/>
    <w:rsid w:val="00B124BE"/>
    <w:rsid w:val="00B12559"/>
    <w:rsid w:val="00B12651"/>
    <w:rsid w:val="00B12915"/>
    <w:rsid w:val="00B12B15"/>
    <w:rsid w:val="00B12FEC"/>
    <w:rsid w:val="00B1333E"/>
    <w:rsid w:val="00B13A2F"/>
    <w:rsid w:val="00B13A35"/>
    <w:rsid w:val="00B13B4C"/>
    <w:rsid w:val="00B140C7"/>
    <w:rsid w:val="00B14495"/>
    <w:rsid w:val="00B145CE"/>
    <w:rsid w:val="00B145D2"/>
    <w:rsid w:val="00B147A5"/>
    <w:rsid w:val="00B149F6"/>
    <w:rsid w:val="00B14AF8"/>
    <w:rsid w:val="00B14C51"/>
    <w:rsid w:val="00B151EA"/>
    <w:rsid w:val="00B1528B"/>
    <w:rsid w:val="00B155F4"/>
    <w:rsid w:val="00B15642"/>
    <w:rsid w:val="00B15755"/>
    <w:rsid w:val="00B15927"/>
    <w:rsid w:val="00B159F4"/>
    <w:rsid w:val="00B15A99"/>
    <w:rsid w:val="00B15CDE"/>
    <w:rsid w:val="00B15E4C"/>
    <w:rsid w:val="00B162CC"/>
    <w:rsid w:val="00B16A5E"/>
    <w:rsid w:val="00B16C4B"/>
    <w:rsid w:val="00B17289"/>
    <w:rsid w:val="00B175A6"/>
    <w:rsid w:val="00B1778B"/>
    <w:rsid w:val="00B178D3"/>
    <w:rsid w:val="00B17E18"/>
    <w:rsid w:val="00B17E47"/>
    <w:rsid w:val="00B20551"/>
    <w:rsid w:val="00B207D4"/>
    <w:rsid w:val="00B20DF4"/>
    <w:rsid w:val="00B20EF4"/>
    <w:rsid w:val="00B20FB5"/>
    <w:rsid w:val="00B210FC"/>
    <w:rsid w:val="00B21460"/>
    <w:rsid w:val="00B2153F"/>
    <w:rsid w:val="00B216C5"/>
    <w:rsid w:val="00B21CCF"/>
    <w:rsid w:val="00B21E49"/>
    <w:rsid w:val="00B2210A"/>
    <w:rsid w:val="00B22160"/>
    <w:rsid w:val="00B22586"/>
    <w:rsid w:val="00B22640"/>
    <w:rsid w:val="00B22642"/>
    <w:rsid w:val="00B22728"/>
    <w:rsid w:val="00B2293E"/>
    <w:rsid w:val="00B22F73"/>
    <w:rsid w:val="00B22FBC"/>
    <w:rsid w:val="00B233A9"/>
    <w:rsid w:val="00B2341B"/>
    <w:rsid w:val="00B23A4E"/>
    <w:rsid w:val="00B23BF0"/>
    <w:rsid w:val="00B24377"/>
    <w:rsid w:val="00B2444C"/>
    <w:rsid w:val="00B2461F"/>
    <w:rsid w:val="00B24821"/>
    <w:rsid w:val="00B24994"/>
    <w:rsid w:val="00B24A13"/>
    <w:rsid w:val="00B24C71"/>
    <w:rsid w:val="00B2530B"/>
    <w:rsid w:val="00B2556C"/>
    <w:rsid w:val="00B262E8"/>
    <w:rsid w:val="00B26793"/>
    <w:rsid w:val="00B269E2"/>
    <w:rsid w:val="00B273F5"/>
    <w:rsid w:val="00B2780E"/>
    <w:rsid w:val="00B27EE2"/>
    <w:rsid w:val="00B305AA"/>
    <w:rsid w:val="00B30D50"/>
    <w:rsid w:val="00B30E52"/>
    <w:rsid w:val="00B30F65"/>
    <w:rsid w:val="00B30F7B"/>
    <w:rsid w:val="00B30FBF"/>
    <w:rsid w:val="00B312C1"/>
    <w:rsid w:val="00B31460"/>
    <w:rsid w:val="00B3178B"/>
    <w:rsid w:val="00B31937"/>
    <w:rsid w:val="00B31D8F"/>
    <w:rsid w:val="00B31F79"/>
    <w:rsid w:val="00B3200B"/>
    <w:rsid w:val="00B32177"/>
    <w:rsid w:val="00B321B9"/>
    <w:rsid w:val="00B323A7"/>
    <w:rsid w:val="00B32470"/>
    <w:rsid w:val="00B325BA"/>
    <w:rsid w:val="00B32B03"/>
    <w:rsid w:val="00B32D20"/>
    <w:rsid w:val="00B33017"/>
    <w:rsid w:val="00B335CB"/>
    <w:rsid w:val="00B33606"/>
    <w:rsid w:val="00B338CC"/>
    <w:rsid w:val="00B339F8"/>
    <w:rsid w:val="00B33ED4"/>
    <w:rsid w:val="00B3476D"/>
    <w:rsid w:val="00B34849"/>
    <w:rsid w:val="00B34876"/>
    <w:rsid w:val="00B3496A"/>
    <w:rsid w:val="00B351CC"/>
    <w:rsid w:val="00B35449"/>
    <w:rsid w:val="00B35CD7"/>
    <w:rsid w:val="00B369D0"/>
    <w:rsid w:val="00B36A1C"/>
    <w:rsid w:val="00B36A60"/>
    <w:rsid w:val="00B36BCB"/>
    <w:rsid w:val="00B36BF0"/>
    <w:rsid w:val="00B36F91"/>
    <w:rsid w:val="00B37173"/>
    <w:rsid w:val="00B375C9"/>
    <w:rsid w:val="00B377B5"/>
    <w:rsid w:val="00B37961"/>
    <w:rsid w:val="00B37A33"/>
    <w:rsid w:val="00B40140"/>
    <w:rsid w:val="00B40320"/>
    <w:rsid w:val="00B4065C"/>
    <w:rsid w:val="00B40C2E"/>
    <w:rsid w:val="00B40DE3"/>
    <w:rsid w:val="00B40E67"/>
    <w:rsid w:val="00B40F97"/>
    <w:rsid w:val="00B41045"/>
    <w:rsid w:val="00B412EC"/>
    <w:rsid w:val="00B41DC0"/>
    <w:rsid w:val="00B4215D"/>
    <w:rsid w:val="00B4222E"/>
    <w:rsid w:val="00B423F3"/>
    <w:rsid w:val="00B42556"/>
    <w:rsid w:val="00B425A9"/>
    <w:rsid w:val="00B425CF"/>
    <w:rsid w:val="00B42E3F"/>
    <w:rsid w:val="00B42EDC"/>
    <w:rsid w:val="00B43512"/>
    <w:rsid w:val="00B4363E"/>
    <w:rsid w:val="00B43949"/>
    <w:rsid w:val="00B43EC1"/>
    <w:rsid w:val="00B44088"/>
    <w:rsid w:val="00B44381"/>
    <w:rsid w:val="00B44753"/>
    <w:rsid w:val="00B449EA"/>
    <w:rsid w:val="00B44CC9"/>
    <w:rsid w:val="00B44D97"/>
    <w:rsid w:val="00B455AD"/>
    <w:rsid w:val="00B4584A"/>
    <w:rsid w:val="00B45B62"/>
    <w:rsid w:val="00B45F22"/>
    <w:rsid w:val="00B4620F"/>
    <w:rsid w:val="00B4621F"/>
    <w:rsid w:val="00B462A2"/>
    <w:rsid w:val="00B467B0"/>
    <w:rsid w:val="00B46E34"/>
    <w:rsid w:val="00B471B4"/>
    <w:rsid w:val="00B473C1"/>
    <w:rsid w:val="00B47555"/>
    <w:rsid w:val="00B47B82"/>
    <w:rsid w:val="00B47B92"/>
    <w:rsid w:val="00B47D80"/>
    <w:rsid w:val="00B47EB1"/>
    <w:rsid w:val="00B502A4"/>
    <w:rsid w:val="00B50413"/>
    <w:rsid w:val="00B50C2E"/>
    <w:rsid w:val="00B50E0D"/>
    <w:rsid w:val="00B50E22"/>
    <w:rsid w:val="00B50F11"/>
    <w:rsid w:val="00B51043"/>
    <w:rsid w:val="00B510E1"/>
    <w:rsid w:val="00B51373"/>
    <w:rsid w:val="00B51563"/>
    <w:rsid w:val="00B5162A"/>
    <w:rsid w:val="00B516B8"/>
    <w:rsid w:val="00B517C7"/>
    <w:rsid w:val="00B51816"/>
    <w:rsid w:val="00B51A64"/>
    <w:rsid w:val="00B51DCC"/>
    <w:rsid w:val="00B525EF"/>
    <w:rsid w:val="00B52764"/>
    <w:rsid w:val="00B52C64"/>
    <w:rsid w:val="00B52CD8"/>
    <w:rsid w:val="00B52FAC"/>
    <w:rsid w:val="00B531B2"/>
    <w:rsid w:val="00B5347A"/>
    <w:rsid w:val="00B53492"/>
    <w:rsid w:val="00B537BB"/>
    <w:rsid w:val="00B53C66"/>
    <w:rsid w:val="00B5411B"/>
    <w:rsid w:val="00B55390"/>
    <w:rsid w:val="00B559E6"/>
    <w:rsid w:val="00B55D1B"/>
    <w:rsid w:val="00B561B3"/>
    <w:rsid w:val="00B561DB"/>
    <w:rsid w:val="00B566D5"/>
    <w:rsid w:val="00B5726B"/>
    <w:rsid w:val="00B573AE"/>
    <w:rsid w:val="00B604EB"/>
    <w:rsid w:val="00B606C9"/>
    <w:rsid w:val="00B61081"/>
    <w:rsid w:val="00B6108C"/>
    <w:rsid w:val="00B610E1"/>
    <w:rsid w:val="00B6130F"/>
    <w:rsid w:val="00B615F2"/>
    <w:rsid w:val="00B6167E"/>
    <w:rsid w:val="00B61AFC"/>
    <w:rsid w:val="00B61E1A"/>
    <w:rsid w:val="00B6218E"/>
    <w:rsid w:val="00B62898"/>
    <w:rsid w:val="00B62ACF"/>
    <w:rsid w:val="00B62C81"/>
    <w:rsid w:val="00B62DAC"/>
    <w:rsid w:val="00B62DFA"/>
    <w:rsid w:val="00B634C9"/>
    <w:rsid w:val="00B6356F"/>
    <w:rsid w:val="00B635BF"/>
    <w:rsid w:val="00B63A27"/>
    <w:rsid w:val="00B63B85"/>
    <w:rsid w:val="00B63F5C"/>
    <w:rsid w:val="00B63FB3"/>
    <w:rsid w:val="00B63FF5"/>
    <w:rsid w:val="00B6430E"/>
    <w:rsid w:val="00B64450"/>
    <w:rsid w:val="00B64A1B"/>
    <w:rsid w:val="00B64D1D"/>
    <w:rsid w:val="00B64D98"/>
    <w:rsid w:val="00B64E7D"/>
    <w:rsid w:val="00B651A9"/>
    <w:rsid w:val="00B65404"/>
    <w:rsid w:val="00B654CA"/>
    <w:rsid w:val="00B65607"/>
    <w:rsid w:val="00B656BF"/>
    <w:rsid w:val="00B65E0F"/>
    <w:rsid w:val="00B65E7A"/>
    <w:rsid w:val="00B66650"/>
    <w:rsid w:val="00B66A7D"/>
    <w:rsid w:val="00B671D8"/>
    <w:rsid w:val="00B67232"/>
    <w:rsid w:val="00B67652"/>
    <w:rsid w:val="00B67658"/>
    <w:rsid w:val="00B67980"/>
    <w:rsid w:val="00B67C83"/>
    <w:rsid w:val="00B67E9A"/>
    <w:rsid w:val="00B67EDC"/>
    <w:rsid w:val="00B67F7B"/>
    <w:rsid w:val="00B704D9"/>
    <w:rsid w:val="00B709F3"/>
    <w:rsid w:val="00B70B5F"/>
    <w:rsid w:val="00B70C07"/>
    <w:rsid w:val="00B70C0C"/>
    <w:rsid w:val="00B70E0C"/>
    <w:rsid w:val="00B70F76"/>
    <w:rsid w:val="00B71023"/>
    <w:rsid w:val="00B71998"/>
    <w:rsid w:val="00B71A0B"/>
    <w:rsid w:val="00B71A80"/>
    <w:rsid w:val="00B71C9F"/>
    <w:rsid w:val="00B71F47"/>
    <w:rsid w:val="00B72431"/>
    <w:rsid w:val="00B725CD"/>
    <w:rsid w:val="00B72A91"/>
    <w:rsid w:val="00B72B58"/>
    <w:rsid w:val="00B72CFC"/>
    <w:rsid w:val="00B73411"/>
    <w:rsid w:val="00B735CD"/>
    <w:rsid w:val="00B7399F"/>
    <w:rsid w:val="00B739E2"/>
    <w:rsid w:val="00B73A94"/>
    <w:rsid w:val="00B744C9"/>
    <w:rsid w:val="00B745D6"/>
    <w:rsid w:val="00B7487E"/>
    <w:rsid w:val="00B74B16"/>
    <w:rsid w:val="00B7533F"/>
    <w:rsid w:val="00B758FE"/>
    <w:rsid w:val="00B75BAB"/>
    <w:rsid w:val="00B76323"/>
    <w:rsid w:val="00B76757"/>
    <w:rsid w:val="00B76B4A"/>
    <w:rsid w:val="00B76C05"/>
    <w:rsid w:val="00B76C95"/>
    <w:rsid w:val="00B76EBF"/>
    <w:rsid w:val="00B76F4C"/>
    <w:rsid w:val="00B7703A"/>
    <w:rsid w:val="00B77324"/>
    <w:rsid w:val="00B77B16"/>
    <w:rsid w:val="00B77E6A"/>
    <w:rsid w:val="00B77EE9"/>
    <w:rsid w:val="00B80514"/>
    <w:rsid w:val="00B805DA"/>
    <w:rsid w:val="00B80A75"/>
    <w:rsid w:val="00B80C0D"/>
    <w:rsid w:val="00B80E10"/>
    <w:rsid w:val="00B8115A"/>
    <w:rsid w:val="00B8151D"/>
    <w:rsid w:val="00B815C2"/>
    <w:rsid w:val="00B81747"/>
    <w:rsid w:val="00B819AA"/>
    <w:rsid w:val="00B81D39"/>
    <w:rsid w:val="00B82108"/>
    <w:rsid w:val="00B82193"/>
    <w:rsid w:val="00B821C9"/>
    <w:rsid w:val="00B82444"/>
    <w:rsid w:val="00B82473"/>
    <w:rsid w:val="00B82CD9"/>
    <w:rsid w:val="00B82CE6"/>
    <w:rsid w:val="00B82E1E"/>
    <w:rsid w:val="00B82E54"/>
    <w:rsid w:val="00B82F90"/>
    <w:rsid w:val="00B83077"/>
    <w:rsid w:val="00B835F8"/>
    <w:rsid w:val="00B839A8"/>
    <w:rsid w:val="00B839DD"/>
    <w:rsid w:val="00B83DDC"/>
    <w:rsid w:val="00B83F39"/>
    <w:rsid w:val="00B83F9C"/>
    <w:rsid w:val="00B846BF"/>
    <w:rsid w:val="00B847D7"/>
    <w:rsid w:val="00B84B2C"/>
    <w:rsid w:val="00B84CB0"/>
    <w:rsid w:val="00B84DB0"/>
    <w:rsid w:val="00B84DE1"/>
    <w:rsid w:val="00B84E06"/>
    <w:rsid w:val="00B856DA"/>
    <w:rsid w:val="00B85E43"/>
    <w:rsid w:val="00B85F4A"/>
    <w:rsid w:val="00B8604A"/>
    <w:rsid w:val="00B8624A"/>
    <w:rsid w:val="00B864DE"/>
    <w:rsid w:val="00B865F0"/>
    <w:rsid w:val="00B868CF"/>
    <w:rsid w:val="00B8699F"/>
    <w:rsid w:val="00B869A8"/>
    <w:rsid w:val="00B86C47"/>
    <w:rsid w:val="00B86DA0"/>
    <w:rsid w:val="00B86E54"/>
    <w:rsid w:val="00B86F0F"/>
    <w:rsid w:val="00B87069"/>
    <w:rsid w:val="00B8709D"/>
    <w:rsid w:val="00B87810"/>
    <w:rsid w:val="00B8784F"/>
    <w:rsid w:val="00B901F8"/>
    <w:rsid w:val="00B905CE"/>
    <w:rsid w:val="00B908F5"/>
    <w:rsid w:val="00B90A2E"/>
    <w:rsid w:val="00B90B68"/>
    <w:rsid w:val="00B90C8C"/>
    <w:rsid w:val="00B90EB8"/>
    <w:rsid w:val="00B910A0"/>
    <w:rsid w:val="00B9110B"/>
    <w:rsid w:val="00B9110D"/>
    <w:rsid w:val="00B912B1"/>
    <w:rsid w:val="00B9133A"/>
    <w:rsid w:val="00B9150A"/>
    <w:rsid w:val="00B91560"/>
    <w:rsid w:val="00B91B87"/>
    <w:rsid w:val="00B9257A"/>
    <w:rsid w:val="00B92D5A"/>
    <w:rsid w:val="00B92D7E"/>
    <w:rsid w:val="00B931D1"/>
    <w:rsid w:val="00B9388A"/>
    <w:rsid w:val="00B93999"/>
    <w:rsid w:val="00B93B6F"/>
    <w:rsid w:val="00B93C3A"/>
    <w:rsid w:val="00B94149"/>
    <w:rsid w:val="00B944D9"/>
    <w:rsid w:val="00B94869"/>
    <w:rsid w:val="00B949AA"/>
    <w:rsid w:val="00B949C9"/>
    <w:rsid w:val="00B94AE6"/>
    <w:rsid w:val="00B94B3B"/>
    <w:rsid w:val="00B94B4F"/>
    <w:rsid w:val="00B94BA7"/>
    <w:rsid w:val="00B94E03"/>
    <w:rsid w:val="00B94FA8"/>
    <w:rsid w:val="00B950A4"/>
    <w:rsid w:val="00B95297"/>
    <w:rsid w:val="00B952CE"/>
    <w:rsid w:val="00B95550"/>
    <w:rsid w:val="00B95572"/>
    <w:rsid w:val="00B9597B"/>
    <w:rsid w:val="00B95B76"/>
    <w:rsid w:val="00B96133"/>
    <w:rsid w:val="00B966D3"/>
    <w:rsid w:val="00B96749"/>
    <w:rsid w:val="00B967A0"/>
    <w:rsid w:val="00B96963"/>
    <w:rsid w:val="00B97099"/>
    <w:rsid w:val="00B972B2"/>
    <w:rsid w:val="00B977A2"/>
    <w:rsid w:val="00B97861"/>
    <w:rsid w:val="00B97C68"/>
    <w:rsid w:val="00BA016F"/>
    <w:rsid w:val="00BA03EB"/>
    <w:rsid w:val="00BA04C0"/>
    <w:rsid w:val="00BA077F"/>
    <w:rsid w:val="00BA1198"/>
    <w:rsid w:val="00BA12CC"/>
    <w:rsid w:val="00BA1631"/>
    <w:rsid w:val="00BA1673"/>
    <w:rsid w:val="00BA1858"/>
    <w:rsid w:val="00BA1A5F"/>
    <w:rsid w:val="00BA25BD"/>
    <w:rsid w:val="00BA27F0"/>
    <w:rsid w:val="00BA29DF"/>
    <w:rsid w:val="00BA2C60"/>
    <w:rsid w:val="00BA2D14"/>
    <w:rsid w:val="00BA2E82"/>
    <w:rsid w:val="00BA345A"/>
    <w:rsid w:val="00BA3750"/>
    <w:rsid w:val="00BA37D2"/>
    <w:rsid w:val="00BA3C10"/>
    <w:rsid w:val="00BA3DC4"/>
    <w:rsid w:val="00BA4A39"/>
    <w:rsid w:val="00BA54AA"/>
    <w:rsid w:val="00BA5664"/>
    <w:rsid w:val="00BA5961"/>
    <w:rsid w:val="00BA59E6"/>
    <w:rsid w:val="00BA5D9E"/>
    <w:rsid w:val="00BA5E67"/>
    <w:rsid w:val="00BA63DF"/>
    <w:rsid w:val="00BA65C5"/>
    <w:rsid w:val="00BA6A4D"/>
    <w:rsid w:val="00BA6D1F"/>
    <w:rsid w:val="00BA70DF"/>
    <w:rsid w:val="00BA796D"/>
    <w:rsid w:val="00BB0213"/>
    <w:rsid w:val="00BB0805"/>
    <w:rsid w:val="00BB082C"/>
    <w:rsid w:val="00BB0923"/>
    <w:rsid w:val="00BB0A36"/>
    <w:rsid w:val="00BB0AA5"/>
    <w:rsid w:val="00BB0F7E"/>
    <w:rsid w:val="00BB18C0"/>
    <w:rsid w:val="00BB18F6"/>
    <w:rsid w:val="00BB19B5"/>
    <w:rsid w:val="00BB1A4C"/>
    <w:rsid w:val="00BB1B36"/>
    <w:rsid w:val="00BB1B5C"/>
    <w:rsid w:val="00BB1D03"/>
    <w:rsid w:val="00BB1E5B"/>
    <w:rsid w:val="00BB1EB1"/>
    <w:rsid w:val="00BB1EED"/>
    <w:rsid w:val="00BB1FBF"/>
    <w:rsid w:val="00BB2109"/>
    <w:rsid w:val="00BB2110"/>
    <w:rsid w:val="00BB2326"/>
    <w:rsid w:val="00BB2444"/>
    <w:rsid w:val="00BB2624"/>
    <w:rsid w:val="00BB278E"/>
    <w:rsid w:val="00BB2988"/>
    <w:rsid w:val="00BB2C16"/>
    <w:rsid w:val="00BB2C6B"/>
    <w:rsid w:val="00BB2EED"/>
    <w:rsid w:val="00BB374B"/>
    <w:rsid w:val="00BB3875"/>
    <w:rsid w:val="00BB38D4"/>
    <w:rsid w:val="00BB39D4"/>
    <w:rsid w:val="00BB4B01"/>
    <w:rsid w:val="00BB4D85"/>
    <w:rsid w:val="00BB513C"/>
    <w:rsid w:val="00BB518F"/>
    <w:rsid w:val="00BB51CE"/>
    <w:rsid w:val="00BB524C"/>
    <w:rsid w:val="00BB559C"/>
    <w:rsid w:val="00BB56AD"/>
    <w:rsid w:val="00BB5CF3"/>
    <w:rsid w:val="00BB61E4"/>
    <w:rsid w:val="00BB6246"/>
    <w:rsid w:val="00BB631E"/>
    <w:rsid w:val="00BB67A1"/>
    <w:rsid w:val="00BB67A7"/>
    <w:rsid w:val="00BB6AC3"/>
    <w:rsid w:val="00BB6C90"/>
    <w:rsid w:val="00BB6E6D"/>
    <w:rsid w:val="00BB71A8"/>
    <w:rsid w:val="00BB71BF"/>
    <w:rsid w:val="00BB751F"/>
    <w:rsid w:val="00BB7637"/>
    <w:rsid w:val="00BB78B6"/>
    <w:rsid w:val="00BB7AE6"/>
    <w:rsid w:val="00BB7B1F"/>
    <w:rsid w:val="00BC001A"/>
    <w:rsid w:val="00BC00D1"/>
    <w:rsid w:val="00BC01A3"/>
    <w:rsid w:val="00BC0D7E"/>
    <w:rsid w:val="00BC122B"/>
    <w:rsid w:val="00BC13C9"/>
    <w:rsid w:val="00BC1716"/>
    <w:rsid w:val="00BC18DB"/>
    <w:rsid w:val="00BC196E"/>
    <w:rsid w:val="00BC1DE2"/>
    <w:rsid w:val="00BC2088"/>
    <w:rsid w:val="00BC21A0"/>
    <w:rsid w:val="00BC22A6"/>
    <w:rsid w:val="00BC2397"/>
    <w:rsid w:val="00BC2523"/>
    <w:rsid w:val="00BC2541"/>
    <w:rsid w:val="00BC2636"/>
    <w:rsid w:val="00BC2668"/>
    <w:rsid w:val="00BC270D"/>
    <w:rsid w:val="00BC2875"/>
    <w:rsid w:val="00BC290D"/>
    <w:rsid w:val="00BC2E6D"/>
    <w:rsid w:val="00BC2F25"/>
    <w:rsid w:val="00BC2FDB"/>
    <w:rsid w:val="00BC3227"/>
    <w:rsid w:val="00BC32B4"/>
    <w:rsid w:val="00BC33C1"/>
    <w:rsid w:val="00BC39F8"/>
    <w:rsid w:val="00BC3A43"/>
    <w:rsid w:val="00BC3F16"/>
    <w:rsid w:val="00BC4318"/>
    <w:rsid w:val="00BC4382"/>
    <w:rsid w:val="00BC4A62"/>
    <w:rsid w:val="00BC4AAB"/>
    <w:rsid w:val="00BC4BD5"/>
    <w:rsid w:val="00BC4C64"/>
    <w:rsid w:val="00BC50A3"/>
    <w:rsid w:val="00BC58B7"/>
    <w:rsid w:val="00BC5E7C"/>
    <w:rsid w:val="00BC5F35"/>
    <w:rsid w:val="00BC609A"/>
    <w:rsid w:val="00BC652B"/>
    <w:rsid w:val="00BC6B07"/>
    <w:rsid w:val="00BC6E34"/>
    <w:rsid w:val="00BC6E40"/>
    <w:rsid w:val="00BC7212"/>
    <w:rsid w:val="00BC721D"/>
    <w:rsid w:val="00BC7398"/>
    <w:rsid w:val="00BC78E2"/>
    <w:rsid w:val="00BC7E8F"/>
    <w:rsid w:val="00BC7F2A"/>
    <w:rsid w:val="00BD04DB"/>
    <w:rsid w:val="00BD0703"/>
    <w:rsid w:val="00BD0912"/>
    <w:rsid w:val="00BD0955"/>
    <w:rsid w:val="00BD097A"/>
    <w:rsid w:val="00BD11FF"/>
    <w:rsid w:val="00BD13B9"/>
    <w:rsid w:val="00BD1672"/>
    <w:rsid w:val="00BD17AD"/>
    <w:rsid w:val="00BD18D8"/>
    <w:rsid w:val="00BD18FE"/>
    <w:rsid w:val="00BD1D9B"/>
    <w:rsid w:val="00BD1E86"/>
    <w:rsid w:val="00BD20B9"/>
    <w:rsid w:val="00BD2120"/>
    <w:rsid w:val="00BD23CF"/>
    <w:rsid w:val="00BD24E4"/>
    <w:rsid w:val="00BD282C"/>
    <w:rsid w:val="00BD2ACC"/>
    <w:rsid w:val="00BD2D6A"/>
    <w:rsid w:val="00BD318C"/>
    <w:rsid w:val="00BD346E"/>
    <w:rsid w:val="00BD364D"/>
    <w:rsid w:val="00BD37EA"/>
    <w:rsid w:val="00BD3FB8"/>
    <w:rsid w:val="00BD409C"/>
    <w:rsid w:val="00BD41D4"/>
    <w:rsid w:val="00BD45BE"/>
    <w:rsid w:val="00BD465A"/>
    <w:rsid w:val="00BD47A9"/>
    <w:rsid w:val="00BD4C0F"/>
    <w:rsid w:val="00BD4FDF"/>
    <w:rsid w:val="00BD50FC"/>
    <w:rsid w:val="00BD516A"/>
    <w:rsid w:val="00BD5303"/>
    <w:rsid w:val="00BD5316"/>
    <w:rsid w:val="00BD5334"/>
    <w:rsid w:val="00BD5496"/>
    <w:rsid w:val="00BD54D9"/>
    <w:rsid w:val="00BD5A86"/>
    <w:rsid w:val="00BD5BD4"/>
    <w:rsid w:val="00BD5E8C"/>
    <w:rsid w:val="00BD5F4C"/>
    <w:rsid w:val="00BD6037"/>
    <w:rsid w:val="00BD6366"/>
    <w:rsid w:val="00BD679A"/>
    <w:rsid w:val="00BD67B2"/>
    <w:rsid w:val="00BD6A18"/>
    <w:rsid w:val="00BD6AC2"/>
    <w:rsid w:val="00BD6BBF"/>
    <w:rsid w:val="00BD6F47"/>
    <w:rsid w:val="00BD6F90"/>
    <w:rsid w:val="00BD6F99"/>
    <w:rsid w:val="00BD7009"/>
    <w:rsid w:val="00BD7075"/>
    <w:rsid w:val="00BD73EA"/>
    <w:rsid w:val="00BD7408"/>
    <w:rsid w:val="00BD75F6"/>
    <w:rsid w:val="00BD764E"/>
    <w:rsid w:val="00BD771C"/>
    <w:rsid w:val="00BD77D7"/>
    <w:rsid w:val="00BD7B4C"/>
    <w:rsid w:val="00BD7C58"/>
    <w:rsid w:val="00BD7E42"/>
    <w:rsid w:val="00BD7FF7"/>
    <w:rsid w:val="00BE0007"/>
    <w:rsid w:val="00BE05B4"/>
    <w:rsid w:val="00BE0DE6"/>
    <w:rsid w:val="00BE0DF1"/>
    <w:rsid w:val="00BE0F75"/>
    <w:rsid w:val="00BE1429"/>
    <w:rsid w:val="00BE1742"/>
    <w:rsid w:val="00BE18D4"/>
    <w:rsid w:val="00BE1C28"/>
    <w:rsid w:val="00BE214C"/>
    <w:rsid w:val="00BE21F4"/>
    <w:rsid w:val="00BE23B2"/>
    <w:rsid w:val="00BE2800"/>
    <w:rsid w:val="00BE2AC7"/>
    <w:rsid w:val="00BE2E13"/>
    <w:rsid w:val="00BE2E31"/>
    <w:rsid w:val="00BE2F1D"/>
    <w:rsid w:val="00BE3022"/>
    <w:rsid w:val="00BE30EA"/>
    <w:rsid w:val="00BE31A7"/>
    <w:rsid w:val="00BE3467"/>
    <w:rsid w:val="00BE38F3"/>
    <w:rsid w:val="00BE3BA2"/>
    <w:rsid w:val="00BE47BC"/>
    <w:rsid w:val="00BE480E"/>
    <w:rsid w:val="00BE4EE2"/>
    <w:rsid w:val="00BE4F0D"/>
    <w:rsid w:val="00BE543C"/>
    <w:rsid w:val="00BE54E1"/>
    <w:rsid w:val="00BE5668"/>
    <w:rsid w:val="00BE6161"/>
    <w:rsid w:val="00BE65A0"/>
    <w:rsid w:val="00BE68F9"/>
    <w:rsid w:val="00BE750E"/>
    <w:rsid w:val="00BE77B8"/>
    <w:rsid w:val="00BE7B8A"/>
    <w:rsid w:val="00BE7C12"/>
    <w:rsid w:val="00BE7C52"/>
    <w:rsid w:val="00BF0003"/>
    <w:rsid w:val="00BF011E"/>
    <w:rsid w:val="00BF01E6"/>
    <w:rsid w:val="00BF0870"/>
    <w:rsid w:val="00BF08BE"/>
    <w:rsid w:val="00BF08E0"/>
    <w:rsid w:val="00BF0FAA"/>
    <w:rsid w:val="00BF115E"/>
    <w:rsid w:val="00BF1298"/>
    <w:rsid w:val="00BF12DF"/>
    <w:rsid w:val="00BF130E"/>
    <w:rsid w:val="00BF14BE"/>
    <w:rsid w:val="00BF1755"/>
    <w:rsid w:val="00BF222C"/>
    <w:rsid w:val="00BF2327"/>
    <w:rsid w:val="00BF2A9B"/>
    <w:rsid w:val="00BF2B4E"/>
    <w:rsid w:val="00BF2FA0"/>
    <w:rsid w:val="00BF30A1"/>
    <w:rsid w:val="00BF314A"/>
    <w:rsid w:val="00BF33F2"/>
    <w:rsid w:val="00BF377F"/>
    <w:rsid w:val="00BF3B5F"/>
    <w:rsid w:val="00BF3B7E"/>
    <w:rsid w:val="00BF3DAE"/>
    <w:rsid w:val="00BF47F7"/>
    <w:rsid w:val="00BF480A"/>
    <w:rsid w:val="00BF4B4C"/>
    <w:rsid w:val="00BF5735"/>
    <w:rsid w:val="00BF5873"/>
    <w:rsid w:val="00BF5B18"/>
    <w:rsid w:val="00BF5BBC"/>
    <w:rsid w:val="00BF5C1F"/>
    <w:rsid w:val="00BF5CAE"/>
    <w:rsid w:val="00BF5F5F"/>
    <w:rsid w:val="00BF60D2"/>
    <w:rsid w:val="00BF62FA"/>
    <w:rsid w:val="00BF6707"/>
    <w:rsid w:val="00BF6736"/>
    <w:rsid w:val="00BF6849"/>
    <w:rsid w:val="00BF6852"/>
    <w:rsid w:val="00BF6EA1"/>
    <w:rsid w:val="00BF7473"/>
    <w:rsid w:val="00BF74E8"/>
    <w:rsid w:val="00BF7662"/>
    <w:rsid w:val="00BF7828"/>
    <w:rsid w:val="00BF78EB"/>
    <w:rsid w:val="00BF7A48"/>
    <w:rsid w:val="00BF7C60"/>
    <w:rsid w:val="00BF7D17"/>
    <w:rsid w:val="00C000DF"/>
    <w:rsid w:val="00C0070E"/>
    <w:rsid w:val="00C00B48"/>
    <w:rsid w:val="00C00C35"/>
    <w:rsid w:val="00C00DDA"/>
    <w:rsid w:val="00C014B1"/>
    <w:rsid w:val="00C014BF"/>
    <w:rsid w:val="00C0157D"/>
    <w:rsid w:val="00C01679"/>
    <w:rsid w:val="00C01B82"/>
    <w:rsid w:val="00C02159"/>
    <w:rsid w:val="00C0226E"/>
    <w:rsid w:val="00C02595"/>
    <w:rsid w:val="00C026A1"/>
    <w:rsid w:val="00C026A6"/>
    <w:rsid w:val="00C02A5F"/>
    <w:rsid w:val="00C02D20"/>
    <w:rsid w:val="00C02F35"/>
    <w:rsid w:val="00C03002"/>
    <w:rsid w:val="00C030E9"/>
    <w:rsid w:val="00C03228"/>
    <w:rsid w:val="00C032A8"/>
    <w:rsid w:val="00C034CD"/>
    <w:rsid w:val="00C0368A"/>
    <w:rsid w:val="00C03742"/>
    <w:rsid w:val="00C0390A"/>
    <w:rsid w:val="00C03E12"/>
    <w:rsid w:val="00C04014"/>
    <w:rsid w:val="00C04129"/>
    <w:rsid w:val="00C042C1"/>
    <w:rsid w:val="00C04353"/>
    <w:rsid w:val="00C045A0"/>
    <w:rsid w:val="00C046D8"/>
    <w:rsid w:val="00C04D0F"/>
    <w:rsid w:val="00C05500"/>
    <w:rsid w:val="00C058CE"/>
    <w:rsid w:val="00C05C4F"/>
    <w:rsid w:val="00C060B9"/>
    <w:rsid w:val="00C061C4"/>
    <w:rsid w:val="00C06350"/>
    <w:rsid w:val="00C064B8"/>
    <w:rsid w:val="00C07156"/>
    <w:rsid w:val="00C07282"/>
    <w:rsid w:val="00C07382"/>
    <w:rsid w:val="00C073D5"/>
    <w:rsid w:val="00C075A3"/>
    <w:rsid w:val="00C07D3F"/>
    <w:rsid w:val="00C100A2"/>
    <w:rsid w:val="00C1033C"/>
    <w:rsid w:val="00C10EAB"/>
    <w:rsid w:val="00C11090"/>
    <w:rsid w:val="00C11830"/>
    <w:rsid w:val="00C11906"/>
    <w:rsid w:val="00C11A45"/>
    <w:rsid w:val="00C11B6D"/>
    <w:rsid w:val="00C11C38"/>
    <w:rsid w:val="00C11F8A"/>
    <w:rsid w:val="00C12197"/>
    <w:rsid w:val="00C123CB"/>
    <w:rsid w:val="00C12488"/>
    <w:rsid w:val="00C12820"/>
    <w:rsid w:val="00C12A08"/>
    <w:rsid w:val="00C12ADE"/>
    <w:rsid w:val="00C12CF0"/>
    <w:rsid w:val="00C12E2A"/>
    <w:rsid w:val="00C1330A"/>
    <w:rsid w:val="00C1361B"/>
    <w:rsid w:val="00C1385C"/>
    <w:rsid w:val="00C13B3F"/>
    <w:rsid w:val="00C13BA2"/>
    <w:rsid w:val="00C13C1B"/>
    <w:rsid w:val="00C13D7E"/>
    <w:rsid w:val="00C13F27"/>
    <w:rsid w:val="00C145EB"/>
    <w:rsid w:val="00C1486F"/>
    <w:rsid w:val="00C14A99"/>
    <w:rsid w:val="00C14B47"/>
    <w:rsid w:val="00C14BAA"/>
    <w:rsid w:val="00C152C6"/>
    <w:rsid w:val="00C154AF"/>
    <w:rsid w:val="00C15A89"/>
    <w:rsid w:val="00C15AFC"/>
    <w:rsid w:val="00C15B14"/>
    <w:rsid w:val="00C15CD4"/>
    <w:rsid w:val="00C15E26"/>
    <w:rsid w:val="00C15FC7"/>
    <w:rsid w:val="00C1613C"/>
    <w:rsid w:val="00C16202"/>
    <w:rsid w:val="00C1641B"/>
    <w:rsid w:val="00C166F2"/>
    <w:rsid w:val="00C16A7A"/>
    <w:rsid w:val="00C16D90"/>
    <w:rsid w:val="00C16DFC"/>
    <w:rsid w:val="00C1711C"/>
    <w:rsid w:val="00C1715D"/>
    <w:rsid w:val="00C17740"/>
    <w:rsid w:val="00C1775C"/>
    <w:rsid w:val="00C178B2"/>
    <w:rsid w:val="00C1796C"/>
    <w:rsid w:val="00C17B38"/>
    <w:rsid w:val="00C17DD5"/>
    <w:rsid w:val="00C1E655"/>
    <w:rsid w:val="00C202ED"/>
    <w:rsid w:val="00C20AF5"/>
    <w:rsid w:val="00C211F8"/>
    <w:rsid w:val="00C21258"/>
    <w:rsid w:val="00C213E0"/>
    <w:rsid w:val="00C215F3"/>
    <w:rsid w:val="00C21886"/>
    <w:rsid w:val="00C21B08"/>
    <w:rsid w:val="00C21BCC"/>
    <w:rsid w:val="00C21D8A"/>
    <w:rsid w:val="00C228DC"/>
    <w:rsid w:val="00C22F71"/>
    <w:rsid w:val="00C2301B"/>
    <w:rsid w:val="00C234D7"/>
    <w:rsid w:val="00C2399A"/>
    <w:rsid w:val="00C23ED7"/>
    <w:rsid w:val="00C23EF6"/>
    <w:rsid w:val="00C240C4"/>
    <w:rsid w:val="00C2416A"/>
    <w:rsid w:val="00C24268"/>
    <w:rsid w:val="00C24899"/>
    <w:rsid w:val="00C24956"/>
    <w:rsid w:val="00C2496B"/>
    <w:rsid w:val="00C24A34"/>
    <w:rsid w:val="00C24ECF"/>
    <w:rsid w:val="00C2506E"/>
    <w:rsid w:val="00C252DE"/>
    <w:rsid w:val="00C2570B"/>
    <w:rsid w:val="00C257BE"/>
    <w:rsid w:val="00C25B3F"/>
    <w:rsid w:val="00C25BB1"/>
    <w:rsid w:val="00C25C86"/>
    <w:rsid w:val="00C2636A"/>
    <w:rsid w:val="00C266CE"/>
    <w:rsid w:val="00C26AC3"/>
    <w:rsid w:val="00C26D6B"/>
    <w:rsid w:val="00C26E66"/>
    <w:rsid w:val="00C2766A"/>
    <w:rsid w:val="00C277AA"/>
    <w:rsid w:val="00C2796E"/>
    <w:rsid w:val="00C301BE"/>
    <w:rsid w:val="00C305A7"/>
    <w:rsid w:val="00C30ACF"/>
    <w:rsid w:val="00C30E0C"/>
    <w:rsid w:val="00C30E45"/>
    <w:rsid w:val="00C30EFB"/>
    <w:rsid w:val="00C31460"/>
    <w:rsid w:val="00C3149D"/>
    <w:rsid w:val="00C3170E"/>
    <w:rsid w:val="00C317D4"/>
    <w:rsid w:val="00C31998"/>
    <w:rsid w:val="00C31D3F"/>
    <w:rsid w:val="00C320FC"/>
    <w:rsid w:val="00C32179"/>
    <w:rsid w:val="00C32346"/>
    <w:rsid w:val="00C325A5"/>
    <w:rsid w:val="00C326F2"/>
    <w:rsid w:val="00C3274A"/>
    <w:rsid w:val="00C32892"/>
    <w:rsid w:val="00C32BA8"/>
    <w:rsid w:val="00C32D8A"/>
    <w:rsid w:val="00C33353"/>
    <w:rsid w:val="00C337D8"/>
    <w:rsid w:val="00C33B2F"/>
    <w:rsid w:val="00C33E7D"/>
    <w:rsid w:val="00C3408A"/>
    <w:rsid w:val="00C34127"/>
    <w:rsid w:val="00C341B6"/>
    <w:rsid w:val="00C3436D"/>
    <w:rsid w:val="00C345EA"/>
    <w:rsid w:val="00C34B7E"/>
    <w:rsid w:val="00C34DD1"/>
    <w:rsid w:val="00C34E4B"/>
    <w:rsid w:val="00C34FA3"/>
    <w:rsid w:val="00C35691"/>
    <w:rsid w:val="00C35A84"/>
    <w:rsid w:val="00C35E5F"/>
    <w:rsid w:val="00C35F17"/>
    <w:rsid w:val="00C3603B"/>
    <w:rsid w:val="00C363E5"/>
    <w:rsid w:val="00C36991"/>
    <w:rsid w:val="00C369B4"/>
    <w:rsid w:val="00C36A15"/>
    <w:rsid w:val="00C36A1A"/>
    <w:rsid w:val="00C36A68"/>
    <w:rsid w:val="00C36AD0"/>
    <w:rsid w:val="00C36C1F"/>
    <w:rsid w:val="00C36E26"/>
    <w:rsid w:val="00C36EC1"/>
    <w:rsid w:val="00C3701B"/>
    <w:rsid w:val="00C37043"/>
    <w:rsid w:val="00C37149"/>
    <w:rsid w:val="00C37157"/>
    <w:rsid w:val="00C3732F"/>
    <w:rsid w:val="00C375CC"/>
    <w:rsid w:val="00C3775C"/>
    <w:rsid w:val="00C377BD"/>
    <w:rsid w:val="00C378CB"/>
    <w:rsid w:val="00C37C1A"/>
    <w:rsid w:val="00C401BF"/>
    <w:rsid w:val="00C4021C"/>
    <w:rsid w:val="00C408F2"/>
    <w:rsid w:val="00C40903"/>
    <w:rsid w:val="00C40E33"/>
    <w:rsid w:val="00C40EBD"/>
    <w:rsid w:val="00C40FA2"/>
    <w:rsid w:val="00C4128E"/>
    <w:rsid w:val="00C412A5"/>
    <w:rsid w:val="00C415BB"/>
    <w:rsid w:val="00C41773"/>
    <w:rsid w:val="00C4221C"/>
    <w:rsid w:val="00C424CD"/>
    <w:rsid w:val="00C429C0"/>
    <w:rsid w:val="00C42A20"/>
    <w:rsid w:val="00C42E11"/>
    <w:rsid w:val="00C4300F"/>
    <w:rsid w:val="00C435AD"/>
    <w:rsid w:val="00C436EA"/>
    <w:rsid w:val="00C43933"/>
    <w:rsid w:val="00C439C3"/>
    <w:rsid w:val="00C43D49"/>
    <w:rsid w:val="00C43DA4"/>
    <w:rsid w:val="00C44697"/>
    <w:rsid w:val="00C44A63"/>
    <w:rsid w:val="00C44BF2"/>
    <w:rsid w:val="00C44D52"/>
    <w:rsid w:val="00C44FF6"/>
    <w:rsid w:val="00C453BC"/>
    <w:rsid w:val="00C454E9"/>
    <w:rsid w:val="00C45661"/>
    <w:rsid w:val="00C456C6"/>
    <w:rsid w:val="00C459C6"/>
    <w:rsid w:val="00C45C27"/>
    <w:rsid w:val="00C4622A"/>
    <w:rsid w:val="00C46599"/>
    <w:rsid w:val="00C468BD"/>
    <w:rsid w:val="00C46B3E"/>
    <w:rsid w:val="00C46DB0"/>
    <w:rsid w:val="00C47167"/>
    <w:rsid w:val="00C47A61"/>
    <w:rsid w:val="00C47BA3"/>
    <w:rsid w:val="00C47CAF"/>
    <w:rsid w:val="00C5010C"/>
    <w:rsid w:val="00C502EA"/>
    <w:rsid w:val="00C506A7"/>
    <w:rsid w:val="00C50BA4"/>
    <w:rsid w:val="00C50D5E"/>
    <w:rsid w:val="00C50F43"/>
    <w:rsid w:val="00C51154"/>
    <w:rsid w:val="00C512A0"/>
    <w:rsid w:val="00C516E2"/>
    <w:rsid w:val="00C516EA"/>
    <w:rsid w:val="00C5174D"/>
    <w:rsid w:val="00C51EE3"/>
    <w:rsid w:val="00C5213A"/>
    <w:rsid w:val="00C521C8"/>
    <w:rsid w:val="00C52244"/>
    <w:rsid w:val="00C5236B"/>
    <w:rsid w:val="00C5271C"/>
    <w:rsid w:val="00C52901"/>
    <w:rsid w:val="00C52B87"/>
    <w:rsid w:val="00C52D2C"/>
    <w:rsid w:val="00C52EEA"/>
    <w:rsid w:val="00C530ED"/>
    <w:rsid w:val="00C53207"/>
    <w:rsid w:val="00C5355D"/>
    <w:rsid w:val="00C53687"/>
    <w:rsid w:val="00C53BD4"/>
    <w:rsid w:val="00C53D63"/>
    <w:rsid w:val="00C54452"/>
    <w:rsid w:val="00C544A1"/>
    <w:rsid w:val="00C549EE"/>
    <w:rsid w:val="00C54CE0"/>
    <w:rsid w:val="00C550FC"/>
    <w:rsid w:val="00C55191"/>
    <w:rsid w:val="00C551F2"/>
    <w:rsid w:val="00C5522E"/>
    <w:rsid w:val="00C55542"/>
    <w:rsid w:val="00C55660"/>
    <w:rsid w:val="00C55A0B"/>
    <w:rsid w:val="00C55A13"/>
    <w:rsid w:val="00C56175"/>
    <w:rsid w:val="00C561D9"/>
    <w:rsid w:val="00C563FC"/>
    <w:rsid w:val="00C56803"/>
    <w:rsid w:val="00C57056"/>
    <w:rsid w:val="00C57570"/>
    <w:rsid w:val="00C578A2"/>
    <w:rsid w:val="00C57EAA"/>
    <w:rsid w:val="00C57FA5"/>
    <w:rsid w:val="00C60221"/>
    <w:rsid w:val="00C60270"/>
    <w:rsid w:val="00C60622"/>
    <w:rsid w:val="00C606C8"/>
    <w:rsid w:val="00C60836"/>
    <w:rsid w:val="00C6085F"/>
    <w:rsid w:val="00C61C83"/>
    <w:rsid w:val="00C62229"/>
    <w:rsid w:val="00C622D5"/>
    <w:rsid w:val="00C62400"/>
    <w:rsid w:val="00C62443"/>
    <w:rsid w:val="00C62449"/>
    <w:rsid w:val="00C627CD"/>
    <w:rsid w:val="00C62BC1"/>
    <w:rsid w:val="00C62CD8"/>
    <w:rsid w:val="00C633AC"/>
    <w:rsid w:val="00C6370B"/>
    <w:rsid w:val="00C645FA"/>
    <w:rsid w:val="00C64879"/>
    <w:rsid w:val="00C648B1"/>
    <w:rsid w:val="00C64B22"/>
    <w:rsid w:val="00C65265"/>
    <w:rsid w:val="00C6549D"/>
    <w:rsid w:val="00C654C9"/>
    <w:rsid w:val="00C65B2D"/>
    <w:rsid w:val="00C65CE0"/>
    <w:rsid w:val="00C65D0C"/>
    <w:rsid w:val="00C65DC8"/>
    <w:rsid w:val="00C65E44"/>
    <w:rsid w:val="00C660FB"/>
    <w:rsid w:val="00C66114"/>
    <w:rsid w:val="00C66190"/>
    <w:rsid w:val="00C661EC"/>
    <w:rsid w:val="00C66953"/>
    <w:rsid w:val="00C66C3F"/>
    <w:rsid w:val="00C66C5B"/>
    <w:rsid w:val="00C66DB3"/>
    <w:rsid w:val="00C66E4E"/>
    <w:rsid w:val="00C67090"/>
    <w:rsid w:val="00C670C6"/>
    <w:rsid w:val="00C675BB"/>
    <w:rsid w:val="00C67636"/>
    <w:rsid w:val="00C67A1B"/>
    <w:rsid w:val="00C67C5C"/>
    <w:rsid w:val="00C6BDD4"/>
    <w:rsid w:val="00C70259"/>
    <w:rsid w:val="00C702A8"/>
    <w:rsid w:val="00C704FF"/>
    <w:rsid w:val="00C70737"/>
    <w:rsid w:val="00C70B75"/>
    <w:rsid w:val="00C70B7C"/>
    <w:rsid w:val="00C70C5C"/>
    <w:rsid w:val="00C70DC6"/>
    <w:rsid w:val="00C70FE4"/>
    <w:rsid w:val="00C71391"/>
    <w:rsid w:val="00C71746"/>
    <w:rsid w:val="00C71B45"/>
    <w:rsid w:val="00C72038"/>
    <w:rsid w:val="00C72049"/>
    <w:rsid w:val="00C72A60"/>
    <w:rsid w:val="00C72F1D"/>
    <w:rsid w:val="00C73133"/>
    <w:rsid w:val="00C731FA"/>
    <w:rsid w:val="00C73247"/>
    <w:rsid w:val="00C73376"/>
    <w:rsid w:val="00C73A07"/>
    <w:rsid w:val="00C73B07"/>
    <w:rsid w:val="00C743CF"/>
    <w:rsid w:val="00C7464F"/>
    <w:rsid w:val="00C74775"/>
    <w:rsid w:val="00C74841"/>
    <w:rsid w:val="00C74B7F"/>
    <w:rsid w:val="00C74C20"/>
    <w:rsid w:val="00C74CBA"/>
    <w:rsid w:val="00C74F90"/>
    <w:rsid w:val="00C7545B"/>
    <w:rsid w:val="00C7552E"/>
    <w:rsid w:val="00C756D3"/>
    <w:rsid w:val="00C759EF"/>
    <w:rsid w:val="00C75A50"/>
    <w:rsid w:val="00C75B65"/>
    <w:rsid w:val="00C75E98"/>
    <w:rsid w:val="00C75F46"/>
    <w:rsid w:val="00C7617C"/>
    <w:rsid w:val="00C765E9"/>
    <w:rsid w:val="00C76928"/>
    <w:rsid w:val="00C76F5F"/>
    <w:rsid w:val="00C77082"/>
    <w:rsid w:val="00C771DB"/>
    <w:rsid w:val="00C7737B"/>
    <w:rsid w:val="00C773C1"/>
    <w:rsid w:val="00C773CA"/>
    <w:rsid w:val="00C7790B"/>
    <w:rsid w:val="00C77C95"/>
    <w:rsid w:val="00C80028"/>
    <w:rsid w:val="00C802BD"/>
    <w:rsid w:val="00C80BA4"/>
    <w:rsid w:val="00C80F04"/>
    <w:rsid w:val="00C81210"/>
    <w:rsid w:val="00C818C9"/>
    <w:rsid w:val="00C818D7"/>
    <w:rsid w:val="00C819C6"/>
    <w:rsid w:val="00C81ADE"/>
    <w:rsid w:val="00C81ED8"/>
    <w:rsid w:val="00C8244A"/>
    <w:rsid w:val="00C825A2"/>
    <w:rsid w:val="00C82768"/>
    <w:rsid w:val="00C82BA7"/>
    <w:rsid w:val="00C82C91"/>
    <w:rsid w:val="00C82E03"/>
    <w:rsid w:val="00C8327D"/>
    <w:rsid w:val="00C837D8"/>
    <w:rsid w:val="00C83C02"/>
    <w:rsid w:val="00C84091"/>
    <w:rsid w:val="00C841BC"/>
    <w:rsid w:val="00C844CD"/>
    <w:rsid w:val="00C846A2"/>
    <w:rsid w:val="00C848D5"/>
    <w:rsid w:val="00C84E0B"/>
    <w:rsid w:val="00C85200"/>
    <w:rsid w:val="00C85326"/>
    <w:rsid w:val="00C856AB"/>
    <w:rsid w:val="00C85D95"/>
    <w:rsid w:val="00C85E0D"/>
    <w:rsid w:val="00C85FA2"/>
    <w:rsid w:val="00C86089"/>
    <w:rsid w:val="00C8670F"/>
    <w:rsid w:val="00C86A98"/>
    <w:rsid w:val="00C86B28"/>
    <w:rsid w:val="00C870E3"/>
    <w:rsid w:val="00C872E4"/>
    <w:rsid w:val="00C87F3C"/>
    <w:rsid w:val="00C900D3"/>
    <w:rsid w:val="00C9029A"/>
    <w:rsid w:val="00C9048E"/>
    <w:rsid w:val="00C90755"/>
    <w:rsid w:val="00C9079E"/>
    <w:rsid w:val="00C909A3"/>
    <w:rsid w:val="00C90B5A"/>
    <w:rsid w:val="00C90EFC"/>
    <w:rsid w:val="00C90FC4"/>
    <w:rsid w:val="00C91874"/>
    <w:rsid w:val="00C91B66"/>
    <w:rsid w:val="00C91C24"/>
    <w:rsid w:val="00C91C6A"/>
    <w:rsid w:val="00C9216F"/>
    <w:rsid w:val="00C92367"/>
    <w:rsid w:val="00C924A5"/>
    <w:rsid w:val="00C92A33"/>
    <w:rsid w:val="00C92B2E"/>
    <w:rsid w:val="00C92CD3"/>
    <w:rsid w:val="00C92EBB"/>
    <w:rsid w:val="00C92FAE"/>
    <w:rsid w:val="00C9304C"/>
    <w:rsid w:val="00C932D9"/>
    <w:rsid w:val="00C933E2"/>
    <w:rsid w:val="00C936E3"/>
    <w:rsid w:val="00C938DA"/>
    <w:rsid w:val="00C93E4B"/>
    <w:rsid w:val="00C94485"/>
    <w:rsid w:val="00C94717"/>
    <w:rsid w:val="00C949E5"/>
    <w:rsid w:val="00C94A9A"/>
    <w:rsid w:val="00C94ADD"/>
    <w:rsid w:val="00C94C42"/>
    <w:rsid w:val="00C94C48"/>
    <w:rsid w:val="00C94EDB"/>
    <w:rsid w:val="00C950C1"/>
    <w:rsid w:val="00C95101"/>
    <w:rsid w:val="00C952DD"/>
    <w:rsid w:val="00C954B7"/>
    <w:rsid w:val="00C958F5"/>
    <w:rsid w:val="00C9591A"/>
    <w:rsid w:val="00C95C09"/>
    <w:rsid w:val="00C96A93"/>
    <w:rsid w:val="00C96B32"/>
    <w:rsid w:val="00C96CF4"/>
    <w:rsid w:val="00C97210"/>
    <w:rsid w:val="00C97611"/>
    <w:rsid w:val="00C97A28"/>
    <w:rsid w:val="00C97BF7"/>
    <w:rsid w:val="00CA00AE"/>
    <w:rsid w:val="00CA040D"/>
    <w:rsid w:val="00CA0633"/>
    <w:rsid w:val="00CA0943"/>
    <w:rsid w:val="00CA0D6B"/>
    <w:rsid w:val="00CA0EA9"/>
    <w:rsid w:val="00CA1153"/>
    <w:rsid w:val="00CA1283"/>
    <w:rsid w:val="00CA1AE0"/>
    <w:rsid w:val="00CA1C78"/>
    <w:rsid w:val="00CA1FA4"/>
    <w:rsid w:val="00CA20D0"/>
    <w:rsid w:val="00CA236D"/>
    <w:rsid w:val="00CA2527"/>
    <w:rsid w:val="00CA2D59"/>
    <w:rsid w:val="00CA3036"/>
    <w:rsid w:val="00CA303B"/>
    <w:rsid w:val="00CA318F"/>
    <w:rsid w:val="00CA3190"/>
    <w:rsid w:val="00CA3B42"/>
    <w:rsid w:val="00CA3D06"/>
    <w:rsid w:val="00CA3E70"/>
    <w:rsid w:val="00CA3EAB"/>
    <w:rsid w:val="00CA420C"/>
    <w:rsid w:val="00CA4244"/>
    <w:rsid w:val="00CA464A"/>
    <w:rsid w:val="00CA46AC"/>
    <w:rsid w:val="00CA4756"/>
    <w:rsid w:val="00CA4D51"/>
    <w:rsid w:val="00CA4F2F"/>
    <w:rsid w:val="00CA4F71"/>
    <w:rsid w:val="00CA51D9"/>
    <w:rsid w:val="00CA527A"/>
    <w:rsid w:val="00CA6271"/>
    <w:rsid w:val="00CA629E"/>
    <w:rsid w:val="00CA6550"/>
    <w:rsid w:val="00CA660F"/>
    <w:rsid w:val="00CA67BD"/>
    <w:rsid w:val="00CA68B7"/>
    <w:rsid w:val="00CA69A3"/>
    <w:rsid w:val="00CA6AF7"/>
    <w:rsid w:val="00CA6BFA"/>
    <w:rsid w:val="00CA6C5C"/>
    <w:rsid w:val="00CA70F8"/>
    <w:rsid w:val="00CA7108"/>
    <w:rsid w:val="00CA73C6"/>
    <w:rsid w:val="00CA7403"/>
    <w:rsid w:val="00CA764C"/>
    <w:rsid w:val="00CA76DA"/>
    <w:rsid w:val="00CA77FF"/>
    <w:rsid w:val="00CA7954"/>
    <w:rsid w:val="00CA7F24"/>
    <w:rsid w:val="00CB0CE4"/>
    <w:rsid w:val="00CB0F83"/>
    <w:rsid w:val="00CB100A"/>
    <w:rsid w:val="00CB1065"/>
    <w:rsid w:val="00CB109E"/>
    <w:rsid w:val="00CB14CF"/>
    <w:rsid w:val="00CB14E0"/>
    <w:rsid w:val="00CB1771"/>
    <w:rsid w:val="00CB1DE7"/>
    <w:rsid w:val="00CB1FFC"/>
    <w:rsid w:val="00CB21A8"/>
    <w:rsid w:val="00CB2380"/>
    <w:rsid w:val="00CB253D"/>
    <w:rsid w:val="00CB2C2E"/>
    <w:rsid w:val="00CB2C3C"/>
    <w:rsid w:val="00CB30D9"/>
    <w:rsid w:val="00CB325B"/>
    <w:rsid w:val="00CB337B"/>
    <w:rsid w:val="00CB356D"/>
    <w:rsid w:val="00CB396E"/>
    <w:rsid w:val="00CB3A4E"/>
    <w:rsid w:val="00CB3F77"/>
    <w:rsid w:val="00CB4339"/>
    <w:rsid w:val="00CB45D5"/>
    <w:rsid w:val="00CB45FF"/>
    <w:rsid w:val="00CB4915"/>
    <w:rsid w:val="00CB4F2B"/>
    <w:rsid w:val="00CB4F57"/>
    <w:rsid w:val="00CB5282"/>
    <w:rsid w:val="00CB546D"/>
    <w:rsid w:val="00CB57B9"/>
    <w:rsid w:val="00CB5F1E"/>
    <w:rsid w:val="00CB5F21"/>
    <w:rsid w:val="00CB5F4A"/>
    <w:rsid w:val="00CB62D5"/>
    <w:rsid w:val="00CB65F8"/>
    <w:rsid w:val="00CB6731"/>
    <w:rsid w:val="00CB6758"/>
    <w:rsid w:val="00CB6780"/>
    <w:rsid w:val="00CB6787"/>
    <w:rsid w:val="00CB6DA7"/>
    <w:rsid w:val="00CB70AD"/>
    <w:rsid w:val="00CB7182"/>
    <w:rsid w:val="00CB721C"/>
    <w:rsid w:val="00CB729C"/>
    <w:rsid w:val="00CB7338"/>
    <w:rsid w:val="00CB7A83"/>
    <w:rsid w:val="00CB7CC0"/>
    <w:rsid w:val="00CB7DCE"/>
    <w:rsid w:val="00CC0201"/>
    <w:rsid w:val="00CC0383"/>
    <w:rsid w:val="00CC03CD"/>
    <w:rsid w:val="00CC0786"/>
    <w:rsid w:val="00CC08CA"/>
    <w:rsid w:val="00CC0C1D"/>
    <w:rsid w:val="00CC0C54"/>
    <w:rsid w:val="00CC0D66"/>
    <w:rsid w:val="00CC0E3F"/>
    <w:rsid w:val="00CC1454"/>
    <w:rsid w:val="00CC1557"/>
    <w:rsid w:val="00CC171C"/>
    <w:rsid w:val="00CC19C3"/>
    <w:rsid w:val="00CC1C87"/>
    <w:rsid w:val="00CC1D22"/>
    <w:rsid w:val="00CC21A1"/>
    <w:rsid w:val="00CC238C"/>
    <w:rsid w:val="00CC24D2"/>
    <w:rsid w:val="00CC26B5"/>
    <w:rsid w:val="00CC28D8"/>
    <w:rsid w:val="00CC28E2"/>
    <w:rsid w:val="00CC2ACD"/>
    <w:rsid w:val="00CC2F4E"/>
    <w:rsid w:val="00CC3236"/>
    <w:rsid w:val="00CC3256"/>
    <w:rsid w:val="00CC35A8"/>
    <w:rsid w:val="00CC3663"/>
    <w:rsid w:val="00CC3683"/>
    <w:rsid w:val="00CC3796"/>
    <w:rsid w:val="00CC3A8C"/>
    <w:rsid w:val="00CC3AE0"/>
    <w:rsid w:val="00CC3BCE"/>
    <w:rsid w:val="00CC3C0B"/>
    <w:rsid w:val="00CC3CA3"/>
    <w:rsid w:val="00CC3CB1"/>
    <w:rsid w:val="00CC3CD3"/>
    <w:rsid w:val="00CC3E18"/>
    <w:rsid w:val="00CC46F8"/>
    <w:rsid w:val="00CC47CA"/>
    <w:rsid w:val="00CC4A16"/>
    <w:rsid w:val="00CC4B9D"/>
    <w:rsid w:val="00CC4C6D"/>
    <w:rsid w:val="00CC4FFB"/>
    <w:rsid w:val="00CC5139"/>
    <w:rsid w:val="00CC5872"/>
    <w:rsid w:val="00CC5CE2"/>
    <w:rsid w:val="00CC5D21"/>
    <w:rsid w:val="00CC6163"/>
    <w:rsid w:val="00CC6348"/>
    <w:rsid w:val="00CC6468"/>
    <w:rsid w:val="00CC6601"/>
    <w:rsid w:val="00CC66BC"/>
    <w:rsid w:val="00CC6929"/>
    <w:rsid w:val="00CC7227"/>
    <w:rsid w:val="00CC77D1"/>
    <w:rsid w:val="00CC781E"/>
    <w:rsid w:val="00CC786A"/>
    <w:rsid w:val="00CC7B1A"/>
    <w:rsid w:val="00CC7BF8"/>
    <w:rsid w:val="00CD043B"/>
    <w:rsid w:val="00CD088C"/>
    <w:rsid w:val="00CD0A32"/>
    <w:rsid w:val="00CD0B5E"/>
    <w:rsid w:val="00CD0E84"/>
    <w:rsid w:val="00CD0FDD"/>
    <w:rsid w:val="00CD14DC"/>
    <w:rsid w:val="00CD1C1A"/>
    <w:rsid w:val="00CD1EB1"/>
    <w:rsid w:val="00CD20F8"/>
    <w:rsid w:val="00CD2162"/>
    <w:rsid w:val="00CD217F"/>
    <w:rsid w:val="00CD22FB"/>
    <w:rsid w:val="00CD2373"/>
    <w:rsid w:val="00CD252A"/>
    <w:rsid w:val="00CD262A"/>
    <w:rsid w:val="00CD26C8"/>
    <w:rsid w:val="00CD2B15"/>
    <w:rsid w:val="00CD34C2"/>
    <w:rsid w:val="00CD3705"/>
    <w:rsid w:val="00CD3CB0"/>
    <w:rsid w:val="00CD3CB1"/>
    <w:rsid w:val="00CD40C1"/>
    <w:rsid w:val="00CD45B9"/>
    <w:rsid w:val="00CD4800"/>
    <w:rsid w:val="00CD481B"/>
    <w:rsid w:val="00CD4D8D"/>
    <w:rsid w:val="00CD500B"/>
    <w:rsid w:val="00CD54FD"/>
    <w:rsid w:val="00CD5633"/>
    <w:rsid w:val="00CD5953"/>
    <w:rsid w:val="00CD5AF7"/>
    <w:rsid w:val="00CD6000"/>
    <w:rsid w:val="00CD60DE"/>
    <w:rsid w:val="00CD62F2"/>
    <w:rsid w:val="00CD695B"/>
    <w:rsid w:val="00CD6E72"/>
    <w:rsid w:val="00CD6FE1"/>
    <w:rsid w:val="00CD71BC"/>
    <w:rsid w:val="00CD731E"/>
    <w:rsid w:val="00CD7484"/>
    <w:rsid w:val="00CD7B5E"/>
    <w:rsid w:val="00CD7D82"/>
    <w:rsid w:val="00CD7EA8"/>
    <w:rsid w:val="00CD8225"/>
    <w:rsid w:val="00CE01D2"/>
    <w:rsid w:val="00CE022F"/>
    <w:rsid w:val="00CE031B"/>
    <w:rsid w:val="00CE03B1"/>
    <w:rsid w:val="00CE0842"/>
    <w:rsid w:val="00CE0C43"/>
    <w:rsid w:val="00CE1223"/>
    <w:rsid w:val="00CE124A"/>
    <w:rsid w:val="00CE1657"/>
    <w:rsid w:val="00CE1C72"/>
    <w:rsid w:val="00CE1D6B"/>
    <w:rsid w:val="00CE20B3"/>
    <w:rsid w:val="00CE20ED"/>
    <w:rsid w:val="00CE2646"/>
    <w:rsid w:val="00CE2653"/>
    <w:rsid w:val="00CE2B2F"/>
    <w:rsid w:val="00CE2CCD"/>
    <w:rsid w:val="00CE3146"/>
    <w:rsid w:val="00CE37EB"/>
    <w:rsid w:val="00CE390D"/>
    <w:rsid w:val="00CE3959"/>
    <w:rsid w:val="00CE3CCC"/>
    <w:rsid w:val="00CE3E9F"/>
    <w:rsid w:val="00CE3EA5"/>
    <w:rsid w:val="00CE3F2D"/>
    <w:rsid w:val="00CE4010"/>
    <w:rsid w:val="00CE40CC"/>
    <w:rsid w:val="00CE479A"/>
    <w:rsid w:val="00CE4CEC"/>
    <w:rsid w:val="00CE52BE"/>
    <w:rsid w:val="00CE5A68"/>
    <w:rsid w:val="00CE5B3B"/>
    <w:rsid w:val="00CE5D55"/>
    <w:rsid w:val="00CE6964"/>
    <w:rsid w:val="00CE6D13"/>
    <w:rsid w:val="00CE6F42"/>
    <w:rsid w:val="00CE747D"/>
    <w:rsid w:val="00CE750B"/>
    <w:rsid w:val="00CE7B5B"/>
    <w:rsid w:val="00CE7F0C"/>
    <w:rsid w:val="00CF031A"/>
    <w:rsid w:val="00CF0811"/>
    <w:rsid w:val="00CF0DCD"/>
    <w:rsid w:val="00CF0DD4"/>
    <w:rsid w:val="00CF0ED0"/>
    <w:rsid w:val="00CF108F"/>
    <w:rsid w:val="00CF110A"/>
    <w:rsid w:val="00CF170E"/>
    <w:rsid w:val="00CF1A3E"/>
    <w:rsid w:val="00CF1A8B"/>
    <w:rsid w:val="00CF1C96"/>
    <w:rsid w:val="00CF2072"/>
    <w:rsid w:val="00CF232D"/>
    <w:rsid w:val="00CF2439"/>
    <w:rsid w:val="00CF25E3"/>
    <w:rsid w:val="00CF27DD"/>
    <w:rsid w:val="00CF289A"/>
    <w:rsid w:val="00CF2B73"/>
    <w:rsid w:val="00CF2CD8"/>
    <w:rsid w:val="00CF2DD5"/>
    <w:rsid w:val="00CF36A0"/>
    <w:rsid w:val="00CF390D"/>
    <w:rsid w:val="00CF3B65"/>
    <w:rsid w:val="00CF3B9C"/>
    <w:rsid w:val="00CF3CA5"/>
    <w:rsid w:val="00CF3F88"/>
    <w:rsid w:val="00CF431E"/>
    <w:rsid w:val="00CF44A1"/>
    <w:rsid w:val="00CF466A"/>
    <w:rsid w:val="00CF4A50"/>
    <w:rsid w:val="00CF4C77"/>
    <w:rsid w:val="00CF4D50"/>
    <w:rsid w:val="00CF4DC1"/>
    <w:rsid w:val="00CF51D2"/>
    <w:rsid w:val="00CF527E"/>
    <w:rsid w:val="00CF543B"/>
    <w:rsid w:val="00CF549C"/>
    <w:rsid w:val="00CF555A"/>
    <w:rsid w:val="00CF57E4"/>
    <w:rsid w:val="00CF5A6B"/>
    <w:rsid w:val="00CF5A8C"/>
    <w:rsid w:val="00CF5B6D"/>
    <w:rsid w:val="00CF5C7F"/>
    <w:rsid w:val="00CF64CF"/>
    <w:rsid w:val="00CF66A0"/>
    <w:rsid w:val="00CF66B7"/>
    <w:rsid w:val="00CF67DE"/>
    <w:rsid w:val="00CF69FB"/>
    <w:rsid w:val="00CF6AFD"/>
    <w:rsid w:val="00CF70C0"/>
    <w:rsid w:val="00CF711F"/>
    <w:rsid w:val="00CF7225"/>
    <w:rsid w:val="00CF7374"/>
    <w:rsid w:val="00CF753D"/>
    <w:rsid w:val="00CF78C7"/>
    <w:rsid w:val="00CF7ACF"/>
    <w:rsid w:val="00D002E4"/>
    <w:rsid w:val="00D00423"/>
    <w:rsid w:val="00D006F9"/>
    <w:rsid w:val="00D00F39"/>
    <w:rsid w:val="00D00F74"/>
    <w:rsid w:val="00D010D3"/>
    <w:rsid w:val="00D013CD"/>
    <w:rsid w:val="00D013FC"/>
    <w:rsid w:val="00D01575"/>
    <w:rsid w:val="00D01B8D"/>
    <w:rsid w:val="00D01DF0"/>
    <w:rsid w:val="00D02293"/>
    <w:rsid w:val="00D024CD"/>
    <w:rsid w:val="00D0289E"/>
    <w:rsid w:val="00D02A1A"/>
    <w:rsid w:val="00D02B03"/>
    <w:rsid w:val="00D02B66"/>
    <w:rsid w:val="00D031A9"/>
    <w:rsid w:val="00D03270"/>
    <w:rsid w:val="00D032F9"/>
    <w:rsid w:val="00D03D80"/>
    <w:rsid w:val="00D04093"/>
    <w:rsid w:val="00D04305"/>
    <w:rsid w:val="00D04FCE"/>
    <w:rsid w:val="00D0507A"/>
    <w:rsid w:val="00D0515E"/>
    <w:rsid w:val="00D05442"/>
    <w:rsid w:val="00D056DA"/>
    <w:rsid w:val="00D056FD"/>
    <w:rsid w:val="00D05A8C"/>
    <w:rsid w:val="00D05B2E"/>
    <w:rsid w:val="00D05B88"/>
    <w:rsid w:val="00D05D0F"/>
    <w:rsid w:val="00D068D6"/>
    <w:rsid w:val="00D06A58"/>
    <w:rsid w:val="00D06E96"/>
    <w:rsid w:val="00D07107"/>
    <w:rsid w:val="00D0764D"/>
    <w:rsid w:val="00D07822"/>
    <w:rsid w:val="00D07C9A"/>
    <w:rsid w:val="00D07DE8"/>
    <w:rsid w:val="00D1016A"/>
    <w:rsid w:val="00D101AA"/>
    <w:rsid w:val="00D10688"/>
    <w:rsid w:val="00D1091C"/>
    <w:rsid w:val="00D10CA3"/>
    <w:rsid w:val="00D10E2C"/>
    <w:rsid w:val="00D110B5"/>
    <w:rsid w:val="00D115F7"/>
    <w:rsid w:val="00D115F8"/>
    <w:rsid w:val="00D119DD"/>
    <w:rsid w:val="00D11BA6"/>
    <w:rsid w:val="00D11F0E"/>
    <w:rsid w:val="00D1200C"/>
    <w:rsid w:val="00D122AB"/>
    <w:rsid w:val="00D123A8"/>
    <w:rsid w:val="00D12672"/>
    <w:rsid w:val="00D128B9"/>
    <w:rsid w:val="00D1295F"/>
    <w:rsid w:val="00D12DC2"/>
    <w:rsid w:val="00D12DC8"/>
    <w:rsid w:val="00D13370"/>
    <w:rsid w:val="00D136CD"/>
    <w:rsid w:val="00D136D7"/>
    <w:rsid w:val="00D13936"/>
    <w:rsid w:val="00D13FF7"/>
    <w:rsid w:val="00D147DA"/>
    <w:rsid w:val="00D14826"/>
    <w:rsid w:val="00D14A9D"/>
    <w:rsid w:val="00D14C6D"/>
    <w:rsid w:val="00D14EFB"/>
    <w:rsid w:val="00D15223"/>
    <w:rsid w:val="00D152DA"/>
    <w:rsid w:val="00D15308"/>
    <w:rsid w:val="00D15535"/>
    <w:rsid w:val="00D15647"/>
    <w:rsid w:val="00D15875"/>
    <w:rsid w:val="00D159CD"/>
    <w:rsid w:val="00D15EF0"/>
    <w:rsid w:val="00D15F76"/>
    <w:rsid w:val="00D15FF5"/>
    <w:rsid w:val="00D1629D"/>
    <w:rsid w:val="00D16A0C"/>
    <w:rsid w:val="00D16B7C"/>
    <w:rsid w:val="00D17457"/>
    <w:rsid w:val="00D1768D"/>
    <w:rsid w:val="00D17783"/>
    <w:rsid w:val="00D17837"/>
    <w:rsid w:val="00D17A67"/>
    <w:rsid w:val="00D17A8C"/>
    <w:rsid w:val="00D17DA7"/>
    <w:rsid w:val="00D17FC6"/>
    <w:rsid w:val="00D1894B"/>
    <w:rsid w:val="00D203CF"/>
    <w:rsid w:val="00D203DC"/>
    <w:rsid w:val="00D203DD"/>
    <w:rsid w:val="00D20507"/>
    <w:rsid w:val="00D20A66"/>
    <w:rsid w:val="00D20B5F"/>
    <w:rsid w:val="00D20D01"/>
    <w:rsid w:val="00D2112F"/>
    <w:rsid w:val="00D2129D"/>
    <w:rsid w:val="00D217D1"/>
    <w:rsid w:val="00D21A13"/>
    <w:rsid w:val="00D21BCB"/>
    <w:rsid w:val="00D21EC6"/>
    <w:rsid w:val="00D2203D"/>
    <w:rsid w:val="00D222D0"/>
    <w:rsid w:val="00D22377"/>
    <w:rsid w:val="00D22429"/>
    <w:rsid w:val="00D224C2"/>
    <w:rsid w:val="00D2261A"/>
    <w:rsid w:val="00D23141"/>
    <w:rsid w:val="00D2327C"/>
    <w:rsid w:val="00D23509"/>
    <w:rsid w:val="00D23832"/>
    <w:rsid w:val="00D23945"/>
    <w:rsid w:val="00D241A1"/>
    <w:rsid w:val="00D242D8"/>
    <w:rsid w:val="00D2474B"/>
    <w:rsid w:val="00D24798"/>
    <w:rsid w:val="00D24877"/>
    <w:rsid w:val="00D24996"/>
    <w:rsid w:val="00D249C7"/>
    <w:rsid w:val="00D24A28"/>
    <w:rsid w:val="00D24B02"/>
    <w:rsid w:val="00D24B2F"/>
    <w:rsid w:val="00D24C04"/>
    <w:rsid w:val="00D250BE"/>
    <w:rsid w:val="00D2510E"/>
    <w:rsid w:val="00D2517F"/>
    <w:rsid w:val="00D25557"/>
    <w:rsid w:val="00D255E4"/>
    <w:rsid w:val="00D25EA0"/>
    <w:rsid w:val="00D2606D"/>
    <w:rsid w:val="00D2668F"/>
    <w:rsid w:val="00D26777"/>
    <w:rsid w:val="00D26867"/>
    <w:rsid w:val="00D26883"/>
    <w:rsid w:val="00D26EE3"/>
    <w:rsid w:val="00D26F34"/>
    <w:rsid w:val="00D27600"/>
    <w:rsid w:val="00D30033"/>
    <w:rsid w:val="00D30102"/>
    <w:rsid w:val="00D304BA"/>
    <w:rsid w:val="00D30666"/>
    <w:rsid w:val="00D30737"/>
    <w:rsid w:val="00D30741"/>
    <w:rsid w:val="00D30830"/>
    <w:rsid w:val="00D30AA7"/>
    <w:rsid w:val="00D30BBD"/>
    <w:rsid w:val="00D30E87"/>
    <w:rsid w:val="00D30EF5"/>
    <w:rsid w:val="00D3111F"/>
    <w:rsid w:val="00D3113D"/>
    <w:rsid w:val="00D31491"/>
    <w:rsid w:val="00D3174B"/>
    <w:rsid w:val="00D317CB"/>
    <w:rsid w:val="00D3184F"/>
    <w:rsid w:val="00D31884"/>
    <w:rsid w:val="00D31B46"/>
    <w:rsid w:val="00D31C4A"/>
    <w:rsid w:val="00D31F8A"/>
    <w:rsid w:val="00D32166"/>
    <w:rsid w:val="00D3224A"/>
    <w:rsid w:val="00D32C68"/>
    <w:rsid w:val="00D33C42"/>
    <w:rsid w:val="00D342DD"/>
    <w:rsid w:val="00D3435F"/>
    <w:rsid w:val="00D34793"/>
    <w:rsid w:val="00D34C43"/>
    <w:rsid w:val="00D35203"/>
    <w:rsid w:val="00D353F1"/>
    <w:rsid w:val="00D35461"/>
    <w:rsid w:val="00D35BDF"/>
    <w:rsid w:val="00D35F11"/>
    <w:rsid w:val="00D36688"/>
    <w:rsid w:val="00D36AA3"/>
    <w:rsid w:val="00D37174"/>
    <w:rsid w:val="00D37471"/>
    <w:rsid w:val="00D3758C"/>
    <w:rsid w:val="00D37901"/>
    <w:rsid w:val="00D37A22"/>
    <w:rsid w:val="00D37B59"/>
    <w:rsid w:val="00D401B8"/>
    <w:rsid w:val="00D40254"/>
    <w:rsid w:val="00D4027D"/>
    <w:rsid w:val="00D40D83"/>
    <w:rsid w:val="00D41018"/>
    <w:rsid w:val="00D41056"/>
    <w:rsid w:val="00D41128"/>
    <w:rsid w:val="00D4155B"/>
    <w:rsid w:val="00D41578"/>
    <w:rsid w:val="00D41598"/>
    <w:rsid w:val="00D41DC2"/>
    <w:rsid w:val="00D41EFA"/>
    <w:rsid w:val="00D42041"/>
    <w:rsid w:val="00D42226"/>
    <w:rsid w:val="00D4274B"/>
    <w:rsid w:val="00D42864"/>
    <w:rsid w:val="00D42D95"/>
    <w:rsid w:val="00D43E87"/>
    <w:rsid w:val="00D43EE5"/>
    <w:rsid w:val="00D43FFF"/>
    <w:rsid w:val="00D44231"/>
    <w:rsid w:val="00D44EB5"/>
    <w:rsid w:val="00D454F1"/>
    <w:rsid w:val="00D4558B"/>
    <w:rsid w:val="00D45BBF"/>
    <w:rsid w:val="00D45BDF"/>
    <w:rsid w:val="00D45E0A"/>
    <w:rsid w:val="00D46134"/>
    <w:rsid w:val="00D461BF"/>
    <w:rsid w:val="00D465DC"/>
    <w:rsid w:val="00D468A9"/>
    <w:rsid w:val="00D46964"/>
    <w:rsid w:val="00D46B03"/>
    <w:rsid w:val="00D46BB7"/>
    <w:rsid w:val="00D46CAD"/>
    <w:rsid w:val="00D46E0C"/>
    <w:rsid w:val="00D46EBE"/>
    <w:rsid w:val="00D471D5"/>
    <w:rsid w:val="00D47597"/>
    <w:rsid w:val="00D4775E"/>
    <w:rsid w:val="00D477F9"/>
    <w:rsid w:val="00D47D1C"/>
    <w:rsid w:val="00D47D6F"/>
    <w:rsid w:val="00D50197"/>
    <w:rsid w:val="00D502C9"/>
    <w:rsid w:val="00D505B3"/>
    <w:rsid w:val="00D506AA"/>
    <w:rsid w:val="00D50946"/>
    <w:rsid w:val="00D50AC2"/>
    <w:rsid w:val="00D50B76"/>
    <w:rsid w:val="00D50D66"/>
    <w:rsid w:val="00D50E38"/>
    <w:rsid w:val="00D510F0"/>
    <w:rsid w:val="00D51721"/>
    <w:rsid w:val="00D51A7D"/>
    <w:rsid w:val="00D51E10"/>
    <w:rsid w:val="00D51EEA"/>
    <w:rsid w:val="00D52008"/>
    <w:rsid w:val="00D5221E"/>
    <w:rsid w:val="00D524E2"/>
    <w:rsid w:val="00D52789"/>
    <w:rsid w:val="00D52822"/>
    <w:rsid w:val="00D52E68"/>
    <w:rsid w:val="00D53708"/>
    <w:rsid w:val="00D5387E"/>
    <w:rsid w:val="00D53CEB"/>
    <w:rsid w:val="00D53E44"/>
    <w:rsid w:val="00D53F5E"/>
    <w:rsid w:val="00D544C5"/>
    <w:rsid w:val="00D54545"/>
    <w:rsid w:val="00D54F13"/>
    <w:rsid w:val="00D54F3C"/>
    <w:rsid w:val="00D55380"/>
    <w:rsid w:val="00D55494"/>
    <w:rsid w:val="00D555FE"/>
    <w:rsid w:val="00D558CB"/>
    <w:rsid w:val="00D55B2F"/>
    <w:rsid w:val="00D55DE8"/>
    <w:rsid w:val="00D55E8A"/>
    <w:rsid w:val="00D5646D"/>
    <w:rsid w:val="00D5677E"/>
    <w:rsid w:val="00D56949"/>
    <w:rsid w:val="00D56A3B"/>
    <w:rsid w:val="00D56B4E"/>
    <w:rsid w:val="00D56CA8"/>
    <w:rsid w:val="00D56F1F"/>
    <w:rsid w:val="00D56F3D"/>
    <w:rsid w:val="00D571C8"/>
    <w:rsid w:val="00D5746A"/>
    <w:rsid w:val="00D57CFD"/>
    <w:rsid w:val="00D60003"/>
    <w:rsid w:val="00D60274"/>
    <w:rsid w:val="00D60575"/>
    <w:rsid w:val="00D60659"/>
    <w:rsid w:val="00D606CA"/>
    <w:rsid w:val="00D60731"/>
    <w:rsid w:val="00D6093E"/>
    <w:rsid w:val="00D60AA6"/>
    <w:rsid w:val="00D60D3F"/>
    <w:rsid w:val="00D60D99"/>
    <w:rsid w:val="00D60FF8"/>
    <w:rsid w:val="00D6176C"/>
    <w:rsid w:val="00D61923"/>
    <w:rsid w:val="00D61934"/>
    <w:rsid w:val="00D61A73"/>
    <w:rsid w:val="00D61AA4"/>
    <w:rsid w:val="00D61D2A"/>
    <w:rsid w:val="00D61F25"/>
    <w:rsid w:val="00D62309"/>
    <w:rsid w:val="00D624A2"/>
    <w:rsid w:val="00D624E1"/>
    <w:rsid w:val="00D62CAF"/>
    <w:rsid w:val="00D63072"/>
    <w:rsid w:val="00D63270"/>
    <w:rsid w:val="00D63885"/>
    <w:rsid w:val="00D63CDD"/>
    <w:rsid w:val="00D63D07"/>
    <w:rsid w:val="00D63E57"/>
    <w:rsid w:val="00D64444"/>
    <w:rsid w:val="00D6445B"/>
    <w:rsid w:val="00D64A60"/>
    <w:rsid w:val="00D64AEF"/>
    <w:rsid w:val="00D64B5F"/>
    <w:rsid w:val="00D64E37"/>
    <w:rsid w:val="00D65445"/>
    <w:rsid w:val="00D655BA"/>
    <w:rsid w:val="00D656DA"/>
    <w:rsid w:val="00D65B27"/>
    <w:rsid w:val="00D65BA8"/>
    <w:rsid w:val="00D65D3C"/>
    <w:rsid w:val="00D65EF8"/>
    <w:rsid w:val="00D65F2B"/>
    <w:rsid w:val="00D6638C"/>
    <w:rsid w:val="00D66780"/>
    <w:rsid w:val="00D66B65"/>
    <w:rsid w:val="00D67801"/>
    <w:rsid w:val="00D67BE8"/>
    <w:rsid w:val="00D67CE9"/>
    <w:rsid w:val="00D67DDF"/>
    <w:rsid w:val="00D703BB"/>
    <w:rsid w:val="00D703DF"/>
    <w:rsid w:val="00D704BE"/>
    <w:rsid w:val="00D706C1"/>
    <w:rsid w:val="00D70BCE"/>
    <w:rsid w:val="00D70EAE"/>
    <w:rsid w:val="00D70F8E"/>
    <w:rsid w:val="00D7124B"/>
    <w:rsid w:val="00D71D48"/>
    <w:rsid w:val="00D71EA7"/>
    <w:rsid w:val="00D7228A"/>
    <w:rsid w:val="00D724B6"/>
    <w:rsid w:val="00D7250C"/>
    <w:rsid w:val="00D72728"/>
    <w:rsid w:val="00D72781"/>
    <w:rsid w:val="00D72880"/>
    <w:rsid w:val="00D72BD2"/>
    <w:rsid w:val="00D72C06"/>
    <w:rsid w:val="00D72E3B"/>
    <w:rsid w:val="00D72F44"/>
    <w:rsid w:val="00D73175"/>
    <w:rsid w:val="00D731F8"/>
    <w:rsid w:val="00D73415"/>
    <w:rsid w:val="00D73583"/>
    <w:rsid w:val="00D73A65"/>
    <w:rsid w:val="00D73B3A"/>
    <w:rsid w:val="00D73CE9"/>
    <w:rsid w:val="00D73E39"/>
    <w:rsid w:val="00D73EF0"/>
    <w:rsid w:val="00D74048"/>
    <w:rsid w:val="00D7412C"/>
    <w:rsid w:val="00D741EB"/>
    <w:rsid w:val="00D7440B"/>
    <w:rsid w:val="00D74B9B"/>
    <w:rsid w:val="00D74DE4"/>
    <w:rsid w:val="00D75180"/>
    <w:rsid w:val="00D751B3"/>
    <w:rsid w:val="00D75369"/>
    <w:rsid w:val="00D7543A"/>
    <w:rsid w:val="00D759B3"/>
    <w:rsid w:val="00D75E34"/>
    <w:rsid w:val="00D75F47"/>
    <w:rsid w:val="00D76123"/>
    <w:rsid w:val="00D761BF"/>
    <w:rsid w:val="00D765A3"/>
    <w:rsid w:val="00D76650"/>
    <w:rsid w:val="00D76781"/>
    <w:rsid w:val="00D76F49"/>
    <w:rsid w:val="00D770AF"/>
    <w:rsid w:val="00D770F9"/>
    <w:rsid w:val="00D773CB"/>
    <w:rsid w:val="00D77429"/>
    <w:rsid w:val="00D7786D"/>
    <w:rsid w:val="00D77A40"/>
    <w:rsid w:val="00D77EDF"/>
    <w:rsid w:val="00D8028B"/>
    <w:rsid w:val="00D8045E"/>
    <w:rsid w:val="00D80589"/>
    <w:rsid w:val="00D8103E"/>
    <w:rsid w:val="00D81259"/>
    <w:rsid w:val="00D8143E"/>
    <w:rsid w:val="00D81521"/>
    <w:rsid w:val="00D8174C"/>
    <w:rsid w:val="00D817CA"/>
    <w:rsid w:val="00D818BA"/>
    <w:rsid w:val="00D81A04"/>
    <w:rsid w:val="00D81A06"/>
    <w:rsid w:val="00D81A6D"/>
    <w:rsid w:val="00D81AB4"/>
    <w:rsid w:val="00D81CD9"/>
    <w:rsid w:val="00D821CC"/>
    <w:rsid w:val="00D821DF"/>
    <w:rsid w:val="00D827E5"/>
    <w:rsid w:val="00D82951"/>
    <w:rsid w:val="00D829B6"/>
    <w:rsid w:val="00D829BA"/>
    <w:rsid w:val="00D82AAD"/>
    <w:rsid w:val="00D82B61"/>
    <w:rsid w:val="00D832A2"/>
    <w:rsid w:val="00D83676"/>
    <w:rsid w:val="00D837E4"/>
    <w:rsid w:val="00D83898"/>
    <w:rsid w:val="00D83B3D"/>
    <w:rsid w:val="00D83C73"/>
    <w:rsid w:val="00D83C87"/>
    <w:rsid w:val="00D84132"/>
    <w:rsid w:val="00D8414D"/>
    <w:rsid w:val="00D842A2"/>
    <w:rsid w:val="00D84386"/>
    <w:rsid w:val="00D846E6"/>
    <w:rsid w:val="00D8479C"/>
    <w:rsid w:val="00D84946"/>
    <w:rsid w:val="00D84ACF"/>
    <w:rsid w:val="00D84B63"/>
    <w:rsid w:val="00D851DB"/>
    <w:rsid w:val="00D85266"/>
    <w:rsid w:val="00D85277"/>
    <w:rsid w:val="00D853A5"/>
    <w:rsid w:val="00D85785"/>
    <w:rsid w:val="00D85D2A"/>
    <w:rsid w:val="00D8601E"/>
    <w:rsid w:val="00D863F6"/>
    <w:rsid w:val="00D86699"/>
    <w:rsid w:val="00D86793"/>
    <w:rsid w:val="00D86FF1"/>
    <w:rsid w:val="00D870D7"/>
    <w:rsid w:val="00D87120"/>
    <w:rsid w:val="00D87164"/>
    <w:rsid w:val="00D8719E"/>
    <w:rsid w:val="00D871E2"/>
    <w:rsid w:val="00D87615"/>
    <w:rsid w:val="00D87AB5"/>
    <w:rsid w:val="00D87C09"/>
    <w:rsid w:val="00D87E4B"/>
    <w:rsid w:val="00D87EE7"/>
    <w:rsid w:val="00D900E0"/>
    <w:rsid w:val="00D90863"/>
    <w:rsid w:val="00D90A6B"/>
    <w:rsid w:val="00D90D37"/>
    <w:rsid w:val="00D90F04"/>
    <w:rsid w:val="00D90FB3"/>
    <w:rsid w:val="00D9100F"/>
    <w:rsid w:val="00D91285"/>
    <w:rsid w:val="00D914D5"/>
    <w:rsid w:val="00D9179B"/>
    <w:rsid w:val="00D918A2"/>
    <w:rsid w:val="00D918D7"/>
    <w:rsid w:val="00D91921"/>
    <w:rsid w:val="00D91A12"/>
    <w:rsid w:val="00D91B99"/>
    <w:rsid w:val="00D91C86"/>
    <w:rsid w:val="00D91CAF"/>
    <w:rsid w:val="00D91CE8"/>
    <w:rsid w:val="00D91DA4"/>
    <w:rsid w:val="00D91FBB"/>
    <w:rsid w:val="00D9221E"/>
    <w:rsid w:val="00D92255"/>
    <w:rsid w:val="00D925F7"/>
    <w:rsid w:val="00D92807"/>
    <w:rsid w:val="00D92C79"/>
    <w:rsid w:val="00D933A9"/>
    <w:rsid w:val="00D934FA"/>
    <w:rsid w:val="00D93741"/>
    <w:rsid w:val="00D937B7"/>
    <w:rsid w:val="00D9382C"/>
    <w:rsid w:val="00D94156"/>
    <w:rsid w:val="00D949C0"/>
    <w:rsid w:val="00D94ABB"/>
    <w:rsid w:val="00D94C35"/>
    <w:rsid w:val="00D94CE7"/>
    <w:rsid w:val="00D95294"/>
    <w:rsid w:val="00D95570"/>
    <w:rsid w:val="00D95930"/>
    <w:rsid w:val="00D95972"/>
    <w:rsid w:val="00D95AB8"/>
    <w:rsid w:val="00D95D61"/>
    <w:rsid w:val="00D95E46"/>
    <w:rsid w:val="00D963FE"/>
    <w:rsid w:val="00D9664D"/>
    <w:rsid w:val="00D96799"/>
    <w:rsid w:val="00D968CF"/>
    <w:rsid w:val="00D969FD"/>
    <w:rsid w:val="00D96B3F"/>
    <w:rsid w:val="00D96C32"/>
    <w:rsid w:val="00D96D0B"/>
    <w:rsid w:val="00D9723D"/>
    <w:rsid w:val="00D97A4A"/>
    <w:rsid w:val="00D97B02"/>
    <w:rsid w:val="00D97F36"/>
    <w:rsid w:val="00DA01EC"/>
    <w:rsid w:val="00DA057F"/>
    <w:rsid w:val="00DA05FF"/>
    <w:rsid w:val="00DA07A5"/>
    <w:rsid w:val="00DA0875"/>
    <w:rsid w:val="00DA11AC"/>
    <w:rsid w:val="00DA12D8"/>
    <w:rsid w:val="00DA1C58"/>
    <w:rsid w:val="00DA275E"/>
    <w:rsid w:val="00DA2761"/>
    <w:rsid w:val="00DA27CD"/>
    <w:rsid w:val="00DA2821"/>
    <w:rsid w:val="00DA284A"/>
    <w:rsid w:val="00DA2EFB"/>
    <w:rsid w:val="00DA3993"/>
    <w:rsid w:val="00DA3B76"/>
    <w:rsid w:val="00DA3DE2"/>
    <w:rsid w:val="00DA3FFB"/>
    <w:rsid w:val="00DA4140"/>
    <w:rsid w:val="00DA4348"/>
    <w:rsid w:val="00DA43FB"/>
    <w:rsid w:val="00DA45D9"/>
    <w:rsid w:val="00DA47F3"/>
    <w:rsid w:val="00DA4F9F"/>
    <w:rsid w:val="00DA4FE2"/>
    <w:rsid w:val="00DA5381"/>
    <w:rsid w:val="00DA552F"/>
    <w:rsid w:val="00DA5AD4"/>
    <w:rsid w:val="00DA5ADF"/>
    <w:rsid w:val="00DA644E"/>
    <w:rsid w:val="00DA6B5C"/>
    <w:rsid w:val="00DA6D77"/>
    <w:rsid w:val="00DA6F96"/>
    <w:rsid w:val="00DA700B"/>
    <w:rsid w:val="00DA70EC"/>
    <w:rsid w:val="00DA7163"/>
    <w:rsid w:val="00DA74F3"/>
    <w:rsid w:val="00DA7546"/>
    <w:rsid w:val="00DA7608"/>
    <w:rsid w:val="00DA786C"/>
    <w:rsid w:val="00DB00D6"/>
    <w:rsid w:val="00DB0566"/>
    <w:rsid w:val="00DB07BC"/>
    <w:rsid w:val="00DB0C80"/>
    <w:rsid w:val="00DB1347"/>
    <w:rsid w:val="00DB13BA"/>
    <w:rsid w:val="00DB1826"/>
    <w:rsid w:val="00DB18CD"/>
    <w:rsid w:val="00DB1904"/>
    <w:rsid w:val="00DB1C9E"/>
    <w:rsid w:val="00DB1CAC"/>
    <w:rsid w:val="00DB1CFA"/>
    <w:rsid w:val="00DB1EE8"/>
    <w:rsid w:val="00DB2434"/>
    <w:rsid w:val="00DB279F"/>
    <w:rsid w:val="00DB2EFB"/>
    <w:rsid w:val="00DB2F64"/>
    <w:rsid w:val="00DB3298"/>
    <w:rsid w:val="00DB3826"/>
    <w:rsid w:val="00DB38CF"/>
    <w:rsid w:val="00DB39B9"/>
    <w:rsid w:val="00DB3B7D"/>
    <w:rsid w:val="00DB3BFF"/>
    <w:rsid w:val="00DB3F62"/>
    <w:rsid w:val="00DB4014"/>
    <w:rsid w:val="00DB43B1"/>
    <w:rsid w:val="00DB44C2"/>
    <w:rsid w:val="00DB461B"/>
    <w:rsid w:val="00DB48EB"/>
    <w:rsid w:val="00DB4C9E"/>
    <w:rsid w:val="00DB4D35"/>
    <w:rsid w:val="00DB4E6B"/>
    <w:rsid w:val="00DB5111"/>
    <w:rsid w:val="00DB51D1"/>
    <w:rsid w:val="00DB5B42"/>
    <w:rsid w:val="00DB5BDF"/>
    <w:rsid w:val="00DB5D0E"/>
    <w:rsid w:val="00DB5D49"/>
    <w:rsid w:val="00DB5D51"/>
    <w:rsid w:val="00DB5FB4"/>
    <w:rsid w:val="00DB6247"/>
    <w:rsid w:val="00DB62D8"/>
    <w:rsid w:val="00DB6326"/>
    <w:rsid w:val="00DB7299"/>
    <w:rsid w:val="00DB75DA"/>
    <w:rsid w:val="00DB771F"/>
    <w:rsid w:val="00DB78CA"/>
    <w:rsid w:val="00DB7B77"/>
    <w:rsid w:val="00DB7CF7"/>
    <w:rsid w:val="00DB7D89"/>
    <w:rsid w:val="00DB7E5A"/>
    <w:rsid w:val="00DC00C5"/>
    <w:rsid w:val="00DC07E4"/>
    <w:rsid w:val="00DC0833"/>
    <w:rsid w:val="00DC0B93"/>
    <w:rsid w:val="00DC0E02"/>
    <w:rsid w:val="00DC0EED"/>
    <w:rsid w:val="00DC0F38"/>
    <w:rsid w:val="00DC11C7"/>
    <w:rsid w:val="00DC13B4"/>
    <w:rsid w:val="00DC148C"/>
    <w:rsid w:val="00DC1793"/>
    <w:rsid w:val="00DC25B6"/>
    <w:rsid w:val="00DC25EC"/>
    <w:rsid w:val="00DC27A8"/>
    <w:rsid w:val="00DC29E3"/>
    <w:rsid w:val="00DC2A72"/>
    <w:rsid w:val="00DC305A"/>
    <w:rsid w:val="00DC3656"/>
    <w:rsid w:val="00DC385A"/>
    <w:rsid w:val="00DC3AF8"/>
    <w:rsid w:val="00DC3C59"/>
    <w:rsid w:val="00DC3DAF"/>
    <w:rsid w:val="00DC3E49"/>
    <w:rsid w:val="00DC3E4E"/>
    <w:rsid w:val="00DC3E8C"/>
    <w:rsid w:val="00DC4288"/>
    <w:rsid w:val="00DC43B0"/>
    <w:rsid w:val="00DC44BE"/>
    <w:rsid w:val="00DC47E4"/>
    <w:rsid w:val="00DC483E"/>
    <w:rsid w:val="00DC494D"/>
    <w:rsid w:val="00DC4B5E"/>
    <w:rsid w:val="00DC5077"/>
    <w:rsid w:val="00DC5856"/>
    <w:rsid w:val="00DC5F13"/>
    <w:rsid w:val="00DC6247"/>
    <w:rsid w:val="00DC6445"/>
    <w:rsid w:val="00DC69AB"/>
    <w:rsid w:val="00DC6FE4"/>
    <w:rsid w:val="00DC76CC"/>
    <w:rsid w:val="00DC79E4"/>
    <w:rsid w:val="00DC7C79"/>
    <w:rsid w:val="00DC7E3B"/>
    <w:rsid w:val="00DC964F"/>
    <w:rsid w:val="00DD0144"/>
    <w:rsid w:val="00DD0BDD"/>
    <w:rsid w:val="00DD0D40"/>
    <w:rsid w:val="00DD0D84"/>
    <w:rsid w:val="00DD1234"/>
    <w:rsid w:val="00DD1673"/>
    <w:rsid w:val="00DD1781"/>
    <w:rsid w:val="00DD1B35"/>
    <w:rsid w:val="00DD1E24"/>
    <w:rsid w:val="00DD1F32"/>
    <w:rsid w:val="00DD2453"/>
    <w:rsid w:val="00DD250C"/>
    <w:rsid w:val="00DD2731"/>
    <w:rsid w:val="00DD27FC"/>
    <w:rsid w:val="00DD2ADD"/>
    <w:rsid w:val="00DD2CA2"/>
    <w:rsid w:val="00DD2F7F"/>
    <w:rsid w:val="00DD3302"/>
    <w:rsid w:val="00DD3446"/>
    <w:rsid w:val="00DD37D0"/>
    <w:rsid w:val="00DD3876"/>
    <w:rsid w:val="00DD3A5F"/>
    <w:rsid w:val="00DD3B03"/>
    <w:rsid w:val="00DD3B5B"/>
    <w:rsid w:val="00DD3F6E"/>
    <w:rsid w:val="00DD3F79"/>
    <w:rsid w:val="00DD408F"/>
    <w:rsid w:val="00DD40E6"/>
    <w:rsid w:val="00DD4141"/>
    <w:rsid w:val="00DD4554"/>
    <w:rsid w:val="00DD4DD7"/>
    <w:rsid w:val="00DD4F17"/>
    <w:rsid w:val="00DD4FFB"/>
    <w:rsid w:val="00DD554B"/>
    <w:rsid w:val="00DD5865"/>
    <w:rsid w:val="00DD5934"/>
    <w:rsid w:val="00DD5A22"/>
    <w:rsid w:val="00DD5F43"/>
    <w:rsid w:val="00DD5FB8"/>
    <w:rsid w:val="00DD5FE2"/>
    <w:rsid w:val="00DD6297"/>
    <w:rsid w:val="00DD637A"/>
    <w:rsid w:val="00DD651A"/>
    <w:rsid w:val="00DD6561"/>
    <w:rsid w:val="00DD6758"/>
    <w:rsid w:val="00DD6967"/>
    <w:rsid w:val="00DD6A52"/>
    <w:rsid w:val="00DD6BEA"/>
    <w:rsid w:val="00DD6E46"/>
    <w:rsid w:val="00DD73D4"/>
    <w:rsid w:val="00DD7496"/>
    <w:rsid w:val="00DD76A8"/>
    <w:rsid w:val="00DD79EB"/>
    <w:rsid w:val="00DD7B03"/>
    <w:rsid w:val="00DD7B28"/>
    <w:rsid w:val="00DD7E47"/>
    <w:rsid w:val="00DD7ED2"/>
    <w:rsid w:val="00DD7EEF"/>
    <w:rsid w:val="00DD7F7A"/>
    <w:rsid w:val="00DE012A"/>
    <w:rsid w:val="00DE02BB"/>
    <w:rsid w:val="00DE071A"/>
    <w:rsid w:val="00DE079C"/>
    <w:rsid w:val="00DE098B"/>
    <w:rsid w:val="00DE0B6B"/>
    <w:rsid w:val="00DE0BE7"/>
    <w:rsid w:val="00DE0BE8"/>
    <w:rsid w:val="00DE0D57"/>
    <w:rsid w:val="00DE129D"/>
    <w:rsid w:val="00DE1358"/>
    <w:rsid w:val="00DE1382"/>
    <w:rsid w:val="00DE1589"/>
    <w:rsid w:val="00DE163D"/>
    <w:rsid w:val="00DE1A36"/>
    <w:rsid w:val="00DE1BCD"/>
    <w:rsid w:val="00DE20E9"/>
    <w:rsid w:val="00DE2105"/>
    <w:rsid w:val="00DE23C4"/>
    <w:rsid w:val="00DE2AEA"/>
    <w:rsid w:val="00DE2C0E"/>
    <w:rsid w:val="00DE2D54"/>
    <w:rsid w:val="00DE2FAE"/>
    <w:rsid w:val="00DE31AF"/>
    <w:rsid w:val="00DE33DF"/>
    <w:rsid w:val="00DE33FC"/>
    <w:rsid w:val="00DE363B"/>
    <w:rsid w:val="00DE3803"/>
    <w:rsid w:val="00DE3A34"/>
    <w:rsid w:val="00DE3A38"/>
    <w:rsid w:val="00DE3AD8"/>
    <w:rsid w:val="00DE3E9D"/>
    <w:rsid w:val="00DE403D"/>
    <w:rsid w:val="00DE4157"/>
    <w:rsid w:val="00DE41EC"/>
    <w:rsid w:val="00DE433C"/>
    <w:rsid w:val="00DE437C"/>
    <w:rsid w:val="00DE4465"/>
    <w:rsid w:val="00DE4B9A"/>
    <w:rsid w:val="00DE4F05"/>
    <w:rsid w:val="00DE5062"/>
    <w:rsid w:val="00DE5654"/>
    <w:rsid w:val="00DE574E"/>
    <w:rsid w:val="00DE5EDE"/>
    <w:rsid w:val="00DE5F92"/>
    <w:rsid w:val="00DE61A1"/>
    <w:rsid w:val="00DE61B0"/>
    <w:rsid w:val="00DE641E"/>
    <w:rsid w:val="00DE6527"/>
    <w:rsid w:val="00DE65A3"/>
    <w:rsid w:val="00DE6676"/>
    <w:rsid w:val="00DE67BC"/>
    <w:rsid w:val="00DE6865"/>
    <w:rsid w:val="00DE68E1"/>
    <w:rsid w:val="00DE6AAD"/>
    <w:rsid w:val="00DE6C4E"/>
    <w:rsid w:val="00DE6ECA"/>
    <w:rsid w:val="00DE7010"/>
    <w:rsid w:val="00DE7016"/>
    <w:rsid w:val="00DE701A"/>
    <w:rsid w:val="00DE7060"/>
    <w:rsid w:val="00DE715E"/>
    <w:rsid w:val="00DE71E2"/>
    <w:rsid w:val="00DE72E1"/>
    <w:rsid w:val="00DE7552"/>
    <w:rsid w:val="00DE7C31"/>
    <w:rsid w:val="00DE7C37"/>
    <w:rsid w:val="00DE7D95"/>
    <w:rsid w:val="00DE7F33"/>
    <w:rsid w:val="00DF0455"/>
    <w:rsid w:val="00DF0A96"/>
    <w:rsid w:val="00DF0C49"/>
    <w:rsid w:val="00DF0E13"/>
    <w:rsid w:val="00DF13F2"/>
    <w:rsid w:val="00DF13F3"/>
    <w:rsid w:val="00DF140E"/>
    <w:rsid w:val="00DF15D5"/>
    <w:rsid w:val="00DF16B8"/>
    <w:rsid w:val="00DF1706"/>
    <w:rsid w:val="00DF180D"/>
    <w:rsid w:val="00DF2008"/>
    <w:rsid w:val="00DF2396"/>
    <w:rsid w:val="00DF2662"/>
    <w:rsid w:val="00DF28B8"/>
    <w:rsid w:val="00DF2DC4"/>
    <w:rsid w:val="00DF2F6E"/>
    <w:rsid w:val="00DF332E"/>
    <w:rsid w:val="00DF35E5"/>
    <w:rsid w:val="00DF3683"/>
    <w:rsid w:val="00DF3B09"/>
    <w:rsid w:val="00DF3C57"/>
    <w:rsid w:val="00DF3D6C"/>
    <w:rsid w:val="00DF4253"/>
    <w:rsid w:val="00DF439F"/>
    <w:rsid w:val="00DF458C"/>
    <w:rsid w:val="00DF4650"/>
    <w:rsid w:val="00DF46B2"/>
    <w:rsid w:val="00DF47A4"/>
    <w:rsid w:val="00DF4973"/>
    <w:rsid w:val="00DF4F68"/>
    <w:rsid w:val="00DF5007"/>
    <w:rsid w:val="00DF5019"/>
    <w:rsid w:val="00DF52C1"/>
    <w:rsid w:val="00DF56BA"/>
    <w:rsid w:val="00DF5793"/>
    <w:rsid w:val="00DF5957"/>
    <w:rsid w:val="00DF5A12"/>
    <w:rsid w:val="00DF5B1D"/>
    <w:rsid w:val="00DF5D69"/>
    <w:rsid w:val="00DF61B7"/>
    <w:rsid w:val="00DF61F3"/>
    <w:rsid w:val="00DF6454"/>
    <w:rsid w:val="00DF65E6"/>
    <w:rsid w:val="00DF66E3"/>
    <w:rsid w:val="00DF6BDC"/>
    <w:rsid w:val="00DF6C16"/>
    <w:rsid w:val="00DF7107"/>
    <w:rsid w:val="00DF769B"/>
    <w:rsid w:val="00DF7762"/>
    <w:rsid w:val="00DF7DBE"/>
    <w:rsid w:val="00E0066C"/>
    <w:rsid w:val="00E0095A"/>
    <w:rsid w:val="00E00E23"/>
    <w:rsid w:val="00E01340"/>
    <w:rsid w:val="00E0145A"/>
    <w:rsid w:val="00E014EA"/>
    <w:rsid w:val="00E01C32"/>
    <w:rsid w:val="00E01F85"/>
    <w:rsid w:val="00E02037"/>
    <w:rsid w:val="00E02127"/>
    <w:rsid w:val="00E022E5"/>
    <w:rsid w:val="00E02472"/>
    <w:rsid w:val="00E02911"/>
    <w:rsid w:val="00E0296A"/>
    <w:rsid w:val="00E029DE"/>
    <w:rsid w:val="00E02EED"/>
    <w:rsid w:val="00E035C4"/>
    <w:rsid w:val="00E03B08"/>
    <w:rsid w:val="00E03EC5"/>
    <w:rsid w:val="00E03ED2"/>
    <w:rsid w:val="00E03F21"/>
    <w:rsid w:val="00E04229"/>
    <w:rsid w:val="00E045DB"/>
    <w:rsid w:val="00E04F54"/>
    <w:rsid w:val="00E050FB"/>
    <w:rsid w:val="00E0513B"/>
    <w:rsid w:val="00E05855"/>
    <w:rsid w:val="00E05E3B"/>
    <w:rsid w:val="00E060DA"/>
    <w:rsid w:val="00E061FA"/>
    <w:rsid w:val="00E063BA"/>
    <w:rsid w:val="00E0673F"/>
    <w:rsid w:val="00E0695F"/>
    <w:rsid w:val="00E06ECE"/>
    <w:rsid w:val="00E0713A"/>
    <w:rsid w:val="00E073E2"/>
    <w:rsid w:val="00E0792A"/>
    <w:rsid w:val="00E07D86"/>
    <w:rsid w:val="00E07DF7"/>
    <w:rsid w:val="00E07F0C"/>
    <w:rsid w:val="00E100AF"/>
    <w:rsid w:val="00E1027F"/>
    <w:rsid w:val="00E102BB"/>
    <w:rsid w:val="00E10442"/>
    <w:rsid w:val="00E10468"/>
    <w:rsid w:val="00E104FF"/>
    <w:rsid w:val="00E10748"/>
    <w:rsid w:val="00E108E9"/>
    <w:rsid w:val="00E109EF"/>
    <w:rsid w:val="00E10ACC"/>
    <w:rsid w:val="00E10B1B"/>
    <w:rsid w:val="00E10E2B"/>
    <w:rsid w:val="00E11296"/>
    <w:rsid w:val="00E1130A"/>
    <w:rsid w:val="00E1148C"/>
    <w:rsid w:val="00E11C2C"/>
    <w:rsid w:val="00E11F0F"/>
    <w:rsid w:val="00E11F6A"/>
    <w:rsid w:val="00E12467"/>
    <w:rsid w:val="00E124D3"/>
    <w:rsid w:val="00E1257E"/>
    <w:rsid w:val="00E12660"/>
    <w:rsid w:val="00E12895"/>
    <w:rsid w:val="00E13389"/>
    <w:rsid w:val="00E133B9"/>
    <w:rsid w:val="00E139C3"/>
    <w:rsid w:val="00E13C2D"/>
    <w:rsid w:val="00E14125"/>
    <w:rsid w:val="00E14291"/>
    <w:rsid w:val="00E14293"/>
    <w:rsid w:val="00E1442C"/>
    <w:rsid w:val="00E14502"/>
    <w:rsid w:val="00E146B7"/>
    <w:rsid w:val="00E14A0E"/>
    <w:rsid w:val="00E14F90"/>
    <w:rsid w:val="00E151F1"/>
    <w:rsid w:val="00E1532A"/>
    <w:rsid w:val="00E15CC3"/>
    <w:rsid w:val="00E15CCB"/>
    <w:rsid w:val="00E15D96"/>
    <w:rsid w:val="00E16048"/>
    <w:rsid w:val="00E165AB"/>
    <w:rsid w:val="00E16AF7"/>
    <w:rsid w:val="00E16CB9"/>
    <w:rsid w:val="00E173BA"/>
    <w:rsid w:val="00E17817"/>
    <w:rsid w:val="00E17F18"/>
    <w:rsid w:val="00E201BF"/>
    <w:rsid w:val="00E205A0"/>
    <w:rsid w:val="00E205FC"/>
    <w:rsid w:val="00E20D99"/>
    <w:rsid w:val="00E211A4"/>
    <w:rsid w:val="00E212A5"/>
    <w:rsid w:val="00E2136D"/>
    <w:rsid w:val="00E21379"/>
    <w:rsid w:val="00E22954"/>
    <w:rsid w:val="00E229FD"/>
    <w:rsid w:val="00E22F08"/>
    <w:rsid w:val="00E2301A"/>
    <w:rsid w:val="00E235DD"/>
    <w:rsid w:val="00E2387A"/>
    <w:rsid w:val="00E23DA0"/>
    <w:rsid w:val="00E242EE"/>
    <w:rsid w:val="00E24D0B"/>
    <w:rsid w:val="00E24E04"/>
    <w:rsid w:val="00E24E50"/>
    <w:rsid w:val="00E2510D"/>
    <w:rsid w:val="00E25186"/>
    <w:rsid w:val="00E251EE"/>
    <w:rsid w:val="00E253A0"/>
    <w:rsid w:val="00E25511"/>
    <w:rsid w:val="00E257B8"/>
    <w:rsid w:val="00E25A97"/>
    <w:rsid w:val="00E25C8D"/>
    <w:rsid w:val="00E2668D"/>
    <w:rsid w:val="00E26AA0"/>
    <w:rsid w:val="00E26B6F"/>
    <w:rsid w:val="00E26DA6"/>
    <w:rsid w:val="00E26F2D"/>
    <w:rsid w:val="00E27117"/>
    <w:rsid w:val="00E2729D"/>
    <w:rsid w:val="00E27619"/>
    <w:rsid w:val="00E276C7"/>
    <w:rsid w:val="00E27744"/>
    <w:rsid w:val="00E27D4E"/>
    <w:rsid w:val="00E302D5"/>
    <w:rsid w:val="00E30619"/>
    <w:rsid w:val="00E30667"/>
    <w:rsid w:val="00E307EE"/>
    <w:rsid w:val="00E30B18"/>
    <w:rsid w:val="00E30DA3"/>
    <w:rsid w:val="00E30DEA"/>
    <w:rsid w:val="00E30ED2"/>
    <w:rsid w:val="00E311EB"/>
    <w:rsid w:val="00E3138D"/>
    <w:rsid w:val="00E31822"/>
    <w:rsid w:val="00E319C8"/>
    <w:rsid w:val="00E31F66"/>
    <w:rsid w:val="00E320D2"/>
    <w:rsid w:val="00E3219A"/>
    <w:rsid w:val="00E32382"/>
    <w:rsid w:val="00E3238A"/>
    <w:rsid w:val="00E32575"/>
    <w:rsid w:val="00E325E6"/>
    <w:rsid w:val="00E329E8"/>
    <w:rsid w:val="00E32F8A"/>
    <w:rsid w:val="00E33065"/>
    <w:rsid w:val="00E3373D"/>
    <w:rsid w:val="00E33927"/>
    <w:rsid w:val="00E33CB9"/>
    <w:rsid w:val="00E33E2D"/>
    <w:rsid w:val="00E33E3B"/>
    <w:rsid w:val="00E33FED"/>
    <w:rsid w:val="00E34140"/>
    <w:rsid w:val="00E3439E"/>
    <w:rsid w:val="00E3456E"/>
    <w:rsid w:val="00E34614"/>
    <w:rsid w:val="00E3475C"/>
    <w:rsid w:val="00E3497E"/>
    <w:rsid w:val="00E34B1D"/>
    <w:rsid w:val="00E34BE3"/>
    <w:rsid w:val="00E34CA2"/>
    <w:rsid w:val="00E34D55"/>
    <w:rsid w:val="00E34E9F"/>
    <w:rsid w:val="00E34F14"/>
    <w:rsid w:val="00E35547"/>
    <w:rsid w:val="00E35B9F"/>
    <w:rsid w:val="00E35D71"/>
    <w:rsid w:val="00E35DAD"/>
    <w:rsid w:val="00E35DC1"/>
    <w:rsid w:val="00E35E79"/>
    <w:rsid w:val="00E361BA"/>
    <w:rsid w:val="00E36357"/>
    <w:rsid w:val="00E363BF"/>
    <w:rsid w:val="00E364AB"/>
    <w:rsid w:val="00E368D9"/>
    <w:rsid w:val="00E368F5"/>
    <w:rsid w:val="00E369B9"/>
    <w:rsid w:val="00E36CCA"/>
    <w:rsid w:val="00E36E44"/>
    <w:rsid w:val="00E37882"/>
    <w:rsid w:val="00E37A8A"/>
    <w:rsid w:val="00E37C75"/>
    <w:rsid w:val="00E37D89"/>
    <w:rsid w:val="00E37E91"/>
    <w:rsid w:val="00E401BC"/>
    <w:rsid w:val="00E402F3"/>
    <w:rsid w:val="00E4037F"/>
    <w:rsid w:val="00E406BB"/>
    <w:rsid w:val="00E40801"/>
    <w:rsid w:val="00E408C9"/>
    <w:rsid w:val="00E40E4C"/>
    <w:rsid w:val="00E41326"/>
    <w:rsid w:val="00E41356"/>
    <w:rsid w:val="00E41429"/>
    <w:rsid w:val="00E4193D"/>
    <w:rsid w:val="00E41E01"/>
    <w:rsid w:val="00E42052"/>
    <w:rsid w:val="00E4276D"/>
    <w:rsid w:val="00E427AD"/>
    <w:rsid w:val="00E4294F"/>
    <w:rsid w:val="00E429DB"/>
    <w:rsid w:val="00E42BC8"/>
    <w:rsid w:val="00E43225"/>
    <w:rsid w:val="00E434B1"/>
    <w:rsid w:val="00E43542"/>
    <w:rsid w:val="00E43605"/>
    <w:rsid w:val="00E43898"/>
    <w:rsid w:val="00E43A71"/>
    <w:rsid w:val="00E43F5F"/>
    <w:rsid w:val="00E43F92"/>
    <w:rsid w:val="00E44431"/>
    <w:rsid w:val="00E44579"/>
    <w:rsid w:val="00E449F5"/>
    <w:rsid w:val="00E44FAF"/>
    <w:rsid w:val="00E453B3"/>
    <w:rsid w:val="00E45675"/>
    <w:rsid w:val="00E456A0"/>
    <w:rsid w:val="00E45952"/>
    <w:rsid w:val="00E459AD"/>
    <w:rsid w:val="00E45D9B"/>
    <w:rsid w:val="00E45E21"/>
    <w:rsid w:val="00E46169"/>
    <w:rsid w:val="00E4674B"/>
    <w:rsid w:val="00E467BD"/>
    <w:rsid w:val="00E46956"/>
    <w:rsid w:val="00E47003"/>
    <w:rsid w:val="00E4709B"/>
    <w:rsid w:val="00E471D3"/>
    <w:rsid w:val="00E471FB"/>
    <w:rsid w:val="00E4797F"/>
    <w:rsid w:val="00E479CA"/>
    <w:rsid w:val="00E50004"/>
    <w:rsid w:val="00E50327"/>
    <w:rsid w:val="00E5049F"/>
    <w:rsid w:val="00E504EB"/>
    <w:rsid w:val="00E5067E"/>
    <w:rsid w:val="00E50A22"/>
    <w:rsid w:val="00E51012"/>
    <w:rsid w:val="00E51162"/>
    <w:rsid w:val="00E51201"/>
    <w:rsid w:val="00E52072"/>
    <w:rsid w:val="00E529D1"/>
    <w:rsid w:val="00E529D8"/>
    <w:rsid w:val="00E52C94"/>
    <w:rsid w:val="00E52D14"/>
    <w:rsid w:val="00E52F13"/>
    <w:rsid w:val="00E52FFA"/>
    <w:rsid w:val="00E53232"/>
    <w:rsid w:val="00E53BFB"/>
    <w:rsid w:val="00E53F3F"/>
    <w:rsid w:val="00E53F52"/>
    <w:rsid w:val="00E540E4"/>
    <w:rsid w:val="00E542C1"/>
    <w:rsid w:val="00E54733"/>
    <w:rsid w:val="00E547EB"/>
    <w:rsid w:val="00E54805"/>
    <w:rsid w:val="00E55237"/>
    <w:rsid w:val="00E5541C"/>
    <w:rsid w:val="00E5550C"/>
    <w:rsid w:val="00E558E3"/>
    <w:rsid w:val="00E55CB6"/>
    <w:rsid w:val="00E55D04"/>
    <w:rsid w:val="00E55E25"/>
    <w:rsid w:val="00E55EB3"/>
    <w:rsid w:val="00E5605E"/>
    <w:rsid w:val="00E561CF"/>
    <w:rsid w:val="00E56696"/>
    <w:rsid w:val="00E56A67"/>
    <w:rsid w:val="00E56B21"/>
    <w:rsid w:val="00E56F15"/>
    <w:rsid w:val="00E5741C"/>
    <w:rsid w:val="00E57449"/>
    <w:rsid w:val="00E57674"/>
    <w:rsid w:val="00E5780B"/>
    <w:rsid w:val="00E5787A"/>
    <w:rsid w:val="00E578BB"/>
    <w:rsid w:val="00E57980"/>
    <w:rsid w:val="00E57F31"/>
    <w:rsid w:val="00E60801"/>
    <w:rsid w:val="00E608D8"/>
    <w:rsid w:val="00E609BD"/>
    <w:rsid w:val="00E60A2A"/>
    <w:rsid w:val="00E60C13"/>
    <w:rsid w:val="00E60E86"/>
    <w:rsid w:val="00E61313"/>
    <w:rsid w:val="00E6192E"/>
    <w:rsid w:val="00E61CA4"/>
    <w:rsid w:val="00E6244C"/>
    <w:rsid w:val="00E62578"/>
    <w:rsid w:val="00E62C51"/>
    <w:rsid w:val="00E631F9"/>
    <w:rsid w:val="00E63B54"/>
    <w:rsid w:val="00E63BB3"/>
    <w:rsid w:val="00E63F6B"/>
    <w:rsid w:val="00E6445F"/>
    <w:rsid w:val="00E64653"/>
    <w:rsid w:val="00E64B9F"/>
    <w:rsid w:val="00E6517D"/>
    <w:rsid w:val="00E6525B"/>
    <w:rsid w:val="00E652D1"/>
    <w:rsid w:val="00E656EA"/>
    <w:rsid w:val="00E659EA"/>
    <w:rsid w:val="00E65A5F"/>
    <w:rsid w:val="00E65ABA"/>
    <w:rsid w:val="00E65BFF"/>
    <w:rsid w:val="00E662FD"/>
    <w:rsid w:val="00E663F8"/>
    <w:rsid w:val="00E6668B"/>
    <w:rsid w:val="00E6683F"/>
    <w:rsid w:val="00E668A1"/>
    <w:rsid w:val="00E66E10"/>
    <w:rsid w:val="00E66E54"/>
    <w:rsid w:val="00E66E5A"/>
    <w:rsid w:val="00E66EC7"/>
    <w:rsid w:val="00E674FC"/>
    <w:rsid w:val="00E67536"/>
    <w:rsid w:val="00E6780A"/>
    <w:rsid w:val="00E67A7B"/>
    <w:rsid w:val="00E67E32"/>
    <w:rsid w:val="00E700A1"/>
    <w:rsid w:val="00E700E4"/>
    <w:rsid w:val="00E70112"/>
    <w:rsid w:val="00E70400"/>
    <w:rsid w:val="00E705A8"/>
    <w:rsid w:val="00E7060E"/>
    <w:rsid w:val="00E70728"/>
    <w:rsid w:val="00E70B58"/>
    <w:rsid w:val="00E70E83"/>
    <w:rsid w:val="00E70E96"/>
    <w:rsid w:val="00E71370"/>
    <w:rsid w:val="00E715ED"/>
    <w:rsid w:val="00E71B3A"/>
    <w:rsid w:val="00E71F1E"/>
    <w:rsid w:val="00E72293"/>
    <w:rsid w:val="00E72508"/>
    <w:rsid w:val="00E726FB"/>
    <w:rsid w:val="00E72759"/>
    <w:rsid w:val="00E72FD0"/>
    <w:rsid w:val="00E7324A"/>
    <w:rsid w:val="00E732E6"/>
    <w:rsid w:val="00E73494"/>
    <w:rsid w:val="00E737F6"/>
    <w:rsid w:val="00E738EB"/>
    <w:rsid w:val="00E7390A"/>
    <w:rsid w:val="00E73BA3"/>
    <w:rsid w:val="00E73D5C"/>
    <w:rsid w:val="00E73FA2"/>
    <w:rsid w:val="00E742DE"/>
    <w:rsid w:val="00E744F1"/>
    <w:rsid w:val="00E74641"/>
    <w:rsid w:val="00E74E23"/>
    <w:rsid w:val="00E7509C"/>
    <w:rsid w:val="00E751ED"/>
    <w:rsid w:val="00E75385"/>
    <w:rsid w:val="00E755FE"/>
    <w:rsid w:val="00E756EC"/>
    <w:rsid w:val="00E757D0"/>
    <w:rsid w:val="00E75A10"/>
    <w:rsid w:val="00E75A64"/>
    <w:rsid w:val="00E75C02"/>
    <w:rsid w:val="00E75F75"/>
    <w:rsid w:val="00E7661B"/>
    <w:rsid w:val="00E7670F"/>
    <w:rsid w:val="00E767BE"/>
    <w:rsid w:val="00E769AB"/>
    <w:rsid w:val="00E76B4A"/>
    <w:rsid w:val="00E76CF9"/>
    <w:rsid w:val="00E76D1A"/>
    <w:rsid w:val="00E76DD7"/>
    <w:rsid w:val="00E77439"/>
    <w:rsid w:val="00E77444"/>
    <w:rsid w:val="00E774EE"/>
    <w:rsid w:val="00E77E08"/>
    <w:rsid w:val="00E77F15"/>
    <w:rsid w:val="00E80707"/>
    <w:rsid w:val="00E809CB"/>
    <w:rsid w:val="00E80B9B"/>
    <w:rsid w:val="00E80D55"/>
    <w:rsid w:val="00E80DAA"/>
    <w:rsid w:val="00E80E7E"/>
    <w:rsid w:val="00E80F6A"/>
    <w:rsid w:val="00E80FEE"/>
    <w:rsid w:val="00E8105C"/>
    <w:rsid w:val="00E81189"/>
    <w:rsid w:val="00E81414"/>
    <w:rsid w:val="00E8198B"/>
    <w:rsid w:val="00E8202C"/>
    <w:rsid w:val="00E82121"/>
    <w:rsid w:val="00E8214D"/>
    <w:rsid w:val="00E8227D"/>
    <w:rsid w:val="00E823D2"/>
    <w:rsid w:val="00E824CB"/>
    <w:rsid w:val="00E825F8"/>
    <w:rsid w:val="00E82974"/>
    <w:rsid w:val="00E82A9F"/>
    <w:rsid w:val="00E82C26"/>
    <w:rsid w:val="00E82D09"/>
    <w:rsid w:val="00E8316B"/>
    <w:rsid w:val="00E83513"/>
    <w:rsid w:val="00E83F63"/>
    <w:rsid w:val="00E84011"/>
    <w:rsid w:val="00E84407"/>
    <w:rsid w:val="00E844FF"/>
    <w:rsid w:val="00E847DA"/>
    <w:rsid w:val="00E84856"/>
    <w:rsid w:val="00E8495A"/>
    <w:rsid w:val="00E849A5"/>
    <w:rsid w:val="00E84ADF"/>
    <w:rsid w:val="00E85078"/>
    <w:rsid w:val="00E85375"/>
    <w:rsid w:val="00E8553E"/>
    <w:rsid w:val="00E861F7"/>
    <w:rsid w:val="00E8622C"/>
    <w:rsid w:val="00E862BC"/>
    <w:rsid w:val="00E86381"/>
    <w:rsid w:val="00E86529"/>
    <w:rsid w:val="00E8671C"/>
    <w:rsid w:val="00E86882"/>
    <w:rsid w:val="00E868FB"/>
    <w:rsid w:val="00E86D8F"/>
    <w:rsid w:val="00E86E14"/>
    <w:rsid w:val="00E8704D"/>
    <w:rsid w:val="00E87416"/>
    <w:rsid w:val="00E8751E"/>
    <w:rsid w:val="00E87750"/>
    <w:rsid w:val="00E877F2"/>
    <w:rsid w:val="00E90298"/>
    <w:rsid w:val="00E90BC4"/>
    <w:rsid w:val="00E90F25"/>
    <w:rsid w:val="00E90F44"/>
    <w:rsid w:val="00E9134C"/>
    <w:rsid w:val="00E916A2"/>
    <w:rsid w:val="00E9173B"/>
    <w:rsid w:val="00E91930"/>
    <w:rsid w:val="00E91C52"/>
    <w:rsid w:val="00E91D52"/>
    <w:rsid w:val="00E91F2F"/>
    <w:rsid w:val="00E92104"/>
    <w:rsid w:val="00E92134"/>
    <w:rsid w:val="00E921D9"/>
    <w:rsid w:val="00E92291"/>
    <w:rsid w:val="00E92957"/>
    <w:rsid w:val="00E92A68"/>
    <w:rsid w:val="00E92A8B"/>
    <w:rsid w:val="00E92B3E"/>
    <w:rsid w:val="00E92D4C"/>
    <w:rsid w:val="00E92FA8"/>
    <w:rsid w:val="00E92FC2"/>
    <w:rsid w:val="00E9326F"/>
    <w:rsid w:val="00E93383"/>
    <w:rsid w:val="00E9347F"/>
    <w:rsid w:val="00E936AF"/>
    <w:rsid w:val="00E9385F"/>
    <w:rsid w:val="00E93A98"/>
    <w:rsid w:val="00E93ACD"/>
    <w:rsid w:val="00E93DA0"/>
    <w:rsid w:val="00E93E3D"/>
    <w:rsid w:val="00E9407C"/>
    <w:rsid w:val="00E940BD"/>
    <w:rsid w:val="00E9426D"/>
    <w:rsid w:val="00E942AE"/>
    <w:rsid w:val="00E94833"/>
    <w:rsid w:val="00E9484B"/>
    <w:rsid w:val="00E94951"/>
    <w:rsid w:val="00E95034"/>
    <w:rsid w:val="00E952CE"/>
    <w:rsid w:val="00E9534A"/>
    <w:rsid w:val="00E9557F"/>
    <w:rsid w:val="00E955EA"/>
    <w:rsid w:val="00E95ACD"/>
    <w:rsid w:val="00E95F39"/>
    <w:rsid w:val="00E960DE"/>
    <w:rsid w:val="00E9668C"/>
    <w:rsid w:val="00E968FA"/>
    <w:rsid w:val="00E96AA2"/>
    <w:rsid w:val="00E96C27"/>
    <w:rsid w:val="00E96D09"/>
    <w:rsid w:val="00E96EB6"/>
    <w:rsid w:val="00E972E9"/>
    <w:rsid w:val="00E9733B"/>
    <w:rsid w:val="00EA021A"/>
    <w:rsid w:val="00EA060D"/>
    <w:rsid w:val="00EA0661"/>
    <w:rsid w:val="00EA0E4A"/>
    <w:rsid w:val="00EA1454"/>
    <w:rsid w:val="00EA148A"/>
    <w:rsid w:val="00EA16A4"/>
    <w:rsid w:val="00EA1811"/>
    <w:rsid w:val="00EA1A8B"/>
    <w:rsid w:val="00EA1D7B"/>
    <w:rsid w:val="00EA2343"/>
    <w:rsid w:val="00EA239B"/>
    <w:rsid w:val="00EA2423"/>
    <w:rsid w:val="00EA24C1"/>
    <w:rsid w:val="00EA2639"/>
    <w:rsid w:val="00EA27EB"/>
    <w:rsid w:val="00EA2BAA"/>
    <w:rsid w:val="00EA2ECF"/>
    <w:rsid w:val="00EA2F43"/>
    <w:rsid w:val="00EA39BE"/>
    <w:rsid w:val="00EA3C89"/>
    <w:rsid w:val="00EA3E98"/>
    <w:rsid w:val="00EA3F3D"/>
    <w:rsid w:val="00EA42A6"/>
    <w:rsid w:val="00EA42F7"/>
    <w:rsid w:val="00EA4393"/>
    <w:rsid w:val="00EA474C"/>
    <w:rsid w:val="00EA47E3"/>
    <w:rsid w:val="00EA4929"/>
    <w:rsid w:val="00EA520C"/>
    <w:rsid w:val="00EA55A2"/>
    <w:rsid w:val="00EA5872"/>
    <w:rsid w:val="00EA5899"/>
    <w:rsid w:val="00EA5E02"/>
    <w:rsid w:val="00EA63AC"/>
    <w:rsid w:val="00EA648B"/>
    <w:rsid w:val="00EA651A"/>
    <w:rsid w:val="00EA69AB"/>
    <w:rsid w:val="00EA6D4F"/>
    <w:rsid w:val="00EA716A"/>
    <w:rsid w:val="00EA7177"/>
    <w:rsid w:val="00EA77C1"/>
    <w:rsid w:val="00EA7D67"/>
    <w:rsid w:val="00EA7EA8"/>
    <w:rsid w:val="00EB0469"/>
    <w:rsid w:val="00EB072A"/>
    <w:rsid w:val="00EB08B3"/>
    <w:rsid w:val="00EB0E88"/>
    <w:rsid w:val="00EB13B8"/>
    <w:rsid w:val="00EB151E"/>
    <w:rsid w:val="00EB15B9"/>
    <w:rsid w:val="00EB1926"/>
    <w:rsid w:val="00EB1BCB"/>
    <w:rsid w:val="00EB1FBC"/>
    <w:rsid w:val="00EB2027"/>
    <w:rsid w:val="00EB219F"/>
    <w:rsid w:val="00EB2346"/>
    <w:rsid w:val="00EB234E"/>
    <w:rsid w:val="00EB28B6"/>
    <w:rsid w:val="00EB2A42"/>
    <w:rsid w:val="00EB2B8B"/>
    <w:rsid w:val="00EB2E6D"/>
    <w:rsid w:val="00EB2F3E"/>
    <w:rsid w:val="00EB3363"/>
    <w:rsid w:val="00EB3414"/>
    <w:rsid w:val="00EB3960"/>
    <w:rsid w:val="00EB3F2E"/>
    <w:rsid w:val="00EB4572"/>
    <w:rsid w:val="00EB477C"/>
    <w:rsid w:val="00EB48F2"/>
    <w:rsid w:val="00EB49FB"/>
    <w:rsid w:val="00EB4B68"/>
    <w:rsid w:val="00EB4C5B"/>
    <w:rsid w:val="00EB4EBA"/>
    <w:rsid w:val="00EB5BDF"/>
    <w:rsid w:val="00EB5CE0"/>
    <w:rsid w:val="00EB5F19"/>
    <w:rsid w:val="00EB648D"/>
    <w:rsid w:val="00EB65E2"/>
    <w:rsid w:val="00EB6ADE"/>
    <w:rsid w:val="00EB6E33"/>
    <w:rsid w:val="00EB6FA4"/>
    <w:rsid w:val="00EB76E0"/>
    <w:rsid w:val="00EB7926"/>
    <w:rsid w:val="00EB7996"/>
    <w:rsid w:val="00EB7EF5"/>
    <w:rsid w:val="00EB7F8C"/>
    <w:rsid w:val="00EB7FB2"/>
    <w:rsid w:val="00EB7FC7"/>
    <w:rsid w:val="00EB7FED"/>
    <w:rsid w:val="00EC002B"/>
    <w:rsid w:val="00EC01CA"/>
    <w:rsid w:val="00EC03A1"/>
    <w:rsid w:val="00EC0A15"/>
    <w:rsid w:val="00EC0A2F"/>
    <w:rsid w:val="00EC0DB9"/>
    <w:rsid w:val="00EC0E1F"/>
    <w:rsid w:val="00EC10EC"/>
    <w:rsid w:val="00EC12FB"/>
    <w:rsid w:val="00EC144B"/>
    <w:rsid w:val="00EC1783"/>
    <w:rsid w:val="00EC1A39"/>
    <w:rsid w:val="00EC1C7F"/>
    <w:rsid w:val="00EC1E89"/>
    <w:rsid w:val="00EC22E1"/>
    <w:rsid w:val="00EC22F9"/>
    <w:rsid w:val="00EC2369"/>
    <w:rsid w:val="00EC23A2"/>
    <w:rsid w:val="00EC24A0"/>
    <w:rsid w:val="00EC24D8"/>
    <w:rsid w:val="00EC2552"/>
    <w:rsid w:val="00EC29AC"/>
    <w:rsid w:val="00EC29BB"/>
    <w:rsid w:val="00EC2BFF"/>
    <w:rsid w:val="00EC2E5C"/>
    <w:rsid w:val="00EC316B"/>
    <w:rsid w:val="00EC33E2"/>
    <w:rsid w:val="00EC34D9"/>
    <w:rsid w:val="00EC3570"/>
    <w:rsid w:val="00EC361C"/>
    <w:rsid w:val="00EC36FB"/>
    <w:rsid w:val="00EC39CF"/>
    <w:rsid w:val="00EC3B5B"/>
    <w:rsid w:val="00EC3B96"/>
    <w:rsid w:val="00EC3BE1"/>
    <w:rsid w:val="00EC47DB"/>
    <w:rsid w:val="00EC4B39"/>
    <w:rsid w:val="00EC4B4A"/>
    <w:rsid w:val="00EC4D56"/>
    <w:rsid w:val="00EC4E92"/>
    <w:rsid w:val="00EC4EBC"/>
    <w:rsid w:val="00EC4F39"/>
    <w:rsid w:val="00EC5085"/>
    <w:rsid w:val="00EC5133"/>
    <w:rsid w:val="00EC527B"/>
    <w:rsid w:val="00EC56CB"/>
    <w:rsid w:val="00EC57C3"/>
    <w:rsid w:val="00EC60F2"/>
    <w:rsid w:val="00EC6885"/>
    <w:rsid w:val="00EC6A9F"/>
    <w:rsid w:val="00EC6AA1"/>
    <w:rsid w:val="00EC6AE9"/>
    <w:rsid w:val="00EC6BBA"/>
    <w:rsid w:val="00EC6C8F"/>
    <w:rsid w:val="00EC6CA0"/>
    <w:rsid w:val="00EC6D04"/>
    <w:rsid w:val="00EC6D4E"/>
    <w:rsid w:val="00EC6F61"/>
    <w:rsid w:val="00EC7106"/>
    <w:rsid w:val="00EC728E"/>
    <w:rsid w:val="00EC7624"/>
    <w:rsid w:val="00EC77E6"/>
    <w:rsid w:val="00EC78C9"/>
    <w:rsid w:val="00EC790B"/>
    <w:rsid w:val="00EC7AD9"/>
    <w:rsid w:val="00EC7D1C"/>
    <w:rsid w:val="00EC7E1A"/>
    <w:rsid w:val="00ED06FC"/>
    <w:rsid w:val="00ED0824"/>
    <w:rsid w:val="00ED0DD6"/>
    <w:rsid w:val="00ED10F5"/>
    <w:rsid w:val="00ED1201"/>
    <w:rsid w:val="00ED1416"/>
    <w:rsid w:val="00ED1565"/>
    <w:rsid w:val="00ED15A7"/>
    <w:rsid w:val="00ED16CA"/>
    <w:rsid w:val="00ED170A"/>
    <w:rsid w:val="00ED1A0E"/>
    <w:rsid w:val="00ED1E07"/>
    <w:rsid w:val="00ED2A9A"/>
    <w:rsid w:val="00ED2ADF"/>
    <w:rsid w:val="00ED2DEF"/>
    <w:rsid w:val="00ED2E2E"/>
    <w:rsid w:val="00ED2EA4"/>
    <w:rsid w:val="00ED301B"/>
    <w:rsid w:val="00ED3292"/>
    <w:rsid w:val="00ED336B"/>
    <w:rsid w:val="00ED36A9"/>
    <w:rsid w:val="00ED3BED"/>
    <w:rsid w:val="00ED40FC"/>
    <w:rsid w:val="00ED4283"/>
    <w:rsid w:val="00ED44DA"/>
    <w:rsid w:val="00ED4602"/>
    <w:rsid w:val="00ED5DE6"/>
    <w:rsid w:val="00ED5EE4"/>
    <w:rsid w:val="00ED60AE"/>
    <w:rsid w:val="00ED6303"/>
    <w:rsid w:val="00ED6416"/>
    <w:rsid w:val="00ED68E7"/>
    <w:rsid w:val="00ED6DBE"/>
    <w:rsid w:val="00ED6F49"/>
    <w:rsid w:val="00ED741D"/>
    <w:rsid w:val="00ED75A9"/>
    <w:rsid w:val="00ED75AC"/>
    <w:rsid w:val="00ED762C"/>
    <w:rsid w:val="00ED7869"/>
    <w:rsid w:val="00ED7A63"/>
    <w:rsid w:val="00EE07F4"/>
    <w:rsid w:val="00EE0DBA"/>
    <w:rsid w:val="00EE1531"/>
    <w:rsid w:val="00EE19B3"/>
    <w:rsid w:val="00EE1B40"/>
    <w:rsid w:val="00EE1DB4"/>
    <w:rsid w:val="00EE20BA"/>
    <w:rsid w:val="00EE2494"/>
    <w:rsid w:val="00EE24A0"/>
    <w:rsid w:val="00EE26CC"/>
    <w:rsid w:val="00EE2A77"/>
    <w:rsid w:val="00EE2ADD"/>
    <w:rsid w:val="00EE2B43"/>
    <w:rsid w:val="00EE3CD5"/>
    <w:rsid w:val="00EE3F8A"/>
    <w:rsid w:val="00EE3FD3"/>
    <w:rsid w:val="00EE40C4"/>
    <w:rsid w:val="00EE40FA"/>
    <w:rsid w:val="00EE412B"/>
    <w:rsid w:val="00EE4255"/>
    <w:rsid w:val="00EE4354"/>
    <w:rsid w:val="00EE4499"/>
    <w:rsid w:val="00EE462A"/>
    <w:rsid w:val="00EE4CE1"/>
    <w:rsid w:val="00EE4F61"/>
    <w:rsid w:val="00EE5123"/>
    <w:rsid w:val="00EE51FB"/>
    <w:rsid w:val="00EE56F2"/>
    <w:rsid w:val="00EE598C"/>
    <w:rsid w:val="00EE59D1"/>
    <w:rsid w:val="00EE5D0E"/>
    <w:rsid w:val="00EE6267"/>
    <w:rsid w:val="00EE6C3D"/>
    <w:rsid w:val="00EE6C98"/>
    <w:rsid w:val="00EE7391"/>
    <w:rsid w:val="00EE741B"/>
    <w:rsid w:val="00EE751B"/>
    <w:rsid w:val="00EE783C"/>
    <w:rsid w:val="00EE7A65"/>
    <w:rsid w:val="00EE7E88"/>
    <w:rsid w:val="00EF02AF"/>
    <w:rsid w:val="00EF047A"/>
    <w:rsid w:val="00EF0490"/>
    <w:rsid w:val="00EF08B3"/>
    <w:rsid w:val="00EF08D7"/>
    <w:rsid w:val="00EF0C63"/>
    <w:rsid w:val="00EF0CDA"/>
    <w:rsid w:val="00EF0CDE"/>
    <w:rsid w:val="00EF1396"/>
    <w:rsid w:val="00EF13D8"/>
    <w:rsid w:val="00EF14AB"/>
    <w:rsid w:val="00EF16D2"/>
    <w:rsid w:val="00EF18C1"/>
    <w:rsid w:val="00EF18E7"/>
    <w:rsid w:val="00EF1E37"/>
    <w:rsid w:val="00EF22AF"/>
    <w:rsid w:val="00EF2947"/>
    <w:rsid w:val="00EF2D4D"/>
    <w:rsid w:val="00EF2F84"/>
    <w:rsid w:val="00EF3229"/>
    <w:rsid w:val="00EF3322"/>
    <w:rsid w:val="00EF369D"/>
    <w:rsid w:val="00EF39BF"/>
    <w:rsid w:val="00EF39FB"/>
    <w:rsid w:val="00EF3F7B"/>
    <w:rsid w:val="00EF454A"/>
    <w:rsid w:val="00EF470C"/>
    <w:rsid w:val="00EF48F9"/>
    <w:rsid w:val="00EF4ACB"/>
    <w:rsid w:val="00EF4E96"/>
    <w:rsid w:val="00EF4EEF"/>
    <w:rsid w:val="00EF5122"/>
    <w:rsid w:val="00EF5298"/>
    <w:rsid w:val="00EF5B4A"/>
    <w:rsid w:val="00EF5B88"/>
    <w:rsid w:val="00EF5B89"/>
    <w:rsid w:val="00EF5C48"/>
    <w:rsid w:val="00EF6178"/>
    <w:rsid w:val="00EF650C"/>
    <w:rsid w:val="00EF6578"/>
    <w:rsid w:val="00EF747C"/>
    <w:rsid w:val="00EF7A3A"/>
    <w:rsid w:val="00EF7AAC"/>
    <w:rsid w:val="00EF7AF2"/>
    <w:rsid w:val="00EF7E1F"/>
    <w:rsid w:val="00EF7ED7"/>
    <w:rsid w:val="00F0007E"/>
    <w:rsid w:val="00F0023C"/>
    <w:rsid w:val="00F00674"/>
    <w:rsid w:val="00F00EBB"/>
    <w:rsid w:val="00F00F41"/>
    <w:rsid w:val="00F01020"/>
    <w:rsid w:val="00F01596"/>
    <w:rsid w:val="00F01A3B"/>
    <w:rsid w:val="00F01CEE"/>
    <w:rsid w:val="00F020C5"/>
    <w:rsid w:val="00F02C65"/>
    <w:rsid w:val="00F02FF6"/>
    <w:rsid w:val="00F0304E"/>
    <w:rsid w:val="00F033B8"/>
    <w:rsid w:val="00F03635"/>
    <w:rsid w:val="00F036F4"/>
    <w:rsid w:val="00F0374A"/>
    <w:rsid w:val="00F03F97"/>
    <w:rsid w:val="00F0413B"/>
    <w:rsid w:val="00F0429C"/>
    <w:rsid w:val="00F043C3"/>
    <w:rsid w:val="00F04519"/>
    <w:rsid w:val="00F0455E"/>
    <w:rsid w:val="00F04ACA"/>
    <w:rsid w:val="00F04F55"/>
    <w:rsid w:val="00F04FB9"/>
    <w:rsid w:val="00F05134"/>
    <w:rsid w:val="00F059CD"/>
    <w:rsid w:val="00F05A01"/>
    <w:rsid w:val="00F05BF9"/>
    <w:rsid w:val="00F0600D"/>
    <w:rsid w:val="00F0609A"/>
    <w:rsid w:val="00F06499"/>
    <w:rsid w:val="00F06B2D"/>
    <w:rsid w:val="00F06C5E"/>
    <w:rsid w:val="00F06C7B"/>
    <w:rsid w:val="00F06D0C"/>
    <w:rsid w:val="00F06D22"/>
    <w:rsid w:val="00F06E93"/>
    <w:rsid w:val="00F070AD"/>
    <w:rsid w:val="00F07773"/>
    <w:rsid w:val="00F078BA"/>
    <w:rsid w:val="00F07C69"/>
    <w:rsid w:val="00F07E76"/>
    <w:rsid w:val="00F07F0A"/>
    <w:rsid w:val="00F1026C"/>
    <w:rsid w:val="00F10AC0"/>
    <w:rsid w:val="00F110E6"/>
    <w:rsid w:val="00F111DA"/>
    <w:rsid w:val="00F112C9"/>
    <w:rsid w:val="00F11319"/>
    <w:rsid w:val="00F11937"/>
    <w:rsid w:val="00F120AA"/>
    <w:rsid w:val="00F12112"/>
    <w:rsid w:val="00F1230D"/>
    <w:rsid w:val="00F1233F"/>
    <w:rsid w:val="00F1239E"/>
    <w:rsid w:val="00F1248E"/>
    <w:rsid w:val="00F12951"/>
    <w:rsid w:val="00F12D06"/>
    <w:rsid w:val="00F12EB2"/>
    <w:rsid w:val="00F1304C"/>
    <w:rsid w:val="00F13296"/>
    <w:rsid w:val="00F13455"/>
    <w:rsid w:val="00F13EEF"/>
    <w:rsid w:val="00F14319"/>
    <w:rsid w:val="00F144B6"/>
    <w:rsid w:val="00F145F4"/>
    <w:rsid w:val="00F146DB"/>
    <w:rsid w:val="00F147A9"/>
    <w:rsid w:val="00F1482C"/>
    <w:rsid w:val="00F14A5D"/>
    <w:rsid w:val="00F14BCE"/>
    <w:rsid w:val="00F14DD8"/>
    <w:rsid w:val="00F14DE1"/>
    <w:rsid w:val="00F15288"/>
    <w:rsid w:val="00F15FCC"/>
    <w:rsid w:val="00F161DC"/>
    <w:rsid w:val="00F16FDD"/>
    <w:rsid w:val="00F1711A"/>
    <w:rsid w:val="00F17139"/>
    <w:rsid w:val="00F1732C"/>
    <w:rsid w:val="00F17475"/>
    <w:rsid w:val="00F178B0"/>
    <w:rsid w:val="00F17A4D"/>
    <w:rsid w:val="00F17ADD"/>
    <w:rsid w:val="00F202E2"/>
    <w:rsid w:val="00F203F7"/>
    <w:rsid w:val="00F205FF"/>
    <w:rsid w:val="00F20725"/>
    <w:rsid w:val="00F20997"/>
    <w:rsid w:val="00F20AA6"/>
    <w:rsid w:val="00F20CEA"/>
    <w:rsid w:val="00F21042"/>
    <w:rsid w:val="00F210D7"/>
    <w:rsid w:val="00F2133E"/>
    <w:rsid w:val="00F213C8"/>
    <w:rsid w:val="00F214A0"/>
    <w:rsid w:val="00F21C49"/>
    <w:rsid w:val="00F21E77"/>
    <w:rsid w:val="00F21E9F"/>
    <w:rsid w:val="00F21FAC"/>
    <w:rsid w:val="00F220E7"/>
    <w:rsid w:val="00F22675"/>
    <w:rsid w:val="00F226D0"/>
    <w:rsid w:val="00F2295E"/>
    <w:rsid w:val="00F22C72"/>
    <w:rsid w:val="00F22D80"/>
    <w:rsid w:val="00F23038"/>
    <w:rsid w:val="00F23093"/>
    <w:rsid w:val="00F23362"/>
    <w:rsid w:val="00F233C9"/>
    <w:rsid w:val="00F23620"/>
    <w:rsid w:val="00F236A2"/>
    <w:rsid w:val="00F239C6"/>
    <w:rsid w:val="00F23E0E"/>
    <w:rsid w:val="00F23E16"/>
    <w:rsid w:val="00F23E29"/>
    <w:rsid w:val="00F23E75"/>
    <w:rsid w:val="00F24074"/>
    <w:rsid w:val="00F245D8"/>
    <w:rsid w:val="00F245F9"/>
    <w:rsid w:val="00F246DD"/>
    <w:rsid w:val="00F25233"/>
    <w:rsid w:val="00F2529A"/>
    <w:rsid w:val="00F25EB0"/>
    <w:rsid w:val="00F25ED5"/>
    <w:rsid w:val="00F25FE3"/>
    <w:rsid w:val="00F26024"/>
    <w:rsid w:val="00F26068"/>
    <w:rsid w:val="00F26D4E"/>
    <w:rsid w:val="00F271BA"/>
    <w:rsid w:val="00F27223"/>
    <w:rsid w:val="00F2777A"/>
    <w:rsid w:val="00F277D0"/>
    <w:rsid w:val="00F27C69"/>
    <w:rsid w:val="00F27F54"/>
    <w:rsid w:val="00F281AD"/>
    <w:rsid w:val="00F30129"/>
    <w:rsid w:val="00F30349"/>
    <w:rsid w:val="00F3041E"/>
    <w:rsid w:val="00F3082E"/>
    <w:rsid w:val="00F30A30"/>
    <w:rsid w:val="00F30C5D"/>
    <w:rsid w:val="00F30FCB"/>
    <w:rsid w:val="00F31158"/>
    <w:rsid w:val="00F31386"/>
    <w:rsid w:val="00F31805"/>
    <w:rsid w:val="00F31B4F"/>
    <w:rsid w:val="00F32357"/>
    <w:rsid w:val="00F323EB"/>
    <w:rsid w:val="00F3261C"/>
    <w:rsid w:val="00F3264E"/>
    <w:rsid w:val="00F32998"/>
    <w:rsid w:val="00F32CBE"/>
    <w:rsid w:val="00F3307E"/>
    <w:rsid w:val="00F33895"/>
    <w:rsid w:val="00F33D03"/>
    <w:rsid w:val="00F341E0"/>
    <w:rsid w:val="00F343C2"/>
    <w:rsid w:val="00F34ADE"/>
    <w:rsid w:val="00F34B51"/>
    <w:rsid w:val="00F34CB3"/>
    <w:rsid w:val="00F34FD5"/>
    <w:rsid w:val="00F3537E"/>
    <w:rsid w:val="00F35605"/>
    <w:rsid w:val="00F35664"/>
    <w:rsid w:val="00F358B3"/>
    <w:rsid w:val="00F35B53"/>
    <w:rsid w:val="00F35D1B"/>
    <w:rsid w:val="00F35D51"/>
    <w:rsid w:val="00F35E95"/>
    <w:rsid w:val="00F36014"/>
    <w:rsid w:val="00F3607C"/>
    <w:rsid w:val="00F36162"/>
    <w:rsid w:val="00F362AD"/>
    <w:rsid w:val="00F3649F"/>
    <w:rsid w:val="00F366E6"/>
    <w:rsid w:val="00F36E18"/>
    <w:rsid w:val="00F371EE"/>
    <w:rsid w:val="00F37962"/>
    <w:rsid w:val="00F37B03"/>
    <w:rsid w:val="00F37BC2"/>
    <w:rsid w:val="00F37CA0"/>
    <w:rsid w:val="00F37CA8"/>
    <w:rsid w:val="00F37E10"/>
    <w:rsid w:val="00F402C4"/>
    <w:rsid w:val="00F40518"/>
    <w:rsid w:val="00F4059D"/>
    <w:rsid w:val="00F40789"/>
    <w:rsid w:val="00F40A05"/>
    <w:rsid w:val="00F40BB0"/>
    <w:rsid w:val="00F40C4F"/>
    <w:rsid w:val="00F412C3"/>
    <w:rsid w:val="00F412E7"/>
    <w:rsid w:val="00F41583"/>
    <w:rsid w:val="00F41845"/>
    <w:rsid w:val="00F4193F"/>
    <w:rsid w:val="00F41B47"/>
    <w:rsid w:val="00F41CBD"/>
    <w:rsid w:val="00F42325"/>
    <w:rsid w:val="00F4277E"/>
    <w:rsid w:val="00F433D4"/>
    <w:rsid w:val="00F43864"/>
    <w:rsid w:val="00F43DAD"/>
    <w:rsid w:val="00F43E6E"/>
    <w:rsid w:val="00F43F80"/>
    <w:rsid w:val="00F44586"/>
    <w:rsid w:val="00F4458E"/>
    <w:rsid w:val="00F4467B"/>
    <w:rsid w:val="00F446C3"/>
    <w:rsid w:val="00F4476A"/>
    <w:rsid w:val="00F44AC4"/>
    <w:rsid w:val="00F44FB9"/>
    <w:rsid w:val="00F45063"/>
    <w:rsid w:val="00F45118"/>
    <w:rsid w:val="00F452D4"/>
    <w:rsid w:val="00F45845"/>
    <w:rsid w:val="00F45857"/>
    <w:rsid w:val="00F46007"/>
    <w:rsid w:val="00F4616F"/>
    <w:rsid w:val="00F4620A"/>
    <w:rsid w:val="00F46314"/>
    <w:rsid w:val="00F463FC"/>
    <w:rsid w:val="00F4641B"/>
    <w:rsid w:val="00F46436"/>
    <w:rsid w:val="00F464B4"/>
    <w:rsid w:val="00F4668D"/>
    <w:rsid w:val="00F47528"/>
    <w:rsid w:val="00F47875"/>
    <w:rsid w:val="00F47A71"/>
    <w:rsid w:val="00F47E9B"/>
    <w:rsid w:val="00F47ED0"/>
    <w:rsid w:val="00F50662"/>
    <w:rsid w:val="00F5072B"/>
    <w:rsid w:val="00F50B11"/>
    <w:rsid w:val="00F50C37"/>
    <w:rsid w:val="00F50D5F"/>
    <w:rsid w:val="00F50FAF"/>
    <w:rsid w:val="00F5132D"/>
    <w:rsid w:val="00F513EB"/>
    <w:rsid w:val="00F5143E"/>
    <w:rsid w:val="00F51484"/>
    <w:rsid w:val="00F51537"/>
    <w:rsid w:val="00F516D4"/>
    <w:rsid w:val="00F51A2E"/>
    <w:rsid w:val="00F51D81"/>
    <w:rsid w:val="00F51ED4"/>
    <w:rsid w:val="00F51ED8"/>
    <w:rsid w:val="00F51F09"/>
    <w:rsid w:val="00F5236B"/>
    <w:rsid w:val="00F524D0"/>
    <w:rsid w:val="00F5252A"/>
    <w:rsid w:val="00F52D49"/>
    <w:rsid w:val="00F52FE5"/>
    <w:rsid w:val="00F531E5"/>
    <w:rsid w:val="00F5340F"/>
    <w:rsid w:val="00F538F2"/>
    <w:rsid w:val="00F53AB2"/>
    <w:rsid w:val="00F5419A"/>
    <w:rsid w:val="00F54218"/>
    <w:rsid w:val="00F54266"/>
    <w:rsid w:val="00F5431E"/>
    <w:rsid w:val="00F54436"/>
    <w:rsid w:val="00F54502"/>
    <w:rsid w:val="00F54569"/>
    <w:rsid w:val="00F54639"/>
    <w:rsid w:val="00F54AD1"/>
    <w:rsid w:val="00F54C88"/>
    <w:rsid w:val="00F54E18"/>
    <w:rsid w:val="00F552D2"/>
    <w:rsid w:val="00F5561E"/>
    <w:rsid w:val="00F5594B"/>
    <w:rsid w:val="00F55B93"/>
    <w:rsid w:val="00F55BF0"/>
    <w:rsid w:val="00F55DF5"/>
    <w:rsid w:val="00F5647C"/>
    <w:rsid w:val="00F56667"/>
    <w:rsid w:val="00F5679F"/>
    <w:rsid w:val="00F569EA"/>
    <w:rsid w:val="00F56C83"/>
    <w:rsid w:val="00F56E0F"/>
    <w:rsid w:val="00F56F3E"/>
    <w:rsid w:val="00F57004"/>
    <w:rsid w:val="00F574D2"/>
    <w:rsid w:val="00F57584"/>
    <w:rsid w:val="00F575A9"/>
    <w:rsid w:val="00F5767C"/>
    <w:rsid w:val="00F57BCA"/>
    <w:rsid w:val="00F57EF5"/>
    <w:rsid w:val="00F60074"/>
    <w:rsid w:val="00F600D9"/>
    <w:rsid w:val="00F60106"/>
    <w:rsid w:val="00F60415"/>
    <w:rsid w:val="00F60513"/>
    <w:rsid w:val="00F60C83"/>
    <w:rsid w:val="00F60D6A"/>
    <w:rsid w:val="00F60F15"/>
    <w:rsid w:val="00F6110A"/>
    <w:rsid w:val="00F61893"/>
    <w:rsid w:val="00F61DC9"/>
    <w:rsid w:val="00F6239C"/>
    <w:rsid w:val="00F6263E"/>
    <w:rsid w:val="00F62708"/>
    <w:rsid w:val="00F62827"/>
    <w:rsid w:val="00F62F20"/>
    <w:rsid w:val="00F63071"/>
    <w:rsid w:val="00F635C6"/>
    <w:rsid w:val="00F63C1C"/>
    <w:rsid w:val="00F64517"/>
    <w:rsid w:val="00F6460E"/>
    <w:rsid w:val="00F646DE"/>
    <w:rsid w:val="00F648D4"/>
    <w:rsid w:val="00F64CB4"/>
    <w:rsid w:val="00F64CCC"/>
    <w:rsid w:val="00F64DC4"/>
    <w:rsid w:val="00F64E3E"/>
    <w:rsid w:val="00F65114"/>
    <w:rsid w:val="00F652AD"/>
    <w:rsid w:val="00F653AD"/>
    <w:rsid w:val="00F654CD"/>
    <w:rsid w:val="00F6554C"/>
    <w:rsid w:val="00F6560C"/>
    <w:rsid w:val="00F65774"/>
    <w:rsid w:val="00F65889"/>
    <w:rsid w:val="00F65975"/>
    <w:rsid w:val="00F65A25"/>
    <w:rsid w:val="00F65B2A"/>
    <w:rsid w:val="00F65C67"/>
    <w:rsid w:val="00F65FDC"/>
    <w:rsid w:val="00F66170"/>
    <w:rsid w:val="00F66399"/>
    <w:rsid w:val="00F66559"/>
    <w:rsid w:val="00F66BEC"/>
    <w:rsid w:val="00F67192"/>
    <w:rsid w:val="00F672A1"/>
    <w:rsid w:val="00F674FE"/>
    <w:rsid w:val="00F67719"/>
    <w:rsid w:val="00F67B39"/>
    <w:rsid w:val="00F67BF1"/>
    <w:rsid w:val="00F67C62"/>
    <w:rsid w:val="00F67E08"/>
    <w:rsid w:val="00F67F32"/>
    <w:rsid w:val="00F7040F"/>
    <w:rsid w:val="00F70773"/>
    <w:rsid w:val="00F70F2E"/>
    <w:rsid w:val="00F7103B"/>
    <w:rsid w:val="00F711CF"/>
    <w:rsid w:val="00F715A4"/>
    <w:rsid w:val="00F7163E"/>
    <w:rsid w:val="00F71C05"/>
    <w:rsid w:val="00F71D99"/>
    <w:rsid w:val="00F71DE1"/>
    <w:rsid w:val="00F72398"/>
    <w:rsid w:val="00F7286F"/>
    <w:rsid w:val="00F728A3"/>
    <w:rsid w:val="00F729CF"/>
    <w:rsid w:val="00F73784"/>
    <w:rsid w:val="00F73B21"/>
    <w:rsid w:val="00F73B55"/>
    <w:rsid w:val="00F73C52"/>
    <w:rsid w:val="00F740A6"/>
    <w:rsid w:val="00F7425A"/>
    <w:rsid w:val="00F74552"/>
    <w:rsid w:val="00F747B9"/>
    <w:rsid w:val="00F74CC9"/>
    <w:rsid w:val="00F74CFC"/>
    <w:rsid w:val="00F75132"/>
    <w:rsid w:val="00F753E4"/>
    <w:rsid w:val="00F7553E"/>
    <w:rsid w:val="00F75886"/>
    <w:rsid w:val="00F759B5"/>
    <w:rsid w:val="00F75B84"/>
    <w:rsid w:val="00F75CBE"/>
    <w:rsid w:val="00F76083"/>
    <w:rsid w:val="00F7616F"/>
    <w:rsid w:val="00F7617D"/>
    <w:rsid w:val="00F76488"/>
    <w:rsid w:val="00F765BA"/>
    <w:rsid w:val="00F7664F"/>
    <w:rsid w:val="00F76965"/>
    <w:rsid w:val="00F76BD7"/>
    <w:rsid w:val="00F76C30"/>
    <w:rsid w:val="00F76DCE"/>
    <w:rsid w:val="00F76E1D"/>
    <w:rsid w:val="00F76F88"/>
    <w:rsid w:val="00F77106"/>
    <w:rsid w:val="00F77222"/>
    <w:rsid w:val="00F7759C"/>
    <w:rsid w:val="00F77734"/>
    <w:rsid w:val="00F77970"/>
    <w:rsid w:val="00F77B22"/>
    <w:rsid w:val="00F77E1E"/>
    <w:rsid w:val="00F802D8"/>
    <w:rsid w:val="00F80366"/>
    <w:rsid w:val="00F809FD"/>
    <w:rsid w:val="00F8107F"/>
    <w:rsid w:val="00F813CA"/>
    <w:rsid w:val="00F817A3"/>
    <w:rsid w:val="00F8184D"/>
    <w:rsid w:val="00F8186D"/>
    <w:rsid w:val="00F818E3"/>
    <w:rsid w:val="00F81B0D"/>
    <w:rsid w:val="00F81B29"/>
    <w:rsid w:val="00F81BBF"/>
    <w:rsid w:val="00F8256E"/>
    <w:rsid w:val="00F82689"/>
    <w:rsid w:val="00F82766"/>
    <w:rsid w:val="00F82A3E"/>
    <w:rsid w:val="00F82B4D"/>
    <w:rsid w:val="00F82C11"/>
    <w:rsid w:val="00F831FC"/>
    <w:rsid w:val="00F83553"/>
    <w:rsid w:val="00F835FA"/>
    <w:rsid w:val="00F837EF"/>
    <w:rsid w:val="00F8388B"/>
    <w:rsid w:val="00F83E1A"/>
    <w:rsid w:val="00F83E8C"/>
    <w:rsid w:val="00F84034"/>
    <w:rsid w:val="00F843C4"/>
    <w:rsid w:val="00F843CC"/>
    <w:rsid w:val="00F8459D"/>
    <w:rsid w:val="00F846C2"/>
    <w:rsid w:val="00F847D6"/>
    <w:rsid w:val="00F852B0"/>
    <w:rsid w:val="00F852B2"/>
    <w:rsid w:val="00F854E1"/>
    <w:rsid w:val="00F85763"/>
    <w:rsid w:val="00F85B48"/>
    <w:rsid w:val="00F85B73"/>
    <w:rsid w:val="00F861AE"/>
    <w:rsid w:val="00F86239"/>
    <w:rsid w:val="00F862DF"/>
    <w:rsid w:val="00F86CC7"/>
    <w:rsid w:val="00F86F0A"/>
    <w:rsid w:val="00F87178"/>
    <w:rsid w:val="00F871D7"/>
    <w:rsid w:val="00F8756E"/>
    <w:rsid w:val="00F87D32"/>
    <w:rsid w:val="00F87F4A"/>
    <w:rsid w:val="00F87FB6"/>
    <w:rsid w:val="00F87FCF"/>
    <w:rsid w:val="00F90098"/>
    <w:rsid w:val="00F90591"/>
    <w:rsid w:val="00F906BF"/>
    <w:rsid w:val="00F90768"/>
    <w:rsid w:val="00F90FDD"/>
    <w:rsid w:val="00F91032"/>
    <w:rsid w:val="00F9132F"/>
    <w:rsid w:val="00F915A4"/>
    <w:rsid w:val="00F91618"/>
    <w:rsid w:val="00F91899"/>
    <w:rsid w:val="00F91AF8"/>
    <w:rsid w:val="00F91BAE"/>
    <w:rsid w:val="00F91C2A"/>
    <w:rsid w:val="00F91D0B"/>
    <w:rsid w:val="00F91EF1"/>
    <w:rsid w:val="00F9205E"/>
    <w:rsid w:val="00F921C2"/>
    <w:rsid w:val="00F926D9"/>
    <w:rsid w:val="00F9271D"/>
    <w:rsid w:val="00F92E72"/>
    <w:rsid w:val="00F92FA5"/>
    <w:rsid w:val="00F931F5"/>
    <w:rsid w:val="00F932AD"/>
    <w:rsid w:val="00F93461"/>
    <w:rsid w:val="00F934AD"/>
    <w:rsid w:val="00F935BD"/>
    <w:rsid w:val="00F935DF"/>
    <w:rsid w:val="00F93874"/>
    <w:rsid w:val="00F939BE"/>
    <w:rsid w:val="00F93B5A"/>
    <w:rsid w:val="00F93C11"/>
    <w:rsid w:val="00F93C6A"/>
    <w:rsid w:val="00F93DF5"/>
    <w:rsid w:val="00F94024"/>
    <w:rsid w:val="00F9413F"/>
    <w:rsid w:val="00F9425F"/>
    <w:rsid w:val="00F943D7"/>
    <w:rsid w:val="00F94830"/>
    <w:rsid w:val="00F94924"/>
    <w:rsid w:val="00F94C0D"/>
    <w:rsid w:val="00F9571B"/>
    <w:rsid w:val="00F95B06"/>
    <w:rsid w:val="00F96133"/>
    <w:rsid w:val="00F9655F"/>
    <w:rsid w:val="00F96609"/>
    <w:rsid w:val="00F96889"/>
    <w:rsid w:val="00F968E6"/>
    <w:rsid w:val="00F968F7"/>
    <w:rsid w:val="00F96BF7"/>
    <w:rsid w:val="00F96D5A"/>
    <w:rsid w:val="00F96FE5"/>
    <w:rsid w:val="00F971B2"/>
    <w:rsid w:val="00F973E9"/>
    <w:rsid w:val="00F975B3"/>
    <w:rsid w:val="00F97760"/>
    <w:rsid w:val="00F97954"/>
    <w:rsid w:val="00F979ED"/>
    <w:rsid w:val="00F97B7E"/>
    <w:rsid w:val="00F97C10"/>
    <w:rsid w:val="00F97EC1"/>
    <w:rsid w:val="00FA008F"/>
    <w:rsid w:val="00FA00AE"/>
    <w:rsid w:val="00FA0352"/>
    <w:rsid w:val="00FA0620"/>
    <w:rsid w:val="00FA0717"/>
    <w:rsid w:val="00FA0A23"/>
    <w:rsid w:val="00FA0BFF"/>
    <w:rsid w:val="00FA0C43"/>
    <w:rsid w:val="00FA0D73"/>
    <w:rsid w:val="00FA1DD6"/>
    <w:rsid w:val="00FA22AD"/>
    <w:rsid w:val="00FA2321"/>
    <w:rsid w:val="00FA25A5"/>
    <w:rsid w:val="00FA2946"/>
    <w:rsid w:val="00FA2BB6"/>
    <w:rsid w:val="00FA2FB6"/>
    <w:rsid w:val="00FA2FEB"/>
    <w:rsid w:val="00FA3251"/>
    <w:rsid w:val="00FA3611"/>
    <w:rsid w:val="00FA3BF9"/>
    <w:rsid w:val="00FA3CD8"/>
    <w:rsid w:val="00FA410B"/>
    <w:rsid w:val="00FA4226"/>
    <w:rsid w:val="00FA470B"/>
    <w:rsid w:val="00FA48FD"/>
    <w:rsid w:val="00FA4EA7"/>
    <w:rsid w:val="00FA51E0"/>
    <w:rsid w:val="00FA5904"/>
    <w:rsid w:val="00FA591F"/>
    <w:rsid w:val="00FA5F45"/>
    <w:rsid w:val="00FA614D"/>
    <w:rsid w:val="00FA61EE"/>
    <w:rsid w:val="00FA6309"/>
    <w:rsid w:val="00FA6319"/>
    <w:rsid w:val="00FA65D2"/>
    <w:rsid w:val="00FA69F6"/>
    <w:rsid w:val="00FA6A8B"/>
    <w:rsid w:val="00FA6BAD"/>
    <w:rsid w:val="00FA6E73"/>
    <w:rsid w:val="00FA6FD6"/>
    <w:rsid w:val="00FA7175"/>
    <w:rsid w:val="00FA7304"/>
    <w:rsid w:val="00FA7828"/>
    <w:rsid w:val="00FA7B28"/>
    <w:rsid w:val="00FB080C"/>
    <w:rsid w:val="00FB0F2E"/>
    <w:rsid w:val="00FB1155"/>
    <w:rsid w:val="00FB1317"/>
    <w:rsid w:val="00FB14CA"/>
    <w:rsid w:val="00FB1E00"/>
    <w:rsid w:val="00FB2038"/>
    <w:rsid w:val="00FB2176"/>
    <w:rsid w:val="00FB22CF"/>
    <w:rsid w:val="00FB2461"/>
    <w:rsid w:val="00FB257D"/>
    <w:rsid w:val="00FB2A09"/>
    <w:rsid w:val="00FB2CF9"/>
    <w:rsid w:val="00FB32FD"/>
    <w:rsid w:val="00FB3752"/>
    <w:rsid w:val="00FB3E31"/>
    <w:rsid w:val="00FB403B"/>
    <w:rsid w:val="00FB43E6"/>
    <w:rsid w:val="00FB46DD"/>
    <w:rsid w:val="00FB48D4"/>
    <w:rsid w:val="00FB4916"/>
    <w:rsid w:val="00FB4A0F"/>
    <w:rsid w:val="00FB4EE9"/>
    <w:rsid w:val="00FB4EF7"/>
    <w:rsid w:val="00FB4F31"/>
    <w:rsid w:val="00FB522C"/>
    <w:rsid w:val="00FB5BD4"/>
    <w:rsid w:val="00FB6007"/>
    <w:rsid w:val="00FB620D"/>
    <w:rsid w:val="00FB6334"/>
    <w:rsid w:val="00FB637F"/>
    <w:rsid w:val="00FB64CB"/>
    <w:rsid w:val="00FB656A"/>
    <w:rsid w:val="00FB6E8C"/>
    <w:rsid w:val="00FB7019"/>
    <w:rsid w:val="00FB7143"/>
    <w:rsid w:val="00FB71C9"/>
    <w:rsid w:val="00FB7382"/>
    <w:rsid w:val="00FB7EBA"/>
    <w:rsid w:val="00FB7F58"/>
    <w:rsid w:val="00FBF61A"/>
    <w:rsid w:val="00FC0961"/>
    <w:rsid w:val="00FC0B75"/>
    <w:rsid w:val="00FC0F14"/>
    <w:rsid w:val="00FC0F1B"/>
    <w:rsid w:val="00FC12EB"/>
    <w:rsid w:val="00FC1442"/>
    <w:rsid w:val="00FC1A5C"/>
    <w:rsid w:val="00FC1F92"/>
    <w:rsid w:val="00FC201A"/>
    <w:rsid w:val="00FC2705"/>
    <w:rsid w:val="00FC2A05"/>
    <w:rsid w:val="00FC2C5E"/>
    <w:rsid w:val="00FC33ED"/>
    <w:rsid w:val="00FC38D8"/>
    <w:rsid w:val="00FC398D"/>
    <w:rsid w:val="00FC3ACB"/>
    <w:rsid w:val="00FC3BBA"/>
    <w:rsid w:val="00FC400D"/>
    <w:rsid w:val="00FC4217"/>
    <w:rsid w:val="00FC43B5"/>
    <w:rsid w:val="00FC47DF"/>
    <w:rsid w:val="00FC4A54"/>
    <w:rsid w:val="00FC4B9E"/>
    <w:rsid w:val="00FC4CC1"/>
    <w:rsid w:val="00FC4CCC"/>
    <w:rsid w:val="00FC4D38"/>
    <w:rsid w:val="00FC519A"/>
    <w:rsid w:val="00FC522B"/>
    <w:rsid w:val="00FC54D2"/>
    <w:rsid w:val="00FC5528"/>
    <w:rsid w:val="00FC57BD"/>
    <w:rsid w:val="00FC5943"/>
    <w:rsid w:val="00FC5B4B"/>
    <w:rsid w:val="00FC5C2E"/>
    <w:rsid w:val="00FC5E3D"/>
    <w:rsid w:val="00FC5E45"/>
    <w:rsid w:val="00FC5E6B"/>
    <w:rsid w:val="00FC61F2"/>
    <w:rsid w:val="00FC643F"/>
    <w:rsid w:val="00FC655E"/>
    <w:rsid w:val="00FC656F"/>
    <w:rsid w:val="00FC65D3"/>
    <w:rsid w:val="00FC65DF"/>
    <w:rsid w:val="00FC672B"/>
    <w:rsid w:val="00FC6921"/>
    <w:rsid w:val="00FC6A5C"/>
    <w:rsid w:val="00FC6AE8"/>
    <w:rsid w:val="00FC71C3"/>
    <w:rsid w:val="00FC7649"/>
    <w:rsid w:val="00FC7F7B"/>
    <w:rsid w:val="00FD0018"/>
    <w:rsid w:val="00FD02C9"/>
    <w:rsid w:val="00FD03EE"/>
    <w:rsid w:val="00FD04B6"/>
    <w:rsid w:val="00FD0912"/>
    <w:rsid w:val="00FD0A30"/>
    <w:rsid w:val="00FD0B0A"/>
    <w:rsid w:val="00FD0C72"/>
    <w:rsid w:val="00FD0F60"/>
    <w:rsid w:val="00FD102E"/>
    <w:rsid w:val="00FD11DD"/>
    <w:rsid w:val="00FD11F6"/>
    <w:rsid w:val="00FD1375"/>
    <w:rsid w:val="00FD174B"/>
    <w:rsid w:val="00FD1861"/>
    <w:rsid w:val="00FD1A80"/>
    <w:rsid w:val="00FD1CBA"/>
    <w:rsid w:val="00FD1D57"/>
    <w:rsid w:val="00FD21F4"/>
    <w:rsid w:val="00FD2302"/>
    <w:rsid w:val="00FD2325"/>
    <w:rsid w:val="00FD234A"/>
    <w:rsid w:val="00FD2591"/>
    <w:rsid w:val="00FD26D4"/>
    <w:rsid w:val="00FD27B9"/>
    <w:rsid w:val="00FD2944"/>
    <w:rsid w:val="00FD2F76"/>
    <w:rsid w:val="00FD31F1"/>
    <w:rsid w:val="00FD32DA"/>
    <w:rsid w:val="00FD32F3"/>
    <w:rsid w:val="00FD341E"/>
    <w:rsid w:val="00FD389A"/>
    <w:rsid w:val="00FD3903"/>
    <w:rsid w:val="00FD3D90"/>
    <w:rsid w:val="00FD3DF6"/>
    <w:rsid w:val="00FD3E6B"/>
    <w:rsid w:val="00FD3F3D"/>
    <w:rsid w:val="00FD3FC2"/>
    <w:rsid w:val="00FD4170"/>
    <w:rsid w:val="00FD419F"/>
    <w:rsid w:val="00FD421E"/>
    <w:rsid w:val="00FD48C5"/>
    <w:rsid w:val="00FD4A4D"/>
    <w:rsid w:val="00FD4B64"/>
    <w:rsid w:val="00FD4C20"/>
    <w:rsid w:val="00FD4E62"/>
    <w:rsid w:val="00FD59BF"/>
    <w:rsid w:val="00FD5E4F"/>
    <w:rsid w:val="00FD5F36"/>
    <w:rsid w:val="00FD6BE4"/>
    <w:rsid w:val="00FD6E32"/>
    <w:rsid w:val="00FD7068"/>
    <w:rsid w:val="00FD7079"/>
    <w:rsid w:val="00FD72D9"/>
    <w:rsid w:val="00FD769E"/>
    <w:rsid w:val="00FD7A9C"/>
    <w:rsid w:val="00FD7C71"/>
    <w:rsid w:val="00FE018C"/>
    <w:rsid w:val="00FE0431"/>
    <w:rsid w:val="00FE10F3"/>
    <w:rsid w:val="00FE1279"/>
    <w:rsid w:val="00FE12E2"/>
    <w:rsid w:val="00FE1E64"/>
    <w:rsid w:val="00FE27C2"/>
    <w:rsid w:val="00FE289F"/>
    <w:rsid w:val="00FE28A4"/>
    <w:rsid w:val="00FE292E"/>
    <w:rsid w:val="00FE2A9F"/>
    <w:rsid w:val="00FE2C1C"/>
    <w:rsid w:val="00FE2F0A"/>
    <w:rsid w:val="00FE31F7"/>
    <w:rsid w:val="00FE3618"/>
    <w:rsid w:val="00FE36F8"/>
    <w:rsid w:val="00FE3BDF"/>
    <w:rsid w:val="00FE3D1E"/>
    <w:rsid w:val="00FE3F22"/>
    <w:rsid w:val="00FE44C2"/>
    <w:rsid w:val="00FE44E0"/>
    <w:rsid w:val="00FE46A9"/>
    <w:rsid w:val="00FE477A"/>
    <w:rsid w:val="00FE4789"/>
    <w:rsid w:val="00FE4853"/>
    <w:rsid w:val="00FE48B7"/>
    <w:rsid w:val="00FE4B1F"/>
    <w:rsid w:val="00FE4D3A"/>
    <w:rsid w:val="00FE4DAA"/>
    <w:rsid w:val="00FE4F91"/>
    <w:rsid w:val="00FE5000"/>
    <w:rsid w:val="00FE5230"/>
    <w:rsid w:val="00FE55A5"/>
    <w:rsid w:val="00FE589F"/>
    <w:rsid w:val="00FE5B46"/>
    <w:rsid w:val="00FE5D03"/>
    <w:rsid w:val="00FE5E2D"/>
    <w:rsid w:val="00FE5EC3"/>
    <w:rsid w:val="00FE5F36"/>
    <w:rsid w:val="00FE6119"/>
    <w:rsid w:val="00FE6560"/>
    <w:rsid w:val="00FE65AB"/>
    <w:rsid w:val="00FE65FA"/>
    <w:rsid w:val="00FE69DF"/>
    <w:rsid w:val="00FE6ACE"/>
    <w:rsid w:val="00FE6D6A"/>
    <w:rsid w:val="00FE71D2"/>
    <w:rsid w:val="00FE7666"/>
    <w:rsid w:val="00FF012F"/>
    <w:rsid w:val="00FF030D"/>
    <w:rsid w:val="00FF07A6"/>
    <w:rsid w:val="00FF0968"/>
    <w:rsid w:val="00FF0A01"/>
    <w:rsid w:val="00FF1015"/>
    <w:rsid w:val="00FF144C"/>
    <w:rsid w:val="00FF1645"/>
    <w:rsid w:val="00FF165C"/>
    <w:rsid w:val="00FF167A"/>
    <w:rsid w:val="00FF1688"/>
    <w:rsid w:val="00FF1988"/>
    <w:rsid w:val="00FF1BFD"/>
    <w:rsid w:val="00FF1CD6"/>
    <w:rsid w:val="00FF1F48"/>
    <w:rsid w:val="00FF2039"/>
    <w:rsid w:val="00FF203F"/>
    <w:rsid w:val="00FF208F"/>
    <w:rsid w:val="00FF219A"/>
    <w:rsid w:val="00FF2239"/>
    <w:rsid w:val="00FF284E"/>
    <w:rsid w:val="00FF2A10"/>
    <w:rsid w:val="00FF2D7E"/>
    <w:rsid w:val="00FF3253"/>
    <w:rsid w:val="00FF3E11"/>
    <w:rsid w:val="00FF3EAA"/>
    <w:rsid w:val="00FF405A"/>
    <w:rsid w:val="00FF4535"/>
    <w:rsid w:val="00FF46AA"/>
    <w:rsid w:val="00FF47F8"/>
    <w:rsid w:val="00FF49FC"/>
    <w:rsid w:val="00FF4B88"/>
    <w:rsid w:val="00FF4F74"/>
    <w:rsid w:val="00FF54C3"/>
    <w:rsid w:val="00FF54F3"/>
    <w:rsid w:val="00FF557B"/>
    <w:rsid w:val="00FF5796"/>
    <w:rsid w:val="00FF57A7"/>
    <w:rsid w:val="00FF57B7"/>
    <w:rsid w:val="00FF591D"/>
    <w:rsid w:val="00FF5E04"/>
    <w:rsid w:val="00FF60BD"/>
    <w:rsid w:val="00FF61DE"/>
    <w:rsid w:val="00FF665A"/>
    <w:rsid w:val="00FF6E25"/>
    <w:rsid w:val="00FF6FD2"/>
    <w:rsid w:val="00FF7184"/>
    <w:rsid w:val="00FF71C3"/>
    <w:rsid w:val="00FF7380"/>
    <w:rsid w:val="00FF73DA"/>
    <w:rsid w:val="00FF7718"/>
    <w:rsid w:val="00FF787E"/>
    <w:rsid w:val="00FF7BE6"/>
    <w:rsid w:val="00FF7C6A"/>
    <w:rsid w:val="00FF7D6C"/>
    <w:rsid w:val="0107D1CF"/>
    <w:rsid w:val="010C22E4"/>
    <w:rsid w:val="010C862C"/>
    <w:rsid w:val="010F7589"/>
    <w:rsid w:val="0110BED4"/>
    <w:rsid w:val="011E4B83"/>
    <w:rsid w:val="0120FA2C"/>
    <w:rsid w:val="0128E133"/>
    <w:rsid w:val="012F067B"/>
    <w:rsid w:val="01504DA4"/>
    <w:rsid w:val="0152290F"/>
    <w:rsid w:val="01595522"/>
    <w:rsid w:val="016763D6"/>
    <w:rsid w:val="01682BBC"/>
    <w:rsid w:val="0186847B"/>
    <w:rsid w:val="019524DE"/>
    <w:rsid w:val="01A07898"/>
    <w:rsid w:val="01ADD2E7"/>
    <w:rsid w:val="01AE5102"/>
    <w:rsid w:val="01CB1FC3"/>
    <w:rsid w:val="01CD6124"/>
    <w:rsid w:val="01D9DC1C"/>
    <w:rsid w:val="01F5EBE0"/>
    <w:rsid w:val="01FD8B34"/>
    <w:rsid w:val="01FF083D"/>
    <w:rsid w:val="02067AB6"/>
    <w:rsid w:val="021041D9"/>
    <w:rsid w:val="02214F38"/>
    <w:rsid w:val="02261654"/>
    <w:rsid w:val="0230CBF5"/>
    <w:rsid w:val="024B3943"/>
    <w:rsid w:val="02593A36"/>
    <w:rsid w:val="025C812A"/>
    <w:rsid w:val="025E2DE9"/>
    <w:rsid w:val="026D48C9"/>
    <w:rsid w:val="02715615"/>
    <w:rsid w:val="027751AF"/>
    <w:rsid w:val="0284F5C0"/>
    <w:rsid w:val="0286921B"/>
    <w:rsid w:val="028967B3"/>
    <w:rsid w:val="0290F089"/>
    <w:rsid w:val="02A3EAC5"/>
    <w:rsid w:val="02AE7E14"/>
    <w:rsid w:val="02AECB9C"/>
    <w:rsid w:val="02BCCA8D"/>
    <w:rsid w:val="02C0676D"/>
    <w:rsid w:val="02C5AF12"/>
    <w:rsid w:val="02C8AF44"/>
    <w:rsid w:val="02CC652C"/>
    <w:rsid w:val="02CF6F4E"/>
    <w:rsid w:val="02D16EA0"/>
    <w:rsid w:val="02E1A49B"/>
    <w:rsid w:val="02E917D1"/>
    <w:rsid w:val="02F7F808"/>
    <w:rsid w:val="030A6395"/>
    <w:rsid w:val="03124960"/>
    <w:rsid w:val="031E9891"/>
    <w:rsid w:val="031F7A4E"/>
    <w:rsid w:val="03387095"/>
    <w:rsid w:val="034296B6"/>
    <w:rsid w:val="0342E0D8"/>
    <w:rsid w:val="0343A04C"/>
    <w:rsid w:val="035883FF"/>
    <w:rsid w:val="03676E6B"/>
    <w:rsid w:val="036CD79C"/>
    <w:rsid w:val="0375E688"/>
    <w:rsid w:val="037A923D"/>
    <w:rsid w:val="037FBCF5"/>
    <w:rsid w:val="0395B5DB"/>
    <w:rsid w:val="03AEBDC1"/>
    <w:rsid w:val="03B062E4"/>
    <w:rsid w:val="03B404BE"/>
    <w:rsid w:val="03BEBF09"/>
    <w:rsid w:val="03C643C4"/>
    <w:rsid w:val="03C8080F"/>
    <w:rsid w:val="03CE7A3F"/>
    <w:rsid w:val="03D373F0"/>
    <w:rsid w:val="03DCA8E6"/>
    <w:rsid w:val="03F8D5B5"/>
    <w:rsid w:val="03F8E3A6"/>
    <w:rsid w:val="040E3B66"/>
    <w:rsid w:val="0415E43E"/>
    <w:rsid w:val="041663E5"/>
    <w:rsid w:val="0428128A"/>
    <w:rsid w:val="04427E9A"/>
    <w:rsid w:val="0456E6A1"/>
    <w:rsid w:val="04594FE9"/>
    <w:rsid w:val="046B94FB"/>
    <w:rsid w:val="047FFD7B"/>
    <w:rsid w:val="0489D9E2"/>
    <w:rsid w:val="048EC577"/>
    <w:rsid w:val="049B3D89"/>
    <w:rsid w:val="04A948EB"/>
    <w:rsid w:val="04C2933A"/>
    <w:rsid w:val="04C34BA4"/>
    <w:rsid w:val="04D3492F"/>
    <w:rsid w:val="04D3696B"/>
    <w:rsid w:val="04D503C4"/>
    <w:rsid w:val="04DACAA6"/>
    <w:rsid w:val="04EC4FF7"/>
    <w:rsid w:val="04F208AB"/>
    <w:rsid w:val="04F78D99"/>
    <w:rsid w:val="0505C0F4"/>
    <w:rsid w:val="0518FFD3"/>
    <w:rsid w:val="0521C365"/>
    <w:rsid w:val="0528023A"/>
    <w:rsid w:val="053DA845"/>
    <w:rsid w:val="053E2F2E"/>
    <w:rsid w:val="0544EE97"/>
    <w:rsid w:val="0545AAC9"/>
    <w:rsid w:val="0547E3D6"/>
    <w:rsid w:val="0549B58D"/>
    <w:rsid w:val="054B3017"/>
    <w:rsid w:val="056BB4BB"/>
    <w:rsid w:val="056ED4A7"/>
    <w:rsid w:val="05793D5F"/>
    <w:rsid w:val="057BADDC"/>
    <w:rsid w:val="057F25AA"/>
    <w:rsid w:val="059686B6"/>
    <w:rsid w:val="059E100E"/>
    <w:rsid w:val="05A1DEF3"/>
    <w:rsid w:val="05A49967"/>
    <w:rsid w:val="05A4EF04"/>
    <w:rsid w:val="05A8936A"/>
    <w:rsid w:val="05BD640E"/>
    <w:rsid w:val="05C28EA0"/>
    <w:rsid w:val="05C426B9"/>
    <w:rsid w:val="05CF579E"/>
    <w:rsid w:val="05DCB2E6"/>
    <w:rsid w:val="05EA6DCD"/>
    <w:rsid w:val="05EE9C1D"/>
    <w:rsid w:val="05F6D915"/>
    <w:rsid w:val="0605CB07"/>
    <w:rsid w:val="0611A8DF"/>
    <w:rsid w:val="0613E577"/>
    <w:rsid w:val="061B7DC5"/>
    <w:rsid w:val="061FAF5A"/>
    <w:rsid w:val="0628A4C8"/>
    <w:rsid w:val="063D3D32"/>
    <w:rsid w:val="063D51A9"/>
    <w:rsid w:val="06458741"/>
    <w:rsid w:val="06499F4D"/>
    <w:rsid w:val="064A585C"/>
    <w:rsid w:val="064D5B2A"/>
    <w:rsid w:val="0651FEB6"/>
    <w:rsid w:val="06591DD3"/>
    <w:rsid w:val="0668DCE9"/>
    <w:rsid w:val="06752E09"/>
    <w:rsid w:val="06768130"/>
    <w:rsid w:val="0679B771"/>
    <w:rsid w:val="06A0489C"/>
    <w:rsid w:val="06A6A6DB"/>
    <w:rsid w:val="06B77AE9"/>
    <w:rsid w:val="06BE37E0"/>
    <w:rsid w:val="06BF5E95"/>
    <w:rsid w:val="06C4E524"/>
    <w:rsid w:val="06CD9DC0"/>
    <w:rsid w:val="06D7E2F0"/>
    <w:rsid w:val="06D9A8A5"/>
    <w:rsid w:val="06EA8734"/>
    <w:rsid w:val="06ECB1DF"/>
    <w:rsid w:val="06F2F99A"/>
    <w:rsid w:val="06FE8903"/>
    <w:rsid w:val="07061B01"/>
    <w:rsid w:val="070B9052"/>
    <w:rsid w:val="071EC57B"/>
    <w:rsid w:val="072705B4"/>
    <w:rsid w:val="072A0A39"/>
    <w:rsid w:val="073072D0"/>
    <w:rsid w:val="07340757"/>
    <w:rsid w:val="073B6DB8"/>
    <w:rsid w:val="0742D664"/>
    <w:rsid w:val="074D8500"/>
    <w:rsid w:val="0752F8B7"/>
    <w:rsid w:val="075A9032"/>
    <w:rsid w:val="075AD27A"/>
    <w:rsid w:val="075B99B0"/>
    <w:rsid w:val="076249FC"/>
    <w:rsid w:val="0764847A"/>
    <w:rsid w:val="07715ED6"/>
    <w:rsid w:val="0779A2A3"/>
    <w:rsid w:val="077FAB4D"/>
    <w:rsid w:val="07889002"/>
    <w:rsid w:val="078CDBF9"/>
    <w:rsid w:val="0794C088"/>
    <w:rsid w:val="0796F30E"/>
    <w:rsid w:val="079A69F2"/>
    <w:rsid w:val="07A5D4CD"/>
    <w:rsid w:val="07A90A93"/>
    <w:rsid w:val="07B38503"/>
    <w:rsid w:val="07B48E02"/>
    <w:rsid w:val="07BC83E2"/>
    <w:rsid w:val="07C25132"/>
    <w:rsid w:val="07E228A6"/>
    <w:rsid w:val="07FCB568"/>
    <w:rsid w:val="08012CB9"/>
    <w:rsid w:val="080B0403"/>
    <w:rsid w:val="08163D3D"/>
    <w:rsid w:val="081D3E3B"/>
    <w:rsid w:val="0821AAB3"/>
    <w:rsid w:val="0823FB76"/>
    <w:rsid w:val="08304EBF"/>
    <w:rsid w:val="083D6214"/>
    <w:rsid w:val="0840149E"/>
    <w:rsid w:val="08416C7F"/>
    <w:rsid w:val="08466291"/>
    <w:rsid w:val="084A413F"/>
    <w:rsid w:val="0850A46E"/>
    <w:rsid w:val="0853EF7C"/>
    <w:rsid w:val="085B31EF"/>
    <w:rsid w:val="085B41B0"/>
    <w:rsid w:val="08604E72"/>
    <w:rsid w:val="0866A5F0"/>
    <w:rsid w:val="08690AD4"/>
    <w:rsid w:val="0870C760"/>
    <w:rsid w:val="089C34E8"/>
    <w:rsid w:val="08A4CE7E"/>
    <w:rsid w:val="08A7453C"/>
    <w:rsid w:val="08B4C3F6"/>
    <w:rsid w:val="08C4ED31"/>
    <w:rsid w:val="08C56783"/>
    <w:rsid w:val="08C8FC0E"/>
    <w:rsid w:val="08F2198F"/>
    <w:rsid w:val="08FB7578"/>
    <w:rsid w:val="08FE5482"/>
    <w:rsid w:val="0905D736"/>
    <w:rsid w:val="091E0354"/>
    <w:rsid w:val="092E1E24"/>
    <w:rsid w:val="0935EA9D"/>
    <w:rsid w:val="093DDECB"/>
    <w:rsid w:val="0946CBEB"/>
    <w:rsid w:val="094A9336"/>
    <w:rsid w:val="094F1BD9"/>
    <w:rsid w:val="0953183D"/>
    <w:rsid w:val="09583269"/>
    <w:rsid w:val="0960D0C5"/>
    <w:rsid w:val="0965B32D"/>
    <w:rsid w:val="0965DD2D"/>
    <w:rsid w:val="0966B815"/>
    <w:rsid w:val="09686150"/>
    <w:rsid w:val="096BDA49"/>
    <w:rsid w:val="097830A1"/>
    <w:rsid w:val="09883834"/>
    <w:rsid w:val="0994EDD3"/>
    <w:rsid w:val="099E1DCF"/>
    <w:rsid w:val="09A36192"/>
    <w:rsid w:val="09B713FB"/>
    <w:rsid w:val="09BAF7E2"/>
    <w:rsid w:val="09C06857"/>
    <w:rsid w:val="09C51AE0"/>
    <w:rsid w:val="09CCC7E1"/>
    <w:rsid w:val="09D8EC53"/>
    <w:rsid w:val="09DBCFC1"/>
    <w:rsid w:val="09EFE67C"/>
    <w:rsid w:val="09FBFA7F"/>
    <w:rsid w:val="0A005033"/>
    <w:rsid w:val="0A040B20"/>
    <w:rsid w:val="0A07A233"/>
    <w:rsid w:val="0A11B87B"/>
    <w:rsid w:val="0A185D3C"/>
    <w:rsid w:val="0A1B1E67"/>
    <w:rsid w:val="0A1C935C"/>
    <w:rsid w:val="0A1F7F8D"/>
    <w:rsid w:val="0A2EE92D"/>
    <w:rsid w:val="0A39EA9B"/>
    <w:rsid w:val="0A3B71CD"/>
    <w:rsid w:val="0A3E61DF"/>
    <w:rsid w:val="0A4672F2"/>
    <w:rsid w:val="0A67DC9C"/>
    <w:rsid w:val="0A74F598"/>
    <w:rsid w:val="0A7EAF49"/>
    <w:rsid w:val="0A8525C2"/>
    <w:rsid w:val="0A87E4BB"/>
    <w:rsid w:val="0A988448"/>
    <w:rsid w:val="0A9F819C"/>
    <w:rsid w:val="0AAB352C"/>
    <w:rsid w:val="0AB0FC35"/>
    <w:rsid w:val="0AB4183A"/>
    <w:rsid w:val="0AB643B9"/>
    <w:rsid w:val="0AB9C292"/>
    <w:rsid w:val="0ABCBE8B"/>
    <w:rsid w:val="0AC1E1AA"/>
    <w:rsid w:val="0AC91FE0"/>
    <w:rsid w:val="0ACD9B4E"/>
    <w:rsid w:val="0AD088D6"/>
    <w:rsid w:val="0AD727BB"/>
    <w:rsid w:val="0AE7E40B"/>
    <w:rsid w:val="0AF00589"/>
    <w:rsid w:val="0AF42E2C"/>
    <w:rsid w:val="0AF54789"/>
    <w:rsid w:val="0AF6486B"/>
    <w:rsid w:val="0AFB98AA"/>
    <w:rsid w:val="0B01BD97"/>
    <w:rsid w:val="0B077468"/>
    <w:rsid w:val="0B29A82A"/>
    <w:rsid w:val="0B338FA6"/>
    <w:rsid w:val="0B3B1EB0"/>
    <w:rsid w:val="0B450929"/>
    <w:rsid w:val="0B4D91BD"/>
    <w:rsid w:val="0B500A46"/>
    <w:rsid w:val="0B56DE93"/>
    <w:rsid w:val="0B59CC94"/>
    <w:rsid w:val="0B62F9B8"/>
    <w:rsid w:val="0B76FB5D"/>
    <w:rsid w:val="0B7E3FD3"/>
    <w:rsid w:val="0B869414"/>
    <w:rsid w:val="0B8B9060"/>
    <w:rsid w:val="0B8EBA34"/>
    <w:rsid w:val="0B968A80"/>
    <w:rsid w:val="0B9875AA"/>
    <w:rsid w:val="0BA1B884"/>
    <w:rsid w:val="0BB45EE0"/>
    <w:rsid w:val="0BB46197"/>
    <w:rsid w:val="0BB80E6E"/>
    <w:rsid w:val="0BC368B6"/>
    <w:rsid w:val="0BC95C10"/>
    <w:rsid w:val="0BCBCC40"/>
    <w:rsid w:val="0BE7032A"/>
    <w:rsid w:val="0BF5CAB0"/>
    <w:rsid w:val="0BF7753C"/>
    <w:rsid w:val="0BF9F6FD"/>
    <w:rsid w:val="0BFC3647"/>
    <w:rsid w:val="0BFE45FD"/>
    <w:rsid w:val="0C023323"/>
    <w:rsid w:val="0C0AA2DA"/>
    <w:rsid w:val="0C0AC00F"/>
    <w:rsid w:val="0C0CFBC2"/>
    <w:rsid w:val="0C197142"/>
    <w:rsid w:val="0C1E33F5"/>
    <w:rsid w:val="0C3CAFCD"/>
    <w:rsid w:val="0C47EA28"/>
    <w:rsid w:val="0C481747"/>
    <w:rsid w:val="0C4AF3F5"/>
    <w:rsid w:val="0C4B93CE"/>
    <w:rsid w:val="0C4F4463"/>
    <w:rsid w:val="0C62EE63"/>
    <w:rsid w:val="0C6566EF"/>
    <w:rsid w:val="0C6E5659"/>
    <w:rsid w:val="0C70214E"/>
    <w:rsid w:val="0C72F199"/>
    <w:rsid w:val="0C7B8C2D"/>
    <w:rsid w:val="0C817233"/>
    <w:rsid w:val="0C86F4BB"/>
    <w:rsid w:val="0C8D8C35"/>
    <w:rsid w:val="0C966187"/>
    <w:rsid w:val="0C9909F2"/>
    <w:rsid w:val="0CAC78ED"/>
    <w:rsid w:val="0CAF21C3"/>
    <w:rsid w:val="0CB6961C"/>
    <w:rsid w:val="0CCFEC60"/>
    <w:rsid w:val="0CD74A64"/>
    <w:rsid w:val="0CF0B9E1"/>
    <w:rsid w:val="0CF38B2F"/>
    <w:rsid w:val="0CF98863"/>
    <w:rsid w:val="0D0ADE38"/>
    <w:rsid w:val="0D1C14EC"/>
    <w:rsid w:val="0D2D2D5D"/>
    <w:rsid w:val="0D35711F"/>
    <w:rsid w:val="0D3D5BA5"/>
    <w:rsid w:val="0D4AEFFE"/>
    <w:rsid w:val="0D4AFA0A"/>
    <w:rsid w:val="0D4AFF14"/>
    <w:rsid w:val="0D4F90E4"/>
    <w:rsid w:val="0D55D9A6"/>
    <w:rsid w:val="0D617A40"/>
    <w:rsid w:val="0D65E2DE"/>
    <w:rsid w:val="0D6C67DF"/>
    <w:rsid w:val="0D70370C"/>
    <w:rsid w:val="0D71568D"/>
    <w:rsid w:val="0D755C85"/>
    <w:rsid w:val="0D757B6D"/>
    <w:rsid w:val="0D7E19C0"/>
    <w:rsid w:val="0D8C0D12"/>
    <w:rsid w:val="0D8DA66C"/>
    <w:rsid w:val="0D9A3FCD"/>
    <w:rsid w:val="0DA33584"/>
    <w:rsid w:val="0DB1F678"/>
    <w:rsid w:val="0DB2E849"/>
    <w:rsid w:val="0DB6152C"/>
    <w:rsid w:val="0DBEAEBD"/>
    <w:rsid w:val="0DBEF7C1"/>
    <w:rsid w:val="0DCC524A"/>
    <w:rsid w:val="0DD3152D"/>
    <w:rsid w:val="0DD6B1B1"/>
    <w:rsid w:val="0DDB0E91"/>
    <w:rsid w:val="0DDCC714"/>
    <w:rsid w:val="0DE3BA89"/>
    <w:rsid w:val="0DE4E3A2"/>
    <w:rsid w:val="0DE4FEE3"/>
    <w:rsid w:val="0E1D1E0A"/>
    <w:rsid w:val="0E25E235"/>
    <w:rsid w:val="0E35A71C"/>
    <w:rsid w:val="0E3A9A01"/>
    <w:rsid w:val="0E4CE378"/>
    <w:rsid w:val="0E4E0A96"/>
    <w:rsid w:val="0E54BE17"/>
    <w:rsid w:val="0E572599"/>
    <w:rsid w:val="0E6FB705"/>
    <w:rsid w:val="0E73BD6F"/>
    <w:rsid w:val="0E7C5290"/>
    <w:rsid w:val="0E7F23C3"/>
    <w:rsid w:val="0E848CC2"/>
    <w:rsid w:val="0E87B49E"/>
    <w:rsid w:val="0E9F96B7"/>
    <w:rsid w:val="0EB54553"/>
    <w:rsid w:val="0EB67DF0"/>
    <w:rsid w:val="0EC686F8"/>
    <w:rsid w:val="0ECB12E7"/>
    <w:rsid w:val="0ECC95E7"/>
    <w:rsid w:val="0ECD3A9B"/>
    <w:rsid w:val="0ECFA138"/>
    <w:rsid w:val="0ED083CE"/>
    <w:rsid w:val="0EEF431D"/>
    <w:rsid w:val="0EEF74E0"/>
    <w:rsid w:val="0EF3A904"/>
    <w:rsid w:val="0EF7849B"/>
    <w:rsid w:val="0EF99156"/>
    <w:rsid w:val="0F00586F"/>
    <w:rsid w:val="0F082AE7"/>
    <w:rsid w:val="0F0C5091"/>
    <w:rsid w:val="0F0D5DCF"/>
    <w:rsid w:val="0F13DE5A"/>
    <w:rsid w:val="0F2BDFCC"/>
    <w:rsid w:val="0F2F660C"/>
    <w:rsid w:val="0F4043E3"/>
    <w:rsid w:val="0F55D4B7"/>
    <w:rsid w:val="0F5A4520"/>
    <w:rsid w:val="0F60637D"/>
    <w:rsid w:val="0F63158C"/>
    <w:rsid w:val="0F74B775"/>
    <w:rsid w:val="0F78E5AD"/>
    <w:rsid w:val="0F7B1D65"/>
    <w:rsid w:val="0F87940D"/>
    <w:rsid w:val="0F8B147D"/>
    <w:rsid w:val="0F992405"/>
    <w:rsid w:val="0F9AD0F2"/>
    <w:rsid w:val="0F9C8E67"/>
    <w:rsid w:val="0FA179B2"/>
    <w:rsid w:val="0FABDCEF"/>
    <w:rsid w:val="0FB604E8"/>
    <w:rsid w:val="0FBCF8F5"/>
    <w:rsid w:val="0FC34F26"/>
    <w:rsid w:val="0FC819CE"/>
    <w:rsid w:val="0FD4DF66"/>
    <w:rsid w:val="0FE95E8B"/>
    <w:rsid w:val="0FEB1538"/>
    <w:rsid w:val="0FF33B20"/>
    <w:rsid w:val="0FF559B4"/>
    <w:rsid w:val="0FF6C920"/>
    <w:rsid w:val="0FF9D988"/>
    <w:rsid w:val="10019879"/>
    <w:rsid w:val="10120EAE"/>
    <w:rsid w:val="101699FE"/>
    <w:rsid w:val="10207F1D"/>
    <w:rsid w:val="103E135E"/>
    <w:rsid w:val="103E1ECD"/>
    <w:rsid w:val="104171A9"/>
    <w:rsid w:val="104421B5"/>
    <w:rsid w:val="104975CE"/>
    <w:rsid w:val="104C59D8"/>
    <w:rsid w:val="105B006C"/>
    <w:rsid w:val="105F4CCF"/>
    <w:rsid w:val="1064BBA8"/>
    <w:rsid w:val="10696268"/>
    <w:rsid w:val="1073EF80"/>
    <w:rsid w:val="108AFBF2"/>
    <w:rsid w:val="1090B10F"/>
    <w:rsid w:val="10959659"/>
    <w:rsid w:val="109668E3"/>
    <w:rsid w:val="10A1169C"/>
    <w:rsid w:val="10ABD9EA"/>
    <w:rsid w:val="10AC69F3"/>
    <w:rsid w:val="10BA95F1"/>
    <w:rsid w:val="10BED720"/>
    <w:rsid w:val="10BF518D"/>
    <w:rsid w:val="10D9D736"/>
    <w:rsid w:val="10DDCBBA"/>
    <w:rsid w:val="10DE9164"/>
    <w:rsid w:val="10EA67B6"/>
    <w:rsid w:val="10EA8771"/>
    <w:rsid w:val="10EE3EF2"/>
    <w:rsid w:val="110EBB79"/>
    <w:rsid w:val="11116D0B"/>
    <w:rsid w:val="111AF5E3"/>
    <w:rsid w:val="111B5B4B"/>
    <w:rsid w:val="111D73C2"/>
    <w:rsid w:val="111E30A4"/>
    <w:rsid w:val="11664E45"/>
    <w:rsid w:val="117D384C"/>
    <w:rsid w:val="11825BCB"/>
    <w:rsid w:val="1185D6D5"/>
    <w:rsid w:val="118E79DF"/>
    <w:rsid w:val="1193750D"/>
    <w:rsid w:val="11961A8C"/>
    <w:rsid w:val="119C4828"/>
    <w:rsid w:val="11AE3BEF"/>
    <w:rsid w:val="11B9EAE1"/>
    <w:rsid w:val="11C271E0"/>
    <w:rsid w:val="11C85FAD"/>
    <w:rsid w:val="11CC35C4"/>
    <w:rsid w:val="11CFDE79"/>
    <w:rsid w:val="11D8EB8A"/>
    <w:rsid w:val="11DD68F8"/>
    <w:rsid w:val="11F6A347"/>
    <w:rsid w:val="12078660"/>
    <w:rsid w:val="121557C2"/>
    <w:rsid w:val="121A62F4"/>
    <w:rsid w:val="122B8F1D"/>
    <w:rsid w:val="1230921D"/>
    <w:rsid w:val="12340880"/>
    <w:rsid w:val="1239972F"/>
    <w:rsid w:val="123A8AB0"/>
    <w:rsid w:val="1248CDA8"/>
    <w:rsid w:val="124973C4"/>
    <w:rsid w:val="124B7F1C"/>
    <w:rsid w:val="125F6A0B"/>
    <w:rsid w:val="127E3B84"/>
    <w:rsid w:val="1286AAD2"/>
    <w:rsid w:val="1288F0E7"/>
    <w:rsid w:val="128E3F69"/>
    <w:rsid w:val="129F306D"/>
    <w:rsid w:val="12B5FA9C"/>
    <w:rsid w:val="12B72BAC"/>
    <w:rsid w:val="12B8A241"/>
    <w:rsid w:val="12C307A0"/>
    <w:rsid w:val="12CDEFB7"/>
    <w:rsid w:val="12D4B113"/>
    <w:rsid w:val="12FA6B48"/>
    <w:rsid w:val="12FD14E4"/>
    <w:rsid w:val="13058B18"/>
    <w:rsid w:val="13136C85"/>
    <w:rsid w:val="13150ACA"/>
    <w:rsid w:val="131A51A8"/>
    <w:rsid w:val="132F87C0"/>
    <w:rsid w:val="13338B73"/>
    <w:rsid w:val="1339838F"/>
    <w:rsid w:val="1345693B"/>
    <w:rsid w:val="134ECAB6"/>
    <w:rsid w:val="1351F67E"/>
    <w:rsid w:val="1358212D"/>
    <w:rsid w:val="135D5FD7"/>
    <w:rsid w:val="137773C1"/>
    <w:rsid w:val="138EF817"/>
    <w:rsid w:val="138F4AF5"/>
    <w:rsid w:val="139177CB"/>
    <w:rsid w:val="139C9CC2"/>
    <w:rsid w:val="139CB05A"/>
    <w:rsid w:val="13A06394"/>
    <w:rsid w:val="13A50A03"/>
    <w:rsid w:val="13ACA27E"/>
    <w:rsid w:val="13AE251D"/>
    <w:rsid w:val="13B1E01D"/>
    <w:rsid w:val="13B25D89"/>
    <w:rsid w:val="13B2A4DD"/>
    <w:rsid w:val="13B40575"/>
    <w:rsid w:val="13BCA046"/>
    <w:rsid w:val="13BF9B42"/>
    <w:rsid w:val="13C5155B"/>
    <w:rsid w:val="13D34D7E"/>
    <w:rsid w:val="13D5160F"/>
    <w:rsid w:val="13E1F6CD"/>
    <w:rsid w:val="13E2DB59"/>
    <w:rsid w:val="13ED430E"/>
    <w:rsid w:val="13EF1826"/>
    <w:rsid w:val="13FB5A6B"/>
    <w:rsid w:val="13FC6F89"/>
    <w:rsid w:val="1406AFB4"/>
    <w:rsid w:val="140A5DA9"/>
    <w:rsid w:val="140CF6FB"/>
    <w:rsid w:val="140E1F36"/>
    <w:rsid w:val="141295CA"/>
    <w:rsid w:val="1412B734"/>
    <w:rsid w:val="142A0FCA"/>
    <w:rsid w:val="142EF794"/>
    <w:rsid w:val="143B7DCB"/>
    <w:rsid w:val="14481353"/>
    <w:rsid w:val="14577F0A"/>
    <w:rsid w:val="14588E06"/>
    <w:rsid w:val="145D83E1"/>
    <w:rsid w:val="14737FEB"/>
    <w:rsid w:val="14756D3B"/>
    <w:rsid w:val="147F3B4A"/>
    <w:rsid w:val="1485DE51"/>
    <w:rsid w:val="148C4D00"/>
    <w:rsid w:val="1499A3E7"/>
    <w:rsid w:val="14AC9D01"/>
    <w:rsid w:val="14BC6182"/>
    <w:rsid w:val="14BFDC58"/>
    <w:rsid w:val="14C4C47D"/>
    <w:rsid w:val="14C50B73"/>
    <w:rsid w:val="14C78428"/>
    <w:rsid w:val="14CE3A9B"/>
    <w:rsid w:val="14DCB500"/>
    <w:rsid w:val="14E1258D"/>
    <w:rsid w:val="14E8FE7D"/>
    <w:rsid w:val="14EC5583"/>
    <w:rsid w:val="14EF8953"/>
    <w:rsid w:val="14FBD045"/>
    <w:rsid w:val="150978AF"/>
    <w:rsid w:val="150E12C9"/>
    <w:rsid w:val="15152BB7"/>
    <w:rsid w:val="152E3528"/>
    <w:rsid w:val="1545481F"/>
    <w:rsid w:val="15463A68"/>
    <w:rsid w:val="154BE006"/>
    <w:rsid w:val="154D23CB"/>
    <w:rsid w:val="1551476B"/>
    <w:rsid w:val="155F41B3"/>
    <w:rsid w:val="15616CA7"/>
    <w:rsid w:val="15806824"/>
    <w:rsid w:val="15903097"/>
    <w:rsid w:val="15928EFB"/>
    <w:rsid w:val="15A51B7C"/>
    <w:rsid w:val="15A69EBF"/>
    <w:rsid w:val="15A7A057"/>
    <w:rsid w:val="15B50075"/>
    <w:rsid w:val="15B582DC"/>
    <w:rsid w:val="15BDC06B"/>
    <w:rsid w:val="15C31AFC"/>
    <w:rsid w:val="15CB1BD7"/>
    <w:rsid w:val="15D5F1AA"/>
    <w:rsid w:val="15DE9C8C"/>
    <w:rsid w:val="15EE14AC"/>
    <w:rsid w:val="15F2E58A"/>
    <w:rsid w:val="16081016"/>
    <w:rsid w:val="161A1F33"/>
    <w:rsid w:val="161E6095"/>
    <w:rsid w:val="161F44FB"/>
    <w:rsid w:val="1623CF62"/>
    <w:rsid w:val="163424F7"/>
    <w:rsid w:val="1636049E"/>
    <w:rsid w:val="163A41AA"/>
    <w:rsid w:val="164582FB"/>
    <w:rsid w:val="164D5F0F"/>
    <w:rsid w:val="1652D25F"/>
    <w:rsid w:val="1664BD22"/>
    <w:rsid w:val="16670E04"/>
    <w:rsid w:val="166CAB45"/>
    <w:rsid w:val="16876C5C"/>
    <w:rsid w:val="169EB1C5"/>
    <w:rsid w:val="16A05469"/>
    <w:rsid w:val="16A211FB"/>
    <w:rsid w:val="16A24FC2"/>
    <w:rsid w:val="16B7453E"/>
    <w:rsid w:val="16BB2B3D"/>
    <w:rsid w:val="16BB4379"/>
    <w:rsid w:val="16C59E7B"/>
    <w:rsid w:val="16C9D04C"/>
    <w:rsid w:val="16CC59D9"/>
    <w:rsid w:val="16CDAA25"/>
    <w:rsid w:val="16E4958E"/>
    <w:rsid w:val="16E8ACD6"/>
    <w:rsid w:val="16E95F2A"/>
    <w:rsid w:val="16F9E658"/>
    <w:rsid w:val="16FCEEB0"/>
    <w:rsid w:val="16FF9EF6"/>
    <w:rsid w:val="1705442E"/>
    <w:rsid w:val="170A4BCF"/>
    <w:rsid w:val="171C3ECB"/>
    <w:rsid w:val="1722745C"/>
    <w:rsid w:val="17256F49"/>
    <w:rsid w:val="173F76EF"/>
    <w:rsid w:val="1740E747"/>
    <w:rsid w:val="174F6303"/>
    <w:rsid w:val="17571F3A"/>
    <w:rsid w:val="1761B08C"/>
    <w:rsid w:val="176BF5CE"/>
    <w:rsid w:val="176FBE26"/>
    <w:rsid w:val="1781281D"/>
    <w:rsid w:val="178230BD"/>
    <w:rsid w:val="17831791"/>
    <w:rsid w:val="179E26E2"/>
    <w:rsid w:val="17B5B262"/>
    <w:rsid w:val="17BB585B"/>
    <w:rsid w:val="17BCCE9D"/>
    <w:rsid w:val="17BDB642"/>
    <w:rsid w:val="17BED2F9"/>
    <w:rsid w:val="17C48E44"/>
    <w:rsid w:val="17C7B9D4"/>
    <w:rsid w:val="17D03C5C"/>
    <w:rsid w:val="17DD145A"/>
    <w:rsid w:val="17E0D0B2"/>
    <w:rsid w:val="17E4452A"/>
    <w:rsid w:val="18149743"/>
    <w:rsid w:val="182A6FF4"/>
    <w:rsid w:val="1837184B"/>
    <w:rsid w:val="18492543"/>
    <w:rsid w:val="18522E25"/>
    <w:rsid w:val="18545AF2"/>
    <w:rsid w:val="1854DDA1"/>
    <w:rsid w:val="1857269E"/>
    <w:rsid w:val="18603875"/>
    <w:rsid w:val="186345E2"/>
    <w:rsid w:val="18659519"/>
    <w:rsid w:val="1877B8C5"/>
    <w:rsid w:val="187ECF9C"/>
    <w:rsid w:val="188E8902"/>
    <w:rsid w:val="1892D855"/>
    <w:rsid w:val="1893D744"/>
    <w:rsid w:val="18972E42"/>
    <w:rsid w:val="18A19115"/>
    <w:rsid w:val="18B228F2"/>
    <w:rsid w:val="18B5A252"/>
    <w:rsid w:val="18BCBF1A"/>
    <w:rsid w:val="18C06925"/>
    <w:rsid w:val="18D9FB42"/>
    <w:rsid w:val="18F3641D"/>
    <w:rsid w:val="18F76562"/>
    <w:rsid w:val="1904A483"/>
    <w:rsid w:val="1904F249"/>
    <w:rsid w:val="19055329"/>
    <w:rsid w:val="1907CB76"/>
    <w:rsid w:val="19084BEB"/>
    <w:rsid w:val="1909F431"/>
    <w:rsid w:val="19160358"/>
    <w:rsid w:val="19171796"/>
    <w:rsid w:val="19218BC0"/>
    <w:rsid w:val="192BD263"/>
    <w:rsid w:val="192EBA60"/>
    <w:rsid w:val="1930F504"/>
    <w:rsid w:val="193A3989"/>
    <w:rsid w:val="193DD9BD"/>
    <w:rsid w:val="1942FC77"/>
    <w:rsid w:val="195D33BF"/>
    <w:rsid w:val="196B0878"/>
    <w:rsid w:val="196B1BA6"/>
    <w:rsid w:val="1972F56E"/>
    <w:rsid w:val="19746D8C"/>
    <w:rsid w:val="197AF71B"/>
    <w:rsid w:val="197E947D"/>
    <w:rsid w:val="19859953"/>
    <w:rsid w:val="1986AA4C"/>
    <w:rsid w:val="198BD2E9"/>
    <w:rsid w:val="19A2B9CB"/>
    <w:rsid w:val="19A706B0"/>
    <w:rsid w:val="19A8E267"/>
    <w:rsid w:val="19AC783B"/>
    <w:rsid w:val="19B16B1C"/>
    <w:rsid w:val="19BB6059"/>
    <w:rsid w:val="19BF315D"/>
    <w:rsid w:val="19C0F948"/>
    <w:rsid w:val="19C5EFF9"/>
    <w:rsid w:val="19C9BA1F"/>
    <w:rsid w:val="19D555C0"/>
    <w:rsid w:val="19E18898"/>
    <w:rsid w:val="19EEE600"/>
    <w:rsid w:val="19FCC364"/>
    <w:rsid w:val="1A0F819E"/>
    <w:rsid w:val="1A11637D"/>
    <w:rsid w:val="1A11E554"/>
    <w:rsid w:val="1A1AC1FE"/>
    <w:rsid w:val="1A382735"/>
    <w:rsid w:val="1A42D83F"/>
    <w:rsid w:val="1A4365F2"/>
    <w:rsid w:val="1A4480A7"/>
    <w:rsid w:val="1A4B1D6D"/>
    <w:rsid w:val="1A53BB4B"/>
    <w:rsid w:val="1A57F5D4"/>
    <w:rsid w:val="1A5D9AAA"/>
    <w:rsid w:val="1A6630D2"/>
    <w:rsid w:val="1A6AB0FD"/>
    <w:rsid w:val="1A6C2154"/>
    <w:rsid w:val="1A728173"/>
    <w:rsid w:val="1A792C2E"/>
    <w:rsid w:val="1A7A59DF"/>
    <w:rsid w:val="1A82BCAF"/>
    <w:rsid w:val="1A89425C"/>
    <w:rsid w:val="1A8A5702"/>
    <w:rsid w:val="1A8ABA63"/>
    <w:rsid w:val="1A90508C"/>
    <w:rsid w:val="1A9C567D"/>
    <w:rsid w:val="1AA69133"/>
    <w:rsid w:val="1AB9227E"/>
    <w:rsid w:val="1ABB8A57"/>
    <w:rsid w:val="1AD05D32"/>
    <w:rsid w:val="1AD5AC38"/>
    <w:rsid w:val="1AD7B9B2"/>
    <w:rsid w:val="1AD8D62A"/>
    <w:rsid w:val="1AF33E7F"/>
    <w:rsid w:val="1AF7CDAB"/>
    <w:rsid w:val="1AFCED6C"/>
    <w:rsid w:val="1AFDAFB9"/>
    <w:rsid w:val="1AFF72D1"/>
    <w:rsid w:val="1B096E09"/>
    <w:rsid w:val="1B0E63B0"/>
    <w:rsid w:val="1B18CEF2"/>
    <w:rsid w:val="1B1B7473"/>
    <w:rsid w:val="1B2F82F0"/>
    <w:rsid w:val="1B3A6674"/>
    <w:rsid w:val="1B44BA2F"/>
    <w:rsid w:val="1B582750"/>
    <w:rsid w:val="1B6C372F"/>
    <w:rsid w:val="1B755E73"/>
    <w:rsid w:val="1B76D6AE"/>
    <w:rsid w:val="1B8AC5AA"/>
    <w:rsid w:val="1B8BC1A9"/>
    <w:rsid w:val="1B913179"/>
    <w:rsid w:val="1B9B5B75"/>
    <w:rsid w:val="1BAE3573"/>
    <w:rsid w:val="1BAFE6A7"/>
    <w:rsid w:val="1BBB9EFB"/>
    <w:rsid w:val="1BC44E26"/>
    <w:rsid w:val="1BCAE04B"/>
    <w:rsid w:val="1BD7741F"/>
    <w:rsid w:val="1BDF98ED"/>
    <w:rsid w:val="1BED8EA5"/>
    <w:rsid w:val="1BF3DC45"/>
    <w:rsid w:val="1C09570C"/>
    <w:rsid w:val="1C0EA9D9"/>
    <w:rsid w:val="1C119B40"/>
    <w:rsid w:val="1C15845E"/>
    <w:rsid w:val="1C1653B4"/>
    <w:rsid w:val="1C1B349B"/>
    <w:rsid w:val="1C2C08A2"/>
    <w:rsid w:val="1C2F0624"/>
    <w:rsid w:val="1C3C4545"/>
    <w:rsid w:val="1C4D64A9"/>
    <w:rsid w:val="1C525530"/>
    <w:rsid w:val="1C724630"/>
    <w:rsid w:val="1C7D93C4"/>
    <w:rsid w:val="1C803F1A"/>
    <w:rsid w:val="1C9DA7A8"/>
    <w:rsid w:val="1CB6474B"/>
    <w:rsid w:val="1CB6BB1A"/>
    <w:rsid w:val="1CC28F91"/>
    <w:rsid w:val="1CC55FBC"/>
    <w:rsid w:val="1CD8476A"/>
    <w:rsid w:val="1CDB6415"/>
    <w:rsid w:val="1CE05E3E"/>
    <w:rsid w:val="1CF31A44"/>
    <w:rsid w:val="1CFAFB9C"/>
    <w:rsid w:val="1D0716BD"/>
    <w:rsid w:val="1D0E899F"/>
    <w:rsid w:val="1D1382D5"/>
    <w:rsid w:val="1D1A0FFE"/>
    <w:rsid w:val="1D255FD5"/>
    <w:rsid w:val="1D277E55"/>
    <w:rsid w:val="1D27DE68"/>
    <w:rsid w:val="1D3249B0"/>
    <w:rsid w:val="1D3D37AE"/>
    <w:rsid w:val="1D409541"/>
    <w:rsid w:val="1D4DED08"/>
    <w:rsid w:val="1D4E035F"/>
    <w:rsid w:val="1D5D790A"/>
    <w:rsid w:val="1D5FA60A"/>
    <w:rsid w:val="1D6F11F2"/>
    <w:rsid w:val="1D6F9189"/>
    <w:rsid w:val="1D73F503"/>
    <w:rsid w:val="1D8B3131"/>
    <w:rsid w:val="1D8B804F"/>
    <w:rsid w:val="1D8D3E00"/>
    <w:rsid w:val="1D9F4296"/>
    <w:rsid w:val="1DA61433"/>
    <w:rsid w:val="1DB17E2F"/>
    <w:rsid w:val="1DC0B7DD"/>
    <w:rsid w:val="1DD0F210"/>
    <w:rsid w:val="1DD815A6"/>
    <w:rsid w:val="1DDACA48"/>
    <w:rsid w:val="1E02B57F"/>
    <w:rsid w:val="1E046627"/>
    <w:rsid w:val="1E05924A"/>
    <w:rsid w:val="1E0BADF8"/>
    <w:rsid w:val="1E136EBA"/>
    <w:rsid w:val="1E1C77D3"/>
    <w:rsid w:val="1E1CA774"/>
    <w:rsid w:val="1E210F5C"/>
    <w:rsid w:val="1E2E74B1"/>
    <w:rsid w:val="1E519F89"/>
    <w:rsid w:val="1E7382F4"/>
    <w:rsid w:val="1E7F37FD"/>
    <w:rsid w:val="1E810806"/>
    <w:rsid w:val="1E92C58D"/>
    <w:rsid w:val="1EA3B36E"/>
    <w:rsid w:val="1EAA65A9"/>
    <w:rsid w:val="1EAF7288"/>
    <w:rsid w:val="1EB267F5"/>
    <w:rsid w:val="1EC00D91"/>
    <w:rsid w:val="1EC88439"/>
    <w:rsid w:val="1ED1676B"/>
    <w:rsid w:val="1ED1A2D2"/>
    <w:rsid w:val="1ED318E3"/>
    <w:rsid w:val="1ED3898D"/>
    <w:rsid w:val="1ED69E66"/>
    <w:rsid w:val="1EF3BD76"/>
    <w:rsid w:val="1EFE2EBF"/>
    <w:rsid w:val="1F01E556"/>
    <w:rsid w:val="1F024CF0"/>
    <w:rsid w:val="1F080136"/>
    <w:rsid w:val="1F0BD18C"/>
    <w:rsid w:val="1F0E8097"/>
    <w:rsid w:val="1F2E0F21"/>
    <w:rsid w:val="1F4665F8"/>
    <w:rsid w:val="1F4DE53F"/>
    <w:rsid w:val="1F518F33"/>
    <w:rsid w:val="1F55E5F6"/>
    <w:rsid w:val="1F6B7C4F"/>
    <w:rsid w:val="1F7965D9"/>
    <w:rsid w:val="1F7BF5FA"/>
    <w:rsid w:val="1F86779C"/>
    <w:rsid w:val="1F898651"/>
    <w:rsid w:val="1F907B57"/>
    <w:rsid w:val="1F9C71F2"/>
    <w:rsid w:val="1FB26AF6"/>
    <w:rsid w:val="1FB7A4E3"/>
    <w:rsid w:val="1FBF7006"/>
    <w:rsid w:val="1FCBF3C7"/>
    <w:rsid w:val="1FD89942"/>
    <w:rsid w:val="1FDF847C"/>
    <w:rsid w:val="1FE246A4"/>
    <w:rsid w:val="1FEA199C"/>
    <w:rsid w:val="1FEC3AFE"/>
    <w:rsid w:val="1FFACC19"/>
    <w:rsid w:val="1FFCB982"/>
    <w:rsid w:val="1FFE4920"/>
    <w:rsid w:val="20020D7C"/>
    <w:rsid w:val="200C6325"/>
    <w:rsid w:val="201A766E"/>
    <w:rsid w:val="2023271D"/>
    <w:rsid w:val="20453251"/>
    <w:rsid w:val="204A8424"/>
    <w:rsid w:val="205507EA"/>
    <w:rsid w:val="20690F76"/>
    <w:rsid w:val="206CD453"/>
    <w:rsid w:val="20721BAD"/>
    <w:rsid w:val="2076DAD1"/>
    <w:rsid w:val="2077194B"/>
    <w:rsid w:val="2079F058"/>
    <w:rsid w:val="208E3B23"/>
    <w:rsid w:val="208F2755"/>
    <w:rsid w:val="2099C58F"/>
    <w:rsid w:val="20BF0138"/>
    <w:rsid w:val="20C01A05"/>
    <w:rsid w:val="20C9D80F"/>
    <w:rsid w:val="20CBB46E"/>
    <w:rsid w:val="20D1DFC3"/>
    <w:rsid w:val="20D8A5AE"/>
    <w:rsid w:val="20DA131B"/>
    <w:rsid w:val="20E5DC69"/>
    <w:rsid w:val="20E94FD5"/>
    <w:rsid w:val="20F927C2"/>
    <w:rsid w:val="20FAC16F"/>
    <w:rsid w:val="2100B138"/>
    <w:rsid w:val="210517B8"/>
    <w:rsid w:val="210892D2"/>
    <w:rsid w:val="21122BC7"/>
    <w:rsid w:val="2113AA1D"/>
    <w:rsid w:val="21235B4F"/>
    <w:rsid w:val="212832F4"/>
    <w:rsid w:val="212A981D"/>
    <w:rsid w:val="2135BE60"/>
    <w:rsid w:val="213CD380"/>
    <w:rsid w:val="214CA12D"/>
    <w:rsid w:val="21594E20"/>
    <w:rsid w:val="217272D4"/>
    <w:rsid w:val="21733013"/>
    <w:rsid w:val="217395BB"/>
    <w:rsid w:val="2174C05F"/>
    <w:rsid w:val="217F7F71"/>
    <w:rsid w:val="218AFDA3"/>
    <w:rsid w:val="218E845B"/>
    <w:rsid w:val="2196F38E"/>
    <w:rsid w:val="2197125A"/>
    <w:rsid w:val="21B0707C"/>
    <w:rsid w:val="21B43CCE"/>
    <w:rsid w:val="21D12B0F"/>
    <w:rsid w:val="21D3AF14"/>
    <w:rsid w:val="21DFF05E"/>
    <w:rsid w:val="21E102B2"/>
    <w:rsid w:val="21E83991"/>
    <w:rsid w:val="21EC8C91"/>
    <w:rsid w:val="21EF16EC"/>
    <w:rsid w:val="21FD7343"/>
    <w:rsid w:val="2204385E"/>
    <w:rsid w:val="22163076"/>
    <w:rsid w:val="2220EC06"/>
    <w:rsid w:val="22223B79"/>
    <w:rsid w:val="222913D5"/>
    <w:rsid w:val="2233A21B"/>
    <w:rsid w:val="224286FF"/>
    <w:rsid w:val="225226EB"/>
    <w:rsid w:val="226E1A07"/>
    <w:rsid w:val="22756285"/>
    <w:rsid w:val="22882A6A"/>
    <w:rsid w:val="228F2C2C"/>
    <w:rsid w:val="2292F3AE"/>
    <w:rsid w:val="22CD1C0A"/>
    <w:rsid w:val="22D8FEBB"/>
    <w:rsid w:val="22D907E6"/>
    <w:rsid w:val="22DBBEF0"/>
    <w:rsid w:val="22EEB733"/>
    <w:rsid w:val="2305EA67"/>
    <w:rsid w:val="230A2956"/>
    <w:rsid w:val="23220385"/>
    <w:rsid w:val="232FBB14"/>
    <w:rsid w:val="2330B3F4"/>
    <w:rsid w:val="233A5D54"/>
    <w:rsid w:val="233C1BD4"/>
    <w:rsid w:val="233DFEF3"/>
    <w:rsid w:val="2349DD96"/>
    <w:rsid w:val="234B4F39"/>
    <w:rsid w:val="234F11B7"/>
    <w:rsid w:val="2357A0F8"/>
    <w:rsid w:val="235A9BE4"/>
    <w:rsid w:val="2365F56E"/>
    <w:rsid w:val="236EE518"/>
    <w:rsid w:val="237CD313"/>
    <w:rsid w:val="237D6D22"/>
    <w:rsid w:val="23A7EA0C"/>
    <w:rsid w:val="23A9CB21"/>
    <w:rsid w:val="23B93A4F"/>
    <w:rsid w:val="23C30250"/>
    <w:rsid w:val="23D60D5C"/>
    <w:rsid w:val="23F20276"/>
    <w:rsid w:val="24046367"/>
    <w:rsid w:val="2407A745"/>
    <w:rsid w:val="2407E2ED"/>
    <w:rsid w:val="240A248F"/>
    <w:rsid w:val="24160BDC"/>
    <w:rsid w:val="241A00D0"/>
    <w:rsid w:val="241AC74E"/>
    <w:rsid w:val="2445D4EF"/>
    <w:rsid w:val="24534632"/>
    <w:rsid w:val="24583B15"/>
    <w:rsid w:val="2461289B"/>
    <w:rsid w:val="246152E2"/>
    <w:rsid w:val="2468191A"/>
    <w:rsid w:val="2473A7AB"/>
    <w:rsid w:val="2477741F"/>
    <w:rsid w:val="247C057B"/>
    <w:rsid w:val="247F7803"/>
    <w:rsid w:val="24927E3D"/>
    <w:rsid w:val="24A93BE5"/>
    <w:rsid w:val="24AB668A"/>
    <w:rsid w:val="24ABD727"/>
    <w:rsid w:val="24B65C73"/>
    <w:rsid w:val="24C34C93"/>
    <w:rsid w:val="24C9547F"/>
    <w:rsid w:val="24CDD7F1"/>
    <w:rsid w:val="24D9D27E"/>
    <w:rsid w:val="24DB7C54"/>
    <w:rsid w:val="24DF1DC5"/>
    <w:rsid w:val="24F59F35"/>
    <w:rsid w:val="24FD5DF5"/>
    <w:rsid w:val="2505A80A"/>
    <w:rsid w:val="251602A9"/>
    <w:rsid w:val="2520DF3A"/>
    <w:rsid w:val="25274B3E"/>
    <w:rsid w:val="2536A5C5"/>
    <w:rsid w:val="253987B4"/>
    <w:rsid w:val="2540110E"/>
    <w:rsid w:val="25404732"/>
    <w:rsid w:val="2546BBDA"/>
    <w:rsid w:val="254D9FA0"/>
    <w:rsid w:val="254E2813"/>
    <w:rsid w:val="255C1FD2"/>
    <w:rsid w:val="25694E32"/>
    <w:rsid w:val="256B6607"/>
    <w:rsid w:val="256DFEEC"/>
    <w:rsid w:val="25705884"/>
    <w:rsid w:val="2572E071"/>
    <w:rsid w:val="257913E1"/>
    <w:rsid w:val="257AB6BB"/>
    <w:rsid w:val="2583C386"/>
    <w:rsid w:val="259D132F"/>
    <w:rsid w:val="25B15978"/>
    <w:rsid w:val="25B9D435"/>
    <w:rsid w:val="25BA2B4D"/>
    <w:rsid w:val="25C1E444"/>
    <w:rsid w:val="25C7A705"/>
    <w:rsid w:val="25D2028A"/>
    <w:rsid w:val="25D8C987"/>
    <w:rsid w:val="25DC11D2"/>
    <w:rsid w:val="25E9CD1C"/>
    <w:rsid w:val="25EDA960"/>
    <w:rsid w:val="25F4FB53"/>
    <w:rsid w:val="25F5B664"/>
    <w:rsid w:val="25F63E5F"/>
    <w:rsid w:val="25FCC8C9"/>
    <w:rsid w:val="25FE1170"/>
    <w:rsid w:val="26023679"/>
    <w:rsid w:val="26027BA0"/>
    <w:rsid w:val="260F780C"/>
    <w:rsid w:val="261073F1"/>
    <w:rsid w:val="26130FBB"/>
    <w:rsid w:val="261B63C2"/>
    <w:rsid w:val="26243B67"/>
    <w:rsid w:val="2631BC3D"/>
    <w:rsid w:val="2639EBD5"/>
    <w:rsid w:val="263E3ABC"/>
    <w:rsid w:val="2648F94E"/>
    <w:rsid w:val="2659849D"/>
    <w:rsid w:val="265BC0E1"/>
    <w:rsid w:val="265FE88B"/>
    <w:rsid w:val="26847C8C"/>
    <w:rsid w:val="26861A96"/>
    <w:rsid w:val="26893AF0"/>
    <w:rsid w:val="26896BA1"/>
    <w:rsid w:val="268DD5CF"/>
    <w:rsid w:val="26961DCD"/>
    <w:rsid w:val="2699E2F0"/>
    <w:rsid w:val="26A24FC8"/>
    <w:rsid w:val="26AC88AD"/>
    <w:rsid w:val="26ACE865"/>
    <w:rsid w:val="26AE9F5B"/>
    <w:rsid w:val="26B3586E"/>
    <w:rsid w:val="26BC4210"/>
    <w:rsid w:val="26C59497"/>
    <w:rsid w:val="26CB6019"/>
    <w:rsid w:val="26CB6632"/>
    <w:rsid w:val="26FA6AEC"/>
    <w:rsid w:val="27137374"/>
    <w:rsid w:val="2721D8CB"/>
    <w:rsid w:val="2722687D"/>
    <w:rsid w:val="272A674D"/>
    <w:rsid w:val="272CA955"/>
    <w:rsid w:val="27314E1C"/>
    <w:rsid w:val="27323B18"/>
    <w:rsid w:val="27396FA1"/>
    <w:rsid w:val="27478983"/>
    <w:rsid w:val="2749E623"/>
    <w:rsid w:val="27501F67"/>
    <w:rsid w:val="2751ED04"/>
    <w:rsid w:val="275DCFDF"/>
    <w:rsid w:val="275F037E"/>
    <w:rsid w:val="2785EF59"/>
    <w:rsid w:val="278810EC"/>
    <w:rsid w:val="27895DDE"/>
    <w:rsid w:val="278D5740"/>
    <w:rsid w:val="2799A89E"/>
    <w:rsid w:val="279EA7D9"/>
    <w:rsid w:val="27A910B1"/>
    <w:rsid w:val="27AB486D"/>
    <w:rsid w:val="27BF8F9A"/>
    <w:rsid w:val="27BFDA1F"/>
    <w:rsid w:val="27D1843D"/>
    <w:rsid w:val="27DC9CD3"/>
    <w:rsid w:val="27DF2DA6"/>
    <w:rsid w:val="27F1DCB1"/>
    <w:rsid w:val="2806F525"/>
    <w:rsid w:val="28098E4F"/>
    <w:rsid w:val="28105501"/>
    <w:rsid w:val="281A6E0A"/>
    <w:rsid w:val="2823CAD8"/>
    <w:rsid w:val="282FD9A8"/>
    <w:rsid w:val="28504436"/>
    <w:rsid w:val="285146FC"/>
    <w:rsid w:val="2857D3FE"/>
    <w:rsid w:val="28590377"/>
    <w:rsid w:val="2861F005"/>
    <w:rsid w:val="28673693"/>
    <w:rsid w:val="2867A2D5"/>
    <w:rsid w:val="2879F3A2"/>
    <w:rsid w:val="287E0A80"/>
    <w:rsid w:val="2881EA94"/>
    <w:rsid w:val="288583AD"/>
    <w:rsid w:val="289FF6B2"/>
    <w:rsid w:val="28B2B03E"/>
    <w:rsid w:val="28C5679C"/>
    <w:rsid w:val="28D1B511"/>
    <w:rsid w:val="28D1C540"/>
    <w:rsid w:val="28D50D08"/>
    <w:rsid w:val="28F034E6"/>
    <w:rsid w:val="28F65694"/>
    <w:rsid w:val="28F7AAD7"/>
    <w:rsid w:val="2906B773"/>
    <w:rsid w:val="2906C151"/>
    <w:rsid w:val="290B1A3A"/>
    <w:rsid w:val="291AE72D"/>
    <w:rsid w:val="2921EB42"/>
    <w:rsid w:val="292D0566"/>
    <w:rsid w:val="294A965C"/>
    <w:rsid w:val="294CEBAA"/>
    <w:rsid w:val="2950D65C"/>
    <w:rsid w:val="295302BC"/>
    <w:rsid w:val="29545CE4"/>
    <w:rsid w:val="295AC3A5"/>
    <w:rsid w:val="2974DDFB"/>
    <w:rsid w:val="297597A9"/>
    <w:rsid w:val="299DD625"/>
    <w:rsid w:val="299F97BD"/>
    <w:rsid w:val="29AA0C8F"/>
    <w:rsid w:val="29AB025F"/>
    <w:rsid w:val="29B62CDE"/>
    <w:rsid w:val="29BBD827"/>
    <w:rsid w:val="29DE6AD0"/>
    <w:rsid w:val="29E138F6"/>
    <w:rsid w:val="29E823C2"/>
    <w:rsid w:val="29EC1497"/>
    <w:rsid w:val="29EF6376"/>
    <w:rsid w:val="29FA4E6D"/>
    <w:rsid w:val="29FBA25C"/>
    <w:rsid w:val="2A0306F4"/>
    <w:rsid w:val="2A03B5E3"/>
    <w:rsid w:val="2A0CF750"/>
    <w:rsid w:val="2A15CF5D"/>
    <w:rsid w:val="2A17BB61"/>
    <w:rsid w:val="2A17F3AD"/>
    <w:rsid w:val="2A20927C"/>
    <w:rsid w:val="2A297E1F"/>
    <w:rsid w:val="2A300098"/>
    <w:rsid w:val="2A38CE0C"/>
    <w:rsid w:val="2A410CA2"/>
    <w:rsid w:val="2A59EC2D"/>
    <w:rsid w:val="2A654D60"/>
    <w:rsid w:val="2A6A187C"/>
    <w:rsid w:val="2A6D88C6"/>
    <w:rsid w:val="2A70BF79"/>
    <w:rsid w:val="2A7F3434"/>
    <w:rsid w:val="2A8C5B50"/>
    <w:rsid w:val="2A98CAF9"/>
    <w:rsid w:val="2A9C7675"/>
    <w:rsid w:val="2AA00A08"/>
    <w:rsid w:val="2AA7574D"/>
    <w:rsid w:val="2AAA15BC"/>
    <w:rsid w:val="2AAE51FE"/>
    <w:rsid w:val="2AB7629E"/>
    <w:rsid w:val="2AC511B2"/>
    <w:rsid w:val="2AD2E13B"/>
    <w:rsid w:val="2AD6A58B"/>
    <w:rsid w:val="2AE0256C"/>
    <w:rsid w:val="2AE0BFF0"/>
    <w:rsid w:val="2AE18650"/>
    <w:rsid w:val="2AE22D87"/>
    <w:rsid w:val="2AE233E4"/>
    <w:rsid w:val="2AE6F291"/>
    <w:rsid w:val="2AED8F3B"/>
    <w:rsid w:val="2AF00DAB"/>
    <w:rsid w:val="2AF451B0"/>
    <w:rsid w:val="2AF8F7E7"/>
    <w:rsid w:val="2B073AD4"/>
    <w:rsid w:val="2B1051CC"/>
    <w:rsid w:val="2B10FC4C"/>
    <w:rsid w:val="2B25E76A"/>
    <w:rsid w:val="2B441CF9"/>
    <w:rsid w:val="2B49D74B"/>
    <w:rsid w:val="2B4D92CA"/>
    <w:rsid w:val="2B4F15BA"/>
    <w:rsid w:val="2B5052B7"/>
    <w:rsid w:val="2B5A7412"/>
    <w:rsid w:val="2B5A7A3F"/>
    <w:rsid w:val="2B5E5CCD"/>
    <w:rsid w:val="2B62577F"/>
    <w:rsid w:val="2B63F215"/>
    <w:rsid w:val="2B6E3153"/>
    <w:rsid w:val="2B74DE73"/>
    <w:rsid w:val="2B750FBB"/>
    <w:rsid w:val="2B87E4F8"/>
    <w:rsid w:val="2B88516A"/>
    <w:rsid w:val="2B8BA93B"/>
    <w:rsid w:val="2B8BB63A"/>
    <w:rsid w:val="2B8C0FD1"/>
    <w:rsid w:val="2B968FD8"/>
    <w:rsid w:val="2B9BCAEA"/>
    <w:rsid w:val="2B9ED755"/>
    <w:rsid w:val="2BA6BC3B"/>
    <w:rsid w:val="2BAD0036"/>
    <w:rsid w:val="2BAECFC2"/>
    <w:rsid w:val="2BB3B10F"/>
    <w:rsid w:val="2BB7D8DD"/>
    <w:rsid w:val="2BB92FF2"/>
    <w:rsid w:val="2BBF8549"/>
    <w:rsid w:val="2BBFEE09"/>
    <w:rsid w:val="2BE1F81D"/>
    <w:rsid w:val="2BE6044B"/>
    <w:rsid w:val="2BEDB787"/>
    <w:rsid w:val="2BF38681"/>
    <w:rsid w:val="2BFD6821"/>
    <w:rsid w:val="2C0149E0"/>
    <w:rsid w:val="2C095FB8"/>
    <w:rsid w:val="2C100C32"/>
    <w:rsid w:val="2C16E1FE"/>
    <w:rsid w:val="2C197DA4"/>
    <w:rsid w:val="2C24C9C0"/>
    <w:rsid w:val="2C287F69"/>
    <w:rsid w:val="2C313147"/>
    <w:rsid w:val="2C38BA9F"/>
    <w:rsid w:val="2C3906FC"/>
    <w:rsid w:val="2C4FA5F4"/>
    <w:rsid w:val="2C683515"/>
    <w:rsid w:val="2C7275EC"/>
    <w:rsid w:val="2C7BA8C8"/>
    <w:rsid w:val="2C83934A"/>
    <w:rsid w:val="2C8426A5"/>
    <w:rsid w:val="2C95BCB0"/>
    <w:rsid w:val="2CA9EA87"/>
    <w:rsid w:val="2CAC0456"/>
    <w:rsid w:val="2CAF19B2"/>
    <w:rsid w:val="2CB0D92E"/>
    <w:rsid w:val="2CB4118D"/>
    <w:rsid w:val="2CBA3CD7"/>
    <w:rsid w:val="2CC00559"/>
    <w:rsid w:val="2CC304DD"/>
    <w:rsid w:val="2CC63727"/>
    <w:rsid w:val="2CE4457C"/>
    <w:rsid w:val="2CF0A10E"/>
    <w:rsid w:val="2CF36DAC"/>
    <w:rsid w:val="2CF415C2"/>
    <w:rsid w:val="2CF7EF1B"/>
    <w:rsid w:val="2CFADCCF"/>
    <w:rsid w:val="2CFE42CC"/>
    <w:rsid w:val="2D0510F6"/>
    <w:rsid w:val="2D0C85F2"/>
    <w:rsid w:val="2D23B559"/>
    <w:rsid w:val="2D290025"/>
    <w:rsid w:val="2D41FC83"/>
    <w:rsid w:val="2D449812"/>
    <w:rsid w:val="2D56F8C1"/>
    <w:rsid w:val="2D7B43E0"/>
    <w:rsid w:val="2D887A71"/>
    <w:rsid w:val="2D9A1246"/>
    <w:rsid w:val="2D9EEF3F"/>
    <w:rsid w:val="2DAFA07A"/>
    <w:rsid w:val="2DBBBD0F"/>
    <w:rsid w:val="2DD384C5"/>
    <w:rsid w:val="2DE118E2"/>
    <w:rsid w:val="2DE393C5"/>
    <w:rsid w:val="2E00B704"/>
    <w:rsid w:val="2E0BCB89"/>
    <w:rsid w:val="2E0CDFB4"/>
    <w:rsid w:val="2E0E464D"/>
    <w:rsid w:val="2E110D93"/>
    <w:rsid w:val="2E16A3EE"/>
    <w:rsid w:val="2E1DEBAA"/>
    <w:rsid w:val="2E1EF105"/>
    <w:rsid w:val="2E270911"/>
    <w:rsid w:val="2E283FC1"/>
    <w:rsid w:val="2E295453"/>
    <w:rsid w:val="2E353155"/>
    <w:rsid w:val="2E369147"/>
    <w:rsid w:val="2E489D0E"/>
    <w:rsid w:val="2E56B346"/>
    <w:rsid w:val="2E698D84"/>
    <w:rsid w:val="2E7FAF32"/>
    <w:rsid w:val="2E875267"/>
    <w:rsid w:val="2E915CA9"/>
    <w:rsid w:val="2E9171D1"/>
    <w:rsid w:val="2EA61ACB"/>
    <w:rsid w:val="2EB3A98F"/>
    <w:rsid w:val="2EB7EAF9"/>
    <w:rsid w:val="2EC71307"/>
    <w:rsid w:val="2ECD9704"/>
    <w:rsid w:val="2ECDEA6D"/>
    <w:rsid w:val="2EEB4D08"/>
    <w:rsid w:val="2EED046C"/>
    <w:rsid w:val="2F00D47E"/>
    <w:rsid w:val="2F03BA35"/>
    <w:rsid w:val="2F0D78EA"/>
    <w:rsid w:val="2F0EE89D"/>
    <w:rsid w:val="2F191423"/>
    <w:rsid w:val="2F313189"/>
    <w:rsid w:val="2F332903"/>
    <w:rsid w:val="2F3F71DD"/>
    <w:rsid w:val="2F42FBB5"/>
    <w:rsid w:val="2F447843"/>
    <w:rsid w:val="2F4BAC66"/>
    <w:rsid w:val="2F5CEB8C"/>
    <w:rsid w:val="2F6B516F"/>
    <w:rsid w:val="2F70D4A7"/>
    <w:rsid w:val="2F7B5171"/>
    <w:rsid w:val="2F8AD3C1"/>
    <w:rsid w:val="2FA312F9"/>
    <w:rsid w:val="2FA6CB8D"/>
    <w:rsid w:val="2FA81CEE"/>
    <w:rsid w:val="2FAA16AE"/>
    <w:rsid w:val="2FAE610F"/>
    <w:rsid w:val="2FB27F06"/>
    <w:rsid w:val="2FC1EB55"/>
    <w:rsid w:val="2FC7BBEA"/>
    <w:rsid w:val="2FCD02EA"/>
    <w:rsid w:val="2FDA6F8A"/>
    <w:rsid w:val="2FE2E338"/>
    <w:rsid w:val="2FE2F46B"/>
    <w:rsid w:val="2FE4A7D6"/>
    <w:rsid w:val="2FEFB608"/>
    <w:rsid w:val="2FF00BE9"/>
    <w:rsid w:val="2FF56AE3"/>
    <w:rsid w:val="2FFD59C0"/>
    <w:rsid w:val="3003FAC5"/>
    <w:rsid w:val="30085FA6"/>
    <w:rsid w:val="30264601"/>
    <w:rsid w:val="302F131B"/>
    <w:rsid w:val="303E42D1"/>
    <w:rsid w:val="304AA201"/>
    <w:rsid w:val="304EDCF3"/>
    <w:rsid w:val="30550038"/>
    <w:rsid w:val="305B561B"/>
    <w:rsid w:val="30705B97"/>
    <w:rsid w:val="3076A8B1"/>
    <w:rsid w:val="308AF696"/>
    <w:rsid w:val="3090F4E8"/>
    <w:rsid w:val="309381BA"/>
    <w:rsid w:val="30AC6786"/>
    <w:rsid w:val="30B3ADCF"/>
    <w:rsid w:val="30B49A7B"/>
    <w:rsid w:val="30BE1B33"/>
    <w:rsid w:val="30CC230E"/>
    <w:rsid w:val="30D73FF2"/>
    <w:rsid w:val="30E093CA"/>
    <w:rsid w:val="30E38F81"/>
    <w:rsid w:val="30EC2E7B"/>
    <w:rsid w:val="30F18725"/>
    <w:rsid w:val="31131897"/>
    <w:rsid w:val="311B22F9"/>
    <w:rsid w:val="3126A422"/>
    <w:rsid w:val="31292772"/>
    <w:rsid w:val="31293E70"/>
    <w:rsid w:val="31367F48"/>
    <w:rsid w:val="314A499E"/>
    <w:rsid w:val="314E4F67"/>
    <w:rsid w:val="31669B46"/>
    <w:rsid w:val="3174C862"/>
    <w:rsid w:val="318803D4"/>
    <w:rsid w:val="318B7EE5"/>
    <w:rsid w:val="318C1DDB"/>
    <w:rsid w:val="318C4D64"/>
    <w:rsid w:val="3193F48C"/>
    <w:rsid w:val="319A9D01"/>
    <w:rsid w:val="319D90C1"/>
    <w:rsid w:val="319EF310"/>
    <w:rsid w:val="31AA0D10"/>
    <w:rsid w:val="31AE98F7"/>
    <w:rsid w:val="31B7EFF4"/>
    <w:rsid w:val="31D6CAAD"/>
    <w:rsid w:val="31E053A4"/>
    <w:rsid w:val="31E44E35"/>
    <w:rsid w:val="31F95132"/>
    <w:rsid w:val="32043355"/>
    <w:rsid w:val="32056A15"/>
    <w:rsid w:val="320985A9"/>
    <w:rsid w:val="320E18D9"/>
    <w:rsid w:val="321947A0"/>
    <w:rsid w:val="321AC03A"/>
    <w:rsid w:val="321E7FB4"/>
    <w:rsid w:val="32251728"/>
    <w:rsid w:val="3229F294"/>
    <w:rsid w:val="3233136A"/>
    <w:rsid w:val="323E27B6"/>
    <w:rsid w:val="3242A4A3"/>
    <w:rsid w:val="324A117A"/>
    <w:rsid w:val="3270AA91"/>
    <w:rsid w:val="32779D03"/>
    <w:rsid w:val="32881946"/>
    <w:rsid w:val="32889F4F"/>
    <w:rsid w:val="328E288A"/>
    <w:rsid w:val="3291E377"/>
    <w:rsid w:val="32935B0F"/>
    <w:rsid w:val="32A00423"/>
    <w:rsid w:val="32A32EC5"/>
    <w:rsid w:val="32A924E8"/>
    <w:rsid w:val="32ACE361"/>
    <w:rsid w:val="32AF5280"/>
    <w:rsid w:val="32B46604"/>
    <w:rsid w:val="32B513C7"/>
    <w:rsid w:val="32B7E56D"/>
    <w:rsid w:val="32BFECD9"/>
    <w:rsid w:val="32C0DFEF"/>
    <w:rsid w:val="32C124A8"/>
    <w:rsid w:val="32D0DD91"/>
    <w:rsid w:val="32DDFE96"/>
    <w:rsid w:val="32E3B95E"/>
    <w:rsid w:val="32E53097"/>
    <w:rsid w:val="32EB6680"/>
    <w:rsid w:val="32F1CEEA"/>
    <w:rsid w:val="32F31FFE"/>
    <w:rsid w:val="32FD2417"/>
    <w:rsid w:val="32FE4234"/>
    <w:rsid w:val="33015E89"/>
    <w:rsid w:val="33046B44"/>
    <w:rsid w:val="3305B274"/>
    <w:rsid w:val="33090854"/>
    <w:rsid w:val="33302933"/>
    <w:rsid w:val="33396122"/>
    <w:rsid w:val="333F65F7"/>
    <w:rsid w:val="334C213B"/>
    <w:rsid w:val="3351AC19"/>
    <w:rsid w:val="33579D58"/>
    <w:rsid w:val="335C15DC"/>
    <w:rsid w:val="336BC075"/>
    <w:rsid w:val="337DE2E5"/>
    <w:rsid w:val="337EB47C"/>
    <w:rsid w:val="337FD913"/>
    <w:rsid w:val="3381322C"/>
    <w:rsid w:val="339184C6"/>
    <w:rsid w:val="3392553B"/>
    <w:rsid w:val="33933CC1"/>
    <w:rsid w:val="339AD43A"/>
    <w:rsid w:val="339B1CA7"/>
    <w:rsid w:val="339C4529"/>
    <w:rsid w:val="339F0757"/>
    <w:rsid w:val="33A4ABA5"/>
    <w:rsid w:val="33AE7888"/>
    <w:rsid w:val="33B95287"/>
    <w:rsid w:val="33C19B01"/>
    <w:rsid w:val="33C895AA"/>
    <w:rsid w:val="33D375EA"/>
    <w:rsid w:val="33D8FE6C"/>
    <w:rsid w:val="33EEFAED"/>
    <w:rsid w:val="33FD54A3"/>
    <w:rsid w:val="34108E75"/>
    <w:rsid w:val="3429BB61"/>
    <w:rsid w:val="34491A3F"/>
    <w:rsid w:val="3449686A"/>
    <w:rsid w:val="344D1034"/>
    <w:rsid w:val="347A8D4C"/>
    <w:rsid w:val="34801F40"/>
    <w:rsid w:val="3489FDA1"/>
    <w:rsid w:val="348AED13"/>
    <w:rsid w:val="349ABB03"/>
    <w:rsid w:val="34A123DE"/>
    <w:rsid w:val="34A6A8F3"/>
    <w:rsid w:val="34AF703D"/>
    <w:rsid w:val="34B4D515"/>
    <w:rsid w:val="34C1F8E6"/>
    <w:rsid w:val="34C3F91B"/>
    <w:rsid w:val="34C4128E"/>
    <w:rsid w:val="34C706A3"/>
    <w:rsid w:val="34D31528"/>
    <w:rsid w:val="34D3C838"/>
    <w:rsid w:val="34D5094A"/>
    <w:rsid w:val="34E71742"/>
    <w:rsid w:val="34E90D01"/>
    <w:rsid w:val="34EB59F0"/>
    <w:rsid w:val="3501D715"/>
    <w:rsid w:val="3509B1DE"/>
    <w:rsid w:val="3510E544"/>
    <w:rsid w:val="35208733"/>
    <w:rsid w:val="3521D76F"/>
    <w:rsid w:val="3526ADEF"/>
    <w:rsid w:val="352D7C6B"/>
    <w:rsid w:val="35340428"/>
    <w:rsid w:val="353643D3"/>
    <w:rsid w:val="353F6565"/>
    <w:rsid w:val="354FFB84"/>
    <w:rsid w:val="355540D7"/>
    <w:rsid w:val="3566E1AB"/>
    <w:rsid w:val="35677B2B"/>
    <w:rsid w:val="357442E6"/>
    <w:rsid w:val="357585F2"/>
    <w:rsid w:val="357CFA4E"/>
    <w:rsid w:val="357D55CC"/>
    <w:rsid w:val="357E2818"/>
    <w:rsid w:val="3580441D"/>
    <w:rsid w:val="35826C5F"/>
    <w:rsid w:val="35887E80"/>
    <w:rsid w:val="358DD4EF"/>
    <w:rsid w:val="358F851C"/>
    <w:rsid w:val="35A30D63"/>
    <w:rsid w:val="35A52FE8"/>
    <w:rsid w:val="35B3AC37"/>
    <w:rsid w:val="35C83A9A"/>
    <w:rsid w:val="35CC6130"/>
    <w:rsid w:val="35CFAE53"/>
    <w:rsid w:val="35D7552A"/>
    <w:rsid w:val="35EA337E"/>
    <w:rsid w:val="35F05602"/>
    <w:rsid w:val="35F241AD"/>
    <w:rsid w:val="360DAA69"/>
    <w:rsid w:val="361E8CA1"/>
    <w:rsid w:val="361F1863"/>
    <w:rsid w:val="3634A26A"/>
    <w:rsid w:val="3635B748"/>
    <w:rsid w:val="363AAFBC"/>
    <w:rsid w:val="363E6D9F"/>
    <w:rsid w:val="3647656C"/>
    <w:rsid w:val="365448E0"/>
    <w:rsid w:val="365B9B8C"/>
    <w:rsid w:val="3661E15C"/>
    <w:rsid w:val="36643F67"/>
    <w:rsid w:val="366F9A3B"/>
    <w:rsid w:val="36750C6E"/>
    <w:rsid w:val="3676EA95"/>
    <w:rsid w:val="3677CB63"/>
    <w:rsid w:val="367AABA7"/>
    <w:rsid w:val="367BFECF"/>
    <w:rsid w:val="3684BFDA"/>
    <w:rsid w:val="369075BC"/>
    <w:rsid w:val="369F0E5D"/>
    <w:rsid w:val="369FB628"/>
    <w:rsid w:val="36A7194F"/>
    <w:rsid w:val="36AFF05F"/>
    <w:rsid w:val="36B0F15E"/>
    <w:rsid w:val="36B94A96"/>
    <w:rsid w:val="36D7650A"/>
    <w:rsid w:val="36F0039D"/>
    <w:rsid w:val="36FE340A"/>
    <w:rsid w:val="37005FC6"/>
    <w:rsid w:val="37034B8C"/>
    <w:rsid w:val="371256F8"/>
    <w:rsid w:val="37138E60"/>
    <w:rsid w:val="3715361A"/>
    <w:rsid w:val="37281DD3"/>
    <w:rsid w:val="37301DD1"/>
    <w:rsid w:val="37387733"/>
    <w:rsid w:val="37573982"/>
    <w:rsid w:val="3757AF31"/>
    <w:rsid w:val="375A0FF6"/>
    <w:rsid w:val="375B241D"/>
    <w:rsid w:val="375F1E13"/>
    <w:rsid w:val="377EE913"/>
    <w:rsid w:val="378F8C56"/>
    <w:rsid w:val="3795E5A6"/>
    <w:rsid w:val="379A727F"/>
    <w:rsid w:val="379D772E"/>
    <w:rsid w:val="37A26516"/>
    <w:rsid w:val="37B3D878"/>
    <w:rsid w:val="37BF0CED"/>
    <w:rsid w:val="37C2B8A6"/>
    <w:rsid w:val="37C2D764"/>
    <w:rsid w:val="37C50ABE"/>
    <w:rsid w:val="37D814D6"/>
    <w:rsid w:val="38005260"/>
    <w:rsid w:val="3802D9CC"/>
    <w:rsid w:val="38160202"/>
    <w:rsid w:val="381E1197"/>
    <w:rsid w:val="382C4CF5"/>
    <w:rsid w:val="383AA587"/>
    <w:rsid w:val="383C054B"/>
    <w:rsid w:val="384989D4"/>
    <w:rsid w:val="3854136A"/>
    <w:rsid w:val="3864C4EB"/>
    <w:rsid w:val="386DC24B"/>
    <w:rsid w:val="386FB64C"/>
    <w:rsid w:val="38733E78"/>
    <w:rsid w:val="38741FAE"/>
    <w:rsid w:val="387525FB"/>
    <w:rsid w:val="387F1DB3"/>
    <w:rsid w:val="38859B02"/>
    <w:rsid w:val="388B7E37"/>
    <w:rsid w:val="389118EC"/>
    <w:rsid w:val="389F1BED"/>
    <w:rsid w:val="38AAA34A"/>
    <w:rsid w:val="38B6044D"/>
    <w:rsid w:val="38C004FB"/>
    <w:rsid w:val="38C06C47"/>
    <w:rsid w:val="38C840A7"/>
    <w:rsid w:val="38DA7A5E"/>
    <w:rsid w:val="38DDB4E6"/>
    <w:rsid w:val="38E0F944"/>
    <w:rsid w:val="38E2C7D5"/>
    <w:rsid w:val="38F103C0"/>
    <w:rsid w:val="38F4A69F"/>
    <w:rsid w:val="38F94A47"/>
    <w:rsid w:val="390545E5"/>
    <w:rsid w:val="390CA9BB"/>
    <w:rsid w:val="3929F8CC"/>
    <w:rsid w:val="394B7780"/>
    <w:rsid w:val="396307EF"/>
    <w:rsid w:val="39633EEC"/>
    <w:rsid w:val="39682835"/>
    <w:rsid w:val="397C675B"/>
    <w:rsid w:val="39800F72"/>
    <w:rsid w:val="39801D12"/>
    <w:rsid w:val="39804BEF"/>
    <w:rsid w:val="398D693B"/>
    <w:rsid w:val="3999EF4F"/>
    <w:rsid w:val="399AA508"/>
    <w:rsid w:val="399B7336"/>
    <w:rsid w:val="399BB6CA"/>
    <w:rsid w:val="399FAE23"/>
    <w:rsid w:val="39A35BE8"/>
    <w:rsid w:val="39A8A2A6"/>
    <w:rsid w:val="39AC5071"/>
    <w:rsid w:val="39E42065"/>
    <w:rsid w:val="39F9D9BD"/>
    <w:rsid w:val="39FB3448"/>
    <w:rsid w:val="39FDDD94"/>
    <w:rsid w:val="3A00B196"/>
    <w:rsid w:val="3A1D09DC"/>
    <w:rsid w:val="3A2D334F"/>
    <w:rsid w:val="3A33275A"/>
    <w:rsid w:val="3A350019"/>
    <w:rsid w:val="3A351452"/>
    <w:rsid w:val="3A37E5D0"/>
    <w:rsid w:val="3A3AEC4E"/>
    <w:rsid w:val="3A4B7A72"/>
    <w:rsid w:val="3A4E559E"/>
    <w:rsid w:val="3A53FD44"/>
    <w:rsid w:val="3A598EB8"/>
    <w:rsid w:val="3A59B33F"/>
    <w:rsid w:val="3A5C1862"/>
    <w:rsid w:val="3A6CD44B"/>
    <w:rsid w:val="3A6E9F16"/>
    <w:rsid w:val="3A74699E"/>
    <w:rsid w:val="3A7B5322"/>
    <w:rsid w:val="3A8E343F"/>
    <w:rsid w:val="3AA3C316"/>
    <w:rsid w:val="3AA8D86F"/>
    <w:rsid w:val="3AB03EE0"/>
    <w:rsid w:val="3AB92752"/>
    <w:rsid w:val="3ABA89B5"/>
    <w:rsid w:val="3ABB589D"/>
    <w:rsid w:val="3AC1D048"/>
    <w:rsid w:val="3ACA5E60"/>
    <w:rsid w:val="3ACE29DF"/>
    <w:rsid w:val="3ACF334D"/>
    <w:rsid w:val="3AD4FBE7"/>
    <w:rsid w:val="3AE0D40A"/>
    <w:rsid w:val="3AF079EC"/>
    <w:rsid w:val="3AF78355"/>
    <w:rsid w:val="3B05399C"/>
    <w:rsid w:val="3B0C8449"/>
    <w:rsid w:val="3B13F625"/>
    <w:rsid w:val="3B1990A1"/>
    <w:rsid w:val="3B34A5D4"/>
    <w:rsid w:val="3B3885EA"/>
    <w:rsid w:val="3B3D2552"/>
    <w:rsid w:val="3B41F723"/>
    <w:rsid w:val="3B449883"/>
    <w:rsid w:val="3B46E9E1"/>
    <w:rsid w:val="3B4DF4D6"/>
    <w:rsid w:val="3B50626A"/>
    <w:rsid w:val="3B5FA027"/>
    <w:rsid w:val="3B6917BE"/>
    <w:rsid w:val="3B6D2979"/>
    <w:rsid w:val="3B77BF3E"/>
    <w:rsid w:val="3B892632"/>
    <w:rsid w:val="3B8DE437"/>
    <w:rsid w:val="3B933A17"/>
    <w:rsid w:val="3B960F6B"/>
    <w:rsid w:val="3BA73AC7"/>
    <w:rsid w:val="3BA915BA"/>
    <w:rsid w:val="3BAC6683"/>
    <w:rsid w:val="3BB66B14"/>
    <w:rsid w:val="3BCBDFA6"/>
    <w:rsid w:val="3BD93AF3"/>
    <w:rsid w:val="3BEF6EB1"/>
    <w:rsid w:val="3BF8921B"/>
    <w:rsid w:val="3BFBB389"/>
    <w:rsid w:val="3BFD3DED"/>
    <w:rsid w:val="3C049B2B"/>
    <w:rsid w:val="3C13E15D"/>
    <w:rsid w:val="3C2071CD"/>
    <w:rsid w:val="3C295941"/>
    <w:rsid w:val="3C2DB176"/>
    <w:rsid w:val="3C30ECD7"/>
    <w:rsid w:val="3C420E38"/>
    <w:rsid w:val="3C521418"/>
    <w:rsid w:val="3C530AE8"/>
    <w:rsid w:val="3C62DCA5"/>
    <w:rsid w:val="3C6508BD"/>
    <w:rsid w:val="3C7F1E67"/>
    <w:rsid w:val="3C87631A"/>
    <w:rsid w:val="3C8F4E60"/>
    <w:rsid w:val="3C95EE97"/>
    <w:rsid w:val="3C9698EF"/>
    <w:rsid w:val="3CAED6CE"/>
    <w:rsid w:val="3CBF7CFC"/>
    <w:rsid w:val="3CC7E56E"/>
    <w:rsid w:val="3CC7ED16"/>
    <w:rsid w:val="3CDC7A6A"/>
    <w:rsid w:val="3CDDF6D8"/>
    <w:rsid w:val="3CE51B53"/>
    <w:rsid w:val="3CEEB602"/>
    <w:rsid w:val="3D152FAB"/>
    <w:rsid w:val="3D23DC00"/>
    <w:rsid w:val="3D25A72F"/>
    <w:rsid w:val="3D3DA00A"/>
    <w:rsid w:val="3D4AB60D"/>
    <w:rsid w:val="3D4EC584"/>
    <w:rsid w:val="3D64CE87"/>
    <w:rsid w:val="3D6B03F3"/>
    <w:rsid w:val="3D6FDA1D"/>
    <w:rsid w:val="3D7A0864"/>
    <w:rsid w:val="3D7CA664"/>
    <w:rsid w:val="3D899B78"/>
    <w:rsid w:val="3D8CE057"/>
    <w:rsid w:val="3D91C020"/>
    <w:rsid w:val="3D96D3EB"/>
    <w:rsid w:val="3DA5C012"/>
    <w:rsid w:val="3DAFE290"/>
    <w:rsid w:val="3DB86542"/>
    <w:rsid w:val="3DBB79DF"/>
    <w:rsid w:val="3DC056FC"/>
    <w:rsid w:val="3DC3FE9F"/>
    <w:rsid w:val="3DC4C804"/>
    <w:rsid w:val="3DCF3DB0"/>
    <w:rsid w:val="3DCF6B18"/>
    <w:rsid w:val="3DE02DBE"/>
    <w:rsid w:val="3DE6E693"/>
    <w:rsid w:val="3DE9A762"/>
    <w:rsid w:val="3DEBC57D"/>
    <w:rsid w:val="3DEF11CC"/>
    <w:rsid w:val="3DF72B75"/>
    <w:rsid w:val="3DF8FC8F"/>
    <w:rsid w:val="3DFA48B1"/>
    <w:rsid w:val="3DFB25D3"/>
    <w:rsid w:val="3DFF882D"/>
    <w:rsid w:val="3DFFA8EC"/>
    <w:rsid w:val="3E0C4859"/>
    <w:rsid w:val="3E0E9F50"/>
    <w:rsid w:val="3E141CE5"/>
    <w:rsid w:val="3E28C1BE"/>
    <w:rsid w:val="3E31C505"/>
    <w:rsid w:val="3E328EB6"/>
    <w:rsid w:val="3E3D4159"/>
    <w:rsid w:val="3E464783"/>
    <w:rsid w:val="3E5099EB"/>
    <w:rsid w:val="3E580B5D"/>
    <w:rsid w:val="3E5C66AB"/>
    <w:rsid w:val="3E6062AE"/>
    <w:rsid w:val="3E61E7DA"/>
    <w:rsid w:val="3E73740F"/>
    <w:rsid w:val="3E7687D6"/>
    <w:rsid w:val="3E8BFC94"/>
    <w:rsid w:val="3E9249B0"/>
    <w:rsid w:val="3E979B3E"/>
    <w:rsid w:val="3E9A4FFF"/>
    <w:rsid w:val="3E9B6301"/>
    <w:rsid w:val="3E9C3EB4"/>
    <w:rsid w:val="3EA7B8E9"/>
    <w:rsid w:val="3EBB9791"/>
    <w:rsid w:val="3ED66B81"/>
    <w:rsid w:val="3EDC7401"/>
    <w:rsid w:val="3EEF44FC"/>
    <w:rsid w:val="3EF0E1DE"/>
    <w:rsid w:val="3EF13F36"/>
    <w:rsid w:val="3EF26028"/>
    <w:rsid w:val="3EF9B644"/>
    <w:rsid w:val="3F0531D4"/>
    <w:rsid w:val="3F176424"/>
    <w:rsid w:val="3F1DDC86"/>
    <w:rsid w:val="3F31D549"/>
    <w:rsid w:val="3F3C542E"/>
    <w:rsid w:val="3F420D3C"/>
    <w:rsid w:val="3F5B98AB"/>
    <w:rsid w:val="3F5C0524"/>
    <w:rsid w:val="3F5C5A1C"/>
    <w:rsid w:val="3F6DA32B"/>
    <w:rsid w:val="3F714529"/>
    <w:rsid w:val="3F7A152D"/>
    <w:rsid w:val="3F7AE582"/>
    <w:rsid w:val="3F90BAC4"/>
    <w:rsid w:val="3F9C857C"/>
    <w:rsid w:val="3FA8CB26"/>
    <w:rsid w:val="3FB0B0C5"/>
    <w:rsid w:val="3FB16B2A"/>
    <w:rsid w:val="3FBC4B27"/>
    <w:rsid w:val="3FC35A59"/>
    <w:rsid w:val="3FC9F581"/>
    <w:rsid w:val="3FCF0804"/>
    <w:rsid w:val="3FD3114C"/>
    <w:rsid w:val="3FD91A35"/>
    <w:rsid w:val="3FE44C5D"/>
    <w:rsid w:val="3FE50FDE"/>
    <w:rsid w:val="3FF80861"/>
    <w:rsid w:val="40035E0F"/>
    <w:rsid w:val="402A2595"/>
    <w:rsid w:val="402F8D6D"/>
    <w:rsid w:val="40381C59"/>
    <w:rsid w:val="403EE0B1"/>
    <w:rsid w:val="40427850"/>
    <w:rsid w:val="4047FC85"/>
    <w:rsid w:val="40577B25"/>
    <w:rsid w:val="40668240"/>
    <w:rsid w:val="40705999"/>
    <w:rsid w:val="408B28F4"/>
    <w:rsid w:val="408B9D1B"/>
    <w:rsid w:val="4094B361"/>
    <w:rsid w:val="4095C9A9"/>
    <w:rsid w:val="40AD08E1"/>
    <w:rsid w:val="40B049B6"/>
    <w:rsid w:val="40B8954D"/>
    <w:rsid w:val="40BC9F1A"/>
    <w:rsid w:val="40BF1345"/>
    <w:rsid w:val="40C6B242"/>
    <w:rsid w:val="40C9F630"/>
    <w:rsid w:val="40D34765"/>
    <w:rsid w:val="40D4FC0C"/>
    <w:rsid w:val="40D722BB"/>
    <w:rsid w:val="40E4C245"/>
    <w:rsid w:val="40E6C690"/>
    <w:rsid w:val="40EE4681"/>
    <w:rsid w:val="40F6E4E8"/>
    <w:rsid w:val="40F9A827"/>
    <w:rsid w:val="40FFA4EF"/>
    <w:rsid w:val="41089A2F"/>
    <w:rsid w:val="411DC109"/>
    <w:rsid w:val="4138567B"/>
    <w:rsid w:val="413C0B6E"/>
    <w:rsid w:val="413F8440"/>
    <w:rsid w:val="41420B4B"/>
    <w:rsid w:val="4154A08D"/>
    <w:rsid w:val="415F7B46"/>
    <w:rsid w:val="416053C4"/>
    <w:rsid w:val="416AA80D"/>
    <w:rsid w:val="41707F1C"/>
    <w:rsid w:val="4175C9D7"/>
    <w:rsid w:val="417E856F"/>
    <w:rsid w:val="4184CEA6"/>
    <w:rsid w:val="4186D9A8"/>
    <w:rsid w:val="418A4922"/>
    <w:rsid w:val="419210A4"/>
    <w:rsid w:val="41921325"/>
    <w:rsid w:val="419938AE"/>
    <w:rsid w:val="41C0BAC1"/>
    <w:rsid w:val="41C1F166"/>
    <w:rsid w:val="41D117A6"/>
    <w:rsid w:val="41D1F0C1"/>
    <w:rsid w:val="41D92FA9"/>
    <w:rsid w:val="41E8F2D3"/>
    <w:rsid w:val="41F58CCC"/>
    <w:rsid w:val="4209D6C0"/>
    <w:rsid w:val="420B28FE"/>
    <w:rsid w:val="420C5138"/>
    <w:rsid w:val="421A31F9"/>
    <w:rsid w:val="4223F367"/>
    <w:rsid w:val="42271778"/>
    <w:rsid w:val="4227C87D"/>
    <w:rsid w:val="42379135"/>
    <w:rsid w:val="42384A56"/>
    <w:rsid w:val="42409CB2"/>
    <w:rsid w:val="4242E913"/>
    <w:rsid w:val="4260BD2B"/>
    <w:rsid w:val="4277CDF3"/>
    <w:rsid w:val="4296D816"/>
    <w:rsid w:val="429C9CCA"/>
    <w:rsid w:val="429DD423"/>
    <w:rsid w:val="42A62ABF"/>
    <w:rsid w:val="42AF9638"/>
    <w:rsid w:val="42B9A8FA"/>
    <w:rsid w:val="42BEAE74"/>
    <w:rsid w:val="42BF4B0C"/>
    <w:rsid w:val="42C0A9AF"/>
    <w:rsid w:val="42E35CDF"/>
    <w:rsid w:val="42EBE528"/>
    <w:rsid w:val="42ED4146"/>
    <w:rsid w:val="42F12E36"/>
    <w:rsid w:val="42F85216"/>
    <w:rsid w:val="430B2E5D"/>
    <w:rsid w:val="43127E32"/>
    <w:rsid w:val="431C1D63"/>
    <w:rsid w:val="431F4AC9"/>
    <w:rsid w:val="431FE435"/>
    <w:rsid w:val="43238C4D"/>
    <w:rsid w:val="43285F3D"/>
    <w:rsid w:val="43296588"/>
    <w:rsid w:val="432EF0D1"/>
    <w:rsid w:val="4332D018"/>
    <w:rsid w:val="4336AC06"/>
    <w:rsid w:val="4347DDF0"/>
    <w:rsid w:val="4352838B"/>
    <w:rsid w:val="4355291F"/>
    <w:rsid w:val="43690CB7"/>
    <w:rsid w:val="437E5348"/>
    <w:rsid w:val="4381C189"/>
    <w:rsid w:val="43914D29"/>
    <w:rsid w:val="4396117D"/>
    <w:rsid w:val="43AE2303"/>
    <w:rsid w:val="43B3006B"/>
    <w:rsid w:val="43CEA581"/>
    <w:rsid w:val="43E42379"/>
    <w:rsid w:val="43F28F51"/>
    <w:rsid w:val="440532EE"/>
    <w:rsid w:val="441778AB"/>
    <w:rsid w:val="4423B806"/>
    <w:rsid w:val="4428F713"/>
    <w:rsid w:val="4430141A"/>
    <w:rsid w:val="4436F5D0"/>
    <w:rsid w:val="4447C86B"/>
    <w:rsid w:val="444E9AF3"/>
    <w:rsid w:val="44560E3F"/>
    <w:rsid w:val="44562E7C"/>
    <w:rsid w:val="44638BD4"/>
    <w:rsid w:val="44651EB4"/>
    <w:rsid w:val="44744C39"/>
    <w:rsid w:val="447B2981"/>
    <w:rsid w:val="449B6F76"/>
    <w:rsid w:val="449C170E"/>
    <w:rsid w:val="449CE0AB"/>
    <w:rsid w:val="44A1EDC1"/>
    <w:rsid w:val="44A40BC8"/>
    <w:rsid w:val="44A8511E"/>
    <w:rsid w:val="44A986D2"/>
    <w:rsid w:val="44AB2A0C"/>
    <w:rsid w:val="44B81803"/>
    <w:rsid w:val="44BD4334"/>
    <w:rsid w:val="44C2258D"/>
    <w:rsid w:val="44D19BFE"/>
    <w:rsid w:val="44D5B4BD"/>
    <w:rsid w:val="44D5DA48"/>
    <w:rsid w:val="44DB4BF4"/>
    <w:rsid w:val="44DB583C"/>
    <w:rsid w:val="44DC895C"/>
    <w:rsid w:val="45086D21"/>
    <w:rsid w:val="451EA0A2"/>
    <w:rsid w:val="452477E0"/>
    <w:rsid w:val="4537AAAE"/>
    <w:rsid w:val="45463BF2"/>
    <w:rsid w:val="454E9ECF"/>
    <w:rsid w:val="45525045"/>
    <w:rsid w:val="4561DEAA"/>
    <w:rsid w:val="456CFBD3"/>
    <w:rsid w:val="457B9664"/>
    <w:rsid w:val="458635C9"/>
    <w:rsid w:val="459CAC4C"/>
    <w:rsid w:val="45A80593"/>
    <w:rsid w:val="45A95D13"/>
    <w:rsid w:val="45B16227"/>
    <w:rsid w:val="45B3BFAB"/>
    <w:rsid w:val="45C22380"/>
    <w:rsid w:val="45C9744A"/>
    <w:rsid w:val="45DC44FD"/>
    <w:rsid w:val="45E8F745"/>
    <w:rsid w:val="460016DA"/>
    <w:rsid w:val="460C0F05"/>
    <w:rsid w:val="460E94F3"/>
    <w:rsid w:val="46115D24"/>
    <w:rsid w:val="461813CD"/>
    <w:rsid w:val="4618ED03"/>
    <w:rsid w:val="461E0DFD"/>
    <w:rsid w:val="46216563"/>
    <w:rsid w:val="46250FC4"/>
    <w:rsid w:val="462BA6B9"/>
    <w:rsid w:val="462E00F1"/>
    <w:rsid w:val="462E40F4"/>
    <w:rsid w:val="4634AF18"/>
    <w:rsid w:val="465E95C1"/>
    <w:rsid w:val="465F90D2"/>
    <w:rsid w:val="4688BE74"/>
    <w:rsid w:val="46911A37"/>
    <w:rsid w:val="4691A0A5"/>
    <w:rsid w:val="469DD360"/>
    <w:rsid w:val="46A561E4"/>
    <w:rsid w:val="46ADC19E"/>
    <w:rsid w:val="46B9F0B4"/>
    <w:rsid w:val="46CCD2E9"/>
    <w:rsid w:val="46CD16DC"/>
    <w:rsid w:val="46CE47DA"/>
    <w:rsid w:val="46D71FD2"/>
    <w:rsid w:val="46E20827"/>
    <w:rsid w:val="46E39CDD"/>
    <w:rsid w:val="46EDE388"/>
    <w:rsid w:val="47056548"/>
    <w:rsid w:val="470F94F4"/>
    <w:rsid w:val="471065B7"/>
    <w:rsid w:val="4712F870"/>
    <w:rsid w:val="4713F269"/>
    <w:rsid w:val="47229DA1"/>
    <w:rsid w:val="47279727"/>
    <w:rsid w:val="472E7C0A"/>
    <w:rsid w:val="47327FC4"/>
    <w:rsid w:val="473FCB83"/>
    <w:rsid w:val="4745861F"/>
    <w:rsid w:val="474DBD54"/>
    <w:rsid w:val="47559036"/>
    <w:rsid w:val="475E2CEC"/>
    <w:rsid w:val="476DCDED"/>
    <w:rsid w:val="47720601"/>
    <w:rsid w:val="47763FA0"/>
    <w:rsid w:val="477CA9EA"/>
    <w:rsid w:val="478BE109"/>
    <w:rsid w:val="478C9786"/>
    <w:rsid w:val="4793EC0E"/>
    <w:rsid w:val="479938F5"/>
    <w:rsid w:val="479C4330"/>
    <w:rsid w:val="47A2F34A"/>
    <w:rsid w:val="47AF98B4"/>
    <w:rsid w:val="47B187B5"/>
    <w:rsid w:val="47B532EF"/>
    <w:rsid w:val="47BB55FF"/>
    <w:rsid w:val="47C8988B"/>
    <w:rsid w:val="47D2485C"/>
    <w:rsid w:val="47E21C26"/>
    <w:rsid w:val="47E31E8C"/>
    <w:rsid w:val="47E42EFD"/>
    <w:rsid w:val="47EF06CD"/>
    <w:rsid w:val="47F7AD4E"/>
    <w:rsid w:val="47FC3D81"/>
    <w:rsid w:val="47FCC349"/>
    <w:rsid w:val="480C93B9"/>
    <w:rsid w:val="48109C02"/>
    <w:rsid w:val="481154CE"/>
    <w:rsid w:val="48128F9A"/>
    <w:rsid w:val="4823DDBD"/>
    <w:rsid w:val="482C04BA"/>
    <w:rsid w:val="482C5608"/>
    <w:rsid w:val="484E6F44"/>
    <w:rsid w:val="4857183A"/>
    <w:rsid w:val="48743995"/>
    <w:rsid w:val="48744888"/>
    <w:rsid w:val="487CB834"/>
    <w:rsid w:val="48847901"/>
    <w:rsid w:val="488545A2"/>
    <w:rsid w:val="488CF93C"/>
    <w:rsid w:val="488FC2BC"/>
    <w:rsid w:val="48B7BC8A"/>
    <w:rsid w:val="48C52594"/>
    <w:rsid w:val="48D2577D"/>
    <w:rsid w:val="48D4E3C6"/>
    <w:rsid w:val="48DC41BA"/>
    <w:rsid w:val="48E532FA"/>
    <w:rsid w:val="48EE4418"/>
    <w:rsid w:val="48F96611"/>
    <w:rsid w:val="49036F7F"/>
    <w:rsid w:val="4913C444"/>
    <w:rsid w:val="491BA321"/>
    <w:rsid w:val="49246EC6"/>
    <w:rsid w:val="492B0A09"/>
    <w:rsid w:val="493A6D57"/>
    <w:rsid w:val="493F9DC3"/>
    <w:rsid w:val="494506E1"/>
    <w:rsid w:val="494FECB1"/>
    <w:rsid w:val="49506794"/>
    <w:rsid w:val="4962A8A5"/>
    <w:rsid w:val="497D64C0"/>
    <w:rsid w:val="499C19CE"/>
    <w:rsid w:val="49A9D211"/>
    <w:rsid w:val="49B12CD4"/>
    <w:rsid w:val="49B27635"/>
    <w:rsid w:val="49BB84EE"/>
    <w:rsid w:val="49BD50DA"/>
    <w:rsid w:val="49C1E790"/>
    <w:rsid w:val="49D41E8B"/>
    <w:rsid w:val="49DD4DDA"/>
    <w:rsid w:val="49E14669"/>
    <w:rsid w:val="49EB2573"/>
    <w:rsid w:val="49F77234"/>
    <w:rsid w:val="4A0BC160"/>
    <w:rsid w:val="4A11118A"/>
    <w:rsid w:val="4A195B9B"/>
    <w:rsid w:val="4A1E9E76"/>
    <w:rsid w:val="4A269B82"/>
    <w:rsid w:val="4A41911F"/>
    <w:rsid w:val="4A456338"/>
    <w:rsid w:val="4A4BC6D9"/>
    <w:rsid w:val="4A57083A"/>
    <w:rsid w:val="4A650FDB"/>
    <w:rsid w:val="4A833DDD"/>
    <w:rsid w:val="4A90A85D"/>
    <w:rsid w:val="4A926666"/>
    <w:rsid w:val="4A9CA595"/>
    <w:rsid w:val="4A9E9944"/>
    <w:rsid w:val="4A9F8D02"/>
    <w:rsid w:val="4AA2F626"/>
    <w:rsid w:val="4AB25E2E"/>
    <w:rsid w:val="4ABBF71D"/>
    <w:rsid w:val="4ACF11A4"/>
    <w:rsid w:val="4AD539D9"/>
    <w:rsid w:val="4AF39FC8"/>
    <w:rsid w:val="4AF3B47C"/>
    <w:rsid w:val="4B1F642B"/>
    <w:rsid w:val="4B1FA770"/>
    <w:rsid w:val="4B262C0C"/>
    <w:rsid w:val="4B2D4221"/>
    <w:rsid w:val="4B3028B8"/>
    <w:rsid w:val="4B357BE9"/>
    <w:rsid w:val="4B3738B7"/>
    <w:rsid w:val="4B4067E6"/>
    <w:rsid w:val="4B40FB75"/>
    <w:rsid w:val="4B5B8CE1"/>
    <w:rsid w:val="4B70DC2C"/>
    <w:rsid w:val="4B7CB838"/>
    <w:rsid w:val="4B8C2A49"/>
    <w:rsid w:val="4B8EBF89"/>
    <w:rsid w:val="4B915E19"/>
    <w:rsid w:val="4B9BB9A7"/>
    <w:rsid w:val="4BBD5F5E"/>
    <w:rsid w:val="4BC84AEF"/>
    <w:rsid w:val="4BC96683"/>
    <w:rsid w:val="4BD674FB"/>
    <w:rsid w:val="4BD6EA31"/>
    <w:rsid w:val="4BD912DC"/>
    <w:rsid w:val="4BDF9D0B"/>
    <w:rsid w:val="4BE8A437"/>
    <w:rsid w:val="4BE91AA5"/>
    <w:rsid w:val="4BF0088E"/>
    <w:rsid w:val="4BF524D8"/>
    <w:rsid w:val="4BFDF940"/>
    <w:rsid w:val="4C04BA06"/>
    <w:rsid w:val="4C15F7AE"/>
    <w:rsid w:val="4C1C91F8"/>
    <w:rsid w:val="4C1CB435"/>
    <w:rsid w:val="4C2B2011"/>
    <w:rsid w:val="4C2E4B58"/>
    <w:rsid w:val="4C40FA43"/>
    <w:rsid w:val="4C41F792"/>
    <w:rsid w:val="4C47A6F4"/>
    <w:rsid w:val="4C4A74C9"/>
    <w:rsid w:val="4C680293"/>
    <w:rsid w:val="4C6B7B75"/>
    <w:rsid w:val="4C8B07E5"/>
    <w:rsid w:val="4C9DA2EC"/>
    <w:rsid w:val="4CA820A8"/>
    <w:rsid w:val="4CAB0669"/>
    <w:rsid w:val="4CAD6100"/>
    <w:rsid w:val="4CCB3102"/>
    <w:rsid w:val="4CCE6BE0"/>
    <w:rsid w:val="4CD4784D"/>
    <w:rsid w:val="4CDCF183"/>
    <w:rsid w:val="4CE28D46"/>
    <w:rsid w:val="4CE52C41"/>
    <w:rsid w:val="4CE5B3F0"/>
    <w:rsid w:val="4CE8A141"/>
    <w:rsid w:val="4CF23CE4"/>
    <w:rsid w:val="4D09FFCA"/>
    <w:rsid w:val="4D0BD472"/>
    <w:rsid w:val="4D0C2E8E"/>
    <w:rsid w:val="4D0F7DA1"/>
    <w:rsid w:val="4D24455C"/>
    <w:rsid w:val="4D2464FD"/>
    <w:rsid w:val="4D278BAB"/>
    <w:rsid w:val="4D30E9C9"/>
    <w:rsid w:val="4D313218"/>
    <w:rsid w:val="4D437882"/>
    <w:rsid w:val="4D47B0A8"/>
    <w:rsid w:val="4D481062"/>
    <w:rsid w:val="4D4E63A2"/>
    <w:rsid w:val="4D60349C"/>
    <w:rsid w:val="4D63FBC9"/>
    <w:rsid w:val="4D68843A"/>
    <w:rsid w:val="4D6ADF4F"/>
    <w:rsid w:val="4D748C50"/>
    <w:rsid w:val="4D79DA76"/>
    <w:rsid w:val="4D86498D"/>
    <w:rsid w:val="4D897962"/>
    <w:rsid w:val="4D92CF55"/>
    <w:rsid w:val="4DA14DD4"/>
    <w:rsid w:val="4DA502B1"/>
    <w:rsid w:val="4DA6584F"/>
    <w:rsid w:val="4DBB9C5D"/>
    <w:rsid w:val="4DBCA2E8"/>
    <w:rsid w:val="4DBDF2D4"/>
    <w:rsid w:val="4DD36268"/>
    <w:rsid w:val="4DEF92D7"/>
    <w:rsid w:val="4DFC1684"/>
    <w:rsid w:val="4E0C5D7C"/>
    <w:rsid w:val="4E1DDB33"/>
    <w:rsid w:val="4E1FF0CE"/>
    <w:rsid w:val="4E2A9783"/>
    <w:rsid w:val="4E33E2DD"/>
    <w:rsid w:val="4E3445D8"/>
    <w:rsid w:val="4E35C3D5"/>
    <w:rsid w:val="4E3F04C2"/>
    <w:rsid w:val="4E42CCB5"/>
    <w:rsid w:val="4E500172"/>
    <w:rsid w:val="4E52BF54"/>
    <w:rsid w:val="4E58AFB5"/>
    <w:rsid w:val="4E5FB503"/>
    <w:rsid w:val="4E630E60"/>
    <w:rsid w:val="4E6BE18A"/>
    <w:rsid w:val="4E706D65"/>
    <w:rsid w:val="4E710F98"/>
    <w:rsid w:val="4E8DCC02"/>
    <w:rsid w:val="4E939EE8"/>
    <w:rsid w:val="4EA0DA8D"/>
    <w:rsid w:val="4EB4CCD2"/>
    <w:rsid w:val="4EBCD803"/>
    <w:rsid w:val="4EBDE348"/>
    <w:rsid w:val="4EBE59C9"/>
    <w:rsid w:val="4EC5AAE5"/>
    <w:rsid w:val="4ECD9FB8"/>
    <w:rsid w:val="4EE27366"/>
    <w:rsid w:val="4EECA54E"/>
    <w:rsid w:val="4EF48422"/>
    <w:rsid w:val="4F04CD82"/>
    <w:rsid w:val="4F34FF2B"/>
    <w:rsid w:val="4F3745F5"/>
    <w:rsid w:val="4F3A9E26"/>
    <w:rsid w:val="4F3B93E8"/>
    <w:rsid w:val="4F4492FD"/>
    <w:rsid w:val="4F4B50A9"/>
    <w:rsid w:val="4F4BF6F9"/>
    <w:rsid w:val="4F5D2E8B"/>
    <w:rsid w:val="4F651ADE"/>
    <w:rsid w:val="4F663FBA"/>
    <w:rsid w:val="4F696D92"/>
    <w:rsid w:val="4F718F4B"/>
    <w:rsid w:val="4F73CCC6"/>
    <w:rsid w:val="4F7445E5"/>
    <w:rsid w:val="4F811759"/>
    <w:rsid w:val="4F86CCDA"/>
    <w:rsid w:val="4F8B0E5F"/>
    <w:rsid w:val="4F8BB47B"/>
    <w:rsid w:val="4F97327C"/>
    <w:rsid w:val="4F9C56DF"/>
    <w:rsid w:val="4FA64870"/>
    <w:rsid w:val="4FC2770F"/>
    <w:rsid w:val="4FC2A8A7"/>
    <w:rsid w:val="4FC41985"/>
    <w:rsid w:val="4FD2785E"/>
    <w:rsid w:val="5009B51F"/>
    <w:rsid w:val="500BE306"/>
    <w:rsid w:val="5012CDD7"/>
    <w:rsid w:val="501855D3"/>
    <w:rsid w:val="501DE257"/>
    <w:rsid w:val="5022E8A8"/>
    <w:rsid w:val="502643E1"/>
    <w:rsid w:val="502815F1"/>
    <w:rsid w:val="502ABC06"/>
    <w:rsid w:val="50302248"/>
    <w:rsid w:val="5038BB1C"/>
    <w:rsid w:val="503CE544"/>
    <w:rsid w:val="503D5421"/>
    <w:rsid w:val="504221EA"/>
    <w:rsid w:val="5043BA00"/>
    <w:rsid w:val="50449B28"/>
    <w:rsid w:val="5055DE8E"/>
    <w:rsid w:val="5056E8C7"/>
    <w:rsid w:val="505CF2AA"/>
    <w:rsid w:val="506174B2"/>
    <w:rsid w:val="5062A9EE"/>
    <w:rsid w:val="506AB1C3"/>
    <w:rsid w:val="5072C294"/>
    <w:rsid w:val="5077D2D3"/>
    <w:rsid w:val="507B69CB"/>
    <w:rsid w:val="509D8B3F"/>
    <w:rsid w:val="50ADE68D"/>
    <w:rsid w:val="50BBE4FD"/>
    <w:rsid w:val="50BC677E"/>
    <w:rsid w:val="50C40E5D"/>
    <w:rsid w:val="50C94358"/>
    <w:rsid w:val="50C948A9"/>
    <w:rsid w:val="50DB5060"/>
    <w:rsid w:val="50DF6945"/>
    <w:rsid w:val="50EB55E9"/>
    <w:rsid w:val="50ED4876"/>
    <w:rsid w:val="51034C84"/>
    <w:rsid w:val="51079E0E"/>
    <w:rsid w:val="510D9C94"/>
    <w:rsid w:val="5110DF1F"/>
    <w:rsid w:val="5116B98A"/>
    <w:rsid w:val="511816F2"/>
    <w:rsid w:val="511C770E"/>
    <w:rsid w:val="511CCDB9"/>
    <w:rsid w:val="5121732E"/>
    <w:rsid w:val="512ACD22"/>
    <w:rsid w:val="5135264C"/>
    <w:rsid w:val="51369F57"/>
    <w:rsid w:val="5147B969"/>
    <w:rsid w:val="514E6EA3"/>
    <w:rsid w:val="515044EA"/>
    <w:rsid w:val="51512A40"/>
    <w:rsid w:val="51514C33"/>
    <w:rsid w:val="515E7908"/>
    <w:rsid w:val="5162998E"/>
    <w:rsid w:val="516C7C7E"/>
    <w:rsid w:val="517368C2"/>
    <w:rsid w:val="517FDE5D"/>
    <w:rsid w:val="51938B2C"/>
    <w:rsid w:val="5199D004"/>
    <w:rsid w:val="51A19F8E"/>
    <w:rsid w:val="51C775EF"/>
    <w:rsid w:val="51C797A8"/>
    <w:rsid w:val="51C94652"/>
    <w:rsid w:val="51CC786C"/>
    <w:rsid w:val="51CCE645"/>
    <w:rsid w:val="51D60BDA"/>
    <w:rsid w:val="51F426D7"/>
    <w:rsid w:val="51F5E9EC"/>
    <w:rsid w:val="51FD770B"/>
    <w:rsid w:val="52139351"/>
    <w:rsid w:val="521FD694"/>
    <w:rsid w:val="52239012"/>
    <w:rsid w:val="522CB25E"/>
    <w:rsid w:val="523027E1"/>
    <w:rsid w:val="5231EA6C"/>
    <w:rsid w:val="523520E6"/>
    <w:rsid w:val="5239DACB"/>
    <w:rsid w:val="524181F3"/>
    <w:rsid w:val="524463C1"/>
    <w:rsid w:val="52484F49"/>
    <w:rsid w:val="524B3F69"/>
    <w:rsid w:val="52588AEE"/>
    <w:rsid w:val="5261AB5C"/>
    <w:rsid w:val="526DEDB3"/>
    <w:rsid w:val="527E8650"/>
    <w:rsid w:val="5284A1F5"/>
    <w:rsid w:val="52912DC2"/>
    <w:rsid w:val="52A1278F"/>
    <w:rsid w:val="52A1F104"/>
    <w:rsid w:val="52A29147"/>
    <w:rsid w:val="52A99D3E"/>
    <w:rsid w:val="52B28AC1"/>
    <w:rsid w:val="52C94D23"/>
    <w:rsid w:val="52CACAF1"/>
    <w:rsid w:val="52CC9D23"/>
    <w:rsid w:val="5304E3B8"/>
    <w:rsid w:val="53053D35"/>
    <w:rsid w:val="5305F62C"/>
    <w:rsid w:val="530E33E5"/>
    <w:rsid w:val="530F355F"/>
    <w:rsid w:val="53114CEA"/>
    <w:rsid w:val="5335549F"/>
    <w:rsid w:val="5336595F"/>
    <w:rsid w:val="533F0883"/>
    <w:rsid w:val="5340065D"/>
    <w:rsid w:val="534D75F4"/>
    <w:rsid w:val="5356EAAB"/>
    <w:rsid w:val="53573F25"/>
    <w:rsid w:val="5362A12E"/>
    <w:rsid w:val="536B3E5E"/>
    <w:rsid w:val="536B544B"/>
    <w:rsid w:val="537A547B"/>
    <w:rsid w:val="5382AB67"/>
    <w:rsid w:val="53866FB7"/>
    <w:rsid w:val="53881254"/>
    <w:rsid w:val="539105C4"/>
    <w:rsid w:val="539A718A"/>
    <w:rsid w:val="539F82CC"/>
    <w:rsid w:val="53AD1A47"/>
    <w:rsid w:val="53C84267"/>
    <w:rsid w:val="53DAC68B"/>
    <w:rsid w:val="53DD9174"/>
    <w:rsid w:val="53DEADF9"/>
    <w:rsid w:val="53E3A98A"/>
    <w:rsid w:val="53F72932"/>
    <w:rsid w:val="541433C8"/>
    <w:rsid w:val="5414E7F3"/>
    <w:rsid w:val="541F910D"/>
    <w:rsid w:val="5427B2EC"/>
    <w:rsid w:val="542ADDE1"/>
    <w:rsid w:val="542D6C42"/>
    <w:rsid w:val="543023E0"/>
    <w:rsid w:val="54377CB2"/>
    <w:rsid w:val="54587DBC"/>
    <w:rsid w:val="5458E422"/>
    <w:rsid w:val="545E3E9B"/>
    <w:rsid w:val="5461169A"/>
    <w:rsid w:val="5464C73C"/>
    <w:rsid w:val="547A6C7A"/>
    <w:rsid w:val="547CD691"/>
    <w:rsid w:val="54828E38"/>
    <w:rsid w:val="54831AFC"/>
    <w:rsid w:val="5486B9C2"/>
    <w:rsid w:val="54906B35"/>
    <w:rsid w:val="54913DE9"/>
    <w:rsid w:val="54A1C68D"/>
    <w:rsid w:val="54A6685C"/>
    <w:rsid w:val="54B38C3A"/>
    <w:rsid w:val="54C3D794"/>
    <w:rsid w:val="54D5F2D9"/>
    <w:rsid w:val="54DF1F28"/>
    <w:rsid w:val="54E17450"/>
    <w:rsid w:val="5504DFFD"/>
    <w:rsid w:val="550609D5"/>
    <w:rsid w:val="55092429"/>
    <w:rsid w:val="55098A9B"/>
    <w:rsid w:val="550BF335"/>
    <w:rsid w:val="5515D55B"/>
    <w:rsid w:val="5517D9A0"/>
    <w:rsid w:val="551849BD"/>
    <w:rsid w:val="551C9003"/>
    <w:rsid w:val="551CBD5E"/>
    <w:rsid w:val="552A9FC4"/>
    <w:rsid w:val="553CE99E"/>
    <w:rsid w:val="55477BE9"/>
    <w:rsid w:val="554ADA41"/>
    <w:rsid w:val="5553E124"/>
    <w:rsid w:val="5567CABB"/>
    <w:rsid w:val="5572D9EC"/>
    <w:rsid w:val="557EC826"/>
    <w:rsid w:val="55840A8E"/>
    <w:rsid w:val="55857341"/>
    <w:rsid w:val="5588A8E6"/>
    <w:rsid w:val="558A22D6"/>
    <w:rsid w:val="558C5781"/>
    <w:rsid w:val="5598C396"/>
    <w:rsid w:val="55A65C83"/>
    <w:rsid w:val="55AE36BF"/>
    <w:rsid w:val="55B04CA2"/>
    <w:rsid w:val="55B285A5"/>
    <w:rsid w:val="55BEC0BC"/>
    <w:rsid w:val="55C1C635"/>
    <w:rsid w:val="55E00C97"/>
    <w:rsid w:val="55EA1FCF"/>
    <w:rsid w:val="560417AF"/>
    <w:rsid w:val="56071A87"/>
    <w:rsid w:val="56078C6A"/>
    <w:rsid w:val="56161366"/>
    <w:rsid w:val="561B25B5"/>
    <w:rsid w:val="561FDA75"/>
    <w:rsid w:val="5620A199"/>
    <w:rsid w:val="563100FE"/>
    <w:rsid w:val="563426C0"/>
    <w:rsid w:val="563487CE"/>
    <w:rsid w:val="563EE7DE"/>
    <w:rsid w:val="56409199"/>
    <w:rsid w:val="56447B4A"/>
    <w:rsid w:val="5646D25D"/>
    <w:rsid w:val="564D3A70"/>
    <w:rsid w:val="565054BA"/>
    <w:rsid w:val="56519E8B"/>
    <w:rsid w:val="5671DCDE"/>
    <w:rsid w:val="567A609E"/>
    <w:rsid w:val="568E9188"/>
    <w:rsid w:val="56AD5474"/>
    <w:rsid w:val="56B36742"/>
    <w:rsid w:val="56CD8275"/>
    <w:rsid w:val="56D4338D"/>
    <w:rsid w:val="56DF28CE"/>
    <w:rsid w:val="56E26A86"/>
    <w:rsid w:val="56EB1E6D"/>
    <w:rsid w:val="56F5A9F5"/>
    <w:rsid w:val="56F7C74F"/>
    <w:rsid w:val="571D7789"/>
    <w:rsid w:val="57282284"/>
    <w:rsid w:val="572827E2"/>
    <w:rsid w:val="5728E0A6"/>
    <w:rsid w:val="57388718"/>
    <w:rsid w:val="573B8161"/>
    <w:rsid w:val="575077E9"/>
    <w:rsid w:val="57523AF6"/>
    <w:rsid w:val="5755F7A7"/>
    <w:rsid w:val="575714A0"/>
    <w:rsid w:val="575A6F55"/>
    <w:rsid w:val="57627EA3"/>
    <w:rsid w:val="577745F6"/>
    <w:rsid w:val="578525BB"/>
    <w:rsid w:val="578728C9"/>
    <w:rsid w:val="578B75DF"/>
    <w:rsid w:val="578BB3A5"/>
    <w:rsid w:val="578E1D67"/>
    <w:rsid w:val="57C3812A"/>
    <w:rsid w:val="57CB6E79"/>
    <w:rsid w:val="57CD1029"/>
    <w:rsid w:val="57D441FF"/>
    <w:rsid w:val="57D8F8F7"/>
    <w:rsid w:val="57DB9EFB"/>
    <w:rsid w:val="57E17CB5"/>
    <w:rsid w:val="57E33705"/>
    <w:rsid w:val="57EB2C7D"/>
    <w:rsid w:val="57EFFE97"/>
    <w:rsid w:val="57F5E231"/>
    <w:rsid w:val="58068D90"/>
    <w:rsid w:val="5806E6FA"/>
    <w:rsid w:val="5808B184"/>
    <w:rsid w:val="580928ED"/>
    <w:rsid w:val="580956F5"/>
    <w:rsid w:val="5827027D"/>
    <w:rsid w:val="582A37C3"/>
    <w:rsid w:val="582EA255"/>
    <w:rsid w:val="583ED90E"/>
    <w:rsid w:val="583EF66A"/>
    <w:rsid w:val="5849C0A4"/>
    <w:rsid w:val="5857E967"/>
    <w:rsid w:val="58633784"/>
    <w:rsid w:val="5866E00A"/>
    <w:rsid w:val="58703773"/>
    <w:rsid w:val="58739855"/>
    <w:rsid w:val="587609AC"/>
    <w:rsid w:val="58841784"/>
    <w:rsid w:val="58951E9B"/>
    <w:rsid w:val="58A0614F"/>
    <w:rsid w:val="58B05C42"/>
    <w:rsid w:val="58B62B38"/>
    <w:rsid w:val="58CC7D98"/>
    <w:rsid w:val="58D39528"/>
    <w:rsid w:val="58D63CAB"/>
    <w:rsid w:val="58D68181"/>
    <w:rsid w:val="58DEB68F"/>
    <w:rsid w:val="58E04676"/>
    <w:rsid w:val="58E8AACE"/>
    <w:rsid w:val="58F2DD9C"/>
    <w:rsid w:val="58F7AE37"/>
    <w:rsid w:val="58FA8C12"/>
    <w:rsid w:val="58FAE532"/>
    <w:rsid w:val="5907B23B"/>
    <w:rsid w:val="590E8F09"/>
    <w:rsid w:val="591FB646"/>
    <w:rsid w:val="592FD770"/>
    <w:rsid w:val="5930A9BA"/>
    <w:rsid w:val="5939BBCD"/>
    <w:rsid w:val="593ED570"/>
    <w:rsid w:val="593F11ED"/>
    <w:rsid w:val="5956E26E"/>
    <w:rsid w:val="595DF506"/>
    <w:rsid w:val="59606F88"/>
    <w:rsid w:val="5961DB7C"/>
    <w:rsid w:val="59634E75"/>
    <w:rsid w:val="59687D7C"/>
    <w:rsid w:val="5969AF52"/>
    <w:rsid w:val="5981748E"/>
    <w:rsid w:val="59832F9E"/>
    <w:rsid w:val="598CF29A"/>
    <w:rsid w:val="59912DBF"/>
    <w:rsid w:val="59923F6F"/>
    <w:rsid w:val="599E7A86"/>
    <w:rsid w:val="59A5A60C"/>
    <w:rsid w:val="59B5887A"/>
    <w:rsid w:val="59C022EC"/>
    <w:rsid w:val="59CD4B77"/>
    <w:rsid w:val="59DFBEBF"/>
    <w:rsid w:val="59EBFC08"/>
    <w:rsid w:val="59FE0747"/>
    <w:rsid w:val="5A0E25F5"/>
    <w:rsid w:val="5A10EB8E"/>
    <w:rsid w:val="5A13DFAE"/>
    <w:rsid w:val="5A190F02"/>
    <w:rsid w:val="5A1BD79A"/>
    <w:rsid w:val="5A20571B"/>
    <w:rsid w:val="5A33C461"/>
    <w:rsid w:val="5A3CCC9E"/>
    <w:rsid w:val="5A603DE7"/>
    <w:rsid w:val="5A737857"/>
    <w:rsid w:val="5A73794F"/>
    <w:rsid w:val="5A7CA68E"/>
    <w:rsid w:val="5A80B608"/>
    <w:rsid w:val="5A82E0BF"/>
    <w:rsid w:val="5A8C8F48"/>
    <w:rsid w:val="5A8E91E0"/>
    <w:rsid w:val="5A8EAAAD"/>
    <w:rsid w:val="5A9A1F65"/>
    <w:rsid w:val="5A9C2000"/>
    <w:rsid w:val="5AA69E95"/>
    <w:rsid w:val="5AA75AAF"/>
    <w:rsid w:val="5AB18B6E"/>
    <w:rsid w:val="5AB39CB9"/>
    <w:rsid w:val="5AB8F933"/>
    <w:rsid w:val="5ABE9221"/>
    <w:rsid w:val="5ACE447B"/>
    <w:rsid w:val="5AD4E914"/>
    <w:rsid w:val="5AD84D66"/>
    <w:rsid w:val="5AEB576E"/>
    <w:rsid w:val="5AEDD85D"/>
    <w:rsid w:val="5B023F2E"/>
    <w:rsid w:val="5B0C5187"/>
    <w:rsid w:val="5B16AD57"/>
    <w:rsid w:val="5B1D06BB"/>
    <w:rsid w:val="5B37B7D1"/>
    <w:rsid w:val="5B57DB5A"/>
    <w:rsid w:val="5B5D3697"/>
    <w:rsid w:val="5B605F4C"/>
    <w:rsid w:val="5B63D4E1"/>
    <w:rsid w:val="5B67BFA0"/>
    <w:rsid w:val="5B69E371"/>
    <w:rsid w:val="5B74F114"/>
    <w:rsid w:val="5BABB552"/>
    <w:rsid w:val="5BB9903D"/>
    <w:rsid w:val="5BC263CB"/>
    <w:rsid w:val="5BC913D7"/>
    <w:rsid w:val="5BCA7D44"/>
    <w:rsid w:val="5BCE1F3E"/>
    <w:rsid w:val="5BE2333B"/>
    <w:rsid w:val="5BE470E7"/>
    <w:rsid w:val="5BE5D06C"/>
    <w:rsid w:val="5BE646D1"/>
    <w:rsid w:val="5BF5FC37"/>
    <w:rsid w:val="5BFB146C"/>
    <w:rsid w:val="5BFF9EBA"/>
    <w:rsid w:val="5C044BBC"/>
    <w:rsid w:val="5C08FBDC"/>
    <w:rsid w:val="5C2079C5"/>
    <w:rsid w:val="5C289B0A"/>
    <w:rsid w:val="5C306568"/>
    <w:rsid w:val="5C3362DB"/>
    <w:rsid w:val="5C3367FA"/>
    <w:rsid w:val="5C35D1CC"/>
    <w:rsid w:val="5C3F99D7"/>
    <w:rsid w:val="5C43DE7D"/>
    <w:rsid w:val="5C446EC5"/>
    <w:rsid w:val="5C4A074E"/>
    <w:rsid w:val="5C4C1D0A"/>
    <w:rsid w:val="5C608F68"/>
    <w:rsid w:val="5C61F9AB"/>
    <w:rsid w:val="5C699167"/>
    <w:rsid w:val="5C6AA3BB"/>
    <w:rsid w:val="5C6FFEB5"/>
    <w:rsid w:val="5C757016"/>
    <w:rsid w:val="5C7DAA40"/>
    <w:rsid w:val="5C806267"/>
    <w:rsid w:val="5C84CB05"/>
    <w:rsid w:val="5C888A81"/>
    <w:rsid w:val="5C90DA8F"/>
    <w:rsid w:val="5C941F1D"/>
    <w:rsid w:val="5C9F7768"/>
    <w:rsid w:val="5C9FC1F8"/>
    <w:rsid w:val="5CA1DB71"/>
    <w:rsid w:val="5CA6A7C2"/>
    <w:rsid w:val="5CA6CC34"/>
    <w:rsid w:val="5CB031BA"/>
    <w:rsid w:val="5CB75BE0"/>
    <w:rsid w:val="5CD0434F"/>
    <w:rsid w:val="5CDF25ED"/>
    <w:rsid w:val="5CDF307A"/>
    <w:rsid w:val="5CE887BD"/>
    <w:rsid w:val="5CE96ADB"/>
    <w:rsid w:val="5CEA2254"/>
    <w:rsid w:val="5CEABF53"/>
    <w:rsid w:val="5CF3C79F"/>
    <w:rsid w:val="5CF44FA9"/>
    <w:rsid w:val="5CF62A2E"/>
    <w:rsid w:val="5D001E38"/>
    <w:rsid w:val="5D173CF3"/>
    <w:rsid w:val="5D1BFC42"/>
    <w:rsid w:val="5D2B11E5"/>
    <w:rsid w:val="5D33852D"/>
    <w:rsid w:val="5D431CFD"/>
    <w:rsid w:val="5D4741C8"/>
    <w:rsid w:val="5D4F8A69"/>
    <w:rsid w:val="5D514B17"/>
    <w:rsid w:val="5D633BF6"/>
    <w:rsid w:val="5D6ABAA1"/>
    <w:rsid w:val="5D6F03BF"/>
    <w:rsid w:val="5D704D02"/>
    <w:rsid w:val="5D7695CC"/>
    <w:rsid w:val="5D7E6B80"/>
    <w:rsid w:val="5D81ED75"/>
    <w:rsid w:val="5D853D61"/>
    <w:rsid w:val="5D867581"/>
    <w:rsid w:val="5D905DDC"/>
    <w:rsid w:val="5D91824E"/>
    <w:rsid w:val="5D91BE22"/>
    <w:rsid w:val="5D93A3F2"/>
    <w:rsid w:val="5DA072D9"/>
    <w:rsid w:val="5DA6D4DE"/>
    <w:rsid w:val="5DAFFB2B"/>
    <w:rsid w:val="5DB4278A"/>
    <w:rsid w:val="5DB53AEC"/>
    <w:rsid w:val="5DCF1B9F"/>
    <w:rsid w:val="5DCFF9B6"/>
    <w:rsid w:val="5DD9BE6E"/>
    <w:rsid w:val="5DDD005D"/>
    <w:rsid w:val="5DDDE8D1"/>
    <w:rsid w:val="5DEA8236"/>
    <w:rsid w:val="5DEB15C6"/>
    <w:rsid w:val="5DEEEADF"/>
    <w:rsid w:val="5DF7B753"/>
    <w:rsid w:val="5DFA3B02"/>
    <w:rsid w:val="5DFBDF5E"/>
    <w:rsid w:val="5DFFDC55"/>
    <w:rsid w:val="5E01ACAB"/>
    <w:rsid w:val="5E189279"/>
    <w:rsid w:val="5E1D2EA0"/>
    <w:rsid w:val="5E249E94"/>
    <w:rsid w:val="5E300E25"/>
    <w:rsid w:val="5E3704BD"/>
    <w:rsid w:val="5E3ABD7E"/>
    <w:rsid w:val="5E479B44"/>
    <w:rsid w:val="5E5D1612"/>
    <w:rsid w:val="5E5DC00A"/>
    <w:rsid w:val="5E636734"/>
    <w:rsid w:val="5E6CDA62"/>
    <w:rsid w:val="5E6D5562"/>
    <w:rsid w:val="5E6D80EC"/>
    <w:rsid w:val="5E713FD7"/>
    <w:rsid w:val="5E77A6F6"/>
    <w:rsid w:val="5E7950B5"/>
    <w:rsid w:val="5E85B89B"/>
    <w:rsid w:val="5E8DB892"/>
    <w:rsid w:val="5E92396D"/>
    <w:rsid w:val="5E9E0300"/>
    <w:rsid w:val="5EA08EFA"/>
    <w:rsid w:val="5EB8D5AC"/>
    <w:rsid w:val="5EBE80DB"/>
    <w:rsid w:val="5EC8E156"/>
    <w:rsid w:val="5EC9B2F3"/>
    <w:rsid w:val="5ECFE7A4"/>
    <w:rsid w:val="5EE22DC8"/>
    <w:rsid w:val="5EE7733B"/>
    <w:rsid w:val="5EEEFE07"/>
    <w:rsid w:val="5EFAE8A6"/>
    <w:rsid w:val="5F00589E"/>
    <w:rsid w:val="5F159778"/>
    <w:rsid w:val="5F188160"/>
    <w:rsid w:val="5F18BF18"/>
    <w:rsid w:val="5F1E4FC2"/>
    <w:rsid w:val="5F268FD1"/>
    <w:rsid w:val="5F271F18"/>
    <w:rsid w:val="5F276D81"/>
    <w:rsid w:val="5F2AB8AA"/>
    <w:rsid w:val="5F2C26D8"/>
    <w:rsid w:val="5F44FDA2"/>
    <w:rsid w:val="5F4BA8E1"/>
    <w:rsid w:val="5F4E5B97"/>
    <w:rsid w:val="5F5687C9"/>
    <w:rsid w:val="5F59DE56"/>
    <w:rsid w:val="5F6B0D50"/>
    <w:rsid w:val="5F7287D4"/>
    <w:rsid w:val="5F75AC03"/>
    <w:rsid w:val="5F78DF97"/>
    <w:rsid w:val="5F7B6D6D"/>
    <w:rsid w:val="5F7C2C72"/>
    <w:rsid w:val="5F7CCC57"/>
    <w:rsid w:val="5F85A60D"/>
    <w:rsid w:val="5F85EC46"/>
    <w:rsid w:val="5F97E6F0"/>
    <w:rsid w:val="5FAAEE5F"/>
    <w:rsid w:val="5FC8C3C5"/>
    <w:rsid w:val="5FC925C8"/>
    <w:rsid w:val="5FD5A450"/>
    <w:rsid w:val="5FD6C195"/>
    <w:rsid w:val="5FD918E3"/>
    <w:rsid w:val="5FDD646A"/>
    <w:rsid w:val="5FE1CC71"/>
    <w:rsid w:val="5FE63AE7"/>
    <w:rsid w:val="6003C9D4"/>
    <w:rsid w:val="60186E1E"/>
    <w:rsid w:val="601C4B71"/>
    <w:rsid w:val="601EB1BC"/>
    <w:rsid w:val="6027CFAC"/>
    <w:rsid w:val="6030B25C"/>
    <w:rsid w:val="60413A01"/>
    <w:rsid w:val="604AF2D3"/>
    <w:rsid w:val="604FD82F"/>
    <w:rsid w:val="605899E3"/>
    <w:rsid w:val="605A58FB"/>
    <w:rsid w:val="605C4B27"/>
    <w:rsid w:val="606A762A"/>
    <w:rsid w:val="606B3ACC"/>
    <w:rsid w:val="6071088C"/>
    <w:rsid w:val="607FD3DE"/>
    <w:rsid w:val="6088B82B"/>
    <w:rsid w:val="608A7769"/>
    <w:rsid w:val="608D1149"/>
    <w:rsid w:val="60916E80"/>
    <w:rsid w:val="6096100F"/>
    <w:rsid w:val="60967CC5"/>
    <w:rsid w:val="60983E9D"/>
    <w:rsid w:val="60A1A17A"/>
    <w:rsid w:val="60AB9EFD"/>
    <w:rsid w:val="60B80EA0"/>
    <w:rsid w:val="60D035FB"/>
    <w:rsid w:val="60E0DCB4"/>
    <w:rsid w:val="60E3AD96"/>
    <w:rsid w:val="60F8FA8A"/>
    <w:rsid w:val="60FB218E"/>
    <w:rsid w:val="61002709"/>
    <w:rsid w:val="610B9148"/>
    <w:rsid w:val="610E48AF"/>
    <w:rsid w:val="611BBDB6"/>
    <w:rsid w:val="612ACEAE"/>
    <w:rsid w:val="61326027"/>
    <w:rsid w:val="613CE774"/>
    <w:rsid w:val="6145A563"/>
    <w:rsid w:val="6148C76A"/>
    <w:rsid w:val="61528151"/>
    <w:rsid w:val="615A05A7"/>
    <w:rsid w:val="615B67A6"/>
    <w:rsid w:val="615DA219"/>
    <w:rsid w:val="615E0892"/>
    <w:rsid w:val="616A3411"/>
    <w:rsid w:val="616F5D2D"/>
    <w:rsid w:val="617C58C0"/>
    <w:rsid w:val="6180EC42"/>
    <w:rsid w:val="61831AEF"/>
    <w:rsid w:val="6183C5A8"/>
    <w:rsid w:val="6184C64D"/>
    <w:rsid w:val="618A3E41"/>
    <w:rsid w:val="61995AFA"/>
    <w:rsid w:val="619FB30C"/>
    <w:rsid w:val="61A57791"/>
    <w:rsid w:val="61A95245"/>
    <w:rsid w:val="61AA9937"/>
    <w:rsid w:val="61BA82E2"/>
    <w:rsid w:val="61BC1546"/>
    <w:rsid w:val="61BD8EC1"/>
    <w:rsid w:val="61C2CD1B"/>
    <w:rsid w:val="61C667D0"/>
    <w:rsid w:val="61D34DAD"/>
    <w:rsid w:val="61D92275"/>
    <w:rsid w:val="61DA0394"/>
    <w:rsid w:val="61E97731"/>
    <w:rsid w:val="61F7C511"/>
    <w:rsid w:val="61F960EA"/>
    <w:rsid w:val="61FB5F1D"/>
    <w:rsid w:val="6203B48F"/>
    <w:rsid w:val="6204D128"/>
    <w:rsid w:val="62106DA7"/>
    <w:rsid w:val="6212C2CB"/>
    <w:rsid w:val="62157C69"/>
    <w:rsid w:val="62200376"/>
    <w:rsid w:val="622474EE"/>
    <w:rsid w:val="6238B02A"/>
    <w:rsid w:val="624F3768"/>
    <w:rsid w:val="62538AEB"/>
    <w:rsid w:val="625C24F9"/>
    <w:rsid w:val="626914C4"/>
    <w:rsid w:val="627953DC"/>
    <w:rsid w:val="6286C826"/>
    <w:rsid w:val="628F3205"/>
    <w:rsid w:val="628FFFDF"/>
    <w:rsid w:val="62A345EE"/>
    <w:rsid w:val="62A6CC01"/>
    <w:rsid w:val="62C24FD2"/>
    <w:rsid w:val="62CE241F"/>
    <w:rsid w:val="62D2B44A"/>
    <w:rsid w:val="62DB918D"/>
    <w:rsid w:val="62E65E3C"/>
    <w:rsid w:val="63058F33"/>
    <w:rsid w:val="631462B2"/>
    <w:rsid w:val="6316210F"/>
    <w:rsid w:val="6316F7D6"/>
    <w:rsid w:val="6326EC45"/>
    <w:rsid w:val="63291A54"/>
    <w:rsid w:val="63352088"/>
    <w:rsid w:val="633890C2"/>
    <w:rsid w:val="63396E5D"/>
    <w:rsid w:val="633A15B8"/>
    <w:rsid w:val="633BD31C"/>
    <w:rsid w:val="6341C013"/>
    <w:rsid w:val="63441B04"/>
    <w:rsid w:val="63507844"/>
    <w:rsid w:val="6351E9EA"/>
    <w:rsid w:val="636297F0"/>
    <w:rsid w:val="6364116E"/>
    <w:rsid w:val="6365A3C6"/>
    <w:rsid w:val="6372908F"/>
    <w:rsid w:val="637A8651"/>
    <w:rsid w:val="639CCDE2"/>
    <w:rsid w:val="63A7F474"/>
    <w:rsid w:val="63ADEE20"/>
    <w:rsid w:val="63B00B61"/>
    <w:rsid w:val="63B78C15"/>
    <w:rsid w:val="63BC4D6B"/>
    <w:rsid w:val="63C703FE"/>
    <w:rsid w:val="63C78C9E"/>
    <w:rsid w:val="63DC2D15"/>
    <w:rsid w:val="63E59C1B"/>
    <w:rsid w:val="63EB9814"/>
    <w:rsid w:val="63EF9D8F"/>
    <w:rsid w:val="63FA3F00"/>
    <w:rsid w:val="63FE95BD"/>
    <w:rsid w:val="63FF5E4E"/>
    <w:rsid w:val="6400B6CC"/>
    <w:rsid w:val="640D191B"/>
    <w:rsid w:val="640D4325"/>
    <w:rsid w:val="640F6B97"/>
    <w:rsid w:val="6415FD34"/>
    <w:rsid w:val="64177288"/>
    <w:rsid w:val="64184710"/>
    <w:rsid w:val="641DEBBA"/>
    <w:rsid w:val="64217E3A"/>
    <w:rsid w:val="6422C0EB"/>
    <w:rsid w:val="6427921D"/>
    <w:rsid w:val="642E6935"/>
    <w:rsid w:val="642EEC8B"/>
    <w:rsid w:val="642F71D9"/>
    <w:rsid w:val="64452C3F"/>
    <w:rsid w:val="64531007"/>
    <w:rsid w:val="64571400"/>
    <w:rsid w:val="6457B405"/>
    <w:rsid w:val="645C51E4"/>
    <w:rsid w:val="646539B3"/>
    <w:rsid w:val="64679E9F"/>
    <w:rsid w:val="6473C45E"/>
    <w:rsid w:val="6493F7BB"/>
    <w:rsid w:val="649AD125"/>
    <w:rsid w:val="649BAB76"/>
    <w:rsid w:val="64A2953D"/>
    <w:rsid w:val="64ACDB2B"/>
    <w:rsid w:val="64B35ECC"/>
    <w:rsid w:val="64B41148"/>
    <w:rsid w:val="64B565EA"/>
    <w:rsid w:val="64B91E6A"/>
    <w:rsid w:val="64BBA158"/>
    <w:rsid w:val="64BED784"/>
    <w:rsid w:val="64C81722"/>
    <w:rsid w:val="64CC5E89"/>
    <w:rsid w:val="64CCECEB"/>
    <w:rsid w:val="64CF2E20"/>
    <w:rsid w:val="64DDE79C"/>
    <w:rsid w:val="64E053A7"/>
    <w:rsid w:val="64E1C052"/>
    <w:rsid w:val="64E32C04"/>
    <w:rsid w:val="64EFCA9F"/>
    <w:rsid w:val="64F1EDEB"/>
    <w:rsid w:val="64FE420C"/>
    <w:rsid w:val="650273E4"/>
    <w:rsid w:val="6508CA33"/>
    <w:rsid w:val="65121106"/>
    <w:rsid w:val="652081F3"/>
    <w:rsid w:val="6520D888"/>
    <w:rsid w:val="65444106"/>
    <w:rsid w:val="654AC0DF"/>
    <w:rsid w:val="654CA994"/>
    <w:rsid w:val="65568652"/>
    <w:rsid w:val="6558F80F"/>
    <w:rsid w:val="655E5C63"/>
    <w:rsid w:val="6568880A"/>
    <w:rsid w:val="6571D70F"/>
    <w:rsid w:val="6572725C"/>
    <w:rsid w:val="6574F844"/>
    <w:rsid w:val="65750D9F"/>
    <w:rsid w:val="6580D55D"/>
    <w:rsid w:val="6582E3F9"/>
    <w:rsid w:val="658556D7"/>
    <w:rsid w:val="65A78178"/>
    <w:rsid w:val="65C6DFAA"/>
    <w:rsid w:val="65CBFF10"/>
    <w:rsid w:val="65D72049"/>
    <w:rsid w:val="65E3AE0E"/>
    <w:rsid w:val="65FA8D61"/>
    <w:rsid w:val="66050BF4"/>
    <w:rsid w:val="66186133"/>
    <w:rsid w:val="6619DD7A"/>
    <w:rsid w:val="661B9BEA"/>
    <w:rsid w:val="661C64F5"/>
    <w:rsid w:val="661D2777"/>
    <w:rsid w:val="661FC1C7"/>
    <w:rsid w:val="66223682"/>
    <w:rsid w:val="66255D0A"/>
    <w:rsid w:val="6628F70D"/>
    <w:rsid w:val="66306FAF"/>
    <w:rsid w:val="6636A186"/>
    <w:rsid w:val="6637F27A"/>
    <w:rsid w:val="6645E933"/>
    <w:rsid w:val="664836D3"/>
    <w:rsid w:val="664A032C"/>
    <w:rsid w:val="664AD548"/>
    <w:rsid w:val="664D1416"/>
    <w:rsid w:val="664D9638"/>
    <w:rsid w:val="6655E56E"/>
    <w:rsid w:val="66607A34"/>
    <w:rsid w:val="666811CF"/>
    <w:rsid w:val="666C477C"/>
    <w:rsid w:val="666D630B"/>
    <w:rsid w:val="66722E39"/>
    <w:rsid w:val="6679730F"/>
    <w:rsid w:val="66798CD7"/>
    <w:rsid w:val="667A9CD4"/>
    <w:rsid w:val="667B1546"/>
    <w:rsid w:val="667C6D92"/>
    <w:rsid w:val="668D90B4"/>
    <w:rsid w:val="66950955"/>
    <w:rsid w:val="6695A23C"/>
    <w:rsid w:val="66A239F4"/>
    <w:rsid w:val="66C7BA21"/>
    <w:rsid w:val="66D32396"/>
    <w:rsid w:val="66DBF0B0"/>
    <w:rsid w:val="66DD887E"/>
    <w:rsid w:val="66E2F7BF"/>
    <w:rsid w:val="66F54485"/>
    <w:rsid w:val="66FA0124"/>
    <w:rsid w:val="6709A280"/>
    <w:rsid w:val="670BFC8F"/>
    <w:rsid w:val="671F1D3F"/>
    <w:rsid w:val="6729F9FB"/>
    <w:rsid w:val="672E6547"/>
    <w:rsid w:val="67342E17"/>
    <w:rsid w:val="6736B5D1"/>
    <w:rsid w:val="673D0913"/>
    <w:rsid w:val="67411D22"/>
    <w:rsid w:val="6742F528"/>
    <w:rsid w:val="67466687"/>
    <w:rsid w:val="674FC0AE"/>
    <w:rsid w:val="6753C358"/>
    <w:rsid w:val="6757B483"/>
    <w:rsid w:val="675E4CD9"/>
    <w:rsid w:val="67606B30"/>
    <w:rsid w:val="676103E7"/>
    <w:rsid w:val="678376B8"/>
    <w:rsid w:val="67890120"/>
    <w:rsid w:val="678EC814"/>
    <w:rsid w:val="6793CDC5"/>
    <w:rsid w:val="67D17DC5"/>
    <w:rsid w:val="67DFB108"/>
    <w:rsid w:val="67E9B20F"/>
    <w:rsid w:val="67EEF6B2"/>
    <w:rsid w:val="67F07BA0"/>
    <w:rsid w:val="68150546"/>
    <w:rsid w:val="68175CDE"/>
    <w:rsid w:val="6826A6F7"/>
    <w:rsid w:val="682FA58E"/>
    <w:rsid w:val="683D2450"/>
    <w:rsid w:val="68526B92"/>
    <w:rsid w:val="68552796"/>
    <w:rsid w:val="685687A2"/>
    <w:rsid w:val="68575F57"/>
    <w:rsid w:val="686248D8"/>
    <w:rsid w:val="68659372"/>
    <w:rsid w:val="686A4827"/>
    <w:rsid w:val="686A6130"/>
    <w:rsid w:val="6871BE37"/>
    <w:rsid w:val="68748B1D"/>
    <w:rsid w:val="6880E63D"/>
    <w:rsid w:val="6887082C"/>
    <w:rsid w:val="688AE46B"/>
    <w:rsid w:val="688C2420"/>
    <w:rsid w:val="689569F4"/>
    <w:rsid w:val="6896C0D3"/>
    <w:rsid w:val="68E19470"/>
    <w:rsid w:val="68EEC3E1"/>
    <w:rsid w:val="68F53CDC"/>
    <w:rsid w:val="68F5590C"/>
    <w:rsid w:val="69012919"/>
    <w:rsid w:val="6909F644"/>
    <w:rsid w:val="69190607"/>
    <w:rsid w:val="6919144F"/>
    <w:rsid w:val="691D3895"/>
    <w:rsid w:val="6924682B"/>
    <w:rsid w:val="69272D0F"/>
    <w:rsid w:val="693546ED"/>
    <w:rsid w:val="693BA005"/>
    <w:rsid w:val="69402615"/>
    <w:rsid w:val="6945D83B"/>
    <w:rsid w:val="69574EA7"/>
    <w:rsid w:val="695BA02F"/>
    <w:rsid w:val="6963732B"/>
    <w:rsid w:val="69653F19"/>
    <w:rsid w:val="696E4248"/>
    <w:rsid w:val="697706DE"/>
    <w:rsid w:val="6985345C"/>
    <w:rsid w:val="698FA952"/>
    <w:rsid w:val="699339EA"/>
    <w:rsid w:val="6999624C"/>
    <w:rsid w:val="69A94FD6"/>
    <w:rsid w:val="69B7B4BA"/>
    <w:rsid w:val="69B7E2FF"/>
    <w:rsid w:val="69BDF3C9"/>
    <w:rsid w:val="69C29B40"/>
    <w:rsid w:val="69C40F67"/>
    <w:rsid w:val="69E82DF3"/>
    <w:rsid w:val="69E88084"/>
    <w:rsid w:val="69EB7D43"/>
    <w:rsid w:val="69EC8DA7"/>
    <w:rsid w:val="69ED7BB5"/>
    <w:rsid w:val="69EDFF78"/>
    <w:rsid w:val="69EEAC54"/>
    <w:rsid w:val="6A17123A"/>
    <w:rsid w:val="6A23ECCA"/>
    <w:rsid w:val="6A25D388"/>
    <w:rsid w:val="6A4BBB60"/>
    <w:rsid w:val="6A4C8A22"/>
    <w:rsid w:val="6A532DA0"/>
    <w:rsid w:val="6A6344A6"/>
    <w:rsid w:val="6A6D615A"/>
    <w:rsid w:val="6A74B0D5"/>
    <w:rsid w:val="6A75F9D1"/>
    <w:rsid w:val="6A7601FB"/>
    <w:rsid w:val="6A7CE86D"/>
    <w:rsid w:val="6A7FC297"/>
    <w:rsid w:val="6A81A01F"/>
    <w:rsid w:val="6A8AB27B"/>
    <w:rsid w:val="6A94D3E3"/>
    <w:rsid w:val="6A9B63D2"/>
    <w:rsid w:val="6AA19AC2"/>
    <w:rsid w:val="6AA6573D"/>
    <w:rsid w:val="6AAB6091"/>
    <w:rsid w:val="6ABCC1A5"/>
    <w:rsid w:val="6ABDDF53"/>
    <w:rsid w:val="6AC446B3"/>
    <w:rsid w:val="6AC8D863"/>
    <w:rsid w:val="6ACEBB47"/>
    <w:rsid w:val="6AEBD256"/>
    <w:rsid w:val="6AEE263E"/>
    <w:rsid w:val="6AF0ADDE"/>
    <w:rsid w:val="6AF53AE5"/>
    <w:rsid w:val="6AFDA388"/>
    <w:rsid w:val="6AFDF36E"/>
    <w:rsid w:val="6B149E2E"/>
    <w:rsid w:val="6B2FFDA7"/>
    <w:rsid w:val="6B33E39F"/>
    <w:rsid w:val="6B43DC6D"/>
    <w:rsid w:val="6B45AB18"/>
    <w:rsid w:val="6B4C211F"/>
    <w:rsid w:val="6B5EF250"/>
    <w:rsid w:val="6B61FB18"/>
    <w:rsid w:val="6B75CE8F"/>
    <w:rsid w:val="6B8638C0"/>
    <w:rsid w:val="6B86D8F4"/>
    <w:rsid w:val="6B874DA4"/>
    <w:rsid w:val="6B9977E4"/>
    <w:rsid w:val="6BA9A425"/>
    <w:rsid w:val="6BAA4E77"/>
    <w:rsid w:val="6BAB89FB"/>
    <w:rsid w:val="6BAF7123"/>
    <w:rsid w:val="6BB4258F"/>
    <w:rsid w:val="6BC7240D"/>
    <w:rsid w:val="6BE57F0E"/>
    <w:rsid w:val="6BEC8EF0"/>
    <w:rsid w:val="6C05308A"/>
    <w:rsid w:val="6C10A851"/>
    <w:rsid w:val="6C1D2008"/>
    <w:rsid w:val="6C275459"/>
    <w:rsid w:val="6C28B843"/>
    <w:rsid w:val="6C2CA8C3"/>
    <w:rsid w:val="6C39ABE8"/>
    <w:rsid w:val="6C42F2D5"/>
    <w:rsid w:val="6C63FA01"/>
    <w:rsid w:val="6C7099C5"/>
    <w:rsid w:val="6C73930D"/>
    <w:rsid w:val="6C7D2AE3"/>
    <w:rsid w:val="6C83BDCF"/>
    <w:rsid w:val="6C8C7E3F"/>
    <w:rsid w:val="6C9842F4"/>
    <w:rsid w:val="6C9FFCBA"/>
    <w:rsid w:val="6CA03177"/>
    <w:rsid w:val="6CAAFC01"/>
    <w:rsid w:val="6CACB2E7"/>
    <w:rsid w:val="6CAFAE43"/>
    <w:rsid w:val="6CB1B11C"/>
    <w:rsid w:val="6CB33D6C"/>
    <w:rsid w:val="6CBADFF1"/>
    <w:rsid w:val="6CBFC134"/>
    <w:rsid w:val="6CC29AA6"/>
    <w:rsid w:val="6CC5F56B"/>
    <w:rsid w:val="6CCE91B5"/>
    <w:rsid w:val="6CDC6275"/>
    <w:rsid w:val="6CDEF15F"/>
    <w:rsid w:val="6CE4229A"/>
    <w:rsid w:val="6CF537A6"/>
    <w:rsid w:val="6D019E62"/>
    <w:rsid w:val="6D0F597A"/>
    <w:rsid w:val="6D0FF76A"/>
    <w:rsid w:val="6D1BE43C"/>
    <w:rsid w:val="6D227C60"/>
    <w:rsid w:val="6D231E05"/>
    <w:rsid w:val="6D38E3C6"/>
    <w:rsid w:val="6D44920D"/>
    <w:rsid w:val="6D458524"/>
    <w:rsid w:val="6D4F7ADF"/>
    <w:rsid w:val="6D565839"/>
    <w:rsid w:val="6D569F2F"/>
    <w:rsid w:val="6D5EC415"/>
    <w:rsid w:val="6D60F86F"/>
    <w:rsid w:val="6D69B951"/>
    <w:rsid w:val="6D7102C2"/>
    <w:rsid w:val="6D76364A"/>
    <w:rsid w:val="6D8B28AA"/>
    <w:rsid w:val="6DA4DFF0"/>
    <w:rsid w:val="6DB8D853"/>
    <w:rsid w:val="6DBB8009"/>
    <w:rsid w:val="6DD0FB90"/>
    <w:rsid w:val="6DD1E0D2"/>
    <w:rsid w:val="6DD65A70"/>
    <w:rsid w:val="6DDF17BD"/>
    <w:rsid w:val="6DEA7571"/>
    <w:rsid w:val="6DF57E63"/>
    <w:rsid w:val="6E0130DB"/>
    <w:rsid w:val="6E1017E6"/>
    <w:rsid w:val="6E1916A1"/>
    <w:rsid w:val="6E1BDA3D"/>
    <w:rsid w:val="6E284EA0"/>
    <w:rsid w:val="6E2BA689"/>
    <w:rsid w:val="6E320B06"/>
    <w:rsid w:val="6E3A5DA3"/>
    <w:rsid w:val="6E3AA0C4"/>
    <w:rsid w:val="6E3DE2EB"/>
    <w:rsid w:val="6E4FC7D5"/>
    <w:rsid w:val="6E61AFCE"/>
    <w:rsid w:val="6E646DE8"/>
    <w:rsid w:val="6E65C24C"/>
    <w:rsid w:val="6E661856"/>
    <w:rsid w:val="6E71109D"/>
    <w:rsid w:val="6E71B26F"/>
    <w:rsid w:val="6E7DE59B"/>
    <w:rsid w:val="6E8FE47B"/>
    <w:rsid w:val="6E9D7B17"/>
    <w:rsid w:val="6E9DCCFF"/>
    <w:rsid w:val="6EB7B989"/>
    <w:rsid w:val="6EBB6627"/>
    <w:rsid w:val="6EC9670B"/>
    <w:rsid w:val="6ECCA992"/>
    <w:rsid w:val="6ECEB521"/>
    <w:rsid w:val="6ED07A47"/>
    <w:rsid w:val="6EEDCFAE"/>
    <w:rsid w:val="6EEEC870"/>
    <w:rsid w:val="6EF8B372"/>
    <w:rsid w:val="6F044CCE"/>
    <w:rsid w:val="6F0C9E65"/>
    <w:rsid w:val="6F146491"/>
    <w:rsid w:val="6F208F90"/>
    <w:rsid w:val="6F348361"/>
    <w:rsid w:val="6F4524EF"/>
    <w:rsid w:val="6F4A8C75"/>
    <w:rsid w:val="6F4BC31C"/>
    <w:rsid w:val="6F5A2114"/>
    <w:rsid w:val="6F6282E4"/>
    <w:rsid w:val="6F7457D6"/>
    <w:rsid w:val="6F7B50D8"/>
    <w:rsid w:val="6F85B609"/>
    <w:rsid w:val="6F8E4927"/>
    <w:rsid w:val="6F92C6F7"/>
    <w:rsid w:val="6F950B48"/>
    <w:rsid w:val="6F989670"/>
    <w:rsid w:val="6F9B2E45"/>
    <w:rsid w:val="6F9D4EBF"/>
    <w:rsid w:val="6F9D690D"/>
    <w:rsid w:val="6F9E5CB4"/>
    <w:rsid w:val="6F9FE1BE"/>
    <w:rsid w:val="6FA3321D"/>
    <w:rsid w:val="6FA71C44"/>
    <w:rsid w:val="6FA78D6F"/>
    <w:rsid w:val="6FA8110F"/>
    <w:rsid w:val="6FAD58DC"/>
    <w:rsid w:val="6FAD9B57"/>
    <w:rsid w:val="6FB5F03E"/>
    <w:rsid w:val="6FB90C2A"/>
    <w:rsid w:val="6FBCDAD0"/>
    <w:rsid w:val="6FC6CABB"/>
    <w:rsid w:val="6FCA48F6"/>
    <w:rsid w:val="6FD592A9"/>
    <w:rsid w:val="6FDFDE5A"/>
    <w:rsid w:val="6FED55D5"/>
    <w:rsid w:val="7006B03E"/>
    <w:rsid w:val="700A51E1"/>
    <w:rsid w:val="700D6B54"/>
    <w:rsid w:val="7021E5D5"/>
    <w:rsid w:val="702501E6"/>
    <w:rsid w:val="7025B303"/>
    <w:rsid w:val="7028F9BD"/>
    <w:rsid w:val="7038D9BD"/>
    <w:rsid w:val="703A1FE7"/>
    <w:rsid w:val="7045268B"/>
    <w:rsid w:val="704882B4"/>
    <w:rsid w:val="7049E94C"/>
    <w:rsid w:val="705D4F2D"/>
    <w:rsid w:val="7071D98B"/>
    <w:rsid w:val="70731934"/>
    <w:rsid w:val="70790004"/>
    <w:rsid w:val="70960C14"/>
    <w:rsid w:val="70A07209"/>
    <w:rsid w:val="70A81248"/>
    <w:rsid w:val="70C48227"/>
    <w:rsid w:val="70C4A712"/>
    <w:rsid w:val="70CDD9E1"/>
    <w:rsid w:val="70EAE188"/>
    <w:rsid w:val="70EB2FCB"/>
    <w:rsid w:val="70FFE0A7"/>
    <w:rsid w:val="71051B01"/>
    <w:rsid w:val="7108B567"/>
    <w:rsid w:val="710F3426"/>
    <w:rsid w:val="711A042A"/>
    <w:rsid w:val="711EE10F"/>
    <w:rsid w:val="7126322E"/>
    <w:rsid w:val="71275EE0"/>
    <w:rsid w:val="713DEBE1"/>
    <w:rsid w:val="7152DEFA"/>
    <w:rsid w:val="717A0331"/>
    <w:rsid w:val="7182F6DE"/>
    <w:rsid w:val="718EE182"/>
    <w:rsid w:val="719A9791"/>
    <w:rsid w:val="71A0992B"/>
    <w:rsid w:val="71B2E3CF"/>
    <w:rsid w:val="71B67B04"/>
    <w:rsid w:val="71BDF046"/>
    <w:rsid w:val="71BEE885"/>
    <w:rsid w:val="71C14A05"/>
    <w:rsid w:val="71C5835A"/>
    <w:rsid w:val="71CAFA4D"/>
    <w:rsid w:val="71CBA9BB"/>
    <w:rsid w:val="71DCAE66"/>
    <w:rsid w:val="71DDF2C3"/>
    <w:rsid w:val="71E0F5EA"/>
    <w:rsid w:val="71EAACBE"/>
    <w:rsid w:val="71EF37F8"/>
    <w:rsid w:val="71F08FFD"/>
    <w:rsid w:val="71F30255"/>
    <w:rsid w:val="720263A9"/>
    <w:rsid w:val="72047EFD"/>
    <w:rsid w:val="7211DF60"/>
    <w:rsid w:val="721B3E0E"/>
    <w:rsid w:val="721F7283"/>
    <w:rsid w:val="72218568"/>
    <w:rsid w:val="722C6C6C"/>
    <w:rsid w:val="722F771E"/>
    <w:rsid w:val="723C3BB9"/>
    <w:rsid w:val="724F543D"/>
    <w:rsid w:val="72549BC7"/>
    <w:rsid w:val="727021E5"/>
    <w:rsid w:val="727E8B30"/>
    <w:rsid w:val="7283892B"/>
    <w:rsid w:val="7285ADFD"/>
    <w:rsid w:val="72874D26"/>
    <w:rsid w:val="728DABF4"/>
    <w:rsid w:val="729149F2"/>
    <w:rsid w:val="7294D327"/>
    <w:rsid w:val="7299F1C8"/>
    <w:rsid w:val="72A66F59"/>
    <w:rsid w:val="72AC7328"/>
    <w:rsid w:val="72ACE59A"/>
    <w:rsid w:val="72BE2F3D"/>
    <w:rsid w:val="72D80FEB"/>
    <w:rsid w:val="72D81841"/>
    <w:rsid w:val="72E2EDDF"/>
    <w:rsid w:val="72EF0F5A"/>
    <w:rsid w:val="73005B61"/>
    <w:rsid w:val="73051381"/>
    <w:rsid w:val="730B3FD2"/>
    <w:rsid w:val="730FFC65"/>
    <w:rsid w:val="7313D79A"/>
    <w:rsid w:val="73156D01"/>
    <w:rsid w:val="731714A4"/>
    <w:rsid w:val="731DD986"/>
    <w:rsid w:val="732ABE82"/>
    <w:rsid w:val="733AAC83"/>
    <w:rsid w:val="733C07E7"/>
    <w:rsid w:val="733C0DAE"/>
    <w:rsid w:val="733CB469"/>
    <w:rsid w:val="73462BFD"/>
    <w:rsid w:val="73715152"/>
    <w:rsid w:val="737D152F"/>
    <w:rsid w:val="737DA9AA"/>
    <w:rsid w:val="7387DBBB"/>
    <w:rsid w:val="738FE50D"/>
    <w:rsid w:val="73A298AD"/>
    <w:rsid w:val="73A57E0B"/>
    <w:rsid w:val="73BA7D89"/>
    <w:rsid w:val="73C16541"/>
    <w:rsid w:val="73C19561"/>
    <w:rsid w:val="73DA870B"/>
    <w:rsid w:val="73E85AC3"/>
    <w:rsid w:val="740C1FB0"/>
    <w:rsid w:val="74102E95"/>
    <w:rsid w:val="74114C10"/>
    <w:rsid w:val="742E5238"/>
    <w:rsid w:val="7433D443"/>
    <w:rsid w:val="7437F12D"/>
    <w:rsid w:val="744C4077"/>
    <w:rsid w:val="744F0AD0"/>
    <w:rsid w:val="74580168"/>
    <w:rsid w:val="745E429D"/>
    <w:rsid w:val="7462D468"/>
    <w:rsid w:val="7466E026"/>
    <w:rsid w:val="74689CD3"/>
    <w:rsid w:val="747CD9DD"/>
    <w:rsid w:val="747E88E9"/>
    <w:rsid w:val="748A6857"/>
    <w:rsid w:val="748B2DFD"/>
    <w:rsid w:val="7491CB2A"/>
    <w:rsid w:val="749C53FD"/>
    <w:rsid w:val="749E9AD2"/>
    <w:rsid w:val="74A80462"/>
    <w:rsid w:val="74AB142B"/>
    <w:rsid w:val="74B8D7C3"/>
    <w:rsid w:val="74D1F464"/>
    <w:rsid w:val="74D85D9F"/>
    <w:rsid w:val="74DD5E2B"/>
    <w:rsid w:val="74F3B595"/>
    <w:rsid w:val="74FCBC62"/>
    <w:rsid w:val="74FF5BF5"/>
    <w:rsid w:val="75025870"/>
    <w:rsid w:val="7505B119"/>
    <w:rsid w:val="75067630"/>
    <w:rsid w:val="750F0EF0"/>
    <w:rsid w:val="7514324F"/>
    <w:rsid w:val="751CBDF3"/>
    <w:rsid w:val="751EB463"/>
    <w:rsid w:val="751F4F3E"/>
    <w:rsid w:val="75246698"/>
    <w:rsid w:val="7529431E"/>
    <w:rsid w:val="753A6144"/>
    <w:rsid w:val="753E1DB7"/>
    <w:rsid w:val="753EAB4F"/>
    <w:rsid w:val="75437A94"/>
    <w:rsid w:val="75535250"/>
    <w:rsid w:val="75561A2D"/>
    <w:rsid w:val="755717D5"/>
    <w:rsid w:val="7563641A"/>
    <w:rsid w:val="7564E9EB"/>
    <w:rsid w:val="7574B960"/>
    <w:rsid w:val="757A6728"/>
    <w:rsid w:val="75871D09"/>
    <w:rsid w:val="7597BF2E"/>
    <w:rsid w:val="7597D08B"/>
    <w:rsid w:val="759D163F"/>
    <w:rsid w:val="75A32953"/>
    <w:rsid w:val="75A405FE"/>
    <w:rsid w:val="75A4B7E2"/>
    <w:rsid w:val="75A544F7"/>
    <w:rsid w:val="75B6195E"/>
    <w:rsid w:val="75C25A77"/>
    <w:rsid w:val="75C89D96"/>
    <w:rsid w:val="75D03237"/>
    <w:rsid w:val="75D1887D"/>
    <w:rsid w:val="75D3B403"/>
    <w:rsid w:val="75DC6C80"/>
    <w:rsid w:val="75E4E3CB"/>
    <w:rsid w:val="76020ABC"/>
    <w:rsid w:val="760756FA"/>
    <w:rsid w:val="76143F7D"/>
    <w:rsid w:val="761804AA"/>
    <w:rsid w:val="76329291"/>
    <w:rsid w:val="765601B0"/>
    <w:rsid w:val="7668392A"/>
    <w:rsid w:val="76780504"/>
    <w:rsid w:val="767FAFF1"/>
    <w:rsid w:val="7688482F"/>
    <w:rsid w:val="768A75FA"/>
    <w:rsid w:val="76914B34"/>
    <w:rsid w:val="76940C93"/>
    <w:rsid w:val="769AA0D6"/>
    <w:rsid w:val="769C3BEA"/>
    <w:rsid w:val="769CF493"/>
    <w:rsid w:val="769D1A45"/>
    <w:rsid w:val="76A1AC2A"/>
    <w:rsid w:val="76A5E4B3"/>
    <w:rsid w:val="76A9ED06"/>
    <w:rsid w:val="76B4680F"/>
    <w:rsid w:val="76E0B609"/>
    <w:rsid w:val="76F08C46"/>
    <w:rsid w:val="76F64644"/>
    <w:rsid w:val="770816DE"/>
    <w:rsid w:val="7715EADB"/>
    <w:rsid w:val="7723204C"/>
    <w:rsid w:val="77234D50"/>
    <w:rsid w:val="77235568"/>
    <w:rsid w:val="7733434A"/>
    <w:rsid w:val="773993BF"/>
    <w:rsid w:val="773BF07B"/>
    <w:rsid w:val="77433DDA"/>
    <w:rsid w:val="774552A7"/>
    <w:rsid w:val="7748E7E9"/>
    <w:rsid w:val="774B96C2"/>
    <w:rsid w:val="7764EA2C"/>
    <w:rsid w:val="77655BD1"/>
    <w:rsid w:val="776A2D7D"/>
    <w:rsid w:val="776B6619"/>
    <w:rsid w:val="7770B20A"/>
    <w:rsid w:val="777A900C"/>
    <w:rsid w:val="778097FA"/>
    <w:rsid w:val="77865C1F"/>
    <w:rsid w:val="7799B86C"/>
    <w:rsid w:val="77A4FC93"/>
    <w:rsid w:val="77B6C2B7"/>
    <w:rsid w:val="77B79F8A"/>
    <w:rsid w:val="77BC1E2B"/>
    <w:rsid w:val="77C97E31"/>
    <w:rsid w:val="77CD733B"/>
    <w:rsid w:val="77DF9A70"/>
    <w:rsid w:val="77E09995"/>
    <w:rsid w:val="77E2DC5F"/>
    <w:rsid w:val="77F50909"/>
    <w:rsid w:val="77F78AA4"/>
    <w:rsid w:val="77F9698B"/>
    <w:rsid w:val="77FFDBD5"/>
    <w:rsid w:val="78005854"/>
    <w:rsid w:val="78062E50"/>
    <w:rsid w:val="7806CD99"/>
    <w:rsid w:val="780E2FD8"/>
    <w:rsid w:val="780F5999"/>
    <w:rsid w:val="7815ED9B"/>
    <w:rsid w:val="7819711E"/>
    <w:rsid w:val="7827FF1F"/>
    <w:rsid w:val="782A2D33"/>
    <w:rsid w:val="7839E709"/>
    <w:rsid w:val="783A387D"/>
    <w:rsid w:val="784AE90F"/>
    <w:rsid w:val="784B73DF"/>
    <w:rsid w:val="784CD116"/>
    <w:rsid w:val="785AD74B"/>
    <w:rsid w:val="7873FE58"/>
    <w:rsid w:val="787A05C5"/>
    <w:rsid w:val="788FBF3B"/>
    <w:rsid w:val="7890D40F"/>
    <w:rsid w:val="78A757DF"/>
    <w:rsid w:val="78AB39F6"/>
    <w:rsid w:val="78ACAB81"/>
    <w:rsid w:val="78BBE74C"/>
    <w:rsid w:val="78C44CE1"/>
    <w:rsid w:val="78C91126"/>
    <w:rsid w:val="78CDAC97"/>
    <w:rsid w:val="78D0B7E3"/>
    <w:rsid w:val="78D9AF4F"/>
    <w:rsid w:val="78DB209F"/>
    <w:rsid w:val="78E9E736"/>
    <w:rsid w:val="78F4B6B8"/>
    <w:rsid w:val="78FDD4DE"/>
    <w:rsid w:val="78FF1F99"/>
    <w:rsid w:val="7909DF28"/>
    <w:rsid w:val="791791A4"/>
    <w:rsid w:val="791C015C"/>
    <w:rsid w:val="792CCB5D"/>
    <w:rsid w:val="79363C62"/>
    <w:rsid w:val="794278B6"/>
    <w:rsid w:val="7946498F"/>
    <w:rsid w:val="79479955"/>
    <w:rsid w:val="794ADC27"/>
    <w:rsid w:val="794E447D"/>
    <w:rsid w:val="7955601C"/>
    <w:rsid w:val="795EAA3E"/>
    <w:rsid w:val="79740D19"/>
    <w:rsid w:val="797683B2"/>
    <w:rsid w:val="7980D4F4"/>
    <w:rsid w:val="798A858E"/>
    <w:rsid w:val="79943314"/>
    <w:rsid w:val="7994650E"/>
    <w:rsid w:val="79A01E51"/>
    <w:rsid w:val="79AE7581"/>
    <w:rsid w:val="79B13992"/>
    <w:rsid w:val="79B7993F"/>
    <w:rsid w:val="79B9EFB9"/>
    <w:rsid w:val="79BB1C4A"/>
    <w:rsid w:val="79C4FFB5"/>
    <w:rsid w:val="79C9F96C"/>
    <w:rsid w:val="79CD8639"/>
    <w:rsid w:val="79E00F38"/>
    <w:rsid w:val="79E9194B"/>
    <w:rsid w:val="79EA8123"/>
    <w:rsid w:val="79EB6280"/>
    <w:rsid w:val="7A08D0A7"/>
    <w:rsid w:val="7A0DFCEF"/>
    <w:rsid w:val="7A122971"/>
    <w:rsid w:val="7A13A049"/>
    <w:rsid w:val="7A162E52"/>
    <w:rsid w:val="7A20508E"/>
    <w:rsid w:val="7A288788"/>
    <w:rsid w:val="7A35BDC6"/>
    <w:rsid w:val="7A38D2CF"/>
    <w:rsid w:val="7A38F007"/>
    <w:rsid w:val="7A3A4CDF"/>
    <w:rsid w:val="7A3B95FF"/>
    <w:rsid w:val="7A44D912"/>
    <w:rsid w:val="7A4D5113"/>
    <w:rsid w:val="7A4FE9B2"/>
    <w:rsid w:val="7A54C554"/>
    <w:rsid w:val="7A6199AB"/>
    <w:rsid w:val="7A6F8781"/>
    <w:rsid w:val="7A78973D"/>
    <w:rsid w:val="7A7B9937"/>
    <w:rsid w:val="7A7C19DA"/>
    <w:rsid w:val="7A7D16CF"/>
    <w:rsid w:val="7A908719"/>
    <w:rsid w:val="7A963DFF"/>
    <w:rsid w:val="7A9C50FB"/>
    <w:rsid w:val="7A9F7F7A"/>
    <w:rsid w:val="7AB22A43"/>
    <w:rsid w:val="7AB658E7"/>
    <w:rsid w:val="7AB6D60E"/>
    <w:rsid w:val="7AB9B091"/>
    <w:rsid w:val="7ABF7552"/>
    <w:rsid w:val="7AC4C54E"/>
    <w:rsid w:val="7AC77F97"/>
    <w:rsid w:val="7ACB53B7"/>
    <w:rsid w:val="7ACD8A14"/>
    <w:rsid w:val="7AD45B42"/>
    <w:rsid w:val="7AD8871D"/>
    <w:rsid w:val="7AE1129E"/>
    <w:rsid w:val="7AE2D0BF"/>
    <w:rsid w:val="7AE72A4A"/>
    <w:rsid w:val="7AEB8D8F"/>
    <w:rsid w:val="7AEBFDD8"/>
    <w:rsid w:val="7AF09C2E"/>
    <w:rsid w:val="7AF67A71"/>
    <w:rsid w:val="7AFCEFE4"/>
    <w:rsid w:val="7AFDC6EF"/>
    <w:rsid w:val="7B0766C7"/>
    <w:rsid w:val="7B09D8EF"/>
    <w:rsid w:val="7B0BEBA9"/>
    <w:rsid w:val="7B1850FB"/>
    <w:rsid w:val="7B1C65AE"/>
    <w:rsid w:val="7B1D386A"/>
    <w:rsid w:val="7B208570"/>
    <w:rsid w:val="7B23174D"/>
    <w:rsid w:val="7B244AC7"/>
    <w:rsid w:val="7B4386AC"/>
    <w:rsid w:val="7B45FDA8"/>
    <w:rsid w:val="7B4822CF"/>
    <w:rsid w:val="7B4CB8CE"/>
    <w:rsid w:val="7B51240D"/>
    <w:rsid w:val="7B516F61"/>
    <w:rsid w:val="7B56AF67"/>
    <w:rsid w:val="7B63721F"/>
    <w:rsid w:val="7B69354D"/>
    <w:rsid w:val="7B6C0C9E"/>
    <w:rsid w:val="7B7104FB"/>
    <w:rsid w:val="7B760EE8"/>
    <w:rsid w:val="7B77000A"/>
    <w:rsid w:val="7B7798FF"/>
    <w:rsid w:val="7B79A40E"/>
    <w:rsid w:val="7B85D6F7"/>
    <w:rsid w:val="7B93324E"/>
    <w:rsid w:val="7B947B5F"/>
    <w:rsid w:val="7B965E82"/>
    <w:rsid w:val="7B9E098F"/>
    <w:rsid w:val="7BB528B1"/>
    <w:rsid w:val="7BBC20EF"/>
    <w:rsid w:val="7BBFFFE8"/>
    <w:rsid w:val="7BC1BA91"/>
    <w:rsid w:val="7BC4438B"/>
    <w:rsid w:val="7BC7799B"/>
    <w:rsid w:val="7BCC0918"/>
    <w:rsid w:val="7BD4A330"/>
    <w:rsid w:val="7BD9A1A9"/>
    <w:rsid w:val="7BE0EA74"/>
    <w:rsid w:val="7BE8B70C"/>
    <w:rsid w:val="7BF128D4"/>
    <w:rsid w:val="7BF92BAD"/>
    <w:rsid w:val="7C00E173"/>
    <w:rsid w:val="7C0EB2BD"/>
    <w:rsid w:val="7C0EC31F"/>
    <w:rsid w:val="7C2527B9"/>
    <w:rsid w:val="7C25607E"/>
    <w:rsid w:val="7C2735E0"/>
    <w:rsid w:val="7C30A988"/>
    <w:rsid w:val="7C316AF2"/>
    <w:rsid w:val="7C320B8B"/>
    <w:rsid w:val="7C4F7A14"/>
    <w:rsid w:val="7C54CC7B"/>
    <w:rsid w:val="7C6C307E"/>
    <w:rsid w:val="7C6FB342"/>
    <w:rsid w:val="7C7228F6"/>
    <w:rsid w:val="7C7246C4"/>
    <w:rsid w:val="7C792A67"/>
    <w:rsid w:val="7C855F7B"/>
    <w:rsid w:val="7C866541"/>
    <w:rsid w:val="7C8DDF47"/>
    <w:rsid w:val="7C8FD911"/>
    <w:rsid w:val="7C93A358"/>
    <w:rsid w:val="7C94CCD0"/>
    <w:rsid w:val="7C9D967E"/>
    <w:rsid w:val="7C9DDC85"/>
    <w:rsid w:val="7CA0501F"/>
    <w:rsid w:val="7CA0A4A7"/>
    <w:rsid w:val="7CAF08FF"/>
    <w:rsid w:val="7CB6F196"/>
    <w:rsid w:val="7CB87AEE"/>
    <w:rsid w:val="7CC07DF8"/>
    <w:rsid w:val="7CC8333B"/>
    <w:rsid w:val="7CCEED93"/>
    <w:rsid w:val="7CD83F0F"/>
    <w:rsid w:val="7CDF84AE"/>
    <w:rsid w:val="7CE6D80E"/>
    <w:rsid w:val="7CE8FF05"/>
    <w:rsid w:val="7CEE0333"/>
    <w:rsid w:val="7CF2E6A0"/>
    <w:rsid w:val="7CF32DEE"/>
    <w:rsid w:val="7D02250E"/>
    <w:rsid w:val="7D09AB38"/>
    <w:rsid w:val="7D0DDBF2"/>
    <w:rsid w:val="7D10373E"/>
    <w:rsid w:val="7D1476ED"/>
    <w:rsid w:val="7D1698EC"/>
    <w:rsid w:val="7D183A1C"/>
    <w:rsid w:val="7D1B9DFD"/>
    <w:rsid w:val="7D1C03EB"/>
    <w:rsid w:val="7D23060C"/>
    <w:rsid w:val="7D323A7D"/>
    <w:rsid w:val="7D3D35E7"/>
    <w:rsid w:val="7D3EF834"/>
    <w:rsid w:val="7D4D83B2"/>
    <w:rsid w:val="7D51F899"/>
    <w:rsid w:val="7D5A7374"/>
    <w:rsid w:val="7D6501F5"/>
    <w:rsid w:val="7D6C9318"/>
    <w:rsid w:val="7D6CF075"/>
    <w:rsid w:val="7D6CFFEC"/>
    <w:rsid w:val="7D6DC873"/>
    <w:rsid w:val="7D75C3C0"/>
    <w:rsid w:val="7D7E95D1"/>
    <w:rsid w:val="7D8181D6"/>
    <w:rsid w:val="7D8B20C2"/>
    <w:rsid w:val="7D8EB778"/>
    <w:rsid w:val="7D9080DB"/>
    <w:rsid w:val="7D9DC90F"/>
    <w:rsid w:val="7DA92432"/>
    <w:rsid w:val="7DADC497"/>
    <w:rsid w:val="7DB3294D"/>
    <w:rsid w:val="7DBA966A"/>
    <w:rsid w:val="7DBB9BC2"/>
    <w:rsid w:val="7DE42226"/>
    <w:rsid w:val="7DF8B49C"/>
    <w:rsid w:val="7DFFD314"/>
    <w:rsid w:val="7E03C61C"/>
    <w:rsid w:val="7E0AA791"/>
    <w:rsid w:val="7E118C37"/>
    <w:rsid w:val="7E134769"/>
    <w:rsid w:val="7E308F72"/>
    <w:rsid w:val="7E38AE14"/>
    <w:rsid w:val="7E3D5820"/>
    <w:rsid w:val="7E472FF9"/>
    <w:rsid w:val="7E5AD397"/>
    <w:rsid w:val="7E5C2EA9"/>
    <w:rsid w:val="7E6A92CF"/>
    <w:rsid w:val="7E7B66E2"/>
    <w:rsid w:val="7E7FB5AC"/>
    <w:rsid w:val="7E8A1A81"/>
    <w:rsid w:val="7EA4BB1A"/>
    <w:rsid w:val="7EBA3865"/>
    <w:rsid w:val="7EBAC4B9"/>
    <w:rsid w:val="7EBB8943"/>
    <w:rsid w:val="7EBC2113"/>
    <w:rsid w:val="7EC7677A"/>
    <w:rsid w:val="7ED6EE92"/>
    <w:rsid w:val="7EDCCCE5"/>
    <w:rsid w:val="7EECA270"/>
    <w:rsid w:val="7EF0D23E"/>
    <w:rsid w:val="7EF28E89"/>
    <w:rsid w:val="7EF94351"/>
    <w:rsid w:val="7EFD7C84"/>
    <w:rsid w:val="7F2DC6C6"/>
    <w:rsid w:val="7F3D4197"/>
    <w:rsid w:val="7F3F9FA9"/>
    <w:rsid w:val="7F421567"/>
    <w:rsid w:val="7F4AE64C"/>
    <w:rsid w:val="7F4DC15A"/>
    <w:rsid w:val="7F521A94"/>
    <w:rsid w:val="7F52ED00"/>
    <w:rsid w:val="7F5349B6"/>
    <w:rsid w:val="7F548323"/>
    <w:rsid w:val="7F5BA5D3"/>
    <w:rsid w:val="7F67B906"/>
    <w:rsid w:val="7F70A21A"/>
    <w:rsid w:val="7F7B2982"/>
    <w:rsid w:val="7F97322B"/>
    <w:rsid w:val="7F981E86"/>
    <w:rsid w:val="7FA14FE0"/>
    <w:rsid w:val="7FA41C84"/>
    <w:rsid w:val="7FB53C41"/>
    <w:rsid w:val="7FC4D8F1"/>
    <w:rsid w:val="7FD28B80"/>
    <w:rsid w:val="7FED4C5F"/>
    <w:rsid w:val="7FF0AD56"/>
    <w:rsid w:val="7FF247BC"/>
    <w:rsid w:val="7FF3753D"/>
    <w:rsid w:val="7FF6E4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6E09FBF"/>
  <w15:docId w15:val="{1BB81005-CCCD-4818-868B-A20C6E50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922"/>
    <w:pPr>
      <w:spacing w:before="200" w:after="0" w:line="276" w:lineRule="auto"/>
    </w:pPr>
  </w:style>
  <w:style w:type="paragraph" w:styleId="Heading1">
    <w:name w:val="heading 1"/>
    <w:basedOn w:val="Heading2"/>
    <w:next w:val="Normal"/>
    <w:link w:val="Heading1Char"/>
    <w:uiPriority w:val="1"/>
    <w:qFormat/>
    <w:rsid w:val="002F0C9A"/>
    <w:pPr>
      <w:pageBreakBefore/>
      <w:jc w:val="center"/>
      <w:outlineLvl w:val="0"/>
    </w:pPr>
    <w:rPr>
      <w:rFonts w:cs="Times New Roman"/>
      <w:color w:val="auto"/>
    </w:rPr>
  </w:style>
  <w:style w:type="paragraph" w:styleId="Heading2">
    <w:name w:val="heading 2"/>
    <w:basedOn w:val="Normal"/>
    <w:next w:val="Normal"/>
    <w:link w:val="Heading2Char"/>
    <w:uiPriority w:val="3"/>
    <w:unhideWhenUsed/>
    <w:qFormat/>
    <w:rsid w:val="00521922"/>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4"/>
    <w:unhideWhenUsed/>
    <w:qFormat/>
    <w:rsid w:val="00132399"/>
    <w:pPr>
      <w:spacing w:line="240" w:lineRule="auto"/>
      <w:ind w:right="91"/>
      <w:outlineLvl w:val="2"/>
    </w:pPr>
    <w:rPr>
      <w:rFonts w:eastAsia="Times New Roman" w:cs="Times New Roman"/>
      <w:bCs/>
      <w:szCs w:val="24"/>
      <w:u w:val="single"/>
      <w:lang w:eastAsia="en-AU"/>
    </w:rPr>
  </w:style>
  <w:style w:type="paragraph" w:styleId="Heading4">
    <w:name w:val="heading 4"/>
    <w:basedOn w:val="Heading3"/>
    <w:next w:val="Normal"/>
    <w:link w:val="Heading4Char"/>
    <w:uiPriority w:val="5"/>
    <w:unhideWhenUsed/>
    <w:qFormat/>
    <w:rsid w:val="00132399"/>
    <w:pPr>
      <w:outlineLvl w:val="3"/>
    </w:pPr>
    <w:rPr>
      <w:b/>
      <w:bCs w:val="0"/>
      <w:u w:val="none"/>
    </w:rPr>
  </w:style>
  <w:style w:type="paragraph" w:styleId="Heading5">
    <w:name w:val="heading 5"/>
    <w:basedOn w:val="Heading4"/>
    <w:next w:val="Normal"/>
    <w:link w:val="Heading5Char"/>
    <w:uiPriority w:val="6"/>
    <w:unhideWhenUsed/>
    <w:qFormat/>
    <w:rsid w:val="009A023A"/>
    <w:pPr>
      <w:keepNext/>
      <w:outlineLvl w:val="4"/>
    </w:pPr>
    <w:rPr>
      <w:i/>
      <w:iCs/>
    </w:rPr>
  </w:style>
  <w:style w:type="paragraph" w:styleId="Heading6">
    <w:name w:val="heading 6"/>
    <w:basedOn w:val="Heading5"/>
    <w:next w:val="Normal"/>
    <w:link w:val="Heading6Char"/>
    <w:uiPriority w:val="9"/>
    <w:unhideWhenUsed/>
    <w:qFormat/>
    <w:rsid w:val="009A023A"/>
    <w:pPr>
      <w:outlineLvl w:val="5"/>
    </w:pPr>
    <w:rPr>
      <w:b w:val="0"/>
      <w:bCs/>
    </w:rPr>
  </w:style>
  <w:style w:type="paragraph" w:styleId="Heading7">
    <w:name w:val="heading 7"/>
    <w:basedOn w:val="Normal"/>
    <w:next w:val="Normal"/>
    <w:link w:val="Heading7Char"/>
    <w:uiPriority w:val="9"/>
    <w:semiHidden/>
    <w:unhideWhenUsed/>
    <w:qFormat/>
    <w:rsid w:val="00F513EB"/>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Numbered paragraph,Bulleted Para,CV text,Dot pt,F5 List Paragraph,FooterText,List Paragraph111,List Paragraph2,Medium Grid 1 - Accent 21,NFP GP Bulleted List,Numbered Paragraph,Rec para,列出"/>
    <w:basedOn w:val="Normal"/>
    <w:link w:val="ListParagraphChar"/>
    <w:uiPriority w:val="34"/>
    <w:qFormat/>
    <w:rsid w:val="00DA552F"/>
    <w:pPr>
      <w:ind w:left="720"/>
      <w:contextualSpacing/>
    </w:pPr>
  </w:style>
  <w:style w:type="character" w:styleId="Hyperlink">
    <w:name w:val="Hyperlink"/>
    <w:aliases w:val="Hyperlink Cab"/>
    <w:basedOn w:val="DefaultParagraphFont"/>
    <w:uiPriority w:val="99"/>
    <w:unhideWhenUsed/>
    <w:qFormat/>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3"/>
    <w:rsid w:val="00521922"/>
    <w:rPr>
      <w:rFonts w:eastAsiaTheme="majorEastAsia" w:cstheme="majorBidi"/>
      <w:b/>
      <w:color w:val="000000" w:themeColor="text1"/>
      <w:szCs w:val="26"/>
    </w:rPr>
  </w:style>
  <w:style w:type="table" w:styleId="TableGrid">
    <w:name w:val="Table Grid"/>
    <w:basedOn w:val="TableNormal"/>
    <w:uiPriority w:val="5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qFormat/>
    <w:rsid w:val="00377427"/>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377427"/>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4"/>
    <w:rsid w:val="00132399"/>
    <w:rPr>
      <w:rFonts w:eastAsia="Times New Roman" w:cs="Times New Roman"/>
      <w:bCs/>
      <w:szCs w:val="24"/>
      <w:u w:val="single"/>
      <w:lang w:eastAsia="en-AU"/>
    </w:rPr>
  </w:style>
  <w:style w:type="character" w:styleId="CommentReference">
    <w:name w:val="annotation reference"/>
    <w:basedOn w:val="DefaultParagraphFont"/>
    <w:uiPriority w:val="99"/>
    <w:unhideWhenUsed/>
    <w:rsid w:val="00627EDA"/>
    <w:rPr>
      <w:sz w:val="16"/>
      <w:szCs w:val="16"/>
    </w:rPr>
  </w:style>
  <w:style w:type="paragraph" w:styleId="CommentText">
    <w:name w:val="annotation text"/>
    <w:basedOn w:val="Normal"/>
    <w:link w:val="CommentTextChar"/>
    <w:unhideWhenUsed/>
    <w:rsid w:val="00627EDA"/>
    <w:pPr>
      <w:spacing w:line="240" w:lineRule="auto"/>
    </w:pPr>
    <w:rPr>
      <w:sz w:val="20"/>
      <w:szCs w:val="20"/>
    </w:rPr>
  </w:style>
  <w:style w:type="character" w:customStyle="1" w:styleId="CommentTextChar">
    <w:name w:val="Comment Text Char"/>
    <w:basedOn w:val="DefaultParagraphFont"/>
    <w:link w:val="CommentText"/>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1"/>
    <w:rsid w:val="002F0C9A"/>
    <w:rPr>
      <w:rFonts w:eastAsiaTheme="majorEastAsia" w:cs="Times New Roman"/>
      <w:b/>
      <w:szCs w:val="26"/>
    </w:rPr>
  </w:style>
  <w:style w:type="character" w:customStyle="1" w:styleId="Heading4Char">
    <w:name w:val="Heading 4 Char"/>
    <w:basedOn w:val="DefaultParagraphFont"/>
    <w:link w:val="Heading4"/>
    <w:uiPriority w:val="5"/>
    <w:rsid w:val="00132399"/>
    <w:rPr>
      <w:rFonts w:eastAsia="Times New Roman" w:cs="Times New Roman"/>
      <w:b/>
      <w:szCs w:val="24"/>
      <w:lang w:eastAsia="en-AU"/>
    </w:rPr>
  </w:style>
  <w:style w:type="character" w:customStyle="1" w:styleId="Heading5Char">
    <w:name w:val="Heading 5 Char"/>
    <w:basedOn w:val="DefaultParagraphFont"/>
    <w:link w:val="Heading5"/>
    <w:uiPriority w:val="6"/>
    <w:rsid w:val="009A023A"/>
    <w:rPr>
      <w:rFonts w:eastAsia="Times New Roman" w:cs="Times New Roman"/>
      <w:b/>
      <w:i/>
      <w:iCs/>
      <w:szCs w:val="24"/>
      <w:lang w:eastAsia="en-AU"/>
    </w:rPr>
  </w:style>
  <w:style w:type="character" w:customStyle="1" w:styleId="Heading6Char">
    <w:name w:val="Heading 6 Char"/>
    <w:basedOn w:val="DefaultParagraphFont"/>
    <w:link w:val="Heading6"/>
    <w:uiPriority w:val="9"/>
    <w:rsid w:val="009A023A"/>
    <w:rPr>
      <w:rFonts w:eastAsia="Times New Roman" w:cs="Times New Roman"/>
      <w:bCs/>
      <w:i/>
      <w:iCs/>
      <w:szCs w:val="24"/>
      <w:lang w:eastAsia="en-AU"/>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26"/>
    <w:unhideWhenUsed/>
    <w:rsid w:val="00783FAB"/>
    <w:pPr>
      <w:tabs>
        <w:tab w:val="center" w:pos="4513"/>
        <w:tab w:val="right" w:pos="9026"/>
      </w:tabs>
      <w:spacing w:line="240" w:lineRule="auto"/>
    </w:pPr>
  </w:style>
  <w:style w:type="character" w:customStyle="1" w:styleId="HeaderChar">
    <w:name w:val="Header Char"/>
    <w:basedOn w:val="DefaultParagraphFont"/>
    <w:link w:val="Header"/>
    <w:uiPriority w:val="26"/>
    <w:rsid w:val="00783FAB"/>
  </w:style>
  <w:style w:type="paragraph" w:styleId="Footer">
    <w:name w:val="footer"/>
    <w:basedOn w:val="Normal"/>
    <w:link w:val="FooterChar"/>
    <w:uiPriority w:val="99"/>
    <w:unhideWhenUsed/>
    <w:rsid w:val="00783FAB"/>
    <w:pPr>
      <w:tabs>
        <w:tab w:val="center" w:pos="4513"/>
        <w:tab w:val="right" w:pos="9026"/>
      </w:tabs>
      <w:spacing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1"/>
      </w:numPr>
      <w:spacing w:before="24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1"/>
      </w:numPr>
      <w:spacing w:before="24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1"/>
      </w:numPr>
      <w:tabs>
        <w:tab w:val="left" w:pos="2160"/>
      </w:tabs>
      <w:spacing w:before="24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1"/>
      </w:numPr>
      <w:spacing w:before="240" w:line="240" w:lineRule="auto"/>
    </w:pPr>
    <w:rPr>
      <w:rFonts w:eastAsia="Times New Roman" w:cs="Times New Roman"/>
      <w:szCs w:val="20"/>
      <w:lang w:eastAsia="en-AU"/>
    </w:rPr>
  </w:style>
  <w:style w:type="numbering" w:customStyle="1" w:styleId="OPCBodyList">
    <w:name w:val="OPCBodyList"/>
    <w:rsid w:val="00677A0D"/>
    <w:pPr>
      <w:numPr>
        <w:numId w:val="1"/>
      </w:numPr>
    </w:pPr>
  </w:style>
  <w:style w:type="paragraph" w:styleId="FootnoteText">
    <w:name w:val="footnote text"/>
    <w:basedOn w:val="Normal"/>
    <w:link w:val="FootnoteTextChar"/>
    <w:uiPriority w:val="99"/>
    <w:qFormat/>
    <w:rsid w:val="00DB6247"/>
    <w:pPr>
      <w:overflowPunct w:val="0"/>
      <w:autoSpaceDE w:val="0"/>
      <w:autoSpaceDN w:val="0"/>
      <w:adjustRightInd w:val="0"/>
      <w:spacing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uiPriority w:val="99"/>
    <w:rsid w:val="00DB6247"/>
    <w:rPr>
      <w:rFonts w:eastAsia="Times New Roman" w:cs="Times New Roman"/>
      <w:sz w:val="20"/>
      <w:szCs w:val="20"/>
      <w:lang w:val="x-none" w:eastAsia="en-AU"/>
    </w:rPr>
  </w:style>
  <w:style w:type="character" w:styleId="FootnoteReference">
    <w:name w:val="footnote reference"/>
    <w:aliases w:val="(NECG) Footnote Reference,(NECG) Footnote Reference1,(NECG) Footnote Reference2,Footnote Reference 1,o,-E Fußnotenzeichen,JFR-Fußnotenzeichen,(Diplomarbeit FZ),(Diplomarbeit FZ)1,(Diplomarbeit FZ)2,(Diplomarbeit FZ)3"/>
    <w:uiPriority w:val="99"/>
    <w:rsid w:val="00DB6247"/>
    <w:rPr>
      <w:vertAlign w:val="superscript"/>
    </w:rPr>
  </w:style>
  <w:style w:type="paragraph" w:styleId="Quote">
    <w:name w:val="Quote"/>
    <w:basedOn w:val="Normal"/>
    <w:link w:val="QuoteChar"/>
    <w:uiPriority w:val="18"/>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uiPriority w:val="18"/>
    <w:rsid w:val="00DB6247"/>
    <w:rPr>
      <w:rFonts w:eastAsia="Times New Roman" w:cs="Times New Roman"/>
      <w:szCs w:val="20"/>
    </w:rPr>
  </w:style>
  <w:style w:type="character" w:customStyle="1" w:styleId="charapple-converted-space">
    <w:name w:val="charapple-converted-space"/>
    <w:rsid w:val="00DB6247"/>
  </w:style>
  <w:style w:type="character" w:customStyle="1" w:styleId="UnresolvedMention1">
    <w:name w:val="Unresolved Mention1"/>
    <w:basedOn w:val="DefaultParagraphFont"/>
    <w:uiPriority w:val="99"/>
    <w:unhideWhenUsed/>
    <w:rsid w:val="00AF040E"/>
    <w:rPr>
      <w:color w:val="605E5C"/>
      <w:shd w:val="clear" w:color="auto" w:fill="E1DFDD"/>
    </w:rPr>
  </w:style>
  <w:style w:type="character" w:customStyle="1" w:styleId="normaltextrun">
    <w:name w:val="normaltextrun"/>
    <w:basedOn w:val="DefaultParagraphFont"/>
    <w:rsid w:val="000E4FEA"/>
  </w:style>
  <w:style w:type="character" w:customStyle="1" w:styleId="eop">
    <w:name w:val="eop"/>
    <w:basedOn w:val="DefaultParagraphFont"/>
    <w:rsid w:val="008F0345"/>
  </w:style>
  <w:style w:type="character" w:customStyle="1" w:styleId="Mention1">
    <w:name w:val="Mention1"/>
    <w:basedOn w:val="DefaultParagraphFont"/>
    <w:uiPriority w:val="99"/>
    <w:unhideWhenUsed/>
    <w:rsid w:val="00513C8C"/>
    <w:rPr>
      <w:color w:val="2B579A"/>
      <w:shd w:val="clear" w:color="auto" w:fill="E1DFDD"/>
    </w:rPr>
  </w:style>
  <w:style w:type="paragraph" w:styleId="NormalWeb">
    <w:name w:val="Normal (Web)"/>
    <w:basedOn w:val="Normal"/>
    <w:uiPriority w:val="99"/>
    <w:unhideWhenUsed/>
    <w:rsid w:val="00E108E9"/>
    <w:pPr>
      <w:spacing w:before="100" w:beforeAutospacing="1" w:after="100" w:afterAutospacing="1" w:line="240" w:lineRule="auto"/>
    </w:pPr>
    <w:rPr>
      <w:rFonts w:eastAsia="Times New Roman" w:cs="Times New Roman"/>
      <w:szCs w:val="24"/>
      <w:lang w:eastAsia="en-AU"/>
    </w:rPr>
  </w:style>
  <w:style w:type="character" w:styleId="Emphasis">
    <w:name w:val="Emphasis"/>
    <w:basedOn w:val="DefaultParagraphFont"/>
    <w:uiPriority w:val="99"/>
    <w:qFormat/>
    <w:rsid w:val="00D918D7"/>
    <w:rPr>
      <w:i/>
      <w:iCs/>
    </w:rPr>
  </w:style>
  <w:style w:type="paragraph" w:customStyle="1" w:styleId="Default">
    <w:name w:val="Default"/>
    <w:rsid w:val="00FA7828"/>
    <w:pPr>
      <w:autoSpaceDE w:val="0"/>
      <w:autoSpaceDN w:val="0"/>
      <w:adjustRightInd w:val="0"/>
      <w:spacing w:after="0" w:line="240" w:lineRule="auto"/>
    </w:pPr>
    <w:rPr>
      <w:rFonts w:ascii="Calibri" w:hAnsi="Calibri" w:cs="Calibri"/>
      <w:color w:val="000000"/>
      <w:szCs w:val="24"/>
    </w:rPr>
  </w:style>
  <w:style w:type="paragraph" w:customStyle="1" w:styleId="base-text-paragraphnonumbers">
    <w:name w:val="base-text-paragraph no numbers"/>
    <w:basedOn w:val="Normal"/>
    <w:uiPriority w:val="99"/>
    <w:rsid w:val="00D07822"/>
    <w:pPr>
      <w:spacing w:before="120" w:after="120" w:line="240" w:lineRule="auto"/>
      <w:ind w:left="1134"/>
    </w:pPr>
    <w:rPr>
      <w:rFonts w:eastAsia="Times New Roman" w:cs="Times New Roman"/>
      <w:sz w:val="22"/>
      <w:lang w:eastAsia="en-AU"/>
    </w:rPr>
  </w:style>
  <w:style w:type="paragraph" w:customStyle="1" w:styleId="BodyText1">
    <w:name w:val="Body Text1"/>
    <w:basedOn w:val="Normal"/>
    <w:qFormat/>
    <w:rsid w:val="003B2B9F"/>
    <w:pPr>
      <w:spacing w:before="0" w:after="240" w:line="240" w:lineRule="auto"/>
    </w:pPr>
    <w:rPr>
      <w:rFonts w:eastAsia="Calibri" w:cs="Times New Roman"/>
      <w:szCs w:val="24"/>
    </w:rPr>
  </w:style>
  <w:style w:type="paragraph" w:customStyle="1" w:styleId="PlainParagraph">
    <w:name w:val="Plain Paragraph"/>
    <w:aliases w:val="PP"/>
    <w:basedOn w:val="Normal"/>
    <w:link w:val="PlainParagraphChar"/>
    <w:qFormat/>
    <w:rsid w:val="001901AE"/>
    <w:pPr>
      <w:spacing w:before="140" w:after="140" w:line="280" w:lineRule="atLeast"/>
    </w:pPr>
    <w:rPr>
      <w:rFonts w:ascii="Arial" w:eastAsia="Times New Roman" w:hAnsi="Arial" w:cs="Arial"/>
      <w:sz w:val="22"/>
      <w:lang w:eastAsia="en-AU"/>
    </w:rPr>
  </w:style>
  <w:style w:type="character" w:customStyle="1" w:styleId="PlainParagraphChar">
    <w:name w:val="Plain Paragraph Char"/>
    <w:aliases w:val="PP Char"/>
    <w:basedOn w:val="DefaultParagraphFont"/>
    <w:link w:val="PlainParagraph"/>
    <w:rsid w:val="001901AE"/>
    <w:rPr>
      <w:rFonts w:ascii="Arial" w:eastAsia="Times New Roman" w:hAnsi="Arial" w:cs="Arial"/>
      <w:sz w:val="22"/>
      <w:lang w:eastAsia="en-AU"/>
    </w:rPr>
  </w:style>
  <w:style w:type="paragraph" w:customStyle="1" w:styleId="subsection">
    <w:name w:val="subsection"/>
    <w:aliases w:val="ss,t_Main,Subsection"/>
    <w:basedOn w:val="Normal"/>
    <w:link w:val="subsectionChar"/>
    <w:qFormat/>
    <w:rsid w:val="001F045D"/>
    <w:pPr>
      <w:tabs>
        <w:tab w:val="right" w:pos="1021"/>
      </w:tabs>
      <w:spacing w:before="180" w:line="240" w:lineRule="auto"/>
      <w:ind w:left="1134" w:hanging="1134"/>
    </w:pPr>
    <w:rPr>
      <w:rFonts w:eastAsia="Times New Roman" w:cs="Times New Roman"/>
      <w:sz w:val="22"/>
      <w:szCs w:val="20"/>
      <w:lang w:eastAsia="en-AU"/>
    </w:rPr>
  </w:style>
  <w:style w:type="character" w:customStyle="1" w:styleId="subsectionChar">
    <w:name w:val="subsection Char"/>
    <w:aliases w:val="ss Char"/>
    <w:basedOn w:val="DefaultParagraphFont"/>
    <w:link w:val="subsection"/>
    <w:locked/>
    <w:rsid w:val="001F045D"/>
    <w:rPr>
      <w:rFonts w:eastAsia="Times New Roman" w:cs="Times New Roman"/>
      <w:sz w:val="22"/>
      <w:szCs w:val="20"/>
      <w:lang w:eastAsia="en-AU"/>
    </w:rPr>
  </w:style>
  <w:style w:type="character" w:customStyle="1" w:styleId="Mention2">
    <w:name w:val="Mention2"/>
    <w:basedOn w:val="DefaultParagraphFont"/>
    <w:uiPriority w:val="99"/>
    <w:unhideWhenUsed/>
    <w:rPr>
      <w:color w:val="2B579A"/>
      <w:shd w:val="clear" w:color="auto" w:fill="E6E6E6"/>
    </w:rPr>
  </w:style>
  <w:style w:type="character" w:customStyle="1" w:styleId="paragraphChar">
    <w:name w:val="paragraph Char"/>
    <w:aliases w:val="a Char"/>
    <w:link w:val="paragraph"/>
    <w:locked/>
    <w:rsid w:val="00C4622A"/>
    <w:rPr>
      <w:rFonts w:eastAsia="Times New Roman" w:cs="Times New Roman"/>
      <w:sz w:val="22"/>
      <w:lang w:eastAsia="en-AU"/>
    </w:rPr>
  </w:style>
  <w:style w:type="paragraph" w:customStyle="1" w:styleId="paragraph">
    <w:name w:val="paragraph"/>
    <w:aliases w:val="a,t_Para"/>
    <w:basedOn w:val="Normal"/>
    <w:link w:val="paragraphChar"/>
    <w:qFormat/>
    <w:rsid w:val="00C4622A"/>
    <w:pPr>
      <w:tabs>
        <w:tab w:val="right" w:pos="1531"/>
      </w:tabs>
      <w:spacing w:before="40" w:line="240" w:lineRule="auto"/>
      <w:ind w:left="1644" w:hanging="1644"/>
    </w:pPr>
    <w:rPr>
      <w:rFonts w:eastAsia="Times New Roman" w:cs="Times New Roman"/>
      <w:sz w:val="22"/>
      <w:lang w:eastAsia="en-AU"/>
    </w:rPr>
  </w:style>
  <w:style w:type="paragraph" w:customStyle="1" w:styleId="Itemheadings">
    <w:name w:val="Item headings"/>
    <w:basedOn w:val="Normal"/>
    <w:qFormat/>
    <w:rsid w:val="00F516D4"/>
    <w:pPr>
      <w:keepNext/>
      <w:tabs>
        <w:tab w:val="left" w:pos="1701"/>
      </w:tabs>
      <w:spacing w:line="240" w:lineRule="auto"/>
    </w:pPr>
    <w:rPr>
      <w:rFonts w:eastAsia="Calibri" w:cs="Times New Roman"/>
      <w:b/>
    </w:rPr>
  </w:style>
  <w:style w:type="paragraph" w:customStyle="1" w:styleId="Scheduleheading">
    <w:name w:val="Schedule heading"/>
    <w:basedOn w:val="Normal"/>
    <w:qFormat/>
    <w:rsid w:val="00C65B2D"/>
    <w:pPr>
      <w:keepNext/>
      <w:spacing w:before="120" w:after="360" w:line="240" w:lineRule="auto"/>
    </w:pPr>
    <w:rPr>
      <w:rFonts w:eastAsia="Calibri" w:cs="Times New Roman"/>
      <w:b/>
      <w:sz w:val="28"/>
      <w:szCs w:val="28"/>
    </w:rPr>
  </w:style>
  <w:style w:type="paragraph" w:customStyle="1" w:styleId="Definition">
    <w:name w:val="Definition"/>
    <w:aliases w:val="dd,t_Defn"/>
    <w:basedOn w:val="Normal"/>
    <w:rsid w:val="006365B9"/>
    <w:pPr>
      <w:spacing w:before="180" w:line="240" w:lineRule="auto"/>
      <w:ind w:left="1134"/>
    </w:pPr>
    <w:rPr>
      <w:rFonts w:eastAsia="Times New Roman" w:cs="Times New Roman"/>
      <w:sz w:val="22"/>
      <w:szCs w:val="20"/>
      <w:lang w:eastAsia="en-AU"/>
    </w:rPr>
  </w:style>
  <w:style w:type="character" w:customStyle="1" w:styleId="ui-provider">
    <w:name w:val="ui-provider"/>
    <w:basedOn w:val="DefaultParagraphFont"/>
    <w:rsid w:val="00DE65A3"/>
  </w:style>
  <w:style w:type="character" w:customStyle="1" w:styleId="UnresolvedMention2">
    <w:name w:val="Unresolved Mention2"/>
    <w:basedOn w:val="DefaultParagraphFont"/>
    <w:uiPriority w:val="99"/>
    <w:semiHidden/>
    <w:unhideWhenUsed/>
    <w:rsid w:val="00DE65A3"/>
    <w:rPr>
      <w:color w:val="605E5C"/>
      <w:shd w:val="clear" w:color="auto" w:fill="E1DFDD"/>
    </w:rPr>
  </w:style>
  <w:style w:type="paragraph" w:customStyle="1" w:styleId="subsection2">
    <w:name w:val="subsection2"/>
    <w:aliases w:val="ss2"/>
    <w:basedOn w:val="Normal"/>
    <w:next w:val="Normal"/>
    <w:rsid w:val="001933B4"/>
    <w:pPr>
      <w:spacing w:before="40" w:line="240" w:lineRule="auto"/>
      <w:ind w:left="1134"/>
    </w:pPr>
    <w:rPr>
      <w:rFonts w:eastAsia="Times New Roman" w:cs="Times New Roman"/>
      <w:sz w:val="22"/>
      <w:szCs w:val="20"/>
      <w:lang w:eastAsia="en-AU"/>
    </w:rPr>
  </w:style>
  <w:style w:type="character" w:customStyle="1" w:styleId="ListParagraphChar">
    <w:name w:val="List Paragraph Char"/>
    <w:aliases w:val="List Paragraph1 Char,Recommendation Char,List Paragraph11 Char,L Char,Numbered paragraph Char,Bulleted Para Char,CV text Char,Dot pt Char,F5 List Paragraph Char,FooterText Char,List Paragraph111 Char,List Paragraph2 Char,列出 Char"/>
    <w:basedOn w:val="DefaultParagraphFont"/>
    <w:link w:val="ListParagraph"/>
    <w:uiPriority w:val="34"/>
    <w:qFormat/>
    <w:locked/>
    <w:rsid w:val="00EC24A0"/>
  </w:style>
  <w:style w:type="paragraph" w:customStyle="1" w:styleId="bodytext10">
    <w:name w:val="bodytext1"/>
    <w:basedOn w:val="Normal"/>
    <w:rsid w:val="00581D6A"/>
    <w:pPr>
      <w:spacing w:before="100" w:beforeAutospacing="1" w:after="100" w:afterAutospacing="1" w:line="240" w:lineRule="auto"/>
    </w:pPr>
    <w:rPr>
      <w:rFonts w:eastAsia="Times New Roman" w:cs="Times New Roman"/>
      <w:szCs w:val="24"/>
      <w:lang w:eastAsia="en-AU"/>
    </w:rPr>
  </w:style>
  <w:style w:type="paragraph" w:styleId="NoSpacing">
    <w:name w:val="No Spacing"/>
    <w:link w:val="NoSpacingChar"/>
    <w:uiPriority w:val="99"/>
    <w:qFormat/>
    <w:rsid w:val="00591A9C"/>
    <w:pPr>
      <w:spacing w:after="0" w:line="240" w:lineRule="auto"/>
    </w:pPr>
    <w:rPr>
      <w:rFonts w:asciiTheme="minorHAnsi" w:hAnsiTheme="minorHAnsi"/>
      <w:sz w:val="22"/>
    </w:rPr>
  </w:style>
  <w:style w:type="paragraph" w:customStyle="1" w:styleId="ListNumberDotted">
    <w:name w:val="List Number Dotted"/>
    <w:basedOn w:val="ListNumber"/>
    <w:qFormat/>
    <w:rsid w:val="00591A9C"/>
    <w:pPr>
      <w:tabs>
        <w:tab w:val="left" w:pos="142"/>
      </w:tabs>
      <w:spacing w:before="120" w:after="120"/>
      <w:contextualSpacing w:val="0"/>
    </w:pPr>
    <w:rPr>
      <w:rFonts w:asciiTheme="minorHAnsi" w:hAnsiTheme="minorHAnsi"/>
      <w:sz w:val="22"/>
    </w:rPr>
  </w:style>
  <w:style w:type="paragraph" w:customStyle="1" w:styleId="paragraphsub">
    <w:name w:val="paragraph(sub)"/>
    <w:aliases w:val="aa"/>
    <w:basedOn w:val="Normal"/>
    <w:rsid w:val="00591A9C"/>
    <w:pPr>
      <w:tabs>
        <w:tab w:val="right" w:pos="1985"/>
      </w:tabs>
      <w:spacing w:before="40" w:line="240" w:lineRule="auto"/>
      <w:ind w:left="2098" w:hanging="2098"/>
    </w:pPr>
    <w:rPr>
      <w:rFonts w:eastAsia="Times New Roman" w:cs="Times New Roman"/>
      <w:sz w:val="22"/>
      <w:szCs w:val="20"/>
      <w:lang w:eastAsia="en-AU"/>
    </w:rPr>
  </w:style>
  <w:style w:type="character" w:customStyle="1" w:styleId="Advisorytext">
    <w:name w:val="Advisory text"/>
    <w:uiPriority w:val="1"/>
    <w:qFormat/>
    <w:rsid w:val="00591A9C"/>
    <w:rPr>
      <w:bdr w:val="none" w:sz="0" w:space="0" w:color="auto" w:frame="1"/>
      <w:shd w:val="clear" w:color="auto" w:fill="EEECE1"/>
    </w:rPr>
  </w:style>
  <w:style w:type="character" w:styleId="Strong">
    <w:name w:val="Strong"/>
    <w:basedOn w:val="DefaultParagraphFont"/>
    <w:uiPriority w:val="22"/>
    <w:qFormat/>
    <w:rsid w:val="00591A9C"/>
    <w:rPr>
      <w:b/>
      <w:bCs/>
    </w:rPr>
  </w:style>
  <w:style w:type="paragraph" w:styleId="ListNumber">
    <w:name w:val="List Number"/>
    <w:basedOn w:val="Normal"/>
    <w:uiPriority w:val="9"/>
    <w:unhideWhenUsed/>
    <w:qFormat/>
    <w:rsid w:val="00591A9C"/>
    <w:pPr>
      <w:contextualSpacing/>
    </w:pPr>
  </w:style>
  <w:style w:type="numbering" w:customStyle="1" w:styleId="NoList1">
    <w:name w:val="No List1"/>
    <w:next w:val="NoList"/>
    <w:uiPriority w:val="99"/>
    <w:semiHidden/>
    <w:unhideWhenUsed/>
    <w:rsid w:val="00CB721C"/>
  </w:style>
  <w:style w:type="table" w:customStyle="1" w:styleId="TableGrid1">
    <w:name w:val="Table Grid1"/>
    <w:basedOn w:val="TableNormal"/>
    <w:next w:val="TableGrid"/>
    <w:uiPriority w:val="39"/>
    <w:rsid w:val="00CB721C"/>
    <w:pPr>
      <w:spacing w:after="0" w:line="240" w:lineRule="auto"/>
    </w:pPr>
    <w:rPr>
      <w:rFonts w:ascii="Calibri" w:hAnsi="Calibri"/>
      <w:color w:val="262626"/>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721C"/>
    <w:rPr>
      <w:color w:val="808080"/>
    </w:rPr>
  </w:style>
  <w:style w:type="table" w:customStyle="1" w:styleId="PMCDefaultTableStyle">
    <w:name w:val="PMC Default Table Style"/>
    <w:basedOn w:val="TableNormal"/>
    <w:uiPriority w:val="99"/>
    <w:rsid w:val="00CB721C"/>
    <w:pPr>
      <w:spacing w:before="60" w:after="60" w:line="264" w:lineRule="auto"/>
    </w:pPr>
    <w:rPr>
      <w:rFonts w:ascii="Calibri" w:hAnsi="Calibri"/>
      <w:color w:val="262626"/>
      <w:sz w:val="18"/>
      <w:szCs w:val="20"/>
    </w:rPr>
    <w:tblPr>
      <w:tblStyleRowBandSize w:val="1"/>
      <w:tblBorders>
        <w:bottom w:val="single" w:sz="18" w:space="0" w:color="D1D1D1"/>
        <w:insideH w:val="single" w:sz="4" w:space="0" w:color="D1D1D1"/>
      </w:tblBorders>
    </w:tblPr>
    <w:tcPr>
      <w:shd w:val="clear" w:color="auto" w:fill="FFFFFF"/>
    </w:tcPr>
    <w:tblStylePr w:type="firstRow">
      <w:rPr>
        <w:rFonts w:ascii="Century Gothic" w:hAnsi="Century Gothic"/>
        <w:b/>
        <w:color w:val="262626"/>
        <w:sz w:val="18"/>
      </w:rPr>
      <w:tblPr/>
      <w:trPr>
        <w:tblHeader/>
      </w:trPr>
      <w:tcPr>
        <w:shd w:val="clear" w:color="auto" w:fill="D1D1D1"/>
      </w:tcPr>
    </w:tblStylePr>
    <w:tblStylePr w:type="band1Horz">
      <w:rPr>
        <w:rFonts w:ascii="Calibri" w:hAnsi="Calibri"/>
        <w:sz w:val="18"/>
      </w:rPr>
    </w:tblStylePr>
    <w:tblStylePr w:type="band2Horz">
      <w:pPr>
        <w:wordWrap/>
        <w:spacing w:beforeLines="0" w:afterLines="0" w:line="264" w:lineRule="auto"/>
        <w:contextualSpacing w:val="0"/>
      </w:pPr>
      <w:rPr>
        <w:rFonts w:ascii="Calibri" w:hAnsi="Calibri"/>
        <w:b w:val="0"/>
        <w:color w:val="262626"/>
        <w:sz w:val="18"/>
      </w:rPr>
      <w:tblPr/>
      <w:tcPr>
        <w:shd w:val="clear" w:color="auto" w:fill="FFFFFF"/>
      </w:tcPr>
    </w:tblStylePr>
  </w:style>
  <w:style w:type="paragraph" w:customStyle="1" w:styleId="TableBullet">
    <w:name w:val="Table Bullet"/>
    <w:basedOn w:val="ListParagraph"/>
    <w:uiPriority w:val="4"/>
    <w:qFormat/>
    <w:rsid w:val="00CB721C"/>
    <w:pPr>
      <w:numPr>
        <w:numId w:val="6"/>
      </w:numPr>
      <w:spacing w:before="40" w:after="40" w:line="240" w:lineRule="auto"/>
      <w:contextualSpacing w:val="0"/>
    </w:pPr>
    <w:rPr>
      <w:rFonts w:ascii="Calibri" w:hAnsi="Calibri"/>
      <w:color w:val="262626"/>
      <w:sz w:val="18"/>
      <w:szCs w:val="20"/>
    </w:rPr>
  </w:style>
  <w:style w:type="paragraph" w:customStyle="1" w:styleId="NumberedListlvl1">
    <w:name w:val="Numbered List lvl1"/>
    <w:basedOn w:val="ListParagraph"/>
    <w:uiPriority w:val="9"/>
    <w:qFormat/>
    <w:rsid w:val="00CB721C"/>
    <w:pPr>
      <w:numPr>
        <w:numId w:val="11"/>
      </w:numPr>
      <w:spacing w:before="0" w:line="264" w:lineRule="auto"/>
      <w:contextualSpacing w:val="0"/>
    </w:pPr>
    <w:rPr>
      <w:rFonts w:ascii="Calibri" w:hAnsi="Calibri"/>
      <w:color w:val="262626"/>
      <w:sz w:val="20"/>
      <w:szCs w:val="20"/>
    </w:rPr>
  </w:style>
  <w:style w:type="paragraph" w:customStyle="1" w:styleId="BulletedListlvl1">
    <w:name w:val="Bulleted List lvl1"/>
    <w:uiPriority w:val="10"/>
    <w:qFormat/>
    <w:rsid w:val="00CB721C"/>
    <w:pPr>
      <w:numPr>
        <w:numId w:val="7"/>
      </w:numPr>
      <w:spacing w:after="0" w:line="264" w:lineRule="auto"/>
    </w:pPr>
    <w:rPr>
      <w:rFonts w:ascii="Calibri" w:hAnsi="Calibri"/>
      <w:color w:val="262626"/>
      <w:sz w:val="20"/>
      <w:szCs w:val="20"/>
    </w:rPr>
  </w:style>
  <w:style w:type="paragraph" w:customStyle="1" w:styleId="NumberedListlvl2">
    <w:name w:val="Numbered List lvl2"/>
    <w:basedOn w:val="NumberedListlvl1"/>
    <w:uiPriority w:val="9"/>
    <w:rsid w:val="00CB721C"/>
    <w:pPr>
      <w:numPr>
        <w:ilvl w:val="1"/>
      </w:numPr>
      <w:ind w:left="1800" w:hanging="360"/>
    </w:pPr>
  </w:style>
  <w:style w:type="paragraph" w:styleId="BodyText">
    <w:name w:val="Body Text"/>
    <w:basedOn w:val="Normal"/>
    <w:link w:val="BodyTextChar"/>
    <w:uiPriority w:val="99"/>
    <w:qFormat/>
    <w:rsid w:val="00CB721C"/>
    <w:pPr>
      <w:spacing w:before="0" w:after="120" w:line="264" w:lineRule="auto"/>
    </w:pPr>
    <w:rPr>
      <w:rFonts w:ascii="Calibri" w:hAnsi="Calibri"/>
      <w:color w:val="262626"/>
      <w:sz w:val="20"/>
      <w:szCs w:val="20"/>
    </w:rPr>
  </w:style>
  <w:style w:type="character" w:customStyle="1" w:styleId="BodyTextChar">
    <w:name w:val="Body Text Char"/>
    <w:basedOn w:val="DefaultParagraphFont"/>
    <w:link w:val="BodyText"/>
    <w:uiPriority w:val="99"/>
    <w:rsid w:val="00CB721C"/>
    <w:rPr>
      <w:rFonts w:ascii="Calibri" w:hAnsi="Calibri"/>
      <w:color w:val="262626"/>
      <w:sz w:val="20"/>
      <w:szCs w:val="20"/>
    </w:rPr>
  </w:style>
  <w:style w:type="paragraph" w:customStyle="1" w:styleId="BulletedListlvl2">
    <w:name w:val="Bulleted List lvl2"/>
    <w:basedOn w:val="BulletedListlvl1"/>
    <w:uiPriority w:val="10"/>
    <w:rsid w:val="00CB721C"/>
    <w:pPr>
      <w:numPr>
        <w:ilvl w:val="1"/>
      </w:numPr>
      <w:ind w:left="1021" w:hanging="283"/>
    </w:pPr>
  </w:style>
  <w:style w:type="paragraph" w:customStyle="1" w:styleId="TableBody">
    <w:name w:val="Table Body"/>
    <w:basedOn w:val="Normal"/>
    <w:uiPriority w:val="11"/>
    <w:qFormat/>
    <w:rsid w:val="00CB721C"/>
    <w:pPr>
      <w:spacing w:before="40" w:after="40" w:line="264" w:lineRule="auto"/>
    </w:pPr>
    <w:rPr>
      <w:rFonts w:ascii="Calibri" w:hAnsi="Calibri"/>
      <w:color w:val="000000"/>
      <w:sz w:val="18"/>
      <w:szCs w:val="20"/>
    </w:rPr>
  </w:style>
  <w:style w:type="paragraph" w:customStyle="1" w:styleId="NumberedListlvl3">
    <w:name w:val="Numbered List lvl3"/>
    <w:basedOn w:val="NumberedListlvl1"/>
    <w:uiPriority w:val="9"/>
    <w:rsid w:val="00CB721C"/>
    <w:pPr>
      <w:numPr>
        <w:ilvl w:val="2"/>
      </w:numPr>
      <w:ind w:left="2520" w:hanging="180"/>
    </w:pPr>
  </w:style>
  <w:style w:type="paragraph" w:customStyle="1" w:styleId="BasicParagraph">
    <w:name w:val="[Basic Paragraph]"/>
    <w:basedOn w:val="Normal"/>
    <w:uiPriority w:val="99"/>
    <w:semiHidden/>
    <w:rsid w:val="00CB721C"/>
    <w:pPr>
      <w:autoSpaceDE w:val="0"/>
      <w:autoSpaceDN w:val="0"/>
      <w:adjustRightInd w:val="0"/>
      <w:spacing w:before="0" w:line="288" w:lineRule="auto"/>
      <w:textAlignment w:val="center"/>
    </w:pPr>
    <w:rPr>
      <w:rFonts w:ascii="Calibri" w:hAnsi="Calibri" w:cs="Minion Pro"/>
      <w:color w:val="000000"/>
      <w:sz w:val="20"/>
      <w:szCs w:val="20"/>
      <w:lang w:val="en-GB"/>
    </w:rPr>
  </w:style>
  <w:style w:type="paragraph" w:customStyle="1" w:styleId="TableHeading">
    <w:name w:val="Table Heading"/>
    <w:basedOn w:val="Normal"/>
    <w:uiPriority w:val="14"/>
    <w:qFormat/>
    <w:rsid w:val="00CB721C"/>
    <w:pPr>
      <w:spacing w:before="0" w:after="120" w:line="264" w:lineRule="auto"/>
    </w:pPr>
    <w:rPr>
      <w:rFonts w:ascii="Century Gothic" w:hAnsi="Century Gothic"/>
      <w:bCs/>
      <w:color w:val="FFFFFF"/>
      <w:sz w:val="18"/>
      <w:szCs w:val="20"/>
    </w:rPr>
  </w:style>
  <w:style w:type="paragraph" w:customStyle="1" w:styleId="ProtectiveMarking">
    <w:name w:val="Protective Marking"/>
    <w:basedOn w:val="Normal"/>
    <w:uiPriority w:val="13"/>
    <w:qFormat/>
    <w:rsid w:val="00CB721C"/>
    <w:pPr>
      <w:spacing w:before="0" w:line="240" w:lineRule="auto"/>
      <w:jc w:val="center"/>
    </w:pPr>
    <w:rPr>
      <w:rFonts w:ascii="Century Gothic" w:hAnsi="Century Gothic"/>
      <w:caps/>
      <w:noProof/>
      <w:color w:val="CD1719"/>
      <w:sz w:val="16"/>
      <w:szCs w:val="20"/>
    </w:rPr>
  </w:style>
  <w:style w:type="table" w:customStyle="1" w:styleId="PMCTableStyle2">
    <w:name w:val="PMC Table Style 2"/>
    <w:basedOn w:val="TableNormal"/>
    <w:uiPriority w:val="99"/>
    <w:rsid w:val="00CB721C"/>
    <w:pPr>
      <w:spacing w:before="60" w:after="60" w:line="264" w:lineRule="auto"/>
    </w:pPr>
    <w:rPr>
      <w:rFonts w:ascii="Calibri" w:hAnsi="Calibri"/>
      <w:color w:val="262626"/>
      <w:sz w:val="20"/>
      <w:szCs w:val="20"/>
    </w:rPr>
    <w:tblPr>
      <w:tblStyleRowBandSize w:val="1"/>
      <w:tblBorders>
        <w:top w:val="single" w:sz="4" w:space="0" w:color="E4E9EE"/>
        <w:left w:val="single" w:sz="4" w:space="0" w:color="E4E9EE"/>
        <w:bottom w:val="single" w:sz="12" w:space="0" w:color="014463"/>
        <w:right w:val="single" w:sz="4" w:space="0" w:color="E4E9EE"/>
        <w:insideH w:val="single" w:sz="4" w:space="0" w:color="E4E9EE"/>
        <w:insideV w:val="single" w:sz="4" w:space="0" w:color="E4E9EE"/>
      </w:tblBorders>
      <w:tblCellMar>
        <w:left w:w="284" w:type="dxa"/>
        <w:right w:w="284" w:type="dxa"/>
      </w:tblCellMar>
    </w:tblPr>
    <w:tcPr>
      <w:shd w:val="clear" w:color="auto" w:fill="FFFFFF"/>
    </w:tcPr>
    <w:tblStylePr w:type="firstRow">
      <w:rPr>
        <w:rFonts w:ascii="Century Gothic" w:hAnsi="Century Gothic"/>
        <w:b/>
        <w:color w:val="FFFFFF"/>
        <w:sz w:val="18"/>
      </w:rPr>
      <w:tblPr/>
      <w:tcPr>
        <w:shd w:val="clear" w:color="auto" w:fill="014463"/>
      </w:tcPr>
    </w:tblStylePr>
    <w:tblStylePr w:type="lastRow">
      <w:tblPr/>
      <w:tcPr>
        <w:shd w:val="clear" w:color="auto" w:fill="E6E6E6"/>
      </w:tcPr>
    </w:tblStylePr>
    <w:tblStylePr w:type="band2Horz">
      <w:rPr>
        <w:rFonts w:ascii="Calibri" w:hAnsi="Calibri"/>
        <w:b w:val="0"/>
        <w:color w:val="262626"/>
      </w:rPr>
      <w:tblPr/>
      <w:tcPr>
        <w:shd w:val="clear" w:color="auto" w:fill="FFFFFF"/>
      </w:tcPr>
    </w:tblStylePr>
  </w:style>
  <w:style w:type="character" w:customStyle="1" w:styleId="NoSpacingChar">
    <w:name w:val="No Spacing Char"/>
    <w:basedOn w:val="DefaultParagraphFont"/>
    <w:link w:val="NoSpacing"/>
    <w:uiPriority w:val="1"/>
    <w:rsid w:val="00CB721C"/>
    <w:rPr>
      <w:rFonts w:asciiTheme="minorHAnsi" w:hAnsiTheme="minorHAnsi"/>
      <w:sz w:val="22"/>
    </w:rPr>
  </w:style>
  <w:style w:type="paragraph" w:customStyle="1" w:styleId="CoverTitle">
    <w:name w:val="Cover Title"/>
    <w:basedOn w:val="NoSpacing"/>
    <w:uiPriority w:val="11"/>
    <w:qFormat/>
    <w:rsid w:val="00CB721C"/>
    <w:pPr>
      <w:spacing w:before="40" w:after="560" w:line="216" w:lineRule="auto"/>
      <w:contextualSpacing/>
    </w:pPr>
    <w:rPr>
      <w:rFonts w:ascii="Century Gothic" w:hAnsi="Century Gothic"/>
      <w:b/>
      <w:color w:val="FFFFFF"/>
      <w:sz w:val="120"/>
      <w:szCs w:val="72"/>
    </w:rPr>
  </w:style>
  <w:style w:type="paragraph" w:customStyle="1" w:styleId="CoverByline">
    <w:name w:val="Cover Byline"/>
    <w:basedOn w:val="NoSpacing"/>
    <w:uiPriority w:val="11"/>
    <w:qFormat/>
    <w:rsid w:val="00CB721C"/>
    <w:pPr>
      <w:spacing w:after="360" w:line="264" w:lineRule="auto"/>
      <w:contextualSpacing/>
    </w:pPr>
    <w:rPr>
      <w:rFonts w:ascii="Century Gothic" w:hAnsi="Century Gothic"/>
      <w:b/>
      <w:color w:val="FFFFFF"/>
      <w:sz w:val="44"/>
      <w:szCs w:val="28"/>
    </w:rPr>
  </w:style>
  <w:style w:type="paragraph" w:customStyle="1" w:styleId="CoverDetails">
    <w:name w:val="Cover Details"/>
    <w:basedOn w:val="NoSpacing"/>
    <w:uiPriority w:val="11"/>
    <w:qFormat/>
    <w:rsid w:val="00CB721C"/>
    <w:pPr>
      <w:spacing w:after="240" w:line="264" w:lineRule="auto"/>
      <w:contextualSpacing/>
    </w:pPr>
    <w:rPr>
      <w:color w:val="FFFFFF"/>
      <w:sz w:val="24"/>
      <w:szCs w:val="28"/>
    </w:rPr>
  </w:style>
  <w:style w:type="paragraph" w:customStyle="1" w:styleId="Footerline">
    <w:name w:val="Footer line"/>
    <w:uiPriority w:val="11"/>
    <w:qFormat/>
    <w:rsid w:val="00CB721C"/>
    <w:pPr>
      <w:spacing w:before="20" w:after="240" w:line="264" w:lineRule="auto"/>
    </w:pPr>
    <w:rPr>
      <w:rFonts w:ascii="Calibri" w:hAnsi="Calibri"/>
      <w:caps/>
      <w:noProof/>
      <w:color w:val="25303B"/>
      <w:sz w:val="20"/>
      <w:szCs w:val="20"/>
    </w:rPr>
  </w:style>
  <w:style w:type="paragraph" w:customStyle="1" w:styleId="TableNumbering">
    <w:name w:val="Table Numbering"/>
    <w:uiPriority w:val="11"/>
    <w:qFormat/>
    <w:rsid w:val="00CB721C"/>
    <w:pPr>
      <w:numPr>
        <w:numId w:val="8"/>
      </w:numPr>
      <w:spacing w:before="40" w:after="40" w:line="264" w:lineRule="auto"/>
      <w:ind w:left="643" w:hanging="360"/>
    </w:pPr>
    <w:rPr>
      <w:rFonts w:ascii="Calibri" w:hAnsi="Calibri"/>
      <w:color w:val="000000"/>
      <w:sz w:val="18"/>
      <w:szCs w:val="20"/>
    </w:rPr>
  </w:style>
  <w:style w:type="paragraph" w:customStyle="1" w:styleId="Caption1">
    <w:name w:val="Caption1"/>
    <w:basedOn w:val="Normal"/>
    <w:next w:val="Normal"/>
    <w:uiPriority w:val="35"/>
    <w:unhideWhenUsed/>
    <w:qFormat/>
    <w:rsid w:val="00CB721C"/>
    <w:pPr>
      <w:keepNext/>
      <w:tabs>
        <w:tab w:val="left" w:pos="851"/>
        <w:tab w:val="left" w:pos="1017"/>
      </w:tabs>
      <w:spacing w:before="120" w:after="120" w:line="264" w:lineRule="auto"/>
      <w:ind w:left="851" w:hanging="851"/>
    </w:pPr>
    <w:rPr>
      <w:rFonts w:ascii="Century Gothic" w:hAnsi="Century Gothic"/>
      <w:b/>
      <w:iCs/>
      <w:color w:val="014463"/>
      <w:sz w:val="20"/>
      <w:szCs w:val="18"/>
    </w:rPr>
  </w:style>
  <w:style w:type="paragraph" w:styleId="List">
    <w:name w:val="List"/>
    <w:uiPriority w:val="4"/>
    <w:semiHidden/>
    <w:rsid w:val="00CB721C"/>
    <w:pPr>
      <w:numPr>
        <w:numId w:val="9"/>
      </w:numPr>
      <w:spacing w:after="120" w:line="324" w:lineRule="auto"/>
      <w:ind w:left="567" w:hanging="283"/>
    </w:pPr>
    <w:rPr>
      <w:rFonts w:ascii="Calibri" w:hAnsi="Calibri"/>
      <w:color w:val="464E52"/>
      <w:sz w:val="18"/>
      <w:szCs w:val="18"/>
    </w:rPr>
  </w:style>
  <w:style w:type="paragraph" w:customStyle="1" w:styleId="EmphasisPanelHeading">
    <w:name w:val="Emphasis Panel Heading"/>
    <w:basedOn w:val="Normal"/>
    <w:uiPriority w:val="11"/>
    <w:qFormat/>
    <w:rsid w:val="00CB721C"/>
    <w:pPr>
      <w:keepLines/>
      <w:pBdr>
        <w:top w:val="single" w:sz="4" w:space="8" w:color="D1D1D1"/>
        <w:left w:val="single" w:sz="4" w:space="8" w:color="D1D1D1"/>
        <w:bottom w:val="single" w:sz="4" w:space="8" w:color="D1D1D1"/>
        <w:right w:val="single" w:sz="4" w:space="8" w:color="D1D1D1"/>
      </w:pBdr>
      <w:shd w:val="clear" w:color="auto" w:fill="D1D1D1"/>
      <w:spacing w:before="60" w:after="60" w:line="240" w:lineRule="atLeast"/>
      <w:ind w:left="198" w:right="215"/>
    </w:pPr>
    <w:rPr>
      <w:rFonts w:ascii="Century Gothic" w:eastAsia="Times New Roman" w:hAnsi="Century Gothic" w:cs="Times New Roman"/>
      <w:b/>
      <w:color w:val="014463"/>
      <w:szCs w:val="24"/>
      <w:lang w:val="en-US"/>
    </w:rPr>
  </w:style>
  <w:style w:type="paragraph" w:customStyle="1" w:styleId="EmphasisPanelBody">
    <w:name w:val="Emphasis Panel Body"/>
    <w:basedOn w:val="Normal"/>
    <w:uiPriority w:val="11"/>
    <w:qFormat/>
    <w:rsid w:val="00CB721C"/>
    <w:pPr>
      <w:keepLines/>
      <w:pBdr>
        <w:top w:val="single" w:sz="4" w:space="8" w:color="D1D1D1"/>
        <w:left w:val="single" w:sz="4" w:space="8" w:color="D1D1D1"/>
        <w:bottom w:val="single" w:sz="4" w:space="8" w:color="D1D1D1"/>
        <w:right w:val="single" w:sz="4" w:space="8" w:color="D1D1D1"/>
      </w:pBdr>
      <w:shd w:val="clear" w:color="auto" w:fill="D1D1D1"/>
      <w:spacing w:before="120" w:after="120" w:line="264" w:lineRule="auto"/>
      <w:ind w:left="198" w:right="215"/>
    </w:pPr>
    <w:rPr>
      <w:rFonts w:ascii="Calibri" w:eastAsia="Times New Roman" w:hAnsi="Calibri" w:cs="Calibri"/>
      <w:color w:val="262626"/>
      <w:sz w:val="20"/>
      <w:szCs w:val="20"/>
      <w:lang w:val="en-US"/>
    </w:rPr>
  </w:style>
  <w:style w:type="paragraph" w:customStyle="1" w:styleId="EmphasisPanelBullet">
    <w:name w:val="Emphasis Panel Bullet"/>
    <w:uiPriority w:val="11"/>
    <w:qFormat/>
    <w:rsid w:val="00CB721C"/>
    <w:pPr>
      <w:keepLines/>
      <w:numPr>
        <w:numId w:val="10"/>
      </w:numPr>
      <w:pBdr>
        <w:top w:val="single" w:sz="4" w:space="8" w:color="D1D1D1"/>
        <w:left w:val="single" w:sz="4" w:space="8" w:color="D1D1D1"/>
        <w:bottom w:val="single" w:sz="4" w:space="8" w:color="D1D1D1"/>
        <w:right w:val="single" w:sz="4" w:space="8" w:color="D1D1D1"/>
      </w:pBdr>
      <w:shd w:val="clear" w:color="auto" w:fill="D1D1D1"/>
      <w:spacing w:before="120" w:after="120" w:line="264" w:lineRule="auto"/>
      <w:ind w:left="720" w:right="215" w:hanging="360"/>
    </w:pPr>
    <w:rPr>
      <w:rFonts w:ascii="Calibri" w:eastAsia="Times New Roman" w:hAnsi="Calibri" w:cs="Calibri"/>
      <w:color w:val="262626"/>
      <w:sz w:val="20"/>
      <w:lang w:val="en-US"/>
    </w:rPr>
  </w:style>
  <w:style w:type="paragraph" w:customStyle="1" w:styleId="BulletedListlvl3">
    <w:name w:val="Bulleted List lvl3"/>
    <w:basedOn w:val="BulletedListlvl2"/>
    <w:uiPriority w:val="10"/>
    <w:rsid w:val="00CB721C"/>
    <w:pPr>
      <w:numPr>
        <w:ilvl w:val="2"/>
      </w:numPr>
      <w:ind w:left="2160" w:hanging="360"/>
    </w:pPr>
    <w:rPr>
      <w:sz w:val="19"/>
      <w:szCs w:val="19"/>
    </w:rPr>
  </w:style>
  <w:style w:type="table" w:customStyle="1" w:styleId="Clear">
    <w:name w:val="Clear"/>
    <w:basedOn w:val="TableNormal"/>
    <w:uiPriority w:val="99"/>
    <w:rsid w:val="00CB721C"/>
    <w:pPr>
      <w:spacing w:after="0" w:line="240" w:lineRule="auto"/>
    </w:pPr>
    <w:rPr>
      <w:rFonts w:ascii="Calibri" w:hAnsi="Calibri"/>
      <w:color w:val="014463"/>
      <w:sz w:val="20"/>
      <w:szCs w:val="18"/>
    </w:rPr>
    <w:tblPr>
      <w:tblCellMar>
        <w:left w:w="0" w:type="dxa"/>
        <w:right w:w="0" w:type="dxa"/>
      </w:tblCellMar>
    </w:tblPr>
  </w:style>
  <w:style w:type="paragraph" w:styleId="Title">
    <w:name w:val="Title"/>
    <w:basedOn w:val="Heading1"/>
    <w:next w:val="Normal"/>
    <w:link w:val="TitleChar"/>
    <w:uiPriority w:val="10"/>
    <w:qFormat/>
    <w:rsid w:val="00CB721C"/>
    <w:pPr>
      <w:pageBreakBefore w:val="0"/>
      <w:spacing w:before="0" w:after="120" w:line="264" w:lineRule="auto"/>
      <w:jc w:val="left"/>
    </w:pPr>
    <w:rPr>
      <w:rFonts w:ascii="Century Gothic" w:eastAsia="Calibri" w:hAnsi="Century Gothic"/>
      <w:color w:val="014463"/>
      <w:sz w:val="60"/>
      <w:szCs w:val="60"/>
    </w:rPr>
  </w:style>
  <w:style w:type="character" w:customStyle="1" w:styleId="TitleChar">
    <w:name w:val="Title Char"/>
    <w:basedOn w:val="DefaultParagraphFont"/>
    <w:link w:val="Title"/>
    <w:uiPriority w:val="10"/>
    <w:rsid w:val="00CB721C"/>
    <w:rPr>
      <w:rFonts w:ascii="Century Gothic" w:eastAsia="Calibri" w:hAnsi="Century Gothic" w:cs="Times New Roman"/>
      <w:b/>
      <w:color w:val="014463"/>
      <w:sz w:val="60"/>
      <w:szCs w:val="60"/>
    </w:rPr>
  </w:style>
  <w:style w:type="paragraph" w:styleId="Subtitle">
    <w:name w:val="Subtitle"/>
    <w:basedOn w:val="Heading4"/>
    <w:next w:val="Normal"/>
    <w:link w:val="SubtitleChar"/>
    <w:uiPriority w:val="23"/>
    <w:qFormat/>
    <w:rsid w:val="00CB721C"/>
    <w:pPr>
      <w:spacing w:before="120" w:after="360" w:line="264" w:lineRule="auto"/>
      <w:ind w:right="0"/>
    </w:pPr>
    <w:rPr>
      <w:rFonts w:ascii="Century Gothic" w:eastAsia="Calibri" w:hAnsi="Century Gothic"/>
      <w:b w:val="0"/>
      <w:color w:val="014463"/>
      <w:lang w:eastAsia="en-US"/>
    </w:rPr>
  </w:style>
  <w:style w:type="character" w:customStyle="1" w:styleId="SubtitleChar">
    <w:name w:val="Subtitle Char"/>
    <w:basedOn w:val="DefaultParagraphFont"/>
    <w:link w:val="Subtitle"/>
    <w:uiPriority w:val="23"/>
    <w:rsid w:val="00CB721C"/>
    <w:rPr>
      <w:rFonts w:ascii="Century Gothic" w:eastAsia="Calibri" w:hAnsi="Century Gothic" w:cs="Times New Roman"/>
      <w:color w:val="014463"/>
      <w:szCs w:val="24"/>
    </w:rPr>
  </w:style>
  <w:style w:type="paragraph" w:styleId="EndnoteText">
    <w:name w:val="endnote text"/>
    <w:basedOn w:val="Normal"/>
    <w:link w:val="EndnoteTextChar"/>
    <w:uiPriority w:val="99"/>
    <w:unhideWhenUsed/>
    <w:rsid w:val="00CB721C"/>
    <w:pPr>
      <w:spacing w:before="0" w:line="240" w:lineRule="auto"/>
    </w:pPr>
    <w:rPr>
      <w:rFonts w:ascii="Calibri" w:hAnsi="Calibri"/>
      <w:color w:val="262626"/>
      <w:sz w:val="20"/>
      <w:szCs w:val="20"/>
    </w:rPr>
  </w:style>
  <w:style w:type="character" w:customStyle="1" w:styleId="EndnoteTextChar">
    <w:name w:val="Endnote Text Char"/>
    <w:basedOn w:val="DefaultParagraphFont"/>
    <w:link w:val="EndnoteText"/>
    <w:uiPriority w:val="99"/>
    <w:rsid w:val="00CB721C"/>
    <w:rPr>
      <w:rFonts w:ascii="Calibri" w:hAnsi="Calibri"/>
      <w:color w:val="262626"/>
      <w:sz w:val="20"/>
      <w:szCs w:val="20"/>
    </w:rPr>
  </w:style>
  <w:style w:type="character" w:styleId="EndnoteReference">
    <w:name w:val="endnote reference"/>
    <w:basedOn w:val="DefaultParagraphFont"/>
    <w:uiPriority w:val="99"/>
    <w:semiHidden/>
    <w:unhideWhenUsed/>
    <w:rsid w:val="00CB721C"/>
    <w:rPr>
      <w:vertAlign w:val="superscript"/>
    </w:rPr>
  </w:style>
  <w:style w:type="character" w:styleId="IntenseEmphasis">
    <w:name w:val="Intense Emphasis"/>
    <w:basedOn w:val="DefaultParagraphFont"/>
    <w:uiPriority w:val="21"/>
    <w:qFormat/>
    <w:rsid w:val="00CB721C"/>
    <w:rPr>
      <w:b w:val="0"/>
      <w:i/>
      <w:color w:val="192F49"/>
    </w:rPr>
  </w:style>
  <w:style w:type="paragraph" w:customStyle="1" w:styleId="BodyTextNEW">
    <w:name w:val="Body Text NEW"/>
    <w:uiPriority w:val="1"/>
    <w:qFormat/>
    <w:rsid w:val="00CB721C"/>
    <w:pPr>
      <w:spacing w:before="176" w:after="0" w:line="281" w:lineRule="auto"/>
    </w:pPr>
    <w:rPr>
      <w:rFonts w:ascii="Arial" w:eastAsia="Adobe Garamond Pro" w:hAnsi="Arial" w:cs="Times New Roman"/>
      <w:color w:val="231F20"/>
      <w:sz w:val="22"/>
      <w:szCs w:val="20"/>
      <w:lang w:val="en-US"/>
    </w:rPr>
  </w:style>
  <w:style w:type="table" w:customStyle="1" w:styleId="ListTable4-Accent21">
    <w:name w:val="List Table 4 - Accent 21"/>
    <w:basedOn w:val="TableNormal"/>
    <w:next w:val="ListTable4-Accent2"/>
    <w:uiPriority w:val="49"/>
    <w:rsid w:val="00CB721C"/>
    <w:pPr>
      <w:spacing w:after="0" w:line="240" w:lineRule="auto"/>
    </w:pPr>
    <w:rPr>
      <w:rFonts w:ascii="Calibri" w:hAnsi="Calibri"/>
      <w:color w:val="262626"/>
      <w:sz w:val="20"/>
      <w:szCs w:val="20"/>
    </w:rPr>
    <w:tblPr>
      <w:tblStyleRowBandSize w:val="1"/>
      <w:tblStyleColBandSize w:val="1"/>
      <w:tblBorders>
        <w:top w:val="single" w:sz="4" w:space="0" w:color="0BB0FC"/>
        <w:left w:val="single" w:sz="4" w:space="0" w:color="0BB0FC"/>
        <w:bottom w:val="single" w:sz="4" w:space="0" w:color="0BB0FC"/>
        <w:right w:val="single" w:sz="4" w:space="0" w:color="0BB0FC"/>
        <w:insideH w:val="single" w:sz="4" w:space="0" w:color="0BB0FC"/>
      </w:tblBorders>
    </w:tblPr>
    <w:tblStylePr w:type="firstRow">
      <w:rPr>
        <w:b/>
        <w:bCs/>
        <w:color w:val="FFFFFF"/>
      </w:rPr>
      <w:tblPr/>
      <w:tcPr>
        <w:tcBorders>
          <w:top w:val="single" w:sz="4" w:space="0" w:color="014463"/>
          <w:left w:val="single" w:sz="4" w:space="0" w:color="014463"/>
          <w:bottom w:val="single" w:sz="4" w:space="0" w:color="014463"/>
          <w:right w:val="single" w:sz="4" w:space="0" w:color="014463"/>
          <w:insideH w:val="nil"/>
        </w:tcBorders>
        <w:shd w:val="clear" w:color="auto" w:fill="014463"/>
      </w:tcPr>
    </w:tblStylePr>
    <w:tblStylePr w:type="lastRow">
      <w:rPr>
        <w:b/>
        <w:bCs/>
      </w:rPr>
      <w:tblPr/>
      <w:tcPr>
        <w:tcBorders>
          <w:top w:val="double" w:sz="4" w:space="0" w:color="0BB0FC"/>
        </w:tcBorders>
      </w:tcPr>
    </w:tblStylePr>
    <w:tblStylePr w:type="firstCol">
      <w:rPr>
        <w:b/>
        <w:bCs/>
      </w:rPr>
    </w:tblStylePr>
    <w:tblStylePr w:type="lastCol">
      <w:rPr>
        <w:b/>
        <w:bCs/>
      </w:rPr>
    </w:tblStylePr>
    <w:tblStylePr w:type="band1Vert">
      <w:tblPr/>
      <w:tcPr>
        <w:shd w:val="clear" w:color="auto" w:fill="ADE4FE"/>
      </w:tcPr>
    </w:tblStylePr>
    <w:tblStylePr w:type="band1Horz">
      <w:tblPr/>
      <w:tcPr>
        <w:shd w:val="clear" w:color="auto" w:fill="ADE4FE"/>
      </w:tcPr>
    </w:tblStylePr>
  </w:style>
  <w:style w:type="paragraph" w:customStyle="1" w:styleId="Calloutbox">
    <w:name w:val="Call out box"/>
    <w:basedOn w:val="Normal"/>
    <w:qFormat/>
    <w:rsid w:val="00CB721C"/>
    <w:pPr>
      <w:pBdr>
        <w:top w:val="single" w:sz="4" w:space="6" w:color="B8DCD7"/>
        <w:left w:val="single" w:sz="4" w:space="4" w:color="B8DCD7"/>
        <w:bottom w:val="single" w:sz="4" w:space="6" w:color="B8DCD7"/>
        <w:right w:val="single" w:sz="4" w:space="4" w:color="B8DCD7"/>
      </w:pBdr>
      <w:shd w:val="clear" w:color="auto" w:fill="F9C3C5"/>
      <w:spacing w:before="0" w:after="160" w:line="259" w:lineRule="auto"/>
    </w:pPr>
    <w:rPr>
      <w:rFonts w:ascii="Calibri" w:hAnsi="Calibri"/>
      <w:sz w:val="22"/>
    </w:rPr>
  </w:style>
  <w:style w:type="table" w:customStyle="1" w:styleId="ListTable3-Accent11">
    <w:name w:val="List Table 3 - Accent 11"/>
    <w:basedOn w:val="TableNormal"/>
    <w:next w:val="ListTable3-Accent1"/>
    <w:uiPriority w:val="48"/>
    <w:rsid w:val="00CB721C"/>
    <w:pPr>
      <w:spacing w:after="0" w:line="240" w:lineRule="auto"/>
    </w:pPr>
    <w:rPr>
      <w:rFonts w:ascii="Calibri" w:hAnsi="Calibri"/>
      <w:sz w:val="22"/>
    </w:rPr>
    <w:tblPr>
      <w:tblStyleRowBandSize w:val="1"/>
      <w:tblStyleColBandSize w:val="1"/>
      <w:tblBorders>
        <w:top w:val="single" w:sz="4" w:space="0" w:color="25303B"/>
        <w:left w:val="single" w:sz="4" w:space="0" w:color="25303B"/>
        <w:bottom w:val="single" w:sz="4" w:space="0" w:color="25303B"/>
        <w:right w:val="single" w:sz="4" w:space="0" w:color="25303B"/>
      </w:tblBorders>
    </w:tblPr>
    <w:tblStylePr w:type="firstRow">
      <w:rPr>
        <w:b/>
        <w:bCs/>
        <w:color w:val="FFFFFF"/>
      </w:rPr>
      <w:tblPr/>
      <w:tcPr>
        <w:shd w:val="clear" w:color="auto" w:fill="25303B"/>
      </w:tcPr>
    </w:tblStylePr>
    <w:tblStylePr w:type="lastRow">
      <w:rPr>
        <w:b/>
        <w:bCs/>
      </w:rPr>
      <w:tblPr/>
      <w:tcPr>
        <w:tcBorders>
          <w:top w:val="double" w:sz="4" w:space="0" w:color="25303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5303B"/>
          <w:right w:val="single" w:sz="4" w:space="0" w:color="25303B"/>
        </w:tcBorders>
      </w:tcPr>
    </w:tblStylePr>
    <w:tblStylePr w:type="band1Horz">
      <w:tblPr/>
      <w:tcPr>
        <w:tcBorders>
          <w:top w:val="single" w:sz="4" w:space="0" w:color="25303B"/>
          <w:bottom w:val="single" w:sz="4" w:space="0" w:color="25303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303B"/>
          <w:left w:val="nil"/>
        </w:tcBorders>
      </w:tcPr>
    </w:tblStylePr>
    <w:tblStylePr w:type="swCell">
      <w:tblPr/>
      <w:tcPr>
        <w:tcBorders>
          <w:top w:val="double" w:sz="4" w:space="0" w:color="25303B"/>
          <w:right w:val="nil"/>
        </w:tcBorders>
      </w:tcPr>
    </w:tblStylePr>
  </w:style>
  <w:style w:type="character" w:customStyle="1" w:styleId="CABNETParagraphChar">
    <w:name w:val="CABNET Paragraph. Char"/>
    <w:basedOn w:val="DefaultParagraphFont"/>
    <w:link w:val="CABNETParagraph"/>
    <w:uiPriority w:val="98"/>
    <w:locked/>
    <w:rsid w:val="00CB721C"/>
    <w:rPr>
      <w:rFonts w:ascii="Arial" w:hAnsi="Arial" w:cs="Calibri"/>
    </w:rPr>
  </w:style>
  <w:style w:type="paragraph" w:customStyle="1" w:styleId="CABNETParagraph">
    <w:name w:val="CABNET Paragraph."/>
    <w:basedOn w:val="Normal"/>
    <w:link w:val="CABNETParagraphChar"/>
    <w:uiPriority w:val="98"/>
    <w:qFormat/>
    <w:rsid w:val="00CB721C"/>
    <w:pPr>
      <w:spacing w:before="120" w:after="120" w:line="240" w:lineRule="auto"/>
    </w:pPr>
    <w:rPr>
      <w:rFonts w:ascii="Arial" w:hAnsi="Arial" w:cs="Calibri"/>
    </w:rPr>
  </w:style>
  <w:style w:type="table" w:customStyle="1" w:styleId="TableGrid11">
    <w:name w:val="Table Grid11"/>
    <w:basedOn w:val="TableNormal"/>
    <w:next w:val="TableGrid"/>
    <w:uiPriority w:val="39"/>
    <w:rsid w:val="00CB721C"/>
    <w:pPr>
      <w:spacing w:after="0" w:line="240" w:lineRule="auto"/>
    </w:pPr>
    <w:rPr>
      <w:rFonts w:eastAsia="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TableNormal"/>
    <w:next w:val="GridTable4-Accent2"/>
    <w:uiPriority w:val="49"/>
    <w:rsid w:val="00CB721C"/>
    <w:pPr>
      <w:spacing w:after="0" w:line="240" w:lineRule="auto"/>
    </w:pPr>
    <w:rPr>
      <w:rFonts w:ascii="Calibri" w:hAnsi="Calibri"/>
      <w:color w:val="262626"/>
      <w:sz w:val="20"/>
      <w:szCs w:val="20"/>
    </w:rPr>
    <w:tblPr>
      <w:tblStyleRowBandSize w:val="1"/>
      <w:tblStyleColBandSize w:val="1"/>
      <w:tblBorders>
        <w:top w:val="single" w:sz="4" w:space="0" w:color="0BB0FC"/>
        <w:left w:val="single" w:sz="4" w:space="0" w:color="0BB0FC"/>
        <w:bottom w:val="single" w:sz="4" w:space="0" w:color="0BB0FC"/>
        <w:right w:val="single" w:sz="4" w:space="0" w:color="0BB0FC"/>
        <w:insideH w:val="single" w:sz="4" w:space="0" w:color="0BB0FC"/>
        <w:insideV w:val="single" w:sz="4" w:space="0" w:color="0BB0FC"/>
      </w:tblBorders>
    </w:tblPr>
    <w:tblStylePr w:type="firstRow">
      <w:rPr>
        <w:b/>
        <w:bCs/>
        <w:color w:val="FFFFFF"/>
      </w:rPr>
      <w:tblPr/>
      <w:tcPr>
        <w:tcBorders>
          <w:top w:val="single" w:sz="4" w:space="0" w:color="014463"/>
          <w:left w:val="single" w:sz="4" w:space="0" w:color="014463"/>
          <w:bottom w:val="single" w:sz="4" w:space="0" w:color="014463"/>
          <w:right w:val="single" w:sz="4" w:space="0" w:color="014463"/>
          <w:insideH w:val="nil"/>
          <w:insideV w:val="nil"/>
        </w:tcBorders>
        <w:shd w:val="clear" w:color="auto" w:fill="014463"/>
      </w:tcPr>
    </w:tblStylePr>
    <w:tblStylePr w:type="lastRow">
      <w:rPr>
        <w:b/>
        <w:bCs/>
      </w:rPr>
      <w:tblPr/>
      <w:tcPr>
        <w:tcBorders>
          <w:top w:val="double" w:sz="4" w:space="0" w:color="014463"/>
        </w:tcBorders>
      </w:tcPr>
    </w:tblStylePr>
    <w:tblStylePr w:type="firstCol">
      <w:rPr>
        <w:b/>
        <w:bCs/>
      </w:rPr>
    </w:tblStylePr>
    <w:tblStylePr w:type="lastCol">
      <w:rPr>
        <w:b/>
        <w:bCs/>
      </w:rPr>
    </w:tblStylePr>
    <w:tblStylePr w:type="band1Vert">
      <w:tblPr/>
      <w:tcPr>
        <w:shd w:val="clear" w:color="auto" w:fill="ADE4FE"/>
      </w:tcPr>
    </w:tblStylePr>
    <w:tblStylePr w:type="band1Horz">
      <w:tblPr/>
      <w:tcPr>
        <w:shd w:val="clear" w:color="auto" w:fill="ADE4FE"/>
      </w:tcPr>
    </w:tblStylePr>
  </w:style>
  <w:style w:type="paragraph" w:customStyle="1" w:styleId="BoxHeading">
    <w:name w:val="Box Heading"/>
    <w:basedOn w:val="Normal"/>
    <w:next w:val="Normal"/>
    <w:uiPriority w:val="20"/>
    <w:qFormat/>
    <w:rsid w:val="00CB721C"/>
    <w:pPr>
      <w:keepNext/>
      <w:spacing w:before="240" w:after="120" w:line="240" w:lineRule="auto"/>
    </w:pPr>
    <w:rPr>
      <w:rFonts w:ascii="Calibri Light" w:eastAsia="Times New Roman" w:hAnsi="Calibri Light" w:cs="Times New Roman"/>
      <w:b/>
      <w:color w:val="25303B"/>
      <w:sz w:val="26"/>
      <w:szCs w:val="26"/>
      <w:lang w:eastAsia="en-AU"/>
    </w:rPr>
  </w:style>
  <w:style w:type="paragraph" w:customStyle="1" w:styleId="BoxText">
    <w:name w:val="Box Text"/>
    <w:basedOn w:val="Normal"/>
    <w:link w:val="BoxTextChar"/>
    <w:uiPriority w:val="19"/>
    <w:qFormat/>
    <w:rsid w:val="00CB721C"/>
    <w:pPr>
      <w:spacing w:before="120" w:after="120" w:line="240" w:lineRule="auto"/>
    </w:pPr>
    <w:rPr>
      <w:rFonts w:ascii="Calibri Light" w:eastAsia="Times New Roman" w:hAnsi="Calibri Light" w:cs="Times New Roman"/>
      <w:sz w:val="22"/>
      <w:szCs w:val="20"/>
      <w:lang w:eastAsia="en-AU"/>
    </w:rPr>
  </w:style>
  <w:style w:type="character" w:customStyle="1" w:styleId="BoxTextChar">
    <w:name w:val="Box Text Char"/>
    <w:basedOn w:val="DefaultParagraphFont"/>
    <w:link w:val="BoxText"/>
    <w:locked/>
    <w:rsid w:val="00CB721C"/>
    <w:rPr>
      <w:rFonts w:ascii="Calibri Light" w:eastAsia="Times New Roman" w:hAnsi="Calibri Light" w:cs="Times New Roman"/>
      <w:sz w:val="22"/>
      <w:szCs w:val="20"/>
      <w:lang w:eastAsia="en-AU"/>
    </w:rPr>
  </w:style>
  <w:style w:type="paragraph" w:styleId="ListBullet">
    <w:name w:val="List Bullet"/>
    <w:basedOn w:val="Normal"/>
    <w:uiPriority w:val="99"/>
    <w:unhideWhenUsed/>
    <w:qFormat/>
    <w:rsid w:val="00CB721C"/>
    <w:pPr>
      <w:numPr>
        <w:numId w:val="38"/>
      </w:numPr>
      <w:snapToGrid w:val="0"/>
      <w:spacing w:before="0" w:after="170" w:line="240" w:lineRule="atLeast"/>
      <w:ind w:left="720" w:hanging="360"/>
    </w:pPr>
    <w:rPr>
      <w:rFonts w:ascii="Calibri" w:hAnsi="Calibri" w:cs="Calibri"/>
      <w:color w:val="000000"/>
      <w:sz w:val="20"/>
      <w:szCs w:val="20"/>
    </w:rPr>
  </w:style>
  <w:style w:type="paragraph" w:styleId="ListBullet2">
    <w:name w:val="List Bullet 2"/>
    <w:basedOn w:val="Normal"/>
    <w:uiPriority w:val="8"/>
    <w:unhideWhenUsed/>
    <w:qFormat/>
    <w:rsid w:val="00CB721C"/>
    <w:pPr>
      <w:numPr>
        <w:ilvl w:val="1"/>
        <w:numId w:val="38"/>
      </w:numPr>
      <w:snapToGrid w:val="0"/>
      <w:spacing w:before="0" w:after="170" w:line="240" w:lineRule="atLeast"/>
      <w:ind w:left="1440" w:hanging="360"/>
    </w:pPr>
    <w:rPr>
      <w:rFonts w:ascii="Calibri" w:hAnsi="Calibri" w:cs="Calibri"/>
      <w:color w:val="000000"/>
      <w:sz w:val="20"/>
      <w:szCs w:val="20"/>
    </w:rPr>
  </w:style>
  <w:style w:type="paragraph" w:styleId="ListBullet3">
    <w:name w:val="List Bullet 3"/>
    <w:basedOn w:val="Normal"/>
    <w:uiPriority w:val="99"/>
    <w:semiHidden/>
    <w:unhideWhenUsed/>
    <w:rsid w:val="00CB721C"/>
    <w:pPr>
      <w:numPr>
        <w:ilvl w:val="2"/>
        <w:numId w:val="38"/>
      </w:numPr>
      <w:snapToGrid w:val="0"/>
      <w:spacing w:before="0" w:after="170" w:line="240" w:lineRule="atLeast"/>
      <w:ind w:left="2160" w:hanging="360"/>
    </w:pPr>
    <w:rPr>
      <w:rFonts w:ascii="Calibri" w:hAnsi="Calibri" w:cs="Calibri"/>
      <w:color w:val="000000"/>
      <w:sz w:val="20"/>
      <w:szCs w:val="20"/>
    </w:rPr>
  </w:style>
  <w:style w:type="numbering" w:customStyle="1" w:styleId="BulletsEnergetics">
    <w:name w:val="Bullets_Energetics"/>
    <w:uiPriority w:val="99"/>
    <w:rsid w:val="00CB721C"/>
    <w:pPr>
      <w:numPr>
        <w:numId w:val="38"/>
      </w:numPr>
    </w:pPr>
  </w:style>
  <w:style w:type="character" w:customStyle="1" w:styleId="BulletChar">
    <w:name w:val="Bullet Char"/>
    <w:basedOn w:val="DefaultParagraphFont"/>
    <w:link w:val="Bullet"/>
    <w:locked/>
    <w:rsid w:val="00CB721C"/>
    <w:rPr>
      <w:rFonts w:ascii="Calibri Light" w:eastAsia="Times New Roman" w:hAnsi="Calibri Light" w:cs="Times New Roman"/>
      <w:lang w:eastAsia="en-AU"/>
    </w:rPr>
  </w:style>
  <w:style w:type="paragraph" w:customStyle="1" w:styleId="Bullet">
    <w:name w:val="Bullet"/>
    <w:basedOn w:val="Normal"/>
    <w:link w:val="BulletChar"/>
    <w:qFormat/>
    <w:rsid w:val="00CB721C"/>
    <w:pPr>
      <w:numPr>
        <w:numId w:val="40"/>
      </w:numPr>
      <w:tabs>
        <w:tab w:val="left" w:pos="720"/>
      </w:tabs>
      <w:spacing w:before="0" w:after="120"/>
    </w:pPr>
    <w:rPr>
      <w:rFonts w:ascii="Calibri Light" w:eastAsia="Times New Roman" w:hAnsi="Calibri Light" w:cs="Times New Roman"/>
      <w:lang w:eastAsia="en-AU"/>
    </w:rPr>
  </w:style>
  <w:style w:type="paragraph" w:customStyle="1" w:styleId="Dash">
    <w:name w:val="Dash"/>
    <w:basedOn w:val="Normal"/>
    <w:qFormat/>
    <w:rsid w:val="00CB721C"/>
    <w:pPr>
      <w:numPr>
        <w:ilvl w:val="1"/>
        <w:numId w:val="40"/>
      </w:numPr>
      <w:spacing w:before="0" w:after="120" w:line="240" w:lineRule="auto"/>
    </w:pPr>
    <w:rPr>
      <w:rFonts w:ascii="Calibri Light" w:eastAsia="Times New Roman" w:hAnsi="Calibri Light" w:cs="Times New Roman"/>
      <w:sz w:val="22"/>
      <w:szCs w:val="20"/>
      <w:lang w:eastAsia="en-AU"/>
    </w:rPr>
  </w:style>
  <w:style w:type="paragraph" w:customStyle="1" w:styleId="DoubleDot">
    <w:name w:val="Double Dot"/>
    <w:basedOn w:val="Normal"/>
    <w:qFormat/>
    <w:rsid w:val="00CB721C"/>
    <w:pPr>
      <w:numPr>
        <w:ilvl w:val="2"/>
        <w:numId w:val="40"/>
      </w:numPr>
      <w:spacing w:before="0" w:after="120" w:line="240" w:lineRule="auto"/>
    </w:pPr>
    <w:rPr>
      <w:rFonts w:ascii="Calibri Light" w:eastAsia="Times New Roman" w:hAnsi="Calibri Light" w:cs="Times New Roman"/>
      <w:sz w:val="22"/>
      <w:szCs w:val="20"/>
      <w:lang w:eastAsia="en-AU"/>
    </w:rPr>
  </w:style>
  <w:style w:type="paragraph" w:customStyle="1" w:styleId="Heading1Numbered">
    <w:name w:val="Heading 1 Numbered"/>
    <w:basedOn w:val="Heading1"/>
    <w:next w:val="Normal"/>
    <w:rsid w:val="00CB721C"/>
    <w:pPr>
      <w:keepLines w:val="0"/>
      <w:pageBreakBefore w:val="0"/>
      <w:numPr>
        <w:numId w:val="39"/>
      </w:numPr>
      <w:spacing w:before="600" w:after="120" w:line="460" w:lineRule="exact"/>
      <w:ind w:left="720"/>
      <w:jc w:val="left"/>
    </w:pPr>
    <w:rPr>
      <w:rFonts w:ascii="Calibri" w:eastAsia="Times New Roman" w:hAnsi="Calibri" w:cs="Arial"/>
      <w:color w:val="0A6446"/>
      <w:kern w:val="32"/>
      <w:sz w:val="44"/>
      <w:szCs w:val="36"/>
      <w:lang w:eastAsia="en-AU"/>
    </w:rPr>
  </w:style>
  <w:style w:type="paragraph" w:customStyle="1" w:styleId="Heading2Numbered">
    <w:name w:val="Heading 2 Numbered"/>
    <w:basedOn w:val="Heading2"/>
    <w:next w:val="Normal"/>
    <w:rsid w:val="00CB721C"/>
    <w:pPr>
      <w:keepLines w:val="0"/>
      <w:numPr>
        <w:ilvl w:val="1"/>
        <w:numId w:val="39"/>
      </w:numPr>
      <w:spacing w:before="360" w:after="120" w:line="460" w:lineRule="exact"/>
      <w:ind w:left="1440"/>
    </w:pPr>
    <w:rPr>
      <w:rFonts w:ascii="Calibri" w:eastAsia="Times New Roman" w:hAnsi="Calibri" w:cs="Arial"/>
      <w:b w:val="0"/>
      <w:iCs/>
      <w:color w:val="25303B"/>
      <w:kern w:val="32"/>
      <w:sz w:val="36"/>
      <w:szCs w:val="28"/>
      <w:lang w:eastAsia="en-AU"/>
    </w:rPr>
  </w:style>
  <w:style w:type="paragraph" w:customStyle="1" w:styleId="Heading3Numbered">
    <w:name w:val="Heading 3 Numbered"/>
    <w:basedOn w:val="Heading3"/>
    <w:rsid w:val="00CB721C"/>
    <w:pPr>
      <w:keepNext/>
      <w:numPr>
        <w:ilvl w:val="2"/>
        <w:numId w:val="39"/>
      </w:numPr>
      <w:spacing w:before="320" w:line="276" w:lineRule="auto"/>
      <w:ind w:left="2160" w:right="0"/>
    </w:pPr>
    <w:rPr>
      <w:rFonts w:ascii="Calibri" w:hAnsi="Calibri" w:cs="Arial"/>
      <w:b/>
      <w:bCs w:val="0"/>
      <w:color w:val="014463"/>
      <w:kern w:val="32"/>
      <w:sz w:val="28"/>
      <w:szCs w:val="26"/>
      <w:u w:val="none"/>
    </w:rPr>
  </w:style>
  <w:style w:type="character" w:customStyle="1" w:styleId="UnresolvedMention20">
    <w:name w:val="Unresolved Mention2"/>
    <w:basedOn w:val="DefaultParagraphFont"/>
    <w:uiPriority w:val="99"/>
    <w:semiHidden/>
    <w:unhideWhenUsed/>
    <w:rsid w:val="00CB721C"/>
    <w:rPr>
      <w:color w:val="605E5C"/>
      <w:shd w:val="clear" w:color="auto" w:fill="E1DFDD"/>
    </w:rPr>
  </w:style>
  <w:style w:type="character" w:customStyle="1" w:styleId="UnresolvedMention3">
    <w:name w:val="Unresolved Mention3"/>
    <w:basedOn w:val="DefaultParagraphFont"/>
    <w:uiPriority w:val="99"/>
    <w:semiHidden/>
    <w:unhideWhenUsed/>
    <w:rsid w:val="00CB721C"/>
    <w:rPr>
      <w:color w:val="605E5C"/>
      <w:shd w:val="clear" w:color="auto" w:fill="E1DFDD"/>
    </w:rPr>
  </w:style>
  <w:style w:type="table" w:customStyle="1" w:styleId="GridTable4-Accent11">
    <w:name w:val="Grid Table 4 - Accent 11"/>
    <w:basedOn w:val="TableNormal"/>
    <w:next w:val="GridTable4-Accent1"/>
    <w:uiPriority w:val="49"/>
    <w:rsid w:val="00CB721C"/>
    <w:pPr>
      <w:spacing w:after="0" w:line="240" w:lineRule="auto"/>
    </w:pPr>
    <w:rPr>
      <w:rFonts w:ascii="Calibri" w:hAnsi="Calibri"/>
      <w:color w:val="262626"/>
      <w:sz w:val="20"/>
      <w:szCs w:val="20"/>
    </w:rPr>
    <w:tblPr>
      <w:tblStyleRowBandSize w:val="1"/>
      <w:tblStyleColBandSize w:val="1"/>
      <w:tblBorders>
        <w:top w:val="single" w:sz="4" w:space="0" w:color="66829F"/>
        <w:left w:val="single" w:sz="4" w:space="0" w:color="66829F"/>
        <w:bottom w:val="single" w:sz="4" w:space="0" w:color="66829F"/>
        <w:right w:val="single" w:sz="4" w:space="0" w:color="66829F"/>
        <w:insideH w:val="single" w:sz="4" w:space="0" w:color="66829F"/>
        <w:insideV w:val="single" w:sz="4" w:space="0" w:color="66829F"/>
      </w:tblBorders>
    </w:tblPr>
    <w:tblStylePr w:type="firstRow">
      <w:rPr>
        <w:b/>
        <w:bCs/>
        <w:color w:val="FFFFFF"/>
      </w:rPr>
      <w:tblPr/>
      <w:tcPr>
        <w:tcBorders>
          <w:top w:val="single" w:sz="4" w:space="0" w:color="25303B"/>
          <w:left w:val="single" w:sz="4" w:space="0" w:color="25303B"/>
          <w:bottom w:val="single" w:sz="4" w:space="0" w:color="25303B"/>
          <w:right w:val="single" w:sz="4" w:space="0" w:color="25303B"/>
          <w:insideH w:val="nil"/>
          <w:insideV w:val="nil"/>
        </w:tcBorders>
        <w:shd w:val="clear" w:color="auto" w:fill="25303B"/>
      </w:tcPr>
    </w:tblStylePr>
    <w:tblStylePr w:type="lastRow">
      <w:rPr>
        <w:b/>
        <w:bCs/>
      </w:rPr>
      <w:tblPr/>
      <w:tcPr>
        <w:tcBorders>
          <w:top w:val="double" w:sz="4" w:space="0" w:color="25303B"/>
        </w:tcBorders>
      </w:tcPr>
    </w:tblStylePr>
    <w:tblStylePr w:type="firstCol">
      <w:rPr>
        <w:b/>
        <w:bCs/>
      </w:rPr>
    </w:tblStylePr>
    <w:tblStylePr w:type="lastCol">
      <w:rPr>
        <w:b/>
        <w:bCs/>
      </w:rPr>
    </w:tblStylePr>
    <w:tblStylePr w:type="band1Vert">
      <w:tblPr/>
      <w:tcPr>
        <w:shd w:val="clear" w:color="auto" w:fill="CCD5DF"/>
      </w:tcPr>
    </w:tblStylePr>
    <w:tblStylePr w:type="band1Horz">
      <w:tblPr/>
      <w:tcPr>
        <w:shd w:val="clear" w:color="auto" w:fill="CCD5DF"/>
      </w:tcPr>
    </w:tblStylePr>
  </w:style>
  <w:style w:type="table" w:customStyle="1" w:styleId="TableGrid6">
    <w:name w:val="Table Grid6"/>
    <w:basedOn w:val="TableNormal"/>
    <w:uiPriority w:val="39"/>
    <w:rsid w:val="00CB721C"/>
    <w:pPr>
      <w:spacing w:after="0" w:line="240" w:lineRule="auto"/>
    </w:pPr>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2">
    <w:name w:val="Table Bullet 2"/>
    <w:basedOn w:val="TableBullet"/>
    <w:qFormat/>
    <w:rsid w:val="00CB721C"/>
    <w:pPr>
      <w:numPr>
        <w:numId w:val="0"/>
      </w:numPr>
      <w:tabs>
        <w:tab w:val="num" w:pos="454"/>
      </w:tabs>
      <w:spacing w:before="60" w:after="60"/>
      <w:ind w:left="340" w:hanging="170"/>
    </w:pPr>
    <w:rPr>
      <w:rFonts w:eastAsia="Times New Roman" w:cs="Times New Roman"/>
      <w:color w:val="auto"/>
      <w:sz w:val="20"/>
      <w:szCs w:val="24"/>
      <w:lang w:eastAsia="en-AU"/>
    </w:rPr>
  </w:style>
  <w:style w:type="table" w:customStyle="1" w:styleId="TableGrid34">
    <w:name w:val="Table Grid34"/>
    <w:basedOn w:val="TableNormal"/>
    <w:uiPriority w:val="39"/>
    <w:rsid w:val="00CB721C"/>
    <w:pPr>
      <w:spacing w:after="0" w:line="240" w:lineRule="auto"/>
    </w:pPr>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Bullet">
    <w:name w:val="List_TableBullet"/>
    <w:uiPriority w:val="99"/>
    <w:rsid w:val="00CB721C"/>
    <w:pPr>
      <w:numPr>
        <w:numId w:val="43"/>
      </w:numPr>
    </w:pPr>
  </w:style>
  <w:style w:type="paragraph" w:customStyle="1" w:styleId="TableText">
    <w:name w:val="TableText"/>
    <w:basedOn w:val="Normal"/>
    <w:rsid w:val="00CB721C"/>
    <w:pPr>
      <w:spacing w:before="120" w:after="120" w:line="240" w:lineRule="auto"/>
    </w:pPr>
    <w:rPr>
      <w:rFonts w:ascii="Century Gothic" w:hAnsi="Century Gothic" w:cs="Times New Roman"/>
      <w:sz w:val="20"/>
      <w:szCs w:val="20"/>
    </w:rPr>
  </w:style>
  <w:style w:type="table" w:styleId="ListTable4-Accent2">
    <w:name w:val="List Table 4 Accent 2"/>
    <w:basedOn w:val="TableNormal"/>
    <w:uiPriority w:val="49"/>
    <w:rsid w:val="00CB721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1">
    <w:name w:val="List Table 3 Accent 1"/>
    <w:basedOn w:val="TableNormal"/>
    <w:uiPriority w:val="48"/>
    <w:rsid w:val="00CB721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4-Accent2">
    <w:name w:val="Grid Table 4 Accent 2"/>
    <w:basedOn w:val="TableNormal"/>
    <w:uiPriority w:val="49"/>
    <w:rsid w:val="00CB721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CB721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Footeraddress">
    <w:name w:val="Footer address"/>
    <w:basedOn w:val="Footer"/>
    <w:semiHidden/>
    <w:qFormat/>
    <w:rsid w:val="00676DA1"/>
    <w:pPr>
      <w:tabs>
        <w:tab w:val="clear" w:pos="4513"/>
        <w:tab w:val="clear" w:pos="9026"/>
        <w:tab w:val="center" w:pos="4536"/>
      </w:tabs>
      <w:spacing w:before="0"/>
    </w:pPr>
    <w:rPr>
      <w:rFonts w:ascii="Calibri" w:hAnsi="Calibri"/>
      <w:sz w:val="16"/>
    </w:rPr>
  </w:style>
  <w:style w:type="paragraph" w:styleId="Caption">
    <w:name w:val="caption"/>
    <w:basedOn w:val="Normal"/>
    <w:next w:val="Normal"/>
    <w:uiPriority w:val="12"/>
    <w:qFormat/>
    <w:rsid w:val="00676DA1"/>
    <w:pPr>
      <w:keepNext/>
      <w:spacing w:before="0" w:after="120" w:line="240" w:lineRule="auto"/>
    </w:pPr>
    <w:rPr>
      <w:rFonts w:ascii="Calibri" w:hAnsi="Calibri"/>
      <w:b/>
      <w:bCs/>
      <w:szCs w:val="18"/>
    </w:rPr>
  </w:style>
  <w:style w:type="paragraph" w:customStyle="1" w:styleId="FigureTableNoteSource">
    <w:name w:val="Figure/Table Note/Source"/>
    <w:basedOn w:val="Normal"/>
    <w:next w:val="Normal"/>
    <w:uiPriority w:val="16"/>
    <w:qFormat/>
    <w:rsid w:val="00676DA1"/>
    <w:pPr>
      <w:spacing w:before="120" w:after="200" w:line="264" w:lineRule="auto"/>
      <w:contextualSpacing/>
    </w:pPr>
    <w:rPr>
      <w:rFonts w:ascii="Calibri" w:hAnsi="Calibri"/>
      <w:sz w:val="18"/>
    </w:rPr>
  </w:style>
  <w:style w:type="paragraph" w:styleId="TableofFigures">
    <w:name w:val="table of figures"/>
    <w:basedOn w:val="Normal"/>
    <w:next w:val="Normal"/>
    <w:uiPriority w:val="99"/>
    <w:rsid w:val="00676DA1"/>
    <w:pPr>
      <w:spacing w:before="120" w:after="120" w:line="240" w:lineRule="auto"/>
    </w:pPr>
    <w:rPr>
      <w:rFonts w:asciiTheme="minorHAnsi" w:hAnsiTheme="minorHAnsi"/>
      <w:sz w:val="22"/>
    </w:rPr>
  </w:style>
  <w:style w:type="paragraph" w:styleId="ListNumber2">
    <w:name w:val="List Number 2"/>
    <w:uiPriority w:val="10"/>
    <w:qFormat/>
    <w:rsid w:val="00676DA1"/>
    <w:pPr>
      <w:tabs>
        <w:tab w:val="left" w:pos="567"/>
      </w:tabs>
      <w:spacing w:before="120" w:after="120" w:line="264" w:lineRule="auto"/>
      <w:ind w:left="851" w:hanging="426"/>
    </w:pPr>
    <w:rPr>
      <w:rFonts w:asciiTheme="minorHAnsi" w:eastAsia="Times New Roman" w:hAnsiTheme="minorHAnsi" w:cs="Times New Roman"/>
      <w:sz w:val="22"/>
      <w:szCs w:val="24"/>
    </w:rPr>
  </w:style>
  <w:style w:type="paragraph" w:styleId="ListNumber3">
    <w:name w:val="List Number 3"/>
    <w:uiPriority w:val="11"/>
    <w:qFormat/>
    <w:rsid w:val="00676DA1"/>
    <w:pPr>
      <w:spacing w:before="120" w:after="120" w:line="264" w:lineRule="auto"/>
      <w:ind w:left="1191" w:hanging="340"/>
    </w:pPr>
    <w:rPr>
      <w:rFonts w:asciiTheme="minorHAnsi" w:eastAsia="Times New Roman" w:hAnsiTheme="minorHAnsi" w:cs="Times New Roman"/>
      <w:sz w:val="22"/>
      <w:szCs w:val="24"/>
    </w:rPr>
  </w:style>
  <w:style w:type="table" w:customStyle="1" w:styleId="LightShading1">
    <w:name w:val="Light Shading1"/>
    <w:basedOn w:val="TableNormal"/>
    <w:uiPriority w:val="60"/>
    <w:rsid w:val="00676DA1"/>
    <w:pPr>
      <w:spacing w:after="0" w:line="240" w:lineRule="auto"/>
    </w:pPr>
    <w:rPr>
      <w:rFonts w:ascii="Cambria" w:eastAsia="Cambria" w:hAnsi="Cambria"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0"/>
    <w:uiPriority w:val="60"/>
    <w:rsid w:val="00676DA1"/>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0">
    <w:name w:val="Table Text"/>
    <w:basedOn w:val="Normal"/>
    <w:uiPriority w:val="13"/>
    <w:qFormat/>
    <w:rsid w:val="00676DA1"/>
    <w:pPr>
      <w:spacing w:before="60" w:after="60" w:line="240" w:lineRule="auto"/>
    </w:pPr>
    <w:rPr>
      <w:rFonts w:asciiTheme="minorHAnsi" w:hAnsiTheme="minorHAnsi"/>
      <w:sz w:val="18"/>
    </w:rPr>
  </w:style>
  <w:style w:type="table" w:styleId="TableGrid10">
    <w:name w:val="Table Grid 1"/>
    <w:basedOn w:val="TableNormal"/>
    <w:uiPriority w:val="99"/>
    <w:semiHidden/>
    <w:unhideWhenUsed/>
    <w:rsid w:val="00676DA1"/>
    <w:pPr>
      <w:spacing w:after="200" w:line="280" w:lineRule="atLeast"/>
    </w:pPr>
    <w:rPr>
      <w:rFonts w:ascii="Cambria" w:eastAsia="Cambria" w:hAnsi="Cambria"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uthor">
    <w:name w:val="Author"/>
    <w:basedOn w:val="Normal"/>
    <w:next w:val="Normal"/>
    <w:uiPriority w:val="24"/>
    <w:qFormat/>
    <w:rsid w:val="00676DA1"/>
    <w:pPr>
      <w:spacing w:before="0" w:after="60"/>
    </w:pPr>
    <w:rPr>
      <w:rFonts w:asciiTheme="minorHAnsi" w:hAnsiTheme="minorHAnsi"/>
      <w:b/>
      <w:szCs w:val="28"/>
    </w:rPr>
  </w:style>
  <w:style w:type="paragraph" w:customStyle="1" w:styleId="AuthorOrganisationAffiliation">
    <w:name w:val="Author Organisation/Affiliation"/>
    <w:basedOn w:val="Normal"/>
    <w:next w:val="Normal"/>
    <w:uiPriority w:val="25"/>
    <w:qFormat/>
    <w:rsid w:val="00676DA1"/>
    <w:pPr>
      <w:spacing w:before="0" w:after="720"/>
    </w:pPr>
    <w:rPr>
      <w:rFonts w:asciiTheme="minorHAnsi" w:hAnsiTheme="minorHAnsi"/>
      <w:sz w:val="22"/>
    </w:rPr>
  </w:style>
  <w:style w:type="paragraph" w:customStyle="1" w:styleId="Glossary">
    <w:name w:val="Glossary"/>
    <w:basedOn w:val="Normal"/>
    <w:link w:val="GlossaryChar"/>
    <w:uiPriority w:val="28"/>
    <w:semiHidden/>
    <w:locked/>
    <w:rsid w:val="00676DA1"/>
    <w:pPr>
      <w:spacing w:before="120" w:after="120"/>
      <w:ind w:left="2126" w:hanging="2126"/>
    </w:pPr>
    <w:rPr>
      <w:rFonts w:asciiTheme="minorHAnsi" w:eastAsia="Calibri" w:hAnsiTheme="minorHAnsi"/>
      <w:color w:val="000000"/>
      <w:sz w:val="22"/>
    </w:rPr>
  </w:style>
  <w:style w:type="character" w:customStyle="1" w:styleId="GlossaryChar">
    <w:name w:val="Glossary Char"/>
    <w:basedOn w:val="DefaultParagraphFont"/>
    <w:link w:val="Glossary"/>
    <w:uiPriority w:val="28"/>
    <w:semiHidden/>
    <w:rsid w:val="00676DA1"/>
    <w:rPr>
      <w:rFonts w:asciiTheme="minorHAnsi" w:eastAsia="Calibri" w:hAnsiTheme="minorHAnsi"/>
      <w:color w:val="000000"/>
      <w:sz w:val="22"/>
    </w:rPr>
  </w:style>
  <w:style w:type="paragraph" w:styleId="TOAHeading">
    <w:name w:val="toa heading"/>
    <w:basedOn w:val="Heading1"/>
    <w:next w:val="Normal"/>
    <w:uiPriority w:val="99"/>
    <w:semiHidden/>
    <w:unhideWhenUsed/>
    <w:rsid w:val="00676DA1"/>
    <w:pPr>
      <w:keepNext w:val="0"/>
      <w:keepLines w:val="0"/>
      <w:pageBreakBefore w:val="0"/>
      <w:widowControl w:val="0"/>
      <w:spacing w:before="120" w:after="120" w:line="240" w:lineRule="auto"/>
      <w:contextualSpacing/>
      <w:jc w:val="left"/>
    </w:pPr>
    <w:rPr>
      <w:rFonts w:ascii="Calibri" w:eastAsiaTheme="minorHAnsi" w:hAnsi="Calibri" w:cstheme="minorBidi"/>
      <w:spacing w:val="5"/>
      <w:kern w:val="28"/>
      <w:szCs w:val="28"/>
    </w:rPr>
  </w:style>
  <w:style w:type="paragraph" w:customStyle="1" w:styleId="BoxTextBullet">
    <w:name w:val="Box Text Bullet"/>
    <w:basedOn w:val="BoxText"/>
    <w:uiPriority w:val="21"/>
    <w:semiHidden/>
    <w:qFormat/>
    <w:rsid w:val="00676DA1"/>
    <w:pPr>
      <w:numPr>
        <w:numId w:val="48"/>
      </w:numPr>
      <w:pBdr>
        <w:top w:val="single" w:sz="4" w:space="10" w:color="auto"/>
        <w:left w:val="single" w:sz="4" w:space="10" w:color="auto"/>
        <w:bottom w:val="single" w:sz="4" w:space="10" w:color="auto"/>
        <w:right w:val="single" w:sz="4" w:space="10" w:color="auto"/>
      </w:pBdr>
      <w:spacing w:line="276" w:lineRule="auto"/>
      <w:ind w:left="357" w:hanging="357"/>
    </w:pPr>
    <w:rPr>
      <w:rFonts w:asciiTheme="minorHAnsi" w:eastAsiaTheme="minorHAnsi" w:hAnsiTheme="minorHAnsi" w:cstheme="minorBidi"/>
      <w:sz w:val="20"/>
      <w:szCs w:val="22"/>
      <w:lang w:eastAsia="en-US"/>
    </w:rPr>
  </w:style>
  <w:style w:type="paragraph" w:customStyle="1" w:styleId="TableBullet1">
    <w:name w:val="Table Bullet 1"/>
    <w:basedOn w:val="TableText0"/>
    <w:uiPriority w:val="15"/>
    <w:qFormat/>
    <w:rsid w:val="00676DA1"/>
    <w:pPr>
      <w:numPr>
        <w:numId w:val="49"/>
      </w:numPr>
      <w:ind w:left="284" w:hanging="284"/>
    </w:pPr>
  </w:style>
  <w:style w:type="paragraph" w:styleId="DocumentMap">
    <w:name w:val="Document Map"/>
    <w:basedOn w:val="Normal"/>
    <w:link w:val="DocumentMapChar"/>
    <w:uiPriority w:val="99"/>
    <w:semiHidden/>
    <w:unhideWhenUsed/>
    <w:rsid w:val="00676DA1"/>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76DA1"/>
    <w:rPr>
      <w:rFonts w:ascii="Tahoma" w:hAnsi="Tahoma" w:cs="Tahoma"/>
      <w:sz w:val="16"/>
      <w:szCs w:val="16"/>
    </w:rPr>
  </w:style>
  <w:style w:type="paragraph" w:customStyle="1" w:styleId="Headersecurityclassification">
    <w:name w:val="Header security classification"/>
    <w:basedOn w:val="Header"/>
    <w:next w:val="Header"/>
    <w:uiPriority w:val="26"/>
    <w:qFormat/>
    <w:rsid w:val="00676DA1"/>
    <w:pPr>
      <w:tabs>
        <w:tab w:val="clear" w:pos="4513"/>
        <w:tab w:val="clear" w:pos="9026"/>
        <w:tab w:val="center" w:pos="4820"/>
      </w:tabs>
      <w:spacing w:before="0"/>
      <w:jc w:val="center"/>
    </w:pPr>
    <w:rPr>
      <w:rFonts w:ascii="Calibri" w:hAnsi="Calibri"/>
      <w:b/>
      <w:color w:val="FF0000"/>
      <w:sz w:val="28"/>
      <w:szCs w:val="36"/>
    </w:rPr>
  </w:style>
  <w:style w:type="paragraph" w:customStyle="1" w:styleId="DisseminationLimitingMarker">
    <w:name w:val="Dissemination Limiting Marker"/>
    <w:basedOn w:val="Header"/>
    <w:next w:val="Header"/>
    <w:uiPriority w:val="27"/>
    <w:semiHidden/>
    <w:rsid w:val="00676DA1"/>
    <w:pPr>
      <w:tabs>
        <w:tab w:val="clear" w:pos="4513"/>
        <w:tab w:val="clear" w:pos="9026"/>
        <w:tab w:val="center" w:pos="4820"/>
      </w:tabs>
      <w:spacing w:before="0"/>
      <w:jc w:val="center"/>
    </w:pPr>
    <w:rPr>
      <w:rFonts w:ascii="Calibri" w:hAnsi="Calibri"/>
      <w:b/>
      <w:sz w:val="36"/>
      <w:szCs w:val="36"/>
    </w:rPr>
  </w:style>
  <w:style w:type="paragraph" w:customStyle="1" w:styleId="BoxSource">
    <w:name w:val="Box Source"/>
    <w:basedOn w:val="FigureTableNoteSource"/>
    <w:uiPriority w:val="22"/>
    <w:semiHidden/>
    <w:qFormat/>
    <w:rsid w:val="00676DA1"/>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676DA1"/>
    <w:pPr>
      <w:numPr>
        <w:numId w:val="50"/>
      </w:numPr>
    </w:pPr>
  </w:style>
  <w:style w:type="paragraph" w:customStyle="1" w:styleId="TOCHeading2">
    <w:name w:val="TOC Heading 2"/>
    <w:next w:val="Normal"/>
    <w:semiHidden/>
    <w:qFormat/>
    <w:rsid w:val="00676DA1"/>
    <w:pPr>
      <w:spacing w:after="0" w:line="240" w:lineRule="auto"/>
    </w:pPr>
    <w:rPr>
      <w:rFonts w:ascii="Calibri Light" w:hAnsi="Calibri Light"/>
      <w:sz w:val="36"/>
    </w:rPr>
  </w:style>
  <w:style w:type="numbering" w:customStyle="1" w:styleId="Numberlist">
    <w:name w:val="Number list"/>
    <w:uiPriority w:val="99"/>
    <w:rsid w:val="00676DA1"/>
    <w:pPr>
      <w:numPr>
        <w:numId w:val="51"/>
      </w:numPr>
    </w:pPr>
  </w:style>
  <w:style w:type="numbering" w:customStyle="1" w:styleId="Headinglist">
    <w:name w:val="Heading list"/>
    <w:uiPriority w:val="99"/>
    <w:rsid w:val="00676DA1"/>
    <w:pPr>
      <w:numPr>
        <w:numId w:val="52"/>
      </w:numPr>
    </w:pPr>
  </w:style>
  <w:style w:type="paragraph" w:customStyle="1" w:styleId="Normalsmall">
    <w:name w:val="Normal small"/>
    <w:qFormat/>
    <w:rsid w:val="00676DA1"/>
    <w:pPr>
      <w:spacing w:after="120" w:line="276" w:lineRule="auto"/>
    </w:pPr>
    <w:rPr>
      <w:rFonts w:asciiTheme="minorHAnsi" w:hAnsiTheme="minorHAnsi"/>
      <w:sz w:val="18"/>
      <w:szCs w:val="18"/>
    </w:rPr>
  </w:style>
  <w:style w:type="table" w:customStyle="1" w:styleId="ABARESTableleftrightalign">
    <w:name w:val="ABARES Table (left/right align)"/>
    <w:basedOn w:val="TableNormal"/>
    <w:uiPriority w:val="99"/>
    <w:rsid w:val="00676DA1"/>
    <w:pPr>
      <w:spacing w:before="60" w:after="60" w:line="240" w:lineRule="auto"/>
      <w:jc w:val="right"/>
    </w:pPr>
    <w:rPr>
      <w:rFonts w:ascii="Cambria" w:eastAsia="Calibri" w:hAnsi="Cambria" w:cs="Times New Roman"/>
      <w:sz w:val="19"/>
      <w:szCs w:val="20"/>
      <w:lang w:eastAsia="en-AU"/>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rsid w:val="00676DA1"/>
    <w:pPr>
      <w:spacing w:before="60" w:after="60" w:line="240" w:lineRule="auto"/>
    </w:pPr>
    <w:rPr>
      <w:rFonts w:ascii="Cambria" w:eastAsia="Calibri" w:hAnsi="Cambria" w:cs="Times New Roman"/>
      <w:sz w:val="19"/>
      <w:szCs w:val="20"/>
      <w:lang w:eastAsia="en-AU"/>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676DA1"/>
    <w:pPr>
      <w:numPr>
        <w:numId w:val="53"/>
      </w:numPr>
      <w:spacing w:before="60" w:after="60" w:line="240" w:lineRule="auto"/>
      <w:ind w:left="403"/>
      <w:contextualSpacing/>
    </w:pPr>
    <w:rPr>
      <w:rFonts w:asciiTheme="minorHAnsi" w:eastAsia="Calibri" w:hAnsiTheme="minorHAnsi" w:cs="Times New Roman"/>
      <w:color w:val="000000" w:themeColor="text1"/>
      <w:sz w:val="18"/>
    </w:rPr>
  </w:style>
  <w:style w:type="numbering" w:customStyle="1" w:styleId="TableBulletlist">
    <w:name w:val="Table Bullet list"/>
    <w:uiPriority w:val="99"/>
    <w:rsid w:val="00676DA1"/>
    <w:pPr>
      <w:numPr>
        <w:numId w:val="54"/>
      </w:numPr>
    </w:pPr>
  </w:style>
  <w:style w:type="paragraph" w:styleId="Date">
    <w:name w:val="Date"/>
    <w:aliases w:val="Reference"/>
    <w:basedOn w:val="Normal"/>
    <w:next w:val="Normal"/>
    <w:link w:val="DateChar"/>
    <w:uiPriority w:val="99"/>
    <w:unhideWhenUsed/>
    <w:rsid w:val="00676DA1"/>
    <w:pPr>
      <w:spacing w:before="240" w:after="480" w:line="360" w:lineRule="auto"/>
    </w:pPr>
    <w:rPr>
      <w:rFonts w:asciiTheme="minorHAnsi" w:hAnsiTheme="minorHAnsi"/>
      <w:sz w:val="22"/>
    </w:rPr>
  </w:style>
  <w:style w:type="character" w:customStyle="1" w:styleId="DateChar">
    <w:name w:val="Date Char"/>
    <w:aliases w:val="Reference Char"/>
    <w:basedOn w:val="DefaultParagraphFont"/>
    <w:link w:val="Date"/>
    <w:uiPriority w:val="99"/>
    <w:rsid w:val="00676DA1"/>
    <w:rPr>
      <w:rFonts w:asciiTheme="minorHAnsi" w:hAnsiTheme="minorHAnsi"/>
      <w:sz w:val="22"/>
    </w:rPr>
  </w:style>
  <w:style w:type="paragraph" w:customStyle="1" w:styleId="Picture">
    <w:name w:val="Picture"/>
    <w:basedOn w:val="Normal"/>
    <w:uiPriority w:val="17"/>
    <w:qFormat/>
    <w:rsid w:val="00676DA1"/>
    <w:pPr>
      <w:spacing w:before="120" w:after="120" w:line="240" w:lineRule="auto"/>
    </w:pPr>
    <w:rPr>
      <w:rFonts w:asciiTheme="majorHAnsi" w:hAnsiTheme="majorHAnsi"/>
      <w:noProof/>
      <w:sz w:val="22"/>
      <w:lang w:eastAsia="en-AU"/>
    </w:rPr>
  </w:style>
  <w:style w:type="paragraph" w:customStyle="1" w:styleId="Series">
    <w:name w:val="Series"/>
    <w:semiHidden/>
    <w:qFormat/>
    <w:rsid w:val="00676DA1"/>
    <w:pPr>
      <w:spacing w:before="120" w:after="120" w:line="240" w:lineRule="auto"/>
    </w:pPr>
    <w:rPr>
      <w:rFonts w:asciiTheme="minorHAnsi" w:hAnsiTheme="minorHAnsi"/>
      <w:b/>
      <w:i/>
      <w:sz w:val="32"/>
    </w:rPr>
  </w:style>
  <w:style w:type="character" w:customStyle="1" w:styleId="Attachment">
    <w:name w:val="Attachment"/>
    <w:uiPriority w:val="1"/>
    <w:qFormat/>
    <w:rsid w:val="00676DA1"/>
    <w:rPr>
      <w:u w:val="single"/>
    </w:rPr>
  </w:style>
  <w:style w:type="paragraph" w:customStyle="1" w:styleId="Footersecurityclassification">
    <w:name w:val="Footer security classification"/>
    <w:basedOn w:val="Footer"/>
    <w:next w:val="Footer"/>
    <w:qFormat/>
    <w:rsid w:val="00676DA1"/>
    <w:pPr>
      <w:tabs>
        <w:tab w:val="clear" w:pos="4513"/>
        <w:tab w:val="clear" w:pos="9026"/>
        <w:tab w:val="center" w:pos="4536"/>
      </w:tabs>
      <w:spacing w:before="0"/>
      <w:jc w:val="center"/>
    </w:pPr>
    <w:rPr>
      <w:rFonts w:ascii="Calibri" w:hAnsi="Calibri"/>
      <w:b/>
      <w:color w:val="FF0000"/>
    </w:rPr>
  </w:style>
  <w:style w:type="character" w:styleId="PageNumber">
    <w:name w:val="page number"/>
    <w:basedOn w:val="DefaultParagraphFont"/>
    <w:uiPriority w:val="99"/>
    <w:semiHidden/>
    <w:unhideWhenUsed/>
    <w:rsid w:val="00676DA1"/>
  </w:style>
  <w:style w:type="paragraph" w:customStyle="1" w:styleId="Normalnumbered">
    <w:name w:val="Normal numbered"/>
    <w:basedOn w:val="Normal"/>
    <w:semiHidden/>
    <w:qFormat/>
    <w:rsid w:val="00676DA1"/>
    <w:pPr>
      <w:numPr>
        <w:numId w:val="55"/>
      </w:numPr>
      <w:spacing w:before="0" w:after="200"/>
      <w:ind w:left="357" w:hanging="357"/>
    </w:pPr>
    <w:rPr>
      <w:rFonts w:asciiTheme="minorHAnsi" w:hAnsiTheme="minorHAnsi"/>
      <w:sz w:val="22"/>
    </w:rPr>
  </w:style>
  <w:style w:type="character" w:customStyle="1" w:styleId="Style1">
    <w:name w:val="Style1"/>
    <w:basedOn w:val="DefaultParagraphFont"/>
    <w:uiPriority w:val="1"/>
    <w:rsid w:val="00676DA1"/>
    <w:rPr>
      <w:rFonts w:asciiTheme="minorHAnsi" w:hAnsiTheme="minorHAnsi"/>
      <w:sz w:val="22"/>
    </w:rPr>
  </w:style>
  <w:style w:type="character" w:customStyle="1" w:styleId="cf01">
    <w:name w:val="cf01"/>
    <w:basedOn w:val="DefaultParagraphFont"/>
    <w:rsid w:val="00676D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3196">
      <w:bodyDiv w:val="1"/>
      <w:marLeft w:val="0"/>
      <w:marRight w:val="0"/>
      <w:marTop w:val="0"/>
      <w:marBottom w:val="0"/>
      <w:divBdr>
        <w:top w:val="none" w:sz="0" w:space="0" w:color="auto"/>
        <w:left w:val="none" w:sz="0" w:space="0" w:color="auto"/>
        <w:bottom w:val="none" w:sz="0" w:space="0" w:color="auto"/>
        <w:right w:val="none" w:sz="0" w:space="0" w:color="auto"/>
      </w:divBdr>
    </w:div>
    <w:div w:id="123349875">
      <w:bodyDiv w:val="1"/>
      <w:marLeft w:val="0"/>
      <w:marRight w:val="0"/>
      <w:marTop w:val="0"/>
      <w:marBottom w:val="0"/>
      <w:divBdr>
        <w:top w:val="none" w:sz="0" w:space="0" w:color="auto"/>
        <w:left w:val="none" w:sz="0" w:space="0" w:color="auto"/>
        <w:bottom w:val="none" w:sz="0" w:space="0" w:color="auto"/>
        <w:right w:val="none" w:sz="0" w:space="0" w:color="auto"/>
      </w:divBdr>
    </w:div>
    <w:div w:id="222445099">
      <w:bodyDiv w:val="1"/>
      <w:marLeft w:val="0"/>
      <w:marRight w:val="0"/>
      <w:marTop w:val="0"/>
      <w:marBottom w:val="0"/>
      <w:divBdr>
        <w:top w:val="none" w:sz="0" w:space="0" w:color="auto"/>
        <w:left w:val="none" w:sz="0" w:space="0" w:color="auto"/>
        <w:bottom w:val="none" w:sz="0" w:space="0" w:color="auto"/>
        <w:right w:val="none" w:sz="0" w:space="0" w:color="auto"/>
      </w:divBdr>
    </w:div>
    <w:div w:id="261181147">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277878245">
      <w:bodyDiv w:val="1"/>
      <w:marLeft w:val="0"/>
      <w:marRight w:val="0"/>
      <w:marTop w:val="0"/>
      <w:marBottom w:val="0"/>
      <w:divBdr>
        <w:top w:val="none" w:sz="0" w:space="0" w:color="auto"/>
        <w:left w:val="none" w:sz="0" w:space="0" w:color="auto"/>
        <w:bottom w:val="none" w:sz="0" w:space="0" w:color="auto"/>
        <w:right w:val="none" w:sz="0" w:space="0" w:color="auto"/>
      </w:divBdr>
    </w:div>
    <w:div w:id="322200601">
      <w:bodyDiv w:val="1"/>
      <w:marLeft w:val="0"/>
      <w:marRight w:val="0"/>
      <w:marTop w:val="0"/>
      <w:marBottom w:val="0"/>
      <w:divBdr>
        <w:top w:val="none" w:sz="0" w:space="0" w:color="auto"/>
        <w:left w:val="none" w:sz="0" w:space="0" w:color="auto"/>
        <w:bottom w:val="none" w:sz="0" w:space="0" w:color="auto"/>
        <w:right w:val="none" w:sz="0" w:space="0" w:color="auto"/>
      </w:divBdr>
    </w:div>
    <w:div w:id="330721157">
      <w:bodyDiv w:val="1"/>
      <w:marLeft w:val="0"/>
      <w:marRight w:val="0"/>
      <w:marTop w:val="0"/>
      <w:marBottom w:val="0"/>
      <w:divBdr>
        <w:top w:val="none" w:sz="0" w:space="0" w:color="auto"/>
        <w:left w:val="none" w:sz="0" w:space="0" w:color="auto"/>
        <w:bottom w:val="none" w:sz="0" w:space="0" w:color="auto"/>
        <w:right w:val="none" w:sz="0" w:space="0" w:color="auto"/>
      </w:divBdr>
    </w:div>
    <w:div w:id="397442868">
      <w:bodyDiv w:val="1"/>
      <w:marLeft w:val="0"/>
      <w:marRight w:val="0"/>
      <w:marTop w:val="0"/>
      <w:marBottom w:val="0"/>
      <w:divBdr>
        <w:top w:val="none" w:sz="0" w:space="0" w:color="auto"/>
        <w:left w:val="none" w:sz="0" w:space="0" w:color="auto"/>
        <w:bottom w:val="none" w:sz="0" w:space="0" w:color="auto"/>
        <w:right w:val="none" w:sz="0" w:space="0" w:color="auto"/>
      </w:divBdr>
    </w:div>
    <w:div w:id="468278889">
      <w:bodyDiv w:val="1"/>
      <w:marLeft w:val="0"/>
      <w:marRight w:val="0"/>
      <w:marTop w:val="0"/>
      <w:marBottom w:val="0"/>
      <w:divBdr>
        <w:top w:val="none" w:sz="0" w:space="0" w:color="auto"/>
        <w:left w:val="none" w:sz="0" w:space="0" w:color="auto"/>
        <w:bottom w:val="none" w:sz="0" w:space="0" w:color="auto"/>
        <w:right w:val="none" w:sz="0" w:space="0" w:color="auto"/>
      </w:divBdr>
    </w:div>
    <w:div w:id="489979340">
      <w:bodyDiv w:val="1"/>
      <w:marLeft w:val="0"/>
      <w:marRight w:val="0"/>
      <w:marTop w:val="0"/>
      <w:marBottom w:val="0"/>
      <w:divBdr>
        <w:top w:val="none" w:sz="0" w:space="0" w:color="auto"/>
        <w:left w:val="none" w:sz="0" w:space="0" w:color="auto"/>
        <w:bottom w:val="none" w:sz="0" w:space="0" w:color="auto"/>
        <w:right w:val="none" w:sz="0" w:space="0" w:color="auto"/>
      </w:divBdr>
    </w:div>
    <w:div w:id="506940967">
      <w:bodyDiv w:val="1"/>
      <w:marLeft w:val="0"/>
      <w:marRight w:val="0"/>
      <w:marTop w:val="0"/>
      <w:marBottom w:val="0"/>
      <w:divBdr>
        <w:top w:val="none" w:sz="0" w:space="0" w:color="auto"/>
        <w:left w:val="none" w:sz="0" w:space="0" w:color="auto"/>
        <w:bottom w:val="none" w:sz="0" w:space="0" w:color="auto"/>
        <w:right w:val="none" w:sz="0" w:space="0" w:color="auto"/>
      </w:divBdr>
    </w:div>
    <w:div w:id="554969431">
      <w:bodyDiv w:val="1"/>
      <w:marLeft w:val="0"/>
      <w:marRight w:val="0"/>
      <w:marTop w:val="0"/>
      <w:marBottom w:val="0"/>
      <w:divBdr>
        <w:top w:val="none" w:sz="0" w:space="0" w:color="auto"/>
        <w:left w:val="none" w:sz="0" w:space="0" w:color="auto"/>
        <w:bottom w:val="none" w:sz="0" w:space="0" w:color="auto"/>
        <w:right w:val="none" w:sz="0" w:space="0" w:color="auto"/>
      </w:divBdr>
    </w:div>
    <w:div w:id="618612218">
      <w:bodyDiv w:val="1"/>
      <w:marLeft w:val="0"/>
      <w:marRight w:val="0"/>
      <w:marTop w:val="0"/>
      <w:marBottom w:val="0"/>
      <w:divBdr>
        <w:top w:val="none" w:sz="0" w:space="0" w:color="auto"/>
        <w:left w:val="none" w:sz="0" w:space="0" w:color="auto"/>
        <w:bottom w:val="none" w:sz="0" w:space="0" w:color="auto"/>
        <w:right w:val="none" w:sz="0" w:space="0" w:color="auto"/>
      </w:divBdr>
    </w:div>
    <w:div w:id="626469047">
      <w:bodyDiv w:val="1"/>
      <w:marLeft w:val="0"/>
      <w:marRight w:val="0"/>
      <w:marTop w:val="0"/>
      <w:marBottom w:val="0"/>
      <w:divBdr>
        <w:top w:val="none" w:sz="0" w:space="0" w:color="auto"/>
        <w:left w:val="none" w:sz="0" w:space="0" w:color="auto"/>
        <w:bottom w:val="none" w:sz="0" w:space="0" w:color="auto"/>
        <w:right w:val="none" w:sz="0" w:space="0" w:color="auto"/>
      </w:divBdr>
    </w:div>
    <w:div w:id="716587494">
      <w:bodyDiv w:val="1"/>
      <w:marLeft w:val="0"/>
      <w:marRight w:val="0"/>
      <w:marTop w:val="0"/>
      <w:marBottom w:val="0"/>
      <w:divBdr>
        <w:top w:val="none" w:sz="0" w:space="0" w:color="auto"/>
        <w:left w:val="none" w:sz="0" w:space="0" w:color="auto"/>
        <w:bottom w:val="none" w:sz="0" w:space="0" w:color="auto"/>
        <w:right w:val="none" w:sz="0" w:space="0" w:color="auto"/>
      </w:divBdr>
    </w:div>
    <w:div w:id="803544398">
      <w:bodyDiv w:val="1"/>
      <w:marLeft w:val="0"/>
      <w:marRight w:val="0"/>
      <w:marTop w:val="0"/>
      <w:marBottom w:val="0"/>
      <w:divBdr>
        <w:top w:val="none" w:sz="0" w:space="0" w:color="auto"/>
        <w:left w:val="none" w:sz="0" w:space="0" w:color="auto"/>
        <w:bottom w:val="none" w:sz="0" w:space="0" w:color="auto"/>
        <w:right w:val="none" w:sz="0" w:space="0" w:color="auto"/>
      </w:divBdr>
    </w:div>
    <w:div w:id="828444093">
      <w:bodyDiv w:val="1"/>
      <w:marLeft w:val="0"/>
      <w:marRight w:val="0"/>
      <w:marTop w:val="0"/>
      <w:marBottom w:val="0"/>
      <w:divBdr>
        <w:top w:val="none" w:sz="0" w:space="0" w:color="auto"/>
        <w:left w:val="none" w:sz="0" w:space="0" w:color="auto"/>
        <w:bottom w:val="none" w:sz="0" w:space="0" w:color="auto"/>
        <w:right w:val="none" w:sz="0" w:space="0" w:color="auto"/>
      </w:divBdr>
    </w:div>
    <w:div w:id="928394834">
      <w:bodyDiv w:val="1"/>
      <w:marLeft w:val="0"/>
      <w:marRight w:val="0"/>
      <w:marTop w:val="0"/>
      <w:marBottom w:val="0"/>
      <w:divBdr>
        <w:top w:val="none" w:sz="0" w:space="0" w:color="auto"/>
        <w:left w:val="none" w:sz="0" w:space="0" w:color="auto"/>
        <w:bottom w:val="none" w:sz="0" w:space="0" w:color="auto"/>
        <w:right w:val="none" w:sz="0" w:space="0" w:color="auto"/>
      </w:divBdr>
    </w:div>
    <w:div w:id="950160144">
      <w:bodyDiv w:val="1"/>
      <w:marLeft w:val="0"/>
      <w:marRight w:val="0"/>
      <w:marTop w:val="0"/>
      <w:marBottom w:val="0"/>
      <w:divBdr>
        <w:top w:val="none" w:sz="0" w:space="0" w:color="auto"/>
        <w:left w:val="none" w:sz="0" w:space="0" w:color="auto"/>
        <w:bottom w:val="none" w:sz="0" w:space="0" w:color="auto"/>
        <w:right w:val="none" w:sz="0" w:space="0" w:color="auto"/>
      </w:divBdr>
    </w:div>
    <w:div w:id="1009068469">
      <w:bodyDiv w:val="1"/>
      <w:marLeft w:val="0"/>
      <w:marRight w:val="0"/>
      <w:marTop w:val="0"/>
      <w:marBottom w:val="0"/>
      <w:divBdr>
        <w:top w:val="none" w:sz="0" w:space="0" w:color="auto"/>
        <w:left w:val="none" w:sz="0" w:space="0" w:color="auto"/>
        <w:bottom w:val="none" w:sz="0" w:space="0" w:color="auto"/>
        <w:right w:val="none" w:sz="0" w:space="0" w:color="auto"/>
      </w:divBdr>
    </w:div>
    <w:div w:id="1016734597">
      <w:bodyDiv w:val="1"/>
      <w:marLeft w:val="0"/>
      <w:marRight w:val="0"/>
      <w:marTop w:val="0"/>
      <w:marBottom w:val="0"/>
      <w:divBdr>
        <w:top w:val="none" w:sz="0" w:space="0" w:color="auto"/>
        <w:left w:val="none" w:sz="0" w:space="0" w:color="auto"/>
        <w:bottom w:val="none" w:sz="0" w:space="0" w:color="auto"/>
        <w:right w:val="none" w:sz="0" w:space="0" w:color="auto"/>
      </w:divBdr>
    </w:div>
    <w:div w:id="1022511602">
      <w:bodyDiv w:val="1"/>
      <w:marLeft w:val="0"/>
      <w:marRight w:val="0"/>
      <w:marTop w:val="0"/>
      <w:marBottom w:val="0"/>
      <w:divBdr>
        <w:top w:val="none" w:sz="0" w:space="0" w:color="auto"/>
        <w:left w:val="none" w:sz="0" w:space="0" w:color="auto"/>
        <w:bottom w:val="none" w:sz="0" w:space="0" w:color="auto"/>
        <w:right w:val="none" w:sz="0" w:space="0" w:color="auto"/>
      </w:divBdr>
    </w:div>
    <w:div w:id="1456634341">
      <w:bodyDiv w:val="1"/>
      <w:marLeft w:val="0"/>
      <w:marRight w:val="0"/>
      <w:marTop w:val="0"/>
      <w:marBottom w:val="0"/>
      <w:divBdr>
        <w:top w:val="none" w:sz="0" w:space="0" w:color="auto"/>
        <w:left w:val="none" w:sz="0" w:space="0" w:color="auto"/>
        <w:bottom w:val="none" w:sz="0" w:space="0" w:color="auto"/>
        <w:right w:val="none" w:sz="0" w:space="0" w:color="auto"/>
      </w:divBdr>
    </w:div>
    <w:div w:id="1457212055">
      <w:bodyDiv w:val="1"/>
      <w:marLeft w:val="0"/>
      <w:marRight w:val="0"/>
      <w:marTop w:val="0"/>
      <w:marBottom w:val="0"/>
      <w:divBdr>
        <w:top w:val="none" w:sz="0" w:space="0" w:color="auto"/>
        <w:left w:val="none" w:sz="0" w:space="0" w:color="auto"/>
        <w:bottom w:val="none" w:sz="0" w:space="0" w:color="auto"/>
        <w:right w:val="none" w:sz="0" w:space="0" w:color="auto"/>
      </w:divBdr>
    </w:div>
    <w:div w:id="1537934572">
      <w:bodyDiv w:val="1"/>
      <w:marLeft w:val="0"/>
      <w:marRight w:val="0"/>
      <w:marTop w:val="0"/>
      <w:marBottom w:val="0"/>
      <w:divBdr>
        <w:top w:val="none" w:sz="0" w:space="0" w:color="auto"/>
        <w:left w:val="none" w:sz="0" w:space="0" w:color="auto"/>
        <w:bottom w:val="none" w:sz="0" w:space="0" w:color="auto"/>
        <w:right w:val="none" w:sz="0" w:space="0" w:color="auto"/>
      </w:divBdr>
    </w:div>
    <w:div w:id="1624921663">
      <w:bodyDiv w:val="1"/>
      <w:marLeft w:val="0"/>
      <w:marRight w:val="0"/>
      <w:marTop w:val="0"/>
      <w:marBottom w:val="0"/>
      <w:divBdr>
        <w:top w:val="none" w:sz="0" w:space="0" w:color="auto"/>
        <w:left w:val="none" w:sz="0" w:space="0" w:color="auto"/>
        <w:bottom w:val="none" w:sz="0" w:space="0" w:color="auto"/>
        <w:right w:val="none" w:sz="0" w:space="0" w:color="auto"/>
      </w:divBdr>
    </w:div>
    <w:div w:id="1704667193">
      <w:bodyDiv w:val="1"/>
      <w:marLeft w:val="0"/>
      <w:marRight w:val="0"/>
      <w:marTop w:val="0"/>
      <w:marBottom w:val="0"/>
      <w:divBdr>
        <w:top w:val="none" w:sz="0" w:space="0" w:color="auto"/>
        <w:left w:val="none" w:sz="0" w:space="0" w:color="auto"/>
        <w:bottom w:val="none" w:sz="0" w:space="0" w:color="auto"/>
        <w:right w:val="none" w:sz="0" w:space="0" w:color="auto"/>
      </w:divBdr>
    </w:div>
    <w:div w:id="1772437501">
      <w:bodyDiv w:val="1"/>
      <w:marLeft w:val="0"/>
      <w:marRight w:val="0"/>
      <w:marTop w:val="0"/>
      <w:marBottom w:val="0"/>
      <w:divBdr>
        <w:top w:val="none" w:sz="0" w:space="0" w:color="auto"/>
        <w:left w:val="none" w:sz="0" w:space="0" w:color="auto"/>
        <w:bottom w:val="none" w:sz="0" w:space="0" w:color="auto"/>
        <w:right w:val="none" w:sz="0" w:space="0" w:color="auto"/>
      </w:divBdr>
    </w:div>
    <w:div w:id="1835954730">
      <w:bodyDiv w:val="1"/>
      <w:marLeft w:val="0"/>
      <w:marRight w:val="0"/>
      <w:marTop w:val="0"/>
      <w:marBottom w:val="0"/>
      <w:divBdr>
        <w:top w:val="none" w:sz="0" w:space="0" w:color="auto"/>
        <w:left w:val="none" w:sz="0" w:space="0" w:color="auto"/>
        <w:bottom w:val="none" w:sz="0" w:space="0" w:color="auto"/>
        <w:right w:val="none" w:sz="0" w:space="0" w:color="auto"/>
      </w:divBdr>
    </w:div>
    <w:div w:id="1850951765">
      <w:bodyDiv w:val="1"/>
      <w:marLeft w:val="0"/>
      <w:marRight w:val="0"/>
      <w:marTop w:val="0"/>
      <w:marBottom w:val="0"/>
      <w:divBdr>
        <w:top w:val="none" w:sz="0" w:space="0" w:color="auto"/>
        <w:left w:val="none" w:sz="0" w:space="0" w:color="auto"/>
        <w:bottom w:val="none" w:sz="0" w:space="0" w:color="auto"/>
        <w:right w:val="none" w:sz="0" w:space="0" w:color="auto"/>
      </w:divBdr>
    </w:div>
    <w:div w:id="1852836621">
      <w:bodyDiv w:val="1"/>
      <w:marLeft w:val="0"/>
      <w:marRight w:val="0"/>
      <w:marTop w:val="0"/>
      <w:marBottom w:val="0"/>
      <w:divBdr>
        <w:top w:val="none" w:sz="0" w:space="0" w:color="auto"/>
        <w:left w:val="none" w:sz="0" w:space="0" w:color="auto"/>
        <w:bottom w:val="none" w:sz="0" w:space="0" w:color="auto"/>
        <w:right w:val="none" w:sz="0" w:space="0" w:color="auto"/>
      </w:divBdr>
    </w:div>
    <w:div w:id="1951737206">
      <w:bodyDiv w:val="1"/>
      <w:marLeft w:val="0"/>
      <w:marRight w:val="0"/>
      <w:marTop w:val="0"/>
      <w:marBottom w:val="0"/>
      <w:divBdr>
        <w:top w:val="none" w:sz="0" w:space="0" w:color="auto"/>
        <w:left w:val="none" w:sz="0" w:space="0" w:color="auto"/>
        <w:bottom w:val="none" w:sz="0" w:space="0" w:color="auto"/>
        <w:right w:val="none" w:sz="0" w:space="0" w:color="auto"/>
      </w:divBdr>
    </w:div>
    <w:div w:id="1990790307">
      <w:bodyDiv w:val="1"/>
      <w:marLeft w:val="0"/>
      <w:marRight w:val="0"/>
      <w:marTop w:val="0"/>
      <w:marBottom w:val="0"/>
      <w:divBdr>
        <w:top w:val="none" w:sz="0" w:space="0" w:color="auto"/>
        <w:left w:val="none" w:sz="0" w:space="0" w:color="auto"/>
        <w:bottom w:val="none" w:sz="0" w:space="0" w:color="auto"/>
        <w:right w:val="none" w:sz="0" w:space="0" w:color="auto"/>
      </w:divBdr>
    </w:div>
    <w:div w:id="2007591418">
      <w:bodyDiv w:val="1"/>
      <w:marLeft w:val="0"/>
      <w:marRight w:val="0"/>
      <w:marTop w:val="0"/>
      <w:marBottom w:val="0"/>
      <w:divBdr>
        <w:top w:val="none" w:sz="0" w:space="0" w:color="auto"/>
        <w:left w:val="none" w:sz="0" w:space="0" w:color="auto"/>
        <w:bottom w:val="none" w:sz="0" w:space="0" w:color="auto"/>
        <w:right w:val="none" w:sz="0" w:space="0" w:color="auto"/>
      </w:divBdr>
    </w:div>
    <w:div w:id="203673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hyperlink" Target="http://www.aasb.gov.au" TargetMode="External"/><Relationship Id="rId17" Type="http://schemas.openxmlformats.org/officeDocument/2006/relationships/image" Target="media/image3.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cceew.gov.au/climate-change/publications/safeguard-mechanism-document" TargetMode="External"/><Relationship Id="rId20" Type="http://schemas.openxmlformats.org/officeDocument/2006/relationships/image" Target="media/image5.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9.svg"/><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image" Target="media/image8.pn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header" Target="head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cleanenergyregulator.gov.au/NGER/The-safeguard-mechanism/Managing-excess-emissions" TargetMode="External"/><Relationship Id="rId3" Type="http://schemas.openxmlformats.org/officeDocument/2006/relationships/hyperlink" Target="https://www.dcceew.gov.au/climate-change/publications/australias-emissions-projections-2022" TargetMode="External"/><Relationship Id="rId7" Type="http://schemas.openxmlformats.org/officeDocument/2006/relationships/hyperlink" Target="https://www.industry.gov.au/publications/resources-and-energy-major-projects-2022" TargetMode="External"/><Relationship Id="rId2" Type="http://schemas.openxmlformats.org/officeDocument/2006/relationships/hyperlink" Target="https://www.cleanenergyregulator.gov.au/NGER/The-safeguard-mechanism/safeguard-data/safeguard-facility-reported-emissions" TargetMode="External"/><Relationship Id="rId1" Type="http://schemas.openxmlformats.org/officeDocument/2006/relationships/hyperlink" Target="https://aasb.gov.au/admin/file/content105/c9/AASB15_12-14_COMPmay22_07-22.pdf" TargetMode="External"/><Relationship Id="rId6" Type="http://schemas.openxmlformats.org/officeDocument/2006/relationships/hyperlink" Target="https://www.dcceew.gov.au/climate-change/publications/national-greenhouse-gas-inventory-quarterly-update-june-2022" TargetMode="External"/><Relationship Id="rId5" Type="http://schemas.openxmlformats.org/officeDocument/2006/relationships/hyperlink" Target="https://www.dcceew.gov.au/climate-change/publications/australias-emissions-projections-2022" TargetMode="External"/><Relationship Id="rId4" Type="http://schemas.openxmlformats.org/officeDocument/2006/relationships/hyperlink" Target="https://unfccc.int/sites/default/files/NDC/2022-06/Australias%20NDC%20June%202022%20Update%20%283%29.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871839307F4E5B84937277171FEAA5"/>
        <w:category>
          <w:name w:val="General"/>
          <w:gallery w:val="placeholder"/>
        </w:category>
        <w:types>
          <w:type w:val="bbPlcHdr"/>
        </w:types>
        <w:behaviors>
          <w:behavior w:val="content"/>
        </w:behaviors>
        <w:guid w:val="{CF8A4FC2-22A7-4422-BDCC-F9F436D96763}"/>
      </w:docPartPr>
      <w:docPartBody>
        <w:p w:rsidR="00D839E9" w:rsidRDefault="00D839E9" w:rsidP="00D839E9">
          <w:pPr>
            <w:pStyle w:val="17871839307F4E5B84937277171FEAA5"/>
          </w:pPr>
          <w:r w:rsidRPr="005A0DE7">
            <w:rPr>
              <w:color w:val="4472C4" w:themeColor="accent1"/>
              <w:sz w:val="16"/>
              <w:szCs w:val="16"/>
            </w:rPr>
            <w:t>[Section Name]</w:t>
          </w:r>
        </w:p>
      </w:docPartBody>
    </w:docPart>
    <w:docPart>
      <w:docPartPr>
        <w:name w:val="F7AAD8AE87624BF996289DA1EC9BD278"/>
        <w:category>
          <w:name w:val="General"/>
          <w:gallery w:val="placeholder"/>
        </w:category>
        <w:types>
          <w:type w:val="bbPlcHdr"/>
        </w:types>
        <w:behaviors>
          <w:behavior w:val="content"/>
        </w:behaviors>
        <w:guid w:val="{66BEF12A-11DA-4E7A-8933-374FCF308C83}"/>
      </w:docPartPr>
      <w:docPartBody>
        <w:p w:rsidR="00D839E9" w:rsidRDefault="00D839E9" w:rsidP="00D839E9">
          <w:pPr>
            <w:pStyle w:val="F7AAD8AE87624BF996289DA1EC9BD278"/>
          </w:pPr>
          <w:r w:rsidRPr="005A0DE7">
            <w:rPr>
              <w:bCs/>
              <w:color w:val="4472C4" w:themeColor="accent1"/>
              <w:sz w:val="16"/>
              <w:szCs w:val="16"/>
            </w:rPr>
            <w:t>[Document 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9E9"/>
    <w:rsid w:val="00270F70"/>
    <w:rsid w:val="008F5E30"/>
    <w:rsid w:val="00D839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871839307F4E5B84937277171FEAA5">
    <w:name w:val="17871839307F4E5B84937277171FEAA5"/>
    <w:rsid w:val="00D839E9"/>
  </w:style>
  <w:style w:type="paragraph" w:customStyle="1" w:styleId="F7AAD8AE87624BF996289DA1EC9BD278">
    <w:name w:val="F7AAD8AE87624BF996289DA1EC9BD278"/>
    <w:rsid w:val="00D83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9A1111537F784A9FE72FEEDDAEFEDD" ma:contentTypeVersion="4" ma:contentTypeDescription="Create a new document." ma:contentTypeScope="" ma:versionID="5bc27253a693b40302c1442e0a57246d">
  <xsd:schema xmlns:xsd="http://www.w3.org/2001/XMLSchema" xmlns:xs="http://www.w3.org/2001/XMLSchema" xmlns:p="http://schemas.microsoft.com/office/2006/metadata/properties" xmlns:ns2="03731ef4-3c0a-4dfe-b43d-d7a718b69a49" xmlns:ns3="c8d0d264-61bf-4afe-8f84-3da06dff8768" targetNamespace="http://schemas.microsoft.com/office/2006/metadata/properties" ma:root="true" ma:fieldsID="118228796d9d619ec375ecdedfb3bdf1" ns2:_="" ns3:_="">
    <xsd:import namespace="03731ef4-3c0a-4dfe-b43d-d7a718b69a49"/>
    <xsd:import namespace="c8d0d264-61bf-4afe-8f84-3da06dff87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31ef4-3c0a-4dfe-b43d-d7a718b69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d0d264-61bf-4afe-8f84-3da06dff87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8d0d264-61bf-4afe-8f84-3da06dff8768">
      <UserInfo>
        <DisplayName>Wood, Peter</DisplayName>
        <AccountId>20</AccountId>
        <AccountType/>
      </UserInfo>
      <UserInfo>
        <DisplayName>Ellis, Brendan</DisplayName>
        <AccountId>30</AccountId>
        <AccountType/>
      </UserInfo>
      <UserInfo>
        <DisplayName>Hurt, Lynton</DisplayName>
        <AccountId>14</AccountId>
        <AccountType/>
      </UserInfo>
      <UserInfo>
        <DisplayName>Johnson, Edwina</DisplayName>
        <AccountId>22</AccountId>
        <AccountType/>
      </UserInfo>
      <UserInfo>
        <DisplayName>Jones, Holly</DisplayName>
        <AccountId>37</AccountId>
        <AccountType/>
      </UserInfo>
      <UserInfo>
        <DisplayName>Gourlay, David</DisplayName>
        <AccountId>17</AccountId>
        <AccountType/>
      </UserInfo>
      <UserInfo>
        <DisplayName>Guyes, Helen</DisplayName>
        <AccountId>15</AccountId>
        <AccountType/>
      </UserInfo>
    </SharedWithUsers>
  </documentManagement>
</p:properties>
</file>

<file path=customXml/itemProps1.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2.xml><?xml version="1.0" encoding="utf-8"?>
<ds:datastoreItem xmlns:ds="http://schemas.openxmlformats.org/officeDocument/2006/customXml" ds:itemID="{B4818ABC-AE9A-4B1D-8985-576C36502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31ef4-3c0a-4dfe-b43d-d7a718b69a49"/>
    <ds:schemaRef ds:uri="c8d0d264-61bf-4afe-8f84-3da06dff8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1D071-D382-45E7-A38C-DC2AEE6C521C}">
  <ds:schemaRefs>
    <ds:schemaRef ds:uri="http://schemas.openxmlformats.org/officeDocument/2006/bibliography"/>
  </ds:schemaRefs>
</ds:datastoreItem>
</file>

<file path=customXml/itemProps4.xml><?xml version="1.0" encoding="utf-8"?>
<ds:datastoreItem xmlns:ds="http://schemas.openxmlformats.org/officeDocument/2006/customXml" ds:itemID="{EB42F429-4198-4ECD-8E59-23F01B09005A}">
  <ds:schemaRefs>
    <ds:schemaRef ds:uri="http://schemas.microsoft.com/office/2006/metadata/properties"/>
    <ds:schemaRef ds:uri="http://schemas.microsoft.com/office/infopath/2007/PartnerControls"/>
    <ds:schemaRef ds:uri="c8d0d264-61bf-4afe-8f84-3da06dff8768"/>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79</Pages>
  <Words>33190</Words>
  <Characters>189188</Characters>
  <Application>Microsoft Office Word</Application>
  <DocSecurity>0</DocSecurity>
  <Lines>1576</Lines>
  <Paragraphs>443</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221935</CharactersWithSpaces>
  <SharedDoc>false</SharedDoc>
  <HLinks>
    <vt:vector size="18" baseType="variant">
      <vt:variant>
        <vt:i4>7798902</vt:i4>
      </vt:variant>
      <vt:variant>
        <vt:i4>9</vt:i4>
      </vt:variant>
      <vt:variant>
        <vt:i4>0</vt:i4>
      </vt:variant>
      <vt:variant>
        <vt:i4>5</vt:i4>
      </vt:variant>
      <vt:variant>
        <vt:lpwstr>https://www.dcceew.gov.au/climate-change/publications/safeguard-mechanism-document</vt:lpwstr>
      </vt:variant>
      <vt:variant>
        <vt:lpwstr/>
      </vt:variant>
      <vt:variant>
        <vt:i4>2293795</vt:i4>
      </vt:variant>
      <vt:variant>
        <vt:i4>0</vt:i4>
      </vt:variant>
      <vt:variant>
        <vt:i4>0</vt:i4>
      </vt:variant>
      <vt:variant>
        <vt:i4>5</vt:i4>
      </vt:variant>
      <vt:variant>
        <vt:lpwstr>http://www.aasb.gov.au/</vt:lpwstr>
      </vt:variant>
      <vt:variant>
        <vt:lpwstr/>
      </vt:variant>
      <vt:variant>
        <vt:i4>2424923</vt:i4>
      </vt:variant>
      <vt:variant>
        <vt:i4>0</vt:i4>
      </vt:variant>
      <vt:variant>
        <vt:i4>0</vt:i4>
      </vt:variant>
      <vt:variant>
        <vt:i4>5</vt:i4>
      </vt:variant>
      <vt:variant>
        <vt:lpwstr>https://aasb.gov.au/admin/file/content105/c9/AASB15_12-14_COMPmay22_07-22.pdf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Wood</dc:creator>
  <cp:keywords>[SEC=OFFICIAL]</cp:keywords>
  <cp:lastModifiedBy>Kwan, Kelvin</cp:lastModifiedBy>
  <cp:revision>9</cp:revision>
  <cp:lastPrinted>2023-05-01T23:53:00Z</cp:lastPrinted>
  <dcterms:created xsi:type="dcterms:W3CDTF">2023-05-04T04:46:00Z</dcterms:created>
  <dcterms:modified xsi:type="dcterms:W3CDTF">2023-05-05T04:25:00Z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0x010100CA9A1111537F784A9FE72FEEDDAEFEDD</vt:lpwstr>
  </property>
  <property fmtid="{D5CDD505-2E9C-101B-9397-08002B2CF9AE}" pid="3" name="DocHub_Year">
    <vt:lpwstr>1787;#2023|4fbcaf2e-c858-4248-836e-58ac5eb285ca</vt:lpwstr>
  </property>
  <property fmtid="{D5CDD505-2E9C-101B-9397-08002B2CF9AE}" pid="4" name="DocHub_DocumentType">
    <vt:lpwstr>460;#Explanatory Memorandum|e1baf4eb-cfb1-4562-a99a-5aebab1aca70</vt:lpwstr>
  </property>
  <property fmtid="{D5CDD505-2E9C-101B-9397-08002B2CF9AE}" pid="5" name="DocHub_SecurityClassification">
    <vt:lpwstr>204;#Legal privilege|e0e7653a-6457-4726-a51f-c98e23f83bad</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184;#Legislation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2022-10-19T11:26:31Z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9a39ff51-ddf7-4ac8-b30e-501f50ff350e</vt:lpwstr>
  </property>
  <property fmtid="{D5CDD505-2E9C-101B-9397-08002B2CF9AE}" pid="17" name="MSIP_Label_79d889eb-932f-4752-8739-64d25806ef64_ContentBits">
    <vt:lpwstr>0</vt:lpwstr>
  </property>
  <property fmtid="{D5CDD505-2E9C-101B-9397-08002B2CF9AE}" pid="18" name="DocHub_Keywords">
    <vt:lpwstr>234;#Safeguard Mechanism|462066da-c297-4969-b9e8-878ecfcc0dda</vt:lpwstr>
  </property>
  <property fmtid="{D5CDD505-2E9C-101B-9397-08002B2CF9AE}" pid="19" name="PM_ProtectiveMarkingValue_Footer">
    <vt:lpwstr>OFFICIAL</vt:lpwstr>
  </property>
  <property fmtid="{D5CDD505-2E9C-101B-9397-08002B2CF9AE}" pid="20" name="PM_Caveats_Count">
    <vt:lpwstr>0</vt:lpwstr>
  </property>
  <property fmtid="{D5CDD505-2E9C-101B-9397-08002B2CF9AE}" pid="21" name="PM_Originator_Hash_SHA1">
    <vt:lpwstr>4E2D101C04A4EF920D0CB1DB0E716DE6DD7C1F1B</vt:lpwstr>
  </property>
  <property fmtid="{D5CDD505-2E9C-101B-9397-08002B2CF9AE}" pid="22" name="PM_SecurityClassification">
    <vt:lpwstr>OFFICIAL</vt:lpwstr>
  </property>
  <property fmtid="{D5CDD505-2E9C-101B-9397-08002B2CF9AE}" pid="23" name="PM_DisplayValueSecClassificationWithQualifier">
    <vt:lpwstr>OFFICIAL:</vt:lpwstr>
  </property>
  <property fmtid="{D5CDD505-2E9C-101B-9397-08002B2CF9AE}" pid="24" name="PM_Qualifier">
    <vt:lpwstr/>
  </property>
  <property fmtid="{D5CDD505-2E9C-101B-9397-08002B2CF9AE}" pid="25" name="PM_Hash_SHA1">
    <vt:lpwstr>464E27F3399CA121B5FCFA55BE2AD0548467BCA5</vt:lpwstr>
  </property>
  <property fmtid="{D5CDD505-2E9C-101B-9397-08002B2CF9AE}" pid="26" name="PM_ProtectiveMarkingImage_Header">
    <vt:lpwstr>C:\Program Files (x86)\Common Files\janusNET Shared\janusSEAL\Images\DocumentSlashBlue.png</vt:lpwstr>
  </property>
  <property fmtid="{D5CDD505-2E9C-101B-9397-08002B2CF9AE}" pid="27" name="PM_InsertionValue">
    <vt:lpwstr>OFFICIAL</vt:lpwstr>
  </property>
  <property fmtid="{D5CDD505-2E9C-101B-9397-08002B2CF9AE}" pid="28" name="PM_ProtectiveMarkingValue_Header">
    <vt:lpwstr>OFFICIAL</vt:lpwstr>
  </property>
  <property fmtid="{D5CDD505-2E9C-101B-9397-08002B2CF9AE}" pid="29" name="PM_ProtectiveMarkingImage_Footer">
    <vt:lpwstr>C:\Program Files (x86)\Common Files\janusNET Shared\janusSEAL\Images\DocumentSlashBlue.png</vt:lpwstr>
  </property>
  <property fmtid="{D5CDD505-2E9C-101B-9397-08002B2CF9AE}" pid="30" name="PM_Namespace">
    <vt:lpwstr>gov.au</vt:lpwstr>
  </property>
  <property fmtid="{D5CDD505-2E9C-101B-9397-08002B2CF9AE}" pid="31" name="PM_Version">
    <vt:lpwstr>2018.1</vt:lpwstr>
  </property>
  <property fmtid="{D5CDD505-2E9C-101B-9397-08002B2CF9AE}" pid="32" name="PM_Originating_FileId">
    <vt:lpwstr>6024F01CFA1D42A5B8525A1AB9E2D45F</vt:lpwstr>
  </property>
  <property fmtid="{D5CDD505-2E9C-101B-9397-08002B2CF9AE}" pid="33" name="PM_Note">
    <vt:lpwstr/>
  </property>
  <property fmtid="{D5CDD505-2E9C-101B-9397-08002B2CF9AE}" pid="34" name="PM_Markers">
    <vt:lpwstr/>
  </property>
  <property fmtid="{D5CDD505-2E9C-101B-9397-08002B2CF9AE}" pid="35" name="PM_OriginationTimeStamp">
    <vt:lpwstr>2023-05-01T23:31:15Z</vt:lpwstr>
  </property>
  <property fmtid="{D5CDD505-2E9C-101B-9397-08002B2CF9AE}" pid="36" name="PM_Hash_Version">
    <vt:lpwstr>2018.0</vt:lpwstr>
  </property>
  <property fmtid="{D5CDD505-2E9C-101B-9397-08002B2CF9AE}" pid="37" name="PM_Hash_Salt_Prev">
    <vt:lpwstr>EBC5B945DFED3201ACAA290577DB7609</vt:lpwstr>
  </property>
  <property fmtid="{D5CDD505-2E9C-101B-9397-08002B2CF9AE}" pid="38" name="PM_Hash_Salt">
    <vt:lpwstr>75C58FFAE16F070408DB686D22973FE9</vt:lpwstr>
  </property>
  <property fmtid="{D5CDD505-2E9C-101B-9397-08002B2CF9AE}" pid="39" name="PM_SecurityClassification_Prev">
    <vt:lpwstr>OFFICIAL</vt:lpwstr>
  </property>
  <property fmtid="{D5CDD505-2E9C-101B-9397-08002B2CF9AE}" pid="40" name="PM_Qualifier_Prev">
    <vt:lpwstr/>
  </property>
</Properties>
</file>