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9FB34" w14:textId="77777777" w:rsidR="00455494" w:rsidRPr="004B549A" w:rsidRDefault="00455494" w:rsidP="00455494">
      <w:pPr>
        <w:spacing w:before="0" w:after="240"/>
        <w:ind w:right="91"/>
        <w:jc w:val="center"/>
        <w:rPr>
          <w:rFonts w:ascii="Arial" w:hAnsi="Arial" w:cs="Arial"/>
          <w:b/>
          <w:szCs w:val="24"/>
          <w:u w:val="single"/>
        </w:rPr>
      </w:pPr>
      <w:r w:rsidRPr="004B549A">
        <w:rPr>
          <w:rFonts w:ascii="Arial" w:hAnsi="Arial" w:cs="Arial"/>
          <w:b/>
          <w:szCs w:val="24"/>
          <w:u w:val="single"/>
        </w:rPr>
        <w:t>EXPLANATORY STATEMENT</w:t>
      </w:r>
    </w:p>
    <w:p w14:paraId="13D6BD1B" w14:textId="77777777" w:rsidR="00455494" w:rsidRPr="004B549A" w:rsidRDefault="00455494" w:rsidP="00455494">
      <w:pPr>
        <w:spacing w:before="0" w:after="240"/>
        <w:ind w:right="91"/>
        <w:jc w:val="center"/>
        <w:rPr>
          <w:rFonts w:ascii="Arial" w:hAnsi="Arial" w:cs="Arial"/>
          <w:szCs w:val="24"/>
        </w:rPr>
      </w:pPr>
      <w:r w:rsidRPr="004B549A">
        <w:rPr>
          <w:rFonts w:ascii="Arial" w:hAnsi="Arial" w:cs="Arial"/>
          <w:szCs w:val="24"/>
        </w:rPr>
        <w:t>Issued by the authority of the Minister for Government Services</w:t>
      </w:r>
    </w:p>
    <w:p w14:paraId="302165AA" w14:textId="77777777" w:rsidR="00455494" w:rsidRPr="004B549A" w:rsidRDefault="00455494" w:rsidP="00455494">
      <w:pPr>
        <w:spacing w:before="0" w:after="240"/>
        <w:ind w:right="91"/>
        <w:jc w:val="center"/>
        <w:rPr>
          <w:rFonts w:ascii="Arial" w:hAnsi="Arial" w:cs="Arial"/>
          <w:i/>
          <w:szCs w:val="24"/>
        </w:rPr>
      </w:pPr>
      <w:r w:rsidRPr="004B549A">
        <w:rPr>
          <w:rFonts w:ascii="Arial" w:hAnsi="Arial" w:cs="Arial"/>
          <w:i/>
          <w:szCs w:val="24"/>
          <w:lang w:val="en-US"/>
        </w:rPr>
        <w:t>Human Services (Medicare) Act 1973</w:t>
      </w:r>
    </w:p>
    <w:p w14:paraId="0C45EEB9" w14:textId="77777777" w:rsidR="00455494" w:rsidRPr="004B549A" w:rsidRDefault="00455494" w:rsidP="00455494">
      <w:pPr>
        <w:spacing w:before="0" w:after="240"/>
        <w:ind w:right="91"/>
        <w:jc w:val="center"/>
        <w:rPr>
          <w:rFonts w:ascii="Arial" w:hAnsi="Arial" w:cs="Arial"/>
          <w:i/>
          <w:iCs/>
          <w:szCs w:val="24"/>
        </w:rPr>
      </w:pPr>
      <w:r w:rsidRPr="004B549A">
        <w:rPr>
          <w:rFonts w:ascii="Arial" w:hAnsi="Arial" w:cs="Arial"/>
          <w:i/>
          <w:iCs/>
          <w:szCs w:val="24"/>
        </w:rPr>
        <w:t>Human Services (Medicare) (Medicare Programs) Amendment Specification 2023</w:t>
      </w:r>
    </w:p>
    <w:p w14:paraId="71E3D904" w14:textId="77777777" w:rsidR="00455494" w:rsidRPr="004B549A" w:rsidRDefault="00455494" w:rsidP="00455494">
      <w:pPr>
        <w:spacing w:before="0" w:after="240"/>
        <w:ind w:right="91"/>
        <w:jc w:val="center"/>
        <w:rPr>
          <w:rFonts w:ascii="Arial" w:hAnsi="Arial" w:cs="Arial"/>
          <w:i/>
          <w:szCs w:val="24"/>
        </w:rPr>
      </w:pPr>
    </w:p>
    <w:p w14:paraId="4D0955EE" w14:textId="77777777" w:rsidR="00455494" w:rsidRPr="004B549A" w:rsidRDefault="00455494" w:rsidP="00455494">
      <w:pPr>
        <w:spacing w:before="0" w:after="240"/>
        <w:jc w:val="both"/>
        <w:rPr>
          <w:rStyle w:val="BookTitle"/>
          <w:rFonts w:ascii="Arial" w:hAnsi="Arial" w:cs="Arial"/>
          <w:i w:val="0"/>
          <w:iCs w:val="0"/>
          <w:smallCaps w:val="0"/>
          <w:spacing w:val="0"/>
          <w:szCs w:val="24"/>
        </w:rPr>
      </w:pPr>
      <w:r w:rsidRPr="004B549A">
        <w:rPr>
          <w:rStyle w:val="BookTitle"/>
          <w:rFonts w:ascii="Arial" w:hAnsi="Arial" w:cs="Arial"/>
          <w:b/>
          <w:i w:val="0"/>
          <w:iCs w:val="0"/>
          <w:smallCaps w:val="0"/>
          <w:spacing w:val="0"/>
          <w:szCs w:val="24"/>
        </w:rPr>
        <w:t>Purpose</w:t>
      </w:r>
    </w:p>
    <w:p w14:paraId="7A325F74" w14:textId="77777777" w:rsidR="00455494" w:rsidRPr="004B549A" w:rsidRDefault="00455494" w:rsidP="00455494">
      <w:pPr>
        <w:spacing w:before="0" w:after="240"/>
        <w:jc w:val="both"/>
        <w:rPr>
          <w:rFonts w:ascii="Arial" w:hAnsi="Arial" w:cs="Arial"/>
          <w:szCs w:val="24"/>
        </w:rPr>
      </w:pPr>
      <w:r w:rsidRPr="004B549A">
        <w:rPr>
          <w:rFonts w:ascii="Arial" w:hAnsi="Arial" w:cs="Arial"/>
          <w:szCs w:val="24"/>
        </w:rPr>
        <w:t xml:space="preserve">The </w:t>
      </w:r>
      <w:r w:rsidRPr="004B549A">
        <w:rPr>
          <w:rFonts w:ascii="Arial" w:hAnsi="Arial" w:cs="Arial"/>
          <w:iCs/>
          <w:szCs w:val="24"/>
        </w:rPr>
        <w:t>Human Services (Medicare) (Medicare Programs) Amendment Specification 2023</w:t>
      </w:r>
      <w:r w:rsidRPr="004B549A">
        <w:rPr>
          <w:rFonts w:ascii="Arial" w:hAnsi="Arial" w:cs="Arial"/>
          <w:szCs w:val="24"/>
        </w:rPr>
        <w:t xml:space="preserve"> (the Specification) is made for the purposes of paragraph 41G(b) of the </w:t>
      </w:r>
      <w:r w:rsidRPr="004B549A">
        <w:rPr>
          <w:rFonts w:ascii="Arial" w:hAnsi="Arial" w:cs="Arial"/>
          <w:i/>
          <w:szCs w:val="24"/>
        </w:rPr>
        <w:t>Human Services (Medicare) Act 1973</w:t>
      </w:r>
      <w:r w:rsidRPr="004B549A">
        <w:rPr>
          <w:rFonts w:ascii="Arial" w:hAnsi="Arial" w:cs="Arial"/>
          <w:szCs w:val="24"/>
        </w:rPr>
        <w:t xml:space="preserve"> (the Act), and amends the </w:t>
      </w:r>
      <w:r w:rsidRPr="004B549A">
        <w:rPr>
          <w:rFonts w:ascii="Arial" w:hAnsi="Arial" w:cs="Arial"/>
          <w:i/>
          <w:szCs w:val="24"/>
        </w:rPr>
        <w:t>Human Services (Medicare) (Medicare Programs) Specification 2021</w:t>
      </w:r>
      <w:r w:rsidRPr="004B549A">
        <w:rPr>
          <w:rFonts w:ascii="Arial" w:hAnsi="Arial" w:cs="Arial"/>
          <w:szCs w:val="24"/>
        </w:rPr>
        <w:t xml:space="preserve"> (the Principal Specification). </w:t>
      </w:r>
    </w:p>
    <w:p w14:paraId="7984D6BB" w14:textId="64F7C325" w:rsidR="00455494" w:rsidRPr="004B549A" w:rsidRDefault="00455494" w:rsidP="00455494">
      <w:pPr>
        <w:spacing w:before="0" w:after="240"/>
        <w:jc w:val="both"/>
        <w:rPr>
          <w:rStyle w:val="BookTitle"/>
          <w:rFonts w:ascii="Arial" w:hAnsi="Arial" w:cs="Arial"/>
          <w:i w:val="0"/>
          <w:iCs w:val="0"/>
          <w:smallCaps w:val="0"/>
          <w:spacing w:val="0"/>
          <w:szCs w:val="24"/>
        </w:rPr>
      </w:pPr>
      <w:r w:rsidRPr="004B549A">
        <w:rPr>
          <w:rStyle w:val="BookTitle"/>
          <w:rFonts w:ascii="Arial" w:hAnsi="Arial" w:cs="Arial"/>
          <w:i w:val="0"/>
          <w:iCs w:val="0"/>
          <w:smallCaps w:val="0"/>
          <w:spacing w:val="0"/>
          <w:szCs w:val="24"/>
        </w:rPr>
        <w:t xml:space="preserve">The Specification amends the Principal Specification to include the Australian General Practice Training Program (the AGPT Program) as a ‘medicare program’ for the purposes of paragraph 41G(b) of the Act.  </w:t>
      </w:r>
      <w:r w:rsidRPr="004B549A">
        <w:rPr>
          <w:rFonts w:ascii="Arial" w:hAnsi="Arial" w:cs="Arial"/>
          <w:szCs w:val="24"/>
        </w:rPr>
        <w:t xml:space="preserve">The AGPT Program is a component of the Health Workforce Program, which is </w:t>
      </w:r>
      <w:r w:rsidR="002C457C" w:rsidRPr="004B549A">
        <w:rPr>
          <w:rFonts w:ascii="Arial" w:hAnsi="Arial" w:cs="Arial"/>
          <w:szCs w:val="24"/>
        </w:rPr>
        <w:t xml:space="preserve">supported </w:t>
      </w:r>
      <w:r w:rsidRPr="004B549A">
        <w:rPr>
          <w:rFonts w:ascii="Arial" w:hAnsi="Arial" w:cs="Arial"/>
          <w:szCs w:val="24"/>
        </w:rPr>
        <w:t>by item 218 of the table in Part 4 of Schedule 1AB to the </w:t>
      </w:r>
      <w:r w:rsidRPr="004B549A">
        <w:rPr>
          <w:rFonts w:ascii="Arial" w:hAnsi="Arial" w:cs="Arial"/>
          <w:i/>
          <w:szCs w:val="24"/>
        </w:rPr>
        <w:t xml:space="preserve">Financial Framework (Supplementary Powers) Regulations 1997 </w:t>
      </w:r>
      <w:r w:rsidRPr="004B549A">
        <w:rPr>
          <w:rFonts w:ascii="Arial" w:hAnsi="Arial" w:cs="Arial"/>
          <w:szCs w:val="24"/>
        </w:rPr>
        <w:t>(the FF(SP) Regulations)</w:t>
      </w:r>
      <w:r w:rsidRPr="004B549A">
        <w:rPr>
          <w:rFonts w:ascii="Arial" w:hAnsi="Arial" w:cs="Arial"/>
          <w:i/>
          <w:szCs w:val="24"/>
        </w:rPr>
        <w:t>.</w:t>
      </w:r>
    </w:p>
    <w:p w14:paraId="782EABDB" w14:textId="77777777" w:rsidR="00455494" w:rsidRPr="004B549A" w:rsidRDefault="00455494" w:rsidP="00455494">
      <w:pPr>
        <w:spacing w:before="0" w:after="240"/>
        <w:jc w:val="both"/>
        <w:rPr>
          <w:rStyle w:val="BookTitle"/>
          <w:rFonts w:ascii="Arial" w:hAnsi="Arial" w:cs="Arial"/>
          <w:i w:val="0"/>
          <w:iCs w:val="0"/>
          <w:smallCaps w:val="0"/>
          <w:spacing w:val="0"/>
          <w:szCs w:val="24"/>
        </w:rPr>
      </w:pPr>
      <w:r w:rsidRPr="004B549A">
        <w:rPr>
          <w:rStyle w:val="BookTitle"/>
          <w:rFonts w:ascii="Arial" w:hAnsi="Arial" w:cs="Arial"/>
          <w:i w:val="0"/>
          <w:iCs w:val="0"/>
          <w:smallCaps w:val="0"/>
          <w:spacing w:val="0"/>
          <w:szCs w:val="24"/>
        </w:rPr>
        <w:t>Specifying the AGPT Program as a ‘medicare program’ will enable officers to record, communicate and divulge certain information protected by Commonwealth secrecy laws for the purposes of administering the AGPT Program.</w:t>
      </w:r>
      <w:r w:rsidRPr="004B549A" w:rsidDel="00D24120">
        <w:rPr>
          <w:rStyle w:val="BookTitle"/>
          <w:rFonts w:ascii="Arial" w:hAnsi="Arial" w:cs="Arial"/>
          <w:i w:val="0"/>
          <w:iCs w:val="0"/>
          <w:smallCaps w:val="0"/>
          <w:spacing w:val="0"/>
          <w:szCs w:val="24"/>
        </w:rPr>
        <w:t xml:space="preserve"> </w:t>
      </w:r>
    </w:p>
    <w:p w14:paraId="3183EE5D" w14:textId="77777777" w:rsidR="00455494" w:rsidRPr="004B549A" w:rsidRDefault="00455494" w:rsidP="00455494">
      <w:pPr>
        <w:spacing w:before="0" w:after="240"/>
        <w:jc w:val="both"/>
        <w:rPr>
          <w:rFonts w:ascii="Arial" w:hAnsi="Arial" w:cs="Arial"/>
          <w:b/>
          <w:szCs w:val="24"/>
        </w:rPr>
      </w:pPr>
      <w:r w:rsidRPr="004B549A">
        <w:rPr>
          <w:rStyle w:val="BookTitle"/>
          <w:rFonts w:ascii="Arial" w:hAnsi="Arial" w:cs="Arial"/>
          <w:b/>
          <w:i w:val="0"/>
          <w:iCs w:val="0"/>
          <w:smallCaps w:val="0"/>
          <w:spacing w:val="0"/>
          <w:szCs w:val="24"/>
        </w:rPr>
        <w:t>Background</w:t>
      </w:r>
    </w:p>
    <w:p w14:paraId="2D5C3EBA" w14:textId="10063DC8" w:rsidR="00455494" w:rsidRPr="004B549A" w:rsidRDefault="00455494" w:rsidP="00455494">
      <w:pPr>
        <w:spacing w:before="0" w:after="240"/>
        <w:jc w:val="both"/>
        <w:rPr>
          <w:rFonts w:ascii="Arial" w:hAnsi="Arial" w:cs="Arial"/>
          <w:szCs w:val="24"/>
        </w:rPr>
      </w:pPr>
      <w:r w:rsidRPr="004B549A">
        <w:rPr>
          <w:rFonts w:ascii="Arial" w:hAnsi="Arial" w:cs="Arial"/>
          <w:szCs w:val="24"/>
        </w:rPr>
        <w:t xml:space="preserve">Subsection 130(1) of the </w:t>
      </w:r>
      <w:r w:rsidRPr="004B549A">
        <w:rPr>
          <w:rFonts w:ascii="Arial" w:hAnsi="Arial" w:cs="Arial"/>
          <w:i/>
          <w:iCs/>
          <w:szCs w:val="24"/>
        </w:rPr>
        <w:t>Health Insurance Act 1973</w:t>
      </w:r>
      <w:r w:rsidRPr="004B549A">
        <w:rPr>
          <w:rFonts w:ascii="Arial" w:hAnsi="Arial" w:cs="Arial"/>
          <w:iCs/>
          <w:szCs w:val="24"/>
        </w:rPr>
        <w:t xml:space="preserve"> (</w:t>
      </w:r>
      <w:r w:rsidRPr="004B549A">
        <w:rPr>
          <w:rFonts w:ascii="Arial" w:hAnsi="Arial" w:cs="Arial"/>
          <w:szCs w:val="24"/>
        </w:rPr>
        <w:t xml:space="preserve">Health Insurance Act) prohibits a person from </w:t>
      </w:r>
      <w:r w:rsidR="002C457C" w:rsidRPr="004B549A">
        <w:rPr>
          <w:rFonts w:ascii="Arial" w:hAnsi="Arial" w:cs="Arial"/>
          <w:szCs w:val="24"/>
        </w:rPr>
        <w:t xml:space="preserve">making a </w:t>
      </w:r>
      <w:r w:rsidRPr="004B549A">
        <w:rPr>
          <w:rFonts w:ascii="Arial" w:hAnsi="Arial" w:cs="Arial"/>
          <w:szCs w:val="24"/>
        </w:rPr>
        <w:t>record</w:t>
      </w:r>
      <w:r w:rsidR="002C457C" w:rsidRPr="004B549A">
        <w:rPr>
          <w:rFonts w:ascii="Arial" w:hAnsi="Arial" w:cs="Arial"/>
          <w:szCs w:val="24"/>
        </w:rPr>
        <w:t xml:space="preserve"> of</w:t>
      </w:r>
      <w:r w:rsidRPr="004B549A">
        <w:rPr>
          <w:rFonts w:ascii="Arial" w:hAnsi="Arial" w:cs="Arial"/>
          <w:szCs w:val="24"/>
        </w:rPr>
        <w:t>, disclosing or communicating information about the affairs of a person obtained in the performance of duties, or exercise of functions or powers</w:t>
      </w:r>
      <w:r w:rsidR="002C457C" w:rsidRPr="004B549A">
        <w:rPr>
          <w:rFonts w:ascii="Arial" w:hAnsi="Arial" w:cs="Arial"/>
          <w:szCs w:val="24"/>
        </w:rPr>
        <w:t>,</w:t>
      </w:r>
      <w:r w:rsidRPr="004B549A">
        <w:rPr>
          <w:rFonts w:ascii="Arial" w:hAnsi="Arial" w:cs="Arial"/>
          <w:szCs w:val="24"/>
        </w:rPr>
        <w:t xml:space="preserve"> under that Act unless </w:t>
      </w:r>
      <w:r w:rsidR="002C457C" w:rsidRPr="004B549A">
        <w:rPr>
          <w:rFonts w:ascii="Arial" w:hAnsi="Arial" w:cs="Arial"/>
          <w:szCs w:val="24"/>
        </w:rPr>
        <w:t xml:space="preserve">an exception applies. This includes where </w:t>
      </w:r>
      <w:r w:rsidRPr="004B549A">
        <w:rPr>
          <w:rFonts w:ascii="Arial" w:hAnsi="Arial" w:cs="Arial"/>
          <w:szCs w:val="24"/>
        </w:rPr>
        <w:t>it is for the purpose of enabling a person to perform functions in relation to a ‘medicare program’.</w:t>
      </w:r>
    </w:p>
    <w:p w14:paraId="46DF3059" w14:textId="77777777" w:rsidR="00455494" w:rsidRPr="004B549A" w:rsidRDefault="00455494" w:rsidP="00455494">
      <w:pPr>
        <w:spacing w:before="0" w:after="240"/>
        <w:jc w:val="both"/>
        <w:rPr>
          <w:rFonts w:ascii="Arial" w:hAnsi="Arial" w:cs="Arial"/>
          <w:szCs w:val="24"/>
        </w:rPr>
      </w:pPr>
      <w:r w:rsidRPr="004B549A">
        <w:rPr>
          <w:rFonts w:ascii="Arial" w:hAnsi="Arial" w:cs="Arial"/>
          <w:szCs w:val="24"/>
        </w:rPr>
        <w:t>Section 41G of the Act defines ‘medicare programs’ as services, benefits, programs or facilities that are provided under certain health</w:t>
      </w:r>
      <w:r w:rsidRPr="004B549A">
        <w:rPr>
          <w:rFonts w:ascii="Arial" w:hAnsi="Arial" w:cs="Arial"/>
          <w:szCs w:val="24"/>
        </w:rPr>
        <w:noBreakHyphen/>
        <w:t xml:space="preserve">related legislation referred to in paragraph 41G(a) or that are specified in a legislative instrument made by the Minister under paragraph 41G(b). </w:t>
      </w:r>
    </w:p>
    <w:p w14:paraId="7B4EAACF" w14:textId="2046D9C7" w:rsidR="00455494" w:rsidRPr="004B549A" w:rsidRDefault="00455494" w:rsidP="00455494">
      <w:pPr>
        <w:spacing w:before="0" w:after="240"/>
        <w:jc w:val="both"/>
        <w:rPr>
          <w:rStyle w:val="BookTitle"/>
          <w:rFonts w:ascii="Arial" w:hAnsi="Arial" w:cs="Arial"/>
          <w:i w:val="0"/>
          <w:iCs w:val="0"/>
          <w:smallCaps w:val="0"/>
          <w:spacing w:val="0"/>
          <w:szCs w:val="24"/>
        </w:rPr>
      </w:pPr>
      <w:r w:rsidRPr="004B549A">
        <w:rPr>
          <w:rFonts w:ascii="Arial" w:hAnsi="Arial" w:cs="Arial"/>
          <w:szCs w:val="24"/>
        </w:rPr>
        <w:t xml:space="preserve">By defining ‘medicare programs’ to include programs specified </w:t>
      </w:r>
      <w:r w:rsidR="002C457C" w:rsidRPr="004B549A">
        <w:rPr>
          <w:rFonts w:ascii="Arial" w:hAnsi="Arial" w:cs="Arial"/>
          <w:szCs w:val="24"/>
        </w:rPr>
        <w:t>in</w:t>
      </w:r>
      <w:r w:rsidRPr="004B549A">
        <w:rPr>
          <w:rFonts w:ascii="Arial" w:hAnsi="Arial" w:cs="Arial"/>
          <w:szCs w:val="24"/>
        </w:rPr>
        <w:t xml:space="preserve"> a legislative instrument, section 41G pf the Act provides a mechanism for updating, from time to time, the list of medicare programs in relation to which information can be recorded  and disclosed.</w:t>
      </w:r>
    </w:p>
    <w:p w14:paraId="13FBB74C" w14:textId="77777777" w:rsidR="00455494" w:rsidRPr="004B549A" w:rsidRDefault="00455494" w:rsidP="00455494">
      <w:pPr>
        <w:spacing w:before="0" w:after="240"/>
        <w:jc w:val="both"/>
        <w:rPr>
          <w:rFonts w:ascii="Arial" w:hAnsi="Arial" w:cs="Arial"/>
          <w:szCs w:val="24"/>
        </w:rPr>
      </w:pPr>
      <w:r w:rsidRPr="004B549A">
        <w:rPr>
          <w:rStyle w:val="BookTitle"/>
          <w:rFonts w:ascii="Arial" w:hAnsi="Arial" w:cs="Arial"/>
          <w:iCs w:val="0"/>
          <w:smallCaps w:val="0"/>
          <w:spacing w:val="0"/>
          <w:szCs w:val="24"/>
        </w:rPr>
        <w:t>Australian General Practice Training Program</w:t>
      </w:r>
    </w:p>
    <w:p w14:paraId="3AB387E5" w14:textId="77777777" w:rsidR="00455494" w:rsidRPr="004B549A" w:rsidRDefault="00455494" w:rsidP="00455494">
      <w:pPr>
        <w:spacing w:before="0" w:after="240"/>
        <w:jc w:val="both"/>
        <w:rPr>
          <w:rFonts w:ascii="Arial" w:hAnsi="Arial" w:cs="Arial"/>
          <w:szCs w:val="24"/>
        </w:rPr>
      </w:pPr>
      <w:r w:rsidRPr="004B549A">
        <w:rPr>
          <w:rFonts w:ascii="Arial" w:hAnsi="Arial" w:cs="Arial"/>
          <w:szCs w:val="24"/>
        </w:rPr>
        <w:t>The AGPT Program supports the training of medical registrars in general practice by providing education and training through employed placements in training practices and offering incentives to train in regional, rural and remote areas.</w:t>
      </w:r>
    </w:p>
    <w:p w14:paraId="14713941" w14:textId="41AF1DA3" w:rsidR="00455494" w:rsidRPr="004B549A" w:rsidRDefault="00455494" w:rsidP="005775BF">
      <w:pPr>
        <w:spacing w:before="0" w:after="120"/>
        <w:jc w:val="both"/>
        <w:rPr>
          <w:rFonts w:ascii="Arial" w:hAnsi="Arial" w:cs="Arial"/>
          <w:szCs w:val="24"/>
        </w:rPr>
      </w:pPr>
      <w:r w:rsidRPr="004B549A">
        <w:rPr>
          <w:rFonts w:ascii="Arial" w:hAnsi="Arial" w:cs="Arial"/>
          <w:szCs w:val="24"/>
        </w:rPr>
        <w:lastRenderedPageBreak/>
        <w:t xml:space="preserve">From 1 February 2023, the day-to-day management of the AGPT Program </w:t>
      </w:r>
      <w:r w:rsidR="002C457C" w:rsidRPr="004B549A">
        <w:rPr>
          <w:rFonts w:ascii="Arial" w:hAnsi="Arial" w:cs="Arial"/>
          <w:szCs w:val="24"/>
        </w:rPr>
        <w:t>transferred</w:t>
      </w:r>
      <w:r w:rsidRPr="004B549A">
        <w:rPr>
          <w:rFonts w:ascii="Arial" w:hAnsi="Arial" w:cs="Arial"/>
          <w:szCs w:val="24"/>
        </w:rPr>
        <w:t xml:space="preserve"> from the Department of Health and Aged Care to be jointly led by the Royal Australian College of General Practitioners and the Australian College of Rural and Remote Medicine (the training colleges). Under this new model, the training colleges will select, train, educate, assess and support </w:t>
      </w:r>
      <w:r w:rsidR="002C457C" w:rsidRPr="004B549A">
        <w:rPr>
          <w:rFonts w:ascii="Arial" w:hAnsi="Arial" w:cs="Arial"/>
          <w:szCs w:val="24"/>
        </w:rPr>
        <w:t>r</w:t>
      </w:r>
      <w:r w:rsidRPr="004B549A">
        <w:rPr>
          <w:rFonts w:ascii="Arial" w:hAnsi="Arial" w:cs="Arial"/>
          <w:szCs w:val="24"/>
        </w:rPr>
        <w:t>egistrars through fellowship. The AGPT Program will continue to provide a range of payments including</w:t>
      </w:r>
      <w:r w:rsidR="002C457C" w:rsidRPr="004B549A">
        <w:rPr>
          <w:rFonts w:ascii="Arial" w:hAnsi="Arial" w:cs="Arial"/>
          <w:szCs w:val="24"/>
        </w:rPr>
        <w:t xml:space="preserve"> payments to</w:t>
      </w:r>
      <w:r w:rsidRPr="004B549A">
        <w:rPr>
          <w:rFonts w:ascii="Arial" w:hAnsi="Arial" w:cs="Arial"/>
          <w:szCs w:val="24"/>
        </w:rPr>
        <w:t xml:space="preserve">: </w:t>
      </w:r>
    </w:p>
    <w:p w14:paraId="56AE3D04" w14:textId="217D8F7E" w:rsidR="00455494" w:rsidRPr="004B549A" w:rsidRDefault="00455494" w:rsidP="005775BF">
      <w:pPr>
        <w:pStyle w:val="ListParagraph"/>
        <w:numPr>
          <w:ilvl w:val="0"/>
          <w:numId w:val="26"/>
        </w:numPr>
        <w:spacing w:before="120"/>
        <w:ind w:left="714" w:hanging="357"/>
        <w:contextualSpacing w:val="0"/>
        <w:jc w:val="both"/>
        <w:rPr>
          <w:rFonts w:ascii="Arial" w:hAnsi="Arial" w:cs="Arial"/>
          <w:szCs w:val="24"/>
        </w:rPr>
      </w:pPr>
      <w:r w:rsidRPr="004B549A">
        <w:rPr>
          <w:rFonts w:ascii="Arial" w:hAnsi="Arial" w:cs="Arial"/>
          <w:szCs w:val="24"/>
        </w:rPr>
        <w:t xml:space="preserve">general practices to compensate for the </w:t>
      </w:r>
      <w:r w:rsidR="00DC0C00" w:rsidRPr="004B549A">
        <w:rPr>
          <w:rFonts w:ascii="Arial" w:hAnsi="Arial" w:cs="Arial"/>
          <w:szCs w:val="24"/>
        </w:rPr>
        <w:t xml:space="preserve">expense </w:t>
      </w:r>
      <w:r w:rsidRPr="004B549A">
        <w:rPr>
          <w:rFonts w:ascii="Arial" w:hAnsi="Arial" w:cs="Arial"/>
          <w:szCs w:val="24"/>
        </w:rPr>
        <w:t>of training registrars</w:t>
      </w:r>
    </w:p>
    <w:p w14:paraId="7567AA73" w14:textId="68F6A7B8" w:rsidR="00455494" w:rsidRPr="004B549A" w:rsidRDefault="00455494" w:rsidP="005775BF">
      <w:pPr>
        <w:pStyle w:val="ListParagraph"/>
        <w:numPr>
          <w:ilvl w:val="0"/>
          <w:numId w:val="26"/>
        </w:numPr>
        <w:spacing w:before="120"/>
        <w:ind w:left="714" w:hanging="357"/>
        <w:contextualSpacing w:val="0"/>
        <w:jc w:val="both"/>
        <w:rPr>
          <w:rFonts w:ascii="Arial" w:hAnsi="Arial" w:cs="Arial"/>
          <w:szCs w:val="24"/>
        </w:rPr>
      </w:pPr>
      <w:r w:rsidRPr="004B549A">
        <w:rPr>
          <w:rFonts w:ascii="Arial" w:hAnsi="Arial" w:cs="Arial"/>
          <w:szCs w:val="24"/>
        </w:rPr>
        <w:t>Aboriginal Medical Services and Aboriginal Community Controlled Health Services to support training opportunities for general practice registrars in Aboriginal health training</w:t>
      </w:r>
    </w:p>
    <w:p w14:paraId="2503027A" w14:textId="0FECCE5D" w:rsidR="00455494" w:rsidRPr="004B549A" w:rsidRDefault="00455494" w:rsidP="005775BF">
      <w:pPr>
        <w:pStyle w:val="ListParagraph"/>
        <w:numPr>
          <w:ilvl w:val="0"/>
          <w:numId w:val="26"/>
        </w:numPr>
        <w:spacing w:before="120"/>
        <w:ind w:left="714" w:hanging="357"/>
        <w:contextualSpacing w:val="0"/>
        <w:jc w:val="both"/>
        <w:rPr>
          <w:rFonts w:ascii="Arial" w:hAnsi="Arial" w:cs="Arial"/>
          <w:szCs w:val="24"/>
        </w:rPr>
      </w:pPr>
      <w:r w:rsidRPr="004B549A">
        <w:rPr>
          <w:rFonts w:ascii="Arial" w:hAnsi="Arial" w:cs="Arial"/>
          <w:szCs w:val="24"/>
        </w:rPr>
        <w:t>supervisors to compensate for teaching and training registrars</w:t>
      </w:r>
      <w:r w:rsidR="002C457C" w:rsidRPr="004B549A">
        <w:rPr>
          <w:rFonts w:ascii="Arial" w:hAnsi="Arial" w:cs="Arial"/>
          <w:szCs w:val="24"/>
        </w:rPr>
        <w:t xml:space="preserve"> </w:t>
      </w:r>
    </w:p>
    <w:p w14:paraId="5878F742" w14:textId="6353F3AA" w:rsidR="00455494" w:rsidRPr="004B549A" w:rsidRDefault="00455494" w:rsidP="005775BF">
      <w:pPr>
        <w:pStyle w:val="ListParagraph"/>
        <w:numPr>
          <w:ilvl w:val="0"/>
          <w:numId w:val="26"/>
        </w:numPr>
        <w:spacing w:before="120"/>
        <w:ind w:left="714" w:hanging="357"/>
        <w:contextualSpacing w:val="0"/>
        <w:jc w:val="both"/>
        <w:rPr>
          <w:rFonts w:ascii="Arial" w:hAnsi="Arial" w:cs="Arial"/>
          <w:szCs w:val="24"/>
        </w:rPr>
      </w:pPr>
      <w:r w:rsidRPr="004B549A">
        <w:rPr>
          <w:rFonts w:ascii="Arial" w:hAnsi="Arial" w:cs="Arial"/>
          <w:szCs w:val="24"/>
        </w:rPr>
        <w:t xml:space="preserve">registrars to support relocation and education related expenses. </w:t>
      </w:r>
    </w:p>
    <w:p w14:paraId="33B27FB6" w14:textId="77777777" w:rsidR="00455494" w:rsidRPr="004B549A" w:rsidRDefault="00455494" w:rsidP="00455494">
      <w:pPr>
        <w:spacing w:before="0"/>
        <w:jc w:val="both"/>
        <w:rPr>
          <w:rFonts w:ascii="Arial" w:hAnsi="Arial" w:cs="Arial"/>
          <w:szCs w:val="24"/>
        </w:rPr>
      </w:pPr>
    </w:p>
    <w:p w14:paraId="6E852079" w14:textId="7610DDFD" w:rsidR="00774756" w:rsidRPr="004B549A" w:rsidRDefault="00455494" w:rsidP="00455494">
      <w:pPr>
        <w:spacing w:before="0"/>
        <w:jc w:val="both"/>
        <w:rPr>
          <w:rFonts w:ascii="Arial" w:hAnsi="Arial" w:cs="Arial"/>
          <w:szCs w:val="24"/>
        </w:rPr>
      </w:pPr>
      <w:r w:rsidRPr="004B549A">
        <w:rPr>
          <w:rFonts w:ascii="Arial" w:hAnsi="Arial" w:cs="Arial"/>
          <w:szCs w:val="24"/>
        </w:rPr>
        <w:t xml:space="preserve">Medical practitioners who undertake the AGPT Program </w:t>
      </w:r>
      <w:r w:rsidR="00DC0C00" w:rsidRPr="004B549A">
        <w:rPr>
          <w:rFonts w:ascii="Arial" w:hAnsi="Arial" w:cs="Arial"/>
          <w:szCs w:val="24"/>
        </w:rPr>
        <w:t>are</w:t>
      </w:r>
      <w:r w:rsidRPr="004B549A">
        <w:rPr>
          <w:rFonts w:ascii="Arial" w:hAnsi="Arial" w:cs="Arial"/>
          <w:szCs w:val="24"/>
        </w:rPr>
        <w:t xml:space="preserve"> eligible for registration in approved placements under section 3GA of the </w:t>
      </w:r>
      <w:r w:rsidRPr="004B549A">
        <w:rPr>
          <w:rFonts w:ascii="Arial" w:hAnsi="Arial" w:cs="Arial"/>
          <w:iCs/>
          <w:szCs w:val="24"/>
        </w:rPr>
        <w:t>Health Insurance Act</w:t>
      </w:r>
      <w:r w:rsidRPr="004B549A">
        <w:rPr>
          <w:rFonts w:ascii="Arial" w:hAnsi="Arial" w:cs="Arial"/>
          <w:szCs w:val="24"/>
        </w:rPr>
        <w:t xml:space="preserve">, enabling payment of </w:t>
      </w:r>
      <w:r w:rsidR="007962CF" w:rsidRPr="004B549A">
        <w:rPr>
          <w:rFonts w:ascii="Arial" w:hAnsi="Arial" w:cs="Arial"/>
          <w:szCs w:val="24"/>
        </w:rPr>
        <w:t>Medicare</w:t>
      </w:r>
      <w:r w:rsidRPr="004B549A">
        <w:rPr>
          <w:rFonts w:ascii="Arial" w:hAnsi="Arial" w:cs="Arial"/>
          <w:szCs w:val="24"/>
        </w:rPr>
        <w:t xml:space="preserve"> benefits for professional services rendered by those practitioners. </w:t>
      </w:r>
    </w:p>
    <w:p w14:paraId="4352B5EF" w14:textId="77777777" w:rsidR="00774756" w:rsidRPr="004B549A" w:rsidRDefault="00774756" w:rsidP="00455494">
      <w:pPr>
        <w:spacing w:before="0"/>
        <w:jc w:val="both"/>
        <w:rPr>
          <w:rFonts w:ascii="Arial" w:hAnsi="Arial" w:cs="Arial"/>
          <w:szCs w:val="24"/>
        </w:rPr>
      </w:pPr>
    </w:p>
    <w:p w14:paraId="61DA2FB3" w14:textId="267A77CD" w:rsidR="00455494" w:rsidRPr="004B549A" w:rsidRDefault="00455494" w:rsidP="00455494">
      <w:pPr>
        <w:spacing w:before="0"/>
        <w:jc w:val="both"/>
        <w:rPr>
          <w:rFonts w:ascii="Arial" w:hAnsi="Arial" w:cs="Arial"/>
          <w:szCs w:val="24"/>
        </w:rPr>
      </w:pPr>
      <w:r w:rsidRPr="004B549A">
        <w:rPr>
          <w:rFonts w:ascii="Arial" w:hAnsi="Arial" w:cs="Arial"/>
          <w:szCs w:val="24"/>
        </w:rPr>
        <w:t xml:space="preserve">The AGTP Program is specified in section 26 of the </w:t>
      </w:r>
      <w:r w:rsidRPr="004B549A">
        <w:rPr>
          <w:rFonts w:ascii="Arial" w:hAnsi="Arial" w:cs="Arial"/>
          <w:i/>
          <w:iCs/>
          <w:szCs w:val="24"/>
        </w:rPr>
        <w:t>Health Insurance Regulations 2018</w:t>
      </w:r>
      <w:r w:rsidRPr="004B549A">
        <w:rPr>
          <w:rFonts w:ascii="Arial" w:hAnsi="Arial" w:cs="Arial"/>
          <w:szCs w:val="24"/>
        </w:rPr>
        <w:t xml:space="preserve"> for the purposes of paragraph 3GA(5)(a) of the Health Insurance Act.</w:t>
      </w:r>
    </w:p>
    <w:p w14:paraId="0A64C3EB" w14:textId="77777777" w:rsidR="00455494" w:rsidRPr="004B549A" w:rsidRDefault="00455494" w:rsidP="00455494">
      <w:pPr>
        <w:spacing w:before="0"/>
        <w:jc w:val="both"/>
        <w:rPr>
          <w:rFonts w:ascii="Arial" w:hAnsi="Arial" w:cs="Arial"/>
          <w:szCs w:val="24"/>
        </w:rPr>
      </w:pPr>
    </w:p>
    <w:p w14:paraId="56BCB256" w14:textId="77777777" w:rsidR="00455494" w:rsidRPr="004B549A" w:rsidRDefault="00455494" w:rsidP="00455494">
      <w:pPr>
        <w:spacing w:before="0" w:after="240"/>
        <w:jc w:val="both"/>
        <w:rPr>
          <w:rFonts w:ascii="Arial" w:hAnsi="Arial" w:cs="Arial"/>
          <w:i/>
          <w:szCs w:val="24"/>
        </w:rPr>
      </w:pPr>
      <w:r w:rsidRPr="004B549A">
        <w:rPr>
          <w:rFonts w:ascii="Arial" w:hAnsi="Arial" w:cs="Arial"/>
          <w:i/>
          <w:szCs w:val="24"/>
        </w:rPr>
        <w:t>Information sharing</w:t>
      </w:r>
    </w:p>
    <w:p w14:paraId="20126E47" w14:textId="77777777" w:rsidR="00455494" w:rsidRPr="004B549A" w:rsidRDefault="00455494" w:rsidP="00455494">
      <w:pPr>
        <w:spacing w:before="0" w:after="240"/>
        <w:jc w:val="both"/>
        <w:rPr>
          <w:rFonts w:ascii="Arial" w:hAnsi="Arial" w:cs="Arial"/>
          <w:szCs w:val="24"/>
        </w:rPr>
      </w:pPr>
      <w:r w:rsidRPr="004B549A">
        <w:rPr>
          <w:rFonts w:ascii="Arial" w:hAnsi="Arial" w:cs="Arial"/>
          <w:szCs w:val="24"/>
        </w:rPr>
        <w:t xml:space="preserve">Under the new college-led training model, the training colleges will supply information to Services Australia so that Services Australia can make relevant payments on behalf of the Department of Health and Aged Care. </w:t>
      </w:r>
    </w:p>
    <w:p w14:paraId="7E1D55E2" w14:textId="002122B5" w:rsidR="00455494" w:rsidRPr="004B549A" w:rsidRDefault="00455494" w:rsidP="00455494">
      <w:pPr>
        <w:spacing w:before="0" w:after="240"/>
        <w:jc w:val="both"/>
        <w:rPr>
          <w:rFonts w:ascii="Arial" w:hAnsi="Arial" w:cs="Arial"/>
          <w:szCs w:val="24"/>
        </w:rPr>
      </w:pPr>
      <w:r w:rsidRPr="004B549A">
        <w:rPr>
          <w:rFonts w:ascii="Arial" w:hAnsi="Arial" w:cs="Arial"/>
          <w:szCs w:val="24"/>
        </w:rPr>
        <w:t>Services Australia will collect and make a record of ‘protected information’ within the meaning of the Health Insurance Act</w:t>
      </w:r>
      <w:r w:rsidRPr="004B549A">
        <w:rPr>
          <w:rFonts w:ascii="Arial" w:hAnsi="Arial" w:cs="Arial"/>
          <w:i/>
          <w:szCs w:val="24"/>
        </w:rPr>
        <w:t xml:space="preserve"> </w:t>
      </w:r>
      <w:r w:rsidRPr="004B549A">
        <w:rPr>
          <w:rFonts w:ascii="Arial" w:hAnsi="Arial" w:cs="Arial"/>
          <w:szCs w:val="24"/>
        </w:rPr>
        <w:t xml:space="preserve">(including Registrar and Supervisor </w:t>
      </w:r>
      <w:r w:rsidR="007962CF" w:rsidRPr="004B549A">
        <w:rPr>
          <w:rFonts w:ascii="Arial" w:hAnsi="Arial" w:cs="Arial"/>
          <w:szCs w:val="24"/>
        </w:rPr>
        <w:t>Medicare</w:t>
      </w:r>
      <w:r w:rsidRPr="004B549A">
        <w:rPr>
          <w:rFonts w:ascii="Arial" w:hAnsi="Arial" w:cs="Arial"/>
          <w:szCs w:val="24"/>
        </w:rPr>
        <w:t xml:space="preserve"> provider numbers (MPNs) and Medicare STEMs) when the following occurs:</w:t>
      </w:r>
    </w:p>
    <w:p w14:paraId="4674B2DE" w14:textId="77777777" w:rsidR="00455494" w:rsidRPr="004B549A" w:rsidRDefault="00455494" w:rsidP="00455494">
      <w:pPr>
        <w:pStyle w:val="ListParagraph"/>
        <w:numPr>
          <w:ilvl w:val="0"/>
          <w:numId w:val="27"/>
        </w:numPr>
        <w:spacing w:before="0" w:after="240"/>
        <w:jc w:val="both"/>
        <w:rPr>
          <w:rFonts w:ascii="Arial" w:hAnsi="Arial" w:cs="Arial"/>
          <w:szCs w:val="24"/>
        </w:rPr>
      </w:pPr>
      <w:r w:rsidRPr="004B549A">
        <w:rPr>
          <w:rFonts w:ascii="Arial" w:hAnsi="Arial" w:cs="Arial"/>
          <w:szCs w:val="24"/>
        </w:rPr>
        <w:t>a registrar or supervisor registers for GP training payments</w:t>
      </w:r>
    </w:p>
    <w:p w14:paraId="05FEBA8E" w14:textId="77777777" w:rsidR="00455494" w:rsidRPr="004B549A" w:rsidRDefault="00455494" w:rsidP="00455494">
      <w:pPr>
        <w:pStyle w:val="ListParagraph"/>
        <w:numPr>
          <w:ilvl w:val="0"/>
          <w:numId w:val="27"/>
        </w:numPr>
        <w:spacing w:before="0" w:after="240"/>
        <w:jc w:val="both"/>
        <w:rPr>
          <w:rFonts w:ascii="Arial" w:hAnsi="Arial" w:cs="Arial"/>
          <w:szCs w:val="24"/>
        </w:rPr>
      </w:pPr>
      <w:r w:rsidRPr="004B549A">
        <w:rPr>
          <w:rFonts w:ascii="Arial" w:hAnsi="Arial" w:cs="Arial"/>
          <w:szCs w:val="24"/>
        </w:rPr>
        <w:t>Services Australia creates internal reports about GP training payments that include such information.</w:t>
      </w:r>
    </w:p>
    <w:p w14:paraId="18478D24" w14:textId="6D1628FB" w:rsidR="00455494" w:rsidRPr="004B549A" w:rsidRDefault="00455494" w:rsidP="00455494">
      <w:pPr>
        <w:spacing w:before="0" w:after="240"/>
        <w:jc w:val="both"/>
        <w:rPr>
          <w:rFonts w:ascii="Arial" w:hAnsi="Arial" w:cs="Arial"/>
          <w:szCs w:val="24"/>
        </w:rPr>
      </w:pPr>
      <w:r w:rsidRPr="004B549A">
        <w:rPr>
          <w:rFonts w:ascii="Arial" w:hAnsi="Arial" w:cs="Arial"/>
          <w:szCs w:val="24"/>
        </w:rPr>
        <w:t>Services Australia</w:t>
      </w:r>
      <w:r w:rsidR="002C457C" w:rsidRPr="004B549A">
        <w:rPr>
          <w:rFonts w:ascii="Arial" w:hAnsi="Arial" w:cs="Arial"/>
          <w:szCs w:val="24"/>
        </w:rPr>
        <w:t xml:space="preserve"> officers</w:t>
      </w:r>
      <w:r w:rsidRPr="004B549A">
        <w:rPr>
          <w:rFonts w:ascii="Arial" w:hAnsi="Arial" w:cs="Arial"/>
          <w:szCs w:val="24"/>
        </w:rPr>
        <w:t xml:space="preserve"> will use and disclose ‘protected information’ within the meaning of the section 130 of the Health Insurance Act (such as registrar and supervisor MPNs and Medicare </w:t>
      </w:r>
      <w:r w:rsidR="009E6861" w:rsidRPr="004B549A">
        <w:rPr>
          <w:rFonts w:ascii="Arial" w:hAnsi="Arial" w:cs="Arial"/>
          <w:szCs w:val="24"/>
        </w:rPr>
        <w:t>STEMS</w:t>
      </w:r>
      <w:r w:rsidRPr="004B549A">
        <w:rPr>
          <w:rFonts w:ascii="Arial" w:hAnsi="Arial" w:cs="Arial"/>
          <w:szCs w:val="24"/>
        </w:rPr>
        <w:t xml:space="preserve">) </w:t>
      </w:r>
      <w:r w:rsidR="009E6861" w:rsidRPr="004B549A">
        <w:rPr>
          <w:rFonts w:ascii="Arial" w:hAnsi="Arial" w:cs="Arial"/>
          <w:szCs w:val="24"/>
        </w:rPr>
        <w:t>in the course of</w:t>
      </w:r>
      <w:r w:rsidRPr="004B549A">
        <w:rPr>
          <w:rFonts w:ascii="Arial" w:hAnsi="Arial" w:cs="Arial"/>
          <w:szCs w:val="24"/>
        </w:rPr>
        <w:t>:</w:t>
      </w:r>
    </w:p>
    <w:p w14:paraId="0BFE505C" w14:textId="1A18E750" w:rsidR="00455494" w:rsidRPr="004B549A" w:rsidRDefault="009E6861" w:rsidP="00455494">
      <w:pPr>
        <w:pStyle w:val="ListParagraph"/>
        <w:numPr>
          <w:ilvl w:val="0"/>
          <w:numId w:val="28"/>
        </w:numPr>
        <w:spacing w:before="0" w:after="240"/>
        <w:jc w:val="both"/>
        <w:rPr>
          <w:rFonts w:ascii="Arial" w:hAnsi="Arial" w:cs="Arial"/>
          <w:szCs w:val="24"/>
        </w:rPr>
      </w:pPr>
      <w:r w:rsidRPr="004B549A">
        <w:rPr>
          <w:rFonts w:ascii="Arial" w:hAnsi="Arial" w:cs="Arial"/>
          <w:szCs w:val="24"/>
        </w:rPr>
        <w:t xml:space="preserve">verifying information </w:t>
      </w:r>
      <w:r w:rsidR="00455494" w:rsidRPr="004B549A">
        <w:rPr>
          <w:rFonts w:ascii="Arial" w:hAnsi="Arial" w:cs="Arial"/>
          <w:szCs w:val="24"/>
        </w:rPr>
        <w:t xml:space="preserve">against a </w:t>
      </w:r>
      <w:r w:rsidRPr="004B549A">
        <w:rPr>
          <w:rFonts w:ascii="Arial" w:hAnsi="Arial" w:cs="Arial"/>
          <w:szCs w:val="24"/>
        </w:rPr>
        <w:t>r</w:t>
      </w:r>
      <w:r w:rsidR="00455494" w:rsidRPr="004B549A">
        <w:rPr>
          <w:rFonts w:ascii="Arial" w:hAnsi="Arial" w:cs="Arial"/>
          <w:szCs w:val="24"/>
        </w:rPr>
        <w:t>egistrar</w:t>
      </w:r>
      <w:r w:rsidRPr="004B549A">
        <w:rPr>
          <w:rFonts w:ascii="Arial" w:hAnsi="Arial" w:cs="Arial"/>
          <w:szCs w:val="24"/>
        </w:rPr>
        <w:t>’s</w:t>
      </w:r>
      <w:r w:rsidR="00455494" w:rsidRPr="004B549A">
        <w:rPr>
          <w:rFonts w:ascii="Arial" w:hAnsi="Arial" w:cs="Arial"/>
          <w:szCs w:val="24"/>
        </w:rPr>
        <w:t xml:space="preserve"> or </w:t>
      </w:r>
      <w:r w:rsidRPr="004B549A">
        <w:rPr>
          <w:rFonts w:ascii="Arial" w:hAnsi="Arial" w:cs="Arial"/>
          <w:szCs w:val="24"/>
        </w:rPr>
        <w:t>s</w:t>
      </w:r>
      <w:r w:rsidR="00455494" w:rsidRPr="004B549A">
        <w:rPr>
          <w:rFonts w:ascii="Arial" w:hAnsi="Arial" w:cs="Arial"/>
          <w:szCs w:val="24"/>
        </w:rPr>
        <w:t>upervisor</w:t>
      </w:r>
      <w:r w:rsidRPr="004B549A">
        <w:rPr>
          <w:rFonts w:ascii="Arial" w:hAnsi="Arial" w:cs="Arial"/>
          <w:szCs w:val="24"/>
        </w:rPr>
        <w:t>’</w:t>
      </w:r>
      <w:r w:rsidR="00455494" w:rsidRPr="004B549A">
        <w:rPr>
          <w:rFonts w:ascii="Arial" w:hAnsi="Arial" w:cs="Arial"/>
          <w:szCs w:val="24"/>
        </w:rPr>
        <w:t>s Medicare record in the system and</w:t>
      </w:r>
    </w:p>
    <w:p w14:paraId="365D8854" w14:textId="6396C504" w:rsidR="00455494" w:rsidRPr="004B549A" w:rsidRDefault="00455494" w:rsidP="00455494">
      <w:pPr>
        <w:pStyle w:val="ListParagraph"/>
        <w:numPr>
          <w:ilvl w:val="0"/>
          <w:numId w:val="28"/>
        </w:numPr>
        <w:spacing w:before="0" w:after="240"/>
        <w:jc w:val="both"/>
        <w:rPr>
          <w:rFonts w:ascii="Arial" w:hAnsi="Arial" w:cs="Arial"/>
          <w:szCs w:val="24"/>
        </w:rPr>
      </w:pPr>
      <w:r w:rsidRPr="004B549A">
        <w:rPr>
          <w:rFonts w:ascii="Arial" w:hAnsi="Arial" w:cs="Arial"/>
          <w:szCs w:val="24"/>
        </w:rPr>
        <w:t>shar</w:t>
      </w:r>
      <w:r w:rsidR="009E6861" w:rsidRPr="004B549A">
        <w:rPr>
          <w:rFonts w:ascii="Arial" w:hAnsi="Arial" w:cs="Arial"/>
          <w:szCs w:val="24"/>
        </w:rPr>
        <w:t>ing</w:t>
      </w:r>
      <w:r w:rsidRPr="004B549A">
        <w:rPr>
          <w:rFonts w:ascii="Arial" w:hAnsi="Arial" w:cs="Arial"/>
          <w:szCs w:val="24"/>
        </w:rPr>
        <w:t xml:space="preserve"> GP training payments reports, including Registrar and Supervisor MPNs and Medicare </w:t>
      </w:r>
      <w:r w:rsidR="009E6861" w:rsidRPr="004B549A">
        <w:rPr>
          <w:rFonts w:ascii="Arial" w:hAnsi="Arial" w:cs="Arial"/>
          <w:szCs w:val="24"/>
        </w:rPr>
        <w:t>STEMs</w:t>
      </w:r>
      <w:r w:rsidRPr="004B549A">
        <w:rPr>
          <w:rFonts w:ascii="Arial" w:hAnsi="Arial" w:cs="Arial"/>
          <w:szCs w:val="24"/>
        </w:rPr>
        <w:t>.</w:t>
      </w:r>
    </w:p>
    <w:p w14:paraId="3D43CD1E" w14:textId="77777777" w:rsidR="00455494" w:rsidRPr="004B549A" w:rsidRDefault="00455494" w:rsidP="00455494">
      <w:pPr>
        <w:keepNext/>
        <w:spacing w:before="0" w:after="240"/>
        <w:jc w:val="both"/>
        <w:rPr>
          <w:rStyle w:val="BookTitle"/>
          <w:rFonts w:ascii="Arial" w:hAnsi="Arial" w:cs="Arial"/>
          <w:i w:val="0"/>
          <w:iCs w:val="0"/>
          <w:smallCaps w:val="0"/>
          <w:spacing w:val="0"/>
          <w:szCs w:val="24"/>
        </w:rPr>
      </w:pPr>
      <w:r w:rsidRPr="004B549A">
        <w:rPr>
          <w:rStyle w:val="BookTitle"/>
          <w:rFonts w:ascii="Arial" w:hAnsi="Arial" w:cs="Arial"/>
          <w:b/>
          <w:i w:val="0"/>
          <w:iCs w:val="0"/>
          <w:smallCaps w:val="0"/>
          <w:spacing w:val="0"/>
          <w:szCs w:val="24"/>
        </w:rPr>
        <w:t xml:space="preserve">Commencement </w:t>
      </w:r>
    </w:p>
    <w:p w14:paraId="6D20C020" w14:textId="77777777" w:rsidR="00455494" w:rsidRPr="004B549A" w:rsidRDefault="00455494" w:rsidP="00455494">
      <w:pPr>
        <w:spacing w:before="0" w:after="240"/>
        <w:jc w:val="both"/>
        <w:rPr>
          <w:rFonts w:ascii="Arial" w:hAnsi="Arial" w:cs="Arial"/>
          <w:szCs w:val="24"/>
        </w:rPr>
      </w:pPr>
      <w:r w:rsidRPr="004B549A">
        <w:rPr>
          <w:rFonts w:ascii="Arial" w:hAnsi="Arial" w:cs="Arial"/>
          <w:szCs w:val="24"/>
        </w:rPr>
        <w:t xml:space="preserve">The Specification commences the day after registration on the Federal Register of Legislation.  </w:t>
      </w:r>
    </w:p>
    <w:p w14:paraId="1C778FBA" w14:textId="77777777" w:rsidR="00455494" w:rsidRPr="004B549A" w:rsidRDefault="00455494" w:rsidP="00455494">
      <w:pPr>
        <w:keepNext/>
        <w:spacing w:before="0" w:after="240"/>
        <w:jc w:val="both"/>
        <w:rPr>
          <w:rStyle w:val="BookTitle"/>
          <w:rFonts w:ascii="Arial" w:hAnsi="Arial" w:cs="Arial"/>
          <w:b/>
          <w:i w:val="0"/>
          <w:iCs w:val="0"/>
          <w:smallCaps w:val="0"/>
          <w:spacing w:val="0"/>
          <w:szCs w:val="24"/>
        </w:rPr>
      </w:pPr>
      <w:r w:rsidRPr="004B549A">
        <w:rPr>
          <w:rStyle w:val="BookTitle"/>
          <w:rFonts w:ascii="Arial" w:hAnsi="Arial" w:cs="Arial"/>
          <w:b/>
          <w:i w:val="0"/>
          <w:iCs w:val="0"/>
          <w:smallCaps w:val="0"/>
          <w:spacing w:val="0"/>
          <w:szCs w:val="24"/>
        </w:rPr>
        <w:lastRenderedPageBreak/>
        <w:t>Consultation</w:t>
      </w:r>
    </w:p>
    <w:p w14:paraId="31D18F0A" w14:textId="66D33374" w:rsidR="00455494" w:rsidRPr="004B549A" w:rsidRDefault="00455494" w:rsidP="00455494">
      <w:pPr>
        <w:spacing w:before="0" w:after="240"/>
        <w:jc w:val="both"/>
        <w:rPr>
          <w:rFonts w:ascii="Arial" w:hAnsi="Arial" w:cs="Arial"/>
          <w:szCs w:val="24"/>
        </w:rPr>
      </w:pPr>
      <w:r w:rsidRPr="004B549A">
        <w:rPr>
          <w:rFonts w:ascii="Arial" w:hAnsi="Arial" w:cs="Arial"/>
          <w:szCs w:val="24"/>
        </w:rPr>
        <w:t>The Specification ensures that the recording and disclosure of Medicare provider information for the purposes of the AGPT Program does not contravene section 130 of the Health Insurance Act. Public consultation on the Specification was not considered necessary because it will facilitate better training outcomes.</w:t>
      </w:r>
    </w:p>
    <w:p w14:paraId="4F693C83" w14:textId="77777777" w:rsidR="00455494" w:rsidRPr="004B549A" w:rsidRDefault="00455494" w:rsidP="00455494">
      <w:pPr>
        <w:spacing w:before="0" w:after="240"/>
        <w:jc w:val="both"/>
        <w:rPr>
          <w:rFonts w:ascii="Arial" w:hAnsi="Arial" w:cs="Arial"/>
          <w:szCs w:val="24"/>
        </w:rPr>
      </w:pPr>
      <w:r w:rsidRPr="004B549A">
        <w:rPr>
          <w:rFonts w:ascii="Arial" w:hAnsi="Arial" w:cs="Arial"/>
          <w:szCs w:val="24"/>
        </w:rPr>
        <w:t>Services Australia and the Department of Health and Aged Care were consulted on this amendment to the Principal Specification.</w:t>
      </w:r>
    </w:p>
    <w:p w14:paraId="13434B2E" w14:textId="77777777" w:rsidR="00455494" w:rsidRPr="004B549A" w:rsidRDefault="00455494" w:rsidP="00455494">
      <w:pPr>
        <w:keepNext/>
        <w:spacing w:before="0" w:after="240"/>
        <w:jc w:val="both"/>
        <w:rPr>
          <w:rStyle w:val="BookTitle"/>
          <w:rFonts w:ascii="Arial" w:hAnsi="Arial" w:cs="Arial"/>
          <w:b/>
          <w:i w:val="0"/>
          <w:iCs w:val="0"/>
          <w:smallCaps w:val="0"/>
          <w:spacing w:val="0"/>
        </w:rPr>
      </w:pPr>
      <w:r w:rsidRPr="004B549A">
        <w:rPr>
          <w:rStyle w:val="BookTitle"/>
          <w:rFonts w:ascii="Arial" w:hAnsi="Arial" w:cs="Arial"/>
          <w:b/>
          <w:i w:val="0"/>
          <w:iCs w:val="0"/>
          <w:smallCaps w:val="0"/>
          <w:spacing w:val="0"/>
        </w:rPr>
        <w:t>Regulatory Impact Statement</w:t>
      </w:r>
    </w:p>
    <w:p w14:paraId="17A7D22B" w14:textId="77777777" w:rsidR="00455494" w:rsidRPr="004B549A" w:rsidRDefault="00455494" w:rsidP="00455494">
      <w:pPr>
        <w:spacing w:before="0" w:after="240"/>
        <w:jc w:val="both"/>
        <w:rPr>
          <w:rFonts w:ascii="Arial" w:hAnsi="Arial" w:cs="Arial"/>
          <w:b/>
          <w:bCs/>
          <w:szCs w:val="24"/>
        </w:rPr>
      </w:pPr>
      <w:r w:rsidRPr="004B549A">
        <w:rPr>
          <w:rFonts w:ascii="Arial" w:hAnsi="Arial" w:cs="Arial"/>
          <w:szCs w:val="24"/>
        </w:rPr>
        <w:t>The Office of Impact Analysis was consulted and agreed that a Regulatory Impact Statement is not required (OIA ID OBPR23-04033).</w:t>
      </w:r>
    </w:p>
    <w:p w14:paraId="1C3686C7" w14:textId="77777777" w:rsidR="00455494" w:rsidRPr="004B549A" w:rsidRDefault="00455494" w:rsidP="008C38E1">
      <w:pPr>
        <w:spacing w:before="0" w:after="240"/>
        <w:jc w:val="both"/>
        <w:rPr>
          <w:rFonts w:ascii="Arial" w:hAnsi="Arial" w:cs="Arial"/>
          <w:b/>
          <w:bCs/>
          <w:szCs w:val="24"/>
        </w:rPr>
      </w:pPr>
      <w:r w:rsidRPr="004B549A">
        <w:rPr>
          <w:rFonts w:ascii="Arial" w:hAnsi="Arial" w:cs="Arial"/>
          <w:b/>
          <w:bCs/>
          <w:szCs w:val="24"/>
        </w:rPr>
        <w:t xml:space="preserve">General </w:t>
      </w:r>
    </w:p>
    <w:p w14:paraId="72DD3AE2" w14:textId="77777777" w:rsidR="00455494" w:rsidRPr="004B549A" w:rsidRDefault="00455494" w:rsidP="005775BF">
      <w:pPr>
        <w:jc w:val="both"/>
        <w:rPr>
          <w:rFonts w:ascii="Arial" w:hAnsi="Arial" w:cs="Arial"/>
          <w:szCs w:val="24"/>
        </w:rPr>
      </w:pPr>
      <w:r w:rsidRPr="004B549A">
        <w:rPr>
          <w:rFonts w:ascii="Arial" w:hAnsi="Arial" w:cs="Arial"/>
          <w:szCs w:val="24"/>
        </w:rPr>
        <w:t xml:space="preserve">The Specification is a disallowable legislative instrument for the purposes of the </w:t>
      </w:r>
      <w:r w:rsidRPr="004B549A">
        <w:rPr>
          <w:rFonts w:ascii="Arial" w:hAnsi="Arial" w:cs="Arial"/>
          <w:i/>
          <w:szCs w:val="24"/>
        </w:rPr>
        <w:t>Legislation Act 2003</w:t>
      </w:r>
      <w:r w:rsidRPr="004B549A">
        <w:rPr>
          <w:rFonts w:ascii="Arial" w:hAnsi="Arial" w:cs="Arial"/>
          <w:szCs w:val="24"/>
        </w:rPr>
        <w:t>.</w:t>
      </w:r>
    </w:p>
    <w:p w14:paraId="2C28F1F4" w14:textId="77777777" w:rsidR="00455494" w:rsidRPr="004B549A" w:rsidRDefault="00455494" w:rsidP="005775BF">
      <w:pPr>
        <w:jc w:val="both"/>
        <w:rPr>
          <w:rFonts w:ascii="Arial" w:hAnsi="Arial" w:cs="Arial"/>
          <w:szCs w:val="24"/>
        </w:rPr>
      </w:pPr>
      <w:r w:rsidRPr="004B549A">
        <w:rPr>
          <w:rFonts w:ascii="Arial" w:hAnsi="Arial" w:cs="Arial"/>
          <w:szCs w:val="24"/>
        </w:rPr>
        <w:t>Details of this instrument are set out in the </w:t>
      </w:r>
      <w:r w:rsidRPr="004B549A">
        <w:rPr>
          <w:rFonts w:ascii="Arial" w:hAnsi="Arial" w:cs="Arial"/>
          <w:b/>
          <w:bCs/>
          <w:szCs w:val="24"/>
        </w:rPr>
        <w:t>Attachment A</w:t>
      </w:r>
      <w:r w:rsidRPr="004B549A">
        <w:rPr>
          <w:rFonts w:ascii="Arial" w:hAnsi="Arial" w:cs="Arial"/>
          <w:szCs w:val="24"/>
        </w:rPr>
        <w:t>.</w:t>
      </w:r>
    </w:p>
    <w:p w14:paraId="39D6EF3D" w14:textId="77777777" w:rsidR="00455494" w:rsidRPr="004B549A" w:rsidRDefault="00455494" w:rsidP="005775BF">
      <w:pPr>
        <w:jc w:val="both"/>
        <w:rPr>
          <w:rFonts w:ascii="Arial" w:hAnsi="Arial" w:cs="Arial"/>
          <w:szCs w:val="24"/>
          <w:u w:val="single"/>
        </w:rPr>
      </w:pPr>
      <w:r w:rsidRPr="004B549A">
        <w:rPr>
          <w:rFonts w:ascii="Arial" w:hAnsi="Arial" w:cs="Arial"/>
          <w:szCs w:val="24"/>
        </w:rPr>
        <w:t xml:space="preserve">The instrument is compatible with the human rights and freedoms recognised or declared under section 3 of the </w:t>
      </w:r>
      <w:r w:rsidRPr="004B549A">
        <w:rPr>
          <w:rFonts w:ascii="Arial" w:hAnsi="Arial" w:cs="Arial"/>
          <w:i/>
          <w:iCs/>
          <w:szCs w:val="24"/>
        </w:rPr>
        <w:t>Human Rights (Parliamentary Scrutiny) Act 2011</w:t>
      </w:r>
      <w:r w:rsidRPr="004B549A">
        <w:rPr>
          <w:rFonts w:ascii="Arial" w:hAnsi="Arial" w:cs="Arial"/>
          <w:szCs w:val="24"/>
        </w:rPr>
        <w:t xml:space="preserve">. A full statement of compatibility is set out in </w:t>
      </w:r>
      <w:r w:rsidRPr="004B549A">
        <w:rPr>
          <w:rFonts w:ascii="Arial" w:hAnsi="Arial" w:cs="Arial"/>
          <w:b/>
          <w:bCs/>
          <w:szCs w:val="24"/>
        </w:rPr>
        <w:t>Attachment B</w:t>
      </w:r>
      <w:r w:rsidRPr="004B549A">
        <w:rPr>
          <w:rFonts w:ascii="Arial" w:hAnsi="Arial" w:cs="Arial"/>
          <w:szCs w:val="24"/>
        </w:rPr>
        <w:t>.</w:t>
      </w:r>
      <w:r w:rsidRPr="004B549A">
        <w:rPr>
          <w:rFonts w:ascii="Arial" w:hAnsi="Arial" w:cs="Arial"/>
          <w:szCs w:val="24"/>
        </w:rPr>
        <w:br w:type="page"/>
      </w:r>
    </w:p>
    <w:p w14:paraId="05A4C996" w14:textId="77777777" w:rsidR="00455494" w:rsidRPr="004B549A" w:rsidRDefault="00455494" w:rsidP="00455494">
      <w:pPr>
        <w:jc w:val="right"/>
        <w:rPr>
          <w:rFonts w:ascii="Arial" w:hAnsi="Arial" w:cs="Arial"/>
          <w:b/>
          <w:bCs/>
          <w:color w:val="000000"/>
        </w:rPr>
      </w:pPr>
      <w:r w:rsidRPr="004B549A">
        <w:rPr>
          <w:rFonts w:ascii="Arial" w:hAnsi="Arial" w:cs="Arial"/>
          <w:b/>
          <w:bCs/>
          <w:color w:val="000000"/>
        </w:rPr>
        <w:lastRenderedPageBreak/>
        <w:t>ATTACHMENT A</w:t>
      </w:r>
    </w:p>
    <w:p w14:paraId="1DD62B7A" w14:textId="77777777" w:rsidR="00455494" w:rsidRPr="004B549A" w:rsidRDefault="00455494" w:rsidP="00455494">
      <w:pPr>
        <w:jc w:val="right"/>
        <w:rPr>
          <w:color w:val="000000"/>
        </w:rPr>
      </w:pPr>
    </w:p>
    <w:p w14:paraId="3C4EB2B3" w14:textId="77777777" w:rsidR="00455494" w:rsidRPr="004B549A" w:rsidRDefault="00455494" w:rsidP="00455494">
      <w:pPr>
        <w:spacing w:before="0" w:after="240"/>
        <w:jc w:val="both"/>
        <w:rPr>
          <w:rFonts w:ascii="Arial" w:hAnsi="Arial" w:cs="Arial"/>
          <w:b/>
          <w:bCs/>
          <w:szCs w:val="24"/>
        </w:rPr>
      </w:pPr>
      <w:r w:rsidRPr="004B549A">
        <w:rPr>
          <w:rFonts w:ascii="Arial" w:hAnsi="Arial" w:cs="Arial"/>
          <w:b/>
          <w:bCs/>
          <w:i/>
          <w:iCs/>
          <w:szCs w:val="24"/>
        </w:rPr>
        <w:t>Human Services (Medicare) (Medicare Programs) Amendment Specification 2023</w:t>
      </w:r>
    </w:p>
    <w:p w14:paraId="322A4C87" w14:textId="77777777" w:rsidR="00455494" w:rsidRPr="004B549A" w:rsidRDefault="00455494" w:rsidP="00455494">
      <w:pPr>
        <w:keepNext/>
        <w:shd w:val="clear" w:color="auto" w:fill="FFFFFF"/>
        <w:spacing w:before="0" w:after="240"/>
        <w:jc w:val="both"/>
        <w:rPr>
          <w:rFonts w:ascii="Arial" w:hAnsi="Arial" w:cs="Arial"/>
          <w:b/>
          <w:szCs w:val="24"/>
        </w:rPr>
      </w:pPr>
      <w:r w:rsidRPr="004B549A">
        <w:rPr>
          <w:rFonts w:ascii="Arial" w:hAnsi="Arial" w:cs="Arial"/>
          <w:b/>
          <w:szCs w:val="24"/>
        </w:rPr>
        <w:t xml:space="preserve">Section 1—Name </w:t>
      </w:r>
    </w:p>
    <w:p w14:paraId="1BC6A62B" w14:textId="77777777" w:rsidR="00455494" w:rsidRPr="004B549A" w:rsidRDefault="00455494" w:rsidP="00455494">
      <w:pPr>
        <w:keepNext/>
        <w:shd w:val="clear" w:color="auto" w:fill="FFFFFF"/>
        <w:spacing w:before="0" w:after="240"/>
        <w:jc w:val="both"/>
        <w:rPr>
          <w:rFonts w:ascii="Arial" w:hAnsi="Arial" w:cs="Arial"/>
          <w:szCs w:val="24"/>
          <w:lang w:val="en-US"/>
        </w:rPr>
      </w:pPr>
      <w:r w:rsidRPr="004B549A">
        <w:rPr>
          <w:rFonts w:ascii="Arial" w:hAnsi="Arial" w:cs="Arial"/>
          <w:bCs/>
          <w:szCs w:val="24"/>
        </w:rPr>
        <w:t>This section</w:t>
      </w:r>
      <w:r w:rsidRPr="004B549A">
        <w:rPr>
          <w:rFonts w:ascii="Arial" w:hAnsi="Arial" w:cs="Arial"/>
          <w:szCs w:val="24"/>
        </w:rPr>
        <w:t xml:space="preserve"> provides that the name of this instrument is the </w:t>
      </w:r>
      <w:r w:rsidRPr="004B549A">
        <w:rPr>
          <w:rFonts w:ascii="Arial" w:hAnsi="Arial" w:cs="Arial"/>
          <w:i/>
          <w:iCs/>
          <w:szCs w:val="24"/>
        </w:rPr>
        <w:t xml:space="preserve">Human Services (Medicare) (Medicare Programs) Amendment Specification 2023 </w:t>
      </w:r>
      <w:r w:rsidRPr="004B549A">
        <w:rPr>
          <w:rFonts w:ascii="Arial" w:hAnsi="Arial" w:cs="Arial"/>
          <w:iCs/>
          <w:szCs w:val="24"/>
        </w:rPr>
        <w:t>(the</w:t>
      </w:r>
      <w:r w:rsidRPr="004B549A" w:rsidDel="004D7864">
        <w:rPr>
          <w:rFonts w:ascii="Arial" w:hAnsi="Arial" w:cs="Arial"/>
          <w:iCs/>
          <w:szCs w:val="24"/>
        </w:rPr>
        <w:t xml:space="preserve"> </w:t>
      </w:r>
      <w:r w:rsidRPr="004B549A">
        <w:rPr>
          <w:rFonts w:ascii="Arial" w:hAnsi="Arial" w:cs="Arial"/>
          <w:iCs/>
          <w:szCs w:val="24"/>
        </w:rPr>
        <w:t>Specification)</w:t>
      </w:r>
      <w:r w:rsidRPr="004B549A">
        <w:rPr>
          <w:rFonts w:ascii="Arial" w:hAnsi="Arial" w:cs="Arial"/>
          <w:szCs w:val="24"/>
        </w:rPr>
        <w:t>.</w:t>
      </w:r>
    </w:p>
    <w:p w14:paraId="2EE19245" w14:textId="77777777" w:rsidR="00455494" w:rsidRPr="004B549A" w:rsidRDefault="00455494" w:rsidP="00455494">
      <w:pPr>
        <w:shd w:val="clear" w:color="auto" w:fill="FFFFFF"/>
        <w:spacing w:before="0" w:after="240"/>
        <w:jc w:val="both"/>
        <w:rPr>
          <w:rFonts w:ascii="Arial" w:hAnsi="Arial" w:cs="Arial"/>
          <w:b/>
          <w:szCs w:val="24"/>
        </w:rPr>
      </w:pPr>
      <w:r w:rsidRPr="004B549A">
        <w:rPr>
          <w:rFonts w:ascii="Arial" w:hAnsi="Arial" w:cs="Arial"/>
          <w:b/>
          <w:szCs w:val="24"/>
        </w:rPr>
        <w:t>Section 2—Commencement</w:t>
      </w:r>
    </w:p>
    <w:p w14:paraId="1EB521F5" w14:textId="77777777" w:rsidR="00455494" w:rsidRPr="004B549A" w:rsidRDefault="00455494" w:rsidP="00455494">
      <w:pPr>
        <w:shd w:val="clear" w:color="auto" w:fill="FFFFFF"/>
        <w:spacing w:before="0" w:after="240"/>
        <w:jc w:val="both"/>
        <w:rPr>
          <w:rFonts w:ascii="Arial" w:hAnsi="Arial" w:cs="Arial"/>
          <w:szCs w:val="24"/>
        </w:rPr>
      </w:pPr>
      <w:r w:rsidRPr="004B549A">
        <w:rPr>
          <w:rFonts w:ascii="Arial" w:hAnsi="Arial" w:cs="Arial"/>
          <w:bCs/>
          <w:szCs w:val="24"/>
        </w:rPr>
        <w:t>This section</w:t>
      </w:r>
      <w:r w:rsidRPr="004B549A">
        <w:rPr>
          <w:rFonts w:ascii="Arial" w:hAnsi="Arial" w:cs="Arial"/>
          <w:szCs w:val="24"/>
        </w:rPr>
        <w:t xml:space="preserve"> provides that the instrument commences the day after it is registered on the Federal Register of Legislation. </w:t>
      </w:r>
    </w:p>
    <w:p w14:paraId="25E47305" w14:textId="77777777" w:rsidR="00455494" w:rsidRPr="004B549A" w:rsidRDefault="00455494" w:rsidP="00455494">
      <w:pPr>
        <w:shd w:val="clear" w:color="auto" w:fill="FFFFFF"/>
        <w:spacing w:before="0" w:after="240"/>
        <w:jc w:val="both"/>
        <w:rPr>
          <w:rFonts w:ascii="Arial" w:hAnsi="Arial" w:cs="Arial"/>
          <w:b/>
          <w:szCs w:val="24"/>
        </w:rPr>
      </w:pPr>
      <w:r w:rsidRPr="004B549A">
        <w:rPr>
          <w:rFonts w:ascii="Arial" w:hAnsi="Arial" w:cs="Arial"/>
          <w:b/>
          <w:szCs w:val="24"/>
        </w:rPr>
        <w:t>Section 3—Authority</w:t>
      </w:r>
    </w:p>
    <w:p w14:paraId="481D5770" w14:textId="77777777" w:rsidR="00455494" w:rsidRPr="004B549A" w:rsidRDefault="00455494" w:rsidP="00455494">
      <w:pPr>
        <w:shd w:val="clear" w:color="auto" w:fill="FFFFFF"/>
        <w:spacing w:before="0" w:after="240"/>
        <w:jc w:val="both"/>
        <w:rPr>
          <w:rFonts w:ascii="Arial" w:hAnsi="Arial" w:cs="Arial"/>
          <w:szCs w:val="24"/>
        </w:rPr>
      </w:pPr>
      <w:r w:rsidRPr="004B549A">
        <w:rPr>
          <w:rFonts w:ascii="Arial" w:hAnsi="Arial" w:cs="Arial"/>
          <w:bCs/>
          <w:szCs w:val="24"/>
        </w:rPr>
        <w:t xml:space="preserve">This section provides that the legislative authority for making the Specification is </w:t>
      </w:r>
      <w:r w:rsidRPr="004B549A">
        <w:rPr>
          <w:rFonts w:ascii="Arial" w:hAnsi="Arial" w:cs="Arial"/>
          <w:szCs w:val="24"/>
        </w:rPr>
        <w:t xml:space="preserve">paragraph 41G(b) of the </w:t>
      </w:r>
      <w:r w:rsidRPr="004B549A">
        <w:rPr>
          <w:rFonts w:ascii="Arial" w:hAnsi="Arial" w:cs="Arial"/>
          <w:i/>
          <w:szCs w:val="24"/>
        </w:rPr>
        <w:t>Human Services (Medicare) Act 1973</w:t>
      </w:r>
      <w:r w:rsidRPr="004B549A">
        <w:rPr>
          <w:rFonts w:ascii="Arial" w:hAnsi="Arial" w:cs="Arial"/>
          <w:szCs w:val="24"/>
        </w:rPr>
        <w:t xml:space="preserve"> (the Act). At the end of section 3, there is a note to alert the reader that the power to vary a legislative instrument can be found is subsection 33(3) of the </w:t>
      </w:r>
      <w:r w:rsidRPr="004B549A">
        <w:rPr>
          <w:rFonts w:ascii="Arial" w:hAnsi="Arial" w:cs="Arial"/>
          <w:i/>
          <w:szCs w:val="24"/>
        </w:rPr>
        <w:t>Acts Interpretation Act 1901</w:t>
      </w:r>
      <w:r w:rsidRPr="004B549A">
        <w:rPr>
          <w:rFonts w:ascii="Arial" w:hAnsi="Arial" w:cs="Arial"/>
          <w:szCs w:val="24"/>
        </w:rPr>
        <w:t xml:space="preserve">. This subsection </w:t>
      </w:r>
      <w:bookmarkStart w:id="0" w:name="_Toc47687447"/>
      <w:r w:rsidRPr="004B549A">
        <w:rPr>
          <w:rFonts w:ascii="Arial" w:hAnsi="Arial" w:cs="Arial"/>
          <w:szCs w:val="24"/>
        </w:rPr>
        <w:t>provides that:</w:t>
      </w:r>
    </w:p>
    <w:p w14:paraId="28B04E9D" w14:textId="77777777" w:rsidR="00455494" w:rsidRPr="004B549A" w:rsidRDefault="00455494" w:rsidP="00455494">
      <w:pPr>
        <w:shd w:val="clear" w:color="auto" w:fill="FFFFFF"/>
        <w:spacing w:before="0" w:after="240"/>
        <w:ind w:left="720"/>
        <w:jc w:val="both"/>
        <w:rPr>
          <w:rFonts w:ascii="Arial" w:hAnsi="Arial" w:cs="Arial"/>
          <w:szCs w:val="24"/>
        </w:rPr>
      </w:pPr>
      <w:r w:rsidRPr="004B549A">
        <w:rPr>
          <w:rFonts w:ascii="Arial" w:hAnsi="Arial" w:cs="Arial"/>
          <w:szCs w:val="24"/>
        </w:rPr>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EC4983B" w14:textId="6546F7FB" w:rsidR="00455494" w:rsidRPr="004B549A" w:rsidRDefault="00455494" w:rsidP="00455494">
      <w:pPr>
        <w:shd w:val="clear" w:color="auto" w:fill="FFFFFF"/>
        <w:spacing w:before="0" w:after="240"/>
        <w:jc w:val="both"/>
        <w:rPr>
          <w:rFonts w:ascii="Arial" w:hAnsi="Arial" w:cs="Arial"/>
          <w:szCs w:val="24"/>
        </w:rPr>
      </w:pPr>
      <w:r w:rsidRPr="004B549A">
        <w:rPr>
          <w:rFonts w:ascii="Arial" w:hAnsi="Arial" w:cs="Arial"/>
          <w:szCs w:val="24"/>
        </w:rPr>
        <w:t xml:space="preserve">This gives the Minister power to amend the </w:t>
      </w:r>
      <w:r w:rsidR="009E6861" w:rsidRPr="004B549A">
        <w:rPr>
          <w:rFonts w:ascii="Arial" w:hAnsi="Arial" w:cs="Arial"/>
          <w:i/>
          <w:szCs w:val="24"/>
        </w:rPr>
        <w:t>Human Services (Medicare) (Medicare Programs) Specification 2021</w:t>
      </w:r>
      <w:r w:rsidR="009E6861" w:rsidRPr="004B549A">
        <w:rPr>
          <w:rFonts w:ascii="Arial" w:hAnsi="Arial" w:cs="Arial"/>
          <w:szCs w:val="24"/>
        </w:rPr>
        <w:t xml:space="preserve"> (</w:t>
      </w:r>
      <w:r w:rsidRPr="004B549A">
        <w:rPr>
          <w:rFonts w:ascii="Arial" w:hAnsi="Arial" w:cs="Arial"/>
          <w:szCs w:val="24"/>
        </w:rPr>
        <w:t>Principal Specification</w:t>
      </w:r>
      <w:r w:rsidR="009E6861" w:rsidRPr="004B549A">
        <w:rPr>
          <w:rFonts w:ascii="Arial" w:hAnsi="Arial" w:cs="Arial"/>
          <w:szCs w:val="24"/>
        </w:rPr>
        <w:t>)</w:t>
      </w:r>
      <w:r w:rsidRPr="004B549A">
        <w:rPr>
          <w:rFonts w:ascii="Arial" w:hAnsi="Arial" w:cs="Arial"/>
          <w:szCs w:val="24"/>
        </w:rPr>
        <w:t xml:space="preserve"> for the purposes of paragraph 41G(b) of the Act.</w:t>
      </w:r>
    </w:p>
    <w:p w14:paraId="2710D5F1" w14:textId="77777777" w:rsidR="00455494" w:rsidRPr="004B549A" w:rsidRDefault="00455494" w:rsidP="00455494">
      <w:pPr>
        <w:shd w:val="clear" w:color="auto" w:fill="FFFFFF"/>
        <w:spacing w:before="0" w:after="240"/>
        <w:jc w:val="both"/>
        <w:rPr>
          <w:rFonts w:ascii="Arial" w:hAnsi="Arial" w:cs="Arial"/>
          <w:b/>
          <w:szCs w:val="24"/>
        </w:rPr>
      </w:pPr>
      <w:r w:rsidRPr="004B549A">
        <w:rPr>
          <w:rFonts w:ascii="Arial" w:hAnsi="Arial" w:cs="Arial"/>
          <w:b/>
          <w:szCs w:val="24"/>
        </w:rPr>
        <w:t xml:space="preserve">Section 4—Schedules </w:t>
      </w:r>
    </w:p>
    <w:p w14:paraId="4BEC5578" w14:textId="77777777" w:rsidR="00455494" w:rsidRPr="004B549A" w:rsidRDefault="00455494" w:rsidP="00455494">
      <w:pPr>
        <w:shd w:val="clear" w:color="auto" w:fill="FFFFFF"/>
        <w:spacing w:before="0" w:after="240"/>
        <w:jc w:val="both"/>
        <w:rPr>
          <w:rFonts w:ascii="Arial" w:hAnsi="Arial" w:cs="Arial"/>
          <w:szCs w:val="24"/>
        </w:rPr>
      </w:pPr>
      <w:r w:rsidRPr="004B549A">
        <w:rPr>
          <w:rFonts w:ascii="Arial" w:hAnsi="Arial" w:cs="Arial"/>
          <w:szCs w:val="24"/>
        </w:rPr>
        <w:t>This section provides that each instrument that is specified in a Schedule to the Specification is amended or repealed as set out in the applicable items in the Schedule concerned, and that any other item in a Schedule to the Specification has effect according to its terms.</w:t>
      </w:r>
    </w:p>
    <w:bookmarkEnd w:id="0"/>
    <w:p w14:paraId="4497AB0B" w14:textId="77777777" w:rsidR="00455494" w:rsidRPr="004B549A" w:rsidRDefault="00455494" w:rsidP="00455494">
      <w:pPr>
        <w:keepNext/>
        <w:spacing w:before="0" w:after="240"/>
        <w:jc w:val="both"/>
        <w:rPr>
          <w:rFonts w:ascii="Arial" w:hAnsi="Arial" w:cs="Arial"/>
        </w:rPr>
      </w:pPr>
      <w:r w:rsidRPr="004B549A">
        <w:rPr>
          <w:rFonts w:ascii="Arial" w:hAnsi="Arial" w:cs="Arial"/>
          <w:b/>
          <w:bCs/>
        </w:rPr>
        <w:t>SCHEDULE 1—AMENDMENTS</w:t>
      </w:r>
      <w:r w:rsidRPr="004B549A">
        <w:rPr>
          <w:rFonts w:ascii="Arial" w:hAnsi="Arial" w:cs="Arial"/>
        </w:rPr>
        <w:t xml:space="preserve"> </w:t>
      </w:r>
    </w:p>
    <w:p w14:paraId="0989A5A8" w14:textId="09F8019D" w:rsidR="00455494" w:rsidRPr="004B549A" w:rsidRDefault="00455494" w:rsidP="00455494">
      <w:pPr>
        <w:keepNext/>
        <w:spacing w:before="0" w:after="240"/>
        <w:jc w:val="both"/>
        <w:rPr>
          <w:rFonts w:ascii="Arial" w:hAnsi="Arial" w:cs="Arial"/>
          <w:szCs w:val="24"/>
        </w:rPr>
      </w:pPr>
      <w:r w:rsidRPr="004B549A">
        <w:rPr>
          <w:rFonts w:ascii="Arial" w:hAnsi="Arial" w:cs="Arial"/>
        </w:rPr>
        <w:t xml:space="preserve">Schedule 1 amends </w:t>
      </w:r>
      <w:r w:rsidRPr="004B549A">
        <w:rPr>
          <w:rFonts w:ascii="Arial" w:hAnsi="Arial" w:cs="Arial"/>
          <w:szCs w:val="24"/>
        </w:rPr>
        <w:t>the Principal Specification.</w:t>
      </w:r>
    </w:p>
    <w:p w14:paraId="00A4DDA6" w14:textId="123D2D88" w:rsidR="00455494" w:rsidRPr="004B549A" w:rsidRDefault="00455494" w:rsidP="00455494">
      <w:pPr>
        <w:spacing w:before="0" w:after="240"/>
        <w:jc w:val="both"/>
        <w:rPr>
          <w:rFonts w:ascii="Arial" w:hAnsi="Arial" w:cs="Arial"/>
          <w:szCs w:val="24"/>
        </w:rPr>
      </w:pPr>
      <w:r w:rsidRPr="004B549A">
        <w:rPr>
          <w:rFonts w:ascii="Arial" w:hAnsi="Arial" w:cs="Arial"/>
          <w:b/>
          <w:szCs w:val="24"/>
        </w:rPr>
        <w:t>Item 1</w:t>
      </w:r>
      <w:r w:rsidRPr="004B549A">
        <w:rPr>
          <w:rFonts w:ascii="Arial" w:hAnsi="Arial" w:cs="Arial"/>
          <w:szCs w:val="24"/>
        </w:rPr>
        <w:t xml:space="preserve"> inserts a new table item 31 at the end of the table in Schedule 1 of the Principal </w:t>
      </w:r>
      <w:r w:rsidRPr="004B549A">
        <w:rPr>
          <w:rFonts w:ascii="Arial" w:hAnsi="Arial" w:cs="Arial"/>
          <w:szCs w:val="24"/>
        </w:rPr>
        <w:br/>
        <w:t xml:space="preserve">Specification. The new table item will specify the ‘Australian General Practice Training Program’ as a </w:t>
      </w:r>
      <w:r w:rsidR="007962CF" w:rsidRPr="004B549A">
        <w:rPr>
          <w:rFonts w:ascii="Arial" w:hAnsi="Arial" w:cs="Arial"/>
          <w:szCs w:val="24"/>
        </w:rPr>
        <w:t>‘</w:t>
      </w:r>
      <w:r w:rsidRPr="004B549A">
        <w:rPr>
          <w:rFonts w:ascii="Arial" w:hAnsi="Arial" w:cs="Arial"/>
          <w:szCs w:val="24"/>
        </w:rPr>
        <w:t>medicare program</w:t>
      </w:r>
      <w:r w:rsidR="007962CF" w:rsidRPr="004B549A">
        <w:rPr>
          <w:rFonts w:ascii="Arial" w:hAnsi="Arial" w:cs="Arial"/>
          <w:szCs w:val="24"/>
        </w:rPr>
        <w:t>’</w:t>
      </w:r>
      <w:r w:rsidRPr="004B549A">
        <w:rPr>
          <w:rFonts w:ascii="Arial" w:hAnsi="Arial" w:cs="Arial"/>
          <w:szCs w:val="24"/>
        </w:rPr>
        <w:t xml:space="preserve"> for the purposes of paragraph 41G(b) of the</w:t>
      </w:r>
      <w:r w:rsidR="007962CF" w:rsidRPr="004B549A">
        <w:rPr>
          <w:rFonts w:ascii="Arial" w:hAnsi="Arial" w:cs="Arial"/>
          <w:szCs w:val="24"/>
        </w:rPr>
        <w:t xml:space="preserve"> </w:t>
      </w:r>
      <w:r w:rsidR="009E6861" w:rsidRPr="004B549A">
        <w:rPr>
          <w:rFonts w:ascii="Arial" w:hAnsi="Arial" w:cs="Arial"/>
          <w:szCs w:val="24"/>
        </w:rPr>
        <w:t>Act</w:t>
      </w:r>
      <w:r w:rsidRPr="004B549A">
        <w:rPr>
          <w:rFonts w:ascii="Arial" w:hAnsi="Arial" w:cs="Arial"/>
          <w:i/>
          <w:szCs w:val="24"/>
        </w:rPr>
        <w:t>.</w:t>
      </w:r>
    </w:p>
    <w:p w14:paraId="4FD7E4F2" w14:textId="77777777" w:rsidR="00455494" w:rsidRPr="004B549A" w:rsidRDefault="00455494" w:rsidP="00455494">
      <w:pPr>
        <w:spacing w:before="0" w:after="240"/>
        <w:rPr>
          <w:rStyle w:val="BookTitle"/>
          <w:rFonts w:ascii="Arial" w:hAnsi="Arial" w:cs="Arial"/>
          <w:i w:val="0"/>
          <w:iCs w:val="0"/>
          <w:smallCaps w:val="0"/>
          <w:spacing w:val="0"/>
          <w:szCs w:val="24"/>
        </w:rPr>
        <w:sectPr w:rsidR="00455494" w:rsidRPr="004B549A" w:rsidSect="00AE07E3">
          <w:pgSz w:w="11906" w:h="16838"/>
          <w:pgMar w:top="1440" w:right="1440" w:bottom="1440" w:left="1440" w:header="709" w:footer="709" w:gutter="0"/>
          <w:cols w:space="708"/>
          <w:docGrid w:linePitch="360"/>
        </w:sectPr>
      </w:pPr>
    </w:p>
    <w:p w14:paraId="2877083C" w14:textId="77777777" w:rsidR="00455494" w:rsidRPr="004B549A" w:rsidRDefault="00455494" w:rsidP="00455494">
      <w:pPr>
        <w:spacing w:before="0" w:after="240"/>
        <w:jc w:val="right"/>
        <w:rPr>
          <w:rFonts w:ascii="Arial" w:hAnsi="Arial" w:cs="Arial"/>
          <w:b/>
          <w:szCs w:val="24"/>
        </w:rPr>
      </w:pPr>
      <w:bookmarkStart w:id="1" w:name="_Toc290210739"/>
      <w:r w:rsidRPr="004B549A">
        <w:rPr>
          <w:rFonts w:ascii="Arial" w:hAnsi="Arial" w:cs="Arial"/>
          <w:b/>
          <w:szCs w:val="24"/>
        </w:rPr>
        <w:lastRenderedPageBreak/>
        <w:t>ATTACHMENT B</w:t>
      </w:r>
    </w:p>
    <w:p w14:paraId="7983AF73" w14:textId="77777777" w:rsidR="00455494" w:rsidRPr="004B549A" w:rsidRDefault="00455494" w:rsidP="00455494">
      <w:pPr>
        <w:spacing w:before="0" w:after="240"/>
        <w:jc w:val="center"/>
        <w:rPr>
          <w:rFonts w:ascii="Arial" w:hAnsi="Arial" w:cs="Arial"/>
          <w:b/>
          <w:szCs w:val="24"/>
        </w:rPr>
      </w:pPr>
      <w:r w:rsidRPr="004B549A">
        <w:rPr>
          <w:rFonts w:ascii="Arial" w:hAnsi="Arial" w:cs="Arial"/>
          <w:b/>
          <w:szCs w:val="24"/>
        </w:rPr>
        <w:t>Statement of Compatibility with Human Rights</w:t>
      </w:r>
    </w:p>
    <w:p w14:paraId="4BEEBDD2" w14:textId="77777777" w:rsidR="00455494" w:rsidRPr="004B549A" w:rsidRDefault="00455494" w:rsidP="00455494">
      <w:pPr>
        <w:spacing w:before="0" w:after="240"/>
        <w:jc w:val="center"/>
        <w:rPr>
          <w:rFonts w:ascii="Arial" w:hAnsi="Arial" w:cs="Arial"/>
          <w:szCs w:val="24"/>
        </w:rPr>
      </w:pPr>
      <w:r w:rsidRPr="004B549A">
        <w:rPr>
          <w:rFonts w:ascii="Arial" w:hAnsi="Arial" w:cs="Arial"/>
          <w:i/>
          <w:szCs w:val="24"/>
        </w:rPr>
        <w:t>Prepared in accordance with Part 3 of the Human Rights (Parliamentary Scrutiny) Act 2011</w:t>
      </w:r>
    </w:p>
    <w:p w14:paraId="20F502A0" w14:textId="77777777" w:rsidR="00455494" w:rsidRPr="004B549A" w:rsidRDefault="00455494" w:rsidP="00455494">
      <w:pPr>
        <w:spacing w:before="0" w:after="240"/>
        <w:jc w:val="center"/>
        <w:rPr>
          <w:rFonts w:ascii="Arial" w:hAnsi="Arial" w:cs="Arial"/>
          <w:i/>
          <w:iCs/>
          <w:szCs w:val="24"/>
        </w:rPr>
      </w:pPr>
      <w:r w:rsidRPr="004B549A">
        <w:rPr>
          <w:rFonts w:ascii="Arial" w:hAnsi="Arial" w:cs="Arial"/>
          <w:i/>
          <w:iCs/>
          <w:szCs w:val="24"/>
        </w:rPr>
        <w:t xml:space="preserve">Human Services (Medicare) (Medicare Programs) Amendment Specification 2023 </w:t>
      </w:r>
    </w:p>
    <w:p w14:paraId="727265BA" w14:textId="77777777" w:rsidR="00455494" w:rsidRPr="004B549A" w:rsidRDefault="00455494" w:rsidP="00455494">
      <w:pPr>
        <w:spacing w:before="0" w:after="240"/>
        <w:jc w:val="center"/>
        <w:rPr>
          <w:rFonts w:ascii="Arial" w:hAnsi="Arial" w:cs="Arial"/>
          <w:szCs w:val="24"/>
        </w:rPr>
      </w:pPr>
    </w:p>
    <w:p w14:paraId="29B573DA" w14:textId="77777777" w:rsidR="00455494" w:rsidRPr="004B549A" w:rsidRDefault="00455494" w:rsidP="00455494">
      <w:pPr>
        <w:spacing w:before="0" w:after="240"/>
        <w:jc w:val="center"/>
        <w:rPr>
          <w:rFonts w:ascii="Arial" w:hAnsi="Arial" w:cs="Arial"/>
          <w:szCs w:val="24"/>
        </w:rPr>
      </w:pPr>
      <w:r w:rsidRPr="004B549A">
        <w:rPr>
          <w:rFonts w:ascii="Arial" w:hAnsi="Arial" w:cs="Arial"/>
          <w:szCs w:val="24"/>
        </w:rPr>
        <w:t xml:space="preserve">This legislative instrument is compatible with the human rights and freedoms recognised or declared in the international instruments listed in section 3 of the </w:t>
      </w:r>
      <w:r w:rsidRPr="004B549A">
        <w:rPr>
          <w:rFonts w:ascii="Arial" w:hAnsi="Arial" w:cs="Arial"/>
          <w:i/>
          <w:szCs w:val="24"/>
        </w:rPr>
        <w:t>Human Rights (Parliamentary Scrutiny) Act 2011</w:t>
      </w:r>
      <w:r w:rsidRPr="004B549A">
        <w:rPr>
          <w:rFonts w:ascii="Arial" w:hAnsi="Arial" w:cs="Arial"/>
          <w:szCs w:val="24"/>
        </w:rPr>
        <w:t>.</w:t>
      </w:r>
    </w:p>
    <w:p w14:paraId="312A3F99" w14:textId="77777777" w:rsidR="00455494" w:rsidRPr="004B549A" w:rsidRDefault="00455494" w:rsidP="00455494">
      <w:pPr>
        <w:keepNext/>
        <w:spacing w:before="0" w:after="240"/>
        <w:jc w:val="both"/>
        <w:rPr>
          <w:rFonts w:ascii="Arial" w:hAnsi="Arial" w:cs="Arial"/>
          <w:b/>
          <w:szCs w:val="24"/>
        </w:rPr>
      </w:pPr>
      <w:r w:rsidRPr="004B549A">
        <w:rPr>
          <w:rFonts w:ascii="Arial" w:hAnsi="Arial" w:cs="Arial"/>
          <w:b/>
          <w:szCs w:val="24"/>
        </w:rPr>
        <w:t>Overview of the legislative instrument</w:t>
      </w:r>
    </w:p>
    <w:p w14:paraId="3CD69C69" w14:textId="71605520" w:rsidR="00455494" w:rsidRPr="004B549A" w:rsidRDefault="00455494" w:rsidP="00455494">
      <w:pPr>
        <w:spacing w:before="0" w:after="240"/>
        <w:jc w:val="both"/>
        <w:rPr>
          <w:rFonts w:ascii="Arial" w:hAnsi="Arial" w:cs="Arial"/>
          <w:szCs w:val="24"/>
          <w:lang w:val="en-US"/>
        </w:rPr>
      </w:pPr>
      <w:r w:rsidRPr="004B549A">
        <w:rPr>
          <w:rFonts w:ascii="Arial" w:hAnsi="Arial" w:cs="Arial"/>
          <w:szCs w:val="24"/>
          <w:lang w:val="en-US"/>
        </w:rPr>
        <w:t xml:space="preserve">The </w:t>
      </w:r>
      <w:r w:rsidRPr="004B549A">
        <w:rPr>
          <w:rFonts w:ascii="Arial" w:hAnsi="Arial" w:cs="Arial"/>
          <w:i/>
          <w:iCs/>
          <w:szCs w:val="24"/>
          <w:lang w:val="en-US"/>
        </w:rPr>
        <w:t>Human Services (Medicare) (Medicare Programs) Specification 2023</w:t>
      </w:r>
      <w:r w:rsidRPr="004B549A">
        <w:rPr>
          <w:rFonts w:ascii="Arial" w:hAnsi="Arial" w:cs="Arial"/>
          <w:szCs w:val="24"/>
          <w:lang w:val="en-US"/>
        </w:rPr>
        <w:t xml:space="preserve"> (the  Principal Specification) specifies programs that are</w:t>
      </w:r>
      <w:r w:rsidR="007962CF" w:rsidRPr="004B549A">
        <w:rPr>
          <w:rFonts w:ascii="Arial" w:hAnsi="Arial" w:cs="Arial"/>
          <w:szCs w:val="24"/>
          <w:lang w:val="en-US"/>
        </w:rPr>
        <w:t xml:space="preserve"> a</w:t>
      </w:r>
      <w:r w:rsidRPr="004B549A">
        <w:rPr>
          <w:rFonts w:ascii="Arial" w:hAnsi="Arial" w:cs="Arial"/>
          <w:szCs w:val="24"/>
          <w:lang w:val="en-US"/>
        </w:rPr>
        <w:t xml:space="preserve"> ‘medicare program’ for the purposes of paragraph 41G(b) of the </w:t>
      </w:r>
      <w:r w:rsidRPr="004B549A">
        <w:rPr>
          <w:rFonts w:ascii="Arial" w:hAnsi="Arial" w:cs="Arial"/>
          <w:i/>
          <w:szCs w:val="24"/>
          <w:lang w:val="en-US"/>
        </w:rPr>
        <w:t>Human Services (Medicare) Act 1973</w:t>
      </w:r>
      <w:r w:rsidRPr="004B549A">
        <w:rPr>
          <w:rFonts w:ascii="Arial" w:hAnsi="Arial" w:cs="Arial"/>
          <w:iCs/>
          <w:szCs w:val="24"/>
          <w:lang w:val="en-US"/>
        </w:rPr>
        <w:t xml:space="preserve"> (the Act)</w:t>
      </w:r>
      <w:r w:rsidRPr="004B549A">
        <w:rPr>
          <w:rFonts w:ascii="Arial" w:hAnsi="Arial" w:cs="Arial"/>
          <w:szCs w:val="24"/>
          <w:lang w:val="en-US"/>
        </w:rPr>
        <w:t>,</w:t>
      </w:r>
    </w:p>
    <w:p w14:paraId="103B3B18" w14:textId="7BE6C179" w:rsidR="00455494" w:rsidRPr="004B549A" w:rsidRDefault="00455494" w:rsidP="00455494">
      <w:pPr>
        <w:spacing w:before="0" w:after="240"/>
        <w:jc w:val="both"/>
        <w:rPr>
          <w:rFonts w:ascii="Arial" w:hAnsi="Arial" w:cs="Arial"/>
          <w:szCs w:val="24"/>
        </w:rPr>
      </w:pPr>
      <w:r w:rsidRPr="004B549A">
        <w:rPr>
          <w:rFonts w:ascii="Arial" w:hAnsi="Arial" w:cs="Arial"/>
          <w:szCs w:val="24"/>
        </w:rPr>
        <w:t>A number of Commonwealth laws allow information that has been obtained in administering one program to be recorded</w:t>
      </w:r>
      <w:r w:rsidR="0077602D" w:rsidRPr="004B549A">
        <w:rPr>
          <w:rFonts w:ascii="Arial" w:hAnsi="Arial" w:cs="Arial"/>
          <w:szCs w:val="24"/>
        </w:rPr>
        <w:t xml:space="preserve"> </w:t>
      </w:r>
      <w:r w:rsidRPr="004B549A">
        <w:rPr>
          <w:rFonts w:ascii="Arial" w:hAnsi="Arial" w:cs="Arial"/>
          <w:szCs w:val="24"/>
        </w:rPr>
        <w:t xml:space="preserve">or disclosed for the administration of another program in circumstances where the other program is a </w:t>
      </w:r>
      <w:r w:rsidR="007962CF" w:rsidRPr="004B549A">
        <w:rPr>
          <w:rFonts w:ascii="Arial" w:hAnsi="Arial" w:cs="Arial"/>
          <w:szCs w:val="24"/>
        </w:rPr>
        <w:t>‘</w:t>
      </w:r>
      <w:r w:rsidRPr="004B549A">
        <w:rPr>
          <w:rFonts w:ascii="Arial" w:hAnsi="Arial" w:cs="Arial"/>
          <w:szCs w:val="24"/>
        </w:rPr>
        <w:t>medicare program</w:t>
      </w:r>
      <w:r w:rsidR="007962CF" w:rsidRPr="004B549A">
        <w:rPr>
          <w:rFonts w:ascii="Arial" w:hAnsi="Arial" w:cs="Arial"/>
          <w:szCs w:val="24"/>
        </w:rPr>
        <w:t>’</w:t>
      </w:r>
      <w:r w:rsidRPr="004B549A">
        <w:rPr>
          <w:rFonts w:ascii="Arial" w:hAnsi="Arial" w:cs="Arial"/>
          <w:szCs w:val="24"/>
        </w:rPr>
        <w:t xml:space="preserve">. For example, the </w:t>
      </w:r>
      <w:r w:rsidRPr="004B549A">
        <w:rPr>
          <w:rFonts w:ascii="Arial" w:hAnsi="Arial" w:cs="Arial"/>
          <w:i/>
          <w:szCs w:val="24"/>
        </w:rPr>
        <w:t>Health Insurance Act 1973</w:t>
      </w:r>
      <w:r w:rsidRPr="004B549A">
        <w:rPr>
          <w:rFonts w:ascii="Arial" w:hAnsi="Arial" w:cs="Arial"/>
          <w:szCs w:val="24"/>
        </w:rPr>
        <w:t xml:space="preserve"> and the </w:t>
      </w:r>
      <w:r w:rsidRPr="004B549A">
        <w:rPr>
          <w:rFonts w:ascii="Arial" w:hAnsi="Arial" w:cs="Arial"/>
          <w:i/>
          <w:szCs w:val="24"/>
        </w:rPr>
        <w:t>National Health Act 1953</w:t>
      </w:r>
      <w:r w:rsidRPr="004B549A">
        <w:rPr>
          <w:rFonts w:ascii="Arial" w:hAnsi="Arial" w:cs="Arial"/>
          <w:szCs w:val="24"/>
        </w:rPr>
        <w:t xml:space="preserve"> authorise persons to record, divulge and communicate information obtained under those Acts for the purposes of enabling a person to perform functions in relation to</w:t>
      </w:r>
      <w:r w:rsidR="007962CF" w:rsidRPr="004B549A">
        <w:rPr>
          <w:rFonts w:ascii="Arial" w:hAnsi="Arial" w:cs="Arial"/>
          <w:szCs w:val="24"/>
        </w:rPr>
        <w:t xml:space="preserve"> </w:t>
      </w:r>
      <w:r w:rsidRPr="004B549A">
        <w:rPr>
          <w:rFonts w:ascii="Arial" w:hAnsi="Arial" w:cs="Arial"/>
          <w:szCs w:val="24"/>
        </w:rPr>
        <w:t>‘medicare program</w:t>
      </w:r>
      <w:r w:rsidR="007962CF" w:rsidRPr="004B549A">
        <w:rPr>
          <w:rFonts w:ascii="Arial" w:hAnsi="Arial" w:cs="Arial"/>
          <w:szCs w:val="24"/>
        </w:rPr>
        <w:t>s</w:t>
      </w:r>
      <w:r w:rsidRPr="004B549A">
        <w:rPr>
          <w:rFonts w:ascii="Arial" w:hAnsi="Arial" w:cs="Arial"/>
          <w:szCs w:val="24"/>
        </w:rPr>
        <w:t>’ or other specified Acts. These laws rely on the term ‘medicare program</w:t>
      </w:r>
      <w:r w:rsidR="007962CF" w:rsidRPr="004B549A">
        <w:rPr>
          <w:rFonts w:ascii="Arial" w:hAnsi="Arial" w:cs="Arial"/>
          <w:szCs w:val="24"/>
        </w:rPr>
        <w:t>s</w:t>
      </w:r>
      <w:r w:rsidRPr="004B549A">
        <w:rPr>
          <w:rFonts w:ascii="Arial" w:hAnsi="Arial" w:cs="Arial"/>
          <w:szCs w:val="24"/>
        </w:rPr>
        <w:t xml:space="preserve">’ in section 41G of the </w:t>
      </w:r>
      <w:r w:rsidRPr="004B549A">
        <w:rPr>
          <w:rFonts w:ascii="Arial" w:hAnsi="Arial" w:cs="Arial"/>
          <w:iCs/>
          <w:szCs w:val="24"/>
        </w:rPr>
        <w:t>Act</w:t>
      </w:r>
      <w:r w:rsidRPr="004B549A">
        <w:rPr>
          <w:rFonts w:ascii="Arial" w:hAnsi="Arial" w:cs="Arial"/>
          <w:i/>
          <w:szCs w:val="24"/>
        </w:rPr>
        <w:t xml:space="preserve"> </w:t>
      </w:r>
      <w:r w:rsidRPr="004B549A">
        <w:rPr>
          <w:rFonts w:ascii="Arial" w:hAnsi="Arial" w:cs="Arial"/>
          <w:szCs w:val="24"/>
        </w:rPr>
        <w:t>to identify those programs for which information may be recorded, divulged and communicated.</w:t>
      </w:r>
    </w:p>
    <w:p w14:paraId="4B56BE1E" w14:textId="77777777" w:rsidR="00455494" w:rsidRPr="004B549A" w:rsidRDefault="00455494" w:rsidP="00455494">
      <w:pPr>
        <w:keepNext/>
        <w:spacing w:before="0" w:after="240"/>
        <w:jc w:val="both"/>
        <w:rPr>
          <w:rFonts w:ascii="Arial" w:hAnsi="Arial" w:cs="Arial"/>
          <w:szCs w:val="24"/>
          <w:lang w:val="en-US"/>
        </w:rPr>
      </w:pPr>
      <w:r w:rsidRPr="004B549A">
        <w:rPr>
          <w:rFonts w:ascii="Arial" w:hAnsi="Arial" w:cs="Arial"/>
          <w:szCs w:val="24"/>
          <w:lang w:val="en-US"/>
        </w:rPr>
        <w:t>Section 41G defines ‘medicare programs’ to be services, benefits, programs or facilities that are provided under certain health-related legislation referred to in paragraph 41G(a) or those that are specified in a legislative instrument made under paragraph 41G(b).</w:t>
      </w:r>
    </w:p>
    <w:p w14:paraId="59C859CA" w14:textId="182839C4" w:rsidR="00455494" w:rsidRPr="004B549A" w:rsidRDefault="00455494" w:rsidP="00455494">
      <w:pPr>
        <w:spacing w:before="0" w:after="240"/>
        <w:jc w:val="both"/>
        <w:rPr>
          <w:rFonts w:ascii="Arial" w:hAnsi="Arial" w:cs="Arial"/>
          <w:szCs w:val="24"/>
        </w:rPr>
      </w:pPr>
      <w:r w:rsidRPr="004B549A">
        <w:rPr>
          <w:rFonts w:ascii="Arial" w:hAnsi="Arial" w:cs="Arial"/>
          <w:szCs w:val="24"/>
        </w:rPr>
        <w:t xml:space="preserve">By expanding the term ‘medicare programs’ to include programs specified in a legislative instrument, section 41G of the Act provides a mechanism to update and add to the range of programs that operate as </w:t>
      </w:r>
      <w:r w:rsidR="007962CF" w:rsidRPr="004B549A">
        <w:rPr>
          <w:rFonts w:ascii="Arial" w:hAnsi="Arial" w:cs="Arial"/>
          <w:szCs w:val="24"/>
        </w:rPr>
        <w:t>‘</w:t>
      </w:r>
      <w:r w:rsidRPr="004B549A">
        <w:rPr>
          <w:rFonts w:ascii="Arial" w:hAnsi="Arial" w:cs="Arial"/>
          <w:szCs w:val="24"/>
        </w:rPr>
        <w:t>medicare programs</w:t>
      </w:r>
      <w:r w:rsidR="007962CF" w:rsidRPr="004B549A">
        <w:rPr>
          <w:rFonts w:ascii="Arial" w:hAnsi="Arial" w:cs="Arial"/>
          <w:szCs w:val="24"/>
        </w:rPr>
        <w:t>’</w:t>
      </w:r>
      <w:r w:rsidRPr="004B549A">
        <w:rPr>
          <w:rFonts w:ascii="Arial" w:hAnsi="Arial" w:cs="Arial"/>
          <w:szCs w:val="24"/>
        </w:rPr>
        <w:t xml:space="preserve"> (and in relation to which information can be recorded</w:t>
      </w:r>
      <w:r w:rsidR="0077602D" w:rsidRPr="004B549A">
        <w:rPr>
          <w:rFonts w:ascii="Arial" w:hAnsi="Arial" w:cs="Arial"/>
          <w:szCs w:val="24"/>
        </w:rPr>
        <w:t xml:space="preserve"> </w:t>
      </w:r>
      <w:r w:rsidRPr="004B549A">
        <w:rPr>
          <w:rFonts w:ascii="Arial" w:hAnsi="Arial" w:cs="Arial"/>
          <w:szCs w:val="24"/>
        </w:rPr>
        <w:t>and disclosed).</w:t>
      </w:r>
    </w:p>
    <w:p w14:paraId="762992DD" w14:textId="38C216E1" w:rsidR="00455494" w:rsidRPr="004B549A" w:rsidRDefault="00455494" w:rsidP="00455494">
      <w:pPr>
        <w:keepNext/>
        <w:spacing w:before="0" w:after="240"/>
        <w:jc w:val="both"/>
        <w:rPr>
          <w:rFonts w:ascii="Arial" w:hAnsi="Arial" w:cs="Arial"/>
          <w:szCs w:val="24"/>
        </w:rPr>
      </w:pPr>
      <w:r w:rsidRPr="004B549A">
        <w:rPr>
          <w:rFonts w:ascii="Arial" w:hAnsi="Arial" w:cs="Arial"/>
          <w:szCs w:val="24"/>
          <w:lang w:val="en-US"/>
        </w:rPr>
        <w:t xml:space="preserve">The Specification amends the Principal Specification </w:t>
      </w:r>
      <w:r w:rsidRPr="004B549A">
        <w:rPr>
          <w:rFonts w:ascii="Arial" w:hAnsi="Arial" w:cs="Arial"/>
          <w:szCs w:val="24"/>
        </w:rPr>
        <w:t xml:space="preserve">to include the Australian General Practice Training Program (the AGPT Program) as a </w:t>
      </w:r>
      <w:r w:rsidR="007962CF" w:rsidRPr="004B549A">
        <w:rPr>
          <w:rFonts w:ascii="Arial" w:hAnsi="Arial" w:cs="Arial"/>
          <w:szCs w:val="24"/>
        </w:rPr>
        <w:t>‘</w:t>
      </w:r>
      <w:r w:rsidRPr="004B549A">
        <w:rPr>
          <w:rFonts w:ascii="Arial" w:hAnsi="Arial" w:cs="Arial"/>
          <w:szCs w:val="24"/>
        </w:rPr>
        <w:t>medicare program</w:t>
      </w:r>
      <w:r w:rsidR="007962CF" w:rsidRPr="004B549A">
        <w:rPr>
          <w:rFonts w:ascii="Arial" w:hAnsi="Arial" w:cs="Arial"/>
          <w:szCs w:val="24"/>
        </w:rPr>
        <w:t>’</w:t>
      </w:r>
      <w:r w:rsidRPr="004B549A">
        <w:rPr>
          <w:rFonts w:ascii="Arial" w:hAnsi="Arial" w:cs="Arial"/>
          <w:szCs w:val="24"/>
        </w:rPr>
        <w:t xml:space="preserve"> for the purposes of section 41G(b) of the Act.</w:t>
      </w:r>
    </w:p>
    <w:p w14:paraId="33F42B7C" w14:textId="77777777" w:rsidR="00455494" w:rsidRPr="004B549A" w:rsidRDefault="00455494" w:rsidP="00455494">
      <w:pPr>
        <w:keepNext/>
        <w:spacing w:before="0" w:after="240"/>
        <w:jc w:val="both"/>
        <w:rPr>
          <w:rFonts w:ascii="Arial" w:hAnsi="Arial" w:cs="Arial"/>
          <w:b/>
          <w:szCs w:val="24"/>
        </w:rPr>
      </w:pPr>
      <w:r w:rsidRPr="004B549A">
        <w:rPr>
          <w:rFonts w:ascii="Arial" w:hAnsi="Arial" w:cs="Arial"/>
          <w:b/>
          <w:szCs w:val="24"/>
        </w:rPr>
        <w:t>Human rights implications</w:t>
      </w:r>
    </w:p>
    <w:p w14:paraId="39350FFC" w14:textId="77777777" w:rsidR="00455494" w:rsidRPr="004B549A" w:rsidRDefault="00455494" w:rsidP="00455494">
      <w:pPr>
        <w:shd w:val="clear" w:color="auto" w:fill="FFFFFF"/>
        <w:spacing w:before="0" w:after="240"/>
        <w:jc w:val="both"/>
        <w:rPr>
          <w:rFonts w:ascii="Arial" w:hAnsi="Arial" w:cs="Arial"/>
          <w:szCs w:val="24"/>
        </w:rPr>
      </w:pPr>
      <w:r w:rsidRPr="004B549A">
        <w:rPr>
          <w:rFonts w:ascii="Arial" w:hAnsi="Arial" w:cs="Arial"/>
          <w:szCs w:val="24"/>
        </w:rPr>
        <w:t>The Specification engages the right to health (</w:t>
      </w:r>
      <w:r w:rsidRPr="004B549A">
        <w:rPr>
          <w:rFonts w:ascii="Arial" w:hAnsi="Arial" w:cs="Arial"/>
          <w:szCs w:val="24"/>
          <w:lang w:val="en-US"/>
        </w:rPr>
        <w:t xml:space="preserve">in article 12(1) of the </w:t>
      </w:r>
      <w:r w:rsidRPr="004B549A">
        <w:rPr>
          <w:rFonts w:ascii="Arial" w:hAnsi="Arial" w:cs="Arial"/>
          <w:i/>
          <w:szCs w:val="24"/>
          <w:lang w:val="en-US"/>
        </w:rPr>
        <w:t>International Covenant on Economic Social and Cultural Rights</w:t>
      </w:r>
      <w:r w:rsidRPr="004B549A">
        <w:rPr>
          <w:rFonts w:ascii="Arial" w:hAnsi="Arial" w:cs="Arial"/>
          <w:szCs w:val="24"/>
          <w:lang w:val="en-US"/>
        </w:rPr>
        <w:t xml:space="preserve"> (ICESCR))</w:t>
      </w:r>
      <w:r w:rsidRPr="004B549A">
        <w:rPr>
          <w:rFonts w:ascii="Arial" w:hAnsi="Arial" w:cs="Arial"/>
          <w:szCs w:val="24"/>
        </w:rPr>
        <w:t xml:space="preserve"> and the right to privacy (in article 17 of the </w:t>
      </w:r>
      <w:r w:rsidRPr="004B549A">
        <w:rPr>
          <w:rFonts w:ascii="Arial" w:hAnsi="Arial" w:cs="Arial"/>
          <w:i/>
          <w:szCs w:val="24"/>
        </w:rPr>
        <w:t>International Covenant on Civil and Political Rights</w:t>
      </w:r>
      <w:r w:rsidRPr="004B549A">
        <w:rPr>
          <w:rFonts w:ascii="Arial" w:hAnsi="Arial" w:cs="Arial"/>
          <w:szCs w:val="24"/>
        </w:rPr>
        <w:t xml:space="preserve"> (ICCPR)).</w:t>
      </w:r>
    </w:p>
    <w:p w14:paraId="43B30B84" w14:textId="77777777" w:rsidR="00455494" w:rsidRPr="004B549A" w:rsidRDefault="00455494" w:rsidP="005775BF">
      <w:pPr>
        <w:keepNext/>
        <w:spacing w:before="0" w:after="240"/>
        <w:jc w:val="both"/>
        <w:rPr>
          <w:rFonts w:ascii="Arial" w:hAnsi="Arial" w:cs="Arial"/>
          <w:i/>
          <w:szCs w:val="24"/>
        </w:rPr>
      </w:pPr>
      <w:r w:rsidRPr="004B549A">
        <w:rPr>
          <w:rFonts w:ascii="Arial" w:hAnsi="Arial" w:cs="Arial"/>
          <w:i/>
          <w:szCs w:val="24"/>
        </w:rPr>
        <w:lastRenderedPageBreak/>
        <w:t>Right to health</w:t>
      </w:r>
    </w:p>
    <w:p w14:paraId="46CDA00B" w14:textId="75CF13FE" w:rsidR="00455494" w:rsidRPr="004B549A" w:rsidRDefault="00455494" w:rsidP="005775BF">
      <w:pPr>
        <w:spacing w:before="0" w:after="240"/>
        <w:jc w:val="both"/>
        <w:rPr>
          <w:rFonts w:ascii="Arial" w:hAnsi="Arial" w:cs="Arial"/>
          <w:szCs w:val="24"/>
        </w:rPr>
      </w:pPr>
      <w:r w:rsidRPr="004B549A">
        <w:rPr>
          <w:rFonts w:ascii="Arial" w:hAnsi="Arial" w:cs="Arial"/>
          <w:szCs w:val="24"/>
        </w:rPr>
        <w:t xml:space="preserve">The Specification adds </w:t>
      </w:r>
      <w:r w:rsidRPr="004B549A">
        <w:rPr>
          <w:rFonts w:ascii="Arial" w:hAnsi="Arial" w:cs="Arial"/>
        </w:rPr>
        <w:t xml:space="preserve">the AGPT </w:t>
      </w:r>
      <w:r w:rsidRPr="004B549A">
        <w:rPr>
          <w:rFonts w:ascii="Arial" w:hAnsi="Arial" w:cs="Arial"/>
          <w:szCs w:val="24"/>
        </w:rPr>
        <w:t>Program as</w:t>
      </w:r>
      <w:r w:rsidR="009E6861" w:rsidRPr="004B549A">
        <w:rPr>
          <w:rFonts w:ascii="Arial" w:hAnsi="Arial" w:cs="Arial"/>
          <w:szCs w:val="24"/>
        </w:rPr>
        <w:t xml:space="preserve"> a</w:t>
      </w:r>
      <w:r w:rsidRPr="004B549A">
        <w:rPr>
          <w:rFonts w:ascii="Arial" w:hAnsi="Arial" w:cs="Arial"/>
          <w:szCs w:val="24"/>
        </w:rPr>
        <w:t xml:space="preserve"> ‘medicare program’ under paragraph</w:t>
      </w:r>
      <w:r w:rsidR="0077602D" w:rsidRPr="004B549A">
        <w:rPr>
          <w:rFonts w:ascii="Arial" w:hAnsi="Arial" w:cs="Arial"/>
          <w:szCs w:val="24"/>
        </w:rPr>
        <w:t> </w:t>
      </w:r>
      <w:r w:rsidRPr="004B549A">
        <w:rPr>
          <w:rFonts w:ascii="Arial" w:hAnsi="Arial" w:cs="Arial"/>
          <w:szCs w:val="24"/>
        </w:rPr>
        <w:t>41G(b) of the Act</w:t>
      </w:r>
      <w:r w:rsidR="009E6861" w:rsidRPr="004B549A">
        <w:rPr>
          <w:rFonts w:ascii="Arial" w:hAnsi="Arial" w:cs="Arial"/>
          <w:szCs w:val="24"/>
        </w:rPr>
        <w:t>.</w:t>
      </w:r>
    </w:p>
    <w:p w14:paraId="59819EB6" w14:textId="77777777" w:rsidR="00455494" w:rsidRPr="004B549A" w:rsidRDefault="00455494" w:rsidP="005775BF">
      <w:pPr>
        <w:spacing w:before="0" w:after="240"/>
        <w:jc w:val="both"/>
        <w:rPr>
          <w:rFonts w:ascii="Arial" w:hAnsi="Arial" w:cs="Arial"/>
          <w:szCs w:val="24"/>
        </w:rPr>
      </w:pPr>
      <w:r w:rsidRPr="004B549A">
        <w:rPr>
          <w:rFonts w:ascii="Arial" w:hAnsi="Arial" w:cs="Arial"/>
          <w:szCs w:val="24"/>
        </w:rPr>
        <w:t>The AGPT Program trains doctors to become general practitioners. It supports the training of medical registrars in general practice by covering participant training fees and offering incentives for working in regional, rural and remote areas.</w:t>
      </w:r>
    </w:p>
    <w:p w14:paraId="5CB2885A" w14:textId="243EFA53" w:rsidR="00455494" w:rsidRPr="004B549A" w:rsidRDefault="00455494" w:rsidP="005775BF">
      <w:pPr>
        <w:spacing w:before="0" w:after="240"/>
        <w:jc w:val="both"/>
        <w:rPr>
          <w:rFonts w:ascii="Arial" w:hAnsi="Arial" w:cs="Arial"/>
          <w:szCs w:val="24"/>
        </w:rPr>
      </w:pPr>
      <w:r w:rsidRPr="004B549A">
        <w:rPr>
          <w:rFonts w:ascii="Arial" w:hAnsi="Arial" w:cs="Arial"/>
          <w:szCs w:val="24"/>
        </w:rPr>
        <w:t>The Specification therefore advances the right to health established by article 12 of the ICESCR insofar as it supports the effective delivery of the AGPT Program—a</w:t>
      </w:r>
      <w:r w:rsidR="0077602D" w:rsidRPr="004B549A">
        <w:rPr>
          <w:rFonts w:ascii="Arial" w:hAnsi="Arial" w:cs="Arial"/>
          <w:szCs w:val="24"/>
        </w:rPr>
        <w:t> </w:t>
      </w:r>
      <w:r w:rsidRPr="004B549A">
        <w:rPr>
          <w:rFonts w:ascii="Arial" w:hAnsi="Arial" w:cs="Arial"/>
          <w:szCs w:val="24"/>
        </w:rPr>
        <w:t>program that ultimately aims to improve access to primary health care, including in rural, regional and remote areas.</w:t>
      </w:r>
    </w:p>
    <w:p w14:paraId="4825D58A" w14:textId="77777777" w:rsidR="00455494" w:rsidRPr="004B549A" w:rsidRDefault="00455494" w:rsidP="00455494">
      <w:pPr>
        <w:spacing w:before="0" w:after="240"/>
        <w:rPr>
          <w:rFonts w:ascii="Arial" w:hAnsi="Arial" w:cs="Arial"/>
          <w:i/>
          <w:szCs w:val="24"/>
        </w:rPr>
      </w:pPr>
      <w:r w:rsidRPr="004B549A">
        <w:rPr>
          <w:rFonts w:ascii="Arial" w:hAnsi="Arial" w:cs="Arial"/>
          <w:i/>
          <w:szCs w:val="24"/>
        </w:rPr>
        <w:t>Right to Privacy</w:t>
      </w:r>
    </w:p>
    <w:p w14:paraId="6E7DD7BC" w14:textId="2C768561" w:rsidR="00455494" w:rsidRPr="004B549A" w:rsidRDefault="00455494" w:rsidP="00455494">
      <w:pPr>
        <w:shd w:val="clear" w:color="auto" w:fill="FFFFFF"/>
        <w:spacing w:before="0" w:after="240"/>
        <w:jc w:val="both"/>
        <w:rPr>
          <w:rFonts w:ascii="Arial" w:hAnsi="Arial" w:cs="Arial"/>
          <w:szCs w:val="24"/>
        </w:rPr>
      </w:pPr>
      <w:r w:rsidRPr="004B549A">
        <w:rPr>
          <w:rFonts w:ascii="Arial" w:hAnsi="Arial" w:cs="Arial"/>
          <w:szCs w:val="24"/>
        </w:rPr>
        <w:t xml:space="preserve">Specifying the AGPT Program as a ‘medicare program’ will authorise a person to divulge, communicate and record information obtained under certain laws (for example, those that establish Medicare and the Pharmaceutical Benefits Scheme) for the purposes of administering the AGPT Program. In practice, the change will primarily support the use of Medicare-related information held about health professionals (such as Medicare provider numbers and Medicare </w:t>
      </w:r>
      <w:r w:rsidR="009E6861" w:rsidRPr="004B549A">
        <w:rPr>
          <w:rFonts w:ascii="Arial" w:hAnsi="Arial" w:cs="Arial"/>
          <w:szCs w:val="24"/>
        </w:rPr>
        <w:t>STEMs</w:t>
      </w:r>
      <w:r w:rsidRPr="004B549A">
        <w:rPr>
          <w:rFonts w:ascii="Arial" w:hAnsi="Arial" w:cs="Arial"/>
          <w:szCs w:val="24"/>
        </w:rPr>
        <w:t xml:space="preserve">) for AGPT Program purposes. </w:t>
      </w:r>
    </w:p>
    <w:p w14:paraId="6CCA47DF" w14:textId="5E993292" w:rsidR="00455494" w:rsidRPr="004B549A" w:rsidRDefault="00455494" w:rsidP="00455494">
      <w:pPr>
        <w:shd w:val="clear" w:color="auto" w:fill="FFFFFF"/>
        <w:spacing w:before="0" w:after="240"/>
        <w:jc w:val="both"/>
        <w:rPr>
          <w:rFonts w:ascii="Arial" w:hAnsi="Arial" w:cs="Arial"/>
          <w:szCs w:val="24"/>
        </w:rPr>
      </w:pPr>
      <w:r w:rsidRPr="004B549A">
        <w:rPr>
          <w:rFonts w:ascii="Arial" w:hAnsi="Arial" w:cs="Arial"/>
          <w:szCs w:val="24"/>
        </w:rPr>
        <w:t xml:space="preserve">The information obtained for the purposes of the AGPT Program may also be divulged, communicated and recorded for the purposes of other </w:t>
      </w:r>
      <w:r w:rsidR="007962CF" w:rsidRPr="004B549A">
        <w:rPr>
          <w:rFonts w:ascii="Arial" w:hAnsi="Arial" w:cs="Arial"/>
          <w:szCs w:val="24"/>
        </w:rPr>
        <w:t>Medicare</w:t>
      </w:r>
      <w:r w:rsidRPr="004B549A">
        <w:rPr>
          <w:rFonts w:ascii="Arial" w:hAnsi="Arial" w:cs="Arial"/>
          <w:szCs w:val="24"/>
        </w:rPr>
        <w:t xml:space="preserve"> programs but only where this is authorised by law. </w:t>
      </w:r>
    </w:p>
    <w:p w14:paraId="27342A87" w14:textId="77777777" w:rsidR="00455494" w:rsidRPr="004B549A" w:rsidRDefault="00455494" w:rsidP="00455494">
      <w:pPr>
        <w:shd w:val="clear" w:color="auto" w:fill="FFFFFF"/>
        <w:spacing w:before="0" w:after="240"/>
        <w:jc w:val="both"/>
        <w:rPr>
          <w:rFonts w:ascii="Arial" w:hAnsi="Arial" w:cs="Arial"/>
          <w:szCs w:val="24"/>
        </w:rPr>
      </w:pPr>
      <w:r w:rsidRPr="004B549A">
        <w:rPr>
          <w:rFonts w:ascii="Arial" w:hAnsi="Arial" w:cs="Arial"/>
          <w:szCs w:val="24"/>
        </w:rPr>
        <w:t>For the purposes of Article 17 of the ICCPR, the collection or use of any personal information would not be unlawful as it would be authorised under legislation. Further, the collection or use of personal information for this purpose would not constitute an arbitrary interference with the right to privacy as it would be undertaken for the legitimate and necessary objectives of administering the AGPT Program, including to do so consistently with Medicare and other health programs.</w:t>
      </w:r>
    </w:p>
    <w:p w14:paraId="175041E8" w14:textId="1865F10C" w:rsidR="00455494" w:rsidRPr="004B549A" w:rsidRDefault="00455494" w:rsidP="00455494">
      <w:pPr>
        <w:shd w:val="clear" w:color="auto" w:fill="FFFFFF"/>
        <w:spacing w:before="0" w:after="240"/>
        <w:jc w:val="both"/>
        <w:rPr>
          <w:rFonts w:ascii="Arial" w:hAnsi="Arial" w:cs="Arial"/>
          <w:szCs w:val="24"/>
        </w:rPr>
      </w:pPr>
      <w:r w:rsidRPr="004B549A">
        <w:rPr>
          <w:rFonts w:ascii="Arial" w:hAnsi="Arial" w:cs="Arial"/>
          <w:szCs w:val="24"/>
        </w:rPr>
        <w:t xml:space="preserve">The limitation on the right to privacy is </w:t>
      </w:r>
      <w:r w:rsidR="00FD4146" w:rsidRPr="004B549A">
        <w:rPr>
          <w:rFonts w:ascii="Arial" w:hAnsi="Arial" w:cs="Arial"/>
          <w:szCs w:val="24"/>
        </w:rPr>
        <w:t>proportionate,</w:t>
      </w:r>
      <w:r w:rsidRPr="004B549A">
        <w:rPr>
          <w:rFonts w:ascii="Arial" w:hAnsi="Arial" w:cs="Arial"/>
          <w:szCs w:val="24"/>
        </w:rPr>
        <w:t xml:space="preserve"> as the provision of any personal information about providers would only be undertaken for the purposes of administering </w:t>
      </w:r>
      <w:r w:rsidR="009E6861" w:rsidRPr="004B549A">
        <w:rPr>
          <w:rFonts w:ascii="Arial" w:hAnsi="Arial" w:cs="Arial"/>
          <w:szCs w:val="24"/>
        </w:rPr>
        <w:t>the AGPT P</w:t>
      </w:r>
      <w:r w:rsidRPr="004B549A">
        <w:rPr>
          <w:rFonts w:ascii="Arial" w:hAnsi="Arial" w:cs="Arial"/>
          <w:szCs w:val="24"/>
        </w:rPr>
        <w:t xml:space="preserve">rogram. Information would be subject to secrecy provisions to prevent unauthorised disclosures. </w:t>
      </w:r>
    </w:p>
    <w:p w14:paraId="7CFD11FB" w14:textId="77777777" w:rsidR="00455494" w:rsidRPr="004B549A" w:rsidRDefault="00455494" w:rsidP="00455494">
      <w:pPr>
        <w:keepNext/>
        <w:spacing w:before="0" w:after="240"/>
        <w:jc w:val="both"/>
        <w:rPr>
          <w:rFonts w:ascii="Arial" w:hAnsi="Arial" w:cs="Arial"/>
          <w:b/>
          <w:szCs w:val="24"/>
        </w:rPr>
      </w:pPr>
      <w:r w:rsidRPr="004B549A">
        <w:rPr>
          <w:rFonts w:ascii="Arial" w:hAnsi="Arial" w:cs="Arial"/>
          <w:b/>
          <w:szCs w:val="24"/>
        </w:rPr>
        <w:t xml:space="preserve">Conclusion </w:t>
      </w:r>
    </w:p>
    <w:p w14:paraId="13A7CCF0" w14:textId="060BD0C8" w:rsidR="00455494" w:rsidRPr="004B549A" w:rsidRDefault="00455494" w:rsidP="00455494">
      <w:pPr>
        <w:spacing w:before="0" w:after="240"/>
        <w:jc w:val="both"/>
        <w:rPr>
          <w:rFonts w:ascii="Arial" w:hAnsi="Arial" w:cs="Arial"/>
          <w:szCs w:val="24"/>
        </w:rPr>
      </w:pPr>
      <w:r w:rsidRPr="004B549A">
        <w:rPr>
          <w:rFonts w:ascii="Arial" w:hAnsi="Arial" w:cs="Arial"/>
          <w:szCs w:val="24"/>
        </w:rPr>
        <w:t xml:space="preserve">The Specification is compatible with human rights because it advances the protection of the right to health. To the extent that it </w:t>
      </w:r>
      <w:r w:rsidRPr="004B549A">
        <w:rPr>
          <w:rFonts w:ascii="Arial" w:hAnsi="Arial" w:cs="Arial"/>
          <w:szCs w:val="24"/>
          <w:lang w:val="en-GB"/>
        </w:rPr>
        <w:t xml:space="preserve">limits the right to privacy to that end, those limitations are reasonable, necessary and </w:t>
      </w:r>
      <w:r w:rsidRPr="004B549A">
        <w:rPr>
          <w:rFonts w:ascii="Arial" w:hAnsi="Arial" w:cs="Arial"/>
          <w:szCs w:val="24"/>
        </w:rPr>
        <w:t>proportionate.</w:t>
      </w:r>
    </w:p>
    <w:p w14:paraId="0E554966" w14:textId="77777777" w:rsidR="0077602D" w:rsidRPr="004B549A" w:rsidRDefault="0077602D" w:rsidP="00455494">
      <w:pPr>
        <w:spacing w:before="0" w:after="240"/>
        <w:jc w:val="both"/>
        <w:rPr>
          <w:rFonts w:ascii="Arial" w:hAnsi="Arial" w:cs="Arial"/>
          <w:szCs w:val="24"/>
        </w:rPr>
      </w:pPr>
    </w:p>
    <w:bookmarkEnd w:id="1"/>
    <w:p w14:paraId="56C8611C" w14:textId="318E46C7" w:rsidR="002810A5" w:rsidRPr="00455494" w:rsidRDefault="00455494" w:rsidP="005775BF">
      <w:pPr>
        <w:spacing w:before="0" w:after="240"/>
        <w:jc w:val="center"/>
        <w:rPr>
          <w:rStyle w:val="BookTitle"/>
          <w:i w:val="0"/>
          <w:iCs w:val="0"/>
          <w:smallCaps w:val="0"/>
          <w:spacing w:val="0"/>
        </w:rPr>
      </w:pPr>
      <w:r w:rsidRPr="004B549A">
        <w:rPr>
          <w:rFonts w:ascii="Arial" w:hAnsi="Arial" w:cs="Arial"/>
          <w:b/>
          <w:szCs w:val="24"/>
        </w:rPr>
        <w:t>The Hon Bill Shorten MP, Minister for Government Services</w:t>
      </w:r>
      <w:bookmarkStart w:id="2" w:name="_GoBack"/>
      <w:bookmarkEnd w:id="2"/>
    </w:p>
    <w:sectPr w:rsidR="002810A5" w:rsidRPr="00455494">
      <w:footnotePr>
        <w:numRestart w:val="eachSect"/>
      </w:footnotePr>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22ECD" w16cex:dateUtc="2023-01-17T2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61B430" w16cid:durableId="276FF93A"/>
  <w16cid:commentId w16cid:paraId="64025AEE" w16cid:durableId="27722ECD"/>
  <w16cid:commentId w16cid:paraId="4967546C" w16cid:durableId="276FF9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38BEE" w14:textId="77777777" w:rsidR="003D40EF" w:rsidRDefault="003D40EF" w:rsidP="00AD1645">
      <w:pPr>
        <w:spacing w:before="0"/>
      </w:pPr>
      <w:r>
        <w:separator/>
      </w:r>
    </w:p>
  </w:endnote>
  <w:endnote w:type="continuationSeparator" w:id="0">
    <w:p w14:paraId="0B1C5ABD" w14:textId="77777777" w:rsidR="003D40EF" w:rsidRDefault="003D40EF"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C13F8" w14:textId="77777777" w:rsidR="003D40EF" w:rsidRDefault="003D40EF" w:rsidP="00AD1645">
      <w:pPr>
        <w:spacing w:before="0"/>
      </w:pPr>
      <w:r>
        <w:separator/>
      </w:r>
    </w:p>
  </w:footnote>
  <w:footnote w:type="continuationSeparator" w:id="0">
    <w:p w14:paraId="0C5CCF08" w14:textId="77777777" w:rsidR="003D40EF" w:rsidRDefault="003D40EF"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CE67B3"/>
    <w:multiLevelType w:val="hybridMultilevel"/>
    <w:tmpl w:val="0DEA4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441B9D"/>
    <w:multiLevelType w:val="hybridMultilevel"/>
    <w:tmpl w:val="3F48F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514713"/>
    <w:multiLevelType w:val="multilevel"/>
    <w:tmpl w:val="D76A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7B018D"/>
    <w:multiLevelType w:val="hybridMultilevel"/>
    <w:tmpl w:val="72D4B5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B95964"/>
    <w:multiLevelType w:val="hybridMultilevel"/>
    <w:tmpl w:val="1AF0D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DE0D42"/>
    <w:multiLevelType w:val="multilevel"/>
    <w:tmpl w:val="A53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7800EA"/>
    <w:multiLevelType w:val="hybridMultilevel"/>
    <w:tmpl w:val="0F9A0E6A"/>
    <w:lvl w:ilvl="0" w:tplc="93722252">
      <w:start w:val="2023"/>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A45A80"/>
    <w:multiLevelType w:val="hybridMultilevel"/>
    <w:tmpl w:val="763C5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8C0A89"/>
    <w:multiLevelType w:val="hybridMultilevel"/>
    <w:tmpl w:val="D1264498"/>
    <w:lvl w:ilvl="0" w:tplc="0C090001">
      <w:start w:val="1"/>
      <w:numFmt w:val="bullet"/>
      <w:lvlText w:val=""/>
      <w:lvlJc w:val="left"/>
      <w:pPr>
        <w:ind w:left="1148" w:hanging="360"/>
      </w:pPr>
      <w:rPr>
        <w:rFonts w:ascii="Symbol" w:hAnsi="Symbol" w:hint="default"/>
      </w:rPr>
    </w:lvl>
    <w:lvl w:ilvl="1" w:tplc="0C090003" w:tentative="1">
      <w:start w:val="1"/>
      <w:numFmt w:val="bullet"/>
      <w:lvlText w:val="o"/>
      <w:lvlJc w:val="left"/>
      <w:pPr>
        <w:ind w:left="1868" w:hanging="360"/>
      </w:pPr>
      <w:rPr>
        <w:rFonts w:ascii="Courier New" w:hAnsi="Courier New" w:cs="Courier New" w:hint="default"/>
      </w:rPr>
    </w:lvl>
    <w:lvl w:ilvl="2" w:tplc="0C090005" w:tentative="1">
      <w:start w:val="1"/>
      <w:numFmt w:val="bullet"/>
      <w:lvlText w:val=""/>
      <w:lvlJc w:val="left"/>
      <w:pPr>
        <w:ind w:left="2588" w:hanging="360"/>
      </w:pPr>
      <w:rPr>
        <w:rFonts w:ascii="Wingdings" w:hAnsi="Wingdings" w:hint="default"/>
      </w:rPr>
    </w:lvl>
    <w:lvl w:ilvl="3" w:tplc="0C090001" w:tentative="1">
      <w:start w:val="1"/>
      <w:numFmt w:val="bullet"/>
      <w:lvlText w:val=""/>
      <w:lvlJc w:val="left"/>
      <w:pPr>
        <w:ind w:left="3308" w:hanging="360"/>
      </w:pPr>
      <w:rPr>
        <w:rFonts w:ascii="Symbol" w:hAnsi="Symbol" w:hint="default"/>
      </w:rPr>
    </w:lvl>
    <w:lvl w:ilvl="4" w:tplc="0C090003" w:tentative="1">
      <w:start w:val="1"/>
      <w:numFmt w:val="bullet"/>
      <w:lvlText w:val="o"/>
      <w:lvlJc w:val="left"/>
      <w:pPr>
        <w:ind w:left="4028" w:hanging="360"/>
      </w:pPr>
      <w:rPr>
        <w:rFonts w:ascii="Courier New" w:hAnsi="Courier New" w:cs="Courier New" w:hint="default"/>
      </w:rPr>
    </w:lvl>
    <w:lvl w:ilvl="5" w:tplc="0C090005" w:tentative="1">
      <w:start w:val="1"/>
      <w:numFmt w:val="bullet"/>
      <w:lvlText w:val=""/>
      <w:lvlJc w:val="left"/>
      <w:pPr>
        <w:ind w:left="4748" w:hanging="360"/>
      </w:pPr>
      <w:rPr>
        <w:rFonts w:ascii="Wingdings" w:hAnsi="Wingdings" w:hint="default"/>
      </w:rPr>
    </w:lvl>
    <w:lvl w:ilvl="6" w:tplc="0C090001" w:tentative="1">
      <w:start w:val="1"/>
      <w:numFmt w:val="bullet"/>
      <w:lvlText w:val=""/>
      <w:lvlJc w:val="left"/>
      <w:pPr>
        <w:ind w:left="5468" w:hanging="360"/>
      </w:pPr>
      <w:rPr>
        <w:rFonts w:ascii="Symbol" w:hAnsi="Symbol" w:hint="default"/>
      </w:rPr>
    </w:lvl>
    <w:lvl w:ilvl="7" w:tplc="0C090003" w:tentative="1">
      <w:start w:val="1"/>
      <w:numFmt w:val="bullet"/>
      <w:lvlText w:val="o"/>
      <w:lvlJc w:val="left"/>
      <w:pPr>
        <w:ind w:left="6188" w:hanging="360"/>
      </w:pPr>
      <w:rPr>
        <w:rFonts w:ascii="Courier New" w:hAnsi="Courier New" w:cs="Courier New" w:hint="default"/>
      </w:rPr>
    </w:lvl>
    <w:lvl w:ilvl="8" w:tplc="0C090005" w:tentative="1">
      <w:start w:val="1"/>
      <w:numFmt w:val="bullet"/>
      <w:lvlText w:val=""/>
      <w:lvlJc w:val="left"/>
      <w:pPr>
        <w:ind w:left="6908" w:hanging="360"/>
      </w:pPr>
      <w:rPr>
        <w:rFonts w:ascii="Wingdings" w:hAnsi="Wingdings" w:hint="default"/>
      </w:rPr>
    </w:lvl>
  </w:abstractNum>
  <w:abstractNum w:abstractNumId="21"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2"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CB56C3"/>
    <w:multiLevelType w:val="hybridMultilevel"/>
    <w:tmpl w:val="8180A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70E37958"/>
    <w:multiLevelType w:val="hybridMultilevel"/>
    <w:tmpl w:val="CCCA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B51E67"/>
    <w:multiLevelType w:val="multilevel"/>
    <w:tmpl w:val="213A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4"/>
  </w:num>
  <w:num w:numId="4">
    <w:abstractNumId w:val="19"/>
  </w:num>
  <w:num w:numId="5">
    <w:abstractNumId w:val="16"/>
  </w:num>
  <w:num w:numId="6">
    <w:abstractNumId w:val="2"/>
  </w:num>
  <w:num w:numId="7">
    <w:abstractNumId w:val="13"/>
  </w:num>
  <w:num w:numId="8">
    <w:abstractNumId w:val="21"/>
  </w:num>
  <w:num w:numId="9">
    <w:abstractNumId w:val="11"/>
  </w:num>
  <w:num w:numId="10">
    <w:abstractNumId w:val="22"/>
  </w:num>
  <w:num w:numId="11">
    <w:abstractNumId w:val="3"/>
  </w:num>
  <w:num w:numId="12">
    <w:abstractNumId w:val="7"/>
  </w:num>
  <w:num w:numId="13">
    <w:abstractNumId w:val="0"/>
  </w:num>
  <w:num w:numId="14">
    <w:abstractNumId w:val="12"/>
  </w:num>
  <w:num w:numId="15">
    <w:abstractNumId w:val="9"/>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5"/>
  </w:num>
  <w:num w:numId="19">
    <w:abstractNumId w:val="20"/>
  </w:num>
  <w:num w:numId="20">
    <w:abstractNumId w:val="4"/>
  </w:num>
  <w:num w:numId="21">
    <w:abstractNumId w:val="1"/>
  </w:num>
  <w:num w:numId="22">
    <w:abstractNumId w:val="8"/>
  </w:num>
  <w:num w:numId="23">
    <w:abstractNumId w:val="23"/>
  </w:num>
  <w:num w:numId="24">
    <w:abstractNumId w:val="25"/>
  </w:num>
  <w:num w:numId="25">
    <w:abstractNumId w:val="5"/>
  </w:num>
  <w:num w:numId="26">
    <w:abstractNumId w:val="17"/>
  </w:num>
  <w:num w:numId="27">
    <w:abstractNumId w:val="1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7BC"/>
    <w:rsid w:val="00000E2A"/>
    <w:rsid w:val="00004004"/>
    <w:rsid w:val="00004122"/>
    <w:rsid w:val="0000668E"/>
    <w:rsid w:val="00006F27"/>
    <w:rsid w:val="00010C03"/>
    <w:rsid w:val="000116FE"/>
    <w:rsid w:val="00011CD0"/>
    <w:rsid w:val="00021ED2"/>
    <w:rsid w:val="00030972"/>
    <w:rsid w:val="00030B79"/>
    <w:rsid w:val="00031D0B"/>
    <w:rsid w:val="00043B6D"/>
    <w:rsid w:val="00045BF2"/>
    <w:rsid w:val="0004725C"/>
    <w:rsid w:val="00051C3F"/>
    <w:rsid w:val="00053986"/>
    <w:rsid w:val="00053CE7"/>
    <w:rsid w:val="00054814"/>
    <w:rsid w:val="000601A8"/>
    <w:rsid w:val="0006693F"/>
    <w:rsid w:val="00066DAE"/>
    <w:rsid w:val="00070603"/>
    <w:rsid w:val="00070F07"/>
    <w:rsid w:val="00071029"/>
    <w:rsid w:val="00074414"/>
    <w:rsid w:val="00074C1A"/>
    <w:rsid w:val="00076055"/>
    <w:rsid w:val="000760DC"/>
    <w:rsid w:val="000824C2"/>
    <w:rsid w:val="000844AF"/>
    <w:rsid w:val="00084B46"/>
    <w:rsid w:val="00085730"/>
    <w:rsid w:val="00096B8D"/>
    <w:rsid w:val="000A3595"/>
    <w:rsid w:val="000A388C"/>
    <w:rsid w:val="000A772F"/>
    <w:rsid w:val="000B0B7C"/>
    <w:rsid w:val="000B1B84"/>
    <w:rsid w:val="000B4130"/>
    <w:rsid w:val="000B42D4"/>
    <w:rsid w:val="000B6B23"/>
    <w:rsid w:val="000B7DE2"/>
    <w:rsid w:val="000C0647"/>
    <w:rsid w:val="000C2DDB"/>
    <w:rsid w:val="000C5204"/>
    <w:rsid w:val="000D365F"/>
    <w:rsid w:val="000E02A0"/>
    <w:rsid w:val="000E1DC4"/>
    <w:rsid w:val="000E3915"/>
    <w:rsid w:val="000E5AEB"/>
    <w:rsid w:val="000F35A5"/>
    <w:rsid w:val="000F5199"/>
    <w:rsid w:val="000F7951"/>
    <w:rsid w:val="0010136D"/>
    <w:rsid w:val="001050CB"/>
    <w:rsid w:val="0011719D"/>
    <w:rsid w:val="001173FA"/>
    <w:rsid w:val="00117936"/>
    <w:rsid w:val="00120E1F"/>
    <w:rsid w:val="0012560E"/>
    <w:rsid w:val="0012617A"/>
    <w:rsid w:val="00126356"/>
    <w:rsid w:val="00126429"/>
    <w:rsid w:val="001310C6"/>
    <w:rsid w:val="001336CE"/>
    <w:rsid w:val="00137AA7"/>
    <w:rsid w:val="00140359"/>
    <w:rsid w:val="00145B99"/>
    <w:rsid w:val="00150138"/>
    <w:rsid w:val="001502F9"/>
    <w:rsid w:val="0015134A"/>
    <w:rsid w:val="00152472"/>
    <w:rsid w:val="00157014"/>
    <w:rsid w:val="00163809"/>
    <w:rsid w:val="0016653C"/>
    <w:rsid w:val="0016757F"/>
    <w:rsid w:val="001728DD"/>
    <w:rsid w:val="00173C1B"/>
    <w:rsid w:val="00175BC6"/>
    <w:rsid w:val="00181FFC"/>
    <w:rsid w:val="0019055E"/>
    <w:rsid w:val="0019088C"/>
    <w:rsid w:val="00191AEC"/>
    <w:rsid w:val="001920F3"/>
    <w:rsid w:val="00192C06"/>
    <w:rsid w:val="00194354"/>
    <w:rsid w:val="001A737C"/>
    <w:rsid w:val="001B02D6"/>
    <w:rsid w:val="001B147C"/>
    <w:rsid w:val="001B413B"/>
    <w:rsid w:val="001B5379"/>
    <w:rsid w:val="001B6E53"/>
    <w:rsid w:val="001C64F9"/>
    <w:rsid w:val="001D69AF"/>
    <w:rsid w:val="001D7745"/>
    <w:rsid w:val="001E0D0B"/>
    <w:rsid w:val="001E5B72"/>
    <w:rsid w:val="001E5D12"/>
    <w:rsid w:val="001E630D"/>
    <w:rsid w:val="001E684F"/>
    <w:rsid w:val="001E7422"/>
    <w:rsid w:val="001F4805"/>
    <w:rsid w:val="001F4E3C"/>
    <w:rsid w:val="001F5467"/>
    <w:rsid w:val="00204AE6"/>
    <w:rsid w:val="002154EE"/>
    <w:rsid w:val="00215E62"/>
    <w:rsid w:val="0022294A"/>
    <w:rsid w:val="00224887"/>
    <w:rsid w:val="00227C20"/>
    <w:rsid w:val="00231972"/>
    <w:rsid w:val="002329E1"/>
    <w:rsid w:val="002334D9"/>
    <w:rsid w:val="00234F9E"/>
    <w:rsid w:val="002400F1"/>
    <w:rsid w:val="00240E8C"/>
    <w:rsid w:val="00241EBA"/>
    <w:rsid w:val="0024465E"/>
    <w:rsid w:val="002466D1"/>
    <w:rsid w:val="0024760C"/>
    <w:rsid w:val="0025209E"/>
    <w:rsid w:val="002533F0"/>
    <w:rsid w:val="00253B00"/>
    <w:rsid w:val="0025614B"/>
    <w:rsid w:val="00262505"/>
    <w:rsid w:val="002642C7"/>
    <w:rsid w:val="00264C31"/>
    <w:rsid w:val="00271D2C"/>
    <w:rsid w:val="002741BD"/>
    <w:rsid w:val="00274CAF"/>
    <w:rsid w:val="00275980"/>
    <w:rsid w:val="00276D06"/>
    <w:rsid w:val="00276F09"/>
    <w:rsid w:val="002804D5"/>
    <w:rsid w:val="002810A5"/>
    <w:rsid w:val="00281529"/>
    <w:rsid w:val="00283079"/>
    <w:rsid w:val="002914BF"/>
    <w:rsid w:val="002926E3"/>
    <w:rsid w:val="0029652C"/>
    <w:rsid w:val="002A0E63"/>
    <w:rsid w:val="002A2A71"/>
    <w:rsid w:val="002A46E4"/>
    <w:rsid w:val="002A523B"/>
    <w:rsid w:val="002A6007"/>
    <w:rsid w:val="002A63EA"/>
    <w:rsid w:val="002B0175"/>
    <w:rsid w:val="002B2369"/>
    <w:rsid w:val="002B5EB3"/>
    <w:rsid w:val="002C0F57"/>
    <w:rsid w:val="002C1403"/>
    <w:rsid w:val="002C1938"/>
    <w:rsid w:val="002C2252"/>
    <w:rsid w:val="002C457C"/>
    <w:rsid w:val="002C6177"/>
    <w:rsid w:val="002C6BF8"/>
    <w:rsid w:val="002D0CBA"/>
    <w:rsid w:val="002D0F1C"/>
    <w:rsid w:val="002D35D8"/>
    <w:rsid w:val="002D4522"/>
    <w:rsid w:val="002D5EEB"/>
    <w:rsid w:val="002E0BB1"/>
    <w:rsid w:val="002E431D"/>
    <w:rsid w:val="002E45E2"/>
    <w:rsid w:val="002E74E8"/>
    <w:rsid w:val="002F49EC"/>
    <w:rsid w:val="002F5596"/>
    <w:rsid w:val="002F55ED"/>
    <w:rsid w:val="002F7128"/>
    <w:rsid w:val="002F7C44"/>
    <w:rsid w:val="00300D8B"/>
    <w:rsid w:val="003119FD"/>
    <w:rsid w:val="003142B8"/>
    <w:rsid w:val="003321FA"/>
    <w:rsid w:val="00333A9C"/>
    <w:rsid w:val="00334F9D"/>
    <w:rsid w:val="00337065"/>
    <w:rsid w:val="00340AD0"/>
    <w:rsid w:val="003430FC"/>
    <w:rsid w:val="003434E2"/>
    <w:rsid w:val="0034562D"/>
    <w:rsid w:val="00345FFE"/>
    <w:rsid w:val="00346238"/>
    <w:rsid w:val="0034653B"/>
    <w:rsid w:val="003469EB"/>
    <w:rsid w:val="0035169E"/>
    <w:rsid w:val="0035189D"/>
    <w:rsid w:val="00351E79"/>
    <w:rsid w:val="0035378F"/>
    <w:rsid w:val="0035502C"/>
    <w:rsid w:val="00356644"/>
    <w:rsid w:val="003569C5"/>
    <w:rsid w:val="0036053A"/>
    <w:rsid w:val="003606C5"/>
    <w:rsid w:val="00365424"/>
    <w:rsid w:val="00365B87"/>
    <w:rsid w:val="00367239"/>
    <w:rsid w:val="0037203C"/>
    <w:rsid w:val="00373DFA"/>
    <w:rsid w:val="00374A77"/>
    <w:rsid w:val="00380666"/>
    <w:rsid w:val="00384E93"/>
    <w:rsid w:val="003854CD"/>
    <w:rsid w:val="00387D89"/>
    <w:rsid w:val="00391905"/>
    <w:rsid w:val="00392EB6"/>
    <w:rsid w:val="00393D4E"/>
    <w:rsid w:val="00394743"/>
    <w:rsid w:val="003972C3"/>
    <w:rsid w:val="003A04AD"/>
    <w:rsid w:val="003A07B5"/>
    <w:rsid w:val="003A0C31"/>
    <w:rsid w:val="003A1413"/>
    <w:rsid w:val="003A4931"/>
    <w:rsid w:val="003A49D4"/>
    <w:rsid w:val="003A4F63"/>
    <w:rsid w:val="003B2BB8"/>
    <w:rsid w:val="003B44E1"/>
    <w:rsid w:val="003C3368"/>
    <w:rsid w:val="003C54B6"/>
    <w:rsid w:val="003C5CD4"/>
    <w:rsid w:val="003C78E3"/>
    <w:rsid w:val="003D34FF"/>
    <w:rsid w:val="003D40EF"/>
    <w:rsid w:val="003D71F6"/>
    <w:rsid w:val="003E1784"/>
    <w:rsid w:val="003F2A7F"/>
    <w:rsid w:val="003F3894"/>
    <w:rsid w:val="003F3F26"/>
    <w:rsid w:val="003F77B3"/>
    <w:rsid w:val="003F7AB8"/>
    <w:rsid w:val="00400273"/>
    <w:rsid w:val="00412349"/>
    <w:rsid w:val="00413001"/>
    <w:rsid w:val="00413A8F"/>
    <w:rsid w:val="00414602"/>
    <w:rsid w:val="00420387"/>
    <w:rsid w:val="0042132E"/>
    <w:rsid w:val="004240BB"/>
    <w:rsid w:val="004335E7"/>
    <w:rsid w:val="0043422C"/>
    <w:rsid w:val="00436897"/>
    <w:rsid w:val="004436B5"/>
    <w:rsid w:val="0044393A"/>
    <w:rsid w:val="00446D6C"/>
    <w:rsid w:val="00447F5F"/>
    <w:rsid w:val="0045012A"/>
    <w:rsid w:val="00450664"/>
    <w:rsid w:val="0045240C"/>
    <w:rsid w:val="00453FC9"/>
    <w:rsid w:val="00454405"/>
    <w:rsid w:val="00455494"/>
    <w:rsid w:val="004561ED"/>
    <w:rsid w:val="00456FBD"/>
    <w:rsid w:val="00457792"/>
    <w:rsid w:val="0046183D"/>
    <w:rsid w:val="004646E1"/>
    <w:rsid w:val="0046596D"/>
    <w:rsid w:val="004666AF"/>
    <w:rsid w:val="00470C3D"/>
    <w:rsid w:val="004726FF"/>
    <w:rsid w:val="00474262"/>
    <w:rsid w:val="00474F6A"/>
    <w:rsid w:val="0048034F"/>
    <w:rsid w:val="004814F1"/>
    <w:rsid w:val="00482411"/>
    <w:rsid w:val="004956ED"/>
    <w:rsid w:val="0049646F"/>
    <w:rsid w:val="00497768"/>
    <w:rsid w:val="00497F6A"/>
    <w:rsid w:val="004A0C19"/>
    <w:rsid w:val="004A126A"/>
    <w:rsid w:val="004A1329"/>
    <w:rsid w:val="004A24AF"/>
    <w:rsid w:val="004A2ADE"/>
    <w:rsid w:val="004A3A44"/>
    <w:rsid w:val="004A4130"/>
    <w:rsid w:val="004B3147"/>
    <w:rsid w:val="004B549A"/>
    <w:rsid w:val="004B54CA"/>
    <w:rsid w:val="004C0C8D"/>
    <w:rsid w:val="004C15FC"/>
    <w:rsid w:val="004C163F"/>
    <w:rsid w:val="004C2BD2"/>
    <w:rsid w:val="004C5B3D"/>
    <w:rsid w:val="004D336A"/>
    <w:rsid w:val="004D4440"/>
    <w:rsid w:val="004D50AC"/>
    <w:rsid w:val="004D5723"/>
    <w:rsid w:val="004E2A64"/>
    <w:rsid w:val="004E3A61"/>
    <w:rsid w:val="004E5CBF"/>
    <w:rsid w:val="004F1CD0"/>
    <w:rsid w:val="004F264A"/>
    <w:rsid w:val="004F4270"/>
    <w:rsid w:val="004F5308"/>
    <w:rsid w:val="004F69ED"/>
    <w:rsid w:val="004F7C0F"/>
    <w:rsid w:val="00511520"/>
    <w:rsid w:val="005178D8"/>
    <w:rsid w:val="00521782"/>
    <w:rsid w:val="00524A48"/>
    <w:rsid w:val="00527238"/>
    <w:rsid w:val="00532D2E"/>
    <w:rsid w:val="005332C8"/>
    <w:rsid w:val="00534DBC"/>
    <w:rsid w:val="00536060"/>
    <w:rsid w:val="00536D8C"/>
    <w:rsid w:val="00537157"/>
    <w:rsid w:val="00537B26"/>
    <w:rsid w:val="005407BB"/>
    <w:rsid w:val="00540BD8"/>
    <w:rsid w:val="005428E5"/>
    <w:rsid w:val="00545208"/>
    <w:rsid w:val="00546665"/>
    <w:rsid w:val="00551AFE"/>
    <w:rsid w:val="00554667"/>
    <w:rsid w:val="0055503B"/>
    <w:rsid w:val="005554DB"/>
    <w:rsid w:val="005622E6"/>
    <w:rsid w:val="00562CBC"/>
    <w:rsid w:val="00564DAE"/>
    <w:rsid w:val="00566538"/>
    <w:rsid w:val="00566BF6"/>
    <w:rsid w:val="00567263"/>
    <w:rsid w:val="00570884"/>
    <w:rsid w:val="0057237A"/>
    <w:rsid w:val="00576330"/>
    <w:rsid w:val="0057641C"/>
    <w:rsid w:val="0057652B"/>
    <w:rsid w:val="005766D2"/>
    <w:rsid w:val="005775BF"/>
    <w:rsid w:val="0058062A"/>
    <w:rsid w:val="0058161E"/>
    <w:rsid w:val="00583669"/>
    <w:rsid w:val="00584275"/>
    <w:rsid w:val="00591D1A"/>
    <w:rsid w:val="005936D9"/>
    <w:rsid w:val="00594251"/>
    <w:rsid w:val="005943D3"/>
    <w:rsid w:val="00594D89"/>
    <w:rsid w:val="005967C5"/>
    <w:rsid w:val="00596997"/>
    <w:rsid w:val="0059795A"/>
    <w:rsid w:val="005A28A3"/>
    <w:rsid w:val="005B1296"/>
    <w:rsid w:val="005B2B9C"/>
    <w:rsid w:val="005C1972"/>
    <w:rsid w:val="005C1C66"/>
    <w:rsid w:val="005C390A"/>
    <w:rsid w:val="005C3AA9"/>
    <w:rsid w:val="005C54B4"/>
    <w:rsid w:val="005C78B2"/>
    <w:rsid w:val="005D164D"/>
    <w:rsid w:val="005D443B"/>
    <w:rsid w:val="005E156E"/>
    <w:rsid w:val="005E1D9B"/>
    <w:rsid w:val="005E4167"/>
    <w:rsid w:val="005E4362"/>
    <w:rsid w:val="005E4607"/>
    <w:rsid w:val="005E7B26"/>
    <w:rsid w:val="005E7D63"/>
    <w:rsid w:val="005E7DB6"/>
    <w:rsid w:val="005F41C9"/>
    <w:rsid w:val="005F4826"/>
    <w:rsid w:val="005F5E17"/>
    <w:rsid w:val="005F7EA1"/>
    <w:rsid w:val="00600A45"/>
    <w:rsid w:val="00606ADB"/>
    <w:rsid w:val="00612E33"/>
    <w:rsid w:val="00614C63"/>
    <w:rsid w:val="00620404"/>
    <w:rsid w:val="00622668"/>
    <w:rsid w:val="00622B71"/>
    <w:rsid w:val="00622D63"/>
    <w:rsid w:val="00623607"/>
    <w:rsid w:val="00624E34"/>
    <w:rsid w:val="00624FB0"/>
    <w:rsid w:val="006311AD"/>
    <w:rsid w:val="00631637"/>
    <w:rsid w:val="00632F44"/>
    <w:rsid w:val="00634737"/>
    <w:rsid w:val="006402A6"/>
    <w:rsid w:val="006407D3"/>
    <w:rsid w:val="0064167D"/>
    <w:rsid w:val="00642B33"/>
    <w:rsid w:val="00642EF5"/>
    <w:rsid w:val="00646403"/>
    <w:rsid w:val="00650B9C"/>
    <w:rsid w:val="00650C1C"/>
    <w:rsid w:val="006516E5"/>
    <w:rsid w:val="00653597"/>
    <w:rsid w:val="006546B7"/>
    <w:rsid w:val="0065652A"/>
    <w:rsid w:val="006622D1"/>
    <w:rsid w:val="006643AB"/>
    <w:rsid w:val="00670444"/>
    <w:rsid w:val="0067070B"/>
    <w:rsid w:val="00674057"/>
    <w:rsid w:val="00675FD7"/>
    <w:rsid w:val="00681C7F"/>
    <w:rsid w:val="00683FF5"/>
    <w:rsid w:val="00684BEF"/>
    <w:rsid w:val="00686744"/>
    <w:rsid w:val="00687351"/>
    <w:rsid w:val="00687DEB"/>
    <w:rsid w:val="006A1F70"/>
    <w:rsid w:val="006A442F"/>
    <w:rsid w:val="006A4CE7"/>
    <w:rsid w:val="006A5D55"/>
    <w:rsid w:val="006A6D51"/>
    <w:rsid w:val="006A72D4"/>
    <w:rsid w:val="006B3510"/>
    <w:rsid w:val="006B6D33"/>
    <w:rsid w:val="006B74E7"/>
    <w:rsid w:val="006B7901"/>
    <w:rsid w:val="006C0ADF"/>
    <w:rsid w:val="006C2BAC"/>
    <w:rsid w:val="006C5E5E"/>
    <w:rsid w:val="006C634E"/>
    <w:rsid w:val="006D1FAD"/>
    <w:rsid w:val="006D346C"/>
    <w:rsid w:val="006D7E0F"/>
    <w:rsid w:val="006E0DF9"/>
    <w:rsid w:val="006E1B19"/>
    <w:rsid w:val="006E3F24"/>
    <w:rsid w:val="006E571C"/>
    <w:rsid w:val="006F0769"/>
    <w:rsid w:val="006F4974"/>
    <w:rsid w:val="00701486"/>
    <w:rsid w:val="00716029"/>
    <w:rsid w:val="00720E42"/>
    <w:rsid w:val="0073766B"/>
    <w:rsid w:val="0075492F"/>
    <w:rsid w:val="00756D1B"/>
    <w:rsid w:val="007617AA"/>
    <w:rsid w:val="00762A05"/>
    <w:rsid w:val="0076434C"/>
    <w:rsid w:val="0076523C"/>
    <w:rsid w:val="00770BB8"/>
    <w:rsid w:val="00771003"/>
    <w:rsid w:val="0077214F"/>
    <w:rsid w:val="0077461F"/>
    <w:rsid w:val="00774756"/>
    <w:rsid w:val="0077602D"/>
    <w:rsid w:val="0078126B"/>
    <w:rsid w:val="0078159B"/>
    <w:rsid w:val="00785261"/>
    <w:rsid w:val="007874D6"/>
    <w:rsid w:val="007907A8"/>
    <w:rsid w:val="00790A43"/>
    <w:rsid w:val="00793785"/>
    <w:rsid w:val="007938F3"/>
    <w:rsid w:val="0079557B"/>
    <w:rsid w:val="00795D10"/>
    <w:rsid w:val="007962CF"/>
    <w:rsid w:val="007A1BB6"/>
    <w:rsid w:val="007A37E6"/>
    <w:rsid w:val="007A53DD"/>
    <w:rsid w:val="007B0256"/>
    <w:rsid w:val="007B1035"/>
    <w:rsid w:val="007B69DD"/>
    <w:rsid w:val="007B6C37"/>
    <w:rsid w:val="007C21AE"/>
    <w:rsid w:val="007C4060"/>
    <w:rsid w:val="007C5234"/>
    <w:rsid w:val="007D6273"/>
    <w:rsid w:val="007D7E92"/>
    <w:rsid w:val="007E01C7"/>
    <w:rsid w:val="007E15BE"/>
    <w:rsid w:val="007E4FAD"/>
    <w:rsid w:val="007E7792"/>
    <w:rsid w:val="007F44F6"/>
    <w:rsid w:val="007F6F78"/>
    <w:rsid w:val="00800394"/>
    <w:rsid w:val="00804684"/>
    <w:rsid w:val="00807CD7"/>
    <w:rsid w:val="00807E19"/>
    <w:rsid w:val="008155E5"/>
    <w:rsid w:val="00816CFA"/>
    <w:rsid w:val="00820798"/>
    <w:rsid w:val="00824209"/>
    <w:rsid w:val="0083135C"/>
    <w:rsid w:val="00831EAE"/>
    <w:rsid w:val="00841C22"/>
    <w:rsid w:val="00843C2F"/>
    <w:rsid w:val="00853667"/>
    <w:rsid w:val="008541F6"/>
    <w:rsid w:val="00860BE9"/>
    <w:rsid w:val="008669B7"/>
    <w:rsid w:val="008707FE"/>
    <w:rsid w:val="00871F28"/>
    <w:rsid w:val="0087318C"/>
    <w:rsid w:val="008761FF"/>
    <w:rsid w:val="00880063"/>
    <w:rsid w:val="00880E92"/>
    <w:rsid w:val="008843DA"/>
    <w:rsid w:val="008873E1"/>
    <w:rsid w:val="0088774F"/>
    <w:rsid w:val="008954BF"/>
    <w:rsid w:val="0089567E"/>
    <w:rsid w:val="008963A3"/>
    <w:rsid w:val="00896466"/>
    <w:rsid w:val="008A7108"/>
    <w:rsid w:val="008B026E"/>
    <w:rsid w:val="008B1AA5"/>
    <w:rsid w:val="008B315F"/>
    <w:rsid w:val="008B4CF1"/>
    <w:rsid w:val="008B56EA"/>
    <w:rsid w:val="008C38E1"/>
    <w:rsid w:val="008D04D6"/>
    <w:rsid w:val="008D14F6"/>
    <w:rsid w:val="008D2D41"/>
    <w:rsid w:val="008D2FC2"/>
    <w:rsid w:val="008D5154"/>
    <w:rsid w:val="008D59CA"/>
    <w:rsid w:val="008D5B2E"/>
    <w:rsid w:val="008D68B6"/>
    <w:rsid w:val="008D7A97"/>
    <w:rsid w:val="008E1D0E"/>
    <w:rsid w:val="008E2AA8"/>
    <w:rsid w:val="008E2E06"/>
    <w:rsid w:val="008E320A"/>
    <w:rsid w:val="008F1B68"/>
    <w:rsid w:val="008F5702"/>
    <w:rsid w:val="008F6983"/>
    <w:rsid w:val="0090001F"/>
    <w:rsid w:val="00900FC5"/>
    <w:rsid w:val="00901728"/>
    <w:rsid w:val="00901A83"/>
    <w:rsid w:val="009033EA"/>
    <w:rsid w:val="0090702B"/>
    <w:rsid w:val="009135DA"/>
    <w:rsid w:val="009140F6"/>
    <w:rsid w:val="00915A96"/>
    <w:rsid w:val="009225F0"/>
    <w:rsid w:val="00925633"/>
    <w:rsid w:val="00926288"/>
    <w:rsid w:val="00930624"/>
    <w:rsid w:val="0093239C"/>
    <w:rsid w:val="00932E4A"/>
    <w:rsid w:val="00932E80"/>
    <w:rsid w:val="009332B3"/>
    <w:rsid w:val="00935A03"/>
    <w:rsid w:val="009370EC"/>
    <w:rsid w:val="009426E4"/>
    <w:rsid w:val="00943D3A"/>
    <w:rsid w:val="00946730"/>
    <w:rsid w:val="00946E6D"/>
    <w:rsid w:val="00950ACB"/>
    <w:rsid w:val="00950C24"/>
    <w:rsid w:val="0095196E"/>
    <w:rsid w:val="00956519"/>
    <w:rsid w:val="009577B0"/>
    <w:rsid w:val="00966756"/>
    <w:rsid w:val="00966F79"/>
    <w:rsid w:val="009674EA"/>
    <w:rsid w:val="009679E1"/>
    <w:rsid w:val="00970249"/>
    <w:rsid w:val="00970C88"/>
    <w:rsid w:val="0098388E"/>
    <w:rsid w:val="00985038"/>
    <w:rsid w:val="0099649B"/>
    <w:rsid w:val="00997585"/>
    <w:rsid w:val="009A1FBD"/>
    <w:rsid w:val="009A231F"/>
    <w:rsid w:val="009A2E52"/>
    <w:rsid w:val="009A3057"/>
    <w:rsid w:val="009A4EAB"/>
    <w:rsid w:val="009A4F37"/>
    <w:rsid w:val="009A5D3E"/>
    <w:rsid w:val="009A74B4"/>
    <w:rsid w:val="009A7CBA"/>
    <w:rsid w:val="009B01AA"/>
    <w:rsid w:val="009B0BF5"/>
    <w:rsid w:val="009B41CA"/>
    <w:rsid w:val="009B6083"/>
    <w:rsid w:val="009B71A9"/>
    <w:rsid w:val="009C1D36"/>
    <w:rsid w:val="009C2C5F"/>
    <w:rsid w:val="009C63A9"/>
    <w:rsid w:val="009C63B6"/>
    <w:rsid w:val="009C69EF"/>
    <w:rsid w:val="009D1BE5"/>
    <w:rsid w:val="009D29AE"/>
    <w:rsid w:val="009E26B6"/>
    <w:rsid w:val="009E6861"/>
    <w:rsid w:val="009F393D"/>
    <w:rsid w:val="009F39CB"/>
    <w:rsid w:val="009F3C43"/>
    <w:rsid w:val="009F7AC5"/>
    <w:rsid w:val="00A00173"/>
    <w:rsid w:val="00A06B72"/>
    <w:rsid w:val="00A10A03"/>
    <w:rsid w:val="00A10CDF"/>
    <w:rsid w:val="00A17693"/>
    <w:rsid w:val="00A240B6"/>
    <w:rsid w:val="00A24D12"/>
    <w:rsid w:val="00A24F3C"/>
    <w:rsid w:val="00A27E85"/>
    <w:rsid w:val="00A3181F"/>
    <w:rsid w:val="00A3456A"/>
    <w:rsid w:val="00A367B4"/>
    <w:rsid w:val="00A375D4"/>
    <w:rsid w:val="00A37984"/>
    <w:rsid w:val="00A42690"/>
    <w:rsid w:val="00A4616D"/>
    <w:rsid w:val="00A5571A"/>
    <w:rsid w:val="00A560C3"/>
    <w:rsid w:val="00A570F9"/>
    <w:rsid w:val="00A57CD1"/>
    <w:rsid w:val="00A6045B"/>
    <w:rsid w:val="00A61E66"/>
    <w:rsid w:val="00A62E22"/>
    <w:rsid w:val="00A63D74"/>
    <w:rsid w:val="00A66DD0"/>
    <w:rsid w:val="00A67EAE"/>
    <w:rsid w:val="00A719D2"/>
    <w:rsid w:val="00A729A8"/>
    <w:rsid w:val="00A763EC"/>
    <w:rsid w:val="00A77427"/>
    <w:rsid w:val="00A80B4F"/>
    <w:rsid w:val="00A8157A"/>
    <w:rsid w:val="00A83A67"/>
    <w:rsid w:val="00A83EB7"/>
    <w:rsid w:val="00A85DBC"/>
    <w:rsid w:val="00A8767B"/>
    <w:rsid w:val="00A926E9"/>
    <w:rsid w:val="00A94C22"/>
    <w:rsid w:val="00A9635E"/>
    <w:rsid w:val="00AA0F80"/>
    <w:rsid w:val="00AA159C"/>
    <w:rsid w:val="00AA37AC"/>
    <w:rsid w:val="00AA45C6"/>
    <w:rsid w:val="00AA51E7"/>
    <w:rsid w:val="00AB2048"/>
    <w:rsid w:val="00AB7356"/>
    <w:rsid w:val="00AC271F"/>
    <w:rsid w:val="00AC635D"/>
    <w:rsid w:val="00AD1347"/>
    <w:rsid w:val="00AD1645"/>
    <w:rsid w:val="00AD49A6"/>
    <w:rsid w:val="00AD6084"/>
    <w:rsid w:val="00AD69FE"/>
    <w:rsid w:val="00AE11F6"/>
    <w:rsid w:val="00AE19FA"/>
    <w:rsid w:val="00AE3176"/>
    <w:rsid w:val="00AE3797"/>
    <w:rsid w:val="00AF012B"/>
    <w:rsid w:val="00AF0651"/>
    <w:rsid w:val="00AF0E6A"/>
    <w:rsid w:val="00AF3915"/>
    <w:rsid w:val="00AF7C2B"/>
    <w:rsid w:val="00B01538"/>
    <w:rsid w:val="00B01DB3"/>
    <w:rsid w:val="00B036B3"/>
    <w:rsid w:val="00B04EB0"/>
    <w:rsid w:val="00B164CA"/>
    <w:rsid w:val="00B2556B"/>
    <w:rsid w:val="00B261D9"/>
    <w:rsid w:val="00B26220"/>
    <w:rsid w:val="00B306B8"/>
    <w:rsid w:val="00B30EF2"/>
    <w:rsid w:val="00B33E33"/>
    <w:rsid w:val="00B340FE"/>
    <w:rsid w:val="00B376E6"/>
    <w:rsid w:val="00B41CE8"/>
    <w:rsid w:val="00B41DD9"/>
    <w:rsid w:val="00B43943"/>
    <w:rsid w:val="00B4402A"/>
    <w:rsid w:val="00B446E2"/>
    <w:rsid w:val="00B52B87"/>
    <w:rsid w:val="00B54C30"/>
    <w:rsid w:val="00B55B78"/>
    <w:rsid w:val="00B57278"/>
    <w:rsid w:val="00B60CE7"/>
    <w:rsid w:val="00B6292B"/>
    <w:rsid w:val="00B62C00"/>
    <w:rsid w:val="00B63D50"/>
    <w:rsid w:val="00B6472A"/>
    <w:rsid w:val="00B70714"/>
    <w:rsid w:val="00B73680"/>
    <w:rsid w:val="00B7405F"/>
    <w:rsid w:val="00B74531"/>
    <w:rsid w:val="00B777D9"/>
    <w:rsid w:val="00B80A30"/>
    <w:rsid w:val="00B81AE8"/>
    <w:rsid w:val="00B821A0"/>
    <w:rsid w:val="00B94734"/>
    <w:rsid w:val="00B94925"/>
    <w:rsid w:val="00BA2DB9"/>
    <w:rsid w:val="00BB0D37"/>
    <w:rsid w:val="00BB0D4A"/>
    <w:rsid w:val="00BB0F00"/>
    <w:rsid w:val="00BB28EC"/>
    <w:rsid w:val="00BB2DA5"/>
    <w:rsid w:val="00BC35F6"/>
    <w:rsid w:val="00BC626B"/>
    <w:rsid w:val="00BC76EB"/>
    <w:rsid w:val="00BD22FA"/>
    <w:rsid w:val="00BD25AE"/>
    <w:rsid w:val="00BD44CB"/>
    <w:rsid w:val="00BD6467"/>
    <w:rsid w:val="00BD7E9D"/>
    <w:rsid w:val="00BE0170"/>
    <w:rsid w:val="00BE56A0"/>
    <w:rsid w:val="00BE5967"/>
    <w:rsid w:val="00BE7148"/>
    <w:rsid w:val="00BF2FB3"/>
    <w:rsid w:val="00BF3060"/>
    <w:rsid w:val="00BF5D5D"/>
    <w:rsid w:val="00C02052"/>
    <w:rsid w:val="00C06E47"/>
    <w:rsid w:val="00C06E8F"/>
    <w:rsid w:val="00C07C9F"/>
    <w:rsid w:val="00C16B33"/>
    <w:rsid w:val="00C21C68"/>
    <w:rsid w:val="00C23C4A"/>
    <w:rsid w:val="00C2733D"/>
    <w:rsid w:val="00C3204C"/>
    <w:rsid w:val="00C33CF4"/>
    <w:rsid w:val="00C3470C"/>
    <w:rsid w:val="00C37944"/>
    <w:rsid w:val="00C37BA8"/>
    <w:rsid w:val="00C4511C"/>
    <w:rsid w:val="00C455A2"/>
    <w:rsid w:val="00C46758"/>
    <w:rsid w:val="00C46E42"/>
    <w:rsid w:val="00C52604"/>
    <w:rsid w:val="00C5354D"/>
    <w:rsid w:val="00C559BF"/>
    <w:rsid w:val="00C62A16"/>
    <w:rsid w:val="00C62A28"/>
    <w:rsid w:val="00C64F25"/>
    <w:rsid w:val="00C65F24"/>
    <w:rsid w:val="00C66CFA"/>
    <w:rsid w:val="00C7238E"/>
    <w:rsid w:val="00C73D6B"/>
    <w:rsid w:val="00C74B23"/>
    <w:rsid w:val="00C75283"/>
    <w:rsid w:val="00C77B41"/>
    <w:rsid w:val="00C84F3B"/>
    <w:rsid w:val="00C9063D"/>
    <w:rsid w:val="00C92272"/>
    <w:rsid w:val="00C94E45"/>
    <w:rsid w:val="00C9639E"/>
    <w:rsid w:val="00C967F4"/>
    <w:rsid w:val="00C96C6B"/>
    <w:rsid w:val="00CA33B2"/>
    <w:rsid w:val="00CA37A8"/>
    <w:rsid w:val="00CA3D78"/>
    <w:rsid w:val="00CA43C4"/>
    <w:rsid w:val="00CA5148"/>
    <w:rsid w:val="00CA6F15"/>
    <w:rsid w:val="00CA7E45"/>
    <w:rsid w:val="00CB1346"/>
    <w:rsid w:val="00CB344C"/>
    <w:rsid w:val="00CB42CE"/>
    <w:rsid w:val="00CC417E"/>
    <w:rsid w:val="00CC7EC4"/>
    <w:rsid w:val="00CD0DDB"/>
    <w:rsid w:val="00CD14CE"/>
    <w:rsid w:val="00CD6BEE"/>
    <w:rsid w:val="00CD7204"/>
    <w:rsid w:val="00CE1802"/>
    <w:rsid w:val="00CE36BF"/>
    <w:rsid w:val="00CF0527"/>
    <w:rsid w:val="00CF07E3"/>
    <w:rsid w:val="00D00F6A"/>
    <w:rsid w:val="00D05C93"/>
    <w:rsid w:val="00D072C9"/>
    <w:rsid w:val="00D1706F"/>
    <w:rsid w:val="00D2075E"/>
    <w:rsid w:val="00D20C42"/>
    <w:rsid w:val="00D21D83"/>
    <w:rsid w:val="00D22C32"/>
    <w:rsid w:val="00D243C5"/>
    <w:rsid w:val="00D263BD"/>
    <w:rsid w:val="00D3071D"/>
    <w:rsid w:val="00D31C51"/>
    <w:rsid w:val="00D367AA"/>
    <w:rsid w:val="00D37C2C"/>
    <w:rsid w:val="00D42483"/>
    <w:rsid w:val="00D459E0"/>
    <w:rsid w:val="00D520A1"/>
    <w:rsid w:val="00D53511"/>
    <w:rsid w:val="00D61C4B"/>
    <w:rsid w:val="00D637EC"/>
    <w:rsid w:val="00D64037"/>
    <w:rsid w:val="00D670FF"/>
    <w:rsid w:val="00D708CA"/>
    <w:rsid w:val="00D70C10"/>
    <w:rsid w:val="00D72F4B"/>
    <w:rsid w:val="00D74013"/>
    <w:rsid w:val="00D75D11"/>
    <w:rsid w:val="00D76F8E"/>
    <w:rsid w:val="00D82D12"/>
    <w:rsid w:val="00D849AE"/>
    <w:rsid w:val="00DA56B9"/>
    <w:rsid w:val="00DA6ED2"/>
    <w:rsid w:val="00DB15F8"/>
    <w:rsid w:val="00DB1A4E"/>
    <w:rsid w:val="00DB6E7A"/>
    <w:rsid w:val="00DC0C00"/>
    <w:rsid w:val="00DC517C"/>
    <w:rsid w:val="00DC765C"/>
    <w:rsid w:val="00DD332B"/>
    <w:rsid w:val="00DD3BC1"/>
    <w:rsid w:val="00DE0717"/>
    <w:rsid w:val="00DE3A1F"/>
    <w:rsid w:val="00DE5E13"/>
    <w:rsid w:val="00E003E0"/>
    <w:rsid w:val="00E00D9C"/>
    <w:rsid w:val="00E01E71"/>
    <w:rsid w:val="00E0206C"/>
    <w:rsid w:val="00E027AF"/>
    <w:rsid w:val="00E066F3"/>
    <w:rsid w:val="00E13076"/>
    <w:rsid w:val="00E13E7F"/>
    <w:rsid w:val="00E1431E"/>
    <w:rsid w:val="00E15CFF"/>
    <w:rsid w:val="00E230ED"/>
    <w:rsid w:val="00E23AD2"/>
    <w:rsid w:val="00E23C53"/>
    <w:rsid w:val="00E2763B"/>
    <w:rsid w:val="00E32139"/>
    <w:rsid w:val="00E40645"/>
    <w:rsid w:val="00E44FD4"/>
    <w:rsid w:val="00E466B8"/>
    <w:rsid w:val="00E501F6"/>
    <w:rsid w:val="00E50FCA"/>
    <w:rsid w:val="00E539F4"/>
    <w:rsid w:val="00E675B0"/>
    <w:rsid w:val="00E708B1"/>
    <w:rsid w:val="00E72DC6"/>
    <w:rsid w:val="00E745BB"/>
    <w:rsid w:val="00E7583E"/>
    <w:rsid w:val="00E7675B"/>
    <w:rsid w:val="00E77318"/>
    <w:rsid w:val="00E80DED"/>
    <w:rsid w:val="00E84259"/>
    <w:rsid w:val="00E87016"/>
    <w:rsid w:val="00E907A4"/>
    <w:rsid w:val="00E937B5"/>
    <w:rsid w:val="00E94564"/>
    <w:rsid w:val="00E9738E"/>
    <w:rsid w:val="00EA0674"/>
    <w:rsid w:val="00EA16F9"/>
    <w:rsid w:val="00EA2DDC"/>
    <w:rsid w:val="00EA3666"/>
    <w:rsid w:val="00EA677D"/>
    <w:rsid w:val="00EA6829"/>
    <w:rsid w:val="00EA76C2"/>
    <w:rsid w:val="00EA7B56"/>
    <w:rsid w:val="00EB4793"/>
    <w:rsid w:val="00EB4E58"/>
    <w:rsid w:val="00EB51BC"/>
    <w:rsid w:val="00EC0C59"/>
    <w:rsid w:val="00EC25F5"/>
    <w:rsid w:val="00EC2CB9"/>
    <w:rsid w:val="00EC47F6"/>
    <w:rsid w:val="00EC5CFA"/>
    <w:rsid w:val="00EC66EF"/>
    <w:rsid w:val="00ED022A"/>
    <w:rsid w:val="00ED1D5E"/>
    <w:rsid w:val="00ED6613"/>
    <w:rsid w:val="00EE043B"/>
    <w:rsid w:val="00EE2764"/>
    <w:rsid w:val="00EE5DD5"/>
    <w:rsid w:val="00EE6353"/>
    <w:rsid w:val="00EF54F0"/>
    <w:rsid w:val="00EF768C"/>
    <w:rsid w:val="00F0188B"/>
    <w:rsid w:val="00F02A18"/>
    <w:rsid w:val="00F055FA"/>
    <w:rsid w:val="00F0576D"/>
    <w:rsid w:val="00F108ED"/>
    <w:rsid w:val="00F10EC2"/>
    <w:rsid w:val="00F125EC"/>
    <w:rsid w:val="00F16E29"/>
    <w:rsid w:val="00F1740C"/>
    <w:rsid w:val="00F17E55"/>
    <w:rsid w:val="00F204D3"/>
    <w:rsid w:val="00F227A4"/>
    <w:rsid w:val="00F23C01"/>
    <w:rsid w:val="00F2540F"/>
    <w:rsid w:val="00F267A6"/>
    <w:rsid w:val="00F328DA"/>
    <w:rsid w:val="00F35271"/>
    <w:rsid w:val="00F35580"/>
    <w:rsid w:val="00F37190"/>
    <w:rsid w:val="00F41055"/>
    <w:rsid w:val="00F432D2"/>
    <w:rsid w:val="00F4626B"/>
    <w:rsid w:val="00F502A9"/>
    <w:rsid w:val="00F52853"/>
    <w:rsid w:val="00F56AE0"/>
    <w:rsid w:val="00F56E40"/>
    <w:rsid w:val="00F61A88"/>
    <w:rsid w:val="00F62582"/>
    <w:rsid w:val="00F650EF"/>
    <w:rsid w:val="00F66786"/>
    <w:rsid w:val="00F66B31"/>
    <w:rsid w:val="00F73F55"/>
    <w:rsid w:val="00F7526E"/>
    <w:rsid w:val="00F754A3"/>
    <w:rsid w:val="00F80615"/>
    <w:rsid w:val="00F878FA"/>
    <w:rsid w:val="00F910F6"/>
    <w:rsid w:val="00F925B9"/>
    <w:rsid w:val="00FA1E8C"/>
    <w:rsid w:val="00FA3952"/>
    <w:rsid w:val="00FA59B5"/>
    <w:rsid w:val="00FA6F53"/>
    <w:rsid w:val="00FA7196"/>
    <w:rsid w:val="00FB030F"/>
    <w:rsid w:val="00FB56AA"/>
    <w:rsid w:val="00FC34CF"/>
    <w:rsid w:val="00FD283E"/>
    <w:rsid w:val="00FD2F20"/>
    <w:rsid w:val="00FD368E"/>
    <w:rsid w:val="00FD4146"/>
    <w:rsid w:val="00FD55F1"/>
    <w:rsid w:val="00FD6BF4"/>
    <w:rsid w:val="00FD7A80"/>
    <w:rsid w:val="00FE1A4E"/>
    <w:rsid w:val="00FE2339"/>
    <w:rsid w:val="00FE4F0C"/>
    <w:rsid w:val="00FE5C69"/>
    <w:rsid w:val="00FE6624"/>
    <w:rsid w:val="00FE7C6E"/>
    <w:rsid w:val="00FF20B0"/>
    <w:rsid w:val="00FF5304"/>
    <w:rsid w:val="00FF5F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4642E8C"/>
  <w15:docId w15:val="{63C6395B-EC5F-4841-89EE-5D33C3EA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204"/>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character" w:customStyle="1" w:styleId="ActHead5Char">
    <w:name w:val="ActHead 5 Char"/>
    <w:aliases w:val="s Char"/>
    <w:link w:val="ActHead5"/>
    <w:locked/>
    <w:rsid w:val="001173FA"/>
    <w:rPr>
      <w:rFonts w:ascii="Times New Roman" w:eastAsia="Times New Roman" w:hAnsi="Times New Roman" w:cs="Times New Roman"/>
      <w:b/>
      <w:kern w:val="28"/>
      <w:sz w:val="24"/>
      <w:lang w:eastAsia="en-AU"/>
    </w:rPr>
  </w:style>
  <w:style w:type="paragraph" w:customStyle="1" w:styleId="subsection">
    <w:name w:val="subsection"/>
    <w:aliases w:val="ss"/>
    <w:basedOn w:val="Normal"/>
    <w:link w:val="subsectionChar"/>
    <w:rsid w:val="001173FA"/>
    <w:pPr>
      <w:tabs>
        <w:tab w:val="right" w:pos="1021"/>
      </w:tabs>
      <w:spacing w:before="180"/>
      <w:ind w:left="1134" w:hanging="1134"/>
    </w:pPr>
    <w:rPr>
      <w:sz w:val="22"/>
    </w:rPr>
  </w:style>
  <w:style w:type="paragraph" w:customStyle="1" w:styleId="ActHead5">
    <w:name w:val="ActHead 5"/>
    <w:aliases w:val="s"/>
    <w:basedOn w:val="Normal"/>
    <w:next w:val="subsection"/>
    <w:link w:val="ActHead5Char"/>
    <w:qFormat/>
    <w:rsid w:val="001173FA"/>
    <w:pPr>
      <w:keepNext/>
      <w:keepLines/>
      <w:spacing w:before="280"/>
      <w:ind w:left="1134" w:hanging="1134"/>
      <w:outlineLvl w:val="4"/>
    </w:pPr>
    <w:rPr>
      <w:b/>
      <w:kern w:val="28"/>
      <w:szCs w:val="22"/>
    </w:rPr>
  </w:style>
  <w:style w:type="character" w:customStyle="1" w:styleId="subsectionChar">
    <w:name w:val="subsection Char"/>
    <w:aliases w:val="ss Char"/>
    <w:basedOn w:val="DefaultParagraphFont"/>
    <w:link w:val="subsection"/>
    <w:locked/>
    <w:rsid w:val="001173FA"/>
    <w:rPr>
      <w:rFonts w:ascii="Times New Roman" w:eastAsia="Times New Roman" w:hAnsi="Times New Roman" w:cs="Times New Roman"/>
      <w:szCs w:val="20"/>
      <w:lang w:eastAsia="en-AU"/>
    </w:rPr>
  </w:style>
  <w:style w:type="character" w:customStyle="1" w:styleId="CharSectno">
    <w:name w:val="CharSectno"/>
    <w:basedOn w:val="DefaultParagraphFont"/>
    <w:qFormat/>
    <w:rsid w:val="001173FA"/>
  </w:style>
  <w:style w:type="paragraph" w:customStyle="1" w:styleId="dotpoint">
    <w:name w:val="dotpoint"/>
    <w:basedOn w:val="Normal"/>
    <w:rsid w:val="006B74E7"/>
    <w:pPr>
      <w:spacing w:before="100" w:beforeAutospacing="1" w:after="100" w:afterAutospacing="1"/>
    </w:pPr>
    <w:rPr>
      <w:szCs w:val="24"/>
    </w:rPr>
  </w:style>
  <w:style w:type="paragraph" w:customStyle="1" w:styleId="base-text-paragraph">
    <w:name w:val="base-text-paragraph"/>
    <w:basedOn w:val="Normal"/>
    <w:rsid w:val="006B74E7"/>
    <w:pPr>
      <w:spacing w:before="100" w:beforeAutospacing="1" w:after="100" w:afterAutospacing="1"/>
    </w:pPr>
    <w:rPr>
      <w:szCs w:val="24"/>
    </w:rPr>
  </w:style>
  <w:style w:type="paragraph" w:styleId="Revision">
    <w:name w:val="Revision"/>
    <w:hidden/>
    <w:uiPriority w:val="99"/>
    <w:semiHidden/>
    <w:rsid w:val="00E40645"/>
    <w:pPr>
      <w:spacing w:after="0" w:line="240" w:lineRule="auto"/>
    </w:pPr>
    <w:rPr>
      <w:rFonts w:ascii="Times New Roman" w:eastAsia="Times New Roman" w:hAnsi="Times New Roman" w:cs="Times New Roman"/>
      <w:sz w:val="24"/>
      <w:szCs w:val="20"/>
      <w:lang w:eastAsia="en-AU"/>
    </w:rPr>
  </w:style>
  <w:style w:type="character" w:customStyle="1" w:styleId="UnresolvedMention">
    <w:name w:val="Unresolved Mention"/>
    <w:basedOn w:val="DefaultParagraphFont"/>
    <w:uiPriority w:val="99"/>
    <w:semiHidden/>
    <w:unhideWhenUsed/>
    <w:rsid w:val="00AE3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8727">
      <w:bodyDiv w:val="1"/>
      <w:marLeft w:val="0"/>
      <w:marRight w:val="0"/>
      <w:marTop w:val="0"/>
      <w:marBottom w:val="0"/>
      <w:divBdr>
        <w:top w:val="none" w:sz="0" w:space="0" w:color="auto"/>
        <w:left w:val="none" w:sz="0" w:space="0" w:color="auto"/>
        <w:bottom w:val="none" w:sz="0" w:space="0" w:color="auto"/>
        <w:right w:val="none" w:sz="0" w:space="0" w:color="auto"/>
      </w:divBdr>
    </w:div>
    <w:div w:id="243683870">
      <w:bodyDiv w:val="1"/>
      <w:marLeft w:val="0"/>
      <w:marRight w:val="0"/>
      <w:marTop w:val="0"/>
      <w:marBottom w:val="0"/>
      <w:divBdr>
        <w:top w:val="none" w:sz="0" w:space="0" w:color="auto"/>
        <w:left w:val="none" w:sz="0" w:space="0" w:color="auto"/>
        <w:bottom w:val="none" w:sz="0" w:space="0" w:color="auto"/>
        <w:right w:val="none" w:sz="0" w:space="0" w:color="auto"/>
      </w:divBdr>
    </w:div>
    <w:div w:id="374042032">
      <w:bodyDiv w:val="1"/>
      <w:marLeft w:val="0"/>
      <w:marRight w:val="0"/>
      <w:marTop w:val="0"/>
      <w:marBottom w:val="0"/>
      <w:divBdr>
        <w:top w:val="none" w:sz="0" w:space="0" w:color="auto"/>
        <w:left w:val="none" w:sz="0" w:space="0" w:color="auto"/>
        <w:bottom w:val="none" w:sz="0" w:space="0" w:color="auto"/>
        <w:right w:val="none" w:sz="0" w:space="0" w:color="auto"/>
      </w:divBdr>
    </w:div>
    <w:div w:id="394088551">
      <w:bodyDiv w:val="1"/>
      <w:marLeft w:val="0"/>
      <w:marRight w:val="0"/>
      <w:marTop w:val="0"/>
      <w:marBottom w:val="0"/>
      <w:divBdr>
        <w:top w:val="none" w:sz="0" w:space="0" w:color="auto"/>
        <w:left w:val="none" w:sz="0" w:space="0" w:color="auto"/>
        <w:bottom w:val="none" w:sz="0" w:space="0" w:color="auto"/>
        <w:right w:val="none" w:sz="0" w:space="0" w:color="auto"/>
      </w:divBdr>
    </w:div>
    <w:div w:id="573515499">
      <w:bodyDiv w:val="1"/>
      <w:marLeft w:val="0"/>
      <w:marRight w:val="0"/>
      <w:marTop w:val="0"/>
      <w:marBottom w:val="0"/>
      <w:divBdr>
        <w:top w:val="none" w:sz="0" w:space="0" w:color="auto"/>
        <w:left w:val="none" w:sz="0" w:space="0" w:color="auto"/>
        <w:bottom w:val="none" w:sz="0" w:space="0" w:color="auto"/>
        <w:right w:val="none" w:sz="0" w:space="0" w:color="auto"/>
      </w:divBdr>
    </w:div>
    <w:div w:id="583689349">
      <w:bodyDiv w:val="1"/>
      <w:marLeft w:val="0"/>
      <w:marRight w:val="0"/>
      <w:marTop w:val="0"/>
      <w:marBottom w:val="0"/>
      <w:divBdr>
        <w:top w:val="none" w:sz="0" w:space="0" w:color="auto"/>
        <w:left w:val="none" w:sz="0" w:space="0" w:color="auto"/>
        <w:bottom w:val="none" w:sz="0" w:space="0" w:color="auto"/>
        <w:right w:val="none" w:sz="0" w:space="0" w:color="auto"/>
      </w:divBdr>
    </w:div>
    <w:div w:id="589824366">
      <w:bodyDiv w:val="1"/>
      <w:marLeft w:val="0"/>
      <w:marRight w:val="0"/>
      <w:marTop w:val="0"/>
      <w:marBottom w:val="0"/>
      <w:divBdr>
        <w:top w:val="none" w:sz="0" w:space="0" w:color="auto"/>
        <w:left w:val="none" w:sz="0" w:space="0" w:color="auto"/>
        <w:bottom w:val="none" w:sz="0" w:space="0" w:color="auto"/>
        <w:right w:val="none" w:sz="0" w:space="0" w:color="auto"/>
      </w:divBdr>
      <w:divsChild>
        <w:div w:id="1874532471">
          <w:marLeft w:val="0"/>
          <w:marRight w:val="0"/>
          <w:marTop w:val="0"/>
          <w:marBottom w:val="0"/>
          <w:divBdr>
            <w:top w:val="none" w:sz="0" w:space="0" w:color="auto"/>
            <w:left w:val="none" w:sz="0" w:space="0" w:color="auto"/>
            <w:bottom w:val="none" w:sz="0" w:space="0" w:color="auto"/>
            <w:right w:val="none" w:sz="0" w:space="0" w:color="auto"/>
          </w:divBdr>
          <w:divsChild>
            <w:div w:id="1395153522">
              <w:marLeft w:val="0"/>
              <w:marRight w:val="0"/>
              <w:marTop w:val="0"/>
              <w:marBottom w:val="0"/>
              <w:divBdr>
                <w:top w:val="none" w:sz="0" w:space="0" w:color="auto"/>
                <w:left w:val="none" w:sz="0" w:space="0" w:color="auto"/>
                <w:bottom w:val="none" w:sz="0" w:space="0" w:color="auto"/>
                <w:right w:val="none" w:sz="0" w:space="0" w:color="auto"/>
              </w:divBdr>
              <w:divsChild>
                <w:div w:id="1532455929">
                  <w:marLeft w:val="0"/>
                  <w:marRight w:val="0"/>
                  <w:marTop w:val="0"/>
                  <w:marBottom w:val="0"/>
                  <w:divBdr>
                    <w:top w:val="none" w:sz="0" w:space="0" w:color="auto"/>
                    <w:left w:val="none" w:sz="0" w:space="0" w:color="auto"/>
                    <w:bottom w:val="none" w:sz="0" w:space="0" w:color="auto"/>
                    <w:right w:val="none" w:sz="0" w:space="0" w:color="auto"/>
                  </w:divBdr>
                  <w:divsChild>
                    <w:div w:id="1844978142">
                      <w:marLeft w:val="0"/>
                      <w:marRight w:val="0"/>
                      <w:marTop w:val="0"/>
                      <w:marBottom w:val="0"/>
                      <w:divBdr>
                        <w:top w:val="none" w:sz="0" w:space="0" w:color="auto"/>
                        <w:left w:val="none" w:sz="0" w:space="0" w:color="auto"/>
                        <w:bottom w:val="none" w:sz="0" w:space="0" w:color="auto"/>
                        <w:right w:val="none" w:sz="0" w:space="0" w:color="auto"/>
                      </w:divBdr>
                      <w:divsChild>
                        <w:div w:id="1700012678">
                          <w:marLeft w:val="0"/>
                          <w:marRight w:val="0"/>
                          <w:marTop w:val="0"/>
                          <w:marBottom w:val="0"/>
                          <w:divBdr>
                            <w:top w:val="none" w:sz="0" w:space="0" w:color="auto"/>
                            <w:left w:val="none" w:sz="0" w:space="0" w:color="auto"/>
                            <w:bottom w:val="none" w:sz="0" w:space="0" w:color="auto"/>
                            <w:right w:val="none" w:sz="0" w:space="0" w:color="auto"/>
                          </w:divBdr>
                          <w:divsChild>
                            <w:div w:id="1876312792">
                              <w:marLeft w:val="0"/>
                              <w:marRight w:val="0"/>
                              <w:marTop w:val="0"/>
                              <w:marBottom w:val="0"/>
                              <w:divBdr>
                                <w:top w:val="none" w:sz="0" w:space="0" w:color="auto"/>
                                <w:left w:val="none" w:sz="0" w:space="0" w:color="auto"/>
                                <w:bottom w:val="none" w:sz="0" w:space="0" w:color="auto"/>
                                <w:right w:val="none" w:sz="0" w:space="0" w:color="auto"/>
                              </w:divBdr>
                              <w:divsChild>
                                <w:div w:id="1858275245">
                                  <w:marLeft w:val="0"/>
                                  <w:marRight w:val="0"/>
                                  <w:marTop w:val="0"/>
                                  <w:marBottom w:val="0"/>
                                  <w:divBdr>
                                    <w:top w:val="none" w:sz="0" w:space="0" w:color="auto"/>
                                    <w:left w:val="none" w:sz="0" w:space="0" w:color="auto"/>
                                    <w:bottom w:val="none" w:sz="0" w:space="0" w:color="auto"/>
                                    <w:right w:val="none" w:sz="0" w:space="0" w:color="auto"/>
                                  </w:divBdr>
                                  <w:divsChild>
                                    <w:div w:id="5352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433927">
      <w:bodyDiv w:val="1"/>
      <w:marLeft w:val="0"/>
      <w:marRight w:val="0"/>
      <w:marTop w:val="0"/>
      <w:marBottom w:val="0"/>
      <w:divBdr>
        <w:top w:val="none" w:sz="0" w:space="0" w:color="auto"/>
        <w:left w:val="none" w:sz="0" w:space="0" w:color="auto"/>
        <w:bottom w:val="none" w:sz="0" w:space="0" w:color="auto"/>
        <w:right w:val="none" w:sz="0" w:space="0" w:color="auto"/>
      </w:divBdr>
    </w:div>
    <w:div w:id="1193763659">
      <w:bodyDiv w:val="1"/>
      <w:marLeft w:val="0"/>
      <w:marRight w:val="0"/>
      <w:marTop w:val="0"/>
      <w:marBottom w:val="0"/>
      <w:divBdr>
        <w:top w:val="none" w:sz="0" w:space="0" w:color="auto"/>
        <w:left w:val="none" w:sz="0" w:space="0" w:color="auto"/>
        <w:bottom w:val="none" w:sz="0" w:space="0" w:color="auto"/>
        <w:right w:val="none" w:sz="0" w:space="0" w:color="auto"/>
      </w:divBdr>
    </w:div>
    <w:div w:id="1282808276">
      <w:bodyDiv w:val="1"/>
      <w:marLeft w:val="0"/>
      <w:marRight w:val="0"/>
      <w:marTop w:val="0"/>
      <w:marBottom w:val="0"/>
      <w:divBdr>
        <w:top w:val="none" w:sz="0" w:space="0" w:color="auto"/>
        <w:left w:val="none" w:sz="0" w:space="0" w:color="auto"/>
        <w:bottom w:val="none" w:sz="0" w:space="0" w:color="auto"/>
        <w:right w:val="none" w:sz="0" w:space="0" w:color="auto"/>
      </w:divBdr>
    </w:div>
    <w:div w:id="1397120253">
      <w:bodyDiv w:val="1"/>
      <w:marLeft w:val="0"/>
      <w:marRight w:val="0"/>
      <w:marTop w:val="0"/>
      <w:marBottom w:val="0"/>
      <w:divBdr>
        <w:top w:val="none" w:sz="0" w:space="0" w:color="auto"/>
        <w:left w:val="none" w:sz="0" w:space="0" w:color="auto"/>
        <w:bottom w:val="none" w:sz="0" w:space="0" w:color="auto"/>
        <w:right w:val="none" w:sz="0" w:space="0" w:color="auto"/>
      </w:divBdr>
      <w:divsChild>
        <w:div w:id="1360475779">
          <w:marLeft w:val="0"/>
          <w:marRight w:val="0"/>
          <w:marTop w:val="0"/>
          <w:marBottom w:val="0"/>
          <w:divBdr>
            <w:top w:val="none" w:sz="0" w:space="0" w:color="auto"/>
            <w:left w:val="none" w:sz="0" w:space="0" w:color="auto"/>
            <w:bottom w:val="none" w:sz="0" w:space="0" w:color="auto"/>
            <w:right w:val="none" w:sz="0" w:space="0" w:color="auto"/>
          </w:divBdr>
          <w:divsChild>
            <w:div w:id="372048628">
              <w:marLeft w:val="0"/>
              <w:marRight w:val="0"/>
              <w:marTop w:val="0"/>
              <w:marBottom w:val="0"/>
              <w:divBdr>
                <w:top w:val="none" w:sz="0" w:space="0" w:color="auto"/>
                <w:left w:val="none" w:sz="0" w:space="0" w:color="auto"/>
                <w:bottom w:val="none" w:sz="0" w:space="0" w:color="auto"/>
                <w:right w:val="none" w:sz="0" w:space="0" w:color="auto"/>
              </w:divBdr>
              <w:divsChild>
                <w:div w:id="184371446">
                  <w:marLeft w:val="0"/>
                  <w:marRight w:val="0"/>
                  <w:marTop w:val="0"/>
                  <w:marBottom w:val="0"/>
                  <w:divBdr>
                    <w:top w:val="none" w:sz="0" w:space="0" w:color="auto"/>
                    <w:left w:val="none" w:sz="0" w:space="0" w:color="auto"/>
                    <w:bottom w:val="none" w:sz="0" w:space="0" w:color="auto"/>
                    <w:right w:val="none" w:sz="0" w:space="0" w:color="auto"/>
                  </w:divBdr>
                  <w:divsChild>
                    <w:div w:id="2127456090">
                      <w:marLeft w:val="0"/>
                      <w:marRight w:val="0"/>
                      <w:marTop w:val="0"/>
                      <w:marBottom w:val="0"/>
                      <w:divBdr>
                        <w:top w:val="none" w:sz="0" w:space="0" w:color="auto"/>
                        <w:left w:val="none" w:sz="0" w:space="0" w:color="auto"/>
                        <w:bottom w:val="none" w:sz="0" w:space="0" w:color="auto"/>
                        <w:right w:val="none" w:sz="0" w:space="0" w:color="auto"/>
                      </w:divBdr>
                      <w:divsChild>
                        <w:div w:id="95176205">
                          <w:marLeft w:val="0"/>
                          <w:marRight w:val="0"/>
                          <w:marTop w:val="0"/>
                          <w:marBottom w:val="0"/>
                          <w:divBdr>
                            <w:top w:val="none" w:sz="0" w:space="0" w:color="auto"/>
                            <w:left w:val="none" w:sz="0" w:space="0" w:color="auto"/>
                            <w:bottom w:val="none" w:sz="0" w:space="0" w:color="auto"/>
                            <w:right w:val="none" w:sz="0" w:space="0" w:color="auto"/>
                          </w:divBdr>
                          <w:divsChild>
                            <w:div w:id="1982424712">
                              <w:marLeft w:val="0"/>
                              <w:marRight w:val="0"/>
                              <w:marTop w:val="0"/>
                              <w:marBottom w:val="0"/>
                              <w:divBdr>
                                <w:top w:val="none" w:sz="0" w:space="0" w:color="auto"/>
                                <w:left w:val="none" w:sz="0" w:space="0" w:color="auto"/>
                                <w:bottom w:val="none" w:sz="0" w:space="0" w:color="auto"/>
                                <w:right w:val="none" w:sz="0" w:space="0" w:color="auto"/>
                              </w:divBdr>
                              <w:divsChild>
                                <w:div w:id="878519241">
                                  <w:marLeft w:val="0"/>
                                  <w:marRight w:val="0"/>
                                  <w:marTop w:val="0"/>
                                  <w:marBottom w:val="0"/>
                                  <w:divBdr>
                                    <w:top w:val="none" w:sz="0" w:space="0" w:color="auto"/>
                                    <w:left w:val="none" w:sz="0" w:space="0" w:color="auto"/>
                                    <w:bottom w:val="none" w:sz="0" w:space="0" w:color="auto"/>
                                    <w:right w:val="none" w:sz="0" w:space="0" w:color="auto"/>
                                  </w:divBdr>
                                  <w:divsChild>
                                    <w:div w:id="411701197">
                                      <w:marLeft w:val="0"/>
                                      <w:marRight w:val="0"/>
                                      <w:marTop w:val="0"/>
                                      <w:marBottom w:val="0"/>
                                      <w:divBdr>
                                        <w:top w:val="none" w:sz="0" w:space="0" w:color="auto"/>
                                        <w:left w:val="none" w:sz="0" w:space="0" w:color="auto"/>
                                        <w:bottom w:val="none" w:sz="0" w:space="0" w:color="auto"/>
                                        <w:right w:val="none" w:sz="0" w:space="0" w:color="auto"/>
                                      </w:divBdr>
                                      <w:divsChild>
                                        <w:div w:id="1792237222">
                                          <w:marLeft w:val="0"/>
                                          <w:marRight w:val="0"/>
                                          <w:marTop w:val="0"/>
                                          <w:marBottom w:val="0"/>
                                          <w:divBdr>
                                            <w:top w:val="none" w:sz="0" w:space="0" w:color="auto"/>
                                            <w:left w:val="none" w:sz="0" w:space="0" w:color="auto"/>
                                            <w:bottom w:val="none" w:sz="0" w:space="0" w:color="auto"/>
                                            <w:right w:val="none" w:sz="0" w:space="0" w:color="auto"/>
                                          </w:divBdr>
                                          <w:divsChild>
                                            <w:div w:id="2019382668">
                                              <w:marLeft w:val="0"/>
                                              <w:marRight w:val="0"/>
                                              <w:marTop w:val="0"/>
                                              <w:marBottom w:val="0"/>
                                              <w:divBdr>
                                                <w:top w:val="none" w:sz="0" w:space="0" w:color="auto"/>
                                                <w:left w:val="none" w:sz="0" w:space="0" w:color="auto"/>
                                                <w:bottom w:val="none" w:sz="0" w:space="0" w:color="auto"/>
                                                <w:right w:val="none" w:sz="0" w:space="0" w:color="auto"/>
                                              </w:divBdr>
                                              <w:divsChild>
                                                <w:div w:id="466823701">
                                                  <w:marLeft w:val="0"/>
                                                  <w:marRight w:val="0"/>
                                                  <w:marTop w:val="0"/>
                                                  <w:marBottom w:val="0"/>
                                                  <w:divBdr>
                                                    <w:top w:val="none" w:sz="0" w:space="0" w:color="auto"/>
                                                    <w:left w:val="none" w:sz="0" w:space="0" w:color="auto"/>
                                                    <w:bottom w:val="none" w:sz="0" w:space="0" w:color="auto"/>
                                                    <w:right w:val="none" w:sz="0" w:space="0" w:color="auto"/>
                                                  </w:divBdr>
                                                  <w:divsChild>
                                                    <w:div w:id="871116480">
                                                      <w:marLeft w:val="0"/>
                                                      <w:marRight w:val="0"/>
                                                      <w:marTop w:val="0"/>
                                                      <w:marBottom w:val="0"/>
                                                      <w:divBdr>
                                                        <w:top w:val="none" w:sz="0" w:space="0" w:color="auto"/>
                                                        <w:left w:val="none" w:sz="0" w:space="0" w:color="auto"/>
                                                        <w:bottom w:val="none" w:sz="0" w:space="0" w:color="auto"/>
                                                        <w:right w:val="none" w:sz="0" w:space="0" w:color="auto"/>
                                                      </w:divBdr>
                                                      <w:divsChild>
                                                        <w:div w:id="139010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2380954">
      <w:bodyDiv w:val="1"/>
      <w:marLeft w:val="0"/>
      <w:marRight w:val="0"/>
      <w:marTop w:val="0"/>
      <w:marBottom w:val="0"/>
      <w:divBdr>
        <w:top w:val="none" w:sz="0" w:space="0" w:color="auto"/>
        <w:left w:val="none" w:sz="0" w:space="0" w:color="auto"/>
        <w:bottom w:val="none" w:sz="0" w:space="0" w:color="auto"/>
        <w:right w:val="none" w:sz="0" w:space="0" w:color="auto"/>
      </w:divBdr>
    </w:div>
    <w:div w:id="1596161991">
      <w:bodyDiv w:val="1"/>
      <w:marLeft w:val="0"/>
      <w:marRight w:val="0"/>
      <w:marTop w:val="0"/>
      <w:marBottom w:val="0"/>
      <w:divBdr>
        <w:top w:val="none" w:sz="0" w:space="0" w:color="auto"/>
        <w:left w:val="none" w:sz="0" w:space="0" w:color="auto"/>
        <w:bottom w:val="none" w:sz="0" w:space="0" w:color="auto"/>
        <w:right w:val="none" w:sz="0" w:space="0" w:color="auto"/>
      </w:divBdr>
    </w:div>
    <w:div w:id="1603563456">
      <w:bodyDiv w:val="1"/>
      <w:marLeft w:val="0"/>
      <w:marRight w:val="0"/>
      <w:marTop w:val="0"/>
      <w:marBottom w:val="0"/>
      <w:divBdr>
        <w:top w:val="none" w:sz="0" w:space="0" w:color="auto"/>
        <w:left w:val="none" w:sz="0" w:space="0" w:color="auto"/>
        <w:bottom w:val="none" w:sz="0" w:space="0" w:color="auto"/>
        <w:right w:val="none" w:sz="0" w:space="0" w:color="auto"/>
      </w:divBdr>
      <w:divsChild>
        <w:div w:id="1398549336">
          <w:marLeft w:val="0"/>
          <w:marRight w:val="0"/>
          <w:marTop w:val="0"/>
          <w:marBottom w:val="0"/>
          <w:divBdr>
            <w:top w:val="none" w:sz="0" w:space="0" w:color="auto"/>
            <w:left w:val="none" w:sz="0" w:space="0" w:color="auto"/>
            <w:bottom w:val="none" w:sz="0" w:space="0" w:color="auto"/>
            <w:right w:val="none" w:sz="0" w:space="0" w:color="auto"/>
          </w:divBdr>
          <w:divsChild>
            <w:div w:id="485248848">
              <w:marLeft w:val="0"/>
              <w:marRight w:val="0"/>
              <w:marTop w:val="0"/>
              <w:marBottom w:val="0"/>
              <w:divBdr>
                <w:top w:val="none" w:sz="0" w:space="0" w:color="auto"/>
                <w:left w:val="none" w:sz="0" w:space="0" w:color="auto"/>
                <w:bottom w:val="none" w:sz="0" w:space="0" w:color="auto"/>
                <w:right w:val="none" w:sz="0" w:space="0" w:color="auto"/>
              </w:divBdr>
              <w:divsChild>
                <w:div w:id="107094076">
                  <w:marLeft w:val="0"/>
                  <w:marRight w:val="0"/>
                  <w:marTop w:val="0"/>
                  <w:marBottom w:val="0"/>
                  <w:divBdr>
                    <w:top w:val="none" w:sz="0" w:space="0" w:color="auto"/>
                    <w:left w:val="none" w:sz="0" w:space="0" w:color="auto"/>
                    <w:bottom w:val="none" w:sz="0" w:space="0" w:color="auto"/>
                    <w:right w:val="none" w:sz="0" w:space="0" w:color="auto"/>
                  </w:divBdr>
                  <w:divsChild>
                    <w:div w:id="288512640">
                      <w:marLeft w:val="0"/>
                      <w:marRight w:val="0"/>
                      <w:marTop w:val="0"/>
                      <w:marBottom w:val="0"/>
                      <w:divBdr>
                        <w:top w:val="none" w:sz="0" w:space="0" w:color="auto"/>
                        <w:left w:val="none" w:sz="0" w:space="0" w:color="auto"/>
                        <w:bottom w:val="none" w:sz="0" w:space="0" w:color="auto"/>
                        <w:right w:val="none" w:sz="0" w:space="0" w:color="auto"/>
                      </w:divBdr>
                      <w:divsChild>
                        <w:div w:id="1865316424">
                          <w:marLeft w:val="0"/>
                          <w:marRight w:val="0"/>
                          <w:marTop w:val="0"/>
                          <w:marBottom w:val="0"/>
                          <w:divBdr>
                            <w:top w:val="none" w:sz="0" w:space="0" w:color="auto"/>
                            <w:left w:val="none" w:sz="0" w:space="0" w:color="auto"/>
                            <w:bottom w:val="none" w:sz="0" w:space="0" w:color="auto"/>
                            <w:right w:val="none" w:sz="0" w:space="0" w:color="auto"/>
                          </w:divBdr>
                          <w:divsChild>
                            <w:div w:id="602999431">
                              <w:marLeft w:val="0"/>
                              <w:marRight w:val="0"/>
                              <w:marTop w:val="0"/>
                              <w:marBottom w:val="0"/>
                              <w:divBdr>
                                <w:top w:val="none" w:sz="0" w:space="0" w:color="auto"/>
                                <w:left w:val="none" w:sz="0" w:space="0" w:color="auto"/>
                                <w:bottom w:val="none" w:sz="0" w:space="0" w:color="auto"/>
                                <w:right w:val="none" w:sz="0" w:space="0" w:color="auto"/>
                              </w:divBdr>
                              <w:divsChild>
                                <w:div w:id="1009983751">
                                  <w:marLeft w:val="0"/>
                                  <w:marRight w:val="0"/>
                                  <w:marTop w:val="0"/>
                                  <w:marBottom w:val="0"/>
                                  <w:divBdr>
                                    <w:top w:val="none" w:sz="0" w:space="0" w:color="auto"/>
                                    <w:left w:val="none" w:sz="0" w:space="0" w:color="auto"/>
                                    <w:bottom w:val="none" w:sz="0" w:space="0" w:color="auto"/>
                                    <w:right w:val="none" w:sz="0" w:space="0" w:color="auto"/>
                                  </w:divBdr>
                                  <w:divsChild>
                                    <w:div w:id="825784954">
                                      <w:marLeft w:val="0"/>
                                      <w:marRight w:val="0"/>
                                      <w:marTop w:val="0"/>
                                      <w:marBottom w:val="0"/>
                                      <w:divBdr>
                                        <w:top w:val="none" w:sz="0" w:space="0" w:color="auto"/>
                                        <w:left w:val="none" w:sz="0" w:space="0" w:color="auto"/>
                                        <w:bottom w:val="none" w:sz="0" w:space="0" w:color="auto"/>
                                        <w:right w:val="none" w:sz="0" w:space="0" w:color="auto"/>
                                      </w:divBdr>
                                      <w:divsChild>
                                        <w:div w:id="44106230">
                                          <w:marLeft w:val="0"/>
                                          <w:marRight w:val="0"/>
                                          <w:marTop w:val="0"/>
                                          <w:marBottom w:val="0"/>
                                          <w:divBdr>
                                            <w:top w:val="none" w:sz="0" w:space="0" w:color="auto"/>
                                            <w:left w:val="none" w:sz="0" w:space="0" w:color="auto"/>
                                            <w:bottom w:val="none" w:sz="0" w:space="0" w:color="auto"/>
                                            <w:right w:val="none" w:sz="0" w:space="0" w:color="auto"/>
                                          </w:divBdr>
                                          <w:divsChild>
                                            <w:div w:id="311103142">
                                              <w:marLeft w:val="0"/>
                                              <w:marRight w:val="0"/>
                                              <w:marTop w:val="0"/>
                                              <w:marBottom w:val="0"/>
                                              <w:divBdr>
                                                <w:top w:val="none" w:sz="0" w:space="0" w:color="auto"/>
                                                <w:left w:val="none" w:sz="0" w:space="0" w:color="auto"/>
                                                <w:bottom w:val="none" w:sz="0" w:space="0" w:color="auto"/>
                                                <w:right w:val="none" w:sz="0" w:space="0" w:color="auto"/>
                                              </w:divBdr>
                                              <w:divsChild>
                                                <w:div w:id="837694598">
                                                  <w:marLeft w:val="0"/>
                                                  <w:marRight w:val="0"/>
                                                  <w:marTop w:val="0"/>
                                                  <w:marBottom w:val="0"/>
                                                  <w:divBdr>
                                                    <w:top w:val="none" w:sz="0" w:space="0" w:color="auto"/>
                                                    <w:left w:val="none" w:sz="0" w:space="0" w:color="auto"/>
                                                    <w:bottom w:val="none" w:sz="0" w:space="0" w:color="auto"/>
                                                    <w:right w:val="none" w:sz="0" w:space="0" w:color="auto"/>
                                                  </w:divBdr>
                                                  <w:divsChild>
                                                    <w:div w:id="1579441236">
                                                      <w:marLeft w:val="0"/>
                                                      <w:marRight w:val="0"/>
                                                      <w:marTop w:val="0"/>
                                                      <w:marBottom w:val="0"/>
                                                      <w:divBdr>
                                                        <w:top w:val="none" w:sz="0" w:space="0" w:color="auto"/>
                                                        <w:left w:val="none" w:sz="0" w:space="0" w:color="auto"/>
                                                        <w:bottom w:val="none" w:sz="0" w:space="0" w:color="auto"/>
                                                        <w:right w:val="none" w:sz="0" w:space="0" w:color="auto"/>
                                                      </w:divBdr>
                                                      <w:divsChild>
                                                        <w:div w:id="6823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7145305">
      <w:bodyDiv w:val="1"/>
      <w:marLeft w:val="0"/>
      <w:marRight w:val="0"/>
      <w:marTop w:val="0"/>
      <w:marBottom w:val="0"/>
      <w:divBdr>
        <w:top w:val="none" w:sz="0" w:space="0" w:color="auto"/>
        <w:left w:val="none" w:sz="0" w:space="0" w:color="auto"/>
        <w:bottom w:val="none" w:sz="0" w:space="0" w:color="auto"/>
        <w:right w:val="none" w:sz="0" w:space="0" w:color="auto"/>
      </w:divBdr>
    </w:div>
    <w:div w:id="1677731994">
      <w:bodyDiv w:val="1"/>
      <w:marLeft w:val="0"/>
      <w:marRight w:val="0"/>
      <w:marTop w:val="0"/>
      <w:marBottom w:val="0"/>
      <w:divBdr>
        <w:top w:val="none" w:sz="0" w:space="0" w:color="auto"/>
        <w:left w:val="none" w:sz="0" w:space="0" w:color="auto"/>
        <w:bottom w:val="none" w:sz="0" w:space="0" w:color="auto"/>
        <w:right w:val="none" w:sz="0" w:space="0" w:color="auto"/>
      </w:divBdr>
    </w:div>
    <w:div w:id="1677880183">
      <w:bodyDiv w:val="1"/>
      <w:marLeft w:val="0"/>
      <w:marRight w:val="0"/>
      <w:marTop w:val="0"/>
      <w:marBottom w:val="0"/>
      <w:divBdr>
        <w:top w:val="none" w:sz="0" w:space="0" w:color="auto"/>
        <w:left w:val="none" w:sz="0" w:space="0" w:color="auto"/>
        <w:bottom w:val="none" w:sz="0" w:space="0" w:color="auto"/>
        <w:right w:val="none" w:sz="0" w:space="0" w:color="auto"/>
      </w:divBdr>
    </w:div>
    <w:div w:id="1748073433">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19151980">
      <w:bodyDiv w:val="1"/>
      <w:marLeft w:val="0"/>
      <w:marRight w:val="0"/>
      <w:marTop w:val="0"/>
      <w:marBottom w:val="0"/>
      <w:divBdr>
        <w:top w:val="none" w:sz="0" w:space="0" w:color="auto"/>
        <w:left w:val="none" w:sz="0" w:space="0" w:color="auto"/>
        <w:bottom w:val="none" w:sz="0" w:space="0" w:color="auto"/>
        <w:right w:val="none" w:sz="0" w:space="0" w:color="auto"/>
      </w:divBdr>
    </w:div>
    <w:div w:id="1824276906">
      <w:bodyDiv w:val="1"/>
      <w:marLeft w:val="0"/>
      <w:marRight w:val="0"/>
      <w:marTop w:val="0"/>
      <w:marBottom w:val="0"/>
      <w:divBdr>
        <w:top w:val="none" w:sz="0" w:space="0" w:color="auto"/>
        <w:left w:val="none" w:sz="0" w:space="0" w:color="auto"/>
        <w:bottom w:val="none" w:sz="0" w:space="0" w:color="auto"/>
        <w:right w:val="none" w:sz="0" w:space="0" w:color="auto"/>
      </w:divBdr>
    </w:div>
    <w:div w:id="1829861287">
      <w:bodyDiv w:val="1"/>
      <w:marLeft w:val="0"/>
      <w:marRight w:val="0"/>
      <w:marTop w:val="0"/>
      <w:marBottom w:val="0"/>
      <w:divBdr>
        <w:top w:val="none" w:sz="0" w:space="0" w:color="auto"/>
        <w:left w:val="none" w:sz="0" w:space="0" w:color="auto"/>
        <w:bottom w:val="none" w:sz="0" w:space="0" w:color="auto"/>
        <w:right w:val="none" w:sz="0" w:space="0" w:color="auto"/>
      </w:divBdr>
      <w:divsChild>
        <w:div w:id="1659578023">
          <w:marLeft w:val="0"/>
          <w:marRight w:val="0"/>
          <w:marTop w:val="0"/>
          <w:marBottom w:val="0"/>
          <w:divBdr>
            <w:top w:val="none" w:sz="0" w:space="0" w:color="auto"/>
            <w:left w:val="none" w:sz="0" w:space="0" w:color="auto"/>
            <w:bottom w:val="none" w:sz="0" w:space="0" w:color="auto"/>
            <w:right w:val="none" w:sz="0" w:space="0" w:color="auto"/>
          </w:divBdr>
          <w:divsChild>
            <w:div w:id="2115133292">
              <w:marLeft w:val="0"/>
              <w:marRight w:val="0"/>
              <w:marTop w:val="0"/>
              <w:marBottom w:val="0"/>
              <w:divBdr>
                <w:top w:val="none" w:sz="0" w:space="0" w:color="auto"/>
                <w:left w:val="none" w:sz="0" w:space="0" w:color="auto"/>
                <w:bottom w:val="none" w:sz="0" w:space="0" w:color="auto"/>
                <w:right w:val="none" w:sz="0" w:space="0" w:color="auto"/>
              </w:divBdr>
              <w:divsChild>
                <w:div w:id="1392001275">
                  <w:marLeft w:val="0"/>
                  <w:marRight w:val="0"/>
                  <w:marTop w:val="0"/>
                  <w:marBottom w:val="0"/>
                  <w:divBdr>
                    <w:top w:val="none" w:sz="0" w:space="0" w:color="auto"/>
                    <w:left w:val="none" w:sz="0" w:space="0" w:color="auto"/>
                    <w:bottom w:val="none" w:sz="0" w:space="0" w:color="auto"/>
                    <w:right w:val="none" w:sz="0" w:space="0" w:color="auto"/>
                  </w:divBdr>
                  <w:divsChild>
                    <w:div w:id="1089621723">
                      <w:marLeft w:val="0"/>
                      <w:marRight w:val="0"/>
                      <w:marTop w:val="0"/>
                      <w:marBottom w:val="0"/>
                      <w:divBdr>
                        <w:top w:val="none" w:sz="0" w:space="0" w:color="auto"/>
                        <w:left w:val="none" w:sz="0" w:space="0" w:color="auto"/>
                        <w:bottom w:val="none" w:sz="0" w:space="0" w:color="auto"/>
                        <w:right w:val="none" w:sz="0" w:space="0" w:color="auto"/>
                      </w:divBdr>
                      <w:divsChild>
                        <w:div w:id="1386103004">
                          <w:marLeft w:val="0"/>
                          <w:marRight w:val="0"/>
                          <w:marTop w:val="0"/>
                          <w:marBottom w:val="0"/>
                          <w:divBdr>
                            <w:top w:val="none" w:sz="0" w:space="0" w:color="auto"/>
                            <w:left w:val="none" w:sz="0" w:space="0" w:color="auto"/>
                            <w:bottom w:val="none" w:sz="0" w:space="0" w:color="auto"/>
                            <w:right w:val="none" w:sz="0" w:space="0" w:color="auto"/>
                          </w:divBdr>
                          <w:divsChild>
                            <w:div w:id="1679186248">
                              <w:marLeft w:val="0"/>
                              <w:marRight w:val="0"/>
                              <w:marTop w:val="0"/>
                              <w:marBottom w:val="0"/>
                              <w:divBdr>
                                <w:top w:val="none" w:sz="0" w:space="0" w:color="auto"/>
                                <w:left w:val="none" w:sz="0" w:space="0" w:color="auto"/>
                                <w:bottom w:val="none" w:sz="0" w:space="0" w:color="auto"/>
                                <w:right w:val="none" w:sz="0" w:space="0" w:color="auto"/>
                              </w:divBdr>
                              <w:divsChild>
                                <w:div w:id="28654549">
                                  <w:marLeft w:val="0"/>
                                  <w:marRight w:val="0"/>
                                  <w:marTop w:val="0"/>
                                  <w:marBottom w:val="0"/>
                                  <w:divBdr>
                                    <w:top w:val="none" w:sz="0" w:space="0" w:color="auto"/>
                                    <w:left w:val="none" w:sz="0" w:space="0" w:color="auto"/>
                                    <w:bottom w:val="none" w:sz="0" w:space="0" w:color="auto"/>
                                    <w:right w:val="none" w:sz="0" w:space="0" w:color="auto"/>
                                  </w:divBdr>
                                  <w:divsChild>
                                    <w:div w:id="1517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979019">
      <w:bodyDiv w:val="1"/>
      <w:marLeft w:val="0"/>
      <w:marRight w:val="0"/>
      <w:marTop w:val="0"/>
      <w:marBottom w:val="0"/>
      <w:divBdr>
        <w:top w:val="none" w:sz="0" w:space="0" w:color="auto"/>
        <w:left w:val="none" w:sz="0" w:space="0" w:color="auto"/>
        <w:bottom w:val="none" w:sz="0" w:space="0" w:color="auto"/>
        <w:right w:val="none" w:sz="0" w:space="0" w:color="auto"/>
      </w:divBdr>
    </w:div>
    <w:div w:id="2082756111">
      <w:bodyDiv w:val="1"/>
      <w:marLeft w:val="0"/>
      <w:marRight w:val="0"/>
      <w:marTop w:val="0"/>
      <w:marBottom w:val="0"/>
      <w:divBdr>
        <w:top w:val="none" w:sz="0" w:space="0" w:color="auto"/>
        <w:left w:val="none" w:sz="0" w:space="0" w:color="auto"/>
        <w:bottom w:val="none" w:sz="0" w:space="0" w:color="auto"/>
        <w:right w:val="none" w:sz="0" w:space="0" w:color="auto"/>
      </w:divBdr>
      <w:divsChild>
        <w:div w:id="1382368617">
          <w:marLeft w:val="0"/>
          <w:marRight w:val="0"/>
          <w:marTop w:val="0"/>
          <w:marBottom w:val="0"/>
          <w:divBdr>
            <w:top w:val="none" w:sz="0" w:space="0" w:color="auto"/>
            <w:left w:val="none" w:sz="0" w:space="0" w:color="auto"/>
            <w:bottom w:val="none" w:sz="0" w:space="0" w:color="auto"/>
            <w:right w:val="none" w:sz="0" w:space="0" w:color="auto"/>
          </w:divBdr>
          <w:divsChild>
            <w:div w:id="883519504">
              <w:marLeft w:val="0"/>
              <w:marRight w:val="0"/>
              <w:marTop w:val="0"/>
              <w:marBottom w:val="0"/>
              <w:divBdr>
                <w:top w:val="none" w:sz="0" w:space="0" w:color="auto"/>
                <w:left w:val="none" w:sz="0" w:space="0" w:color="auto"/>
                <w:bottom w:val="none" w:sz="0" w:space="0" w:color="auto"/>
                <w:right w:val="none" w:sz="0" w:space="0" w:color="auto"/>
              </w:divBdr>
              <w:divsChild>
                <w:div w:id="1493718677">
                  <w:marLeft w:val="0"/>
                  <w:marRight w:val="0"/>
                  <w:marTop w:val="0"/>
                  <w:marBottom w:val="0"/>
                  <w:divBdr>
                    <w:top w:val="none" w:sz="0" w:space="0" w:color="auto"/>
                    <w:left w:val="none" w:sz="0" w:space="0" w:color="auto"/>
                    <w:bottom w:val="none" w:sz="0" w:space="0" w:color="auto"/>
                    <w:right w:val="none" w:sz="0" w:space="0" w:color="auto"/>
                  </w:divBdr>
                  <w:divsChild>
                    <w:div w:id="329404631">
                      <w:marLeft w:val="0"/>
                      <w:marRight w:val="0"/>
                      <w:marTop w:val="0"/>
                      <w:marBottom w:val="0"/>
                      <w:divBdr>
                        <w:top w:val="none" w:sz="0" w:space="0" w:color="auto"/>
                        <w:left w:val="none" w:sz="0" w:space="0" w:color="auto"/>
                        <w:bottom w:val="none" w:sz="0" w:space="0" w:color="auto"/>
                        <w:right w:val="none" w:sz="0" w:space="0" w:color="auto"/>
                      </w:divBdr>
                      <w:divsChild>
                        <w:div w:id="173305714">
                          <w:marLeft w:val="0"/>
                          <w:marRight w:val="0"/>
                          <w:marTop w:val="0"/>
                          <w:marBottom w:val="0"/>
                          <w:divBdr>
                            <w:top w:val="none" w:sz="0" w:space="0" w:color="auto"/>
                            <w:left w:val="none" w:sz="0" w:space="0" w:color="auto"/>
                            <w:bottom w:val="none" w:sz="0" w:space="0" w:color="auto"/>
                            <w:right w:val="none" w:sz="0" w:space="0" w:color="auto"/>
                          </w:divBdr>
                          <w:divsChild>
                            <w:div w:id="1162545620">
                              <w:marLeft w:val="0"/>
                              <w:marRight w:val="0"/>
                              <w:marTop w:val="0"/>
                              <w:marBottom w:val="0"/>
                              <w:divBdr>
                                <w:top w:val="none" w:sz="0" w:space="0" w:color="auto"/>
                                <w:left w:val="none" w:sz="0" w:space="0" w:color="auto"/>
                                <w:bottom w:val="none" w:sz="0" w:space="0" w:color="auto"/>
                                <w:right w:val="none" w:sz="0" w:space="0" w:color="auto"/>
                              </w:divBdr>
                              <w:divsChild>
                                <w:div w:id="1649506838">
                                  <w:marLeft w:val="0"/>
                                  <w:marRight w:val="0"/>
                                  <w:marTop w:val="0"/>
                                  <w:marBottom w:val="0"/>
                                  <w:divBdr>
                                    <w:top w:val="none" w:sz="0" w:space="0" w:color="auto"/>
                                    <w:left w:val="none" w:sz="0" w:space="0" w:color="auto"/>
                                    <w:bottom w:val="none" w:sz="0" w:space="0" w:color="auto"/>
                                    <w:right w:val="none" w:sz="0" w:space="0" w:color="auto"/>
                                  </w:divBdr>
                                  <w:divsChild>
                                    <w:div w:id="1755129050">
                                      <w:marLeft w:val="0"/>
                                      <w:marRight w:val="0"/>
                                      <w:marTop w:val="0"/>
                                      <w:marBottom w:val="0"/>
                                      <w:divBdr>
                                        <w:top w:val="none" w:sz="0" w:space="0" w:color="auto"/>
                                        <w:left w:val="none" w:sz="0" w:space="0" w:color="auto"/>
                                        <w:bottom w:val="none" w:sz="0" w:space="0" w:color="auto"/>
                                        <w:right w:val="none" w:sz="0" w:space="0" w:color="auto"/>
                                      </w:divBdr>
                                      <w:divsChild>
                                        <w:div w:id="1333489584">
                                          <w:marLeft w:val="0"/>
                                          <w:marRight w:val="0"/>
                                          <w:marTop w:val="0"/>
                                          <w:marBottom w:val="0"/>
                                          <w:divBdr>
                                            <w:top w:val="none" w:sz="0" w:space="0" w:color="auto"/>
                                            <w:left w:val="none" w:sz="0" w:space="0" w:color="auto"/>
                                            <w:bottom w:val="none" w:sz="0" w:space="0" w:color="auto"/>
                                            <w:right w:val="none" w:sz="0" w:space="0" w:color="auto"/>
                                          </w:divBdr>
                                          <w:divsChild>
                                            <w:div w:id="24409332">
                                              <w:marLeft w:val="0"/>
                                              <w:marRight w:val="0"/>
                                              <w:marTop w:val="0"/>
                                              <w:marBottom w:val="0"/>
                                              <w:divBdr>
                                                <w:top w:val="none" w:sz="0" w:space="0" w:color="auto"/>
                                                <w:left w:val="none" w:sz="0" w:space="0" w:color="auto"/>
                                                <w:bottom w:val="none" w:sz="0" w:space="0" w:color="auto"/>
                                                <w:right w:val="none" w:sz="0" w:space="0" w:color="auto"/>
                                              </w:divBdr>
                                              <w:divsChild>
                                                <w:div w:id="492992183">
                                                  <w:marLeft w:val="0"/>
                                                  <w:marRight w:val="0"/>
                                                  <w:marTop w:val="0"/>
                                                  <w:marBottom w:val="0"/>
                                                  <w:divBdr>
                                                    <w:top w:val="none" w:sz="0" w:space="0" w:color="auto"/>
                                                    <w:left w:val="none" w:sz="0" w:space="0" w:color="auto"/>
                                                    <w:bottom w:val="none" w:sz="0" w:space="0" w:color="auto"/>
                                                    <w:right w:val="none" w:sz="0" w:space="0" w:color="auto"/>
                                                  </w:divBdr>
                                                  <w:divsChild>
                                                    <w:div w:id="332798458">
                                                      <w:marLeft w:val="0"/>
                                                      <w:marRight w:val="0"/>
                                                      <w:marTop w:val="0"/>
                                                      <w:marBottom w:val="0"/>
                                                      <w:divBdr>
                                                        <w:top w:val="none" w:sz="0" w:space="0" w:color="auto"/>
                                                        <w:left w:val="none" w:sz="0" w:space="0" w:color="auto"/>
                                                        <w:bottom w:val="none" w:sz="0" w:space="0" w:color="auto"/>
                                                        <w:right w:val="none" w:sz="0" w:space="0" w:color="auto"/>
                                                      </w:divBdr>
                                                      <w:divsChild>
                                                        <w:div w:id="21332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847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0A7577E-E2DB-4B5B-A707-2D2AA371DF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8D9ED5C59EC5948BF1BCE9503396F9C" ma:contentTypeVersion="" ma:contentTypeDescription="PDMS Document Site Content Type" ma:contentTypeScope="" ma:versionID="99c970ff1ec4e96a3395c5aa2aef70d7">
  <xsd:schema xmlns:xsd="http://www.w3.org/2001/XMLSchema" xmlns:xs="http://www.w3.org/2001/XMLSchema" xmlns:p="http://schemas.microsoft.com/office/2006/metadata/properties" xmlns:ns2="E0A7577E-E2DB-4B5B-A707-2D2AA371DFCD" targetNamespace="http://schemas.microsoft.com/office/2006/metadata/properties" ma:root="true" ma:fieldsID="5dbf7b08a315afa1aa367abf5f8c2eb1" ns2:_="">
    <xsd:import namespace="E0A7577E-E2DB-4B5B-A707-2D2AA371DFC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7577E-E2DB-4B5B-A707-2D2AA371DFC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3ACB7-51B7-48EB-A1AD-725D7095ADF7}">
  <ds:schemaRefs>
    <ds:schemaRef ds:uri="http://schemas.microsoft.com/office/infopath/2007/PartnerControls"/>
    <ds:schemaRef ds:uri="http://purl.org/dc/elements/1.1/"/>
    <ds:schemaRef ds:uri="http://schemas.microsoft.com/office/2006/metadata/properties"/>
    <ds:schemaRef ds:uri="E0A7577E-E2DB-4B5B-A707-2D2AA371DFCD"/>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5A36BBDB-7FC9-4C1A-BB5F-D009158233CC}">
  <ds:schemaRefs>
    <ds:schemaRef ds:uri="http://schemas.microsoft.com/sharepoint/v3/contenttype/forms"/>
  </ds:schemaRefs>
</ds:datastoreItem>
</file>

<file path=customXml/itemProps3.xml><?xml version="1.0" encoding="utf-8"?>
<ds:datastoreItem xmlns:ds="http://schemas.openxmlformats.org/officeDocument/2006/customXml" ds:itemID="{BEF2686F-5081-4A09-BCE9-EA438F2FE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7577E-E2DB-4B5B-A707-2D2AA371DF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D8AE2-1DAD-4473-B8EB-0C63BD25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1888</Words>
  <Characters>10780</Characters>
  <Application>Microsoft Office Word</Application>
  <DocSecurity>4</DocSecurity>
  <Lines>204</Lines>
  <Paragraphs>80</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keywords>[SEC=OFFICIAL]</cp:keywords>
  <cp:lastModifiedBy>HOCKING, Lauren</cp:lastModifiedBy>
  <cp:revision>2</cp:revision>
  <cp:lastPrinted>2021-06-30T03:23:00Z</cp:lastPrinted>
  <dcterms:created xsi:type="dcterms:W3CDTF">2023-04-26T23:28:00Z</dcterms:created>
  <dcterms:modified xsi:type="dcterms:W3CDTF">2023-04-26T23:28:00Z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0x010100266966F133664895A6EE3632470D45F50018D9ED5C59EC5948BF1BCE9503396F9C</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214CE234235741A49F6DAEEAC458478F</vt:lpwstr>
  </property>
  <property fmtid="{D5CDD505-2E9C-101B-9397-08002B2CF9AE}" pid="10" name="PM_ProtectiveMarkingValue_Footer">
    <vt:lpwstr>OFFICIAL</vt:lpwstr>
  </property>
  <property fmtid="{D5CDD505-2E9C-101B-9397-08002B2CF9AE}" pid="11" name="PM_Originator_Hash_SHA1">
    <vt:lpwstr>86C09F4EE8A0CFB185A5C27B47969725282CE7E6</vt:lpwstr>
  </property>
  <property fmtid="{D5CDD505-2E9C-101B-9397-08002B2CF9AE}" pid="12" name="PM_OriginationTimeStamp">
    <vt:lpwstr>2023-04-26T23:27:58Z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F9822A4D4CE3BA9C64A50783AD44C013</vt:lpwstr>
  </property>
  <property fmtid="{D5CDD505-2E9C-101B-9397-08002B2CF9AE}" pid="21" name="PM_Hash_Salt">
    <vt:lpwstr>C607B681FBB554ADC6FCE44384C63BDA</vt:lpwstr>
  </property>
  <property fmtid="{D5CDD505-2E9C-101B-9397-08002B2CF9AE}" pid="22" name="PM_Hash_SHA1">
    <vt:lpwstr>F0975B42EAA5BE1D1B8AC08509422FDDDE0BB936</vt:lpwstr>
  </property>
  <property fmtid="{D5CDD505-2E9C-101B-9397-08002B2CF9AE}" pid="23" name="PM_SecurityClassification_Prev">
    <vt:lpwstr>OFFICIAL:Sensitive</vt:lpwstr>
  </property>
  <property fmtid="{D5CDD505-2E9C-101B-9397-08002B2CF9AE}" pid="24" name="PM_Qualifier_Prev">
    <vt:lpwstr/>
  </property>
  <property fmtid="{D5CDD505-2E9C-101B-9397-08002B2CF9AE}" pid="25" name="PM_Display">
    <vt:lpwstr>OFFICIAL</vt:lpwstr>
  </property>
  <property fmtid="{D5CDD505-2E9C-101B-9397-08002B2CF9AE}" pid="26" name="PM_OriginatorUserAccountName_SHA256">
    <vt:lpwstr>A98D2C4B3E9660696E5975BE50876FE048CD271EE39734E12301A563101CCA62</vt:lpwstr>
  </property>
  <property fmtid="{D5CDD505-2E9C-101B-9397-08002B2CF9AE}" pid="27" name="PM_OriginatorDomainName_SHA256">
    <vt:lpwstr>E83A2A66C4061446A7E3732E8D44762184B6B377D962B96C83DC624302585857</vt:lpwstr>
  </property>
</Properties>
</file>