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072DC4" w:rsidP="006647B7">
      <w:pPr>
        <w:pStyle w:val="Plainheader"/>
      </w:pPr>
      <w:bookmarkStart w:id="0" w:name="SoP_Name_Title"/>
      <w:r>
        <w:t xml:space="preserve">CHRONIC MYELOID </w:t>
      </w:r>
      <w:proofErr w:type="gramStart"/>
      <w:r>
        <w:t>LEUKAEMIA</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BC1EBD">
        <w:t>57</w:t>
      </w:r>
      <w:bookmarkEnd w:id="1"/>
      <w:r w:rsidRPr="00024911">
        <w:t xml:space="preserve"> of</w:t>
      </w:r>
      <w:r w:rsidR="00085567">
        <w:t xml:space="preserve"> </w:t>
      </w:r>
      <w:bookmarkStart w:id="2" w:name="year"/>
      <w:r w:rsidR="00072DC4">
        <w:t>2023</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5B1030">
        <w:rPr>
          <w:b w:val="0"/>
        </w:rPr>
        <w:t>24 April 2023.</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 xml:space="preserve">Professor </w:t>
            </w:r>
            <w:r w:rsidR="00553578">
              <w:rPr>
                <w:b w:val="0"/>
              </w:rPr>
              <w:t>Terence Campbell AM</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3" w:name="BKCheck15B_2"/>
    <w:bookmarkEnd w:id="3"/>
    <w:p w:rsidR="00BC1EB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C1EBD">
        <w:rPr>
          <w:noProof/>
        </w:rPr>
        <w:t>1</w:t>
      </w:r>
      <w:r w:rsidR="00BC1EBD">
        <w:rPr>
          <w:rFonts w:asciiTheme="minorHAnsi" w:eastAsiaTheme="minorEastAsia" w:hAnsiTheme="minorHAnsi" w:cstheme="minorBidi"/>
          <w:noProof/>
          <w:kern w:val="0"/>
          <w:sz w:val="22"/>
          <w:szCs w:val="22"/>
        </w:rPr>
        <w:tab/>
      </w:r>
      <w:r w:rsidR="00BC1EBD">
        <w:rPr>
          <w:noProof/>
        </w:rPr>
        <w:t>Name</w:t>
      </w:r>
      <w:r w:rsidR="00BC1EBD">
        <w:rPr>
          <w:noProof/>
        </w:rPr>
        <w:tab/>
      </w:r>
      <w:r w:rsidR="00BC1EBD">
        <w:rPr>
          <w:noProof/>
        </w:rPr>
        <w:fldChar w:fldCharType="begin"/>
      </w:r>
      <w:r w:rsidR="00BC1EBD">
        <w:rPr>
          <w:noProof/>
        </w:rPr>
        <w:instrText xml:space="preserve"> PAGEREF _Toc131418466 \h </w:instrText>
      </w:r>
      <w:r w:rsidR="00BC1EBD">
        <w:rPr>
          <w:noProof/>
        </w:rPr>
      </w:r>
      <w:r w:rsidR="00BC1EBD">
        <w:rPr>
          <w:noProof/>
        </w:rPr>
        <w:fldChar w:fldCharType="separate"/>
      </w:r>
      <w:r w:rsidR="00BC1EBD">
        <w:rPr>
          <w:noProof/>
        </w:rPr>
        <w:t>3</w:t>
      </w:r>
      <w:r w:rsidR="00BC1EBD">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_Toc131418467 \h </w:instrText>
      </w:r>
      <w:r>
        <w:rPr>
          <w:noProof/>
        </w:rPr>
      </w:r>
      <w:r>
        <w:rPr>
          <w:noProof/>
        </w:rPr>
        <w:fldChar w:fldCharType="separate"/>
      </w:r>
      <w:r>
        <w:rPr>
          <w:noProof/>
        </w:rPr>
        <w:t>3</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_Toc131418468 \h </w:instrText>
      </w:r>
      <w:r>
        <w:rPr>
          <w:noProof/>
        </w:rPr>
      </w:r>
      <w:r>
        <w:rPr>
          <w:noProof/>
        </w:rPr>
        <w:fldChar w:fldCharType="separate"/>
      </w:r>
      <w:r>
        <w:rPr>
          <w:noProof/>
        </w:rPr>
        <w:t>3</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_Toc131418469 \h </w:instrText>
      </w:r>
      <w:r>
        <w:rPr>
          <w:noProof/>
        </w:rPr>
      </w:r>
      <w:r>
        <w:rPr>
          <w:noProof/>
        </w:rPr>
        <w:fldChar w:fldCharType="separate"/>
      </w:r>
      <w:r>
        <w:rPr>
          <w:noProof/>
        </w:rPr>
        <w:t>3</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_Toc131418470 \h </w:instrText>
      </w:r>
      <w:r>
        <w:rPr>
          <w:noProof/>
        </w:rPr>
      </w:r>
      <w:r>
        <w:rPr>
          <w:noProof/>
        </w:rPr>
        <w:fldChar w:fldCharType="separate"/>
      </w:r>
      <w:r>
        <w:rPr>
          <w:noProof/>
        </w:rPr>
        <w:t>3</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_Toc131418471 \h </w:instrText>
      </w:r>
      <w:r>
        <w:rPr>
          <w:noProof/>
        </w:rPr>
      </w:r>
      <w:r>
        <w:rPr>
          <w:noProof/>
        </w:rPr>
        <w:fldChar w:fldCharType="separate"/>
      </w:r>
      <w:r>
        <w:rPr>
          <w:noProof/>
        </w:rPr>
        <w:t>3</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_Toc131418472 \h </w:instrText>
      </w:r>
      <w:r>
        <w:rPr>
          <w:noProof/>
        </w:rPr>
      </w:r>
      <w:r>
        <w:rPr>
          <w:noProof/>
        </w:rPr>
        <w:fldChar w:fldCharType="separate"/>
      </w:r>
      <w:r>
        <w:rPr>
          <w:noProof/>
        </w:rPr>
        <w:t>3</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_Toc131418473 \h </w:instrText>
      </w:r>
      <w:r>
        <w:rPr>
          <w:noProof/>
        </w:rPr>
      </w:r>
      <w:r>
        <w:rPr>
          <w:noProof/>
        </w:rPr>
        <w:fldChar w:fldCharType="separate"/>
      </w:r>
      <w:r>
        <w:rPr>
          <w:noProof/>
        </w:rPr>
        <w:t>4</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_Toc131418474 \h </w:instrText>
      </w:r>
      <w:r>
        <w:rPr>
          <w:noProof/>
        </w:rPr>
      </w:r>
      <w:r>
        <w:rPr>
          <w:noProof/>
        </w:rPr>
        <w:fldChar w:fldCharType="separate"/>
      </w:r>
      <w:r>
        <w:rPr>
          <w:noProof/>
        </w:rPr>
        <w:t>4</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_Toc131418475 \h </w:instrText>
      </w:r>
      <w:r>
        <w:rPr>
          <w:noProof/>
        </w:rPr>
      </w:r>
      <w:r>
        <w:rPr>
          <w:noProof/>
        </w:rPr>
        <w:fldChar w:fldCharType="separate"/>
      </w:r>
      <w:r>
        <w:rPr>
          <w:noProof/>
        </w:rPr>
        <w:t>5</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_Toc131418476 \h </w:instrText>
      </w:r>
      <w:r>
        <w:rPr>
          <w:noProof/>
        </w:rPr>
      </w:r>
      <w:r>
        <w:rPr>
          <w:noProof/>
        </w:rPr>
        <w:fldChar w:fldCharType="separate"/>
      </w:r>
      <w:r>
        <w:rPr>
          <w:noProof/>
        </w:rPr>
        <w:t>5</w:t>
      </w:r>
      <w:r>
        <w:rPr>
          <w:noProof/>
        </w:rPr>
        <w:fldChar w:fldCharType="end"/>
      </w:r>
    </w:p>
    <w:p w:rsidR="00BC1EBD" w:rsidRDefault="00BC1EB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_Toc131418477 \h </w:instrText>
      </w:r>
      <w:r>
        <w:rPr>
          <w:noProof/>
        </w:rPr>
      </w:r>
      <w:r>
        <w:rPr>
          <w:noProof/>
        </w:rPr>
        <w:fldChar w:fldCharType="separate"/>
      </w:r>
      <w:r>
        <w:rPr>
          <w:noProof/>
        </w:rPr>
        <w:t>7</w:t>
      </w:r>
      <w:r>
        <w:rPr>
          <w:noProof/>
        </w:rPr>
        <w:fldChar w:fldCharType="end"/>
      </w:r>
    </w:p>
    <w:p w:rsidR="00BC1EBD" w:rsidRDefault="00BC1EB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_Toc131418478 \h </w:instrText>
      </w:r>
      <w:r>
        <w:rPr>
          <w:noProof/>
        </w:rPr>
      </w:r>
      <w:r>
        <w:rPr>
          <w:noProof/>
        </w:rPr>
        <w:fldChar w:fldCharType="separate"/>
      </w:r>
      <w:r>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bookmarkStart w:id="4" w:name="_GoBack"/>
      <w:bookmarkEnd w:id="4"/>
    </w:p>
    <w:p w:rsidR="00877AE3" w:rsidRDefault="00877AE3" w:rsidP="00253D7C">
      <w:pPr>
        <w:pStyle w:val="LV1"/>
      </w:pPr>
      <w:bookmarkStart w:id="5" w:name="_Toc131418466"/>
      <w:r>
        <w:lastRenderedPageBreak/>
        <w:t>Name</w:t>
      </w:r>
      <w:bookmarkEnd w:id="5"/>
    </w:p>
    <w:p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072DC4">
        <w:rPr>
          <w:i/>
        </w:rPr>
        <w:t>chronic myeloid leukaemia</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BC1EBD">
        <w:t>57</w:t>
      </w:r>
      <w:r w:rsidR="00085567">
        <w:t xml:space="preserve"> </w:t>
      </w:r>
      <w:r w:rsidR="00E55F66" w:rsidRPr="00F97A62">
        <w:t>of</w:t>
      </w:r>
      <w:r w:rsidR="00085567">
        <w:t xml:space="preserve"> </w:t>
      </w:r>
      <w:r w:rsidR="00BC1EBD">
        <w:t>2023</w:t>
      </w:r>
      <w:r w:rsidR="00E55F66" w:rsidRPr="00F97A62">
        <w:t>)</w:t>
      </w:r>
      <w:r w:rsidRPr="00F97A62">
        <w:t>.</w:t>
      </w:r>
    </w:p>
    <w:p w:rsidR="00F67B67" w:rsidRPr="00684C0E" w:rsidRDefault="00F67B67" w:rsidP="00253D7C">
      <w:pPr>
        <w:pStyle w:val="LV1"/>
      </w:pPr>
      <w:bookmarkStart w:id="8" w:name="_Toc131418467"/>
      <w:r w:rsidRPr="00684C0E">
        <w:t>Commencement</w:t>
      </w:r>
      <w:bookmarkEnd w:id="8"/>
    </w:p>
    <w:p w:rsidR="00F67B67" w:rsidRPr="007527C1" w:rsidRDefault="007527C1" w:rsidP="00253D7C">
      <w:pPr>
        <w:pStyle w:val="PlainIndent"/>
      </w:pPr>
      <w:r w:rsidRPr="007527C1">
        <w:tab/>
      </w:r>
      <w:r w:rsidR="00F67B67" w:rsidRPr="007527C1">
        <w:t xml:space="preserve">This instrument commences on </w:t>
      </w:r>
      <w:r w:rsidR="005B1030">
        <w:t>23 May 2023</w:t>
      </w:r>
      <w:r w:rsidR="00F67B67" w:rsidRPr="007527C1">
        <w:t>.</w:t>
      </w:r>
    </w:p>
    <w:p w:rsidR="00F67B67" w:rsidRPr="00684C0E" w:rsidRDefault="00F67B67" w:rsidP="00253D7C">
      <w:pPr>
        <w:pStyle w:val="LV1"/>
      </w:pPr>
      <w:bookmarkStart w:id="9" w:name="_Toc131418468"/>
      <w:r w:rsidRPr="00684C0E">
        <w:t>Authority</w:t>
      </w:r>
      <w:bookmarkEnd w:id="9"/>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10" w:name="_Toc131418469"/>
      <w:r>
        <w:t>Re</w:t>
      </w:r>
      <w:r w:rsidR="005962C4">
        <w:t>peal</w:t>
      </w:r>
      <w:bookmarkEnd w:id="10"/>
    </w:p>
    <w:p w:rsidR="00DA3996" w:rsidRPr="007527C1" w:rsidRDefault="00DA3996" w:rsidP="00253D7C">
      <w:pPr>
        <w:pStyle w:val="PlainIndent"/>
      </w:pPr>
      <w:r>
        <w:t>The</w:t>
      </w:r>
      <w:r w:rsidRPr="007527C1">
        <w:t xml:space="preserve"> </w:t>
      </w:r>
      <w:r w:rsidRPr="00DA3996">
        <w:t xml:space="preserve">Statement of Principles concerning </w:t>
      </w:r>
      <w:r w:rsidR="00BC1EBD" w:rsidRPr="00BC1EBD">
        <w:t>chronic myeloid leukaemia</w:t>
      </w:r>
      <w:r w:rsidR="00284B86">
        <w:t xml:space="preserve"> No. 47 of 2014</w:t>
      </w:r>
      <w:r w:rsidR="005962C4">
        <w:t xml:space="preserve"> </w:t>
      </w:r>
      <w:r w:rsidR="005962C4" w:rsidRPr="00786DAE">
        <w:t>(Federal Re</w:t>
      </w:r>
      <w:r w:rsidR="00284B86">
        <w:t>gister of Legislation No. F2014L00479</w:t>
      </w:r>
      <w:r w:rsidR="005962C4" w:rsidRPr="00786DAE">
        <w:t xml:space="preserve">) </w:t>
      </w:r>
      <w:r w:rsidR="00284B86">
        <w:t>made under subsection</w:t>
      </w:r>
      <w:r w:rsidR="005962C4" w:rsidRPr="00DA3996">
        <w:t xml:space="preserve">s </w:t>
      </w:r>
      <w:proofErr w:type="gramStart"/>
      <w:r w:rsidR="00284B86">
        <w:t>196B(</w:t>
      </w:r>
      <w:proofErr w:type="gramEnd"/>
      <w:r w:rsidR="00284B86">
        <w:t xml:space="preserve">2) </w:t>
      </w:r>
      <w:r w:rsidR="005962C4" w:rsidRPr="00DA3996">
        <w:t xml:space="preserve">and (8)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1" w:name="_Toc131418470"/>
      <w:r w:rsidRPr="00684C0E">
        <w:t>Application</w:t>
      </w:r>
      <w:bookmarkEnd w:id="11"/>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2" w:name="_Ref410129949"/>
      <w:bookmarkStart w:id="13" w:name="_Toc131418471"/>
      <w:r w:rsidRPr="00684C0E">
        <w:t>Definitions</w:t>
      </w:r>
      <w:bookmarkEnd w:id="12"/>
      <w:bookmarkEnd w:id="13"/>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4" w:name="_Ref409687573"/>
      <w:bookmarkStart w:id="15" w:name="_Ref409687579"/>
      <w:bookmarkStart w:id="16" w:name="_Ref409687725"/>
      <w:bookmarkStart w:id="17" w:name="_Toc131418472"/>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253D7C">
      <w:pPr>
        <w:pStyle w:val="LV2"/>
      </w:pPr>
      <w:bookmarkStart w:id="18" w:name="_Ref403053584"/>
      <w:r w:rsidRPr="00D5620B">
        <w:t xml:space="preserve">This Statement of Principles is </w:t>
      </w:r>
      <w:r w:rsidRPr="002F77A1">
        <w:t xml:space="preserve">about </w:t>
      </w:r>
      <w:r w:rsidR="00BC1EBD" w:rsidRPr="00BC1EBD">
        <w:t>chronic myeloid leukaemia</w:t>
      </w:r>
      <w:r w:rsidR="00D5620B" w:rsidRPr="002F77A1">
        <w:t xml:space="preserve"> </w:t>
      </w:r>
      <w:r w:rsidRPr="002F77A1">
        <w:t>and death</w:t>
      </w:r>
      <w:r w:rsidRPr="00D5620B">
        <w:t xml:space="preserve"> from</w:t>
      </w:r>
      <w:r w:rsidR="002F77A1">
        <w:t xml:space="preserve"> </w:t>
      </w:r>
      <w:r w:rsidR="00BC1EBD" w:rsidRPr="00BC1EBD">
        <w:t>chronic myeloid leukaemia</w:t>
      </w:r>
      <w:r w:rsidRPr="00D5620B">
        <w:t>.</w:t>
      </w:r>
      <w:bookmarkEnd w:id="18"/>
    </w:p>
    <w:p w:rsidR="00215860" w:rsidRPr="00C670B0" w:rsidRDefault="00215860" w:rsidP="00C670B0">
      <w:pPr>
        <w:pStyle w:val="LVtext"/>
      </w:pPr>
      <w:r w:rsidRPr="00C670B0">
        <w:t>Meaning of</w:t>
      </w:r>
      <w:r w:rsidR="00D60FC8" w:rsidRPr="00C670B0">
        <w:t xml:space="preserve"> </w:t>
      </w:r>
      <w:r w:rsidR="00BC1EBD" w:rsidRPr="00BC1EBD">
        <w:rPr>
          <w:b/>
        </w:rPr>
        <w:t>chronic myeloid leukaemia</w:t>
      </w:r>
    </w:p>
    <w:p w:rsidR="002716E4" w:rsidRPr="00237BAF" w:rsidRDefault="007C7DEE" w:rsidP="00253D7C">
      <w:pPr>
        <w:pStyle w:val="LV2"/>
      </w:pPr>
      <w:bookmarkStart w:id="19" w:name="_Ref409598124"/>
      <w:bookmarkStart w:id="20" w:name="_Ref402529683"/>
      <w:r w:rsidRPr="00237BAF">
        <w:t>For the purposes of this Statement of Principles,</w:t>
      </w:r>
      <w:r w:rsidR="002F77A1" w:rsidRPr="002F77A1">
        <w:t xml:space="preserve"> </w:t>
      </w:r>
      <w:r w:rsidR="00BC1EBD" w:rsidRPr="00BC1EBD">
        <w:t>chronic myeloid leukaemia</w:t>
      </w:r>
      <w:r w:rsidR="002716E4" w:rsidRPr="00237BAF">
        <w:t>:</w:t>
      </w:r>
      <w:bookmarkEnd w:id="19"/>
    </w:p>
    <w:bookmarkEnd w:id="20"/>
    <w:p w:rsidR="001E7A54" w:rsidRDefault="001E7A54" w:rsidP="001E7A54">
      <w:pPr>
        <w:pStyle w:val="LV3"/>
      </w:pPr>
      <w:r>
        <w:t xml:space="preserve">means a malignant neoplasm of the blood with a predominant overpopulation of the myeloid cells and the presence of a Philadelphia chromosome or a BCR-ABL1 gene or BCR-ABL1 gene product; and </w:t>
      </w:r>
    </w:p>
    <w:p w:rsidR="001E7A54" w:rsidRDefault="001E7A54" w:rsidP="001E7A54">
      <w:pPr>
        <w:pStyle w:val="LV3"/>
      </w:pPr>
      <w:r>
        <w:t xml:space="preserve">excludes: </w:t>
      </w:r>
    </w:p>
    <w:p w:rsidR="001E7A54" w:rsidRDefault="001E7A54" w:rsidP="001E7A54">
      <w:pPr>
        <w:pStyle w:val="LV4"/>
      </w:pPr>
      <w:r>
        <w:t>atypical chronic myeloid leukaemia;</w:t>
      </w:r>
    </w:p>
    <w:p w:rsidR="001E7A54" w:rsidRDefault="001E7A54" w:rsidP="001E7A54">
      <w:pPr>
        <w:pStyle w:val="LV4"/>
      </w:pPr>
      <w:r>
        <w:t>chronic eosinophilic leukaemia;</w:t>
      </w:r>
    </w:p>
    <w:p w:rsidR="001E7A54" w:rsidRDefault="001E7A54" w:rsidP="001E7A54">
      <w:pPr>
        <w:pStyle w:val="LV4"/>
      </w:pPr>
      <w:r>
        <w:t>chronic neutrophilic leukaemia;</w:t>
      </w:r>
    </w:p>
    <w:p w:rsidR="001E7A54" w:rsidRDefault="001E7A54" w:rsidP="001E7A54">
      <w:pPr>
        <w:pStyle w:val="LV4"/>
      </w:pPr>
      <w:proofErr w:type="spellStart"/>
      <w:r>
        <w:t>leukemoid</w:t>
      </w:r>
      <w:proofErr w:type="spellEnd"/>
      <w:r>
        <w:t xml:space="preserve"> reactions; and</w:t>
      </w:r>
    </w:p>
    <w:p w:rsidR="00D75773" w:rsidRDefault="00D75773" w:rsidP="00D75773">
      <w:pPr>
        <w:pStyle w:val="LV4"/>
      </w:pPr>
      <w:proofErr w:type="spellStart"/>
      <w:proofErr w:type="gramStart"/>
      <w:r w:rsidRPr="00D75773">
        <w:t>myelomonocytic</w:t>
      </w:r>
      <w:proofErr w:type="spellEnd"/>
      <w:proofErr w:type="gramEnd"/>
      <w:r w:rsidRPr="00D75773">
        <w:t xml:space="preserve"> leukaemia.</w:t>
      </w:r>
    </w:p>
    <w:p w:rsidR="001E7A54" w:rsidRDefault="00284B86" w:rsidP="001E7A54">
      <w:pPr>
        <w:pStyle w:val="Note2"/>
      </w:pPr>
      <w:r>
        <w:t>Note 1: C</w:t>
      </w:r>
      <w:r w:rsidR="001E7A54">
        <w:t xml:space="preserve">hronic myeloid </w:t>
      </w:r>
      <w:proofErr w:type="spellStart"/>
      <w:r w:rsidR="001E7A54">
        <w:t>leukemia</w:t>
      </w:r>
      <w:proofErr w:type="spellEnd"/>
      <w:r w:rsidR="001E7A54">
        <w:t xml:space="preserve"> is also known as chronic granulocytic leukaemia, chronic </w:t>
      </w:r>
      <w:proofErr w:type="spellStart"/>
      <w:r w:rsidR="001E7A54">
        <w:t>myeloblastic</w:t>
      </w:r>
      <w:proofErr w:type="spellEnd"/>
      <w:r w:rsidR="001E7A54">
        <w:t xml:space="preserve"> leukaemia, chronic </w:t>
      </w:r>
      <w:proofErr w:type="spellStart"/>
      <w:r w:rsidR="001E7A54">
        <w:t>myelocytic</w:t>
      </w:r>
      <w:proofErr w:type="spellEnd"/>
      <w:r w:rsidR="001E7A54">
        <w:t xml:space="preserve"> leukaemia and chronic </w:t>
      </w:r>
      <w:proofErr w:type="spellStart"/>
      <w:r w:rsidR="001E7A54">
        <w:t>myelogenous</w:t>
      </w:r>
      <w:proofErr w:type="spellEnd"/>
      <w:r w:rsidR="001E7A54">
        <w:t xml:space="preserve"> leukaemia.  </w:t>
      </w:r>
    </w:p>
    <w:p w:rsidR="001E7A54" w:rsidRDefault="001E7A54" w:rsidP="001E7A54">
      <w:pPr>
        <w:pStyle w:val="Note2"/>
      </w:pPr>
      <w:r>
        <w:t xml:space="preserve">Note 2: Symptoms of chronic myeloid leukaemia can include fatigue, weight loss, excess sweating, abdominal fullness, abdominal discomfort, and bleeding episodes, but 20-50% can also be diagnosed in an asymptomatic state by incidental blood testing. </w:t>
      </w:r>
    </w:p>
    <w:p w:rsidR="008F572A" w:rsidRPr="00237BAF" w:rsidRDefault="008F572A" w:rsidP="001E7A54">
      <w:pPr>
        <w:pStyle w:val="LV2"/>
      </w:pPr>
      <w:r w:rsidRPr="00237BAF">
        <w:t xml:space="preserve">While </w:t>
      </w:r>
      <w:r w:rsidR="00BC1EBD" w:rsidRPr="00BC1EBD">
        <w:t>chronic myeloid leukaemia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1E7A54">
        <w:t>C92.1</w:t>
      </w:r>
      <w:r w:rsidR="00885EAB" w:rsidRPr="00EB2BC4">
        <w:t>,</w:t>
      </w:r>
      <w:r w:rsidRPr="00237BAF">
        <w:t xml:space="preserve"> in applying this Statement of Principles the </w:t>
      </w:r>
      <w:r w:rsidR="00FA33FB" w:rsidRPr="00D5620B">
        <w:t xml:space="preserve">meaning </w:t>
      </w:r>
      <w:r w:rsidRPr="00D5620B">
        <w:t xml:space="preserve">of </w:t>
      </w:r>
      <w:r w:rsidR="00BC1EBD" w:rsidRPr="00BC1EBD">
        <w:t>chronic myeloid leukaemia</w:t>
      </w:r>
      <w:r w:rsidR="002F77A1">
        <w:t xml:space="preserve"> </w:t>
      </w:r>
      <w:r w:rsidRPr="00D5620B">
        <w:t>is that</w:t>
      </w:r>
      <w:r w:rsidRPr="00237BAF">
        <w:t xml:space="preserve"> given in </w:t>
      </w:r>
      <w:r w:rsidR="00FA33FB" w:rsidRPr="00237BAF">
        <w:t>subsection (</w:t>
      </w:r>
      <w:r w:rsidRPr="00237BAF">
        <w:t>2)</w:t>
      </w:r>
      <w:proofErr w:type="gramStart"/>
      <w:r w:rsidRPr="00237BAF">
        <w:t>.</w:t>
      </w:r>
      <w:proofErr w:type="gramEnd"/>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BC1EBD" w:rsidRPr="00BC1EBD">
        <w:rPr>
          <w:b/>
        </w:rPr>
        <w:t>chronic myeloid leukaemia</w:t>
      </w:r>
    </w:p>
    <w:p w:rsidR="008F572A" w:rsidRPr="00237BAF" w:rsidRDefault="008F572A" w:rsidP="00253D7C">
      <w:pPr>
        <w:pStyle w:val="LV2"/>
      </w:pPr>
      <w:r w:rsidRPr="00237BAF">
        <w:t xml:space="preserve">For the purposes of this Statement of </w:t>
      </w:r>
      <w:r w:rsidR="00D5620B">
        <w:t xml:space="preserve">Principles, </w:t>
      </w:r>
      <w:r w:rsidR="00BC1EBD" w:rsidRPr="00BC1EBD">
        <w:t>chronic myeloid leukaemia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BC1EBD" w:rsidRPr="00BC1EBD">
        <w:t>chronic myeloid leukaemia</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21" w:name="_Toc131418473"/>
      <w:r w:rsidRPr="00A20CA1">
        <w:t>Basis for determining the factors</w:t>
      </w:r>
      <w:bookmarkEnd w:id="21"/>
    </w:p>
    <w:p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BC1EBD" w:rsidRPr="00BC1EBD">
        <w:t>chronic myeloid leukaemia</w:t>
      </w:r>
      <w:r>
        <w:t xml:space="preserve"> </w:t>
      </w:r>
      <w:r w:rsidRPr="00D5620B">
        <w:t>and death from</w:t>
      </w:r>
      <w:r>
        <w:t xml:space="preserve"> </w:t>
      </w:r>
      <w:r w:rsidR="00BC1EBD" w:rsidRPr="00BC1EBD">
        <w:t>chronic myeloid leukaemia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2" w:name="_Ref411946955"/>
      <w:bookmarkStart w:id="23" w:name="_Ref411946997"/>
      <w:bookmarkStart w:id="24" w:name="_Ref412032503"/>
      <w:bookmarkStart w:id="25" w:name="_Toc131418474"/>
      <w:r w:rsidRPr="00301C54">
        <w:t xml:space="preserve">Factors that must </w:t>
      </w:r>
      <w:r w:rsidR="00D32F71">
        <w:t>exist</w:t>
      </w:r>
      <w:bookmarkEnd w:id="22"/>
      <w:bookmarkEnd w:id="23"/>
      <w:bookmarkEnd w:id="24"/>
      <w:bookmarkEnd w:id="25"/>
    </w:p>
    <w:p w:rsidR="007C7DEE" w:rsidRPr="00AA6D8B" w:rsidRDefault="001F2E15" w:rsidP="00253D7C">
      <w:pPr>
        <w:pStyle w:val="PlainIndent"/>
      </w:pPr>
      <w:bookmarkStart w:id="26" w:name="_Ref402530190"/>
      <w:r>
        <w:t>At least 1</w:t>
      </w:r>
      <w:r w:rsidR="002716E4" w:rsidRPr="00AA6D8B">
        <w:t xml:space="preserve"> of the following </w:t>
      </w:r>
      <w:r w:rsidR="007C7DEE" w:rsidRPr="00AA6D8B">
        <w:t>factor</w:t>
      </w:r>
      <w:r w:rsidR="002716E4"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BC1EBD" w:rsidRPr="00BC1EBD">
        <w:t>chronic myeloid leukaemia</w:t>
      </w:r>
      <w:r w:rsidR="007A3989">
        <w:t xml:space="preserve"> </w:t>
      </w:r>
      <w:r w:rsidR="007C7DEE" w:rsidRPr="00AA6D8B">
        <w:t xml:space="preserve">or death from </w:t>
      </w:r>
      <w:r w:rsidR="00BC1EBD" w:rsidRPr="00BC1EBD">
        <w:t>chronic myeloid leukaemia</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rsidR="00253D7C" w:rsidRPr="008D1B8B" w:rsidRDefault="001E7A54" w:rsidP="001E7A54">
      <w:pPr>
        <w:pStyle w:val="LV2"/>
      </w:pPr>
      <w:bookmarkStart w:id="27" w:name="_Ref402530260"/>
      <w:bookmarkStart w:id="28" w:name="_Ref409598844"/>
      <w:r w:rsidRPr="001E7A54">
        <w:t xml:space="preserve">having received a cumulative equivalent </w:t>
      </w:r>
      <w:r>
        <w:t>dose of at least 0.01</w:t>
      </w:r>
      <w:r w:rsidR="003656FE">
        <w:t xml:space="preserve"> </w:t>
      </w:r>
      <w:proofErr w:type="spellStart"/>
      <w:r w:rsidR="003656FE">
        <w:t>s</w:t>
      </w:r>
      <w:r w:rsidRPr="001E7A54">
        <w:t>ievert</w:t>
      </w:r>
      <w:proofErr w:type="spellEnd"/>
      <w:r w:rsidRPr="001E7A54">
        <w:t xml:space="preserve"> of ionising radiation to the bo</w:t>
      </w:r>
      <w:r w:rsidR="003656FE">
        <w:t>ne marrow at least 1</w:t>
      </w:r>
      <w:r w:rsidRPr="001E7A54">
        <w:t xml:space="preserve"> year before the clinical onset of chronic myeloid leukaemia;</w:t>
      </w:r>
    </w:p>
    <w:p w:rsidR="00253D7C" w:rsidRPr="00046E67" w:rsidRDefault="00253D7C" w:rsidP="00253D7C">
      <w:pPr>
        <w:pStyle w:val="Note2"/>
      </w:pPr>
      <w:r>
        <w:t xml:space="preserve">Note: </w:t>
      </w:r>
      <w:r w:rsidR="001E7A54" w:rsidRPr="001E7A54">
        <w:rPr>
          <w:b/>
          <w:i/>
        </w:rPr>
        <w:t>cumulative equivalent dose</w:t>
      </w:r>
      <w:r w:rsidRPr="00046E67">
        <w:t xml:space="preserve"> is defined in the </w:t>
      </w:r>
      <w:r>
        <w:t>Schedule</w:t>
      </w:r>
      <w:r w:rsidR="002D74C5">
        <w:t> </w:t>
      </w:r>
      <w:r>
        <w:t>1</w:t>
      </w:r>
      <w:r w:rsidR="002D74C5">
        <w:t> </w:t>
      </w:r>
      <w:r>
        <w:t>-</w:t>
      </w:r>
      <w:r w:rsidR="002D74C5">
        <w:t> </w:t>
      </w:r>
      <w:r w:rsidRPr="002717B2">
        <w:t>Dictionary</w:t>
      </w:r>
      <w:r w:rsidRPr="00046E67">
        <w:t>.</w:t>
      </w:r>
      <w:r w:rsidRPr="00046E67">
        <w:tab/>
      </w:r>
      <w:r>
        <w:t xml:space="preserve"> </w:t>
      </w:r>
    </w:p>
    <w:p w:rsidR="00253D7C" w:rsidRPr="008E76DC" w:rsidRDefault="00DA62E3" w:rsidP="00DA62E3">
      <w:pPr>
        <w:pStyle w:val="LV2"/>
      </w:pPr>
      <w:r w:rsidRPr="00DA62E3">
        <w:t>undergoing ablative treatment with radioactive iodine for thyroid cancer before the clinical onset of chronic myeloid leukaemia, where the first exposure</w:t>
      </w:r>
      <w:r w:rsidR="003656FE">
        <w:t xml:space="preserve"> occurred at least 1</w:t>
      </w:r>
      <w:r w:rsidRPr="00DA62E3">
        <w:t xml:space="preserve"> year before the clinical onset of chronic myeloid leukaemia;</w:t>
      </w:r>
    </w:p>
    <w:p w:rsidR="00AE0043" w:rsidRDefault="003D6C6B" w:rsidP="00AE0043">
      <w:pPr>
        <w:pStyle w:val="LV2"/>
      </w:pPr>
      <w:r>
        <w:t>being obese for at least 10</w:t>
      </w:r>
      <w:r w:rsidR="00AE0043">
        <w:t xml:space="preserve"> years within the 20 years before the clinical onset of chronic myeloid leukaemia; </w:t>
      </w:r>
    </w:p>
    <w:p w:rsidR="00AE0043" w:rsidRDefault="00AE0043" w:rsidP="00AE0043">
      <w:pPr>
        <w:pStyle w:val="NOTE"/>
      </w:pPr>
      <w:r>
        <w:t xml:space="preserve">Note: </w:t>
      </w:r>
      <w:r w:rsidRPr="00921BF9">
        <w:rPr>
          <w:b/>
          <w:i/>
        </w:rPr>
        <w:t>being obese</w:t>
      </w:r>
      <w:r>
        <w:t xml:space="preserve"> is defined in the Schedule 1 - Dictionary.</w:t>
      </w:r>
    </w:p>
    <w:p w:rsidR="002A00CF" w:rsidRDefault="002A00CF" w:rsidP="002A00CF">
      <w:pPr>
        <w:pStyle w:val="LV2"/>
      </w:pPr>
      <w:r>
        <w:t xml:space="preserve">being exposed to benzene as specified: </w:t>
      </w:r>
    </w:p>
    <w:p w:rsidR="002A00CF" w:rsidRDefault="002A00CF" w:rsidP="002A00CF">
      <w:pPr>
        <w:pStyle w:val="LV3"/>
      </w:pPr>
      <w:r>
        <w:t>for a</w:t>
      </w:r>
      <w:r w:rsidR="003D6C6B">
        <w:t xml:space="preserve"> cumulative total of at least 2,</w:t>
      </w:r>
      <w:r>
        <w:t>500 hours wi</w:t>
      </w:r>
      <w:r w:rsidR="003656FE">
        <w:t>thin a continuous period of 5</w:t>
      </w:r>
      <w:r>
        <w:t xml:space="preserve"> years before the clinical onset of chronic myeloid leukaemia; and </w:t>
      </w:r>
    </w:p>
    <w:p w:rsidR="002A00CF" w:rsidRDefault="002A00CF" w:rsidP="002A00CF">
      <w:pPr>
        <w:pStyle w:val="LV3"/>
      </w:pPr>
      <w:r>
        <w:t xml:space="preserve">where the first exposure in that period occurred at least </w:t>
      </w:r>
      <w:r w:rsidR="003D6C6B">
        <w:t>5</w:t>
      </w:r>
      <w:r>
        <w:t xml:space="preserve"> years before the clinical onset of chronic myeloid leukaemia; and </w:t>
      </w:r>
    </w:p>
    <w:p w:rsidR="002A00CF" w:rsidRDefault="002A00CF" w:rsidP="002A00CF">
      <w:pPr>
        <w:pStyle w:val="LV3"/>
      </w:pPr>
      <w:r>
        <w:t>where the last exposure in that period occurred within the 30 years before the clinical onset of chronic myeloid leukaemia;</w:t>
      </w:r>
    </w:p>
    <w:p w:rsidR="00EB2C90" w:rsidRDefault="002A00CF" w:rsidP="002A00CF">
      <w:pPr>
        <w:pStyle w:val="NOTE"/>
      </w:pPr>
      <w:r>
        <w:t xml:space="preserve">Note: </w:t>
      </w:r>
      <w:r w:rsidRPr="002A00CF">
        <w:rPr>
          <w:b/>
          <w:i/>
        </w:rPr>
        <w:t>being exposed to benzene as specified</w:t>
      </w:r>
      <w:r>
        <w:t xml:space="preserve"> is defined in the Schedule 1 - Dictionary.</w:t>
      </w:r>
    </w:p>
    <w:p w:rsidR="002C21A3" w:rsidRDefault="003D6C6B" w:rsidP="002C21A3">
      <w:pPr>
        <w:pStyle w:val="LV2"/>
      </w:pPr>
      <w:r>
        <w:t>receiving greater than 10</w:t>
      </w:r>
      <w:r w:rsidR="002C21A3">
        <w:t xml:space="preserve"> ppm-years of cumulative exposure to benzene before the clinical onset of chronic myeloid leukaemia, and: </w:t>
      </w:r>
    </w:p>
    <w:p w:rsidR="002C21A3" w:rsidRDefault="002C21A3" w:rsidP="002C21A3">
      <w:pPr>
        <w:pStyle w:val="LV3"/>
      </w:pPr>
      <w:r>
        <w:t>where the firs</w:t>
      </w:r>
      <w:r w:rsidR="003D6C6B">
        <w:t>t exposure occurred at least 10</w:t>
      </w:r>
      <w:r>
        <w:t xml:space="preserve"> years before the clinical onset of chronic myeloid leukaemia; and </w:t>
      </w:r>
    </w:p>
    <w:p w:rsidR="002C21A3" w:rsidRDefault="002C21A3" w:rsidP="002C21A3">
      <w:pPr>
        <w:pStyle w:val="LV3"/>
      </w:pPr>
      <w:r>
        <w:t xml:space="preserve">where the last exposure occurred within the 30 years before the clinical onset of chronic myeloid leukaemia; </w:t>
      </w:r>
    </w:p>
    <w:p w:rsidR="002C21A3" w:rsidRDefault="002C21A3" w:rsidP="002C21A3">
      <w:pPr>
        <w:pStyle w:val="NOTE"/>
      </w:pPr>
      <w:r>
        <w:t xml:space="preserve">Note: </w:t>
      </w:r>
      <w:r w:rsidRPr="002C21A3">
        <w:rPr>
          <w:b/>
          <w:i/>
        </w:rPr>
        <w:t>ppm-years</w:t>
      </w:r>
      <w:r>
        <w:t xml:space="preserve"> is defined in the Schedule 1 - Dictionary.</w:t>
      </w:r>
    </w:p>
    <w:p w:rsidR="002A00CF" w:rsidRDefault="003D6C6B" w:rsidP="0072553F">
      <w:pPr>
        <w:pStyle w:val="LV2"/>
      </w:pPr>
      <w:r>
        <w:t>having received a</w:t>
      </w:r>
      <w:r w:rsidR="0072553F" w:rsidRPr="0072553F">
        <w:t xml:space="preserve"> kidney transplant before the clinical onset of chronic myeloid leukaemia;</w:t>
      </w:r>
    </w:p>
    <w:p w:rsidR="007C7DEE" w:rsidRPr="008D1B8B" w:rsidRDefault="007C7DEE" w:rsidP="00253D7C">
      <w:pPr>
        <w:pStyle w:val="LV2"/>
      </w:pPr>
      <w:proofErr w:type="gramStart"/>
      <w:r w:rsidRPr="008D1B8B">
        <w:t>inability</w:t>
      </w:r>
      <w:proofErr w:type="gramEnd"/>
      <w:r w:rsidRPr="008D1B8B">
        <w:t xml:space="preserve"> to obtain appropriate clinical management for</w:t>
      </w:r>
      <w:bookmarkEnd w:id="27"/>
      <w:r w:rsidR="007A3989">
        <w:t xml:space="preserve"> </w:t>
      </w:r>
      <w:r w:rsidR="00BC1EBD" w:rsidRPr="00BC1EBD">
        <w:t>chronic myeloid leukaemia</w:t>
      </w:r>
      <w:r w:rsidR="00D5620B" w:rsidRPr="008D1B8B">
        <w:t>.</w:t>
      </w:r>
      <w:bookmarkEnd w:id="28"/>
    </w:p>
    <w:p w:rsidR="000C21A3" w:rsidRPr="00684C0E" w:rsidRDefault="00D32F71" w:rsidP="00253D7C">
      <w:pPr>
        <w:pStyle w:val="LV1"/>
      </w:pPr>
      <w:bookmarkStart w:id="29" w:name="_Toc131418475"/>
      <w:bookmarkStart w:id="30" w:name="_Ref402530057"/>
      <w:r>
        <w:t>Relationship to s</w:t>
      </w:r>
      <w:r w:rsidR="000C21A3" w:rsidRPr="00684C0E">
        <w:t>ervice</w:t>
      </w:r>
      <w:bookmarkEnd w:id="29"/>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253D7C">
      <w:pPr>
        <w:pStyle w:val="LV2"/>
      </w:pPr>
      <w:r w:rsidRPr="00187DE1">
        <w:t xml:space="preserve">The factor set out in </w:t>
      </w:r>
      <w:r w:rsidR="0072553F">
        <w:t>subsection</w:t>
      </w:r>
      <w:r w:rsidR="00FF1D47">
        <w:t xml:space="preserve"> </w:t>
      </w:r>
      <w:r w:rsidR="00DA3996">
        <w:t>9</w:t>
      </w:r>
      <w:r w:rsidR="002C21A3">
        <w:t>(7</w:t>
      </w:r>
      <w:r w:rsidR="00FF1D47">
        <w:t xml:space="preserve">) </w:t>
      </w:r>
      <w:r w:rsidRPr="00187DE1">
        <w:t xml:space="preserve">applies only to material contribution to, or aggravation of, </w:t>
      </w:r>
      <w:r w:rsidR="00BC1EBD" w:rsidRPr="00BC1EBD">
        <w:t>chronic myeloid leukaemia</w:t>
      </w:r>
      <w:r w:rsidR="007A3989">
        <w:t xml:space="preserve"> </w:t>
      </w:r>
      <w:r w:rsidRPr="00187DE1">
        <w:t>where the person</w:t>
      </w:r>
      <w:r w:rsidR="00950C80">
        <w:t>'</w:t>
      </w:r>
      <w:r w:rsidRPr="00187DE1">
        <w:t xml:space="preserve">s </w:t>
      </w:r>
      <w:r w:rsidR="00BC1EBD" w:rsidRPr="00BC1EBD">
        <w:t>chronic myeloid leukaemia</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1" w:name="_Toc131418476"/>
      <w:r w:rsidRPr="00301C54">
        <w:t>Factors referring to an injury or disea</w:t>
      </w:r>
      <w:r w:rsidR="008B2204">
        <w:t>se covered by another Statement</w:t>
      </w:r>
      <w:r w:rsidRPr="00301C54">
        <w:t xml:space="preserve"> of Principles</w:t>
      </w:r>
      <w:bookmarkEnd w:id="31"/>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13141847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131418478"/>
      <w:r w:rsidRPr="00D97BB3">
        <w:t>Definitions</w:t>
      </w:r>
      <w:bookmarkEnd w:id="35"/>
      <w:bookmarkEnd w:id="36"/>
    </w:p>
    <w:p w:rsidR="00702C42" w:rsidRPr="00516768" w:rsidRDefault="00702C42" w:rsidP="00253D7C">
      <w:pPr>
        <w:pStyle w:val="SH2"/>
      </w:pPr>
      <w:r w:rsidRPr="00516768">
        <w:t>In this instrument:</w:t>
      </w:r>
    </w:p>
    <w:p w:rsidR="00E825C7" w:rsidRPr="00E825C7" w:rsidRDefault="00E825C7" w:rsidP="00E825C7">
      <w:pPr>
        <w:pStyle w:val="SH3"/>
      </w:pPr>
      <w:bookmarkStart w:id="37" w:name="_Ref402530810"/>
      <w:r w:rsidRPr="00E825C7">
        <w:rPr>
          <w:b/>
          <w:i/>
        </w:rPr>
        <w:t>8-hour time-weighted average</w:t>
      </w:r>
      <w:r w:rsidRPr="00E825C7">
        <w:t xml:space="preserve"> means the averaging of different exposure levels during an average exposure period equivalent to eight hours.</w:t>
      </w:r>
    </w:p>
    <w:p w:rsidR="00246296" w:rsidRDefault="00246296" w:rsidP="00246296">
      <w:pPr>
        <w:pStyle w:val="SH3"/>
      </w:pPr>
      <w:r w:rsidRPr="00246296">
        <w:rPr>
          <w:b/>
          <w:i/>
        </w:rPr>
        <w:t>being exposed to benzene as specified</w:t>
      </w:r>
      <w:r w:rsidRPr="00246296">
        <w:t xml:space="preserve"> means: </w:t>
      </w:r>
    </w:p>
    <w:p w:rsidR="00246296" w:rsidRDefault="00246296" w:rsidP="00246296">
      <w:pPr>
        <w:pStyle w:val="SH3"/>
      </w:pPr>
      <w:r w:rsidRPr="00246296">
        <w:t>(a) having cutaneous contact with liquids containing benzen</w:t>
      </w:r>
      <w:r w:rsidR="00E84D43">
        <w:t xml:space="preserve">e greater than 1% by volume; </w:t>
      </w:r>
    </w:p>
    <w:p w:rsidR="00246296" w:rsidRDefault="00246296" w:rsidP="00246296">
      <w:pPr>
        <w:pStyle w:val="SH3"/>
      </w:pPr>
      <w:r w:rsidRPr="00246296">
        <w:t xml:space="preserve">(b) ingesting liquids containing benzene greater than 1% by volume; or </w:t>
      </w:r>
    </w:p>
    <w:p w:rsidR="00246296" w:rsidRDefault="003D6C6B" w:rsidP="00246296">
      <w:pPr>
        <w:pStyle w:val="SH3"/>
      </w:pPr>
      <w:r>
        <w:t>(c) i</w:t>
      </w:r>
      <w:r w:rsidR="00246296" w:rsidRPr="00246296">
        <w:t>nhaling benzene vapour where such exposure occurs at an ambient 8- hour time-weighted average benzene concentration exceeding five parts per million.</w:t>
      </w:r>
    </w:p>
    <w:p w:rsidR="00246296" w:rsidRPr="00246296" w:rsidRDefault="00246296" w:rsidP="00E60C3D">
      <w:pPr>
        <w:pStyle w:val="ScheduleNote"/>
      </w:pPr>
      <w:r w:rsidRPr="00246296">
        <w:t xml:space="preserve">Note: </w:t>
      </w:r>
      <w:r w:rsidRPr="00E60C3D">
        <w:rPr>
          <w:b/>
          <w:i/>
        </w:rPr>
        <w:t>8-hour time-weighted average</w:t>
      </w:r>
      <w:r w:rsidRPr="00246296">
        <w:t xml:space="preserve"> is also defined in the Schedule 1 - Dictionary</w:t>
      </w:r>
    </w:p>
    <w:p w:rsidR="00AE0043" w:rsidRDefault="00AE0043" w:rsidP="00AE0043">
      <w:pPr>
        <w:pStyle w:val="SH3"/>
      </w:pPr>
      <w:proofErr w:type="gramStart"/>
      <w:r w:rsidRPr="00AE0043">
        <w:rPr>
          <w:b/>
          <w:i/>
        </w:rPr>
        <w:t>being</w:t>
      </w:r>
      <w:proofErr w:type="gramEnd"/>
      <w:r w:rsidRPr="00AE0043">
        <w:rPr>
          <w:b/>
          <w:i/>
        </w:rPr>
        <w:t xml:space="preserve"> obese</w:t>
      </w:r>
      <w:r>
        <w:t xml:space="preserve"> means having a Body Mass Index (BMI) of 30 or greater.</w:t>
      </w:r>
    </w:p>
    <w:p w:rsidR="001E7A54" w:rsidRPr="001E7A54" w:rsidRDefault="00AE0043" w:rsidP="00AE0043">
      <w:pPr>
        <w:pStyle w:val="ScheduleNote"/>
      </w:pPr>
      <w:r>
        <w:t xml:space="preserve">Note: </w:t>
      </w:r>
      <w:r w:rsidRPr="003D6C6B">
        <w:rPr>
          <w:b/>
          <w:i/>
        </w:rPr>
        <w:t xml:space="preserve">BMI </w:t>
      </w:r>
      <w:r>
        <w:t>is also defined in the Schedule 1 - Dictionary.</w:t>
      </w:r>
    </w:p>
    <w:p w:rsidR="00AE0043" w:rsidRDefault="00AE0043" w:rsidP="00AE0043">
      <w:pPr>
        <w:pStyle w:val="SH3"/>
      </w:pPr>
      <w:r w:rsidRPr="00AE0043">
        <w:rPr>
          <w:b/>
          <w:i/>
        </w:rPr>
        <w:t xml:space="preserve">BMI </w:t>
      </w:r>
      <w:r>
        <w:t>means W/H</w:t>
      </w:r>
      <w:r w:rsidRPr="00921BF9">
        <w:rPr>
          <w:vertAlign w:val="superscript"/>
        </w:rPr>
        <w:t>2</w:t>
      </w:r>
      <w:r>
        <w:t xml:space="preserve"> where: </w:t>
      </w:r>
    </w:p>
    <w:p w:rsidR="00AE0043" w:rsidRDefault="00AE0043" w:rsidP="00AE0043">
      <w:pPr>
        <w:pStyle w:val="SH3"/>
      </w:pPr>
      <w:r>
        <w:t xml:space="preserve">(a) W is the person's weight in kilograms; and </w:t>
      </w:r>
    </w:p>
    <w:p w:rsidR="00AE0043" w:rsidRPr="00AE0043" w:rsidRDefault="00AE0043" w:rsidP="00AE0043">
      <w:pPr>
        <w:pStyle w:val="SH3"/>
      </w:pPr>
      <w:r>
        <w:t>(b) H is the person's height in metres.</w:t>
      </w:r>
    </w:p>
    <w:p w:rsidR="00F42C3C" w:rsidRPr="00F42C3C" w:rsidRDefault="00F42C3C" w:rsidP="00F42C3C">
      <w:pPr>
        <w:pStyle w:val="SH3"/>
      </w:pPr>
      <w:proofErr w:type="gramStart"/>
      <w:r w:rsidRPr="00F42C3C">
        <w:rPr>
          <w:b/>
          <w:i/>
        </w:rPr>
        <w:t>chronic</w:t>
      </w:r>
      <w:proofErr w:type="gramEnd"/>
      <w:r w:rsidRPr="00F42C3C">
        <w:rPr>
          <w:b/>
          <w:i/>
        </w:rPr>
        <w:t xml:space="preserve"> myeloid leukaemia</w:t>
      </w:r>
      <w:r w:rsidRPr="00F42C3C">
        <w:t>—see subsection 7(2).</w:t>
      </w:r>
    </w:p>
    <w:p w:rsidR="001E7A54" w:rsidRDefault="001E7A54" w:rsidP="001E7A54">
      <w:pPr>
        <w:pStyle w:val="SH3"/>
      </w:pPr>
      <w:r w:rsidRPr="001E7A54">
        <w:rPr>
          <w:b/>
          <w:i/>
        </w:rPr>
        <w:t>cumulative equivalent dose</w:t>
      </w:r>
      <w:r w:rsidRPr="001E7A54">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F42C3C">
        <w:rPr>
          <w:i/>
        </w:rPr>
        <w:t>Guide to calculation of 'cumulative equivalent dose' for the purpose of applying ionising radiation factors contained in Statements of Principles determined under</w:t>
      </w:r>
      <w:r w:rsidRPr="001E7A54">
        <w:t xml:space="preserve"> </w:t>
      </w:r>
      <w:r w:rsidRPr="00F42C3C">
        <w:rPr>
          <w:i/>
        </w:rPr>
        <w:t>Part XIA of the Veterans' Entitlements Act 1986</w:t>
      </w:r>
      <w:r w:rsidRPr="001E7A54">
        <w:t xml:space="preserve"> (</w:t>
      </w:r>
      <w:proofErr w:type="spellStart"/>
      <w:r w:rsidRPr="001E7A54">
        <w:t>Cth</w:t>
      </w:r>
      <w:proofErr w:type="spellEnd"/>
      <w:r w:rsidRPr="001E7A54">
        <w:t>), Australian Radiation Protection and Nuclear Safety Agency, as in force on 2 August 2017.</w:t>
      </w:r>
    </w:p>
    <w:p w:rsidR="001E7A54" w:rsidRDefault="001E7A54" w:rsidP="001E7A54">
      <w:pPr>
        <w:pStyle w:val="ScheduleNote"/>
      </w:pPr>
      <w:r>
        <w:t>Note 1:</w:t>
      </w:r>
      <w:r w:rsidR="00BC2003">
        <w:t xml:space="preserve"> </w:t>
      </w:r>
      <w:r>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253D7C" w:rsidRPr="004C2F25" w:rsidRDefault="001E7A54" w:rsidP="001E7A54">
      <w:pPr>
        <w:pStyle w:val="ScheduleNote"/>
      </w:pPr>
      <w:r>
        <w:t>Note 2:</w:t>
      </w:r>
      <w:r w:rsidR="00BC2003">
        <w:t xml:space="preserve"> </w:t>
      </w:r>
      <w:r>
        <w:tab/>
        <w:t>For the purpose of dose reconstruction, dose is calculated as an average over the mass of a specific tissue or organ. If a tissue is exposed to multiple sources of ionising radiation, the various dose estimates for each type of radiation must be combined.</w:t>
      </w:r>
    </w:p>
    <w:p w:rsidR="00885EAB" w:rsidRPr="009C404D" w:rsidRDefault="007B52F6" w:rsidP="004A1E0E">
      <w:pPr>
        <w:pStyle w:val="SH3"/>
      </w:pPr>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rsidR="00AB6544" w:rsidRPr="00AB6544" w:rsidRDefault="00AB6544" w:rsidP="00AB6544">
      <w:pPr>
        <w:pStyle w:val="SH3"/>
      </w:pPr>
      <w:bookmarkStart w:id="38" w:name="_Ref402529607"/>
      <w:bookmarkEnd w:id="37"/>
      <w:proofErr w:type="gramStart"/>
      <w:r w:rsidRPr="00AB6544">
        <w:rPr>
          <w:b/>
          <w:i/>
        </w:rPr>
        <w:t>ppm-years</w:t>
      </w:r>
      <w:proofErr w:type="gramEnd"/>
      <w:r w:rsidRPr="00AB6544">
        <w:t xml:space="preserve"> means parts per million multiplied by years of exposure.</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BC1EBD" w:rsidP="004A2007">
          <w:pPr>
            <w:spacing w:line="0" w:lineRule="atLeast"/>
            <w:jc w:val="center"/>
            <w:rPr>
              <w:i/>
              <w:sz w:val="18"/>
              <w:szCs w:val="18"/>
            </w:rPr>
          </w:pPr>
          <w:r w:rsidRPr="00BC1EBD">
            <w:rPr>
              <w:i/>
              <w:sz w:val="18"/>
              <w:szCs w:val="18"/>
            </w:rPr>
            <w:t>Chronic Myeloid Leukaemia</w:t>
          </w:r>
          <w:r w:rsidR="004A2007">
            <w:rPr>
              <w:i/>
              <w:sz w:val="18"/>
              <w:szCs w:val="18"/>
            </w:rPr>
            <w:t xml:space="preserve"> (Reasonable Hypothesis) </w:t>
          </w:r>
          <w:r w:rsidR="004A2007" w:rsidRPr="007C5CE0">
            <w:rPr>
              <w:i/>
              <w:sz w:val="18"/>
            </w:rPr>
            <w:t xml:space="preserve">(No. </w:t>
          </w:r>
          <w:r w:rsidRPr="00BC1EBD">
            <w:rPr>
              <w:i/>
              <w:sz w:val="18"/>
              <w:szCs w:val="18"/>
            </w:rPr>
            <w:t>57</w:t>
          </w:r>
          <w:r w:rsidR="004A2007" w:rsidRPr="007C5CE0">
            <w:rPr>
              <w:i/>
              <w:sz w:val="18"/>
              <w:szCs w:val="18"/>
            </w:rPr>
            <w:t xml:space="preserve"> of </w:t>
          </w:r>
          <w:r w:rsidRPr="00BC1EBD">
            <w:rPr>
              <w:i/>
              <w:sz w:val="18"/>
              <w:szCs w:val="18"/>
            </w:rPr>
            <w:t>2023</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E5303">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E5303">
            <w:rPr>
              <w:i/>
              <w:noProof/>
              <w:sz w:val="18"/>
            </w:rPr>
            <w:t>8</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BC1EBD" w:rsidP="004A2007">
          <w:pPr>
            <w:spacing w:line="0" w:lineRule="atLeast"/>
            <w:jc w:val="center"/>
            <w:rPr>
              <w:i/>
              <w:sz w:val="18"/>
              <w:szCs w:val="18"/>
            </w:rPr>
          </w:pPr>
          <w:r w:rsidRPr="00BC1EBD">
            <w:rPr>
              <w:i/>
              <w:sz w:val="18"/>
              <w:szCs w:val="18"/>
            </w:rPr>
            <w:t>Chronic Myeloid Leukaemia</w:t>
          </w:r>
          <w:r w:rsidR="004A2007">
            <w:rPr>
              <w:i/>
              <w:sz w:val="18"/>
              <w:szCs w:val="18"/>
            </w:rPr>
            <w:t xml:space="preserve"> (Reasonable Hypothesis) </w:t>
          </w:r>
          <w:r w:rsidR="004A2007" w:rsidRPr="007C5CE0">
            <w:rPr>
              <w:i/>
              <w:sz w:val="18"/>
            </w:rPr>
            <w:t xml:space="preserve">(No. </w:t>
          </w:r>
          <w:r w:rsidRPr="00BC1EBD">
            <w:rPr>
              <w:i/>
              <w:sz w:val="18"/>
              <w:szCs w:val="18"/>
            </w:rPr>
            <w:t>57</w:t>
          </w:r>
          <w:r w:rsidR="004A2007" w:rsidRPr="007C5CE0">
            <w:rPr>
              <w:i/>
              <w:sz w:val="18"/>
              <w:szCs w:val="18"/>
            </w:rPr>
            <w:t xml:space="preserve"> of </w:t>
          </w:r>
          <w:r w:rsidRPr="00BC1EBD">
            <w:rPr>
              <w:i/>
              <w:sz w:val="18"/>
              <w:szCs w:val="18"/>
            </w:rPr>
            <w:t>2023</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E530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E5303">
            <w:rPr>
              <w:i/>
              <w:noProof/>
              <w:sz w:val="18"/>
            </w:rPr>
            <w:t>8</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72DC4"/>
    <w:rsid w:val="00081B7C"/>
    <w:rsid w:val="00085567"/>
    <w:rsid w:val="0008674F"/>
    <w:rsid w:val="00097FDF"/>
    <w:rsid w:val="000A3D68"/>
    <w:rsid w:val="000A651F"/>
    <w:rsid w:val="000B1350"/>
    <w:rsid w:val="000B58FA"/>
    <w:rsid w:val="000C21A3"/>
    <w:rsid w:val="000C664A"/>
    <w:rsid w:val="000C6D96"/>
    <w:rsid w:val="000D05EF"/>
    <w:rsid w:val="000D4D03"/>
    <w:rsid w:val="000E2261"/>
    <w:rsid w:val="000E4183"/>
    <w:rsid w:val="000E530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4061"/>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E7A54"/>
    <w:rsid w:val="001F2E15"/>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46296"/>
    <w:rsid w:val="00253D7C"/>
    <w:rsid w:val="002564A4"/>
    <w:rsid w:val="002650E6"/>
    <w:rsid w:val="0026736C"/>
    <w:rsid w:val="002702BE"/>
    <w:rsid w:val="002716E4"/>
    <w:rsid w:val="002717B2"/>
    <w:rsid w:val="002773D7"/>
    <w:rsid w:val="00280B57"/>
    <w:rsid w:val="00281308"/>
    <w:rsid w:val="00281DF7"/>
    <w:rsid w:val="00284719"/>
    <w:rsid w:val="00284B86"/>
    <w:rsid w:val="00297ECB"/>
    <w:rsid w:val="002A00CF"/>
    <w:rsid w:val="002A1ECC"/>
    <w:rsid w:val="002A3436"/>
    <w:rsid w:val="002A7BCF"/>
    <w:rsid w:val="002B45FA"/>
    <w:rsid w:val="002B5188"/>
    <w:rsid w:val="002C21A3"/>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6FE"/>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D6C6B"/>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4F7ADD"/>
    <w:rsid w:val="00505D3D"/>
    <w:rsid w:val="00506AF6"/>
    <w:rsid w:val="00513D05"/>
    <w:rsid w:val="00516768"/>
    <w:rsid w:val="00516B8D"/>
    <w:rsid w:val="005226B5"/>
    <w:rsid w:val="005268CF"/>
    <w:rsid w:val="0053697E"/>
    <w:rsid w:val="00537FBC"/>
    <w:rsid w:val="00545116"/>
    <w:rsid w:val="00553578"/>
    <w:rsid w:val="005574D1"/>
    <w:rsid w:val="0056377E"/>
    <w:rsid w:val="00571FBB"/>
    <w:rsid w:val="00575A90"/>
    <w:rsid w:val="00576E99"/>
    <w:rsid w:val="00584811"/>
    <w:rsid w:val="00585784"/>
    <w:rsid w:val="00593AA6"/>
    <w:rsid w:val="00594161"/>
    <w:rsid w:val="00594749"/>
    <w:rsid w:val="005962C4"/>
    <w:rsid w:val="005B05D3"/>
    <w:rsid w:val="005B1030"/>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553F"/>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952ED"/>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56B0C"/>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1B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80EFF"/>
    <w:rsid w:val="00A931D7"/>
    <w:rsid w:val="00AA64D6"/>
    <w:rsid w:val="00AA6D8B"/>
    <w:rsid w:val="00AB6544"/>
    <w:rsid w:val="00AC5296"/>
    <w:rsid w:val="00AD2DC7"/>
    <w:rsid w:val="00AD5641"/>
    <w:rsid w:val="00AD7889"/>
    <w:rsid w:val="00AD7AC2"/>
    <w:rsid w:val="00AD7DCC"/>
    <w:rsid w:val="00AE0043"/>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1EBD"/>
    <w:rsid w:val="00BC2003"/>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25B7"/>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5773"/>
    <w:rsid w:val="00D766DF"/>
    <w:rsid w:val="00D90653"/>
    <w:rsid w:val="00D93DA9"/>
    <w:rsid w:val="00D94857"/>
    <w:rsid w:val="00D96383"/>
    <w:rsid w:val="00D97BB3"/>
    <w:rsid w:val="00DA186E"/>
    <w:rsid w:val="00DA3996"/>
    <w:rsid w:val="00DA4116"/>
    <w:rsid w:val="00DA62E3"/>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0C3D"/>
    <w:rsid w:val="00E64EE4"/>
    <w:rsid w:val="00E662CB"/>
    <w:rsid w:val="00E73C11"/>
    <w:rsid w:val="00E74DC7"/>
    <w:rsid w:val="00E8075A"/>
    <w:rsid w:val="00E825C7"/>
    <w:rsid w:val="00E84D43"/>
    <w:rsid w:val="00E90315"/>
    <w:rsid w:val="00E92D94"/>
    <w:rsid w:val="00E9347E"/>
    <w:rsid w:val="00E93E6F"/>
    <w:rsid w:val="00E94D5E"/>
    <w:rsid w:val="00EA7100"/>
    <w:rsid w:val="00EA7F9F"/>
    <w:rsid w:val="00EB1274"/>
    <w:rsid w:val="00EB2BC4"/>
    <w:rsid w:val="00EB2C90"/>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2C3C"/>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1553</Words>
  <Characters>8856</Characters>
  <Application>Microsoft Office Word</Application>
  <DocSecurity>0</DocSecurity>
  <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2023-04-19T04:52:00Z</dcterms:created>
  <dcterms:modified xsi:type="dcterms:W3CDTF">2023-04-24T05:08:00Z</dcterms:modified>
  <cp:category/>
  <cp:contentStatus/>
  <dc:language/>
  <cp:version/>
</cp:coreProperties>
</file>