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B61CF" w14:textId="059FF4E6" w:rsidR="00A419EA" w:rsidRDefault="00ED081D" w:rsidP="001A7C14">
      <w:pPr>
        <w:autoSpaceDE w:val="0"/>
        <w:autoSpaceDN w:val="0"/>
        <w:adjustRightInd w:val="0"/>
        <w:spacing w:after="0"/>
        <w:jc w:val="center"/>
        <w:rPr>
          <w:rFonts w:ascii="Times New Roman" w:eastAsia="Times New Roman" w:hAnsi="Times New Roman" w:cs="Times New Roman"/>
          <w:b/>
          <w:bCs/>
          <w:sz w:val="24"/>
          <w:szCs w:val="24"/>
          <w:u w:val="single"/>
          <w:lang w:eastAsia="en-AU"/>
        </w:rPr>
      </w:pPr>
      <w:r>
        <w:rPr>
          <w:rFonts w:ascii="Times New Roman" w:eastAsia="Times New Roman" w:hAnsi="Times New Roman" w:cs="Times New Roman"/>
          <w:b/>
          <w:bCs/>
          <w:sz w:val="24"/>
          <w:szCs w:val="24"/>
          <w:u w:val="single"/>
          <w:lang w:eastAsia="en-AU"/>
        </w:rPr>
        <w:t>E</w:t>
      </w:r>
      <w:r w:rsidR="00A419EA" w:rsidRPr="00A419EA">
        <w:rPr>
          <w:rFonts w:ascii="Times New Roman" w:eastAsia="Times New Roman" w:hAnsi="Times New Roman" w:cs="Times New Roman"/>
          <w:b/>
          <w:bCs/>
          <w:sz w:val="24"/>
          <w:szCs w:val="24"/>
          <w:u w:val="single"/>
          <w:lang w:eastAsia="en-AU"/>
        </w:rPr>
        <w:t>XPLANATORY STATEMENT</w:t>
      </w:r>
    </w:p>
    <w:p w14:paraId="6482C0DE" w14:textId="77777777" w:rsidR="00AD562B" w:rsidRDefault="00AD562B" w:rsidP="001A7C14">
      <w:pPr>
        <w:autoSpaceDE w:val="0"/>
        <w:autoSpaceDN w:val="0"/>
        <w:adjustRightInd w:val="0"/>
        <w:spacing w:after="0" w:line="240" w:lineRule="auto"/>
        <w:jc w:val="center"/>
        <w:rPr>
          <w:rFonts w:ascii="Times New Roman" w:eastAsia="Times New Roman" w:hAnsi="Times New Roman" w:cs="Times New Roman"/>
          <w:b/>
          <w:bCs/>
          <w:sz w:val="24"/>
          <w:szCs w:val="24"/>
          <w:u w:val="single"/>
          <w:lang w:eastAsia="en-AU"/>
        </w:rPr>
      </w:pPr>
    </w:p>
    <w:p w14:paraId="7A143476" w14:textId="228C7309" w:rsidR="00B60F0C" w:rsidRDefault="00B60F0C" w:rsidP="001A7C14">
      <w:pPr>
        <w:autoSpaceDE w:val="0"/>
        <w:autoSpaceDN w:val="0"/>
        <w:adjustRightInd w:val="0"/>
        <w:spacing w:after="0"/>
        <w:jc w:val="center"/>
        <w:rPr>
          <w:rFonts w:ascii="Times New Roman" w:hAnsi="Times New Roman"/>
          <w:bCs/>
          <w:i/>
          <w:iCs/>
          <w:szCs w:val="24"/>
        </w:rPr>
      </w:pPr>
      <w:r w:rsidRPr="00625284">
        <w:rPr>
          <w:rFonts w:ascii="Times New Roman" w:hAnsi="Times New Roman"/>
          <w:bCs/>
          <w:i/>
          <w:iCs/>
          <w:szCs w:val="24"/>
        </w:rPr>
        <w:t>Therapeutic Goods Act 1989</w:t>
      </w:r>
    </w:p>
    <w:p w14:paraId="0125EA61" w14:textId="77777777" w:rsidR="00AD562B" w:rsidRPr="00625284" w:rsidRDefault="00AD562B" w:rsidP="001A7C14">
      <w:pPr>
        <w:autoSpaceDE w:val="0"/>
        <w:autoSpaceDN w:val="0"/>
        <w:adjustRightInd w:val="0"/>
        <w:spacing w:after="0" w:line="240" w:lineRule="auto"/>
        <w:jc w:val="center"/>
        <w:rPr>
          <w:rFonts w:ascii="Times New Roman" w:hAnsi="Times New Roman"/>
          <w:bCs/>
          <w:i/>
          <w:iCs/>
          <w:szCs w:val="24"/>
        </w:rPr>
      </w:pPr>
    </w:p>
    <w:p w14:paraId="742D9337" w14:textId="04F197DC" w:rsidR="00EF1F18" w:rsidRDefault="00EF1F18" w:rsidP="001A7C14">
      <w:pPr>
        <w:autoSpaceDE w:val="0"/>
        <w:autoSpaceDN w:val="0"/>
        <w:adjustRightInd w:val="0"/>
        <w:spacing w:after="0" w:line="240" w:lineRule="auto"/>
        <w:jc w:val="center"/>
        <w:rPr>
          <w:rFonts w:ascii="Times New Roman" w:eastAsia="Times New Roman" w:hAnsi="Times New Roman" w:cs="Times New Roman"/>
          <w:bCs/>
          <w:i/>
          <w:sz w:val="24"/>
          <w:szCs w:val="24"/>
          <w:lang w:eastAsia="en-AU"/>
        </w:rPr>
      </w:pPr>
      <w:r w:rsidRPr="008727AB">
        <w:rPr>
          <w:rFonts w:ascii="Times New Roman" w:eastAsia="Times New Roman" w:hAnsi="Times New Roman" w:cs="Times New Roman"/>
          <w:bCs/>
          <w:i/>
          <w:sz w:val="24"/>
          <w:szCs w:val="24"/>
          <w:lang w:eastAsia="en-AU"/>
        </w:rPr>
        <w:t>Therapeutic Goods</w:t>
      </w:r>
      <w:r w:rsidR="008727AB" w:rsidRPr="008727AB">
        <w:rPr>
          <w:rFonts w:ascii="Times New Roman" w:eastAsia="Times New Roman" w:hAnsi="Times New Roman" w:cs="Times New Roman"/>
          <w:bCs/>
          <w:i/>
          <w:sz w:val="24"/>
          <w:szCs w:val="24"/>
          <w:lang w:eastAsia="en-AU"/>
        </w:rPr>
        <w:t xml:space="preserve"> </w:t>
      </w:r>
      <w:r w:rsidRPr="008727AB">
        <w:rPr>
          <w:rFonts w:ascii="Times New Roman" w:eastAsia="Times New Roman" w:hAnsi="Times New Roman" w:cs="Times New Roman"/>
          <w:bCs/>
          <w:i/>
          <w:sz w:val="24"/>
          <w:szCs w:val="24"/>
          <w:lang w:eastAsia="en-AU"/>
        </w:rPr>
        <w:t>(Permissible Ingredients) Determination </w:t>
      </w:r>
      <w:r w:rsidR="00045C71">
        <w:rPr>
          <w:rFonts w:ascii="Times New Roman" w:eastAsia="Times New Roman" w:hAnsi="Times New Roman" w:cs="Times New Roman"/>
          <w:bCs/>
          <w:i/>
          <w:sz w:val="24"/>
          <w:szCs w:val="24"/>
          <w:lang w:eastAsia="en-AU"/>
        </w:rPr>
        <w:t>(No.</w:t>
      </w:r>
      <w:r w:rsidR="00B60F0C">
        <w:rPr>
          <w:rFonts w:ascii="Times New Roman" w:eastAsia="Times New Roman" w:hAnsi="Times New Roman" w:cs="Times New Roman"/>
          <w:bCs/>
          <w:i/>
          <w:sz w:val="24"/>
          <w:szCs w:val="24"/>
          <w:lang w:eastAsia="en-AU"/>
        </w:rPr>
        <w:t xml:space="preserve"> </w:t>
      </w:r>
      <w:r w:rsidR="00E702D7">
        <w:rPr>
          <w:rFonts w:ascii="Times New Roman" w:eastAsia="Times New Roman" w:hAnsi="Times New Roman" w:cs="Times New Roman"/>
          <w:bCs/>
          <w:i/>
          <w:sz w:val="24"/>
          <w:szCs w:val="24"/>
          <w:lang w:eastAsia="en-AU"/>
        </w:rPr>
        <w:t>2</w:t>
      </w:r>
      <w:r w:rsidR="00045C71">
        <w:rPr>
          <w:rFonts w:ascii="Times New Roman" w:eastAsia="Times New Roman" w:hAnsi="Times New Roman" w:cs="Times New Roman"/>
          <w:bCs/>
          <w:i/>
          <w:sz w:val="24"/>
          <w:szCs w:val="24"/>
          <w:lang w:eastAsia="en-AU"/>
        </w:rPr>
        <w:t xml:space="preserve">) </w:t>
      </w:r>
      <w:r w:rsidR="00685980" w:rsidRPr="008727AB">
        <w:rPr>
          <w:rFonts w:ascii="Times New Roman" w:eastAsia="Times New Roman" w:hAnsi="Times New Roman" w:cs="Times New Roman"/>
          <w:bCs/>
          <w:i/>
          <w:sz w:val="24"/>
          <w:szCs w:val="24"/>
          <w:lang w:eastAsia="en-AU"/>
        </w:rPr>
        <w:t>20</w:t>
      </w:r>
      <w:r w:rsidR="009A1C10">
        <w:rPr>
          <w:rFonts w:ascii="Times New Roman" w:eastAsia="Times New Roman" w:hAnsi="Times New Roman" w:cs="Times New Roman"/>
          <w:bCs/>
          <w:i/>
          <w:sz w:val="24"/>
          <w:szCs w:val="24"/>
          <w:lang w:eastAsia="en-AU"/>
        </w:rPr>
        <w:t>2</w:t>
      </w:r>
      <w:r w:rsidR="00C41257">
        <w:rPr>
          <w:rFonts w:ascii="Times New Roman" w:eastAsia="Times New Roman" w:hAnsi="Times New Roman" w:cs="Times New Roman"/>
          <w:bCs/>
          <w:i/>
          <w:sz w:val="24"/>
          <w:szCs w:val="24"/>
          <w:lang w:eastAsia="en-AU"/>
        </w:rPr>
        <w:t>3</w:t>
      </w:r>
    </w:p>
    <w:p w14:paraId="2685996F" w14:textId="77777777" w:rsidR="00AD562B" w:rsidRPr="008727AB" w:rsidRDefault="00AD562B" w:rsidP="001A7C14">
      <w:pPr>
        <w:autoSpaceDE w:val="0"/>
        <w:autoSpaceDN w:val="0"/>
        <w:adjustRightInd w:val="0"/>
        <w:spacing w:after="0" w:line="240" w:lineRule="auto"/>
        <w:jc w:val="center"/>
        <w:rPr>
          <w:rFonts w:ascii="Times New Roman" w:eastAsia="Times New Roman" w:hAnsi="Times New Roman" w:cs="Times New Roman"/>
          <w:bCs/>
          <w:i/>
          <w:sz w:val="24"/>
          <w:szCs w:val="24"/>
          <w:lang w:eastAsia="en-AU"/>
        </w:rPr>
      </w:pPr>
    </w:p>
    <w:p w14:paraId="1375AB08" w14:textId="756D05C3" w:rsidR="008727AB" w:rsidRDefault="008727AB" w:rsidP="009A530B">
      <w:pPr>
        <w:autoSpaceDE w:val="0"/>
        <w:autoSpaceDN w:val="0"/>
        <w:adjustRightInd w:val="0"/>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w:t>
      </w:r>
      <w:r w:rsidRPr="008727AB">
        <w:rPr>
          <w:rFonts w:ascii="Times New Roman" w:eastAsia="Times New Roman" w:hAnsi="Times New Roman" w:cs="Times New Roman"/>
          <w:i/>
          <w:sz w:val="24"/>
          <w:szCs w:val="24"/>
          <w:lang w:eastAsia="en-AU"/>
        </w:rPr>
        <w:t>Therapeutic Goods Act 1989</w:t>
      </w:r>
      <w:r>
        <w:rPr>
          <w:rFonts w:ascii="Times New Roman" w:eastAsia="Times New Roman" w:hAnsi="Times New Roman" w:cs="Times New Roman"/>
          <w:sz w:val="24"/>
          <w:szCs w:val="24"/>
          <w:lang w:eastAsia="en-AU"/>
        </w:rPr>
        <w:t xml:space="preserve"> (“the Act”) provides for the establishment and maintenance of a national system of controls for the quality, safety, </w:t>
      </w:r>
      <w:proofErr w:type="gramStart"/>
      <w:r>
        <w:rPr>
          <w:rFonts w:ascii="Times New Roman" w:eastAsia="Times New Roman" w:hAnsi="Times New Roman" w:cs="Times New Roman"/>
          <w:sz w:val="24"/>
          <w:szCs w:val="24"/>
          <w:lang w:eastAsia="en-AU"/>
        </w:rPr>
        <w:t>efficacy</w:t>
      </w:r>
      <w:proofErr w:type="gramEnd"/>
      <w:r>
        <w:rPr>
          <w:rFonts w:ascii="Times New Roman" w:eastAsia="Times New Roman" w:hAnsi="Times New Roman" w:cs="Times New Roman"/>
          <w:sz w:val="24"/>
          <w:szCs w:val="24"/>
          <w:lang w:eastAsia="en-AU"/>
        </w:rPr>
        <w:t xml:space="preserve"> and timely availability of therapeutic goods that are used in, or exported from, Australia. The Act is administered by the Therapeutic Goods Administration (“the </w:t>
      </w:r>
      <w:r w:rsidR="00B60F0C">
        <w:rPr>
          <w:rFonts w:ascii="Times New Roman" w:eastAsia="Times New Roman" w:hAnsi="Times New Roman" w:cs="Times New Roman"/>
          <w:sz w:val="24"/>
          <w:szCs w:val="24"/>
          <w:lang w:eastAsia="en-AU"/>
        </w:rPr>
        <w:t>TGA</w:t>
      </w:r>
      <w:r>
        <w:rPr>
          <w:rFonts w:ascii="Times New Roman" w:eastAsia="Times New Roman" w:hAnsi="Times New Roman" w:cs="Times New Roman"/>
          <w:sz w:val="24"/>
          <w:szCs w:val="24"/>
          <w:lang w:eastAsia="en-AU"/>
        </w:rPr>
        <w:t>”) within the Australian Government Department of Health</w:t>
      </w:r>
      <w:r w:rsidR="00343829">
        <w:rPr>
          <w:rFonts w:ascii="Times New Roman" w:eastAsia="Times New Roman" w:hAnsi="Times New Roman" w:cs="Times New Roman"/>
          <w:sz w:val="24"/>
          <w:szCs w:val="24"/>
          <w:lang w:eastAsia="en-AU"/>
        </w:rPr>
        <w:t xml:space="preserve"> and Aged Care</w:t>
      </w:r>
      <w:r>
        <w:rPr>
          <w:rFonts w:ascii="Times New Roman" w:eastAsia="Times New Roman" w:hAnsi="Times New Roman" w:cs="Times New Roman"/>
          <w:sz w:val="24"/>
          <w:szCs w:val="24"/>
          <w:lang w:eastAsia="en-AU"/>
        </w:rPr>
        <w:t>.</w:t>
      </w:r>
    </w:p>
    <w:p w14:paraId="242F03BC" w14:textId="77777777" w:rsidR="008727AB" w:rsidRDefault="008727AB" w:rsidP="009A530B">
      <w:pPr>
        <w:autoSpaceDE w:val="0"/>
        <w:autoSpaceDN w:val="0"/>
        <w:adjustRightInd w:val="0"/>
        <w:spacing w:after="0"/>
        <w:rPr>
          <w:rFonts w:ascii="Times New Roman" w:eastAsia="Times New Roman" w:hAnsi="Times New Roman" w:cs="Times New Roman"/>
          <w:sz w:val="24"/>
          <w:szCs w:val="24"/>
          <w:lang w:eastAsia="en-AU"/>
        </w:rPr>
      </w:pPr>
    </w:p>
    <w:p w14:paraId="3AAF151F" w14:textId="7282FB5B" w:rsidR="008727AB" w:rsidRDefault="008727AB" w:rsidP="009A530B">
      <w:pPr>
        <w:autoSpaceDE w:val="0"/>
        <w:autoSpaceDN w:val="0"/>
        <w:adjustRightInd w:val="0"/>
        <w:spacing w:after="0"/>
        <w:rPr>
          <w:rFonts w:ascii="Times New Roman" w:eastAsia="Times New Roman" w:hAnsi="Times New Roman" w:cs="Times New Roman"/>
          <w:sz w:val="24"/>
          <w:szCs w:val="24"/>
          <w:lang w:eastAsia="en-AU"/>
        </w:rPr>
      </w:pPr>
      <w:bookmarkStart w:id="0" w:name="_Hlk126676049"/>
      <w:r>
        <w:rPr>
          <w:rFonts w:ascii="Times New Roman" w:eastAsia="Times New Roman" w:hAnsi="Times New Roman" w:cs="Times New Roman"/>
          <w:sz w:val="24"/>
          <w:szCs w:val="24"/>
          <w:lang w:eastAsia="en-AU"/>
        </w:rPr>
        <w:t>S</w:t>
      </w:r>
      <w:r w:rsidR="003034B3">
        <w:rPr>
          <w:rFonts w:ascii="Times New Roman" w:eastAsia="Times New Roman" w:hAnsi="Times New Roman" w:cs="Times New Roman"/>
          <w:sz w:val="24"/>
          <w:szCs w:val="24"/>
          <w:lang w:eastAsia="en-AU"/>
        </w:rPr>
        <w:t>ubs</w:t>
      </w:r>
      <w:r>
        <w:rPr>
          <w:rFonts w:ascii="Times New Roman" w:eastAsia="Times New Roman" w:hAnsi="Times New Roman" w:cs="Times New Roman"/>
          <w:sz w:val="24"/>
          <w:szCs w:val="24"/>
          <w:lang w:eastAsia="en-AU"/>
        </w:rPr>
        <w:t>ection 26</w:t>
      </w:r>
      <w:proofErr w:type="gramStart"/>
      <w:r>
        <w:rPr>
          <w:rFonts w:ascii="Times New Roman" w:eastAsia="Times New Roman" w:hAnsi="Times New Roman" w:cs="Times New Roman"/>
          <w:sz w:val="24"/>
          <w:szCs w:val="24"/>
          <w:lang w:eastAsia="en-AU"/>
        </w:rPr>
        <w:t>BB</w:t>
      </w:r>
      <w:r w:rsidR="003034B3">
        <w:rPr>
          <w:rFonts w:ascii="Times New Roman" w:eastAsia="Times New Roman" w:hAnsi="Times New Roman" w:cs="Times New Roman"/>
          <w:sz w:val="24"/>
          <w:szCs w:val="24"/>
          <w:lang w:eastAsia="en-AU"/>
        </w:rPr>
        <w:t>(</w:t>
      </w:r>
      <w:proofErr w:type="gramEnd"/>
      <w:r w:rsidR="003034B3">
        <w:rPr>
          <w:rFonts w:ascii="Times New Roman" w:eastAsia="Times New Roman" w:hAnsi="Times New Roman" w:cs="Times New Roman"/>
          <w:sz w:val="24"/>
          <w:szCs w:val="24"/>
          <w:lang w:eastAsia="en-AU"/>
        </w:rPr>
        <w:t>1)</w:t>
      </w:r>
      <w:r>
        <w:rPr>
          <w:rFonts w:ascii="Times New Roman" w:eastAsia="Times New Roman" w:hAnsi="Times New Roman" w:cs="Times New Roman"/>
          <w:sz w:val="24"/>
          <w:szCs w:val="24"/>
          <w:lang w:eastAsia="en-AU"/>
        </w:rPr>
        <w:t xml:space="preserve"> of the Act relevantly provides that the Minister may, by legislative instrument, make a determination </w:t>
      </w:r>
      <w:r w:rsidR="004E05C9">
        <w:rPr>
          <w:rFonts w:ascii="Times New Roman" w:eastAsia="Times New Roman" w:hAnsi="Times New Roman" w:cs="Times New Roman"/>
          <w:sz w:val="24"/>
          <w:szCs w:val="24"/>
          <w:lang w:eastAsia="en-AU"/>
        </w:rPr>
        <w:t>specifying ingredients and, for some or all of those ingredients, requirements in relation to those ingredients being contained in a medicine. Under subsections 26</w:t>
      </w:r>
      <w:proofErr w:type="gramStart"/>
      <w:r w:rsidR="004E05C9">
        <w:rPr>
          <w:rFonts w:ascii="Times New Roman" w:eastAsia="Times New Roman" w:hAnsi="Times New Roman" w:cs="Times New Roman"/>
          <w:sz w:val="24"/>
          <w:szCs w:val="24"/>
          <w:lang w:eastAsia="en-AU"/>
        </w:rPr>
        <w:t>BB(</w:t>
      </w:r>
      <w:proofErr w:type="gramEnd"/>
      <w:r w:rsidR="004E05C9">
        <w:rPr>
          <w:rFonts w:ascii="Times New Roman" w:eastAsia="Times New Roman" w:hAnsi="Times New Roman" w:cs="Times New Roman"/>
          <w:sz w:val="24"/>
          <w:szCs w:val="24"/>
          <w:lang w:eastAsia="en-AU"/>
        </w:rPr>
        <w:t>2), (2A) and (3) of the Act, such requirements may relate to particular ingredients not being con</w:t>
      </w:r>
      <w:r w:rsidR="00226F3C">
        <w:rPr>
          <w:rFonts w:ascii="Times New Roman" w:eastAsia="Times New Roman" w:hAnsi="Times New Roman" w:cs="Times New Roman"/>
          <w:sz w:val="24"/>
          <w:szCs w:val="24"/>
          <w:lang w:eastAsia="en-AU"/>
        </w:rPr>
        <w:t xml:space="preserve">tained in particular medicines or </w:t>
      </w:r>
      <w:r w:rsidR="004E05C9">
        <w:rPr>
          <w:rFonts w:ascii="Times New Roman" w:eastAsia="Times New Roman" w:hAnsi="Times New Roman" w:cs="Times New Roman"/>
          <w:sz w:val="24"/>
          <w:szCs w:val="24"/>
          <w:lang w:eastAsia="en-AU"/>
        </w:rPr>
        <w:t>being contained in p</w:t>
      </w:r>
      <w:r w:rsidR="00226F3C">
        <w:rPr>
          <w:rFonts w:ascii="Times New Roman" w:eastAsia="Times New Roman" w:hAnsi="Times New Roman" w:cs="Times New Roman"/>
          <w:sz w:val="24"/>
          <w:szCs w:val="24"/>
          <w:lang w:eastAsia="en-AU"/>
        </w:rPr>
        <w:t xml:space="preserve">articular medicines only in specified </w:t>
      </w:r>
      <w:r w:rsidR="004E05C9">
        <w:rPr>
          <w:rFonts w:ascii="Times New Roman" w:eastAsia="Times New Roman" w:hAnsi="Times New Roman" w:cs="Times New Roman"/>
          <w:sz w:val="24"/>
          <w:szCs w:val="24"/>
          <w:lang w:eastAsia="en-AU"/>
        </w:rPr>
        <w:t>circumstances or to permitted concentrations or total amounts of an ingredient in a medicine.</w:t>
      </w:r>
    </w:p>
    <w:p w14:paraId="69CA0739" w14:textId="77777777" w:rsidR="004E05C9" w:rsidRDefault="004E05C9" w:rsidP="009A530B">
      <w:pPr>
        <w:autoSpaceDE w:val="0"/>
        <w:autoSpaceDN w:val="0"/>
        <w:adjustRightInd w:val="0"/>
        <w:spacing w:after="0"/>
        <w:rPr>
          <w:rFonts w:ascii="Times New Roman" w:eastAsia="Times New Roman" w:hAnsi="Times New Roman" w:cs="Times New Roman"/>
          <w:sz w:val="24"/>
          <w:szCs w:val="24"/>
          <w:lang w:eastAsia="en-AU"/>
        </w:rPr>
      </w:pPr>
    </w:p>
    <w:p w14:paraId="0684020F" w14:textId="77777777" w:rsidR="004E05C9" w:rsidRDefault="00226F3C" w:rsidP="009A530B">
      <w:pPr>
        <w:autoSpaceDE w:val="0"/>
        <w:autoSpaceDN w:val="0"/>
        <w:adjustRightInd w:val="0"/>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L</w:t>
      </w:r>
      <w:r w:rsidR="004E05C9">
        <w:rPr>
          <w:rFonts w:ascii="Times New Roman" w:eastAsia="Times New Roman" w:hAnsi="Times New Roman" w:cs="Times New Roman"/>
          <w:sz w:val="24"/>
          <w:szCs w:val="24"/>
          <w:lang w:eastAsia="en-AU"/>
        </w:rPr>
        <w:t xml:space="preserve">egislative instruments made </w:t>
      </w:r>
      <w:r>
        <w:rPr>
          <w:rFonts w:ascii="Times New Roman" w:eastAsia="Times New Roman" w:hAnsi="Times New Roman" w:cs="Times New Roman"/>
          <w:sz w:val="24"/>
          <w:szCs w:val="24"/>
          <w:lang w:eastAsia="en-AU"/>
        </w:rPr>
        <w:t>under section 26BB of the Act are designed</w:t>
      </w:r>
      <w:r w:rsidR="004E05C9">
        <w:rPr>
          <w:rFonts w:ascii="Times New Roman" w:eastAsia="Times New Roman" w:hAnsi="Times New Roman" w:cs="Times New Roman"/>
          <w:sz w:val="24"/>
          <w:szCs w:val="24"/>
          <w:lang w:eastAsia="en-AU"/>
        </w:rPr>
        <w:t xml:space="preserve"> to specify those ingredients that may be contained in a medicine that is listed in the Australian Register of Therapeutic Goods (“the Register”) under section 26A or 26AE of the Act, and </w:t>
      </w:r>
      <w:r>
        <w:rPr>
          <w:rFonts w:ascii="Times New Roman" w:eastAsia="Times New Roman" w:hAnsi="Times New Roman" w:cs="Times New Roman"/>
          <w:sz w:val="24"/>
          <w:szCs w:val="24"/>
          <w:lang w:eastAsia="en-AU"/>
        </w:rPr>
        <w:t xml:space="preserve">to specify </w:t>
      </w:r>
      <w:r w:rsidR="004E05C9">
        <w:rPr>
          <w:rFonts w:ascii="Times New Roman" w:eastAsia="Times New Roman" w:hAnsi="Times New Roman" w:cs="Times New Roman"/>
          <w:sz w:val="24"/>
          <w:szCs w:val="24"/>
          <w:lang w:eastAsia="en-AU"/>
        </w:rPr>
        <w:t>requirements in relation to the inclusion of those ingredients in such medicines.</w:t>
      </w:r>
    </w:p>
    <w:p w14:paraId="114F9F97" w14:textId="77777777" w:rsidR="004E05C9" w:rsidRDefault="004E05C9" w:rsidP="009A530B">
      <w:pPr>
        <w:autoSpaceDE w:val="0"/>
        <w:autoSpaceDN w:val="0"/>
        <w:adjustRightInd w:val="0"/>
        <w:spacing w:after="0"/>
        <w:rPr>
          <w:rFonts w:ascii="Times New Roman" w:eastAsia="Times New Roman" w:hAnsi="Times New Roman" w:cs="Times New Roman"/>
          <w:sz w:val="24"/>
          <w:szCs w:val="24"/>
          <w:lang w:eastAsia="en-AU"/>
        </w:rPr>
      </w:pPr>
    </w:p>
    <w:p w14:paraId="441C0023" w14:textId="7814A646" w:rsidR="004E05C9" w:rsidRDefault="004E05C9" w:rsidP="009A530B">
      <w:pPr>
        <w:autoSpaceDE w:val="0"/>
        <w:autoSpaceDN w:val="0"/>
        <w:adjustRightInd w:val="0"/>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w:t>
      </w:r>
      <w:r w:rsidR="00E60C26" w:rsidRPr="008727AB">
        <w:rPr>
          <w:rFonts w:ascii="Times New Roman" w:eastAsia="Times New Roman" w:hAnsi="Times New Roman" w:cs="Times New Roman"/>
          <w:bCs/>
          <w:i/>
          <w:sz w:val="24"/>
          <w:szCs w:val="24"/>
          <w:lang w:eastAsia="en-AU"/>
        </w:rPr>
        <w:t>Therapeutic Goods (Permiss</w:t>
      </w:r>
      <w:r w:rsidR="00E60C26">
        <w:rPr>
          <w:rFonts w:ascii="Times New Roman" w:eastAsia="Times New Roman" w:hAnsi="Times New Roman" w:cs="Times New Roman"/>
          <w:bCs/>
          <w:i/>
          <w:sz w:val="24"/>
          <w:szCs w:val="24"/>
          <w:lang w:eastAsia="en-AU"/>
        </w:rPr>
        <w:t>ible Ingredients) Determination (No.</w:t>
      </w:r>
      <w:r w:rsidR="00540CD5">
        <w:rPr>
          <w:rFonts w:ascii="Times New Roman" w:eastAsia="Times New Roman" w:hAnsi="Times New Roman" w:cs="Times New Roman"/>
          <w:bCs/>
          <w:i/>
          <w:sz w:val="24"/>
          <w:szCs w:val="24"/>
          <w:lang w:eastAsia="en-AU"/>
        </w:rPr>
        <w:t xml:space="preserve"> </w:t>
      </w:r>
      <w:r w:rsidR="00E702D7">
        <w:rPr>
          <w:rFonts w:ascii="Times New Roman" w:eastAsia="Times New Roman" w:hAnsi="Times New Roman" w:cs="Times New Roman"/>
          <w:bCs/>
          <w:i/>
          <w:sz w:val="24"/>
          <w:szCs w:val="24"/>
          <w:lang w:eastAsia="en-AU"/>
        </w:rPr>
        <w:t>2</w:t>
      </w:r>
      <w:r w:rsidR="00E60C26">
        <w:rPr>
          <w:rFonts w:ascii="Times New Roman" w:eastAsia="Times New Roman" w:hAnsi="Times New Roman" w:cs="Times New Roman"/>
          <w:bCs/>
          <w:i/>
          <w:sz w:val="24"/>
          <w:szCs w:val="24"/>
          <w:lang w:eastAsia="en-AU"/>
        </w:rPr>
        <w:t xml:space="preserve">) </w:t>
      </w:r>
      <w:r w:rsidR="00F6166F" w:rsidRPr="008727AB">
        <w:rPr>
          <w:rFonts w:ascii="Times New Roman" w:eastAsia="Times New Roman" w:hAnsi="Times New Roman" w:cs="Times New Roman"/>
          <w:bCs/>
          <w:i/>
          <w:sz w:val="24"/>
          <w:szCs w:val="24"/>
          <w:lang w:eastAsia="en-AU"/>
        </w:rPr>
        <w:t>20</w:t>
      </w:r>
      <w:r w:rsidR="00F6166F">
        <w:rPr>
          <w:rFonts w:ascii="Times New Roman" w:eastAsia="Times New Roman" w:hAnsi="Times New Roman" w:cs="Times New Roman"/>
          <w:bCs/>
          <w:i/>
          <w:sz w:val="24"/>
          <w:szCs w:val="24"/>
          <w:lang w:eastAsia="en-AU"/>
        </w:rPr>
        <w:t>2</w:t>
      </w:r>
      <w:r w:rsidR="00C41257">
        <w:rPr>
          <w:rFonts w:ascii="Times New Roman" w:eastAsia="Times New Roman" w:hAnsi="Times New Roman" w:cs="Times New Roman"/>
          <w:bCs/>
          <w:i/>
          <w:sz w:val="24"/>
          <w:szCs w:val="24"/>
          <w:lang w:eastAsia="en-AU"/>
        </w:rPr>
        <w:t>3</w:t>
      </w:r>
      <w:r w:rsidR="00F6166F">
        <w:rPr>
          <w:rFonts w:ascii="Times New Roman" w:eastAsia="Times New Roman" w:hAnsi="Times New Roman" w:cs="Times New Roman"/>
          <w:bCs/>
          <w:i/>
          <w:sz w:val="24"/>
          <w:szCs w:val="24"/>
          <w:lang w:eastAsia="en-AU"/>
        </w:rPr>
        <w:t xml:space="preserve"> </w:t>
      </w:r>
      <w:r w:rsidR="00E60C26" w:rsidRPr="00E60C26">
        <w:rPr>
          <w:rFonts w:ascii="Times New Roman" w:eastAsia="Times New Roman" w:hAnsi="Times New Roman" w:cs="Times New Roman"/>
          <w:bCs/>
          <w:sz w:val="24"/>
          <w:szCs w:val="24"/>
          <w:lang w:eastAsia="en-AU"/>
        </w:rPr>
        <w:t xml:space="preserve">(“the </w:t>
      </w:r>
      <w:r>
        <w:rPr>
          <w:rFonts w:ascii="Times New Roman" w:eastAsia="Times New Roman" w:hAnsi="Times New Roman" w:cs="Times New Roman"/>
          <w:sz w:val="24"/>
          <w:szCs w:val="24"/>
          <w:lang w:eastAsia="en-AU"/>
        </w:rPr>
        <w:t>Determination</w:t>
      </w:r>
      <w:r w:rsidR="00E60C26">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w:t>
      </w:r>
      <w:r w:rsidR="00E67371">
        <w:rPr>
          <w:rFonts w:ascii="Times New Roman" w:eastAsia="Times New Roman" w:hAnsi="Times New Roman" w:cs="Times New Roman"/>
          <w:sz w:val="24"/>
          <w:szCs w:val="24"/>
          <w:lang w:eastAsia="en-AU"/>
        </w:rPr>
        <w:t>repeal</w:t>
      </w:r>
      <w:r w:rsidR="007C503B">
        <w:rPr>
          <w:rFonts w:ascii="Times New Roman" w:eastAsia="Times New Roman" w:hAnsi="Times New Roman" w:cs="Times New Roman"/>
          <w:sz w:val="24"/>
          <w:szCs w:val="24"/>
          <w:lang w:eastAsia="en-AU"/>
        </w:rPr>
        <w:t xml:space="preserve">s </w:t>
      </w:r>
      <w:r w:rsidR="00E67371">
        <w:rPr>
          <w:rFonts w:ascii="Times New Roman" w:eastAsia="Times New Roman" w:hAnsi="Times New Roman" w:cs="Times New Roman"/>
          <w:sz w:val="24"/>
          <w:szCs w:val="24"/>
          <w:lang w:eastAsia="en-AU"/>
        </w:rPr>
        <w:t>and replace</w:t>
      </w:r>
      <w:r w:rsidR="007C503B">
        <w:rPr>
          <w:rFonts w:ascii="Times New Roman" w:eastAsia="Times New Roman" w:hAnsi="Times New Roman" w:cs="Times New Roman"/>
          <w:sz w:val="24"/>
          <w:szCs w:val="24"/>
          <w:lang w:eastAsia="en-AU"/>
        </w:rPr>
        <w:t>s</w:t>
      </w:r>
      <w:r w:rsidR="00E67371">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the </w:t>
      </w:r>
      <w:r w:rsidRPr="004E05C9">
        <w:rPr>
          <w:rFonts w:ascii="Times New Roman" w:eastAsia="Times New Roman" w:hAnsi="Times New Roman" w:cs="Times New Roman"/>
          <w:i/>
          <w:sz w:val="24"/>
          <w:szCs w:val="24"/>
          <w:lang w:eastAsia="en-AU"/>
        </w:rPr>
        <w:t>Therapeutic Goods</w:t>
      </w:r>
      <w:r w:rsidR="001C38AF">
        <w:rPr>
          <w:rFonts w:ascii="Times New Roman" w:eastAsia="Times New Roman" w:hAnsi="Times New Roman" w:cs="Times New Roman"/>
          <w:i/>
          <w:sz w:val="24"/>
          <w:szCs w:val="24"/>
          <w:lang w:eastAsia="en-AU"/>
        </w:rPr>
        <w:t xml:space="preserve"> </w:t>
      </w:r>
      <w:r w:rsidRPr="004E05C9">
        <w:rPr>
          <w:rFonts w:ascii="Times New Roman" w:eastAsia="Times New Roman" w:hAnsi="Times New Roman" w:cs="Times New Roman"/>
          <w:i/>
          <w:sz w:val="24"/>
          <w:szCs w:val="24"/>
          <w:lang w:eastAsia="en-AU"/>
        </w:rPr>
        <w:t>(Permissible Ingredients) Determination (No.</w:t>
      </w:r>
      <w:r w:rsidR="00B60F0C">
        <w:rPr>
          <w:rFonts w:ascii="Times New Roman" w:eastAsia="Times New Roman" w:hAnsi="Times New Roman" w:cs="Times New Roman"/>
          <w:i/>
          <w:sz w:val="24"/>
          <w:szCs w:val="24"/>
          <w:lang w:eastAsia="en-AU"/>
        </w:rPr>
        <w:t xml:space="preserve"> </w:t>
      </w:r>
      <w:r w:rsidR="00E702D7">
        <w:rPr>
          <w:rFonts w:ascii="Times New Roman" w:eastAsia="Times New Roman" w:hAnsi="Times New Roman" w:cs="Times New Roman"/>
          <w:i/>
          <w:sz w:val="24"/>
          <w:szCs w:val="24"/>
          <w:lang w:eastAsia="en-AU"/>
        </w:rPr>
        <w:t>1</w:t>
      </w:r>
      <w:r w:rsidRPr="004E05C9">
        <w:rPr>
          <w:rFonts w:ascii="Times New Roman" w:eastAsia="Times New Roman" w:hAnsi="Times New Roman" w:cs="Times New Roman"/>
          <w:i/>
          <w:sz w:val="24"/>
          <w:szCs w:val="24"/>
          <w:lang w:eastAsia="en-AU"/>
        </w:rPr>
        <w:t xml:space="preserve">) </w:t>
      </w:r>
      <w:r w:rsidR="00E702D7">
        <w:rPr>
          <w:rFonts w:ascii="Times New Roman" w:eastAsia="Times New Roman" w:hAnsi="Times New Roman" w:cs="Times New Roman"/>
          <w:i/>
          <w:sz w:val="24"/>
          <w:szCs w:val="24"/>
          <w:lang w:eastAsia="en-AU"/>
        </w:rPr>
        <w:t>2023</w:t>
      </w:r>
      <w:r w:rsidR="00B60F0C">
        <w:rPr>
          <w:rFonts w:ascii="Times New Roman" w:eastAsia="Times New Roman" w:hAnsi="Times New Roman" w:cs="Times New Roman"/>
          <w:i/>
          <w:sz w:val="24"/>
          <w:szCs w:val="24"/>
          <w:lang w:eastAsia="en-AU"/>
        </w:rPr>
        <w:t xml:space="preserve"> </w:t>
      </w:r>
      <w:r w:rsidR="00B60F0C">
        <w:rPr>
          <w:rFonts w:ascii="Times New Roman" w:eastAsia="Times New Roman" w:hAnsi="Times New Roman" w:cs="Times New Roman"/>
          <w:sz w:val="24"/>
          <w:szCs w:val="24"/>
          <w:lang w:eastAsia="en-AU"/>
        </w:rPr>
        <w:t xml:space="preserve">(“the </w:t>
      </w:r>
      <w:r w:rsidR="00E67371">
        <w:rPr>
          <w:rFonts w:ascii="Times New Roman" w:eastAsia="Times New Roman" w:hAnsi="Times New Roman" w:cs="Times New Roman"/>
          <w:sz w:val="24"/>
          <w:szCs w:val="24"/>
          <w:lang w:eastAsia="en-AU"/>
        </w:rPr>
        <w:t xml:space="preserve">former </w:t>
      </w:r>
      <w:r w:rsidR="00B60F0C">
        <w:rPr>
          <w:rFonts w:ascii="Times New Roman" w:eastAsia="Times New Roman" w:hAnsi="Times New Roman" w:cs="Times New Roman"/>
          <w:sz w:val="24"/>
          <w:szCs w:val="24"/>
          <w:lang w:eastAsia="en-AU"/>
        </w:rPr>
        <w:t>Determination”</w:t>
      </w:r>
      <w:proofErr w:type="gramStart"/>
      <w:r w:rsidR="00B60F0C">
        <w:rPr>
          <w:rFonts w:ascii="Times New Roman" w:eastAsia="Times New Roman" w:hAnsi="Times New Roman" w:cs="Times New Roman"/>
          <w:sz w:val="24"/>
          <w:szCs w:val="24"/>
          <w:lang w:eastAsia="en-AU"/>
        </w:rPr>
        <w:t>)</w:t>
      </w:r>
      <w:r w:rsidR="007C503B">
        <w:rPr>
          <w:rFonts w:ascii="Times New Roman" w:eastAsia="Times New Roman" w:hAnsi="Times New Roman" w:cs="Times New Roman"/>
          <w:sz w:val="24"/>
          <w:szCs w:val="24"/>
          <w:lang w:eastAsia="en-AU"/>
        </w:rPr>
        <w:t>, and</w:t>
      </w:r>
      <w:proofErr w:type="gramEnd"/>
      <w:r w:rsidR="007C503B">
        <w:rPr>
          <w:rFonts w:ascii="Times New Roman" w:eastAsia="Times New Roman" w:hAnsi="Times New Roman" w:cs="Times New Roman"/>
          <w:sz w:val="24"/>
          <w:szCs w:val="24"/>
          <w:lang w:eastAsia="en-AU"/>
        </w:rPr>
        <w:t xml:space="preserve"> specifies those ingredients that may be contained in a medicine that is listed in the Register and requirements in relation to the inclusion of those ingredients in such medicines</w:t>
      </w:r>
      <w:r w:rsidR="001C38AF">
        <w:rPr>
          <w:rFonts w:ascii="Times New Roman" w:eastAsia="Times New Roman" w:hAnsi="Times New Roman" w:cs="Times New Roman"/>
          <w:sz w:val="24"/>
          <w:szCs w:val="24"/>
          <w:lang w:eastAsia="en-AU"/>
        </w:rPr>
        <w:t>.</w:t>
      </w:r>
    </w:p>
    <w:p w14:paraId="44353B94" w14:textId="77777777" w:rsidR="005B70D2" w:rsidRDefault="005B70D2" w:rsidP="009A530B">
      <w:pPr>
        <w:autoSpaceDE w:val="0"/>
        <w:autoSpaceDN w:val="0"/>
        <w:adjustRightInd w:val="0"/>
        <w:spacing w:after="0"/>
        <w:rPr>
          <w:rFonts w:ascii="Times New Roman" w:eastAsia="Times New Roman" w:hAnsi="Times New Roman" w:cs="Times New Roman"/>
          <w:sz w:val="24"/>
          <w:szCs w:val="24"/>
          <w:lang w:eastAsia="en-AU"/>
        </w:rPr>
      </w:pPr>
    </w:p>
    <w:p w14:paraId="013E1782" w14:textId="761B1BF5" w:rsidR="00EF1F18" w:rsidRDefault="00EF1F18" w:rsidP="001A7C14">
      <w:pPr>
        <w:autoSpaceDE w:val="0"/>
        <w:autoSpaceDN w:val="0"/>
        <w:adjustRightInd w:val="0"/>
        <w:spacing w:after="0"/>
        <w:rPr>
          <w:rFonts w:ascii="Times New Roman" w:eastAsia="Times New Roman" w:hAnsi="Times New Roman" w:cs="Times New Roman"/>
          <w:b/>
          <w:bCs/>
          <w:sz w:val="24"/>
          <w:szCs w:val="24"/>
          <w:lang w:eastAsia="en-AU"/>
        </w:rPr>
      </w:pPr>
      <w:r w:rsidRPr="00B028DC">
        <w:rPr>
          <w:rFonts w:ascii="Times New Roman" w:eastAsia="Times New Roman" w:hAnsi="Times New Roman" w:cs="Times New Roman"/>
          <w:b/>
          <w:bCs/>
          <w:sz w:val="24"/>
          <w:szCs w:val="24"/>
          <w:lang w:eastAsia="en-AU"/>
        </w:rPr>
        <w:t>B</w:t>
      </w:r>
      <w:r w:rsidR="00E01934" w:rsidRPr="00B028DC">
        <w:rPr>
          <w:rFonts w:ascii="Times New Roman" w:eastAsia="Times New Roman" w:hAnsi="Times New Roman" w:cs="Times New Roman"/>
          <w:b/>
          <w:bCs/>
          <w:sz w:val="24"/>
          <w:szCs w:val="24"/>
          <w:lang w:eastAsia="en-AU"/>
        </w:rPr>
        <w:t>ackground</w:t>
      </w:r>
    </w:p>
    <w:p w14:paraId="090C8A55" w14:textId="77777777" w:rsidR="005B70D2" w:rsidRPr="00B028DC" w:rsidRDefault="005B70D2" w:rsidP="001A7C14">
      <w:pPr>
        <w:autoSpaceDE w:val="0"/>
        <w:autoSpaceDN w:val="0"/>
        <w:adjustRightInd w:val="0"/>
        <w:spacing w:after="0"/>
        <w:rPr>
          <w:rFonts w:ascii="Times New Roman" w:eastAsia="Times New Roman" w:hAnsi="Times New Roman" w:cs="Times New Roman"/>
          <w:sz w:val="24"/>
          <w:szCs w:val="24"/>
          <w:lang w:val="en-US" w:eastAsia="en-AU"/>
        </w:rPr>
      </w:pPr>
    </w:p>
    <w:p w14:paraId="46189311" w14:textId="47DFF450" w:rsidR="00D4773E" w:rsidRDefault="00D4773E" w:rsidP="001A7C14">
      <w:pPr>
        <w:autoSpaceDE w:val="0"/>
        <w:autoSpaceDN w:val="0"/>
        <w:adjustRightInd w:val="0"/>
        <w:spacing w:after="0"/>
        <w:rPr>
          <w:rFonts w:ascii="Times New Roman" w:eastAsia="Times New Roman" w:hAnsi="Times New Roman" w:cs="Times New Roman"/>
          <w:sz w:val="24"/>
          <w:szCs w:val="24"/>
          <w:lang w:eastAsia="en-AU"/>
        </w:rPr>
      </w:pPr>
      <w:r w:rsidRPr="00D4773E">
        <w:rPr>
          <w:rFonts w:ascii="Times New Roman" w:eastAsia="Times New Roman" w:hAnsi="Times New Roman" w:cs="Times New Roman"/>
          <w:sz w:val="24"/>
          <w:szCs w:val="24"/>
          <w:lang w:eastAsia="en-AU"/>
        </w:rPr>
        <w:t xml:space="preserve">Medicines that are listed in the Register under section 26A of the Act </w:t>
      </w:r>
      <w:proofErr w:type="gramStart"/>
      <w:r w:rsidRPr="00D4773E">
        <w:rPr>
          <w:rFonts w:ascii="Times New Roman" w:eastAsia="Times New Roman" w:hAnsi="Times New Roman" w:cs="Times New Roman"/>
          <w:sz w:val="24"/>
          <w:szCs w:val="24"/>
          <w:lang w:eastAsia="en-AU"/>
        </w:rPr>
        <w:t>are considered to be</w:t>
      </w:r>
      <w:proofErr w:type="gramEnd"/>
      <w:r w:rsidRPr="00D4773E">
        <w:rPr>
          <w:rFonts w:ascii="Times New Roman" w:eastAsia="Times New Roman" w:hAnsi="Times New Roman" w:cs="Times New Roman"/>
          <w:sz w:val="24"/>
          <w:szCs w:val="24"/>
          <w:lang w:eastAsia="en-AU"/>
        </w:rPr>
        <w:t xml:space="preserve"> low risk and are not individually evaluated before those medicines are listed. Medicines that are listed in the Register under section 26AE of the Act are also considered to be low </w:t>
      </w:r>
      <w:proofErr w:type="gramStart"/>
      <w:r w:rsidRPr="00D4773E">
        <w:rPr>
          <w:rFonts w:ascii="Times New Roman" w:eastAsia="Times New Roman" w:hAnsi="Times New Roman" w:cs="Times New Roman"/>
          <w:sz w:val="24"/>
          <w:szCs w:val="24"/>
          <w:lang w:eastAsia="en-AU"/>
        </w:rPr>
        <w:t>risk, but</w:t>
      </w:r>
      <w:proofErr w:type="gramEnd"/>
      <w:r w:rsidRPr="00D4773E">
        <w:rPr>
          <w:rFonts w:ascii="Times New Roman" w:eastAsia="Times New Roman" w:hAnsi="Times New Roman" w:cs="Times New Roman"/>
          <w:sz w:val="24"/>
          <w:szCs w:val="24"/>
          <w:lang w:eastAsia="en-AU"/>
        </w:rPr>
        <w:t xml:space="preserve"> are evaluated in relation to whether the efficacy of the medicine for the purposes for which it is to be used has been satisfactorily established (these purposes are specific efficacy claims for which the sponsor of the medicine holds supporting evidence).</w:t>
      </w:r>
      <w:r w:rsidR="00B60F0C">
        <w:rPr>
          <w:rFonts w:ascii="Times New Roman" w:eastAsia="Times New Roman" w:hAnsi="Times New Roman" w:cs="Times New Roman"/>
          <w:sz w:val="24"/>
          <w:szCs w:val="24"/>
          <w:lang w:eastAsia="en-AU"/>
        </w:rPr>
        <w:t xml:space="preserve"> </w:t>
      </w:r>
      <w:r w:rsidRPr="00D4773E">
        <w:rPr>
          <w:rFonts w:ascii="Times New Roman" w:eastAsia="Times New Roman" w:hAnsi="Times New Roman" w:cs="Times New Roman"/>
          <w:sz w:val="24"/>
          <w:szCs w:val="24"/>
          <w:lang w:eastAsia="en-AU"/>
        </w:rPr>
        <w:t xml:space="preserve">When listed under section 26AE, these listed medicines are commonly referred to as ‘assessed listed </w:t>
      </w:r>
      <w:proofErr w:type="gramStart"/>
      <w:r w:rsidRPr="00D4773E">
        <w:rPr>
          <w:rFonts w:ascii="Times New Roman" w:eastAsia="Times New Roman" w:hAnsi="Times New Roman" w:cs="Times New Roman"/>
          <w:sz w:val="24"/>
          <w:szCs w:val="24"/>
          <w:lang w:eastAsia="en-AU"/>
        </w:rPr>
        <w:t>medicines’</w:t>
      </w:r>
      <w:proofErr w:type="gramEnd"/>
      <w:r w:rsidRPr="00D4773E">
        <w:rPr>
          <w:rFonts w:ascii="Times New Roman" w:eastAsia="Times New Roman" w:hAnsi="Times New Roman" w:cs="Times New Roman"/>
          <w:sz w:val="24"/>
          <w:szCs w:val="24"/>
          <w:lang w:eastAsia="en-AU"/>
        </w:rPr>
        <w:t>.</w:t>
      </w:r>
    </w:p>
    <w:p w14:paraId="593DB8C4" w14:textId="77777777" w:rsidR="005B70D2" w:rsidRPr="001A7C14" w:rsidRDefault="005B70D2" w:rsidP="001A7C14">
      <w:pPr>
        <w:autoSpaceDE w:val="0"/>
        <w:autoSpaceDN w:val="0"/>
        <w:adjustRightInd w:val="0"/>
        <w:spacing w:after="0"/>
        <w:rPr>
          <w:rFonts w:ascii="Times New Roman" w:eastAsia="Times New Roman" w:hAnsi="Times New Roman" w:cs="Times New Roman"/>
          <w:sz w:val="24"/>
          <w:szCs w:val="24"/>
          <w:lang w:eastAsia="en-AU"/>
        </w:rPr>
      </w:pPr>
    </w:p>
    <w:p w14:paraId="37CEDFE6" w14:textId="74DFA27E" w:rsidR="00D4773E" w:rsidRDefault="00D4773E" w:rsidP="001A7C14">
      <w:pPr>
        <w:autoSpaceDE w:val="0"/>
        <w:autoSpaceDN w:val="0"/>
        <w:adjustRightInd w:val="0"/>
        <w:spacing w:after="0"/>
        <w:rPr>
          <w:rFonts w:ascii="Times New Roman" w:eastAsia="Times New Roman" w:hAnsi="Times New Roman" w:cs="Times New Roman"/>
          <w:sz w:val="24"/>
          <w:szCs w:val="24"/>
          <w:lang w:eastAsia="en-AU"/>
        </w:rPr>
      </w:pPr>
      <w:r w:rsidRPr="00D4773E">
        <w:rPr>
          <w:rFonts w:ascii="Times New Roman" w:eastAsia="Times New Roman" w:hAnsi="Times New Roman" w:cs="Times New Roman"/>
          <w:sz w:val="24"/>
          <w:szCs w:val="24"/>
          <w:lang w:eastAsia="en-AU"/>
        </w:rPr>
        <w:t>As the safety and quality of medicines listed under section</w:t>
      </w:r>
      <w:r w:rsidR="00B60F0C">
        <w:rPr>
          <w:rFonts w:ascii="Times New Roman" w:eastAsia="Times New Roman" w:hAnsi="Times New Roman" w:cs="Times New Roman"/>
          <w:sz w:val="24"/>
          <w:szCs w:val="24"/>
          <w:lang w:eastAsia="en-AU"/>
        </w:rPr>
        <w:t>s</w:t>
      </w:r>
      <w:r w:rsidRPr="00D4773E">
        <w:rPr>
          <w:rFonts w:ascii="Times New Roman" w:eastAsia="Times New Roman" w:hAnsi="Times New Roman" w:cs="Times New Roman"/>
          <w:sz w:val="24"/>
          <w:szCs w:val="24"/>
          <w:lang w:eastAsia="en-AU"/>
        </w:rPr>
        <w:t xml:space="preserve"> 26A and 26AE are not evaluated by the TGA before being given marketing approval, the Act contains mechanisms to help ensure that those medicines are of appropriate quality and able to be used safely by consumers. </w:t>
      </w:r>
      <w:proofErr w:type="gramStart"/>
      <w:r w:rsidRPr="00D4773E">
        <w:rPr>
          <w:rFonts w:ascii="Times New Roman" w:eastAsia="Times New Roman" w:hAnsi="Times New Roman" w:cs="Times New Roman"/>
          <w:sz w:val="24"/>
          <w:szCs w:val="24"/>
          <w:lang w:eastAsia="en-AU"/>
        </w:rPr>
        <w:t>In particular, medicines</w:t>
      </w:r>
      <w:proofErr w:type="gramEnd"/>
      <w:r w:rsidRPr="00D4773E">
        <w:rPr>
          <w:rFonts w:ascii="Times New Roman" w:eastAsia="Times New Roman" w:hAnsi="Times New Roman" w:cs="Times New Roman"/>
          <w:sz w:val="24"/>
          <w:szCs w:val="24"/>
          <w:lang w:eastAsia="en-AU"/>
        </w:rPr>
        <w:t xml:space="preserve"> listed under section 26A and 26AE may only contain </w:t>
      </w:r>
      <w:r w:rsidRPr="00D4773E">
        <w:rPr>
          <w:rFonts w:ascii="Times New Roman" w:eastAsia="Times New Roman" w:hAnsi="Times New Roman" w:cs="Times New Roman"/>
          <w:sz w:val="24"/>
          <w:szCs w:val="24"/>
          <w:lang w:eastAsia="en-AU"/>
        </w:rPr>
        <w:lastRenderedPageBreak/>
        <w:t>ingredients from an approved list of ingredients that have been evaluated in relation to their quality and safety and suitability for use in such medicines.</w:t>
      </w:r>
      <w:r w:rsidR="00E60C26">
        <w:rPr>
          <w:rFonts w:ascii="Times New Roman" w:eastAsia="Times New Roman" w:hAnsi="Times New Roman" w:cs="Times New Roman"/>
          <w:sz w:val="24"/>
          <w:szCs w:val="24"/>
          <w:lang w:eastAsia="en-AU"/>
        </w:rPr>
        <w:t xml:space="preserve"> </w:t>
      </w:r>
      <w:r w:rsidRPr="00D4773E">
        <w:rPr>
          <w:rFonts w:ascii="Times New Roman" w:eastAsia="Times New Roman" w:hAnsi="Times New Roman" w:cs="Times New Roman"/>
          <w:sz w:val="24"/>
          <w:szCs w:val="24"/>
          <w:lang w:eastAsia="en-AU"/>
        </w:rPr>
        <w:t xml:space="preserve">Sponsors of such medicines may </w:t>
      </w:r>
      <w:r w:rsidR="008E082F">
        <w:rPr>
          <w:rFonts w:ascii="Times New Roman" w:eastAsia="Times New Roman" w:hAnsi="Times New Roman" w:cs="Times New Roman"/>
          <w:sz w:val="24"/>
          <w:szCs w:val="24"/>
          <w:lang w:eastAsia="en-AU"/>
        </w:rPr>
        <w:t xml:space="preserve">also </w:t>
      </w:r>
      <w:r w:rsidRPr="00D4773E">
        <w:rPr>
          <w:rFonts w:ascii="Times New Roman" w:eastAsia="Times New Roman" w:hAnsi="Times New Roman" w:cs="Times New Roman"/>
          <w:sz w:val="24"/>
          <w:szCs w:val="24"/>
          <w:lang w:eastAsia="en-AU"/>
        </w:rPr>
        <w:t>only use indications (statements of therapeutic use) from a list of pre-approved low</w:t>
      </w:r>
      <w:r w:rsidR="00EB7328">
        <w:rPr>
          <w:rFonts w:ascii="Times New Roman" w:eastAsia="Times New Roman" w:hAnsi="Times New Roman" w:cs="Times New Roman"/>
          <w:sz w:val="24"/>
          <w:szCs w:val="24"/>
          <w:lang w:eastAsia="en-AU"/>
        </w:rPr>
        <w:t>-</w:t>
      </w:r>
      <w:r w:rsidRPr="00D4773E">
        <w:rPr>
          <w:rFonts w:ascii="Times New Roman" w:eastAsia="Times New Roman" w:hAnsi="Times New Roman" w:cs="Times New Roman"/>
          <w:sz w:val="24"/>
          <w:szCs w:val="24"/>
          <w:lang w:eastAsia="en-AU"/>
        </w:rPr>
        <w:t>level indications to ensure that these products do not overstate their therapeutic benefits.</w:t>
      </w:r>
    </w:p>
    <w:p w14:paraId="4D224BDB" w14:textId="77777777" w:rsidR="005B70D2" w:rsidRPr="001A7C14" w:rsidRDefault="005B70D2" w:rsidP="001A7C14">
      <w:pPr>
        <w:autoSpaceDE w:val="0"/>
        <w:autoSpaceDN w:val="0"/>
        <w:adjustRightInd w:val="0"/>
        <w:spacing w:after="0"/>
        <w:rPr>
          <w:rFonts w:ascii="Times New Roman" w:eastAsia="Times New Roman" w:hAnsi="Times New Roman" w:cs="Times New Roman"/>
          <w:sz w:val="24"/>
          <w:szCs w:val="24"/>
          <w:lang w:eastAsia="en-AU"/>
        </w:rPr>
      </w:pPr>
    </w:p>
    <w:p w14:paraId="16704F00" w14:textId="6BE1C8A3" w:rsidR="00D4773E" w:rsidRDefault="00D4773E" w:rsidP="001A7C14">
      <w:pPr>
        <w:autoSpaceDE w:val="0"/>
        <w:autoSpaceDN w:val="0"/>
        <w:adjustRightInd w:val="0"/>
        <w:spacing w:after="0"/>
        <w:rPr>
          <w:rFonts w:ascii="Times New Roman" w:eastAsia="Times New Roman" w:hAnsi="Times New Roman" w:cs="Times New Roman"/>
          <w:sz w:val="24"/>
          <w:szCs w:val="24"/>
          <w:lang w:eastAsia="en-AU"/>
        </w:rPr>
      </w:pPr>
      <w:r w:rsidRPr="00D4773E">
        <w:rPr>
          <w:rFonts w:ascii="Times New Roman" w:eastAsia="Times New Roman" w:hAnsi="Times New Roman" w:cs="Times New Roman"/>
          <w:sz w:val="24"/>
          <w:szCs w:val="24"/>
          <w:lang w:eastAsia="en-AU"/>
        </w:rPr>
        <w:t>Under paragraphs 26A(2)(ca) and (</w:t>
      </w:r>
      <w:proofErr w:type="spellStart"/>
      <w:r w:rsidRPr="00D4773E">
        <w:rPr>
          <w:rFonts w:ascii="Times New Roman" w:eastAsia="Times New Roman" w:hAnsi="Times New Roman" w:cs="Times New Roman"/>
          <w:sz w:val="24"/>
          <w:szCs w:val="24"/>
          <w:lang w:eastAsia="en-AU"/>
        </w:rPr>
        <w:t>cb</w:t>
      </w:r>
      <w:proofErr w:type="spellEnd"/>
      <w:r w:rsidRPr="00D4773E">
        <w:rPr>
          <w:rFonts w:ascii="Times New Roman" w:eastAsia="Times New Roman" w:hAnsi="Times New Roman" w:cs="Times New Roman"/>
          <w:sz w:val="24"/>
          <w:szCs w:val="24"/>
          <w:lang w:eastAsia="en-AU"/>
        </w:rPr>
        <w:t>) of the Act, persons applying to list a medicine in the Register under section 26A of the Act must certify that the medicine does not contain an ingredient that is not specified in a determination under paragraph 26BB(1)(a) of the Act; and does not contravene a requirement in relation to such an ingredient that is specified in such a determination.</w:t>
      </w:r>
      <w:r w:rsidR="00E60C26">
        <w:rPr>
          <w:rFonts w:ascii="Times New Roman" w:eastAsia="Times New Roman" w:hAnsi="Times New Roman" w:cs="Times New Roman"/>
          <w:sz w:val="24"/>
          <w:szCs w:val="24"/>
          <w:lang w:eastAsia="en-AU"/>
        </w:rPr>
        <w:t xml:space="preserve"> </w:t>
      </w:r>
      <w:r w:rsidRPr="00D4773E">
        <w:rPr>
          <w:rFonts w:ascii="Times New Roman" w:eastAsia="Times New Roman" w:hAnsi="Times New Roman" w:cs="Times New Roman"/>
          <w:sz w:val="24"/>
          <w:szCs w:val="24"/>
          <w:lang w:eastAsia="en-AU"/>
        </w:rPr>
        <w:t>Paragraphs 26AB(2)(d) and (e) contain equivalent certification requirements for applicants seeking marketing approval in relation to assessed listed medicines.</w:t>
      </w:r>
      <w:r w:rsidR="00AC4380">
        <w:rPr>
          <w:rFonts w:ascii="Times New Roman" w:eastAsia="Times New Roman" w:hAnsi="Times New Roman" w:cs="Times New Roman"/>
          <w:sz w:val="24"/>
          <w:szCs w:val="24"/>
          <w:lang w:eastAsia="en-AU"/>
        </w:rPr>
        <w:t xml:space="preserve"> </w:t>
      </w:r>
      <w:r w:rsidRPr="00D4773E">
        <w:rPr>
          <w:rFonts w:ascii="Times New Roman" w:eastAsia="Times New Roman" w:hAnsi="Times New Roman" w:cs="Times New Roman"/>
          <w:sz w:val="24"/>
          <w:szCs w:val="24"/>
          <w:lang w:eastAsia="en-AU"/>
        </w:rPr>
        <w:t>A listed (or assessed listed) medicine may be cancelled from the Register if it appears to the Secretary that such a certification is incorrect.</w:t>
      </w:r>
    </w:p>
    <w:p w14:paraId="4614586B" w14:textId="77777777" w:rsidR="005B70D2" w:rsidRPr="00712EA4" w:rsidRDefault="005B70D2" w:rsidP="001A7C14">
      <w:pPr>
        <w:autoSpaceDE w:val="0"/>
        <w:autoSpaceDN w:val="0"/>
        <w:adjustRightInd w:val="0"/>
        <w:spacing w:after="0"/>
        <w:rPr>
          <w:rFonts w:ascii="Times New Roman" w:eastAsia="Times New Roman" w:hAnsi="Times New Roman" w:cs="Times New Roman"/>
          <w:sz w:val="24"/>
          <w:szCs w:val="24"/>
          <w:lang w:eastAsia="en-AU"/>
        </w:rPr>
      </w:pPr>
    </w:p>
    <w:p w14:paraId="6D9381AC" w14:textId="74CAA430" w:rsidR="00D4773E" w:rsidRDefault="00D4773E" w:rsidP="001A7C14">
      <w:pPr>
        <w:autoSpaceDE w:val="0"/>
        <w:autoSpaceDN w:val="0"/>
        <w:adjustRightInd w:val="0"/>
        <w:spacing w:after="0"/>
        <w:rPr>
          <w:rFonts w:ascii="Times New Roman" w:eastAsia="Times New Roman" w:hAnsi="Times New Roman" w:cs="Times New Roman"/>
          <w:sz w:val="24"/>
          <w:szCs w:val="24"/>
          <w:lang w:eastAsia="en-AU"/>
        </w:rPr>
      </w:pPr>
      <w:r w:rsidRPr="00D4773E">
        <w:rPr>
          <w:rFonts w:ascii="Times New Roman" w:eastAsia="Times New Roman" w:hAnsi="Times New Roman" w:cs="Times New Roman"/>
          <w:sz w:val="24"/>
          <w:szCs w:val="24"/>
          <w:lang w:eastAsia="en-AU"/>
        </w:rPr>
        <w:t xml:space="preserve">Separately, items 3, 4A, 5, 7 and 8 of Schedule 4 to the </w:t>
      </w:r>
      <w:r w:rsidRPr="00D4773E">
        <w:rPr>
          <w:rFonts w:ascii="Times New Roman" w:eastAsia="Times New Roman" w:hAnsi="Times New Roman" w:cs="Times New Roman"/>
          <w:i/>
          <w:iCs/>
          <w:sz w:val="24"/>
          <w:szCs w:val="24"/>
          <w:lang w:eastAsia="en-AU"/>
        </w:rPr>
        <w:t>Therapeutic Goods Regulations 1990</w:t>
      </w:r>
      <w:r w:rsidR="00877FA7">
        <w:rPr>
          <w:rFonts w:ascii="Times New Roman" w:eastAsia="Times New Roman" w:hAnsi="Times New Roman" w:cs="Times New Roman"/>
          <w:iCs/>
          <w:sz w:val="24"/>
          <w:szCs w:val="24"/>
          <w:lang w:eastAsia="en-AU"/>
        </w:rPr>
        <w:t xml:space="preserve"> (“the Regulations”)</w:t>
      </w:r>
      <w:r w:rsidRPr="00D4773E">
        <w:rPr>
          <w:rFonts w:ascii="Times New Roman" w:eastAsia="Times New Roman" w:hAnsi="Times New Roman" w:cs="Times New Roman"/>
          <w:sz w:val="24"/>
          <w:szCs w:val="24"/>
          <w:lang w:eastAsia="en-AU"/>
        </w:rPr>
        <w:t>, which identifies those therapeutic goods that are eligible for listing in the Register, require that, in order for the goods mentioned in each of those items to be eligible for listing, the goods must only contain ingredients that are specified in a determination under paragraph 26BB(1)(a) of the Act</w:t>
      </w:r>
      <w:r w:rsidR="00E9229B">
        <w:rPr>
          <w:rFonts w:ascii="Times New Roman" w:eastAsia="Times New Roman" w:hAnsi="Times New Roman" w:cs="Times New Roman"/>
          <w:sz w:val="24"/>
          <w:szCs w:val="24"/>
          <w:lang w:eastAsia="en-AU"/>
        </w:rPr>
        <w:t>,</w:t>
      </w:r>
      <w:r w:rsidRPr="00D4773E">
        <w:rPr>
          <w:rFonts w:ascii="Times New Roman" w:eastAsia="Times New Roman" w:hAnsi="Times New Roman" w:cs="Times New Roman"/>
          <w:sz w:val="24"/>
          <w:szCs w:val="24"/>
          <w:lang w:eastAsia="en-AU"/>
        </w:rPr>
        <w:t xml:space="preserve"> and must not contravene a requirement in such a determination.</w:t>
      </w:r>
    </w:p>
    <w:p w14:paraId="497DAAC4" w14:textId="77777777" w:rsidR="005B70D2" w:rsidRPr="00712EA4" w:rsidRDefault="005B70D2" w:rsidP="001A7C14">
      <w:pPr>
        <w:autoSpaceDE w:val="0"/>
        <w:autoSpaceDN w:val="0"/>
        <w:adjustRightInd w:val="0"/>
        <w:spacing w:after="0"/>
        <w:rPr>
          <w:rFonts w:ascii="Times New Roman" w:eastAsia="Times New Roman" w:hAnsi="Times New Roman" w:cs="Times New Roman"/>
          <w:sz w:val="24"/>
          <w:szCs w:val="24"/>
          <w:lang w:eastAsia="en-AU"/>
        </w:rPr>
      </w:pPr>
    </w:p>
    <w:p w14:paraId="4EE2990C" w14:textId="4FDAFC77" w:rsidR="00D4773E" w:rsidRDefault="00226F3C" w:rsidP="001A7C14">
      <w:pPr>
        <w:autoSpaceDE w:val="0"/>
        <w:autoSpaceDN w:val="0"/>
        <w:adjustRightInd w:val="0"/>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As such, </w:t>
      </w:r>
      <w:r w:rsidR="003034B3">
        <w:rPr>
          <w:rFonts w:ascii="Times New Roman" w:eastAsia="Times New Roman" w:hAnsi="Times New Roman" w:cs="Times New Roman"/>
          <w:sz w:val="24"/>
          <w:szCs w:val="24"/>
          <w:lang w:eastAsia="en-AU"/>
        </w:rPr>
        <w:t xml:space="preserve">a </w:t>
      </w:r>
      <w:r>
        <w:rPr>
          <w:rFonts w:ascii="Times New Roman" w:eastAsia="Times New Roman" w:hAnsi="Times New Roman" w:cs="Times New Roman"/>
          <w:sz w:val="24"/>
          <w:szCs w:val="24"/>
          <w:lang w:eastAsia="en-AU"/>
        </w:rPr>
        <w:t xml:space="preserve">determination </w:t>
      </w:r>
      <w:r w:rsidR="0062190F">
        <w:rPr>
          <w:rFonts w:ascii="Times New Roman" w:eastAsia="Times New Roman" w:hAnsi="Times New Roman" w:cs="Times New Roman"/>
          <w:sz w:val="24"/>
          <w:szCs w:val="24"/>
          <w:lang w:eastAsia="en-AU"/>
        </w:rPr>
        <w:t xml:space="preserve">under </w:t>
      </w:r>
      <w:r>
        <w:rPr>
          <w:rFonts w:ascii="Times New Roman" w:eastAsia="Times New Roman" w:hAnsi="Times New Roman" w:cs="Times New Roman"/>
          <w:sz w:val="24"/>
          <w:szCs w:val="24"/>
          <w:lang w:eastAsia="en-AU"/>
        </w:rPr>
        <w:t xml:space="preserve">section 26BB </w:t>
      </w:r>
      <w:r w:rsidR="003034B3">
        <w:rPr>
          <w:rFonts w:ascii="Times New Roman" w:eastAsia="Times New Roman" w:hAnsi="Times New Roman" w:cs="Times New Roman"/>
          <w:sz w:val="24"/>
          <w:szCs w:val="24"/>
          <w:lang w:eastAsia="en-AU"/>
        </w:rPr>
        <w:t>is</w:t>
      </w:r>
      <w:r w:rsidR="003034B3" w:rsidRPr="00D4773E">
        <w:rPr>
          <w:rFonts w:ascii="Times New Roman" w:eastAsia="Times New Roman" w:hAnsi="Times New Roman" w:cs="Times New Roman"/>
          <w:sz w:val="24"/>
          <w:szCs w:val="24"/>
          <w:lang w:eastAsia="en-AU"/>
        </w:rPr>
        <w:t xml:space="preserve"> </w:t>
      </w:r>
      <w:r w:rsidR="00D4773E" w:rsidRPr="00D4773E">
        <w:rPr>
          <w:rFonts w:ascii="Times New Roman" w:eastAsia="Times New Roman" w:hAnsi="Times New Roman" w:cs="Times New Roman"/>
          <w:sz w:val="24"/>
          <w:szCs w:val="24"/>
          <w:lang w:eastAsia="en-AU"/>
        </w:rPr>
        <w:t xml:space="preserve">designed to provide a comprehensive list of ingredients which have been assessed or otherwise considered to be safe for use in listed medicines (including assessed listed medicines), and associated requirements to be followed when using </w:t>
      </w:r>
      <w:proofErr w:type="gramStart"/>
      <w:r w:rsidR="00D4773E" w:rsidRPr="00D4773E">
        <w:rPr>
          <w:rFonts w:ascii="Times New Roman" w:eastAsia="Times New Roman" w:hAnsi="Times New Roman" w:cs="Times New Roman"/>
          <w:sz w:val="24"/>
          <w:szCs w:val="24"/>
          <w:lang w:eastAsia="en-AU"/>
        </w:rPr>
        <w:t>particular ingredients</w:t>
      </w:r>
      <w:proofErr w:type="gramEnd"/>
      <w:r w:rsidR="00D4773E" w:rsidRPr="00D4773E">
        <w:rPr>
          <w:rFonts w:ascii="Times New Roman" w:eastAsia="Times New Roman" w:hAnsi="Times New Roman" w:cs="Times New Roman"/>
          <w:sz w:val="24"/>
          <w:szCs w:val="24"/>
          <w:lang w:eastAsia="en-AU"/>
        </w:rPr>
        <w:t xml:space="preserve"> in such products.</w:t>
      </w:r>
      <w:r w:rsidR="00D4773E">
        <w:rPr>
          <w:rFonts w:ascii="Times New Roman" w:eastAsia="Times New Roman" w:hAnsi="Times New Roman" w:cs="Times New Roman"/>
          <w:sz w:val="24"/>
          <w:szCs w:val="24"/>
          <w:lang w:eastAsia="en-AU"/>
        </w:rPr>
        <w:t xml:space="preserve"> These requirements may relate to a range of matters including, for example, </w:t>
      </w:r>
      <w:r>
        <w:rPr>
          <w:rFonts w:ascii="Times New Roman" w:eastAsia="Times New Roman" w:hAnsi="Times New Roman" w:cs="Times New Roman"/>
          <w:sz w:val="24"/>
          <w:szCs w:val="24"/>
          <w:lang w:eastAsia="en-AU"/>
        </w:rPr>
        <w:t xml:space="preserve">how an ingredient may be used in a medicine or </w:t>
      </w:r>
      <w:r w:rsidR="00D4773E">
        <w:rPr>
          <w:rFonts w:ascii="Times New Roman" w:eastAsia="Times New Roman" w:hAnsi="Times New Roman" w:cs="Times New Roman"/>
          <w:sz w:val="24"/>
          <w:szCs w:val="24"/>
          <w:lang w:eastAsia="en-AU"/>
        </w:rPr>
        <w:t>the inclusion of relevant safety information on product labels</w:t>
      </w:r>
      <w:r>
        <w:rPr>
          <w:rFonts w:ascii="Times New Roman" w:eastAsia="Times New Roman" w:hAnsi="Times New Roman" w:cs="Times New Roman"/>
          <w:sz w:val="24"/>
          <w:szCs w:val="24"/>
          <w:lang w:eastAsia="en-AU"/>
        </w:rPr>
        <w:t>.</w:t>
      </w:r>
    </w:p>
    <w:p w14:paraId="1986DC36" w14:textId="77777777" w:rsidR="005B70D2" w:rsidRDefault="005B70D2" w:rsidP="001A7C14">
      <w:pPr>
        <w:autoSpaceDE w:val="0"/>
        <w:autoSpaceDN w:val="0"/>
        <w:adjustRightInd w:val="0"/>
        <w:spacing w:after="0" w:line="240" w:lineRule="auto"/>
        <w:rPr>
          <w:rFonts w:ascii="Times New Roman" w:eastAsia="Times New Roman" w:hAnsi="Times New Roman" w:cs="Times New Roman"/>
          <w:sz w:val="24"/>
          <w:szCs w:val="24"/>
          <w:lang w:eastAsia="en-AU"/>
        </w:rPr>
      </w:pPr>
    </w:p>
    <w:p w14:paraId="2B026CDA" w14:textId="1F1446C3" w:rsidR="00A4560C" w:rsidRPr="00A4560C" w:rsidRDefault="00A4560C" w:rsidP="001A7C14">
      <w:pPr>
        <w:spacing w:after="120"/>
        <w:rPr>
          <w:rFonts w:ascii="Arial" w:eastAsia="Times New Roman" w:hAnsi="Arial" w:cs="Arial"/>
          <w:sz w:val="19"/>
          <w:szCs w:val="19"/>
          <w:lang w:val="en-US" w:eastAsia="en-AU"/>
        </w:rPr>
      </w:pPr>
      <w:r w:rsidRPr="00A4560C">
        <w:rPr>
          <w:rFonts w:ascii="Times New Roman" w:eastAsia="Times New Roman" w:hAnsi="Times New Roman" w:cs="Times New Roman"/>
          <w:sz w:val="24"/>
          <w:szCs w:val="24"/>
          <w:lang w:eastAsia="en-AU"/>
        </w:rPr>
        <w:t xml:space="preserve">The requirements imposed under the Determination </w:t>
      </w:r>
      <w:r w:rsidR="007C503B">
        <w:rPr>
          <w:rFonts w:ascii="Times New Roman" w:eastAsia="Times New Roman" w:hAnsi="Times New Roman" w:cs="Times New Roman"/>
          <w:sz w:val="24"/>
          <w:szCs w:val="24"/>
          <w:lang w:eastAsia="en-AU"/>
        </w:rPr>
        <w:t xml:space="preserve">are </w:t>
      </w:r>
      <w:r w:rsidRPr="00A4560C">
        <w:rPr>
          <w:rFonts w:ascii="Times New Roman" w:eastAsia="Times New Roman" w:hAnsi="Times New Roman" w:cs="Times New Roman"/>
          <w:sz w:val="24"/>
          <w:szCs w:val="24"/>
          <w:lang w:eastAsia="en-AU"/>
        </w:rPr>
        <w:t xml:space="preserve">principally </w:t>
      </w:r>
      <w:r w:rsidR="007C503B">
        <w:rPr>
          <w:rFonts w:ascii="Times New Roman" w:eastAsia="Times New Roman" w:hAnsi="Times New Roman" w:cs="Times New Roman"/>
          <w:sz w:val="24"/>
          <w:szCs w:val="24"/>
          <w:lang w:eastAsia="en-AU"/>
        </w:rPr>
        <w:t>designed to</w:t>
      </w:r>
      <w:r w:rsidRPr="00A4560C">
        <w:rPr>
          <w:rFonts w:ascii="Times New Roman" w:eastAsia="Times New Roman" w:hAnsi="Times New Roman" w:cs="Times New Roman"/>
          <w:sz w:val="24"/>
          <w:szCs w:val="24"/>
          <w:lang w:eastAsia="en-AU"/>
        </w:rPr>
        <w:t xml:space="preserve"> ensur</w:t>
      </w:r>
      <w:r w:rsidR="007C503B">
        <w:rPr>
          <w:rFonts w:ascii="Times New Roman" w:eastAsia="Times New Roman" w:hAnsi="Times New Roman" w:cs="Times New Roman"/>
          <w:sz w:val="24"/>
          <w:szCs w:val="24"/>
          <w:lang w:eastAsia="en-AU"/>
        </w:rPr>
        <w:t>e</w:t>
      </w:r>
      <w:r w:rsidRPr="00A4560C">
        <w:rPr>
          <w:rFonts w:ascii="Times New Roman" w:eastAsia="Times New Roman" w:hAnsi="Times New Roman" w:cs="Times New Roman"/>
          <w:sz w:val="24"/>
          <w:szCs w:val="24"/>
          <w:lang w:eastAsia="en-AU"/>
        </w:rPr>
        <w:t xml:space="preserve"> </w:t>
      </w:r>
      <w:r w:rsidR="007C503B">
        <w:rPr>
          <w:rFonts w:ascii="Times New Roman" w:eastAsia="Times New Roman" w:hAnsi="Times New Roman" w:cs="Times New Roman"/>
          <w:sz w:val="24"/>
          <w:szCs w:val="24"/>
          <w:lang w:eastAsia="en-AU"/>
        </w:rPr>
        <w:t xml:space="preserve">or support </w:t>
      </w:r>
      <w:r w:rsidRPr="00A4560C">
        <w:rPr>
          <w:rFonts w:ascii="Times New Roman" w:eastAsia="Times New Roman" w:hAnsi="Times New Roman" w:cs="Times New Roman"/>
          <w:sz w:val="24"/>
          <w:szCs w:val="24"/>
          <w:lang w:eastAsia="en-AU"/>
        </w:rPr>
        <w:t xml:space="preserve">the quality and safety of </w:t>
      </w:r>
      <w:r w:rsidR="007C503B">
        <w:rPr>
          <w:rFonts w:ascii="Times New Roman" w:eastAsia="Times New Roman" w:hAnsi="Times New Roman" w:cs="Times New Roman"/>
          <w:sz w:val="24"/>
          <w:szCs w:val="24"/>
          <w:lang w:eastAsia="en-AU"/>
        </w:rPr>
        <w:t xml:space="preserve">listed medicines that contain permitted </w:t>
      </w:r>
      <w:r w:rsidRPr="00A4560C">
        <w:rPr>
          <w:rFonts w:ascii="Times New Roman" w:eastAsia="Times New Roman" w:hAnsi="Times New Roman" w:cs="Times New Roman"/>
          <w:sz w:val="24"/>
          <w:szCs w:val="24"/>
          <w:lang w:eastAsia="en-AU"/>
        </w:rPr>
        <w:t>ingredient</w:t>
      </w:r>
      <w:r w:rsidR="007C503B">
        <w:rPr>
          <w:rFonts w:ascii="Times New Roman" w:eastAsia="Times New Roman" w:hAnsi="Times New Roman" w:cs="Times New Roman"/>
          <w:sz w:val="24"/>
          <w:szCs w:val="24"/>
          <w:lang w:eastAsia="en-AU"/>
        </w:rPr>
        <w:t>s</w:t>
      </w:r>
      <w:r w:rsidRPr="00A4560C">
        <w:rPr>
          <w:rFonts w:ascii="Times New Roman" w:eastAsia="Times New Roman" w:hAnsi="Times New Roman" w:cs="Times New Roman"/>
          <w:sz w:val="24"/>
          <w:szCs w:val="24"/>
          <w:lang w:eastAsia="en-AU"/>
        </w:rPr>
        <w:t xml:space="preserve">. </w:t>
      </w:r>
      <w:r w:rsidR="007C503B">
        <w:rPr>
          <w:rFonts w:ascii="Times New Roman" w:eastAsia="Times New Roman" w:hAnsi="Times New Roman" w:cs="Times New Roman"/>
          <w:sz w:val="24"/>
          <w:szCs w:val="24"/>
          <w:lang w:eastAsia="en-AU"/>
        </w:rPr>
        <w:t>The r</w:t>
      </w:r>
      <w:r w:rsidRPr="00A4560C">
        <w:rPr>
          <w:rFonts w:ascii="Times New Roman" w:eastAsia="Times New Roman" w:hAnsi="Times New Roman" w:cs="Times New Roman"/>
          <w:sz w:val="24"/>
          <w:szCs w:val="24"/>
          <w:lang w:eastAsia="en-AU"/>
        </w:rPr>
        <w:t>equirements may relate, for example</w:t>
      </w:r>
      <w:r w:rsidR="00A14C5D">
        <w:rPr>
          <w:rFonts w:ascii="Times New Roman" w:eastAsia="Times New Roman" w:hAnsi="Times New Roman" w:cs="Times New Roman"/>
          <w:sz w:val="24"/>
          <w:szCs w:val="24"/>
          <w:lang w:eastAsia="en-AU"/>
        </w:rPr>
        <w:t>, to</w:t>
      </w:r>
      <w:r w:rsidRPr="00A4560C">
        <w:rPr>
          <w:rFonts w:ascii="Times New Roman" w:eastAsia="Times New Roman" w:hAnsi="Times New Roman" w:cs="Times New Roman"/>
          <w:sz w:val="24"/>
          <w:szCs w:val="24"/>
          <w:lang w:eastAsia="en-AU"/>
        </w:rPr>
        <w:t>:</w:t>
      </w:r>
    </w:p>
    <w:p w14:paraId="1716BFC3" w14:textId="62D153A4" w:rsidR="00A4560C" w:rsidRPr="00AF44AF" w:rsidRDefault="00A4560C" w:rsidP="00B95A3B">
      <w:pPr>
        <w:pStyle w:val="ListParagraph"/>
        <w:numPr>
          <w:ilvl w:val="0"/>
          <w:numId w:val="11"/>
        </w:numPr>
        <w:spacing w:before="0" w:beforeAutospacing="0" w:after="120" w:afterAutospacing="0" w:line="276" w:lineRule="auto"/>
        <w:ind w:left="714" w:hanging="357"/>
      </w:pPr>
      <w:r w:rsidRPr="00AF44AF">
        <w:t xml:space="preserve">how </w:t>
      </w:r>
      <w:r w:rsidR="007C503B">
        <w:t>a permitted</w:t>
      </w:r>
      <w:r w:rsidRPr="00AF44AF">
        <w:t xml:space="preserve"> ingredient is to be used in the medicine, that is, as an active, homoeopathic or excipient </w:t>
      </w:r>
      <w:proofErr w:type="gramStart"/>
      <w:r w:rsidRPr="00AF44AF">
        <w:t>ingredient;</w:t>
      </w:r>
      <w:proofErr w:type="gramEnd"/>
    </w:p>
    <w:p w14:paraId="5EC76A23" w14:textId="0AA1EE28" w:rsidR="00A4560C" w:rsidRPr="00AF44AF" w:rsidRDefault="00A4560C" w:rsidP="00AF44AF">
      <w:pPr>
        <w:pStyle w:val="ListParagraph"/>
        <w:numPr>
          <w:ilvl w:val="0"/>
          <w:numId w:val="11"/>
        </w:numPr>
        <w:spacing w:before="120" w:beforeAutospacing="0" w:after="120" w:afterAutospacing="0" w:line="276" w:lineRule="auto"/>
        <w:ind w:left="714" w:hanging="357"/>
      </w:pPr>
      <w:r w:rsidRPr="00AF44AF">
        <w:t xml:space="preserve">the intended method of ingestion or application of the medicine, for example, oral or topical </w:t>
      </w:r>
      <w:proofErr w:type="gramStart"/>
      <w:r w:rsidRPr="00AF44AF">
        <w:t>use;</w:t>
      </w:r>
      <w:proofErr w:type="gramEnd"/>
    </w:p>
    <w:p w14:paraId="233FB9CD" w14:textId="2FEF7CF5" w:rsidR="00A4560C" w:rsidRPr="00AF44AF" w:rsidRDefault="00A4560C" w:rsidP="00AF44AF">
      <w:pPr>
        <w:pStyle w:val="ListParagraph"/>
        <w:numPr>
          <w:ilvl w:val="0"/>
          <w:numId w:val="11"/>
        </w:numPr>
        <w:spacing w:before="120" w:beforeAutospacing="0" w:after="120" w:afterAutospacing="0" w:line="276" w:lineRule="auto"/>
        <w:ind w:left="714" w:hanging="357"/>
      </w:pPr>
      <w:r w:rsidRPr="00AF44AF">
        <w:t xml:space="preserve">the source of the ingredient, or procedures to be followed in its </w:t>
      </w:r>
      <w:proofErr w:type="gramStart"/>
      <w:r w:rsidRPr="00AF44AF">
        <w:t>manufacture;</w:t>
      </w:r>
      <w:proofErr w:type="gramEnd"/>
    </w:p>
    <w:p w14:paraId="5EC7B554" w14:textId="4DFA7DF1" w:rsidR="00A4560C" w:rsidRPr="00AF44AF" w:rsidRDefault="00A4560C" w:rsidP="00AF44AF">
      <w:pPr>
        <w:pStyle w:val="ListParagraph"/>
        <w:numPr>
          <w:ilvl w:val="0"/>
          <w:numId w:val="11"/>
        </w:numPr>
        <w:spacing w:before="120" w:beforeAutospacing="0" w:after="120" w:afterAutospacing="0" w:line="276" w:lineRule="auto"/>
        <w:ind w:left="714" w:hanging="357"/>
      </w:pPr>
      <w:r w:rsidRPr="00AF44AF">
        <w:t>appropriate limits on the volume or concentration of an ingredient; and</w:t>
      </w:r>
    </w:p>
    <w:p w14:paraId="2FA4BD86" w14:textId="746ABECD" w:rsidR="00A4560C" w:rsidRPr="00AF44AF" w:rsidRDefault="00A4560C" w:rsidP="001A7C14">
      <w:pPr>
        <w:pStyle w:val="ListParagraph"/>
        <w:numPr>
          <w:ilvl w:val="0"/>
          <w:numId w:val="11"/>
        </w:numPr>
        <w:spacing w:before="120" w:beforeAutospacing="0" w:after="0" w:afterAutospacing="0" w:line="276" w:lineRule="auto"/>
        <w:ind w:left="714" w:hanging="357"/>
      </w:pPr>
      <w:r w:rsidRPr="00AF44AF">
        <w:t>the inclusion of relevant safety information on product labels, for example, allergen advice or advice about the use of medicine containing the ingredient for susceptible members of the population such as children and pregnant women.</w:t>
      </w:r>
    </w:p>
    <w:p w14:paraId="08E44D00" w14:textId="77777777" w:rsidR="005B70D2" w:rsidRDefault="005B70D2" w:rsidP="001A7C14">
      <w:pPr>
        <w:keepNext/>
        <w:spacing w:after="0"/>
        <w:contextualSpacing/>
        <w:rPr>
          <w:rFonts w:ascii="Times New Roman" w:eastAsia="Times New Roman" w:hAnsi="Times New Roman" w:cs="Times New Roman"/>
          <w:sz w:val="24"/>
          <w:szCs w:val="24"/>
          <w:lang w:eastAsia="en-AU"/>
        </w:rPr>
      </w:pPr>
    </w:p>
    <w:p w14:paraId="09FAE5B3" w14:textId="5C625E53" w:rsidR="00FE7242" w:rsidRDefault="006D4AB8" w:rsidP="00F51E52">
      <w:pPr>
        <w:spacing w:after="0"/>
        <w:rPr>
          <w:rFonts w:ascii="Times New Roman" w:eastAsia="Times New Roman" w:hAnsi="Times New Roman" w:cs="Times New Roman"/>
          <w:sz w:val="24"/>
          <w:szCs w:val="24"/>
          <w:lang w:eastAsia="en-AU"/>
        </w:rPr>
      </w:pPr>
      <w:bookmarkStart w:id="1" w:name="_Hlk120027902"/>
      <w:r w:rsidRPr="002000F0">
        <w:rPr>
          <w:rFonts w:ascii="Times New Roman" w:eastAsia="Times New Roman" w:hAnsi="Times New Roman" w:cs="Times New Roman"/>
          <w:sz w:val="24"/>
          <w:szCs w:val="24"/>
          <w:lang w:eastAsia="en-AU"/>
        </w:rPr>
        <w:t xml:space="preserve">The Determination incorporates </w:t>
      </w:r>
      <w:proofErr w:type="gramStart"/>
      <w:r w:rsidRPr="002000F0">
        <w:rPr>
          <w:rFonts w:ascii="Times New Roman" w:eastAsia="Times New Roman" w:hAnsi="Times New Roman" w:cs="Times New Roman"/>
          <w:sz w:val="24"/>
          <w:szCs w:val="24"/>
          <w:lang w:eastAsia="en-AU"/>
        </w:rPr>
        <w:t>a number of</w:t>
      </w:r>
      <w:proofErr w:type="gramEnd"/>
      <w:r w:rsidRPr="002000F0">
        <w:rPr>
          <w:rFonts w:ascii="Times New Roman" w:eastAsia="Times New Roman" w:hAnsi="Times New Roman" w:cs="Times New Roman"/>
          <w:sz w:val="24"/>
          <w:szCs w:val="24"/>
          <w:lang w:eastAsia="en-AU"/>
        </w:rPr>
        <w:t xml:space="preserve"> changes in comparison to the former Determination, including in particular:</w:t>
      </w:r>
    </w:p>
    <w:p w14:paraId="3D46039C" w14:textId="48651A54" w:rsidR="00E702D7" w:rsidRPr="00E702D7" w:rsidRDefault="00E702D7" w:rsidP="00EB698D">
      <w:pPr>
        <w:pStyle w:val="ListParagraph"/>
        <w:numPr>
          <w:ilvl w:val="0"/>
          <w:numId w:val="11"/>
        </w:numPr>
        <w:spacing w:before="0" w:beforeAutospacing="0" w:after="120" w:afterAutospacing="0" w:line="276" w:lineRule="auto"/>
        <w:ind w:left="714" w:hanging="357"/>
        <w:contextualSpacing/>
      </w:pPr>
      <w:r>
        <w:t xml:space="preserve">the addition of </w:t>
      </w:r>
      <w:r>
        <w:rPr>
          <w:lang w:eastAsia="en-US"/>
        </w:rPr>
        <w:t>the</w:t>
      </w:r>
      <w:r>
        <w:t xml:space="preserve"> ingredient</w:t>
      </w:r>
      <w:r w:rsidR="00BD6E24">
        <w:t>,</w:t>
      </w:r>
      <w:r>
        <w:t xml:space="preserve"> ‘</w:t>
      </w:r>
      <w:proofErr w:type="spellStart"/>
      <w:proofErr w:type="gramStart"/>
      <w:r w:rsidRPr="00FA3AC0">
        <w:rPr>
          <w:rFonts w:cs="Calibri"/>
          <w:bCs/>
        </w:rPr>
        <w:t>galactooligosaccharides</w:t>
      </w:r>
      <w:proofErr w:type="spellEnd"/>
      <w:r>
        <w:rPr>
          <w:rFonts w:cs="Calibri"/>
          <w:bCs/>
        </w:rPr>
        <w:t>’</w:t>
      </w:r>
      <w:r w:rsidR="00BD6E24">
        <w:rPr>
          <w:rFonts w:cs="Calibri"/>
          <w:bCs/>
        </w:rPr>
        <w:t>;</w:t>
      </w:r>
      <w:proofErr w:type="gramEnd"/>
    </w:p>
    <w:p w14:paraId="7F85C68D" w14:textId="4FC9D142" w:rsidR="00E702D7" w:rsidRDefault="00E702D7" w:rsidP="00EB698D">
      <w:pPr>
        <w:pStyle w:val="ListParagraph"/>
        <w:numPr>
          <w:ilvl w:val="0"/>
          <w:numId w:val="11"/>
        </w:numPr>
        <w:spacing w:before="0" w:beforeAutospacing="0" w:after="120" w:afterAutospacing="0" w:line="276" w:lineRule="auto"/>
        <w:ind w:left="714" w:hanging="357"/>
        <w:contextualSpacing/>
      </w:pPr>
      <w:r>
        <w:t xml:space="preserve">the </w:t>
      </w:r>
      <w:r>
        <w:rPr>
          <w:lang w:eastAsia="en-US"/>
        </w:rPr>
        <w:t>addition</w:t>
      </w:r>
      <w:r>
        <w:t xml:space="preserve"> of the following </w:t>
      </w:r>
      <w:r w:rsidR="00BD6E24">
        <w:t>two</w:t>
      </w:r>
      <w:r>
        <w:t xml:space="preserve"> ingredients for use in flavour and fragrance proprietary excipient formulations:</w:t>
      </w:r>
    </w:p>
    <w:p w14:paraId="61E4524D" w14:textId="42B653C3" w:rsidR="00E702D7" w:rsidRPr="0033063C" w:rsidRDefault="00E702D7" w:rsidP="00E702D7">
      <w:pPr>
        <w:pStyle w:val="ListParagraph"/>
        <w:numPr>
          <w:ilvl w:val="1"/>
          <w:numId w:val="11"/>
        </w:numPr>
        <w:spacing w:before="0" w:beforeAutospacing="0" w:after="120" w:afterAutospacing="0" w:line="276" w:lineRule="auto"/>
        <w:contextualSpacing/>
      </w:pPr>
      <w:r w:rsidRPr="00FA3AC0">
        <w:t>disodium pyrophosphate</w:t>
      </w:r>
      <w:r w:rsidRPr="0033063C">
        <w:t>; and</w:t>
      </w:r>
    </w:p>
    <w:p w14:paraId="60D1A10F" w14:textId="55E9C722" w:rsidR="00E702D7" w:rsidRPr="0033063C" w:rsidRDefault="00E702D7" w:rsidP="00E702D7">
      <w:pPr>
        <w:pStyle w:val="ListParagraph"/>
        <w:numPr>
          <w:ilvl w:val="1"/>
          <w:numId w:val="11"/>
        </w:numPr>
        <w:spacing w:before="0" w:beforeAutospacing="0" w:after="120" w:afterAutospacing="0" w:line="276" w:lineRule="auto"/>
        <w:contextualSpacing/>
      </w:pPr>
      <w:r w:rsidRPr="00FA3AC0">
        <w:t>N-(2-(pyridin-2-</w:t>
      </w:r>
      <w:proofErr w:type="gramStart"/>
      <w:r w:rsidRPr="00FA3AC0">
        <w:t>yl)ethyl</w:t>
      </w:r>
      <w:proofErr w:type="gramEnd"/>
      <w:r w:rsidRPr="00FA3AC0">
        <w:t>)-p-menthane-3-carboxamide</w:t>
      </w:r>
      <w:r w:rsidRPr="0033063C">
        <w:t>;</w:t>
      </w:r>
    </w:p>
    <w:p w14:paraId="1C477BD8" w14:textId="6C8CB9EB" w:rsidR="00D61505" w:rsidRDefault="00EC33CC" w:rsidP="004F3C94">
      <w:pPr>
        <w:pStyle w:val="ListParagraph"/>
        <w:numPr>
          <w:ilvl w:val="0"/>
          <w:numId w:val="11"/>
        </w:numPr>
        <w:spacing w:before="0" w:beforeAutospacing="0" w:after="120" w:afterAutospacing="0" w:line="276" w:lineRule="auto"/>
        <w:ind w:left="714" w:hanging="357"/>
        <w:contextualSpacing/>
      </w:pPr>
      <w:r>
        <w:rPr>
          <w:lang w:eastAsia="en-US"/>
        </w:rPr>
        <w:t xml:space="preserve">an </w:t>
      </w:r>
      <w:r w:rsidR="00D61505">
        <w:rPr>
          <w:lang w:eastAsia="en-US"/>
        </w:rPr>
        <w:t>updat</w:t>
      </w:r>
      <w:r>
        <w:rPr>
          <w:lang w:eastAsia="en-US"/>
        </w:rPr>
        <w:t>e to</w:t>
      </w:r>
      <w:r w:rsidR="00D61505">
        <w:t xml:space="preserve"> the ingredient name</w:t>
      </w:r>
      <w:r w:rsidR="00BD6E24">
        <w:t>,</w:t>
      </w:r>
      <w:r w:rsidR="00D61505">
        <w:t xml:space="preserve"> </w:t>
      </w:r>
      <w:r w:rsidR="00D61505" w:rsidRPr="0033063C">
        <w:t>‘</w:t>
      </w:r>
      <w:bookmarkStart w:id="2" w:name="_Hlk129954061"/>
      <w:r w:rsidR="00D61505" w:rsidRPr="00FA3AC0">
        <w:t>mecobalamin (co-</w:t>
      </w:r>
      <w:proofErr w:type="spellStart"/>
      <w:r w:rsidR="00D61505" w:rsidRPr="00FA3AC0">
        <w:t>methylcobalamin</w:t>
      </w:r>
      <w:proofErr w:type="spellEnd"/>
      <w:r w:rsidR="00D61505" w:rsidRPr="00FA3AC0">
        <w:t>)</w:t>
      </w:r>
      <w:bookmarkEnd w:id="2"/>
      <w:r w:rsidR="00D61505" w:rsidRPr="0033063C">
        <w:t>’</w:t>
      </w:r>
      <w:r w:rsidR="00BD6E24" w:rsidRPr="0033063C">
        <w:t>,</w:t>
      </w:r>
      <w:r w:rsidR="00D61505" w:rsidRPr="0033063C">
        <w:t xml:space="preserve"> to the sole ingredient name</w:t>
      </w:r>
      <w:r w:rsidR="00BD6E24" w:rsidRPr="0033063C">
        <w:t>,</w:t>
      </w:r>
      <w:r w:rsidR="00D61505" w:rsidRPr="0033063C">
        <w:t xml:space="preserve"> ‘</w:t>
      </w:r>
      <w:r w:rsidR="00D61505" w:rsidRPr="00FA3AC0">
        <w:t>mecobalamin</w:t>
      </w:r>
      <w:r w:rsidR="00D61505">
        <w:t>’</w:t>
      </w:r>
      <w:r w:rsidR="004F3C94">
        <w:t>, to reflect the end of</w:t>
      </w:r>
      <w:r w:rsidR="00D61505">
        <w:t xml:space="preserve"> the </w:t>
      </w:r>
      <w:r w:rsidR="00BE7DE2" w:rsidRPr="00BE7DE2">
        <w:rPr>
          <w:lang w:eastAsia="en-US"/>
        </w:rPr>
        <w:t xml:space="preserve">International </w:t>
      </w:r>
      <w:r w:rsidR="00BE7DE2">
        <w:rPr>
          <w:lang w:eastAsia="en-US"/>
        </w:rPr>
        <w:t>H</w:t>
      </w:r>
      <w:r w:rsidR="00BE7DE2" w:rsidRPr="00BE7DE2">
        <w:rPr>
          <w:lang w:eastAsia="en-US"/>
        </w:rPr>
        <w:t xml:space="preserve">armonisation of </w:t>
      </w:r>
      <w:r w:rsidR="00BE7DE2">
        <w:rPr>
          <w:lang w:eastAsia="en-US"/>
        </w:rPr>
        <w:t>I</w:t>
      </w:r>
      <w:r w:rsidR="00BE7DE2" w:rsidRPr="00BE7DE2">
        <w:rPr>
          <w:lang w:eastAsia="en-US"/>
        </w:rPr>
        <w:t xml:space="preserve">ngredient </w:t>
      </w:r>
      <w:r w:rsidR="00BE7DE2">
        <w:rPr>
          <w:lang w:eastAsia="en-US"/>
        </w:rPr>
        <w:t>N</w:t>
      </w:r>
      <w:r w:rsidR="00BE7DE2" w:rsidRPr="00BE7DE2">
        <w:rPr>
          <w:lang w:eastAsia="en-US"/>
        </w:rPr>
        <w:t>ames (</w:t>
      </w:r>
      <w:r w:rsidR="0009675B">
        <w:rPr>
          <w:lang w:eastAsia="en-US"/>
        </w:rPr>
        <w:t>“</w:t>
      </w:r>
      <w:r w:rsidR="00BE7DE2" w:rsidRPr="00BE7DE2">
        <w:rPr>
          <w:lang w:eastAsia="en-US"/>
        </w:rPr>
        <w:t>IHIN</w:t>
      </w:r>
      <w:r w:rsidR="0009675B">
        <w:rPr>
          <w:lang w:eastAsia="en-US"/>
        </w:rPr>
        <w:t>”</w:t>
      </w:r>
      <w:r w:rsidR="00BE7DE2" w:rsidRPr="00BE7DE2">
        <w:rPr>
          <w:lang w:eastAsia="en-US"/>
        </w:rPr>
        <w:t>)</w:t>
      </w:r>
      <w:r w:rsidR="00D61505">
        <w:t xml:space="preserve"> dual labelling period requirements for this ingredient on 30 April </w:t>
      </w:r>
      <w:proofErr w:type="gramStart"/>
      <w:r w:rsidR="00D61505">
        <w:t>2023;</w:t>
      </w:r>
      <w:proofErr w:type="gramEnd"/>
    </w:p>
    <w:p w14:paraId="00BDE5E8" w14:textId="6C6B02FA" w:rsidR="00D61505" w:rsidRPr="00D75AA4" w:rsidRDefault="00D61505" w:rsidP="00FD59BC">
      <w:pPr>
        <w:pStyle w:val="ListParagraph"/>
        <w:numPr>
          <w:ilvl w:val="0"/>
          <w:numId w:val="11"/>
        </w:numPr>
        <w:spacing w:before="0" w:beforeAutospacing="0" w:after="120" w:afterAutospacing="0" w:line="276" w:lineRule="auto"/>
        <w:ind w:left="714" w:hanging="357"/>
        <w:contextualSpacing/>
      </w:pPr>
      <w:r>
        <w:rPr>
          <w:lang w:eastAsia="en-US"/>
        </w:rPr>
        <w:t>u</w:t>
      </w:r>
      <w:r w:rsidRPr="00D75AA4">
        <w:rPr>
          <w:lang w:eastAsia="en-US"/>
        </w:rPr>
        <w:t>pdat</w:t>
      </w:r>
      <w:r w:rsidR="004F3C94">
        <w:rPr>
          <w:lang w:eastAsia="en-US"/>
        </w:rPr>
        <w:t>es to</w:t>
      </w:r>
      <w:r w:rsidRPr="00D75AA4">
        <w:t xml:space="preserve"> the </w:t>
      </w:r>
      <w:r>
        <w:t>Approved Herbal Names</w:t>
      </w:r>
      <w:r w:rsidRPr="00D75AA4">
        <w:t xml:space="preserve"> </w:t>
      </w:r>
      <w:r w:rsidR="00BD6E24">
        <w:t>(</w:t>
      </w:r>
      <w:r w:rsidR="0009675B">
        <w:t>“</w:t>
      </w:r>
      <w:r w:rsidR="00BD6E24">
        <w:t>AHN</w:t>
      </w:r>
      <w:r w:rsidR="0009675B">
        <w:t>”</w:t>
      </w:r>
      <w:r w:rsidR="00BD6E24">
        <w:t xml:space="preserve">) </w:t>
      </w:r>
      <w:r>
        <w:t xml:space="preserve">of </w:t>
      </w:r>
      <w:r w:rsidR="00BD6E24">
        <w:t xml:space="preserve">seven </w:t>
      </w:r>
      <w:r>
        <w:t xml:space="preserve">ingredients </w:t>
      </w:r>
      <w:r w:rsidRPr="00D75AA4">
        <w:t>to the current taxonomically accepted name</w:t>
      </w:r>
      <w:r w:rsidR="004F3C94">
        <w:t xml:space="preserve">s for those </w:t>
      </w:r>
      <w:proofErr w:type="gramStart"/>
      <w:r w:rsidR="004F3C94">
        <w:t>ingredients</w:t>
      </w:r>
      <w:r>
        <w:t>;</w:t>
      </w:r>
      <w:proofErr w:type="gramEnd"/>
    </w:p>
    <w:p w14:paraId="13D05264" w14:textId="478BA44D" w:rsidR="00C018B9" w:rsidRDefault="00D61505" w:rsidP="00FD59BC">
      <w:pPr>
        <w:pStyle w:val="ListParagraph"/>
        <w:numPr>
          <w:ilvl w:val="0"/>
          <w:numId w:val="11"/>
        </w:numPr>
        <w:spacing w:before="0" w:beforeAutospacing="0" w:after="120" w:afterAutospacing="0" w:line="276" w:lineRule="auto"/>
        <w:ind w:left="714" w:hanging="357"/>
        <w:contextualSpacing/>
      </w:pPr>
      <w:r w:rsidRPr="00D61505">
        <w:rPr>
          <w:lang w:eastAsia="en-US"/>
        </w:rPr>
        <w:t>updates</w:t>
      </w:r>
      <w:r w:rsidRPr="00D61505">
        <w:t xml:space="preserve"> to applicable requirements for </w:t>
      </w:r>
      <w:r w:rsidRPr="00FA3AC0">
        <w:t>2’-fucosyllactose</w:t>
      </w:r>
      <w:r w:rsidR="004F3C94">
        <w:t>, namely to</w:t>
      </w:r>
      <w:r w:rsidR="00C018B9">
        <w:t>:</w:t>
      </w:r>
    </w:p>
    <w:p w14:paraId="6FF16538" w14:textId="5B9930F9" w:rsidR="00C018B9" w:rsidRDefault="004F3C94" w:rsidP="00C018B9">
      <w:pPr>
        <w:pStyle w:val="ListParagraph"/>
        <w:numPr>
          <w:ilvl w:val="1"/>
          <w:numId w:val="11"/>
        </w:numPr>
        <w:spacing w:before="0" w:beforeAutospacing="0" w:after="120" w:afterAutospacing="0" w:line="276" w:lineRule="auto"/>
        <w:contextualSpacing/>
      </w:pPr>
      <w:r>
        <w:t>remove</w:t>
      </w:r>
      <w:r w:rsidR="00C018B9" w:rsidRPr="00D61505">
        <w:t xml:space="preserve"> requirements to reflect the expiry of the period of exclusive use for the relevant </w:t>
      </w:r>
      <w:proofErr w:type="gramStart"/>
      <w:r w:rsidR="00C018B9" w:rsidRPr="00D61505">
        <w:t>sponsor</w:t>
      </w:r>
      <w:r w:rsidR="00C018B9">
        <w:t>;</w:t>
      </w:r>
      <w:proofErr w:type="gramEnd"/>
    </w:p>
    <w:p w14:paraId="0A545925" w14:textId="1EF8A6E3" w:rsidR="00B10F91" w:rsidRDefault="00D61505" w:rsidP="00C018B9">
      <w:pPr>
        <w:pStyle w:val="ListParagraph"/>
        <w:numPr>
          <w:ilvl w:val="1"/>
          <w:numId w:val="11"/>
        </w:numPr>
        <w:spacing w:before="0" w:beforeAutospacing="0" w:after="120" w:afterAutospacing="0" w:line="276" w:lineRule="auto"/>
        <w:contextualSpacing/>
      </w:pPr>
      <w:r w:rsidRPr="00D61505">
        <w:t xml:space="preserve">allow for its use in children aged 1 month and older, and amending the permitted maximum daily doses, following an application that was made to the Secretary for this </w:t>
      </w:r>
      <w:proofErr w:type="gramStart"/>
      <w:r w:rsidRPr="00D61505">
        <w:t>variation</w:t>
      </w:r>
      <w:r w:rsidR="00282A01">
        <w:t>;</w:t>
      </w:r>
      <w:proofErr w:type="gramEnd"/>
    </w:p>
    <w:p w14:paraId="60D322A9" w14:textId="4427118E" w:rsidR="00C93D58" w:rsidRPr="00D61505" w:rsidRDefault="00D61505" w:rsidP="008A7F19">
      <w:pPr>
        <w:pStyle w:val="ListParagraph"/>
        <w:numPr>
          <w:ilvl w:val="1"/>
          <w:numId w:val="11"/>
        </w:numPr>
        <w:spacing w:before="0" w:beforeAutospacing="0" w:after="120" w:afterAutospacing="0" w:line="276" w:lineRule="auto"/>
        <w:contextualSpacing/>
      </w:pPr>
      <w:r w:rsidRPr="00D61505">
        <w:t xml:space="preserve">include a warning statement that the product should not be consumed on the same day as breastmilk or other products containing </w:t>
      </w:r>
      <w:r w:rsidRPr="0033063C">
        <w:t>2’-</w:t>
      </w:r>
      <w:proofErr w:type="gramStart"/>
      <w:r w:rsidRPr="0033063C">
        <w:t>fucosyllactose</w:t>
      </w:r>
      <w:r w:rsidRPr="00D61505">
        <w:t>;</w:t>
      </w:r>
      <w:proofErr w:type="gramEnd"/>
    </w:p>
    <w:p w14:paraId="6F4813B5" w14:textId="093139B7" w:rsidR="00D61505" w:rsidRPr="00D61505" w:rsidRDefault="00D61505" w:rsidP="00FD59BC">
      <w:pPr>
        <w:pStyle w:val="ListParagraph"/>
        <w:numPr>
          <w:ilvl w:val="0"/>
          <w:numId w:val="11"/>
        </w:numPr>
        <w:spacing w:before="0" w:beforeAutospacing="0" w:after="120" w:afterAutospacing="0" w:line="276" w:lineRule="auto"/>
        <w:ind w:left="714" w:hanging="357"/>
        <w:contextualSpacing/>
      </w:pPr>
      <w:r w:rsidRPr="00D61505">
        <w:t xml:space="preserve">minor clarifications and correction of minor typographical errors for the purpose of improving the internal consistency of the Determination, including clarification of the requirements for </w:t>
      </w:r>
      <w:proofErr w:type="spellStart"/>
      <w:r w:rsidRPr="00FA3AC0">
        <w:t>lacto</w:t>
      </w:r>
      <w:proofErr w:type="spellEnd"/>
      <w:r w:rsidRPr="00FA3AC0">
        <w:t>-N-</w:t>
      </w:r>
      <w:proofErr w:type="spellStart"/>
      <w:r w:rsidRPr="00FA3AC0">
        <w:t>tetraose</w:t>
      </w:r>
      <w:proofErr w:type="spellEnd"/>
      <w:r w:rsidRPr="00D61505">
        <w:t xml:space="preserve"> regarding the applicable age groups for the required warning statements</w:t>
      </w:r>
      <w:r w:rsidR="00955863">
        <w:t xml:space="preserve"> for this </w:t>
      </w:r>
      <w:proofErr w:type="gramStart"/>
      <w:r w:rsidR="00955863">
        <w:t>ingredient</w:t>
      </w:r>
      <w:r w:rsidRPr="00D61505">
        <w:t>;</w:t>
      </w:r>
      <w:proofErr w:type="gramEnd"/>
    </w:p>
    <w:p w14:paraId="3A64E8EB" w14:textId="29D94C2E" w:rsidR="00D61505" w:rsidRPr="00D61505" w:rsidRDefault="00D61505" w:rsidP="00FD59BC">
      <w:pPr>
        <w:pStyle w:val="ListParagraph"/>
        <w:numPr>
          <w:ilvl w:val="0"/>
          <w:numId w:val="11"/>
        </w:numPr>
        <w:spacing w:before="0" w:beforeAutospacing="0" w:after="120" w:afterAutospacing="0" w:line="276" w:lineRule="auto"/>
        <w:ind w:left="714" w:hanging="357"/>
        <w:contextualSpacing/>
      </w:pPr>
      <w:r w:rsidRPr="00D61505">
        <w:rPr>
          <w:lang w:eastAsia="en-US"/>
        </w:rPr>
        <w:t>updates</w:t>
      </w:r>
      <w:r w:rsidRPr="00D61505">
        <w:t xml:space="preserve"> to applicable requirements for </w:t>
      </w:r>
      <w:r w:rsidRPr="00FA3AC0">
        <w:t>caffeine</w:t>
      </w:r>
      <w:r w:rsidRPr="0033063C">
        <w:t xml:space="preserve"> </w:t>
      </w:r>
      <w:r w:rsidRPr="00D61505">
        <w:t xml:space="preserve">to allow for its use as an active ingredient for topical administration following identification that this use </w:t>
      </w:r>
      <w:r w:rsidR="00955863">
        <w:t>has been</w:t>
      </w:r>
      <w:r w:rsidRPr="00D61505">
        <w:t xml:space="preserve"> inadvertently removed</w:t>
      </w:r>
      <w:r>
        <w:t>; and</w:t>
      </w:r>
    </w:p>
    <w:p w14:paraId="048950E7" w14:textId="4DC4DDCD" w:rsidR="00E702D7" w:rsidRDefault="00D61505" w:rsidP="00BB1FCB">
      <w:pPr>
        <w:pStyle w:val="ListParagraph"/>
        <w:numPr>
          <w:ilvl w:val="0"/>
          <w:numId w:val="11"/>
        </w:numPr>
        <w:spacing w:before="0" w:beforeAutospacing="0" w:after="0" w:afterAutospacing="0" w:line="276" w:lineRule="auto"/>
        <w:ind w:left="714" w:hanging="357"/>
      </w:pPr>
      <w:r>
        <w:rPr>
          <w:lang w:eastAsia="en-US"/>
        </w:rPr>
        <w:t>t</w:t>
      </w:r>
      <w:r w:rsidRPr="00C31453">
        <w:rPr>
          <w:lang w:eastAsia="en-US"/>
        </w:rPr>
        <w:t>he re</w:t>
      </w:r>
      <w:r>
        <w:rPr>
          <w:lang w:eastAsia="en-US"/>
        </w:rPr>
        <w:t xml:space="preserve">moval of </w:t>
      </w:r>
      <w:proofErr w:type="gramStart"/>
      <w:r w:rsidR="00BD6E24">
        <w:rPr>
          <w:lang w:eastAsia="en-US"/>
        </w:rPr>
        <w:t>twenty</w:t>
      </w:r>
      <w:r w:rsidR="0033063C">
        <w:rPr>
          <w:lang w:eastAsia="en-US"/>
        </w:rPr>
        <w:t xml:space="preserve"> </w:t>
      </w:r>
      <w:r w:rsidR="00FA3AC0">
        <w:rPr>
          <w:lang w:eastAsia="en-US"/>
        </w:rPr>
        <w:t>five</w:t>
      </w:r>
      <w:proofErr w:type="gramEnd"/>
      <w:r w:rsidR="00FA3AC0">
        <w:rPr>
          <w:lang w:eastAsia="en-US"/>
        </w:rPr>
        <w:t xml:space="preserve"> ingredients</w:t>
      </w:r>
      <w:r>
        <w:rPr>
          <w:lang w:eastAsia="en-US"/>
        </w:rPr>
        <w:t xml:space="preserve"> in </w:t>
      </w:r>
      <w:r w:rsidRPr="000D4287">
        <w:t xml:space="preserve">the </w:t>
      </w:r>
      <w:r w:rsidRPr="000D4287">
        <w:rPr>
          <w:lang w:eastAsia="en-US"/>
        </w:rPr>
        <w:t>Approved</w:t>
      </w:r>
      <w:r w:rsidRPr="000D4287">
        <w:t xml:space="preserve"> Food Name (</w:t>
      </w:r>
      <w:r w:rsidR="0009675B">
        <w:t>“</w:t>
      </w:r>
      <w:r w:rsidRPr="000D4287">
        <w:t>AFN</w:t>
      </w:r>
      <w:r w:rsidR="0009675B">
        <w:t>”</w:t>
      </w:r>
      <w:r w:rsidRPr="000D4287">
        <w:t xml:space="preserve">) category </w:t>
      </w:r>
      <w:r>
        <w:t>that are</w:t>
      </w:r>
      <w:r w:rsidRPr="000D4287">
        <w:t xml:space="preserve"> not in use in </w:t>
      </w:r>
      <w:r>
        <w:t xml:space="preserve">any listed medicine </w:t>
      </w:r>
      <w:r w:rsidRPr="000D4287">
        <w:t>products</w:t>
      </w:r>
      <w:r w:rsidR="00955863">
        <w:t xml:space="preserve"> in Australia</w:t>
      </w:r>
      <w:r>
        <w:t>, and which remain available for use in listed medicines under synonyms or</w:t>
      </w:r>
      <w:r w:rsidRPr="000D4287">
        <w:t xml:space="preserve"> alternative</w:t>
      </w:r>
      <w:r>
        <w:t xml:space="preserve"> names</w:t>
      </w:r>
      <w:r w:rsidRPr="000D4287">
        <w:t>.</w:t>
      </w:r>
    </w:p>
    <w:p w14:paraId="6B4EC80E" w14:textId="12417CC7" w:rsidR="00BE7DE2" w:rsidRDefault="00BE7DE2" w:rsidP="00BE7DE2">
      <w:pPr>
        <w:spacing w:after="0"/>
      </w:pPr>
    </w:p>
    <w:bookmarkEnd w:id="0"/>
    <w:bookmarkEnd w:id="1"/>
    <w:p w14:paraId="586E85BD" w14:textId="46E915F5" w:rsidR="004F3C94" w:rsidRDefault="00EF1F18" w:rsidP="00D30349">
      <w:pPr>
        <w:autoSpaceDE w:val="0"/>
        <w:autoSpaceDN w:val="0"/>
        <w:adjustRightInd w:val="0"/>
        <w:spacing w:after="0"/>
        <w:rPr>
          <w:rFonts w:ascii="Times New Roman" w:hAnsi="Times New Roman" w:cs="Times New Roman"/>
          <w:sz w:val="24"/>
          <w:szCs w:val="24"/>
        </w:rPr>
      </w:pPr>
      <w:r w:rsidRPr="0026650C">
        <w:rPr>
          <w:rFonts w:ascii="Times New Roman" w:eastAsia="Times New Roman" w:hAnsi="Times New Roman" w:cs="Times New Roman"/>
          <w:b/>
          <w:bCs/>
          <w:sz w:val="24"/>
          <w:szCs w:val="24"/>
          <w:lang w:eastAsia="en-AU"/>
        </w:rPr>
        <w:t>C</w:t>
      </w:r>
      <w:r w:rsidR="00E1152E" w:rsidRPr="0026650C">
        <w:rPr>
          <w:rFonts w:ascii="Times New Roman" w:eastAsia="Times New Roman" w:hAnsi="Times New Roman" w:cs="Times New Roman"/>
          <w:b/>
          <w:bCs/>
          <w:sz w:val="24"/>
          <w:szCs w:val="24"/>
          <w:lang w:eastAsia="en-AU"/>
        </w:rPr>
        <w:t>onsultation</w:t>
      </w:r>
    </w:p>
    <w:p w14:paraId="7CC02CF9" w14:textId="3F478E02" w:rsidR="00BB1FCB" w:rsidRPr="00FD59BC" w:rsidRDefault="00D61505" w:rsidP="00D30349">
      <w:pPr>
        <w:spacing w:before="120" w:after="120"/>
        <w:rPr>
          <w:rFonts w:ascii="Times New Roman" w:hAnsi="Times New Roman" w:cs="Times New Roman"/>
          <w:sz w:val="24"/>
          <w:szCs w:val="24"/>
        </w:rPr>
      </w:pPr>
      <w:r w:rsidRPr="00FD59BC">
        <w:rPr>
          <w:rFonts w:ascii="Times New Roman" w:hAnsi="Times New Roman" w:cs="Times New Roman"/>
          <w:sz w:val="24"/>
          <w:szCs w:val="24"/>
        </w:rPr>
        <w:t>Between</w:t>
      </w:r>
      <w:r w:rsidRPr="00FD59BC">
        <w:rPr>
          <w:rFonts w:ascii="Times New Roman" w:eastAsia="Times New Roman" w:hAnsi="Times New Roman" w:cs="Times New Roman"/>
          <w:sz w:val="24"/>
          <w:szCs w:val="24"/>
          <w:lang w:eastAsia="en-AU"/>
        </w:rPr>
        <w:t xml:space="preserve"> December 2021 and February 2023, the TGA engaged directly with the applicant who applied for the approval of the ingredient</w:t>
      </w:r>
      <w:r w:rsidR="00A860B9">
        <w:rPr>
          <w:rFonts w:ascii="Times New Roman" w:eastAsia="Times New Roman" w:hAnsi="Times New Roman" w:cs="Times New Roman"/>
          <w:sz w:val="24"/>
          <w:szCs w:val="24"/>
          <w:lang w:eastAsia="en-AU"/>
        </w:rPr>
        <w:t>,</w:t>
      </w:r>
      <w:r w:rsidRPr="00FD59BC">
        <w:rPr>
          <w:rFonts w:ascii="Times New Roman" w:eastAsia="Times New Roman" w:hAnsi="Times New Roman" w:cs="Times New Roman"/>
          <w:sz w:val="24"/>
          <w:szCs w:val="24"/>
          <w:lang w:eastAsia="en-AU"/>
        </w:rPr>
        <w:t xml:space="preserve"> </w:t>
      </w:r>
      <w:proofErr w:type="spellStart"/>
      <w:r w:rsidRPr="0033063C">
        <w:rPr>
          <w:rFonts w:ascii="Times New Roman" w:hAnsi="Times New Roman" w:cs="Times New Roman"/>
          <w:sz w:val="24"/>
          <w:szCs w:val="24"/>
        </w:rPr>
        <w:t>galactooligosaccharides</w:t>
      </w:r>
      <w:proofErr w:type="spellEnd"/>
      <w:r w:rsidRPr="0033063C">
        <w:rPr>
          <w:rFonts w:ascii="Times New Roman" w:eastAsia="Times New Roman" w:hAnsi="Times New Roman" w:cs="Times New Roman"/>
          <w:sz w:val="24"/>
          <w:szCs w:val="24"/>
          <w:lang w:eastAsia="en-AU"/>
        </w:rPr>
        <w:t>,</w:t>
      </w:r>
      <w:r w:rsidRPr="00FD59BC">
        <w:rPr>
          <w:rFonts w:ascii="Times New Roman" w:eastAsia="Times New Roman" w:hAnsi="Times New Roman" w:cs="Times New Roman"/>
          <w:sz w:val="24"/>
          <w:szCs w:val="24"/>
          <w:lang w:eastAsia="en-AU"/>
        </w:rPr>
        <w:t xml:space="preserve"> in connection with the application.</w:t>
      </w:r>
    </w:p>
    <w:p w14:paraId="471965E7" w14:textId="3F760734" w:rsidR="00D61505" w:rsidRPr="00FD59BC" w:rsidRDefault="00CB0E7A" w:rsidP="00D61505">
      <w:pPr>
        <w:rPr>
          <w:rFonts w:ascii="Times New Roman" w:hAnsi="Times New Roman" w:cs="Times New Roman"/>
          <w:sz w:val="24"/>
          <w:szCs w:val="24"/>
        </w:rPr>
      </w:pPr>
      <w:r>
        <w:rPr>
          <w:rFonts w:ascii="Times New Roman" w:hAnsi="Times New Roman" w:cs="Times New Roman"/>
          <w:sz w:val="24"/>
          <w:szCs w:val="24"/>
        </w:rPr>
        <w:t>The International Harmonisation of Ingredient Names seeks to harmonise ingredient names</w:t>
      </w:r>
      <w:r w:rsidR="00F454BE">
        <w:rPr>
          <w:rFonts w:ascii="Times New Roman" w:hAnsi="Times New Roman" w:cs="Times New Roman"/>
          <w:sz w:val="24"/>
          <w:szCs w:val="24"/>
        </w:rPr>
        <w:t xml:space="preserve"> </w:t>
      </w:r>
      <w:r w:rsidR="006252CE">
        <w:rPr>
          <w:rFonts w:ascii="Times New Roman" w:hAnsi="Times New Roman" w:cs="Times New Roman"/>
          <w:sz w:val="24"/>
          <w:szCs w:val="24"/>
        </w:rPr>
        <w:t xml:space="preserve">used in Australia </w:t>
      </w:r>
      <w:r w:rsidR="00F454BE">
        <w:rPr>
          <w:rFonts w:ascii="Times New Roman" w:hAnsi="Times New Roman" w:cs="Times New Roman"/>
          <w:sz w:val="24"/>
          <w:szCs w:val="24"/>
        </w:rPr>
        <w:t xml:space="preserve">with names used internationally </w:t>
      </w:r>
      <w:r>
        <w:rPr>
          <w:rFonts w:ascii="Times New Roman" w:hAnsi="Times New Roman" w:cs="Times New Roman"/>
          <w:sz w:val="24"/>
          <w:szCs w:val="24"/>
        </w:rPr>
        <w:t>by ending the requirement for dual labelling</w:t>
      </w:r>
      <w:r w:rsidR="00F454BE">
        <w:rPr>
          <w:rFonts w:ascii="Times New Roman" w:hAnsi="Times New Roman" w:cs="Times New Roman"/>
          <w:sz w:val="24"/>
          <w:szCs w:val="24"/>
        </w:rPr>
        <w:t xml:space="preserve"> of some ingredients, including for mecobalamin,</w:t>
      </w:r>
      <w:r>
        <w:rPr>
          <w:rFonts w:ascii="Times New Roman" w:hAnsi="Times New Roman" w:cs="Times New Roman"/>
          <w:sz w:val="24"/>
          <w:szCs w:val="24"/>
        </w:rPr>
        <w:t xml:space="preserve"> from 1 May 2023. For further details, please see</w:t>
      </w:r>
      <w:r w:rsidRPr="00A22EF9">
        <w:t xml:space="preserve"> </w:t>
      </w:r>
      <w:hyperlink r:id="rId8" w:history="1">
        <w:r w:rsidRPr="005D1266">
          <w:rPr>
            <w:rStyle w:val="Hyperlink"/>
            <w:rFonts w:ascii="Times New Roman" w:hAnsi="Times New Roman" w:cs="Times New Roman"/>
            <w:sz w:val="24"/>
            <w:szCs w:val="24"/>
          </w:rPr>
          <w:t>www.tga.gov.au/updating-medicine-ingredient-names</w:t>
        </w:r>
      </w:hyperlink>
      <w:r>
        <w:rPr>
          <w:rFonts w:ascii="Times New Roman" w:hAnsi="Times New Roman" w:cs="Times New Roman"/>
          <w:sz w:val="24"/>
          <w:szCs w:val="24"/>
        </w:rPr>
        <w:t xml:space="preserve">. </w:t>
      </w:r>
      <w:r w:rsidR="00BD6E24">
        <w:rPr>
          <w:rFonts w:ascii="Times New Roman" w:hAnsi="Times New Roman" w:cs="Times New Roman"/>
          <w:sz w:val="24"/>
          <w:szCs w:val="24"/>
        </w:rPr>
        <w:t>F</w:t>
      </w:r>
      <w:r w:rsidR="00BD6E24" w:rsidRPr="00FD59BC">
        <w:rPr>
          <w:rFonts w:ascii="Times New Roman" w:hAnsi="Times New Roman" w:cs="Times New Roman"/>
          <w:sz w:val="24"/>
          <w:szCs w:val="24"/>
        </w:rPr>
        <w:t xml:space="preserve">rom 7 November </w:t>
      </w:r>
      <w:r w:rsidR="00BD6E24">
        <w:rPr>
          <w:rFonts w:ascii="Times New Roman" w:hAnsi="Times New Roman" w:cs="Times New Roman"/>
          <w:sz w:val="24"/>
          <w:szCs w:val="24"/>
        </w:rPr>
        <w:t xml:space="preserve">2022 </w:t>
      </w:r>
      <w:r w:rsidR="00BD6E24" w:rsidRPr="00FD59BC">
        <w:rPr>
          <w:rFonts w:ascii="Times New Roman" w:hAnsi="Times New Roman" w:cs="Times New Roman"/>
          <w:sz w:val="24"/>
          <w:szCs w:val="24"/>
        </w:rPr>
        <w:t>to 19 December 2022</w:t>
      </w:r>
      <w:r w:rsidR="00BD6E24">
        <w:rPr>
          <w:rFonts w:ascii="Times New Roman" w:hAnsi="Times New Roman" w:cs="Times New Roman"/>
          <w:sz w:val="24"/>
          <w:szCs w:val="24"/>
        </w:rPr>
        <w:t>, t</w:t>
      </w:r>
      <w:r w:rsidR="00D61505" w:rsidRPr="00FD59BC">
        <w:rPr>
          <w:rFonts w:ascii="Times New Roman" w:hAnsi="Times New Roman" w:cs="Times New Roman"/>
          <w:sz w:val="24"/>
          <w:szCs w:val="24"/>
        </w:rPr>
        <w:t xml:space="preserve">he TGA conducted a </w:t>
      </w:r>
      <w:r w:rsidR="00A22EF9" w:rsidRPr="00FA3AC0">
        <w:rPr>
          <w:rFonts w:ascii="Times New Roman" w:hAnsi="Times New Roman" w:cs="Times New Roman"/>
          <w:sz w:val="24"/>
          <w:szCs w:val="24"/>
        </w:rPr>
        <w:t xml:space="preserve">public </w:t>
      </w:r>
      <w:r w:rsidR="00A22EF9" w:rsidRPr="00E403CA">
        <w:rPr>
          <w:rFonts w:ascii="Times New Roman" w:hAnsi="Times New Roman" w:cs="Times New Roman"/>
          <w:sz w:val="24"/>
          <w:szCs w:val="24"/>
        </w:rPr>
        <w:t xml:space="preserve">consultation (see </w:t>
      </w:r>
      <w:hyperlink r:id="rId9" w:history="1">
        <w:r w:rsidR="00E403CA" w:rsidRPr="00921950">
          <w:rPr>
            <w:rStyle w:val="Hyperlink"/>
            <w:rFonts w:ascii="Times New Roman" w:hAnsi="Times New Roman" w:cs="Times New Roman"/>
            <w:sz w:val="24"/>
            <w:szCs w:val="24"/>
          </w:rPr>
          <w:t>consultations.tga.gov.au/medicines-regulation-division/international-harmonisation-of-</w:t>
        </w:r>
        <w:r w:rsidR="00E403CA" w:rsidRPr="00921950">
          <w:rPr>
            <w:rStyle w:val="Hyperlink"/>
            <w:rFonts w:ascii="Times New Roman" w:hAnsi="Times New Roman" w:cs="Times New Roman"/>
            <w:sz w:val="24"/>
            <w:szCs w:val="24"/>
          </w:rPr>
          <w:lastRenderedPageBreak/>
          <w:t>ingredient-names-ih</w:t>
        </w:r>
      </w:hyperlink>
      <w:r w:rsidR="00A22EF9" w:rsidRPr="00E403CA">
        <w:rPr>
          <w:rFonts w:ascii="Times New Roman" w:hAnsi="Times New Roman" w:cs="Times New Roman"/>
          <w:sz w:val="24"/>
          <w:szCs w:val="24"/>
        </w:rPr>
        <w:t>)</w:t>
      </w:r>
      <w:r w:rsidR="00D61505" w:rsidRPr="00FD59BC">
        <w:rPr>
          <w:rFonts w:ascii="Times New Roman" w:hAnsi="Times New Roman" w:cs="Times New Roman"/>
          <w:sz w:val="24"/>
          <w:szCs w:val="24"/>
        </w:rPr>
        <w:t xml:space="preserve"> regarding stakeholder readiness for the end of dual labelling and a proposal to implement a transition period to require medicine labels to be updated to sole medicine ingredient names in a certain time frame. Respondents provided a range of opinions about the end of dual labelling with many supporting a transition period and for certain ingredient names to be updated to sole names, including </w:t>
      </w:r>
      <w:r w:rsidR="00D61505" w:rsidRPr="0033063C">
        <w:rPr>
          <w:rFonts w:ascii="Times New Roman" w:hAnsi="Times New Roman" w:cs="Times New Roman"/>
          <w:sz w:val="24"/>
          <w:szCs w:val="24"/>
        </w:rPr>
        <w:t>mecobalamin (co-</w:t>
      </w:r>
      <w:proofErr w:type="spellStart"/>
      <w:r w:rsidR="00D61505" w:rsidRPr="0033063C">
        <w:rPr>
          <w:rFonts w:ascii="Times New Roman" w:hAnsi="Times New Roman" w:cs="Times New Roman"/>
          <w:sz w:val="24"/>
          <w:szCs w:val="24"/>
        </w:rPr>
        <w:t>methylcobalamin</w:t>
      </w:r>
      <w:proofErr w:type="spellEnd"/>
      <w:r w:rsidR="00D61505" w:rsidRPr="00FA3AC0">
        <w:rPr>
          <w:rFonts w:ascii="Times New Roman" w:hAnsi="Times New Roman" w:cs="Times New Roman"/>
          <w:i/>
          <w:iCs/>
          <w:sz w:val="24"/>
          <w:szCs w:val="24"/>
        </w:rPr>
        <w:t>)</w:t>
      </w:r>
      <w:r w:rsidR="00D61505" w:rsidRPr="00FD59BC">
        <w:rPr>
          <w:rFonts w:ascii="Times New Roman" w:hAnsi="Times New Roman" w:cs="Times New Roman"/>
          <w:sz w:val="24"/>
          <w:szCs w:val="24"/>
        </w:rPr>
        <w:t xml:space="preserve">. Feedback was considered and incorporated into any changes to the dual labelling transition to sole medicine ingredient names. </w:t>
      </w:r>
      <w:r w:rsidR="00D61505" w:rsidRPr="00FD59BC" w:rsidDel="00907672">
        <w:rPr>
          <w:rFonts w:ascii="Times New Roman" w:hAnsi="Times New Roman" w:cs="Times New Roman"/>
          <w:sz w:val="24"/>
          <w:szCs w:val="24"/>
        </w:rPr>
        <w:t>The Office of Impact Analysis (</w:t>
      </w:r>
      <w:r w:rsidR="005703D9">
        <w:rPr>
          <w:rFonts w:ascii="Times New Roman" w:hAnsi="Times New Roman" w:cs="Times New Roman"/>
          <w:sz w:val="24"/>
          <w:szCs w:val="24"/>
        </w:rPr>
        <w:t>“</w:t>
      </w:r>
      <w:r w:rsidR="00D61505" w:rsidRPr="00FD59BC" w:rsidDel="00907672">
        <w:rPr>
          <w:rFonts w:ascii="Times New Roman" w:hAnsi="Times New Roman" w:cs="Times New Roman"/>
          <w:sz w:val="24"/>
          <w:szCs w:val="24"/>
        </w:rPr>
        <w:t>OIA</w:t>
      </w:r>
      <w:r w:rsidR="005703D9">
        <w:rPr>
          <w:rFonts w:ascii="Times New Roman" w:hAnsi="Times New Roman" w:cs="Times New Roman"/>
          <w:sz w:val="24"/>
          <w:szCs w:val="24"/>
        </w:rPr>
        <w:t>”</w:t>
      </w:r>
      <w:r w:rsidR="00D61505" w:rsidRPr="00FD59BC" w:rsidDel="00907672">
        <w:rPr>
          <w:rFonts w:ascii="Times New Roman" w:hAnsi="Times New Roman" w:cs="Times New Roman"/>
          <w:sz w:val="24"/>
          <w:szCs w:val="24"/>
        </w:rPr>
        <w:t xml:space="preserve">) advised that updating the ingredient names (and implementing the associated transition period) is unlikely to have more than minor regulatory impact and that an Impact Analysis </w:t>
      </w:r>
      <w:r w:rsidR="00955863">
        <w:rPr>
          <w:rFonts w:ascii="Times New Roman" w:hAnsi="Times New Roman" w:cs="Times New Roman"/>
          <w:sz w:val="24"/>
          <w:szCs w:val="24"/>
        </w:rPr>
        <w:t>wa</w:t>
      </w:r>
      <w:r w:rsidR="00D61505" w:rsidRPr="00FD59BC" w:rsidDel="00907672">
        <w:rPr>
          <w:rFonts w:ascii="Times New Roman" w:hAnsi="Times New Roman" w:cs="Times New Roman"/>
          <w:sz w:val="24"/>
          <w:szCs w:val="24"/>
        </w:rPr>
        <w:t>s not needed (OIA reference OBPR23-04347).</w:t>
      </w:r>
      <w:r w:rsidR="00A22EF9">
        <w:rPr>
          <w:rFonts w:ascii="Times New Roman" w:hAnsi="Times New Roman" w:cs="Times New Roman"/>
          <w:sz w:val="24"/>
          <w:szCs w:val="24"/>
        </w:rPr>
        <w:t xml:space="preserve">  </w:t>
      </w:r>
    </w:p>
    <w:p w14:paraId="6A855089" w14:textId="69AAFA9C" w:rsidR="00D61505" w:rsidRPr="00FD59BC" w:rsidRDefault="00BD6E24" w:rsidP="00D61505">
      <w:pPr>
        <w:rPr>
          <w:rFonts w:ascii="Times New Roman" w:hAnsi="Times New Roman" w:cs="Times New Roman"/>
          <w:sz w:val="24"/>
          <w:szCs w:val="24"/>
        </w:rPr>
      </w:pPr>
      <w:r>
        <w:rPr>
          <w:rFonts w:ascii="Times New Roman" w:hAnsi="Times New Roman" w:cs="Times New Roman"/>
          <w:sz w:val="24"/>
          <w:szCs w:val="24"/>
        </w:rPr>
        <w:t>B</w:t>
      </w:r>
      <w:r w:rsidRPr="00FD59BC">
        <w:rPr>
          <w:rFonts w:ascii="Times New Roman" w:hAnsi="Times New Roman" w:cs="Times New Roman"/>
          <w:sz w:val="24"/>
          <w:szCs w:val="24"/>
        </w:rPr>
        <w:t>etween December 2020 and November 2021</w:t>
      </w:r>
      <w:r>
        <w:rPr>
          <w:rFonts w:ascii="Times New Roman" w:hAnsi="Times New Roman" w:cs="Times New Roman"/>
          <w:sz w:val="24"/>
          <w:szCs w:val="24"/>
        </w:rPr>
        <w:t>, t</w:t>
      </w:r>
      <w:r w:rsidR="00D61505" w:rsidRPr="00FD59BC">
        <w:rPr>
          <w:rFonts w:ascii="Times New Roman" w:hAnsi="Times New Roman" w:cs="Times New Roman"/>
          <w:sz w:val="24"/>
          <w:szCs w:val="24"/>
        </w:rPr>
        <w:t>he TGA engaged directly with the applicant who applied for the variation in relation to the ingredient</w:t>
      </w:r>
      <w:r w:rsidR="00A860B9">
        <w:rPr>
          <w:rFonts w:ascii="Times New Roman" w:hAnsi="Times New Roman" w:cs="Times New Roman"/>
          <w:sz w:val="24"/>
          <w:szCs w:val="24"/>
        </w:rPr>
        <w:t>,</w:t>
      </w:r>
      <w:r w:rsidR="00D61505" w:rsidRPr="00FD59BC">
        <w:rPr>
          <w:rFonts w:ascii="Times New Roman" w:hAnsi="Times New Roman" w:cs="Times New Roman"/>
          <w:sz w:val="24"/>
          <w:szCs w:val="24"/>
        </w:rPr>
        <w:t xml:space="preserve"> </w:t>
      </w:r>
      <w:r w:rsidR="00D61505" w:rsidRPr="0033063C">
        <w:rPr>
          <w:rFonts w:ascii="Times New Roman" w:hAnsi="Times New Roman" w:cs="Times New Roman"/>
          <w:sz w:val="24"/>
          <w:szCs w:val="24"/>
        </w:rPr>
        <w:t>2’</w:t>
      </w:r>
      <w:r w:rsidR="00D61505" w:rsidRPr="0033063C">
        <w:rPr>
          <w:rFonts w:ascii="Times New Roman" w:hAnsi="Times New Roman" w:cs="Times New Roman"/>
          <w:sz w:val="24"/>
          <w:szCs w:val="24"/>
        </w:rPr>
        <w:noBreakHyphen/>
        <w:t>fucosyllactose</w:t>
      </w:r>
      <w:r w:rsidR="00D61505" w:rsidRPr="00FD59BC">
        <w:rPr>
          <w:rFonts w:ascii="Times New Roman" w:hAnsi="Times New Roman" w:cs="Times New Roman"/>
          <w:sz w:val="24"/>
          <w:szCs w:val="24"/>
        </w:rPr>
        <w:t>, in connection with that application.</w:t>
      </w:r>
    </w:p>
    <w:p w14:paraId="176F9248" w14:textId="0944508C" w:rsidR="00D61505" w:rsidRPr="00FD59BC" w:rsidRDefault="00BD6E24" w:rsidP="00D61505">
      <w:pPr>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B</w:t>
      </w:r>
      <w:r w:rsidRPr="00FD59BC">
        <w:rPr>
          <w:rFonts w:ascii="Times New Roman" w:eastAsia="Times New Roman" w:hAnsi="Times New Roman" w:cs="Times New Roman"/>
          <w:sz w:val="24"/>
          <w:szCs w:val="24"/>
          <w:lang w:eastAsia="en-AU"/>
        </w:rPr>
        <w:t xml:space="preserve">etween July 2022 and </w:t>
      </w:r>
      <w:r w:rsidR="00A22EF9">
        <w:rPr>
          <w:rFonts w:ascii="Times New Roman" w:eastAsia="Times New Roman" w:hAnsi="Times New Roman" w:cs="Times New Roman"/>
          <w:sz w:val="24"/>
          <w:szCs w:val="24"/>
          <w:lang w:eastAsia="en-AU"/>
        </w:rPr>
        <w:t>March 2023</w:t>
      </w:r>
      <w:r>
        <w:rPr>
          <w:rFonts w:ascii="Times New Roman" w:eastAsia="Times New Roman" w:hAnsi="Times New Roman" w:cs="Times New Roman"/>
          <w:sz w:val="24"/>
          <w:szCs w:val="24"/>
          <w:lang w:eastAsia="en-AU"/>
        </w:rPr>
        <w:t>, t</w:t>
      </w:r>
      <w:r w:rsidR="00D61505" w:rsidRPr="00FD59BC">
        <w:rPr>
          <w:rFonts w:ascii="Times New Roman" w:eastAsia="Times New Roman" w:hAnsi="Times New Roman" w:cs="Times New Roman"/>
          <w:sz w:val="24"/>
          <w:szCs w:val="24"/>
          <w:lang w:eastAsia="en-AU"/>
        </w:rPr>
        <w:t>he TGA engaged directly with the sponsor of the ingredient</w:t>
      </w:r>
      <w:r w:rsidR="00A860B9">
        <w:rPr>
          <w:rFonts w:ascii="Times New Roman" w:eastAsia="Times New Roman" w:hAnsi="Times New Roman" w:cs="Times New Roman"/>
          <w:sz w:val="24"/>
          <w:szCs w:val="24"/>
          <w:lang w:eastAsia="en-AU"/>
        </w:rPr>
        <w:t>,</w:t>
      </w:r>
      <w:r w:rsidR="00D61505" w:rsidRPr="00FD59BC">
        <w:rPr>
          <w:rFonts w:ascii="Times New Roman" w:eastAsia="Times New Roman" w:hAnsi="Times New Roman" w:cs="Times New Roman"/>
          <w:sz w:val="24"/>
          <w:szCs w:val="24"/>
          <w:lang w:eastAsia="en-AU"/>
        </w:rPr>
        <w:t xml:space="preserve"> </w:t>
      </w:r>
      <w:proofErr w:type="spellStart"/>
      <w:r w:rsidR="00D61505" w:rsidRPr="0033063C">
        <w:rPr>
          <w:rFonts w:ascii="Times New Roman" w:eastAsia="Times New Roman" w:hAnsi="Times New Roman" w:cs="Times New Roman"/>
          <w:sz w:val="24"/>
          <w:szCs w:val="24"/>
          <w:lang w:eastAsia="en-AU"/>
        </w:rPr>
        <w:t>lacto</w:t>
      </w:r>
      <w:proofErr w:type="spellEnd"/>
      <w:r w:rsidR="00D61505" w:rsidRPr="0033063C">
        <w:rPr>
          <w:rFonts w:ascii="Times New Roman" w:eastAsia="Times New Roman" w:hAnsi="Times New Roman" w:cs="Times New Roman"/>
          <w:sz w:val="24"/>
          <w:szCs w:val="24"/>
          <w:lang w:eastAsia="en-AU"/>
        </w:rPr>
        <w:noBreakHyphen/>
        <w:t>N</w:t>
      </w:r>
      <w:r w:rsidR="00D61505" w:rsidRPr="0033063C">
        <w:rPr>
          <w:rFonts w:ascii="Times New Roman" w:eastAsia="Times New Roman" w:hAnsi="Times New Roman" w:cs="Times New Roman"/>
          <w:sz w:val="24"/>
          <w:szCs w:val="24"/>
          <w:lang w:eastAsia="en-AU"/>
        </w:rPr>
        <w:noBreakHyphen/>
      </w:r>
      <w:proofErr w:type="spellStart"/>
      <w:r w:rsidR="00D61505" w:rsidRPr="0033063C">
        <w:rPr>
          <w:rFonts w:ascii="Times New Roman" w:eastAsia="Times New Roman" w:hAnsi="Times New Roman" w:cs="Times New Roman"/>
          <w:sz w:val="24"/>
          <w:szCs w:val="24"/>
          <w:lang w:eastAsia="en-AU"/>
        </w:rPr>
        <w:t>tetraose</w:t>
      </w:r>
      <w:proofErr w:type="spellEnd"/>
      <w:r w:rsidR="00955863">
        <w:rPr>
          <w:rFonts w:ascii="Times New Roman" w:eastAsia="Times New Roman" w:hAnsi="Times New Roman" w:cs="Times New Roman"/>
          <w:sz w:val="24"/>
          <w:szCs w:val="24"/>
          <w:lang w:eastAsia="en-AU"/>
        </w:rPr>
        <w:t>, in relation to the proposed changes to that ingredient that are reflected in the Determination</w:t>
      </w:r>
      <w:r w:rsidR="00D61505" w:rsidRPr="00FD59BC">
        <w:rPr>
          <w:rFonts w:ascii="Times New Roman" w:eastAsia="Times New Roman" w:hAnsi="Times New Roman" w:cs="Times New Roman"/>
          <w:sz w:val="24"/>
          <w:szCs w:val="24"/>
          <w:lang w:eastAsia="en-AU"/>
        </w:rPr>
        <w:t xml:space="preserve">.  </w:t>
      </w:r>
    </w:p>
    <w:p w14:paraId="7AEEE018" w14:textId="4D9EEA3D" w:rsidR="00D61505" w:rsidRPr="00FD59BC" w:rsidRDefault="00D61505" w:rsidP="00D61505">
      <w:pPr>
        <w:rPr>
          <w:rFonts w:ascii="Times New Roman" w:hAnsi="Times New Roman" w:cs="Times New Roman"/>
          <w:sz w:val="24"/>
          <w:szCs w:val="24"/>
        </w:rPr>
      </w:pPr>
      <w:r w:rsidRPr="00FD59BC">
        <w:rPr>
          <w:rFonts w:ascii="Times New Roman" w:hAnsi="Times New Roman" w:cs="Times New Roman"/>
          <w:sz w:val="24"/>
          <w:szCs w:val="24"/>
        </w:rPr>
        <w:t xml:space="preserve">A list of </w:t>
      </w:r>
      <w:proofErr w:type="gramStart"/>
      <w:r w:rsidR="0033063C">
        <w:rPr>
          <w:rFonts w:ascii="Times New Roman" w:hAnsi="Times New Roman" w:cs="Times New Roman"/>
          <w:sz w:val="24"/>
          <w:szCs w:val="24"/>
        </w:rPr>
        <w:t>sixty nine</w:t>
      </w:r>
      <w:proofErr w:type="gramEnd"/>
      <w:r w:rsidR="00BD6E24">
        <w:rPr>
          <w:rFonts w:ascii="Times New Roman" w:hAnsi="Times New Roman" w:cs="Times New Roman"/>
          <w:sz w:val="24"/>
          <w:szCs w:val="24"/>
        </w:rPr>
        <w:t xml:space="preserve"> </w:t>
      </w:r>
      <w:r w:rsidRPr="00FD59BC">
        <w:rPr>
          <w:rFonts w:ascii="Times New Roman" w:hAnsi="Times New Roman" w:cs="Times New Roman"/>
          <w:sz w:val="24"/>
          <w:szCs w:val="24"/>
        </w:rPr>
        <w:t>AFN ingredients proposed for deactivation from the Ingredient Repository were presented for consultation with the Complementary and OTC Medicines Regulatory and Technical Consultative Forum (ComTech) in October 2022</w:t>
      </w:r>
      <w:r w:rsidR="00955863">
        <w:rPr>
          <w:rFonts w:ascii="Times New Roman" w:hAnsi="Times New Roman" w:cs="Times New Roman"/>
          <w:sz w:val="24"/>
          <w:szCs w:val="24"/>
        </w:rPr>
        <w:t>.</w:t>
      </w:r>
      <w:r w:rsidRPr="00FD59BC">
        <w:rPr>
          <w:rFonts w:ascii="Times New Roman" w:hAnsi="Times New Roman" w:cs="Times New Roman"/>
          <w:sz w:val="24"/>
          <w:szCs w:val="24"/>
        </w:rPr>
        <w:t xml:space="preserve"> </w:t>
      </w:r>
      <w:r w:rsidR="00955863">
        <w:rPr>
          <w:rFonts w:ascii="Times New Roman" w:hAnsi="Times New Roman" w:cs="Times New Roman"/>
          <w:sz w:val="24"/>
          <w:szCs w:val="24"/>
        </w:rPr>
        <w:t>M</w:t>
      </w:r>
      <w:r w:rsidRPr="00FD59BC">
        <w:rPr>
          <w:rFonts w:ascii="Times New Roman" w:hAnsi="Times New Roman" w:cs="Times New Roman"/>
          <w:sz w:val="24"/>
          <w:szCs w:val="24"/>
        </w:rPr>
        <w:t>embers were invited to provide comments</w:t>
      </w:r>
      <w:r w:rsidR="00706B8A">
        <w:rPr>
          <w:rFonts w:ascii="Times New Roman" w:hAnsi="Times New Roman" w:cs="Times New Roman"/>
          <w:sz w:val="24"/>
          <w:szCs w:val="24"/>
        </w:rPr>
        <w:t>,</w:t>
      </w:r>
      <w:r w:rsidRPr="00FD59BC">
        <w:rPr>
          <w:rFonts w:ascii="Times New Roman" w:hAnsi="Times New Roman" w:cs="Times New Roman"/>
          <w:sz w:val="24"/>
          <w:szCs w:val="24"/>
        </w:rPr>
        <w:t xml:space="preserve"> however</w:t>
      </w:r>
      <w:r w:rsidR="00706B8A">
        <w:rPr>
          <w:rFonts w:ascii="Times New Roman" w:hAnsi="Times New Roman" w:cs="Times New Roman"/>
          <w:sz w:val="24"/>
          <w:szCs w:val="24"/>
        </w:rPr>
        <w:t>,</w:t>
      </w:r>
      <w:r w:rsidRPr="00FD59BC">
        <w:rPr>
          <w:rFonts w:ascii="Times New Roman" w:hAnsi="Times New Roman" w:cs="Times New Roman"/>
          <w:sz w:val="24"/>
          <w:szCs w:val="24"/>
        </w:rPr>
        <w:t xml:space="preserve"> did not propose any changes to this list. </w:t>
      </w:r>
      <w:r w:rsidR="00DA21CD" w:rsidRPr="009543F0">
        <w:rPr>
          <w:rFonts w:ascii="Times New Roman" w:eastAsia="Times New Roman" w:hAnsi="Times New Roman" w:cs="Times New Roman"/>
          <w:sz w:val="24"/>
          <w:szCs w:val="24"/>
          <w:lang w:eastAsia="en-AU"/>
        </w:rPr>
        <w:t>ComTech is a forum that facilitates consultation between the TGA and representatives from the complementary and over the counter medicines industries</w:t>
      </w:r>
      <w:r w:rsidR="00955863">
        <w:rPr>
          <w:rFonts w:ascii="Times New Roman" w:eastAsia="Times New Roman" w:hAnsi="Times New Roman" w:cs="Times New Roman"/>
          <w:sz w:val="24"/>
          <w:szCs w:val="24"/>
          <w:lang w:eastAsia="en-AU"/>
        </w:rPr>
        <w:t>,</w:t>
      </w:r>
      <w:r w:rsidR="00DA21CD" w:rsidRPr="009543F0">
        <w:rPr>
          <w:rFonts w:ascii="Times New Roman" w:eastAsia="Times New Roman" w:hAnsi="Times New Roman" w:cs="Times New Roman"/>
          <w:sz w:val="24"/>
          <w:szCs w:val="24"/>
          <w:lang w:eastAsia="en-AU"/>
        </w:rPr>
        <w:t xml:space="preserve"> including Accord Australasia, the Association of Therapeutic Goods Consultants, Complementary Medicines Australia, </w:t>
      </w:r>
      <w:r w:rsidR="00DA21CD">
        <w:rPr>
          <w:rFonts w:ascii="Times New Roman" w:eastAsia="Times New Roman" w:hAnsi="Times New Roman" w:cs="Times New Roman"/>
          <w:sz w:val="24"/>
          <w:szCs w:val="24"/>
          <w:lang w:eastAsia="en-AU"/>
        </w:rPr>
        <w:t xml:space="preserve">and </w:t>
      </w:r>
      <w:r w:rsidR="00DA21CD" w:rsidRPr="009543F0">
        <w:rPr>
          <w:rFonts w:ascii="Times New Roman" w:eastAsia="Times New Roman" w:hAnsi="Times New Roman" w:cs="Times New Roman"/>
          <w:sz w:val="24"/>
          <w:szCs w:val="24"/>
          <w:lang w:eastAsia="en-AU"/>
        </w:rPr>
        <w:t>Consumer Health</w:t>
      </w:r>
      <w:r w:rsidR="00E403CA">
        <w:rPr>
          <w:rFonts w:ascii="Times New Roman" w:eastAsia="Times New Roman" w:hAnsi="Times New Roman" w:cs="Times New Roman"/>
          <w:sz w:val="24"/>
          <w:szCs w:val="24"/>
          <w:lang w:eastAsia="en-AU"/>
        </w:rPr>
        <w:t>care</w:t>
      </w:r>
      <w:r w:rsidR="00DA21CD" w:rsidRPr="009543F0">
        <w:rPr>
          <w:rFonts w:ascii="Times New Roman" w:eastAsia="Times New Roman" w:hAnsi="Times New Roman" w:cs="Times New Roman"/>
          <w:sz w:val="24"/>
          <w:szCs w:val="24"/>
          <w:lang w:eastAsia="en-AU"/>
        </w:rPr>
        <w:t xml:space="preserve"> Products Australia.</w:t>
      </w:r>
      <w:r w:rsidR="00DA21CD">
        <w:rPr>
          <w:rFonts w:ascii="Times New Roman" w:eastAsia="Times New Roman" w:hAnsi="Times New Roman" w:cs="Times New Roman"/>
          <w:sz w:val="24"/>
          <w:szCs w:val="24"/>
          <w:lang w:eastAsia="en-AU"/>
        </w:rPr>
        <w:t xml:space="preserve"> </w:t>
      </w:r>
      <w:r w:rsidRPr="00FD59BC">
        <w:rPr>
          <w:rFonts w:ascii="Times New Roman" w:hAnsi="Times New Roman" w:cs="Times New Roman"/>
          <w:sz w:val="24"/>
          <w:szCs w:val="24"/>
        </w:rPr>
        <w:t xml:space="preserve">The present changes encompass </w:t>
      </w:r>
      <w:proofErr w:type="gramStart"/>
      <w:r w:rsidR="00706B8A">
        <w:rPr>
          <w:rFonts w:ascii="Times New Roman" w:hAnsi="Times New Roman" w:cs="Times New Roman"/>
          <w:sz w:val="24"/>
          <w:szCs w:val="24"/>
        </w:rPr>
        <w:t>twenty</w:t>
      </w:r>
      <w:r w:rsidR="0033063C">
        <w:rPr>
          <w:rFonts w:ascii="Times New Roman" w:hAnsi="Times New Roman" w:cs="Times New Roman"/>
          <w:sz w:val="24"/>
          <w:szCs w:val="24"/>
        </w:rPr>
        <w:t xml:space="preserve"> </w:t>
      </w:r>
      <w:r w:rsidR="00706B8A">
        <w:rPr>
          <w:rFonts w:ascii="Times New Roman" w:hAnsi="Times New Roman" w:cs="Times New Roman"/>
          <w:sz w:val="24"/>
          <w:szCs w:val="24"/>
        </w:rPr>
        <w:t>five</w:t>
      </w:r>
      <w:proofErr w:type="gramEnd"/>
      <w:r w:rsidR="00706B8A">
        <w:rPr>
          <w:rFonts w:ascii="Times New Roman" w:hAnsi="Times New Roman" w:cs="Times New Roman"/>
          <w:sz w:val="24"/>
          <w:szCs w:val="24"/>
        </w:rPr>
        <w:t xml:space="preserve"> </w:t>
      </w:r>
      <w:r w:rsidRPr="00FD59BC">
        <w:rPr>
          <w:rFonts w:ascii="Times New Roman" w:hAnsi="Times New Roman" w:cs="Times New Roman"/>
          <w:sz w:val="24"/>
          <w:szCs w:val="24"/>
        </w:rPr>
        <w:t>AFNs (from the original list of 69 ingredients) which have equivalent AHN</w:t>
      </w:r>
      <w:r w:rsidR="00BD6E24">
        <w:rPr>
          <w:rFonts w:ascii="Times New Roman" w:hAnsi="Times New Roman" w:cs="Times New Roman"/>
          <w:sz w:val="24"/>
          <w:szCs w:val="24"/>
        </w:rPr>
        <w:t>s</w:t>
      </w:r>
      <w:r w:rsidRPr="00FD59BC">
        <w:rPr>
          <w:rFonts w:ascii="Times New Roman" w:hAnsi="Times New Roman" w:cs="Times New Roman"/>
          <w:sz w:val="24"/>
          <w:szCs w:val="24"/>
        </w:rPr>
        <w:t xml:space="preserve"> with identical purpose</w:t>
      </w:r>
      <w:r w:rsidR="00BD6E24">
        <w:rPr>
          <w:rFonts w:ascii="Times New Roman" w:hAnsi="Times New Roman" w:cs="Times New Roman"/>
          <w:sz w:val="24"/>
          <w:szCs w:val="24"/>
        </w:rPr>
        <w:t>s</w:t>
      </w:r>
      <w:r w:rsidRPr="00FD59BC">
        <w:rPr>
          <w:rFonts w:ascii="Times New Roman" w:hAnsi="Times New Roman" w:cs="Times New Roman"/>
          <w:sz w:val="24"/>
          <w:szCs w:val="24"/>
        </w:rPr>
        <w:t xml:space="preserve"> and restrictions. </w:t>
      </w:r>
    </w:p>
    <w:p w14:paraId="3B70409E" w14:textId="29C68B87" w:rsidR="003417EB" w:rsidRDefault="003417EB">
      <w:pPr>
        <w:autoSpaceDE w:val="0"/>
        <w:autoSpaceDN w:val="0"/>
        <w:adjustRightInd w:val="0"/>
        <w:spacing w:after="0"/>
        <w:rPr>
          <w:rFonts w:ascii="Times New Roman" w:eastAsia="Times New Roman" w:hAnsi="Times New Roman" w:cs="Times New Roman"/>
          <w:sz w:val="24"/>
          <w:szCs w:val="24"/>
          <w:lang w:eastAsia="en-AU"/>
        </w:rPr>
      </w:pPr>
      <w:r w:rsidRPr="003417EB">
        <w:rPr>
          <w:rFonts w:ascii="Times New Roman" w:eastAsia="Times New Roman" w:hAnsi="Times New Roman" w:cs="Times New Roman"/>
          <w:sz w:val="24"/>
          <w:szCs w:val="24"/>
          <w:lang w:eastAsia="en-AU"/>
        </w:rPr>
        <w:t>The O</w:t>
      </w:r>
      <w:r w:rsidR="00E9229B">
        <w:rPr>
          <w:rFonts w:ascii="Times New Roman" w:eastAsia="Times New Roman" w:hAnsi="Times New Roman" w:cs="Times New Roman"/>
          <w:sz w:val="24"/>
          <w:szCs w:val="24"/>
          <w:lang w:eastAsia="en-AU"/>
        </w:rPr>
        <w:t>IA</w:t>
      </w:r>
      <w:r w:rsidRPr="003417EB">
        <w:rPr>
          <w:rFonts w:ascii="Times New Roman" w:eastAsia="Times New Roman" w:hAnsi="Times New Roman" w:cs="Times New Roman"/>
          <w:sz w:val="24"/>
          <w:szCs w:val="24"/>
          <w:lang w:eastAsia="en-AU"/>
        </w:rPr>
        <w:t xml:space="preserve"> has previously advised that a regulatory impact statement is not required for updates to determinations made under section 26BB of the Act that are minor or machinery in nature, including the introduction of new permitted ingredients, corrections of errors, clarifications of requirements and ingredient names, changes to reflect scheduling decisions in the Poisons Standard and the outcomes of TGA safety evaluations where the regulatory impacts are minor or machinery in nature (O</w:t>
      </w:r>
      <w:r w:rsidR="00E9229B">
        <w:rPr>
          <w:rFonts w:ascii="Times New Roman" w:eastAsia="Times New Roman" w:hAnsi="Times New Roman" w:cs="Times New Roman"/>
          <w:sz w:val="24"/>
          <w:szCs w:val="24"/>
          <w:lang w:eastAsia="en-AU"/>
        </w:rPr>
        <w:t>IA</w:t>
      </w:r>
      <w:r w:rsidRPr="003417EB">
        <w:rPr>
          <w:rFonts w:ascii="Times New Roman" w:eastAsia="Times New Roman" w:hAnsi="Times New Roman" w:cs="Times New Roman"/>
          <w:sz w:val="24"/>
          <w:szCs w:val="24"/>
          <w:lang w:eastAsia="en-AU"/>
        </w:rPr>
        <w:t xml:space="preserve"> references 14416, 20999 and 21645).</w:t>
      </w:r>
    </w:p>
    <w:p w14:paraId="70746BF6" w14:textId="77777777" w:rsidR="005E0BD7" w:rsidRDefault="005E0BD7">
      <w:pPr>
        <w:autoSpaceDE w:val="0"/>
        <w:autoSpaceDN w:val="0"/>
        <w:adjustRightInd w:val="0"/>
        <w:spacing w:after="0"/>
        <w:rPr>
          <w:rFonts w:ascii="Times New Roman" w:eastAsia="Times New Roman" w:hAnsi="Times New Roman" w:cs="Times New Roman"/>
          <w:sz w:val="24"/>
          <w:szCs w:val="24"/>
          <w:lang w:eastAsia="en-AU"/>
        </w:rPr>
      </w:pPr>
    </w:p>
    <w:p w14:paraId="7A00BF75" w14:textId="02ADDD4F" w:rsidR="0050197A" w:rsidRDefault="0050197A" w:rsidP="000152DF">
      <w:pPr>
        <w:keepNext/>
        <w:autoSpaceDE w:val="0"/>
        <w:autoSpaceDN w:val="0"/>
        <w:adjustRightInd w:val="0"/>
        <w:spacing w:after="0"/>
        <w:rPr>
          <w:rFonts w:ascii="Times New Roman" w:hAnsi="Times New Roman" w:cs="Times New Roman"/>
          <w:b/>
          <w:sz w:val="24"/>
          <w:szCs w:val="24"/>
          <w:lang w:eastAsia="en-AU"/>
        </w:rPr>
      </w:pPr>
      <w:r w:rsidRPr="00B94E86">
        <w:rPr>
          <w:rFonts w:ascii="Times New Roman" w:hAnsi="Times New Roman" w:cs="Times New Roman"/>
          <w:b/>
          <w:sz w:val="24"/>
          <w:szCs w:val="24"/>
          <w:lang w:eastAsia="en-AU"/>
        </w:rPr>
        <w:t>Incorporation</w:t>
      </w:r>
      <w:r>
        <w:rPr>
          <w:rFonts w:ascii="Times New Roman" w:hAnsi="Times New Roman" w:cs="Times New Roman"/>
          <w:b/>
          <w:sz w:val="24"/>
          <w:szCs w:val="24"/>
          <w:lang w:eastAsia="en-AU"/>
        </w:rPr>
        <w:t xml:space="preserve"> by reference</w:t>
      </w:r>
    </w:p>
    <w:p w14:paraId="630FC084" w14:textId="77777777" w:rsidR="005B70D2" w:rsidRPr="001A7C14" w:rsidRDefault="005B70D2" w:rsidP="000152DF">
      <w:pPr>
        <w:keepNext/>
        <w:autoSpaceDE w:val="0"/>
        <w:autoSpaceDN w:val="0"/>
        <w:adjustRightInd w:val="0"/>
        <w:spacing w:after="0"/>
        <w:rPr>
          <w:rFonts w:ascii="Times New Roman" w:eastAsia="Times New Roman" w:hAnsi="Times New Roman" w:cs="Times New Roman"/>
          <w:b/>
          <w:bCs/>
          <w:sz w:val="24"/>
          <w:szCs w:val="24"/>
          <w:lang w:eastAsia="en-AU"/>
        </w:rPr>
      </w:pPr>
    </w:p>
    <w:p w14:paraId="09BDDD8C" w14:textId="7F27DB71" w:rsidR="0050197A" w:rsidRDefault="0050197A" w:rsidP="001A7C1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The </w:t>
      </w:r>
      <w:r w:rsidRPr="0034672A">
        <w:rPr>
          <w:rFonts w:ascii="Times New Roman" w:eastAsia="Times New Roman" w:hAnsi="Times New Roman" w:cs="Times New Roman"/>
          <w:sz w:val="24"/>
          <w:szCs w:val="24"/>
          <w:lang w:eastAsia="en-AU"/>
        </w:rPr>
        <w:t>Determination</w:t>
      </w:r>
      <w:r>
        <w:rPr>
          <w:rFonts w:ascii="Times New Roman" w:hAnsi="Times New Roman" w:cs="Times New Roman"/>
          <w:sz w:val="24"/>
          <w:szCs w:val="24"/>
        </w:rPr>
        <w:t xml:space="preserve"> references each of the British Pharmacopoeia, European Pharmacopoeia and United States Pharmacopeia-National Formulary, and the note in section 4 of the Determination makes it clear that each of </w:t>
      </w:r>
      <w:proofErr w:type="gramStart"/>
      <w:r>
        <w:rPr>
          <w:rFonts w:ascii="Times New Roman" w:hAnsi="Times New Roman" w:cs="Times New Roman"/>
          <w:sz w:val="24"/>
          <w:szCs w:val="24"/>
        </w:rPr>
        <w:t>these pharmacopoeia</w:t>
      </w:r>
      <w:proofErr w:type="gramEnd"/>
      <w:r>
        <w:rPr>
          <w:rFonts w:ascii="Times New Roman" w:hAnsi="Times New Roman" w:cs="Times New Roman"/>
          <w:sz w:val="24"/>
          <w:szCs w:val="24"/>
        </w:rPr>
        <w:t xml:space="preserve"> are those as defined in subsection 3(1) of the Act.</w:t>
      </w:r>
    </w:p>
    <w:p w14:paraId="371A8AD8" w14:textId="77777777" w:rsidR="005B70D2" w:rsidRPr="007A52D3" w:rsidRDefault="005B70D2" w:rsidP="001A7C14">
      <w:pPr>
        <w:autoSpaceDE w:val="0"/>
        <w:autoSpaceDN w:val="0"/>
        <w:adjustRightInd w:val="0"/>
        <w:spacing w:after="0"/>
        <w:rPr>
          <w:rFonts w:ascii="Times New Roman" w:hAnsi="Times New Roman" w:cs="Times New Roman"/>
          <w:sz w:val="24"/>
          <w:szCs w:val="24"/>
        </w:rPr>
      </w:pPr>
    </w:p>
    <w:p w14:paraId="53E90904" w14:textId="7EDBFD8D" w:rsidR="0050197A" w:rsidRDefault="0050197A" w:rsidP="001A7C1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The definitions of the pharmacopoeia in subsection 3(1) of the Act refer to the publications of each as in effect immediately before the commencement of the relevant definition in the Act, </w:t>
      </w:r>
      <w:r>
        <w:rPr>
          <w:rFonts w:ascii="Times New Roman" w:hAnsi="Times New Roman" w:cs="Times New Roman"/>
          <w:sz w:val="24"/>
          <w:szCs w:val="24"/>
        </w:rPr>
        <w:lastRenderedPageBreak/>
        <w:t>and to any subsequent amendments or editions.</w:t>
      </w:r>
      <w:r w:rsidR="00E60C26">
        <w:rPr>
          <w:rFonts w:ascii="Times New Roman" w:hAnsi="Times New Roman" w:cs="Times New Roman"/>
          <w:sz w:val="24"/>
          <w:szCs w:val="24"/>
        </w:rPr>
        <w:t xml:space="preserve"> </w:t>
      </w:r>
      <w:r>
        <w:rPr>
          <w:rFonts w:ascii="Times New Roman" w:hAnsi="Times New Roman" w:cs="Times New Roman"/>
          <w:sz w:val="24"/>
          <w:szCs w:val="24"/>
        </w:rPr>
        <w:t xml:space="preserve">The intention in this Determination is therefore to adopt the defined meaning of the pharmacopoeia as set out in subsection 3(1) of the Act (an approach permitted by subsection </w:t>
      </w:r>
      <w:r w:rsidR="004E2CE6">
        <w:rPr>
          <w:rFonts w:ascii="Times New Roman" w:hAnsi="Times New Roman" w:cs="Times New Roman"/>
          <w:sz w:val="24"/>
          <w:szCs w:val="24"/>
        </w:rPr>
        <w:t>26BB</w:t>
      </w:r>
      <w:r>
        <w:rPr>
          <w:rFonts w:ascii="Times New Roman" w:hAnsi="Times New Roman" w:cs="Times New Roman"/>
          <w:sz w:val="24"/>
          <w:szCs w:val="24"/>
        </w:rPr>
        <w:t>(</w:t>
      </w:r>
      <w:r w:rsidR="004E2CE6">
        <w:rPr>
          <w:rFonts w:ascii="Times New Roman" w:hAnsi="Times New Roman" w:cs="Times New Roman"/>
          <w:sz w:val="24"/>
          <w:szCs w:val="24"/>
        </w:rPr>
        <w:t>8</w:t>
      </w:r>
      <w:r>
        <w:rPr>
          <w:rFonts w:ascii="Times New Roman" w:hAnsi="Times New Roman" w:cs="Times New Roman"/>
          <w:sz w:val="24"/>
          <w:szCs w:val="24"/>
        </w:rPr>
        <w:t>) of the Act). Th</w:t>
      </w:r>
      <w:r w:rsidR="008C2503">
        <w:rPr>
          <w:rFonts w:ascii="Times New Roman" w:hAnsi="Times New Roman" w:cs="Times New Roman"/>
          <w:sz w:val="24"/>
          <w:szCs w:val="24"/>
        </w:rPr>
        <w:t>ose</w:t>
      </w:r>
      <w:r>
        <w:rPr>
          <w:rFonts w:ascii="Times New Roman" w:hAnsi="Times New Roman" w:cs="Times New Roman"/>
          <w:sz w:val="24"/>
          <w:szCs w:val="24"/>
        </w:rPr>
        <w:t xml:space="preserve"> pharmacopoeia may be accessed from </w:t>
      </w:r>
      <w:hyperlink r:id="rId10" w:history="1">
        <w:r w:rsidRPr="00BB66B5">
          <w:rPr>
            <w:rStyle w:val="Hyperlink"/>
            <w:rFonts w:ascii="Times New Roman" w:hAnsi="Times New Roman" w:cs="Times New Roman"/>
            <w:sz w:val="24"/>
            <w:szCs w:val="24"/>
          </w:rPr>
          <w:t>www.pharmacopoeia.com/</w:t>
        </w:r>
      </w:hyperlink>
      <w:r>
        <w:rPr>
          <w:rFonts w:ascii="Times New Roman" w:hAnsi="Times New Roman" w:cs="Times New Roman"/>
          <w:sz w:val="24"/>
          <w:szCs w:val="24"/>
        </w:rPr>
        <w:t xml:space="preserve">, </w:t>
      </w:r>
      <w:hyperlink r:id="rId11" w:history="1">
        <w:r w:rsidR="00EF4059" w:rsidRPr="00061A97">
          <w:rPr>
            <w:rStyle w:val="Hyperlink"/>
            <w:rFonts w:ascii="Times New Roman" w:hAnsi="Times New Roman" w:cs="Times New Roman"/>
            <w:sz w:val="24"/>
            <w:szCs w:val="24"/>
          </w:rPr>
          <w:t>https://pheur.edqm.eu/home</w:t>
        </w:r>
      </w:hyperlink>
      <w:r>
        <w:rPr>
          <w:rFonts w:ascii="Times New Roman" w:hAnsi="Times New Roman" w:cs="Times New Roman"/>
          <w:sz w:val="24"/>
          <w:szCs w:val="24"/>
        </w:rPr>
        <w:t xml:space="preserve"> and </w:t>
      </w:r>
      <w:hyperlink r:id="rId12" w:history="1">
        <w:r w:rsidRPr="00BB66B5">
          <w:rPr>
            <w:rStyle w:val="Hyperlink"/>
            <w:rFonts w:ascii="Times New Roman" w:hAnsi="Times New Roman" w:cs="Times New Roman"/>
            <w:sz w:val="24"/>
            <w:szCs w:val="24"/>
          </w:rPr>
          <w:t>www.uspnf.com/</w:t>
        </w:r>
      </w:hyperlink>
      <w:r>
        <w:rPr>
          <w:rFonts w:ascii="Times New Roman" w:hAnsi="Times New Roman" w:cs="Times New Roman"/>
          <w:sz w:val="24"/>
          <w:szCs w:val="24"/>
        </w:rPr>
        <w:t>.</w:t>
      </w:r>
    </w:p>
    <w:p w14:paraId="3229837D" w14:textId="77777777" w:rsidR="005B70D2" w:rsidRPr="007A52D3" w:rsidRDefault="005B70D2" w:rsidP="001A7C14">
      <w:pPr>
        <w:autoSpaceDE w:val="0"/>
        <w:autoSpaceDN w:val="0"/>
        <w:adjustRightInd w:val="0"/>
        <w:spacing w:after="0"/>
        <w:rPr>
          <w:rFonts w:ascii="Times New Roman" w:hAnsi="Times New Roman" w:cs="Times New Roman"/>
          <w:sz w:val="24"/>
          <w:szCs w:val="24"/>
        </w:rPr>
      </w:pPr>
    </w:p>
    <w:p w14:paraId="33692DF4" w14:textId="0B3889B6" w:rsidR="004C1D7B" w:rsidRDefault="0050197A" w:rsidP="001A7C1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The Determination also adopts</w:t>
      </w:r>
      <w:r w:rsidR="00B377CD">
        <w:rPr>
          <w:rFonts w:ascii="Times New Roman" w:hAnsi="Times New Roman" w:cs="Times New Roman"/>
          <w:sz w:val="24"/>
          <w:szCs w:val="24"/>
        </w:rPr>
        <w:t xml:space="preserve"> specified</w:t>
      </w:r>
      <w:r w:rsidR="00361819">
        <w:rPr>
          <w:rFonts w:ascii="Times New Roman" w:hAnsi="Times New Roman" w:cs="Times New Roman"/>
          <w:sz w:val="24"/>
          <w:szCs w:val="24"/>
        </w:rPr>
        <w:t xml:space="preserve"> applicable monographs in</w:t>
      </w:r>
      <w:r>
        <w:rPr>
          <w:rFonts w:ascii="Times New Roman" w:hAnsi="Times New Roman" w:cs="Times New Roman"/>
          <w:sz w:val="24"/>
          <w:szCs w:val="24"/>
        </w:rPr>
        <w:t xml:space="preserve"> the </w:t>
      </w:r>
      <w:r w:rsidRPr="006B644D">
        <w:rPr>
          <w:rFonts w:ascii="Times New Roman" w:hAnsi="Times New Roman" w:cs="Times New Roman"/>
          <w:sz w:val="24"/>
          <w:szCs w:val="24"/>
        </w:rPr>
        <w:t>Food Chemicals Codex (</w:t>
      </w:r>
      <w:r>
        <w:rPr>
          <w:rFonts w:ascii="Times New Roman" w:hAnsi="Times New Roman" w:cs="Times New Roman"/>
          <w:sz w:val="24"/>
          <w:szCs w:val="24"/>
        </w:rPr>
        <w:t xml:space="preserve">“the </w:t>
      </w:r>
      <w:r w:rsidRPr="006B644D">
        <w:rPr>
          <w:rFonts w:ascii="Times New Roman" w:hAnsi="Times New Roman" w:cs="Times New Roman"/>
          <w:sz w:val="24"/>
          <w:szCs w:val="24"/>
        </w:rPr>
        <w:t>FCC</w:t>
      </w:r>
      <w:r>
        <w:rPr>
          <w:rFonts w:ascii="Times New Roman" w:hAnsi="Times New Roman" w:cs="Times New Roman"/>
          <w:sz w:val="24"/>
          <w:szCs w:val="24"/>
        </w:rPr>
        <w:t>”</w:t>
      </w:r>
      <w:r w:rsidRPr="006B644D">
        <w:rPr>
          <w:rFonts w:ascii="Times New Roman" w:hAnsi="Times New Roman" w:cs="Times New Roman"/>
          <w:sz w:val="24"/>
          <w:szCs w:val="24"/>
        </w:rPr>
        <w:t>) published by the United States Pharmacopeial Convention</w:t>
      </w:r>
      <w:r>
        <w:rPr>
          <w:rFonts w:ascii="Times New Roman" w:hAnsi="Times New Roman" w:cs="Times New Roman"/>
          <w:sz w:val="24"/>
          <w:szCs w:val="24"/>
        </w:rPr>
        <w:t xml:space="preserve"> (available at </w:t>
      </w:r>
      <w:hyperlink r:id="rId13" w:history="1">
        <w:r w:rsidR="00A177A5" w:rsidRPr="00A177A5">
          <w:rPr>
            <w:rStyle w:val="Hyperlink"/>
            <w:rFonts w:ascii="Times New Roman" w:hAnsi="Times New Roman" w:cs="Times New Roman"/>
            <w:sz w:val="24"/>
            <w:szCs w:val="24"/>
          </w:rPr>
          <w:t>www.foodchemicalscodex.org/</w:t>
        </w:r>
      </w:hyperlink>
      <w:r>
        <w:rPr>
          <w:rFonts w:ascii="Times New Roman" w:hAnsi="Times New Roman" w:cs="Times New Roman"/>
          <w:sz w:val="24"/>
          <w:szCs w:val="24"/>
        </w:rPr>
        <w:t>)</w:t>
      </w:r>
      <w:r w:rsidR="004C1D7B">
        <w:rPr>
          <w:rFonts w:ascii="Times New Roman" w:hAnsi="Times New Roman" w:cs="Times New Roman"/>
          <w:sz w:val="24"/>
          <w:szCs w:val="24"/>
        </w:rPr>
        <w:t xml:space="preserve"> in relation to the following ingredients:</w:t>
      </w:r>
    </w:p>
    <w:p w14:paraId="3473D7B4" w14:textId="55377055" w:rsidR="004C1D7B" w:rsidRDefault="004C1D7B" w:rsidP="00EE544B">
      <w:pPr>
        <w:pStyle w:val="ListParagraph"/>
        <w:numPr>
          <w:ilvl w:val="0"/>
          <w:numId w:val="11"/>
        </w:numPr>
        <w:spacing w:before="120" w:beforeAutospacing="0" w:after="120" w:afterAutospacing="0" w:line="276" w:lineRule="auto"/>
        <w:ind w:left="714" w:hanging="357"/>
      </w:pPr>
      <w:r>
        <w:t xml:space="preserve">Glycerol Ester of Partially Hydrogenated Gum </w:t>
      </w:r>
      <w:proofErr w:type="gramStart"/>
      <w:r>
        <w:t>Rosin;</w:t>
      </w:r>
      <w:proofErr w:type="gramEnd"/>
    </w:p>
    <w:p w14:paraId="5B26F0B4" w14:textId="29D165C5" w:rsidR="004C1D7B" w:rsidRDefault="004C1D7B" w:rsidP="00EE544B">
      <w:pPr>
        <w:pStyle w:val="ListParagraph"/>
        <w:numPr>
          <w:ilvl w:val="0"/>
          <w:numId w:val="11"/>
        </w:numPr>
        <w:spacing w:before="120" w:beforeAutospacing="0" w:after="120" w:afterAutospacing="0" w:line="276" w:lineRule="auto"/>
        <w:ind w:left="714" w:hanging="357"/>
      </w:pPr>
      <w:r>
        <w:t xml:space="preserve">Glyceryl </w:t>
      </w:r>
      <w:proofErr w:type="spellStart"/>
      <w:proofErr w:type="gramStart"/>
      <w:r>
        <w:t>Rosinate</w:t>
      </w:r>
      <w:proofErr w:type="spellEnd"/>
      <w:r>
        <w:t>;</w:t>
      </w:r>
      <w:proofErr w:type="gramEnd"/>
    </w:p>
    <w:p w14:paraId="4854BC9A" w14:textId="2ED22897" w:rsidR="004C1D7B" w:rsidRDefault="004C1D7B" w:rsidP="00EE544B">
      <w:pPr>
        <w:pStyle w:val="ListParagraph"/>
        <w:numPr>
          <w:ilvl w:val="0"/>
          <w:numId w:val="41"/>
        </w:numPr>
        <w:spacing w:before="0" w:beforeAutospacing="0" w:after="0" w:afterAutospacing="0"/>
        <w:ind w:left="714" w:hanging="357"/>
        <w:contextualSpacing/>
      </w:pPr>
      <w:r w:rsidRPr="004C1D7B">
        <w:t>Polyisobutylene</w:t>
      </w:r>
      <w:r>
        <w:t>.</w:t>
      </w:r>
    </w:p>
    <w:p w14:paraId="0B7816B9" w14:textId="77777777" w:rsidR="004C1D7B" w:rsidRDefault="004C1D7B" w:rsidP="001A7C14">
      <w:pPr>
        <w:autoSpaceDE w:val="0"/>
        <w:autoSpaceDN w:val="0"/>
        <w:adjustRightInd w:val="0"/>
        <w:spacing w:after="0"/>
        <w:rPr>
          <w:rFonts w:ascii="Times New Roman" w:hAnsi="Times New Roman" w:cs="Times New Roman"/>
          <w:sz w:val="24"/>
          <w:szCs w:val="24"/>
        </w:rPr>
      </w:pPr>
    </w:p>
    <w:p w14:paraId="2B6FE1B6" w14:textId="295BB396" w:rsidR="00B377CD" w:rsidRDefault="0050197A" w:rsidP="001A7C1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The intended manner of adoption of the FCC is also as it is in force or existing from time to time</w:t>
      </w:r>
      <w:r w:rsidR="004E2CE6">
        <w:rPr>
          <w:rFonts w:ascii="Times New Roman" w:hAnsi="Times New Roman" w:cs="Times New Roman"/>
          <w:sz w:val="24"/>
          <w:szCs w:val="24"/>
        </w:rPr>
        <w:t>, as permitted by subsection 26BB(8) of the Act</w:t>
      </w:r>
      <w:r>
        <w:rPr>
          <w:rFonts w:ascii="Times New Roman" w:hAnsi="Times New Roman" w:cs="Times New Roman"/>
          <w:sz w:val="24"/>
          <w:szCs w:val="24"/>
        </w:rPr>
        <w:t>.</w:t>
      </w:r>
    </w:p>
    <w:p w14:paraId="314BEE1E" w14:textId="77777777" w:rsidR="00B377CD" w:rsidRDefault="00B377CD" w:rsidP="001A7C14">
      <w:pPr>
        <w:autoSpaceDE w:val="0"/>
        <w:autoSpaceDN w:val="0"/>
        <w:adjustRightInd w:val="0"/>
        <w:spacing w:after="0"/>
        <w:rPr>
          <w:rFonts w:ascii="Times New Roman" w:hAnsi="Times New Roman" w:cs="Times New Roman"/>
          <w:sz w:val="24"/>
          <w:szCs w:val="24"/>
        </w:rPr>
      </w:pPr>
    </w:p>
    <w:p w14:paraId="2E0BD165" w14:textId="589B0089" w:rsidR="0050197A" w:rsidRPr="00361A1D" w:rsidRDefault="0050197A" w:rsidP="001A7C14">
      <w:pPr>
        <w:autoSpaceDE w:val="0"/>
        <w:autoSpaceDN w:val="0"/>
        <w:adjustRightInd w:val="0"/>
        <w:spacing w:after="0"/>
        <w:rPr>
          <w:rStyle w:val="Hyperlink"/>
          <w:color w:val="auto"/>
        </w:rPr>
      </w:pPr>
      <w:r w:rsidRPr="00A2081A">
        <w:rPr>
          <w:rFonts w:ascii="Times New Roman" w:hAnsi="Times New Roman" w:cs="Times New Roman"/>
          <w:sz w:val="24"/>
          <w:szCs w:val="24"/>
          <w:lang w:eastAsia="en-AU"/>
        </w:rPr>
        <w:t xml:space="preserve">The Determination </w:t>
      </w:r>
      <w:r>
        <w:rPr>
          <w:rFonts w:ascii="Times New Roman" w:hAnsi="Times New Roman" w:cs="Times New Roman"/>
          <w:sz w:val="24"/>
          <w:szCs w:val="24"/>
          <w:lang w:eastAsia="en-AU"/>
        </w:rPr>
        <w:t xml:space="preserve">adopts each of the </w:t>
      </w:r>
      <w:r w:rsidRPr="00361A1D">
        <w:rPr>
          <w:rStyle w:val="Hyperlink"/>
          <w:rFonts w:ascii="Times New Roman" w:hAnsi="Times New Roman" w:cs="Times New Roman"/>
          <w:i/>
          <w:color w:val="auto"/>
          <w:sz w:val="24"/>
          <w:szCs w:val="24"/>
          <w:u w:val="none"/>
        </w:rPr>
        <w:t>Animal Products Act 1999</w:t>
      </w:r>
      <w:r w:rsidRPr="00361A1D">
        <w:rPr>
          <w:rStyle w:val="Hyperlink"/>
          <w:color w:val="auto"/>
          <w:u w:val="none"/>
        </w:rPr>
        <w:t xml:space="preserve"> </w:t>
      </w:r>
      <w:r w:rsidRPr="00361A1D">
        <w:rPr>
          <w:rStyle w:val="Hyperlink"/>
          <w:rFonts w:ascii="Times New Roman" w:hAnsi="Times New Roman" w:cs="Times New Roman"/>
          <w:color w:val="auto"/>
          <w:sz w:val="24"/>
          <w:szCs w:val="24"/>
          <w:u w:val="none"/>
        </w:rPr>
        <w:t xml:space="preserve">and the </w:t>
      </w:r>
      <w:r w:rsidRPr="00361A1D">
        <w:rPr>
          <w:rStyle w:val="Hyperlink"/>
          <w:rFonts w:ascii="Times New Roman" w:hAnsi="Times New Roman" w:cs="Times New Roman"/>
          <w:i/>
          <w:color w:val="auto"/>
          <w:sz w:val="24"/>
          <w:szCs w:val="24"/>
          <w:u w:val="none"/>
        </w:rPr>
        <w:t>Animal Welfare Act 1999</w:t>
      </w:r>
      <w:r w:rsidRPr="00361A1D">
        <w:rPr>
          <w:rStyle w:val="Hyperlink"/>
          <w:rFonts w:ascii="Times New Roman" w:hAnsi="Times New Roman" w:cs="Times New Roman"/>
          <w:color w:val="auto"/>
          <w:sz w:val="24"/>
          <w:szCs w:val="24"/>
          <w:u w:val="none"/>
        </w:rPr>
        <w:t xml:space="preserve"> </w:t>
      </w:r>
      <w:r>
        <w:rPr>
          <w:rFonts w:ascii="Times New Roman" w:hAnsi="Times New Roman" w:cs="Times New Roman"/>
          <w:sz w:val="24"/>
          <w:szCs w:val="24"/>
          <w:lang w:eastAsia="en-AU"/>
        </w:rPr>
        <w:t>of New Zealand</w:t>
      </w:r>
      <w:r w:rsidR="00A64D74">
        <w:rPr>
          <w:rFonts w:ascii="Times New Roman" w:hAnsi="Times New Roman" w:cs="Times New Roman"/>
          <w:sz w:val="24"/>
          <w:szCs w:val="24"/>
          <w:lang w:eastAsia="en-AU"/>
        </w:rPr>
        <w:t>, and regulations made under these Acts,</w:t>
      </w:r>
      <w:r>
        <w:rPr>
          <w:rFonts w:ascii="Times New Roman" w:hAnsi="Times New Roman" w:cs="Times New Roman"/>
          <w:sz w:val="24"/>
          <w:szCs w:val="24"/>
          <w:lang w:eastAsia="en-AU"/>
        </w:rPr>
        <w:t xml:space="preserve"> </w:t>
      </w:r>
      <w:r w:rsidR="00A64D74">
        <w:rPr>
          <w:rFonts w:ascii="Times New Roman" w:hAnsi="Times New Roman" w:cs="Times New Roman"/>
          <w:sz w:val="24"/>
          <w:szCs w:val="24"/>
          <w:lang w:eastAsia="en-AU"/>
        </w:rPr>
        <w:t xml:space="preserve">in relation to two ingredients (Deer Velvet Antler Powder and Deer Velvet Antler Slice) </w:t>
      </w:r>
      <w:r>
        <w:rPr>
          <w:rFonts w:ascii="Times New Roman" w:hAnsi="Times New Roman" w:cs="Times New Roman"/>
          <w:sz w:val="24"/>
          <w:szCs w:val="24"/>
          <w:lang w:eastAsia="en-AU"/>
        </w:rPr>
        <w:t>on the same basis. These Acts</w:t>
      </w:r>
      <w:r w:rsidR="00A64D74">
        <w:rPr>
          <w:rFonts w:ascii="Times New Roman" w:hAnsi="Times New Roman" w:cs="Times New Roman"/>
          <w:sz w:val="24"/>
          <w:szCs w:val="24"/>
          <w:lang w:eastAsia="en-AU"/>
        </w:rPr>
        <w:t xml:space="preserve"> and regulations</w:t>
      </w:r>
      <w:r>
        <w:rPr>
          <w:rFonts w:ascii="Times New Roman" w:hAnsi="Times New Roman" w:cs="Times New Roman"/>
          <w:sz w:val="24"/>
          <w:szCs w:val="24"/>
          <w:lang w:eastAsia="en-AU"/>
        </w:rPr>
        <w:t xml:space="preserve"> are available for free from </w:t>
      </w:r>
      <w:hyperlink r:id="rId14" w:history="1">
        <w:r w:rsidRPr="00BB66B5">
          <w:rPr>
            <w:rStyle w:val="Hyperlink"/>
            <w:rFonts w:ascii="Times New Roman" w:hAnsi="Times New Roman" w:cs="Times New Roman"/>
            <w:sz w:val="24"/>
            <w:szCs w:val="24"/>
          </w:rPr>
          <w:t>www.legislation.govt.nz/</w:t>
        </w:r>
      </w:hyperlink>
      <w:r w:rsidRPr="00361A1D">
        <w:rPr>
          <w:rStyle w:val="Hyperlink"/>
          <w:color w:val="auto"/>
        </w:rPr>
        <w:t>.</w:t>
      </w:r>
    </w:p>
    <w:p w14:paraId="7D08AC7D" w14:textId="77777777" w:rsidR="005B70D2" w:rsidRPr="007A52D3" w:rsidRDefault="005B70D2" w:rsidP="001A7C14">
      <w:pPr>
        <w:autoSpaceDE w:val="0"/>
        <w:autoSpaceDN w:val="0"/>
        <w:adjustRightInd w:val="0"/>
        <w:spacing w:after="0"/>
        <w:rPr>
          <w:rFonts w:ascii="Times New Roman" w:hAnsi="Times New Roman" w:cs="Times New Roman"/>
          <w:sz w:val="24"/>
          <w:szCs w:val="24"/>
        </w:rPr>
      </w:pPr>
    </w:p>
    <w:p w14:paraId="166CDB99" w14:textId="4D705A6A" w:rsidR="0050197A" w:rsidRDefault="0050197A" w:rsidP="001A7C1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lang w:eastAsia="en-AU"/>
        </w:rPr>
        <w:t>The Determination also includes a reference to a World Health Organization publication ‘</w:t>
      </w:r>
      <w:r w:rsidRPr="00B94E86">
        <w:rPr>
          <w:rFonts w:ascii="Times New Roman" w:hAnsi="Times New Roman" w:cs="Times New Roman"/>
          <w:i/>
          <w:sz w:val="24"/>
          <w:szCs w:val="24"/>
          <w:lang w:eastAsia="en-AU"/>
        </w:rPr>
        <w:t>Expert consultation on oral rehydration salts formulation</w:t>
      </w:r>
      <w:r>
        <w:rPr>
          <w:rFonts w:ascii="Times New Roman" w:hAnsi="Times New Roman" w:cs="Times New Roman"/>
          <w:sz w:val="24"/>
          <w:szCs w:val="24"/>
          <w:lang w:eastAsia="en-AU"/>
        </w:rPr>
        <w:t>’, dated 18 July 2001.</w:t>
      </w:r>
      <w:r w:rsidR="00E60C26">
        <w:rPr>
          <w:rFonts w:ascii="Times New Roman" w:hAnsi="Times New Roman" w:cs="Times New Roman"/>
          <w:sz w:val="24"/>
          <w:szCs w:val="24"/>
          <w:lang w:eastAsia="en-AU"/>
        </w:rPr>
        <w:t xml:space="preserve"> </w:t>
      </w:r>
      <w:r>
        <w:rPr>
          <w:rFonts w:ascii="Times New Roman" w:hAnsi="Times New Roman" w:cs="Times New Roman"/>
          <w:sz w:val="24"/>
          <w:szCs w:val="24"/>
          <w:lang w:eastAsia="en-AU"/>
        </w:rPr>
        <w:t>This document is available for free from</w:t>
      </w:r>
      <w:r w:rsidRPr="00CC73D8">
        <w:rPr>
          <w:rFonts w:ascii="Times New Roman" w:hAnsi="Times New Roman" w:cs="Times New Roman"/>
          <w:sz w:val="24"/>
          <w:szCs w:val="24"/>
          <w:lang w:eastAsia="en-AU"/>
        </w:rPr>
        <w:t xml:space="preserve"> </w:t>
      </w:r>
      <w:hyperlink r:id="rId15" w:history="1">
        <w:r w:rsidRPr="00BB66B5">
          <w:rPr>
            <w:rStyle w:val="Hyperlink"/>
            <w:rFonts w:ascii="Times New Roman" w:hAnsi="Times New Roman" w:cs="Times New Roman"/>
            <w:sz w:val="24"/>
            <w:szCs w:val="24"/>
          </w:rPr>
          <w:t>www.rehydrate.org/ors/expert-consultation.html</w:t>
        </w:r>
      </w:hyperlink>
      <w:r w:rsidRPr="00CC73D8">
        <w:rPr>
          <w:rFonts w:ascii="Times New Roman" w:hAnsi="Times New Roman" w:cs="Times New Roman"/>
          <w:sz w:val="24"/>
          <w:szCs w:val="24"/>
        </w:rPr>
        <w:t>.</w:t>
      </w:r>
    </w:p>
    <w:p w14:paraId="147C2040" w14:textId="3035EA7A" w:rsidR="005B70D2" w:rsidRPr="00FD612D" w:rsidRDefault="005B70D2" w:rsidP="001A7C14">
      <w:pPr>
        <w:autoSpaceDE w:val="0"/>
        <w:autoSpaceDN w:val="0"/>
        <w:adjustRightInd w:val="0"/>
        <w:spacing w:after="0"/>
        <w:rPr>
          <w:rFonts w:ascii="Times New Roman" w:eastAsia="Times New Roman" w:hAnsi="Times New Roman" w:cs="Times New Roman"/>
          <w:sz w:val="24"/>
          <w:szCs w:val="24"/>
          <w:lang w:eastAsia="en-AU"/>
        </w:rPr>
      </w:pPr>
    </w:p>
    <w:p w14:paraId="1F710CEF" w14:textId="1B5A99CD" w:rsidR="003034B3" w:rsidRPr="00FD612D" w:rsidRDefault="003034B3" w:rsidP="001A7C14">
      <w:pPr>
        <w:autoSpaceDE w:val="0"/>
        <w:autoSpaceDN w:val="0"/>
        <w:adjustRightInd w:val="0"/>
        <w:spacing w:after="0"/>
        <w:rPr>
          <w:rFonts w:ascii="Times New Roman" w:eastAsia="Times New Roman" w:hAnsi="Times New Roman" w:cs="Times New Roman"/>
          <w:sz w:val="24"/>
          <w:szCs w:val="24"/>
          <w:lang w:eastAsia="en-AU"/>
        </w:rPr>
      </w:pPr>
      <w:r w:rsidRPr="00FD612D">
        <w:rPr>
          <w:rFonts w:ascii="Times New Roman" w:eastAsia="Times New Roman" w:hAnsi="Times New Roman" w:cs="Times New Roman"/>
          <w:sz w:val="24"/>
          <w:szCs w:val="24"/>
          <w:lang w:eastAsia="en-AU"/>
        </w:rPr>
        <w:t xml:space="preserve">The Determination </w:t>
      </w:r>
      <w:r w:rsidR="00526197">
        <w:rPr>
          <w:rFonts w:ascii="Times New Roman" w:eastAsia="Times New Roman" w:hAnsi="Times New Roman" w:cs="Times New Roman"/>
          <w:sz w:val="24"/>
          <w:szCs w:val="24"/>
          <w:lang w:eastAsia="en-AU"/>
        </w:rPr>
        <w:t>also incorporates matters by reference</w:t>
      </w:r>
      <w:r w:rsidR="002C0561">
        <w:rPr>
          <w:rFonts w:ascii="Times New Roman" w:eastAsia="Times New Roman" w:hAnsi="Times New Roman" w:cs="Times New Roman"/>
          <w:sz w:val="24"/>
          <w:szCs w:val="24"/>
          <w:lang w:eastAsia="en-AU"/>
        </w:rPr>
        <w:t xml:space="preserve"> to</w:t>
      </w:r>
      <w:r>
        <w:rPr>
          <w:rFonts w:ascii="Times New Roman" w:eastAsia="Times New Roman" w:hAnsi="Times New Roman" w:cs="Times New Roman"/>
          <w:sz w:val="24"/>
          <w:szCs w:val="24"/>
          <w:lang w:eastAsia="en-AU"/>
        </w:rPr>
        <w:t xml:space="preserve"> </w:t>
      </w:r>
      <w:r w:rsidR="00526197">
        <w:rPr>
          <w:rFonts w:ascii="Times New Roman" w:eastAsia="Times New Roman" w:hAnsi="Times New Roman" w:cs="Times New Roman"/>
          <w:sz w:val="24"/>
          <w:szCs w:val="24"/>
          <w:lang w:eastAsia="en-AU"/>
        </w:rPr>
        <w:t>the</w:t>
      </w:r>
      <w:r>
        <w:rPr>
          <w:rFonts w:ascii="Times New Roman" w:eastAsia="Times New Roman" w:hAnsi="Times New Roman" w:cs="Times New Roman"/>
          <w:sz w:val="24"/>
          <w:szCs w:val="24"/>
          <w:lang w:eastAsia="en-AU"/>
        </w:rPr>
        <w:t xml:space="preserve"> ‘code tables’ </w:t>
      </w:r>
      <w:r w:rsidR="00526197">
        <w:rPr>
          <w:rFonts w:ascii="Times New Roman" w:eastAsia="Times New Roman" w:hAnsi="Times New Roman" w:cs="Times New Roman"/>
          <w:sz w:val="24"/>
          <w:szCs w:val="24"/>
          <w:lang w:eastAsia="en-AU"/>
        </w:rPr>
        <w:t xml:space="preserve">and </w:t>
      </w:r>
      <w:r w:rsidR="002C0561">
        <w:rPr>
          <w:rFonts w:ascii="Times New Roman" w:eastAsia="Times New Roman" w:hAnsi="Times New Roman" w:cs="Times New Roman"/>
          <w:sz w:val="24"/>
          <w:szCs w:val="24"/>
          <w:lang w:eastAsia="en-AU"/>
        </w:rPr>
        <w:t>the ‘TGA eBusiness Services’</w:t>
      </w:r>
      <w:r w:rsidR="00526197">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in section 4. Th</w:t>
      </w:r>
      <w:r w:rsidR="002C0561">
        <w:rPr>
          <w:rFonts w:ascii="Times New Roman" w:eastAsia="Times New Roman" w:hAnsi="Times New Roman" w:cs="Times New Roman"/>
          <w:sz w:val="24"/>
          <w:szCs w:val="24"/>
          <w:lang w:eastAsia="en-AU"/>
        </w:rPr>
        <w:t>e</w:t>
      </w:r>
      <w:r>
        <w:rPr>
          <w:rFonts w:ascii="Times New Roman" w:eastAsia="Times New Roman" w:hAnsi="Times New Roman" w:cs="Times New Roman"/>
          <w:sz w:val="24"/>
          <w:szCs w:val="24"/>
          <w:lang w:eastAsia="en-AU"/>
        </w:rPr>
        <w:t xml:space="preserve"> </w:t>
      </w:r>
      <w:r w:rsidR="002C0561">
        <w:rPr>
          <w:rFonts w:ascii="Times New Roman" w:eastAsia="Times New Roman" w:hAnsi="Times New Roman" w:cs="Times New Roman"/>
          <w:sz w:val="24"/>
          <w:szCs w:val="24"/>
          <w:lang w:eastAsia="en-AU"/>
        </w:rPr>
        <w:t>code tables</w:t>
      </w:r>
      <w:r>
        <w:rPr>
          <w:rFonts w:ascii="Times New Roman" w:eastAsia="Times New Roman" w:hAnsi="Times New Roman" w:cs="Times New Roman"/>
          <w:sz w:val="24"/>
          <w:szCs w:val="24"/>
          <w:lang w:eastAsia="en-AU"/>
        </w:rPr>
        <w:t xml:space="preserve"> </w:t>
      </w:r>
      <w:r w:rsidR="002C0561">
        <w:rPr>
          <w:rFonts w:ascii="Times New Roman" w:eastAsia="Times New Roman" w:hAnsi="Times New Roman" w:cs="Times New Roman"/>
          <w:sz w:val="24"/>
          <w:szCs w:val="24"/>
          <w:lang w:eastAsia="en-AU"/>
        </w:rPr>
        <w:t xml:space="preserve">are </w:t>
      </w:r>
      <w:r>
        <w:rPr>
          <w:rFonts w:ascii="Times New Roman" w:eastAsia="Times New Roman" w:hAnsi="Times New Roman" w:cs="Times New Roman"/>
          <w:sz w:val="24"/>
          <w:szCs w:val="24"/>
          <w:lang w:eastAsia="en-AU"/>
        </w:rPr>
        <w:t xml:space="preserve">defined as the tables accessed </w:t>
      </w:r>
      <w:r w:rsidRPr="003034B3">
        <w:rPr>
          <w:rFonts w:ascii="Times New Roman" w:eastAsia="Times New Roman" w:hAnsi="Times New Roman" w:cs="Times New Roman"/>
          <w:sz w:val="24"/>
          <w:szCs w:val="24"/>
          <w:lang w:eastAsia="en-AU"/>
        </w:rPr>
        <w:t xml:space="preserve">via the </w:t>
      </w:r>
      <w:r w:rsidRPr="00FD612D">
        <w:rPr>
          <w:rFonts w:ascii="Times New Roman" w:eastAsia="Times New Roman" w:hAnsi="Times New Roman" w:cs="Times New Roman"/>
          <w:i/>
          <w:iCs/>
          <w:sz w:val="24"/>
          <w:szCs w:val="24"/>
          <w:lang w:eastAsia="en-AU"/>
        </w:rPr>
        <w:t>Code Tables</w:t>
      </w:r>
      <w:r w:rsidRPr="003034B3">
        <w:rPr>
          <w:rFonts w:ascii="Times New Roman" w:eastAsia="Times New Roman" w:hAnsi="Times New Roman" w:cs="Times New Roman"/>
          <w:sz w:val="24"/>
          <w:szCs w:val="24"/>
          <w:lang w:eastAsia="en-AU"/>
        </w:rPr>
        <w:t xml:space="preserve"> item in the </w:t>
      </w:r>
      <w:r w:rsidRPr="00FD612D">
        <w:rPr>
          <w:rFonts w:ascii="Times New Roman" w:eastAsia="Times New Roman" w:hAnsi="Times New Roman" w:cs="Times New Roman"/>
          <w:i/>
          <w:iCs/>
          <w:sz w:val="24"/>
          <w:szCs w:val="24"/>
          <w:lang w:eastAsia="en-AU"/>
        </w:rPr>
        <w:t>Public TGA Information</w:t>
      </w:r>
      <w:r w:rsidRPr="003034B3">
        <w:rPr>
          <w:rFonts w:ascii="Times New Roman" w:eastAsia="Times New Roman" w:hAnsi="Times New Roman" w:cs="Times New Roman"/>
          <w:sz w:val="24"/>
          <w:szCs w:val="24"/>
          <w:lang w:eastAsia="en-AU"/>
        </w:rPr>
        <w:t xml:space="preserve"> menu in TGA eBusiness Services</w:t>
      </w:r>
      <w:r>
        <w:rPr>
          <w:rFonts w:ascii="Times New Roman" w:eastAsia="Times New Roman" w:hAnsi="Times New Roman" w:cs="Times New Roman"/>
          <w:sz w:val="24"/>
          <w:szCs w:val="24"/>
          <w:lang w:eastAsia="en-AU"/>
        </w:rPr>
        <w:t xml:space="preserve">. </w:t>
      </w:r>
      <w:r w:rsidR="001A786B">
        <w:rPr>
          <w:rFonts w:ascii="Times New Roman" w:eastAsia="Times New Roman" w:hAnsi="Times New Roman" w:cs="Times New Roman"/>
          <w:sz w:val="24"/>
          <w:szCs w:val="24"/>
          <w:lang w:eastAsia="en-AU"/>
        </w:rPr>
        <w:t>‘</w:t>
      </w:r>
      <w:r w:rsidRPr="003034B3">
        <w:rPr>
          <w:rFonts w:ascii="Times New Roman" w:eastAsia="Times New Roman" w:hAnsi="Times New Roman" w:cs="Times New Roman"/>
          <w:sz w:val="24"/>
          <w:szCs w:val="24"/>
          <w:lang w:eastAsia="en-AU"/>
        </w:rPr>
        <w:t>TGA eBusiness Services</w:t>
      </w:r>
      <w:r w:rsidR="001A786B">
        <w:rPr>
          <w:rFonts w:ascii="Times New Roman" w:eastAsia="Times New Roman" w:hAnsi="Times New Roman" w:cs="Times New Roman"/>
          <w:sz w:val="24"/>
          <w:szCs w:val="24"/>
          <w:lang w:eastAsia="en-AU"/>
        </w:rPr>
        <w:t>’</w:t>
      </w:r>
      <w:r w:rsidRPr="003034B3">
        <w:rPr>
          <w:rFonts w:ascii="Times New Roman" w:eastAsia="Times New Roman" w:hAnsi="Times New Roman" w:cs="Times New Roman"/>
          <w:sz w:val="24"/>
          <w:szCs w:val="24"/>
          <w:lang w:eastAsia="en-AU"/>
        </w:rPr>
        <w:t xml:space="preserve"> </w:t>
      </w:r>
      <w:r w:rsidR="001A786B">
        <w:rPr>
          <w:rFonts w:ascii="Times New Roman" w:eastAsia="Times New Roman" w:hAnsi="Times New Roman" w:cs="Times New Roman"/>
          <w:sz w:val="24"/>
          <w:szCs w:val="24"/>
          <w:lang w:eastAsia="en-AU"/>
        </w:rPr>
        <w:t>is defined as meaning</w:t>
      </w:r>
      <w:r w:rsidRPr="003034B3">
        <w:rPr>
          <w:rFonts w:ascii="Times New Roman" w:eastAsia="Times New Roman" w:hAnsi="Times New Roman" w:cs="Times New Roman"/>
          <w:sz w:val="24"/>
          <w:szCs w:val="24"/>
          <w:lang w:eastAsia="en-AU"/>
        </w:rPr>
        <w:t xml:space="preserve"> TGA eBusiness Services on the Therapeutic Goods Administration website, which may be accessed on the internet at www.ebs.tga.gov.au.</w:t>
      </w:r>
      <w:r w:rsidR="001A786B">
        <w:rPr>
          <w:rFonts w:ascii="Times New Roman" w:eastAsia="Times New Roman" w:hAnsi="Times New Roman" w:cs="Times New Roman"/>
          <w:sz w:val="24"/>
          <w:szCs w:val="24"/>
          <w:lang w:eastAsia="en-AU"/>
        </w:rPr>
        <w:t xml:space="preserve"> </w:t>
      </w:r>
      <w:r w:rsidR="002C0561">
        <w:rPr>
          <w:rFonts w:ascii="Times New Roman" w:eastAsia="Times New Roman" w:hAnsi="Times New Roman" w:cs="Times New Roman"/>
          <w:sz w:val="24"/>
          <w:szCs w:val="24"/>
          <w:lang w:eastAsia="en-AU"/>
        </w:rPr>
        <w:t>Both t</w:t>
      </w:r>
      <w:r w:rsidR="001A786B">
        <w:rPr>
          <w:rFonts w:ascii="Times New Roman" w:eastAsia="Times New Roman" w:hAnsi="Times New Roman" w:cs="Times New Roman"/>
          <w:sz w:val="24"/>
          <w:szCs w:val="24"/>
          <w:lang w:eastAsia="en-AU"/>
        </w:rPr>
        <w:t>he code tables accessed in TGA eBusiness Services</w:t>
      </w:r>
      <w:r w:rsidR="002C0561">
        <w:rPr>
          <w:rFonts w:ascii="Times New Roman" w:eastAsia="Times New Roman" w:hAnsi="Times New Roman" w:cs="Times New Roman"/>
          <w:sz w:val="24"/>
          <w:szCs w:val="24"/>
          <w:lang w:eastAsia="en-AU"/>
        </w:rPr>
        <w:t>, and the TGA eBusiness Services,</w:t>
      </w:r>
      <w:r w:rsidR="001A786B">
        <w:rPr>
          <w:rFonts w:ascii="Times New Roman" w:eastAsia="Times New Roman" w:hAnsi="Times New Roman" w:cs="Times New Roman"/>
          <w:sz w:val="24"/>
          <w:szCs w:val="24"/>
          <w:lang w:eastAsia="en-AU"/>
        </w:rPr>
        <w:t xml:space="preserve"> are incorporated as in force or existing from time to time, </w:t>
      </w:r>
      <w:r w:rsidR="001A786B">
        <w:rPr>
          <w:rFonts w:ascii="Times New Roman" w:hAnsi="Times New Roman" w:cs="Times New Roman"/>
          <w:sz w:val="24"/>
          <w:szCs w:val="24"/>
        </w:rPr>
        <w:t xml:space="preserve">as permitted by subsection 26BB(8) of the Act. They are </w:t>
      </w:r>
      <w:r w:rsidR="002C0561">
        <w:rPr>
          <w:rFonts w:ascii="Times New Roman" w:hAnsi="Times New Roman" w:cs="Times New Roman"/>
          <w:sz w:val="24"/>
          <w:szCs w:val="24"/>
        </w:rPr>
        <w:t xml:space="preserve">both </w:t>
      </w:r>
      <w:r w:rsidR="001A786B">
        <w:rPr>
          <w:rFonts w:ascii="Times New Roman" w:hAnsi="Times New Roman" w:cs="Times New Roman"/>
          <w:sz w:val="24"/>
          <w:szCs w:val="24"/>
        </w:rPr>
        <w:t>freely available from the TGA website.</w:t>
      </w:r>
    </w:p>
    <w:p w14:paraId="4BAEFBF6" w14:textId="77777777" w:rsidR="003034B3" w:rsidRPr="00FD612D" w:rsidRDefault="003034B3" w:rsidP="001A7C14">
      <w:pPr>
        <w:autoSpaceDE w:val="0"/>
        <w:autoSpaceDN w:val="0"/>
        <w:adjustRightInd w:val="0"/>
        <w:spacing w:after="0"/>
        <w:rPr>
          <w:rFonts w:ascii="Times New Roman" w:eastAsia="Times New Roman" w:hAnsi="Times New Roman" w:cs="Times New Roman"/>
          <w:sz w:val="24"/>
          <w:szCs w:val="24"/>
          <w:lang w:eastAsia="en-AU"/>
        </w:rPr>
      </w:pPr>
    </w:p>
    <w:p w14:paraId="69313021" w14:textId="201DA6DB" w:rsidR="0050197A" w:rsidRDefault="0050197A" w:rsidP="001A7C1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lang w:eastAsia="en-AU"/>
        </w:rPr>
        <w:t>While unfortunately the pharmacopoeia and the FCC are not available for free,</w:t>
      </w:r>
      <w:r w:rsidRPr="00A2081A">
        <w:rPr>
          <w:rFonts w:ascii="Times New Roman" w:hAnsi="Times New Roman" w:cs="Times New Roman"/>
          <w:sz w:val="24"/>
          <w:szCs w:val="24"/>
          <w:lang w:eastAsia="en-AU"/>
        </w:rPr>
        <w:t xml:space="preserve"> </w:t>
      </w:r>
      <w:r>
        <w:rPr>
          <w:rFonts w:ascii="Times New Roman" w:hAnsi="Times New Roman" w:cs="Times New Roman"/>
          <w:sz w:val="24"/>
          <w:szCs w:val="24"/>
          <w:lang w:eastAsia="en-AU"/>
        </w:rPr>
        <w:t>i</w:t>
      </w:r>
      <w:r w:rsidRPr="00A2081A">
        <w:rPr>
          <w:rFonts w:ascii="Times New Roman" w:hAnsi="Times New Roman" w:cs="Times New Roman"/>
          <w:sz w:val="24"/>
          <w:szCs w:val="24"/>
          <w:lang w:eastAsia="en-AU"/>
        </w:rPr>
        <w:t xml:space="preserve">t is anticipated that </w:t>
      </w:r>
      <w:r>
        <w:rPr>
          <w:rFonts w:ascii="Times New Roman" w:hAnsi="Times New Roman" w:cs="Times New Roman"/>
          <w:sz w:val="24"/>
          <w:szCs w:val="24"/>
          <w:lang w:eastAsia="en-AU"/>
        </w:rPr>
        <w:t>the persons most affected by their adoption in this Determination (</w:t>
      </w:r>
      <w:r w:rsidRPr="00A2081A">
        <w:rPr>
          <w:rFonts w:ascii="Times New Roman" w:hAnsi="Times New Roman" w:cs="Times New Roman"/>
          <w:sz w:val="24"/>
          <w:szCs w:val="24"/>
          <w:lang w:eastAsia="en-AU"/>
        </w:rPr>
        <w:t>sponsor</w:t>
      </w:r>
      <w:r>
        <w:rPr>
          <w:rFonts w:ascii="Times New Roman" w:hAnsi="Times New Roman" w:cs="Times New Roman"/>
          <w:sz w:val="24"/>
          <w:szCs w:val="24"/>
          <w:lang w:eastAsia="en-AU"/>
        </w:rPr>
        <w:t>s</w:t>
      </w:r>
      <w:r w:rsidRPr="00A2081A">
        <w:rPr>
          <w:rFonts w:ascii="Times New Roman" w:hAnsi="Times New Roman" w:cs="Times New Roman"/>
          <w:sz w:val="24"/>
          <w:szCs w:val="24"/>
          <w:lang w:eastAsia="en-AU"/>
        </w:rPr>
        <w:t xml:space="preserve"> of</w:t>
      </w:r>
      <w:r>
        <w:rPr>
          <w:rFonts w:ascii="Times New Roman" w:hAnsi="Times New Roman" w:cs="Times New Roman"/>
          <w:sz w:val="24"/>
          <w:szCs w:val="24"/>
          <w:lang w:eastAsia="en-AU"/>
        </w:rPr>
        <w:t> </w:t>
      </w:r>
      <w:r w:rsidRPr="00A2081A">
        <w:rPr>
          <w:rFonts w:ascii="Times New Roman" w:hAnsi="Times New Roman" w:cs="Times New Roman"/>
          <w:sz w:val="24"/>
          <w:szCs w:val="24"/>
          <w:lang w:eastAsia="en-AU"/>
        </w:rPr>
        <w:t>medicine</w:t>
      </w:r>
      <w:r>
        <w:rPr>
          <w:rFonts w:ascii="Times New Roman" w:hAnsi="Times New Roman" w:cs="Times New Roman"/>
          <w:sz w:val="24"/>
          <w:szCs w:val="24"/>
          <w:lang w:eastAsia="en-AU"/>
        </w:rPr>
        <w:t>s</w:t>
      </w:r>
      <w:r w:rsidRPr="00A2081A">
        <w:rPr>
          <w:rFonts w:ascii="Times New Roman" w:hAnsi="Times New Roman" w:cs="Times New Roman"/>
          <w:sz w:val="24"/>
          <w:szCs w:val="24"/>
          <w:lang w:eastAsia="en-AU"/>
        </w:rPr>
        <w:t xml:space="preserve"> included in the </w:t>
      </w:r>
      <w:r>
        <w:rPr>
          <w:rFonts w:ascii="Times New Roman" w:hAnsi="Times New Roman" w:cs="Times New Roman"/>
          <w:sz w:val="24"/>
          <w:szCs w:val="24"/>
          <w:lang w:eastAsia="en-AU"/>
        </w:rPr>
        <w:t>Register</w:t>
      </w:r>
      <w:r w:rsidRPr="00A2081A">
        <w:rPr>
          <w:rFonts w:ascii="Times New Roman" w:hAnsi="Times New Roman" w:cs="Times New Roman"/>
          <w:sz w:val="24"/>
          <w:szCs w:val="24"/>
          <w:lang w:eastAsia="en-AU"/>
        </w:rPr>
        <w:t xml:space="preserve"> and other interested persons in the medicine</w:t>
      </w:r>
      <w:r>
        <w:rPr>
          <w:rFonts w:ascii="Times New Roman" w:hAnsi="Times New Roman" w:cs="Times New Roman"/>
          <w:sz w:val="24"/>
          <w:szCs w:val="24"/>
          <w:lang w:eastAsia="en-AU"/>
        </w:rPr>
        <w:t xml:space="preserve">s industry using the Determination), </w:t>
      </w:r>
      <w:r w:rsidRPr="00A2081A">
        <w:rPr>
          <w:rFonts w:ascii="Times New Roman" w:hAnsi="Times New Roman" w:cs="Times New Roman"/>
          <w:sz w:val="24"/>
          <w:szCs w:val="24"/>
          <w:lang w:eastAsia="en-AU"/>
        </w:rPr>
        <w:t xml:space="preserve">would be in possession of these </w:t>
      </w:r>
      <w:r>
        <w:rPr>
          <w:rFonts w:ascii="Times New Roman" w:hAnsi="Times New Roman" w:cs="Times New Roman"/>
          <w:sz w:val="24"/>
          <w:szCs w:val="24"/>
          <w:lang w:eastAsia="en-AU"/>
        </w:rPr>
        <w:t>documents</w:t>
      </w:r>
      <w:r w:rsidRPr="00A2081A">
        <w:rPr>
          <w:rFonts w:ascii="Times New Roman" w:hAnsi="Times New Roman" w:cs="Times New Roman"/>
          <w:sz w:val="24"/>
          <w:szCs w:val="24"/>
          <w:lang w:eastAsia="en-AU"/>
        </w:rPr>
        <w:t xml:space="preserve"> </w:t>
      </w:r>
      <w:proofErr w:type="gramStart"/>
      <w:r w:rsidRPr="00A2081A">
        <w:rPr>
          <w:rFonts w:ascii="Times New Roman" w:hAnsi="Times New Roman" w:cs="Times New Roman"/>
          <w:sz w:val="24"/>
          <w:szCs w:val="24"/>
          <w:lang w:eastAsia="en-AU"/>
        </w:rPr>
        <w:t>in order to</w:t>
      </w:r>
      <w:proofErr w:type="gramEnd"/>
      <w:r w:rsidRPr="00A2081A">
        <w:rPr>
          <w:rFonts w:ascii="Times New Roman" w:hAnsi="Times New Roman" w:cs="Times New Roman"/>
          <w:sz w:val="24"/>
          <w:szCs w:val="24"/>
          <w:lang w:eastAsia="en-AU"/>
        </w:rPr>
        <w:t xml:space="preserve"> manufacture medicine</w:t>
      </w:r>
      <w:r>
        <w:rPr>
          <w:rFonts w:ascii="Times New Roman" w:hAnsi="Times New Roman" w:cs="Times New Roman"/>
          <w:sz w:val="24"/>
          <w:szCs w:val="24"/>
          <w:lang w:eastAsia="en-AU"/>
        </w:rPr>
        <w:t>s</w:t>
      </w:r>
      <w:r w:rsidRPr="00A2081A">
        <w:rPr>
          <w:rFonts w:ascii="Times New Roman" w:hAnsi="Times New Roman" w:cs="Times New Roman"/>
          <w:sz w:val="24"/>
          <w:szCs w:val="24"/>
          <w:lang w:eastAsia="en-AU"/>
        </w:rPr>
        <w:t xml:space="preserve"> or ingredients</w:t>
      </w:r>
      <w:r>
        <w:rPr>
          <w:rFonts w:ascii="Times New Roman" w:hAnsi="Times New Roman" w:cs="Times New Roman"/>
          <w:sz w:val="24"/>
          <w:szCs w:val="24"/>
          <w:lang w:eastAsia="en-AU"/>
        </w:rPr>
        <w:t>.</w:t>
      </w:r>
      <w:r w:rsidR="00E60C26">
        <w:rPr>
          <w:rFonts w:ascii="Times New Roman" w:hAnsi="Times New Roman" w:cs="Times New Roman"/>
          <w:sz w:val="24"/>
          <w:szCs w:val="24"/>
        </w:rPr>
        <w:t xml:space="preserve"> </w:t>
      </w:r>
      <w:r w:rsidRPr="00B13B06">
        <w:rPr>
          <w:rFonts w:ascii="Times New Roman" w:hAnsi="Times New Roman" w:cs="Times New Roman"/>
          <w:sz w:val="24"/>
          <w:szCs w:val="24"/>
        </w:rPr>
        <w:t xml:space="preserve">As important international benchmarks for the safety and quality of therapeutic goods, it would be </w:t>
      </w:r>
      <w:r>
        <w:rPr>
          <w:rFonts w:ascii="Times New Roman" w:hAnsi="Times New Roman" w:cs="Times New Roman"/>
          <w:sz w:val="24"/>
          <w:szCs w:val="24"/>
        </w:rPr>
        <w:t>in</w:t>
      </w:r>
      <w:r w:rsidRPr="00B13B06">
        <w:rPr>
          <w:rFonts w:ascii="Times New Roman" w:hAnsi="Times New Roman" w:cs="Times New Roman"/>
          <w:sz w:val="24"/>
          <w:szCs w:val="24"/>
        </w:rPr>
        <w:t xml:space="preserve">feasible from a regulatory perspective </w:t>
      </w:r>
      <w:r>
        <w:rPr>
          <w:rFonts w:ascii="Times New Roman" w:hAnsi="Times New Roman" w:cs="Times New Roman"/>
          <w:sz w:val="24"/>
          <w:szCs w:val="24"/>
        </w:rPr>
        <w:t xml:space="preserve">(particularly in relation to the safety of listed medicines that are not, for the most part, evaluated before being given marketing approval) </w:t>
      </w:r>
      <w:r w:rsidRPr="00B13B06">
        <w:rPr>
          <w:rFonts w:ascii="Times New Roman" w:hAnsi="Times New Roman" w:cs="Times New Roman"/>
          <w:sz w:val="24"/>
          <w:szCs w:val="24"/>
        </w:rPr>
        <w:t xml:space="preserve">to not adopt such benchmarks </w:t>
      </w:r>
      <w:r>
        <w:rPr>
          <w:rFonts w:ascii="Times New Roman" w:hAnsi="Times New Roman" w:cs="Times New Roman"/>
          <w:sz w:val="24"/>
          <w:szCs w:val="24"/>
        </w:rPr>
        <w:t>on the basis that</w:t>
      </w:r>
      <w:r w:rsidRPr="00B13B06">
        <w:rPr>
          <w:rFonts w:ascii="Times New Roman" w:hAnsi="Times New Roman" w:cs="Times New Roman"/>
          <w:sz w:val="24"/>
          <w:szCs w:val="24"/>
        </w:rPr>
        <w:t xml:space="preserve"> the</w:t>
      </w:r>
      <w:r>
        <w:rPr>
          <w:rFonts w:ascii="Times New Roman" w:hAnsi="Times New Roman" w:cs="Times New Roman"/>
          <w:sz w:val="24"/>
          <w:szCs w:val="24"/>
        </w:rPr>
        <w:t xml:space="preserve"> publications</w:t>
      </w:r>
      <w:r w:rsidRPr="00B13B06">
        <w:rPr>
          <w:rFonts w:ascii="Times New Roman" w:hAnsi="Times New Roman" w:cs="Times New Roman"/>
          <w:sz w:val="24"/>
          <w:szCs w:val="24"/>
        </w:rPr>
        <w:t xml:space="preserve"> are not available for free.</w:t>
      </w:r>
    </w:p>
    <w:p w14:paraId="5988E2FA" w14:textId="77777777" w:rsidR="005B70D2" w:rsidRPr="007A52D3" w:rsidRDefault="005B70D2" w:rsidP="001A7C14">
      <w:pPr>
        <w:autoSpaceDE w:val="0"/>
        <w:autoSpaceDN w:val="0"/>
        <w:adjustRightInd w:val="0"/>
        <w:spacing w:after="0"/>
        <w:rPr>
          <w:rFonts w:ascii="Times New Roman" w:hAnsi="Times New Roman" w:cs="Times New Roman"/>
          <w:sz w:val="24"/>
          <w:szCs w:val="24"/>
        </w:rPr>
      </w:pPr>
    </w:p>
    <w:p w14:paraId="350BBCA7" w14:textId="422AD208" w:rsidR="00E715AB" w:rsidRDefault="00E715AB" w:rsidP="001A7C14">
      <w:pPr>
        <w:autoSpaceDE w:val="0"/>
        <w:autoSpaceDN w:val="0"/>
        <w:adjustRightInd w:val="0"/>
        <w:spacing w:after="0"/>
        <w:rPr>
          <w:rFonts w:ascii="Times New Roman" w:hAnsi="Times New Roman" w:cs="Times New Roman"/>
          <w:sz w:val="24"/>
          <w:szCs w:val="24"/>
        </w:rPr>
      </w:pPr>
      <w:r w:rsidRPr="00CA165D">
        <w:rPr>
          <w:rFonts w:ascii="Times New Roman" w:hAnsi="Times New Roman" w:cs="Times New Roman"/>
          <w:sz w:val="24"/>
          <w:szCs w:val="24"/>
        </w:rPr>
        <w:t>However, by prior written arrangement</w:t>
      </w:r>
      <w:r>
        <w:rPr>
          <w:rFonts w:ascii="Times New Roman" w:hAnsi="Times New Roman" w:cs="Times New Roman"/>
          <w:sz w:val="24"/>
          <w:szCs w:val="24"/>
        </w:rPr>
        <w:t xml:space="preserve"> with the TGA</w:t>
      </w:r>
      <w:r w:rsidRPr="00CA165D">
        <w:rPr>
          <w:rFonts w:ascii="Times New Roman" w:hAnsi="Times New Roman" w:cs="Times New Roman"/>
          <w:sz w:val="24"/>
          <w:szCs w:val="24"/>
        </w:rPr>
        <w:t xml:space="preserve">, </w:t>
      </w:r>
      <w:r>
        <w:rPr>
          <w:rFonts w:ascii="Times New Roman" w:hAnsi="Times New Roman" w:cs="Times New Roman"/>
          <w:sz w:val="24"/>
          <w:szCs w:val="24"/>
        </w:rPr>
        <w:t xml:space="preserve">members of the public may </w:t>
      </w:r>
      <w:r w:rsidR="00E9229B">
        <w:rPr>
          <w:rFonts w:ascii="Times New Roman" w:hAnsi="Times New Roman" w:cs="Times New Roman"/>
          <w:sz w:val="24"/>
          <w:szCs w:val="24"/>
        </w:rPr>
        <w:t>arrange</w:t>
      </w:r>
      <w:r>
        <w:rPr>
          <w:rFonts w:ascii="Times New Roman" w:hAnsi="Times New Roman" w:cs="Times New Roman"/>
          <w:sz w:val="24"/>
          <w:szCs w:val="24"/>
        </w:rPr>
        <w:t xml:space="preserve"> to view the</w:t>
      </w:r>
      <w:r w:rsidRPr="00CA165D">
        <w:rPr>
          <w:rFonts w:ascii="Times New Roman" w:hAnsi="Times New Roman" w:cs="Times New Roman"/>
          <w:sz w:val="24"/>
          <w:szCs w:val="24"/>
        </w:rPr>
        <w:t xml:space="preserve"> pharmacopoeia </w:t>
      </w:r>
      <w:r>
        <w:rPr>
          <w:rFonts w:ascii="Times New Roman" w:hAnsi="Times New Roman" w:cs="Times New Roman"/>
          <w:sz w:val="24"/>
          <w:szCs w:val="24"/>
        </w:rPr>
        <w:t xml:space="preserve">and the FCC without charge </w:t>
      </w:r>
      <w:r w:rsidRPr="00CA165D">
        <w:rPr>
          <w:rFonts w:ascii="Times New Roman" w:hAnsi="Times New Roman" w:cs="Times New Roman"/>
          <w:sz w:val="24"/>
          <w:szCs w:val="24"/>
        </w:rPr>
        <w:t>at the TGA office in</w:t>
      </w:r>
      <w:r w:rsidR="00776305">
        <w:rPr>
          <w:rFonts w:ascii="Times New Roman" w:hAnsi="Times New Roman" w:cs="Times New Roman"/>
          <w:sz w:val="24"/>
          <w:szCs w:val="24"/>
        </w:rPr>
        <w:t xml:space="preserve"> Fairbairn</w:t>
      </w:r>
      <w:r w:rsidRPr="00CA165D">
        <w:rPr>
          <w:rFonts w:ascii="Times New Roman" w:hAnsi="Times New Roman" w:cs="Times New Roman"/>
          <w:sz w:val="24"/>
          <w:szCs w:val="24"/>
        </w:rPr>
        <w:t>, ACT.</w:t>
      </w:r>
    </w:p>
    <w:p w14:paraId="6FDE1CA2" w14:textId="77777777" w:rsidR="005B70D2" w:rsidRPr="007A52D3" w:rsidRDefault="005B70D2" w:rsidP="001A7C14">
      <w:pPr>
        <w:autoSpaceDE w:val="0"/>
        <w:autoSpaceDN w:val="0"/>
        <w:adjustRightInd w:val="0"/>
        <w:spacing w:after="0"/>
        <w:rPr>
          <w:rFonts w:ascii="Times New Roman" w:hAnsi="Times New Roman" w:cs="Times New Roman"/>
          <w:sz w:val="24"/>
          <w:szCs w:val="24"/>
        </w:rPr>
      </w:pPr>
    </w:p>
    <w:p w14:paraId="1F1060FE" w14:textId="6A497BC2" w:rsidR="0050197A" w:rsidRDefault="0050197A" w:rsidP="001A7C14">
      <w:pPr>
        <w:autoSpaceDE w:val="0"/>
        <w:autoSpaceDN w:val="0"/>
        <w:adjustRightInd w:val="0"/>
        <w:spacing w:after="0"/>
        <w:rPr>
          <w:rFonts w:ascii="Times New Roman" w:hAnsi="Times New Roman" w:cs="Times New Roman"/>
          <w:sz w:val="24"/>
          <w:szCs w:val="24"/>
        </w:rPr>
      </w:pPr>
      <w:r w:rsidRPr="00B13B06">
        <w:rPr>
          <w:rFonts w:ascii="Times New Roman" w:hAnsi="Times New Roman" w:cs="Times New Roman"/>
          <w:sz w:val="24"/>
          <w:szCs w:val="24"/>
        </w:rPr>
        <w:t xml:space="preserve">It should </w:t>
      </w:r>
      <w:r>
        <w:rPr>
          <w:rFonts w:ascii="Times New Roman" w:hAnsi="Times New Roman" w:cs="Times New Roman"/>
          <w:sz w:val="24"/>
          <w:szCs w:val="24"/>
        </w:rPr>
        <w:t xml:space="preserve">also </w:t>
      </w:r>
      <w:r w:rsidRPr="00B13B06">
        <w:rPr>
          <w:rFonts w:ascii="Times New Roman" w:hAnsi="Times New Roman" w:cs="Times New Roman"/>
          <w:sz w:val="24"/>
          <w:szCs w:val="24"/>
        </w:rPr>
        <w:t>be noted</w:t>
      </w:r>
      <w:r w:rsidR="00DC56A0">
        <w:rPr>
          <w:rFonts w:ascii="Times New Roman" w:hAnsi="Times New Roman" w:cs="Times New Roman"/>
          <w:sz w:val="24"/>
          <w:szCs w:val="24"/>
        </w:rPr>
        <w:t>, in relation to the pharmacopoeia,</w:t>
      </w:r>
      <w:r w:rsidRPr="00B13B06">
        <w:rPr>
          <w:rFonts w:ascii="Times New Roman" w:hAnsi="Times New Roman" w:cs="Times New Roman"/>
          <w:sz w:val="24"/>
          <w:szCs w:val="24"/>
        </w:rPr>
        <w:t xml:space="preserve"> that the National Library’s Trove online system (</w:t>
      </w:r>
      <w:hyperlink r:id="rId16" w:history="1">
        <w:r w:rsidRPr="00BB66B5">
          <w:rPr>
            <w:rStyle w:val="Hyperlink"/>
            <w:rFonts w:ascii="Times New Roman" w:hAnsi="Times New Roman" w:cs="Times New Roman"/>
            <w:sz w:val="24"/>
            <w:szCs w:val="24"/>
          </w:rPr>
          <w:t>www.trove.nla.gov.au/</w:t>
        </w:r>
      </w:hyperlink>
      <w:r w:rsidRPr="00B13B06">
        <w:rPr>
          <w:rFonts w:ascii="Times New Roman" w:hAnsi="Times New Roman" w:cs="Times New Roman"/>
          <w:sz w:val="24"/>
          <w:szCs w:val="24"/>
        </w:rPr>
        <w:t>) allows users to identify libraries in Australia that are open to the public where editions</w:t>
      </w:r>
      <w:r>
        <w:rPr>
          <w:rFonts w:ascii="Times New Roman" w:hAnsi="Times New Roman" w:cs="Times New Roman"/>
          <w:sz w:val="24"/>
          <w:szCs w:val="24"/>
        </w:rPr>
        <w:t xml:space="preserve"> </w:t>
      </w:r>
      <w:r w:rsidRPr="00B13B06">
        <w:rPr>
          <w:rFonts w:ascii="Times New Roman" w:hAnsi="Times New Roman" w:cs="Times New Roman"/>
          <w:sz w:val="24"/>
          <w:szCs w:val="24"/>
        </w:rPr>
        <w:t>(in most cases, earlier</w:t>
      </w:r>
      <w:r>
        <w:rPr>
          <w:rFonts w:ascii="Times New Roman" w:hAnsi="Times New Roman" w:cs="Times New Roman"/>
          <w:sz w:val="24"/>
          <w:szCs w:val="24"/>
        </w:rPr>
        <w:t xml:space="preserve"> editions</w:t>
      </w:r>
      <w:r w:rsidRPr="00B13B06">
        <w:rPr>
          <w:rFonts w:ascii="Times New Roman" w:hAnsi="Times New Roman" w:cs="Times New Roman"/>
          <w:sz w:val="24"/>
          <w:szCs w:val="24"/>
        </w:rPr>
        <w:t>)</w:t>
      </w:r>
      <w:r>
        <w:rPr>
          <w:rFonts w:ascii="Times New Roman" w:hAnsi="Times New Roman" w:cs="Times New Roman"/>
          <w:sz w:val="24"/>
          <w:szCs w:val="24"/>
        </w:rPr>
        <w:t xml:space="preserve"> </w:t>
      </w:r>
      <w:r w:rsidRPr="00B13B06">
        <w:rPr>
          <w:rFonts w:ascii="Times New Roman" w:hAnsi="Times New Roman" w:cs="Times New Roman"/>
          <w:sz w:val="24"/>
          <w:szCs w:val="24"/>
        </w:rPr>
        <w:t xml:space="preserve">of the pharmacopoeia may be viewed (for example, the University of Tasmania or the University of Western Australia in relation to the </w:t>
      </w:r>
      <w:r>
        <w:rPr>
          <w:rFonts w:ascii="Times New Roman" w:hAnsi="Times New Roman" w:cs="Times New Roman"/>
          <w:sz w:val="24"/>
          <w:szCs w:val="24"/>
        </w:rPr>
        <w:t>British Pharmacopoeia</w:t>
      </w:r>
      <w:r w:rsidRPr="00B13B06">
        <w:rPr>
          <w:rFonts w:ascii="Times New Roman" w:hAnsi="Times New Roman" w:cs="Times New Roman"/>
          <w:sz w:val="24"/>
          <w:szCs w:val="24"/>
        </w:rPr>
        <w:t>).</w:t>
      </w:r>
      <w:r w:rsidR="00E60C26">
        <w:rPr>
          <w:rFonts w:ascii="Times New Roman" w:hAnsi="Times New Roman" w:cs="Times New Roman"/>
          <w:sz w:val="24"/>
          <w:szCs w:val="24"/>
        </w:rPr>
        <w:t xml:space="preserve"> </w:t>
      </w:r>
      <w:r w:rsidRPr="00B13B06">
        <w:rPr>
          <w:rFonts w:ascii="Times New Roman" w:hAnsi="Times New Roman" w:cs="Times New Roman"/>
          <w:sz w:val="24"/>
          <w:szCs w:val="24"/>
        </w:rPr>
        <w:t xml:space="preserve">Members of the public may also approach any library that participates in inter-library loans </w:t>
      </w:r>
      <w:r>
        <w:rPr>
          <w:rFonts w:ascii="Times New Roman" w:hAnsi="Times New Roman" w:cs="Times New Roman"/>
          <w:sz w:val="24"/>
          <w:szCs w:val="24"/>
        </w:rPr>
        <w:t xml:space="preserve">with those university libraries </w:t>
      </w:r>
      <w:r w:rsidRPr="00B13B06">
        <w:rPr>
          <w:rFonts w:ascii="Times New Roman" w:hAnsi="Times New Roman" w:cs="Times New Roman"/>
          <w:sz w:val="24"/>
          <w:szCs w:val="24"/>
        </w:rPr>
        <w:t xml:space="preserve">to request an inter-library loan, </w:t>
      </w:r>
      <w:r>
        <w:rPr>
          <w:rFonts w:ascii="Times New Roman" w:hAnsi="Times New Roman" w:cs="Times New Roman"/>
          <w:sz w:val="24"/>
          <w:szCs w:val="24"/>
        </w:rPr>
        <w:t xml:space="preserve">or </w:t>
      </w:r>
      <w:r w:rsidRPr="00B13B06">
        <w:rPr>
          <w:rFonts w:ascii="Times New Roman" w:hAnsi="Times New Roman" w:cs="Times New Roman"/>
          <w:sz w:val="24"/>
          <w:szCs w:val="24"/>
        </w:rPr>
        <w:t>to obtain a photocopy of a particular part or monograph for personal study or research (but not for commercial purposes)</w:t>
      </w:r>
      <w:r w:rsidR="003034B3">
        <w:rPr>
          <w:rFonts w:ascii="Times New Roman" w:hAnsi="Times New Roman" w:cs="Times New Roman"/>
          <w:sz w:val="24"/>
          <w:szCs w:val="24"/>
        </w:rPr>
        <w:t>. Fees apply in relation to the making of such a request.</w:t>
      </w:r>
      <w:r w:rsidRPr="00B13B06">
        <w:rPr>
          <w:rFonts w:ascii="Times New Roman" w:hAnsi="Times New Roman" w:cs="Times New Roman"/>
          <w:sz w:val="24"/>
          <w:szCs w:val="24"/>
        </w:rPr>
        <w:t xml:space="preserve"> </w:t>
      </w:r>
      <w:r w:rsidR="003034B3">
        <w:rPr>
          <w:rFonts w:ascii="Times New Roman" w:hAnsi="Times New Roman" w:cs="Times New Roman"/>
          <w:sz w:val="24"/>
          <w:szCs w:val="24"/>
        </w:rPr>
        <w:t>E</w:t>
      </w:r>
      <w:r w:rsidRPr="00B13B06">
        <w:rPr>
          <w:rFonts w:ascii="Times New Roman" w:hAnsi="Times New Roman" w:cs="Times New Roman"/>
          <w:sz w:val="24"/>
          <w:szCs w:val="24"/>
        </w:rPr>
        <w:t>nquiries should be made with local libraries, State libraries and the National Library.</w:t>
      </w:r>
    </w:p>
    <w:p w14:paraId="113CA7A3" w14:textId="77777777" w:rsidR="005B70D2" w:rsidRPr="007A52D3" w:rsidRDefault="005B70D2" w:rsidP="001A7C14">
      <w:pPr>
        <w:autoSpaceDE w:val="0"/>
        <w:autoSpaceDN w:val="0"/>
        <w:adjustRightInd w:val="0"/>
        <w:spacing w:after="0"/>
        <w:rPr>
          <w:rFonts w:ascii="Times New Roman" w:hAnsi="Times New Roman" w:cs="Times New Roman"/>
          <w:sz w:val="24"/>
          <w:szCs w:val="24"/>
        </w:rPr>
      </w:pPr>
    </w:p>
    <w:p w14:paraId="5265C58B" w14:textId="56DB8B99" w:rsidR="0050197A" w:rsidRDefault="0050197A" w:rsidP="001A7C1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F</w:t>
      </w:r>
      <w:r w:rsidRPr="00331C88">
        <w:rPr>
          <w:rFonts w:ascii="Times New Roman" w:hAnsi="Times New Roman" w:cs="Times New Roman"/>
          <w:sz w:val="24"/>
          <w:szCs w:val="24"/>
        </w:rPr>
        <w:t xml:space="preserve">or example, Trove indicates that free access to the </w:t>
      </w:r>
      <w:r>
        <w:rPr>
          <w:rFonts w:ascii="Times New Roman" w:hAnsi="Times New Roman" w:cs="Times New Roman"/>
          <w:sz w:val="24"/>
          <w:szCs w:val="24"/>
        </w:rPr>
        <w:t xml:space="preserve">2004 version of the European Pharmacopoeia </w:t>
      </w:r>
      <w:r w:rsidRPr="00331C88">
        <w:rPr>
          <w:rFonts w:ascii="Times New Roman" w:hAnsi="Times New Roman" w:cs="Times New Roman"/>
          <w:sz w:val="24"/>
          <w:szCs w:val="24"/>
        </w:rPr>
        <w:t>is av</w:t>
      </w:r>
      <w:r>
        <w:rPr>
          <w:rFonts w:ascii="Times New Roman" w:hAnsi="Times New Roman" w:cs="Times New Roman"/>
          <w:sz w:val="24"/>
          <w:szCs w:val="24"/>
        </w:rPr>
        <w:t xml:space="preserve">ailable through Open University </w:t>
      </w:r>
      <w:r w:rsidRPr="00331C88">
        <w:rPr>
          <w:rFonts w:ascii="Times New Roman" w:hAnsi="Times New Roman" w:cs="Times New Roman"/>
          <w:sz w:val="24"/>
          <w:szCs w:val="24"/>
        </w:rPr>
        <w:t>(</w:t>
      </w:r>
      <w:hyperlink r:id="rId17" w:history="1">
        <w:r w:rsidRPr="00BB66B5">
          <w:rPr>
            <w:rStyle w:val="Hyperlink"/>
            <w:rFonts w:ascii="Times New Roman" w:hAnsi="Times New Roman" w:cs="Times New Roman"/>
            <w:sz w:val="24"/>
            <w:szCs w:val="24"/>
          </w:rPr>
          <w:t>www.openlibrary.org/books/OL22071008M/European_pharmacopoeia</w:t>
        </w:r>
      </w:hyperlink>
      <w:r w:rsidRPr="00331C88">
        <w:rPr>
          <w:rFonts w:ascii="Times New Roman" w:hAnsi="Times New Roman" w:cs="Times New Roman"/>
          <w:sz w:val="24"/>
          <w:szCs w:val="24"/>
        </w:rPr>
        <w:t>),</w:t>
      </w:r>
      <w:r>
        <w:rPr>
          <w:rFonts w:ascii="Times New Roman" w:hAnsi="Times New Roman" w:cs="Times New Roman"/>
          <w:sz w:val="24"/>
          <w:szCs w:val="24"/>
        </w:rPr>
        <w:t xml:space="preserve"> </w:t>
      </w:r>
      <w:r w:rsidRPr="00331C88">
        <w:rPr>
          <w:rFonts w:ascii="Times New Roman" w:hAnsi="Times New Roman" w:cs="Times New Roman"/>
          <w:sz w:val="24"/>
          <w:szCs w:val="24"/>
        </w:rPr>
        <w:t>and that access to</w:t>
      </w:r>
      <w:r>
        <w:rPr>
          <w:rFonts w:ascii="Times New Roman" w:hAnsi="Times New Roman" w:cs="Times New Roman"/>
          <w:sz w:val="24"/>
          <w:szCs w:val="24"/>
        </w:rPr>
        <w:t> </w:t>
      </w:r>
      <w:r w:rsidRPr="00331C88">
        <w:rPr>
          <w:rFonts w:ascii="Times New Roman" w:hAnsi="Times New Roman" w:cs="Times New Roman"/>
          <w:sz w:val="24"/>
          <w:szCs w:val="24"/>
        </w:rPr>
        <w:t>the 1996 edi</w:t>
      </w:r>
      <w:r>
        <w:rPr>
          <w:rFonts w:ascii="Times New Roman" w:hAnsi="Times New Roman" w:cs="Times New Roman"/>
          <w:sz w:val="24"/>
          <w:szCs w:val="24"/>
        </w:rPr>
        <w:t>tion of the FCC</w:t>
      </w:r>
      <w:r w:rsidRPr="00331C88">
        <w:rPr>
          <w:rFonts w:ascii="Times New Roman" w:hAnsi="Times New Roman" w:cs="Times New Roman"/>
          <w:sz w:val="24"/>
          <w:szCs w:val="24"/>
        </w:rPr>
        <w:t xml:space="preserve"> is available at the University of Melbourne Library and the Hawksbury Campus Library of the Western Sydney University</w:t>
      </w:r>
      <w:r>
        <w:rPr>
          <w:rFonts w:ascii="Times New Roman" w:hAnsi="Times New Roman" w:cs="Times New Roman"/>
          <w:sz w:val="24"/>
          <w:szCs w:val="24"/>
        </w:rPr>
        <w:t>, which are</w:t>
      </w:r>
      <w:r w:rsidRPr="00331C88">
        <w:rPr>
          <w:rFonts w:ascii="Times New Roman" w:hAnsi="Times New Roman" w:cs="Times New Roman"/>
          <w:sz w:val="24"/>
          <w:szCs w:val="24"/>
        </w:rPr>
        <w:t xml:space="preserve"> both open to the public.</w:t>
      </w:r>
    </w:p>
    <w:p w14:paraId="7C177C36" w14:textId="77777777" w:rsidR="005B70D2" w:rsidRPr="007A52D3" w:rsidRDefault="005B70D2" w:rsidP="001A7C14">
      <w:pPr>
        <w:autoSpaceDE w:val="0"/>
        <w:autoSpaceDN w:val="0"/>
        <w:adjustRightInd w:val="0"/>
        <w:spacing w:after="0"/>
        <w:rPr>
          <w:rFonts w:ascii="Times New Roman" w:hAnsi="Times New Roman" w:cs="Times New Roman"/>
          <w:sz w:val="24"/>
          <w:szCs w:val="24"/>
        </w:rPr>
      </w:pPr>
    </w:p>
    <w:p w14:paraId="25583419" w14:textId="0BB66386" w:rsidR="0050197A" w:rsidRDefault="0050197A" w:rsidP="001A7C14">
      <w:pPr>
        <w:autoSpaceDE w:val="0"/>
        <w:autoSpaceDN w:val="0"/>
        <w:adjustRightInd w:val="0"/>
        <w:spacing w:after="0"/>
        <w:rPr>
          <w:rFonts w:ascii="Times New Roman" w:hAnsi="Times New Roman" w:cs="Times New Roman"/>
          <w:sz w:val="24"/>
          <w:szCs w:val="24"/>
        </w:rPr>
      </w:pPr>
      <w:r w:rsidRPr="00953BDD">
        <w:rPr>
          <w:rFonts w:ascii="Times New Roman" w:hAnsi="Times New Roman" w:cs="Times New Roman"/>
          <w:sz w:val="24"/>
          <w:szCs w:val="24"/>
        </w:rPr>
        <w:t xml:space="preserve">Details of the Determination are set out in </w:t>
      </w:r>
      <w:r w:rsidRPr="006B644D">
        <w:rPr>
          <w:rFonts w:ascii="Times New Roman" w:hAnsi="Times New Roman" w:cs="Times New Roman"/>
          <w:b/>
          <w:sz w:val="24"/>
          <w:szCs w:val="24"/>
        </w:rPr>
        <w:t>Attachment A</w:t>
      </w:r>
      <w:r w:rsidRPr="00953BDD">
        <w:rPr>
          <w:rFonts w:ascii="Times New Roman" w:hAnsi="Times New Roman" w:cs="Times New Roman"/>
          <w:sz w:val="24"/>
          <w:szCs w:val="24"/>
        </w:rPr>
        <w:t>.</w:t>
      </w:r>
    </w:p>
    <w:p w14:paraId="6F14BAE2" w14:textId="77777777" w:rsidR="005B70D2" w:rsidRPr="007A52D3" w:rsidRDefault="005B70D2" w:rsidP="001A7C14">
      <w:pPr>
        <w:autoSpaceDE w:val="0"/>
        <w:autoSpaceDN w:val="0"/>
        <w:adjustRightInd w:val="0"/>
        <w:spacing w:after="0"/>
        <w:rPr>
          <w:rFonts w:ascii="Times New Roman" w:hAnsi="Times New Roman" w:cs="Times New Roman"/>
          <w:sz w:val="24"/>
          <w:szCs w:val="24"/>
        </w:rPr>
      </w:pPr>
    </w:p>
    <w:p w14:paraId="43D36B50" w14:textId="2C96F02F" w:rsidR="0050197A" w:rsidRDefault="0050197A" w:rsidP="001A7C14">
      <w:pPr>
        <w:autoSpaceDE w:val="0"/>
        <w:autoSpaceDN w:val="0"/>
        <w:adjustRightInd w:val="0"/>
        <w:spacing w:after="0"/>
        <w:rPr>
          <w:rFonts w:ascii="Times New Roman" w:hAnsi="Times New Roman" w:cs="Times New Roman"/>
          <w:sz w:val="24"/>
          <w:szCs w:val="24"/>
        </w:rPr>
      </w:pPr>
      <w:r w:rsidRPr="00953BDD">
        <w:rPr>
          <w:rFonts w:ascii="Times New Roman" w:hAnsi="Times New Roman" w:cs="Times New Roman"/>
          <w:sz w:val="24"/>
          <w:szCs w:val="24"/>
        </w:rPr>
        <w:t xml:space="preserve">The Determination is compatible with the human rights and freedoms recognised or declared under section 3 of the </w:t>
      </w:r>
      <w:r w:rsidRPr="00953BDD">
        <w:rPr>
          <w:rFonts w:ascii="Times New Roman" w:hAnsi="Times New Roman" w:cs="Times New Roman"/>
          <w:i/>
          <w:sz w:val="24"/>
          <w:szCs w:val="24"/>
        </w:rPr>
        <w:t>Human Rights (Parliamentary Scrutiny) Act 2011</w:t>
      </w:r>
      <w:r w:rsidRPr="00953BDD">
        <w:rPr>
          <w:rFonts w:ascii="Times New Roman" w:hAnsi="Times New Roman" w:cs="Times New Roman"/>
          <w:sz w:val="24"/>
          <w:szCs w:val="24"/>
        </w:rPr>
        <w:t>.</w:t>
      </w:r>
      <w:r w:rsidR="00E60C26">
        <w:rPr>
          <w:rFonts w:ascii="Times New Roman" w:hAnsi="Times New Roman" w:cs="Times New Roman"/>
          <w:sz w:val="24"/>
          <w:szCs w:val="24"/>
        </w:rPr>
        <w:t xml:space="preserve"> </w:t>
      </w:r>
      <w:r w:rsidRPr="00953BDD">
        <w:rPr>
          <w:rFonts w:ascii="Times New Roman" w:hAnsi="Times New Roman" w:cs="Times New Roman"/>
          <w:sz w:val="24"/>
          <w:szCs w:val="24"/>
        </w:rPr>
        <w:t xml:space="preserve">A full statement of compatibility is set out in </w:t>
      </w:r>
      <w:r w:rsidRPr="006B644D">
        <w:rPr>
          <w:rFonts w:ascii="Times New Roman" w:hAnsi="Times New Roman" w:cs="Times New Roman"/>
          <w:b/>
          <w:sz w:val="24"/>
          <w:szCs w:val="24"/>
        </w:rPr>
        <w:t>Attachment B</w:t>
      </w:r>
      <w:r w:rsidRPr="00953BDD">
        <w:rPr>
          <w:rFonts w:ascii="Times New Roman" w:hAnsi="Times New Roman" w:cs="Times New Roman"/>
          <w:sz w:val="24"/>
          <w:szCs w:val="24"/>
        </w:rPr>
        <w:t>.</w:t>
      </w:r>
    </w:p>
    <w:p w14:paraId="59D103B8" w14:textId="77777777" w:rsidR="005B70D2" w:rsidRPr="007A52D3" w:rsidRDefault="005B70D2" w:rsidP="001A7C14">
      <w:pPr>
        <w:autoSpaceDE w:val="0"/>
        <w:autoSpaceDN w:val="0"/>
        <w:adjustRightInd w:val="0"/>
        <w:spacing w:after="0"/>
        <w:rPr>
          <w:rFonts w:ascii="Times New Roman" w:hAnsi="Times New Roman" w:cs="Times New Roman"/>
          <w:sz w:val="24"/>
          <w:szCs w:val="24"/>
        </w:rPr>
      </w:pPr>
    </w:p>
    <w:p w14:paraId="42B80A9F" w14:textId="2895745B" w:rsidR="005B70D2" w:rsidRPr="007A52D3" w:rsidRDefault="0050197A" w:rsidP="001A7C14">
      <w:pPr>
        <w:autoSpaceDE w:val="0"/>
        <w:autoSpaceDN w:val="0"/>
        <w:adjustRightInd w:val="0"/>
        <w:spacing w:after="0"/>
        <w:rPr>
          <w:rFonts w:ascii="Times New Roman" w:eastAsia="Times New Roman" w:hAnsi="Times New Roman" w:cs="Times New Roman"/>
          <w:sz w:val="24"/>
          <w:szCs w:val="24"/>
          <w:lang w:eastAsia="en-AU"/>
        </w:rPr>
      </w:pPr>
      <w:r w:rsidRPr="00953BDD">
        <w:rPr>
          <w:rFonts w:ascii="Times New Roman" w:hAnsi="Times New Roman" w:cs="Times New Roman"/>
          <w:sz w:val="24"/>
          <w:szCs w:val="24"/>
        </w:rPr>
        <w:t xml:space="preserve">This Determination is a disallowable legislative </w:t>
      </w:r>
      <w:r w:rsidRPr="008929E8">
        <w:rPr>
          <w:rFonts w:ascii="Times New Roman" w:hAnsi="Times New Roman" w:cs="Times New Roman"/>
          <w:sz w:val="24"/>
          <w:szCs w:val="24"/>
        </w:rPr>
        <w:t xml:space="preserve">instrument </w:t>
      </w:r>
      <w:r w:rsidRPr="00D01BFB">
        <w:rPr>
          <w:rFonts w:ascii="Times New Roman" w:hAnsi="Times New Roman" w:cs="Times New Roman"/>
          <w:sz w:val="24"/>
          <w:szCs w:val="24"/>
        </w:rPr>
        <w:t xml:space="preserve">for the purposes of the </w:t>
      </w:r>
      <w:r w:rsidRPr="00D01BFB">
        <w:rPr>
          <w:rFonts w:ascii="Times New Roman" w:hAnsi="Times New Roman" w:cs="Times New Roman"/>
          <w:i/>
          <w:sz w:val="24"/>
          <w:szCs w:val="24"/>
        </w:rPr>
        <w:t>Legislation Act 2003</w:t>
      </w:r>
      <w:r w:rsidRPr="008929E8">
        <w:rPr>
          <w:rFonts w:ascii="Times New Roman" w:hAnsi="Times New Roman" w:cs="Times New Roman"/>
          <w:sz w:val="24"/>
          <w:szCs w:val="24"/>
        </w:rPr>
        <w:t>,</w:t>
      </w:r>
      <w:r>
        <w:rPr>
          <w:rFonts w:ascii="Times New Roman" w:hAnsi="Times New Roman" w:cs="Times New Roman"/>
          <w:sz w:val="24"/>
          <w:szCs w:val="24"/>
        </w:rPr>
        <w:t xml:space="preserve"> </w:t>
      </w:r>
      <w:r w:rsidRPr="009F78E6">
        <w:rPr>
          <w:rFonts w:ascii="Times New Roman" w:hAnsi="Times New Roman" w:cs="Times New Roman"/>
          <w:sz w:val="24"/>
          <w:szCs w:val="24"/>
        </w:rPr>
        <w:t xml:space="preserve">and </w:t>
      </w:r>
      <w:r w:rsidRPr="00B16682">
        <w:rPr>
          <w:rFonts w:ascii="Times New Roman" w:hAnsi="Times New Roman" w:cs="Times New Roman"/>
          <w:sz w:val="24"/>
          <w:szCs w:val="24"/>
        </w:rPr>
        <w:t xml:space="preserve">commences </w:t>
      </w:r>
      <w:r w:rsidR="005119A8">
        <w:rPr>
          <w:rFonts w:ascii="Times New Roman" w:hAnsi="Times New Roman" w:cs="Times New Roman"/>
          <w:sz w:val="24"/>
          <w:szCs w:val="24"/>
        </w:rPr>
        <w:t xml:space="preserve">on </w:t>
      </w:r>
      <w:r w:rsidR="00CB73FB">
        <w:rPr>
          <w:rFonts w:ascii="Times New Roman" w:hAnsi="Times New Roman" w:cs="Times New Roman"/>
          <w:sz w:val="24"/>
          <w:szCs w:val="24"/>
        </w:rPr>
        <w:t>1 May 2023</w:t>
      </w:r>
      <w:r w:rsidR="00FE52D9">
        <w:rPr>
          <w:rFonts w:ascii="Times New Roman" w:hAnsi="Times New Roman" w:cs="Times New Roman"/>
          <w:sz w:val="24"/>
          <w:szCs w:val="24"/>
        </w:rPr>
        <w:t>.</w:t>
      </w:r>
    </w:p>
    <w:p w14:paraId="4F8CA9DD" w14:textId="5306B0C3" w:rsidR="0029115B" w:rsidRDefault="0050197A" w:rsidP="00ED7851">
      <w:pPr>
        <w:spacing w:before="100" w:beforeAutospacing="1" w:after="100" w:afterAutospacing="1" w:line="240" w:lineRule="auto"/>
        <w:jc w:val="right"/>
        <w:rPr>
          <w:rFonts w:ascii="Times New Roman" w:eastAsia="Times New Roman" w:hAnsi="Times New Roman" w:cs="Times New Roman"/>
          <w:b/>
          <w:sz w:val="24"/>
          <w:szCs w:val="24"/>
          <w:lang w:eastAsia="en-AU"/>
        </w:rPr>
      </w:pPr>
      <w:r w:rsidRPr="00CF4F5B">
        <w:rPr>
          <w:rFonts w:ascii="Times New Roman" w:eastAsia="Times New Roman" w:hAnsi="Times New Roman" w:cs="Times New Roman"/>
          <w:sz w:val="24"/>
          <w:szCs w:val="24"/>
          <w:lang w:eastAsia="en-AU"/>
        </w:rPr>
        <w:br w:type="page"/>
      </w:r>
      <w:r w:rsidR="0040312B" w:rsidRPr="0040312B">
        <w:rPr>
          <w:rFonts w:ascii="Times New Roman" w:eastAsia="Times New Roman" w:hAnsi="Times New Roman" w:cs="Times New Roman"/>
          <w:b/>
          <w:sz w:val="24"/>
          <w:szCs w:val="24"/>
          <w:lang w:eastAsia="en-AU"/>
        </w:rPr>
        <w:lastRenderedPageBreak/>
        <w:t>Attachment A</w:t>
      </w:r>
    </w:p>
    <w:p w14:paraId="625D6C8F" w14:textId="15D211EF" w:rsidR="0040312B" w:rsidRDefault="0040312B" w:rsidP="0040312B">
      <w:pPr>
        <w:spacing w:before="100" w:beforeAutospacing="1" w:after="100" w:afterAutospacing="1"/>
        <w:rPr>
          <w:rFonts w:ascii="Times New Roman" w:eastAsia="Times New Roman" w:hAnsi="Times New Roman" w:cs="Times New Roman"/>
          <w:sz w:val="24"/>
          <w:szCs w:val="24"/>
          <w:lang w:eastAsia="en-AU"/>
        </w:rPr>
      </w:pPr>
      <w:r>
        <w:rPr>
          <w:rFonts w:ascii="Times New Roman" w:eastAsia="Times New Roman" w:hAnsi="Times New Roman" w:cs="Times New Roman"/>
          <w:b/>
          <w:sz w:val="24"/>
          <w:szCs w:val="24"/>
          <w:lang w:eastAsia="en-AU"/>
        </w:rPr>
        <w:t xml:space="preserve">Details of the </w:t>
      </w:r>
      <w:r w:rsidRPr="0040312B">
        <w:rPr>
          <w:rFonts w:ascii="Times New Roman" w:eastAsia="Times New Roman" w:hAnsi="Times New Roman" w:cs="Times New Roman"/>
          <w:b/>
          <w:i/>
          <w:sz w:val="24"/>
          <w:szCs w:val="24"/>
          <w:lang w:eastAsia="en-AU"/>
        </w:rPr>
        <w:t xml:space="preserve">Therapeutic Goods (Permissible Ingredients) Determination </w:t>
      </w:r>
      <w:r w:rsidR="00045C71">
        <w:rPr>
          <w:rFonts w:ascii="Times New Roman" w:eastAsia="Times New Roman" w:hAnsi="Times New Roman" w:cs="Times New Roman"/>
          <w:b/>
          <w:i/>
          <w:sz w:val="24"/>
          <w:szCs w:val="24"/>
          <w:lang w:eastAsia="en-AU"/>
        </w:rPr>
        <w:t>(No.</w:t>
      </w:r>
      <w:r w:rsidR="00C92827">
        <w:rPr>
          <w:rFonts w:ascii="Times New Roman" w:eastAsia="Times New Roman" w:hAnsi="Times New Roman" w:cs="Times New Roman"/>
          <w:b/>
          <w:i/>
          <w:sz w:val="24"/>
          <w:szCs w:val="24"/>
          <w:lang w:eastAsia="en-AU"/>
        </w:rPr>
        <w:t xml:space="preserve"> </w:t>
      </w:r>
      <w:r w:rsidR="00D61505">
        <w:rPr>
          <w:rFonts w:ascii="Times New Roman" w:eastAsia="Times New Roman" w:hAnsi="Times New Roman" w:cs="Times New Roman"/>
          <w:b/>
          <w:i/>
          <w:sz w:val="24"/>
          <w:szCs w:val="24"/>
          <w:lang w:eastAsia="en-AU"/>
        </w:rPr>
        <w:t>2</w:t>
      </w:r>
      <w:r w:rsidR="00045C71">
        <w:rPr>
          <w:rFonts w:ascii="Times New Roman" w:eastAsia="Times New Roman" w:hAnsi="Times New Roman" w:cs="Times New Roman"/>
          <w:b/>
          <w:i/>
          <w:sz w:val="24"/>
          <w:szCs w:val="24"/>
          <w:lang w:eastAsia="en-AU"/>
        </w:rPr>
        <w:t xml:space="preserve">) </w:t>
      </w:r>
      <w:r w:rsidRPr="0040312B">
        <w:rPr>
          <w:rFonts w:ascii="Times New Roman" w:eastAsia="Times New Roman" w:hAnsi="Times New Roman" w:cs="Times New Roman"/>
          <w:b/>
          <w:i/>
          <w:sz w:val="24"/>
          <w:szCs w:val="24"/>
          <w:lang w:eastAsia="en-AU"/>
        </w:rPr>
        <w:t>20</w:t>
      </w:r>
      <w:r w:rsidR="009A1C10">
        <w:rPr>
          <w:rFonts w:ascii="Times New Roman" w:eastAsia="Times New Roman" w:hAnsi="Times New Roman" w:cs="Times New Roman"/>
          <w:b/>
          <w:i/>
          <w:sz w:val="24"/>
          <w:szCs w:val="24"/>
          <w:lang w:eastAsia="en-AU"/>
        </w:rPr>
        <w:t>2</w:t>
      </w:r>
      <w:r w:rsidR="00C41257">
        <w:rPr>
          <w:rFonts w:ascii="Times New Roman" w:eastAsia="Times New Roman" w:hAnsi="Times New Roman" w:cs="Times New Roman"/>
          <w:b/>
          <w:i/>
          <w:sz w:val="24"/>
          <w:szCs w:val="24"/>
          <w:lang w:eastAsia="en-AU"/>
        </w:rPr>
        <w:t>3</w:t>
      </w:r>
    </w:p>
    <w:p w14:paraId="351A8BA8" w14:textId="5C42663F" w:rsidR="0040312B" w:rsidRDefault="0040312B" w:rsidP="001A7C14">
      <w:pPr>
        <w:autoSpaceDE w:val="0"/>
        <w:autoSpaceDN w:val="0"/>
        <w:adjustRightInd w:val="0"/>
        <w:spacing w:after="0"/>
        <w:rPr>
          <w:rFonts w:ascii="Times New Roman" w:eastAsia="Times New Roman" w:hAnsi="Times New Roman" w:cs="Times New Roman"/>
          <w:b/>
          <w:sz w:val="24"/>
          <w:szCs w:val="24"/>
          <w:lang w:eastAsia="en-AU"/>
        </w:rPr>
      </w:pPr>
      <w:r w:rsidRPr="0040312B">
        <w:rPr>
          <w:rFonts w:ascii="Times New Roman" w:eastAsia="Times New Roman" w:hAnsi="Times New Roman" w:cs="Times New Roman"/>
          <w:b/>
          <w:sz w:val="24"/>
          <w:szCs w:val="24"/>
          <w:lang w:eastAsia="en-AU"/>
        </w:rPr>
        <w:t xml:space="preserve">Section 1 </w:t>
      </w:r>
      <w:r w:rsidR="008F4502">
        <w:rPr>
          <w:rFonts w:ascii="Times New Roman" w:eastAsia="Times New Roman" w:hAnsi="Times New Roman" w:cs="Times New Roman"/>
          <w:b/>
          <w:sz w:val="24"/>
          <w:szCs w:val="24"/>
          <w:lang w:eastAsia="en-AU"/>
        </w:rPr>
        <w:t xml:space="preserve"> </w:t>
      </w:r>
      <w:r w:rsidRPr="0040312B">
        <w:rPr>
          <w:rFonts w:ascii="Times New Roman" w:eastAsia="Times New Roman" w:hAnsi="Times New Roman" w:cs="Times New Roman"/>
          <w:b/>
          <w:sz w:val="24"/>
          <w:szCs w:val="24"/>
          <w:lang w:eastAsia="en-AU"/>
        </w:rPr>
        <w:t>Name</w:t>
      </w:r>
    </w:p>
    <w:p w14:paraId="7A596BC1" w14:textId="77777777" w:rsidR="005B70D2" w:rsidRPr="00AD562B" w:rsidRDefault="005B70D2" w:rsidP="001A7C14">
      <w:pPr>
        <w:autoSpaceDE w:val="0"/>
        <w:autoSpaceDN w:val="0"/>
        <w:adjustRightInd w:val="0"/>
        <w:spacing w:after="0"/>
        <w:rPr>
          <w:rFonts w:ascii="Times New Roman" w:eastAsia="Times New Roman" w:hAnsi="Times New Roman" w:cs="Times New Roman"/>
          <w:b/>
          <w:bCs/>
          <w:sz w:val="24"/>
          <w:szCs w:val="24"/>
          <w:lang w:eastAsia="en-AU"/>
        </w:rPr>
      </w:pPr>
    </w:p>
    <w:p w14:paraId="566C8079" w14:textId="3706C887" w:rsidR="0040312B" w:rsidRDefault="0040312B" w:rsidP="001A7C14">
      <w:pPr>
        <w:autoSpaceDE w:val="0"/>
        <w:autoSpaceDN w:val="0"/>
        <w:adjustRightInd w:val="0"/>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section provides that the name of the </w:t>
      </w:r>
      <w:r w:rsidR="00C92827">
        <w:rPr>
          <w:rFonts w:ascii="Times New Roman" w:eastAsia="Times New Roman" w:hAnsi="Times New Roman" w:cs="Times New Roman"/>
          <w:sz w:val="24"/>
          <w:szCs w:val="24"/>
          <w:lang w:eastAsia="en-AU"/>
        </w:rPr>
        <w:t>instrument</w:t>
      </w:r>
      <w:r>
        <w:rPr>
          <w:rFonts w:ascii="Times New Roman" w:eastAsia="Times New Roman" w:hAnsi="Times New Roman" w:cs="Times New Roman"/>
          <w:sz w:val="24"/>
          <w:szCs w:val="24"/>
          <w:lang w:eastAsia="en-AU"/>
        </w:rPr>
        <w:t xml:space="preserve"> is the </w:t>
      </w:r>
      <w:r w:rsidRPr="00AE2E87">
        <w:rPr>
          <w:rFonts w:ascii="Times New Roman" w:eastAsia="Times New Roman" w:hAnsi="Times New Roman" w:cs="Times New Roman"/>
          <w:i/>
          <w:sz w:val="24"/>
          <w:szCs w:val="24"/>
          <w:lang w:eastAsia="en-AU"/>
        </w:rPr>
        <w:t xml:space="preserve">Therapeutic Goods (Permissible Ingredients) Determination </w:t>
      </w:r>
      <w:r w:rsidR="00045C71">
        <w:rPr>
          <w:rFonts w:ascii="Times New Roman" w:eastAsia="Times New Roman" w:hAnsi="Times New Roman" w:cs="Times New Roman"/>
          <w:i/>
          <w:sz w:val="24"/>
          <w:szCs w:val="24"/>
          <w:lang w:eastAsia="en-AU"/>
        </w:rPr>
        <w:t>(No.</w:t>
      </w:r>
      <w:r w:rsidR="00C92827">
        <w:rPr>
          <w:rFonts w:ascii="Times New Roman" w:eastAsia="Times New Roman" w:hAnsi="Times New Roman" w:cs="Times New Roman"/>
          <w:i/>
          <w:sz w:val="24"/>
          <w:szCs w:val="24"/>
          <w:lang w:eastAsia="en-AU"/>
        </w:rPr>
        <w:t xml:space="preserve"> </w:t>
      </w:r>
      <w:r w:rsidR="00BD6E24">
        <w:rPr>
          <w:rFonts w:ascii="Times New Roman" w:eastAsia="Times New Roman" w:hAnsi="Times New Roman" w:cs="Times New Roman"/>
          <w:i/>
          <w:sz w:val="24"/>
          <w:szCs w:val="24"/>
          <w:lang w:eastAsia="en-AU"/>
        </w:rPr>
        <w:t>2</w:t>
      </w:r>
      <w:r w:rsidR="00045C71">
        <w:rPr>
          <w:rFonts w:ascii="Times New Roman" w:eastAsia="Times New Roman" w:hAnsi="Times New Roman" w:cs="Times New Roman"/>
          <w:i/>
          <w:sz w:val="24"/>
          <w:szCs w:val="24"/>
          <w:lang w:eastAsia="en-AU"/>
        </w:rPr>
        <w:t xml:space="preserve">) </w:t>
      </w:r>
      <w:r w:rsidRPr="00AE2E87">
        <w:rPr>
          <w:rFonts w:ascii="Times New Roman" w:eastAsia="Times New Roman" w:hAnsi="Times New Roman" w:cs="Times New Roman"/>
          <w:i/>
          <w:sz w:val="24"/>
          <w:szCs w:val="24"/>
          <w:lang w:eastAsia="en-AU"/>
        </w:rPr>
        <w:t>20</w:t>
      </w:r>
      <w:r w:rsidR="009A1C10">
        <w:rPr>
          <w:rFonts w:ascii="Times New Roman" w:eastAsia="Times New Roman" w:hAnsi="Times New Roman" w:cs="Times New Roman"/>
          <w:i/>
          <w:sz w:val="24"/>
          <w:szCs w:val="24"/>
          <w:lang w:eastAsia="en-AU"/>
        </w:rPr>
        <w:t>2</w:t>
      </w:r>
      <w:r w:rsidR="00597F8F">
        <w:rPr>
          <w:rFonts w:ascii="Times New Roman" w:eastAsia="Times New Roman" w:hAnsi="Times New Roman" w:cs="Times New Roman"/>
          <w:i/>
          <w:sz w:val="24"/>
          <w:szCs w:val="24"/>
          <w:lang w:eastAsia="en-AU"/>
        </w:rPr>
        <w:t>3</w:t>
      </w:r>
      <w:r w:rsidR="00AE2E87">
        <w:rPr>
          <w:rFonts w:ascii="Times New Roman" w:eastAsia="Times New Roman" w:hAnsi="Times New Roman" w:cs="Times New Roman"/>
          <w:sz w:val="24"/>
          <w:szCs w:val="24"/>
          <w:lang w:eastAsia="en-AU"/>
        </w:rPr>
        <w:t xml:space="preserve"> (“the Determination”)</w:t>
      </w:r>
      <w:r>
        <w:rPr>
          <w:rFonts w:ascii="Times New Roman" w:eastAsia="Times New Roman" w:hAnsi="Times New Roman" w:cs="Times New Roman"/>
          <w:sz w:val="24"/>
          <w:szCs w:val="24"/>
          <w:lang w:eastAsia="en-AU"/>
        </w:rPr>
        <w:t>.</w:t>
      </w:r>
    </w:p>
    <w:p w14:paraId="2D769B9C" w14:textId="77777777" w:rsidR="0036611B" w:rsidRPr="007A52D3" w:rsidRDefault="0036611B" w:rsidP="001A7C14">
      <w:pPr>
        <w:autoSpaceDE w:val="0"/>
        <w:autoSpaceDN w:val="0"/>
        <w:adjustRightInd w:val="0"/>
        <w:spacing w:after="0"/>
        <w:rPr>
          <w:rFonts w:ascii="Times New Roman" w:eastAsia="Times New Roman" w:hAnsi="Times New Roman" w:cs="Times New Roman"/>
          <w:sz w:val="24"/>
          <w:szCs w:val="24"/>
          <w:lang w:eastAsia="en-AU"/>
        </w:rPr>
      </w:pPr>
    </w:p>
    <w:p w14:paraId="1B8996FF" w14:textId="470210B1" w:rsidR="0040312B" w:rsidRDefault="0040312B" w:rsidP="001A7C14">
      <w:pPr>
        <w:autoSpaceDE w:val="0"/>
        <w:autoSpaceDN w:val="0"/>
        <w:adjustRightInd w:val="0"/>
        <w:spacing w:after="0"/>
        <w:rPr>
          <w:rFonts w:ascii="Times New Roman" w:eastAsia="Times New Roman" w:hAnsi="Times New Roman" w:cs="Times New Roman"/>
          <w:b/>
          <w:sz w:val="24"/>
          <w:szCs w:val="24"/>
          <w:lang w:eastAsia="en-AU"/>
        </w:rPr>
      </w:pPr>
      <w:r w:rsidRPr="0040312B">
        <w:rPr>
          <w:rFonts w:ascii="Times New Roman" w:eastAsia="Times New Roman" w:hAnsi="Times New Roman" w:cs="Times New Roman"/>
          <w:b/>
          <w:sz w:val="24"/>
          <w:szCs w:val="24"/>
          <w:lang w:eastAsia="en-AU"/>
        </w:rPr>
        <w:t>Section 2</w:t>
      </w:r>
      <w:r w:rsidR="008F4502">
        <w:rPr>
          <w:rFonts w:ascii="Times New Roman" w:eastAsia="Times New Roman" w:hAnsi="Times New Roman" w:cs="Times New Roman"/>
          <w:b/>
          <w:sz w:val="24"/>
          <w:szCs w:val="24"/>
          <w:lang w:eastAsia="en-AU"/>
        </w:rPr>
        <w:t xml:space="preserve"> </w:t>
      </w:r>
      <w:r w:rsidRPr="0040312B">
        <w:rPr>
          <w:rFonts w:ascii="Times New Roman" w:eastAsia="Times New Roman" w:hAnsi="Times New Roman" w:cs="Times New Roman"/>
          <w:b/>
          <w:sz w:val="24"/>
          <w:szCs w:val="24"/>
          <w:lang w:eastAsia="en-AU"/>
        </w:rPr>
        <w:t xml:space="preserve"> Commencement</w:t>
      </w:r>
    </w:p>
    <w:p w14:paraId="3547213B" w14:textId="77777777" w:rsidR="0036611B" w:rsidRPr="00AD562B" w:rsidRDefault="0036611B" w:rsidP="001A7C14">
      <w:pPr>
        <w:autoSpaceDE w:val="0"/>
        <w:autoSpaceDN w:val="0"/>
        <w:adjustRightInd w:val="0"/>
        <w:spacing w:after="0"/>
        <w:rPr>
          <w:rFonts w:ascii="Times New Roman" w:eastAsia="Times New Roman" w:hAnsi="Times New Roman" w:cs="Times New Roman"/>
          <w:b/>
          <w:bCs/>
          <w:sz w:val="24"/>
          <w:szCs w:val="24"/>
          <w:lang w:eastAsia="en-AU"/>
        </w:rPr>
      </w:pPr>
    </w:p>
    <w:p w14:paraId="087283D7" w14:textId="0F06E028" w:rsidR="0050197A" w:rsidRPr="007A52D3" w:rsidRDefault="0050197A" w:rsidP="001A7C14">
      <w:pPr>
        <w:autoSpaceDE w:val="0"/>
        <w:autoSpaceDN w:val="0"/>
        <w:adjustRightInd w:val="0"/>
        <w:spacing w:after="0"/>
        <w:rPr>
          <w:rFonts w:ascii="Times New Roman" w:eastAsia="Times New Roman" w:hAnsi="Times New Roman" w:cs="Times New Roman"/>
          <w:sz w:val="24"/>
          <w:szCs w:val="24"/>
          <w:lang w:eastAsia="en-AU"/>
        </w:rPr>
      </w:pPr>
      <w:r w:rsidRPr="00607014">
        <w:rPr>
          <w:rFonts w:ascii="Times New Roman" w:eastAsia="Times New Roman" w:hAnsi="Times New Roman" w:cs="Times New Roman"/>
          <w:sz w:val="24"/>
          <w:szCs w:val="24"/>
          <w:lang w:eastAsia="en-AU"/>
        </w:rPr>
        <w:t xml:space="preserve">This section provides that the Determination </w:t>
      </w:r>
      <w:r w:rsidR="00FB4355" w:rsidRPr="00607014">
        <w:rPr>
          <w:rFonts w:ascii="Times New Roman" w:eastAsia="Times New Roman" w:hAnsi="Times New Roman" w:cs="Times New Roman"/>
          <w:sz w:val="24"/>
          <w:szCs w:val="24"/>
          <w:lang w:eastAsia="en-AU"/>
        </w:rPr>
        <w:t xml:space="preserve">commences </w:t>
      </w:r>
      <w:r w:rsidR="00C978DE">
        <w:rPr>
          <w:rFonts w:ascii="Times New Roman" w:eastAsia="Times New Roman" w:hAnsi="Times New Roman" w:cs="Times New Roman"/>
          <w:sz w:val="24"/>
          <w:szCs w:val="24"/>
          <w:lang w:eastAsia="en-AU"/>
        </w:rPr>
        <w:t>on</w:t>
      </w:r>
      <w:r w:rsidR="00FE52D9">
        <w:rPr>
          <w:rFonts w:ascii="Times New Roman" w:eastAsia="Times New Roman" w:hAnsi="Times New Roman" w:cs="Times New Roman"/>
          <w:sz w:val="24"/>
          <w:szCs w:val="24"/>
          <w:lang w:eastAsia="en-AU"/>
        </w:rPr>
        <w:t xml:space="preserve"> </w:t>
      </w:r>
      <w:r w:rsidR="00D61505">
        <w:rPr>
          <w:rFonts w:ascii="Times New Roman" w:eastAsia="Times New Roman" w:hAnsi="Times New Roman" w:cs="Times New Roman"/>
          <w:sz w:val="24"/>
          <w:szCs w:val="24"/>
          <w:lang w:eastAsia="en-AU"/>
        </w:rPr>
        <w:t>1 May 2023</w:t>
      </w:r>
      <w:r w:rsidRPr="00607014">
        <w:rPr>
          <w:rFonts w:ascii="Times New Roman" w:eastAsia="Times New Roman" w:hAnsi="Times New Roman" w:cs="Times New Roman"/>
          <w:sz w:val="24"/>
          <w:szCs w:val="24"/>
          <w:lang w:eastAsia="en-AU"/>
        </w:rPr>
        <w:t>.</w:t>
      </w:r>
    </w:p>
    <w:p w14:paraId="0771BF32" w14:textId="77777777" w:rsidR="0036611B" w:rsidRPr="007A52D3" w:rsidRDefault="0036611B" w:rsidP="001A7C14">
      <w:pPr>
        <w:autoSpaceDE w:val="0"/>
        <w:autoSpaceDN w:val="0"/>
        <w:adjustRightInd w:val="0"/>
        <w:spacing w:after="0"/>
        <w:rPr>
          <w:rFonts w:ascii="Times New Roman" w:eastAsia="Times New Roman" w:hAnsi="Times New Roman" w:cs="Times New Roman"/>
          <w:sz w:val="24"/>
          <w:szCs w:val="24"/>
          <w:lang w:eastAsia="en-AU"/>
        </w:rPr>
      </w:pPr>
    </w:p>
    <w:p w14:paraId="0EEDC031" w14:textId="3B94520C" w:rsidR="0040312B" w:rsidRDefault="0040312B" w:rsidP="001A7C14">
      <w:pPr>
        <w:autoSpaceDE w:val="0"/>
        <w:autoSpaceDN w:val="0"/>
        <w:adjustRightInd w:val="0"/>
        <w:spacing w:after="0"/>
        <w:rPr>
          <w:rFonts w:ascii="Times New Roman" w:eastAsia="Times New Roman" w:hAnsi="Times New Roman" w:cs="Times New Roman"/>
          <w:b/>
          <w:sz w:val="24"/>
          <w:szCs w:val="24"/>
          <w:lang w:eastAsia="en-AU"/>
        </w:rPr>
      </w:pPr>
      <w:r w:rsidRPr="0040312B">
        <w:rPr>
          <w:rFonts w:ascii="Times New Roman" w:eastAsia="Times New Roman" w:hAnsi="Times New Roman" w:cs="Times New Roman"/>
          <w:b/>
          <w:sz w:val="24"/>
          <w:szCs w:val="24"/>
          <w:lang w:eastAsia="en-AU"/>
        </w:rPr>
        <w:t xml:space="preserve">Section 3 </w:t>
      </w:r>
      <w:r w:rsidR="008F4502">
        <w:rPr>
          <w:rFonts w:ascii="Times New Roman" w:eastAsia="Times New Roman" w:hAnsi="Times New Roman" w:cs="Times New Roman"/>
          <w:b/>
          <w:sz w:val="24"/>
          <w:szCs w:val="24"/>
          <w:lang w:eastAsia="en-AU"/>
        </w:rPr>
        <w:t xml:space="preserve"> </w:t>
      </w:r>
      <w:r w:rsidRPr="0040312B">
        <w:rPr>
          <w:rFonts w:ascii="Times New Roman" w:eastAsia="Times New Roman" w:hAnsi="Times New Roman" w:cs="Times New Roman"/>
          <w:b/>
          <w:sz w:val="24"/>
          <w:szCs w:val="24"/>
          <w:lang w:eastAsia="en-AU"/>
        </w:rPr>
        <w:t>Authority</w:t>
      </w:r>
    </w:p>
    <w:p w14:paraId="441C748B" w14:textId="77777777" w:rsidR="0036611B" w:rsidRPr="00AD562B" w:rsidRDefault="0036611B" w:rsidP="001A7C14">
      <w:pPr>
        <w:autoSpaceDE w:val="0"/>
        <w:autoSpaceDN w:val="0"/>
        <w:adjustRightInd w:val="0"/>
        <w:spacing w:after="0"/>
        <w:rPr>
          <w:rFonts w:ascii="Times New Roman" w:eastAsia="Times New Roman" w:hAnsi="Times New Roman" w:cs="Times New Roman"/>
          <w:b/>
          <w:sz w:val="24"/>
          <w:szCs w:val="24"/>
          <w:lang w:eastAsia="en-AU"/>
        </w:rPr>
      </w:pPr>
    </w:p>
    <w:p w14:paraId="51F2D730" w14:textId="73ADCB18" w:rsidR="0040312B" w:rsidRDefault="0040312B" w:rsidP="001A7C14">
      <w:pPr>
        <w:autoSpaceDE w:val="0"/>
        <w:autoSpaceDN w:val="0"/>
        <w:adjustRightInd w:val="0"/>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section provides that the legislative authority for making the Determination is </w:t>
      </w:r>
      <w:r w:rsidR="00FB4355">
        <w:rPr>
          <w:rFonts w:ascii="Times New Roman" w:eastAsia="Times New Roman" w:hAnsi="Times New Roman" w:cs="Times New Roman"/>
          <w:sz w:val="24"/>
          <w:szCs w:val="24"/>
          <w:lang w:eastAsia="en-AU"/>
        </w:rPr>
        <w:t>sub</w:t>
      </w:r>
      <w:r>
        <w:rPr>
          <w:rFonts w:ascii="Times New Roman" w:eastAsia="Times New Roman" w:hAnsi="Times New Roman" w:cs="Times New Roman"/>
          <w:sz w:val="24"/>
          <w:szCs w:val="24"/>
          <w:lang w:eastAsia="en-AU"/>
        </w:rPr>
        <w:t>section 26B</w:t>
      </w:r>
      <w:r w:rsidR="001B7ED3">
        <w:rPr>
          <w:rFonts w:ascii="Times New Roman" w:eastAsia="Times New Roman" w:hAnsi="Times New Roman" w:cs="Times New Roman"/>
          <w:sz w:val="24"/>
          <w:szCs w:val="24"/>
          <w:lang w:eastAsia="en-AU"/>
        </w:rPr>
        <w:t>B(1)</w:t>
      </w:r>
      <w:r>
        <w:rPr>
          <w:rFonts w:ascii="Times New Roman" w:eastAsia="Times New Roman" w:hAnsi="Times New Roman" w:cs="Times New Roman"/>
          <w:sz w:val="24"/>
          <w:szCs w:val="24"/>
          <w:lang w:eastAsia="en-AU"/>
        </w:rPr>
        <w:t xml:space="preserve"> of the</w:t>
      </w:r>
      <w:r w:rsidR="00C92827">
        <w:rPr>
          <w:rFonts w:ascii="Times New Roman" w:eastAsia="Times New Roman" w:hAnsi="Times New Roman" w:cs="Times New Roman"/>
          <w:sz w:val="24"/>
          <w:szCs w:val="24"/>
          <w:lang w:eastAsia="en-AU"/>
        </w:rPr>
        <w:t xml:space="preserve"> </w:t>
      </w:r>
      <w:r w:rsidR="00C92827" w:rsidRPr="00AC41A5">
        <w:rPr>
          <w:rFonts w:ascii="Times New Roman" w:eastAsia="Times New Roman" w:hAnsi="Times New Roman" w:cs="Times New Roman"/>
          <w:i/>
          <w:sz w:val="24"/>
          <w:szCs w:val="24"/>
          <w:lang w:eastAsia="en-AU"/>
        </w:rPr>
        <w:t>Therapeutic Goods Act 1989</w:t>
      </w:r>
      <w:r w:rsidR="00C92827">
        <w:rPr>
          <w:rFonts w:ascii="Times New Roman" w:eastAsia="Times New Roman" w:hAnsi="Times New Roman" w:cs="Times New Roman"/>
          <w:sz w:val="24"/>
          <w:szCs w:val="24"/>
          <w:lang w:eastAsia="en-AU"/>
        </w:rPr>
        <w:t xml:space="preserve"> (“the</w:t>
      </w:r>
      <w:r>
        <w:rPr>
          <w:rFonts w:ascii="Times New Roman" w:eastAsia="Times New Roman" w:hAnsi="Times New Roman" w:cs="Times New Roman"/>
          <w:sz w:val="24"/>
          <w:szCs w:val="24"/>
          <w:lang w:eastAsia="en-AU"/>
        </w:rPr>
        <w:t xml:space="preserve"> Act</w:t>
      </w:r>
      <w:r w:rsidR="00C92827">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w:t>
      </w:r>
    </w:p>
    <w:p w14:paraId="6D555B37" w14:textId="77777777" w:rsidR="0036611B" w:rsidRDefault="0036611B" w:rsidP="001A7C14">
      <w:pPr>
        <w:autoSpaceDE w:val="0"/>
        <w:autoSpaceDN w:val="0"/>
        <w:adjustRightInd w:val="0"/>
        <w:spacing w:after="0"/>
        <w:rPr>
          <w:rFonts w:ascii="Times New Roman" w:eastAsia="Times New Roman" w:hAnsi="Times New Roman" w:cs="Times New Roman"/>
          <w:sz w:val="24"/>
          <w:szCs w:val="24"/>
          <w:lang w:eastAsia="en-AU"/>
        </w:rPr>
      </w:pPr>
    </w:p>
    <w:p w14:paraId="6C363FE6" w14:textId="0C7158C5" w:rsidR="0040312B" w:rsidRDefault="0040312B" w:rsidP="001A7C14">
      <w:pPr>
        <w:autoSpaceDE w:val="0"/>
        <w:autoSpaceDN w:val="0"/>
        <w:adjustRightInd w:val="0"/>
        <w:spacing w:after="0"/>
        <w:rPr>
          <w:rFonts w:ascii="Times New Roman" w:eastAsia="Times New Roman" w:hAnsi="Times New Roman" w:cs="Times New Roman"/>
          <w:b/>
          <w:sz w:val="24"/>
          <w:szCs w:val="24"/>
          <w:lang w:eastAsia="en-AU"/>
        </w:rPr>
      </w:pPr>
      <w:r w:rsidRPr="00AE2E87">
        <w:rPr>
          <w:rFonts w:ascii="Times New Roman" w:eastAsia="Times New Roman" w:hAnsi="Times New Roman" w:cs="Times New Roman"/>
          <w:b/>
          <w:sz w:val="24"/>
          <w:szCs w:val="24"/>
          <w:lang w:eastAsia="en-AU"/>
        </w:rPr>
        <w:t>Section 4</w:t>
      </w:r>
      <w:r w:rsidR="001B7ED3">
        <w:rPr>
          <w:rFonts w:ascii="Times New Roman" w:eastAsia="Times New Roman" w:hAnsi="Times New Roman" w:cs="Times New Roman"/>
          <w:b/>
          <w:sz w:val="24"/>
          <w:szCs w:val="24"/>
          <w:lang w:eastAsia="en-AU"/>
        </w:rPr>
        <w:t xml:space="preserve"> </w:t>
      </w:r>
      <w:r w:rsidR="008F4502">
        <w:rPr>
          <w:rFonts w:ascii="Times New Roman" w:eastAsia="Times New Roman" w:hAnsi="Times New Roman" w:cs="Times New Roman"/>
          <w:b/>
          <w:sz w:val="24"/>
          <w:szCs w:val="24"/>
          <w:lang w:eastAsia="en-AU"/>
        </w:rPr>
        <w:t xml:space="preserve"> </w:t>
      </w:r>
      <w:r w:rsidR="001B7ED3">
        <w:rPr>
          <w:rFonts w:ascii="Times New Roman" w:eastAsia="Times New Roman" w:hAnsi="Times New Roman" w:cs="Times New Roman"/>
          <w:b/>
          <w:sz w:val="24"/>
          <w:szCs w:val="24"/>
          <w:lang w:eastAsia="en-AU"/>
        </w:rPr>
        <w:t>Interpretation</w:t>
      </w:r>
    </w:p>
    <w:p w14:paraId="736737B5" w14:textId="77777777" w:rsidR="0036611B" w:rsidRPr="00AE2E87" w:rsidRDefault="0036611B" w:rsidP="001A7C14">
      <w:pPr>
        <w:autoSpaceDE w:val="0"/>
        <w:autoSpaceDN w:val="0"/>
        <w:adjustRightInd w:val="0"/>
        <w:spacing w:after="0"/>
        <w:rPr>
          <w:rFonts w:ascii="Times New Roman" w:eastAsia="Times New Roman" w:hAnsi="Times New Roman" w:cs="Times New Roman"/>
          <w:b/>
          <w:sz w:val="24"/>
          <w:szCs w:val="24"/>
          <w:lang w:eastAsia="en-AU"/>
        </w:rPr>
      </w:pPr>
    </w:p>
    <w:p w14:paraId="0D82FB5D" w14:textId="309C7F8A" w:rsidR="0091180B" w:rsidRDefault="0091180B" w:rsidP="001A7C14">
      <w:pPr>
        <w:autoSpaceDE w:val="0"/>
        <w:autoSpaceDN w:val="0"/>
        <w:adjustRightInd w:val="0"/>
        <w:spacing w:after="0"/>
        <w:rPr>
          <w:rFonts w:ascii="Times New Roman" w:eastAsia="Times New Roman" w:hAnsi="Times New Roman" w:cs="Times New Roman"/>
          <w:sz w:val="24"/>
          <w:szCs w:val="24"/>
          <w:lang w:eastAsia="en-AU"/>
        </w:rPr>
      </w:pPr>
      <w:r w:rsidRPr="0091180B">
        <w:rPr>
          <w:rFonts w:ascii="Times New Roman" w:eastAsia="Times New Roman" w:hAnsi="Times New Roman" w:cs="Times New Roman"/>
          <w:sz w:val="24"/>
          <w:szCs w:val="24"/>
          <w:lang w:eastAsia="en-AU"/>
        </w:rPr>
        <w:t xml:space="preserve">Subsection 4(1) provides definitions for </w:t>
      </w:r>
      <w:proofErr w:type="gramStart"/>
      <w:r w:rsidRPr="0091180B">
        <w:rPr>
          <w:rFonts w:ascii="Times New Roman" w:eastAsia="Times New Roman" w:hAnsi="Times New Roman" w:cs="Times New Roman"/>
          <w:sz w:val="24"/>
          <w:szCs w:val="24"/>
          <w:lang w:eastAsia="en-AU"/>
        </w:rPr>
        <w:t>a number of</w:t>
      </w:r>
      <w:proofErr w:type="gramEnd"/>
      <w:r w:rsidRPr="0091180B">
        <w:rPr>
          <w:rFonts w:ascii="Times New Roman" w:eastAsia="Times New Roman" w:hAnsi="Times New Roman" w:cs="Times New Roman"/>
          <w:sz w:val="24"/>
          <w:szCs w:val="24"/>
          <w:lang w:eastAsia="en-AU"/>
        </w:rPr>
        <w:t xml:space="preserve"> terms used in the Determination. These include ‘code tables’, ‘excipient’, ‘homoeopathic preparation ingredient’ and ‘TGA eBusiness Services’.</w:t>
      </w:r>
    </w:p>
    <w:p w14:paraId="7ED596F6" w14:textId="77777777" w:rsidR="0036611B" w:rsidRPr="0091180B" w:rsidRDefault="0036611B" w:rsidP="001A7C14">
      <w:pPr>
        <w:autoSpaceDE w:val="0"/>
        <w:autoSpaceDN w:val="0"/>
        <w:adjustRightInd w:val="0"/>
        <w:spacing w:after="0"/>
        <w:rPr>
          <w:rFonts w:ascii="Times New Roman" w:eastAsia="Times New Roman" w:hAnsi="Times New Roman" w:cs="Times New Roman"/>
          <w:sz w:val="24"/>
          <w:szCs w:val="24"/>
          <w:lang w:eastAsia="en-AU"/>
        </w:rPr>
      </w:pPr>
    </w:p>
    <w:p w14:paraId="7DCB529C" w14:textId="48A3233C" w:rsidR="0091180B" w:rsidRDefault="0091180B" w:rsidP="001A7C14">
      <w:pPr>
        <w:autoSpaceDE w:val="0"/>
        <w:autoSpaceDN w:val="0"/>
        <w:adjustRightInd w:val="0"/>
        <w:spacing w:after="0"/>
        <w:rPr>
          <w:rFonts w:ascii="Times New Roman" w:eastAsia="Times New Roman" w:hAnsi="Times New Roman" w:cs="Times New Roman"/>
          <w:sz w:val="24"/>
          <w:szCs w:val="24"/>
          <w:lang w:eastAsia="en-AU"/>
        </w:rPr>
      </w:pPr>
      <w:r w:rsidRPr="0091180B">
        <w:rPr>
          <w:rFonts w:ascii="Times New Roman" w:eastAsia="Times New Roman" w:hAnsi="Times New Roman" w:cs="Times New Roman"/>
          <w:sz w:val="24"/>
          <w:szCs w:val="24"/>
          <w:lang w:eastAsia="en-AU"/>
        </w:rPr>
        <w:t xml:space="preserve">The note to this section also makes it clear that </w:t>
      </w:r>
      <w:proofErr w:type="gramStart"/>
      <w:r w:rsidRPr="0091180B">
        <w:rPr>
          <w:rFonts w:ascii="Times New Roman" w:eastAsia="Times New Roman" w:hAnsi="Times New Roman" w:cs="Times New Roman"/>
          <w:sz w:val="24"/>
          <w:szCs w:val="24"/>
          <w:lang w:eastAsia="en-AU"/>
        </w:rPr>
        <w:t>a number of</w:t>
      </w:r>
      <w:proofErr w:type="gramEnd"/>
      <w:r w:rsidRPr="0091180B">
        <w:rPr>
          <w:rFonts w:ascii="Times New Roman" w:eastAsia="Times New Roman" w:hAnsi="Times New Roman" w:cs="Times New Roman"/>
          <w:sz w:val="24"/>
          <w:szCs w:val="24"/>
          <w:lang w:eastAsia="en-AU"/>
        </w:rPr>
        <w:t xml:space="preserve"> expressions used in the Determination have the same meaning as in the Act, </w:t>
      </w:r>
      <w:r w:rsidR="00012FF5">
        <w:rPr>
          <w:rFonts w:ascii="Times New Roman" w:eastAsia="Times New Roman" w:hAnsi="Times New Roman" w:cs="Times New Roman"/>
          <w:sz w:val="24"/>
          <w:szCs w:val="24"/>
          <w:lang w:eastAsia="en-AU"/>
        </w:rPr>
        <w:t>including</w:t>
      </w:r>
      <w:r w:rsidRPr="0091180B">
        <w:rPr>
          <w:rFonts w:ascii="Times New Roman" w:eastAsia="Times New Roman" w:hAnsi="Times New Roman" w:cs="Times New Roman"/>
          <w:sz w:val="24"/>
          <w:szCs w:val="24"/>
          <w:lang w:eastAsia="en-AU"/>
        </w:rPr>
        <w:t xml:space="preserve"> ‘British Pharmacopoeia’, ‘European Pharmacopoeia’ and ‘United States Pharmacopeia-National Formulary’.</w:t>
      </w:r>
    </w:p>
    <w:p w14:paraId="1EC4FFBC" w14:textId="77777777" w:rsidR="0036611B" w:rsidRPr="0091180B" w:rsidRDefault="0036611B" w:rsidP="001A7C14">
      <w:pPr>
        <w:autoSpaceDE w:val="0"/>
        <w:autoSpaceDN w:val="0"/>
        <w:adjustRightInd w:val="0"/>
        <w:spacing w:after="0"/>
        <w:rPr>
          <w:rFonts w:ascii="Times New Roman" w:eastAsia="Times New Roman" w:hAnsi="Times New Roman" w:cs="Times New Roman"/>
          <w:sz w:val="24"/>
          <w:szCs w:val="24"/>
          <w:lang w:eastAsia="en-AU"/>
        </w:rPr>
      </w:pPr>
    </w:p>
    <w:p w14:paraId="783E573B" w14:textId="618F20D8" w:rsidR="00AE2E87" w:rsidRDefault="0091180B" w:rsidP="001A7C14">
      <w:pPr>
        <w:autoSpaceDE w:val="0"/>
        <w:autoSpaceDN w:val="0"/>
        <w:adjustRightInd w:val="0"/>
        <w:spacing w:after="0"/>
        <w:rPr>
          <w:rFonts w:ascii="Times New Roman" w:eastAsia="Times New Roman" w:hAnsi="Times New Roman" w:cs="Times New Roman"/>
          <w:sz w:val="24"/>
          <w:szCs w:val="24"/>
          <w:lang w:eastAsia="en-AU"/>
        </w:rPr>
      </w:pPr>
      <w:r w:rsidRPr="0091180B">
        <w:rPr>
          <w:rFonts w:ascii="Times New Roman" w:eastAsia="Times New Roman" w:hAnsi="Times New Roman" w:cs="Times New Roman"/>
          <w:sz w:val="24"/>
          <w:szCs w:val="24"/>
          <w:lang w:eastAsia="en-AU"/>
        </w:rPr>
        <w:t>Subsection 4(2) provides that the terms set out in closed brackets in column 4 of the table in Schedule 1 to the Determination that are associated with warning statements in relation to particular ingredients, are terms from the code tables under the heading ‘Product Warning</w:t>
      </w:r>
      <w:proofErr w:type="gramStart"/>
      <w:r w:rsidRPr="0091180B">
        <w:rPr>
          <w:rFonts w:ascii="Times New Roman" w:eastAsia="Times New Roman" w:hAnsi="Times New Roman" w:cs="Times New Roman"/>
          <w:sz w:val="24"/>
          <w:szCs w:val="24"/>
          <w:lang w:eastAsia="en-AU"/>
        </w:rPr>
        <w:t>’, and</w:t>
      </w:r>
      <w:proofErr w:type="gramEnd"/>
      <w:r w:rsidRPr="0091180B">
        <w:rPr>
          <w:rFonts w:ascii="Times New Roman" w:eastAsia="Times New Roman" w:hAnsi="Times New Roman" w:cs="Times New Roman"/>
          <w:sz w:val="24"/>
          <w:szCs w:val="24"/>
          <w:lang w:eastAsia="en-AU"/>
        </w:rPr>
        <w:t xml:space="preserve"> are not required to be included on the label of the medicine.</w:t>
      </w:r>
    </w:p>
    <w:p w14:paraId="4AEBDA41" w14:textId="77777777" w:rsidR="0036611B" w:rsidRDefault="0036611B" w:rsidP="001A7C14">
      <w:pPr>
        <w:autoSpaceDE w:val="0"/>
        <w:autoSpaceDN w:val="0"/>
        <w:adjustRightInd w:val="0"/>
        <w:spacing w:after="0"/>
        <w:rPr>
          <w:rFonts w:ascii="Times New Roman" w:eastAsia="Times New Roman" w:hAnsi="Times New Roman" w:cs="Times New Roman"/>
          <w:sz w:val="24"/>
          <w:szCs w:val="24"/>
          <w:lang w:eastAsia="en-AU"/>
        </w:rPr>
      </w:pPr>
    </w:p>
    <w:p w14:paraId="0AA57C3B" w14:textId="24C82284" w:rsidR="001B7ED3" w:rsidRDefault="001B7ED3" w:rsidP="001A7C14">
      <w:pPr>
        <w:autoSpaceDE w:val="0"/>
        <w:autoSpaceDN w:val="0"/>
        <w:adjustRightInd w:val="0"/>
        <w:spacing w:after="0"/>
        <w:rPr>
          <w:rFonts w:ascii="Times New Roman" w:eastAsia="Times New Roman" w:hAnsi="Times New Roman" w:cs="Times New Roman"/>
          <w:b/>
          <w:sz w:val="24"/>
          <w:szCs w:val="24"/>
          <w:lang w:eastAsia="en-AU"/>
        </w:rPr>
      </w:pPr>
      <w:r w:rsidRPr="007B443E">
        <w:rPr>
          <w:rFonts w:ascii="Times New Roman" w:eastAsia="Times New Roman" w:hAnsi="Times New Roman" w:cs="Times New Roman"/>
          <w:b/>
          <w:sz w:val="24"/>
          <w:szCs w:val="24"/>
          <w:lang w:eastAsia="en-AU"/>
        </w:rPr>
        <w:t xml:space="preserve">Section 5 </w:t>
      </w:r>
      <w:r w:rsidR="008F4502">
        <w:rPr>
          <w:rFonts w:ascii="Times New Roman" w:eastAsia="Times New Roman" w:hAnsi="Times New Roman" w:cs="Times New Roman"/>
          <w:b/>
          <w:sz w:val="24"/>
          <w:szCs w:val="24"/>
          <w:lang w:eastAsia="en-AU"/>
        </w:rPr>
        <w:t xml:space="preserve"> </w:t>
      </w:r>
      <w:r w:rsidRPr="007B443E">
        <w:rPr>
          <w:rFonts w:ascii="Times New Roman" w:eastAsia="Times New Roman" w:hAnsi="Times New Roman" w:cs="Times New Roman"/>
          <w:b/>
          <w:sz w:val="24"/>
          <w:szCs w:val="24"/>
          <w:lang w:eastAsia="en-AU"/>
        </w:rPr>
        <w:t>Permissible ingredients</w:t>
      </w:r>
    </w:p>
    <w:p w14:paraId="7F32AE94" w14:textId="77777777" w:rsidR="0036611B" w:rsidRPr="007B443E" w:rsidRDefault="0036611B" w:rsidP="001A7C14">
      <w:pPr>
        <w:autoSpaceDE w:val="0"/>
        <w:autoSpaceDN w:val="0"/>
        <w:adjustRightInd w:val="0"/>
        <w:spacing w:after="0"/>
        <w:rPr>
          <w:rFonts w:ascii="Times New Roman" w:eastAsia="Times New Roman" w:hAnsi="Times New Roman" w:cs="Times New Roman"/>
          <w:b/>
          <w:sz w:val="24"/>
          <w:szCs w:val="24"/>
          <w:lang w:eastAsia="en-AU"/>
        </w:rPr>
      </w:pPr>
    </w:p>
    <w:p w14:paraId="099B9869" w14:textId="3750F3C7" w:rsidR="001B7ED3" w:rsidRDefault="001B7ED3" w:rsidP="001A7C14">
      <w:pPr>
        <w:autoSpaceDE w:val="0"/>
        <w:autoSpaceDN w:val="0"/>
        <w:adjustRightInd w:val="0"/>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section provides that the ingredients specified in column 2 of the table in Schedule 1 to the Determination are specified for the purposes of paragraph 26BB(1)(a) of the Act.</w:t>
      </w:r>
    </w:p>
    <w:p w14:paraId="37A4E306" w14:textId="77777777" w:rsidR="0036611B" w:rsidRDefault="0036611B" w:rsidP="001A7C14">
      <w:pPr>
        <w:autoSpaceDE w:val="0"/>
        <w:autoSpaceDN w:val="0"/>
        <w:adjustRightInd w:val="0"/>
        <w:spacing w:after="0"/>
        <w:rPr>
          <w:rFonts w:ascii="Times New Roman" w:eastAsia="Times New Roman" w:hAnsi="Times New Roman" w:cs="Times New Roman"/>
          <w:sz w:val="24"/>
          <w:szCs w:val="24"/>
          <w:lang w:eastAsia="en-AU"/>
        </w:rPr>
      </w:pPr>
    </w:p>
    <w:p w14:paraId="3132B7BB" w14:textId="224EC9A9" w:rsidR="001B7ED3" w:rsidRDefault="001B7ED3" w:rsidP="001A7C14">
      <w:pPr>
        <w:autoSpaceDE w:val="0"/>
        <w:autoSpaceDN w:val="0"/>
        <w:adjustRightInd w:val="0"/>
        <w:spacing w:after="0"/>
        <w:rPr>
          <w:rFonts w:ascii="Times New Roman" w:eastAsia="Times New Roman" w:hAnsi="Times New Roman" w:cs="Times New Roman"/>
          <w:b/>
          <w:sz w:val="24"/>
          <w:szCs w:val="24"/>
          <w:lang w:eastAsia="en-AU"/>
        </w:rPr>
      </w:pPr>
      <w:r w:rsidRPr="006B644D">
        <w:rPr>
          <w:rFonts w:ascii="Times New Roman" w:eastAsia="Times New Roman" w:hAnsi="Times New Roman" w:cs="Times New Roman"/>
          <w:b/>
          <w:sz w:val="24"/>
          <w:szCs w:val="24"/>
          <w:lang w:eastAsia="en-AU"/>
        </w:rPr>
        <w:t>Section 6</w:t>
      </w:r>
      <w:r w:rsidR="008F4502">
        <w:rPr>
          <w:rFonts w:ascii="Times New Roman" w:eastAsia="Times New Roman" w:hAnsi="Times New Roman" w:cs="Times New Roman"/>
          <w:b/>
          <w:sz w:val="24"/>
          <w:szCs w:val="24"/>
          <w:lang w:eastAsia="en-AU"/>
        </w:rPr>
        <w:t xml:space="preserve"> </w:t>
      </w:r>
      <w:r w:rsidRPr="006B644D">
        <w:rPr>
          <w:rFonts w:ascii="Times New Roman" w:eastAsia="Times New Roman" w:hAnsi="Times New Roman" w:cs="Times New Roman"/>
          <w:b/>
          <w:sz w:val="24"/>
          <w:szCs w:val="24"/>
          <w:lang w:eastAsia="en-AU"/>
        </w:rPr>
        <w:t xml:space="preserve"> Requirements in relation to permissible ingredients being contained in medicine</w:t>
      </w:r>
    </w:p>
    <w:p w14:paraId="439B1FCD" w14:textId="77777777" w:rsidR="0036611B" w:rsidRPr="006B644D" w:rsidRDefault="0036611B" w:rsidP="001A7C14">
      <w:pPr>
        <w:autoSpaceDE w:val="0"/>
        <w:autoSpaceDN w:val="0"/>
        <w:adjustRightInd w:val="0"/>
        <w:spacing w:after="0"/>
        <w:rPr>
          <w:rFonts w:ascii="Times New Roman" w:eastAsia="Times New Roman" w:hAnsi="Times New Roman" w:cs="Times New Roman"/>
          <w:b/>
          <w:sz w:val="24"/>
          <w:szCs w:val="24"/>
          <w:lang w:eastAsia="en-AU"/>
        </w:rPr>
      </w:pPr>
    </w:p>
    <w:p w14:paraId="01BF54A2" w14:textId="3588FFA2" w:rsidR="001B7ED3" w:rsidRDefault="001B7ED3" w:rsidP="001A7C14">
      <w:pPr>
        <w:autoSpaceDE w:val="0"/>
        <w:autoSpaceDN w:val="0"/>
        <w:adjustRightInd w:val="0"/>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section provides that for an ingredient mentioned in column 2 of an item in the table in Schedule 1 to the Determination, the requirements in paragraphs 6(a) to (c) are specified for the purposes of paragraph 26BB(1)(b) of the Act. These include, for example, that the </w:t>
      </w:r>
      <w:r>
        <w:rPr>
          <w:rFonts w:ascii="Times New Roman" w:eastAsia="Times New Roman" w:hAnsi="Times New Roman" w:cs="Times New Roman"/>
          <w:sz w:val="24"/>
          <w:szCs w:val="24"/>
          <w:lang w:eastAsia="en-AU"/>
        </w:rPr>
        <w:lastRenderedPageBreak/>
        <w:t>ingredient must only be used in a medicine for a purpose specified in relation to the ingredient in column 3 of that item.</w:t>
      </w:r>
    </w:p>
    <w:p w14:paraId="6E79FE28" w14:textId="77777777" w:rsidR="0036611B" w:rsidRDefault="0036611B" w:rsidP="001A7C14">
      <w:pPr>
        <w:autoSpaceDE w:val="0"/>
        <w:autoSpaceDN w:val="0"/>
        <w:adjustRightInd w:val="0"/>
        <w:spacing w:after="0"/>
        <w:rPr>
          <w:rFonts w:ascii="Times New Roman" w:eastAsia="Times New Roman" w:hAnsi="Times New Roman" w:cs="Times New Roman"/>
          <w:sz w:val="24"/>
          <w:szCs w:val="24"/>
          <w:lang w:eastAsia="en-AU"/>
        </w:rPr>
      </w:pPr>
    </w:p>
    <w:p w14:paraId="241E7A35" w14:textId="620957B2" w:rsidR="001B7ED3" w:rsidRDefault="001B7ED3" w:rsidP="001A7C14">
      <w:pPr>
        <w:autoSpaceDE w:val="0"/>
        <w:autoSpaceDN w:val="0"/>
        <w:adjustRightInd w:val="0"/>
        <w:spacing w:after="0"/>
        <w:rPr>
          <w:rFonts w:ascii="Times New Roman" w:eastAsia="Times New Roman" w:hAnsi="Times New Roman" w:cs="Times New Roman"/>
          <w:b/>
          <w:sz w:val="24"/>
          <w:szCs w:val="24"/>
          <w:lang w:eastAsia="en-AU"/>
        </w:rPr>
      </w:pPr>
      <w:r w:rsidRPr="007B443E">
        <w:rPr>
          <w:rFonts w:ascii="Times New Roman" w:eastAsia="Times New Roman" w:hAnsi="Times New Roman" w:cs="Times New Roman"/>
          <w:b/>
          <w:sz w:val="24"/>
          <w:szCs w:val="24"/>
          <w:lang w:eastAsia="en-AU"/>
        </w:rPr>
        <w:t xml:space="preserve">Section </w:t>
      </w:r>
      <w:r>
        <w:rPr>
          <w:rFonts w:ascii="Times New Roman" w:eastAsia="Times New Roman" w:hAnsi="Times New Roman" w:cs="Times New Roman"/>
          <w:b/>
          <w:sz w:val="24"/>
          <w:szCs w:val="24"/>
          <w:lang w:eastAsia="en-AU"/>
        </w:rPr>
        <w:t>7</w:t>
      </w:r>
      <w:r w:rsidRPr="007B443E">
        <w:rPr>
          <w:rFonts w:ascii="Times New Roman" w:eastAsia="Times New Roman" w:hAnsi="Times New Roman" w:cs="Times New Roman"/>
          <w:b/>
          <w:sz w:val="24"/>
          <w:szCs w:val="24"/>
          <w:lang w:eastAsia="en-AU"/>
        </w:rPr>
        <w:t xml:space="preserve"> </w:t>
      </w:r>
      <w:r w:rsidR="008F4502">
        <w:rPr>
          <w:rFonts w:ascii="Times New Roman" w:eastAsia="Times New Roman" w:hAnsi="Times New Roman" w:cs="Times New Roman"/>
          <w:b/>
          <w:sz w:val="24"/>
          <w:szCs w:val="24"/>
          <w:lang w:eastAsia="en-AU"/>
        </w:rPr>
        <w:t xml:space="preserve"> </w:t>
      </w:r>
      <w:r w:rsidRPr="007B443E">
        <w:rPr>
          <w:rFonts w:ascii="Times New Roman" w:eastAsia="Times New Roman" w:hAnsi="Times New Roman" w:cs="Times New Roman"/>
          <w:b/>
          <w:sz w:val="24"/>
          <w:szCs w:val="24"/>
          <w:lang w:eastAsia="en-AU"/>
        </w:rPr>
        <w:t>Repeals</w:t>
      </w:r>
    </w:p>
    <w:p w14:paraId="1B762AF2" w14:textId="77777777" w:rsidR="0036611B" w:rsidRPr="007B443E" w:rsidRDefault="0036611B" w:rsidP="001A7C14">
      <w:pPr>
        <w:autoSpaceDE w:val="0"/>
        <w:autoSpaceDN w:val="0"/>
        <w:adjustRightInd w:val="0"/>
        <w:spacing w:after="0"/>
        <w:rPr>
          <w:rFonts w:ascii="Times New Roman" w:eastAsia="Times New Roman" w:hAnsi="Times New Roman" w:cs="Times New Roman"/>
          <w:b/>
          <w:sz w:val="24"/>
          <w:szCs w:val="24"/>
          <w:lang w:eastAsia="en-AU"/>
        </w:rPr>
      </w:pPr>
    </w:p>
    <w:p w14:paraId="4043154E" w14:textId="4DB2D570" w:rsidR="001B7ED3" w:rsidRDefault="001B7ED3" w:rsidP="001A7C14">
      <w:pPr>
        <w:autoSpaceDE w:val="0"/>
        <w:autoSpaceDN w:val="0"/>
        <w:adjustRightInd w:val="0"/>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section provides that </w:t>
      </w:r>
      <w:r w:rsidR="00410762">
        <w:rPr>
          <w:rFonts w:ascii="Times New Roman" w:eastAsia="Times New Roman" w:hAnsi="Times New Roman" w:cs="Times New Roman"/>
          <w:sz w:val="24"/>
          <w:szCs w:val="24"/>
          <w:lang w:eastAsia="en-AU"/>
        </w:rPr>
        <w:t xml:space="preserve">the </w:t>
      </w:r>
      <w:r w:rsidR="00410762" w:rsidRPr="00CA2F70">
        <w:rPr>
          <w:rFonts w:ascii="Times New Roman" w:eastAsia="Times New Roman" w:hAnsi="Times New Roman" w:cs="Times New Roman"/>
          <w:i/>
          <w:iCs/>
          <w:sz w:val="24"/>
          <w:szCs w:val="24"/>
          <w:lang w:eastAsia="en-AU"/>
        </w:rPr>
        <w:t>Therapeutic Goods (Permissible Ingredients) Determination (No. </w:t>
      </w:r>
      <w:r w:rsidR="00BD6E24">
        <w:rPr>
          <w:rFonts w:ascii="Times New Roman" w:eastAsia="Times New Roman" w:hAnsi="Times New Roman" w:cs="Times New Roman"/>
          <w:i/>
          <w:iCs/>
          <w:sz w:val="24"/>
          <w:szCs w:val="24"/>
          <w:lang w:eastAsia="en-AU"/>
        </w:rPr>
        <w:t>1</w:t>
      </w:r>
      <w:r w:rsidR="00410762" w:rsidRPr="00CA2F70">
        <w:rPr>
          <w:rFonts w:ascii="Times New Roman" w:eastAsia="Times New Roman" w:hAnsi="Times New Roman" w:cs="Times New Roman"/>
          <w:i/>
          <w:iCs/>
          <w:sz w:val="24"/>
          <w:szCs w:val="24"/>
          <w:lang w:eastAsia="en-AU"/>
        </w:rPr>
        <w:t>) 20</w:t>
      </w:r>
      <w:r w:rsidR="00410762">
        <w:rPr>
          <w:rFonts w:ascii="Times New Roman" w:eastAsia="Times New Roman" w:hAnsi="Times New Roman" w:cs="Times New Roman"/>
          <w:i/>
          <w:iCs/>
          <w:sz w:val="24"/>
          <w:szCs w:val="24"/>
          <w:lang w:eastAsia="en-AU"/>
        </w:rPr>
        <w:t>2</w:t>
      </w:r>
      <w:r w:rsidR="00BD6E24">
        <w:rPr>
          <w:rFonts w:ascii="Times New Roman" w:eastAsia="Times New Roman" w:hAnsi="Times New Roman" w:cs="Times New Roman"/>
          <w:i/>
          <w:iCs/>
          <w:sz w:val="24"/>
          <w:szCs w:val="24"/>
          <w:lang w:eastAsia="en-AU"/>
        </w:rPr>
        <w:t>3</w:t>
      </w:r>
      <w:r w:rsidR="00444DEC">
        <w:rPr>
          <w:rFonts w:ascii="Times New Roman" w:eastAsia="Times New Roman" w:hAnsi="Times New Roman" w:cs="Times New Roman"/>
          <w:i/>
          <w:iCs/>
          <w:sz w:val="24"/>
          <w:szCs w:val="24"/>
          <w:lang w:eastAsia="en-AU"/>
        </w:rPr>
        <w:t xml:space="preserve"> </w:t>
      </w:r>
      <w:r>
        <w:rPr>
          <w:rFonts w:ascii="Times New Roman" w:eastAsia="Times New Roman" w:hAnsi="Times New Roman" w:cs="Times New Roman"/>
          <w:sz w:val="24"/>
          <w:szCs w:val="24"/>
          <w:lang w:eastAsia="en-AU"/>
        </w:rPr>
        <w:t>is repealed.</w:t>
      </w:r>
    </w:p>
    <w:p w14:paraId="74A903C6" w14:textId="77777777" w:rsidR="0036611B" w:rsidRDefault="0036611B" w:rsidP="001A7C14">
      <w:pPr>
        <w:autoSpaceDE w:val="0"/>
        <w:autoSpaceDN w:val="0"/>
        <w:adjustRightInd w:val="0"/>
        <w:spacing w:after="0"/>
        <w:rPr>
          <w:rFonts w:ascii="Times New Roman" w:eastAsia="Times New Roman" w:hAnsi="Times New Roman" w:cs="Times New Roman"/>
          <w:sz w:val="24"/>
          <w:szCs w:val="24"/>
          <w:lang w:eastAsia="en-AU"/>
        </w:rPr>
      </w:pPr>
    </w:p>
    <w:p w14:paraId="3AC09063" w14:textId="3016E9C9" w:rsidR="00AE2E87" w:rsidRDefault="00AE2E87" w:rsidP="001A7C14">
      <w:pPr>
        <w:autoSpaceDE w:val="0"/>
        <w:autoSpaceDN w:val="0"/>
        <w:adjustRightInd w:val="0"/>
        <w:spacing w:after="0"/>
        <w:rPr>
          <w:rFonts w:ascii="Times New Roman" w:eastAsia="Times New Roman" w:hAnsi="Times New Roman" w:cs="Times New Roman"/>
          <w:b/>
          <w:sz w:val="24"/>
          <w:szCs w:val="24"/>
          <w:lang w:eastAsia="en-AU"/>
        </w:rPr>
      </w:pPr>
      <w:r w:rsidRPr="00AE2E87">
        <w:rPr>
          <w:rFonts w:ascii="Times New Roman" w:eastAsia="Times New Roman" w:hAnsi="Times New Roman" w:cs="Times New Roman"/>
          <w:b/>
          <w:sz w:val="24"/>
          <w:szCs w:val="24"/>
          <w:lang w:eastAsia="en-AU"/>
        </w:rPr>
        <w:t xml:space="preserve">Schedule 1 </w:t>
      </w:r>
      <w:r>
        <w:rPr>
          <w:rFonts w:ascii="Times New Roman" w:eastAsia="Times New Roman" w:hAnsi="Times New Roman" w:cs="Times New Roman"/>
          <w:b/>
          <w:sz w:val="24"/>
          <w:szCs w:val="24"/>
          <w:lang w:eastAsia="en-AU"/>
        </w:rPr>
        <w:t>–</w:t>
      </w:r>
      <w:r w:rsidRPr="00AE2E87">
        <w:rPr>
          <w:rFonts w:ascii="Times New Roman" w:eastAsia="Times New Roman" w:hAnsi="Times New Roman" w:cs="Times New Roman"/>
          <w:b/>
          <w:sz w:val="24"/>
          <w:szCs w:val="24"/>
          <w:lang w:eastAsia="en-AU"/>
        </w:rPr>
        <w:t xml:space="preserve"> </w:t>
      </w:r>
      <w:r w:rsidR="0091180B" w:rsidRPr="0091180B">
        <w:rPr>
          <w:rFonts w:ascii="Times New Roman" w:eastAsia="Times New Roman" w:hAnsi="Times New Roman" w:cs="Times New Roman"/>
          <w:b/>
          <w:sz w:val="24"/>
          <w:szCs w:val="24"/>
          <w:lang w:eastAsia="en-AU"/>
        </w:rPr>
        <w:t>Specified permissible ingredients and requirements applying to these ingredients when contained in a medicine</w:t>
      </w:r>
    </w:p>
    <w:p w14:paraId="7A138953" w14:textId="77777777" w:rsidR="0036611B" w:rsidRDefault="0036611B" w:rsidP="001A7C14">
      <w:pPr>
        <w:autoSpaceDE w:val="0"/>
        <w:autoSpaceDN w:val="0"/>
        <w:adjustRightInd w:val="0"/>
        <w:spacing w:after="0"/>
        <w:rPr>
          <w:rFonts w:ascii="Times New Roman" w:eastAsia="Times New Roman" w:hAnsi="Times New Roman" w:cs="Times New Roman"/>
          <w:b/>
          <w:sz w:val="24"/>
          <w:szCs w:val="24"/>
          <w:lang w:eastAsia="en-AU"/>
        </w:rPr>
      </w:pPr>
    </w:p>
    <w:p w14:paraId="443DB472" w14:textId="12B8B4D3" w:rsidR="0036611B" w:rsidRPr="00607014" w:rsidRDefault="00CA2F70" w:rsidP="001A7C14">
      <w:pPr>
        <w:autoSpaceDE w:val="0"/>
        <w:autoSpaceDN w:val="0"/>
        <w:adjustRightInd w:val="0"/>
        <w:spacing w:after="0"/>
        <w:rPr>
          <w:rFonts w:ascii="Times New Roman" w:eastAsia="Times New Roman" w:hAnsi="Times New Roman" w:cs="Times New Roman"/>
          <w:sz w:val="24"/>
          <w:szCs w:val="24"/>
          <w:lang w:eastAsia="en-AU"/>
        </w:rPr>
      </w:pPr>
      <w:r w:rsidRPr="00CA2F70">
        <w:rPr>
          <w:rFonts w:ascii="Times New Roman" w:eastAsia="Times New Roman" w:hAnsi="Times New Roman" w:cs="Times New Roman"/>
          <w:sz w:val="24"/>
          <w:szCs w:val="24"/>
          <w:lang w:eastAsia="en-AU"/>
        </w:rPr>
        <w:t>This Schedule specifies ingredients and related requirements for the purposes of sections 5 and 6 of the Determination.</w:t>
      </w:r>
    </w:p>
    <w:p w14:paraId="54F027CA" w14:textId="77777777" w:rsidR="00EF1F18" w:rsidRDefault="00EF1F18">
      <w:pPr>
        <w:spacing w:before="100" w:beforeAutospacing="1" w:after="100" w:afterAutospacing="1"/>
        <w:rPr>
          <w:rFonts w:ascii="Times New Roman" w:eastAsia="Times New Roman" w:hAnsi="Times New Roman" w:cs="Times New Roman"/>
          <w:b/>
          <w:bCs/>
          <w:sz w:val="24"/>
          <w:szCs w:val="24"/>
          <w:lang w:eastAsia="en-AU"/>
        </w:rPr>
      </w:pPr>
      <w:r w:rsidRPr="00A419EA">
        <w:rPr>
          <w:rFonts w:ascii="Times New Roman" w:eastAsia="Times New Roman" w:hAnsi="Times New Roman" w:cs="Times New Roman"/>
          <w:sz w:val="24"/>
          <w:szCs w:val="24"/>
          <w:lang w:eastAsia="en-AU"/>
        </w:rPr>
        <w:br w:type="page"/>
      </w:r>
    </w:p>
    <w:p w14:paraId="1C3354F0" w14:textId="77777777" w:rsidR="005F2423" w:rsidRPr="00A419EA" w:rsidRDefault="005F2423" w:rsidP="00607014">
      <w:pPr>
        <w:spacing w:before="100" w:beforeAutospacing="1" w:after="100" w:afterAutospacing="1"/>
        <w:jc w:val="right"/>
        <w:rPr>
          <w:rFonts w:ascii="Times New Roman" w:eastAsia="Times New Roman" w:hAnsi="Times New Roman" w:cs="Times New Roman"/>
          <w:sz w:val="24"/>
          <w:szCs w:val="24"/>
          <w:lang w:val="en-US" w:eastAsia="en-AU"/>
        </w:rPr>
      </w:pPr>
      <w:r>
        <w:rPr>
          <w:rFonts w:ascii="Times New Roman" w:eastAsia="Times New Roman" w:hAnsi="Times New Roman" w:cs="Times New Roman"/>
          <w:b/>
          <w:bCs/>
          <w:sz w:val="24"/>
          <w:szCs w:val="24"/>
          <w:lang w:eastAsia="en-AU"/>
        </w:rPr>
        <w:lastRenderedPageBreak/>
        <w:t>Attachment B</w:t>
      </w:r>
    </w:p>
    <w:p w14:paraId="784E4BE2" w14:textId="77777777" w:rsidR="00EF1F18" w:rsidRDefault="00EF1F18" w:rsidP="00720518">
      <w:pPr>
        <w:spacing w:before="120" w:after="0"/>
        <w:jc w:val="center"/>
        <w:rPr>
          <w:rFonts w:ascii="Times New Roman" w:eastAsia="Times New Roman" w:hAnsi="Times New Roman" w:cs="Times New Roman"/>
          <w:b/>
          <w:bCs/>
          <w:sz w:val="24"/>
          <w:szCs w:val="24"/>
          <w:lang w:eastAsia="en-AU"/>
        </w:rPr>
      </w:pPr>
      <w:r w:rsidRPr="005F2423">
        <w:rPr>
          <w:rFonts w:ascii="Times New Roman" w:eastAsia="Times New Roman" w:hAnsi="Times New Roman" w:cs="Times New Roman"/>
          <w:b/>
          <w:bCs/>
          <w:sz w:val="24"/>
          <w:szCs w:val="24"/>
          <w:lang w:eastAsia="en-AU"/>
        </w:rPr>
        <w:t>Statement of Compatibility with Human Rights</w:t>
      </w:r>
    </w:p>
    <w:p w14:paraId="6EC20EFD" w14:textId="77777777" w:rsidR="00510EB5" w:rsidRPr="005F2423" w:rsidRDefault="00510EB5" w:rsidP="00720518">
      <w:pPr>
        <w:spacing w:after="0"/>
        <w:jc w:val="center"/>
        <w:rPr>
          <w:rFonts w:ascii="Times New Roman" w:eastAsia="Times New Roman" w:hAnsi="Times New Roman" w:cs="Times New Roman"/>
          <w:sz w:val="24"/>
          <w:szCs w:val="24"/>
          <w:lang w:val="en-US" w:eastAsia="en-AU"/>
        </w:rPr>
      </w:pPr>
    </w:p>
    <w:p w14:paraId="25C603B6" w14:textId="52FDCCC1" w:rsidR="00510EB5" w:rsidRDefault="00EF1F18" w:rsidP="00510EB5">
      <w:pPr>
        <w:spacing w:after="0"/>
        <w:jc w:val="center"/>
        <w:rPr>
          <w:rFonts w:ascii="Times New Roman" w:eastAsia="Times New Roman" w:hAnsi="Times New Roman" w:cs="Times New Roman"/>
          <w:sz w:val="24"/>
          <w:szCs w:val="24"/>
          <w:lang w:eastAsia="en-AU"/>
        </w:rPr>
      </w:pPr>
      <w:r w:rsidRPr="00361A1D">
        <w:rPr>
          <w:rFonts w:ascii="Times New Roman" w:eastAsia="Times New Roman" w:hAnsi="Times New Roman" w:cs="Times New Roman"/>
          <w:sz w:val="24"/>
          <w:szCs w:val="24"/>
          <w:lang w:eastAsia="en-AU"/>
        </w:rPr>
        <w:t>Prepared in accordance with Part 3 of the</w:t>
      </w:r>
      <w:r>
        <w:rPr>
          <w:rFonts w:ascii="Times New Roman" w:eastAsia="Times New Roman" w:hAnsi="Times New Roman" w:cs="Times New Roman"/>
          <w:i/>
          <w:iCs/>
          <w:sz w:val="24"/>
          <w:szCs w:val="24"/>
          <w:lang w:eastAsia="en-AU"/>
        </w:rPr>
        <w:t xml:space="preserve"> Human </w:t>
      </w:r>
      <w:r w:rsidRPr="00A419EA">
        <w:rPr>
          <w:rFonts w:ascii="Times New Roman" w:eastAsia="Times New Roman" w:hAnsi="Times New Roman" w:cs="Times New Roman"/>
          <w:i/>
          <w:iCs/>
          <w:sz w:val="24"/>
          <w:szCs w:val="24"/>
          <w:lang w:eastAsia="en-AU"/>
        </w:rPr>
        <w:t>Righ</w:t>
      </w:r>
      <w:r>
        <w:rPr>
          <w:rFonts w:ascii="Times New Roman" w:eastAsia="Times New Roman" w:hAnsi="Times New Roman" w:cs="Times New Roman"/>
          <w:i/>
          <w:iCs/>
          <w:sz w:val="24"/>
          <w:szCs w:val="24"/>
          <w:lang w:eastAsia="en-AU"/>
        </w:rPr>
        <w:t>ts (Parliamentary Scrutiny) Act </w:t>
      </w:r>
      <w:r w:rsidRPr="00A419EA">
        <w:rPr>
          <w:rFonts w:ascii="Times New Roman" w:eastAsia="Times New Roman" w:hAnsi="Times New Roman" w:cs="Times New Roman"/>
          <w:i/>
          <w:iCs/>
          <w:sz w:val="24"/>
          <w:szCs w:val="24"/>
          <w:lang w:eastAsia="en-AU"/>
        </w:rPr>
        <w:t>2011</w:t>
      </w:r>
      <w:r w:rsidR="00207B8A">
        <w:rPr>
          <w:rFonts w:ascii="Times New Roman" w:eastAsia="Times New Roman" w:hAnsi="Times New Roman" w:cs="Times New Roman"/>
          <w:i/>
          <w:iCs/>
          <w:sz w:val="24"/>
          <w:szCs w:val="24"/>
          <w:lang w:eastAsia="en-AU"/>
        </w:rPr>
        <w:t>.</w:t>
      </w:r>
    </w:p>
    <w:p w14:paraId="38892413" w14:textId="77777777" w:rsidR="00510EB5" w:rsidRPr="00A419EA" w:rsidRDefault="00510EB5" w:rsidP="00720518">
      <w:pPr>
        <w:spacing w:after="0"/>
        <w:jc w:val="center"/>
        <w:rPr>
          <w:rFonts w:ascii="Times New Roman" w:eastAsia="Times New Roman" w:hAnsi="Times New Roman" w:cs="Times New Roman"/>
          <w:sz w:val="24"/>
          <w:szCs w:val="24"/>
          <w:lang w:val="en-US" w:eastAsia="en-AU"/>
        </w:rPr>
      </w:pPr>
    </w:p>
    <w:p w14:paraId="0039C745" w14:textId="2C5DC698" w:rsidR="005F2423" w:rsidRDefault="005F2423" w:rsidP="00720518">
      <w:pPr>
        <w:spacing w:after="0"/>
        <w:jc w:val="center"/>
        <w:rPr>
          <w:rFonts w:ascii="Times New Roman" w:eastAsia="Times New Roman" w:hAnsi="Times New Roman" w:cs="Times New Roman"/>
          <w:sz w:val="24"/>
          <w:szCs w:val="24"/>
          <w:lang w:eastAsia="en-AU"/>
        </w:rPr>
      </w:pPr>
      <w:r w:rsidRPr="005F2423">
        <w:rPr>
          <w:rFonts w:ascii="Times New Roman" w:eastAsia="Times New Roman" w:hAnsi="Times New Roman" w:cs="Times New Roman"/>
          <w:b/>
          <w:i/>
          <w:sz w:val="24"/>
          <w:szCs w:val="24"/>
          <w:lang w:eastAsia="en-AU"/>
        </w:rPr>
        <w:t>Therapeutic Goods (Permissible Ingredients) Determination (No.</w:t>
      </w:r>
      <w:r w:rsidR="00C92827">
        <w:rPr>
          <w:rFonts w:ascii="Times New Roman" w:eastAsia="Times New Roman" w:hAnsi="Times New Roman" w:cs="Times New Roman"/>
          <w:b/>
          <w:i/>
          <w:sz w:val="24"/>
          <w:szCs w:val="24"/>
          <w:lang w:eastAsia="en-AU"/>
        </w:rPr>
        <w:t xml:space="preserve"> </w:t>
      </w:r>
      <w:r w:rsidR="00BD6E24">
        <w:rPr>
          <w:rFonts w:ascii="Times New Roman" w:eastAsia="Times New Roman" w:hAnsi="Times New Roman" w:cs="Times New Roman"/>
          <w:b/>
          <w:i/>
          <w:sz w:val="24"/>
          <w:szCs w:val="24"/>
          <w:lang w:eastAsia="en-AU"/>
        </w:rPr>
        <w:t>2</w:t>
      </w:r>
      <w:r w:rsidRPr="005F2423">
        <w:rPr>
          <w:rFonts w:ascii="Times New Roman" w:eastAsia="Times New Roman" w:hAnsi="Times New Roman" w:cs="Times New Roman"/>
          <w:b/>
          <w:i/>
          <w:sz w:val="24"/>
          <w:szCs w:val="24"/>
          <w:lang w:eastAsia="en-AU"/>
        </w:rPr>
        <w:t>) 20</w:t>
      </w:r>
      <w:r w:rsidR="009A1C10">
        <w:rPr>
          <w:rFonts w:ascii="Times New Roman" w:eastAsia="Times New Roman" w:hAnsi="Times New Roman" w:cs="Times New Roman"/>
          <w:b/>
          <w:i/>
          <w:sz w:val="24"/>
          <w:szCs w:val="24"/>
          <w:lang w:eastAsia="en-AU"/>
        </w:rPr>
        <w:t>2</w:t>
      </w:r>
      <w:r w:rsidR="00C41257">
        <w:rPr>
          <w:rFonts w:ascii="Times New Roman" w:eastAsia="Times New Roman" w:hAnsi="Times New Roman" w:cs="Times New Roman"/>
          <w:b/>
          <w:i/>
          <w:sz w:val="24"/>
          <w:szCs w:val="24"/>
          <w:lang w:eastAsia="en-AU"/>
        </w:rPr>
        <w:t>3</w:t>
      </w:r>
    </w:p>
    <w:p w14:paraId="439E57CA" w14:textId="77777777" w:rsidR="004761AE" w:rsidRDefault="004761AE" w:rsidP="00720518">
      <w:pPr>
        <w:spacing w:after="0"/>
        <w:rPr>
          <w:rFonts w:ascii="Times New Roman" w:eastAsia="Times New Roman" w:hAnsi="Times New Roman" w:cs="Times New Roman"/>
          <w:sz w:val="24"/>
          <w:szCs w:val="24"/>
          <w:lang w:eastAsia="en-AU"/>
        </w:rPr>
      </w:pPr>
    </w:p>
    <w:p w14:paraId="2C9AC34B" w14:textId="18487A94" w:rsidR="00510EB5" w:rsidRDefault="00EF1F18" w:rsidP="00510EB5">
      <w:pPr>
        <w:spacing w:after="0"/>
        <w:contextualSpacing/>
        <w:rPr>
          <w:rFonts w:ascii="Times New Roman" w:eastAsia="Times New Roman" w:hAnsi="Times New Roman" w:cs="Times New Roman"/>
          <w:sz w:val="24"/>
          <w:szCs w:val="24"/>
          <w:lang w:eastAsia="en-AU"/>
        </w:rPr>
      </w:pPr>
      <w:r w:rsidRPr="00A419EA">
        <w:rPr>
          <w:rFonts w:ascii="Times New Roman" w:eastAsia="Times New Roman" w:hAnsi="Times New Roman" w:cs="Times New Roman"/>
          <w:sz w:val="24"/>
          <w:szCs w:val="24"/>
          <w:lang w:eastAsia="en-AU"/>
        </w:rPr>
        <w:t xml:space="preserve">This </w:t>
      </w:r>
      <w:r w:rsidR="005F2423">
        <w:rPr>
          <w:rFonts w:ascii="Times New Roman" w:eastAsia="Times New Roman" w:hAnsi="Times New Roman" w:cs="Times New Roman"/>
          <w:sz w:val="24"/>
          <w:szCs w:val="24"/>
          <w:lang w:eastAsia="en-AU"/>
        </w:rPr>
        <w:t xml:space="preserve">disallowable </w:t>
      </w:r>
      <w:r w:rsidRPr="00A419EA">
        <w:rPr>
          <w:rFonts w:ascii="Times New Roman" w:eastAsia="Times New Roman" w:hAnsi="Times New Roman" w:cs="Times New Roman"/>
          <w:sz w:val="24"/>
          <w:szCs w:val="24"/>
          <w:lang w:eastAsia="en-AU"/>
        </w:rPr>
        <w:t>legislative instrument is compatible with the human rights and freedoms recognised or declared in the international instruments listed in section</w:t>
      </w:r>
      <w:r>
        <w:t> </w:t>
      </w:r>
      <w:r w:rsidRPr="00A419EA">
        <w:rPr>
          <w:rFonts w:ascii="Times New Roman" w:eastAsia="Times New Roman" w:hAnsi="Times New Roman" w:cs="Times New Roman"/>
          <w:sz w:val="24"/>
          <w:szCs w:val="24"/>
          <w:lang w:eastAsia="en-AU"/>
        </w:rPr>
        <w:t xml:space="preserve">3 of the </w:t>
      </w:r>
      <w:r>
        <w:rPr>
          <w:rFonts w:ascii="Times New Roman" w:eastAsia="Times New Roman" w:hAnsi="Times New Roman" w:cs="Times New Roman"/>
          <w:i/>
          <w:iCs/>
          <w:sz w:val="24"/>
          <w:szCs w:val="24"/>
          <w:lang w:eastAsia="en-AU"/>
        </w:rPr>
        <w:t>Human Rights (Parliamentary Scrutiny) Act </w:t>
      </w:r>
      <w:r w:rsidRPr="00A419EA">
        <w:rPr>
          <w:rFonts w:ascii="Times New Roman" w:eastAsia="Times New Roman" w:hAnsi="Times New Roman" w:cs="Times New Roman"/>
          <w:i/>
          <w:iCs/>
          <w:sz w:val="24"/>
          <w:szCs w:val="24"/>
          <w:lang w:eastAsia="en-AU"/>
        </w:rPr>
        <w:t>2011</w:t>
      </w:r>
      <w:r w:rsidRPr="00A419EA">
        <w:rPr>
          <w:rFonts w:ascii="Times New Roman" w:eastAsia="Times New Roman" w:hAnsi="Times New Roman" w:cs="Times New Roman"/>
          <w:sz w:val="24"/>
          <w:szCs w:val="24"/>
          <w:lang w:eastAsia="en-AU"/>
        </w:rPr>
        <w:t>.</w:t>
      </w:r>
    </w:p>
    <w:p w14:paraId="4842CD1E" w14:textId="77777777" w:rsidR="00EF1F18" w:rsidRPr="00A419EA" w:rsidRDefault="00EF1F18" w:rsidP="00720518">
      <w:pPr>
        <w:spacing w:after="0"/>
        <w:rPr>
          <w:rFonts w:ascii="Times New Roman" w:eastAsia="Times New Roman" w:hAnsi="Times New Roman" w:cs="Times New Roman"/>
          <w:sz w:val="24"/>
          <w:szCs w:val="24"/>
          <w:lang w:val="en-US" w:eastAsia="en-AU"/>
        </w:rPr>
      </w:pPr>
    </w:p>
    <w:p w14:paraId="45C3CC91" w14:textId="77777777" w:rsidR="00EF1F18" w:rsidRDefault="00EF1F18" w:rsidP="00720518">
      <w:pPr>
        <w:spacing w:after="0"/>
        <w:rPr>
          <w:rFonts w:ascii="Times New Roman" w:eastAsia="Times New Roman" w:hAnsi="Times New Roman" w:cs="Times New Roman"/>
          <w:b/>
          <w:bCs/>
          <w:sz w:val="24"/>
          <w:szCs w:val="24"/>
          <w:lang w:eastAsia="en-AU"/>
        </w:rPr>
      </w:pPr>
      <w:r w:rsidRPr="00A419EA">
        <w:rPr>
          <w:rFonts w:ascii="Times New Roman" w:eastAsia="Times New Roman" w:hAnsi="Times New Roman" w:cs="Times New Roman"/>
          <w:b/>
          <w:bCs/>
          <w:sz w:val="24"/>
          <w:szCs w:val="24"/>
          <w:lang w:eastAsia="en-AU"/>
        </w:rPr>
        <w:t>Overview of the Legislative Instrument</w:t>
      </w:r>
    </w:p>
    <w:p w14:paraId="038BBA42" w14:textId="77777777" w:rsidR="00005653" w:rsidRPr="00A419EA" w:rsidRDefault="00005653" w:rsidP="00720518">
      <w:pPr>
        <w:spacing w:after="0"/>
        <w:rPr>
          <w:rFonts w:ascii="Times New Roman" w:eastAsia="Times New Roman" w:hAnsi="Times New Roman" w:cs="Times New Roman"/>
          <w:sz w:val="24"/>
          <w:szCs w:val="24"/>
          <w:lang w:val="en-US" w:eastAsia="en-AU"/>
        </w:rPr>
      </w:pPr>
    </w:p>
    <w:p w14:paraId="227538D1" w14:textId="24986EEA" w:rsidR="00B82A8D" w:rsidRDefault="00EF1F18" w:rsidP="002D67DA">
      <w:pPr>
        <w:autoSpaceDE w:val="0"/>
        <w:autoSpaceDN w:val="0"/>
        <w:adjustRightInd w:val="0"/>
        <w:spacing w:after="0"/>
        <w:rPr>
          <w:rFonts w:ascii="Times New Roman" w:eastAsia="Times New Roman" w:hAnsi="Times New Roman" w:cs="Times New Roman"/>
          <w:sz w:val="24"/>
          <w:szCs w:val="24"/>
          <w:lang w:eastAsia="en-AU"/>
        </w:rPr>
      </w:pPr>
      <w:r w:rsidRPr="00A419EA">
        <w:rPr>
          <w:rFonts w:ascii="Times New Roman" w:eastAsia="Times New Roman" w:hAnsi="Times New Roman" w:cs="Times New Roman"/>
          <w:sz w:val="24"/>
          <w:szCs w:val="24"/>
          <w:lang w:eastAsia="en-AU"/>
        </w:rPr>
        <w:t xml:space="preserve">The </w:t>
      </w:r>
      <w:r w:rsidR="005F2423" w:rsidRPr="00AE2E87">
        <w:rPr>
          <w:rFonts w:ascii="Times New Roman" w:eastAsia="Times New Roman" w:hAnsi="Times New Roman" w:cs="Times New Roman"/>
          <w:i/>
          <w:sz w:val="24"/>
          <w:szCs w:val="24"/>
          <w:lang w:eastAsia="en-AU"/>
        </w:rPr>
        <w:t xml:space="preserve">Therapeutic Goods (Permissible Ingredients) Determination </w:t>
      </w:r>
      <w:r w:rsidR="005F2423">
        <w:rPr>
          <w:rFonts w:ascii="Times New Roman" w:eastAsia="Times New Roman" w:hAnsi="Times New Roman" w:cs="Times New Roman"/>
          <w:i/>
          <w:sz w:val="24"/>
          <w:szCs w:val="24"/>
          <w:lang w:eastAsia="en-AU"/>
        </w:rPr>
        <w:t>(No.</w:t>
      </w:r>
      <w:r w:rsidR="0046549C">
        <w:rPr>
          <w:rFonts w:ascii="Times New Roman" w:eastAsia="Times New Roman" w:hAnsi="Times New Roman" w:cs="Times New Roman"/>
          <w:i/>
          <w:sz w:val="24"/>
          <w:szCs w:val="24"/>
          <w:lang w:eastAsia="en-AU"/>
        </w:rPr>
        <w:t xml:space="preserve"> </w:t>
      </w:r>
      <w:r w:rsidR="00D61505">
        <w:rPr>
          <w:rFonts w:ascii="Times New Roman" w:eastAsia="Times New Roman" w:hAnsi="Times New Roman" w:cs="Times New Roman"/>
          <w:i/>
          <w:sz w:val="24"/>
          <w:szCs w:val="24"/>
          <w:lang w:eastAsia="en-AU"/>
        </w:rPr>
        <w:t>2</w:t>
      </w:r>
      <w:r w:rsidR="005F2423">
        <w:rPr>
          <w:rFonts w:ascii="Times New Roman" w:eastAsia="Times New Roman" w:hAnsi="Times New Roman" w:cs="Times New Roman"/>
          <w:i/>
          <w:sz w:val="24"/>
          <w:szCs w:val="24"/>
          <w:lang w:eastAsia="en-AU"/>
        </w:rPr>
        <w:t xml:space="preserve">) </w:t>
      </w:r>
      <w:r w:rsidR="005F2423" w:rsidRPr="00AE2E87">
        <w:rPr>
          <w:rFonts w:ascii="Times New Roman" w:eastAsia="Times New Roman" w:hAnsi="Times New Roman" w:cs="Times New Roman"/>
          <w:i/>
          <w:sz w:val="24"/>
          <w:szCs w:val="24"/>
          <w:lang w:eastAsia="en-AU"/>
        </w:rPr>
        <w:t>20</w:t>
      </w:r>
      <w:r w:rsidR="009A1C10">
        <w:rPr>
          <w:rFonts w:ascii="Times New Roman" w:eastAsia="Times New Roman" w:hAnsi="Times New Roman" w:cs="Times New Roman"/>
          <w:i/>
          <w:sz w:val="24"/>
          <w:szCs w:val="24"/>
          <w:lang w:eastAsia="en-AU"/>
        </w:rPr>
        <w:t>2</w:t>
      </w:r>
      <w:r w:rsidR="00C41257">
        <w:rPr>
          <w:rFonts w:ascii="Times New Roman" w:eastAsia="Times New Roman" w:hAnsi="Times New Roman" w:cs="Times New Roman"/>
          <w:i/>
          <w:sz w:val="24"/>
          <w:szCs w:val="24"/>
          <w:lang w:eastAsia="en-AU"/>
        </w:rPr>
        <w:t>3</w:t>
      </w:r>
      <w:r w:rsidR="005F2423">
        <w:rPr>
          <w:rFonts w:ascii="Times New Roman" w:eastAsia="Times New Roman" w:hAnsi="Times New Roman" w:cs="Times New Roman"/>
          <w:sz w:val="24"/>
          <w:szCs w:val="24"/>
          <w:lang w:eastAsia="en-AU"/>
        </w:rPr>
        <w:t xml:space="preserve"> (“the instrument”)</w:t>
      </w:r>
      <w:r w:rsidRPr="00A419EA">
        <w:rPr>
          <w:rFonts w:ascii="Times New Roman" w:eastAsia="Times New Roman" w:hAnsi="Times New Roman" w:cs="Times New Roman"/>
          <w:sz w:val="24"/>
          <w:szCs w:val="24"/>
          <w:lang w:eastAsia="en-AU"/>
        </w:rPr>
        <w:t xml:space="preserve"> is made by </w:t>
      </w:r>
      <w:r w:rsidR="008E75B9">
        <w:rPr>
          <w:rFonts w:ascii="Times New Roman" w:eastAsia="Times New Roman" w:hAnsi="Times New Roman" w:cs="Times New Roman"/>
          <w:sz w:val="24"/>
          <w:szCs w:val="24"/>
          <w:lang w:eastAsia="en-AU"/>
        </w:rPr>
        <w:t xml:space="preserve">a delegate of </w:t>
      </w:r>
      <w:r w:rsidRPr="00A419EA">
        <w:rPr>
          <w:rFonts w:ascii="Times New Roman" w:eastAsia="Times New Roman" w:hAnsi="Times New Roman" w:cs="Times New Roman"/>
          <w:sz w:val="24"/>
          <w:szCs w:val="24"/>
          <w:lang w:eastAsia="en-AU"/>
        </w:rPr>
        <w:t xml:space="preserve">the Minister under </w:t>
      </w:r>
      <w:r w:rsidR="008E75B9">
        <w:rPr>
          <w:rFonts w:ascii="Times New Roman" w:eastAsia="Times New Roman" w:hAnsi="Times New Roman" w:cs="Times New Roman"/>
          <w:sz w:val="24"/>
          <w:szCs w:val="24"/>
          <w:lang w:eastAsia="en-AU"/>
        </w:rPr>
        <w:t>sub</w:t>
      </w:r>
      <w:r>
        <w:rPr>
          <w:rFonts w:ascii="Times New Roman" w:eastAsia="Times New Roman" w:hAnsi="Times New Roman" w:cs="Times New Roman"/>
          <w:sz w:val="24"/>
          <w:szCs w:val="24"/>
          <w:lang w:eastAsia="en-AU"/>
        </w:rPr>
        <w:t>section 26B</w:t>
      </w:r>
      <w:r w:rsidR="001B7ED3">
        <w:rPr>
          <w:rFonts w:ascii="Times New Roman" w:eastAsia="Times New Roman" w:hAnsi="Times New Roman" w:cs="Times New Roman"/>
          <w:sz w:val="24"/>
          <w:szCs w:val="24"/>
          <w:lang w:eastAsia="en-AU"/>
        </w:rPr>
        <w:t>B</w:t>
      </w:r>
      <w:r w:rsidR="008E75B9">
        <w:rPr>
          <w:rFonts w:ascii="Times New Roman" w:eastAsia="Times New Roman" w:hAnsi="Times New Roman" w:cs="Times New Roman"/>
          <w:sz w:val="24"/>
          <w:szCs w:val="24"/>
          <w:lang w:eastAsia="en-AU"/>
        </w:rPr>
        <w:t>(1)</w:t>
      </w:r>
      <w:r>
        <w:rPr>
          <w:rFonts w:ascii="Times New Roman" w:eastAsia="Times New Roman" w:hAnsi="Times New Roman" w:cs="Times New Roman"/>
          <w:sz w:val="24"/>
          <w:szCs w:val="24"/>
          <w:lang w:eastAsia="en-AU"/>
        </w:rPr>
        <w:t xml:space="preserve"> </w:t>
      </w:r>
      <w:r w:rsidRPr="00A419EA">
        <w:rPr>
          <w:rFonts w:ascii="Times New Roman" w:eastAsia="Times New Roman" w:hAnsi="Times New Roman" w:cs="Times New Roman"/>
          <w:sz w:val="24"/>
          <w:szCs w:val="24"/>
          <w:lang w:eastAsia="en-AU"/>
        </w:rPr>
        <w:t xml:space="preserve">of the </w:t>
      </w:r>
      <w:r>
        <w:rPr>
          <w:rFonts w:ascii="Times New Roman" w:eastAsia="Times New Roman" w:hAnsi="Times New Roman" w:cs="Times New Roman"/>
          <w:i/>
          <w:iCs/>
          <w:sz w:val="24"/>
          <w:szCs w:val="24"/>
          <w:lang w:eastAsia="en-AU"/>
        </w:rPr>
        <w:t>Therapeutic Goods Act </w:t>
      </w:r>
      <w:r w:rsidRPr="00A419EA">
        <w:rPr>
          <w:rFonts w:ascii="Times New Roman" w:eastAsia="Times New Roman" w:hAnsi="Times New Roman" w:cs="Times New Roman"/>
          <w:i/>
          <w:iCs/>
          <w:sz w:val="24"/>
          <w:szCs w:val="24"/>
          <w:lang w:eastAsia="en-AU"/>
        </w:rPr>
        <w:t>1989</w:t>
      </w:r>
      <w:r>
        <w:rPr>
          <w:rFonts w:ascii="Times New Roman" w:eastAsia="Times New Roman" w:hAnsi="Times New Roman" w:cs="Times New Roman"/>
          <w:i/>
          <w:iCs/>
          <w:sz w:val="24"/>
          <w:szCs w:val="24"/>
          <w:lang w:eastAsia="en-AU"/>
        </w:rPr>
        <w:t xml:space="preserve"> </w:t>
      </w:r>
      <w:r w:rsidRPr="00765674">
        <w:rPr>
          <w:rFonts w:ascii="Times New Roman" w:eastAsia="Times New Roman" w:hAnsi="Times New Roman" w:cs="Times New Roman"/>
          <w:iCs/>
          <w:sz w:val="24"/>
          <w:szCs w:val="24"/>
          <w:lang w:eastAsia="en-AU"/>
        </w:rPr>
        <w:t>(</w:t>
      </w:r>
      <w:r w:rsidR="00B82A8D">
        <w:rPr>
          <w:rFonts w:ascii="Times New Roman" w:eastAsia="Times New Roman" w:hAnsi="Times New Roman" w:cs="Times New Roman"/>
          <w:iCs/>
          <w:sz w:val="24"/>
          <w:szCs w:val="24"/>
          <w:lang w:eastAsia="en-AU"/>
        </w:rPr>
        <w:t>“</w:t>
      </w:r>
      <w:r w:rsidRPr="00765674">
        <w:rPr>
          <w:rFonts w:ascii="Times New Roman" w:eastAsia="Times New Roman" w:hAnsi="Times New Roman" w:cs="Times New Roman"/>
          <w:iCs/>
          <w:sz w:val="24"/>
          <w:szCs w:val="24"/>
          <w:lang w:eastAsia="en-AU"/>
        </w:rPr>
        <w:t>the Act</w:t>
      </w:r>
      <w:r w:rsidR="00B82A8D">
        <w:rPr>
          <w:rFonts w:ascii="Times New Roman" w:eastAsia="Times New Roman" w:hAnsi="Times New Roman" w:cs="Times New Roman"/>
          <w:iCs/>
          <w:sz w:val="24"/>
          <w:szCs w:val="24"/>
          <w:lang w:eastAsia="en-AU"/>
        </w:rPr>
        <w:t>”</w:t>
      </w:r>
      <w:r w:rsidRPr="00765674">
        <w:rPr>
          <w:rFonts w:ascii="Times New Roman" w:eastAsia="Times New Roman" w:hAnsi="Times New Roman" w:cs="Times New Roman"/>
          <w:iCs/>
          <w:sz w:val="24"/>
          <w:szCs w:val="24"/>
          <w:lang w:eastAsia="en-AU"/>
        </w:rPr>
        <w:t>)</w:t>
      </w:r>
      <w:r w:rsidRPr="00A419EA">
        <w:rPr>
          <w:rFonts w:ascii="Times New Roman" w:eastAsia="Times New Roman" w:hAnsi="Times New Roman" w:cs="Times New Roman"/>
          <w:i/>
          <w:iCs/>
          <w:sz w:val="24"/>
          <w:szCs w:val="24"/>
          <w:lang w:eastAsia="en-AU"/>
        </w:rPr>
        <w:t>.</w:t>
      </w:r>
    </w:p>
    <w:p w14:paraId="79189885" w14:textId="77777777" w:rsidR="00D731D4" w:rsidRDefault="00D731D4" w:rsidP="00D731D4">
      <w:pPr>
        <w:autoSpaceDE w:val="0"/>
        <w:autoSpaceDN w:val="0"/>
        <w:adjustRightInd w:val="0"/>
        <w:spacing w:after="0"/>
        <w:rPr>
          <w:rFonts w:ascii="Times New Roman" w:eastAsia="Times New Roman" w:hAnsi="Times New Roman" w:cs="Times New Roman"/>
          <w:sz w:val="24"/>
          <w:szCs w:val="24"/>
          <w:lang w:eastAsia="en-AU"/>
        </w:rPr>
      </w:pPr>
    </w:p>
    <w:p w14:paraId="799ABA85" w14:textId="38098C93" w:rsidR="00D731D4" w:rsidRPr="00D731D4" w:rsidRDefault="00D731D4" w:rsidP="00D731D4">
      <w:pPr>
        <w:autoSpaceDE w:val="0"/>
        <w:autoSpaceDN w:val="0"/>
        <w:adjustRightInd w:val="0"/>
        <w:spacing w:after="0"/>
        <w:rPr>
          <w:rFonts w:ascii="Times New Roman" w:eastAsia="Times New Roman" w:hAnsi="Times New Roman" w:cs="Times New Roman"/>
          <w:sz w:val="24"/>
          <w:szCs w:val="24"/>
          <w:lang w:val="en-US" w:eastAsia="en-AU"/>
        </w:rPr>
      </w:pPr>
      <w:r w:rsidRPr="00D731D4">
        <w:rPr>
          <w:rFonts w:ascii="Times New Roman" w:eastAsia="Times New Roman" w:hAnsi="Times New Roman" w:cs="Times New Roman"/>
          <w:sz w:val="24"/>
          <w:szCs w:val="24"/>
          <w:lang w:eastAsia="en-AU"/>
        </w:rPr>
        <w:t xml:space="preserve">The purpose of the instrument is to specify those ingredients that may be contained in a medicine that is listed in the Australian Register of Therapeutic Goods (“the Register”) under section 26A or 26AE of the Act, and requirements in relation to the inclusion of those ingredients in such medicines. The instrument repeals and replaces the existing </w:t>
      </w:r>
      <w:r w:rsidRPr="00D731D4">
        <w:rPr>
          <w:rFonts w:ascii="Times New Roman" w:eastAsia="Times New Roman" w:hAnsi="Times New Roman" w:cs="Times New Roman"/>
          <w:i/>
          <w:iCs/>
          <w:sz w:val="24"/>
          <w:szCs w:val="24"/>
          <w:lang w:eastAsia="en-AU"/>
        </w:rPr>
        <w:t>Therapeutic Goods (Permissible I</w:t>
      </w:r>
      <w:r>
        <w:rPr>
          <w:rFonts w:ascii="Times New Roman" w:eastAsia="Times New Roman" w:hAnsi="Times New Roman" w:cs="Times New Roman"/>
          <w:i/>
          <w:iCs/>
          <w:sz w:val="24"/>
          <w:szCs w:val="24"/>
          <w:lang w:eastAsia="en-AU"/>
        </w:rPr>
        <w:t>ngredients) Determination (No.</w:t>
      </w:r>
      <w:r w:rsidR="00DC4241">
        <w:rPr>
          <w:rFonts w:ascii="Times New Roman" w:eastAsia="Times New Roman" w:hAnsi="Times New Roman" w:cs="Times New Roman"/>
          <w:i/>
          <w:iCs/>
          <w:sz w:val="24"/>
          <w:szCs w:val="24"/>
          <w:lang w:eastAsia="en-AU"/>
        </w:rPr>
        <w:t xml:space="preserve"> </w:t>
      </w:r>
      <w:r w:rsidR="00D61505">
        <w:rPr>
          <w:rFonts w:ascii="Times New Roman" w:eastAsia="Times New Roman" w:hAnsi="Times New Roman" w:cs="Times New Roman"/>
          <w:i/>
          <w:iCs/>
          <w:sz w:val="24"/>
          <w:szCs w:val="24"/>
          <w:lang w:eastAsia="en-AU"/>
        </w:rPr>
        <w:t>1</w:t>
      </w:r>
      <w:r w:rsidRPr="00D731D4">
        <w:rPr>
          <w:rFonts w:ascii="Times New Roman" w:eastAsia="Times New Roman" w:hAnsi="Times New Roman" w:cs="Times New Roman"/>
          <w:i/>
          <w:iCs/>
          <w:sz w:val="24"/>
          <w:szCs w:val="24"/>
          <w:lang w:eastAsia="en-AU"/>
        </w:rPr>
        <w:t xml:space="preserve">) </w:t>
      </w:r>
      <w:r w:rsidR="00D61505">
        <w:rPr>
          <w:rFonts w:ascii="Times New Roman" w:eastAsia="Times New Roman" w:hAnsi="Times New Roman" w:cs="Times New Roman"/>
          <w:i/>
          <w:iCs/>
          <w:sz w:val="24"/>
          <w:szCs w:val="24"/>
          <w:lang w:eastAsia="en-AU"/>
        </w:rPr>
        <w:t>2023</w:t>
      </w:r>
      <w:r w:rsidR="004C0638" w:rsidRPr="00D731D4">
        <w:rPr>
          <w:rFonts w:ascii="Times New Roman" w:eastAsia="Times New Roman" w:hAnsi="Times New Roman" w:cs="Times New Roman"/>
          <w:sz w:val="24"/>
          <w:szCs w:val="24"/>
          <w:lang w:eastAsia="en-AU"/>
        </w:rPr>
        <w:t xml:space="preserve"> </w:t>
      </w:r>
      <w:r w:rsidRPr="00D731D4">
        <w:rPr>
          <w:rFonts w:ascii="Times New Roman" w:eastAsia="Times New Roman" w:hAnsi="Times New Roman" w:cs="Times New Roman"/>
          <w:sz w:val="24"/>
          <w:szCs w:val="24"/>
          <w:lang w:eastAsia="en-AU"/>
        </w:rPr>
        <w:t>(“the former instrument”).</w:t>
      </w:r>
    </w:p>
    <w:p w14:paraId="666DC18D" w14:textId="77777777" w:rsidR="00D731D4" w:rsidRDefault="00D731D4" w:rsidP="00D731D4">
      <w:pPr>
        <w:autoSpaceDE w:val="0"/>
        <w:autoSpaceDN w:val="0"/>
        <w:adjustRightInd w:val="0"/>
        <w:spacing w:after="0"/>
        <w:rPr>
          <w:rFonts w:ascii="Times New Roman" w:eastAsia="Times New Roman" w:hAnsi="Times New Roman" w:cs="Times New Roman"/>
          <w:sz w:val="24"/>
          <w:szCs w:val="24"/>
          <w:lang w:eastAsia="en-AU"/>
        </w:rPr>
      </w:pPr>
    </w:p>
    <w:p w14:paraId="3FF27308" w14:textId="5EB3451D" w:rsidR="00D731D4" w:rsidRPr="00D731D4" w:rsidRDefault="00D731D4" w:rsidP="00D731D4">
      <w:pPr>
        <w:autoSpaceDE w:val="0"/>
        <w:autoSpaceDN w:val="0"/>
        <w:adjustRightInd w:val="0"/>
        <w:spacing w:after="0"/>
        <w:rPr>
          <w:rFonts w:ascii="Times New Roman" w:eastAsia="Times New Roman" w:hAnsi="Times New Roman" w:cs="Times New Roman"/>
          <w:sz w:val="24"/>
          <w:szCs w:val="24"/>
          <w:lang w:val="en-US" w:eastAsia="en-AU"/>
        </w:rPr>
      </w:pPr>
      <w:r w:rsidRPr="00D731D4">
        <w:rPr>
          <w:rFonts w:ascii="Times New Roman" w:eastAsia="Times New Roman" w:hAnsi="Times New Roman" w:cs="Times New Roman"/>
          <w:sz w:val="24"/>
          <w:szCs w:val="24"/>
          <w:lang w:eastAsia="en-AU"/>
        </w:rPr>
        <w:t xml:space="preserve">Medicines that are listed in the Register under section 26A of the Act </w:t>
      </w:r>
      <w:proofErr w:type="gramStart"/>
      <w:r w:rsidRPr="00D731D4">
        <w:rPr>
          <w:rFonts w:ascii="Times New Roman" w:eastAsia="Times New Roman" w:hAnsi="Times New Roman" w:cs="Times New Roman"/>
          <w:sz w:val="24"/>
          <w:szCs w:val="24"/>
          <w:lang w:eastAsia="en-AU"/>
        </w:rPr>
        <w:t>are considered to be</w:t>
      </w:r>
      <w:proofErr w:type="gramEnd"/>
      <w:r w:rsidRPr="00D731D4">
        <w:rPr>
          <w:rFonts w:ascii="Times New Roman" w:eastAsia="Times New Roman" w:hAnsi="Times New Roman" w:cs="Times New Roman"/>
          <w:sz w:val="24"/>
          <w:szCs w:val="24"/>
          <w:lang w:eastAsia="en-AU"/>
        </w:rPr>
        <w:t xml:space="preserve"> low risk and are not individually evaluated before they are listed. Medicines that are listed in the Register under section 26AE of the Act are also considered to be low </w:t>
      </w:r>
      <w:proofErr w:type="gramStart"/>
      <w:r w:rsidRPr="00D731D4">
        <w:rPr>
          <w:rFonts w:ascii="Times New Roman" w:eastAsia="Times New Roman" w:hAnsi="Times New Roman" w:cs="Times New Roman"/>
          <w:sz w:val="24"/>
          <w:szCs w:val="24"/>
          <w:lang w:eastAsia="en-AU"/>
        </w:rPr>
        <w:t>risk, but</w:t>
      </w:r>
      <w:proofErr w:type="gramEnd"/>
      <w:r w:rsidRPr="00D731D4">
        <w:rPr>
          <w:rFonts w:ascii="Times New Roman" w:eastAsia="Times New Roman" w:hAnsi="Times New Roman" w:cs="Times New Roman"/>
          <w:sz w:val="24"/>
          <w:szCs w:val="24"/>
          <w:lang w:eastAsia="en-AU"/>
        </w:rPr>
        <w:t xml:space="preserve"> are evaluated in relation to whether the efficacy of the medicine for the purposes for which it is to be used has been satisfactorily established (these purposes are specific efficacy claims for which the sponsor of the medicine holds supporting evidence). When listed under section 26AE, these listed medicines are commonly referred to as ‘assessed listed </w:t>
      </w:r>
      <w:proofErr w:type="gramStart"/>
      <w:r w:rsidRPr="00D731D4">
        <w:rPr>
          <w:rFonts w:ascii="Times New Roman" w:eastAsia="Times New Roman" w:hAnsi="Times New Roman" w:cs="Times New Roman"/>
          <w:sz w:val="24"/>
          <w:szCs w:val="24"/>
          <w:lang w:eastAsia="en-AU"/>
        </w:rPr>
        <w:t>medicines’</w:t>
      </w:r>
      <w:proofErr w:type="gramEnd"/>
      <w:r w:rsidRPr="00D731D4">
        <w:rPr>
          <w:rFonts w:ascii="Times New Roman" w:eastAsia="Times New Roman" w:hAnsi="Times New Roman" w:cs="Times New Roman"/>
          <w:sz w:val="24"/>
          <w:szCs w:val="24"/>
          <w:lang w:eastAsia="en-AU"/>
        </w:rPr>
        <w:t>.</w:t>
      </w:r>
    </w:p>
    <w:p w14:paraId="2B17E1A6" w14:textId="77777777" w:rsidR="00D731D4" w:rsidRDefault="00D731D4" w:rsidP="00D731D4">
      <w:pPr>
        <w:autoSpaceDE w:val="0"/>
        <w:autoSpaceDN w:val="0"/>
        <w:adjustRightInd w:val="0"/>
        <w:spacing w:after="0"/>
        <w:rPr>
          <w:rFonts w:ascii="Times New Roman" w:eastAsia="Times New Roman" w:hAnsi="Times New Roman" w:cs="Times New Roman"/>
          <w:sz w:val="24"/>
          <w:szCs w:val="24"/>
          <w:lang w:eastAsia="en-AU"/>
        </w:rPr>
      </w:pPr>
    </w:p>
    <w:p w14:paraId="5333D757" w14:textId="4049C2BD" w:rsidR="00D731D4" w:rsidRPr="00D731D4" w:rsidRDefault="00D731D4" w:rsidP="00D731D4">
      <w:pPr>
        <w:autoSpaceDE w:val="0"/>
        <w:autoSpaceDN w:val="0"/>
        <w:adjustRightInd w:val="0"/>
        <w:spacing w:after="0"/>
        <w:rPr>
          <w:rFonts w:ascii="Times New Roman" w:eastAsia="Times New Roman" w:hAnsi="Times New Roman" w:cs="Times New Roman"/>
          <w:sz w:val="24"/>
          <w:szCs w:val="24"/>
          <w:lang w:val="en-US" w:eastAsia="en-AU"/>
        </w:rPr>
      </w:pPr>
      <w:r w:rsidRPr="00D731D4">
        <w:rPr>
          <w:rFonts w:ascii="Times New Roman" w:eastAsia="Times New Roman" w:hAnsi="Times New Roman" w:cs="Times New Roman"/>
          <w:sz w:val="24"/>
          <w:szCs w:val="24"/>
          <w:lang w:eastAsia="en-AU"/>
        </w:rPr>
        <w:t xml:space="preserve">As the safety and quality of medicines listed under section 26A and 26AE are not evaluated by the Therapeutic Goods Administration (“the TGA”) before being given marketing approval, the Act contains mechanisms to help ensure that listed medicines are of appropriate quality and able to be used safely by consumers. </w:t>
      </w:r>
      <w:proofErr w:type="gramStart"/>
      <w:r w:rsidRPr="00D731D4">
        <w:rPr>
          <w:rFonts w:ascii="Times New Roman" w:eastAsia="Times New Roman" w:hAnsi="Times New Roman" w:cs="Times New Roman"/>
          <w:sz w:val="24"/>
          <w:szCs w:val="24"/>
          <w:lang w:eastAsia="en-AU"/>
        </w:rPr>
        <w:t>In particular, listed</w:t>
      </w:r>
      <w:proofErr w:type="gramEnd"/>
      <w:r w:rsidRPr="00D731D4">
        <w:rPr>
          <w:rFonts w:ascii="Times New Roman" w:eastAsia="Times New Roman" w:hAnsi="Times New Roman" w:cs="Times New Roman"/>
          <w:sz w:val="24"/>
          <w:szCs w:val="24"/>
          <w:lang w:eastAsia="en-AU"/>
        </w:rPr>
        <w:t xml:space="preserve"> medicines may only contain ingredients from an approved list of ingredients that have been evaluated in relation to their quality and safety and suitability for use in such medicines.</w:t>
      </w:r>
    </w:p>
    <w:p w14:paraId="34F8E975" w14:textId="77777777" w:rsidR="00D731D4" w:rsidRDefault="00D731D4" w:rsidP="00D731D4">
      <w:pPr>
        <w:autoSpaceDE w:val="0"/>
        <w:autoSpaceDN w:val="0"/>
        <w:adjustRightInd w:val="0"/>
        <w:spacing w:after="0"/>
        <w:rPr>
          <w:rFonts w:ascii="Times New Roman" w:eastAsia="Times New Roman" w:hAnsi="Times New Roman" w:cs="Times New Roman"/>
          <w:sz w:val="24"/>
          <w:szCs w:val="24"/>
          <w:lang w:eastAsia="en-AU"/>
        </w:rPr>
      </w:pPr>
    </w:p>
    <w:p w14:paraId="06D911DB" w14:textId="2DB4E8D5" w:rsidR="00D731D4" w:rsidRPr="00D731D4" w:rsidRDefault="00D731D4" w:rsidP="00D731D4">
      <w:pPr>
        <w:autoSpaceDE w:val="0"/>
        <w:autoSpaceDN w:val="0"/>
        <w:adjustRightInd w:val="0"/>
        <w:spacing w:after="0"/>
        <w:rPr>
          <w:rFonts w:ascii="Times New Roman" w:eastAsia="Times New Roman" w:hAnsi="Times New Roman" w:cs="Times New Roman"/>
          <w:sz w:val="24"/>
          <w:szCs w:val="24"/>
          <w:lang w:val="en-US" w:eastAsia="en-AU"/>
        </w:rPr>
      </w:pPr>
      <w:r w:rsidRPr="00D731D4">
        <w:rPr>
          <w:rFonts w:ascii="Times New Roman" w:eastAsia="Times New Roman" w:hAnsi="Times New Roman" w:cs="Times New Roman"/>
          <w:sz w:val="24"/>
          <w:szCs w:val="24"/>
          <w:lang w:eastAsia="en-AU"/>
        </w:rPr>
        <w:t>Under paragraphs 26A(</w:t>
      </w:r>
      <w:proofErr w:type="gramStart"/>
      <w:r w:rsidRPr="00D731D4">
        <w:rPr>
          <w:rFonts w:ascii="Times New Roman" w:eastAsia="Times New Roman" w:hAnsi="Times New Roman" w:cs="Times New Roman"/>
          <w:sz w:val="24"/>
          <w:szCs w:val="24"/>
          <w:lang w:eastAsia="en-AU"/>
        </w:rPr>
        <w:t>2)(</w:t>
      </w:r>
      <w:proofErr w:type="gramEnd"/>
      <w:r w:rsidRPr="00D731D4">
        <w:rPr>
          <w:rFonts w:ascii="Times New Roman" w:eastAsia="Times New Roman" w:hAnsi="Times New Roman" w:cs="Times New Roman"/>
          <w:sz w:val="24"/>
          <w:szCs w:val="24"/>
          <w:lang w:eastAsia="en-AU"/>
        </w:rPr>
        <w:t>ca) and (</w:t>
      </w:r>
      <w:proofErr w:type="spellStart"/>
      <w:r w:rsidRPr="00D731D4">
        <w:rPr>
          <w:rFonts w:ascii="Times New Roman" w:eastAsia="Times New Roman" w:hAnsi="Times New Roman" w:cs="Times New Roman"/>
          <w:sz w:val="24"/>
          <w:szCs w:val="24"/>
          <w:lang w:eastAsia="en-AU"/>
        </w:rPr>
        <w:t>cb</w:t>
      </w:r>
      <w:proofErr w:type="spellEnd"/>
      <w:r w:rsidRPr="00D731D4">
        <w:rPr>
          <w:rFonts w:ascii="Times New Roman" w:eastAsia="Times New Roman" w:hAnsi="Times New Roman" w:cs="Times New Roman"/>
          <w:sz w:val="24"/>
          <w:szCs w:val="24"/>
          <w:lang w:eastAsia="en-AU"/>
        </w:rPr>
        <w:t>) of the Act, persons applying to list a medicine in the Register under section 26A of the Act must certify that their medicine does not contain an ingredient that is not specified in a determination under paragraph 26BB(1)(a) of the Act, and does not contravene a requirement in relation to such an ingredient that is specified in such a determination.</w:t>
      </w:r>
      <w:r w:rsidR="00E60C26">
        <w:rPr>
          <w:rFonts w:ascii="Times New Roman" w:eastAsia="Times New Roman" w:hAnsi="Times New Roman" w:cs="Times New Roman"/>
          <w:sz w:val="24"/>
          <w:szCs w:val="24"/>
          <w:lang w:eastAsia="en-AU"/>
        </w:rPr>
        <w:t xml:space="preserve"> </w:t>
      </w:r>
      <w:r w:rsidRPr="00D731D4">
        <w:rPr>
          <w:rFonts w:ascii="Times New Roman" w:eastAsia="Times New Roman" w:hAnsi="Times New Roman" w:cs="Times New Roman"/>
          <w:sz w:val="24"/>
          <w:szCs w:val="24"/>
          <w:lang w:eastAsia="en-AU"/>
        </w:rPr>
        <w:t xml:space="preserve">Paragraphs 26AB(2)(d) and (e) set out equivalent certification requirements for applicants seeking marketing approval for an assessed listed medicine. A listed (or </w:t>
      </w:r>
      <w:r w:rsidRPr="00D731D4">
        <w:rPr>
          <w:rFonts w:ascii="Times New Roman" w:eastAsia="Times New Roman" w:hAnsi="Times New Roman" w:cs="Times New Roman"/>
          <w:sz w:val="24"/>
          <w:szCs w:val="24"/>
          <w:lang w:eastAsia="en-AU"/>
        </w:rPr>
        <w:lastRenderedPageBreak/>
        <w:t>assessed listed) medicine may be cancelled from the Register if it appears to the Secretary that such a certification is incorrect.</w:t>
      </w:r>
    </w:p>
    <w:p w14:paraId="328560AB" w14:textId="77777777" w:rsidR="00D731D4" w:rsidRDefault="00D731D4" w:rsidP="00D731D4">
      <w:pPr>
        <w:autoSpaceDE w:val="0"/>
        <w:autoSpaceDN w:val="0"/>
        <w:adjustRightInd w:val="0"/>
        <w:spacing w:after="0"/>
        <w:rPr>
          <w:rFonts w:ascii="Times New Roman" w:eastAsia="Times New Roman" w:hAnsi="Times New Roman" w:cs="Times New Roman"/>
          <w:sz w:val="24"/>
          <w:szCs w:val="24"/>
          <w:lang w:eastAsia="en-AU"/>
        </w:rPr>
      </w:pPr>
    </w:p>
    <w:p w14:paraId="08BDDD60" w14:textId="105502F5" w:rsidR="00D731D4" w:rsidRPr="00D731D4" w:rsidRDefault="00D731D4" w:rsidP="00D731D4">
      <w:pPr>
        <w:autoSpaceDE w:val="0"/>
        <w:autoSpaceDN w:val="0"/>
        <w:adjustRightInd w:val="0"/>
        <w:spacing w:after="0"/>
        <w:rPr>
          <w:rFonts w:ascii="Times New Roman" w:eastAsia="Times New Roman" w:hAnsi="Times New Roman" w:cs="Times New Roman"/>
          <w:sz w:val="24"/>
          <w:szCs w:val="24"/>
          <w:lang w:val="en-US" w:eastAsia="en-AU"/>
        </w:rPr>
      </w:pPr>
      <w:r w:rsidRPr="00D731D4">
        <w:rPr>
          <w:rFonts w:ascii="Times New Roman" w:eastAsia="Times New Roman" w:hAnsi="Times New Roman" w:cs="Times New Roman"/>
          <w:sz w:val="24"/>
          <w:szCs w:val="24"/>
          <w:lang w:eastAsia="en-AU"/>
        </w:rPr>
        <w:t xml:space="preserve">Compliance with the instrument is also an important part of the criteria for eligibility for listing of medicines in the Register set out in Schedule 4 to the </w:t>
      </w:r>
      <w:r w:rsidRPr="00D731D4">
        <w:rPr>
          <w:rFonts w:ascii="Times New Roman" w:eastAsia="Times New Roman" w:hAnsi="Times New Roman" w:cs="Times New Roman"/>
          <w:i/>
          <w:iCs/>
          <w:sz w:val="24"/>
          <w:szCs w:val="24"/>
          <w:lang w:eastAsia="en-AU"/>
        </w:rPr>
        <w:t>Therapeutic Goods Regulations 1990</w:t>
      </w:r>
      <w:r w:rsidRPr="00D731D4">
        <w:rPr>
          <w:rFonts w:ascii="Times New Roman" w:eastAsia="Times New Roman" w:hAnsi="Times New Roman" w:cs="Times New Roman"/>
          <w:sz w:val="24"/>
          <w:szCs w:val="24"/>
          <w:lang w:eastAsia="en-AU"/>
        </w:rPr>
        <w:t>. Medicines that are not eligible for listing because those medicines do not comply with these criteria (including compliance with the instrument) would be required to be registered, rather than listed, in the Register (a considerably more lengthy and costly exercise).</w:t>
      </w:r>
    </w:p>
    <w:p w14:paraId="09E316CB" w14:textId="77777777" w:rsidR="00D731D4" w:rsidRDefault="00D731D4" w:rsidP="00D731D4">
      <w:pPr>
        <w:autoSpaceDE w:val="0"/>
        <w:autoSpaceDN w:val="0"/>
        <w:adjustRightInd w:val="0"/>
        <w:spacing w:after="0"/>
        <w:rPr>
          <w:rFonts w:ascii="Times New Roman" w:eastAsia="Times New Roman" w:hAnsi="Times New Roman" w:cs="Times New Roman"/>
          <w:sz w:val="24"/>
          <w:szCs w:val="24"/>
          <w:lang w:eastAsia="en-AU"/>
        </w:rPr>
      </w:pPr>
    </w:p>
    <w:p w14:paraId="76E2595A" w14:textId="5D831C57" w:rsidR="00D731D4" w:rsidRPr="00D731D4" w:rsidRDefault="00D731D4" w:rsidP="00D731D4">
      <w:pPr>
        <w:autoSpaceDE w:val="0"/>
        <w:autoSpaceDN w:val="0"/>
        <w:adjustRightInd w:val="0"/>
        <w:spacing w:after="0"/>
        <w:rPr>
          <w:rFonts w:ascii="Times New Roman" w:eastAsia="Times New Roman" w:hAnsi="Times New Roman" w:cs="Times New Roman"/>
          <w:sz w:val="24"/>
          <w:szCs w:val="24"/>
          <w:lang w:val="en-US" w:eastAsia="en-AU"/>
        </w:rPr>
      </w:pPr>
      <w:r w:rsidRPr="00D731D4">
        <w:rPr>
          <w:rFonts w:ascii="Times New Roman" w:eastAsia="Times New Roman" w:hAnsi="Times New Roman" w:cs="Times New Roman"/>
          <w:sz w:val="24"/>
          <w:szCs w:val="24"/>
          <w:lang w:eastAsia="en-AU"/>
        </w:rPr>
        <w:t xml:space="preserve">The instrument is designed to provide a comprehensive list of ingredients which have been assessed or otherwise considered to be safe for use in listed (and assessed listed) medicines, and associated requirements to be followed when using </w:t>
      </w:r>
      <w:proofErr w:type="gramStart"/>
      <w:r w:rsidRPr="00D731D4">
        <w:rPr>
          <w:rFonts w:ascii="Times New Roman" w:eastAsia="Times New Roman" w:hAnsi="Times New Roman" w:cs="Times New Roman"/>
          <w:sz w:val="24"/>
          <w:szCs w:val="24"/>
          <w:lang w:eastAsia="en-AU"/>
        </w:rPr>
        <w:t>particular ingredients</w:t>
      </w:r>
      <w:proofErr w:type="gramEnd"/>
      <w:r w:rsidRPr="00D731D4">
        <w:rPr>
          <w:rFonts w:ascii="Times New Roman" w:eastAsia="Times New Roman" w:hAnsi="Times New Roman" w:cs="Times New Roman"/>
          <w:sz w:val="24"/>
          <w:szCs w:val="24"/>
          <w:lang w:eastAsia="en-AU"/>
        </w:rPr>
        <w:t xml:space="preserve"> in such products, to support the overall safety of these products for consumers.</w:t>
      </w:r>
    </w:p>
    <w:p w14:paraId="70D604CD" w14:textId="77777777" w:rsidR="00D731D4" w:rsidRDefault="00D731D4" w:rsidP="00D731D4">
      <w:pPr>
        <w:autoSpaceDE w:val="0"/>
        <w:autoSpaceDN w:val="0"/>
        <w:adjustRightInd w:val="0"/>
        <w:spacing w:after="0"/>
        <w:rPr>
          <w:rFonts w:ascii="Times New Roman" w:eastAsia="Times New Roman" w:hAnsi="Times New Roman" w:cs="Times New Roman"/>
          <w:sz w:val="24"/>
          <w:szCs w:val="24"/>
          <w:lang w:eastAsia="en-AU"/>
        </w:rPr>
      </w:pPr>
    </w:p>
    <w:p w14:paraId="648ADBB6" w14:textId="285F20BC" w:rsidR="00D731D4" w:rsidRPr="00D731D4" w:rsidRDefault="00D731D4" w:rsidP="00AB76CE">
      <w:pPr>
        <w:autoSpaceDE w:val="0"/>
        <w:autoSpaceDN w:val="0"/>
        <w:adjustRightInd w:val="0"/>
        <w:spacing w:after="0"/>
        <w:rPr>
          <w:rFonts w:ascii="Times New Roman" w:eastAsia="Times New Roman" w:hAnsi="Times New Roman" w:cs="Times New Roman"/>
          <w:sz w:val="24"/>
          <w:szCs w:val="24"/>
          <w:lang w:val="en-US" w:eastAsia="en-AU"/>
        </w:rPr>
      </w:pPr>
      <w:r w:rsidRPr="00D731D4">
        <w:rPr>
          <w:rFonts w:ascii="Times New Roman" w:eastAsia="Times New Roman" w:hAnsi="Times New Roman" w:cs="Times New Roman"/>
          <w:sz w:val="24"/>
          <w:szCs w:val="24"/>
          <w:lang w:eastAsia="en-AU"/>
        </w:rPr>
        <w:t>The requirements imposed under the instrument principally relate to ensuring the quality and safety of the ingredient when used.</w:t>
      </w:r>
      <w:r w:rsidR="00B8782A">
        <w:rPr>
          <w:rFonts w:ascii="Times New Roman" w:eastAsia="Times New Roman" w:hAnsi="Times New Roman" w:cs="Times New Roman"/>
          <w:sz w:val="24"/>
          <w:szCs w:val="24"/>
          <w:lang w:eastAsia="en-AU"/>
        </w:rPr>
        <w:t xml:space="preserve"> </w:t>
      </w:r>
      <w:r w:rsidRPr="00D731D4">
        <w:rPr>
          <w:rFonts w:ascii="Times New Roman" w:eastAsia="Times New Roman" w:hAnsi="Times New Roman" w:cs="Times New Roman"/>
          <w:sz w:val="24"/>
          <w:szCs w:val="24"/>
          <w:lang w:eastAsia="en-AU"/>
        </w:rPr>
        <w:t>Requirements may relate, for example, to:</w:t>
      </w:r>
    </w:p>
    <w:p w14:paraId="3E1BC56F" w14:textId="6C8A965F" w:rsidR="00D731D4" w:rsidRPr="00A521FE" w:rsidRDefault="00D731D4">
      <w:pPr>
        <w:pStyle w:val="ListParagraph"/>
        <w:numPr>
          <w:ilvl w:val="0"/>
          <w:numId w:val="12"/>
        </w:numPr>
        <w:autoSpaceDE w:val="0"/>
        <w:autoSpaceDN w:val="0"/>
        <w:adjustRightInd w:val="0"/>
        <w:spacing w:before="120" w:beforeAutospacing="0" w:after="120" w:afterAutospacing="0"/>
        <w:ind w:left="714" w:hanging="357"/>
        <w:rPr>
          <w:lang w:val="en-US"/>
        </w:rPr>
      </w:pPr>
      <w:r w:rsidRPr="00A521FE">
        <w:t xml:space="preserve">how the ingredient is to be used in the medicine, that is, as an active, homoeopathic or excipient </w:t>
      </w:r>
      <w:proofErr w:type="gramStart"/>
      <w:r w:rsidRPr="00A521FE">
        <w:t>ingredient;</w:t>
      </w:r>
      <w:proofErr w:type="gramEnd"/>
    </w:p>
    <w:p w14:paraId="4A7217E1" w14:textId="7254D24B" w:rsidR="00D731D4" w:rsidRPr="00A521FE" w:rsidRDefault="00D731D4" w:rsidP="008E75B9">
      <w:pPr>
        <w:pStyle w:val="ListParagraph"/>
        <w:numPr>
          <w:ilvl w:val="0"/>
          <w:numId w:val="12"/>
        </w:numPr>
        <w:autoSpaceDE w:val="0"/>
        <w:autoSpaceDN w:val="0"/>
        <w:adjustRightInd w:val="0"/>
        <w:spacing w:before="120" w:beforeAutospacing="0" w:after="120" w:afterAutospacing="0"/>
        <w:ind w:left="714" w:hanging="357"/>
        <w:rPr>
          <w:lang w:val="en-US"/>
        </w:rPr>
      </w:pPr>
      <w:r w:rsidRPr="00A521FE">
        <w:t xml:space="preserve">the intended method of ingestion or application of the medicine, for example, oral or topical </w:t>
      </w:r>
      <w:proofErr w:type="gramStart"/>
      <w:r w:rsidRPr="00A521FE">
        <w:t>use;</w:t>
      </w:r>
      <w:proofErr w:type="gramEnd"/>
    </w:p>
    <w:p w14:paraId="160AE370" w14:textId="2FBDB112" w:rsidR="00D731D4" w:rsidRPr="00A521FE" w:rsidRDefault="00D731D4" w:rsidP="008E75B9">
      <w:pPr>
        <w:pStyle w:val="ListParagraph"/>
        <w:numPr>
          <w:ilvl w:val="0"/>
          <w:numId w:val="12"/>
        </w:numPr>
        <w:autoSpaceDE w:val="0"/>
        <w:autoSpaceDN w:val="0"/>
        <w:adjustRightInd w:val="0"/>
        <w:spacing w:before="120" w:beforeAutospacing="0" w:after="120" w:afterAutospacing="0"/>
        <w:ind w:left="714" w:hanging="357"/>
        <w:rPr>
          <w:lang w:val="en-US"/>
        </w:rPr>
      </w:pPr>
      <w:r w:rsidRPr="00A521FE">
        <w:t xml:space="preserve">the source of the ingredient, or procedures to be followed in its </w:t>
      </w:r>
      <w:proofErr w:type="gramStart"/>
      <w:r w:rsidRPr="00A521FE">
        <w:t>manufacture;</w:t>
      </w:r>
      <w:proofErr w:type="gramEnd"/>
    </w:p>
    <w:p w14:paraId="3AC40B37" w14:textId="547C978A" w:rsidR="00D731D4" w:rsidRPr="00A521FE" w:rsidRDefault="00D731D4" w:rsidP="008E75B9">
      <w:pPr>
        <w:pStyle w:val="ListParagraph"/>
        <w:numPr>
          <w:ilvl w:val="0"/>
          <w:numId w:val="12"/>
        </w:numPr>
        <w:autoSpaceDE w:val="0"/>
        <w:autoSpaceDN w:val="0"/>
        <w:adjustRightInd w:val="0"/>
        <w:spacing w:before="120" w:beforeAutospacing="0" w:after="120" w:afterAutospacing="0"/>
        <w:ind w:left="714" w:hanging="357"/>
        <w:rPr>
          <w:lang w:val="en-US"/>
        </w:rPr>
      </w:pPr>
      <w:r w:rsidRPr="00A521FE">
        <w:t>appropriate limits on the volume or concentration of an ingredient; and</w:t>
      </w:r>
    </w:p>
    <w:p w14:paraId="0DEF1A6B" w14:textId="6C97C687" w:rsidR="00D731D4" w:rsidRPr="00A521FE" w:rsidRDefault="00D731D4" w:rsidP="00EE544B">
      <w:pPr>
        <w:pStyle w:val="ListParagraph"/>
        <w:numPr>
          <w:ilvl w:val="0"/>
          <w:numId w:val="12"/>
        </w:numPr>
        <w:autoSpaceDE w:val="0"/>
        <w:autoSpaceDN w:val="0"/>
        <w:adjustRightInd w:val="0"/>
        <w:spacing w:before="120" w:beforeAutospacing="0" w:after="0" w:afterAutospacing="0"/>
        <w:ind w:left="714" w:hanging="357"/>
        <w:rPr>
          <w:lang w:val="en-US"/>
        </w:rPr>
      </w:pPr>
      <w:r w:rsidRPr="00A521FE">
        <w:t>the inclusion of relevant safety information on product labels, for example, allergen advice or advice about the use of medicine containing the ingredient for susceptible members of the population such as children and pregnant women.</w:t>
      </w:r>
    </w:p>
    <w:p w14:paraId="3589B9EF" w14:textId="4993939A" w:rsidR="00D731D4" w:rsidRDefault="00D731D4" w:rsidP="00D731D4">
      <w:pPr>
        <w:autoSpaceDE w:val="0"/>
        <w:autoSpaceDN w:val="0"/>
        <w:adjustRightInd w:val="0"/>
        <w:spacing w:after="0"/>
        <w:rPr>
          <w:rFonts w:ascii="Times New Roman" w:eastAsia="Times New Roman" w:hAnsi="Times New Roman" w:cs="Times New Roman"/>
          <w:sz w:val="24"/>
          <w:szCs w:val="24"/>
          <w:lang w:eastAsia="en-AU"/>
        </w:rPr>
      </w:pPr>
    </w:p>
    <w:p w14:paraId="6BE8CE40" w14:textId="31FA4E3D" w:rsidR="00D57DB9" w:rsidRDefault="00D57DB9" w:rsidP="00D57DB9">
      <w:pPr>
        <w:spacing w:after="0"/>
        <w:rPr>
          <w:rFonts w:ascii="Times New Roman" w:eastAsia="Times New Roman" w:hAnsi="Times New Roman" w:cs="Times New Roman"/>
          <w:sz w:val="24"/>
          <w:szCs w:val="24"/>
          <w:lang w:eastAsia="en-AU"/>
        </w:rPr>
      </w:pPr>
      <w:r w:rsidRPr="002000F0">
        <w:rPr>
          <w:rFonts w:ascii="Times New Roman" w:eastAsia="Times New Roman" w:hAnsi="Times New Roman" w:cs="Times New Roman"/>
          <w:sz w:val="24"/>
          <w:szCs w:val="24"/>
          <w:lang w:eastAsia="en-AU"/>
        </w:rPr>
        <w:t xml:space="preserve">The Determination incorporates </w:t>
      </w:r>
      <w:proofErr w:type="gramStart"/>
      <w:r w:rsidRPr="002000F0">
        <w:rPr>
          <w:rFonts w:ascii="Times New Roman" w:eastAsia="Times New Roman" w:hAnsi="Times New Roman" w:cs="Times New Roman"/>
          <w:sz w:val="24"/>
          <w:szCs w:val="24"/>
          <w:lang w:eastAsia="en-AU"/>
        </w:rPr>
        <w:t>a number of</w:t>
      </w:r>
      <w:proofErr w:type="gramEnd"/>
      <w:r w:rsidRPr="002000F0">
        <w:rPr>
          <w:rFonts w:ascii="Times New Roman" w:eastAsia="Times New Roman" w:hAnsi="Times New Roman" w:cs="Times New Roman"/>
          <w:sz w:val="24"/>
          <w:szCs w:val="24"/>
          <w:lang w:eastAsia="en-AU"/>
        </w:rPr>
        <w:t xml:space="preserve"> changes in comparison to the former Determination, including in particular:</w:t>
      </w:r>
    </w:p>
    <w:p w14:paraId="6A983D5E" w14:textId="77777777" w:rsidR="00FA3AC0" w:rsidRDefault="00FA3AC0" w:rsidP="00D57DB9">
      <w:pPr>
        <w:spacing w:after="0"/>
        <w:rPr>
          <w:rFonts w:ascii="Times New Roman" w:eastAsia="Times New Roman" w:hAnsi="Times New Roman" w:cs="Times New Roman"/>
          <w:sz w:val="24"/>
          <w:szCs w:val="24"/>
          <w:lang w:eastAsia="en-AU"/>
        </w:rPr>
      </w:pPr>
    </w:p>
    <w:p w14:paraId="5F36C9A5" w14:textId="77777777" w:rsidR="00FA3AC0" w:rsidRPr="00E702D7" w:rsidRDefault="00FA3AC0" w:rsidP="00FA3AC0">
      <w:pPr>
        <w:pStyle w:val="ListParagraph"/>
        <w:numPr>
          <w:ilvl w:val="0"/>
          <w:numId w:val="11"/>
        </w:numPr>
        <w:spacing w:before="0" w:beforeAutospacing="0" w:after="120" w:afterAutospacing="0" w:line="276" w:lineRule="auto"/>
        <w:ind w:left="714" w:hanging="357"/>
        <w:contextualSpacing/>
      </w:pPr>
      <w:r>
        <w:t xml:space="preserve">the addition of </w:t>
      </w:r>
      <w:r>
        <w:rPr>
          <w:lang w:eastAsia="en-US"/>
        </w:rPr>
        <w:t>the</w:t>
      </w:r>
      <w:r>
        <w:t xml:space="preserve"> ingredient, ‘</w:t>
      </w:r>
      <w:proofErr w:type="spellStart"/>
      <w:proofErr w:type="gramStart"/>
      <w:r w:rsidRPr="00FA3AC0">
        <w:rPr>
          <w:rFonts w:cs="Calibri"/>
          <w:bCs/>
        </w:rPr>
        <w:t>galactooligosaccharides</w:t>
      </w:r>
      <w:proofErr w:type="spellEnd"/>
      <w:r>
        <w:rPr>
          <w:rFonts w:cs="Calibri"/>
          <w:bCs/>
        </w:rPr>
        <w:t>’;</w:t>
      </w:r>
      <w:proofErr w:type="gramEnd"/>
    </w:p>
    <w:p w14:paraId="53E2AE82" w14:textId="77777777" w:rsidR="00FA3AC0" w:rsidRDefault="00FA3AC0" w:rsidP="00FA3AC0">
      <w:pPr>
        <w:pStyle w:val="ListParagraph"/>
        <w:numPr>
          <w:ilvl w:val="0"/>
          <w:numId w:val="11"/>
        </w:numPr>
        <w:spacing w:before="0" w:beforeAutospacing="0" w:after="120" w:afterAutospacing="0" w:line="276" w:lineRule="auto"/>
        <w:ind w:left="714" w:hanging="357"/>
        <w:contextualSpacing/>
      </w:pPr>
      <w:r>
        <w:t xml:space="preserve">the </w:t>
      </w:r>
      <w:r>
        <w:rPr>
          <w:lang w:eastAsia="en-US"/>
        </w:rPr>
        <w:t>addition</w:t>
      </w:r>
      <w:r>
        <w:t xml:space="preserve"> of the following two ingredients for use in flavour and fragrance proprietary excipient formulations:</w:t>
      </w:r>
    </w:p>
    <w:p w14:paraId="3A4D9CD3" w14:textId="77777777" w:rsidR="00FA3AC0" w:rsidRPr="0033063C" w:rsidRDefault="00FA3AC0" w:rsidP="00FA3AC0">
      <w:pPr>
        <w:pStyle w:val="ListParagraph"/>
        <w:numPr>
          <w:ilvl w:val="1"/>
          <w:numId w:val="11"/>
        </w:numPr>
        <w:spacing w:before="0" w:beforeAutospacing="0" w:after="120" w:afterAutospacing="0" w:line="276" w:lineRule="auto"/>
        <w:contextualSpacing/>
      </w:pPr>
      <w:r w:rsidRPr="00FA3AC0">
        <w:t>disodium pyrophosphate</w:t>
      </w:r>
      <w:r w:rsidRPr="0033063C">
        <w:t>; and</w:t>
      </w:r>
    </w:p>
    <w:p w14:paraId="4E861E32" w14:textId="77777777" w:rsidR="00FA3AC0" w:rsidRPr="0033063C" w:rsidRDefault="00FA3AC0" w:rsidP="00FA3AC0">
      <w:pPr>
        <w:pStyle w:val="ListParagraph"/>
        <w:numPr>
          <w:ilvl w:val="1"/>
          <w:numId w:val="11"/>
        </w:numPr>
        <w:spacing w:before="0" w:beforeAutospacing="0" w:after="120" w:afterAutospacing="0" w:line="276" w:lineRule="auto"/>
        <w:contextualSpacing/>
      </w:pPr>
      <w:r w:rsidRPr="00FA3AC0">
        <w:t>N-(2-(pyridin-2-</w:t>
      </w:r>
      <w:proofErr w:type="gramStart"/>
      <w:r w:rsidRPr="00FA3AC0">
        <w:t>yl)ethyl</w:t>
      </w:r>
      <w:proofErr w:type="gramEnd"/>
      <w:r w:rsidRPr="00FA3AC0">
        <w:t>)-p-menthane-3-carboxamide</w:t>
      </w:r>
      <w:r w:rsidRPr="0033063C">
        <w:t>;</w:t>
      </w:r>
    </w:p>
    <w:p w14:paraId="0A415250" w14:textId="77777777" w:rsidR="00FA3AC0" w:rsidRDefault="00FA3AC0" w:rsidP="00FA3AC0">
      <w:pPr>
        <w:pStyle w:val="ListParagraph"/>
        <w:numPr>
          <w:ilvl w:val="0"/>
          <w:numId w:val="11"/>
        </w:numPr>
        <w:spacing w:before="0" w:beforeAutospacing="0" w:after="120" w:afterAutospacing="0" w:line="276" w:lineRule="auto"/>
        <w:ind w:left="714" w:hanging="357"/>
        <w:contextualSpacing/>
      </w:pPr>
      <w:r>
        <w:rPr>
          <w:lang w:eastAsia="en-US"/>
        </w:rPr>
        <w:t>an update to</w:t>
      </w:r>
      <w:r>
        <w:t xml:space="preserve"> the ingredient name, </w:t>
      </w:r>
      <w:r w:rsidRPr="0033063C">
        <w:t>‘</w:t>
      </w:r>
      <w:r w:rsidRPr="00FA3AC0">
        <w:t>mecobalamin (co-</w:t>
      </w:r>
      <w:proofErr w:type="spellStart"/>
      <w:r w:rsidRPr="00FA3AC0">
        <w:t>methylcobalamin</w:t>
      </w:r>
      <w:proofErr w:type="spellEnd"/>
      <w:r w:rsidRPr="00FA3AC0">
        <w:t>)</w:t>
      </w:r>
      <w:r w:rsidRPr="0033063C">
        <w:t>’, to the sole ingredient name, ‘</w:t>
      </w:r>
      <w:r w:rsidRPr="00FA3AC0">
        <w:t>mecobalamin</w:t>
      </w:r>
      <w:r>
        <w:t xml:space="preserve">’, to reflect the end of the </w:t>
      </w:r>
      <w:r w:rsidRPr="00BE7DE2">
        <w:rPr>
          <w:lang w:eastAsia="en-US"/>
        </w:rPr>
        <w:t xml:space="preserve">International </w:t>
      </w:r>
      <w:r>
        <w:rPr>
          <w:lang w:eastAsia="en-US"/>
        </w:rPr>
        <w:t>H</w:t>
      </w:r>
      <w:r w:rsidRPr="00BE7DE2">
        <w:rPr>
          <w:lang w:eastAsia="en-US"/>
        </w:rPr>
        <w:t xml:space="preserve">armonisation of </w:t>
      </w:r>
      <w:r>
        <w:rPr>
          <w:lang w:eastAsia="en-US"/>
        </w:rPr>
        <w:t>I</w:t>
      </w:r>
      <w:r w:rsidRPr="00BE7DE2">
        <w:rPr>
          <w:lang w:eastAsia="en-US"/>
        </w:rPr>
        <w:t xml:space="preserve">ngredient </w:t>
      </w:r>
      <w:r>
        <w:rPr>
          <w:lang w:eastAsia="en-US"/>
        </w:rPr>
        <w:t>N</w:t>
      </w:r>
      <w:r w:rsidRPr="00BE7DE2">
        <w:rPr>
          <w:lang w:eastAsia="en-US"/>
        </w:rPr>
        <w:t>ames (</w:t>
      </w:r>
      <w:r>
        <w:rPr>
          <w:lang w:eastAsia="en-US"/>
        </w:rPr>
        <w:t>“</w:t>
      </w:r>
      <w:r w:rsidRPr="00BE7DE2">
        <w:rPr>
          <w:lang w:eastAsia="en-US"/>
        </w:rPr>
        <w:t>IHIN</w:t>
      </w:r>
      <w:r>
        <w:rPr>
          <w:lang w:eastAsia="en-US"/>
        </w:rPr>
        <w:t>”</w:t>
      </w:r>
      <w:r w:rsidRPr="00BE7DE2">
        <w:rPr>
          <w:lang w:eastAsia="en-US"/>
        </w:rPr>
        <w:t>)</w:t>
      </w:r>
      <w:r>
        <w:t xml:space="preserve"> dual labelling period requirements for this ingredient on 30 April </w:t>
      </w:r>
      <w:proofErr w:type="gramStart"/>
      <w:r>
        <w:t>2023;</w:t>
      </w:r>
      <w:proofErr w:type="gramEnd"/>
    </w:p>
    <w:p w14:paraId="06FF7AFE" w14:textId="77777777" w:rsidR="00FA3AC0" w:rsidRPr="00D75AA4" w:rsidRDefault="00FA3AC0" w:rsidP="00FA3AC0">
      <w:pPr>
        <w:pStyle w:val="ListParagraph"/>
        <w:numPr>
          <w:ilvl w:val="0"/>
          <w:numId w:val="11"/>
        </w:numPr>
        <w:spacing w:before="0" w:beforeAutospacing="0" w:after="120" w:afterAutospacing="0" w:line="276" w:lineRule="auto"/>
        <w:ind w:left="714" w:hanging="357"/>
        <w:contextualSpacing/>
      </w:pPr>
      <w:r>
        <w:rPr>
          <w:lang w:eastAsia="en-US"/>
        </w:rPr>
        <w:t>u</w:t>
      </w:r>
      <w:r w:rsidRPr="00D75AA4">
        <w:rPr>
          <w:lang w:eastAsia="en-US"/>
        </w:rPr>
        <w:t>pdat</w:t>
      </w:r>
      <w:r>
        <w:rPr>
          <w:lang w:eastAsia="en-US"/>
        </w:rPr>
        <w:t>es to</w:t>
      </w:r>
      <w:r w:rsidRPr="00D75AA4">
        <w:t xml:space="preserve"> the </w:t>
      </w:r>
      <w:r>
        <w:t>Approved Herbal Names</w:t>
      </w:r>
      <w:r w:rsidRPr="00D75AA4">
        <w:t xml:space="preserve"> </w:t>
      </w:r>
      <w:r>
        <w:t xml:space="preserve">(“AHN”) of seven ingredients </w:t>
      </w:r>
      <w:r w:rsidRPr="00D75AA4">
        <w:t>to the current taxonomically accepted name</w:t>
      </w:r>
      <w:r>
        <w:t xml:space="preserve">s for those </w:t>
      </w:r>
      <w:proofErr w:type="gramStart"/>
      <w:r>
        <w:t>ingredients;</w:t>
      </w:r>
      <w:proofErr w:type="gramEnd"/>
    </w:p>
    <w:p w14:paraId="121E1108" w14:textId="77777777" w:rsidR="00FA3AC0" w:rsidRDefault="00FA3AC0" w:rsidP="00FA3AC0">
      <w:pPr>
        <w:pStyle w:val="ListParagraph"/>
        <w:numPr>
          <w:ilvl w:val="0"/>
          <w:numId w:val="11"/>
        </w:numPr>
        <w:spacing w:before="0" w:beforeAutospacing="0" w:after="120" w:afterAutospacing="0" w:line="276" w:lineRule="auto"/>
        <w:ind w:left="714" w:hanging="357"/>
        <w:contextualSpacing/>
      </w:pPr>
      <w:r w:rsidRPr="00D61505">
        <w:rPr>
          <w:lang w:eastAsia="en-US"/>
        </w:rPr>
        <w:t>updates</w:t>
      </w:r>
      <w:r w:rsidRPr="00D61505">
        <w:t xml:space="preserve"> to applicable requirements for </w:t>
      </w:r>
      <w:r w:rsidRPr="00FA3AC0">
        <w:t>2’-fucosyllactose</w:t>
      </w:r>
      <w:r>
        <w:t>, namely to:</w:t>
      </w:r>
    </w:p>
    <w:p w14:paraId="26802092" w14:textId="77777777" w:rsidR="00FA3AC0" w:rsidRDefault="00FA3AC0" w:rsidP="00FA3AC0">
      <w:pPr>
        <w:pStyle w:val="ListParagraph"/>
        <w:numPr>
          <w:ilvl w:val="1"/>
          <w:numId w:val="11"/>
        </w:numPr>
        <w:spacing w:before="0" w:beforeAutospacing="0" w:after="120" w:afterAutospacing="0" w:line="276" w:lineRule="auto"/>
        <w:contextualSpacing/>
      </w:pPr>
      <w:r>
        <w:lastRenderedPageBreak/>
        <w:t>remove</w:t>
      </w:r>
      <w:r w:rsidRPr="00D61505">
        <w:t xml:space="preserve"> requirements to reflect the expiry of the period of exclusive use for the relevant </w:t>
      </w:r>
      <w:proofErr w:type="gramStart"/>
      <w:r w:rsidRPr="00D61505">
        <w:t>sponsor</w:t>
      </w:r>
      <w:r>
        <w:t>;</w:t>
      </w:r>
      <w:proofErr w:type="gramEnd"/>
    </w:p>
    <w:p w14:paraId="1C6E5184" w14:textId="77777777" w:rsidR="00FA3AC0" w:rsidRDefault="00FA3AC0" w:rsidP="00FA3AC0">
      <w:pPr>
        <w:pStyle w:val="ListParagraph"/>
        <w:numPr>
          <w:ilvl w:val="1"/>
          <w:numId w:val="11"/>
        </w:numPr>
        <w:spacing w:before="0" w:beforeAutospacing="0" w:after="120" w:afterAutospacing="0" w:line="276" w:lineRule="auto"/>
        <w:contextualSpacing/>
      </w:pPr>
      <w:r w:rsidRPr="00D61505">
        <w:t xml:space="preserve">allow for its use in children aged 1 month and older, and amending the permitted maximum daily doses, following an application that was made to the Secretary for this </w:t>
      </w:r>
      <w:proofErr w:type="gramStart"/>
      <w:r w:rsidRPr="00D61505">
        <w:t>variation</w:t>
      </w:r>
      <w:r>
        <w:t>;</w:t>
      </w:r>
      <w:proofErr w:type="gramEnd"/>
    </w:p>
    <w:p w14:paraId="4F39EB93" w14:textId="77777777" w:rsidR="00FA3AC0" w:rsidRPr="00D61505" w:rsidRDefault="00FA3AC0" w:rsidP="00FA3AC0">
      <w:pPr>
        <w:pStyle w:val="ListParagraph"/>
        <w:numPr>
          <w:ilvl w:val="1"/>
          <w:numId w:val="11"/>
        </w:numPr>
        <w:spacing w:before="0" w:beforeAutospacing="0" w:after="120" w:afterAutospacing="0" w:line="276" w:lineRule="auto"/>
        <w:contextualSpacing/>
      </w:pPr>
      <w:r w:rsidRPr="00D61505">
        <w:t xml:space="preserve">include a warning statement that the product should not be consumed on the same day as breastmilk or other products containing </w:t>
      </w:r>
      <w:r w:rsidRPr="0033063C">
        <w:t>2’-</w:t>
      </w:r>
      <w:proofErr w:type="gramStart"/>
      <w:r w:rsidRPr="0033063C">
        <w:t>fucosyllactose</w:t>
      </w:r>
      <w:r w:rsidRPr="00D61505">
        <w:t>;</w:t>
      </w:r>
      <w:proofErr w:type="gramEnd"/>
    </w:p>
    <w:p w14:paraId="7C0F5033" w14:textId="77777777" w:rsidR="00FA3AC0" w:rsidRPr="00D61505" w:rsidRDefault="00FA3AC0" w:rsidP="00FA3AC0">
      <w:pPr>
        <w:pStyle w:val="ListParagraph"/>
        <w:numPr>
          <w:ilvl w:val="0"/>
          <w:numId w:val="11"/>
        </w:numPr>
        <w:spacing w:before="0" w:beforeAutospacing="0" w:after="120" w:afterAutospacing="0" w:line="276" w:lineRule="auto"/>
        <w:ind w:left="714" w:hanging="357"/>
        <w:contextualSpacing/>
      </w:pPr>
      <w:r w:rsidRPr="00D61505">
        <w:t xml:space="preserve">minor clarifications and correction of minor typographical errors for the purpose of improving the internal consistency of the Determination, including clarification of the requirements for </w:t>
      </w:r>
      <w:proofErr w:type="spellStart"/>
      <w:r w:rsidRPr="00FA3AC0">
        <w:t>lacto</w:t>
      </w:r>
      <w:proofErr w:type="spellEnd"/>
      <w:r w:rsidRPr="00FA3AC0">
        <w:t>-N-</w:t>
      </w:r>
      <w:proofErr w:type="spellStart"/>
      <w:r w:rsidRPr="00FA3AC0">
        <w:t>tetraose</w:t>
      </w:r>
      <w:proofErr w:type="spellEnd"/>
      <w:r w:rsidRPr="00D61505">
        <w:t xml:space="preserve"> regarding the applicable age groups for the required warning statements</w:t>
      </w:r>
      <w:r>
        <w:t xml:space="preserve"> for this </w:t>
      </w:r>
      <w:proofErr w:type="gramStart"/>
      <w:r>
        <w:t>ingredient</w:t>
      </w:r>
      <w:r w:rsidRPr="00D61505">
        <w:t>;</w:t>
      </w:r>
      <w:proofErr w:type="gramEnd"/>
    </w:p>
    <w:p w14:paraId="7284A0A5" w14:textId="77777777" w:rsidR="00FA3AC0" w:rsidRPr="00D61505" w:rsidRDefault="00FA3AC0" w:rsidP="00FA3AC0">
      <w:pPr>
        <w:pStyle w:val="ListParagraph"/>
        <w:numPr>
          <w:ilvl w:val="0"/>
          <w:numId w:val="11"/>
        </w:numPr>
        <w:spacing w:before="0" w:beforeAutospacing="0" w:after="120" w:afterAutospacing="0" w:line="276" w:lineRule="auto"/>
        <w:ind w:left="714" w:hanging="357"/>
        <w:contextualSpacing/>
      </w:pPr>
      <w:r w:rsidRPr="00D61505">
        <w:rPr>
          <w:lang w:eastAsia="en-US"/>
        </w:rPr>
        <w:t>updates</w:t>
      </w:r>
      <w:r w:rsidRPr="00D61505">
        <w:t xml:space="preserve"> to applicable requirements for </w:t>
      </w:r>
      <w:r w:rsidRPr="00FA3AC0">
        <w:t>caffeine</w:t>
      </w:r>
      <w:r w:rsidRPr="0033063C">
        <w:t xml:space="preserve"> </w:t>
      </w:r>
      <w:r w:rsidRPr="00D61505">
        <w:t xml:space="preserve">to allow for its use as an active ingredient for topical administration following identification that this use </w:t>
      </w:r>
      <w:r>
        <w:t>has been</w:t>
      </w:r>
      <w:r w:rsidRPr="00D61505">
        <w:t xml:space="preserve"> inadvertently removed</w:t>
      </w:r>
      <w:r>
        <w:t>; and</w:t>
      </w:r>
    </w:p>
    <w:p w14:paraId="4C93DA9E" w14:textId="4BC3CF73" w:rsidR="00FA3AC0" w:rsidRDefault="00FA3AC0" w:rsidP="00FA3AC0">
      <w:pPr>
        <w:pStyle w:val="ListParagraph"/>
        <w:numPr>
          <w:ilvl w:val="0"/>
          <w:numId w:val="11"/>
        </w:numPr>
        <w:spacing w:before="0" w:beforeAutospacing="0" w:after="120" w:afterAutospacing="0" w:line="276" w:lineRule="auto"/>
        <w:ind w:left="714" w:hanging="357"/>
        <w:contextualSpacing/>
      </w:pPr>
      <w:r>
        <w:rPr>
          <w:lang w:eastAsia="en-US"/>
        </w:rPr>
        <w:t>t</w:t>
      </w:r>
      <w:r w:rsidRPr="00C31453">
        <w:rPr>
          <w:lang w:eastAsia="en-US"/>
        </w:rPr>
        <w:t>he re</w:t>
      </w:r>
      <w:r>
        <w:rPr>
          <w:lang w:eastAsia="en-US"/>
        </w:rPr>
        <w:t xml:space="preserve">moval of </w:t>
      </w:r>
      <w:proofErr w:type="gramStart"/>
      <w:r>
        <w:rPr>
          <w:lang w:eastAsia="en-US"/>
        </w:rPr>
        <w:t>twenty five</w:t>
      </w:r>
      <w:proofErr w:type="gramEnd"/>
      <w:r>
        <w:rPr>
          <w:lang w:eastAsia="en-US"/>
        </w:rPr>
        <w:t xml:space="preserve"> ingredients in </w:t>
      </w:r>
      <w:r w:rsidRPr="000D4287">
        <w:t xml:space="preserve">the </w:t>
      </w:r>
      <w:r w:rsidRPr="000D4287">
        <w:rPr>
          <w:lang w:eastAsia="en-US"/>
        </w:rPr>
        <w:t>Approved</w:t>
      </w:r>
      <w:r w:rsidRPr="000D4287">
        <w:t xml:space="preserve"> Food Name (</w:t>
      </w:r>
      <w:r>
        <w:t>“</w:t>
      </w:r>
      <w:r w:rsidRPr="000D4287">
        <w:t>AFN</w:t>
      </w:r>
      <w:r>
        <w:t>”</w:t>
      </w:r>
      <w:r w:rsidRPr="000D4287">
        <w:t xml:space="preserve">) category </w:t>
      </w:r>
      <w:r>
        <w:t>that are</w:t>
      </w:r>
      <w:r w:rsidRPr="000D4287">
        <w:t xml:space="preserve"> not in use in </w:t>
      </w:r>
      <w:r>
        <w:t xml:space="preserve">any listed medicine </w:t>
      </w:r>
      <w:r w:rsidRPr="000D4287">
        <w:t>products</w:t>
      </w:r>
      <w:r>
        <w:t xml:space="preserve"> in Australia, and which remain available for use in listed medicines under synonyms or</w:t>
      </w:r>
      <w:r w:rsidRPr="000D4287">
        <w:t xml:space="preserve"> alternative</w:t>
      </w:r>
      <w:r>
        <w:t xml:space="preserve"> names</w:t>
      </w:r>
      <w:r w:rsidRPr="000D4287">
        <w:t>.</w:t>
      </w:r>
    </w:p>
    <w:p w14:paraId="268E731F" w14:textId="77777777" w:rsidR="00D61505" w:rsidRDefault="00D61505" w:rsidP="00D57DB9">
      <w:pPr>
        <w:spacing w:after="0"/>
        <w:rPr>
          <w:rFonts w:ascii="Times New Roman" w:eastAsia="Times New Roman" w:hAnsi="Times New Roman" w:cs="Times New Roman"/>
          <w:sz w:val="24"/>
          <w:szCs w:val="24"/>
          <w:lang w:eastAsia="en-AU"/>
        </w:rPr>
      </w:pPr>
    </w:p>
    <w:p w14:paraId="685A0A7D" w14:textId="0429FBDE" w:rsidR="00EF1F18" w:rsidRDefault="00EF1F18" w:rsidP="00F111D7">
      <w:pPr>
        <w:keepNext/>
        <w:spacing w:after="0"/>
        <w:rPr>
          <w:rFonts w:ascii="Times New Roman" w:eastAsia="Times New Roman" w:hAnsi="Times New Roman" w:cs="Times New Roman"/>
          <w:b/>
          <w:bCs/>
          <w:sz w:val="24"/>
          <w:szCs w:val="24"/>
          <w:lang w:eastAsia="en-AU"/>
        </w:rPr>
      </w:pPr>
      <w:r w:rsidRPr="00A419EA">
        <w:rPr>
          <w:rFonts w:ascii="Times New Roman" w:eastAsia="Times New Roman" w:hAnsi="Times New Roman" w:cs="Times New Roman"/>
          <w:b/>
          <w:bCs/>
          <w:sz w:val="24"/>
          <w:szCs w:val="24"/>
          <w:lang w:eastAsia="en-AU"/>
        </w:rPr>
        <w:t>Human rights implications</w:t>
      </w:r>
    </w:p>
    <w:p w14:paraId="61514795" w14:textId="77777777" w:rsidR="00510EB5" w:rsidRPr="00A419EA" w:rsidRDefault="00510EB5" w:rsidP="00F111D7">
      <w:pPr>
        <w:keepNext/>
        <w:spacing w:after="0"/>
        <w:rPr>
          <w:rFonts w:ascii="Times New Roman" w:eastAsia="Times New Roman" w:hAnsi="Times New Roman" w:cs="Times New Roman"/>
          <w:sz w:val="24"/>
          <w:szCs w:val="24"/>
          <w:lang w:val="en-US" w:eastAsia="en-AU"/>
        </w:rPr>
      </w:pPr>
    </w:p>
    <w:p w14:paraId="063407BC" w14:textId="5B7B51EA" w:rsidR="00510EB5" w:rsidRDefault="008F596A" w:rsidP="00510EB5">
      <w:pPr>
        <w:spacing w:after="0"/>
        <w:contextualSpacing/>
        <w:rPr>
          <w:rFonts w:ascii="Times New Roman" w:eastAsia="Times New Roman" w:hAnsi="Times New Roman" w:cs="Times New Roman"/>
          <w:sz w:val="24"/>
          <w:szCs w:val="24"/>
          <w:lang w:eastAsia="en-AU"/>
        </w:rPr>
      </w:pPr>
      <w:r w:rsidRPr="00B94E86">
        <w:rPr>
          <w:rFonts w:ascii="Times New Roman" w:hAnsi="Times New Roman" w:cs="Times New Roman"/>
          <w:bCs/>
          <w:sz w:val="24"/>
          <w:szCs w:val="24"/>
        </w:rPr>
        <w:t xml:space="preserve">The </w:t>
      </w:r>
      <w:r>
        <w:rPr>
          <w:rFonts w:ascii="Times New Roman" w:hAnsi="Times New Roman" w:cs="Times New Roman"/>
          <w:bCs/>
          <w:sz w:val="24"/>
          <w:szCs w:val="24"/>
        </w:rPr>
        <w:t>instrument</w:t>
      </w:r>
      <w:r w:rsidRPr="00B94E86">
        <w:rPr>
          <w:rFonts w:ascii="Times New Roman" w:hAnsi="Times New Roman" w:cs="Times New Roman"/>
          <w:bCs/>
          <w:sz w:val="24"/>
          <w:szCs w:val="24"/>
        </w:rPr>
        <w:t xml:space="preserve"> </w:t>
      </w:r>
      <w:r>
        <w:rPr>
          <w:rFonts w:ascii="Times New Roman" w:hAnsi="Times New Roman" w:cs="Times New Roman"/>
          <w:bCs/>
          <w:sz w:val="24"/>
          <w:szCs w:val="24"/>
        </w:rPr>
        <w:t>engages</w:t>
      </w:r>
      <w:r w:rsidRPr="00B94E86">
        <w:rPr>
          <w:rFonts w:ascii="Times New Roman" w:hAnsi="Times New Roman" w:cs="Times New Roman"/>
          <w:bCs/>
          <w:sz w:val="24"/>
          <w:szCs w:val="24"/>
        </w:rPr>
        <w:t xml:space="preserve"> the right to health in </w:t>
      </w:r>
      <w:r>
        <w:rPr>
          <w:rFonts w:ascii="Times New Roman" w:hAnsi="Times New Roman" w:cs="Times New Roman"/>
          <w:bCs/>
          <w:sz w:val="24"/>
          <w:szCs w:val="24"/>
        </w:rPr>
        <w:t>A</w:t>
      </w:r>
      <w:r w:rsidRPr="00B94E86">
        <w:rPr>
          <w:rFonts w:ascii="Times New Roman" w:hAnsi="Times New Roman" w:cs="Times New Roman"/>
          <w:bCs/>
          <w:sz w:val="24"/>
          <w:szCs w:val="24"/>
        </w:rPr>
        <w:t>rticle 12 of the International Covenant on Economic, Social and Cultural Rights (</w:t>
      </w:r>
      <w:r>
        <w:rPr>
          <w:rFonts w:ascii="Times New Roman" w:hAnsi="Times New Roman" w:cs="Times New Roman"/>
          <w:bCs/>
          <w:sz w:val="24"/>
          <w:szCs w:val="24"/>
        </w:rPr>
        <w:t>“</w:t>
      </w:r>
      <w:r w:rsidRPr="00B94E86">
        <w:rPr>
          <w:rFonts w:ascii="Times New Roman" w:hAnsi="Times New Roman" w:cs="Times New Roman"/>
          <w:bCs/>
          <w:sz w:val="24"/>
          <w:szCs w:val="24"/>
        </w:rPr>
        <w:t>the ICESCR</w:t>
      </w:r>
      <w:r>
        <w:rPr>
          <w:rFonts w:ascii="Times New Roman" w:hAnsi="Times New Roman" w:cs="Times New Roman"/>
          <w:bCs/>
          <w:sz w:val="24"/>
          <w:szCs w:val="24"/>
        </w:rPr>
        <w:t>”</w:t>
      </w:r>
      <w:r w:rsidRPr="00B94E86">
        <w:rPr>
          <w:rFonts w:ascii="Times New Roman" w:hAnsi="Times New Roman" w:cs="Times New Roman"/>
          <w:bCs/>
          <w:sz w:val="24"/>
          <w:szCs w:val="24"/>
        </w:rPr>
        <w:t xml:space="preserve">). </w:t>
      </w:r>
      <w:r>
        <w:rPr>
          <w:rFonts w:ascii="Times New Roman" w:hAnsi="Times New Roman" w:cs="Times New Roman"/>
          <w:bCs/>
          <w:sz w:val="24"/>
          <w:szCs w:val="24"/>
        </w:rPr>
        <w:t xml:space="preserve">Article 12 of the ICESCR promotes the right of all individuals to enjoy the highest attainable standard of physical and mental </w:t>
      </w:r>
      <w:proofErr w:type="gramStart"/>
      <w:r>
        <w:rPr>
          <w:rFonts w:ascii="Times New Roman" w:hAnsi="Times New Roman" w:cs="Times New Roman"/>
          <w:bCs/>
          <w:sz w:val="24"/>
          <w:szCs w:val="24"/>
        </w:rPr>
        <w:t>health, and</w:t>
      </w:r>
      <w:proofErr w:type="gramEnd"/>
      <w:r>
        <w:rPr>
          <w:rFonts w:ascii="Times New Roman" w:hAnsi="Times New Roman" w:cs="Times New Roman"/>
          <w:bCs/>
          <w:sz w:val="24"/>
          <w:szCs w:val="24"/>
        </w:rPr>
        <w:t xml:space="preserve"> includes an obligation to take reasonable measures within available resources to progressively secure broader enjoyment of the right. </w:t>
      </w:r>
      <w:r w:rsidRPr="00B94E86">
        <w:rPr>
          <w:rFonts w:ascii="Times New Roman" w:hAnsi="Times New Roman" w:cs="Times New Roman"/>
          <w:sz w:val="24"/>
          <w:szCs w:val="24"/>
        </w:rPr>
        <w:t xml:space="preserve">In </w:t>
      </w:r>
      <w:r w:rsidRPr="00B94E86">
        <w:rPr>
          <w:rFonts w:ascii="Times New Roman" w:hAnsi="Times New Roman" w:cs="Times New Roman"/>
          <w:i/>
          <w:iCs/>
          <w:sz w:val="24"/>
          <w:szCs w:val="24"/>
        </w:rPr>
        <w:t xml:space="preserve">General Comment No. 14: The Right to the Highest Attainable Standard of Health (Art. 12) </w:t>
      </w:r>
      <w:r w:rsidRPr="00B94E86">
        <w:rPr>
          <w:rFonts w:ascii="Times New Roman" w:hAnsi="Times New Roman" w:cs="Times New Roman"/>
          <w:sz w:val="24"/>
          <w:szCs w:val="24"/>
        </w:rPr>
        <w:t>(2000),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15195A4B" w14:textId="77777777" w:rsidR="00510EB5" w:rsidRDefault="00510EB5" w:rsidP="00510EB5">
      <w:pPr>
        <w:spacing w:after="0"/>
        <w:contextualSpacing/>
        <w:rPr>
          <w:rFonts w:ascii="Times New Roman" w:hAnsi="Times New Roman" w:cs="Times New Roman"/>
          <w:sz w:val="24"/>
          <w:szCs w:val="24"/>
        </w:rPr>
      </w:pPr>
    </w:p>
    <w:p w14:paraId="163E7727" w14:textId="25025FDE" w:rsidR="00DD5F7F" w:rsidRPr="00DD5F7F" w:rsidRDefault="00DD5F7F" w:rsidP="00DD5F7F">
      <w:pPr>
        <w:spacing w:after="0"/>
        <w:contextualSpacing/>
        <w:rPr>
          <w:rFonts w:ascii="Times New Roman" w:hAnsi="Times New Roman" w:cs="Times New Roman"/>
          <w:sz w:val="24"/>
          <w:szCs w:val="24"/>
        </w:rPr>
      </w:pPr>
      <w:r w:rsidRPr="00DD5F7F">
        <w:rPr>
          <w:rFonts w:ascii="Times New Roman" w:hAnsi="Times New Roman" w:cs="Times New Roman"/>
          <w:sz w:val="24"/>
          <w:szCs w:val="24"/>
        </w:rPr>
        <w:t>The instrument takes positive steps to promote the right to health by ensuring the safety and quality of therapeutic goods that are listed medicines.</w:t>
      </w:r>
      <w:r w:rsidR="00E60C26">
        <w:rPr>
          <w:rFonts w:ascii="Times New Roman" w:hAnsi="Times New Roman" w:cs="Times New Roman"/>
          <w:sz w:val="24"/>
          <w:szCs w:val="24"/>
        </w:rPr>
        <w:t xml:space="preserve"> </w:t>
      </w:r>
      <w:r w:rsidRPr="00DD5F7F">
        <w:rPr>
          <w:rFonts w:ascii="Times New Roman" w:hAnsi="Times New Roman" w:cs="Times New Roman"/>
          <w:sz w:val="24"/>
          <w:szCs w:val="24"/>
        </w:rPr>
        <w:t>By prescribing those ingredients that are considered to be safe for use in listed medicines, and by setting out important requirements relating to the use of those ingredients in such medicines (such requirements may relate, for example, to maximum concentrations of such ingredients in listed medicines, or to the inclusion of warning statements on medicine labels such as ‘Keep out of reach of children’ for relevant ingredients), the safety of Australian consumers will be better protected, and they will be better able to make informed decisions about such medicines.</w:t>
      </w:r>
    </w:p>
    <w:p w14:paraId="756DBF00" w14:textId="77777777" w:rsidR="00DD5F7F" w:rsidRPr="00DD5F7F" w:rsidRDefault="00DD5F7F" w:rsidP="00DD5F7F">
      <w:pPr>
        <w:spacing w:after="0"/>
        <w:contextualSpacing/>
        <w:rPr>
          <w:rFonts w:ascii="Times New Roman" w:hAnsi="Times New Roman" w:cs="Times New Roman"/>
          <w:sz w:val="24"/>
          <w:szCs w:val="24"/>
        </w:rPr>
      </w:pPr>
    </w:p>
    <w:p w14:paraId="30FFB6E5" w14:textId="3BFFAF81" w:rsidR="00510EB5" w:rsidRDefault="008F596A" w:rsidP="00510EB5">
      <w:pPr>
        <w:spacing w:after="0"/>
        <w:contextualSpacing/>
        <w:rPr>
          <w:rFonts w:ascii="Times New Roman" w:eastAsia="Times New Roman" w:hAnsi="Times New Roman" w:cs="Times New Roman"/>
          <w:sz w:val="24"/>
          <w:szCs w:val="24"/>
          <w:lang w:eastAsia="en-AU"/>
        </w:rPr>
      </w:pPr>
      <w:r>
        <w:rPr>
          <w:rFonts w:ascii="Times New Roman" w:hAnsi="Times New Roman" w:cs="Times New Roman"/>
          <w:sz w:val="24"/>
          <w:szCs w:val="24"/>
        </w:rPr>
        <w:t xml:space="preserve">This is particularly important for listed medicines, given that those medicines are not evaluated for safety and quality by the TGA prior to listing in the </w:t>
      </w:r>
      <w:r w:rsidR="00A34A44">
        <w:rPr>
          <w:rFonts w:ascii="Times New Roman" w:hAnsi="Times New Roman" w:cs="Times New Roman"/>
          <w:sz w:val="24"/>
          <w:szCs w:val="24"/>
        </w:rPr>
        <w:t>Register</w:t>
      </w:r>
      <w:r>
        <w:rPr>
          <w:rFonts w:ascii="Times New Roman" w:hAnsi="Times New Roman" w:cs="Times New Roman"/>
          <w:sz w:val="24"/>
          <w:szCs w:val="24"/>
        </w:rPr>
        <w:t>, and as they are usually available for self-selection by consumers without a requirement to first obtain the advice or prescription of a registered medical doctor, or the advice of a pharmacist.</w:t>
      </w:r>
    </w:p>
    <w:p w14:paraId="5D183399" w14:textId="77777777" w:rsidR="00510EB5" w:rsidRDefault="00510EB5" w:rsidP="00712EA4">
      <w:pPr>
        <w:spacing w:after="0" w:line="240" w:lineRule="auto"/>
        <w:contextualSpacing/>
        <w:rPr>
          <w:rFonts w:ascii="Times New Roman" w:eastAsia="Times New Roman" w:hAnsi="Times New Roman" w:cs="Times New Roman"/>
          <w:sz w:val="24"/>
          <w:szCs w:val="24"/>
          <w:lang w:eastAsia="en-AU"/>
        </w:rPr>
      </w:pPr>
    </w:p>
    <w:p w14:paraId="04806E92" w14:textId="0627CB69" w:rsidR="00EF1F18" w:rsidRDefault="00EF1F18" w:rsidP="001A7C14">
      <w:pPr>
        <w:keepNext/>
        <w:spacing w:after="0"/>
        <w:rPr>
          <w:rFonts w:ascii="Times New Roman" w:eastAsia="Times New Roman" w:hAnsi="Times New Roman" w:cs="Times New Roman"/>
          <w:b/>
          <w:bCs/>
          <w:sz w:val="24"/>
          <w:szCs w:val="24"/>
          <w:lang w:eastAsia="en-AU"/>
        </w:rPr>
      </w:pPr>
      <w:r w:rsidRPr="00A419EA">
        <w:rPr>
          <w:rFonts w:ascii="Times New Roman" w:eastAsia="Times New Roman" w:hAnsi="Times New Roman" w:cs="Times New Roman"/>
          <w:b/>
          <w:bCs/>
          <w:sz w:val="24"/>
          <w:szCs w:val="24"/>
          <w:lang w:eastAsia="en-AU"/>
        </w:rPr>
        <w:t>Conclusion</w:t>
      </w:r>
    </w:p>
    <w:p w14:paraId="3FB3203C" w14:textId="77777777" w:rsidR="00712EA4" w:rsidRPr="00A419EA" w:rsidRDefault="00712EA4" w:rsidP="001A7C14">
      <w:pPr>
        <w:keepNext/>
        <w:spacing w:after="0" w:line="240" w:lineRule="auto"/>
        <w:rPr>
          <w:rFonts w:ascii="Times New Roman" w:eastAsia="Times New Roman" w:hAnsi="Times New Roman" w:cs="Times New Roman"/>
          <w:sz w:val="24"/>
          <w:szCs w:val="24"/>
          <w:lang w:val="en-US" w:eastAsia="en-AU"/>
        </w:rPr>
      </w:pPr>
    </w:p>
    <w:p w14:paraId="63D98AB2" w14:textId="7B614214" w:rsidR="008C0845" w:rsidRDefault="00EF1F18" w:rsidP="00361A1D">
      <w:pPr>
        <w:spacing w:after="0"/>
        <w:contextualSpacing/>
      </w:pPr>
      <w:r w:rsidRPr="0034672A">
        <w:rPr>
          <w:rFonts w:ascii="Times New Roman" w:hAnsi="Times New Roman" w:cs="Times New Roman"/>
          <w:sz w:val="24"/>
          <w:szCs w:val="24"/>
        </w:rPr>
        <w:t>This legislative instrument is compatible with human rights</w:t>
      </w:r>
      <w:r w:rsidR="00A34A44" w:rsidRPr="0034672A">
        <w:rPr>
          <w:rFonts w:ascii="Times New Roman" w:hAnsi="Times New Roman" w:cs="Times New Roman"/>
          <w:sz w:val="24"/>
          <w:szCs w:val="24"/>
        </w:rPr>
        <w:t xml:space="preserve"> because it promotes the right to health in Article 12 of the ICESCR and </w:t>
      </w:r>
      <w:r w:rsidRPr="0034672A">
        <w:rPr>
          <w:rFonts w:ascii="Times New Roman" w:hAnsi="Times New Roman" w:cs="Times New Roman"/>
          <w:sz w:val="24"/>
          <w:szCs w:val="24"/>
        </w:rPr>
        <w:t xml:space="preserve">does not raise any </w:t>
      </w:r>
      <w:r w:rsidR="00A34A44" w:rsidRPr="0034672A">
        <w:rPr>
          <w:rFonts w:ascii="Times New Roman" w:hAnsi="Times New Roman" w:cs="Times New Roman"/>
          <w:sz w:val="24"/>
          <w:szCs w:val="24"/>
        </w:rPr>
        <w:t xml:space="preserve">other </w:t>
      </w:r>
      <w:r w:rsidRPr="0034672A">
        <w:rPr>
          <w:rFonts w:ascii="Times New Roman" w:hAnsi="Times New Roman" w:cs="Times New Roman"/>
          <w:sz w:val="24"/>
          <w:szCs w:val="24"/>
        </w:rPr>
        <w:t>human rights issues.</w:t>
      </w:r>
    </w:p>
    <w:sectPr w:rsidR="008C0845" w:rsidSect="00680B29">
      <w:footerReference w:type="default" r:id="rId18"/>
      <w:pgSz w:w="11906" w:h="16838"/>
      <w:pgMar w:top="1134"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B866C" w14:textId="77777777" w:rsidR="0093176E" w:rsidRDefault="0093176E" w:rsidP="008939B1">
      <w:pPr>
        <w:spacing w:after="0" w:line="240" w:lineRule="auto"/>
      </w:pPr>
      <w:r>
        <w:separator/>
      </w:r>
    </w:p>
    <w:p w14:paraId="7E90E1EE" w14:textId="77777777" w:rsidR="0093176E" w:rsidRDefault="0093176E"/>
  </w:endnote>
  <w:endnote w:type="continuationSeparator" w:id="0">
    <w:p w14:paraId="6821CB32" w14:textId="77777777" w:rsidR="0093176E" w:rsidRDefault="0093176E" w:rsidP="008939B1">
      <w:pPr>
        <w:spacing w:after="0" w:line="240" w:lineRule="auto"/>
      </w:pPr>
      <w:r>
        <w:continuationSeparator/>
      </w:r>
    </w:p>
    <w:p w14:paraId="737D24B6" w14:textId="77777777" w:rsidR="0093176E" w:rsidRDefault="009317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02084" w14:textId="253FEAF3" w:rsidR="004A79B9" w:rsidRPr="00AC5813" w:rsidRDefault="004A79B9" w:rsidP="00AC5813">
    <w:pPr>
      <w:pStyle w:val="Footer"/>
      <w:jc w:val="center"/>
      <w:rPr>
        <w:rFonts w:ascii="Times New Roman" w:hAnsi="Times New Roman" w:cs="Times New Roman"/>
        <w:sz w:val="24"/>
        <w:szCs w:val="24"/>
      </w:rPr>
    </w:pPr>
    <w:r w:rsidRPr="00AC5813">
      <w:rPr>
        <w:rFonts w:ascii="Times New Roman" w:hAnsi="Times New Roman" w:cs="Times New Roman"/>
        <w:sz w:val="24"/>
        <w:szCs w:val="24"/>
      </w:rPr>
      <w:fldChar w:fldCharType="begin"/>
    </w:r>
    <w:r w:rsidRPr="00AC5813">
      <w:rPr>
        <w:rFonts w:ascii="Times New Roman" w:hAnsi="Times New Roman" w:cs="Times New Roman"/>
        <w:sz w:val="24"/>
        <w:szCs w:val="24"/>
      </w:rPr>
      <w:instrText xml:space="preserve"> PAGE   \* MERGEFORMAT </w:instrText>
    </w:r>
    <w:r w:rsidRPr="00AC5813">
      <w:rPr>
        <w:rFonts w:ascii="Times New Roman" w:hAnsi="Times New Roman" w:cs="Times New Roman"/>
        <w:sz w:val="24"/>
        <w:szCs w:val="24"/>
      </w:rPr>
      <w:fldChar w:fldCharType="separate"/>
    </w:r>
    <w:r>
      <w:rPr>
        <w:rFonts w:ascii="Times New Roman" w:hAnsi="Times New Roman" w:cs="Times New Roman"/>
        <w:noProof/>
        <w:sz w:val="24"/>
        <w:szCs w:val="24"/>
      </w:rPr>
      <w:t>7</w:t>
    </w:r>
    <w:r w:rsidRPr="00AC5813">
      <w:rPr>
        <w:rFonts w:ascii="Times New Roman" w:hAnsi="Times New Roman" w:cs="Times New Roman"/>
        <w:noProof/>
        <w:sz w:val="24"/>
        <w:szCs w:val="24"/>
      </w:rPr>
      <w:fldChar w:fldCharType="end"/>
    </w:r>
  </w:p>
  <w:p w14:paraId="66F675D6" w14:textId="77777777" w:rsidR="004A79B9" w:rsidRDefault="004A79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02CFF" w14:textId="77777777" w:rsidR="0093176E" w:rsidRDefault="0093176E" w:rsidP="008939B1">
      <w:pPr>
        <w:spacing w:after="0" w:line="240" w:lineRule="auto"/>
      </w:pPr>
      <w:r>
        <w:separator/>
      </w:r>
    </w:p>
    <w:p w14:paraId="75BAD374" w14:textId="77777777" w:rsidR="0093176E" w:rsidRDefault="0093176E"/>
  </w:footnote>
  <w:footnote w:type="continuationSeparator" w:id="0">
    <w:p w14:paraId="3F9CA3F2" w14:textId="77777777" w:rsidR="0093176E" w:rsidRDefault="0093176E" w:rsidP="008939B1">
      <w:pPr>
        <w:spacing w:after="0" w:line="240" w:lineRule="auto"/>
      </w:pPr>
      <w:r>
        <w:continuationSeparator/>
      </w:r>
    </w:p>
    <w:p w14:paraId="774A3F8C" w14:textId="77777777" w:rsidR="0093176E" w:rsidRDefault="009317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4749"/>
    <w:multiLevelType w:val="hybridMultilevel"/>
    <w:tmpl w:val="FC2822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556482"/>
    <w:multiLevelType w:val="hybridMultilevel"/>
    <w:tmpl w:val="244C0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585E7C"/>
    <w:multiLevelType w:val="hybridMultilevel"/>
    <w:tmpl w:val="09B25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396B46"/>
    <w:multiLevelType w:val="hybridMultilevel"/>
    <w:tmpl w:val="1E5631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57DC1554">
      <w:numFmt w:val="bullet"/>
      <w:lvlText w:val="-"/>
      <w:lvlJc w:val="left"/>
      <w:pPr>
        <w:ind w:left="3240" w:hanging="360"/>
      </w:pPr>
      <w:rPr>
        <w:rFonts w:ascii="Times New Roman" w:eastAsiaTheme="minorHAnsi" w:hAnsi="Times New Roman" w:cs="Times New Roman"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DAA55E2"/>
    <w:multiLevelType w:val="hybridMultilevel"/>
    <w:tmpl w:val="2A543A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7A1138"/>
    <w:multiLevelType w:val="hybridMultilevel"/>
    <w:tmpl w:val="78DC2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7E0820"/>
    <w:multiLevelType w:val="hybridMultilevel"/>
    <w:tmpl w:val="E5602F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7F1B3A"/>
    <w:multiLevelType w:val="hybridMultilevel"/>
    <w:tmpl w:val="FE04AA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6E8023C"/>
    <w:multiLevelType w:val="hybridMultilevel"/>
    <w:tmpl w:val="60AABDE4"/>
    <w:lvl w:ilvl="0" w:tplc="899A42F0">
      <w:start w:val="1"/>
      <w:numFmt w:val="lowerRoman"/>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815150C"/>
    <w:multiLevelType w:val="hybridMultilevel"/>
    <w:tmpl w:val="4C98D0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4B2776"/>
    <w:multiLevelType w:val="hybridMultilevel"/>
    <w:tmpl w:val="07C8FC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AA25DF2"/>
    <w:multiLevelType w:val="hybridMultilevel"/>
    <w:tmpl w:val="AE568F0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C7F4187"/>
    <w:multiLevelType w:val="hybridMultilevel"/>
    <w:tmpl w:val="54B66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0940BB"/>
    <w:multiLevelType w:val="hybridMultilevel"/>
    <w:tmpl w:val="1CAE94E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C829A9"/>
    <w:multiLevelType w:val="hybridMultilevel"/>
    <w:tmpl w:val="1C94A412"/>
    <w:lvl w:ilvl="0" w:tplc="6B1A1ABC">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27649B"/>
    <w:multiLevelType w:val="hybridMultilevel"/>
    <w:tmpl w:val="D12074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5C57F8"/>
    <w:multiLevelType w:val="hybridMultilevel"/>
    <w:tmpl w:val="C0E6B4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4C22FD"/>
    <w:multiLevelType w:val="hybridMultilevel"/>
    <w:tmpl w:val="1F0C8AE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48167AC"/>
    <w:multiLevelType w:val="hybridMultilevel"/>
    <w:tmpl w:val="CC708A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486BBA"/>
    <w:multiLevelType w:val="hybridMultilevel"/>
    <w:tmpl w:val="1A128E2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C5967E0"/>
    <w:multiLevelType w:val="hybridMultilevel"/>
    <w:tmpl w:val="A490C5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3762D3"/>
    <w:multiLevelType w:val="hybridMultilevel"/>
    <w:tmpl w:val="FBA487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376964"/>
    <w:multiLevelType w:val="hybridMultilevel"/>
    <w:tmpl w:val="155234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3023C3"/>
    <w:multiLevelType w:val="hybridMultilevel"/>
    <w:tmpl w:val="3774E9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FC2670"/>
    <w:multiLevelType w:val="hybridMultilevel"/>
    <w:tmpl w:val="BD6A32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4A1391"/>
    <w:multiLevelType w:val="hybridMultilevel"/>
    <w:tmpl w:val="BECC2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2276B7"/>
    <w:multiLevelType w:val="hybridMultilevel"/>
    <w:tmpl w:val="429E21B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7" w15:restartNumberingAfterBreak="0">
    <w:nsid w:val="48DB41DF"/>
    <w:multiLevelType w:val="hybridMultilevel"/>
    <w:tmpl w:val="A7C0D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082C98"/>
    <w:multiLevelType w:val="hybridMultilevel"/>
    <w:tmpl w:val="0B10DD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3B46092"/>
    <w:multiLevelType w:val="hybridMultilevel"/>
    <w:tmpl w:val="1CFEA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31743A"/>
    <w:multiLevelType w:val="hybridMultilevel"/>
    <w:tmpl w:val="76CE1FC2"/>
    <w:lvl w:ilvl="0" w:tplc="875661EE">
      <w:start w:val="1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C64511"/>
    <w:multiLevelType w:val="hybridMultilevel"/>
    <w:tmpl w:val="E3EC8E1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5D8A34EE"/>
    <w:multiLevelType w:val="hybridMultilevel"/>
    <w:tmpl w:val="08924000"/>
    <w:lvl w:ilvl="0" w:tplc="2B9C4F34">
      <w:numFmt w:val="bullet"/>
      <w:lvlText w:val="-"/>
      <w:lvlJc w:val="left"/>
      <w:pPr>
        <w:ind w:left="720" w:hanging="360"/>
      </w:pPr>
      <w:rPr>
        <w:rFonts w:ascii="Cambria" w:eastAsia="MS Mincho" w:hAnsi="Cambria"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397FC3"/>
    <w:multiLevelType w:val="hybridMultilevel"/>
    <w:tmpl w:val="5D1432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F94564"/>
    <w:multiLevelType w:val="hybridMultilevel"/>
    <w:tmpl w:val="C6AA1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6231DB"/>
    <w:multiLevelType w:val="hybridMultilevel"/>
    <w:tmpl w:val="AB22C9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6947FEA"/>
    <w:multiLevelType w:val="hybridMultilevel"/>
    <w:tmpl w:val="156ADE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75B64DB"/>
    <w:multiLevelType w:val="hybridMultilevel"/>
    <w:tmpl w:val="0044693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7B96A9A"/>
    <w:multiLevelType w:val="hybridMultilevel"/>
    <w:tmpl w:val="B262F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16208A2"/>
    <w:multiLevelType w:val="hybridMultilevel"/>
    <w:tmpl w:val="916455EE"/>
    <w:lvl w:ilvl="0" w:tplc="DC76463A">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74483CA4"/>
    <w:multiLevelType w:val="hybridMultilevel"/>
    <w:tmpl w:val="587C15A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76137580"/>
    <w:multiLevelType w:val="hybridMultilevel"/>
    <w:tmpl w:val="1318D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8C7775"/>
    <w:multiLevelType w:val="hybridMultilevel"/>
    <w:tmpl w:val="325C5E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34"/>
  </w:num>
  <w:num w:numId="3">
    <w:abstractNumId w:val="41"/>
  </w:num>
  <w:num w:numId="4">
    <w:abstractNumId w:val="2"/>
  </w:num>
  <w:num w:numId="5">
    <w:abstractNumId w:val="5"/>
  </w:num>
  <w:num w:numId="6">
    <w:abstractNumId w:val="14"/>
  </w:num>
  <w:num w:numId="7">
    <w:abstractNumId w:val="33"/>
  </w:num>
  <w:num w:numId="8">
    <w:abstractNumId w:val="28"/>
  </w:num>
  <w:num w:numId="9">
    <w:abstractNumId w:val="7"/>
  </w:num>
  <w:num w:numId="10">
    <w:abstractNumId w:val="18"/>
  </w:num>
  <w:num w:numId="11">
    <w:abstractNumId w:val="21"/>
  </w:num>
  <w:num w:numId="12">
    <w:abstractNumId w:val="42"/>
  </w:num>
  <w:num w:numId="13">
    <w:abstractNumId w:val="4"/>
  </w:num>
  <w:num w:numId="14">
    <w:abstractNumId w:val="3"/>
  </w:num>
  <w:num w:numId="15">
    <w:abstractNumId w:val="22"/>
  </w:num>
  <w:num w:numId="16">
    <w:abstractNumId w:val="10"/>
  </w:num>
  <w:num w:numId="17">
    <w:abstractNumId w:val="29"/>
  </w:num>
  <w:num w:numId="18">
    <w:abstractNumId w:val="39"/>
  </w:num>
  <w:num w:numId="19">
    <w:abstractNumId w:val="30"/>
  </w:num>
  <w:num w:numId="20">
    <w:abstractNumId w:val="19"/>
  </w:num>
  <w:num w:numId="21">
    <w:abstractNumId w:val="21"/>
  </w:num>
  <w:num w:numId="22">
    <w:abstractNumId w:val="11"/>
  </w:num>
  <w:num w:numId="23">
    <w:abstractNumId w:val="27"/>
  </w:num>
  <w:num w:numId="24">
    <w:abstractNumId w:val="8"/>
  </w:num>
  <w:num w:numId="25">
    <w:abstractNumId w:val="15"/>
  </w:num>
  <w:num w:numId="26">
    <w:abstractNumId w:val="13"/>
  </w:num>
  <w:num w:numId="27">
    <w:abstractNumId w:val="37"/>
  </w:num>
  <w:num w:numId="28">
    <w:abstractNumId w:val="35"/>
  </w:num>
  <w:num w:numId="29">
    <w:abstractNumId w:val="17"/>
  </w:num>
  <w:num w:numId="30">
    <w:abstractNumId w:val="36"/>
  </w:num>
  <w:num w:numId="31">
    <w:abstractNumId w:val="24"/>
  </w:num>
  <w:num w:numId="32">
    <w:abstractNumId w:val="1"/>
  </w:num>
  <w:num w:numId="33">
    <w:abstractNumId w:val="38"/>
  </w:num>
  <w:num w:numId="34">
    <w:abstractNumId w:val="9"/>
  </w:num>
  <w:num w:numId="35">
    <w:abstractNumId w:val="23"/>
  </w:num>
  <w:num w:numId="36">
    <w:abstractNumId w:val="25"/>
  </w:num>
  <w:num w:numId="37">
    <w:abstractNumId w:val="16"/>
  </w:num>
  <w:num w:numId="38">
    <w:abstractNumId w:val="32"/>
  </w:num>
  <w:num w:numId="39">
    <w:abstractNumId w:val="40"/>
  </w:num>
  <w:num w:numId="40">
    <w:abstractNumId w:val="31"/>
  </w:num>
  <w:num w:numId="41">
    <w:abstractNumId w:val="6"/>
  </w:num>
  <w:num w:numId="42">
    <w:abstractNumId w:val="26"/>
  </w:num>
  <w:num w:numId="43">
    <w:abstractNumId w:val="0"/>
  </w:num>
  <w:num w:numId="44">
    <w:abstractNumId w:val="20"/>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845"/>
    <w:rsid w:val="00000508"/>
    <w:rsid w:val="000011FE"/>
    <w:rsid w:val="00005653"/>
    <w:rsid w:val="00007539"/>
    <w:rsid w:val="00012FF5"/>
    <w:rsid w:val="00014A86"/>
    <w:rsid w:val="000152DF"/>
    <w:rsid w:val="000170FC"/>
    <w:rsid w:val="000178FF"/>
    <w:rsid w:val="00020744"/>
    <w:rsid w:val="000216E9"/>
    <w:rsid w:val="000253EC"/>
    <w:rsid w:val="00027571"/>
    <w:rsid w:val="00032FAE"/>
    <w:rsid w:val="0003396A"/>
    <w:rsid w:val="000374FB"/>
    <w:rsid w:val="00040C02"/>
    <w:rsid w:val="00042274"/>
    <w:rsid w:val="00045778"/>
    <w:rsid w:val="00045C71"/>
    <w:rsid w:val="000503F1"/>
    <w:rsid w:val="00050B0F"/>
    <w:rsid w:val="00052A03"/>
    <w:rsid w:val="00055505"/>
    <w:rsid w:val="00055DF5"/>
    <w:rsid w:val="0006051F"/>
    <w:rsid w:val="0006121E"/>
    <w:rsid w:val="00062590"/>
    <w:rsid w:val="000637B0"/>
    <w:rsid w:val="00063951"/>
    <w:rsid w:val="00064FDE"/>
    <w:rsid w:val="00066B2F"/>
    <w:rsid w:val="00066CCA"/>
    <w:rsid w:val="000727D2"/>
    <w:rsid w:val="000728F5"/>
    <w:rsid w:val="00072A36"/>
    <w:rsid w:val="00073166"/>
    <w:rsid w:val="00073AFE"/>
    <w:rsid w:val="000743AA"/>
    <w:rsid w:val="00077B19"/>
    <w:rsid w:val="000805C8"/>
    <w:rsid w:val="000815E8"/>
    <w:rsid w:val="00082CAB"/>
    <w:rsid w:val="00083EC1"/>
    <w:rsid w:val="00087FA2"/>
    <w:rsid w:val="0009107A"/>
    <w:rsid w:val="00092EDD"/>
    <w:rsid w:val="0009412D"/>
    <w:rsid w:val="000942F7"/>
    <w:rsid w:val="00096077"/>
    <w:rsid w:val="0009649B"/>
    <w:rsid w:val="0009675B"/>
    <w:rsid w:val="00097828"/>
    <w:rsid w:val="000A4820"/>
    <w:rsid w:val="000A562F"/>
    <w:rsid w:val="000A6A62"/>
    <w:rsid w:val="000A7327"/>
    <w:rsid w:val="000B0556"/>
    <w:rsid w:val="000B2796"/>
    <w:rsid w:val="000B37EF"/>
    <w:rsid w:val="000B46D5"/>
    <w:rsid w:val="000B55C8"/>
    <w:rsid w:val="000B58FB"/>
    <w:rsid w:val="000C363D"/>
    <w:rsid w:val="000D25BE"/>
    <w:rsid w:val="000D3185"/>
    <w:rsid w:val="000D3F52"/>
    <w:rsid w:val="000D444D"/>
    <w:rsid w:val="000D45A0"/>
    <w:rsid w:val="000D4C94"/>
    <w:rsid w:val="000D56EB"/>
    <w:rsid w:val="000D5DD3"/>
    <w:rsid w:val="000E1C1C"/>
    <w:rsid w:val="000E3020"/>
    <w:rsid w:val="000F4D51"/>
    <w:rsid w:val="000F7DDF"/>
    <w:rsid w:val="00102F88"/>
    <w:rsid w:val="00102FF5"/>
    <w:rsid w:val="00104D9E"/>
    <w:rsid w:val="00105D48"/>
    <w:rsid w:val="00110CB9"/>
    <w:rsid w:val="00113AE2"/>
    <w:rsid w:val="0011431C"/>
    <w:rsid w:val="00114578"/>
    <w:rsid w:val="001160DE"/>
    <w:rsid w:val="00123510"/>
    <w:rsid w:val="0012601D"/>
    <w:rsid w:val="001260D9"/>
    <w:rsid w:val="00126D3F"/>
    <w:rsid w:val="001323EA"/>
    <w:rsid w:val="0013266B"/>
    <w:rsid w:val="00133949"/>
    <w:rsid w:val="0013620C"/>
    <w:rsid w:val="00141384"/>
    <w:rsid w:val="00142FE8"/>
    <w:rsid w:val="00143BEC"/>
    <w:rsid w:val="00145ED6"/>
    <w:rsid w:val="001474B9"/>
    <w:rsid w:val="001503DB"/>
    <w:rsid w:val="0015083D"/>
    <w:rsid w:val="00151A1A"/>
    <w:rsid w:val="00151C11"/>
    <w:rsid w:val="0015421F"/>
    <w:rsid w:val="001566B5"/>
    <w:rsid w:val="001632C0"/>
    <w:rsid w:val="00166D53"/>
    <w:rsid w:val="00176A8B"/>
    <w:rsid w:val="00177681"/>
    <w:rsid w:val="00180117"/>
    <w:rsid w:val="00183AB1"/>
    <w:rsid w:val="00184132"/>
    <w:rsid w:val="00187288"/>
    <w:rsid w:val="001874DF"/>
    <w:rsid w:val="00187B3D"/>
    <w:rsid w:val="0019081E"/>
    <w:rsid w:val="00192658"/>
    <w:rsid w:val="0019281D"/>
    <w:rsid w:val="00197C3F"/>
    <w:rsid w:val="00197FE9"/>
    <w:rsid w:val="001A0572"/>
    <w:rsid w:val="001A1891"/>
    <w:rsid w:val="001A1D04"/>
    <w:rsid w:val="001A3695"/>
    <w:rsid w:val="001A4346"/>
    <w:rsid w:val="001A4696"/>
    <w:rsid w:val="001A567C"/>
    <w:rsid w:val="001A727D"/>
    <w:rsid w:val="001A786B"/>
    <w:rsid w:val="001A7C14"/>
    <w:rsid w:val="001B0FC8"/>
    <w:rsid w:val="001B101E"/>
    <w:rsid w:val="001B2279"/>
    <w:rsid w:val="001B4017"/>
    <w:rsid w:val="001B623E"/>
    <w:rsid w:val="001B6A8A"/>
    <w:rsid w:val="001B6EBC"/>
    <w:rsid w:val="001B7598"/>
    <w:rsid w:val="001B7ED3"/>
    <w:rsid w:val="001C1EC4"/>
    <w:rsid w:val="001C3292"/>
    <w:rsid w:val="001C38AF"/>
    <w:rsid w:val="001C3ADA"/>
    <w:rsid w:val="001C5A13"/>
    <w:rsid w:val="001C5E65"/>
    <w:rsid w:val="001D0151"/>
    <w:rsid w:val="001D15A8"/>
    <w:rsid w:val="001D3782"/>
    <w:rsid w:val="001D5FD1"/>
    <w:rsid w:val="001D6B26"/>
    <w:rsid w:val="001D75F6"/>
    <w:rsid w:val="001D7A4F"/>
    <w:rsid w:val="001D7F8A"/>
    <w:rsid w:val="001E00EE"/>
    <w:rsid w:val="001E0B7A"/>
    <w:rsid w:val="001F063F"/>
    <w:rsid w:val="001F1830"/>
    <w:rsid w:val="001F626E"/>
    <w:rsid w:val="002000F0"/>
    <w:rsid w:val="0020180F"/>
    <w:rsid w:val="00201DC1"/>
    <w:rsid w:val="00202641"/>
    <w:rsid w:val="0020404A"/>
    <w:rsid w:val="00207B8A"/>
    <w:rsid w:val="00210B67"/>
    <w:rsid w:val="00210E3C"/>
    <w:rsid w:val="00211A66"/>
    <w:rsid w:val="00212EB6"/>
    <w:rsid w:val="0021326F"/>
    <w:rsid w:val="002156A0"/>
    <w:rsid w:val="00216B37"/>
    <w:rsid w:val="00220828"/>
    <w:rsid w:val="00224AF3"/>
    <w:rsid w:val="00226F3C"/>
    <w:rsid w:val="002323CF"/>
    <w:rsid w:val="00232972"/>
    <w:rsid w:val="00233242"/>
    <w:rsid w:val="00236ECD"/>
    <w:rsid w:val="0023720D"/>
    <w:rsid w:val="002374AC"/>
    <w:rsid w:val="002409CB"/>
    <w:rsid w:val="00240AAA"/>
    <w:rsid w:val="002429EA"/>
    <w:rsid w:val="00244DF3"/>
    <w:rsid w:val="00246273"/>
    <w:rsid w:val="002476F4"/>
    <w:rsid w:val="00247744"/>
    <w:rsid w:val="00247B5E"/>
    <w:rsid w:val="00252CA4"/>
    <w:rsid w:val="00254970"/>
    <w:rsid w:val="00254F3C"/>
    <w:rsid w:val="0025627C"/>
    <w:rsid w:val="0025799D"/>
    <w:rsid w:val="002602EA"/>
    <w:rsid w:val="002608F5"/>
    <w:rsid w:val="00260B5E"/>
    <w:rsid w:val="0026142F"/>
    <w:rsid w:val="0026500F"/>
    <w:rsid w:val="00265FB2"/>
    <w:rsid w:val="0026650C"/>
    <w:rsid w:val="002667CB"/>
    <w:rsid w:val="00272777"/>
    <w:rsid w:val="00272FA2"/>
    <w:rsid w:val="002751D3"/>
    <w:rsid w:val="00275D92"/>
    <w:rsid w:val="00280501"/>
    <w:rsid w:val="00282A01"/>
    <w:rsid w:val="00284FF6"/>
    <w:rsid w:val="002855E1"/>
    <w:rsid w:val="0028568A"/>
    <w:rsid w:val="00285CFE"/>
    <w:rsid w:val="00287D9F"/>
    <w:rsid w:val="002903C8"/>
    <w:rsid w:val="0029115B"/>
    <w:rsid w:val="00293C0C"/>
    <w:rsid w:val="002968E0"/>
    <w:rsid w:val="0029743B"/>
    <w:rsid w:val="00297C07"/>
    <w:rsid w:val="00297F2F"/>
    <w:rsid w:val="002A015F"/>
    <w:rsid w:val="002B28EB"/>
    <w:rsid w:val="002B2F43"/>
    <w:rsid w:val="002B4F6A"/>
    <w:rsid w:val="002B741E"/>
    <w:rsid w:val="002B7A34"/>
    <w:rsid w:val="002C0561"/>
    <w:rsid w:val="002C1322"/>
    <w:rsid w:val="002C4652"/>
    <w:rsid w:val="002C5563"/>
    <w:rsid w:val="002C76F7"/>
    <w:rsid w:val="002D1160"/>
    <w:rsid w:val="002D2381"/>
    <w:rsid w:val="002D3968"/>
    <w:rsid w:val="002D3CD4"/>
    <w:rsid w:val="002D3CE9"/>
    <w:rsid w:val="002D67DA"/>
    <w:rsid w:val="002D6999"/>
    <w:rsid w:val="002E35CB"/>
    <w:rsid w:val="002E6160"/>
    <w:rsid w:val="002E67F6"/>
    <w:rsid w:val="002E7329"/>
    <w:rsid w:val="002F4835"/>
    <w:rsid w:val="002F5583"/>
    <w:rsid w:val="002F62FB"/>
    <w:rsid w:val="002F6548"/>
    <w:rsid w:val="00301DC3"/>
    <w:rsid w:val="003034B3"/>
    <w:rsid w:val="003111CC"/>
    <w:rsid w:val="00311A86"/>
    <w:rsid w:val="00312C88"/>
    <w:rsid w:val="00316A9D"/>
    <w:rsid w:val="00316B98"/>
    <w:rsid w:val="00322EC3"/>
    <w:rsid w:val="0032369E"/>
    <w:rsid w:val="0032439E"/>
    <w:rsid w:val="00324BC0"/>
    <w:rsid w:val="003260F5"/>
    <w:rsid w:val="00327A61"/>
    <w:rsid w:val="0033063C"/>
    <w:rsid w:val="003307B8"/>
    <w:rsid w:val="003327D3"/>
    <w:rsid w:val="003338B4"/>
    <w:rsid w:val="0033487C"/>
    <w:rsid w:val="003364B2"/>
    <w:rsid w:val="00337FDB"/>
    <w:rsid w:val="0034013D"/>
    <w:rsid w:val="00340F3C"/>
    <w:rsid w:val="003417EB"/>
    <w:rsid w:val="00343829"/>
    <w:rsid w:val="00345822"/>
    <w:rsid w:val="0034672A"/>
    <w:rsid w:val="003503E7"/>
    <w:rsid w:val="00360394"/>
    <w:rsid w:val="00360AEC"/>
    <w:rsid w:val="003611B1"/>
    <w:rsid w:val="00361819"/>
    <w:rsid w:val="00361A1D"/>
    <w:rsid w:val="003650CC"/>
    <w:rsid w:val="0036611B"/>
    <w:rsid w:val="003661A6"/>
    <w:rsid w:val="00366DE9"/>
    <w:rsid w:val="00371FA0"/>
    <w:rsid w:val="003811C0"/>
    <w:rsid w:val="00381A1B"/>
    <w:rsid w:val="0038203D"/>
    <w:rsid w:val="00383396"/>
    <w:rsid w:val="003846D3"/>
    <w:rsid w:val="00384E0A"/>
    <w:rsid w:val="00386059"/>
    <w:rsid w:val="00386656"/>
    <w:rsid w:val="00386781"/>
    <w:rsid w:val="00391769"/>
    <w:rsid w:val="003919A2"/>
    <w:rsid w:val="00392993"/>
    <w:rsid w:val="003A0BFB"/>
    <w:rsid w:val="003A20C5"/>
    <w:rsid w:val="003A2811"/>
    <w:rsid w:val="003A31A5"/>
    <w:rsid w:val="003A3B5E"/>
    <w:rsid w:val="003A3E75"/>
    <w:rsid w:val="003A4D8C"/>
    <w:rsid w:val="003A533A"/>
    <w:rsid w:val="003A59EA"/>
    <w:rsid w:val="003A6126"/>
    <w:rsid w:val="003A7110"/>
    <w:rsid w:val="003A73A0"/>
    <w:rsid w:val="003B332D"/>
    <w:rsid w:val="003B4176"/>
    <w:rsid w:val="003B4A38"/>
    <w:rsid w:val="003B4F23"/>
    <w:rsid w:val="003B5693"/>
    <w:rsid w:val="003B5837"/>
    <w:rsid w:val="003B6684"/>
    <w:rsid w:val="003B7DAB"/>
    <w:rsid w:val="003C0D62"/>
    <w:rsid w:val="003C6188"/>
    <w:rsid w:val="003C657E"/>
    <w:rsid w:val="003C6D6E"/>
    <w:rsid w:val="003C7446"/>
    <w:rsid w:val="003D0612"/>
    <w:rsid w:val="003D610C"/>
    <w:rsid w:val="003D752A"/>
    <w:rsid w:val="003E0EA1"/>
    <w:rsid w:val="003E1A83"/>
    <w:rsid w:val="003E4B2A"/>
    <w:rsid w:val="003E5AEA"/>
    <w:rsid w:val="003E61CF"/>
    <w:rsid w:val="003F01C5"/>
    <w:rsid w:val="004028BD"/>
    <w:rsid w:val="00402AD7"/>
    <w:rsid w:val="0040312B"/>
    <w:rsid w:val="004031E5"/>
    <w:rsid w:val="00403263"/>
    <w:rsid w:val="00403C15"/>
    <w:rsid w:val="00403F5E"/>
    <w:rsid w:val="004041EC"/>
    <w:rsid w:val="0040435E"/>
    <w:rsid w:val="00404652"/>
    <w:rsid w:val="0040482D"/>
    <w:rsid w:val="004055D2"/>
    <w:rsid w:val="00405991"/>
    <w:rsid w:val="00406536"/>
    <w:rsid w:val="00406749"/>
    <w:rsid w:val="00410762"/>
    <w:rsid w:val="00410B09"/>
    <w:rsid w:val="00410EC3"/>
    <w:rsid w:val="004140E5"/>
    <w:rsid w:val="00414CD9"/>
    <w:rsid w:val="0042212B"/>
    <w:rsid w:val="00422C56"/>
    <w:rsid w:val="00424E87"/>
    <w:rsid w:val="0042665D"/>
    <w:rsid w:val="004325B5"/>
    <w:rsid w:val="00432CF7"/>
    <w:rsid w:val="004341E5"/>
    <w:rsid w:val="004343F8"/>
    <w:rsid w:val="004359B2"/>
    <w:rsid w:val="004369BE"/>
    <w:rsid w:val="00437393"/>
    <w:rsid w:val="0043784D"/>
    <w:rsid w:val="00437C00"/>
    <w:rsid w:val="00437C42"/>
    <w:rsid w:val="00443793"/>
    <w:rsid w:val="00444741"/>
    <w:rsid w:val="00444DEC"/>
    <w:rsid w:val="0044599A"/>
    <w:rsid w:val="00446A54"/>
    <w:rsid w:val="00446EA8"/>
    <w:rsid w:val="004506B2"/>
    <w:rsid w:val="00452A7A"/>
    <w:rsid w:val="00456FF8"/>
    <w:rsid w:val="00460444"/>
    <w:rsid w:val="00461082"/>
    <w:rsid w:val="0046157C"/>
    <w:rsid w:val="0046185B"/>
    <w:rsid w:val="00461ED8"/>
    <w:rsid w:val="004633D3"/>
    <w:rsid w:val="00465227"/>
    <w:rsid w:val="0046549C"/>
    <w:rsid w:val="004678A3"/>
    <w:rsid w:val="00472F24"/>
    <w:rsid w:val="00473C48"/>
    <w:rsid w:val="004761AE"/>
    <w:rsid w:val="00477283"/>
    <w:rsid w:val="00481601"/>
    <w:rsid w:val="00482136"/>
    <w:rsid w:val="00490585"/>
    <w:rsid w:val="004937A4"/>
    <w:rsid w:val="00495C5F"/>
    <w:rsid w:val="0049672B"/>
    <w:rsid w:val="004A092E"/>
    <w:rsid w:val="004A4AB5"/>
    <w:rsid w:val="004A544A"/>
    <w:rsid w:val="004A62C1"/>
    <w:rsid w:val="004A68BB"/>
    <w:rsid w:val="004A6F1E"/>
    <w:rsid w:val="004A79B9"/>
    <w:rsid w:val="004A7F16"/>
    <w:rsid w:val="004B4DF3"/>
    <w:rsid w:val="004B798D"/>
    <w:rsid w:val="004C0638"/>
    <w:rsid w:val="004C1151"/>
    <w:rsid w:val="004C1D7B"/>
    <w:rsid w:val="004C25DC"/>
    <w:rsid w:val="004C6EFE"/>
    <w:rsid w:val="004C7E7C"/>
    <w:rsid w:val="004D069F"/>
    <w:rsid w:val="004D145C"/>
    <w:rsid w:val="004D4BA4"/>
    <w:rsid w:val="004D7D5D"/>
    <w:rsid w:val="004E03D6"/>
    <w:rsid w:val="004E05C9"/>
    <w:rsid w:val="004E2CE6"/>
    <w:rsid w:val="004E744E"/>
    <w:rsid w:val="004F00E5"/>
    <w:rsid w:val="004F11F8"/>
    <w:rsid w:val="004F2200"/>
    <w:rsid w:val="004F2366"/>
    <w:rsid w:val="004F3C94"/>
    <w:rsid w:val="004F52D9"/>
    <w:rsid w:val="004F5517"/>
    <w:rsid w:val="004F5754"/>
    <w:rsid w:val="004F601B"/>
    <w:rsid w:val="0050197A"/>
    <w:rsid w:val="0050390C"/>
    <w:rsid w:val="0050391D"/>
    <w:rsid w:val="00503A36"/>
    <w:rsid w:val="00504F4D"/>
    <w:rsid w:val="005058A2"/>
    <w:rsid w:val="005107B9"/>
    <w:rsid w:val="00510EB5"/>
    <w:rsid w:val="005110EF"/>
    <w:rsid w:val="005119A8"/>
    <w:rsid w:val="00511E85"/>
    <w:rsid w:val="0051265C"/>
    <w:rsid w:val="0051582F"/>
    <w:rsid w:val="00516446"/>
    <w:rsid w:val="00522A66"/>
    <w:rsid w:val="005243C9"/>
    <w:rsid w:val="00526197"/>
    <w:rsid w:val="00527073"/>
    <w:rsid w:val="005278A0"/>
    <w:rsid w:val="005300AF"/>
    <w:rsid w:val="005304AA"/>
    <w:rsid w:val="00530B7D"/>
    <w:rsid w:val="00530C81"/>
    <w:rsid w:val="0053757F"/>
    <w:rsid w:val="00537597"/>
    <w:rsid w:val="00540CD5"/>
    <w:rsid w:val="00540F49"/>
    <w:rsid w:val="00543F77"/>
    <w:rsid w:val="00545F2C"/>
    <w:rsid w:val="00546044"/>
    <w:rsid w:val="00546C0E"/>
    <w:rsid w:val="0055006E"/>
    <w:rsid w:val="00553D8E"/>
    <w:rsid w:val="00554CD2"/>
    <w:rsid w:val="00555F5F"/>
    <w:rsid w:val="0055672F"/>
    <w:rsid w:val="00557523"/>
    <w:rsid w:val="00562910"/>
    <w:rsid w:val="005647D9"/>
    <w:rsid w:val="00567254"/>
    <w:rsid w:val="00567C3B"/>
    <w:rsid w:val="00567F6F"/>
    <w:rsid w:val="005703D9"/>
    <w:rsid w:val="00571AF3"/>
    <w:rsid w:val="00573A80"/>
    <w:rsid w:val="00574882"/>
    <w:rsid w:val="00574BB4"/>
    <w:rsid w:val="005764DE"/>
    <w:rsid w:val="0057657A"/>
    <w:rsid w:val="00576EB4"/>
    <w:rsid w:val="0058050E"/>
    <w:rsid w:val="00582168"/>
    <w:rsid w:val="00586109"/>
    <w:rsid w:val="00586A79"/>
    <w:rsid w:val="00586D07"/>
    <w:rsid w:val="005873CF"/>
    <w:rsid w:val="00587C76"/>
    <w:rsid w:val="005901AA"/>
    <w:rsid w:val="005950FC"/>
    <w:rsid w:val="005975B8"/>
    <w:rsid w:val="00597E21"/>
    <w:rsid w:val="00597F8F"/>
    <w:rsid w:val="005A10DF"/>
    <w:rsid w:val="005A33B7"/>
    <w:rsid w:val="005A38AB"/>
    <w:rsid w:val="005A5867"/>
    <w:rsid w:val="005A5B1A"/>
    <w:rsid w:val="005B58AB"/>
    <w:rsid w:val="005B70D2"/>
    <w:rsid w:val="005C1073"/>
    <w:rsid w:val="005C1E01"/>
    <w:rsid w:val="005C30DC"/>
    <w:rsid w:val="005C3927"/>
    <w:rsid w:val="005C475C"/>
    <w:rsid w:val="005C6546"/>
    <w:rsid w:val="005D2839"/>
    <w:rsid w:val="005D7A92"/>
    <w:rsid w:val="005E0079"/>
    <w:rsid w:val="005E0BD7"/>
    <w:rsid w:val="005E1A47"/>
    <w:rsid w:val="005E4354"/>
    <w:rsid w:val="005E4E3D"/>
    <w:rsid w:val="005E7F80"/>
    <w:rsid w:val="005F1175"/>
    <w:rsid w:val="005F192D"/>
    <w:rsid w:val="005F2423"/>
    <w:rsid w:val="005F3B1B"/>
    <w:rsid w:val="005F516E"/>
    <w:rsid w:val="005F524B"/>
    <w:rsid w:val="006003F5"/>
    <w:rsid w:val="0060048F"/>
    <w:rsid w:val="0060127F"/>
    <w:rsid w:val="00601754"/>
    <w:rsid w:val="00603428"/>
    <w:rsid w:val="006064B2"/>
    <w:rsid w:val="006068A0"/>
    <w:rsid w:val="00606992"/>
    <w:rsid w:val="00607014"/>
    <w:rsid w:val="00607B58"/>
    <w:rsid w:val="00612887"/>
    <w:rsid w:val="00614793"/>
    <w:rsid w:val="006161DC"/>
    <w:rsid w:val="0062124D"/>
    <w:rsid w:val="0062190F"/>
    <w:rsid w:val="006219CA"/>
    <w:rsid w:val="00622033"/>
    <w:rsid w:val="006252CE"/>
    <w:rsid w:val="006320B2"/>
    <w:rsid w:val="00632471"/>
    <w:rsid w:val="00632A23"/>
    <w:rsid w:val="00633529"/>
    <w:rsid w:val="00634921"/>
    <w:rsid w:val="00634A15"/>
    <w:rsid w:val="0063789C"/>
    <w:rsid w:val="00644F7C"/>
    <w:rsid w:val="00644F8E"/>
    <w:rsid w:val="006469D8"/>
    <w:rsid w:val="006514AF"/>
    <w:rsid w:val="00652960"/>
    <w:rsid w:val="00652BA7"/>
    <w:rsid w:val="0065389A"/>
    <w:rsid w:val="00653B08"/>
    <w:rsid w:val="00662750"/>
    <w:rsid w:val="00663231"/>
    <w:rsid w:val="00664338"/>
    <w:rsid w:val="00664CE0"/>
    <w:rsid w:val="00665196"/>
    <w:rsid w:val="006657E3"/>
    <w:rsid w:val="00665E71"/>
    <w:rsid w:val="00667CD4"/>
    <w:rsid w:val="00670213"/>
    <w:rsid w:val="00673C21"/>
    <w:rsid w:val="00673DE0"/>
    <w:rsid w:val="00674D24"/>
    <w:rsid w:val="00676394"/>
    <w:rsid w:val="00680B29"/>
    <w:rsid w:val="006831BA"/>
    <w:rsid w:val="006850DB"/>
    <w:rsid w:val="00685980"/>
    <w:rsid w:val="00686884"/>
    <w:rsid w:val="00690886"/>
    <w:rsid w:val="0069146E"/>
    <w:rsid w:val="00696602"/>
    <w:rsid w:val="00696C07"/>
    <w:rsid w:val="006A3A8C"/>
    <w:rsid w:val="006A3B2B"/>
    <w:rsid w:val="006A58F6"/>
    <w:rsid w:val="006A6288"/>
    <w:rsid w:val="006A63BE"/>
    <w:rsid w:val="006B6D92"/>
    <w:rsid w:val="006B6E14"/>
    <w:rsid w:val="006C08CC"/>
    <w:rsid w:val="006C0F12"/>
    <w:rsid w:val="006C1D61"/>
    <w:rsid w:val="006C6536"/>
    <w:rsid w:val="006C6DF0"/>
    <w:rsid w:val="006C704D"/>
    <w:rsid w:val="006C7E7B"/>
    <w:rsid w:val="006D03F1"/>
    <w:rsid w:val="006D2050"/>
    <w:rsid w:val="006D28D4"/>
    <w:rsid w:val="006D48D4"/>
    <w:rsid w:val="006D4AB8"/>
    <w:rsid w:val="006D5E19"/>
    <w:rsid w:val="006D694B"/>
    <w:rsid w:val="006D768D"/>
    <w:rsid w:val="006E0828"/>
    <w:rsid w:val="006E21B0"/>
    <w:rsid w:val="006E29EE"/>
    <w:rsid w:val="006E3745"/>
    <w:rsid w:val="006E3E7B"/>
    <w:rsid w:val="006E59E5"/>
    <w:rsid w:val="006E6BF8"/>
    <w:rsid w:val="006E787D"/>
    <w:rsid w:val="006F0BA2"/>
    <w:rsid w:val="006F49F6"/>
    <w:rsid w:val="006F4A40"/>
    <w:rsid w:val="006F6F98"/>
    <w:rsid w:val="006F7142"/>
    <w:rsid w:val="007011A9"/>
    <w:rsid w:val="00701B03"/>
    <w:rsid w:val="0070320C"/>
    <w:rsid w:val="007040CD"/>
    <w:rsid w:val="0070680E"/>
    <w:rsid w:val="00706B8A"/>
    <w:rsid w:val="00706B96"/>
    <w:rsid w:val="007075E6"/>
    <w:rsid w:val="00712EA4"/>
    <w:rsid w:val="00712EBC"/>
    <w:rsid w:val="00716193"/>
    <w:rsid w:val="0071658E"/>
    <w:rsid w:val="00716D98"/>
    <w:rsid w:val="00720518"/>
    <w:rsid w:val="0072185A"/>
    <w:rsid w:val="007228A6"/>
    <w:rsid w:val="00726DAE"/>
    <w:rsid w:val="00727228"/>
    <w:rsid w:val="00727500"/>
    <w:rsid w:val="00730B3D"/>
    <w:rsid w:val="007310BB"/>
    <w:rsid w:val="007313BA"/>
    <w:rsid w:val="007323F5"/>
    <w:rsid w:val="0073245E"/>
    <w:rsid w:val="00737736"/>
    <w:rsid w:val="00737E1D"/>
    <w:rsid w:val="00740250"/>
    <w:rsid w:val="00740B2A"/>
    <w:rsid w:val="0074268C"/>
    <w:rsid w:val="007445FE"/>
    <w:rsid w:val="0074493B"/>
    <w:rsid w:val="007457D2"/>
    <w:rsid w:val="00751232"/>
    <w:rsid w:val="0075281F"/>
    <w:rsid w:val="00752A11"/>
    <w:rsid w:val="007537FC"/>
    <w:rsid w:val="00753C5B"/>
    <w:rsid w:val="007541DC"/>
    <w:rsid w:val="00761A63"/>
    <w:rsid w:val="00763767"/>
    <w:rsid w:val="00764B50"/>
    <w:rsid w:val="00766F34"/>
    <w:rsid w:val="0077437F"/>
    <w:rsid w:val="0077454E"/>
    <w:rsid w:val="00774E0F"/>
    <w:rsid w:val="00776305"/>
    <w:rsid w:val="007804CF"/>
    <w:rsid w:val="00781FEC"/>
    <w:rsid w:val="00783390"/>
    <w:rsid w:val="00784A51"/>
    <w:rsid w:val="00786056"/>
    <w:rsid w:val="007925F3"/>
    <w:rsid w:val="00792F28"/>
    <w:rsid w:val="00793C76"/>
    <w:rsid w:val="00793EFA"/>
    <w:rsid w:val="00794D3C"/>
    <w:rsid w:val="0079657C"/>
    <w:rsid w:val="00796F23"/>
    <w:rsid w:val="007970E7"/>
    <w:rsid w:val="007A06F8"/>
    <w:rsid w:val="007A0C05"/>
    <w:rsid w:val="007A1B4D"/>
    <w:rsid w:val="007A251F"/>
    <w:rsid w:val="007A3CC7"/>
    <w:rsid w:val="007A52D3"/>
    <w:rsid w:val="007A6B81"/>
    <w:rsid w:val="007B019E"/>
    <w:rsid w:val="007B1478"/>
    <w:rsid w:val="007B2709"/>
    <w:rsid w:val="007B76BB"/>
    <w:rsid w:val="007B7CE7"/>
    <w:rsid w:val="007C503B"/>
    <w:rsid w:val="007C5ACA"/>
    <w:rsid w:val="007C6937"/>
    <w:rsid w:val="007C7B0A"/>
    <w:rsid w:val="007D0041"/>
    <w:rsid w:val="007D161A"/>
    <w:rsid w:val="007E1071"/>
    <w:rsid w:val="007E15A8"/>
    <w:rsid w:val="007E62AA"/>
    <w:rsid w:val="007E7331"/>
    <w:rsid w:val="007F2ED8"/>
    <w:rsid w:val="007F3304"/>
    <w:rsid w:val="007F6345"/>
    <w:rsid w:val="00804BAA"/>
    <w:rsid w:val="00807896"/>
    <w:rsid w:val="00810644"/>
    <w:rsid w:val="00810BFB"/>
    <w:rsid w:val="00814F7B"/>
    <w:rsid w:val="00815399"/>
    <w:rsid w:val="008168C0"/>
    <w:rsid w:val="00817B79"/>
    <w:rsid w:val="0082133F"/>
    <w:rsid w:val="00821C51"/>
    <w:rsid w:val="00822016"/>
    <w:rsid w:val="00822DF8"/>
    <w:rsid w:val="00823727"/>
    <w:rsid w:val="008238B7"/>
    <w:rsid w:val="00825B50"/>
    <w:rsid w:val="00826307"/>
    <w:rsid w:val="00826DE8"/>
    <w:rsid w:val="008403C0"/>
    <w:rsid w:val="00841194"/>
    <w:rsid w:val="008416DD"/>
    <w:rsid w:val="008450A6"/>
    <w:rsid w:val="008452B5"/>
    <w:rsid w:val="00845A4E"/>
    <w:rsid w:val="00845A80"/>
    <w:rsid w:val="00850146"/>
    <w:rsid w:val="008501F3"/>
    <w:rsid w:val="008515B1"/>
    <w:rsid w:val="00851813"/>
    <w:rsid w:val="00852814"/>
    <w:rsid w:val="008555B9"/>
    <w:rsid w:val="00855C81"/>
    <w:rsid w:val="00856471"/>
    <w:rsid w:val="008610A0"/>
    <w:rsid w:val="008666FC"/>
    <w:rsid w:val="008671C5"/>
    <w:rsid w:val="008710D8"/>
    <w:rsid w:val="00871271"/>
    <w:rsid w:val="00871BD1"/>
    <w:rsid w:val="008727AB"/>
    <w:rsid w:val="00873010"/>
    <w:rsid w:val="00873780"/>
    <w:rsid w:val="00873CEF"/>
    <w:rsid w:val="0087413C"/>
    <w:rsid w:val="008771C7"/>
    <w:rsid w:val="00877FA7"/>
    <w:rsid w:val="008833F0"/>
    <w:rsid w:val="00884766"/>
    <w:rsid w:val="0088566B"/>
    <w:rsid w:val="00887720"/>
    <w:rsid w:val="00890B01"/>
    <w:rsid w:val="008930BD"/>
    <w:rsid w:val="008939B1"/>
    <w:rsid w:val="00893D80"/>
    <w:rsid w:val="00894393"/>
    <w:rsid w:val="00895420"/>
    <w:rsid w:val="008957CE"/>
    <w:rsid w:val="008A1DBE"/>
    <w:rsid w:val="008A3BF9"/>
    <w:rsid w:val="008A5EAC"/>
    <w:rsid w:val="008A7F19"/>
    <w:rsid w:val="008B20FC"/>
    <w:rsid w:val="008B341F"/>
    <w:rsid w:val="008B47AF"/>
    <w:rsid w:val="008C0845"/>
    <w:rsid w:val="008C1510"/>
    <w:rsid w:val="008C1892"/>
    <w:rsid w:val="008C2503"/>
    <w:rsid w:val="008C64E0"/>
    <w:rsid w:val="008C7CA5"/>
    <w:rsid w:val="008D089E"/>
    <w:rsid w:val="008D09AA"/>
    <w:rsid w:val="008D19CC"/>
    <w:rsid w:val="008D2791"/>
    <w:rsid w:val="008D2A3F"/>
    <w:rsid w:val="008D2E76"/>
    <w:rsid w:val="008D3A14"/>
    <w:rsid w:val="008D4189"/>
    <w:rsid w:val="008D49FA"/>
    <w:rsid w:val="008D51B6"/>
    <w:rsid w:val="008D7FF5"/>
    <w:rsid w:val="008E082F"/>
    <w:rsid w:val="008E298E"/>
    <w:rsid w:val="008E326F"/>
    <w:rsid w:val="008E5682"/>
    <w:rsid w:val="008E6A84"/>
    <w:rsid w:val="008E75B9"/>
    <w:rsid w:val="008F25EE"/>
    <w:rsid w:val="008F4502"/>
    <w:rsid w:val="008F596A"/>
    <w:rsid w:val="008F5C4E"/>
    <w:rsid w:val="008F68DE"/>
    <w:rsid w:val="00902D1A"/>
    <w:rsid w:val="00903A99"/>
    <w:rsid w:val="0090458F"/>
    <w:rsid w:val="00905BC7"/>
    <w:rsid w:val="00907672"/>
    <w:rsid w:val="009078F6"/>
    <w:rsid w:val="00907B73"/>
    <w:rsid w:val="00910190"/>
    <w:rsid w:val="0091110C"/>
    <w:rsid w:val="0091180B"/>
    <w:rsid w:val="009127C8"/>
    <w:rsid w:val="00912C13"/>
    <w:rsid w:val="009139B4"/>
    <w:rsid w:val="00913CF7"/>
    <w:rsid w:val="0091505A"/>
    <w:rsid w:val="00916D96"/>
    <w:rsid w:val="00917AD5"/>
    <w:rsid w:val="0092135A"/>
    <w:rsid w:val="0093176E"/>
    <w:rsid w:val="00934D7F"/>
    <w:rsid w:val="009357A3"/>
    <w:rsid w:val="0094113C"/>
    <w:rsid w:val="0094479A"/>
    <w:rsid w:val="00945858"/>
    <w:rsid w:val="009469AC"/>
    <w:rsid w:val="00950992"/>
    <w:rsid w:val="009543F0"/>
    <w:rsid w:val="00955863"/>
    <w:rsid w:val="00955B2F"/>
    <w:rsid w:val="00955E93"/>
    <w:rsid w:val="0095646F"/>
    <w:rsid w:val="00956B2C"/>
    <w:rsid w:val="00960091"/>
    <w:rsid w:val="00960206"/>
    <w:rsid w:val="00960E9A"/>
    <w:rsid w:val="009623F8"/>
    <w:rsid w:val="009629C3"/>
    <w:rsid w:val="00962BDC"/>
    <w:rsid w:val="00963DE6"/>
    <w:rsid w:val="00966D0B"/>
    <w:rsid w:val="00967425"/>
    <w:rsid w:val="0097174B"/>
    <w:rsid w:val="00972DC7"/>
    <w:rsid w:val="00972F19"/>
    <w:rsid w:val="009735AB"/>
    <w:rsid w:val="009766DD"/>
    <w:rsid w:val="00977431"/>
    <w:rsid w:val="009776F2"/>
    <w:rsid w:val="00977EF7"/>
    <w:rsid w:val="0098684A"/>
    <w:rsid w:val="00987467"/>
    <w:rsid w:val="00987533"/>
    <w:rsid w:val="00990D02"/>
    <w:rsid w:val="00993019"/>
    <w:rsid w:val="009936BB"/>
    <w:rsid w:val="00993802"/>
    <w:rsid w:val="00994FE1"/>
    <w:rsid w:val="009959B1"/>
    <w:rsid w:val="00996D14"/>
    <w:rsid w:val="00996DEB"/>
    <w:rsid w:val="009A1C10"/>
    <w:rsid w:val="009A2DA9"/>
    <w:rsid w:val="009A32B6"/>
    <w:rsid w:val="009A530B"/>
    <w:rsid w:val="009A537D"/>
    <w:rsid w:val="009A7678"/>
    <w:rsid w:val="009B0688"/>
    <w:rsid w:val="009B1DA1"/>
    <w:rsid w:val="009B21C1"/>
    <w:rsid w:val="009B31D6"/>
    <w:rsid w:val="009B36E4"/>
    <w:rsid w:val="009B387A"/>
    <w:rsid w:val="009B48A1"/>
    <w:rsid w:val="009B62E6"/>
    <w:rsid w:val="009B76DD"/>
    <w:rsid w:val="009C086A"/>
    <w:rsid w:val="009C255B"/>
    <w:rsid w:val="009C75A0"/>
    <w:rsid w:val="009D0FBE"/>
    <w:rsid w:val="009D11A4"/>
    <w:rsid w:val="009D2FD9"/>
    <w:rsid w:val="009D3627"/>
    <w:rsid w:val="009D51D2"/>
    <w:rsid w:val="009D5CAB"/>
    <w:rsid w:val="009E555D"/>
    <w:rsid w:val="009E5A87"/>
    <w:rsid w:val="009F17D8"/>
    <w:rsid w:val="009F1E49"/>
    <w:rsid w:val="009F2BD2"/>
    <w:rsid w:val="009F3149"/>
    <w:rsid w:val="009F3777"/>
    <w:rsid w:val="009F78E6"/>
    <w:rsid w:val="00A01E31"/>
    <w:rsid w:val="00A0232B"/>
    <w:rsid w:val="00A03B13"/>
    <w:rsid w:val="00A04B65"/>
    <w:rsid w:val="00A06715"/>
    <w:rsid w:val="00A076B9"/>
    <w:rsid w:val="00A0787D"/>
    <w:rsid w:val="00A10B2D"/>
    <w:rsid w:val="00A10F78"/>
    <w:rsid w:val="00A11A09"/>
    <w:rsid w:val="00A13960"/>
    <w:rsid w:val="00A14C5D"/>
    <w:rsid w:val="00A14E6A"/>
    <w:rsid w:val="00A177A5"/>
    <w:rsid w:val="00A208B4"/>
    <w:rsid w:val="00A22EF9"/>
    <w:rsid w:val="00A23B8A"/>
    <w:rsid w:val="00A25403"/>
    <w:rsid w:val="00A26639"/>
    <w:rsid w:val="00A268EA"/>
    <w:rsid w:val="00A2798B"/>
    <w:rsid w:val="00A31625"/>
    <w:rsid w:val="00A3412B"/>
    <w:rsid w:val="00A34A44"/>
    <w:rsid w:val="00A35BE0"/>
    <w:rsid w:val="00A366AA"/>
    <w:rsid w:val="00A409E1"/>
    <w:rsid w:val="00A419EA"/>
    <w:rsid w:val="00A41D36"/>
    <w:rsid w:val="00A42294"/>
    <w:rsid w:val="00A441FF"/>
    <w:rsid w:val="00A4560C"/>
    <w:rsid w:val="00A45E41"/>
    <w:rsid w:val="00A46E76"/>
    <w:rsid w:val="00A47639"/>
    <w:rsid w:val="00A47C69"/>
    <w:rsid w:val="00A521FE"/>
    <w:rsid w:val="00A55498"/>
    <w:rsid w:val="00A6186E"/>
    <w:rsid w:val="00A62B26"/>
    <w:rsid w:val="00A63D97"/>
    <w:rsid w:val="00A63F95"/>
    <w:rsid w:val="00A641CC"/>
    <w:rsid w:val="00A64D74"/>
    <w:rsid w:val="00A6572D"/>
    <w:rsid w:val="00A65E7A"/>
    <w:rsid w:val="00A65FD1"/>
    <w:rsid w:val="00A679F3"/>
    <w:rsid w:val="00A70EDF"/>
    <w:rsid w:val="00A723F8"/>
    <w:rsid w:val="00A727BC"/>
    <w:rsid w:val="00A73FA2"/>
    <w:rsid w:val="00A84DEA"/>
    <w:rsid w:val="00A8608C"/>
    <w:rsid w:val="00A860B9"/>
    <w:rsid w:val="00A87465"/>
    <w:rsid w:val="00A92408"/>
    <w:rsid w:val="00A94F6E"/>
    <w:rsid w:val="00A95F68"/>
    <w:rsid w:val="00AA06AE"/>
    <w:rsid w:val="00AA0ED7"/>
    <w:rsid w:val="00AA5628"/>
    <w:rsid w:val="00AB0696"/>
    <w:rsid w:val="00AB4873"/>
    <w:rsid w:val="00AB4D85"/>
    <w:rsid w:val="00AB76CE"/>
    <w:rsid w:val="00AB7E03"/>
    <w:rsid w:val="00AC0E83"/>
    <w:rsid w:val="00AC3DBC"/>
    <w:rsid w:val="00AC41A5"/>
    <w:rsid w:val="00AC4380"/>
    <w:rsid w:val="00AC4CF8"/>
    <w:rsid w:val="00AC5813"/>
    <w:rsid w:val="00AC7BC0"/>
    <w:rsid w:val="00AD01A3"/>
    <w:rsid w:val="00AD13D6"/>
    <w:rsid w:val="00AD31CF"/>
    <w:rsid w:val="00AD562B"/>
    <w:rsid w:val="00AD59A2"/>
    <w:rsid w:val="00AE0094"/>
    <w:rsid w:val="00AE2955"/>
    <w:rsid w:val="00AE2E87"/>
    <w:rsid w:val="00AE3ABC"/>
    <w:rsid w:val="00AE6F15"/>
    <w:rsid w:val="00AF143A"/>
    <w:rsid w:val="00AF2374"/>
    <w:rsid w:val="00AF3859"/>
    <w:rsid w:val="00AF44AF"/>
    <w:rsid w:val="00AF4882"/>
    <w:rsid w:val="00AF6578"/>
    <w:rsid w:val="00AF6ECC"/>
    <w:rsid w:val="00AF70C1"/>
    <w:rsid w:val="00B01795"/>
    <w:rsid w:val="00B028DC"/>
    <w:rsid w:val="00B03322"/>
    <w:rsid w:val="00B0343E"/>
    <w:rsid w:val="00B03D1D"/>
    <w:rsid w:val="00B043F6"/>
    <w:rsid w:val="00B0467C"/>
    <w:rsid w:val="00B06A14"/>
    <w:rsid w:val="00B10F91"/>
    <w:rsid w:val="00B121AB"/>
    <w:rsid w:val="00B136FA"/>
    <w:rsid w:val="00B141F3"/>
    <w:rsid w:val="00B16543"/>
    <w:rsid w:val="00B16682"/>
    <w:rsid w:val="00B17AB3"/>
    <w:rsid w:val="00B229D8"/>
    <w:rsid w:val="00B22FA5"/>
    <w:rsid w:val="00B245F6"/>
    <w:rsid w:val="00B24B66"/>
    <w:rsid w:val="00B2506B"/>
    <w:rsid w:val="00B273DC"/>
    <w:rsid w:val="00B27B26"/>
    <w:rsid w:val="00B377CD"/>
    <w:rsid w:val="00B37EDC"/>
    <w:rsid w:val="00B4014F"/>
    <w:rsid w:val="00B4147B"/>
    <w:rsid w:val="00B43CEF"/>
    <w:rsid w:val="00B44CD7"/>
    <w:rsid w:val="00B4506D"/>
    <w:rsid w:val="00B46639"/>
    <w:rsid w:val="00B47560"/>
    <w:rsid w:val="00B55911"/>
    <w:rsid w:val="00B5769D"/>
    <w:rsid w:val="00B60F0C"/>
    <w:rsid w:val="00B61C45"/>
    <w:rsid w:val="00B61F41"/>
    <w:rsid w:val="00B6562E"/>
    <w:rsid w:val="00B66E04"/>
    <w:rsid w:val="00B67840"/>
    <w:rsid w:val="00B7018A"/>
    <w:rsid w:val="00B72803"/>
    <w:rsid w:val="00B74B1A"/>
    <w:rsid w:val="00B74C77"/>
    <w:rsid w:val="00B760E1"/>
    <w:rsid w:val="00B7641E"/>
    <w:rsid w:val="00B80545"/>
    <w:rsid w:val="00B82A8D"/>
    <w:rsid w:val="00B830CE"/>
    <w:rsid w:val="00B8592C"/>
    <w:rsid w:val="00B85B71"/>
    <w:rsid w:val="00B877B0"/>
    <w:rsid w:val="00B8782A"/>
    <w:rsid w:val="00B913B5"/>
    <w:rsid w:val="00B91C4D"/>
    <w:rsid w:val="00B923F2"/>
    <w:rsid w:val="00B944DB"/>
    <w:rsid w:val="00B95A3B"/>
    <w:rsid w:val="00BA016B"/>
    <w:rsid w:val="00BA150B"/>
    <w:rsid w:val="00BA30CF"/>
    <w:rsid w:val="00BA3FDB"/>
    <w:rsid w:val="00BA7D51"/>
    <w:rsid w:val="00BB0C79"/>
    <w:rsid w:val="00BB1FCB"/>
    <w:rsid w:val="00BB2ED1"/>
    <w:rsid w:val="00BB3518"/>
    <w:rsid w:val="00BB4A8F"/>
    <w:rsid w:val="00BB5791"/>
    <w:rsid w:val="00BB668F"/>
    <w:rsid w:val="00BB68A6"/>
    <w:rsid w:val="00BC12F3"/>
    <w:rsid w:val="00BC1EFA"/>
    <w:rsid w:val="00BC40E4"/>
    <w:rsid w:val="00BC6118"/>
    <w:rsid w:val="00BD02A2"/>
    <w:rsid w:val="00BD2902"/>
    <w:rsid w:val="00BD2F63"/>
    <w:rsid w:val="00BD52F5"/>
    <w:rsid w:val="00BD5A0C"/>
    <w:rsid w:val="00BD6768"/>
    <w:rsid w:val="00BD6D19"/>
    <w:rsid w:val="00BD6E24"/>
    <w:rsid w:val="00BE184C"/>
    <w:rsid w:val="00BE58EA"/>
    <w:rsid w:val="00BE7DE2"/>
    <w:rsid w:val="00BE7EA1"/>
    <w:rsid w:val="00BF0F92"/>
    <w:rsid w:val="00BF7D1F"/>
    <w:rsid w:val="00BF7DD9"/>
    <w:rsid w:val="00C018B9"/>
    <w:rsid w:val="00C0327A"/>
    <w:rsid w:val="00C03BD0"/>
    <w:rsid w:val="00C05FEB"/>
    <w:rsid w:val="00C1038C"/>
    <w:rsid w:val="00C10BAC"/>
    <w:rsid w:val="00C1184F"/>
    <w:rsid w:val="00C15104"/>
    <w:rsid w:val="00C15D1A"/>
    <w:rsid w:val="00C1647F"/>
    <w:rsid w:val="00C21D6C"/>
    <w:rsid w:val="00C30116"/>
    <w:rsid w:val="00C3255A"/>
    <w:rsid w:val="00C37C77"/>
    <w:rsid w:val="00C37F4E"/>
    <w:rsid w:val="00C41257"/>
    <w:rsid w:val="00C41DD4"/>
    <w:rsid w:val="00C46030"/>
    <w:rsid w:val="00C500A1"/>
    <w:rsid w:val="00C521E4"/>
    <w:rsid w:val="00C531BD"/>
    <w:rsid w:val="00C55EE9"/>
    <w:rsid w:val="00C56A85"/>
    <w:rsid w:val="00C56E2C"/>
    <w:rsid w:val="00C61010"/>
    <w:rsid w:val="00C61057"/>
    <w:rsid w:val="00C6132E"/>
    <w:rsid w:val="00C666E3"/>
    <w:rsid w:val="00C6707B"/>
    <w:rsid w:val="00C712EC"/>
    <w:rsid w:val="00C72397"/>
    <w:rsid w:val="00C72689"/>
    <w:rsid w:val="00C72817"/>
    <w:rsid w:val="00C73115"/>
    <w:rsid w:val="00C73E7A"/>
    <w:rsid w:val="00C74075"/>
    <w:rsid w:val="00C748F3"/>
    <w:rsid w:val="00C74D38"/>
    <w:rsid w:val="00C75B7D"/>
    <w:rsid w:val="00C76FE0"/>
    <w:rsid w:val="00C77F38"/>
    <w:rsid w:val="00C80850"/>
    <w:rsid w:val="00C85FBC"/>
    <w:rsid w:val="00C86005"/>
    <w:rsid w:val="00C87B1C"/>
    <w:rsid w:val="00C87CCD"/>
    <w:rsid w:val="00C92827"/>
    <w:rsid w:val="00C93868"/>
    <w:rsid w:val="00C93C1A"/>
    <w:rsid w:val="00C93D58"/>
    <w:rsid w:val="00C978DE"/>
    <w:rsid w:val="00CA2F70"/>
    <w:rsid w:val="00CA566F"/>
    <w:rsid w:val="00CA6D4A"/>
    <w:rsid w:val="00CA768A"/>
    <w:rsid w:val="00CB0E7A"/>
    <w:rsid w:val="00CB566B"/>
    <w:rsid w:val="00CB73FB"/>
    <w:rsid w:val="00CC09B3"/>
    <w:rsid w:val="00CC4F4A"/>
    <w:rsid w:val="00CC6EC4"/>
    <w:rsid w:val="00CC7140"/>
    <w:rsid w:val="00CC7946"/>
    <w:rsid w:val="00CC7D63"/>
    <w:rsid w:val="00CD2579"/>
    <w:rsid w:val="00CD268A"/>
    <w:rsid w:val="00CD3676"/>
    <w:rsid w:val="00CD6D87"/>
    <w:rsid w:val="00CE0030"/>
    <w:rsid w:val="00CE08DD"/>
    <w:rsid w:val="00CE0B2D"/>
    <w:rsid w:val="00CE1E8C"/>
    <w:rsid w:val="00CE49AE"/>
    <w:rsid w:val="00CE5103"/>
    <w:rsid w:val="00CE6A8A"/>
    <w:rsid w:val="00CF1620"/>
    <w:rsid w:val="00CF2437"/>
    <w:rsid w:val="00CF4EB0"/>
    <w:rsid w:val="00CF5D5B"/>
    <w:rsid w:val="00CF6B60"/>
    <w:rsid w:val="00D0076F"/>
    <w:rsid w:val="00D00D43"/>
    <w:rsid w:val="00D03A0D"/>
    <w:rsid w:val="00D054A9"/>
    <w:rsid w:val="00D06166"/>
    <w:rsid w:val="00D06278"/>
    <w:rsid w:val="00D064A3"/>
    <w:rsid w:val="00D06C24"/>
    <w:rsid w:val="00D07546"/>
    <w:rsid w:val="00D104BF"/>
    <w:rsid w:val="00D128FA"/>
    <w:rsid w:val="00D132B4"/>
    <w:rsid w:val="00D16B3C"/>
    <w:rsid w:val="00D17065"/>
    <w:rsid w:val="00D202AD"/>
    <w:rsid w:val="00D231C8"/>
    <w:rsid w:val="00D25169"/>
    <w:rsid w:val="00D25D18"/>
    <w:rsid w:val="00D2675E"/>
    <w:rsid w:val="00D30349"/>
    <w:rsid w:val="00D31199"/>
    <w:rsid w:val="00D3180C"/>
    <w:rsid w:val="00D346C5"/>
    <w:rsid w:val="00D36B25"/>
    <w:rsid w:val="00D40842"/>
    <w:rsid w:val="00D41BAB"/>
    <w:rsid w:val="00D434D2"/>
    <w:rsid w:val="00D43F14"/>
    <w:rsid w:val="00D450ED"/>
    <w:rsid w:val="00D45F42"/>
    <w:rsid w:val="00D460EB"/>
    <w:rsid w:val="00D4773E"/>
    <w:rsid w:val="00D506AB"/>
    <w:rsid w:val="00D5212F"/>
    <w:rsid w:val="00D5636D"/>
    <w:rsid w:val="00D566B6"/>
    <w:rsid w:val="00D57DB9"/>
    <w:rsid w:val="00D61505"/>
    <w:rsid w:val="00D6656D"/>
    <w:rsid w:val="00D7100E"/>
    <w:rsid w:val="00D71DFE"/>
    <w:rsid w:val="00D721AD"/>
    <w:rsid w:val="00D731D4"/>
    <w:rsid w:val="00D732D5"/>
    <w:rsid w:val="00D73363"/>
    <w:rsid w:val="00D73E6B"/>
    <w:rsid w:val="00D84DF2"/>
    <w:rsid w:val="00D8538B"/>
    <w:rsid w:val="00D86E21"/>
    <w:rsid w:val="00D91242"/>
    <w:rsid w:val="00D92BE7"/>
    <w:rsid w:val="00D9710A"/>
    <w:rsid w:val="00DA0372"/>
    <w:rsid w:val="00DA21CD"/>
    <w:rsid w:val="00DA2CCD"/>
    <w:rsid w:val="00DA2DCB"/>
    <w:rsid w:val="00DA43EE"/>
    <w:rsid w:val="00DA4B10"/>
    <w:rsid w:val="00DA58FC"/>
    <w:rsid w:val="00DA5DA3"/>
    <w:rsid w:val="00DB09C5"/>
    <w:rsid w:val="00DB1E17"/>
    <w:rsid w:val="00DB2D8A"/>
    <w:rsid w:val="00DB3697"/>
    <w:rsid w:val="00DB67DF"/>
    <w:rsid w:val="00DB706A"/>
    <w:rsid w:val="00DB7FF6"/>
    <w:rsid w:val="00DC0563"/>
    <w:rsid w:val="00DC1C4C"/>
    <w:rsid w:val="00DC20E6"/>
    <w:rsid w:val="00DC4241"/>
    <w:rsid w:val="00DC4741"/>
    <w:rsid w:val="00DC4C8C"/>
    <w:rsid w:val="00DC56A0"/>
    <w:rsid w:val="00DD12DA"/>
    <w:rsid w:val="00DD48B8"/>
    <w:rsid w:val="00DD5989"/>
    <w:rsid w:val="00DD5F7F"/>
    <w:rsid w:val="00DD7962"/>
    <w:rsid w:val="00DE0E9F"/>
    <w:rsid w:val="00DE1DDB"/>
    <w:rsid w:val="00DE1E4F"/>
    <w:rsid w:val="00DE4154"/>
    <w:rsid w:val="00DE6363"/>
    <w:rsid w:val="00DE75E4"/>
    <w:rsid w:val="00DE79DF"/>
    <w:rsid w:val="00DF0880"/>
    <w:rsid w:val="00DF112F"/>
    <w:rsid w:val="00DF2308"/>
    <w:rsid w:val="00DF25C4"/>
    <w:rsid w:val="00DF5293"/>
    <w:rsid w:val="00DF6C2A"/>
    <w:rsid w:val="00E011DB"/>
    <w:rsid w:val="00E016C3"/>
    <w:rsid w:val="00E01934"/>
    <w:rsid w:val="00E0403C"/>
    <w:rsid w:val="00E040B3"/>
    <w:rsid w:val="00E0554F"/>
    <w:rsid w:val="00E05ACE"/>
    <w:rsid w:val="00E06731"/>
    <w:rsid w:val="00E074C5"/>
    <w:rsid w:val="00E07FB2"/>
    <w:rsid w:val="00E1152E"/>
    <w:rsid w:val="00E11FD7"/>
    <w:rsid w:val="00E1463E"/>
    <w:rsid w:val="00E16E69"/>
    <w:rsid w:val="00E2024D"/>
    <w:rsid w:val="00E20723"/>
    <w:rsid w:val="00E20AC6"/>
    <w:rsid w:val="00E21E29"/>
    <w:rsid w:val="00E22FEC"/>
    <w:rsid w:val="00E30819"/>
    <w:rsid w:val="00E32955"/>
    <w:rsid w:val="00E32ED1"/>
    <w:rsid w:val="00E33DD5"/>
    <w:rsid w:val="00E35A16"/>
    <w:rsid w:val="00E36564"/>
    <w:rsid w:val="00E368A6"/>
    <w:rsid w:val="00E3727D"/>
    <w:rsid w:val="00E403CA"/>
    <w:rsid w:val="00E41C3E"/>
    <w:rsid w:val="00E436CF"/>
    <w:rsid w:val="00E46FD1"/>
    <w:rsid w:val="00E501C6"/>
    <w:rsid w:val="00E502C4"/>
    <w:rsid w:val="00E50E9C"/>
    <w:rsid w:val="00E516A3"/>
    <w:rsid w:val="00E53558"/>
    <w:rsid w:val="00E5765F"/>
    <w:rsid w:val="00E6002F"/>
    <w:rsid w:val="00E60C26"/>
    <w:rsid w:val="00E61D81"/>
    <w:rsid w:val="00E63308"/>
    <w:rsid w:val="00E6549D"/>
    <w:rsid w:val="00E663A0"/>
    <w:rsid w:val="00E67371"/>
    <w:rsid w:val="00E678FB"/>
    <w:rsid w:val="00E702D7"/>
    <w:rsid w:val="00E706A5"/>
    <w:rsid w:val="00E715AB"/>
    <w:rsid w:val="00E73DAE"/>
    <w:rsid w:val="00E757B0"/>
    <w:rsid w:val="00E75DD2"/>
    <w:rsid w:val="00E77437"/>
    <w:rsid w:val="00E77655"/>
    <w:rsid w:val="00E82B82"/>
    <w:rsid w:val="00E83143"/>
    <w:rsid w:val="00E83F4E"/>
    <w:rsid w:val="00E842F0"/>
    <w:rsid w:val="00E85F25"/>
    <w:rsid w:val="00E86C51"/>
    <w:rsid w:val="00E8743E"/>
    <w:rsid w:val="00E87D5E"/>
    <w:rsid w:val="00E918A8"/>
    <w:rsid w:val="00E9229B"/>
    <w:rsid w:val="00E93B09"/>
    <w:rsid w:val="00E94368"/>
    <w:rsid w:val="00E9519B"/>
    <w:rsid w:val="00E96741"/>
    <w:rsid w:val="00E97E68"/>
    <w:rsid w:val="00EA0A09"/>
    <w:rsid w:val="00EA2363"/>
    <w:rsid w:val="00EA64EE"/>
    <w:rsid w:val="00EA670C"/>
    <w:rsid w:val="00EA7207"/>
    <w:rsid w:val="00EB182A"/>
    <w:rsid w:val="00EB1BE3"/>
    <w:rsid w:val="00EB25AF"/>
    <w:rsid w:val="00EB2B31"/>
    <w:rsid w:val="00EB2B99"/>
    <w:rsid w:val="00EB32C8"/>
    <w:rsid w:val="00EB4211"/>
    <w:rsid w:val="00EB67BE"/>
    <w:rsid w:val="00EB698D"/>
    <w:rsid w:val="00EB7328"/>
    <w:rsid w:val="00EC33CC"/>
    <w:rsid w:val="00EC37BF"/>
    <w:rsid w:val="00EC4EBE"/>
    <w:rsid w:val="00EC4FAB"/>
    <w:rsid w:val="00EC55C2"/>
    <w:rsid w:val="00EC717F"/>
    <w:rsid w:val="00EC7788"/>
    <w:rsid w:val="00EC7D76"/>
    <w:rsid w:val="00EC7FEA"/>
    <w:rsid w:val="00ED02ED"/>
    <w:rsid w:val="00ED081D"/>
    <w:rsid w:val="00ED0A40"/>
    <w:rsid w:val="00ED0E94"/>
    <w:rsid w:val="00ED137F"/>
    <w:rsid w:val="00ED1DD3"/>
    <w:rsid w:val="00ED2878"/>
    <w:rsid w:val="00ED3578"/>
    <w:rsid w:val="00ED5DAF"/>
    <w:rsid w:val="00ED6FC9"/>
    <w:rsid w:val="00ED7851"/>
    <w:rsid w:val="00EE317C"/>
    <w:rsid w:val="00EE4214"/>
    <w:rsid w:val="00EE544B"/>
    <w:rsid w:val="00EE5F22"/>
    <w:rsid w:val="00EE71BE"/>
    <w:rsid w:val="00EF01F6"/>
    <w:rsid w:val="00EF1AE8"/>
    <w:rsid w:val="00EF1F18"/>
    <w:rsid w:val="00EF2A8C"/>
    <w:rsid w:val="00EF2F86"/>
    <w:rsid w:val="00EF4059"/>
    <w:rsid w:val="00EF5F76"/>
    <w:rsid w:val="00EF617F"/>
    <w:rsid w:val="00EF6C67"/>
    <w:rsid w:val="00EF6D39"/>
    <w:rsid w:val="00EF6E66"/>
    <w:rsid w:val="00F0557E"/>
    <w:rsid w:val="00F07674"/>
    <w:rsid w:val="00F111D7"/>
    <w:rsid w:val="00F11245"/>
    <w:rsid w:val="00F125E1"/>
    <w:rsid w:val="00F12793"/>
    <w:rsid w:val="00F211CC"/>
    <w:rsid w:val="00F22EDC"/>
    <w:rsid w:val="00F2418E"/>
    <w:rsid w:val="00F340FC"/>
    <w:rsid w:val="00F3590F"/>
    <w:rsid w:val="00F3676C"/>
    <w:rsid w:val="00F37123"/>
    <w:rsid w:val="00F37799"/>
    <w:rsid w:val="00F37B64"/>
    <w:rsid w:val="00F37E5F"/>
    <w:rsid w:val="00F40C0D"/>
    <w:rsid w:val="00F43925"/>
    <w:rsid w:val="00F454BE"/>
    <w:rsid w:val="00F464DC"/>
    <w:rsid w:val="00F473B4"/>
    <w:rsid w:val="00F51746"/>
    <w:rsid w:val="00F51E52"/>
    <w:rsid w:val="00F52A03"/>
    <w:rsid w:val="00F56EA0"/>
    <w:rsid w:val="00F610A7"/>
    <w:rsid w:val="00F6166F"/>
    <w:rsid w:val="00F6741C"/>
    <w:rsid w:val="00F67EF7"/>
    <w:rsid w:val="00F70C6F"/>
    <w:rsid w:val="00F74283"/>
    <w:rsid w:val="00F74C9C"/>
    <w:rsid w:val="00F80329"/>
    <w:rsid w:val="00F80F12"/>
    <w:rsid w:val="00F84B7B"/>
    <w:rsid w:val="00F856F9"/>
    <w:rsid w:val="00F86FEE"/>
    <w:rsid w:val="00F92E3C"/>
    <w:rsid w:val="00F94A9F"/>
    <w:rsid w:val="00F951C9"/>
    <w:rsid w:val="00F954D2"/>
    <w:rsid w:val="00F961BF"/>
    <w:rsid w:val="00F96347"/>
    <w:rsid w:val="00F96537"/>
    <w:rsid w:val="00F96614"/>
    <w:rsid w:val="00F977F5"/>
    <w:rsid w:val="00FA19D6"/>
    <w:rsid w:val="00FA3AC0"/>
    <w:rsid w:val="00FA555C"/>
    <w:rsid w:val="00FA7084"/>
    <w:rsid w:val="00FB1FD6"/>
    <w:rsid w:val="00FB27F5"/>
    <w:rsid w:val="00FB3B9B"/>
    <w:rsid w:val="00FB4355"/>
    <w:rsid w:val="00FB538B"/>
    <w:rsid w:val="00FB59B2"/>
    <w:rsid w:val="00FC0F15"/>
    <w:rsid w:val="00FC13B0"/>
    <w:rsid w:val="00FC1764"/>
    <w:rsid w:val="00FC26CD"/>
    <w:rsid w:val="00FC38CE"/>
    <w:rsid w:val="00FC394E"/>
    <w:rsid w:val="00FC54A7"/>
    <w:rsid w:val="00FD27FE"/>
    <w:rsid w:val="00FD2EDD"/>
    <w:rsid w:val="00FD4785"/>
    <w:rsid w:val="00FD59BC"/>
    <w:rsid w:val="00FD612D"/>
    <w:rsid w:val="00FD62DF"/>
    <w:rsid w:val="00FD7BDC"/>
    <w:rsid w:val="00FE52D9"/>
    <w:rsid w:val="00FE5514"/>
    <w:rsid w:val="00FE687B"/>
    <w:rsid w:val="00FE7242"/>
    <w:rsid w:val="00FF0D2C"/>
    <w:rsid w:val="00FF2086"/>
    <w:rsid w:val="00FF6CFD"/>
    <w:rsid w:val="00FF6ED6"/>
    <w:rsid w:val="00FF79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6D3F3"/>
  <w15:docId w15:val="{782704DC-CAEC-4F0D-BE5C-750287276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A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419E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8939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9B1"/>
  </w:style>
  <w:style w:type="paragraph" w:styleId="Footer">
    <w:name w:val="footer"/>
    <w:basedOn w:val="Normal"/>
    <w:link w:val="FooterChar"/>
    <w:uiPriority w:val="99"/>
    <w:unhideWhenUsed/>
    <w:rsid w:val="008939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9B1"/>
  </w:style>
  <w:style w:type="paragraph" w:styleId="BalloonText">
    <w:name w:val="Balloon Text"/>
    <w:basedOn w:val="Normal"/>
    <w:link w:val="BalloonTextChar"/>
    <w:uiPriority w:val="99"/>
    <w:semiHidden/>
    <w:unhideWhenUsed/>
    <w:rsid w:val="00DF5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293"/>
    <w:rPr>
      <w:rFonts w:ascii="Tahoma" w:hAnsi="Tahoma" w:cs="Tahoma"/>
      <w:sz w:val="16"/>
      <w:szCs w:val="16"/>
    </w:rPr>
  </w:style>
  <w:style w:type="character" w:styleId="CommentReference">
    <w:name w:val="annotation reference"/>
    <w:basedOn w:val="DefaultParagraphFont"/>
    <w:uiPriority w:val="99"/>
    <w:semiHidden/>
    <w:unhideWhenUsed/>
    <w:rsid w:val="00FA555C"/>
    <w:rPr>
      <w:sz w:val="16"/>
      <w:szCs w:val="16"/>
    </w:rPr>
  </w:style>
  <w:style w:type="paragraph" w:styleId="CommentText">
    <w:name w:val="annotation text"/>
    <w:basedOn w:val="Normal"/>
    <w:link w:val="CommentTextChar"/>
    <w:uiPriority w:val="99"/>
    <w:unhideWhenUsed/>
    <w:rsid w:val="00FA555C"/>
    <w:pPr>
      <w:spacing w:line="240" w:lineRule="auto"/>
    </w:pPr>
    <w:rPr>
      <w:sz w:val="20"/>
      <w:szCs w:val="20"/>
    </w:rPr>
  </w:style>
  <w:style w:type="character" w:customStyle="1" w:styleId="CommentTextChar">
    <w:name w:val="Comment Text Char"/>
    <w:basedOn w:val="DefaultParagraphFont"/>
    <w:link w:val="CommentText"/>
    <w:uiPriority w:val="99"/>
    <w:rsid w:val="00FA555C"/>
    <w:rPr>
      <w:sz w:val="20"/>
      <w:szCs w:val="20"/>
    </w:rPr>
  </w:style>
  <w:style w:type="paragraph" w:styleId="CommentSubject">
    <w:name w:val="annotation subject"/>
    <w:basedOn w:val="CommentText"/>
    <w:next w:val="CommentText"/>
    <w:link w:val="CommentSubjectChar"/>
    <w:uiPriority w:val="99"/>
    <w:semiHidden/>
    <w:unhideWhenUsed/>
    <w:rsid w:val="00FA555C"/>
    <w:rPr>
      <w:b/>
      <w:bCs/>
    </w:rPr>
  </w:style>
  <w:style w:type="character" w:customStyle="1" w:styleId="CommentSubjectChar">
    <w:name w:val="Comment Subject Char"/>
    <w:basedOn w:val="CommentTextChar"/>
    <w:link w:val="CommentSubject"/>
    <w:uiPriority w:val="99"/>
    <w:semiHidden/>
    <w:rsid w:val="00FA555C"/>
    <w:rPr>
      <w:b/>
      <w:bCs/>
      <w:sz w:val="20"/>
      <w:szCs w:val="20"/>
    </w:rPr>
  </w:style>
  <w:style w:type="paragraph" w:styleId="Revision">
    <w:name w:val="Revision"/>
    <w:hidden/>
    <w:uiPriority w:val="99"/>
    <w:semiHidden/>
    <w:rsid w:val="00145ED6"/>
    <w:pPr>
      <w:spacing w:after="0" w:line="240" w:lineRule="auto"/>
    </w:pPr>
  </w:style>
  <w:style w:type="character" w:styleId="Hyperlink">
    <w:name w:val="Hyperlink"/>
    <w:uiPriority w:val="99"/>
    <w:rsid w:val="008416DD"/>
    <w:rPr>
      <w:color w:val="0D6F8B"/>
      <w:u w:val="single"/>
    </w:rPr>
  </w:style>
  <w:style w:type="character" w:styleId="FollowedHyperlink">
    <w:name w:val="FollowedHyperlink"/>
    <w:basedOn w:val="DefaultParagraphFont"/>
    <w:uiPriority w:val="99"/>
    <w:semiHidden/>
    <w:unhideWhenUsed/>
    <w:rsid w:val="008957CE"/>
    <w:rPr>
      <w:color w:val="800080" w:themeColor="followedHyperlink"/>
      <w:u w:val="single"/>
    </w:rPr>
  </w:style>
  <w:style w:type="character" w:styleId="UnresolvedMention">
    <w:name w:val="Unresolved Mention"/>
    <w:basedOn w:val="DefaultParagraphFont"/>
    <w:uiPriority w:val="99"/>
    <w:semiHidden/>
    <w:unhideWhenUsed/>
    <w:rsid w:val="00A177A5"/>
    <w:rPr>
      <w:color w:val="605E5C"/>
      <w:shd w:val="clear" w:color="auto" w:fill="E1DFDD"/>
    </w:rPr>
  </w:style>
  <w:style w:type="character" w:customStyle="1" w:styleId="ListParagraphChar">
    <w:name w:val="List Paragraph Char"/>
    <w:basedOn w:val="DefaultParagraphFont"/>
    <w:link w:val="ListParagraph"/>
    <w:uiPriority w:val="34"/>
    <w:rsid w:val="00FD7BDC"/>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5854">
      <w:bodyDiv w:val="1"/>
      <w:marLeft w:val="0"/>
      <w:marRight w:val="0"/>
      <w:marTop w:val="0"/>
      <w:marBottom w:val="0"/>
      <w:divBdr>
        <w:top w:val="none" w:sz="0" w:space="0" w:color="auto"/>
        <w:left w:val="none" w:sz="0" w:space="0" w:color="auto"/>
        <w:bottom w:val="none" w:sz="0" w:space="0" w:color="auto"/>
        <w:right w:val="none" w:sz="0" w:space="0" w:color="auto"/>
      </w:divBdr>
      <w:divsChild>
        <w:div w:id="408774573">
          <w:marLeft w:val="0"/>
          <w:marRight w:val="0"/>
          <w:marTop w:val="0"/>
          <w:marBottom w:val="0"/>
          <w:divBdr>
            <w:top w:val="none" w:sz="0" w:space="0" w:color="auto"/>
            <w:left w:val="none" w:sz="0" w:space="0" w:color="auto"/>
            <w:bottom w:val="none" w:sz="0" w:space="0" w:color="auto"/>
            <w:right w:val="none" w:sz="0" w:space="0" w:color="auto"/>
          </w:divBdr>
          <w:divsChild>
            <w:div w:id="1633904388">
              <w:marLeft w:val="0"/>
              <w:marRight w:val="0"/>
              <w:marTop w:val="0"/>
              <w:marBottom w:val="0"/>
              <w:divBdr>
                <w:top w:val="none" w:sz="0" w:space="0" w:color="auto"/>
                <w:left w:val="none" w:sz="0" w:space="0" w:color="auto"/>
                <w:bottom w:val="none" w:sz="0" w:space="0" w:color="auto"/>
                <w:right w:val="none" w:sz="0" w:space="0" w:color="auto"/>
              </w:divBdr>
              <w:divsChild>
                <w:div w:id="640383788">
                  <w:marLeft w:val="0"/>
                  <w:marRight w:val="0"/>
                  <w:marTop w:val="0"/>
                  <w:marBottom w:val="0"/>
                  <w:divBdr>
                    <w:top w:val="none" w:sz="0" w:space="0" w:color="auto"/>
                    <w:left w:val="none" w:sz="0" w:space="0" w:color="auto"/>
                    <w:bottom w:val="none" w:sz="0" w:space="0" w:color="auto"/>
                    <w:right w:val="none" w:sz="0" w:space="0" w:color="auto"/>
                  </w:divBdr>
                  <w:divsChild>
                    <w:div w:id="1939364908">
                      <w:marLeft w:val="0"/>
                      <w:marRight w:val="0"/>
                      <w:marTop w:val="0"/>
                      <w:marBottom w:val="0"/>
                      <w:divBdr>
                        <w:top w:val="none" w:sz="0" w:space="0" w:color="auto"/>
                        <w:left w:val="none" w:sz="0" w:space="0" w:color="auto"/>
                        <w:bottom w:val="none" w:sz="0" w:space="0" w:color="auto"/>
                        <w:right w:val="none" w:sz="0" w:space="0" w:color="auto"/>
                      </w:divBdr>
                      <w:divsChild>
                        <w:div w:id="529879996">
                          <w:marLeft w:val="0"/>
                          <w:marRight w:val="0"/>
                          <w:marTop w:val="0"/>
                          <w:marBottom w:val="0"/>
                          <w:divBdr>
                            <w:top w:val="none" w:sz="0" w:space="0" w:color="auto"/>
                            <w:left w:val="none" w:sz="0" w:space="0" w:color="auto"/>
                            <w:bottom w:val="none" w:sz="0" w:space="0" w:color="auto"/>
                            <w:right w:val="none" w:sz="0" w:space="0" w:color="auto"/>
                          </w:divBdr>
                          <w:divsChild>
                            <w:div w:id="844243010">
                              <w:marLeft w:val="0"/>
                              <w:marRight w:val="0"/>
                              <w:marTop w:val="0"/>
                              <w:marBottom w:val="0"/>
                              <w:divBdr>
                                <w:top w:val="none" w:sz="0" w:space="0" w:color="auto"/>
                                <w:left w:val="none" w:sz="0" w:space="0" w:color="auto"/>
                                <w:bottom w:val="none" w:sz="0" w:space="0" w:color="auto"/>
                                <w:right w:val="none" w:sz="0" w:space="0" w:color="auto"/>
                              </w:divBdr>
                              <w:divsChild>
                                <w:div w:id="2075228430">
                                  <w:marLeft w:val="0"/>
                                  <w:marRight w:val="0"/>
                                  <w:marTop w:val="0"/>
                                  <w:marBottom w:val="0"/>
                                  <w:divBdr>
                                    <w:top w:val="none" w:sz="0" w:space="0" w:color="auto"/>
                                    <w:left w:val="none" w:sz="0" w:space="0" w:color="auto"/>
                                    <w:bottom w:val="none" w:sz="0" w:space="0" w:color="auto"/>
                                    <w:right w:val="none" w:sz="0" w:space="0" w:color="auto"/>
                                  </w:divBdr>
                                  <w:divsChild>
                                    <w:div w:id="2024623853">
                                      <w:marLeft w:val="0"/>
                                      <w:marRight w:val="0"/>
                                      <w:marTop w:val="0"/>
                                      <w:marBottom w:val="0"/>
                                      <w:divBdr>
                                        <w:top w:val="none" w:sz="0" w:space="0" w:color="auto"/>
                                        <w:left w:val="none" w:sz="0" w:space="0" w:color="auto"/>
                                        <w:bottom w:val="none" w:sz="0" w:space="0" w:color="auto"/>
                                        <w:right w:val="none" w:sz="0" w:space="0" w:color="auto"/>
                                      </w:divBdr>
                                      <w:divsChild>
                                        <w:div w:id="351348919">
                                          <w:marLeft w:val="0"/>
                                          <w:marRight w:val="0"/>
                                          <w:marTop w:val="0"/>
                                          <w:marBottom w:val="0"/>
                                          <w:divBdr>
                                            <w:top w:val="none" w:sz="0" w:space="0" w:color="auto"/>
                                            <w:left w:val="none" w:sz="0" w:space="0" w:color="auto"/>
                                            <w:bottom w:val="none" w:sz="0" w:space="0" w:color="auto"/>
                                            <w:right w:val="none" w:sz="0" w:space="0" w:color="auto"/>
                                          </w:divBdr>
                                          <w:divsChild>
                                            <w:div w:id="1651013067">
                                              <w:marLeft w:val="0"/>
                                              <w:marRight w:val="0"/>
                                              <w:marTop w:val="0"/>
                                              <w:marBottom w:val="0"/>
                                              <w:divBdr>
                                                <w:top w:val="none" w:sz="0" w:space="0" w:color="auto"/>
                                                <w:left w:val="none" w:sz="0" w:space="0" w:color="auto"/>
                                                <w:bottom w:val="none" w:sz="0" w:space="0" w:color="auto"/>
                                                <w:right w:val="none" w:sz="0" w:space="0" w:color="auto"/>
                                              </w:divBdr>
                                              <w:divsChild>
                                                <w:div w:id="1451779252">
                                                  <w:marLeft w:val="0"/>
                                                  <w:marRight w:val="0"/>
                                                  <w:marTop w:val="0"/>
                                                  <w:marBottom w:val="0"/>
                                                  <w:divBdr>
                                                    <w:top w:val="none" w:sz="0" w:space="0" w:color="auto"/>
                                                    <w:left w:val="none" w:sz="0" w:space="0" w:color="auto"/>
                                                    <w:bottom w:val="none" w:sz="0" w:space="0" w:color="auto"/>
                                                    <w:right w:val="none" w:sz="0" w:space="0" w:color="auto"/>
                                                  </w:divBdr>
                                                  <w:divsChild>
                                                    <w:div w:id="748234530">
                                                      <w:marLeft w:val="0"/>
                                                      <w:marRight w:val="0"/>
                                                      <w:marTop w:val="0"/>
                                                      <w:marBottom w:val="0"/>
                                                      <w:divBdr>
                                                        <w:top w:val="none" w:sz="0" w:space="0" w:color="auto"/>
                                                        <w:left w:val="none" w:sz="0" w:space="0" w:color="auto"/>
                                                        <w:bottom w:val="none" w:sz="0" w:space="0" w:color="auto"/>
                                                        <w:right w:val="none" w:sz="0" w:space="0" w:color="auto"/>
                                                      </w:divBdr>
                                                      <w:divsChild>
                                                        <w:div w:id="143196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87668">
      <w:bodyDiv w:val="1"/>
      <w:marLeft w:val="0"/>
      <w:marRight w:val="0"/>
      <w:marTop w:val="0"/>
      <w:marBottom w:val="0"/>
      <w:divBdr>
        <w:top w:val="none" w:sz="0" w:space="0" w:color="auto"/>
        <w:left w:val="none" w:sz="0" w:space="0" w:color="auto"/>
        <w:bottom w:val="none" w:sz="0" w:space="0" w:color="auto"/>
        <w:right w:val="none" w:sz="0" w:space="0" w:color="auto"/>
      </w:divBdr>
      <w:divsChild>
        <w:div w:id="567114701">
          <w:marLeft w:val="0"/>
          <w:marRight w:val="0"/>
          <w:marTop w:val="0"/>
          <w:marBottom w:val="0"/>
          <w:divBdr>
            <w:top w:val="none" w:sz="0" w:space="0" w:color="auto"/>
            <w:left w:val="none" w:sz="0" w:space="0" w:color="auto"/>
            <w:bottom w:val="none" w:sz="0" w:space="0" w:color="auto"/>
            <w:right w:val="none" w:sz="0" w:space="0" w:color="auto"/>
          </w:divBdr>
          <w:divsChild>
            <w:div w:id="1585605544">
              <w:marLeft w:val="0"/>
              <w:marRight w:val="0"/>
              <w:marTop w:val="0"/>
              <w:marBottom w:val="0"/>
              <w:divBdr>
                <w:top w:val="none" w:sz="0" w:space="0" w:color="auto"/>
                <w:left w:val="none" w:sz="0" w:space="0" w:color="auto"/>
                <w:bottom w:val="none" w:sz="0" w:space="0" w:color="auto"/>
                <w:right w:val="none" w:sz="0" w:space="0" w:color="auto"/>
              </w:divBdr>
              <w:divsChild>
                <w:div w:id="1787844246">
                  <w:marLeft w:val="0"/>
                  <w:marRight w:val="0"/>
                  <w:marTop w:val="0"/>
                  <w:marBottom w:val="0"/>
                  <w:divBdr>
                    <w:top w:val="none" w:sz="0" w:space="0" w:color="auto"/>
                    <w:left w:val="none" w:sz="0" w:space="0" w:color="auto"/>
                    <w:bottom w:val="none" w:sz="0" w:space="0" w:color="auto"/>
                    <w:right w:val="none" w:sz="0" w:space="0" w:color="auto"/>
                  </w:divBdr>
                  <w:divsChild>
                    <w:div w:id="207033768">
                      <w:marLeft w:val="0"/>
                      <w:marRight w:val="0"/>
                      <w:marTop w:val="0"/>
                      <w:marBottom w:val="0"/>
                      <w:divBdr>
                        <w:top w:val="none" w:sz="0" w:space="0" w:color="auto"/>
                        <w:left w:val="none" w:sz="0" w:space="0" w:color="auto"/>
                        <w:bottom w:val="none" w:sz="0" w:space="0" w:color="auto"/>
                        <w:right w:val="none" w:sz="0" w:space="0" w:color="auto"/>
                      </w:divBdr>
                      <w:divsChild>
                        <w:div w:id="1948540865">
                          <w:marLeft w:val="0"/>
                          <w:marRight w:val="0"/>
                          <w:marTop w:val="0"/>
                          <w:marBottom w:val="0"/>
                          <w:divBdr>
                            <w:top w:val="none" w:sz="0" w:space="0" w:color="auto"/>
                            <w:left w:val="none" w:sz="0" w:space="0" w:color="auto"/>
                            <w:bottom w:val="none" w:sz="0" w:space="0" w:color="auto"/>
                            <w:right w:val="none" w:sz="0" w:space="0" w:color="auto"/>
                          </w:divBdr>
                          <w:divsChild>
                            <w:div w:id="1814176079">
                              <w:marLeft w:val="0"/>
                              <w:marRight w:val="0"/>
                              <w:marTop w:val="0"/>
                              <w:marBottom w:val="0"/>
                              <w:divBdr>
                                <w:top w:val="none" w:sz="0" w:space="0" w:color="auto"/>
                                <w:left w:val="none" w:sz="0" w:space="0" w:color="auto"/>
                                <w:bottom w:val="none" w:sz="0" w:space="0" w:color="auto"/>
                                <w:right w:val="none" w:sz="0" w:space="0" w:color="auto"/>
                              </w:divBdr>
                              <w:divsChild>
                                <w:div w:id="1768648928">
                                  <w:marLeft w:val="0"/>
                                  <w:marRight w:val="0"/>
                                  <w:marTop w:val="0"/>
                                  <w:marBottom w:val="0"/>
                                  <w:divBdr>
                                    <w:top w:val="none" w:sz="0" w:space="0" w:color="auto"/>
                                    <w:left w:val="none" w:sz="0" w:space="0" w:color="auto"/>
                                    <w:bottom w:val="none" w:sz="0" w:space="0" w:color="auto"/>
                                    <w:right w:val="none" w:sz="0" w:space="0" w:color="auto"/>
                                  </w:divBdr>
                                  <w:divsChild>
                                    <w:div w:id="138422544">
                                      <w:marLeft w:val="0"/>
                                      <w:marRight w:val="0"/>
                                      <w:marTop w:val="0"/>
                                      <w:marBottom w:val="0"/>
                                      <w:divBdr>
                                        <w:top w:val="none" w:sz="0" w:space="0" w:color="auto"/>
                                        <w:left w:val="none" w:sz="0" w:space="0" w:color="auto"/>
                                        <w:bottom w:val="none" w:sz="0" w:space="0" w:color="auto"/>
                                        <w:right w:val="none" w:sz="0" w:space="0" w:color="auto"/>
                                      </w:divBdr>
                                      <w:divsChild>
                                        <w:div w:id="1573657962">
                                          <w:marLeft w:val="0"/>
                                          <w:marRight w:val="0"/>
                                          <w:marTop w:val="0"/>
                                          <w:marBottom w:val="0"/>
                                          <w:divBdr>
                                            <w:top w:val="none" w:sz="0" w:space="0" w:color="auto"/>
                                            <w:left w:val="none" w:sz="0" w:space="0" w:color="auto"/>
                                            <w:bottom w:val="none" w:sz="0" w:space="0" w:color="auto"/>
                                            <w:right w:val="none" w:sz="0" w:space="0" w:color="auto"/>
                                          </w:divBdr>
                                          <w:divsChild>
                                            <w:div w:id="777067264">
                                              <w:marLeft w:val="0"/>
                                              <w:marRight w:val="0"/>
                                              <w:marTop w:val="0"/>
                                              <w:marBottom w:val="0"/>
                                              <w:divBdr>
                                                <w:top w:val="none" w:sz="0" w:space="0" w:color="auto"/>
                                                <w:left w:val="none" w:sz="0" w:space="0" w:color="auto"/>
                                                <w:bottom w:val="none" w:sz="0" w:space="0" w:color="auto"/>
                                                <w:right w:val="none" w:sz="0" w:space="0" w:color="auto"/>
                                              </w:divBdr>
                                              <w:divsChild>
                                                <w:div w:id="1056004223">
                                                  <w:marLeft w:val="0"/>
                                                  <w:marRight w:val="0"/>
                                                  <w:marTop w:val="0"/>
                                                  <w:marBottom w:val="0"/>
                                                  <w:divBdr>
                                                    <w:top w:val="none" w:sz="0" w:space="0" w:color="auto"/>
                                                    <w:left w:val="none" w:sz="0" w:space="0" w:color="auto"/>
                                                    <w:bottom w:val="none" w:sz="0" w:space="0" w:color="auto"/>
                                                    <w:right w:val="none" w:sz="0" w:space="0" w:color="auto"/>
                                                  </w:divBdr>
                                                  <w:divsChild>
                                                    <w:div w:id="1776901135">
                                                      <w:marLeft w:val="0"/>
                                                      <w:marRight w:val="0"/>
                                                      <w:marTop w:val="0"/>
                                                      <w:marBottom w:val="0"/>
                                                      <w:divBdr>
                                                        <w:top w:val="none" w:sz="0" w:space="0" w:color="auto"/>
                                                        <w:left w:val="none" w:sz="0" w:space="0" w:color="auto"/>
                                                        <w:bottom w:val="none" w:sz="0" w:space="0" w:color="auto"/>
                                                        <w:right w:val="none" w:sz="0" w:space="0" w:color="auto"/>
                                                      </w:divBdr>
                                                      <w:divsChild>
                                                        <w:div w:id="1268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763868">
      <w:bodyDiv w:val="1"/>
      <w:marLeft w:val="0"/>
      <w:marRight w:val="0"/>
      <w:marTop w:val="0"/>
      <w:marBottom w:val="0"/>
      <w:divBdr>
        <w:top w:val="none" w:sz="0" w:space="0" w:color="auto"/>
        <w:left w:val="none" w:sz="0" w:space="0" w:color="auto"/>
        <w:bottom w:val="none" w:sz="0" w:space="0" w:color="auto"/>
        <w:right w:val="none" w:sz="0" w:space="0" w:color="auto"/>
      </w:divBdr>
      <w:divsChild>
        <w:div w:id="1760832696">
          <w:marLeft w:val="0"/>
          <w:marRight w:val="0"/>
          <w:marTop w:val="0"/>
          <w:marBottom w:val="0"/>
          <w:divBdr>
            <w:top w:val="none" w:sz="0" w:space="0" w:color="auto"/>
            <w:left w:val="none" w:sz="0" w:space="0" w:color="auto"/>
            <w:bottom w:val="none" w:sz="0" w:space="0" w:color="auto"/>
            <w:right w:val="none" w:sz="0" w:space="0" w:color="auto"/>
          </w:divBdr>
          <w:divsChild>
            <w:div w:id="52241436">
              <w:marLeft w:val="0"/>
              <w:marRight w:val="0"/>
              <w:marTop w:val="0"/>
              <w:marBottom w:val="0"/>
              <w:divBdr>
                <w:top w:val="none" w:sz="0" w:space="0" w:color="auto"/>
                <w:left w:val="none" w:sz="0" w:space="0" w:color="auto"/>
                <w:bottom w:val="none" w:sz="0" w:space="0" w:color="auto"/>
                <w:right w:val="none" w:sz="0" w:space="0" w:color="auto"/>
              </w:divBdr>
              <w:divsChild>
                <w:div w:id="1533030293">
                  <w:marLeft w:val="0"/>
                  <w:marRight w:val="0"/>
                  <w:marTop w:val="0"/>
                  <w:marBottom w:val="0"/>
                  <w:divBdr>
                    <w:top w:val="none" w:sz="0" w:space="0" w:color="auto"/>
                    <w:left w:val="none" w:sz="0" w:space="0" w:color="auto"/>
                    <w:bottom w:val="none" w:sz="0" w:space="0" w:color="auto"/>
                    <w:right w:val="none" w:sz="0" w:space="0" w:color="auto"/>
                  </w:divBdr>
                  <w:divsChild>
                    <w:div w:id="1875926585">
                      <w:marLeft w:val="0"/>
                      <w:marRight w:val="0"/>
                      <w:marTop w:val="0"/>
                      <w:marBottom w:val="0"/>
                      <w:divBdr>
                        <w:top w:val="none" w:sz="0" w:space="0" w:color="auto"/>
                        <w:left w:val="none" w:sz="0" w:space="0" w:color="auto"/>
                        <w:bottom w:val="none" w:sz="0" w:space="0" w:color="auto"/>
                        <w:right w:val="none" w:sz="0" w:space="0" w:color="auto"/>
                      </w:divBdr>
                      <w:divsChild>
                        <w:div w:id="1845826888">
                          <w:marLeft w:val="0"/>
                          <w:marRight w:val="0"/>
                          <w:marTop w:val="0"/>
                          <w:marBottom w:val="0"/>
                          <w:divBdr>
                            <w:top w:val="none" w:sz="0" w:space="0" w:color="auto"/>
                            <w:left w:val="none" w:sz="0" w:space="0" w:color="auto"/>
                            <w:bottom w:val="none" w:sz="0" w:space="0" w:color="auto"/>
                            <w:right w:val="none" w:sz="0" w:space="0" w:color="auto"/>
                          </w:divBdr>
                          <w:divsChild>
                            <w:div w:id="1207643112">
                              <w:marLeft w:val="0"/>
                              <w:marRight w:val="0"/>
                              <w:marTop w:val="0"/>
                              <w:marBottom w:val="0"/>
                              <w:divBdr>
                                <w:top w:val="none" w:sz="0" w:space="0" w:color="auto"/>
                                <w:left w:val="none" w:sz="0" w:space="0" w:color="auto"/>
                                <w:bottom w:val="none" w:sz="0" w:space="0" w:color="auto"/>
                                <w:right w:val="none" w:sz="0" w:space="0" w:color="auto"/>
                              </w:divBdr>
                              <w:divsChild>
                                <w:div w:id="585267407">
                                  <w:marLeft w:val="0"/>
                                  <w:marRight w:val="0"/>
                                  <w:marTop w:val="0"/>
                                  <w:marBottom w:val="0"/>
                                  <w:divBdr>
                                    <w:top w:val="none" w:sz="0" w:space="0" w:color="auto"/>
                                    <w:left w:val="none" w:sz="0" w:space="0" w:color="auto"/>
                                    <w:bottom w:val="none" w:sz="0" w:space="0" w:color="auto"/>
                                    <w:right w:val="none" w:sz="0" w:space="0" w:color="auto"/>
                                  </w:divBdr>
                                  <w:divsChild>
                                    <w:div w:id="1190680823">
                                      <w:marLeft w:val="0"/>
                                      <w:marRight w:val="0"/>
                                      <w:marTop w:val="0"/>
                                      <w:marBottom w:val="0"/>
                                      <w:divBdr>
                                        <w:top w:val="none" w:sz="0" w:space="0" w:color="auto"/>
                                        <w:left w:val="none" w:sz="0" w:space="0" w:color="auto"/>
                                        <w:bottom w:val="none" w:sz="0" w:space="0" w:color="auto"/>
                                        <w:right w:val="none" w:sz="0" w:space="0" w:color="auto"/>
                                      </w:divBdr>
                                      <w:divsChild>
                                        <w:div w:id="1861119853">
                                          <w:marLeft w:val="0"/>
                                          <w:marRight w:val="0"/>
                                          <w:marTop w:val="0"/>
                                          <w:marBottom w:val="0"/>
                                          <w:divBdr>
                                            <w:top w:val="none" w:sz="0" w:space="0" w:color="auto"/>
                                            <w:left w:val="none" w:sz="0" w:space="0" w:color="auto"/>
                                            <w:bottom w:val="none" w:sz="0" w:space="0" w:color="auto"/>
                                            <w:right w:val="none" w:sz="0" w:space="0" w:color="auto"/>
                                          </w:divBdr>
                                          <w:divsChild>
                                            <w:div w:id="1277329316">
                                              <w:marLeft w:val="0"/>
                                              <w:marRight w:val="0"/>
                                              <w:marTop w:val="0"/>
                                              <w:marBottom w:val="0"/>
                                              <w:divBdr>
                                                <w:top w:val="none" w:sz="0" w:space="0" w:color="auto"/>
                                                <w:left w:val="none" w:sz="0" w:space="0" w:color="auto"/>
                                                <w:bottom w:val="none" w:sz="0" w:space="0" w:color="auto"/>
                                                <w:right w:val="none" w:sz="0" w:space="0" w:color="auto"/>
                                              </w:divBdr>
                                              <w:divsChild>
                                                <w:div w:id="1431463531">
                                                  <w:marLeft w:val="0"/>
                                                  <w:marRight w:val="0"/>
                                                  <w:marTop w:val="0"/>
                                                  <w:marBottom w:val="0"/>
                                                  <w:divBdr>
                                                    <w:top w:val="none" w:sz="0" w:space="0" w:color="auto"/>
                                                    <w:left w:val="none" w:sz="0" w:space="0" w:color="auto"/>
                                                    <w:bottom w:val="none" w:sz="0" w:space="0" w:color="auto"/>
                                                    <w:right w:val="none" w:sz="0" w:space="0" w:color="auto"/>
                                                  </w:divBdr>
                                                  <w:divsChild>
                                                    <w:div w:id="2147235429">
                                                      <w:marLeft w:val="0"/>
                                                      <w:marRight w:val="0"/>
                                                      <w:marTop w:val="0"/>
                                                      <w:marBottom w:val="0"/>
                                                      <w:divBdr>
                                                        <w:top w:val="none" w:sz="0" w:space="0" w:color="auto"/>
                                                        <w:left w:val="none" w:sz="0" w:space="0" w:color="auto"/>
                                                        <w:bottom w:val="none" w:sz="0" w:space="0" w:color="auto"/>
                                                        <w:right w:val="none" w:sz="0" w:space="0" w:color="auto"/>
                                                      </w:divBdr>
                                                      <w:divsChild>
                                                        <w:div w:id="208460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2909549">
      <w:bodyDiv w:val="1"/>
      <w:marLeft w:val="0"/>
      <w:marRight w:val="0"/>
      <w:marTop w:val="0"/>
      <w:marBottom w:val="0"/>
      <w:divBdr>
        <w:top w:val="none" w:sz="0" w:space="0" w:color="auto"/>
        <w:left w:val="none" w:sz="0" w:space="0" w:color="auto"/>
        <w:bottom w:val="none" w:sz="0" w:space="0" w:color="auto"/>
        <w:right w:val="none" w:sz="0" w:space="0" w:color="auto"/>
      </w:divBdr>
    </w:div>
    <w:div w:id="608513464">
      <w:bodyDiv w:val="1"/>
      <w:marLeft w:val="0"/>
      <w:marRight w:val="0"/>
      <w:marTop w:val="0"/>
      <w:marBottom w:val="0"/>
      <w:divBdr>
        <w:top w:val="none" w:sz="0" w:space="0" w:color="auto"/>
        <w:left w:val="none" w:sz="0" w:space="0" w:color="auto"/>
        <w:bottom w:val="none" w:sz="0" w:space="0" w:color="auto"/>
        <w:right w:val="none" w:sz="0" w:space="0" w:color="auto"/>
      </w:divBdr>
      <w:divsChild>
        <w:div w:id="183515981">
          <w:marLeft w:val="0"/>
          <w:marRight w:val="0"/>
          <w:marTop w:val="0"/>
          <w:marBottom w:val="0"/>
          <w:divBdr>
            <w:top w:val="none" w:sz="0" w:space="0" w:color="auto"/>
            <w:left w:val="none" w:sz="0" w:space="0" w:color="auto"/>
            <w:bottom w:val="none" w:sz="0" w:space="0" w:color="auto"/>
            <w:right w:val="none" w:sz="0" w:space="0" w:color="auto"/>
          </w:divBdr>
          <w:divsChild>
            <w:div w:id="1753046460">
              <w:marLeft w:val="0"/>
              <w:marRight w:val="0"/>
              <w:marTop w:val="0"/>
              <w:marBottom w:val="0"/>
              <w:divBdr>
                <w:top w:val="none" w:sz="0" w:space="0" w:color="auto"/>
                <w:left w:val="none" w:sz="0" w:space="0" w:color="auto"/>
                <w:bottom w:val="none" w:sz="0" w:space="0" w:color="auto"/>
                <w:right w:val="none" w:sz="0" w:space="0" w:color="auto"/>
              </w:divBdr>
              <w:divsChild>
                <w:div w:id="1052577479">
                  <w:marLeft w:val="0"/>
                  <w:marRight w:val="0"/>
                  <w:marTop w:val="0"/>
                  <w:marBottom w:val="0"/>
                  <w:divBdr>
                    <w:top w:val="none" w:sz="0" w:space="0" w:color="auto"/>
                    <w:left w:val="none" w:sz="0" w:space="0" w:color="auto"/>
                    <w:bottom w:val="none" w:sz="0" w:space="0" w:color="auto"/>
                    <w:right w:val="none" w:sz="0" w:space="0" w:color="auto"/>
                  </w:divBdr>
                  <w:divsChild>
                    <w:div w:id="542325642">
                      <w:marLeft w:val="0"/>
                      <w:marRight w:val="0"/>
                      <w:marTop w:val="0"/>
                      <w:marBottom w:val="0"/>
                      <w:divBdr>
                        <w:top w:val="none" w:sz="0" w:space="0" w:color="auto"/>
                        <w:left w:val="none" w:sz="0" w:space="0" w:color="auto"/>
                        <w:bottom w:val="none" w:sz="0" w:space="0" w:color="auto"/>
                        <w:right w:val="none" w:sz="0" w:space="0" w:color="auto"/>
                      </w:divBdr>
                      <w:divsChild>
                        <w:div w:id="869995729">
                          <w:marLeft w:val="0"/>
                          <w:marRight w:val="0"/>
                          <w:marTop w:val="0"/>
                          <w:marBottom w:val="0"/>
                          <w:divBdr>
                            <w:top w:val="none" w:sz="0" w:space="0" w:color="auto"/>
                            <w:left w:val="none" w:sz="0" w:space="0" w:color="auto"/>
                            <w:bottom w:val="none" w:sz="0" w:space="0" w:color="auto"/>
                            <w:right w:val="none" w:sz="0" w:space="0" w:color="auto"/>
                          </w:divBdr>
                          <w:divsChild>
                            <w:div w:id="1343313891">
                              <w:marLeft w:val="0"/>
                              <w:marRight w:val="0"/>
                              <w:marTop w:val="0"/>
                              <w:marBottom w:val="0"/>
                              <w:divBdr>
                                <w:top w:val="none" w:sz="0" w:space="0" w:color="auto"/>
                                <w:left w:val="none" w:sz="0" w:space="0" w:color="auto"/>
                                <w:bottom w:val="none" w:sz="0" w:space="0" w:color="auto"/>
                                <w:right w:val="none" w:sz="0" w:space="0" w:color="auto"/>
                              </w:divBdr>
                              <w:divsChild>
                                <w:div w:id="1046101072">
                                  <w:marLeft w:val="0"/>
                                  <w:marRight w:val="0"/>
                                  <w:marTop w:val="0"/>
                                  <w:marBottom w:val="0"/>
                                  <w:divBdr>
                                    <w:top w:val="none" w:sz="0" w:space="0" w:color="auto"/>
                                    <w:left w:val="none" w:sz="0" w:space="0" w:color="auto"/>
                                    <w:bottom w:val="none" w:sz="0" w:space="0" w:color="auto"/>
                                    <w:right w:val="none" w:sz="0" w:space="0" w:color="auto"/>
                                  </w:divBdr>
                                  <w:divsChild>
                                    <w:div w:id="27217280">
                                      <w:marLeft w:val="0"/>
                                      <w:marRight w:val="0"/>
                                      <w:marTop w:val="0"/>
                                      <w:marBottom w:val="0"/>
                                      <w:divBdr>
                                        <w:top w:val="none" w:sz="0" w:space="0" w:color="auto"/>
                                        <w:left w:val="none" w:sz="0" w:space="0" w:color="auto"/>
                                        <w:bottom w:val="none" w:sz="0" w:space="0" w:color="auto"/>
                                        <w:right w:val="none" w:sz="0" w:space="0" w:color="auto"/>
                                      </w:divBdr>
                                      <w:divsChild>
                                        <w:div w:id="2060668456">
                                          <w:marLeft w:val="0"/>
                                          <w:marRight w:val="0"/>
                                          <w:marTop w:val="0"/>
                                          <w:marBottom w:val="0"/>
                                          <w:divBdr>
                                            <w:top w:val="none" w:sz="0" w:space="0" w:color="auto"/>
                                            <w:left w:val="none" w:sz="0" w:space="0" w:color="auto"/>
                                            <w:bottom w:val="none" w:sz="0" w:space="0" w:color="auto"/>
                                            <w:right w:val="none" w:sz="0" w:space="0" w:color="auto"/>
                                          </w:divBdr>
                                          <w:divsChild>
                                            <w:div w:id="487212837">
                                              <w:marLeft w:val="0"/>
                                              <w:marRight w:val="0"/>
                                              <w:marTop w:val="0"/>
                                              <w:marBottom w:val="0"/>
                                              <w:divBdr>
                                                <w:top w:val="none" w:sz="0" w:space="0" w:color="auto"/>
                                                <w:left w:val="none" w:sz="0" w:space="0" w:color="auto"/>
                                                <w:bottom w:val="none" w:sz="0" w:space="0" w:color="auto"/>
                                                <w:right w:val="none" w:sz="0" w:space="0" w:color="auto"/>
                                              </w:divBdr>
                                              <w:divsChild>
                                                <w:div w:id="1901397794">
                                                  <w:marLeft w:val="0"/>
                                                  <w:marRight w:val="0"/>
                                                  <w:marTop w:val="0"/>
                                                  <w:marBottom w:val="0"/>
                                                  <w:divBdr>
                                                    <w:top w:val="none" w:sz="0" w:space="0" w:color="auto"/>
                                                    <w:left w:val="none" w:sz="0" w:space="0" w:color="auto"/>
                                                    <w:bottom w:val="none" w:sz="0" w:space="0" w:color="auto"/>
                                                    <w:right w:val="none" w:sz="0" w:space="0" w:color="auto"/>
                                                  </w:divBdr>
                                                  <w:divsChild>
                                                    <w:div w:id="2074349372">
                                                      <w:marLeft w:val="0"/>
                                                      <w:marRight w:val="0"/>
                                                      <w:marTop w:val="0"/>
                                                      <w:marBottom w:val="0"/>
                                                      <w:divBdr>
                                                        <w:top w:val="none" w:sz="0" w:space="0" w:color="auto"/>
                                                        <w:left w:val="none" w:sz="0" w:space="0" w:color="auto"/>
                                                        <w:bottom w:val="none" w:sz="0" w:space="0" w:color="auto"/>
                                                        <w:right w:val="none" w:sz="0" w:space="0" w:color="auto"/>
                                                      </w:divBdr>
                                                      <w:divsChild>
                                                        <w:div w:id="18837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4194204">
      <w:bodyDiv w:val="1"/>
      <w:marLeft w:val="0"/>
      <w:marRight w:val="0"/>
      <w:marTop w:val="0"/>
      <w:marBottom w:val="0"/>
      <w:divBdr>
        <w:top w:val="none" w:sz="0" w:space="0" w:color="auto"/>
        <w:left w:val="none" w:sz="0" w:space="0" w:color="auto"/>
        <w:bottom w:val="none" w:sz="0" w:space="0" w:color="auto"/>
        <w:right w:val="none" w:sz="0" w:space="0" w:color="auto"/>
      </w:divBdr>
      <w:divsChild>
        <w:div w:id="1456556405">
          <w:marLeft w:val="0"/>
          <w:marRight w:val="0"/>
          <w:marTop w:val="0"/>
          <w:marBottom w:val="0"/>
          <w:divBdr>
            <w:top w:val="none" w:sz="0" w:space="0" w:color="auto"/>
            <w:left w:val="none" w:sz="0" w:space="0" w:color="auto"/>
            <w:bottom w:val="none" w:sz="0" w:space="0" w:color="auto"/>
            <w:right w:val="none" w:sz="0" w:space="0" w:color="auto"/>
          </w:divBdr>
          <w:divsChild>
            <w:div w:id="834536123">
              <w:marLeft w:val="0"/>
              <w:marRight w:val="0"/>
              <w:marTop w:val="0"/>
              <w:marBottom w:val="0"/>
              <w:divBdr>
                <w:top w:val="none" w:sz="0" w:space="0" w:color="auto"/>
                <w:left w:val="none" w:sz="0" w:space="0" w:color="auto"/>
                <w:bottom w:val="none" w:sz="0" w:space="0" w:color="auto"/>
                <w:right w:val="none" w:sz="0" w:space="0" w:color="auto"/>
              </w:divBdr>
              <w:divsChild>
                <w:div w:id="372048287">
                  <w:marLeft w:val="0"/>
                  <w:marRight w:val="0"/>
                  <w:marTop w:val="0"/>
                  <w:marBottom w:val="0"/>
                  <w:divBdr>
                    <w:top w:val="none" w:sz="0" w:space="0" w:color="auto"/>
                    <w:left w:val="none" w:sz="0" w:space="0" w:color="auto"/>
                    <w:bottom w:val="none" w:sz="0" w:space="0" w:color="auto"/>
                    <w:right w:val="none" w:sz="0" w:space="0" w:color="auto"/>
                  </w:divBdr>
                  <w:divsChild>
                    <w:div w:id="1675106867">
                      <w:marLeft w:val="0"/>
                      <w:marRight w:val="0"/>
                      <w:marTop w:val="0"/>
                      <w:marBottom w:val="0"/>
                      <w:divBdr>
                        <w:top w:val="none" w:sz="0" w:space="0" w:color="auto"/>
                        <w:left w:val="none" w:sz="0" w:space="0" w:color="auto"/>
                        <w:bottom w:val="none" w:sz="0" w:space="0" w:color="auto"/>
                        <w:right w:val="none" w:sz="0" w:space="0" w:color="auto"/>
                      </w:divBdr>
                      <w:divsChild>
                        <w:div w:id="1993873179">
                          <w:marLeft w:val="0"/>
                          <w:marRight w:val="0"/>
                          <w:marTop w:val="0"/>
                          <w:marBottom w:val="0"/>
                          <w:divBdr>
                            <w:top w:val="none" w:sz="0" w:space="0" w:color="auto"/>
                            <w:left w:val="none" w:sz="0" w:space="0" w:color="auto"/>
                            <w:bottom w:val="none" w:sz="0" w:space="0" w:color="auto"/>
                            <w:right w:val="none" w:sz="0" w:space="0" w:color="auto"/>
                          </w:divBdr>
                          <w:divsChild>
                            <w:div w:id="1657103090">
                              <w:marLeft w:val="0"/>
                              <w:marRight w:val="0"/>
                              <w:marTop w:val="0"/>
                              <w:marBottom w:val="0"/>
                              <w:divBdr>
                                <w:top w:val="none" w:sz="0" w:space="0" w:color="auto"/>
                                <w:left w:val="none" w:sz="0" w:space="0" w:color="auto"/>
                                <w:bottom w:val="none" w:sz="0" w:space="0" w:color="auto"/>
                                <w:right w:val="none" w:sz="0" w:space="0" w:color="auto"/>
                              </w:divBdr>
                              <w:divsChild>
                                <w:div w:id="1068184612">
                                  <w:marLeft w:val="0"/>
                                  <w:marRight w:val="0"/>
                                  <w:marTop w:val="0"/>
                                  <w:marBottom w:val="0"/>
                                  <w:divBdr>
                                    <w:top w:val="none" w:sz="0" w:space="0" w:color="auto"/>
                                    <w:left w:val="none" w:sz="0" w:space="0" w:color="auto"/>
                                    <w:bottom w:val="none" w:sz="0" w:space="0" w:color="auto"/>
                                    <w:right w:val="none" w:sz="0" w:space="0" w:color="auto"/>
                                  </w:divBdr>
                                  <w:divsChild>
                                    <w:div w:id="2141266905">
                                      <w:marLeft w:val="0"/>
                                      <w:marRight w:val="0"/>
                                      <w:marTop w:val="0"/>
                                      <w:marBottom w:val="0"/>
                                      <w:divBdr>
                                        <w:top w:val="none" w:sz="0" w:space="0" w:color="auto"/>
                                        <w:left w:val="none" w:sz="0" w:space="0" w:color="auto"/>
                                        <w:bottom w:val="none" w:sz="0" w:space="0" w:color="auto"/>
                                        <w:right w:val="none" w:sz="0" w:space="0" w:color="auto"/>
                                      </w:divBdr>
                                      <w:divsChild>
                                        <w:div w:id="273564937">
                                          <w:marLeft w:val="0"/>
                                          <w:marRight w:val="0"/>
                                          <w:marTop w:val="0"/>
                                          <w:marBottom w:val="0"/>
                                          <w:divBdr>
                                            <w:top w:val="none" w:sz="0" w:space="0" w:color="auto"/>
                                            <w:left w:val="none" w:sz="0" w:space="0" w:color="auto"/>
                                            <w:bottom w:val="none" w:sz="0" w:space="0" w:color="auto"/>
                                            <w:right w:val="none" w:sz="0" w:space="0" w:color="auto"/>
                                          </w:divBdr>
                                          <w:divsChild>
                                            <w:div w:id="1421833605">
                                              <w:marLeft w:val="0"/>
                                              <w:marRight w:val="0"/>
                                              <w:marTop w:val="0"/>
                                              <w:marBottom w:val="0"/>
                                              <w:divBdr>
                                                <w:top w:val="none" w:sz="0" w:space="0" w:color="auto"/>
                                                <w:left w:val="none" w:sz="0" w:space="0" w:color="auto"/>
                                                <w:bottom w:val="none" w:sz="0" w:space="0" w:color="auto"/>
                                                <w:right w:val="none" w:sz="0" w:space="0" w:color="auto"/>
                                              </w:divBdr>
                                              <w:divsChild>
                                                <w:div w:id="802385503">
                                                  <w:marLeft w:val="0"/>
                                                  <w:marRight w:val="0"/>
                                                  <w:marTop w:val="0"/>
                                                  <w:marBottom w:val="0"/>
                                                  <w:divBdr>
                                                    <w:top w:val="none" w:sz="0" w:space="0" w:color="auto"/>
                                                    <w:left w:val="none" w:sz="0" w:space="0" w:color="auto"/>
                                                    <w:bottom w:val="none" w:sz="0" w:space="0" w:color="auto"/>
                                                    <w:right w:val="none" w:sz="0" w:space="0" w:color="auto"/>
                                                  </w:divBdr>
                                                  <w:divsChild>
                                                    <w:div w:id="2122872184">
                                                      <w:marLeft w:val="0"/>
                                                      <w:marRight w:val="0"/>
                                                      <w:marTop w:val="0"/>
                                                      <w:marBottom w:val="0"/>
                                                      <w:divBdr>
                                                        <w:top w:val="none" w:sz="0" w:space="0" w:color="auto"/>
                                                        <w:left w:val="none" w:sz="0" w:space="0" w:color="auto"/>
                                                        <w:bottom w:val="none" w:sz="0" w:space="0" w:color="auto"/>
                                                        <w:right w:val="none" w:sz="0" w:space="0" w:color="auto"/>
                                                      </w:divBdr>
                                                      <w:divsChild>
                                                        <w:div w:id="3235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4799338">
      <w:bodyDiv w:val="1"/>
      <w:marLeft w:val="0"/>
      <w:marRight w:val="0"/>
      <w:marTop w:val="0"/>
      <w:marBottom w:val="0"/>
      <w:divBdr>
        <w:top w:val="none" w:sz="0" w:space="0" w:color="auto"/>
        <w:left w:val="none" w:sz="0" w:space="0" w:color="auto"/>
        <w:bottom w:val="none" w:sz="0" w:space="0" w:color="auto"/>
        <w:right w:val="none" w:sz="0" w:space="0" w:color="auto"/>
      </w:divBdr>
    </w:div>
    <w:div w:id="1095322756">
      <w:bodyDiv w:val="1"/>
      <w:marLeft w:val="0"/>
      <w:marRight w:val="0"/>
      <w:marTop w:val="0"/>
      <w:marBottom w:val="0"/>
      <w:divBdr>
        <w:top w:val="none" w:sz="0" w:space="0" w:color="auto"/>
        <w:left w:val="none" w:sz="0" w:space="0" w:color="auto"/>
        <w:bottom w:val="none" w:sz="0" w:space="0" w:color="auto"/>
        <w:right w:val="none" w:sz="0" w:space="0" w:color="auto"/>
      </w:divBdr>
      <w:divsChild>
        <w:div w:id="425535389">
          <w:marLeft w:val="0"/>
          <w:marRight w:val="0"/>
          <w:marTop w:val="0"/>
          <w:marBottom w:val="0"/>
          <w:divBdr>
            <w:top w:val="none" w:sz="0" w:space="0" w:color="auto"/>
            <w:left w:val="none" w:sz="0" w:space="0" w:color="auto"/>
            <w:bottom w:val="none" w:sz="0" w:space="0" w:color="auto"/>
            <w:right w:val="none" w:sz="0" w:space="0" w:color="auto"/>
          </w:divBdr>
          <w:divsChild>
            <w:div w:id="259263019">
              <w:marLeft w:val="0"/>
              <w:marRight w:val="0"/>
              <w:marTop w:val="0"/>
              <w:marBottom w:val="0"/>
              <w:divBdr>
                <w:top w:val="none" w:sz="0" w:space="0" w:color="auto"/>
                <w:left w:val="none" w:sz="0" w:space="0" w:color="auto"/>
                <w:bottom w:val="none" w:sz="0" w:space="0" w:color="auto"/>
                <w:right w:val="none" w:sz="0" w:space="0" w:color="auto"/>
              </w:divBdr>
              <w:divsChild>
                <w:div w:id="1883402999">
                  <w:marLeft w:val="0"/>
                  <w:marRight w:val="0"/>
                  <w:marTop w:val="0"/>
                  <w:marBottom w:val="0"/>
                  <w:divBdr>
                    <w:top w:val="none" w:sz="0" w:space="0" w:color="auto"/>
                    <w:left w:val="none" w:sz="0" w:space="0" w:color="auto"/>
                    <w:bottom w:val="none" w:sz="0" w:space="0" w:color="auto"/>
                    <w:right w:val="none" w:sz="0" w:space="0" w:color="auto"/>
                  </w:divBdr>
                  <w:divsChild>
                    <w:div w:id="2018076866">
                      <w:marLeft w:val="0"/>
                      <w:marRight w:val="0"/>
                      <w:marTop w:val="0"/>
                      <w:marBottom w:val="0"/>
                      <w:divBdr>
                        <w:top w:val="none" w:sz="0" w:space="0" w:color="auto"/>
                        <w:left w:val="none" w:sz="0" w:space="0" w:color="auto"/>
                        <w:bottom w:val="none" w:sz="0" w:space="0" w:color="auto"/>
                        <w:right w:val="none" w:sz="0" w:space="0" w:color="auto"/>
                      </w:divBdr>
                      <w:divsChild>
                        <w:div w:id="1637224309">
                          <w:marLeft w:val="0"/>
                          <w:marRight w:val="0"/>
                          <w:marTop w:val="0"/>
                          <w:marBottom w:val="0"/>
                          <w:divBdr>
                            <w:top w:val="none" w:sz="0" w:space="0" w:color="auto"/>
                            <w:left w:val="none" w:sz="0" w:space="0" w:color="auto"/>
                            <w:bottom w:val="none" w:sz="0" w:space="0" w:color="auto"/>
                            <w:right w:val="none" w:sz="0" w:space="0" w:color="auto"/>
                          </w:divBdr>
                          <w:divsChild>
                            <w:div w:id="1766614209">
                              <w:marLeft w:val="0"/>
                              <w:marRight w:val="0"/>
                              <w:marTop w:val="0"/>
                              <w:marBottom w:val="0"/>
                              <w:divBdr>
                                <w:top w:val="single" w:sz="6" w:space="0" w:color="828282"/>
                                <w:left w:val="single" w:sz="6" w:space="0" w:color="828282"/>
                                <w:bottom w:val="single" w:sz="6" w:space="0" w:color="828282"/>
                                <w:right w:val="single" w:sz="6" w:space="0" w:color="828282"/>
                              </w:divBdr>
                              <w:divsChild>
                                <w:div w:id="670765657">
                                  <w:marLeft w:val="0"/>
                                  <w:marRight w:val="0"/>
                                  <w:marTop w:val="0"/>
                                  <w:marBottom w:val="0"/>
                                  <w:divBdr>
                                    <w:top w:val="none" w:sz="0" w:space="0" w:color="auto"/>
                                    <w:left w:val="none" w:sz="0" w:space="0" w:color="auto"/>
                                    <w:bottom w:val="none" w:sz="0" w:space="0" w:color="auto"/>
                                    <w:right w:val="none" w:sz="0" w:space="0" w:color="auto"/>
                                  </w:divBdr>
                                  <w:divsChild>
                                    <w:div w:id="1375083406">
                                      <w:marLeft w:val="0"/>
                                      <w:marRight w:val="0"/>
                                      <w:marTop w:val="0"/>
                                      <w:marBottom w:val="0"/>
                                      <w:divBdr>
                                        <w:top w:val="none" w:sz="0" w:space="0" w:color="auto"/>
                                        <w:left w:val="none" w:sz="0" w:space="0" w:color="auto"/>
                                        <w:bottom w:val="none" w:sz="0" w:space="0" w:color="auto"/>
                                        <w:right w:val="none" w:sz="0" w:space="0" w:color="auto"/>
                                      </w:divBdr>
                                      <w:divsChild>
                                        <w:div w:id="1561867313">
                                          <w:marLeft w:val="0"/>
                                          <w:marRight w:val="0"/>
                                          <w:marTop w:val="0"/>
                                          <w:marBottom w:val="0"/>
                                          <w:divBdr>
                                            <w:top w:val="none" w:sz="0" w:space="0" w:color="auto"/>
                                            <w:left w:val="none" w:sz="0" w:space="0" w:color="auto"/>
                                            <w:bottom w:val="none" w:sz="0" w:space="0" w:color="auto"/>
                                            <w:right w:val="none" w:sz="0" w:space="0" w:color="auto"/>
                                          </w:divBdr>
                                          <w:divsChild>
                                            <w:div w:id="1815949116">
                                              <w:marLeft w:val="0"/>
                                              <w:marRight w:val="0"/>
                                              <w:marTop w:val="0"/>
                                              <w:marBottom w:val="0"/>
                                              <w:divBdr>
                                                <w:top w:val="none" w:sz="0" w:space="0" w:color="auto"/>
                                                <w:left w:val="none" w:sz="0" w:space="0" w:color="auto"/>
                                                <w:bottom w:val="none" w:sz="0" w:space="0" w:color="auto"/>
                                                <w:right w:val="none" w:sz="0" w:space="0" w:color="auto"/>
                                              </w:divBdr>
                                              <w:divsChild>
                                                <w:div w:id="589696631">
                                                  <w:marLeft w:val="0"/>
                                                  <w:marRight w:val="0"/>
                                                  <w:marTop w:val="0"/>
                                                  <w:marBottom w:val="0"/>
                                                  <w:divBdr>
                                                    <w:top w:val="none" w:sz="0" w:space="0" w:color="auto"/>
                                                    <w:left w:val="none" w:sz="0" w:space="0" w:color="auto"/>
                                                    <w:bottom w:val="none" w:sz="0" w:space="0" w:color="auto"/>
                                                    <w:right w:val="none" w:sz="0" w:space="0" w:color="auto"/>
                                                  </w:divBdr>
                                                  <w:divsChild>
                                                    <w:div w:id="1963072738">
                                                      <w:marLeft w:val="0"/>
                                                      <w:marRight w:val="0"/>
                                                      <w:marTop w:val="0"/>
                                                      <w:marBottom w:val="0"/>
                                                      <w:divBdr>
                                                        <w:top w:val="none" w:sz="0" w:space="0" w:color="auto"/>
                                                        <w:left w:val="none" w:sz="0" w:space="0" w:color="auto"/>
                                                        <w:bottom w:val="none" w:sz="0" w:space="0" w:color="auto"/>
                                                        <w:right w:val="none" w:sz="0" w:space="0" w:color="auto"/>
                                                      </w:divBdr>
                                                      <w:divsChild>
                                                        <w:div w:id="1388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5490435">
      <w:bodyDiv w:val="1"/>
      <w:marLeft w:val="0"/>
      <w:marRight w:val="0"/>
      <w:marTop w:val="0"/>
      <w:marBottom w:val="0"/>
      <w:divBdr>
        <w:top w:val="none" w:sz="0" w:space="0" w:color="auto"/>
        <w:left w:val="none" w:sz="0" w:space="0" w:color="auto"/>
        <w:bottom w:val="none" w:sz="0" w:space="0" w:color="auto"/>
        <w:right w:val="none" w:sz="0" w:space="0" w:color="auto"/>
      </w:divBdr>
      <w:divsChild>
        <w:div w:id="207035492">
          <w:marLeft w:val="0"/>
          <w:marRight w:val="0"/>
          <w:marTop w:val="0"/>
          <w:marBottom w:val="0"/>
          <w:divBdr>
            <w:top w:val="none" w:sz="0" w:space="0" w:color="auto"/>
            <w:left w:val="none" w:sz="0" w:space="0" w:color="auto"/>
            <w:bottom w:val="none" w:sz="0" w:space="0" w:color="auto"/>
            <w:right w:val="none" w:sz="0" w:space="0" w:color="auto"/>
          </w:divBdr>
          <w:divsChild>
            <w:div w:id="1853445913">
              <w:marLeft w:val="0"/>
              <w:marRight w:val="0"/>
              <w:marTop w:val="0"/>
              <w:marBottom w:val="0"/>
              <w:divBdr>
                <w:top w:val="none" w:sz="0" w:space="0" w:color="auto"/>
                <w:left w:val="none" w:sz="0" w:space="0" w:color="auto"/>
                <w:bottom w:val="none" w:sz="0" w:space="0" w:color="auto"/>
                <w:right w:val="none" w:sz="0" w:space="0" w:color="auto"/>
              </w:divBdr>
              <w:divsChild>
                <w:div w:id="2099134358">
                  <w:marLeft w:val="0"/>
                  <w:marRight w:val="0"/>
                  <w:marTop w:val="0"/>
                  <w:marBottom w:val="0"/>
                  <w:divBdr>
                    <w:top w:val="none" w:sz="0" w:space="0" w:color="auto"/>
                    <w:left w:val="none" w:sz="0" w:space="0" w:color="auto"/>
                    <w:bottom w:val="none" w:sz="0" w:space="0" w:color="auto"/>
                    <w:right w:val="none" w:sz="0" w:space="0" w:color="auto"/>
                  </w:divBdr>
                  <w:divsChild>
                    <w:div w:id="1790274124">
                      <w:marLeft w:val="0"/>
                      <w:marRight w:val="0"/>
                      <w:marTop w:val="0"/>
                      <w:marBottom w:val="0"/>
                      <w:divBdr>
                        <w:top w:val="none" w:sz="0" w:space="0" w:color="auto"/>
                        <w:left w:val="none" w:sz="0" w:space="0" w:color="auto"/>
                        <w:bottom w:val="none" w:sz="0" w:space="0" w:color="auto"/>
                        <w:right w:val="none" w:sz="0" w:space="0" w:color="auto"/>
                      </w:divBdr>
                      <w:divsChild>
                        <w:div w:id="1118142279">
                          <w:marLeft w:val="0"/>
                          <w:marRight w:val="0"/>
                          <w:marTop w:val="0"/>
                          <w:marBottom w:val="0"/>
                          <w:divBdr>
                            <w:top w:val="none" w:sz="0" w:space="0" w:color="auto"/>
                            <w:left w:val="none" w:sz="0" w:space="0" w:color="auto"/>
                            <w:bottom w:val="none" w:sz="0" w:space="0" w:color="auto"/>
                            <w:right w:val="none" w:sz="0" w:space="0" w:color="auto"/>
                          </w:divBdr>
                          <w:divsChild>
                            <w:div w:id="34698356">
                              <w:marLeft w:val="0"/>
                              <w:marRight w:val="0"/>
                              <w:marTop w:val="0"/>
                              <w:marBottom w:val="0"/>
                              <w:divBdr>
                                <w:top w:val="single" w:sz="6" w:space="0" w:color="828282"/>
                                <w:left w:val="single" w:sz="6" w:space="0" w:color="828282"/>
                                <w:bottom w:val="single" w:sz="6" w:space="0" w:color="828282"/>
                                <w:right w:val="single" w:sz="6" w:space="0" w:color="828282"/>
                              </w:divBdr>
                              <w:divsChild>
                                <w:div w:id="178396556">
                                  <w:marLeft w:val="0"/>
                                  <w:marRight w:val="0"/>
                                  <w:marTop w:val="0"/>
                                  <w:marBottom w:val="0"/>
                                  <w:divBdr>
                                    <w:top w:val="none" w:sz="0" w:space="0" w:color="auto"/>
                                    <w:left w:val="none" w:sz="0" w:space="0" w:color="auto"/>
                                    <w:bottom w:val="none" w:sz="0" w:space="0" w:color="auto"/>
                                    <w:right w:val="none" w:sz="0" w:space="0" w:color="auto"/>
                                  </w:divBdr>
                                  <w:divsChild>
                                    <w:div w:id="238487663">
                                      <w:marLeft w:val="0"/>
                                      <w:marRight w:val="0"/>
                                      <w:marTop w:val="0"/>
                                      <w:marBottom w:val="0"/>
                                      <w:divBdr>
                                        <w:top w:val="none" w:sz="0" w:space="0" w:color="auto"/>
                                        <w:left w:val="none" w:sz="0" w:space="0" w:color="auto"/>
                                        <w:bottom w:val="none" w:sz="0" w:space="0" w:color="auto"/>
                                        <w:right w:val="none" w:sz="0" w:space="0" w:color="auto"/>
                                      </w:divBdr>
                                      <w:divsChild>
                                        <w:div w:id="752891691">
                                          <w:marLeft w:val="0"/>
                                          <w:marRight w:val="0"/>
                                          <w:marTop w:val="0"/>
                                          <w:marBottom w:val="0"/>
                                          <w:divBdr>
                                            <w:top w:val="none" w:sz="0" w:space="0" w:color="auto"/>
                                            <w:left w:val="none" w:sz="0" w:space="0" w:color="auto"/>
                                            <w:bottom w:val="none" w:sz="0" w:space="0" w:color="auto"/>
                                            <w:right w:val="none" w:sz="0" w:space="0" w:color="auto"/>
                                          </w:divBdr>
                                          <w:divsChild>
                                            <w:div w:id="1730152878">
                                              <w:marLeft w:val="0"/>
                                              <w:marRight w:val="0"/>
                                              <w:marTop w:val="0"/>
                                              <w:marBottom w:val="0"/>
                                              <w:divBdr>
                                                <w:top w:val="none" w:sz="0" w:space="0" w:color="auto"/>
                                                <w:left w:val="none" w:sz="0" w:space="0" w:color="auto"/>
                                                <w:bottom w:val="none" w:sz="0" w:space="0" w:color="auto"/>
                                                <w:right w:val="none" w:sz="0" w:space="0" w:color="auto"/>
                                              </w:divBdr>
                                              <w:divsChild>
                                                <w:div w:id="1814178605">
                                                  <w:marLeft w:val="0"/>
                                                  <w:marRight w:val="0"/>
                                                  <w:marTop w:val="0"/>
                                                  <w:marBottom w:val="0"/>
                                                  <w:divBdr>
                                                    <w:top w:val="none" w:sz="0" w:space="0" w:color="auto"/>
                                                    <w:left w:val="none" w:sz="0" w:space="0" w:color="auto"/>
                                                    <w:bottom w:val="none" w:sz="0" w:space="0" w:color="auto"/>
                                                    <w:right w:val="none" w:sz="0" w:space="0" w:color="auto"/>
                                                  </w:divBdr>
                                                  <w:divsChild>
                                                    <w:div w:id="1294287152">
                                                      <w:marLeft w:val="0"/>
                                                      <w:marRight w:val="0"/>
                                                      <w:marTop w:val="0"/>
                                                      <w:marBottom w:val="0"/>
                                                      <w:divBdr>
                                                        <w:top w:val="none" w:sz="0" w:space="0" w:color="auto"/>
                                                        <w:left w:val="none" w:sz="0" w:space="0" w:color="auto"/>
                                                        <w:bottom w:val="none" w:sz="0" w:space="0" w:color="auto"/>
                                                        <w:right w:val="none" w:sz="0" w:space="0" w:color="auto"/>
                                                      </w:divBdr>
                                                      <w:divsChild>
                                                        <w:div w:id="4864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0029898">
      <w:bodyDiv w:val="1"/>
      <w:marLeft w:val="0"/>
      <w:marRight w:val="0"/>
      <w:marTop w:val="0"/>
      <w:marBottom w:val="0"/>
      <w:divBdr>
        <w:top w:val="none" w:sz="0" w:space="0" w:color="auto"/>
        <w:left w:val="none" w:sz="0" w:space="0" w:color="auto"/>
        <w:bottom w:val="none" w:sz="0" w:space="0" w:color="auto"/>
        <w:right w:val="none" w:sz="0" w:space="0" w:color="auto"/>
      </w:divBdr>
    </w:div>
    <w:div w:id="1282151935">
      <w:bodyDiv w:val="1"/>
      <w:marLeft w:val="0"/>
      <w:marRight w:val="0"/>
      <w:marTop w:val="0"/>
      <w:marBottom w:val="0"/>
      <w:divBdr>
        <w:top w:val="none" w:sz="0" w:space="0" w:color="auto"/>
        <w:left w:val="none" w:sz="0" w:space="0" w:color="auto"/>
        <w:bottom w:val="none" w:sz="0" w:space="0" w:color="auto"/>
        <w:right w:val="none" w:sz="0" w:space="0" w:color="auto"/>
      </w:divBdr>
    </w:div>
    <w:div w:id="1305348669">
      <w:bodyDiv w:val="1"/>
      <w:marLeft w:val="0"/>
      <w:marRight w:val="0"/>
      <w:marTop w:val="0"/>
      <w:marBottom w:val="0"/>
      <w:divBdr>
        <w:top w:val="none" w:sz="0" w:space="0" w:color="auto"/>
        <w:left w:val="none" w:sz="0" w:space="0" w:color="auto"/>
        <w:bottom w:val="none" w:sz="0" w:space="0" w:color="auto"/>
        <w:right w:val="none" w:sz="0" w:space="0" w:color="auto"/>
      </w:divBdr>
    </w:div>
    <w:div w:id="1410619043">
      <w:bodyDiv w:val="1"/>
      <w:marLeft w:val="0"/>
      <w:marRight w:val="0"/>
      <w:marTop w:val="0"/>
      <w:marBottom w:val="0"/>
      <w:divBdr>
        <w:top w:val="none" w:sz="0" w:space="0" w:color="auto"/>
        <w:left w:val="none" w:sz="0" w:space="0" w:color="auto"/>
        <w:bottom w:val="none" w:sz="0" w:space="0" w:color="auto"/>
        <w:right w:val="none" w:sz="0" w:space="0" w:color="auto"/>
      </w:divBdr>
    </w:div>
    <w:div w:id="1476950187">
      <w:bodyDiv w:val="1"/>
      <w:marLeft w:val="0"/>
      <w:marRight w:val="0"/>
      <w:marTop w:val="0"/>
      <w:marBottom w:val="0"/>
      <w:divBdr>
        <w:top w:val="none" w:sz="0" w:space="0" w:color="auto"/>
        <w:left w:val="none" w:sz="0" w:space="0" w:color="auto"/>
        <w:bottom w:val="none" w:sz="0" w:space="0" w:color="auto"/>
        <w:right w:val="none" w:sz="0" w:space="0" w:color="auto"/>
      </w:divBdr>
      <w:divsChild>
        <w:div w:id="447352975">
          <w:marLeft w:val="0"/>
          <w:marRight w:val="0"/>
          <w:marTop w:val="0"/>
          <w:marBottom w:val="0"/>
          <w:divBdr>
            <w:top w:val="none" w:sz="0" w:space="0" w:color="auto"/>
            <w:left w:val="none" w:sz="0" w:space="0" w:color="auto"/>
            <w:bottom w:val="none" w:sz="0" w:space="0" w:color="auto"/>
            <w:right w:val="none" w:sz="0" w:space="0" w:color="auto"/>
          </w:divBdr>
          <w:divsChild>
            <w:div w:id="845100530">
              <w:marLeft w:val="0"/>
              <w:marRight w:val="0"/>
              <w:marTop w:val="0"/>
              <w:marBottom w:val="0"/>
              <w:divBdr>
                <w:top w:val="none" w:sz="0" w:space="0" w:color="auto"/>
                <w:left w:val="none" w:sz="0" w:space="0" w:color="auto"/>
                <w:bottom w:val="none" w:sz="0" w:space="0" w:color="auto"/>
                <w:right w:val="none" w:sz="0" w:space="0" w:color="auto"/>
              </w:divBdr>
              <w:divsChild>
                <w:div w:id="663631664">
                  <w:marLeft w:val="0"/>
                  <w:marRight w:val="0"/>
                  <w:marTop w:val="0"/>
                  <w:marBottom w:val="0"/>
                  <w:divBdr>
                    <w:top w:val="none" w:sz="0" w:space="0" w:color="auto"/>
                    <w:left w:val="none" w:sz="0" w:space="0" w:color="auto"/>
                    <w:bottom w:val="none" w:sz="0" w:space="0" w:color="auto"/>
                    <w:right w:val="none" w:sz="0" w:space="0" w:color="auto"/>
                  </w:divBdr>
                  <w:divsChild>
                    <w:div w:id="880869947">
                      <w:marLeft w:val="0"/>
                      <w:marRight w:val="0"/>
                      <w:marTop w:val="0"/>
                      <w:marBottom w:val="0"/>
                      <w:divBdr>
                        <w:top w:val="none" w:sz="0" w:space="0" w:color="auto"/>
                        <w:left w:val="none" w:sz="0" w:space="0" w:color="auto"/>
                        <w:bottom w:val="none" w:sz="0" w:space="0" w:color="auto"/>
                        <w:right w:val="none" w:sz="0" w:space="0" w:color="auto"/>
                      </w:divBdr>
                      <w:divsChild>
                        <w:div w:id="581305245">
                          <w:marLeft w:val="0"/>
                          <w:marRight w:val="0"/>
                          <w:marTop w:val="0"/>
                          <w:marBottom w:val="0"/>
                          <w:divBdr>
                            <w:top w:val="none" w:sz="0" w:space="0" w:color="auto"/>
                            <w:left w:val="none" w:sz="0" w:space="0" w:color="auto"/>
                            <w:bottom w:val="none" w:sz="0" w:space="0" w:color="auto"/>
                            <w:right w:val="none" w:sz="0" w:space="0" w:color="auto"/>
                          </w:divBdr>
                          <w:divsChild>
                            <w:div w:id="1352605912">
                              <w:marLeft w:val="0"/>
                              <w:marRight w:val="0"/>
                              <w:marTop w:val="0"/>
                              <w:marBottom w:val="0"/>
                              <w:divBdr>
                                <w:top w:val="single" w:sz="6" w:space="0" w:color="828282"/>
                                <w:left w:val="single" w:sz="6" w:space="0" w:color="828282"/>
                                <w:bottom w:val="single" w:sz="6" w:space="0" w:color="828282"/>
                                <w:right w:val="single" w:sz="6" w:space="0" w:color="828282"/>
                              </w:divBdr>
                              <w:divsChild>
                                <w:div w:id="14696441">
                                  <w:marLeft w:val="0"/>
                                  <w:marRight w:val="0"/>
                                  <w:marTop w:val="0"/>
                                  <w:marBottom w:val="0"/>
                                  <w:divBdr>
                                    <w:top w:val="none" w:sz="0" w:space="0" w:color="auto"/>
                                    <w:left w:val="none" w:sz="0" w:space="0" w:color="auto"/>
                                    <w:bottom w:val="none" w:sz="0" w:space="0" w:color="auto"/>
                                    <w:right w:val="none" w:sz="0" w:space="0" w:color="auto"/>
                                  </w:divBdr>
                                  <w:divsChild>
                                    <w:div w:id="358505702">
                                      <w:marLeft w:val="0"/>
                                      <w:marRight w:val="0"/>
                                      <w:marTop w:val="0"/>
                                      <w:marBottom w:val="0"/>
                                      <w:divBdr>
                                        <w:top w:val="none" w:sz="0" w:space="0" w:color="auto"/>
                                        <w:left w:val="none" w:sz="0" w:space="0" w:color="auto"/>
                                        <w:bottom w:val="none" w:sz="0" w:space="0" w:color="auto"/>
                                        <w:right w:val="none" w:sz="0" w:space="0" w:color="auto"/>
                                      </w:divBdr>
                                      <w:divsChild>
                                        <w:div w:id="748189898">
                                          <w:marLeft w:val="0"/>
                                          <w:marRight w:val="0"/>
                                          <w:marTop w:val="0"/>
                                          <w:marBottom w:val="0"/>
                                          <w:divBdr>
                                            <w:top w:val="none" w:sz="0" w:space="0" w:color="auto"/>
                                            <w:left w:val="none" w:sz="0" w:space="0" w:color="auto"/>
                                            <w:bottom w:val="none" w:sz="0" w:space="0" w:color="auto"/>
                                            <w:right w:val="none" w:sz="0" w:space="0" w:color="auto"/>
                                          </w:divBdr>
                                          <w:divsChild>
                                            <w:div w:id="1719812977">
                                              <w:marLeft w:val="0"/>
                                              <w:marRight w:val="0"/>
                                              <w:marTop w:val="0"/>
                                              <w:marBottom w:val="0"/>
                                              <w:divBdr>
                                                <w:top w:val="none" w:sz="0" w:space="0" w:color="auto"/>
                                                <w:left w:val="none" w:sz="0" w:space="0" w:color="auto"/>
                                                <w:bottom w:val="none" w:sz="0" w:space="0" w:color="auto"/>
                                                <w:right w:val="none" w:sz="0" w:space="0" w:color="auto"/>
                                              </w:divBdr>
                                              <w:divsChild>
                                                <w:div w:id="156649286">
                                                  <w:marLeft w:val="0"/>
                                                  <w:marRight w:val="0"/>
                                                  <w:marTop w:val="0"/>
                                                  <w:marBottom w:val="0"/>
                                                  <w:divBdr>
                                                    <w:top w:val="none" w:sz="0" w:space="0" w:color="auto"/>
                                                    <w:left w:val="none" w:sz="0" w:space="0" w:color="auto"/>
                                                    <w:bottom w:val="none" w:sz="0" w:space="0" w:color="auto"/>
                                                    <w:right w:val="none" w:sz="0" w:space="0" w:color="auto"/>
                                                  </w:divBdr>
                                                  <w:divsChild>
                                                    <w:div w:id="1967461965">
                                                      <w:marLeft w:val="0"/>
                                                      <w:marRight w:val="0"/>
                                                      <w:marTop w:val="0"/>
                                                      <w:marBottom w:val="0"/>
                                                      <w:divBdr>
                                                        <w:top w:val="none" w:sz="0" w:space="0" w:color="auto"/>
                                                        <w:left w:val="none" w:sz="0" w:space="0" w:color="auto"/>
                                                        <w:bottom w:val="none" w:sz="0" w:space="0" w:color="auto"/>
                                                        <w:right w:val="none" w:sz="0" w:space="0" w:color="auto"/>
                                                      </w:divBdr>
                                                      <w:divsChild>
                                                        <w:div w:id="169739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5933829">
      <w:bodyDiv w:val="1"/>
      <w:marLeft w:val="0"/>
      <w:marRight w:val="0"/>
      <w:marTop w:val="0"/>
      <w:marBottom w:val="0"/>
      <w:divBdr>
        <w:top w:val="none" w:sz="0" w:space="0" w:color="auto"/>
        <w:left w:val="none" w:sz="0" w:space="0" w:color="auto"/>
        <w:bottom w:val="none" w:sz="0" w:space="0" w:color="auto"/>
        <w:right w:val="none" w:sz="0" w:space="0" w:color="auto"/>
      </w:divBdr>
      <w:divsChild>
        <w:div w:id="1368338882">
          <w:marLeft w:val="0"/>
          <w:marRight w:val="0"/>
          <w:marTop w:val="0"/>
          <w:marBottom w:val="0"/>
          <w:divBdr>
            <w:top w:val="none" w:sz="0" w:space="0" w:color="auto"/>
            <w:left w:val="none" w:sz="0" w:space="0" w:color="auto"/>
            <w:bottom w:val="none" w:sz="0" w:space="0" w:color="auto"/>
            <w:right w:val="none" w:sz="0" w:space="0" w:color="auto"/>
          </w:divBdr>
          <w:divsChild>
            <w:div w:id="1241409008">
              <w:marLeft w:val="0"/>
              <w:marRight w:val="0"/>
              <w:marTop w:val="0"/>
              <w:marBottom w:val="0"/>
              <w:divBdr>
                <w:top w:val="none" w:sz="0" w:space="0" w:color="auto"/>
                <w:left w:val="none" w:sz="0" w:space="0" w:color="auto"/>
                <w:bottom w:val="none" w:sz="0" w:space="0" w:color="auto"/>
                <w:right w:val="none" w:sz="0" w:space="0" w:color="auto"/>
              </w:divBdr>
              <w:divsChild>
                <w:div w:id="1774592034">
                  <w:marLeft w:val="0"/>
                  <w:marRight w:val="0"/>
                  <w:marTop w:val="0"/>
                  <w:marBottom w:val="0"/>
                  <w:divBdr>
                    <w:top w:val="none" w:sz="0" w:space="0" w:color="auto"/>
                    <w:left w:val="none" w:sz="0" w:space="0" w:color="auto"/>
                    <w:bottom w:val="none" w:sz="0" w:space="0" w:color="auto"/>
                    <w:right w:val="none" w:sz="0" w:space="0" w:color="auto"/>
                  </w:divBdr>
                  <w:divsChild>
                    <w:div w:id="1521893270">
                      <w:marLeft w:val="0"/>
                      <w:marRight w:val="0"/>
                      <w:marTop w:val="0"/>
                      <w:marBottom w:val="0"/>
                      <w:divBdr>
                        <w:top w:val="none" w:sz="0" w:space="0" w:color="auto"/>
                        <w:left w:val="none" w:sz="0" w:space="0" w:color="auto"/>
                        <w:bottom w:val="none" w:sz="0" w:space="0" w:color="auto"/>
                        <w:right w:val="none" w:sz="0" w:space="0" w:color="auto"/>
                      </w:divBdr>
                      <w:divsChild>
                        <w:div w:id="1656831750">
                          <w:marLeft w:val="0"/>
                          <w:marRight w:val="0"/>
                          <w:marTop w:val="0"/>
                          <w:marBottom w:val="0"/>
                          <w:divBdr>
                            <w:top w:val="none" w:sz="0" w:space="0" w:color="auto"/>
                            <w:left w:val="none" w:sz="0" w:space="0" w:color="auto"/>
                            <w:bottom w:val="none" w:sz="0" w:space="0" w:color="auto"/>
                            <w:right w:val="none" w:sz="0" w:space="0" w:color="auto"/>
                          </w:divBdr>
                          <w:divsChild>
                            <w:div w:id="2022971626">
                              <w:marLeft w:val="0"/>
                              <w:marRight w:val="0"/>
                              <w:marTop w:val="0"/>
                              <w:marBottom w:val="0"/>
                              <w:divBdr>
                                <w:top w:val="none" w:sz="0" w:space="0" w:color="auto"/>
                                <w:left w:val="none" w:sz="0" w:space="0" w:color="auto"/>
                                <w:bottom w:val="none" w:sz="0" w:space="0" w:color="auto"/>
                                <w:right w:val="none" w:sz="0" w:space="0" w:color="auto"/>
                              </w:divBdr>
                              <w:divsChild>
                                <w:div w:id="1894267648">
                                  <w:marLeft w:val="0"/>
                                  <w:marRight w:val="0"/>
                                  <w:marTop w:val="0"/>
                                  <w:marBottom w:val="0"/>
                                  <w:divBdr>
                                    <w:top w:val="none" w:sz="0" w:space="0" w:color="auto"/>
                                    <w:left w:val="none" w:sz="0" w:space="0" w:color="auto"/>
                                    <w:bottom w:val="none" w:sz="0" w:space="0" w:color="auto"/>
                                    <w:right w:val="none" w:sz="0" w:space="0" w:color="auto"/>
                                  </w:divBdr>
                                  <w:divsChild>
                                    <w:div w:id="1077478230">
                                      <w:marLeft w:val="0"/>
                                      <w:marRight w:val="0"/>
                                      <w:marTop w:val="0"/>
                                      <w:marBottom w:val="0"/>
                                      <w:divBdr>
                                        <w:top w:val="none" w:sz="0" w:space="0" w:color="auto"/>
                                        <w:left w:val="none" w:sz="0" w:space="0" w:color="auto"/>
                                        <w:bottom w:val="none" w:sz="0" w:space="0" w:color="auto"/>
                                        <w:right w:val="none" w:sz="0" w:space="0" w:color="auto"/>
                                      </w:divBdr>
                                      <w:divsChild>
                                        <w:div w:id="1546478260">
                                          <w:marLeft w:val="0"/>
                                          <w:marRight w:val="0"/>
                                          <w:marTop w:val="0"/>
                                          <w:marBottom w:val="0"/>
                                          <w:divBdr>
                                            <w:top w:val="none" w:sz="0" w:space="0" w:color="auto"/>
                                            <w:left w:val="none" w:sz="0" w:space="0" w:color="auto"/>
                                            <w:bottom w:val="none" w:sz="0" w:space="0" w:color="auto"/>
                                            <w:right w:val="none" w:sz="0" w:space="0" w:color="auto"/>
                                          </w:divBdr>
                                          <w:divsChild>
                                            <w:div w:id="1506240772">
                                              <w:marLeft w:val="0"/>
                                              <w:marRight w:val="0"/>
                                              <w:marTop w:val="0"/>
                                              <w:marBottom w:val="0"/>
                                              <w:divBdr>
                                                <w:top w:val="none" w:sz="0" w:space="0" w:color="auto"/>
                                                <w:left w:val="none" w:sz="0" w:space="0" w:color="auto"/>
                                                <w:bottom w:val="none" w:sz="0" w:space="0" w:color="auto"/>
                                                <w:right w:val="none" w:sz="0" w:space="0" w:color="auto"/>
                                              </w:divBdr>
                                              <w:divsChild>
                                                <w:div w:id="249317046">
                                                  <w:marLeft w:val="0"/>
                                                  <w:marRight w:val="0"/>
                                                  <w:marTop w:val="0"/>
                                                  <w:marBottom w:val="0"/>
                                                  <w:divBdr>
                                                    <w:top w:val="none" w:sz="0" w:space="0" w:color="auto"/>
                                                    <w:left w:val="none" w:sz="0" w:space="0" w:color="auto"/>
                                                    <w:bottom w:val="none" w:sz="0" w:space="0" w:color="auto"/>
                                                    <w:right w:val="none" w:sz="0" w:space="0" w:color="auto"/>
                                                  </w:divBdr>
                                                  <w:divsChild>
                                                    <w:div w:id="1627196717">
                                                      <w:marLeft w:val="0"/>
                                                      <w:marRight w:val="0"/>
                                                      <w:marTop w:val="0"/>
                                                      <w:marBottom w:val="0"/>
                                                      <w:divBdr>
                                                        <w:top w:val="none" w:sz="0" w:space="0" w:color="auto"/>
                                                        <w:left w:val="none" w:sz="0" w:space="0" w:color="auto"/>
                                                        <w:bottom w:val="none" w:sz="0" w:space="0" w:color="auto"/>
                                                        <w:right w:val="none" w:sz="0" w:space="0" w:color="auto"/>
                                                      </w:divBdr>
                                                      <w:divsChild>
                                                        <w:div w:id="1515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8648784">
      <w:bodyDiv w:val="1"/>
      <w:marLeft w:val="0"/>
      <w:marRight w:val="0"/>
      <w:marTop w:val="0"/>
      <w:marBottom w:val="0"/>
      <w:divBdr>
        <w:top w:val="none" w:sz="0" w:space="0" w:color="auto"/>
        <w:left w:val="none" w:sz="0" w:space="0" w:color="auto"/>
        <w:bottom w:val="none" w:sz="0" w:space="0" w:color="auto"/>
        <w:right w:val="none" w:sz="0" w:space="0" w:color="auto"/>
      </w:divBdr>
    </w:div>
    <w:div w:id="2002391318">
      <w:bodyDiv w:val="1"/>
      <w:marLeft w:val="0"/>
      <w:marRight w:val="0"/>
      <w:marTop w:val="0"/>
      <w:marBottom w:val="0"/>
      <w:divBdr>
        <w:top w:val="none" w:sz="0" w:space="0" w:color="auto"/>
        <w:left w:val="none" w:sz="0" w:space="0" w:color="auto"/>
        <w:bottom w:val="none" w:sz="0" w:space="0" w:color="auto"/>
        <w:right w:val="none" w:sz="0" w:space="0" w:color="auto"/>
      </w:divBdr>
      <w:divsChild>
        <w:div w:id="143593826">
          <w:marLeft w:val="0"/>
          <w:marRight w:val="0"/>
          <w:marTop w:val="0"/>
          <w:marBottom w:val="0"/>
          <w:divBdr>
            <w:top w:val="none" w:sz="0" w:space="0" w:color="auto"/>
            <w:left w:val="none" w:sz="0" w:space="0" w:color="auto"/>
            <w:bottom w:val="none" w:sz="0" w:space="0" w:color="auto"/>
            <w:right w:val="none" w:sz="0" w:space="0" w:color="auto"/>
          </w:divBdr>
          <w:divsChild>
            <w:div w:id="1492065649">
              <w:marLeft w:val="0"/>
              <w:marRight w:val="0"/>
              <w:marTop w:val="0"/>
              <w:marBottom w:val="0"/>
              <w:divBdr>
                <w:top w:val="none" w:sz="0" w:space="0" w:color="auto"/>
                <w:left w:val="none" w:sz="0" w:space="0" w:color="auto"/>
                <w:bottom w:val="none" w:sz="0" w:space="0" w:color="auto"/>
                <w:right w:val="none" w:sz="0" w:space="0" w:color="auto"/>
              </w:divBdr>
              <w:divsChild>
                <w:div w:id="1718435199">
                  <w:marLeft w:val="0"/>
                  <w:marRight w:val="0"/>
                  <w:marTop w:val="0"/>
                  <w:marBottom w:val="0"/>
                  <w:divBdr>
                    <w:top w:val="none" w:sz="0" w:space="0" w:color="auto"/>
                    <w:left w:val="none" w:sz="0" w:space="0" w:color="auto"/>
                    <w:bottom w:val="none" w:sz="0" w:space="0" w:color="auto"/>
                    <w:right w:val="none" w:sz="0" w:space="0" w:color="auto"/>
                  </w:divBdr>
                  <w:divsChild>
                    <w:div w:id="77021605">
                      <w:marLeft w:val="0"/>
                      <w:marRight w:val="0"/>
                      <w:marTop w:val="0"/>
                      <w:marBottom w:val="0"/>
                      <w:divBdr>
                        <w:top w:val="none" w:sz="0" w:space="0" w:color="auto"/>
                        <w:left w:val="none" w:sz="0" w:space="0" w:color="auto"/>
                        <w:bottom w:val="none" w:sz="0" w:space="0" w:color="auto"/>
                        <w:right w:val="none" w:sz="0" w:space="0" w:color="auto"/>
                      </w:divBdr>
                      <w:divsChild>
                        <w:div w:id="967590396">
                          <w:marLeft w:val="0"/>
                          <w:marRight w:val="0"/>
                          <w:marTop w:val="0"/>
                          <w:marBottom w:val="0"/>
                          <w:divBdr>
                            <w:top w:val="none" w:sz="0" w:space="0" w:color="auto"/>
                            <w:left w:val="none" w:sz="0" w:space="0" w:color="auto"/>
                            <w:bottom w:val="none" w:sz="0" w:space="0" w:color="auto"/>
                            <w:right w:val="none" w:sz="0" w:space="0" w:color="auto"/>
                          </w:divBdr>
                          <w:divsChild>
                            <w:div w:id="227427321">
                              <w:marLeft w:val="0"/>
                              <w:marRight w:val="0"/>
                              <w:marTop w:val="0"/>
                              <w:marBottom w:val="0"/>
                              <w:divBdr>
                                <w:top w:val="none" w:sz="0" w:space="0" w:color="auto"/>
                                <w:left w:val="none" w:sz="0" w:space="0" w:color="auto"/>
                                <w:bottom w:val="none" w:sz="0" w:space="0" w:color="auto"/>
                                <w:right w:val="none" w:sz="0" w:space="0" w:color="auto"/>
                              </w:divBdr>
                              <w:divsChild>
                                <w:div w:id="753891030">
                                  <w:marLeft w:val="0"/>
                                  <w:marRight w:val="0"/>
                                  <w:marTop w:val="0"/>
                                  <w:marBottom w:val="0"/>
                                  <w:divBdr>
                                    <w:top w:val="none" w:sz="0" w:space="0" w:color="auto"/>
                                    <w:left w:val="none" w:sz="0" w:space="0" w:color="auto"/>
                                    <w:bottom w:val="none" w:sz="0" w:space="0" w:color="auto"/>
                                    <w:right w:val="none" w:sz="0" w:space="0" w:color="auto"/>
                                  </w:divBdr>
                                  <w:divsChild>
                                    <w:div w:id="496657306">
                                      <w:marLeft w:val="0"/>
                                      <w:marRight w:val="0"/>
                                      <w:marTop w:val="0"/>
                                      <w:marBottom w:val="0"/>
                                      <w:divBdr>
                                        <w:top w:val="none" w:sz="0" w:space="0" w:color="auto"/>
                                        <w:left w:val="none" w:sz="0" w:space="0" w:color="auto"/>
                                        <w:bottom w:val="none" w:sz="0" w:space="0" w:color="auto"/>
                                        <w:right w:val="none" w:sz="0" w:space="0" w:color="auto"/>
                                      </w:divBdr>
                                      <w:divsChild>
                                        <w:div w:id="459880392">
                                          <w:marLeft w:val="0"/>
                                          <w:marRight w:val="0"/>
                                          <w:marTop w:val="0"/>
                                          <w:marBottom w:val="0"/>
                                          <w:divBdr>
                                            <w:top w:val="none" w:sz="0" w:space="0" w:color="auto"/>
                                            <w:left w:val="none" w:sz="0" w:space="0" w:color="auto"/>
                                            <w:bottom w:val="none" w:sz="0" w:space="0" w:color="auto"/>
                                            <w:right w:val="none" w:sz="0" w:space="0" w:color="auto"/>
                                          </w:divBdr>
                                          <w:divsChild>
                                            <w:div w:id="2014338495">
                                              <w:marLeft w:val="0"/>
                                              <w:marRight w:val="0"/>
                                              <w:marTop w:val="0"/>
                                              <w:marBottom w:val="0"/>
                                              <w:divBdr>
                                                <w:top w:val="none" w:sz="0" w:space="0" w:color="auto"/>
                                                <w:left w:val="none" w:sz="0" w:space="0" w:color="auto"/>
                                                <w:bottom w:val="none" w:sz="0" w:space="0" w:color="auto"/>
                                                <w:right w:val="none" w:sz="0" w:space="0" w:color="auto"/>
                                              </w:divBdr>
                                              <w:divsChild>
                                                <w:div w:id="1917085940">
                                                  <w:marLeft w:val="0"/>
                                                  <w:marRight w:val="0"/>
                                                  <w:marTop w:val="0"/>
                                                  <w:marBottom w:val="0"/>
                                                  <w:divBdr>
                                                    <w:top w:val="none" w:sz="0" w:space="0" w:color="auto"/>
                                                    <w:left w:val="none" w:sz="0" w:space="0" w:color="auto"/>
                                                    <w:bottom w:val="none" w:sz="0" w:space="0" w:color="auto"/>
                                                    <w:right w:val="none" w:sz="0" w:space="0" w:color="auto"/>
                                                  </w:divBdr>
                                                  <w:divsChild>
                                                    <w:div w:id="1608390437">
                                                      <w:marLeft w:val="0"/>
                                                      <w:marRight w:val="0"/>
                                                      <w:marTop w:val="0"/>
                                                      <w:marBottom w:val="0"/>
                                                      <w:divBdr>
                                                        <w:top w:val="none" w:sz="0" w:space="0" w:color="auto"/>
                                                        <w:left w:val="none" w:sz="0" w:space="0" w:color="auto"/>
                                                        <w:bottom w:val="none" w:sz="0" w:space="0" w:color="auto"/>
                                                        <w:right w:val="none" w:sz="0" w:space="0" w:color="auto"/>
                                                      </w:divBdr>
                                                      <w:divsChild>
                                                        <w:div w:id="71265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937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updating-medicine-ingredient-names" TargetMode="External"/><Relationship Id="rId13" Type="http://schemas.openxmlformats.org/officeDocument/2006/relationships/hyperlink" Target="http://www.foodchemicalscodex.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pnf.com/" TargetMode="External"/><Relationship Id="rId17" Type="http://schemas.openxmlformats.org/officeDocument/2006/relationships/hyperlink" Target="http://www.openlibrary.org/books/OL22071008M/European_pharmacopoeia" TargetMode="External"/><Relationship Id="rId2" Type="http://schemas.openxmlformats.org/officeDocument/2006/relationships/numbering" Target="numbering.xml"/><Relationship Id="rId16" Type="http://schemas.openxmlformats.org/officeDocument/2006/relationships/hyperlink" Target="http://www.trove.nla.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heur.edqm.eu/home" TargetMode="External"/><Relationship Id="rId5" Type="http://schemas.openxmlformats.org/officeDocument/2006/relationships/webSettings" Target="webSettings.xml"/><Relationship Id="rId15" Type="http://schemas.openxmlformats.org/officeDocument/2006/relationships/hyperlink" Target="http://www.rehydrate.org/ors/expert-consultation.html" TargetMode="External"/><Relationship Id="rId10" Type="http://schemas.openxmlformats.org/officeDocument/2006/relationships/hyperlink" Target="http://www.pharmacopoeia.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tions.tga.gov.au/medicines-regulation-division/international-harmonisation-of-ingredient-names-ih" TargetMode="External"/><Relationship Id="rId14" Type="http://schemas.openxmlformats.org/officeDocument/2006/relationships/hyperlink" Target="http://www.legislation.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13A3B-FAFB-4980-A65B-B4ED773AF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4201</Words>
  <Characters>23948</Characters>
  <Application>Microsoft Office Word</Application>
  <DocSecurity>4</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DEEBLE, Susan</dc:creator>
  <cp:lastModifiedBy>Trent Newman</cp:lastModifiedBy>
  <cp:revision>2</cp:revision>
  <dcterms:created xsi:type="dcterms:W3CDTF">2023-04-18T23:38:00Z</dcterms:created>
  <dcterms:modified xsi:type="dcterms:W3CDTF">2023-04-18T23:38:00Z</dcterms:modified>
</cp:coreProperties>
</file>