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5FE9D" w14:textId="77777777" w:rsidR="007F4B61" w:rsidRPr="007F4B61" w:rsidRDefault="007F4B61" w:rsidP="007F4B61">
      <w:pPr>
        <w:shd w:val="clear" w:color="auto" w:fill="FFFFFF"/>
        <w:spacing w:after="0" w:line="240" w:lineRule="auto"/>
        <w:jc w:val="center"/>
        <w:rPr>
          <w:rFonts w:ascii="Calibri" w:eastAsia="Times New Roman" w:hAnsi="Calibri" w:cs="Calibri"/>
          <w:color w:val="000000"/>
          <w:lang w:eastAsia="en-AU"/>
        </w:rPr>
      </w:pPr>
      <w:bookmarkStart w:id="0" w:name="_GoBack"/>
      <w:bookmarkEnd w:id="0"/>
      <w:r w:rsidRPr="007F4B61">
        <w:rPr>
          <w:rFonts w:ascii="Times New Roman" w:eastAsia="Times New Roman" w:hAnsi="Times New Roman" w:cs="Times New Roman"/>
          <w:b/>
          <w:bCs/>
          <w:color w:val="000000"/>
          <w:sz w:val="24"/>
          <w:szCs w:val="24"/>
          <w:lang w:eastAsia="en-AU"/>
        </w:rPr>
        <w:t>EXPLANATORY STATEMENT</w:t>
      </w:r>
    </w:p>
    <w:p w14:paraId="58257D37" w14:textId="77777777" w:rsidR="007F4B61" w:rsidRPr="007F4B61" w:rsidRDefault="007F4B61" w:rsidP="007F4B61">
      <w:pPr>
        <w:shd w:val="clear" w:color="auto" w:fill="FFFFFF"/>
        <w:spacing w:after="0" w:line="240" w:lineRule="auto"/>
        <w:jc w:val="center"/>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31418FF3" w14:textId="77777777" w:rsidR="007F4B61" w:rsidRPr="007F4B61" w:rsidRDefault="007F4B61" w:rsidP="007F4B61">
      <w:pPr>
        <w:shd w:val="clear" w:color="auto" w:fill="FFFFFF"/>
        <w:spacing w:after="0" w:line="240" w:lineRule="auto"/>
        <w:jc w:val="center"/>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u w:val="single"/>
          <w:lang w:eastAsia="en-AU"/>
        </w:rPr>
        <w:t>Air Navigation (Exemption for Commercial Non-Scheduled Flights) Amendment Determination 202</w:t>
      </w:r>
      <w:r>
        <w:rPr>
          <w:rFonts w:ascii="Times New Roman" w:eastAsia="Times New Roman" w:hAnsi="Times New Roman" w:cs="Times New Roman"/>
          <w:color w:val="000000"/>
          <w:sz w:val="24"/>
          <w:szCs w:val="24"/>
          <w:u w:val="single"/>
          <w:lang w:eastAsia="en-AU"/>
        </w:rPr>
        <w:t>3</w:t>
      </w:r>
    </w:p>
    <w:p w14:paraId="3B3C365E" w14:textId="77777777" w:rsidR="007F4B61" w:rsidRPr="007F4B61" w:rsidRDefault="007F4B61" w:rsidP="007F4B61">
      <w:pPr>
        <w:shd w:val="clear" w:color="auto" w:fill="FFFFFF"/>
        <w:spacing w:after="0" w:line="240" w:lineRule="auto"/>
        <w:jc w:val="center"/>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0FFE8CDE" w14:textId="44412C1B"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The Determination amends the </w:t>
      </w:r>
      <w:r w:rsidRPr="007F4B61">
        <w:rPr>
          <w:rFonts w:ascii="Times New Roman" w:eastAsia="Times New Roman" w:hAnsi="Times New Roman" w:cs="Times New Roman"/>
          <w:i/>
          <w:iCs/>
          <w:color w:val="000000"/>
          <w:sz w:val="24"/>
          <w:szCs w:val="24"/>
          <w:lang w:eastAsia="en-AU"/>
        </w:rPr>
        <w:t>Air Navigation (Exemption for Commercial Non-Scheduled Flights) Determination 2019</w:t>
      </w:r>
      <w:r w:rsidRPr="007F4B61">
        <w:rPr>
          <w:rFonts w:ascii="Times New Roman" w:eastAsia="Times New Roman" w:hAnsi="Times New Roman" w:cs="Times New Roman"/>
          <w:color w:val="000000"/>
          <w:sz w:val="24"/>
          <w:szCs w:val="24"/>
          <w:lang w:eastAsia="en-AU"/>
        </w:rPr>
        <w:t>, which exempts certain operators from the requirement to obtain permission from the Secretary of the Department of Infrastructure, Transport, Regional Development</w:t>
      </w:r>
      <w:r>
        <w:rPr>
          <w:rFonts w:ascii="Times New Roman" w:eastAsia="Times New Roman" w:hAnsi="Times New Roman" w:cs="Times New Roman"/>
          <w:color w:val="000000"/>
          <w:sz w:val="24"/>
          <w:szCs w:val="24"/>
          <w:lang w:eastAsia="en-AU"/>
        </w:rPr>
        <w:t>,</w:t>
      </w:r>
      <w:r w:rsidRPr="007F4B61">
        <w:rPr>
          <w:rFonts w:ascii="Times New Roman" w:eastAsia="Times New Roman" w:hAnsi="Times New Roman" w:cs="Times New Roman"/>
          <w:color w:val="000000"/>
          <w:sz w:val="24"/>
          <w:szCs w:val="24"/>
          <w:lang w:eastAsia="en-AU"/>
        </w:rPr>
        <w:t xml:space="preserve"> Communications</w:t>
      </w:r>
      <w:r>
        <w:rPr>
          <w:rFonts w:ascii="Times New Roman" w:eastAsia="Times New Roman" w:hAnsi="Times New Roman" w:cs="Times New Roman"/>
          <w:color w:val="000000"/>
          <w:sz w:val="24"/>
          <w:szCs w:val="24"/>
          <w:lang w:eastAsia="en-AU"/>
        </w:rPr>
        <w:t xml:space="preserve"> and the Arts</w:t>
      </w:r>
      <w:r w:rsidRPr="007F4B61">
        <w:rPr>
          <w:rFonts w:ascii="Times New Roman" w:eastAsia="Times New Roman" w:hAnsi="Times New Roman" w:cs="Times New Roman"/>
          <w:color w:val="000000"/>
          <w:sz w:val="24"/>
          <w:szCs w:val="24"/>
          <w:lang w:eastAsia="en-AU"/>
        </w:rPr>
        <w:t xml:space="preserve"> (the Department) for certain categories of non-scheduled</w:t>
      </w:r>
      <w:r w:rsidR="002D7F04">
        <w:rPr>
          <w:rFonts w:ascii="Times New Roman" w:eastAsia="Times New Roman" w:hAnsi="Times New Roman" w:cs="Times New Roman"/>
          <w:color w:val="000000"/>
          <w:sz w:val="24"/>
          <w:szCs w:val="24"/>
          <w:lang w:eastAsia="en-AU"/>
        </w:rPr>
        <w:t xml:space="preserve"> international</w:t>
      </w:r>
      <w:r w:rsidRPr="007F4B61">
        <w:rPr>
          <w:rFonts w:ascii="Times New Roman" w:eastAsia="Times New Roman" w:hAnsi="Times New Roman" w:cs="Times New Roman"/>
          <w:color w:val="000000"/>
          <w:sz w:val="24"/>
          <w:szCs w:val="24"/>
          <w:lang w:eastAsia="en-AU"/>
        </w:rPr>
        <w:t xml:space="preserve"> flights.</w:t>
      </w:r>
    </w:p>
    <w:p w14:paraId="336ED686"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0D8D3FA7" w14:textId="06E455FF" w:rsidR="00D5651F" w:rsidRDefault="007F4B61" w:rsidP="00D45C2E">
      <w:pPr>
        <w:shd w:val="clear" w:color="auto" w:fill="FFFFFF"/>
        <w:spacing w:after="0" w:line="233" w:lineRule="atLeast"/>
        <w:rPr>
          <w:rFonts w:ascii="Times New Roman" w:eastAsia="Times New Roman" w:hAnsi="Times New Roman" w:cs="Times New Roman"/>
          <w:color w:val="000000"/>
          <w:sz w:val="24"/>
          <w:szCs w:val="24"/>
          <w:lang w:eastAsia="en-AU"/>
        </w:rPr>
      </w:pPr>
      <w:r w:rsidRPr="007F4B61">
        <w:rPr>
          <w:rFonts w:ascii="Times New Roman" w:eastAsia="Times New Roman" w:hAnsi="Times New Roman" w:cs="Times New Roman"/>
          <w:color w:val="000000"/>
          <w:sz w:val="24"/>
          <w:szCs w:val="24"/>
          <w:lang w:eastAsia="en-AU"/>
        </w:rPr>
        <w:t>This Determination</w:t>
      </w:r>
      <w:r w:rsidR="00FE341B" w:rsidRPr="00D45C2E">
        <w:rPr>
          <w:rFonts w:ascii="Times New Roman" w:eastAsia="Times New Roman" w:hAnsi="Times New Roman" w:cs="Times New Roman"/>
          <w:color w:val="000000"/>
          <w:sz w:val="24"/>
          <w:szCs w:val="24"/>
          <w:lang w:eastAsia="en-AU"/>
        </w:rPr>
        <w:t xml:space="preserve"> remov</w:t>
      </w:r>
      <w:r w:rsidR="00653E24">
        <w:rPr>
          <w:rFonts w:ascii="Times New Roman" w:eastAsia="Times New Roman" w:hAnsi="Times New Roman" w:cs="Times New Roman"/>
          <w:color w:val="000000"/>
          <w:sz w:val="24"/>
          <w:szCs w:val="24"/>
          <w:lang w:eastAsia="en-AU"/>
        </w:rPr>
        <w:t>es</w:t>
      </w:r>
      <w:r w:rsidR="00FE341B" w:rsidRPr="00D45C2E">
        <w:rPr>
          <w:rFonts w:ascii="Times New Roman" w:eastAsia="Times New Roman" w:hAnsi="Times New Roman" w:cs="Times New Roman"/>
          <w:color w:val="000000"/>
          <w:sz w:val="24"/>
          <w:szCs w:val="24"/>
          <w:lang w:eastAsia="en-AU"/>
        </w:rPr>
        <w:t xml:space="preserve"> references to the </w:t>
      </w:r>
      <w:r w:rsidR="00FE341B" w:rsidRPr="00D45C2E">
        <w:rPr>
          <w:rFonts w:ascii="Times New Roman" w:eastAsia="Times New Roman" w:hAnsi="Times New Roman" w:cs="Times New Roman"/>
          <w:i/>
          <w:color w:val="000000"/>
          <w:sz w:val="24"/>
          <w:szCs w:val="24"/>
          <w:lang w:eastAsia="en-AU"/>
        </w:rPr>
        <w:t>Biosecurity (Human Biosecurity Emergency) (Human Coronavirus with Pandemic Potential) Declaration 2020</w:t>
      </w:r>
      <w:r w:rsidR="00FE341B" w:rsidRPr="00D45C2E">
        <w:rPr>
          <w:rFonts w:ascii="Times New Roman" w:eastAsia="Times New Roman" w:hAnsi="Times New Roman" w:cs="Times New Roman"/>
          <w:color w:val="000000"/>
          <w:sz w:val="24"/>
          <w:szCs w:val="24"/>
          <w:lang w:eastAsia="en-AU"/>
        </w:rPr>
        <w:t xml:space="preserve"> which ceased on 17</w:t>
      </w:r>
      <w:r w:rsidR="00D45C2E">
        <w:rPr>
          <w:rFonts w:ascii="Times New Roman" w:eastAsia="Times New Roman" w:hAnsi="Times New Roman" w:cs="Times New Roman"/>
          <w:color w:val="000000"/>
          <w:sz w:val="24"/>
          <w:szCs w:val="24"/>
          <w:lang w:eastAsia="en-AU"/>
        </w:rPr>
        <w:t> </w:t>
      </w:r>
      <w:r w:rsidR="00FE341B" w:rsidRPr="00D45C2E">
        <w:rPr>
          <w:rFonts w:ascii="Times New Roman" w:eastAsia="Times New Roman" w:hAnsi="Times New Roman" w:cs="Times New Roman"/>
          <w:color w:val="000000"/>
          <w:sz w:val="24"/>
          <w:szCs w:val="24"/>
          <w:lang w:eastAsia="en-AU"/>
        </w:rPr>
        <w:t>April</w:t>
      </w:r>
      <w:r w:rsidR="00D45C2E">
        <w:rPr>
          <w:rFonts w:ascii="Times New Roman" w:eastAsia="Times New Roman" w:hAnsi="Times New Roman" w:cs="Times New Roman"/>
          <w:color w:val="000000"/>
          <w:sz w:val="24"/>
          <w:szCs w:val="24"/>
          <w:lang w:eastAsia="en-AU"/>
        </w:rPr>
        <w:t> </w:t>
      </w:r>
      <w:r w:rsidR="00FE341B" w:rsidRPr="00D45C2E">
        <w:rPr>
          <w:rFonts w:ascii="Times New Roman" w:eastAsia="Times New Roman" w:hAnsi="Times New Roman" w:cs="Times New Roman"/>
          <w:color w:val="000000"/>
          <w:sz w:val="24"/>
          <w:szCs w:val="24"/>
          <w:lang w:eastAsia="en-AU"/>
        </w:rPr>
        <w:t>2022</w:t>
      </w:r>
      <w:r w:rsidR="00532B7F">
        <w:rPr>
          <w:rFonts w:ascii="Times New Roman" w:eastAsia="Times New Roman" w:hAnsi="Times New Roman" w:cs="Times New Roman"/>
          <w:color w:val="000000"/>
          <w:sz w:val="24"/>
          <w:szCs w:val="24"/>
          <w:lang w:eastAsia="en-AU"/>
        </w:rPr>
        <w:t xml:space="preserve"> and</w:t>
      </w:r>
      <w:r w:rsidR="00532B7F" w:rsidRPr="00532B7F">
        <w:rPr>
          <w:rFonts w:ascii="Times New Roman" w:eastAsia="Times New Roman" w:hAnsi="Times New Roman" w:cs="Times New Roman"/>
          <w:color w:val="000000"/>
          <w:sz w:val="24"/>
          <w:szCs w:val="24"/>
          <w:lang w:eastAsia="en-AU"/>
        </w:rPr>
        <w:t xml:space="preserve"> </w:t>
      </w:r>
      <w:r w:rsidR="00532B7F">
        <w:rPr>
          <w:rFonts w:ascii="Times New Roman" w:eastAsia="Times New Roman" w:hAnsi="Times New Roman" w:cs="Times New Roman"/>
          <w:color w:val="000000"/>
          <w:sz w:val="24"/>
          <w:szCs w:val="24"/>
          <w:lang w:eastAsia="en-AU"/>
        </w:rPr>
        <w:t>clarifies</w:t>
      </w:r>
      <w:r w:rsidR="00532B7F" w:rsidRPr="00927290">
        <w:rPr>
          <w:rFonts w:ascii="Times New Roman" w:eastAsia="Times New Roman" w:hAnsi="Times New Roman" w:cs="Times New Roman"/>
          <w:color w:val="000000"/>
          <w:sz w:val="24"/>
          <w:szCs w:val="24"/>
          <w:lang w:eastAsia="en-AU"/>
        </w:rPr>
        <w:t xml:space="preserve"> for industry </w:t>
      </w:r>
      <w:r w:rsidR="002060FD">
        <w:rPr>
          <w:rFonts w:ascii="Times New Roman" w:eastAsia="Times New Roman" w:hAnsi="Times New Roman" w:cs="Times New Roman"/>
          <w:color w:val="000000"/>
          <w:sz w:val="24"/>
          <w:szCs w:val="24"/>
          <w:lang w:eastAsia="en-AU"/>
        </w:rPr>
        <w:t xml:space="preserve">that single </w:t>
      </w:r>
      <w:r w:rsidR="001F360F">
        <w:rPr>
          <w:rFonts w:ascii="Times New Roman" w:eastAsia="Times New Roman" w:hAnsi="Times New Roman" w:cs="Times New Roman"/>
          <w:color w:val="000000"/>
          <w:sz w:val="24"/>
          <w:szCs w:val="24"/>
          <w:lang w:eastAsia="en-AU"/>
        </w:rPr>
        <w:t xml:space="preserve">international </w:t>
      </w:r>
      <w:r w:rsidR="002060FD">
        <w:rPr>
          <w:rFonts w:ascii="Times New Roman" w:eastAsia="Times New Roman" w:hAnsi="Times New Roman" w:cs="Times New Roman"/>
          <w:color w:val="000000"/>
          <w:sz w:val="24"/>
          <w:szCs w:val="24"/>
          <w:lang w:eastAsia="en-AU"/>
        </w:rPr>
        <w:t xml:space="preserve">charter flights and </w:t>
      </w:r>
      <w:r w:rsidR="00F20E5B">
        <w:rPr>
          <w:rFonts w:ascii="Times New Roman" w:eastAsia="Times New Roman" w:hAnsi="Times New Roman" w:cs="Times New Roman"/>
          <w:color w:val="000000"/>
          <w:sz w:val="24"/>
          <w:szCs w:val="24"/>
          <w:lang w:eastAsia="en-AU"/>
        </w:rPr>
        <w:t xml:space="preserve">a </w:t>
      </w:r>
      <w:r w:rsidR="002060FD">
        <w:rPr>
          <w:rFonts w:ascii="Times New Roman" w:eastAsia="Times New Roman" w:hAnsi="Times New Roman" w:cs="Times New Roman"/>
          <w:color w:val="000000"/>
          <w:sz w:val="24"/>
          <w:szCs w:val="24"/>
          <w:lang w:eastAsia="en-AU"/>
        </w:rPr>
        <w:t>program of</w:t>
      </w:r>
      <w:r w:rsidR="001F360F">
        <w:rPr>
          <w:rFonts w:ascii="Times New Roman" w:eastAsia="Times New Roman" w:hAnsi="Times New Roman" w:cs="Times New Roman"/>
          <w:color w:val="000000"/>
          <w:sz w:val="24"/>
          <w:szCs w:val="24"/>
          <w:lang w:eastAsia="en-AU"/>
        </w:rPr>
        <w:t xml:space="preserve"> international</w:t>
      </w:r>
      <w:r w:rsidR="002060FD">
        <w:rPr>
          <w:rFonts w:ascii="Times New Roman" w:eastAsia="Times New Roman" w:hAnsi="Times New Roman" w:cs="Times New Roman"/>
          <w:color w:val="000000"/>
          <w:sz w:val="24"/>
          <w:szCs w:val="24"/>
          <w:lang w:eastAsia="en-AU"/>
        </w:rPr>
        <w:t xml:space="preserve"> charter</w:t>
      </w:r>
      <w:r w:rsidR="00F20E5B">
        <w:rPr>
          <w:rFonts w:ascii="Times New Roman" w:eastAsia="Times New Roman" w:hAnsi="Times New Roman" w:cs="Times New Roman"/>
          <w:color w:val="000000"/>
          <w:sz w:val="24"/>
          <w:szCs w:val="24"/>
          <w:lang w:eastAsia="en-AU"/>
        </w:rPr>
        <w:t>s that do not exceed certain limits on seating capacity and number of flights</w:t>
      </w:r>
      <w:r w:rsidR="00816521">
        <w:rPr>
          <w:rFonts w:ascii="Times New Roman" w:eastAsia="Times New Roman" w:hAnsi="Times New Roman" w:cs="Times New Roman"/>
          <w:color w:val="000000"/>
          <w:sz w:val="24"/>
          <w:szCs w:val="24"/>
          <w:lang w:eastAsia="en-AU"/>
        </w:rPr>
        <w:t>,</w:t>
      </w:r>
      <w:r w:rsidR="00F20E5B">
        <w:rPr>
          <w:rFonts w:ascii="Times New Roman" w:eastAsia="Times New Roman" w:hAnsi="Times New Roman" w:cs="Times New Roman"/>
          <w:color w:val="000000"/>
          <w:sz w:val="24"/>
          <w:szCs w:val="24"/>
          <w:lang w:eastAsia="en-AU"/>
        </w:rPr>
        <w:t xml:space="preserve"> </w:t>
      </w:r>
      <w:r w:rsidR="00532B7F" w:rsidRPr="00927290">
        <w:rPr>
          <w:rFonts w:ascii="Times New Roman" w:eastAsia="Times New Roman" w:hAnsi="Times New Roman" w:cs="Times New Roman"/>
          <w:color w:val="000000"/>
          <w:sz w:val="24"/>
          <w:szCs w:val="24"/>
          <w:lang w:eastAsia="en-AU"/>
        </w:rPr>
        <w:t>do not require permission from the Department</w:t>
      </w:r>
      <w:r w:rsidR="00532B7F">
        <w:rPr>
          <w:rFonts w:ascii="Times New Roman" w:eastAsia="Times New Roman" w:hAnsi="Times New Roman" w:cs="Times New Roman"/>
          <w:color w:val="000000"/>
          <w:sz w:val="24"/>
          <w:szCs w:val="24"/>
          <w:lang w:eastAsia="en-AU"/>
        </w:rPr>
        <w:t xml:space="preserve"> to operate in Australia</w:t>
      </w:r>
      <w:r w:rsidR="00FE341B" w:rsidRPr="00D45C2E">
        <w:rPr>
          <w:rFonts w:ascii="Times New Roman" w:eastAsia="Times New Roman" w:hAnsi="Times New Roman" w:cs="Times New Roman"/>
          <w:color w:val="000000"/>
          <w:sz w:val="24"/>
          <w:szCs w:val="24"/>
          <w:lang w:eastAsia="en-AU"/>
        </w:rPr>
        <w:t>.</w:t>
      </w:r>
      <w:r w:rsidR="00FE341B">
        <w:rPr>
          <w:lang w:val="en-US"/>
        </w:rPr>
        <w:t xml:space="preserve"> </w:t>
      </w:r>
    </w:p>
    <w:p w14:paraId="3721F680"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2CFA66B7"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val="x-none" w:eastAsia="en-AU"/>
        </w:rPr>
        <w:t>Under subsection 33(3) of the </w:t>
      </w:r>
      <w:r w:rsidRPr="007F4B61">
        <w:rPr>
          <w:rFonts w:ascii="Times New Roman" w:eastAsia="Times New Roman" w:hAnsi="Times New Roman" w:cs="Times New Roman"/>
          <w:i/>
          <w:iCs/>
          <w:color w:val="000000"/>
          <w:sz w:val="24"/>
          <w:szCs w:val="24"/>
          <w:lang w:val="x-none" w:eastAsia="en-AU"/>
        </w:rPr>
        <w:t>Acts Interpretation Act 1901, </w:t>
      </w:r>
      <w:r w:rsidRPr="007F4B61">
        <w:rPr>
          <w:rFonts w:ascii="Times New Roman" w:eastAsia="Times New Roman" w:hAnsi="Times New Roman" w:cs="Times New Roman"/>
          <w:color w:val="000000"/>
          <w:sz w:val="24"/>
          <w:szCs w:val="24"/>
          <w:lang w:val="x-none" w:eastAsia="en-AU"/>
        </w:rPr>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D4348A2"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394633A3"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Sections 1 to 3 are machinery provisions associated with the making of this instrument, including the name of the instrument, the commencement date, and the authority under which the instrument is made.</w:t>
      </w:r>
    </w:p>
    <w:p w14:paraId="5537C450"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57731192"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Section 4 refers to Schedule 1 of the instrument which amends the previous Determination made in 2019.</w:t>
      </w:r>
    </w:p>
    <w:p w14:paraId="7475E614"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6A087783" w14:textId="5A70A0FD"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xml:space="preserve">The Australian Government regulates non-scheduled </w:t>
      </w:r>
      <w:r w:rsidR="001F360F">
        <w:rPr>
          <w:rFonts w:ascii="Times New Roman" w:eastAsia="Times New Roman" w:hAnsi="Times New Roman" w:cs="Times New Roman"/>
          <w:color w:val="000000"/>
          <w:sz w:val="24"/>
          <w:szCs w:val="24"/>
          <w:lang w:eastAsia="en-AU"/>
        </w:rPr>
        <w:t xml:space="preserve">international </w:t>
      </w:r>
      <w:r w:rsidRPr="007F4B61">
        <w:rPr>
          <w:rFonts w:ascii="Times New Roman" w:eastAsia="Times New Roman" w:hAnsi="Times New Roman" w:cs="Times New Roman"/>
          <w:color w:val="000000"/>
          <w:sz w:val="24"/>
          <w:szCs w:val="24"/>
          <w:lang w:eastAsia="en-AU"/>
        </w:rPr>
        <w:t>flights through an approvals process that enables regulatory authorities to examine compliance with relevant operational requirements and to ensure adequate consumer protection measures are in place. In addition, the approvals process tests whether the proposed non-scheduled flights meet the identified need and ensures such flights are not a substitute for regular scheduled services as provided for under Australia’s bilateral air services arrangements.</w:t>
      </w:r>
    </w:p>
    <w:p w14:paraId="61DDCC4E"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14F3C5DF" w14:textId="20EBA8A8"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Section 15A of the </w:t>
      </w:r>
      <w:r w:rsidRPr="007F4B61">
        <w:rPr>
          <w:rFonts w:ascii="Times New Roman" w:eastAsia="Times New Roman" w:hAnsi="Times New Roman" w:cs="Times New Roman"/>
          <w:i/>
          <w:iCs/>
          <w:color w:val="000000"/>
          <w:sz w:val="24"/>
          <w:szCs w:val="24"/>
          <w:lang w:eastAsia="en-AU"/>
        </w:rPr>
        <w:t>Air Navigation Act 1920</w:t>
      </w:r>
      <w:r w:rsidRPr="007F4B61">
        <w:rPr>
          <w:rFonts w:ascii="Times New Roman" w:eastAsia="Times New Roman" w:hAnsi="Times New Roman" w:cs="Times New Roman"/>
          <w:color w:val="000000"/>
          <w:sz w:val="24"/>
          <w:szCs w:val="24"/>
          <w:lang w:eastAsia="en-AU"/>
        </w:rPr>
        <w:t xml:space="preserve"> (the Act) generally prohibits non-scheduled </w:t>
      </w:r>
      <w:r w:rsidR="001F360F">
        <w:rPr>
          <w:rFonts w:ascii="Times New Roman" w:eastAsia="Times New Roman" w:hAnsi="Times New Roman" w:cs="Times New Roman"/>
          <w:color w:val="000000"/>
          <w:sz w:val="24"/>
          <w:szCs w:val="24"/>
          <w:lang w:eastAsia="en-AU"/>
        </w:rPr>
        <w:t xml:space="preserve">international </w:t>
      </w:r>
      <w:r w:rsidRPr="007F4B61">
        <w:rPr>
          <w:rFonts w:ascii="Times New Roman" w:eastAsia="Times New Roman" w:hAnsi="Times New Roman" w:cs="Times New Roman"/>
          <w:color w:val="000000"/>
          <w:sz w:val="24"/>
          <w:szCs w:val="24"/>
          <w:lang w:eastAsia="en-AU"/>
        </w:rPr>
        <w:t xml:space="preserve">flights to or from Australia without permission from the Secretary of the Department. However, under subsection 15A(3) of the Act, the Secretary may determine that a permission is not required in relation to a category of commercial non-scheduled </w:t>
      </w:r>
      <w:r w:rsidR="001F360F">
        <w:rPr>
          <w:rFonts w:ascii="Times New Roman" w:eastAsia="Times New Roman" w:hAnsi="Times New Roman" w:cs="Times New Roman"/>
          <w:color w:val="000000"/>
          <w:sz w:val="24"/>
          <w:szCs w:val="24"/>
          <w:lang w:eastAsia="en-AU"/>
        </w:rPr>
        <w:t xml:space="preserve">international </w:t>
      </w:r>
      <w:r w:rsidRPr="007F4B61">
        <w:rPr>
          <w:rFonts w:ascii="Times New Roman" w:eastAsia="Times New Roman" w:hAnsi="Times New Roman" w:cs="Times New Roman"/>
          <w:color w:val="000000"/>
          <w:sz w:val="24"/>
          <w:szCs w:val="24"/>
          <w:lang w:eastAsia="en-AU"/>
        </w:rPr>
        <w:t>flights. These categories are described in sections 7 to 10 of the Determination.</w:t>
      </w:r>
    </w:p>
    <w:p w14:paraId="66FAC750"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1EF22840" w14:textId="5B7593E3"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xml:space="preserve">Schedule 1 provides </w:t>
      </w:r>
      <w:r w:rsidR="00F20E5B">
        <w:rPr>
          <w:rFonts w:ascii="Times New Roman" w:eastAsia="Times New Roman" w:hAnsi="Times New Roman" w:cs="Times New Roman"/>
          <w:color w:val="000000"/>
          <w:sz w:val="24"/>
          <w:szCs w:val="24"/>
          <w:lang w:eastAsia="en-AU"/>
        </w:rPr>
        <w:t xml:space="preserve">exemptions </w:t>
      </w:r>
      <w:r w:rsidR="005D387D">
        <w:rPr>
          <w:rFonts w:ascii="Times New Roman" w:eastAsia="Times New Roman" w:hAnsi="Times New Roman" w:cs="Times New Roman"/>
          <w:color w:val="000000"/>
          <w:sz w:val="24"/>
          <w:szCs w:val="24"/>
          <w:lang w:eastAsia="en-AU"/>
        </w:rPr>
        <w:t>for categories of</w:t>
      </w:r>
      <w:r w:rsidR="00A457EF">
        <w:rPr>
          <w:rFonts w:ascii="Times New Roman" w:eastAsia="Times New Roman" w:hAnsi="Times New Roman" w:cs="Times New Roman"/>
          <w:color w:val="000000"/>
          <w:sz w:val="24"/>
          <w:szCs w:val="24"/>
          <w:lang w:eastAsia="en-AU"/>
        </w:rPr>
        <w:t xml:space="preserve"> non-scheduled</w:t>
      </w:r>
      <w:r w:rsidR="005D387D">
        <w:rPr>
          <w:rFonts w:ascii="Times New Roman" w:eastAsia="Times New Roman" w:hAnsi="Times New Roman" w:cs="Times New Roman"/>
          <w:color w:val="000000"/>
          <w:sz w:val="24"/>
          <w:szCs w:val="24"/>
          <w:lang w:eastAsia="en-AU"/>
        </w:rPr>
        <w:t xml:space="preserve"> </w:t>
      </w:r>
      <w:r w:rsidR="001F360F">
        <w:rPr>
          <w:rFonts w:ascii="Times New Roman" w:eastAsia="Times New Roman" w:hAnsi="Times New Roman" w:cs="Times New Roman"/>
          <w:color w:val="000000"/>
          <w:sz w:val="24"/>
          <w:szCs w:val="24"/>
          <w:lang w:eastAsia="en-AU"/>
        </w:rPr>
        <w:t xml:space="preserve">international </w:t>
      </w:r>
      <w:r w:rsidR="005D387D">
        <w:rPr>
          <w:rFonts w:ascii="Times New Roman" w:eastAsia="Times New Roman" w:hAnsi="Times New Roman" w:cs="Times New Roman"/>
          <w:color w:val="000000"/>
          <w:sz w:val="24"/>
          <w:szCs w:val="24"/>
          <w:lang w:eastAsia="en-AU"/>
        </w:rPr>
        <w:t>flights</w:t>
      </w:r>
      <w:r w:rsidR="00F20E5B">
        <w:rPr>
          <w:rFonts w:ascii="Times New Roman" w:eastAsia="Times New Roman" w:hAnsi="Times New Roman" w:cs="Times New Roman"/>
          <w:color w:val="000000"/>
          <w:sz w:val="24"/>
          <w:szCs w:val="24"/>
          <w:lang w:eastAsia="en-AU"/>
        </w:rPr>
        <w:t>, including single charter flights and a program of charters that do not exceed limits on seating capacity and number of flights, from seeking permission to operate.</w:t>
      </w:r>
      <w:r w:rsidR="002258E6">
        <w:rPr>
          <w:rFonts w:ascii="Times New Roman" w:eastAsia="Times New Roman" w:hAnsi="Times New Roman" w:cs="Times New Roman"/>
          <w:color w:val="000000"/>
          <w:sz w:val="24"/>
          <w:szCs w:val="24"/>
          <w:lang w:eastAsia="en-AU"/>
        </w:rPr>
        <w:t xml:space="preserve"> </w:t>
      </w:r>
      <w:r w:rsidR="002258E6" w:rsidRPr="007F4B61" w:rsidDel="002258E6">
        <w:rPr>
          <w:rFonts w:ascii="Times New Roman" w:eastAsia="Times New Roman" w:hAnsi="Times New Roman" w:cs="Times New Roman"/>
          <w:color w:val="000000"/>
          <w:sz w:val="24"/>
          <w:szCs w:val="24"/>
          <w:lang w:eastAsia="en-AU"/>
        </w:rPr>
        <w:t xml:space="preserve"> </w:t>
      </w:r>
      <w:r w:rsidRPr="007F4B61">
        <w:rPr>
          <w:rFonts w:ascii="Times New Roman" w:eastAsia="Times New Roman" w:hAnsi="Times New Roman" w:cs="Times New Roman"/>
          <w:color w:val="000000"/>
          <w:sz w:val="24"/>
          <w:szCs w:val="24"/>
          <w:lang w:eastAsia="en-AU"/>
        </w:rPr>
        <w:t> </w:t>
      </w:r>
    </w:p>
    <w:p w14:paraId="01C4472B" w14:textId="61EAFCC2" w:rsidR="002258E6" w:rsidRDefault="002258E6" w:rsidP="007F4B61">
      <w:pPr>
        <w:shd w:val="clear" w:color="auto" w:fill="FFFFFF"/>
        <w:spacing w:after="0" w:line="240" w:lineRule="auto"/>
        <w:rPr>
          <w:rFonts w:ascii="Calibri" w:eastAsia="Times New Roman" w:hAnsi="Calibri" w:cs="Calibri"/>
          <w:color w:val="000000"/>
          <w:lang w:eastAsia="en-AU"/>
        </w:rPr>
      </w:pPr>
    </w:p>
    <w:p w14:paraId="0EEF8AE7" w14:textId="59C008C6" w:rsidR="002258E6" w:rsidRDefault="002258E6" w:rsidP="007F4B61">
      <w:pPr>
        <w:shd w:val="clear" w:color="auto" w:fill="FFFFFF"/>
        <w:spacing w:after="0" w:line="240" w:lineRule="auto"/>
        <w:rPr>
          <w:rFonts w:ascii="Times New Roman" w:eastAsia="Times New Roman" w:hAnsi="Times New Roman" w:cs="Times New Roman"/>
          <w:color w:val="000000"/>
          <w:sz w:val="24"/>
          <w:szCs w:val="24"/>
          <w:lang w:eastAsia="en-AU"/>
        </w:rPr>
      </w:pPr>
      <w:r w:rsidRPr="00511F07">
        <w:rPr>
          <w:rFonts w:ascii="Times New Roman" w:eastAsia="Times New Roman" w:hAnsi="Times New Roman" w:cs="Times New Roman"/>
          <w:color w:val="000000"/>
          <w:sz w:val="24"/>
          <w:szCs w:val="24"/>
          <w:lang w:eastAsia="en-AU"/>
        </w:rPr>
        <w:t xml:space="preserve">The purpose of the amendment is to remove the two references to the </w:t>
      </w:r>
      <w:r w:rsidRPr="00511F07">
        <w:rPr>
          <w:rFonts w:ascii="Times New Roman" w:eastAsia="Times New Roman" w:hAnsi="Times New Roman" w:cs="Times New Roman"/>
          <w:i/>
          <w:color w:val="000000"/>
          <w:sz w:val="24"/>
          <w:szCs w:val="24"/>
          <w:lang w:eastAsia="en-AU"/>
        </w:rPr>
        <w:t>Biosecurity (Human Biosecurity Emergency) (Human Coronavirus with Pandemic Potential) Declaration 2020</w:t>
      </w:r>
      <w:r w:rsidRPr="00511F07">
        <w:rPr>
          <w:rFonts w:ascii="Times New Roman" w:eastAsia="Times New Roman" w:hAnsi="Times New Roman" w:cs="Times New Roman"/>
          <w:color w:val="000000"/>
          <w:sz w:val="24"/>
          <w:szCs w:val="24"/>
          <w:lang w:eastAsia="en-AU"/>
        </w:rPr>
        <w:t xml:space="preserve"> which ended on 17 April 2022. All other categories of exemptions remain unchanged.</w:t>
      </w:r>
    </w:p>
    <w:p w14:paraId="31846617"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lastRenderedPageBreak/>
        <w:t> </w:t>
      </w:r>
    </w:p>
    <w:p w14:paraId="7FE92A4E" w14:textId="75D527EA" w:rsidR="007F4B61" w:rsidRPr="007F4B61" w:rsidRDefault="002258E6" w:rsidP="007F4B61">
      <w:pPr>
        <w:shd w:val="clear" w:color="auto" w:fill="FFFFFF"/>
        <w:spacing w:after="0" w:line="240" w:lineRule="auto"/>
        <w:rPr>
          <w:rFonts w:ascii="Calibri" w:eastAsia="Times New Roman" w:hAnsi="Calibri" w:cs="Calibri"/>
          <w:color w:val="000000"/>
          <w:lang w:eastAsia="en-AU"/>
        </w:rPr>
      </w:pPr>
      <w:r>
        <w:rPr>
          <w:rFonts w:ascii="Times New Roman" w:eastAsia="Times New Roman" w:hAnsi="Times New Roman" w:cs="Times New Roman"/>
          <w:color w:val="000000"/>
          <w:sz w:val="24"/>
          <w:szCs w:val="24"/>
          <w:lang w:eastAsia="en-AU"/>
        </w:rPr>
        <w:t>O</w:t>
      </w:r>
      <w:r w:rsidR="007F4B61" w:rsidRPr="007F4B61">
        <w:rPr>
          <w:rFonts w:ascii="Times New Roman" w:eastAsia="Times New Roman" w:hAnsi="Times New Roman" w:cs="Times New Roman"/>
          <w:color w:val="000000"/>
          <w:sz w:val="24"/>
          <w:szCs w:val="24"/>
          <w:lang w:eastAsia="en-AU"/>
        </w:rPr>
        <w:t xml:space="preserve">perators of multiple </w:t>
      </w:r>
      <w:r w:rsidR="001F360F">
        <w:rPr>
          <w:rFonts w:ascii="Times New Roman" w:eastAsia="Times New Roman" w:hAnsi="Times New Roman" w:cs="Times New Roman"/>
          <w:color w:val="000000"/>
          <w:sz w:val="24"/>
          <w:szCs w:val="24"/>
          <w:lang w:eastAsia="en-AU"/>
        </w:rPr>
        <w:t xml:space="preserve">international </w:t>
      </w:r>
      <w:r w:rsidR="007F4B61" w:rsidRPr="007F4B61">
        <w:rPr>
          <w:rFonts w:ascii="Times New Roman" w:eastAsia="Times New Roman" w:hAnsi="Times New Roman" w:cs="Times New Roman"/>
          <w:color w:val="000000"/>
          <w:sz w:val="24"/>
          <w:szCs w:val="24"/>
          <w:lang w:eastAsia="en-AU"/>
        </w:rPr>
        <w:t>charter flights forming part of a program and exceeding certain aircraft seating capacity and flight number limits</w:t>
      </w:r>
      <w:r>
        <w:rPr>
          <w:rFonts w:ascii="Times New Roman" w:eastAsia="Times New Roman" w:hAnsi="Times New Roman" w:cs="Times New Roman"/>
          <w:color w:val="000000"/>
          <w:sz w:val="24"/>
          <w:szCs w:val="24"/>
          <w:lang w:eastAsia="en-AU"/>
        </w:rPr>
        <w:t>, continue to require the Department’s approval to operate</w:t>
      </w:r>
      <w:r w:rsidR="007F4B61" w:rsidRPr="007F4B61">
        <w:rPr>
          <w:rFonts w:ascii="Times New Roman" w:eastAsia="Times New Roman" w:hAnsi="Times New Roman" w:cs="Times New Roman"/>
          <w:color w:val="000000"/>
          <w:sz w:val="24"/>
          <w:szCs w:val="24"/>
          <w:lang w:eastAsia="en-AU"/>
        </w:rPr>
        <w:t>.</w:t>
      </w:r>
    </w:p>
    <w:p w14:paraId="2F08F0E4"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050E2CBB" w14:textId="160D4AC0" w:rsidR="007F4B61" w:rsidRDefault="007F4B61" w:rsidP="007F4B61">
      <w:pPr>
        <w:shd w:val="clear" w:color="auto" w:fill="FFFFFF"/>
        <w:spacing w:after="0" w:line="240" w:lineRule="auto"/>
        <w:rPr>
          <w:rFonts w:ascii="Times New Roman" w:eastAsia="Times New Roman" w:hAnsi="Times New Roman" w:cs="Times New Roman"/>
          <w:color w:val="000000"/>
          <w:sz w:val="24"/>
          <w:szCs w:val="24"/>
          <w:lang w:eastAsia="en-AU"/>
        </w:rPr>
      </w:pPr>
      <w:r w:rsidRPr="007F4B61">
        <w:rPr>
          <w:rFonts w:ascii="Times New Roman" w:eastAsia="Times New Roman" w:hAnsi="Times New Roman" w:cs="Times New Roman"/>
          <w:color w:val="000000"/>
          <w:sz w:val="24"/>
          <w:szCs w:val="24"/>
          <w:lang w:eastAsia="en-AU"/>
        </w:rPr>
        <w:t>Operators of all international non-scheduled flights must comply with a number of other regulatory requirements, including those relating to safety, security, border control, and protection of the environment.</w:t>
      </w:r>
    </w:p>
    <w:p w14:paraId="0BD6A381" w14:textId="7D58DD53" w:rsidR="007F4B61" w:rsidRPr="007F4B61" w:rsidRDefault="007F4B61" w:rsidP="007F4B61">
      <w:pPr>
        <w:shd w:val="clear" w:color="auto" w:fill="FFFFFF"/>
        <w:spacing w:after="0" w:line="240" w:lineRule="auto"/>
        <w:rPr>
          <w:rFonts w:ascii="Calibri" w:eastAsia="Times New Roman" w:hAnsi="Calibri" w:cs="Calibri"/>
          <w:color w:val="000000"/>
          <w:lang w:eastAsia="en-AU"/>
        </w:rPr>
      </w:pPr>
    </w:p>
    <w:p w14:paraId="444B4DBA" w14:textId="4F519558"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The power to make the Determination is contained in subsection 15A(3) of the</w:t>
      </w:r>
      <w:r w:rsidR="00C7116A">
        <w:rPr>
          <w:rFonts w:ascii="Times New Roman" w:eastAsia="Times New Roman" w:hAnsi="Times New Roman" w:cs="Times New Roman"/>
          <w:color w:val="000000"/>
          <w:sz w:val="24"/>
          <w:szCs w:val="24"/>
          <w:lang w:eastAsia="en-AU"/>
        </w:rPr>
        <w:t xml:space="preserve"> Act</w:t>
      </w:r>
      <w:r w:rsidRPr="007F4B61">
        <w:rPr>
          <w:rFonts w:ascii="Times New Roman" w:eastAsia="Times New Roman" w:hAnsi="Times New Roman" w:cs="Times New Roman"/>
          <w:i/>
          <w:iCs/>
          <w:color w:val="000000"/>
          <w:sz w:val="24"/>
          <w:szCs w:val="24"/>
          <w:lang w:eastAsia="en-AU"/>
        </w:rPr>
        <w:t>. </w:t>
      </w:r>
      <w:r w:rsidRPr="007F4B61">
        <w:rPr>
          <w:rFonts w:ascii="Times New Roman" w:eastAsia="Times New Roman" w:hAnsi="Times New Roman" w:cs="Times New Roman"/>
          <w:color w:val="000000"/>
          <w:sz w:val="24"/>
          <w:szCs w:val="24"/>
          <w:lang w:eastAsia="en-AU"/>
        </w:rPr>
        <w:t>Subsection 15A(3) allows the Secretary to make a determination that a permission is not required in relation to a category of commercial non-scheduled</w:t>
      </w:r>
      <w:r w:rsidR="001F360F">
        <w:rPr>
          <w:rFonts w:ascii="Times New Roman" w:eastAsia="Times New Roman" w:hAnsi="Times New Roman" w:cs="Times New Roman"/>
          <w:color w:val="000000"/>
          <w:sz w:val="24"/>
          <w:szCs w:val="24"/>
          <w:lang w:eastAsia="en-AU"/>
        </w:rPr>
        <w:t xml:space="preserve"> international</w:t>
      </w:r>
      <w:r w:rsidRPr="007F4B61">
        <w:rPr>
          <w:rFonts w:ascii="Times New Roman" w:eastAsia="Times New Roman" w:hAnsi="Times New Roman" w:cs="Times New Roman"/>
          <w:color w:val="000000"/>
          <w:sz w:val="24"/>
          <w:szCs w:val="24"/>
          <w:lang w:eastAsia="en-AU"/>
        </w:rPr>
        <w:t xml:space="preserve"> flights. The determination-making power in subsection 15A(3) has been delegated to the levels of Deputy Secretary and of SES2 and SES1 in </w:t>
      </w:r>
      <w:r w:rsidR="0006306D">
        <w:rPr>
          <w:rFonts w:ascii="Times New Roman" w:eastAsia="Times New Roman" w:hAnsi="Times New Roman" w:cs="Times New Roman"/>
          <w:color w:val="000000"/>
          <w:sz w:val="24"/>
          <w:szCs w:val="24"/>
          <w:lang w:eastAsia="en-AU"/>
        </w:rPr>
        <w:t>International Aviation, Technology and Services</w:t>
      </w:r>
      <w:r w:rsidRPr="007F4B61">
        <w:rPr>
          <w:rFonts w:ascii="Times New Roman" w:eastAsia="Times New Roman" w:hAnsi="Times New Roman" w:cs="Times New Roman"/>
          <w:color w:val="000000"/>
          <w:sz w:val="24"/>
          <w:szCs w:val="24"/>
          <w:lang w:eastAsia="en-AU"/>
        </w:rPr>
        <w:t xml:space="preserve"> Division under the Secretary’s Air Navigation Delegation Instrument 2016 (No. 1) dated 5</w:t>
      </w:r>
      <w:r w:rsidR="0006306D">
        <w:rPr>
          <w:rFonts w:ascii="Times New Roman" w:eastAsia="Times New Roman" w:hAnsi="Times New Roman" w:cs="Times New Roman"/>
          <w:color w:val="000000"/>
          <w:sz w:val="24"/>
          <w:szCs w:val="24"/>
          <w:lang w:eastAsia="en-AU"/>
        </w:rPr>
        <w:t> </w:t>
      </w:r>
      <w:r w:rsidRPr="007F4B61">
        <w:rPr>
          <w:rFonts w:ascii="Times New Roman" w:eastAsia="Times New Roman" w:hAnsi="Times New Roman" w:cs="Times New Roman"/>
          <w:color w:val="000000"/>
          <w:sz w:val="24"/>
          <w:szCs w:val="24"/>
          <w:lang w:eastAsia="en-AU"/>
        </w:rPr>
        <w:t>April 2016.</w:t>
      </w:r>
    </w:p>
    <w:p w14:paraId="17F1A573"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3712973B" w14:textId="607C5AA3" w:rsidR="007F4B61" w:rsidRDefault="007F4B61" w:rsidP="00233C3A">
      <w:pPr>
        <w:shd w:val="clear" w:color="auto" w:fill="FFFFFF"/>
        <w:spacing w:after="0" w:line="233" w:lineRule="atLeast"/>
        <w:rPr>
          <w:rFonts w:ascii="Times New Roman" w:eastAsia="Times New Roman" w:hAnsi="Times New Roman" w:cs="Times New Roman"/>
          <w:color w:val="000000"/>
          <w:sz w:val="24"/>
          <w:szCs w:val="24"/>
          <w:lang w:eastAsia="en-AU"/>
        </w:rPr>
      </w:pPr>
      <w:r w:rsidRPr="007F4B61">
        <w:rPr>
          <w:rFonts w:ascii="Times New Roman" w:eastAsia="Times New Roman" w:hAnsi="Times New Roman" w:cs="Times New Roman"/>
          <w:color w:val="000000"/>
          <w:sz w:val="24"/>
          <w:szCs w:val="24"/>
          <w:lang w:eastAsia="en-AU"/>
        </w:rPr>
        <w:t>In making the Determination, the Secretary (or delegate) considered the factors listed in s 15A(4) of the</w:t>
      </w:r>
      <w:r w:rsidR="00C7116A">
        <w:rPr>
          <w:rFonts w:ascii="Times New Roman" w:eastAsia="Times New Roman" w:hAnsi="Times New Roman" w:cs="Times New Roman"/>
          <w:color w:val="000000"/>
          <w:sz w:val="24"/>
          <w:szCs w:val="24"/>
          <w:lang w:eastAsia="en-AU"/>
        </w:rPr>
        <w:t xml:space="preserve"> Act</w:t>
      </w:r>
      <w:r w:rsidRPr="007F4B61">
        <w:rPr>
          <w:rFonts w:ascii="Times New Roman" w:eastAsia="Times New Roman" w:hAnsi="Times New Roman" w:cs="Times New Roman"/>
          <w:color w:val="000000"/>
          <w:sz w:val="24"/>
          <w:szCs w:val="24"/>
          <w:lang w:eastAsia="en-AU"/>
        </w:rPr>
        <w:t>, including the issue of public interest</w:t>
      </w:r>
      <w:r w:rsidR="00915FEC">
        <w:rPr>
          <w:rFonts w:ascii="Times New Roman" w:eastAsia="Times New Roman" w:hAnsi="Times New Roman" w:cs="Times New Roman"/>
          <w:color w:val="000000"/>
          <w:sz w:val="24"/>
          <w:szCs w:val="24"/>
          <w:lang w:eastAsia="en-AU"/>
        </w:rPr>
        <w:t xml:space="preserve"> and the promotion of trade and tourism as Australia recovers from the COVID-19 pandemic</w:t>
      </w:r>
      <w:r w:rsidRPr="007F4B61">
        <w:rPr>
          <w:rFonts w:ascii="Times New Roman" w:eastAsia="Times New Roman" w:hAnsi="Times New Roman" w:cs="Times New Roman"/>
          <w:color w:val="000000"/>
          <w:sz w:val="24"/>
          <w:szCs w:val="24"/>
          <w:lang w:eastAsia="en-AU"/>
        </w:rPr>
        <w:t>. </w:t>
      </w:r>
      <w:r w:rsidR="00C25F43" w:rsidRPr="005157A1">
        <w:rPr>
          <w:rFonts w:ascii="Times New Roman" w:eastAsia="Times New Roman" w:hAnsi="Times New Roman" w:cs="Times New Roman"/>
          <w:color w:val="000000"/>
          <w:sz w:val="24"/>
          <w:szCs w:val="24"/>
          <w:lang w:eastAsia="en-AU"/>
        </w:rPr>
        <w:t xml:space="preserve">The Department </w:t>
      </w:r>
      <w:r w:rsidR="00CA2D3F" w:rsidRPr="005157A1">
        <w:rPr>
          <w:rFonts w:ascii="Times New Roman" w:eastAsia="Times New Roman" w:hAnsi="Times New Roman" w:cs="Times New Roman"/>
          <w:color w:val="000000"/>
          <w:sz w:val="24"/>
          <w:szCs w:val="24"/>
          <w:lang w:eastAsia="en-AU"/>
        </w:rPr>
        <w:t>also undertook consultation</w:t>
      </w:r>
      <w:r w:rsidR="00C25F43" w:rsidRPr="005157A1">
        <w:rPr>
          <w:rFonts w:ascii="Times New Roman" w:eastAsia="Times New Roman" w:hAnsi="Times New Roman" w:cs="Times New Roman"/>
          <w:color w:val="000000"/>
          <w:sz w:val="24"/>
          <w:szCs w:val="24"/>
          <w:lang w:eastAsia="en-AU"/>
        </w:rPr>
        <w:t xml:space="preserve"> with Australian state and territory government agencies, Australian airlines, airports and air charter operators</w:t>
      </w:r>
      <w:r w:rsidR="00EC29B0" w:rsidRPr="005157A1">
        <w:rPr>
          <w:rFonts w:ascii="Times New Roman" w:eastAsia="Times New Roman" w:hAnsi="Times New Roman" w:cs="Times New Roman"/>
          <w:color w:val="000000"/>
          <w:sz w:val="24"/>
          <w:szCs w:val="24"/>
          <w:lang w:eastAsia="en-AU"/>
        </w:rPr>
        <w:t>,</w:t>
      </w:r>
      <w:r w:rsidR="00C25F43" w:rsidRPr="005157A1">
        <w:rPr>
          <w:rFonts w:ascii="Times New Roman" w:eastAsia="Times New Roman" w:hAnsi="Times New Roman" w:cs="Times New Roman"/>
          <w:color w:val="000000"/>
          <w:sz w:val="24"/>
          <w:szCs w:val="24"/>
          <w:lang w:eastAsia="en-AU"/>
        </w:rPr>
        <w:t xml:space="preserve"> </w:t>
      </w:r>
      <w:r w:rsidR="00EC29B0" w:rsidRPr="005157A1">
        <w:rPr>
          <w:rFonts w:ascii="Times New Roman" w:eastAsia="Times New Roman" w:hAnsi="Times New Roman" w:cs="Times New Roman"/>
          <w:color w:val="000000"/>
          <w:sz w:val="24"/>
          <w:szCs w:val="24"/>
          <w:lang w:eastAsia="en-AU"/>
        </w:rPr>
        <w:t xml:space="preserve">who all indicated their support for these </w:t>
      </w:r>
      <w:r w:rsidR="00C25F43" w:rsidRPr="005157A1">
        <w:rPr>
          <w:rFonts w:ascii="Times New Roman" w:eastAsia="Times New Roman" w:hAnsi="Times New Roman" w:cs="Times New Roman"/>
          <w:color w:val="000000"/>
          <w:sz w:val="24"/>
          <w:szCs w:val="24"/>
          <w:lang w:eastAsia="en-AU"/>
        </w:rPr>
        <w:t>amendments.</w:t>
      </w:r>
      <w:r w:rsidR="00C25F43">
        <w:rPr>
          <w:rFonts w:ascii="Times New Roman" w:eastAsia="Times New Roman" w:hAnsi="Times New Roman" w:cs="Times New Roman"/>
          <w:color w:val="000000"/>
          <w:sz w:val="24"/>
          <w:szCs w:val="24"/>
          <w:lang w:eastAsia="en-AU"/>
        </w:rPr>
        <w:t xml:space="preserve"> </w:t>
      </w:r>
    </w:p>
    <w:p w14:paraId="2878A787" w14:textId="77777777" w:rsidR="001F360F" w:rsidRPr="007F4B61" w:rsidRDefault="001F360F" w:rsidP="007F4B61">
      <w:pPr>
        <w:shd w:val="clear" w:color="auto" w:fill="FFFFFF"/>
        <w:spacing w:after="0" w:line="240" w:lineRule="auto"/>
        <w:rPr>
          <w:rFonts w:ascii="Calibri" w:eastAsia="Times New Roman" w:hAnsi="Calibri" w:cs="Calibri"/>
          <w:color w:val="000000"/>
          <w:lang w:eastAsia="en-AU"/>
        </w:rPr>
      </w:pPr>
    </w:p>
    <w:p w14:paraId="5F408C92"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bookmarkStart w:id="1" w:name="_Toc464743995"/>
      <w:r w:rsidRPr="007F4B61">
        <w:rPr>
          <w:rFonts w:ascii="Times New Roman" w:eastAsia="Times New Roman" w:hAnsi="Times New Roman" w:cs="Times New Roman"/>
          <w:color w:val="000000"/>
          <w:sz w:val="24"/>
          <w:szCs w:val="24"/>
          <w:lang w:eastAsia="en-AU"/>
        </w:rPr>
        <w:t>In accordance with section 18 of the Act, the Determination will be included </w:t>
      </w:r>
      <w:bookmarkEnd w:id="1"/>
      <w:r w:rsidRPr="007F4B61">
        <w:rPr>
          <w:rFonts w:ascii="Times New Roman" w:eastAsia="Times New Roman" w:hAnsi="Times New Roman" w:cs="Times New Roman"/>
          <w:color w:val="000000"/>
          <w:sz w:val="24"/>
          <w:szCs w:val="24"/>
          <w:lang w:eastAsia="en-AU"/>
        </w:rPr>
        <w:t>in the Aeronautical Information Publications published under regulations made under the </w:t>
      </w:r>
      <w:r w:rsidRPr="007F4B61">
        <w:rPr>
          <w:rFonts w:ascii="Times New Roman" w:eastAsia="Times New Roman" w:hAnsi="Times New Roman" w:cs="Times New Roman"/>
          <w:i/>
          <w:iCs/>
          <w:color w:val="000000"/>
          <w:sz w:val="24"/>
          <w:szCs w:val="24"/>
          <w:lang w:eastAsia="en-AU"/>
        </w:rPr>
        <w:t>Air Services Act 1995</w:t>
      </w:r>
      <w:r w:rsidRPr="007F4B61">
        <w:rPr>
          <w:rFonts w:ascii="Times New Roman" w:eastAsia="Times New Roman" w:hAnsi="Times New Roman" w:cs="Times New Roman"/>
          <w:color w:val="000000"/>
          <w:sz w:val="24"/>
          <w:szCs w:val="24"/>
          <w:lang w:eastAsia="en-AU"/>
        </w:rPr>
        <w:t>.</w:t>
      </w:r>
    </w:p>
    <w:p w14:paraId="4A5DAA95"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12E9E9C8" w14:textId="1345E339"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The Determination is a legislative instrument for the purposes of the </w:t>
      </w:r>
      <w:r w:rsidRPr="007F4B61">
        <w:rPr>
          <w:rFonts w:ascii="Times New Roman" w:eastAsia="Times New Roman" w:hAnsi="Times New Roman" w:cs="Times New Roman"/>
          <w:i/>
          <w:iCs/>
          <w:color w:val="000000"/>
          <w:sz w:val="24"/>
          <w:szCs w:val="24"/>
          <w:lang w:eastAsia="en-AU"/>
        </w:rPr>
        <w:t>Legislation Act 2003</w:t>
      </w:r>
      <w:r w:rsidRPr="007F4B61">
        <w:rPr>
          <w:rFonts w:ascii="Times New Roman" w:eastAsia="Times New Roman" w:hAnsi="Times New Roman" w:cs="Times New Roman"/>
          <w:color w:val="000000"/>
          <w:sz w:val="24"/>
          <w:szCs w:val="24"/>
          <w:lang w:eastAsia="en-AU"/>
        </w:rPr>
        <w:t>.</w:t>
      </w:r>
    </w:p>
    <w:p w14:paraId="32BA5B53"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324E4570"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7FCA9BB2"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1AC3FCD8"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6BC7A3A3"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64DD94C1" w14:textId="77777777" w:rsidR="007F4B61" w:rsidRPr="007F4B61" w:rsidRDefault="007F4B61" w:rsidP="007F4B61">
      <w:pPr>
        <w:shd w:val="clear" w:color="auto" w:fill="FFFFFF"/>
        <w:spacing w:after="0" w:line="240" w:lineRule="auto"/>
        <w:jc w:val="center"/>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w:t>
      </w:r>
    </w:p>
    <w:p w14:paraId="23A0A9B9"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659BF07A" w14:textId="77777777" w:rsidR="007F4B61" w:rsidRPr="007F4B61" w:rsidRDefault="007F4B61" w:rsidP="007F4B61">
      <w:pPr>
        <w:shd w:val="clear" w:color="auto" w:fill="FFFFFF"/>
        <w:spacing w:after="0" w:line="240" w:lineRule="auto"/>
        <w:jc w:val="center"/>
        <w:rPr>
          <w:rFonts w:ascii="Calibri" w:eastAsia="Times New Roman" w:hAnsi="Calibri" w:cs="Calibri"/>
          <w:color w:val="000000"/>
          <w:lang w:eastAsia="en-AU"/>
        </w:rPr>
      </w:pPr>
      <w:r w:rsidRPr="007F4B61">
        <w:rPr>
          <w:rFonts w:ascii="Times New Roman" w:eastAsia="Times New Roman" w:hAnsi="Times New Roman" w:cs="Times New Roman"/>
          <w:b/>
          <w:bCs/>
          <w:color w:val="000000"/>
          <w:sz w:val="24"/>
          <w:szCs w:val="24"/>
          <w:lang w:eastAsia="en-AU"/>
        </w:rPr>
        <w:t>Statement of Compatibility with Human Rights</w:t>
      </w:r>
    </w:p>
    <w:p w14:paraId="2A656318" w14:textId="77777777" w:rsidR="007F4B61" w:rsidRPr="007F4B61" w:rsidRDefault="007F4B61" w:rsidP="007F4B61">
      <w:pPr>
        <w:shd w:val="clear" w:color="auto" w:fill="FFFFFF"/>
        <w:spacing w:after="0" w:line="240" w:lineRule="auto"/>
        <w:jc w:val="center"/>
        <w:rPr>
          <w:rFonts w:ascii="Calibri" w:eastAsia="Times New Roman" w:hAnsi="Calibri" w:cs="Calibri"/>
          <w:color w:val="000000"/>
          <w:lang w:eastAsia="en-AU"/>
        </w:rPr>
      </w:pPr>
      <w:r w:rsidRPr="007F4B61">
        <w:rPr>
          <w:rFonts w:ascii="Times New Roman" w:eastAsia="Times New Roman" w:hAnsi="Times New Roman" w:cs="Times New Roman"/>
          <w:i/>
          <w:iCs/>
          <w:color w:val="000000"/>
          <w:sz w:val="24"/>
          <w:szCs w:val="24"/>
          <w:lang w:eastAsia="en-AU"/>
        </w:rPr>
        <w:t> </w:t>
      </w:r>
    </w:p>
    <w:p w14:paraId="0E976358" w14:textId="77777777" w:rsidR="007F4B61" w:rsidRPr="007F4B61" w:rsidRDefault="007F4B61" w:rsidP="007F4B61">
      <w:pPr>
        <w:shd w:val="clear" w:color="auto" w:fill="FFFFFF"/>
        <w:spacing w:after="0" w:line="240" w:lineRule="auto"/>
        <w:jc w:val="center"/>
        <w:rPr>
          <w:rFonts w:ascii="Calibri" w:eastAsia="Times New Roman" w:hAnsi="Calibri" w:cs="Calibri"/>
          <w:color w:val="000000"/>
          <w:lang w:eastAsia="en-AU"/>
        </w:rPr>
      </w:pPr>
      <w:r w:rsidRPr="007F4B61">
        <w:rPr>
          <w:rFonts w:ascii="Times New Roman" w:eastAsia="Times New Roman" w:hAnsi="Times New Roman" w:cs="Times New Roman"/>
          <w:i/>
          <w:iCs/>
          <w:color w:val="000000"/>
          <w:sz w:val="24"/>
          <w:szCs w:val="24"/>
          <w:lang w:eastAsia="en-AU"/>
        </w:rPr>
        <w:t>Prepared in accordance with Part 3 of the Human Rights (Parliamentary Scrutiny) Act 2011</w:t>
      </w:r>
    </w:p>
    <w:p w14:paraId="60CACF5A" w14:textId="77777777" w:rsidR="007F4B61" w:rsidRPr="007F4B61" w:rsidRDefault="007F4B61" w:rsidP="007F4B61">
      <w:pPr>
        <w:shd w:val="clear" w:color="auto" w:fill="FFFFFF"/>
        <w:spacing w:after="0" w:line="240" w:lineRule="auto"/>
        <w:jc w:val="center"/>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5F81AC39" w14:textId="77777777" w:rsidR="007F4B61" w:rsidRPr="007F4B61" w:rsidRDefault="007F4B61" w:rsidP="007F4B61">
      <w:pPr>
        <w:shd w:val="clear" w:color="auto" w:fill="FFFFFF"/>
        <w:spacing w:after="0" w:line="240" w:lineRule="auto"/>
        <w:jc w:val="center"/>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u w:val="single"/>
          <w:lang w:eastAsia="en-AU"/>
        </w:rPr>
        <w:t xml:space="preserve">Air Navigation (Exemption for Commercial Non-Scheduled Flights) Amendment Determination </w:t>
      </w:r>
      <w:r w:rsidR="007B707C" w:rsidRPr="007F4B61">
        <w:rPr>
          <w:rFonts w:ascii="Times New Roman" w:eastAsia="Times New Roman" w:hAnsi="Times New Roman" w:cs="Times New Roman"/>
          <w:color w:val="000000"/>
          <w:sz w:val="24"/>
          <w:szCs w:val="24"/>
          <w:u w:val="single"/>
          <w:lang w:eastAsia="en-AU"/>
        </w:rPr>
        <w:t>202</w:t>
      </w:r>
      <w:r w:rsidR="007B707C">
        <w:rPr>
          <w:rFonts w:ascii="Times New Roman" w:eastAsia="Times New Roman" w:hAnsi="Times New Roman" w:cs="Times New Roman"/>
          <w:color w:val="000000"/>
          <w:sz w:val="24"/>
          <w:szCs w:val="24"/>
          <w:u w:val="single"/>
          <w:lang w:eastAsia="en-AU"/>
        </w:rPr>
        <w:t>3</w:t>
      </w:r>
    </w:p>
    <w:p w14:paraId="0CB90291" w14:textId="77777777" w:rsidR="007F4B61" w:rsidRPr="007F4B61" w:rsidRDefault="007F4B61" w:rsidP="007F4B61">
      <w:pPr>
        <w:shd w:val="clear" w:color="auto" w:fill="FFFFFF"/>
        <w:spacing w:after="0" w:line="240" w:lineRule="auto"/>
        <w:jc w:val="center"/>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30A431D2"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This Legislative Instrument is compatible with the human rights and freedoms recognised or declared in the international instruments listed in section 3 of the </w:t>
      </w:r>
      <w:r w:rsidRPr="007F4B61">
        <w:rPr>
          <w:rFonts w:ascii="Times New Roman" w:eastAsia="Times New Roman" w:hAnsi="Times New Roman" w:cs="Times New Roman"/>
          <w:i/>
          <w:iCs/>
          <w:color w:val="000000"/>
          <w:sz w:val="24"/>
          <w:szCs w:val="24"/>
          <w:lang w:eastAsia="en-AU"/>
        </w:rPr>
        <w:t>Human Rights (Parliamentary Scrutiny) Act 2011</w:t>
      </w:r>
      <w:r w:rsidRPr="007F4B61">
        <w:rPr>
          <w:rFonts w:ascii="Times New Roman" w:eastAsia="Times New Roman" w:hAnsi="Times New Roman" w:cs="Times New Roman"/>
          <w:color w:val="000000"/>
          <w:sz w:val="24"/>
          <w:szCs w:val="24"/>
          <w:lang w:eastAsia="en-AU"/>
        </w:rPr>
        <w:t>.</w:t>
      </w:r>
    </w:p>
    <w:p w14:paraId="26180129"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b/>
          <w:bCs/>
          <w:color w:val="000000"/>
          <w:sz w:val="24"/>
          <w:szCs w:val="24"/>
          <w:lang w:eastAsia="en-AU"/>
        </w:rPr>
        <w:t> </w:t>
      </w:r>
    </w:p>
    <w:p w14:paraId="01F13A65"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b/>
          <w:bCs/>
          <w:color w:val="000000"/>
          <w:sz w:val="24"/>
          <w:szCs w:val="24"/>
          <w:lang w:eastAsia="en-AU"/>
        </w:rPr>
        <w:t>Overview of the Legislative Instrument</w:t>
      </w:r>
    </w:p>
    <w:p w14:paraId="1E59E685"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79ED4E23" w14:textId="548A0F7D" w:rsidR="007F4B61" w:rsidRDefault="007F4B61" w:rsidP="007F4B61">
      <w:pPr>
        <w:shd w:val="clear" w:color="auto" w:fill="FFFFFF"/>
        <w:spacing w:after="0" w:line="240" w:lineRule="auto"/>
        <w:rPr>
          <w:rFonts w:ascii="Times New Roman" w:eastAsia="Times New Roman" w:hAnsi="Times New Roman" w:cs="Times New Roman"/>
          <w:color w:val="000000"/>
          <w:sz w:val="24"/>
          <w:szCs w:val="24"/>
          <w:lang w:eastAsia="en-AU"/>
        </w:rPr>
      </w:pPr>
      <w:r w:rsidRPr="007F4B61">
        <w:rPr>
          <w:rFonts w:ascii="Times New Roman" w:eastAsia="Times New Roman" w:hAnsi="Times New Roman" w:cs="Times New Roman"/>
          <w:color w:val="000000"/>
          <w:sz w:val="24"/>
          <w:szCs w:val="24"/>
          <w:lang w:eastAsia="en-AU"/>
        </w:rPr>
        <w:t xml:space="preserve">The primary purpose of this Legislative Instrument is to ensure that operators of single non-scheduled </w:t>
      </w:r>
      <w:r w:rsidR="001F360F">
        <w:rPr>
          <w:rFonts w:ascii="Times New Roman" w:eastAsia="Times New Roman" w:hAnsi="Times New Roman" w:cs="Times New Roman"/>
          <w:color w:val="000000"/>
          <w:sz w:val="24"/>
          <w:szCs w:val="24"/>
          <w:lang w:eastAsia="en-AU"/>
        </w:rPr>
        <w:t xml:space="preserve">international </w:t>
      </w:r>
      <w:r w:rsidR="000A22CE">
        <w:rPr>
          <w:rFonts w:ascii="Times New Roman" w:eastAsia="Times New Roman" w:hAnsi="Times New Roman" w:cs="Times New Roman"/>
          <w:color w:val="000000"/>
          <w:sz w:val="24"/>
          <w:szCs w:val="24"/>
          <w:lang w:eastAsia="en-AU"/>
        </w:rPr>
        <w:t xml:space="preserve">charter </w:t>
      </w:r>
      <w:r w:rsidRPr="007F4B61">
        <w:rPr>
          <w:rFonts w:ascii="Times New Roman" w:eastAsia="Times New Roman" w:hAnsi="Times New Roman" w:cs="Times New Roman"/>
          <w:color w:val="000000"/>
          <w:sz w:val="24"/>
          <w:szCs w:val="24"/>
          <w:lang w:eastAsia="en-AU"/>
        </w:rPr>
        <w:t>flights</w:t>
      </w:r>
      <w:r w:rsidR="000A22CE">
        <w:rPr>
          <w:rFonts w:ascii="Times New Roman" w:eastAsia="Times New Roman" w:hAnsi="Times New Roman" w:cs="Times New Roman"/>
          <w:color w:val="000000"/>
          <w:sz w:val="24"/>
          <w:szCs w:val="24"/>
          <w:lang w:eastAsia="en-AU"/>
        </w:rPr>
        <w:t xml:space="preserve"> and operators of a program of </w:t>
      </w:r>
      <w:r w:rsidR="001F360F">
        <w:rPr>
          <w:rFonts w:ascii="Times New Roman" w:eastAsia="Times New Roman" w:hAnsi="Times New Roman" w:cs="Times New Roman"/>
          <w:color w:val="000000"/>
          <w:sz w:val="24"/>
          <w:szCs w:val="24"/>
          <w:lang w:eastAsia="en-AU"/>
        </w:rPr>
        <w:t xml:space="preserve">international </w:t>
      </w:r>
      <w:r w:rsidR="000A22CE">
        <w:rPr>
          <w:rFonts w:ascii="Times New Roman" w:eastAsia="Times New Roman" w:hAnsi="Times New Roman" w:cs="Times New Roman"/>
          <w:color w:val="000000"/>
          <w:sz w:val="24"/>
          <w:szCs w:val="24"/>
          <w:lang w:eastAsia="en-AU"/>
        </w:rPr>
        <w:t xml:space="preserve">charters </w:t>
      </w:r>
      <w:r w:rsidR="000A22CE">
        <w:rPr>
          <w:rFonts w:ascii="Times New Roman" w:eastAsia="Times New Roman" w:hAnsi="Times New Roman" w:cs="Times New Roman"/>
          <w:color w:val="000000"/>
          <w:sz w:val="24"/>
          <w:szCs w:val="24"/>
          <w:lang w:eastAsia="en-AU"/>
        </w:rPr>
        <w:lastRenderedPageBreak/>
        <w:t>that do not exceed limits on seating capacity and number of flights,</w:t>
      </w:r>
      <w:r w:rsidR="00B272CB">
        <w:rPr>
          <w:rFonts w:ascii="Times New Roman" w:eastAsia="Times New Roman" w:hAnsi="Times New Roman" w:cs="Times New Roman"/>
          <w:color w:val="000000"/>
          <w:sz w:val="24"/>
          <w:szCs w:val="24"/>
          <w:lang w:eastAsia="en-AU"/>
        </w:rPr>
        <w:t xml:space="preserve"> </w:t>
      </w:r>
      <w:r w:rsidR="000A22CE">
        <w:rPr>
          <w:rFonts w:ascii="Times New Roman" w:eastAsia="Times New Roman" w:hAnsi="Times New Roman" w:cs="Times New Roman"/>
          <w:color w:val="000000"/>
          <w:sz w:val="24"/>
          <w:szCs w:val="24"/>
          <w:lang w:eastAsia="en-AU"/>
        </w:rPr>
        <w:t xml:space="preserve">are exempt from </w:t>
      </w:r>
      <w:r w:rsidRPr="007F4B61">
        <w:rPr>
          <w:rFonts w:ascii="Times New Roman" w:eastAsia="Times New Roman" w:hAnsi="Times New Roman" w:cs="Times New Roman"/>
          <w:color w:val="000000"/>
          <w:sz w:val="24"/>
          <w:szCs w:val="24"/>
          <w:lang w:eastAsia="en-AU"/>
        </w:rPr>
        <w:t>seek</w:t>
      </w:r>
      <w:r w:rsidR="000A22CE">
        <w:rPr>
          <w:rFonts w:ascii="Times New Roman" w:eastAsia="Times New Roman" w:hAnsi="Times New Roman" w:cs="Times New Roman"/>
          <w:color w:val="000000"/>
          <w:sz w:val="24"/>
          <w:szCs w:val="24"/>
          <w:lang w:eastAsia="en-AU"/>
        </w:rPr>
        <w:t>ing</w:t>
      </w:r>
      <w:r w:rsidRPr="007F4B61">
        <w:rPr>
          <w:rFonts w:ascii="Times New Roman" w:eastAsia="Times New Roman" w:hAnsi="Times New Roman" w:cs="Times New Roman"/>
          <w:color w:val="000000"/>
          <w:sz w:val="24"/>
          <w:szCs w:val="24"/>
          <w:lang w:eastAsia="en-AU"/>
        </w:rPr>
        <w:t xml:space="preserve"> permission from the Secretary of the Department of Infrastructure, Transport, Regional Development</w:t>
      </w:r>
      <w:r w:rsidR="007B707C">
        <w:rPr>
          <w:rFonts w:ascii="Times New Roman" w:eastAsia="Times New Roman" w:hAnsi="Times New Roman" w:cs="Times New Roman"/>
          <w:color w:val="000000"/>
          <w:sz w:val="24"/>
          <w:szCs w:val="24"/>
          <w:lang w:eastAsia="en-AU"/>
        </w:rPr>
        <w:t>,</w:t>
      </w:r>
      <w:r w:rsidRPr="007F4B61">
        <w:rPr>
          <w:rFonts w:ascii="Times New Roman" w:eastAsia="Times New Roman" w:hAnsi="Times New Roman" w:cs="Times New Roman"/>
          <w:color w:val="000000"/>
          <w:sz w:val="24"/>
          <w:szCs w:val="24"/>
          <w:lang w:eastAsia="en-AU"/>
        </w:rPr>
        <w:t xml:space="preserve"> Communication</w:t>
      </w:r>
      <w:r w:rsidR="007B707C">
        <w:rPr>
          <w:rFonts w:ascii="Times New Roman" w:eastAsia="Times New Roman" w:hAnsi="Times New Roman" w:cs="Times New Roman"/>
          <w:color w:val="000000"/>
          <w:sz w:val="24"/>
          <w:szCs w:val="24"/>
          <w:lang w:eastAsia="en-AU"/>
        </w:rPr>
        <w:t>s and the Arts</w:t>
      </w:r>
      <w:r w:rsidRPr="007F4B61">
        <w:rPr>
          <w:rFonts w:ascii="Times New Roman" w:eastAsia="Times New Roman" w:hAnsi="Times New Roman" w:cs="Times New Roman"/>
          <w:color w:val="000000"/>
          <w:sz w:val="24"/>
          <w:szCs w:val="24"/>
          <w:lang w:eastAsia="en-AU"/>
        </w:rPr>
        <w:t xml:space="preserve"> for such operations. Such conditions already apply to the operation of multiple </w:t>
      </w:r>
      <w:r w:rsidR="001F360F">
        <w:rPr>
          <w:rFonts w:ascii="Times New Roman" w:eastAsia="Times New Roman" w:hAnsi="Times New Roman" w:cs="Times New Roman"/>
          <w:color w:val="000000"/>
          <w:sz w:val="24"/>
          <w:szCs w:val="24"/>
          <w:lang w:eastAsia="en-AU"/>
        </w:rPr>
        <w:t xml:space="preserve">international </w:t>
      </w:r>
      <w:r w:rsidRPr="007F4B61">
        <w:rPr>
          <w:rFonts w:ascii="Times New Roman" w:eastAsia="Times New Roman" w:hAnsi="Times New Roman" w:cs="Times New Roman"/>
          <w:color w:val="000000"/>
          <w:sz w:val="24"/>
          <w:szCs w:val="24"/>
          <w:lang w:eastAsia="en-AU"/>
        </w:rPr>
        <w:t>charter flights forming part of a program</w:t>
      </w:r>
      <w:r w:rsidR="000A22CE">
        <w:rPr>
          <w:rFonts w:ascii="Times New Roman" w:eastAsia="Times New Roman" w:hAnsi="Times New Roman" w:cs="Times New Roman"/>
          <w:color w:val="000000"/>
          <w:sz w:val="24"/>
          <w:szCs w:val="24"/>
          <w:lang w:eastAsia="en-AU"/>
        </w:rPr>
        <w:t xml:space="preserve"> and which exceed the prescribed limits on seating capacity and number of flights</w:t>
      </w:r>
      <w:r w:rsidRPr="007F4B61">
        <w:rPr>
          <w:rFonts w:ascii="Times New Roman" w:eastAsia="Times New Roman" w:hAnsi="Times New Roman" w:cs="Times New Roman"/>
          <w:color w:val="000000"/>
          <w:sz w:val="24"/>
          <w:szCs w:val="24"/>
          <w:lang w:eastAsia="en-AU"/>
        </w:rPr>
        <w:t>.</w:t>
      </w:r>
      <w:r w:rsidR="000A22CE" w:rsidRPr="007F4B61" w:rsidDel="000A22CE">
        <w:rPr>
          <w:rFonts w:ascii="Times New Roman" w:eastAsia="Times New Roman" w:hAnsi="Times New Roman" w:cs="Times New Roman"/>
          <w:color w:val="000000"/>
          <w:sz w:val="24"/>
          <w:szCs w:val="24"/>
          <w:lang w:eastAsia="en-AU"/>
        </w:rPr>
        <w:t xml:space="preserve"> </w:t>
      </w:r>
    </w:p>
    <w:p w14:paraId="1FDB930C"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45A4F06D"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b/>
          <w:bCs/>
          <w:color w:val="000000"/>
          <w:sz w:val="24"/>
          <w:szCs w:val="24"/>
          <w:lang w:eastAsia="en-AU"/>
        </w:rPr>
        <w:t>Human rights implications</w:t>
      </w:r>
    </w:p>
    <w:p w14:paraId="63A860DC"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4D98BAE7"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This Legislative Instrument does not engage any of the applicable rights or freedoms.</w:t>
      </w:r>
    </w:p>
    <w:p w14:paraId="774707BB"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7B008CA3"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b/>
          <w:bCs/>
          <w:color w:val="000000"/>
          <w:sz w:val="24"/>
          <w:szCs w:val="24"/>
          <w:lang w:eastAsia="en-AU"/>
        </w:rPr>
        <w:t>Conclusion</w:t>
      </w:r>
    </w:p>
    <w:p w14:paraId="5F204538"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 </w:t>
      </w:r>
    </w:p>
    <w:p w14:paraId="740C66DB" w14:textId="77777777" w:rsidR="007F4B61" w:rsidRPr="007F4B61" w:rsidRDefault="007F4B61" w:rsidP="007F4B61">
      <w:pPr>
        <w:shd w:val="clear" w:color="auto" w:fill="FFFFFF"/>
        <w:spacing w:after="0" w:line="240" w:lineRule="auto"/>
        <w:rPr>
          <w:rFonts w:ascii="Calibri" w:eastAsia="Times New Roman" w:hAnsi="Calibri" w:cs="Calibri"/>
          <w:color w:val="000000"/>
          <w:lang w:eastAsia="en-AU"/>
        </w:rPr>
      </w:pPr>
      <w:r w:rsidRPr="007F4B61">
        <w:rPr>
          <w:rFonts w:ascii="Times New Roman" w:eastAsia="Times New Roman" w:hAnsi="Times New Roman" w:cs="Times New Roman"/>
          <w:color w:val="000000"/>
          <w:sz w:val="24"/>
          <w:szCs w:val="24"/>
          <w:lang w:eastAsia="en-AU"/>
        </w:rPr>
        <w:t>This Legislative Instrument is compatible with human rights as it does not raise any human rights issues.</w:t>
      </w:r>
    </w:p>
    <w:p w14:paraId="1AD2E6E2" w14:textId="77777777" w:rsidR="00C215ED" w:rsidRDefault="00C215ED"/>
    <w:sectPr w:rsidR="00C215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61"/>
    <w:rsid w:val="0006306D"/>
    <w:rsid w:val="00070B03"/>
    <w:rsid w:val="000A22CE"/>
    <w:rsid w:val="00182918"/>
    <w:rsid w:val="001A0319"/>
    <w:rsid w:val="001B5CB5"/>
    <w:rsid w:val="001F360F"/>
    <w:rsid w:val="002060FD"/>
    <w:rsid w:val="002258E6"/>
    <w:rsid w:val="00233C3A"/>
    <w:rsid w:val="00254BA7"/>
    <w:rsid w:val="00261A06"/>
    <w:rsid w:val="0028202D"/>
    <w:rsid w:val="002D7F04"/>
    <w:rsid w:val="00346839"/>
    <w:rsid w:val="003927D1"/>
    <w:rsid w:val="004847D0"/>
    <w:rsid w:val="004854C0"/>
    <w:rsid w:val="0049157D"/>
    <w:rsid w:val="004D6EB7"/>
    <w:rsid w:val="00511F07"/>
    <w:rsid w:val="005157A1"/>
    <w:rsid w:val="00531274"/>
    <w:rsid w:val="00532B7F"/>
    <w:rsid w:val="005541D8"/>
    <w:rsid w:val="005D387D"/>
    <w:rsid w:val="00645446"/>
    <w:rsid w:val="0065366C"/>
    <w:rsid w:val="00653E24"/>
    <w:rsid w:val="006546E2"/>
    <w:rsid w:val="00682EEA"/>
    <w:rsid w:val="0071415F"/>
    <w:rsid w:val="00736836"/>
    <w:rsid w:val="00794459"/>
    <w:rsid w:val="007B003E"/>
    <w:rsid w:val="007B707C"/>
    <w:rsid w:val="007C55AC"/>
    <w:rsid w:val="007E7BA6"/>
    <w:rsid w:val="007F4B61"/>
    <w:rsid w:val="007F7588"/>
    <w:rsid w:val="00805DA5"/>
    <w:rsid w:val="00816521"/>
    <w:rsid w:val="008D0826"/>
    <w:rsid w:val="00904F27"/>
    <w:rsid w:val="00915FEC"/>
    <w:rsid w:val="00927290"/>
    <w:rsid w:val="00931799"/>
    <w:rsid w:val="009441F7"/>
    <w:rsid w:val="00996C11"/>
    <w:rsid w:val="009D4F3C"/>
    <w:rsid w:val="00A457EF"/>
    <w:rsid w:val="00A84D1E"/>
    <w:rsid w:val="00AC4773"/>
    <w:rsid w:val="00B272CB"/>
    <w:rsid w:val="00BF07D5"/>
    <w:rsid w:val="00C036E3"/>
    <w:rsid w:val="00C0574E"/>
    <w:rsid w:val="00C215ED"/>
    <w:rsid w:val="00C25F43"/>
    <w:rsid w:val="00C7116A"/>
    <w:rsid w:val="00C9683E"/>
    <w:rsid w:val="00CA2D3F"/>
    <w:rsid w:val="00CF41E0"/>
    <w:rsid w:val="00D37B90"/>
    <w:rsid w:val="00D45C2E"/>
    <w:rsid w:val="00D5651F"/>
    <w:rsid w:val="00DB671B"/>
    <w:rsid w:val="00DE3F0B"/>
    <w:rsid w:val="00EC29B0"/>
    <w:rsid w:val="00F20E5B"/>
    <w:rsid w:val="00FC5907"/>
    <w:rsid w:val="00FE284A"/>
    <w:rsid w:val="00FE34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FD759"/>
  <w15:chartTrackingRefBased/>
  <w15:docId w15:val="{FF183EEF-4CF9-4A5E-A868-D25D0DF5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707C"/>
    <w:rPr>
      <w:sz w:val="16"/>
      <w:szCs w:val="16"/>
    </w:rPr>
  </w:style>
  <w:style w:type="paragraph" w:styleId="CommentText">
    <w:name w:val="annotation text"/>
    <w:basedOn w:val="Normal"/>
    <w:link w:val="CommentTextChar"/>
    <w:uiPriority w:val="99"/>
    <w:semiHidden/>
    <w:unhideWhenUsed/>
    <w:rsid w:val="007B707C"/>
    <w:pPr>
      <w:spacing w:line="240" w:lineRule="auto"/>
    </w:pPr>
    <w:rPr>
      <w:sz w:val="20"/>
      <w:szCs w:val="20"/>
    </w:rPr>
  </w:style>
  <w:style w:type="character" w:customStyle="1" w:styleId="CommentTextChar">
    <w:name w:val="Comment Text Char"/>
    <w:basedOn w:val="DefaultParagraphFont"/>
    <w:link w:val="CommentText"/>
    <w:uiPriority w:val="99"/>
    <w:semiHidden/>
    <w:rsid w:val="007B707C"/>
    <w:rPr>
      <w:sz w:val="20"/>
      <w:szCs w:val="20"/>
    </w:rPr>
  </w:style>
  <w:style w:type="paragraph" w:styleId="CommentSubject">
    <w:name w:val="annotation subject"/>
    <w:basedOn w:val="CommentText"/>
    <w:next w:val="CommentText"/>
    <w:link w:val="CommentSubjectChar"/>
    <w:uiPriority w:val="99"/>
    <w:semiHidden/>
    <w:unhideWhenUsed/>
    <w:rsid w:val="007B707C"/>
    <w:rPr>
      <w:b/>
      <w:bCs/>
    </w:rPr>
  </w:style>
  <w:style w:type="character" w:customStyle="1" w:styleId="CommentSubjectChar">
    <w:name w:val="Comment Subject Char"/>
    <w:basedOn w:val="CommentTextChar"/>
    <w:link w:val="CommentSubject"/>
    <w:uiPriority w:val="99"/>
    <w:semiHidden/>
    <w:rsid w:val="007B707C"/>
    <w:rPr>
      <w:b/>
      <w:bCs/>
      <w:sz w:val="20"/>
      <w:szCs w:val="20"/>
    </w:rPr>
  </w:style>
  <w:style w:type="paragraph" w:styleId="BalloonText">
    <w:name w:val="Balloon Text"/>
    <w:basedOn w:val="Normal"/>
    <w:link w:val="BalloonTextChar"/>
    <w:uiPriority w:val="99"/>
    <w:semiHidden/>
    <w:unhideWhenUsed/>
    <w:rsid w:val="007B7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23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898A9714D1B40847FB9178672553C" ma:contentTypeVersion="4" ma:contentTypeDescription="Create a new document." ma:contentTypeScope="" ma:versionID="1be16894ddf6ca6cefd595a658fd7934">
  <xsd:schema xmlns:xsd="http://www.w3.org/2001/XMLSchema" xmlns:xs="http://www.w3.org/2001/XMLSchema" xmlns:p="http://schemas.microsoft.com/office/2006/metadata/properties" xmlns:ns2="f6e8097e-b0dd-4683-97f9-e89b92f43f87" targetNamespace="http://schemas.microsoft.com/office/2006/metadata/properties" ma:root="true" ma:fieldsID="bc79f32ea2b561c0cc477386b4deba0c" ns2:_="">
    <xsd:import namespace="f6e8097e-b0dd-4683-97f9-e89b92f43f87"/>
    <xsd:element name="properties">
      <xsd:complexType>
        <xsd:sequence>
          <xsd:element name="documentManagement">
            <xsd:complexType>
              <xsd:all>
                <xsd:element ref="ns2:RecordNumber" minOccurs="0"/>
                <xsd:element ref="ns2:d45b1487b96c4b029e6df74fc520a2cb" minOccurs="0"/>
                <xsd:element ref="ns2:TaxCatchAll" minOccurs="0"/>
                <xsd:element ref="ns2:TaxCatchAllLabel" minOccurs="0"/>
                <xsd:element ref="ns2:k8740b40a9fd40fc9a3ee6240db7d420" minOccurs="0"/>
                <xsd:element ref="ns2:Destroy Item46" minOccurs="0"/>
                <xsd:element ref="ns2:Justification for Destruction47" minOccurs="0"/>
                <xsd:element ref="ns2:Document_x0020_SP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8097e-b0dd-4683-97f9-e89b92f43f87"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d45b1487b96c4b029e6df74fc520a2cb" ma:index="9" ma:taxonomy="true" ma:internalName="d45b1487b96c4b029e6df74fc520a2cb" ma:taxonomyFieldName="Security_x0020_Classification" ma:displayName="Security Classification" ma:readOnly="false" ma:default="1;#OFFICIAL|66ee57a8-59d0-46bc-a5fc-78440ee0cf81" ma:fieldId="{d45b1487-b96c-4b02-9e6d-f74fc520a2cb}" ma:sspId="0483e4a5-f0f6-4ded-b0bb-00a90fd4cf8b" ma:termSetId="d697d180-c653-44a1-a6e2-69709aabde2a"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4dd9fe3a-58a4-43e6-8f13-1bcf4fefccc6}" ma:internalName="TaxCatchAll" ma:showField="CatchAllData" ma:web="f6e8097e-b0dd-4683-97f9-e89b92f43f8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dd9fe3a-58a4-43e6-8f13-1bcf4fefccc6}" ma:internalName="TaxCatchAllLabel" ma:readOnly="true" ma:showField="CatchAllDataLabel" ma:web="f6e8097e-b0dd-4683-97f9-e89b92f43f87">
      <xsd:complexType>
        <xsd:complexContent>
          <xsd:extension base="dms:MultiChoiceLookup">
            <xsd:sequence>
              <xsd:element name="Value" type="dms:Lookup" maxOccurs="unbounded" minOccurs="0" nillable="true"/>
            </xsd:sequence>
          </xsd:extension>
        </xsd:complexContent>
      </xsd:complexType>
    </xsd:element>
    <xsd:element name="k8740b40a9fd40fc9a3ee6240db7d420" ma:index="13" nillable="true" ma:taxonomy="true" ma:internalName="k8740b40a9fd40fc9a3ee6240db7d420" ma:taxonomyFieldName="Information_x0020_Management_x0020_Marker" ma:displayName="Information Management Marker" ma:default="" ma:fieldId="{48740b40-a9fd-40fc-9a3e-e6240db7d420}" ma:sspId="0483e4a5-f0f6-4ded-b0bb-00a90fd4cf8b" ma:termSetId="44e0cffd-acf4-44de-87a1-d4e578541bbf" ma:anchorId="00000000-0000-0000-0000-000000000000" ma:open="tru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6F8DAF-B25A-4570-9ED3-6BBF4F5E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8097e-b0dd-4683-97f9-e89b92f43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1C9EFA-83DD-4AB6-8772-819B274DC4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Nathan</dc:creator>
  <cp:keywords/>
  <dc:description/>
  <cp:lastModifiedBy>JOHNSON Nathan</cp:lastModifiedBy>
  <cp:revision>2</cp:revision>
  <dcterms:created xsi:type="dcterms:W3CDTF">2023-04-13T00:04:00Z</dcterms:created>
  <dcterms:modified xsi:type="dcterms:W3CDTF">2023-04-13T00:04:00Z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0x010100040898A9714D1B40847FB9178672553C</vt:lpwstr>
  </property>
</Properties>
</file>