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7CC361B1"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determ</w:t>
      </w:r>
      <w:r w:rsidRPr="00600BDD">
        <w:rPr>
          <w:sz w:val="24"/>
          <w:szCs w:val="24"/>
        </w:rPr>
        <w:t xml:space="preserve">ination No. </w:t>
      </w:r>
      <w:r w:rsidR="002143E2" w:rsidRPr="00600BDD">
        <w:rPr>
          <w:sz w:val="24"/>
          <w:szCs w:val="24"/>
        </w:rPr>
        <w:t>56</w:t>
      </w:r>
      <w:r w:rsidRPr="00600BDD">
        <w:rPr>
          <w:sz w:val="24"/>
          <w:szCs w:val="24"/>
        </w:rPr>
        <w:t xml:space="preserve"> of 202</w:t>
      </w:r>
      <w:r w:rsidR="00F13B96" w:rsidRPr="00600BDD">
        <w:rPr>
          <w:sz w:val="24"/>
          <w:szCs w:val="24"/>
        </w:rPr>
        <w:t>3</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F514D1B" w14:textId="0E105253" w:rsidR="004A29F6" w:rsidRPr="00600BDD" w:rsidRDefault="00211AFD" w:rsidP="00600BDD">
      <w:pPr>
        <w:numPr>
          <w:ilvl w:val="0"/>
          <w:numId w:val="0"/>
        </w:numPr>
        <w:rPr>
          <w:rFonts w:ascii="Times New Roman" w:hAnsi="Times New Roman" w:cs="Times New Roman"/>
          <w:sz w:val="24"/>
          <w:szCs w:val="24"/>
        </w:rPr>
      </w:pPr>
      <w:r w:rsidRPr="00741DB4">
        <w:rPr>
          <w:rFonts w:ascii="Times New Roman" w:hAnsi="Times New Roman" w:cs="Times New Roman"/>
          <w:sz w:val="24"/>
          <w:szCs w:val="24"/>
        </w:rPr>
        <w:t>On</w:t>
      </w:r>
      <w:r w:rsidR="00F41BD7" w:rsidRPr="00741DB4">
        <w:rPr>
          <w:rFonts w:ascii="Times New Roman" w:hAnsi="Times New Roman" w:cs="Times New Roman"/>
          <w:sz w:val="24"/>
          <w:szCs w:val="24"/>
        </w:rPr>
        <w:t xml:space="preserve"> </w:t>
      </w:r>
      <w:r w:rsidR="00741DB4" w:rsidRPr="00741DB4">
        <w:rPr>
          <w:rFonts w:ascii="Times New Roman" w:hAnsi="Times New Roman" w:cs="Times New Roman"/>
          <w:sz w:val="24"/>
          <w:szCs w:val="24"/>
        </w:rPr>
        <w:t>31</w:t>
      </w:r>
      <w:r w:rsidR="00B83763" w:rsidRPr="00741DB4">
        <w:rPr>
          <w:rFonts w:ascii="Times New Roman" w:hAnsi="Times New Roman" w:cs="Times New Roman"/>
          <w:sz w:val="24"/>
          <w:szCs w:val="24"/>
        </w:rPr>
        <w:t xml:space="preserve"> M</w:t>
      </w:r>
      <w:r w:rsidR="00D233D2" w:rsidRPr="00741DB4">
        <w:rPr>
          <w:rFonts w:ascii="Times New Roman" w:hAnsi="Times New Roman" w:cs="Times New Roman"/>
          <w:sz w:val="24"/>
          <w:szCs w:val="24"/>
        </w:rPr>
        <w:t>arc</w:t>
      </w:r>
      <w:r w:rsidR="00B83763" w:rsidRPr="00741DB4">
        <w:rPr>
          <w:rFonts w:ascii="Times New Roman" w:hAnsi="Times New Roman" w:cs="Times New Roman"/>
          <w:sz w:val="24"/>
          <w:szCs w:val="24"/>
        </w:rPr>
        <w:t>h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00600BDD">
        <w:rPr>
          <w:rFonts w:ascii="Times New Roman" w:hAnsi="Times New Roman" w:cs="Times New Roman"/>
          <w:sz w:val="24"/>
          <w:szCs w:val="24"/>
        </w:rPr>
        <w:t xml:space="preserve"> </w:t>
      </w:r>
      <w:r w:rsidR="004A29F6" w:rsidRPr="00600BDD">
        <w:rPr>
          <w:rFonts w:ascii="Times New Roman" w:hAnsi="Times New Roman"/>
          <w:sz w:val="24"/>
          <w:szCs w:val="24"/>
        </w:rPr>
        <w:t>Financial Sector (Collection of Data) (reporting standard) determination No. 56 of 2023 which:</w:t>
      </w:r>
    </w:p>
    <w:p w14:paraId="2D07E325" w14:textId="0BA7FE76" w:rsidR="004A29F6" w:rsidRDefault="004A29F6" w:rsidP="00600BDD">
      <w:pPr>
        <w:pStyle w:val="ListParagraph"/>
        <w:numPr>
          <w:ilvl w:val="0"/>
          <w:numId w:val="19"/>
        </w:numPr>
        <w:tabs>
          <w:tab w:val="clear" w:pos="425"/>
          <w:tab w:val="clear" w:pos="851"/>
        </w:tabs>
        <w:contextualSpacing w:val="0"/>
        <w:rPr>
          <w:rFonts w:ascii="Times New Roman" w:hAnsi="Times New Roman"/>
          <w:sz w:val="24"/>
          <w:szCs w:val="24"/>
        </w:rPr>
      </w:pPr>
      <w:r w:rsidRPr="00DF2C01">
        <w:rPr>
          <w:rFonts w:ascii="Times New Roman" w:hAnsi="Times New Roman"/>
          <w:sz w:val="24"/>
          <w:szCs w:val="24"/>
        </w:rPr>
        <w:t xml:space="preserve">revokes </w:t>
      </w:r>
      <w:r w:rsidRPr="004A29F6">
        <w:rPr>
          <w:rFonts w:ascii="Times New Roman" w:hAnsi="Times New Roman"/>
          <w:i/>
          <w:sz w:val="24"/>
          <w:szCs w:val="24"/>
        </w:rPr>
        <w:t>Reporting Standard ARS 223.0 Residential Mortgage Lending</w:t>
      </w:r>
      <w:r w:rsidRPr="00B07F39">
        <w:rPr>
          <w:rFonts w:ascii="Times New Roman" w:hAnsi="Times New Roman"/>
          <w:i/>
          <w:sz w:val="24"/>
          <w:szCs w:val="24"/>
        </w:rPr>
        <w:t xml:space="preserve"> </w:t>
      </w:r>
      <w:r w:rsidRPr="00DF2C01">
        <w:rPr>
          <w:rFonts w:ascii="Times New Roman" w:hAnsi="Times New Roman"/>
          <w:sz w:val="24"/>
          <w:szCs w:val="24"/>
        </w:rPr>
        <w:t xml:space="preserve">made under Financial Sector (Collection of Data) (reporting standard) determination No. </w:t>
      </w:r>
      <w:r>
        <w:rPr>
          <w:rFonts w:ascii="Times New Roman" w:hAnsi="Times New Roman"/>
          <w:sz w:val="24"/>
          <w:szCs w:val="24"/>
        </w:rPr>
        <w:t>11</w:t>
      </w:r>
      <w:r w:rsidRPr="00DF2C01">
        <w:rPr>
          <w:rFonts w:ascii="Times New Roman" w:hAnsi="Times New Roman"/>
          <w:sz w:val="24"/>
          <w:szCs w:val="24"/>
        </w:rPr>
        <w:t xml:space="preserve"> of 20</w:t>
      </w:r>
      <w:r>
        <w:rPr>
          <w:rFonts w:ascii="Times New Roman" w:hAnsi="Times New Roman"/>
          <w:sz w:val="24"/>
          <w:szCs w:val="24"/>
        </w:rPr>
        <w:t>22</w:t>
      </w:r>
      <w:r w:rsidRPr="00DF2C01">
        <w:rPr>
          <w:rFonts w:ascii="Times New Roman" w:hAnsi="Times New Roman"/>
          <w:sz w:val="24"/>
          <w:szCs w:val="24"/>
        </w:rPr>
        <w:t xml:space="preserve">; </w:t>
      </w:r>
      <w:r>
        <w:rPr>
          <w:rFonts w:ascii="Times New Roman" w:hAnsi="Times New Roman"/>
          <w:sz w:val="24"/>
          <w:szCs w:val="24"/>
        </w:rPr>
        <w:t>and</w:t>
      </w:r>
    </w:p>
    <w:p w14:paraId="5B5B6952" w14:textId="03D28BE5" w:rsidR="004A29F6" w:rsidRPr="004A29F6" w:rsidRDefault="004A29F6" w:rsidP="00600BDD">
      <w:pPr>
        <w:pStyle w:val="ListParagraph"/>
        <w:numPr>
          <w:ilvl w:val="0"/>
          <w:numId w:val="19"/>
        </w:numPr>
        <w:tabs>
          <w:tab w:val="clear" w:pos="425"/>
          <w:tab w:val="clear" w:pos="851"/>
        </w:tabs>
        <w:contextualSpacing w:val="0"/>
        <w:rPr>
          <w:rFonts w:ascii="Times New Roman" w:hAnsi="Times New Roman"/>
          <w:sz w:val="24"/>
          <w:szCs w:val="24"/>
        </w:rPr>
      </w:pPr>
      <w:r w:rsidRPr="00DF2C01">
        <w:rPr>
          <w:rFonts w:ascii="Times New Roman" w:hAnsi="Times New Roman"/>
          <w:sz w:val="24"/>
          <w:szCs w:val="24"/>
        </w:rPr>
        <w:t xml:space="preserve">determines a new </w:t>
      </w:r>
      <w:r w:rsidRPr="004A29F6">
        <w:rPr>
          <w:rFonts w:ascii="Times New Roman" w:eastAsia="Times New Roman" w:hAnsi="Times New Roman"/>
          <w:i/>
          <w:sz w:val="24"/>
          <w:szCs w:val="24"/>
          <w:lang w:eastAsia="en-AU"/>
        </w:rPr>
        <w:t>Reporting Standard ARS 223.0 Residential Mortgage Lending</w:t>
      </w:r>
      <w:r>
        <w:rPr>
          <w:rFonts w:ascii="Times New Roman" w:eastAsia="Times New Roman" w:hAnsi="Times New Roman"/>
          <w:i/>
          <w:sz w:val="24"/>
          <w:szCs w:val="24"/>
          <w:lang w:eastAsia="en-AU"/>
        </w:rPr>
        <w:t xml:space="preserve"> </w:t>
      </w:r>
      <w:r>
        <w:rPr>
          <w:rFonts w:ascii="Times New Roman" w:hAnsi="Times New Roman"/>
          <w:sz w:val="24"/>
          <w:szCs w:val="24"/>
        </w:rPr>
        <w:t>(ARS 223.0)</w:t>
      </w:r>
      <w:r w:rsidR="00E746F2">
        <w:rPr>
          <w:rFonts w:ascii="Times New Roman" w:hAnsi="Times New Roman"/>
          <w:sz w:val="24"/>
          <w:szCs w:val="24"/>
        </w:rPr>
        <w:t>.</w:t>
      </w:r>
    </w:p>
    <w:p w14:paraId="20C71CDB" w14:textId="4FFDDF5E" w:rsidR="00023CE3" w:rsidRDefault="00023CE3" w:rsidP="00023CE3">
      <w:pPr>
        <w:widowControl w:val="0"/>
        <w:rPr>
          <w:rFonts w:ascii="Times New Roman" w:hAnsi="Times New Roman"/>
          <w:sz w:val="24"/>
          <w:szCs w:val="24"/>
        </w:rPr>
      </w:pPr>
      <w:r>
        <w:rPr>
          <w:rFonts w:ascii="Times New Roman" w:hAnsi="Times New Roman"/>
          <w:sz w:val="24"/>
          <w:szCs w:val="24"/>
        </w:rPr>
        <w:t xml:space="preserve">The instrument </w:t>
      </w:r>
      <w:r w:rsidRPr="00580FC3">
        <w:rPr>
          <w:rFonts w:ascii="Times New Roman" w:hAnsi="Times New Roman"/>
          <w:sz w:val="24"/>
          <w:szCs w:val="24"/>
        </w:rPr>
        <w:t>commence</w:t>
      </w:r>
      <w:r w:rsidR="00244B0A">
        <w:rPr>
          <w:rFonts w:ascii="Times New Roman" w:hAnsi="Times New Roman"/>
          <w:sz w:val="24"/>
          <w:szCs w:val="24"/>
        </w:rPr>
        <w:t>s</w:t>
      </w:r>
      <w:r w:rsidRPr="00580FC3">
        <w:rPr>
          <w:rFonts w:ascii="Times New Roman" w:hAnsi="Times New Roman"/>
          <w:sz w:val="24"/>
          <w:szCs w:val="24"/>
        </w:rPr>
        <w:t xml:space="preserve"> </w:t>
      </w:r>
      <w:r>
        <w:rPr>
          <w:rFonts w:ascii="Times New Roman" w:hAnsi="Times New Roman"/>
          <w:sz w:val="24"/>
          <w:szCs w:val="24"/>
        </w:rPr>
        <w:t xml:space="preserve">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0443DA47" w14:textId="291FDB88" w:rsidR="00C3686B" w:rsidRP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 xml:space="preserve">APRA’s mandate is to ensure the safety and soundness of prudentially regulated financial institutions so that they can meet their financial promises to depositors, policyholders and fund members within a stable, efficient and competitive financial system. APRA carries out this mandate through a prudential framework and is empowered under the </w:t>
      </w:r>
      <w:r w:rsidRPr="00821EFD">
        <w:rPr>
          <w:rFonts w:ascii="Times New Roman" w:hAnsi="Times New Roman" w:cs="Times New Roman"/>
          <w:i/>
          <w:sz w:val="24"/>
          <w:szCs w:val="24"/>
        </w:rPr>
        <w:t>Banking Act 1959</w:t>
      </w:r>
      <w:r w:rsidRPr="00C3686B">
        <w:rPr>
          <w:rFonts w:ascii="Times New Roman" w:hAnsi="Times New Roman" w:cs="Times New Roman"/>
          <w:sz w:val="24"/>
          <w:szCs w:val="24"/>
        </w:rPr>
        <w:t xml:space="preserve"> to issue prudential standards that set out specific prudential requirements with which authorised deposit taking institutions (ADIs) must comply.</w:t>
      </w:r>
    </w:p>
    <w:p w14:paraId="722DFE10" w14:textId="43B9CA9F" w:rsidR="00C3686B" w:rsidRDefault="00C3686B" w:rsidP="00C3686B">
      <w:pPr>
        <w:numPr>
          <w:ilvl w:val="0"/>
          <w:numId w:val="0"/>
        </w:numPr>
        <w:rPr>
          <w:rFonts w:ascii="Times New Roman" w:hAnsi="Times New Roman" w:cs="Times New Roman"/>
          <w:sz w:val="24"/>
          <w:szCs w:val="24"/>
        </w:rPr>
      </w:pPr>
      <w:r w:rsidRPr="00C3686B">
        <w:rPr>
          <w:rFonts w:ascii="Times New Roman" w:hAnsi="Times New Roman" w:cs="Times New Roman"/>
          <w:sz w:val="24"/>
          <w:szCs w:val="24"/>
        </w:rPr>
        <w:t>A key component of APRA’s prudential framework is the suite of prudential standards that impose regulatory capital requirements on ADIs for the purpose of ensuring ADIs hold sufficient capital to address the risks associated with their operations.</w:t>
      </w:r>
      <w:r w:rsidR="002143E2">
        <w:rPr>
          <w:rFonts w:ascii="Times New Roman" w:hAnsi="Times New Roman" w:cs="Times New Roman"/>
          <w:sz w:val="24"/>
          <w:szCs w:val="24"/>
        </w:rPr>
        <w:t xml:space="preserve"> </w:t>
      </w:r>
    </w:p>
    <w:p w14:paraId="51A65ECD" w14:textId="7D1D60B1" w:rsidR="00C3686B" w:rsidRDefault="00D55B27" w:rsidP="00D55B27">
      <w:pPr>
        <w:numPr>
          <w:ilvl w:val="0"/>
          <w:numId w:val="0"/>
        </w:numPr>
        <w:rPr>
          <w:rFonts w:ascii="Times New Roman" w:hAnsi="Times New Roman" w:cs="Times New Roman"/>
          <w:sz w:val="24"/>
          <w:szCs w:val="24"/>
        </w:rPr>
      </w:pPr>
      <w:r w:rsidRPr="00D55B27">
        <w:rPr>
          <w:rFonts w:ascii="Times New Roman" w:hAnsi="Times New Roman" w:cs="Times New Roman"/>
          <w:sz w:val="24"/>
          <w:szCs w:val="24"/>
        </w:rPr>
        <w:t>In July 2017, APRA announced its intention to review the long-standing requirements in the</w:t>
      </w:r>
      <w:r>
        <w:rPr>
          <w:rFonts w:ascii="Times New Roman" w:hAnsi="Times New Roman" w:cs="Times New Roman"/>
          <w:sz w:val="24"/>
          <w:szCs w:val="24"/>
        </w:rPr>
        <w:t xml:space="preserve"> </w:t>
      </w:r>
      <w:r w:rsidRPr="00D55B27">
        <w:rPr>
          <w:rFonts w:ascii="Times New Roman" w:hAnsi="Times New Roman" w:cs="Times New Roman"/>
          <w:sz w:val="24"/>
          <w:szCs w:val="24"/>
        </w:rPr>
        <w:t>ADI capital framework.</w:t>
      </w:r>
      <w:r>
        <w:rPr>
          <w:rFonts w:ascii="Times New Roman" w:hAnsi="Times New Roman" w:cs="Times New Roman"/>
          <w:sz w:val="24"/>
          <w:szCs w:val="24"/>
        </w:rPr>
        <w:t xml:space="preserve"> </w:t>
      </w:r>
      <w:r w:rsidR="005628DB">
        <w:rPr>
          <w:rFonts w:ascii="Times New Roman" w:hAnsi="Times New Roman" w:cs="Times New Roman"/>
          <w:sz w:val="24"/>
          <w:szCs w:val="24"/>
        </w:rPr>
        <w:t xml:space="preserve">After multiple rounds of consultations, </w:t>
      </w:r>
      <w:r w:rsidR="00C3686B" w:rsidRPr="00C3686B">
        <w:rPr>
          <w:rFonts w:ascii="Times New Roman" w:hAnsi="Times New Roman" w:cs="Times New Roman"/>
          <w:sz w:val="24"/>
          <w:szCs w:val="24"/>
        </w:rPr>
        <w:t>APRA released final capital adequacy and credit risk capital requirements for ADIs</w:t>
      </w:r>
      <w:r w:rsidR="00821EFD">
        <w:rPr>
          <w:rFonts w:ascii="Times New Roman" w:hAnsi="Times New Roman" w:cs="Times New Roman"/>
          <w:sz w:val="24"/>
          <w:szCs w:val="24"/>
        </w:rPr>
        <w:t xml:space="preserve"> in November 2021</w:t>
      </w:r>
      <w:r w:rsidR="00C3686B" w:rsidRPr="00C3686B">
        <w:rPr>
          <w:rFonts w:ascii="Times New Roman" w:hAnsi="Times New Roman" w:cs="Times New Roman"/>
          <w:sz w:val="24"/>
          <w:szCs w:val="24"/>
        </w:rPr>
        <w:t xml:space="preserve">, contained in </w:t>
      </w:r>
      <w:r w:rsidR="00C3686B" w:rsidRPr="00C3686B">
        <w:rPr>
          <w:rFonts w:ascii="Times New Roman" w:hAnsi="Times New Roman" w:cs="Times New Roman"/>
          <w:i/>
          <w:sz w:val="24"/>
          <w:szCs w:val="24"/>
        </w:rPr>
        <w:t>Prudential Standard APS 110 Capital Adequacy</w:t>
      </w:r>
      <w:r w:rsidR="00C3686B" w:rsidRPr="00C3686B">
        <w:rPr>
          <w:rFonts w:ascii="Times New Roman" w:hAnsi="Times New Roman" w:cs="Times New Roman"/>
          <w:sz w:val="24"/>
          <w:szCs w:val="24"/>
        </w:rPr>
        <w:t xml:space="preserve"> (APS 110), </w:t>
      </w:r>
      <w:r w:rsidR="00C3686B" w:rsidRPr="00C3686B">
        <w:rPr>
          <w:rFonts w:ascii="Times New Roman" w:hAnsi="Times New Roman" w:cs="Times New Roman"/>
          <w:i/>
          <w:sz w:val="24"/>
          <w:szCs w:val="24"/>
        </w:rPr>
        <w:t>Prudential Standard APS 112 Capital Adequacy: Standardised Approach to Credit Risk</w:t>
      </w:r>
      <w:r w:rsidR="00C3686B" w:rsidRPr="00C3686B">
        <w:rPr>
          <w:rFonts w:ascii="Times New Roman" w:hAnsi="Times New Roman" w:cs="Times New Roman"/>
          <w:sz w:val="24"/>
          <w:szCs w:val="24"/>
        </w:rPr>
        <w:t xml:space="preserve"> (APS 112) and </w:t>
      </w:r>
      <w:r w:rsidR="00C3686B" w:rsidRPr="00C3686B">
        <w:rPr>
          <w:rFonts w:ascii="Times New Roman" w:hAnsi="Times New Roman" w:cs="Times New Roman"/>
          <w:i/>
          <w:sz w:val="24"/>
          <w:szCs w:val="24"/>
        </w:rPr>
        <w:t>Prudential Standard APS 113 Capital Adequacy: Internal Ratings-based Approach to Credit Risk</w:t>
      </w:r>
      <w:r w:rsidR="00C3686B" w:rsidRPr="00C3686B">
        <w:rPr>
          <w:rFonts w:ascii="Times New Roman" w:hAnsi="Times New Roman" w:cs="Times New Roman"/>
          <w:sz w:val="24"/>
          <w:szCs w:val="24"/>
        </w:rPr>
        <w:t xml:space="preserve"> (APS 113).</w:t>
      </w:r>
    </w:p>
    <w:p w14:paraId="32288BFA" w14:textId="77777777" w:rsidR="00244B0A" w:rsidRDefault="00C3686B" w:rsidP="00C3686B">
      <w:pPr>
        <w:numPr>
          <w:ilvl w:val="0"/>
          <w:numId w:val="0"/>
        </w:numPr>
        <w:rPr>
          <w:rFonts w:ascii="Times New Roman" w:hAnsi="Times New Roman" w:cs="Times New Roman"/>
          <w:sz w:val="24"/>
          <w:szCs w:val="24"/>
        </w:rPr>
      </w:pPr>
      <w:r w:rsidRPr="005628DB">
        <w:rPr>
          <w:rFonts w:ascii="Times New Roman" w:hAnsi="Times New Roman" w:cs="Times New Roman"/>
          <w:sz w:val="24"/>
          <w:szCs w:val="24"/>
        </w:rPr>
        <w:lastRenderedPageBreak/>
        <w:t xml:space="preserve">The ADI capital reforms will embed the industry’s ‘unquestionably strong’ capital </w:t>
      </w:r>
      <w:r w:rsidR="00821EFD" w:rsidRPr="005628DB">
        <w:rPr>
          <w:rFonts w:ascii="Times New Roman" w:hAnsi="Times New Roman" w:cs="Times New Roman"/>
          <w:sz w:val="24"/>
          <w:szCs w:val="24"/>
        </w:rPr>
        <w:t>position and</w:t>
      </w:r>
      <w:r w:rsidRPr="005628DB">
        <w:rPr>
          <w:rFonts w:ascii="Times New Roman" w:hAnsi="Times New Roman" w:cs="Times New Roman"/>
          <w:sz w:val="24"/>
          <w:szCs w:val="24"/>
        </w:rPr>
        <w:t xml:space="preserve"> improve the flexibility of the framework to respond during periods of stress. To support the </w:t>
      </w:r>
      <w:r w:rsidRPr="007720F8">
        <w:rPr>
          <w:rFonts w:ascii="Times New Roman" w:hAnsi="Times New Roman" w:cs="Times New Roman"/>
          <w:sz w:val="24"/>
          <w:szCs w:val="24"/>
        </w:rPr>
        <w:t xml:space="preserve">capital reforms, APRA has created three </w:t>
      </w:r>
      <w:r w:rsidR="006B5592" w:rsidRPr="007720F8">
        <w:rPr>
          <w:rFonts w:ascii="Times New Roman" w:hAnsi="Times New Roman" w:cs="Times New Roman"/>
          <w:sz w:val="24"/>
          <w:szCs w:val="24"/>
        </w:rPr>
        <w:t xml:space="preserve">updated ADI capital </w:t>
      </w:r>
      <w:r w:rsidRPr="007720F8">
        <w:rPr>
          <w:rFonts w:ascii="Times New Roman" w:hAnsi="Times New Roman" w:cs="Times New Roman"/>
          <w:sz w:val="24"/>
          <w:szCs w:val="24"/>
        </w:rPr>
        <w:t>reporting standards</w:t>
      </w:r>
      <w:r w:rsidR="00244B0A">
        <w:rPr>
          <w:rFonts w:ascii="Times New Roman" w:hAnsi="Times New Roman" w:cs="Times New Roman"/>
          <w:sz w:val="24"/>
          <w:szCs w:val="24"/>
        </w:rPr>
        <w:t>:</w:t>
      </w:r>
      <w:r w:rsidR="005628DB" w:rsidRPr="007720F8">
        <w:rPr>
          <w:rFonts w:ascii="Times New Roman" w:hAnsi="Times New Roman" w:cs="Times New Roman"/>
          <w:sz w:val="24"/>
          <w:szCs w:val="24"/>
        </w:rPr>
        <w:t xml:space="preserve"> </w:t>
      </w:r>
    </w:p>
    <w:p w14:paraId="7BD3FD11" w14:textId="7B8E348A" w:rsidR="00244B0A" w:rsidRDefault="00244B0A" w:rsidP="00244B0A">
      <w:pPr>
        <w:pStyle w:val="ListParagraph"/>
        <w:numPr>
          <w:ilvl w:val="0"/>
          <w:numId w:val="20"/>
        </w:numPr>
        <w:rPr>
          <w:rFonts w:ascii="Times New Roman" w:hAnsi="Times New Roman" w:cs="Times New Roman"/>
          <w:sz w:val="24"/>
          <w:szCs w:val="24"/>
        </w:rPr>
      </w:pPr>
      <w:r w:rsidRPr="00244B0A">
        <w:rPr>
          <w:rFonts w:ascii="Times New Roman" w:hAnsi="Times New Roman"/>
          <w:i/>
          <w:sz w:val="24"/>
          <w:szCs w:val="24"/>
        </w:rPr>
        <w:t xml:space="preserve">Reporting Standard ARS 110.0 Capital Adequacy </w:t>
      </w:r>
      <w:r w:rsidRPr="00244B0A">
        <w:rPr>
          <w:rFonts w:ascii="Times New Roman" w:hAnsi="Times New Roman"/>
          <w:sz w:val="24"/>
          <w:szCs w:val="24"/>
        </w:rPr>
        <w:t>(ARS 110.0)</w:t>
      </w:r>
      <w:r>
        <w:rPr>
          <w:rFonts w:ascii="Times New Roman" w:hAnsi="Times New Roman" w:cs="Times New Roman"/>
          <w:sz w:val="24"/>
          <w:szCs w:val="24"/>
        </w:rPr>
        <w:t>;</w:t>
      </w:r>
    </w:p>
    <w:p w14:paraId="3A2EC545" w14:textId="4173FC25" w:rsidR="00244B0A" w:rsidRDefault="00244B0A" w:rsidP="00244B0A">
      <w:pPr>
        <w:pStyle w:val="ListParagraph"/>
        <w:numPr>
          <w:ilvl w:val="0"/>
          <w:numId w:val="20"/>
        </w:numPr>
        <w:rPr>
          <w:rFonts w:ascii="Times New Roman" w:hAnsi="Times New Roman" w:cs="Times New Roman"/>
          <w:sz w:val="24"/>
          <w:szCs w:val="24"/>
        </w:rPr>
      </w:pPr>
      <w:r w:rsidRPr="00244B0A">
        <w:rPr>
          <w:rFonts w:ascii="Times New Roman" w:hAnsi="Times New Roman"/>
          <w:i/>
          <w:sz w:val="24"/>
          <w:szCs w:val="24"/>
        </w:rPr>
        <w:t>Reporting Standard ARS 112.0 Capital Adequacy: Standardised Approach to Credit Risk</w:t>
      </w:r>
      <w:r w:rsidRPr="00244B0A">
        <w:rPr>
          <w:rFonts w:ascii="Times New Roman" w:hAnsi="Times New Roman"/>
          <w:sz w:val="24"/>
          <w:szCs w:val="24"/>
        </w:rPr>
        <w:t xml:space="preserve"> (ARS 112.0)</w:t>
      </w:r>
      <w:r>
        <w:rPr>
          <w:rFonts w:ascii="Times New Roman" w:hAnsi="Times New Roman" w:cs="Times New Roman"/>
          <w:sz w:val="24"/>
          <w:szCs w:val="24"/>
        </w:rPr>
        <w:t>;</w:t>
      </w:r>
      <w:r w:rsidR="005628DB" w:rsidRPr="00244B0A">
        <w:rPr>
          <w:rFonts w:ascii="Times New Roman" w:hAnsi="Times New Roman" w:cs="Times New Roman"/>
          <w:sz w:val="24"/>
          <w:szCs w:val="24"/>
        </w:rPr>
        <w:t xml:space="preserve"> and </w:t>
      </w:r>
    </w:p>
    <w:p w14:paraId="1FE13A74" w14:textId="6B9BB99D" w:rsidR="00244B0A" w:rsidRDefault="003826E6" w:rsidP="00244B0A">
      <w:pPr>
        <w:pStyle w:val="ListParagraph"/>
        <w:numPr>
          <w:ilvl w:val="0"/>
          <w:numId w:val="20"/>
        </w:numPr>
        <w:rPr>
          <w:rFonts w:ascii="Times New Roman" w:hAnsi="Times New Roman" w:cs="Times New Roman"/>
          <w:sz w:val="24"/>
          <w:szCs w:val="24"/>
        </w:rPr>
      </w:pPr>
      <w:r>
        <w:rPr>
          <w:rFonts w:ascii="Times New Roman" w:hAnsi="Times New Roman"/>
          <w:i/>
          <w:sz w:val="24"/>
          <w:szCs w:val="24"/>
        </w:rPr>
        <w:t xml:space="preserve">Reporting Standard </w:t>
      </w:r>
      <w:r w:rsidR="00244B0A" w:rsidRPr="00244B0A">
        <w:rPr>
          <w:rFonts w:ascii="Times New Roman" w:hAnsi="Times New Roman"/>
          <w:i/>
          <w:sz w:val="24"/>
          <w:szCs w:val="24"/>
        </w:rPr>
        <w:t xml:space="preserve">ARS 113.0 Capital Adequacy: Internal Ratings-based Approach to Credit Risk </w:t>
      </w:r>
      <w:r w:rsidR="00244B0A" w:rsidRPr="00244B0A">
        <w:rPr>
          <w:rFonts w:ascii="Times New Roman" w:hAnsi="Times New Roman"/>
          <w:sz w:val="24"/>
          <w:szCs w:val="24"/>
        </w:rPr>
        <w:t>(ARS 113.0)</w:t>
      </w:r>
      <w:r w:rsidR="005628DB" w:rsidRPr="00244B0A">
        <w:rPr>
          <w:rFonts w:ascii="Times New Roman" w:hAnsi="Times New Roman" w:cs="Times New Roman"/>
          <w:sz w:val="24"/>
          <w:szCs w:val="24"/>
        </w:rPr>
        <w:t>.</w:t>
      </w:r>
    </w:p>
    <w:p w14:paraId="07C7A6E2" w14:textId="14085CEA" w:rsidR="00C3686B" w:rsidRPr="00244B0A" w:rsidRDefault="007720F8" w:rsidP="00244B0A">
      <w:pPr>
        <w:numPr>
          <w:ilvl w:val="0"/>
          <w:numId w:val="0"/>
        </w:numPr>
        <w:rPr>
          <w:rFonts w:ascii="Times New Roman" w:hAnsi="Times New Roman" w:cs="Times New Roman"/>
          <w:sz w:val="24"/>
          <w:szCs w:val="24"/>
        </w:rPr>
      </w:pPr>
      <w:r w:rsidRPr="00244B0A">
        <w:rPr>
          <w:rFonts w:ascii="Times New Roman" w:hAnsi="Times New Roman" w:cs="Times New Roman"/>
          <w:sz w:val="24"/>
          <w:szCs w:val="24"/>
        </w:rPr>
        <w:t>These new reporting standards ensure that APRA’s reporting framework aligns with APRA’s updated ADI capital framework.</w:t>
      </w:r>
    </w:p>
    <w:p w14:paraId="17AD333B" w14:textId="77777777" w:rsidR="00244B0A" w:rsidRDefault="007720F8" w:rsidP="006B5592">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In addition to the </w:t>
      </w:r>
      <w:r w:rsidR="00D67BB9">
        <w:rPr>
          <w:rFonts w:ascii="Times New Roman" w:hAnsi="Times New Roman" w:cs="Times New Roman"/>
          <w:sz w:val="24"/>
          <w:szCs w:val="24"/>
        </w:rPr>
        <w:t xml:space="preserve">three ADI capital reporting standards, APRA has also consulted on and created updated ADI reporting standards that incorporate necessary consequential changes as a result of the new ADI capital framework. </w:t>
      </w:r>
    </w:p>
    <w:p w14:paraId="2DCDD746" w14:textId="77777777" w:rsidR="00244B0A" w:rsidRDefault="00D67BB9" w:rsidP="006B5592">
      <w:pPr>
        <w:numPr>
          <w:ilvl w:val="0"/>
          <w:numId w:val="0"/>
        </w:numPr>
        <w:rPr>
          <w:rFonts w:ascii="Times New Roman" w:hAnsi="Times New Roman" w:cs="Times New Roman"/>
          <w:sz w:val="24"/>
          <w:szCs w:val="24"/>
        </w:rPr>
      </w:pPr>
      <w:r w:rsidRPr="00D67BB9">
        <w:rPr>
          <w:rFonts w:ascii="Times New Roman" w:hAnsi="Times New Roman" w:cs="Times New Roman"/>
          <w:sz w:val="24"/>
          <w:szCs w:val="24"/>
        </w:rPr>
        <w:t xml:space="preserve">These </w:t>
      </w:r>
      <w:r>
        <w:rPr>
          <w:rFonts w:ascii="Times New Roman" w:hAnsi="Times New Roman" w:cs="Times New Roman"/>
          <w:sz w:val="24"/>
          <w:szCs w:val="24"/>
        </w:rPr>
        <w:t>reporting standards are</w:t>
      </w:r>
      <w:r w:rsidR="00244B0A">
        <w:rPr>
          <w:rFonts w:ascii="Times New Roman" w:hAnsi="Times New Roman" w:cs="Times New Roman"/>
          <w:sz w:val="24"/>
          <w:szCs w:val="24"/>
        </w:rPr>
        <w:t>:</w:t>
      </w:r>
      <w:r>
        <w:rPr>
          <w:rFonts w:ascii="Times New Roman" w:hAnsi="Times New Roman" w:cs="Times New Roman"/>
          <w:sz w:val="24"/>
          <w:szCs w:val="24"/>
        </w:rPr>
        <w:t xml:space="preserve"> </w:t>
      </w:r>
    </w:p>
    <w:p w14:paraId="4CC86F59" w14:textId="7D008B35"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i/>
          <w:sz w:val="24"/>
          <w:szCs w:val="24"/>
        </w:rPr>
        <w:t>Reporting Standard ARS 120.1 Securitisation — Regulatory Capital</w:t>
      </w:r>
      <w:r>
        <w:rPr>
          <w:rFonts w:ascii="Times New Roman" w:hAnsi="Times New Roman"/>
          <w:i/>
          <w:sz w:val="24"/>
          <w:szCs w:val="24"/>
        </w:rPr>
        <w:t xml:space="preserve"> </w:t>
      </w:r>
      <w:r>
        <w:rPr>
          <w:rFonts w:ascii="Times New Roman" w:hAnsi="Times New Roman"/>
          <w:sz w:val="24"/>
          <w:szCs w:val="24"/>
        </w:rPr>
        <w:t>(ARS 120.1)</w:t>
      </w:r>
      <w:r w:rsidRPr="00244B0A">
        <w:rPr>
          <w:rFonts w:ascii="Times New Roman" w:hAnsi="Times New Roman" w:cs="Times New Roman"/>
          <w:sz w:val="24"/>
          <w:szCs w:val="24"/>
        </w:rPr>
        <w:t>;</w:t>
      </w:r>
    </w:p>
    <w:p w14:paraId="406477C8" w14:textId="3F1DEBC8"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120.2 Securitisation — Supplementary Items</w:t>
      </w:r>
      <w:r>
        <w:rPr>
          <w:rFonts w:ascii="Times New Roman" w:hAnsi="Times New Roman" w:cs="Times New Roman"/>
          <w:i/>
          <w:sz w:val="24"/>
          <w:szCs w:val="24"/>
        </w:rPr>
        <w:t xml:space="preserve"> </w:t>
      </w:r>
      <w:r>
        <w:rPr>
          <w:rFonts w:ascii="Times New Roman" w:hAnsi="Times New Roman" w:cs="Times New Roman"/>
          <w:sz w:val="24"/>
          <w:szCs w:val="24"/>
        </w:rPr>
        <w:t>(ARS 120.2)</w:t>
      </w:r>
      <w:r w:rsidRPr="00D56D61">
        <w:rPr>
          <w:rFonts w:ascii="Times New Roman" w:hAnsi="Times New Roman" w:cs="Times New Roman"/>
          <w:sz w:val="24"/>
          <w:szCs w:val="24"/>
        </w:rPr>
        <w:t>;</w:t>
      </w:r>
    </w:p>
    <w:p w14:paraId="69541450" w14:textId="6C19577D"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180.0 Counterparty Credit Risk</w:t>
      </w:r>
      <w:r>
        <w:rPr>
          <w:rFonts w:ascii="Times New Roman" w:hAnsi="Times New Roman" w:cs="Times New Roman"/>
          <w:i/>
          <w:sz w:val="24"/>
          <w:szCs w:val="24"/>
        </w:rPr>
        <w:t xml:space="preserve"> </w:t>
      </w:r>
      <w:r w:rsidRPr="00244B0A">
        <w:rPr>
          <w:rFonts w:ascii="Times New Roman" w:hAnsi="Times New Roman" w:cs="Times New Roman"/>
          <w:sz w:val="24"/>
          <w:szCs w:val="24"/>
        </w:rPr>
        <w:t>(</w:t>
      </w:r>
      <w:r>
        <w:rPr>
          <w:rFonts w:ascii="Times New Roman" w:hAnsi="Times New Roman" w:cs="Times New Roman"/>
          <w:sz w:val="24"/>
          <w:szCs w:val="24"/>
        </w:rPr>
        <w:t>ARS 180.0)</w:t>
      </w:r>
      <w:r w:rsidRPr="00D56D61">
        <w:rPr>
          <w:rFonts w:ascii="Times New Roman" w:hAnsi="Times New Roman" w:cs="Times New Roman"/>
          <w:sz w:val="24"/>
          <w:szCs w:val="24"/>
        </w:rPr>
        <w:t>;</w:t>
      </w:r>
    </w:p>
    <w:p w14:paraId="599C270A" w14:textId="44CFB34B" w:rsidR="00244B0A" w:rsidRPr="00D56D61"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210.0 Liquidity</w:t>
      </w:r>
      <w:r>
        <w:rPr>
          <w:rFonts w:ascii="Times New Roman" w:hAnsi="Times New Roman" w:cs="Times New Roman"/>
          <w:i/>
          <w:sz w:val="24"/>
          <w:szCs w:val="24"/>
        </w:rPr>
        <w:t xml:space="preserve"> </w:t>
      </w:r>
      <w:r>
        <w:rPr>
          <w:rFonts w:ascii="Times New Roman" w:hAnsi="Times New Roman" w:cs="Times New Roman"/>
          <w:sz w:val="24"/>
          <w:szCs w:val="24"/>
        </w:rPr>
        <w:t>(ARS 210.0)</w:t>
      </w:r>
      <w:r w:rsidRPr="00D56D61">
        <w:rPr>
          <w:rFonts w:ascii="Times New Roman" w:hAnsi="Times New Roman" w:cs="Times New Roman"/>
          <w:sz w:val="24"/>
          <w:szCs w:val="24"/>
        </w:rPr>
        <w:t>;</w:t>
      </w:r>
    </w:p>
    <w:p w14:paraId="16DEF723" w14:textId="77777777" w:rsidR="00244B0A" w:rsidRPr="00244B0A" w:rsidRDefault="00244B0A" w:rsidP="00244B0A">
      <w:pPr>
        <w:pStyle w:val="ListParagraph"/>
        <w:numPr>
          <w:ilvl w:val="0"/>
          <w:numId w:val="14"/>
        </w:numPr>
        <w:rPr>
          <w:rFonts w:ascii="Times New Roman" w:hAnsi="Times New Roman" w:cs="Times New Roman"/>
          <w:i/>
          <w:sz w:val="24"/>
          <w:szCs w:val="24"/>
        </w:rPr>
      </w:pPr>
      <w:r w:rsidRPr="00D56D61">
        <w:rPr>
          <w:rFonts w:ascii="Times New Roman" w:hAnsi="Times New Roman" w:cs="Times New Roman"/>
          <w:i/>
          <w:sz w:val="24"/>
          <w:szCs w:val="24"/>
        </w:rPr>
        <w:t>Reporting Standard ARS 221.0 Large Exposures</w:t>
      </w:r>
      <w:r>
        <w:rPr>
          <w:rFonts w:ascii="Times New Roman" w:hAnsi="Times New Roman" w:cs="Times New Roman"/>
          <w:sz w:val="24"/>
          <w:szCs w:val="24"/>
        </w:rPr>
        <w:t xml:space="preserve"> (ARS 221.0)</w:t>
      </w:r>
      <w:r w:rsidRPr="00D56D61">
        <w:rPr>
          <w:rFonts w:ascii="Times New Roman" w:hAnsi="Times New Roman" w:cs="Times New Roman"/>
          <w:sz w:val="24"/>
          <w:szCs w:val="24"/>
        </w:rPr>
        <w:t>; and</w:t>
      </w:r>
    </w:p>
    <w:p w14:paraId="6A22C693" w14:textId="01F806C2" w:rsidR="00244B0A" w:rsidRPr="00244B0A" w:rsidRDefault="00244B0A" w:rsidP="00244B0A">
      <w:pPr>
        <w:pStyle w:val="ListParagraph"/>
        <w:numPr>
          <w:ilvl w:val="0"/>
          <w:numId w:val="14"/>
        </w:numPr>
        <w:rPr>
          <w:rFonts w:ascii="Times New Roman" w:hAnsi="Times New Roman" w:cs="Times New Roman"/>
          <w:i/>
          <w:sz w:val="24"/>
          <w:szCs w:val="24"/>
        </w:rPr>
      </w:pPr>
      <w:r w:rsidRPr="00244B0A">
        <w:rPr>
          <w:rFonts w:ascii="Times New Roman" w:hAnsi="Times New Roman" w:cs="Times New Roman"/>
          <w:i/>
          <w:sz w:val="24"/>
          <w:szCs w:val="24"/>
        </w:rPr>
        <w:t>Reporting Standard ARS 223.0 Residential Mortgage Lending</w:t>
      </w:r>
      <w:r>
        <w:rPr>
          <w:rFonts w:ascii="Times New Roman" w:hAnsi="Times New Roman" w:cs="Times New Roman"/>
          <w:sz w:val="24"/>
          <w:szCs w:val="24"/>
        </w:rPr>
        <w:t xml:space="preserve"> (ARS 223.0)</w:t>
      </w:r>
      <w:r w:rsidRPr="00244B0A">
        <w:rPr>
          <w:rFonts w:ascii="Times New Roman" w:hAnsi="Times New Roman" w:cs="Times New Roman"/>
          <w:sz w:val="24"/>
          <w:szCs w:val="24"/>
        </w:rPr>
        <w:t>.</w:t>
      </w:r>
    </w:p>
    <w:p w14:paraId="25512235" w14:textId="62A5AC89" w:rsidR="00211AFD" w:rsidRPr="0099798A" w:rsidRDefault="00D67BB9" w:rsidP="00244B0A">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APRA consulted on changes to these reporting standards that were designed to </w:t>
      </w:r>
      <w:r w:rsidRPr="00D67BB9">
        <w:rPr>
          <w:rFonts w:ascii="Times New Roman" w:hAnsi="Times New Roman" w:cs="Times New Roman"/>
          <w:sz w:val="24"/>
          <w:szCs w:val="24"/>
        </w:rPr>
        <w:t>ensure consistency with the new ADI capital reforms. Amendments to the reporting standards were also proposed to update cross referencing and to provide clarification requested by industry.</w:t>
      </w:r>
    </w:p>
    <w:p w14:paraId="349A167C" w14:textId="3E0087E3"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Purpose and operation of the instrument</w:t>
      </w:r>
    </w:p>
    <w:p w14:paraId="165D549D" w14:textId="195384BF"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nstrument is to revoke the existing</w:t>
      </w:r>
      <w:r w:rsidR="005628DB">
        <w:rPr>
          <w:rFonts w:ascii="Times New Roman" w:hAnsi="Times New Roman" w:cs="Times New Roman"/>
          <w:sz w:val="24"/>
          <w:szCs w:val="24"/>
        </w:rPr>
        <w:t xml:space="preserve"> ADI capital</w:t>
      </w:r>
      <w:r w:rsidRPr="00BC1E70">
        <w:rPr>
          <w:rFonts w:ascii="Times New Roman" w:hAnsi="Times New Roman" w:cs="Times New Roman"/>
          <w:sz w:val="24"/>
          <w:szCs w:val="24"/>
        </w:rPr>
        <w:t xml:space="preserv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 and replace </w:t>
      </w:r>
      <w:r w:rsidR="00B82726">
        <w:rPr>
          <w:rFonts w:ascii="Times New Roman" w:hAnsi="Times New Roman" w:cs="Times New Roman"/>
          <w:sz w:val="24"/>
          <w:szCs w:val="24"/>
        </w:rPr>
        <w:t>it</w:t>
      </w:r>
      <w:r w:rsidRPr="00BC1E70">
        <w:rPr>
          <w:rFonts w:ascii="Times New Roman" w:hAnsi="Times New Roman" w:cs="Times New Roman"/>
          <w:sz w:val="24"/>
          <w:szCs w:val="24"/>
        </w:rPr>
        <w:t xml:space="preserve"> with</w:t>
      </w:r>
      <w:r w:rsidR="006212E3">
        <w:rPr>
          <w:rFonts w:ascii="Times New Roman" w:hAnsi="Times New Roman" w:cs="Times New Roman"/>
          <w:sz w:val="24"/>
          <w:szCs w:val="24"/>
        </w:rPr>
        <w:t xml:space="preserve"> a</w:t>
      </w:r>
      <w:r w:rsidRPr="00BC1E70">
        <w:rPr>
          <w:rFonts w:ascii="Times New Roman" w:hAnsi="Times New Roman" w:cs="Times New Roman"/>
          <w:sz w:val="24"/>
          <w:szCs w:val="24"/>
        </w:rPr>
        <w:t xml:space="preserve"> </w:t>
      </w:r>
      <w:r w:rsidR="006B5592">
        <w:rPr>
          <w:rFonts w:ascii="Times New Roman" w:hAnsi="Times New Roman" w:cs="Times New Roman"/>
          <w:sz w:val="24"/>
          <w:szCs w:val="24"/>
        </w:rPr>
        <w:t xml:space="preserve">new </w:t>
      </w:r>
      <w:r w:rsidR="006212E3">
        <w:rPr>
          <w:rFonts w:ascii="Times New Roman" w:hAnsi="Times New Roman" w:cs="Times New Roman"/>
          <w:sz w:val="24"/>
          <w:szCs w:val="24"/>
        </w:rPr>
        <w:t>version</w:t>
      </w:r>
      <w:r w:rsidRPr="00BC1E70">
        <w:rPr>
          <w:rFonts w:ascii="Times New Roman" w:hAnsi="Times New Roman" w:cs="Times New Roman"/>
          <w:sz w:val="24"/>
          <w:szCs w:val="24"/>
        </w:rPr>
        <w:t>.</w:t>
      </w:r>
    </w:p>
    <w:p w14:paraId="1343AEB0" w14:textId="4E2B5DC6" w:rsidR="00AD72D9" w:rsidRPr="00D56D61" w:rsidRDefault="00AD72D9" w:rsidP="00211AFD">
      <w:pPr>
        <w:numPr>
          <w:ilvl w:val="0"/>
          <w:numId w:val="0"/>
        </w:numPr>
        <w:rPr>
          <w:rFonts w:ascii="Times New Roman" w:hAnsi="Times New Roman" w:cs="Times New Roman"/>
          <w:sz w:val="24"/>
          <w:szCs w:val="24"/>
        </w:rPr>
      </w:pPr>
      <w:r w:rsidRPr="00D56D61">
        <w:rPr>
          <w:rFonts w:ascii="Times New Roman" w:hAnsi="Times New Roman" w:cs="Times New Roman"/>
          <w:sz w:val="24"/>
          <w:szCs w:val="24"/>
        </w:rPr>
        <w:t xml:space="preserve">The </w:t>
      </w:r>
      <w:r w:rsidR="003E1BB3">
        <w:rPr>
          <w:rFonts w:ascii="Times New Roman" w:hAnsi="Times New Roman" w:cs="Times New Roman"/>
          <w:sz w:val="24"/>
          <w:szCs w:val="24"/>
        </w:rPr>
        <w:t>new</w:t>
      </w:r>
      <w:r w:rsidR="00C86A64" w:rsidRPr="00D56D61">
        <w:rPr>
          <w:rFonts w:ascii="Times New Roman" w:hAnsi="Times New Roman" w:cs="Times New Roman"/>
          <w:sz w:val="24"/>
          <w:szCs w:val="24"/>
        </w:rPr>
        <w:t xml:space="preserve"> </w:t>
      </w:r>
      <w:r w:rsidR="00AA555F" w:rsidRPr="00D56D61">
        <w:rPr>
          <w:rFonts w:ascii="Times New Roman" w:hAnsi="Times New Roman" w:cs="Times New Roman"/>
          <w:sz w:val="24"/>
          <w:szCs w:val="24"/>
        </w:rPr>
        <w:t>reporting</w:t>
      </w:r>
      <w:r w:rsidRPr="00D56D61">
        <w:rPr>
          <w:rFonts w:ascii="Times New Roman" w:hAnsi="Times New Roman" w:cs="Times New Roman"/>
          <w:sz w:val="24"/>
          <w:szCs w:val="24"/>
        </w:rPr>
        <w:t xml:space="preserve"> standard will</w:t>
      </w:r>
      <w:r w:rsidR="00AA555F" w:rsidRPr="00D56D61">
        <w:rPr>
          <w:rFonts w:ascii="Times New Roman" w:hAnsi="Times New Roman" w:cs="Times New Roman"/>
          <w:sz w:val="24"/>
          <w:szCs w:val="24"/>
        </w:rPr>
        <w:t xml:space="preserve"> ensure that APRA’s reporting framework ali</w:t>
      </w:r>
      <w:r w:rsidR="00045D7D" w:rsidRPr="00D56D61">
        <w:rPr>
          <w:rFonts w:ascii="Times New Roman" w:hAnsi="Times New Roman" w:cs="Times New Roman"/>
          <w:sz w:val="24"/>
          <w:szCs w:val="24"/>
        </w:rPr>
        <w:t>g</w:t>
      </w:r>
      <w:r w:rsidR="00AA555F" w:rsidRPr="00D56D61">
        <w:rPr>
          <w:rFonts w:ascii="Times New Roman" w:hAnsi="Times New Roman" w:cs="Times New Roman"/>
          <w:sz w:val="24"/>
          <w:szCs w:val="24"/>
        </w:rPr>
        <w:t>ns with its prudential framework</w:t>
      </w:r>
      <w:r w:rsidR="007720F8" w:rsidRPr="00D56D61">
        <w:rPr>
          <w:rFonts w:ascii="Times New Roman" w:hAnsi="Times New Roman" w:cs="Times New Roman"/>
          <w:sz w:val="24"/>
          <w:szCs w:val="24"/>
        </w:rPr>
        <w:t xml:space="preserve">. </w:t>
      </w:r>
      <w:r w:rsidR="006212E3">
        <w:rPr>
          <w:rFonts w:ascii="Times New Roman" w:hAnsi="Times New Roman" w:cs="Times New Roman"/>
          <w:sz w:val="24"/>
          <w:szCs w:val="24"/>
        </w:rPr>
        <w:t>It</w:t>
      </w:r>
      <w:r w:rsidR="007720F8" w:rsidRPr="00D56D61">
        <w:rPr>
          <w:rFonts w:ascii="Times New Roman" w:hAnsi="Times New Roman" w:cs="Times New Roman"/>
          <w:sz w:val="24"/>
          <w:szCs w:val="24"/>
        </w:rPr>
        <w:t xml:space="preserve"> will also ensure that APRA will continue to receive data that is necessary to supervise ADIs’ compliance against the new capital adequacy and credit risk capital requirements.</w:t>
      </w:r>
    </w:p>
    <w:p w14:paraId="2A7858A4" w14:textId="584CA9DF" w:rsidR="00174039" w:rsidRDefault="00174039" w:rsidP="00211AFD">
      <w:pPr>
        <w:numPr>
          <w:ilvl w:val="0"/>
          <w:numId w:val="0"/>
        </w:numPr>
        <w:rPr>
          <w:rFonts w:ascii="Times New Roman" w:hAnsi="Times New Roman" w:cs="Times New Roman"/>
          <w:sz w:val="24"/>
          <w:szCs w:val="24"/>
        </w:rPr>
      </w:pPr>
      <w:r>
        <w:rPr>
          <w:rFonts w:ascii="Times New Roman" w:hAnsi="Times New Roman" w:cs="Times New Roman"/>
          <w:sz w:val="24"/>
          <w:szCs w:val="24"/>
        </w:rPr>
        <w:t>The reporting standard</w:t>
      </w:r>
      <w:r w:rsidRPr="00174039">
        <w:rPr>
          <w:rFonts w:ascii="Times New Roman" w:hAnsi="Times New Roman" w:cs="Times New Roman"/>
          <w:sz w:val="24"/>
          <w:szCs w:val="24"/>
        </w:rPr>
        <w:t xml:space="preserve"> require</w:t>
      </w:r>
      <w:r w:rsidR="006212E3">
        <w:rPr>
          <w:rFonts w:ascii="Times New Roman" w:hAnsi="Times New Roman" w:cs="Times New Roman"/>
          <w:sz w:val="24"/>
          <w:szCs w:val="24"/>
        </w:rPr>
        <w:t>s</w:t>
      </w:r>
      <w:r w:rsidRPr="00174039">
        <w:rPr>
          <w:rFonts w:ascii="Times New Roman" w:hAnsi="Times New Roman" w:cs="Times New Roman"/>
          <w:sz w:val="24"/>
          <w:szCs w:val="24"/>
        </w:rPr>
        <w:t xml:space="preserve"> reporting for reporting periods that occurred prior to the commencement of the reporting standard. </w:t>
      </w:r>
      <w:r>
        <w:rPr>
          <w:rFonts w:ascii="Times New Roman" w:hAnsi="Times New Roman" w:cs="Times New Roman"/>
          <w:sz w:val="24"/>
          <w:szCs w:val="24"/>
        </w:rPr>
        <w:t xml:space="preserve">The reporting standard </w:t>
      </w:r>
      <w:r w:rsidR="006212E3">
        <w:rPr>
          <w:rFonts w:ascii="Times New Roman" w:hAnsi="Times New Roman" w:cs="Times New Roman"/>
          <w:sz w:val="24"/>
          <w:szCs w:val="24"/>
        </w:rPr>
        <w:t>is</w:t>
      </w:r>
      <w:r w:rsidRPr="00174039">
        <w:rPr>
          <w:rFonts w:ascii="Times New Roman" w:hAnsi="Times New Roman" w:cs="Times New Roman"/>
          <w:sz w:val="24"/>
          <w:szCs w:val="24"/>
        </w:rPr>
        <w:t xml:space="preserve"> not retrospective in operation as the obligation to report on these reporting periods commences from, and not prior to, the commencement of the reporting standard.</w:t>
      </w:r>
    </w:p>
    <w:p w14:paraId="7319C850" w14:textId="4C786DE5" w:rsidR="00211AFD" w:rsidRDefault="00211AFD" w:rsidP="00211AFD">
      <w:pPr>
        <w:numPr>
          <w:ilvl w:val="0"/>
          <w:numId w:val="0"/>
        </w:numPr>
        <w:rPr>
          <w:rFonts w:ascii="Times New Roman" w:hAnsi="Times New Roman" w:cs="Times New Roman"/>
          <w:sz w:val="24"/>
          <w:szCs w:val="24"/>
          <w:shd w:val="clear" w:color="auto" w:fill="FFFFFF"/>
        </w:rPr>
      </w:pPr>
      <w:r w:rsidRPr="00BC1E70">
        <w:rPr>
          <w:rFonts w:ascii="Times New Roman" w:hAnsi="Times New Roman" w:cs="Times New Roman"/>
          <w:sz w:val="24"/>
          <w:szCs w:val="24"/>
        </w:rPr>
        <w:t>Where th</w:t>
      </w:r>
      <w:r w:rsidR="006212E3">
        <w:rPr>
          <w:rFonts w:ascii="Times New Roman" w:hAnsi="Times New Roman" w:cs="Times New Roman"/>
          <w:sz w:val="24"/>
          <w:szCs w:val="24"/>
        </w:rPr>
        <w:t>i</w:t>
      </w:r>
      <w:r w:rsidRPr="00BC1E70">
        <w:rPr>
          <w:rFonts w:ascii="Times New Roman" w:hAnsi="Times New Roman" w:cs="Times New Roman"/>
          <w:sz w:val="24"/>
          <w:szCs w:val="24"/>
        </w:rPr>
        <w:t>s standard refer</w:t>
      </w:r>
      <w:r w:rsidR="00B82726">
        <w:rPr>
          <w:rFonts w:ascii="Times New Roman" w:hAnsi="Times New Roman" w:cs="Times New Roman"/>
          <w:sz w:val="24"/>
          <w:szCs w:val="24"/>
        </w:rPr>
        <w:t>s</w:t>
      </w:r>
      <w:r w:rsidRPr="00BC1E70">
        <w:rPr>
          <w:rFonts w:ascii="Times New Roman" w:hAnsi="Times New Roman" w:cs="Times New Roman"/>
          <w:sz w:val="24"/>
          <w:szCs w:val="24"/>
        </w:rPr>
        <w:t xml:space="preserve"> to an Act, Regulation or Prudential Standard, this is a reference to the document as it exists from time to time, and which is available on the Federal Register of Legislation at </w:t>
      </w:r>
      <w:hyperlink r:id="rId13" w:history="1">
        <w:r w:rsidRPr="00BC1E70">
          <w:rPr>
            <w:rStyle w:val="Hyperlink"/>
            <w:rFonts w:ascii="Times New Roman" w:hAnsi="Times New Roman" w:cs="Times New Roman"/>
            <w:color w:val="0F569E"/>
            <w:sz w:val="24"/>
            <w:szCs w:val="24"/>
            <w:shd w:val="clear" w:color="auto" w:fill="FFFFFF"/>
          </w:rPr>
          <w:t>www.legislation.gov.au</w:t>
        </w:r>
      </w:hyperlink>
      <w:r w:rsidRPr="00BC1E70">
        <w:rPr>
          <w:rFonts w:ascii="Times New Roman" w:hAnsi="Times New Roman" w:cs="Times New Roman"/>
          <w:sz w:val="24"/>
          <w:szCs w:val="24"/>
          <w:shd w:val="clear" w:color="auto" w:fill="FFFFFF"/>
        </w:rPr>
        <w:t>.</w:t>
      </w:r>
    </w:p>
    <w:p w14:paraId="306F5878" w14:textId="23A706BB"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of discretion and which may impact the interests of the </w:t>
      </w:r>
      <w:r w:rsidR="00A54193">
        <w:rPr>
          <w:rFonts w:ascii="Times New Roman" w:hAnsi="Times New Roman" w:cs="Times New Roman"/>
          <w:sz w:val="24"/>
          <w:szCs w:val="24"/>
        </w:rPr>
        <w:t>ADIs</w:t>
      </w:r>
      <w:r w:rsidRPr="006C1876">
        <w:rPr>
          <w:rFonts w:ascii="Times New Roman" w:hAnsi="Times New Roman" w:cs="Times New Roman"/>
          <w:sz w:val="24"/>
          <w:szCs w:val="24"/>
        </w:rPr>
        <w:t xml:space="preserve"> to which the reporting standard</w:t>
      </w:r>
      <w:r w:rsidR="00045D7D">
        <w:rPr>
          <w:rFonts w:ascii="Times New Roman" w:hAnsi="Times New Roman" w:cs="Times New Roman"/>
          <w:sz w:val="24"/>
          <w:szCs w:val="24"/>
        </w:rPr>
        <w:t>s</w:t>
      </w:r>
      <w:r w:rsidRPr="006C1876">
        <w:rPr>
          <w:rFonts w:ascii="Times New Roman" w:hAnsi="Times New Roman" w:cs="Times New Roman"/>
          <w:sz w:val="24"/>
          <w:szCs w:val="24"/>
        </w:rPr>
        <w:t xml:space="preserve"> appl</w:t>
      </w:r>
      <w:r w:rsidR="00045D7D">
        <w:rPr>
          <w:rFonts w:ascii="Times New Roman" w:hAnsi="Times New Roman" w:cs="Times New Roman"/>
          <w:sz w:val="24"/>
          <w:szCs w:val="24"/>
        </w:rPr>
        <w:t>y</w:t>
      </w:r>
      <w:r w:rsidRPr="006C1876">
        <w:rPr>
          <w:rFonts w:ascii="Times New Roman" w:hAnsi="Times New Roman" w:cs="Times New Roman"/>
          <w:sz w:val="24"/>
          <w:szCs w:val="24"/>
        </w:rPr>
        <w:t>. These decisions include APRA chang</w:t>
      </w:r>
      <w:r w:rsidR="00045D7D">
        <w:rPr>
          <w:rFonts w:ascii="Times New Roman" w:hAnsi="Times New Roman" w:cs="Times New Roman"/>
          <w:sz w:val="24"/>
          <w:szCs w:val="24"/>
        </w:rPr>
        <w:t>ing</w:t>
      </w:r>
      <w:r w:rsidRPr="006C1876">
        <w:rPr>
          <w:rFonts w:ascii="Times New Roman" w:hAnsi="Times New Roman" w:cs="Times New Roman"/>
          <w:sz w:val="24"/>
          <w:szCs w:val="24"/>
        </w:rPr>
        <w:t xml:space="preserve"> a reporting period or due date for an ADI to provide information required by each of the instruments</w:t>
      </w:r>
      <w:r w:rsidR="00045D7D">
        <w:rPr>
          <w:rFonts w:ascii="Times New Roman" w:hAnsi="Times New Roman" w:cs="Times New Roman"/>
          <w:sz w:val="24"/>
          <w:szCs w:val="24"/>
        </w:rPr>
        <w:t xml:space="preserve"> or </w:t>
      </w:r>
      <w:r w:rsidR="00AC1727" w:rsidRPr="00AC1727">
        <w:rPr>
          <w:rFonts w:ascii="Times New Roman" w:hAnsi="Times New Roman" w:cs="Times New Roman"/>
          <w:sz w:val="24"/>
          <w:szCs w:val="24"/>
        </w:rPr>
        <w:t>determin</w:t>
      </w:r>
      <w:r w:rsidR="00AC1727">
        <w:rPr>
          <w:rFonts w:ascii="Times New Roman" w:hAnsi="Times New Roman" w:cs="Times New Roman"/>
          <w:sz w:val="24"/>
          <w:szCs w:val="24"/>
        </w:rPr>
        <w:t>ing,</w:t>
      </w:r>
      <w:r w:rsidR="00AC1727" w:rsidRPr="00AC1727">
        <w:rPr>
          <w:rFonts w:ascii="Times New Roman" w:hAnsi="Times New Roman" w:cs="Times New Roman"/>
          <w:sz w:val="24"/>
          <w:szCs w:val="24"/>
        </w:rPr>
        <w:t xml:space="preserve"> in </w:t>
      </w:r>
      <w:r w:rsidR="00AC1727" w:rsidRPr="00AC1727">
        <w:rPr>
          <w:rFonts w:ascii="Times New Roman" w:hAnsi="Times New Roman" w:cs="Times New Roman"/>
          <w:sz w:val="24"/>
          <w:szCs w:val="24"/>
        </w:rPr>
        <w:lastRenderedPageBreak/>
        <w:t xml:space="preserve">writing, that an individual ADI of one class of ADI is to be treated, for the purposes of </w:t>
      </w:r>
      <w:r w:rsidR="00AC1727">
        <w:rPr>
          <w:rFonts w:ascii="Times New Roman" w:hAnsi="Times New Roman" w:cs="Times New Roman"/>
          <w:sz w:val="24"/>
          <w:szCs w:val="24"/>
        </w:rPr>
        <w:t>a</w:t>
      </w:r>
      <w:r w:rsidR="00AC1727" w:rsidRPr="00AC1727">
        <w:rPr>
          <w:rFonts w:ascii="Times New Roman" w:hAnsi="Times New Roman" w:cs="Times New Roman"/>
          <w:sz w:val="24"/>
          <w:szCs w:val="24"/>
        </w:rPr>
        <w:t xml:space="preserve"> Reporting Standard, as though it were an ADI of another class of ADI</w:t>
      </w:r>
      <w:r w:rsidRPr="006C1876">
        <w:rPr>
          <w:rFonts w:ascii="Times New Roman" w:hAnsi="Times New Roman" w:cs="Times New Roman"/>
          <w:sz w:val="24"/>
          <w:szCs w:val="24"/>
        </w:rPr>
        <w:t>. Decisions made by APRA exercising those powers are not subject to merits review.</w:t>
      </w:r>
      <w:r w:rsidR="00045D7D">
        <w:rPr>
          <w:rFonts w:ascii="Times New Roman" w:hAnsi="Times New Roman" w:cs="Times New Roman"/>
          <w:sz w:val="24"/>
          <w:szCs w:val="24"/>
        </w:rPr>
        <w:t xml:space="preserve"> These discretions have not been amended and are consistent with discretions included in the reporting standards being revoked by the instruments.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062715A" w14:textId="246E6929"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including </w:t>
      </w:r>
      <w:r w:rsidR="00C175CC">
        <w:rPr>
          <w:rFonts w:ascii="Times New Roman" w:hAnsi="Times New Roman" w:cs="Times New Roman"/>
          <w:sz w:val="24"/>
          <w:szCs w:val="24"/>
        </w:rPr>
        <w:t>capital adequacy</w:t>
      </w:r>
      <w:r w:rsidRPr="006C1876">
        <w:rPr>
          <w:rFonts w:ascii="Times New Roman" w:hAnsi="Times New Roman" w:cs="Times New Roman"/>
          <w:sz w:val="24"/>
          <w:szCs w:val="24"/>
        </w:rPr>
        <w:t>. APRA relies heavily on this financial data to inform its supervisory actions towards its regulated entities. Without timely and complete data, APRA may miss indicators that a</w:t>
      </w:r>
      <w:r w:rsidR="00A54193">
        <w:rPr>
          <w:rFonts w:ascii="Times New Roman" w:hAnsi="Times New Roman" w:cs="Times New Roman"/>
          <w:sz w:val="24"/>
          <w:szCs w:val="24"/>
        </w:rPr>
        <w:t xml:space="preserve">n ADI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4C32B22B" w14:textId="39AB8A7D" w:rsidR="002143E2" w:rsidRDefault="002143E2" w:rsidP="0006638F">
      <w:pPr>
        <w:numPr>
          <w:ilvl w:val="0"/>
          <w:numId w:val="0"/>
        </w:numPr>
        <w:rPr>
          <w:rFonts w:ascii="Times New Roman" w:hAnsi="Times New Roman"/>
          <w:sz w:val="24"/>
          <w:szCs w:val="24"/>
        </w:rPr>
      </w:pPr>
      <w:r>
        <w:rPr>
          <w:rFonts w:ascii="Times New Roman" w:hAnsi="Times New Roman"/>
          <w:sz w:val="24"/>
          <w:szCs w:val="24"/>
        </w:rPr>
        <w:t>APRA undertook public consultation on proposed updates to ADI capital reporting standards from April 2022 to October 2022 as part of the consultation on updates to the ADI capital reporting and prudential framework.</w:t>
      </w:r>
      <w:r>
        <w:rPr>
          <w:rStyle w:val="FootnoteReference"/>
          <w:rFonts w:ascii="Times New Roman" w:hAnsi="Times New Roman"/>
          <w:sz w:val="24"/>
          <w:szCs w:val="24"/>
        </w:rPr>
        <w:footnoteReference w:id="2"/>
      </w:r>
      <w:r>
        <w:rPr>
          <w:rFonts w:ascii="Times New Roman" w:hAnsi="Times New Roman"/>
          <w:sz w:val="24"/>
          <w:szCs w:val="24"/>
        </w:rPr>
        <w:t xml:space="preserve"> </w:t>
      </w:r>
      <w:r w:rsidR="00E764D3">
        <w:rPr>
          <w:rFonts w:ascii="Times New Roman" w:hAnsi="Times New Roman"/>
          <w:sz w:val="24"/>
          <w:szCs w:val="24"/>
        </w:rPr>
        <w:t>Further details on the consultation from April to October 2022 is provided below.</w:t>
      </w:r>
    </w:p>
    <w:p w14:paraId="6EE81ABB" w14:textId="41FC02E4" w:rsidR="006B76C6" w:rsidRDefault="006B76C6" w:rsidP="0006638F">
      <w:pPr>
        <w:numPr>
          <w:ilvl w:val="0"/>
          <w:numId w:val="0"/>
        </w:numPr>
        <w:rPr>
          <w:rFonts w:ascii="Times New Roman" w:hAnsi="Times New Roman"/>
          <w:sz w:val="24"/>
          <w:szCs w:val="24"/>
        </w:rPr>
      </w:pPr>
      <w:r>
        <w:rPr>
          <w:rFonts w:ascii="Times New Roman" w:hAnsi="Times New Roman"/>
          <w:sz w:val="24"/>
          <w:szCs w:val="24"/>
        </w:rPr>
        <w:t xml:space="preserve">On 7 April 2022, APRA commenced consultation on draft </w:t>
      </w:r>
      <w:r w:rsidR="00687AED">
        <w:rPr>
          <w:rFonts w:ascii="Times New Roman" w:hAnsi="Times New Roman"/>
          <w:sz w:val="24"/>
          <w:szCs w:val="24"/>
        </w:rPr>
        <w:t xml:space="preserve">interim </w:t>
      </w:r>
      <w:r>
        <w:rPr>
          <w:rFonts w:ascii="Times New Roman" w:hAnsi="Times New Roman"/>
          <w:sz w:val="24"/>
          <w:szCs w:val="24"/>
        </w:rPr>
        <w:t>versions of ARS 110.0, ARS 112.0, and ARS 113.0 that would incorporate updates to APRA’s ADI capital framework. APRA also commenced consultation on consequential amendments to ARS 180.0, ARS 221.0 and ARS 223.0 due to the new capital framework as part of the same consultation</w:t>
      </w:r>
      <w:r>
        <w:rPr>
          <w:rStyle w:val="FootnoteReference"/>
          <w:rFonts w:ascii="Times New Roman" w:hAnsi="Times New Roman"/>
          <w:szCs w:val="24"/>
        </w:rPr>
        <w:footnoteReference w:id="3"/>
      </w:r>
      <w:r>
        <w:rPr>
          <w:rFonts w:ascii="Times New Roman" w:hAnsi="Times New Roman"/>
          <w:sz w:val="24"/>
          <w:szCs w:val="24"/>
        </w:rPr>
        <w:t>.</w:t>
      </w:r>
    </w:p>
    <w:p w14:paraId="16BF4DE6" w14:textId="5453B71C" w:rsidR="006B76C6" w:rsidRDefault="006B76C6" w:rsidP="0006638F">
      <w:pPr>
        <w:numPr>
          <w:ilvl w:val="0"/>
          <w:numId w:val="0"/>
        </w:numPr>
        <w:rPr>
          <w:rFonts w:ascii="Times New Roman" w:hAnsi="Times New Roman"/>
          <w:sz w:val="24"/>
          <w:szCs w:val="24"/>
        </w:rPr>
      </w:pPr>
      <w:r>
        <w:rPr>
          <w:rFonts w:ascii="Times New Roman" w:hAnsi="Times New Roman"/>
          <w:sz w:val="24"/>
          <w:szCs w:val="24"/>
        </w:rPr>
        <w:t xml:space="preserve">On </w:t>
      </w:r>
      <w:r w:rsidR="00E764D3">
        <w:rPr>
          <w:rFonts w:ascii="Times New Roman" w:hAnsi="Times New Roman"/>
          <w:sz w:val="24"/>
          <w:szCs w:val="24"/>
        </w:rPr>
        <w:t xml:space="preserve">26 July 2022, APRA initiated consultation on minor consequential amendments to ARS 110.0, ARS 113.0, ARS 120.1, ARS 120.2, ARS 180.0, and ARS 210.0. </w:t>
      </w:r>
      <w:bookmarkStart w:id="4" w:name="_Hlk129705892"/>
      <w:r w:rsidR="00180361">
        <w:rPr>
          <w:rFonts w:ascii="Times New Roman" w:hAnsi="Times New Roman"/>
          <w:sz w:val="24"/>
          <w:szCs w:val="24"/>
        </w:rPr>
        <w:t xml:space="preserve">These amendments were to support proposed updates to APRA’s prudential framework </w:t>
      </w:r>
      <w:r w:rsidR="004D16C6">
        <w:rPr>
          <w:rFonts w:ascii="Times New Roman" w:hAnsi="Times New Roman"/>
          <w:sz w:val="24"/>
          <w:szCs w:val="24"/>
        </w:rPr>
        <w:t>that would ensure consistency with the new ADI capital reforms</w:t>
      </w:r>
      <w:r w:rsidR="00180361">
        <w:rPr>
          <w:rFonts w:ascii="Times New Roman" w:hAnsi="Times New Roman"/>
          <w:sz w:val="24"/>
          <w:szCs w:val="24"/>
        </w:rPr>
        <w:t>. Amendments to the reporting standards</w:t>
      </w:r>
      <w:r w:rsidR="00E764D3">
        <w:rPr>
          <w:rFonts w:ascii="Times New Roman" w:hAnsi="Times New Roman"/>
          <w:sz w:val="24"/>
          <w:szCs w:val="24"/>
        </w:rPr>
        <w:t xml:space="preserve"> were</w:t>
      </w:r>
      <w:r w:rsidR="00180361">
        <w:rPr>
          <w:rFonts w:ascii="Times New Roman" w:hAnsi="Times New Roman"/>
          <w:sz w:val="24"/>
          <w:szCs w:val="24"/>
        </w:rPr>
        <w:t xml:space="preserve"> </w:t>
      </w:r>
      <w:r w:rsidR="004D16C6">
        <w:rPr>
          <w:rFonts w:ascii="Times New Roman" w:hAnsi="Times New Roman"/>
          <w:sz w:val="24"/>
          <w:szCs w:val="24"/>
        </w:rPr>
        <w:t xml:space="preserve">also </w:t>
      </w:r>
      <w:r w:rsidR="00180361">
        <w:rPr>
          <w:rFonts w:ascii="Times New Roman" w:hAnsi="Times New Roman"/>
          <w:sz w:val="24"/>
          <w:szCs w:val="24"/>
        </w:rPr>
        <w:t>proposed</w:t>
      </w:r>
      <w:r w:rsidR="00E764D3">
        <w:rPr>
          <w:rFonts w:ascii="Times New Roman" w:hAnsi="Times New Roman"/>
          <w:sz w:val="24"/>
          <w:szCs w:val="24"/>
        </w:rPr>
        <w:t xml:space="preserve"> to update cross referencing and to provide clarification requested by industry.</w:t>
      </w:r>
    </w:p>
    <w:bookmarkEnd w:id="4"/>
    <w:p w14:paraId="33048BC8" w14:textId="33A20A20" w:rsidR="00E764D3" w:rsidRDefault="00E764D3" w:rsidP="0006638F">
      <w:pPr>
        <w:numPr>
          <w:ilvl w:val="0"/>
          <w:numId w:val="0"/>
        </w:numPr>
        <w:rPr>
          <w:rFonts w:ascii="Times New Roman" w:hAnsi="Times New Roman"/>
          <w:sz w:val="24"/>
          <w:szCs w:val="24"/>
        </w:rPr>
      </w:pPr>
      <w:r>
        <w:rPr>
          <w:rFonts w:ascii="Times New Roman" w:hAnsi="Times New Roman"/>
          <w:sz w:val="24"/>
          <w:szCs w:val="24"/>
        </w:rPr>
        <w:t>Submissions on both stages of consultation were received from reporting ADIs</w:t>
      </w:r>
      <w:r w:rsidR="00E169BF">
        <w:rPr>
          <w:rFonts w:ascii="Times New Roman" w:hAnsi="Times New Roman"/>
          <w:sz w:val="24"/>
          <w:szCs w:val="24"/>
        </w:rPr>
        <w:t>,</w:t>
      </w:r>
      <w:r>
        <w:rPr>
          <w:rFonts w:ascii="Times New Roman" w:hAnsi="Times New Roman"/>
          <w:sz w:val="24"/>
          <w:szCs w:val="24"/>
        </w:rPr>
        <w:t xml:space="preserve"> industry bodies</w:t>
      </w:r>
      <w:r w:rsidR="00E169BF">
        <w:rPr>
          <w:rFonts w:ascii="Times New Roman" w:hAnsi="Times New Roman"/>
          <w:sz w:val="24"/>
          <w:szCs w:val="24"/>
        </w:rPr>
        <w:t>, and regulatory technology providers</w:t>
      </w:r>
      <w:r>
        <w:rPr>
          <w:rFonts w:ascii="Times New Roman" w:hAnsi="Times New Roman"/>
          <w:sz w:val="24"/>
          <w:szCs w:val="24"/>
        </w:rPr>
        <w:t>. APRA incorporated feedback received into the final versions of the reporting standards, including adding clarification to reporting instructions and forms as requested by industry.</w:t>
      </w:r>
    </w:p>
    <w:p w14:paraId="69368CB6" w14:textId="2162A881" w:rsidR="00E764D3" w:rsidRDefault="00E764D3" w:rsidP="0006638F">
      <w:pPr>
        <w:numPr>
          <w:ilvl w:val="0"/>
          <w:numId w:val="0"/>
        </w:numPr>
        <w:rPr>
          <w:rFonts w:ascii="Times New Roman" w:hAnsi="Times New Roman"/>
          <w:sz w:val="24"/>
          <w:szCs w:val="24"/>
        </w:rPr>
      </w:pPr>
      <w:r>
        <w:rPr>
          <w:rFonts w:ascii="Times New Roman" w:hAnsi="Times New Roman"/>
          <w:sz w:val="24"/>
          <w:szCs w:val="24"/>
        </w:rPr>
        <w:t>APRA released a response to submissions to its April 2022 consultation on 10 August 2022. The response included a letter to ADIs and updated versions of ARS 110.0, ARS 112.0, ARS 113.0, ARS 180.0, ARS 221.0, and ARS 223.0</w:t>
      </w:r>
      <w:r>
        <w:rPr>
          <w:rStyle w:val="FootnoteReference"/>
          <w:rFonts w:ascii="Times New Roman" w:hAnsi="Times New Roman"/>
          <w:szCs w:val="24"/>
        </w:rPr>
        <w:footnoteReference w:id="4"/>
      </w:r>
      <w:r>
        <w:rPr>
          <w:rFonts w:ascii="Times New Roman" w:hAnsi="Times New Roman"/>
          <w:sz w:val="24"/>
          <w:szCs w:val="24"/>
        </w:rPr>
        <w:t>.</w:t>
      </w:r>
      <w:r w:rsidR="00E169BF">
        <w:rPr>
          <w:rFonts w:ascii="Times New Roman" w:hAnsi="Times New Roman"/>
          <w:sz w:val="24"/>
          <w:szCs w:val="24"/>
        </w:rPr>
        <w:t xml:space="preserve"> In response to feedback</w:t>
      </w:r>
      <w:r w:rsidR="00180361">
        <w:rPr>
          <w:rFonts w:ascii="Times New Roman" w:hAnsi="Times New Roman"/>
          <w:sz w:val="24"/>
          <w:szCs w:val="24"/>
        </w:rPr>
        <w:t xml:space="preserve"> on ARS 110.0, ARS 112.0, and ARS 113.0</w:t>
      </w:r>
      <w:r w:rsidR="00E169BF">
        <w:rPr>
          <w:rFonts w:ascii="Times New Roman" w:hAnsi="Times New Roman"/>
          <w:sz w:val="24"/>
          <w:szCs w:val="24"/>
        </w:rPr>
        <w:t>, APRA clarified the reporting treatment for exposures in New Zealand subsidiaries</w:t>
      </w:r>
      <w:r w:rsidR="00180361">
        <w:rPr>
          <w:rFonts w:ascii="Times New Roman" w:hAnsi="Times New Roman"/>
          <w:sz w:val="24"/>
          <w:szCs w:val="24"/>
        </w:rPr>
        <w:t xml:space="preserve"> in these reporting standards.</w:t>
      </w:r>
    </w:p>
    <w:p w14:paraId="3F7A95D7" w14:textId="1764ADC8" w:rsidR="00B670E9" w:rsidRPr="004D16C6" w:rsidRDefault="00180361" w:rsidP="00ED4C82">
      <w:pPr>
        <w:numPr>
          <w:ilvl w:val="0"/>
          <w:numId w:val="0"/>
        </w:numPr>
        <w:rPr>
          <w:rFonts w:ascii="Times New Roman" w:hAnsi="Times New Roman" w:cs="Times New Roman"/>
          <w:sz w:val="24"/>
          <w:szCs w:val="24"/>
          <w:highlight w:val="yellow"/>
        </w:rPr>
      </w:pPr>
      <w:r>
        <w:rPr>
          <w:rFonts w:ascii="Times New Roman" w:hAnsi="Times New Roman"/>
          <w:sz w:val="24"/>
          <w:szCs w:val="24"/>
        </w:rPr>
        <w:lastRenderedPageBreak/>
        <w:t>On 31 October 2022 APRA released a response to submissions on the July 2022 consultation</w:t>
      </w:r>
      <w:r w:rsidR="004D16C6">
        <w:rPr>
          <w:rFonts w:ascii="Times New Roman" w:hAnsi="Times New Roman"/>
          <w:sz w:val="24"/>
          <w:szCs w:val="24"/>
        </w:rPr>
        <w:t xml:space="preserve"> </w:t>
      </w:r>
      <w:r w:rsidR="004D16C6">
        <w:rPr>
          <w:rStyle w:val="FootnoteReference"/>
          <w:rFonts w:ascii="Times New Roman" w:hAnsi="Times New Roman"/>
          <w:szCs w:val="24"/>
        </w:rPr>
        <w:footnoteReference w:id="5"/>
      </w:r>
      <w:r>
        <w:rPr>
          <w:rFonts w:ascii="Times New Roman" w:hAnsi="Times New Roman"/>
          <w:sz w:val="24"/>
          <w:szCs w:val="24"/>
        </w:rPr>
        <w:t xml:space="preserve">. </w:t>
      </w:r>
      <w:r w:rsidR="004D16C6">
        <w:rPr>
          <w:rFonts w:ascii="Times New Roman" w:hAnsi="Times New Roman"/>
          <w:sz w:val="24"/>
          <w:szCs w:val="24"/>
        </w:rPr>
        <w:t xml:space="preserve"> ARS 110.0 and ARS 113.0 contained minor updates to provide clarifications and correct </w:t>
      </w:r>
      <w:r w:rsidR="004D16C6" w:rsidRPr="004D16C6">
        <w:rPr>
          <w:rFonts w:ascii="Times New Roman" w:hAnsi="Times New Roman"/>
          <w:sz w:val="24"/>
          <w:szCs w:val="24"/>
        </w:rPr>
        <w:t>typographical errors. ARS 120.1, ARS 120.2, and ARS 180.0 were updated to reflect the treatment of exposures to New Zealand. ARS 210.0 contained minor changes for consequential amendments to the Net Stable Funding Ratio requirements.</w:t>
      </w:r>
      <w:r w:rsidR="004D16C6" w:rsidRPr="004D16C6">
        <w:rPr>
          <w:rFonts w:ascii="Times New Roman" w:hAnsi="Times New Roman" w:cs="Times New Roman"/>
          <w:sz w:val="24"/>
          <w:szCs w:val="24"/>
        </w:rPr>
        <w:t xml:space="preserve"> </w:t>
      </w:r>
      <w:r w:rsidR="00ED4C82" w:rsidRPr="004D16C6">
        <w:rPr>
          <w:rFonts w:ascii="Times New Roman" w:hAnsi="Times New Roman" w:cs="Times New Roman"/>
          <w:sz w:val="24"/>
          <w:szCs w:val="24"/>
        </w:rPr>
        <w:t>APRA is satisfied the consultation was appropriate and reasonably practicable</w:t>
      </w:r>
      <w:r w:rsidR="00E764D3" w:rsidRPr="004D16C6">
        <w:rPr>
          <w:rFonts w:ascii="Times New Roman" w:hAnsi="Times New Roman" w:cs="Times New Roman"/>
          <w:sz w:val="24"/>
          <w:szCs w:val="24"/>
        </w:rPr>
        <w:t>.</w:t>
      </w:r>
    </w:p>
    <w:p w14:paraId="1D2864CC" w14:textId="05A2D7DE" w:rsidR="00211AFD" w:rsidRPr="00A50B51" w:rsidRDefault="00B670E9" w:rsidP="00211AFD">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t>4.</w:t>
      </w:r>
      <w:r w:rsidRPr="00A50B51">
        <w:rPr>
          <w:rFonts w:ascii="Times New Roman" w:hAnsi="Times New Roman" w:cs="Times New Roman"/>
          <w:b/>
          <w:sz w:val="24"/>
          <w:szCs w:val="24"/>
        </w:rPr>
        <w:tab/>
      </w:r>
      <w:r w:rsidR="00211AFD" w:rsidRPr="00A50B51">
        <w:rPr>
          <w:rFonts w:ascii="Times New Roman" w:hAnsi="Times New Roman" w:cs="Times New Roman"/>
          <w:b/>
          <w:sz w:val="24"/>
          <w:szCs w:val="24"/>
        </w:rPr>
        <w:t>Regulation Impact Statement</w:t>
      </w:r>
    </w:p>
    <w:p w14:paraId="71FFFEDD" w14:textId="7F40C560" w:rsidR="00A54193" w:rsidRDefault="006B76C6" w:rsidP="00A54193">
      <w:pPr>
        <w:rPr>
          <w:rFonts w:ascii="Times New Roman" w:hAnsi="Times New Roman"/>
          <w:sz w:val="24"/>
          <w:szCs w:val="24"/>
        </w:rPr>
      </w:pPr>
      <w:r>
        <w:rPr>
          <w:rFonts w:ascii="Times New Roman" w:hAnsi="Times New Roman"/>
          <w:sz w:val="24"/>
          <w:szCs w:val="24"/>
        </w:rPr>
        <w:t>T</w:t>
      </w:r>
      <w:r w:rsidR="00A54193" w:rsidRPr="00FD005A">
        <w:rPr>
          <w:rFonts w:ascii="Times New Roman" w:hAnsi="Times New Roman"/>
          <w:sz w:val="24"/>
          <w:szCs w:val="24"/>
        </w:rPr>
        <w:t xml:space="preserve">he Office of </w:t>
      </w:r>
      <w:r w:rsidR="00A54193">
        <w:rPr>
          <w:rFonts w:ascii="Times New Roman" w:hAnsi="Times New Roman"/>
          <w:sz w:val="24"/>
          <w:szCs w:val="24"/>
        </w:rPr>
        <w:t>Impact Analys</w:t>
      </w:r>
      <w:r>
        <w:rPr>
          <w:rFonts w:ascii="Times New Roman" w:hAnsi="Times New Roman"/>
          <w:sz w:val="24"/>
          <w:szCs w:val="24"/>
        </w:rPr>
        <w:t>is confirmed that a Regulation Impact Statement was not required</w:t>
      </w:r>
      <w:r w:rsidR="00A54193">
        <w:rPr>
          <w:rFonts w:ascii="Times New Roman" w:hAnsi="Times New Roman"/>
          <w:sz w:val="24"/>
          <w:szCs w:val="24"/>
        </w:rPr>
        <w:t>.</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724C9FB2"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w:t>
      </w:r>
      <w:r w:rsidRPr="00600BDD">
        <w:rPr>
          <w:rFonts w:ascii="Times New Roman" w:eastAsia="Times New Roman" w:hAnsi="Times New Roman" w:cs="Times New Roman"/>
          <w:b/>
          <w:sz w:val="24"/>
          <w:szCs w:val="24"/>
          <w:lang w:eastAsia="en-AU"/>
        </w:rPr>
        <w:t xml:space="preserve">determination No. </w:t>
      </w:r>
      <w:r w:rsidR="006B76C6" w:rsidRPr="00600BDD">
        <w:rPr>
          <w:rFonts w:ascii="Times New Roman" w:eastAsia="Times New Roman" w:hAnsi="Times New Roman" w:cs="Times New Roman"/>
          <w:b/>
          <w:sz w:val="24"/>
          <w:szCs w:val="24"/>
          <w:lang w:eastAsia="en-AU"/>
        </w:rPr>
        <w:t>56</w:t>
      </w:r>
      <w:r w:rsidRPr="00600BDD">
        <w:rPr>
          <w:rFonts w:ascii="Times New Roman" w:eastAsia="Times New Roman" w:hAnsi="Times New Roman" w:cs="Times New Roman"/>
          <w:b/>
          <w:sz w:val="24"/>
          <w:szCs w:val="24"/>
          <w:lang w:eastAsia="en-AU"/>
        </w:rPr>
        <w:t xml:space="preserve"> of 202</w:t>
      </w:r>
      <w:r w:rsidR="006B76C6" w:rsidRPr="00600BDD">
        <w:rPr>
          <w:rFonts w:ascii="Times New Roman" w:eastAsia="Times New Roman" w:hAnsi="Times New Roman" w:cs="Times New Roman"/>
          <w:b/>
          <w:sz w:val="24"/>
          <w:szCs w:val="24"/>
          <w:lang w:eastAsia="en-AU"/>
        </w:rPr>
        <w:t>3</w:t>
      </w:r>
    </w:p>
    <w:p w14:paraId="06CCC3E0" w14:textId="515E3391"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w:t>
      </w:r>
      <w:r w:rsidR="006E0FB8">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sidR="006E0FB8">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394E8EC7"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751DCF46" w14:textId="19DCDBFD" w:rsidR="00CD1253" w:rsidRDefault="00CD1253" w:rsidP="00D56D61">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 </w:t>
      </w:r>
      <w:r w:rsidRPr="00AA555F">
        <w:rPr>
          <w:rFonts w:ascii="Times New Roman" w:hAnsi="Times New Roman" w:cs="Times New Roman"/>
          <w:sz w:val="24"/>
          <w:szCs w:val="24"/>
        </w:rPr>
        <w:t xml:space="preserve">is to </w:t>
      </w:r>
      <w:r w:rsidR="00D56D61">
        <w:rPr>
          <w:rFonts w:ascii="Times New Roman" w:hAnsi="Times New Roman" w:cs="Times New Roman"/>
          <w:sz w:val="24"/>
          <w:szCs w:val="24"/>
        </w:rPr>
        <w:t xml:space="preserve">determine </w:t>
      </w:r>
      <w:r w:rsidR="00574BA1">
        <w:rPr>
          <w:rFonts w:ascii="Times New Roman" w:hAnsi="Times New Roman" w:cs="Times New Roman"/>
          <w:sz w:val="24"/>
          <w:szCs w:val="24"/>
        </w:rPr>
        <w:t xml:space="preserve">a </w:t>
      </w:r>
      <w:r w:rsidR="00D56D61">
        <w:rPr>
          <w:rFonts w:ascii="Times New Roman" w:hAnsi="Times New Roman" w:cs="Times New Roman"/>
          <w:sz w:val="24"/>
          <w:szCs w:val="24"/>
        </w:rPr>
        <w:t xml:space="preserve">new </w:t>
      </w:r>
      <w:r w:rsidR="00574BA1">
        <w:rPr>
          <w:rFonts w:ascii="Times New Roman" w:hAnsi="Times New Roman" w:cs="Times New Roman"/>
          <w:i/>
          <w:sz w:val="24"/>
          <w:szCs w:val="24"/>
        </w:rPr>
        <w:t xml:space="preserve">Reporting Standard ARS </w:t>
      </w:r>
      <w:r w:rsidR="00600BDD" w:rsidRPr="00D56D61">
        <w:rPr>
          <w:rFonts w:ascii="Times New Roman" w:hAnsi="Times New Roman" w:cs="Times New Roman"/>
          <w:i/>
          <w:sz w:val="24"/>
          <w:szCs w:val="24"/>
        </w:rPr>
        <w:t>223.0 Residential Mortgage Lending</w:t>
      </w:r>
      <w:r w:rsidR="00D56D61">
        <w:rPr>
          <w:rFonts w:ascii="Times New Roman" w:hAnsi="Times New Roman" w:cs="Times New Roman"/>
          <w:sz w:val="24"/>
          <w:szCs w:val="24"/>
        </w:rPr>
        <w:t xml:space="preserve"> that incorporate</w:t>
      </w:r>
      <w:r w:rsidR="00574BA1">
        <w:rPr>
          <w:rFonts w:ascii="Times New Roman" w:hAnsi="Times New Roman" w:cs="Times New Roman"/>
          <w:sz w:val="24"/>
          <w:szCs w:val="24"/>
        </w:rPr>
        <w:t>s</w:t>
      </w:r>
      <w:r w:rsidR="00D56D61">
        <w:rPr>
          <w:rFonts w:ascii="Times New Roman" w:hAnsi="Times New Roman" w:cs="Times New Roman"/>
          <w:sz w:val="24"/>
          <w:szCs w:val="24"/>
        </w:rPr>
        <w:t xml:space="preserve"> updates to APRA’s capital adequacy and credit risk capital requirements</w:t>
      </w:r>
      <w:r w:rsidR="000F62C5">
        <w:rPr>
          <w:rFonts w:ascii="Times New Roman" w:hAnsi="Times New Roman" w:cs="Times New Roman"/>
          <w:sz w:val="24"/>
          <w:szCs w:val="24"/>
        </w:rPr>
        <w:t xml:space="preserve"> and minor consequential updates required as a result of the new capital requirements</w:t>
      </w:r>
      <w:r w:rsidR="00D56D61">
        <w:rPr>
          <w:rFonts w:ascii="Times New Roman" w:hAnsi="Times New Roman" w:cs="Times New Roman"/>
          <w:sz w:val="24"/>
          <w:szCs w:val="24"/>
        </w:rPr>
        <w:t>.</w:t>
      </w:r>
      <w:r w:rsidR="000F62C5">
        <w:rPr>
          <w:rFonts w:ascii="Times New Roman" w:hAnsi="Times New Roman" w:cs="Times New Roman"/>
          <w:sz w:val="24"/>
          <w:szCs w:val="24"/>
        </w:rPr>
        <w:t xml:space="preserve"> </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18A70798"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sidR="006212E3">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sidR="006212E3">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sidR="006212E3">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C020371"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w:t>
      </w:r>
      <w:r w:rsidR="006212E3">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sidR="006212E3">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sidR="006212E3">
        <w:rPr>
          <w:rFonts w:ascii="Times New Roman" w:hAnsi="Times New Roman" w:cs="Times New Roman"/>
          <w:sz w:val="24"/>
          <w:szCs w:val="24"/>
        </w:rPr>
        <w:t>it</w:t>
      </w:r>
      <w:r w:rsidRPr="000A1A15">
        <w:rPr>
          <w:rFonts w:ascii="Times New Roman" w:hAnsi="Times New Roman" w:cs="Times New Roman"/>
          <w:sz w:val="24"/>
          <w:szCs w:val="24"/>
        </w:rPr>
        <w:t xml:space="preserve"> do</w:t>
      </w:r>
      <w:r w:rsidR="006212E3">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F77D" w14:textId="77777777" w:rsidR="00211AFD" w:rsidRPr="000D4EDE" w:rsidRDefault="00211AFD" w:rsidP="000D4EDE">
      <w:r>
        <w:separator/>
      </w:r>
    </w:p>
  </w:endnote>
  <w:endnote w:type="continuationSeparator" w:id="0">
    <w:p w14:paraId="4EE5D211" w14:textId="77777777" w:rsidR="00211AFD" w:rsidRPr="000D4EDE" w:rsidRDefault="00211AFD" w:rsidP="000D4EDE">
      <w:r>
        <w:continuationSeparator/>
      </w:r>
    </w:p>
  </w:endnote>
  <w:endnote w:type="continuationNotice" w:id="1">
    <w:p w14:paraId="06F7679A"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92E0" w14:textId="77777777" w:rsidR="00211AFD" w:rsidRPr="000D4EDE" w:rsidRDefault="00211AFD" w:rsidP="000D4EDE">
      <w:r>
        <w:separator/>
      </w:r>
    </w:p>
  </w:footnote>
  <w:footnote w:type="continuationSeparator" w:id="0">
    <w:p w14:paraId="3645C368" w14:textId="77777777" w:rsidR="00211AFD" w:rsidRPr="000D4EDE" w:rsidRDefault="00211AFD" w:rsidP="000D4EDE">
      <w:r>
        <w:continuationSeparator/>
      </w:r>
    </w:p>
  </w:footnote>
  <w:footnote w:type="continuationNotice" w:id="1">
    <w:p w14:paraId="452F1046" w14:textId="77777777" w:rsidR="00AC6B54" w:rsidRDefault="00AC6B54">
      <w:pPr>
        <w:spacing w:after="0"/>
      </w:pPr>
    </w:p>
  </w:footnote>
  <w:footnote w:id="2">
    <w:p w14:paraId="5FF00537" w14:textId="5771D1F7" w:rsidR="002143E2" w:rsidRPr="00E764D3" w:rsidRDefault="002143E2" w:rsidP="002143E2">
      <w:pPr>
        <w:pStyle w:val="FootnoteText"/>
        <w:spacing w:after="240"/>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w:t>
      </w:r>
      <w:r w:rsidR="00E764D3" w:rsidRPr="00E764D3">
        <w:rPr>
          <w:rFonts w:ascii="Times New Roman" w:hAnsi="Times New Roman" w:cs="Times New Roman"/>
        </w:rPr>
        <w:t xml:space="preserve">Refer to: </w:t>
      </w:r>
      <w:hyperlink r:id="rId1" w:history="1">
        <w:r w:rsidR="00E764D3" w:rsidRPr="00E764D3">
          <w:rPr>
            <w:rStyle w:val="Hyperlink"/>
            <w:rFonts w:ascii="Times New Roman" w:hAnsi="Times New Roman" w:cs="Times New Roman"/>
          </w:rPr>
          <w:t>Revisions to the capital framework for authorised deposit-taking institutions | APRA</w:t>
        </w:r>
      </w:hyperlink>
    </w:p>
  </w:footnote>
  <w:footnote w:id="3">
    <w:p w14:paraId="45412BF3" w14:textId="05149FCD" w:rsidR="006B76C6" w:rsidRPr="004D16C6" w:rsidRDefault="006B76C6">
      <w:pPr>
        <w:pStyle w:val="FootnoteText"/>
        <w:rPr>
          <w:rFonts w:ascii="Times New Roman" w:hAnsi="Times New Roman" w:cs="Times New Roman"/>
        </w:rPr>
      </w:pPr>
      <w:r w:rsidRPr="00E764D3">
        <w:rPr>
          <w:rStyle w:val="FootnoteReference"/>
          <w:rFonts w:ascii="Times New Roman" w:hAnsi="Times New Roman" w:cs="Times New Roman"/>
        </w:rPr>
        <w:footnoteRef/>
      </w:r>
      <w:r w:rsidRPr="00E764D3">
        <w:rPr>
          <w:rFonts w:ascii="Times New Roman" w:hAnsi="Times New Roman" w:cs="Times New Roman"/>
        </w:rPr>
        <w:t xml:space="preserve"> Refer to: </w:t>
      </w:r>
      <w:hyperlink r:id="rId2" w:history="1">
        <w:r w:rsidRPr="004D16C6">
          <w:rPr>
            <w:rStyle w:val="Hyperlink"/>
            <w:rFonts w:ascii="Times New Roman" w:hAnsi="Times New Roman" w:cs="Times New Roman"/>
          </w:rPr>
          <w:t>Revisions to the ADI capital framework: Interim reporting standards for consultation and parallel run expectations | APRA</w:t>
        </w:r>
      </w:hyperlink>
    </w:p>
  </w:footnote>
  <w:footnote w:id="4">
    <w:p w14:paraId="6ADE9777" w14:textId="2D3D7C37" w:rsidR="00E764D3" w:rsidRPr="004D16C6" w:rsidRDefault="00E764D3">
      <w:pPr>
        <w:pStyle w:val="FootnoteText"/>
        <w:rPr>
          <w:rFonts w:ascii="Times New Roman" w:hAnsi="Times New Roman" w:cs="Times New Roman"/>
        </w:rPr>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3" w:history="1">
        <w:r w:rsidRPr="004D16C6">
          <w:rPr>
            <w:rStyle w:val="Hyperlink"/>
            <w:rFonts w:ascii="Times New Roman" w:hAnsi="Times New Roman" w:cs="Times New Roman"/>
          </w:rPr>
          <w:t>Credit risk reporting – Response to submissons | APRA</w:t>
        </w:r>
      </w:hyperlink>
    </w:p>
  </w:footnote>
  <w:footnote w:id="5">
    <w:p w14:paraId="0C6B8210" w14:textId="0D579D0B" w:rsidR="004D16C6" w:rsidRDefault="004D16C6">
      <w:pPr>
        <w:pStyle w:val="FootnoteText"/>
      </w:pPr>
      <w:r w:rsidRPr="004D16C6">
        <w:rPr>
          <w:rStyle w:val="FootnoteReference"/>
          <w:rFonts w:ascii="Times New Roman" w:hAnsi="Times New Roman" w:cs="Times New Roman"/>
        </w:rPr>
        <w:footnoteRef/>
      </w:r>
      <w:r w:rsidRPr="004D16C6">
        <w:rPr>
          <w:rFonts w:ascii="Times New Roman" w:hAnsi="Times New Roman" w:cs="Times New Roman"/>
        </w:rPr>
        <w:t xml:space="preserve"> Refer to: </w:t>
      </w:r>
      <w:hyperlink r:id="rId4" w:history="1">
        <w:r w:rsidRPr="004D16C6">
          <w:rPr>
            <w:rStyle w:val="Hyperlink"/>
            <w:rFonts w:ascii="Times New Roman" w:hAnsi="Times New Roman" w:cs="Times New Roman"/>
          </w:rPr>
          <w:t>ADI capital reforms: Consequential amendments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4"/>
  </w:num>
  <w:num w:numId="5" w16cid:durableId="521478323">
    <w:abstractNumId w:val="17"/>
  </w:num>
  <w:num w:numId="6" w16cid:durableId="288823805">
    <w:abstractNumId w:val="12"/>
  </w:num>
  <w:num w:numId="7" w16cid:durableId="13809367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18"/>
  </w:num>
  <w:num w:numId="14" w16cid:durableId="168563981">
    <w:abstractNumId w:val="11"/>
  </w:num>
  <w:num w:numId="15" w16cid:durableId="2008093173">
    <w:abstractNumId w:val="8"/>
  </w:num>
  <w:num w:numId="16" w16cid:durableId="844632474">
    <w:abstractNumId w:val="10"/>
  </w:num>
  <w:num w:numId="17" w16cid:durableId="1251620339">
    <w:abstractNumId w:val="15"/>
  </w:num>
  <w:num w:numId="18" w16cid:durableId="1893076358">
    <w:abstractNumId w:val="16"/>
  </w:num>
  <w:num w:numId="19" w16cid:durableId="1667436918">
    <w:abstractNumId w:val="13"/>
  </w:num>
  <w:num w:numId="20" w16cid:durableId="35103549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formatting="1" w:enforcement="0"/>
  <w:styleLockTheme/>
  <w:styleLockQFSet/>
  <w:defaultTabStop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34A19"/>
    <w:rsid w:val="00036F9E"/>
    <w:rsid w:val="000413B3"/>
    <w:rsid w:val="000453D9"/>
    <w:rsid w:val="00045D7D"/>
    <w:rsid w:val="000573E5"/>
    <w:rsid w:val="00057B71"/>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6F56"/>
    <w:rsid w:val="00115A39"/>
    <w:rsid w:val="00116AEF"/>
    <w:rsid w:val="00117479"/>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0361"/>
    <w:rsid w:val="0018235E"/>
    <w:rsid w:val="00184187"/>
    <w:rsid w:val="00184B1B"/>
    <w:rsid w:val="001A4EA4"/>
    <w:rsid w:val="001A664F"/>
    <w:rsid w:val="001B2DB7"/>
    <w:rsid w:val="001B3A9F"/>
    <w:rsid w:val="001D0C02"/>
    <w:rsid w:val="001D3D43"/>
    <w:rsid w:val="001E0F51"/>
    <w:rsid w:val="001E55BF"/>
    <w:rsid w:val="001E6BCB"/>
    <w:rsid w:val="001F6E1A"/>
    <w:rsid w:val="001F780A"/>
    <w:rsid w:val="001F7917"/>
    <w:rsid w:val="00200613"/>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EE3"/>
    <w:rsid w:val="002F0135"/>
    <w:rsid w:val="002F0C2C"/>
    <w:rsid w:val="00300655"/>
    <w:rsid w:val="0030075D"/>
    <w:rsid w:val="00301BB1"/>
    <w:rsid w:val="00303D18"/>
    <w:rsid w:val="00307ADD"/>
    <w:rsid w:val="00307E55"/>
    <w:rsid w:val="00312A66"/>
    <w:rsid w:val="003130CA"/>
    <w:rsid w:val="003163CB"/>
    <w:rsid w:val="00321180"/>
    <w:rsid w:val="0032180D"/>
    <w:rsid w:val="003306A5"/>
    <w:rsid w:val="00355D40"/>
    <w:rsid w:val="00371AAC"/>
    <w:rsid w:val="00371F54"/>
    <w:rsid w:val="0037770C"/>
    <w:rsid w:val="00377C8B"/>
    <w:rsid w:val="003826E6"/>
    <w:rsid w:val="00383A95"/>
    <w:rsid w:val="00385CA0"/>
    <w:rsid w:val="0039585F"/>
    <w:rsid w:val="003A2733"/>
    <w:rsid w:val="003A3021"/>
    <w:rsid w:val="003A4483"/>
    <w:rsid w:val="003A4D41"/>
    <w:rsid w:val="003A627E"/>
    <w:rsid w:val="003A79EE"/>
    <w:rsid w:val="003B45AB"/>
    <w:rsid w:val="003B6E16"/>
    <w:rsid w:val="003C180A"/>
    <w:rsid w:val="003C1E25"/>
    <w:rsid w:val="003C76D4"/>
    <w:rsid w:val="003D27CB"/>
    <w:rsid w:val="003D292C"/>
    <w:rsid w:val="003D329D"/>
    <w:rsid w:val="003E1BB3"/>
    <w:rsid w:val="003E6BF6"/>
    <w:rsid w:val="003F0F0D"/>
    <w:rsid w:val="0040173E"/>
    <w:rsid w:val="00435339"/>
    <w:rsid w:val="004410DC"/>
    <w:rsid w:val="0044447D"/>
    <w:rsid w:val="0044482D"/>
    <w:rsid w:val="00450C67"/>
    <w:rsid w:val="0046020A"/>
    <w:rsid w:val="00460CF7"/>
    <w:rsid w:val="00463FA8"/>
    <w:rsid w:val="00464196"/>
    <w:rsid w:val="00466648"/>
    <w:rsid w:val="00472CBC"/>
    <w:rsid w:val="004765B3"/>
    <w:rsid w:val="004843CA"/>
    <w:rsid w:val="00493DAA"/>
    <w:rsid w:val="00494335"/>
    <w:rsid w:val="00495A4C"/>
    <w:rsid w:val="004964A9"/>
    <w:rsid w:val="004967A1"/>
    <w:rsid w:val="004A0FE7"/>
    <w:rsid w:val="004A1AB5"/>
    <w:rsid w:val="004A29F6"/>
    <w:rsid w:val="004B584E"/>
    <w:rsid w:val="004C1106"/>
    <w:rsid w:val="004C6D4B"/>
    <w:rsid w:val="004C766B"/>
    <w:rsid w:val="004D16C6"/>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602DA"/>
    <w:rsid w:val="00560CAF"/>
    <w:rsid w:val="00562087"/>
    <w:rsid w:val="005628DB"/>
    <w:rsid w:val="005678FC"/>
    <w:rsid w:val="0057138A"/>
    <w:rsid w:val="00573327"/>
    <w:rsid w:val="00573F5D"/>
    <w:rsid w:val="00574BA1"/>
    <w:rsid w:val="00577D9B"/>
    <w:rsid w:val="005921A3"/>
    <w:rsid w:val="00592F64"/>
    <w:rsid w:val="005A3F63"/>
    <w:rsid w:val="005A59D0"/>
    <w:rsid w:val="005B073E"/>
    <w:rsid w:val="005B227F"/>
    <w:rsid w:val="005B7801"/>
    <w:rsid w:val="005C5891"/>
    <w:rsid w:val="005C641B"/>
    <w:rsid w:val="005D04CC"/>
    <w:rsid w:val="005D5FAE"/>
    <w:rsid w:val="005E4BC9"/>
    <w:rsid w:val="005F0C9F"/>
    <w:rsid w:val="005F29B7"/>
    <w:rsid w:val="00600BDD"/>
    <w:rsid w:val="00606EB5"/>
    <w:rsid w:val="00606FC8"/>
    <w:rsid w:val="00616C90"/>
    <w:rsid w:val="00617FDA"/>
    <w:rsid w:val="0062116F"/>
    <w:rsid w:val="006212E3"/>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6C12"/>
    <w:rsid w:val="00687AED"/>
    <w:rsid w:val="0069375D"/>
    <w:rsid w:val="0069407C"/>
    <w:rsid w:val="0069574E"/>
    <w:rsid w:val="006969C0"/>
    <w:rsid w:val="006A1921"/>
    <w:rsid w:val="006A1B8B"/>
    <w:rsid w:val="006A2303"/>
    <w:rsid w:val="006A2C82"/>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14F78"/>
    <w:rsid w:val="007152B0"/>
    <w:rsid w:val="007170F7"/>
    <w:rsid w:val="00717589"/>
    <w:rsid w:val="00722F9F"/>
    <w:rsid w:val="007253B8"/>
    <w:rsid w:val="00736E7D"/>
    <w:rsid w:val="00741DB4"/>
    <w:rsid w:val="00741EDB"/>
    <w:rsid w:val="007509A6"/>
    <w:rsid w:val="00753F83"/>
    <w:rsid w:val="007541B0"/>
    <w:rsid w:val="0075469B"/>
    <w:rsid w:val="00755163"/>
    <w:rsid w:val="00756AAB"/>
    <w:rsid w:val="00757F63"/>
    <w:rsid w:val="007605EB"/>
    <w:rsid w:val="007645AE"/>
    <w:rsid w:val="00764992"/>
    <w:rsid w:val="00765749"/>
    <w:rsid w:val="00771075"/>
    <w:rsid w:val="007720F8"/>
    <w:rsid w:val="0077507F"/>
    <w:rsid w:val="00775AA0"/>
    <w:rsid w:val="007770FA"/>
    <w:rsid w:val="00791738"/>
    <w:rsid w:val="00791780"/>
    <w:rsid w:val="00792D37"/>
    <w:rsid w:val="0079390C"/>
    <w:rsid w:val="007A0EB7"/>
    <w:rsid w:val="007B2C90"/>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70BC6"/>
    <w:rsid w:val="00873384"/>
    <w:rsid w:val="00875DAD"/>
    <w:rsid w:val="00876761"/>
    <w:rsid w:val="00877B84"/>
    <w:rsid w:val="00877E5F"/>
    <w:rsid w:val="0088036D"/>
    <w:rsid w:val="00881155"/>
    <w:rsid w:val="00882892"/>
    <w:rsid w:val="00885A14"/>
    <w:rsid w:val="0088689B"/>
    <w:rsid w:val="00890FA0"/>
    <w:rsid w:val="008947BF"/>
    <w:rsid w:val="008A0CAB"/>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6799"/>
    <w:rsid w:val="009136D0"/>
    <w:rsid w:val="00921181"/>
    <w:rsid w:val="00922193"/>
    <w:rsid w:val="00922C7C"/>
    <w:rsid w:val="00924152"/>
    <w:rsid w:val="0093194D"/>
    <w:rsid w:val="00934C3F"/>
    <w:rsid w:val="00937846"/>
    <w:rsid w:val="00937D36"/>
    <w:rsid w:val="009417AE"/>
    <w:rsid w:val="00945B3F"/>
    <w:rsid w:val="00950DCB"/>
    <w:rsid w:val="00952D47"/>
    <w:rsid w:val="00952D4C"/>
    <w:rsid w:val="009535CD"/>
    <w:rsid w:val="00960246"/>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6C6"/>
    <w:rsid w:val="00A34ADD"/>
    <w:rsid w:val="00A37162"/>
    <w:rsid w:val="00A37E51"/>
    <w:rsid w:val="00A50B51"/>
    <w:rsid w:val="00A51E2D"/>
    <w:rsid w:val="00A5319F"/>
    <w:rsid w:val="00A533A9"/>
    <w:rsid w:val="00A53690"/>
    <w:rsid w:val="00A54193"/>
    <w:rsid w:val="00A62D31"/>
    <w:rsid w:val="00A63380"/>
    <w:rsid w:val="00A8129D"/>
    <w:rsid w:val="00A82188"/>
    <w:rsid w:val="00A865C7"/>
    <w:rsid w:val="00A909CC"/>
    <w:rsid w:val="00A942CA"/>
    <w:rsid w:val="00A964A5"/>
    <w:rsid w:val="00A97E3B"/>
    <w:rsid w:val="00AA00CB"/>
    <w:rsid w:val="00AA20A1"/>
    <w:rsid w:val="00AA41F2"/>
    <w:rsid w:val="00AA555F"/>
    <w:rsid w:val="00AB039E"/>
    <w:rsid w:val="00AB1362"/>
    <w:rsid w:val="00AB2FFA"/>
    <w:rsid w:val="00AB4206"/>
    <w:rsid w:val="00AB556C"/>
    <w:rsid w:val="00AC1727"/>
    <w:rsid w:val="00AC6B54"/>
    <w:rsid w:val="00AC7E54"/>
    <w:rsid w:val="00AD51FB"/>
    <w:rsid w:val="00AD72D9"/>
    <w:rsid w:val="00AE43C8"/>
    <w:rsid w:val="00AE6A4E"/>
    <w:rsid w:val="00AE7B98"/>
    <w:rsid w:val="00AF129F"/>
    <w:rsid w:val="00AF67D4"/>
    <w:rsid w:val="00B06E21"/>
    <w:rsid w:val="00B07F39"/>
    <w:rsid w:val="00B12DC9"/>
    <w:rsid w:val="00B13F84"/>
    <w:rsid w:val="00B14604"/>
    <w:rsid w:val="00B1471C"/>
    <w:rsid w:val="00B155D3"/>
    <w:rsid w:val="00B15ABA"/>
    <w:rsid w:val="00B20FA0"/>
    <w:rsid w:val="00B24DD4"/>
    <w:rsid w:val="00B33A8A"/>
    <w:rsid w:val="00B34339"/>
    <w:rsid w:val="00B40B7D"/>
    <w:rsid w:val="00B42B2F"/>
    <w:rsid w:val="00B44900"/>
    <w:rsid w:val="00B467F6"/>
    <w:rsid w:val="00B472E1"/>
    <w:rsid w:val="00B52821"/>
    <w:rsid w:val="00B56C63"/>
    <w:rsid w:val="00B664C7"/>
    <w:rsid w:val="00B670E9"/>
    <w:rsid w:val="00B71170"/>
    <w:rsid w:val="00B80BCE"/>
    <w:rsid w:val="00B81524"/>
    <w:rsid w:val="00B81740"/>
    <w:rsid w:val="00B82726"/>
    <w:rsid w:val="00B83542"/>
    <w:rsid w:val="00B83763"/>
    <w:rsid w:val="00B85D7B"/>
    <w:rsid w:val="00B900EA"/>
    <w:rsid w:val="00B91069"/>
    <w:rsid w:val="00B92842"/>
    <w:rsid w:val="00BA2713"/>
    <w:rsid w:val="00BA2941"/>
    <w:rsid w:val="00BA4C61"/>
    <w:rsid w:val="00BA627A"/>
    <w:rsid w:val="00BB22FA"/>
    <w:rsid w:val="00BC1E70"/>
    <w:rsid w:val="00BD12A1"/>
    <w:rsid w:val="00BD1D09"/>
    <w:rsid w:val="00BD7B83"/>
    <w:rsid w:val="00BE0662"/>
    <w:rsid w:val="00BE0C04"/>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3686B"/>
    <w:rsid w:val="00C42EA5"/>
    <w:rsid w:val="00C62BF5"/>
    <w:rsid w:val="00C636DA"/>
    <w:rsid w:val="00C67E22"/>
    <w:rsid w:val="00C72271"/>
    <w:rsid w:val="00C72A17"/>
    <w:rsid w:val="00C81356"/>
    <w:rsid w:val="00C813CD"/>
    <w:rsid w:val="00C858D9"/>
    <w:rsid w:val="00C86A64"/>
    <w:rsid w:val="00C87DA0"/>
    <w:rsid w:val="00C96BDA"/>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55F6"/>
    <w:rsid w:val="00CF59E0"/>
    <w:rsid w:val="00CF6672"/>
    <w:rsid w:val="00D021F7"/>
    <w:rsid w:val="00D0248E"/>
    <w:rsid w:val="00D069C7"/>
    <w:rsid w:val="00D078A2"/>
    <w:rsid w:val="00D21123"/>
    <w:rsid w:val="00D21142"/>
    <w:rsid w:val="00D233D2"/>
    <w:rsid w:val="00D26BB7"/>
    <w:rsid w:val="00D367EB"/>
    <w:rsid w:val="00D36C91"/>
    <w:rsid w:val="00D41871"/>
    <w:rsid w:val="00D45954"/>
    <w:rsid w:val="00D461C2"/>
    <w:rsid w:val="00D5162F"/>
    <w:rsid w:val="00D55B27"/>
    <w:rsid w:val="00D56D61"/>
    <w:rsid w:val="00D575EC"/>
    <w:rsid w:val="00D615C7"/>
    <w:rsid w:val="00D61AAE"/>
    <w:rsid w:val="00D64CB8"/>
    <w:rsid w:val="00D67BB9"/>
    <w:rsid w:val="00D720AE"/>
    <w:rsid w:val="00D72FD8"/>
    <w:rsid w:val="00D92A45"/>
    <w:rsid w:val="00D9697A"/>
    <w:rsid w:val="00DA2B14"/>
    <w:rsid w:val="00DA3023"/>
    <w:rsid w:val="00DA4C48"/>
    <w:rsid w:val="00DA727D"/>
    <w:rsid w:val="00DB53A7"/>
    <w:rsid w:val="00DD170F"/>
    <w:rsid w:val="00DD7F67"/>
    <w:rsid w:val="00DE0A8A"/>
    <w:rsid w:val="00DE1106"/>
    <w:rsid w:val="00DF2F8B"/>
    <w:rsid w:val="00DF6837"/>
    <w:rsid w:val="00DF68E4"/>
    <w:rsid w:val="00DF6E54"/>
    <w:rsid w:val="00E04228"/>
    <w:rsid w:val="00E04457"/>
    <w:rsid w:val="00E04BBC"/>
    <w:rsid w:val="00E10450"/>
    <w:rsid w:val="00E1158A"/>
    <w:rsid w:val="00E1478E"/>
    <w:rsid w:val="00E159D7"/>
    <w:rsid w:val="00E169BF"/>
    <w:rsid w:val="00E213AB"/>
    <w:rsid w:val="00E21653"/>
    <w:rsid w:val="00E21869"/>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6F2"/>
    <w:rsid w:val="00E74F3B"/>
    <w:rsid w:val="00E76262"/>
    <w:rsid w:val="00E764D3"/>
    <w:rsid w:val="00E84A6B"/>
    <w:rsid w:val="00E92385"/>
    <w:rsid w:val="00E93F74"/>
    <w:rsid w:val="00E96DEA"/>
    <w:rsid w:val="00EA1585"/>
    <w:rsid w:val="00EA332C"/>
    <w:rsid w:val="00EA48AE"/>
    <w:rsid w:val="00EB09E2"/>
    <w:rsid w:val="00EB15A6"/>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3B96"/>
    <w:rsid w:val="00F15632"/>
    <w:rsid w:val="00F17535"/>
    <w:rsid w:val="00F20949"/>
    <w:rsid w:val="00F24F8F"/>
    <w:rsid w:val="00F303B2"/>
    <w:rsid w:val="00F307E0"/>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credit-risk-reporting-%E2%80%93-response-to-submissons" TargetMode="External"/><Relationship Id="rId2" Type="http://schemas.openxmlformats.org/officeDocument/2006/relationships/hyperlink" Target="https://www.apra.gov.au/revisions-to-adi-capital-framework-interim-reporting-standards-for-consultation-and-parallel-run" TargetMode="External"/><Relationship Id="rId1" Type="http://schemas.openxmlformats.org/officeDocument/2006/relationships/hyperlink" Target="https://www.apra.gov.au/revisions-to-capital-framework-for-authorised-deposit-taking-institutions" TargetMode="External"/><Relationship Id="rId4" Type="http://schemas.openxmlformats.org/officeDocument/2006/relationships/hyperlink" Target="https://www.apra.gov.au/adi-capital-reforms-consequential-amendmen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56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5JENXJJSCC7A-445999044-12099</_dlc_DocId>
    <_dlc_DocIdUrl xmlns="814d62cb-2db6-4c25-ab62-b9075facbc11">
      <Url>https://im/teams/LEGAL/_layouts/15/DocIdRedir.aspx?ID=5JENXJJSCC7A-445999044-12099</Url>
      <Description>5JENXJJSCC7A-445999044-12099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EF8A39F2-5068-45BF-85CC-A816CCABDD3E}">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814d62cb-2db6-4c25-ab62-b9075facbc11"/>
    <ds:schemaRef ds:uri="http://purl.org/dc/dcmitype/"/>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5.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6.xml><?xml version="1.0" encoding="utf-8"?>
<ds:datastoreItem xmlns:ds="http://schemas.openxmlformats.org/officeDocument/2006/customXml" ds:itemID="{F37236C3-3101-4355-B57A-AC8A592DA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9313</Characters>
  <Application>Microsoft Office Word</Application>
  <DocSecurity>0</DocSecurity>
  <Lines>152</Lines>
  <Paragraphs>69</Paragraphs>
  <ScaleCrop>false</ScaleCrop>
  <HeadingPairs>
    <vt:vector size="2" baseType="variant">
      <vt:variant>
        <vt:lpstr>Title</vt:lpstr>
      </vt:variant>
      <vt:variant>
        <vt:i4>1</vt:i4>
      </vt:variant>
    </vt:vector>
  </HeadingPairs>
  <TitlesOfParts>
    <vt:vector size="1" baseType="lpstr">
      <vt:lpstr>ES</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c:title>
  <dc:subject/>
  <dc:creator>Eleanor Earl</dc:creator>
  <cp:keywords>[SEC=OFFICIAL]</cp:keywords>
  <dc:description/>
  <cp:lastModifiedBy>Toni Michalis</cp:lastModifiedBy>
  <cp:revision>2</cp:revision>
  <cp:lastPrinted>2014-02-02T12:10:00Z</cp:lastPrinted>
  <dcterms:created xsi:type="dcterms:W3CDTF">2023-03-31T07:16:00Z</dcterms:created>
  <dcterms:modified xsi:type="dcterms:W3CDTF">2023-03-31T07:16:00Z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6edb2aeb-2d66-4b42-be4a-9b2aabc2811c</vt:lpwstr>
  </property>
  <property fmtid="{D5CDD505-2E9C-101B-9397-08002B2CF9AE}" pid="26" name="IsLocked">
    <vt:lpwstr>False</vt:lpwstr>
  </property>
  <property fmtid="{D5CDD505-2E9C-101B-9397-08002B2CF9AE}" pid="2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{88691c01-5bbb-4215-adc0-66cb7065b0af}</vt:lpwstr>
  </property>
  <property fmtid="{D5CDD505-2E9C-101B-9397-08002B2CF9AE}" pid="39" name="RecordPoint_ActiveItemListId">
    <vt:lpwstr>{0e59e171-09d8-4401-800a-327154450cb3}</vt:lpwstr>
  </property>
  <property fmtid="{D5CDD505-2E9C-101B-9397-08002B2CF9AE}" pid="40" name="RecordPoint_ActiveItemUniqueId">
    <vt:lpwstr>{6edb2aeb-2d66-4b42-be4a-9b2aabc2811c}</vt:lpwstr>
  </property>
  <property fmtid="{D5CDD505-2E9C-101B-9397-08002B2CF9AE}" pid="41" name="RecordPoint_ActiveItemWebId">
    <vt:lpwstr>{75a71c27-8d66-4282-ae60-1bfc22a83be1}</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E332548621EC9EB64EE644B9630C6105</vt:lpwstr>
  </property>
  <property fmtid="{D5CDD505-2E9C-101B-9397-08002B2CF9AE}" pid="55" name="PM_Hash_Salt">
    <vt:lpwstr>EB28435AC1FB98A02133B9812E4040FE</vt:lpwstr>
  </property>
  <property fmtid="{D5CDD505-2E9C-101B-9397-08002B2CF9AE}" pid="56" name="PM_Hash_SHA1">
    <vt:lpwstr>469CEF768020BBB9D8C55F8B21342B44B9AAD6C1</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v=2022.1;a=SHA256;h=8899694BB425566F21A9FE4E1EFA8B5B9FE9773E117DB60858FC9BA5B8819138</vt:lpwstr>
  </property>
  <property fmtid="{D5CDD505-2E9C-101B-9397-08002B2CF9AE}" pid="61" name="MSIP_Label_c0129afb-6481-4f92-bc9f-5a4a6346364d_ContentBits">
    <vt:lpwstr>0</vt:lpwstr>
  </property>
  <property fmtid="{D5CDD505-2E9C-101B-9397-08002B2CF9AE}" pid="62" name="MSIP_Label_c0129afb-6481-4f92-bc9f-5a4a6346364d_ActionId">
    <vt:lpwstr>fe73a154f0324183825653ac03566668</vt:lpwstr>
  </property>
</Properties>
</file>