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020E48" w:rsidRDefault="00FA6784" w:rsidP="00FA6784">
      <w:pPr>
        <w:pStyle w:val="H3"/>
        <w:jc w:val="center"/>
        <w:rPr>
          <w:sz w:val="24"/>
          <w:szCs w:val="24"/>
        </w:rPr>
      </w:pPr>
      <w:r w:rsidRPr="00020E48">
        <w:rPr>
          <w:sz w:val="24"/>
          <w:szCs w:val="24"/>
        </w:rPr>
        <w:t>EXPLANATORY STATEMENT</w:t>
      </w:r>
    </w:p>
    <w:p w14:paraId="2412D122" w14:textId="77777777" w:rsidR="00FA6784" w:rsidRPr="00020E48" w:rsidRDefault="00FA6784" w:rsidP="00FA6784">
      <w:pPr>
        <w:jc w:val="center"/>
        <w:rPr>
          <w:i/>
          <w:iCs/>
          <w:sz w:val="20"/>
        </w:rPr>
      </w:pPr>
    </w:p>
    <w:p w14:paraId="2412D123" w14:textId="77777777" w:rsidR="00FA6784" w:rsidRPr="00020E48" w:rsidRDefault="00FA6784" w:rsidP="00FA6784">
      <w:pPr>
        <w:jc w:val="center"/>
        <w:rPr>
          <w:i/>
          <w:iCs/>
        </w:rPr>
      </w:pPr>
      <w:r w:rsidRPr="00020E48">
        <w:rPr>
          <w:i/>
          <w:iCs/>
        </w:rPr>
        <w:t>Health Insurance Act 1973</w:t>
      </w:r>
    </w:p>
    <w:p w14:paraId="2412D124" w14:textId="77777777" w:rsidR="00A1739A" w:rsidRPr="00020E48" w:rsidRDefault="00A1739A" w:rsidP="00A1739A">
      <w:pPr>
        <w:rPr>
          <w:szCs w:val="24"/>
          <w:u w:val="single"/>
        </w:rPr>
      </w:pPr>
    </w:p>
    <w:p w14:paraId="0BA7E8EA" w14:textId="77777777" w:rsidR="001F485E" w:rsidRPr="00020E48" w:rsidRDefault="001F485E" w:rsidP="001F48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bCs/>
          <w:i/>
          <w:iCs/>
        </w:rPr>
      </w:pPr>
      <w:bookmarkStart w:id="0" w:name="_Hlk125462115"/>
      <w:r w:rsidRPr="00020E48">
        <w:rPr>
          <w:bCs/>
          <w:i/>
          <w:iCs/>
        </w:rPr>
        <w:t>Health Insurance (Section 3C General Medical Services – Extracorporeal Photopheresis for Chronic Graft Versus Host Disease) Amendment Determination 2023</w:t>
      </w:r>
    </w:p>
    <w:bookmarkEnd w:id="0"/>
    <w:p w14:paraId="052E97C1" w14:textId="77777777" w:rsidR="00164A69" w:rsidRPr="00020E48"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E3F4DA5" w:rsidR="00164A69" w:rsidRPr="00020E48" w:rsidRDefault="00164A69" w:rsidP="00020E48">
      <w:pPr>
        <w:ind w:right="-483"/>
        <w:rPr>
          <w:color w:val="FF0000"/>
          <w:shd w:val="clear" w:color="auto" w:fill="FFFFFF"/>
        </w:rPr>
      </w:pPr>
      <w:r w:rsidRPr="00020E48">
        <w:rPr>
          <w:color w:val="000000"/>
          <w:shd w:val="clear" w:color="auto" w:fill="FFFFFF"/>
        </w:rPr>
        <w:t>Subsection 3</w:t>
      </w:r>
      <w:proofErr w:type="gramStart"/>
      <w:r w:rsidRPr="00020E48">
        <w:rPr>
          <w:color w:val="000000"/>
          <w:shd w:val="clear" w:color="auto" w:fill="FFFFFF"/>
        </w:rPr>
        <w:t>C(</w:t>
      </w:r>
      <w:proofErr w:type="gramEnd"/>
      <w:r w:rsidRPr="00020E48">
        <w:rPr>
          <w:color w:val="000000"/>
          <w:shd w:val="clear" w:color="auto" w:fill="FFFFFF"/>
        </w:rPr>
        <w:t xml:space="preserve">1) of the </w:t>
      </w:r>
      <w:r w:rsidRPr="00020E48">
        <w:rPr>
          <w:i/>
          <w:color w:val="000000"/>
          <w:shd w:val="clear" w:color="auto" w:fill="FFFFFF"/>
        </w:rPr>
        <w:t>Health Insurance Act 1973</w:t>
      </w:r>
      <w:r w:rsidRPr="00020E48">
        <w:rPr>
          <w:color w:val="000000"/>
          <w:shd w:val="clear" w:color="auto" w:fill="FFFFFF"/>
        </w:rPr>
        <w:t xml:space="preserve"> (the Act) </w:t>
      </w:r>
      <w:r w:rsidR="00477C74" w:rsidRPr="00020E48">
        <w:rPr>
          <w:color w:val="000000"/>
          <w:shd w:val="clear" w:color="auto" w:fill="FFFFFF"/>
        </w:rPr>
        <w:t>provide</w:t>
      </w:r>
      <w:r w:rsidR="002E5708" w:rsidRPr="00020E48">
        <w:rPr>
          <w:color w:val="000000"/>
          <w:shd w:val="clear" w:color="auto" w:fill="FFFFFF"/>
        </w:rPr>
        <w:t>s</w:t>
      </w:r>
      <w:r w:rsidR="00477C74" w:rsidRPr="00020E48">
        <w:rPr>
          <w:color w:val="000000"/>
          <w:shd w:val="clear" w:color="auto" w:fill="FFFFFF"/>
        </w:rPr>
        <w:t xml:space="preserve"> that</w:t>
      </w:r>
      <w:r w:rsidRPr="00020E48">
        <w:rPr>
          <w:color w:val="000000"/>
          <w:shd w:val="clear" w:color="auto" w:fill="FFFFFF"/>
        </w:rPr>
        <w:t xml:space="preserve"> the Minister </w:t>
      </w:r>
      <w:r w:rsidR="00477C74" w:rsidRPr="00020E48">
        <w:rPr>
          <w:color w:val="000000"/>
          <w:shd w:val="clear" w:color="auto" w:fill="FFFFFF"/>
        </w:rPr>
        <w:t>may</w:t>
      </w:r>
      <w:r w:rsidRPr="00020E48">
        <w:rPr>
          <w:color w:val="000000"/>
          <w:shd w:val="clear" w:color="auto" w:fill="FFFFFF"/>
        </w:rPr>
        <w:t>, by legislative instrument, determine that a health service not specified in an item in th</w:t>
      </w:r>
      <w:r w:rsidR="00557A03" w:rsidRPr="00020E48">
        <w:rPr>
          <w:color w:val="000000"/>
          <w:shd w:val="clear" w:color="auto" w:fill="FFFFFF"/>
        </w:rPr>
        <w:t>e general medical services table (t</w:t>
      </w:r>
      <w:r w:rsidR="00D01D5A" w:rsidRPr="00020E48">
        <w:rPr>
          <w:color w:val="000000"/>
          <w:shd w:val="clear" w:color="auto" w:fill="FFFFFF"/>
        </w:rPr>
        <w:t xml:space="preserve">he Table) </w:t>
      </w:r>
      <w:r w:rsidRPr="00020E48">
        <w:rPr>
          <w:color w:val="000000"/>
          <w:shd w:val="clear" w:color="auto" w:fill="FFFFFF"/>
        </w:rPr>
        <w:t xml:space="preserve">shall, in specified circumstances and for specified statutory provisions, be treated as if it were specified in the </w:t>
      </w:r>
      <w:r w:rsidR="00D01D5A" w:rsidRPr="00020E48">
        <w:rPr>
          <w:color w:val="000000"/>
          <w:shd w:val="clear" w:color="auto" w:fill="FFFFFF"/>
        </w:rPr>
        <w:t xml:space="preserve">Table. </w:t>
      </w:r>
      <w:r w:rsidRPr="00020E48">
        <w:rPr>
          <w:color w:val="FF0000"/>
          <w:shd w:val="clear" w:color="auto" w:fill="FFFFFF"/>
        </w:rPr>
        <w:t xml:space="preserve">  </w:t>
      </w:r>
    </w:p>
    <w:p w14:paraId="7DB18649" w14:textId="77777777" w:rsidR="00841EDA" w:rsidRPr="00020E48"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150A643E" w:rsidR="00050623" w:rsidRPr="00020E48" w:rsidRDefault="00050623" w:rsidP="00020E48">
      <w:pPr>
        <w:ind w:right="-483"/>
      </w:pPr>
      <w:r w:rsidRPr="00020E48">
        <w:t xml:space="preserve">The </w:t>
      </w:r>
      <w:r w:rsidR="00D01D5A" w:rsidRPr="00020E48">
        <w:t>Table</w:t>
      </w:r>
      <w:r w:rsidRPr="00020E48">
        <w:t xml:space="preserve"> is set out in the regulations made under subsection 4</w:t>
      </w:r>
      <w:r w:rsidR="00557A03" w:rsidRPr="00020E48">
        <w:t>(1)</w:t>
      </w:r>
      <w:r w:rsidRPr="00020E48">
        <w:t xml:space="preserve"> of the Act. The most recent version of the regulations is the </w:t>
      </w:r>
      <w:bookmarkStart w:id="1" w:name="_Hlk98834175"/>
      <w:r w:rsidR="004C166D" w:rsidRPr="00020E48">
        <w:rPr>
          <w:i/>
          <w:iCs/>
        </w:rPr>
        <w:t>Health Insurance (General Medical Services Table) Regulations 2021</w:t>
      </w:r>
      <w:bookmarkEnd w:id="1"/>
      <w:r w:rsidR="00D01D5A" w:rsidRPr="00020E48">
        <w:t>.</w:t>
      </w:r>
      <w:r w:rsidRPr="00020E48">
        <w:t xml:space="preserve"> </w:t>
      </w:r>
    </w:p>
    <w:p w14:paraId="2E6FE463" w14:textId="77777777" w:rsidR="00050623" w:rsidRPr="00020E4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020E48" w:rsidRDefault="00050623" w:rsidP="00020E48">
      <w:pPr>
        <w:ind w:right="-483"/>
      </w:pPr>
      <w:r w:rsidRPr="00020E48">
        <w:t xml:space="preserve">This instrument relies on subsection 33(3) of the </w:t>
      </w:r>
      <w:r w:rsidRPr="00020E48">
        <w:rPr>
          <w:i/>
        </w:rPr>
        <w:t>Acts Interpretation Act 1901</w:t>
      </w:r>
      <w:r w:rsidRPr="00020E48">
        <w:t xml:space="preserve"> (AIA).  Subsection 33(3) of the AIA</w:t>
      </w:r>
      <w:r w:rsidRPr="00020E48">
        <w:rPr>
          <w:i/>
        </w:rPr>
        <w:t xml:space="preserve"> </w:t>
      </w:r>
      <w:r w:rsidRPr="00020E48">
        <w:t xml:space="preserve">provides that where an Act confers a power to make, grant or issue any instrument of a legislative or administrative character (including rules, </w:t>
      </w:r>
      <w:proofErr w:type="gramStart"/>
      <w:r w:rsidRPr="00020E48">
        <w:t>regulations</w:t>
      </w:r>
      <w:proofErr w:type="gramEnd"/>
      <w:r w:rsidRPr="00020E48">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020E48" w:rsidRDefault="008C5F1C" w:rsidP="00D33180">
      <w:pPr>
        <w:autoSpaceDE w:val="0"/>
        <w:autoSpaceDN w:val="0"/>
        <w:adjustRightInd w:val="0"/>
        <w:ind w:right="-483"/>
        <w:rPr>
          <w:szCs w:val="24"/>
        </w:rPr>
      </w:pPr>
    </w:p>
    <w:p w14:paraId="2412D12A" w14:textId="77777777" w:rsidR="00BB00BA" w:rsidRPr="00020E48" w:rsidRDefault="00A1739A" w:rsidP="00BB00BA">
      <w:pPr>
        <w:rPr>
          <w:b/>
          <w:szCs w:val="24"/>
          <w:lang w:val="en-US" w:eastAsia="en-US"/>
        </w:rPr>
      </w:pPr>
      <w:r w:rsidRPr="00020E48">
        <w:rPr>
          <w:b/>
          <w:szCs w:val="24"/>
          <w:lang w:val="en-US" w:eastAsia="en-US"/>
        </w:rPr>
        <w:t>Purpose</w:t>
      </w:r>
    </w:p>
    <w:p w14:paraId="78907E62" w14:textId="4AB448EF" w:rsidR="00E463E4" w:rsidRPr="00020E48" w:rsidRDefault="00E463E4" w:rsidP="0039170C">
      <w:pPr>
        <w:ind w:right="-483"/>
        <w:rPr>
          <w:szCs w:val="24"/>
        </w:rPr>
      </w:pPr>
      <w:r w:rsidRPr="00020E48">
        <w:rPr>
          <w:szCs w:val="24"/>
        </w:rPr>
        <w:t xml:space="preserve">The </w:t>
      </w:r>
      <w:r w:rsidRPr="00020E48">
        <w:rPr>
          <w:bCs/>
          <w:i/>
          <w:iCs/>
          <w:szCs w:val="24"/>
        </w:rPr>
        <w:t>Health Insurance (Section 3C General Medical Services – Extracorporeal Photopheresis for Chronic Graft Versus Host Disease) Amendment Determination 2023</w:t>
      </w:r>
      <w:r w:rsidRPr="00020E48">
        <w:rPr>
          <w:bCs/>
          <w:szCs w:val="24"/>
        </w:rPr>
        <w:t xml:space="preserve"> (the Determination) amends the </w:t>
      </w:r>
      <w:r w:rsidRPr="00020E48">
        <w:rPr>
          <w:i/>
          <w:iCs/>
          <w:szCs w:val="24"/>
        </w:rPr>
        <w:t>Health Insurance (Section 3C General Medical Services – Extracorporeal Photopheresis for Chronic Graft Versus Host Disease) Determination 2022</w:t>
      </w:r>
      <w:r w:rsidRPr="00020E48">
        <w:rPr>
          <w:szCs w:val="24"/>
        </w:rPr>
        <w:t xml:space="preserve"> (the Principal Determination). The Determination </w:t>
      </w:r>
      <w:r w:rsidR="00CC6FAB" w:rsidRPr="00020E48">
        <w:rPr>
          <w:szCs w:val="24"/>
        </w:rPr>
        <w:t xml:space="preserve">amends </w:t>
      </w:r>
      <w:r w:rsidRPr="00020E48">
        <w:rPr>
          <w:szCs w:val="24"/>
        </w:rPr>
        <w:t>the claiming frequency</w:t>
      </w:r>
      <w:r w:rsidR="00CC6FAB" w:rsidRPr="00020E48">
        <w:rPr>
          <w:szCs w:val="24"/>
        </w:rPr>
        <w:t xml:space="preserve"> limitations</w:t>
      </w:r>
      <w:r w:rsidRPr="00020E48">
        <w:rPr>
          <w:szCs w:val="24"/>
        </w:rPr>
        <w:t xml:space="preserve"> of </w:t>
      </w:r>
      <w:r w:rsidRPr="00020E48">
        <w:t>items</w:t>
      </w:r>
      <w:r w:rsidRPr="00020E48">
        <w:rPr>
          <w:szCs w:val="24"/>
        </w:rPr>
        <w:t xml:space="preserve"> 13761 and 13762, in line with the original policy authority.</w:t>
      </w:r>
    </w:p>
    <w:p w14:paraId="6D507F97" w14:textId="443BB898" w:rsidR="00573CCD" w:rsidRPr="00020E48" w:rsidRDefault="00573CCD" w:rsidP="0039170C">
      <w:pPr>
        <w:ind w:right="-483"/>
        <w:rPr>
          <w:szCs w:val="24"/>
        </w:rPr>
      </w:pPr>
    </w:p>
    <w:p w14:paraId="4225790F" w14:textId="32B0ED11" w:rsidR="00573CCD" w:rsidRPr="00020E48" w:rsidRDefault="00573CCD" w:rsidP="0039170C">
      <w:pPr>
        <w:ind w:right="-483"/>
        <w:rPr>
          <w:szCs w:val="24"/>
        </w:rPr>
      </w:pPr>
      <w:r w:rsidRPr="00020E48">
        <w:rPr>
          <w:szCs w:val="24"/>
        </w:rPr>
        <w:t xml:space="preserve">Items 13761 and 13762 </w:t>
      </w:r>
      <w:r w:rsidR="00B007E0" w:rsidRPr="00020E48">
        <w:rPr>
          <w:szCs w:val="24"/>
        </w:rPr>
        <w:t xml:space="preserve">were introduced </w:t>
      </w:r>
      <w:r w:rsidR="00F661F7" w:rsidRPr="00020E48">
        <w:rPr>
          <w:szCs w:val="24"/>
        </w:rPr>
        <w:t>on 1</w:t>
      </w:r>
      <w:r w:rsidR="00B007E0" w:rsidRPr="00020E48">
        <w:rPr>
          <w:szCs w:val="24"/>
        </w:rPr>
        <w:t xml:space="preserve"> March 2022 </w:t>
      </w:r>
      <w:r w:rsidRPr="00020E48">
        <w:rPr>
          <w:szCs w:val="24"/>
        </w:rPr>
        <w:t>for the treatment of chronic graft</w:t>
      </w:r>
      <w:r w:rsidRPr="00020E48">
        <w:rPr>
          <w:szCs w:val="24"/>
        </w:rPr>
        <w:noBreakHyphen/>
      </w:r>
      <w:r w:rsidRPr="00020E48">
        <w:t>versus</w:t>
      </w:r>
      <w:r w:rsidRPr="00020E48">
        <w:rPr>
          <w:szCs w:val="24"/>
        </w:rPr>
        <w:noBreakHyphen/>
      </w:r>
      <w:r w:rsidRPr="00020E48">
        <w:t>host</w:t>
      </w:r>
      <w:r w:rsidRPr="00020E48">
        <w:rPr>
          <w:szCs w:val="24"/>
        </w:rPr>
        <w:t xml:space="preserve"> disease </w:t>
      </w:r>
      <w:r w:rsidR="00557A03" w:rsidRPr="00020E48">
        <w:rPr>
          <w:szCs w:val="24"/>
        </w:rPr>
        <w:t>(</w:t>
      </w:r>
      <w:proofErr w:type="spellStart"/>
      <w:r w:rsidR="00557A03" w:rsidRPr="00020E48">
        <w:rPr>
          <w:szCs w:val="24"/>
        </w:rPr>
        <w:t>cGVHD</w:t>
      </w:r>
      <w:proofErr w:type="spellEnd"/>
      <w:r w:rsidR="00557A03" w:rsidRPr="00020E48">
        <w:rPr>
          <w:szCs w:val="24"/>
        </w:rPr>
        <w:t xml:space="preserve">) </w:t>
      </w:r>
      <w:r w:rsidRPr="00020E48">
        <w:rPr>
          <w:szCs w:val="24"/>
        </w:rPr>
        <w:t>by extracorporeal photopheresis</w:t>
      </w:r>
      <w:r w:rsidR="00557A03" w:rsidRPr="00020E48">
        <w:rPr>
          <w:szCs w:val="24"/>
        </w:rPr>
        <w:t xml:space="preserve"> (ECP)</w:t>
      </w:r>
      <w:r w:rsidR="00B007E0" w:rsidRPr="00020E48">
        <w:rPr>
          <w:szCs w:val="24"/>
        </w:rPr>
        <w:t xml:space="preserve">, in alignment with the pharmaceutical </w:t>
      </w:r>
      <w:proofErr w:type="spellStart"/>
      <w:r w:rsidR="00026689" w:rsidRPr="00020E48">
        <w:rPr>
          <w:bCs/>
          <w:szCs w:val="24"/>
        </w:rPr>
        <w:t>methoxalen</w:t>
      </w:r>
      <w:proofErr w:type="spellEnd"/>
      <w:r w:rsidR="00026689" w:rsidRPr="00020E48">
        <w:rPr>
          <w:bCs/>
          <w:szCs w:val="24"/>
        </w:rPr>
        <w:t xml:space="preserve"> </w:t>
      </w:r>
      <w:r w:rsidR="00B007E0" w:rsidRPr="00020E48">
        <w:rPr>
          <w:szCs w:val="24"/>
        </w:rPr>
        <w:t xml:space="preserve">being listed on the </w:t>
      </w:r>
      <w:r w:rsidR="00364C80" w:rsidRPr="00020E48">
        <w:rPr>
          <w:szCs w:val="24"/>
        </w:rPr>
        <w:t>P</w:t>
      </w:r>
      <w:r w:rsidR="00B007E0" w:rsidRPr="00020E48">
        <w:rPr>
          <w:szCs w:val="24"/>
        </w:rPr>
        <w:t xml:space="preserve">harmaceutical </w:t>
      </w:r>
      <w:r w:rsidR="00364C80" w:rsidRPr="00020E48">
        <w:rPr>
          <w:szCs w:val="24"/>
        </w:rPr>
        <w:t>B</w:t>
      </w:r>
      <w:r w:rsidR="00B007E0" w:rsidRPr="00020E48">
        <w:rPr>
          <w:szCs w:val="24"/>
        </w:rPr>
        <w:t xml:space="preserve">enefits </w:t>
      </w:r>
      <w:r w:rsidR="00364C80" w:rsidRPr="00020E48">
        <w:rPr>
          <w:szCs w:val="24"/>
        </w:rPr>
        <w:t>S</w:t>
      </w:r>
      <w:r w:rsidR="00B007E0" w:rsidRPr="00020E48">
        <w:rPr>
          <w:szCs w:val="24"/>
        </w:rPr>
        <w:t>cheme (PBS)</w:t>
      </w:r>
      <w:r w:rsidRPr="00020E48">
        <w:rPr>
          <w:szCs w:val="24"/>
        </w:rPr>
        <w:t>. Item 137</w:t>
      </w:r>
      <w:r w:rsidR="00557A03" w:rsidRPr="00020E48">
        <w:rPr>
          <w:szCs w:val="24"/>
        </w:rPr>
        <w:t xml:space="preserve">61 provides a service for the initial treatment of ECP for </w:t>
      </w:r>
      <w:proofErr w:type="spellStart"/>
      <w:r w:rsidR="00557A03" w:rsidRPr="00020E48">
        <w:rPr>
          <w:szCs w:val="24"/>
        </w:rPr>
        <w:t>cGVHD</w:t>
      </w:r>
      <w:proofErr w:type="spellEnd"/>
      <w:r w:rsidR="00557A03" w:rsidRPr="00020E48">
        <w:rPr>
          <w:szCs w:val="24"/>
        </w:rPr>
        <w:t xml:space="preserve">, where item 13762 provides a service for the ongoing treatment of ECP for </w:t>
      </w:r>
      <w:proofErr w:type="spellStart"/>
      <w:r w:rsidR="00557A03" w:rsidRPr="00020E48">
        <w:rPr>
          <w:szCs w:val="24"/>
        </w:rPr>
        <w:t>cGVHD</w:t>
      </w:r>
      <w:proofErr w:type="spellEnd"/>
      <w:r w:rsidR="00557A03" w:rsidRPr="00020E48">
        <w:rPr>
          <w:szCs w:val="24"/>
        </w:rPr>
        <w:t>.</w:t>
      </w:r>
    </w:p>
    <w:p w14:paraId="16D6E6A0" w14:textId="4D5A3BAD" w:rsidR="00E463E4" w:rsidRPr="00020E48" w:rsidRDefault="00E463E4" w:rsidP="0039170C">
      <w:pPr>
        <w:ind w:right="-483"/>
        <w:rPr>
          <w:szCs w:val="24"/>
        </w:rPr>
      </w:pPr>
    </w:p>
    <w:p w14:paraId="3D917BA1" w14:textId="11409852" w:rsidR="00070250" w:rsidRPr="00020E48" w:rsidRDefault="00070250" w:rsidP="00070250">
      <w:pPr>
        <w:ind w:right="-483"/>
        <w:rPr>
          <w:szCs w:val="24"/>
        </w:rPr>
      </w:pPr>
      <w:r w:rsidRPr="00020E48">
        <w:rPr>
          <w:szCs w:val="24"/>
        </w:rPr>
        <w:t xml:space="preserve">ECP is </w:t>
      </w:r>
      <w:r w:rsidRPr="00020E48">
        <w:t>delivered</w:t>
      </w:r>
      <w:r w:rsidRPr="00020E48">
        <w:rPr>
          <w:szCs w:val="24"/>
        </w:rPr>
        <w:t xml:space="preserve"> using a single use device, in conjunction with the drug </w:t>
      </w:r>
      <w:proofErr w:type="spellStart"/>
      <w:r w:rsidRPr="00020E48">
        <w:rPr>
          <w:szCs w:val="24"/>
        </w:rPr>
        <w:t>methoxalen</w:t>
      </w:r>
      <w:proofErr w:type="spellEnd"/>
      <w:r w:rsidRPr="00020E48">
        <w:rPr>
          <w:szCs w:val="24"/>
        </w:rPr>
        <w:t xml:space="preserve">, at each treatment session over an initial cycle of 25 treatment sessions. </w:t>
      </w:r>
    </w:p>
    <w:p w14:paraId="76204A8B" w14:textId="77777777" w:rsidR="00070250" w:rsidRPr="00020E48" w:rsidRDefault="00070250" w:rsidP="00070250">
      <w:pPr>
        <w:ind w:right="-483"/>
        <w:rPr>
          <w:szCs w:val="24"/>
        </w:rPr>
      </w:pPr>
    </w:p>
    <w:p w14:paraId="3335866B" w14:textId="25C17200" w:rsidR="00286CD6" w:rsidRPr="00020E48" w:rsidRDefault="00B87E9C" w:rsidP="0039170C">
      <w:pPr>
        <w:ind w:right="-483"/>
        <w:rPr>
          <w:szCs w:val="24"/>
        </w:rPr>
      </w:pPr>
      <w:r w:rsidRPr="00020E48">
        <w:rPr>
          <w:szCs w:val="24"/>
        </w:rPr>
        <w:t xml:space="preserve">The Medical Services Advisory Committee (MSAC) supported the listing of items 13761 and 13762 at its July 2021 meeting under MSAC application 1651. </w:t>
      </w:r>
      <w:r w:rsidR="00557A03" w:rsidRPr="00020E48">
        <w:rPr>
          <w:szCs w:val="24"/>
        </w:rPr>
        <w:t>However, due to a</w:t>
      </w:r>
      <w:r w:rsidR="00195749" w:rsidRPr="00020E48">
        <w:rPr>
          <w:szCs w:val="24"/>
        </w:rPr>
        <w:t xml:space="preserve"> misunderstanding of the policy intention</w:t>
      </w:r>
      <w:r w:rsidR="00557A03" w:rsidRPr="00020E48">
        <w:rPr>
          <w:szCs w:val="24"/>
        </w:rPr>
        <w:t>, the frequency restriction placed on items 13761 and 13762 stated the items were applicable only once per treatment cycle</w:t>
      </w:r>
      <w:r w:rsidR="00286CD6" w:rsidRPr="00020E48">
        <w:rPr>
          <w:szCs w:val="24"/>
        </w:rPr>
        <w:t xml:space="preserve">. </w:t>
      </w:r>
      <w:r w:rsidR="00070250" w:rsidRPr="00020E48">
        <w:rPr>
          <w:szCs w:val="24"/>
        </w:rPr>
        <w:t>T</w:t>
      </w:r>
      <w:r w:rsidR="00557A03" w:rsidRPr="00020E48">
        <w:rPr>
          <w:szCs w:val="24"/>
        </w:rPr>
        <w:t xml:space="preserve">he </w:t>
      </w:r>
      <w:r w:rsidR="00070250" w:rsidRPr="00020E48">
        <w:rPr>
          <w:szCs w:val="24"/>
        </w:rPr>
        <w:t xml:space="preserve">amendments made by the </w:t>
      </w:r>
      <w:r w:rsidR="00557A03" w:rsidRPr="00020E48">
        <w:rPr>
          <w:szCs w:val="24"/>
        </w:rPr>
        <w:t xml:space="preserve">Determination </w:t>
      </w:r>
      <w:r w:rsidR="00070250" w:rsidRPr="00020E48">
        <w:rPr>
          <w:szCs w:val="24"/>
        </w:rPr>
        <w:t xml:space="preserve">were discussed at MSAC’s meeting of </w:t>
      </w:r>
      <w:r w:rsidR="00CC6FAB" w:rsidRPr="00020E48">
        <w:rPr>
          <w:szCs w:val="24"/>
        </w:rPr>
        <w:br/>
      </w:r>
      <w:r w:rsidR="00070250" w:rsidRPr="00020E48">
        <w:rPr>
          <w:szCs w:val="24"/>
        </w:rPr>
        <w:t xml:space="preserve">19 August 2022. </w:t>
      </w:r>
    </w:p>
    <w:p w14:paraId="14907541" w14:textId="77777777" w:rsidR="00286CD6" w:rsidRPr="00020E48" w:rsidRDefault="00286CD6" w:rsidP="0039170C">
      <w:pPr>
        <w:ind w:right="-483"/>
        <w:rPr>
          <w:szCs w:val="24"/>
        </w:rPr>
      </w:pPr>
    </w:p>
    <w:p w14:paraId="15765E47" w14:textId="5A84F301" w:rsidR="00557A03" w:rsidRPr="00020E48" w:rsidRDefault="00070250" w:rsidP="0039170C">
      <w:pPr>
        <w:ind w:right="-483"/>
        <w:rPr>
          <w:szCs w:val="24"/>
        </w:rPr>
      </w:pPr>
      <w:r w:rsidRPr="00020E48">
        <w:rPr>
          <w:szCs w:val="24"/>
        </w:rPr>
        <w:t xml:space="preserve">The Determination </w:t>
      </w:r>
      <w:r w:rsidR="00286CD6" w:rsidRPr="00020E48">
        <w:rPr>
          <w:szCs w:val="24"/>
        </w:rPr>
        <w:t xml:space="preserve">inserts a definition for treatment session to clarify that a treatment session means a single session in a series of sessions that make up a treatment cycle. The </w:t>
      </w:r>
      <w:r w:rsidR="00286CD6" w:rsidRPr="00020E48">
        <w:rPr>
          <w:szCs w:val="24"/>
        </w:rPr>
        <w:lastRenderedPageBreak/>
        <w:t xml:space="preserve">Determination also </w:t>
      </w:r>
      <w:r w:rsidR="00557A03" w:rsidRPr="00020E48">
        <w:rPr>
          <w:szCs w:val="24"/>
        </w:rPr>
        <w:t xml:space="preserve">amends </w:t>
      </w:r>
      <w:r w:rsidR="00B709F7" w:rsidRPr="00020E48">
        <w:rPr>
          <w:szCs w:val="24"/>
        </w:rPr>
        <w:t xml:space="preserve">the current </w:t>
      </w:r>
      <w:r w:rsidR="00557A03" w:rsidRPr="00020E48">
        <w:rPr>
          <w:szCs w:val="24"/>
        </w:rPr>
        <w:t>restriction to specify that items 13761 and 13762 are applicable once per treatment</w:t>
      </w:r>
      <w:r w:rsidR="006856EC" w:rsidRPr="00020E48">
        <w:rPr>
          <w:szCs w:val="24"/>
        </w:rPr>
        <w:t xml:space="preserve"> </w:t>
      </w:r>
      <w:r w:rsidR="00AC5A85" w:rsidRPr="00020E48">
        <w:rPr>
          <w:szCs w:val="24"/>
        </w:rPr>
        <w:t>session</w:t>
      </w:r>
      <w:r w:rsidR="00286CD6" w:rsidRPr="00020E48">
        <w:rPr>
          <w:szCs w:val="24"/>
        </w:rPr>
        <w:t>.</w:t>
      </w:r>
    </w:p>
    <w:p w14:paraId="2412D131" w14:textId="5C0251A0" w:rsidR="001865F8" w:rsidRPr="00020E48" w:rsidRDefault="00026689" w:rsidP="00D46EB9">
      <w:pPr>
        <w:shd w:val="clear" w:color="auto" w:fill="FFFFFF"/>
        <w:spacing w:before="100" w:beforeAutospacing="1"/>
        <w:rPr>
          <w:rFonts w:ascii="Helvetica Neue" w:hAnsi="Helvetica Neue"/>
          <w:szCs w:val="24"/>
          <w:lang w:val="en-US"/>
        </w:rPr>
      </w:pPr>
      <w:r w:rsidRPr="00020E48">
        <w:rPr>
          <w:b/>
        </w:rPr>
        <w:t>C</w:t>
      </w:r>
      <w:r w:rsidR="00A1739A" w:rsidRPr="00020E48">
        <w:rPr>
          <w:b/>
        </w:rPr>
        <w:t>onsultation</w:t>
      </w:r>
    </w:p>
    <w:p w14:paraId="58885762" w14:textId="58441834" w:rsidR="003A4854" w:rsidRPr="00020E48" w:rsidRDefault="003A4854" w:rsidP="00020E48">
      <w:pPr>
        <w:ind w:right="-483"/>
        <w:rPr>
          <w:szCs w:val="24"/>
        </w:rPr>
      </w:pPr>
      <w:r w:rsidRPr="00020E48">
        <w:rPr>
          <w:szCs w:val="24"/>
        </w:rPr>
        <w:t>The MSAC reviews new or existing medical services or technology and makes recommendations as to the circumstances under which public funding should be supported. This includes the listing of new items, or amendments to existing items under Medicare.</w:t>
      </w:r>
    </w:p>
    <w:p w14:paraId="018D2FC2" w14:textId="77777777" w:rsidR="003A4854" w:rsidRPr="00020E48" w:rsidRDefault="003A4854" w:rsidP="003A4854">
      <w:pPr>
        <w:shd w:val="clear" w:color="auto" w:fill="FFFFFF"/>
        <w:rPr>
          <w:szCs w:val="24"/>
        </w:rPr>
      </w:pPr>
      <w:r w:rsidRPr="00020E48">
        <w:rPr>
          <w:szCs w:val="24"/>
        </w:rPr>
        <w:t> </w:t>
      </w:r>
    </w:p>
    <w:p w14:paraId="206DE132" w14:textId="0782A526" w:rsidR="003A4854" w:rsidRPr="00020E48" w:rsidRDefault="003A4854" w:rsidP="00020E48">
      <w:pPr>
        <w:ind w:right="-483"/>
        <w:rPr>
          <w:szCs w:val="24"/>
        </w:rPr>
      </w:pPr>
      <w:r w:rsidRPr="00020E48">
        <w:rPr>
          <w:szCs w:val="24"/>
        </w:rPr>
        <w:t>As part of the MSAC process, consultation was undertaken with</w:t>
      </w:r>
      <w:r w:rsidR="00070250" w:rsidRPr="00020E48">
        <w:rPr>
          <w:szCs w:val="24"/>
        </w:rPr>
        <w:t xml:space="preserve"> the Royal Prince Alfred Hospital Sydney as</w:t>
      </w:r>
      <w:r w:rsidRPr="00020E48">
        <w:rPr>
          <w:szCs w:val="24"/>
        </w:rPr>
        <w:t xml:space="preserve"> </w:t>
      </w:r>
      <w:r w:rsidR="00070250" w:rsidRPr="00020E48">
        <w:rPr>
          <w:szCs w:val="24"/>
        </w:rPr>
        <w:t>a key stakeholder</w:t>
      </w:r>
      <w:r w:rsidRPr="00020E48">
        <w:rPr>
          <w:szCs w:val="24"/>
        </w:rPr>
        <w:t xml:space="preserve">. </w:t>
      </w:r>
    </w:p>
    <w:p w14:paraId="02264A85" w14:textId="77777777" w:rsidR="007708B3" w:rsidRPr="00020E48" w:rsidRDefault="007708B3" w:rsidP="002806A1">
      <w:pPr>
        <w:shd w:val="clear" w:color="auto" w:fill="FFFFFF"/>
        <w:rPr>
          <w:color w:val="000000"/>
          <w:szCs w:val="24"/>
        </w:rPr>
      </w:pPr>
    </w:p>
    <w:p w14:paraId="2412D134" w14:textId="3F9035F4" w:rsidR="00967E51" w:rsidRDefault="00A1739A" w:rsidP="00020E48">
      <w:pPr>
        <w:ind w:right="-483"/>
        <w:rPr>
          <w:szCs w:val="24"/>
        </w:rPr>
      </w:pPr>
      <w:r w:rsidRPr="00020E48">
        <w:rPr>
          <w:szCs w:val="24"/>
        </w:rPr>
        <w:t xml:space="preserve">Details of the </w:t>
      </w:r>
      <w:r w:rsidR="00574E71" w:rsidRPr="00020E48">
        <w:rPr>
          <w:szCs w:val="24"/>
        </w:rPr>
        <w:t>Determination</w:t>
      </w:r>
      <w:r w:rsidRPr="00020E48">
        <w:rPr>
          <w:szCs w:val="24"/>
        </w:rPr>
        <w:t xml:space="preserve"> are set out in the </w:t>
      </w:r>
      <w:r w:rsidRPr="00020E48">
        <w:rPr>
          <w:szCs w:val="24"/>
          <w:u w:val="single"/>
        </w:rPr>
        <w:t>Attachment</w:t>
      </w:r>
      <w:r w:rsidRPr="00020E48">
        <w:rPr>
          <w:szCs w:val="24"/>
        </w:rPr>
        <w:t>.</w:t>
      </w:r>
    </w:p>
    <w:p w14:paraId="1A72A065" w14:textId="77777777" w:rsidR="00020E48" w:rsidRPr="00020E48" w:rsidRDefault="00020E48" w:rsidP="00020E48">
      <w:pPr>
        <w:ind w:right="-483"/>
        <w:rPr>
          <w:szCs w:val="24"/>
        </w:rPr>
      </w:pPr>
    </w:p>
    <w:p w14:paraId="2412D135" w14:textId="05E48217" w:rsidR="006C138D" w:rsidRPr="00020E48" w:rsidRDefault="00297AD0" w:rsidP="00020E48">
      <w:pPr>
        <w:ind w:right="-483"/>
        <w:rPr>
          <w:szCs w:val="24"/>
        </w:rPr>
      </w:pPr>
      <w:r w:rsidRPr="00020E48">
        <w:rPr>
          <w:szCs w:val="24"/>
        </w:rPr>
        <w:t xml:space="preserve">The </w:t>
      </w:r>
      <w:r w:rsidR="00967E51" w:rsidRPr="00020E48">
        <w:rPr>
          <w:szCs w:val="24"/>
        </w:rPr>
        <w:t>Determination</w:t>
      </w:r>
      <w:r w:rsidRPr="00020E48">
        <w:rPr>
          <w:szCs w:val="24"/>
        </w:rPr>
        <w:t xml:space="preserve"> </w:t>
      </w:r>
      <w:r w:rsidR="007524B0" w:rsidRPr="00020E48">
        <w:rPr>
          <w:szCs w:val="24"/>
        </w:rPr>
        <w:t xml:space="preserve">commences </w:t>
      </w:r>
      <w:r w:rsidR="00C63FDC" w:rsidRPr="00020E48">
        <w:rPr>
          <w:szCs w:val="24"/>
        </w:rPr>
        <w:t xml:space="preserve">on </w:t>
      </w:r>
      <w:r w:rsidR="003A4854" w:rsidRPr="00020E48">
        <w:rPr>
          <w:szCs w:val="24"/>
        </w:rPr>
        <w:t>1 July 2023.</w:t>
      </w:r>
      <w:r w:rsidR="007708B3" w:rsidRPr="00020E48">
        <w:rPr>
          <w:szCs w:val="24"/>
        </w:rPr>
        <w:t xml:space="preserve"> </w:t>
      </w:r>
    </w:p>
    <w:p w14:paraId="2412D136" w14:textId="77777777" w:rsidR="00236DF2" w:rsidRPr="00020E48" w:rsidRDefault="00236DF2" w:rsidP="00574E71">
      <w:pPr>
        <w:rPr>
          <w:szCs w:val="24"/>
        </w:rPr>
      </w:pPr>
    </w:p>
    <w:p w14:paraId="2412D138" w14:textId="65B73875" w:rsidR="00574E71" w:rsidRPr="00020E48" w:rsidRDefault="0002728B" w:rsidP="00020E48">
      <w:pPr>
        <w:ind w:right="-483"/>
        <w:rPr>
          <w:szCs w:val="24"/>
        </w:rPr>
      </w:pPr>
      <w:r w:rsidRPr="00020E48">
        <w:rPr>
          <w:szCs w:val="24"/>
        </w:rPr>
        <w:t>T</w:t>
      </w:r>
      <w:r w:rsidR="00574E71" w:rsidRPr="00020E48">
        <w:rPr>
          <w:szCs w:val="24"/>
        </w:rPr>
        <w:t xml:space="preserve">he Determination is </w:t>
      </w:r>
      <w:r w:rsidR="004417A2" w:rsidRPr="00020E48">
        <w:rPr>
          <w:szCs w:val="24"/>
        </w:rPr>
        <w:t xml:space="preserve">a </w:t>
      </w:r>
      <w:r w:rsidR="00574E71" w:rsidRPr="00020E48">
        <w:rPr>
          <w:szCs w:val="24"/>
        </w:rPr>
        <w:t xml:space="preserve">legislative instrument for the purposes of the </w:t>
      </w:r>
      <w:r w:rsidR="00574E71" w:rsidRPr="00020E48">
        <w:rPr>
          <w:i/>
        </w:rPr>
        <w:t>Legislation Act 2003</w:t>
      </w:r>
      <w:r w:rsidR="00574E71" w:rsidRPr="00020E48">
        <w:rPr>
          <w:szCs w:val="24"/>
        </w:rPr>
        <w:t>.</w:t>
      </w:r>
    </w:p>
    <w:p w14:paraId="2412D139" w14:textId="77777777" w:rsidR="00A1739A" w:rsidRPr="00020E48" w:rsidRDefault="00A1739A" w:rsidP="000337CB">
      <w:pPr>
        <w:ind w:left="6663" w:hanging="3119"/>
        <w:rPr>
          <w:szCs w:val="24"/>
        </w:rPr>
      </w:pPr>
      <w:r w:rsidRPr="00020E48">
        <w:rPr>
          <w:szCs w:val="24"/>
        </w:rPr>
        <w:t xml:space="preserve">           </w:t>
      </w:r>
    </w:p>
    <w:p w14:paraId="2412D13A" w14:textId="77777777" w:rsidR="00A1739A" w:rsidRPr="00020E48" w:rsidRDefault="00A1739A" w:rsidP="000337CB">
      <w:pPr>
        <w:ind w:left="6663" w:hanging="3119"/>
        <w:rPr>
          <w:szCs w:val="24"/>
        </w:rPr>
      </w:pPr>
      <w:r w:rsidRPr="00020E48">
        <w:rPr>
          <w:szCs w:val="24"/>
          <w:u w:val="single"/>
        </w:rPr>
        <w:t>Authority</w:t>
      </w:r>
      <w:r w:rsidR="00967E51" w:rsidRPr="00020E48">
        <w:rPr>
          <w:szCs w:val="24"/>
        </w:rPr>
        <w:t xml:space="preserve">:     Subsection </w:t>
      </w:r>
      <w:r w:rsidRPr="00020E48">
        <w:rPr>
          <w:szCs w:val="24"/>
        </w:rPr>
        <w:t>3</w:t>
      </w:r>
      <w:proofErr w:type="gramStart"/>
      <w:r w:rsidR="00967E51" w:rsidRPr="00020E48">
        <w:rPr>
          <w:szCs w:val="24"/>
        </w:rPr>
        <w:t>C</w:t>
      </w:r>
      <w:r w:rsidRPr="00020E48">
        <w:rPr>
          <w:szCs w:val="24"/>
        </w:rPr>
        <w:t>(</w:t>
      </w:r>
      <w:proofErr w:type="gramEnd"/>
      <w:r w:rsidRPr="00020E48">
        <w:rPr>
          <w:szCs w:val="24"/>
        </w:rPr>
        <w:t xml:space="preserve">1) of the </w:t>
      </w:r>
    </w:p>
    <w:p w14:paraId="2412D13B" w14:textId="0596CD30" w:rsidR="00A1739A" w:rsidRPr="00020E48" w:rsidRDefault="00A1739A" w:rsidP="000337CB">
      <w:pPr>
        <w:tabs>
          <w:tab w:val="left" w:pos="4820"/>
        </w:tabs>
        <w:rPr>
          <w:szCs w:val="24"/>
        </w:rPr>
        <w:sectPr w:rsidR="00A1739A" w:rsidRPr="00020E48" w:rsidSect="00235B6C">
          <w:headerReference w:type="default" r:id="rId11"/>
          <w:pgSz w:w="11906" w:h="16838"/>
          <w:pgMar w:top="1440" w:right="1800" w:bottom="1135" w:left="1800" w:header="708" w:footer="708" w:gutter="0"/>
          <w:pgNumType w:start="1"/>
          <w:cols w:space="708"/>
          <w:docGrid w:linePitch="360"/>
        </w:sectPr>
      </w:pPr>
      <w:r w:rsidRPr="00020E48">
        <w:rPr>
          <w:i/>
          <w:szCs w:val="24"/>
        </w:rPr>
        <w:tab/>
        <w:t>Health Insurance Act 1973</w:t>
      </w:r>
    </w:p>
    <w:p w14:paraId="2412D13D" w14:textId="77777777" w:rsidR="006D5816" w:rsidRPr="00020E48" w:rsidRDefault="006D5816" w:rsidP="000337CB">
      <w:pPr>
        <w:pStyle w:val="BodyText"/>
        <w:jc w:val="right"/>
        <w:rPr>
          <w:szCs w:val="24"/>
        </w:rPr>
      </w:pPr>
      <w:r w:rsidRPr="00020E48">
        <w:rPr>
          <w:szCs w:val="24"/>
        </w:rPr>
        <w:lastRenderedPageBreak/>
        <w:t>ATTACHMENT</w:t>
      </w:r>
    </w:p>
    <w:p w14:paraId="2412D13E" w14:textId="77777777" w:rsidR="006D5816" w:rsidRPr="00020E48" w:rsidRDefault="006D5816" w:rsidP="000337CB">
      <w:pPr>
        <w:pStyle w:val="BodyText"/>
        <w:rPr>
          <w:szCs w:val="24"/>
          <w:u w:val="single"/>
        </w:rPr>
      </w:pPr>
    </w:p>
    <w:p w14:paraId="5B0C808A" w14:textId="5BA351CB" w:rsidR="00215191" w:rsidRPr="00020E48" w:rsidRDefault="00A41364" w:rsidP="00186752">
      <w:pPr>
        <w:pStyle w:val="BodyText"/>
        <w:rPr>
          <w:i/>
          <w:iCs/>
          <w:color w:val="FF0000"/>
        </w:rPr>
      </w:pPr>
      <w:r w:rsidRPr="00020E48">
        <w:rPr>
          <w:szCs w:val="24"/>
        </w:rPr>
        <w:t xml:space="preserve">Details of the </w:t>
      </w:r>
      <w:r w:rsidR="001F485E" w:rsidRPr="00020E48">
        <w:rPr>
          <w:i/>
          <w:iCs/>
        </w:rPr>
        <w:t>Health Insurance (Section 3C General Medical Services – Extracorporeal Photopheresis for Chronic Graft Versus Host Disease) Amendment Determination 2023</w:t>
      </w:r>
    </w:p>
    <w:p w14:paraId="7BBEB147" w14:textId="720F9678" w:rsidR="00E70355" w:rsidRPr="00020E48" w:rsidRDefault="00E70355" w:rsidP="000337CB">
      <w:pPr>
        <w:pStyle w:val="BodyText"/>
        <w:rPr>
          <w:b w:val="0"/>
          <w:i/>
          <w:szCs w:val="24"/>
        </w:rPr>
      </w:pPr>
    </w:p>
    <w:p w14:paraId="2412D141" w14:textId="7C34D5F4" w:rsidR="00FE02C2" w:rsidRPr="00020E48" w:rsidRDefault="001B0111" w:rsidP="000337CB">
      <w:pPr>
        <w:pStyle w:val="BodyText"/>
        <w:rPr>
          <w:b w:val="0"/>
          <w:szCs w:val="24"/>
          <w:u w:val="single"/>
        </w:rPr>
      </w:pPr>
      <w:r w:rsidRPr="00020E48">
        <w:rPr>
          <w:b w:val="0"/>
          <w:szCs w:val="24"/>
          <w:u w:val="single"/>
        </w:rPr>
        <w:t>Section 1 – Name</w:t>
      </w:r>
    </w:p>
    <w:p w14:paraId="2412D142" w14:textId="77777777" w:rsidR="00FE02C2" w:rsidRPr="00020E48" w:rsidRDefault="00FE02C2" w:rsidP="000337CB">
      <w:pPr>
        <w:pStyle w:val="BodyText"/>
        <w:rPr>
          <w:b w:val="0"/>
          <w:szCs w:val="24"/>
          <w:u w:val="single"/>
        </w:rPr>
      </w:pPr>
    </w:p>
    <w:p w14:paraId="2412D144" w14:textId="0CA20F84" w:rsidR="00F83B6F" w:rsidRPr="00020E48" w:rsidRDefault="00BC7397" w:rsidP="00C67BC7">
      <w:pPr>
        <w:pStyle w:val="BodyText"/>
        <w:rPr>
          <w:color w:val="FF0000"/>
          <w:szCs w:val="24"/>
        </w:rPr>
      </w:pPr>
      <w:r w:rsidRPr="00020E48">
        <w:rPr>
          <w:b w:val="0"/>
          <w:szCs w:val="24"/>
        </w:rPr>
        <w:t>S</w:t>
      </w:r>
      <w:r w:rsidR="00FE02C2" w:rsidRPr="00020E48">
        <w:rPr>
          <w:b w:val="0"/>
          <w:szCs w:val="24"/>
        </w:rPr>
        <w:t xml:space="preserve">ection </w:t>
      </w:r>
      <w:r w:rsidRPr="00020E48">
        <w:rPr>
          <w:b w:val="0"/>
          <w:szCs w:val="24"/>
        </w:rPr>
        <w:t xml:space="preserve">1 </w:t>
      </w:r>
      <w:r w:rsidR="00FE02C2" w:rsidRPr="00020E48">
        <w:rPr>
          <w:b w:val="0"/>
          <w:szCs w:val="24"/>
        </w:rPr>
        <w:t>provides</w:t>
      </w:r>
      <w:r w:rsidR="008B683E" w:rsidRPr="00020E48">
        <w:rPr>
          <w:b w:val="0"/>
          <w:szCs w:val="24"/>
        </w:rPr>
        <w:t xml:space="preserve"> for the </w:t>
      </w:r>
      <w:r w:rsidR="008B2094" w:rsidRPr="00020E48">
        <w:rPr>
          <w:b w:val="0"/>
          <w:szCs w:val="24"/>
        </w:rPr>
        <w:t>Determination</w:t>
      </w:r>
      <w:r w:rsidR="00FE02C2" w:rsidRPr="00020E48">
        <w:rPr>
          <w:b w:val="0"/>
          <w:szCs w:val="24"/>
        </w:rPr>
        <w:t xml:space="preserve"> to be referred to as the </w:t>
      </w:r>
      <w:r w:rsidR="001F485E" w:rsidRPr="00020E48">
        <w:rPr>
          <w:b w:val="0"/>
          <w:bCs/>
          <w:i/>
          <w:iCs/>
          <w:szCs w:val="24"/>
        </w:rPr>
        <w:t>Health Insurance (Section 3C General Medical Services – Extracorporeal Photopheresis for Chronic Graft Versus Host Disease) Amendment Determination 2023</w:t>
      </w:r>
      <w:r w:rsidR="00E463E4" w:rsidRPr="00020E48">
        <w:rPr>
          <w:b w:val="0"/>
          <w:bCs/>
          <w:szCs w:val="24"/>
        </w:rPr>
        <w:t>.</w:t>
      </w:r>
    </w:p>
    <w:p w14:paraId="68DAA207" w14:textId="77777777" w:rsidR="00FD602D" w:rsidRPr="00020E48" w:rsidRDefault="00FD602D" w:rsidP="00FD602D"/>
    <w:p w14:paraId="49D1E050" w14:textId="77777777" w:rsidR="007A4089" w:rsidRPr="00020E48" w:rsidRDefault="00FE02C2" w:rsidP="000337CB">
      <w:pPr>
        <w:pStyle w:val="BodyText"/>
        <w:rPr>
          <w:b w:val="0"/>
          <w:szCs w:val="24"/>
          <w:u w:val="single"/>
        </w:rPr>
      </w:pPr>
      <w:r w:rsidRPr="00020E48">
        <w:rPr>
          <w:b w:val="0"/>
          <w:szCs w:val="24"/>
          <w:u w:val="single"/>
        </w:rPr>
        <w:t xml:space="preserve">Section 2 – Commencement </w:t>
      </w:r>
    </w:p>
    <w:p w14:paraId="2DCE2ED0" w14:textId="77777777" w:rsidR="007A4089" w:rsidRPr="00020E48" w:rsidRDefault="007A4089" w:rsidP="000337CB">
      <w:pPr>
        <w:pStyle w:val="BodyText"/>
        <w:rPr>
          <w:b w:val="0"/>
          <w:szCs w:val="24"/>
          <w:u w:val="single"/>
        </w:rPr>
      </w:pPr>
    </w:p>
    <w:p w14:paraId="2412D148" w14:textId="2F40512D" w:rsidR="00510A4F" w:rsidRPr="00020E48" w:rsidRDefault="00510A4F" w:rsidP="000337CB">
      <w:pPr>
        <w:pStyle w:val="BodyText"/>
        <w:rPr>
          <w:b w:val="0"/>
          <w:szCs w:val="24"/>
        </w:rPr>
      </w:pPr>
      <w:r w:rsidRPr="00020E48">
        <w:rPr>
          <w:b w:val="0"/>
          <w:szCs w:val="24"/>
        </w:rPr>
        <w:t xml:space="preserve">Section 2 </w:t>
      </w:r>
      <w:r w:rsidR="00404F11" w:rsidRPr="00020E48">
        <w:rPr>
          <w:b w:val="0"/>
          <w:szCs w:val="24"/>
        </w:rPr>
        <w:t xml:space="preserve">provides that the </w:t>
      </w:r>
      <w:r w:rsidR="008B2094" w:rsidRPr="00020E48">
        <w:rPr>
          <w:b w:val="0"/>
          <w:szCs w:val="24"/>
        </w:rPr>
        <w:t xml:space="preserve">Determination </w:t>
      </w:r>
      <w:r w:rsidR="00404F11" w:rsidRPr="00020E48">
        <w:rPr>
          <w:b w:val="0"/>
          <w:szCs w:val="24"/>
        </w:rPr>
        <w:t xml:space="preserve">commences </w:t>
      </w:r>
      <w:r w:rsidR="00C63FDC" w:rsidRPr="00020E48">
        <w:rPr>
          <w:b w:val="0"/>
          <w:szCs w:val="24"/>
        </w:rPr>
        <w:t xml:space="preserve">on </w:t>
      </w:r>
      <w:r w:rsidR="00E463E4" w:rsidRPr="00020E48">
        <w:rPr>
          <w:b w:val="0"/>
          <w:szCs w:val="24"/>
        </w:rPr>
        <w:t>1 July 202</w:t>
      </w:r>
      <w:r w:rsidR="0097237D" w:rsidRPr="00020E48">
        <w:rPr>
          <w:b w:val="0"/>
          <w:szCs w:val="24"/>
        </w:rPr>
        <w:t>3</w:t>
      </w:r>
      <w:r w:rsidR="00C63FDC" w:rsidRPr="00020E48">
        <w:rPr>
          <w:b w:val="0"/>
          <w:szCs w:val="24"/>
        </w:rPr>
        <w:t xml:space="preserve">. </w:t>
      </w:r>
    </w:p>
    <w:p w14:paraId="16C03200" w14:textId="77777777" w:rsidR="007E0017" w:rsidRPr="00020E48" w:rsidRDefault="007E0017" w:rsidP="000337CB">
      <w:pPr>
        <w:pStyle w:val="BodyText"/>
        <w:rPr>
          <w:b w:val="0"/>
          <w:szCs w:val="24"/>
        </w:rPr>
      </w:pPr>
    </w:p>
    <w:p w14:paraId="005D5660" w14:textId="77777777" w:rsidR="007A4089" w:rsidRPr="00020E48" w:rsidRDefault="00FE02C2" w:rsidP="000337CB">
      <w:pPr>
        <w:pStyle w:val="BodyText"/>
        <w:rPr>
          <w:b w:val="0"/>
          <w:szCs w:val="24"/>
          <w:u w:val="single"/>
        </w:rPr>
      </w:pPr>
      <w:r w:rsidRPr="00020E48">
        <w:rPr>
          <w:b w:val="0"/>
          <w:szCs w:val="24"/>
          <w:u w:val="single"/>
        </w:rPr>
        <w:t xml:space="preserve">Section 3 – </w:t>
      </w:r>
      <w:r w:rsidR="00E5798A" w:rsidRPr="00020E48">
        <w:rPr>
          <w:b w:val="0"/>
          <w:szCs w:val="24"/>
          <w:u w:val="single"/>
        </w:rPr>
        <w:t>Authority</w:t>
      </w:r>
    </w:p>
    <w:p w14:paraId="53BFA098" w14:textId="77777777" w:rsidR="007A4089" w:rsidRPr="00020E48" w:rsidRDefault="007A4089" w:rsidP="000337CB">
      <w:pPr>
        <w:pStyle w:val="BodyText"/>
        <w:rPr>
          <w:b w:val="0"/>
          <w:szCs w:val="24"/>
          <w:u w:val="single"/>
        </w:rPr>
      </w:pPr>
    </w:p>
    <w:p w14:paraId="2412D14B" w14:textId="60EB4E9C" w:rsidR="00FE02C2" w:rsidRPr="00020E48" w:rsidRDefault="00F83B6F" w:rsidP="000337CB">
      <w:pPr>
        <w:pStyle w:val="BodyText"/>
        <w:rPr>
          <w:b w:val="0"/>
        </w:rPr>
      </w:pPr>
      <w:r w:rsidRPr="00020E48">
        <w:rPr>
          <w:b w:val="0"/>
        </w:rPr>
        <w:t xml:space="preserve">Section 3 </w:t>
      </w:r>
      <w:r w:rsidRPr="00B23DE8">
        <w:rPr>
          <w:b w:val="0"/>
          <w:szCs w:val="24"/>
        </w:rPr>
        <w:t>provides</w:t>
      </w:r>
      <w:r w:rsidRPr="00020E48">
        <w:rPr>
          <w:b w:val="0"/>
        </w:rPr>
        <w:t xml:space="preserve"> that the </w:t>
      </w:r>
      <w:r w:rsidR="008B2094" w:rsidRPr="00020E48">
        <w:rPr>
          <w:b w:val="0"/>
          <w:szCs w:val="24"/>
        </w:rPr>
        <w:t xml:space="preserve">Determination </w:t>
      </w:r>
      <w:r w:rsidR="00E5798A" w:rsidRPr="00020E48">
        <w:rPr>
          <w:b w:val="0"/>
        </w:rPr>
        <w:t xml:space="preserve">is made under </w:t>
      </w:r>
      <w:r w:rsidR="00367440" w:rsidRPr="00020E48">
        <w:rPr>
          <w:b w:val="0"/>
        </w:rPr>
        <w:t xml:space="preserve">subsection </w:t>
      </w:r>
      <w:r w:rsidR="00E5798A" w:rsidRPr="00020E48">
        <w:rPr>
          <w:b w:val="0"/>
        </w:rPr>
        <w:t>3</w:t>
      </w:r>
      <w:proofErr w:type="gramStart"/>
      <w:r w:rsidR="00E5798A" w:rsidRPr="00020E48">
        <w:rPr>
          <w:b w:val="0"/>
        </w:rPr>
        <w:t>C(</w:t>
      </w:r>
      <w:proofErr w:type="gramEnd"/>
      <w:r w:rsidR="00E5798A" w:rsidRPr="00020E48">
        <w:rPr>
          <w:b w:val="0"/>
        </w:rPr>
        <w:t xml:space="preserve">1) of the </w:t>
      </w:r>
      <w:r w:rsidR="00E5798A" w:rsidRPr="00020E48">
        <w:rPr>
          <w:b w:val="0"/>
          <w:i/>
        </w:rPr>
        <w:t>Health Insurance Act 1973</w:t>
      </w:r>
      <w:r w:rsidR="00E5798A" w:rsidRPr="00020E48">
        <w:rPr>
          <w:b w:val="0"/>
        </w:rPr>
        <w:t>.</w:t>
      </w:r>
    </w:p>
    <w:p w14:paraId="0DBF1241" w14:textId="77777777" w:rsidR="00E70355" w:rsidRPr="00020E48" w:rsidRDefault="00E70355" w:rsidP="000337CB">
      <w:pPr>
        <w:pStyle w:val="BodyText"/>
        <w:rPr>
          <w:b w:val="0"/>
        </w:rPr>
      </w:pPr>
    </w:p>
    <w:p w14:paraId="20CBF84A" w14:textId="77777777" w:rsidR="00C63FDC" w:rsidRPr="00020E48" w:rsidRDefault="00C63FDC" w:rsidP="00C63FDC">
      <w:pPr>
        <w:pStyle w:val="BodyText"/>
        <w:rPr>
          <w:b w:val="0"/>
          <w:szCs w:val="24"/>
          <w:u w:val="single"/>
        </w:rPr>
      </w:pPr>
      <w:r w:rsidRPr="00020E48">
        <w:rPr>
          <w:b w:val="0"/>
          <w:szCs w:val="24"/>
          <w:u w:val="single"/>
        </w:rPr>
        <w:t>Section 4 – Schedules</w:t>
      </w:r>
    </w:p>
    <w:p w14:paraId="4C010161" w14:textId="77777777" w:rsidR="00C63FDC" w:rsidRPr="00020E48" w:rsidRDefault="00C63FDC" w:rsidP="00C63FDC">
      <w:pPr>
        <w:pStyle w:val="BodyText"/>
        <w:rPr>
          <w:b w:val="0"/>
          <w:szCs w:val="24"/>
          <w:u w:val="single"/>
        </w:rPr>
      </w:pPr>
    </w:p>
    <w:p w14:paraId="5D9EBF8D" w14:textId="77777777" w:rsidR="00C63FDC" w:rsidRPr="00020E48" w:rsidRDefault="00C63FDC" w:rsidP="00C63FDC">
      <w:pPr>
        <w:pStyle w:val="BodyText"/>
        <w:rPr>
          <w:b w:val="0"/>
          <w:szCs w:val="24"/>
        </w:rPr>
      </w:pPr>
      <w:r w:rsidRPr="00020E48">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020E48" w:rsidRDefault="007E0017" w:rsidP="00404F11">
      <w:pPr>
        <w:pStyle w:val="BodyText"/>
        <w:rPr>
          <w:b w:val="0"/>
          <w:szCs w:val="24"/>
        </w:rPr>
      </w:pPr>
    </w:p>
    <w:p w14:paraId="768D340E" w14:textId="77777777" w:rsidR="00C63FDC" w:rsidRPr="00020E48" w:rsidRDefault="00C63FDC" w:rsidP="00C63FDC">
      <w:pPr>
        <w:pStyle w:val="Header"/>
        <w:tabs>
          <w:tab w:val="num" w:pos="1080"/>
        </w:tabs>
        <w:rPr>
          <w:szCs w:val="24"/>
          <w:u w:val="single"/>
        </w:rPr>
      </w:pPr>
      <w:r w:rsidRPr="00020E48">
        <w:rPr>
          <w:szCs w:val="24"/>
          <w:u w:val="single"/>
        </w:rPr>
        <w:t>Schedule 1 – Amendments</w:t>
      </w:r>
    </w:p>
    <w:p w14:paraId="2212E577" w14:textId="77777777" w:rsidR="00C63FDC" w:rsidRPr="00020E48" w:rsidRDefault="00C63FDC" w:rsidP="00C63FDC">
      <w:pPr>
        <w:pStyle w:val="Header"/>
        <w:tabs>
          <w:tab w:val="num" w:pos="1080"/>
        </w:tabs>
        <w:rPr>
          <w:szCs w:val="24"/>
          <w:u w:val="single"/>
        </w:rPr>
      </w:pPr>
    </w:p>
    <w:p w14:paraId="49F9BAC1" w14:textId="4DE313CF" w:rsidR="00C63FDC" w:rsidRPr="00020E48" w:rsidRDefault="00026689" w:rsidP="00505F9A">
      <w:pPr>
        <w:pStyle w:val="Header"/>
        <w:tabs>
          <w:tab w:val="num" w:pos="1080"/>
        </w:tabs>
        <w:rPr>
          <w:b/>
          <w:bCs/>
          <w:i/>
          <w:iCs/>
        </w:rPr>
      </w:pPr>
      <w:r w:rsidRPr="00020E48">
        <w:rPr>
          <w:b/>
          <w:bCs/>
          <w:i/>
          <w:iCs/>
        </w:rPr>
        <w:t>Health Insurance (Section 3C General Medical Services – Extracorporeal Photopheresis for Chronic Graft Versus Host Disease) Determination 2022</w:t>
      </w:r>
    </w:p>
    <w:p w14:paraId="0C7E649E" w14:textId="77777777" w:rsidR="00C63FDC" w:rsidRPr="00020E48" w:rsidRDefault="00C63FDC" w:rsidP="00C63FDC">
      <w:pPr>
        <w:pStyle w:val="Header"/>
        <w:tabs>
          <w:tab w:val="num" w:pos="1080"/>
        </w:tabs>
        <w:rPr>
          <w:i/>
          <w:szCs w:val="24"/>
        </w:rPr>
      </w:pPr>
    </w:p>
    <w:p w14:paraId="5D90F93B" w14:textId="14919A2D" w:rsidR="00F553D4" w:rsidRPr="00020E48" w:rsidRDefault="00F553D4" w:rsidP="00B23DE8">
      <w:pPr>
        <w:pStyle w:val="BodyText"/>
        <w:rPr>
          <w:szCs w:val="24"/>
        </w:rPr>
      </w:pPr>
      <w:r w:rsidRPr="00020E48">
        <w:rPr>
          <w:bCs/>
          <w:szCs w:val="24"/>
        </w:rPr>
        <w:t>Item [1]</w:t>
      </w:r>
      <w:r w:rsidRPr="00020E48">
        <w:rPr>
          <w:szCs w:val="24"/>
        </w:rPr>
        <w:t xml:space="preserve"> </w:t>
      </w:r>
      <w:r w:rsidRPr="00B23DE8">
        <w:rPr>
          <w:b w:val="0"/>
          <w:bCs/>
          <w:szCs w:val="24"/>
        </w:rPr>
        <w:t xml:space="preserve">repeals and replaces subsection 4(1) of the Principal Determination as the definitions were listed out of </w:t>
      </w:r>
      <w:r w:rsidRPr="00B23DE8">
        <w:rPr>
          <w:b w:val="0"/>
          <w:bCs/>
        </w:rPr>
        <w:t>alphabetical</w:t>
      </w:r>
      <w:r w:rsidRPr="00B23DE8">
        <w:rPr>
          <w:b w:val="0"/>
          <w:bCs/>
          <w:szCs w:val="24"/>
        </w:rPr>
        <w:t xml:space="preserve"> order. This change is considered minor and administrative in nature.</w:t>
      </w:r>
    </w:p>
    <w:p w14:paraId="30D47BBA" w14:textId="629B5E11" w:rsidR="00F553D4" w:rsidRPr="00020E48" w:rsidRDefault="00F553D4" w:rsidP="00C63FDC">
      <w:pPr>
        <w:pStyle w:val="Header"/>
        <w:tabs>
          <w:tab w:val="num" w:pos="1080"/>
        </w:tabs>
        <w:rPr>
          <w:szCs w:val="24"/>
        </w:rPr>
      </w:pPr>
    </w:p>
    <w:p w14:paraId="7D74A7A9" w14:textId="22C7217B" w:rsidR="00F553D4" w:rsidRPr="00B23DE8" w:rsidRDefault="00F553D4" w:rsidP="00B23DE8">
      <w:pPr>
        <w:pStyle w:val="BodyText"/>
        <w:rPr>
          <w:b w:val="0"/>
          <w:bCs/>
          <w:szCs w:val="24"/>
        </w:rPr>
      </w:pPr>
      <w:r w:rsidRPr="00020E48">
        <w:rPr>
          <w:bCs/>
          <w:szCs w:val="24"/>
        </w:rPr>
        <w:t>Item [2]</w:t>
      </w:r>
      <w:r w:rsidRPr="00020E48">
        <w:rPr>
          <w:szCs w:val="24"/>
        </w:rPr>
        <w:t xml:space="preserve"> </w:t>
      </w:r>
      <w:r w:rsidRPr="00B23DE8">
        <w:rPr>
          <w:b w:val="0"/>
          <w:bCs/>
          <w:szCs w:val="24"/>
        </w:rPr>
        <w:t xml:space="preserve">repeals and replaces section 7 of the Principal Determination to amend the heading of the section and insert an application clause to define a treatment session. Under this change, the heading for section 7 will be amended to read “Application of treatment cycle and session”, and subsection 7(2) will define a treatment session as a single session in a series of sessions that make up a treatment cycle. </w:t>
      </w:r>
    </w:p>
    <w:p w14:paraId="4C5C39E9" w14:textId="09266B67" w:rsidR="00F553D4" w:rsidRPr="00020E48" w:rsidRDefault="00F553D4" w:rsidP="00C63FDC">
      <w:pPr>
        <w:pStyle w:val="Header"/>
        <w:tabs>
          <w:tab w:val="num" w:pos="1080"/>
        </w:tabs>
        <w:rPr>
          <w:szCs w:val="24"/>
        </w:rPr>
      </w:pPr>
    </w:p>
    <w:p w14:paraId="21F2F409" w14:textId="5F37AA99" w:rsidR="00F553D4" w:rsidRPr="00020E48" w:rsidRDefault="00F553D4" w:rsidP="00C63FDC">
      <w:pPr>
        <w:pStyle w:val="Header"/>
        <w:tabs>
          <w:tab w:val="num" w:pos="1080"/>
        </w:tabs>
        <w:rPr>
          <w:szCs w:val="24"/>
        </w:rPr>
      </w:pPr>
      <w:r w:rsidRPr="00020E48">
        <w:rPr>
          <w:szCs w:val="24"/>
        </w:rPr>
        <w:t xml:space="preserve">The amendment of section 7 will ensure future services under items 13761 and 13762 are provided as intended. This change is </w:t>
      </w:r>
      <w:r w:rsidRPr="00B23DE8">
        <w:rPr>
          <w:bCs/>
          <w:szCs w:val="24"/>
        </w:rPr>
        <w:t>considered</w:t>
      </w:r>
      <w:r w:rsidRPr="00020E48">
        <w:rPr>
          <w:szCs w:val="24"/>
        </w:rPr>
        <w:t xml:space="preserve"> minor and administrative in nature.</w:t>
      </w:r>
    </w:p>
    <w:p w14:paraId="72AD1D28" w14:textId="77777777" w:rsidR="00F553D4" w:rsidRPr="00020E48" w:rsidRDefault="00F553D4" w:rsidP="00C63FDC">
      <w:pPr>
        <w:pStyle w:val="Header"/>
        <w:tabs>
          <w:tab w:val="num" w:pos="1080"/>
        </w:tabs>
        <w:rPr>
          <w:b/>
          <w:bCs/>
          <w:szCs w:val="24"/>
        </w:rPr>
      </w:pPr>
    </w:p>
    <w:p w14:paraId="6AAB365D" w14:textId="516B71C3" w:rsidR="00F661F7" w:rsidRPr="00020E48" w:rsidRDefault="00026689">
      <w:pPr>
        <w:pStyle w:val="Header"/>
        <w:tabs>
          <w:tab w:val="num" w:pos="1080"/>
        </w:tabs>
        <w:rPr>
          <w:szCs w:val="24"/>
        </w:rPr>
      </w:pPr>
      <w:r w:rsidRPr="00020E48">
        <w:rPr>
          <w:b/>
          <w:bCs/>
          <w:szCs w:val="24"/>
        </w:rPr>
        <w:t>Item [</w:t>
      </w:r>
      <w:r w:rsidR="00D52B03" w:rsidRPr="00020E48">
        <w:rPr>
          <w:b/>
          <w:bCs/>
          <w:szCs w:val="24"/>
        </w:rPr>
        <w:t>3</w:t>
      </w:r>
      <w:r w:rsidRPr="00020E48">
        <w:rPr>
          <w:b/>
          <w:bCs/>
          <w:szCs w:val="24"/>
        </w:rPr>
        <w:t>]</w:t>
      </w:r>
      <w:r w:rsidR="00F661F7" w:rsidRPr="00020E48">
        <w:rPr>
          <w:b/>
          <w:bCs/>
          <w:szCs w:val="24"/>
        </w:rPr>
        <w:t xml:space="preserve"> </w:t>
      </w:r>
      <w:r w:rsidRPr="00020E48">
        <w:rPr>
          <w:szCs w:val="24"/>
        </w:rPr>
        <w:t>amend</w:t>
      </w:r>
      <w:r w:rsidR="00DC067D" w:rsidRPr="00020E48">
        <w:rPr>
          <w:szCs w:val="24"/>
        </w:rPr>
        <w:t>s</w:t>
      </w:r>
      <w:r w:rsidR="00F661F7" w:rsidRPr="00020E48">
        <w:rPr>
          <w:szCs w:val="24"/>
        </w:rPr>
        <w:t xml:space="preserve"> item 13761 to </w:t>
      </w:r>
      <w:r w:rsidR="00CC6FAB" w:rsidRPr="00020E48">
        <w:rPr>
          <w:szCs w:val="24"/>
        </w:rPr>
        <w:t>revise</w:t>
      </w:r>
      <w:r w:rsidR="00F661F7" w:rsidRPr="00020E48">
        <w:rPr>
          <w:szCs w:val="24"/>
        </w:rPr>
        <w:t xml:space="preserve"> the item descriptor.</w:t>
      </w:r>
      <w:r w:rsidR="00DC067D" w:rsidRPr="00020E48">
        <w:rPr>
          <w:szCs w:val="24"/>
        </w:rPr>
        <w:t xml:space="preserve"> This change </w:t>
      </w:r>
      <w:r w:rsidR="005E593D" w:rsidRPr="00020E48">
        <w:rPr>
          <w:szCs w:val="24"/>
        </w:rPr>
        <w:t xml:space="preserve">corrects a typographical error in the spelling of </w:t>
      </w:r>
      <w:proofErr w:type="spellStart"/>
      <w:r w:rsidR="005E593D" w:rsidRPr="00020E48">
        <w:rPr>
          <w:szCs w:val="24"/>
        </w:rPr>
        <w:t>methoxsalen</w:t>
      </w:r>
      <w:proofErr w:type="spellEnd"/>
      <w:r w:rsidR="005E593D" w:rsidRPr="00020E48">
        <w:rPr>
          <w:szCs w:val="24"/>
        </w:rPr>
        <w:t xml:space="preserve"> and </w:t>
      </w:r>
      <w:r w:rsidR="00F661F7" w:rsidRPr="00020E48">
        <w:rPr>
          <w:szCs w:val="24"/>
        </w:rPr>
        <w:t xml:space="preserve">revises and </w:t>
      </w:r>
      <w:r w:rsidR="00F661F7" w:rsidRPr="00B23DE8">
        <w:rPr>
          <w:bCs/>
          <w:szCs w:val="24"/>
        </w:rPr>
        <w:t>amends</w:t>
      </w:r>
      <w:r w:rsidR="00F661F7" w:rsidRPr="00020E48">
        <w:rPr>
          <w:szCs w:val="24"/>
        </w:rPr>
        <w:t xml:space="preserve"> subparagraph (b) to clarify that a service under item 13761 is available to patients who have not previously received extracorporeal photopheresis treatment</w:t>
      </w:r>
      <w:r w:rsidR="005E593D" w:rsidRPr="00020E48">
        <w:rPr>
          <w:szCs w:val="24"/>
        </w:rPr>
        <w:t>.</w:t>
      </w:r>
    </w:p>
    <w:p w14:paraId="1C3923CD" w14:textId="571F354E" w:rsidR="00F661F7" w:rsidRPr="00020E48" w:rsidRDefault="00F661F7" w:rsidP="00C63FDC">
      <w:pPr>
        <w:pStyle w:val="Header"/>
        <w:tabs>
          <w:tab w:val="num" w:pos="1080"/>
        </w:tabs>
        <w:rPr>
          <w:szCs w:val="24"/>
        </w:rPr>
      </w:pPr>
    </w:p>
    <w:p w14:paraId="634CD643" w14:textId="21F82B12" w:rsidR="00F661F7" w:rsidRPr="00020E48" w:rsidRDefault="00F661F7" w:rsidP="00C63FDC">
      <w:pPr>
        <w:pStyle w:val="Header"/>
        <w:tabs>
          <w:tab w:val="num" w:pos="1080"/>
        </w:tabs>
        <w:rPr>
          <w:szCs w:val="24"/>
        </w:rPr>
      </w:pPr>
      <w:r w:rsidRPr="00020E48">
        <w:rPr>
          <w:szCs w:val="24"/>
        </w:rPr>
        <w:lastRenderedPageBreak/>
        <w:t>Item [</w:t>
      </w:r>
      <w:r w:rsidR="00DC067D" w:rsidRPr="00020E48">
        <w:rPr>
          <w:szCs w:val="24"/>
        </w:rPr>
        <w:t>3</w:t>
      </w:r>
      <w:r w:rsidRPr="00020E48">
        <w:rPr>
          <w:szCs w:val="24"/>
        </w:rPr>
        <w:t xml:space="preserve">] </w:t>
      </w:r>
      <w:r w:rsidR="00DC067D" w:rsidRPr="00020E48">
        <w:rPr>
          <w:szCs w:val="24"/>
        </w:rPr>
        <w:t xml:space="preserve">also </w:t>
      </w:r>
      <w:r w:rsidRPr="00020E48">
        <w:rPr>
          <w:szCs w:val="24"/>
        </w:rPr>
        <w:t xml:space="preserve">amends the frequency limitation on item 13761 to clarify that a service under item 13761 is applicable once per </w:t>
      </w:r>
      <w:r w:rsidRPr="00B23DE8">
        <w:rPr>
          <w:bCs/>
          <w:szCs w:val="24"/>
        </w:rPr>
        <w:t>treatment</w:t>
      </w:r>
      <w:r w:rsidRPr="00020E48">
        <w:rPr>
          <w:szCs w:val="24"/>
        </w:rPr>
        <w:t xml:space="preserve"> session.</w:t>
      </w:r>
      <w:r w:rsidR="001C66FA" w:rsidRPr="00020E48">
        <w:rPr>
          <w:szCs w:val="24"/>
        </w:rPr>
        <w:t xml:space="preserve"> This change </w:t>
      </w:r>
      <w:r w:rsidR="00364C80" w:rsidRPr="00020E48">
        <w:rPr>
          <w:szCs w:val="24"/>
        </w:rPr>
        <w:t xml:space="preserve">ensures the frequency limitation applied to item 13761 </w:t>
      </w:r>
      <w:r w:rsidR="00156C3C" w:rsidRPr="00020E48">
        <w:rPr>
          <w:szCs w:val="24"/>
        </w:rPr>
        <w:t>is</w:t>
      </w:r>
      <w:r w:rsidR="00364C80" w:rsidRPr="00020E48">
        <w:rPr>
          <w:szCs w:val="24"/>
        </w:rPr>
        <w:t xml:space="preserve"> consistent with the original policy authority of the service. </w:t>
      </w:r>
    </w:p>
    <w:p w14:paraId="48C32DDD" w14:textId="02C36343" w:rsidR="00F661F7" w:rsidRPr="00020E48" w:rsidRDefault="00F661F7" w:rsidP="00C63FDC">
      <w:pPr>
        <w:pStyle w:val="Header"/>
        <w:tabs>
          <w:tab w:val="num" w:pos="1080"/>
        </w:tabs>
        <w:rPr>
          <w:szCs w:val="24"/>
        </w:rPr>
      </w:pPr>
    </w:p>
    <w:p w14:paraId="1CC3AB01" w14:textId="4899143A" w:rsidR="00F661F7" w:rsidRPr="00020E48" w:rsidRDefault="00F661F7" w:rsidP="00C63FDC">
      <w:pPr>
        <w:pStyle w:val="Header"/>
        <w:tabs>
          <w:tab w:val="num" w:pos="1080"/>
        </w:tabs>
        <w:rPr>
          <w:i/>
          <w:iCs/>
          <w:szCs w:val="24"/>
        </w:rPr>
      </w:pPr>
      <w:r w:rsidRPr="00020E48">
        <w:rPr>
          <w:b/>
          <w:bCs/>
          <w:szCs w:val="24"/>
        </w:rPr>
        <w:t>Item [</w:t>
      </w:r>
      <w:r w:rsidR="00DC067D" w:rsidRPr="00020E48">
        <w:rPr>
          <w:b/>
          <w:bCs/>
          <w:szCs w:val="24"/>
        </w:rPr>
        <w:t>4</w:t>
      </w:r>
      <w:r w:rsidRPr="00020E48">
        <w:rPr>
          <w:b/>
          <w:bCs/>
          <w:szCs w:val="24"/>
        </w:rPr>
        <w:t>]</w:t>
      </w:r>
      <w:r w:rsidRPr="00020E48">
        <w:rPr>
          <w:szCs w:val="24"/>
        </w:rPr>
        <w:t xml:space="preserve"> </w:t>
      </w:r>
      <w:r w:rsidR="005E593D" w:rsidRPr="00020E48">
        <w:rPr>
          <w:szCs w:val="24"/>
        </w:rPr>
        <w:t xml:space="preserve">corrects a typographical error in the spelling of </w:t>
      </w:r>
      <w:proofErr w:type="spellStart"/>
      <w:r w:rsidR="005E593D" w:rsidRPr="00020E48">
        <w:rPr>
          <w:szCs w:val="24"/>
        </w:rPr>
        <w:t>methoxsalen</w:t>
      </w:r>
      <w:proofErr w:type="spellEnd"/>
      <w:r w:rsidR="005E593D" w:rsidRPr="00020E48">
        <w:rPr>
          <w:szCs w:val="24"/>
        </w:rPr>
        <w:t xml:space="preserve"> and </w:t>
      </w:r>
      <w:r w:rsidRPr="00020E48">
        <w:rPr>
          <w:szCs w:val="24"/>
        </w:rPr>
        <w:t xml:space="preserve">amends the frequency limitation on item 13762 to clarify that a service under item 13761 is applicable once per treatment session. This change </w:t>
      </w:r>
      <w:r w:rsidR="00364C80" w:rsidRPr="00020E48">
        <w:rPr>
          <w:szCs w:val="24"/>
        </w:rPr>
        <w:t>ensures the frequency limitation applied to item 1376</w:t>
      </w:r>
      <w:r w:rsidR="000C07C6" w:rsidRPr="00020E48">
        <w:rPr>
          <w:szCs w:val="24"/>
        </w:rPr>
        <w:t>2</w:t>
      </w:r>
      <w:r w:rsidR="00364C80" w:rsidRPr="00020E48">
        <w:rPr>
          <w:szCs w:val="24"/>
        </w:rPr>
        <w:t xml:space="preserve"> </w:t>
      </w:r>
      <w:r w:rsidR="00156C3C" w:rsidRPr="00020E48">
        <w:rPr>
          <w:szCs w:val="24"/>
        </w:rPr>
        <w:t>is</w:t>
      </w:r>
      <w:r w:rsidR="00364C80" w:rsidRPr="00020E48">
        <w:rPr>
          <w:szCs w:val="24"/>
        </w:rPr>
        <w:t xml:space="preserve"> consistent with the original policy authority of the service. </w:t>
      </w:r>
    </w:p>
    <w:p w14:paraId="371F01D6" w14:textId="77777777" w:rsidR="007708B3" w:rsidRPr="00020E48" w:rsidRDefault="007708B3" w:rsidP="00C63FDC">
      <w:pPr>
        <w:pStyle w:val="Header"/>
        <w:tabs>
          <w:tab w:val="num" w:pos="1080"/>
        </w:tabs>
        <w:rPr>
          <w:b/>
          <w:szCs w:val="24"/>
        </w:rPr>
      </w:pPr>
    </w:p>
    <w:p w14:paraId="21DF9DDC" w14:textId="1767E1F1" w:rsidR="00331752" w:rsidRPr="00020E48" w:rsidRDefault="00331752">
      <w:pPr>
        <w:spacing w:after="200" w:line="276" w:lineRule="auto"/>
        <w:rPr>
          <w:szCs w:val="24"/>
          <w:u w:val="single"/>
        </w:rPr>
      </w:pPr>
      <w:r w:rsidRPr="00020E48">
        <w:rPr>
          <w:szCs w:val="24"/>
          <w:u w:val="single"/>
        </w:rPr>
        <w:br w:type="page"/>
      </w:r>
    </w:p>
    <w:p w14:paraId="2412D14E" w14:textId="632B4BE9" w:rsidR="00A17F2C" w:rsidRPr="00020E48" w:rsidRDefault="00A17F2C" w:rsidP="008D136F">
      <w:pPr>
        <w:pStyle w:val="Header"/>
        <w:tabs>
          <w:tab w:val="num" w:pos="1080"/>
        </w:tabs>
        <w:jc w:val="center"/>
        <w:rPr>
          <w:b/>
          <w:sz w:val="28"/>
          <w:szCs w:val="28"/>
        </w:rPr>
      </w:pPr>
      <w:r w:rsidRPr="00020E48">
        <w:rPr>
          <w:b/>
          <w:sz w:val="28"/>
          <w:szCs w:val="28"/>
        </w:rPr>
        <w:lastRenderedPageBreak/>
        <w:t>Statement of Compatibility with Human Rights</w:t>
      </w:r>
    </w:p>
    <w:p w14:paraId="2412D14F" w14:textId="77777777" w:rsidR="00A17F2C" w:rsidRPr="00020E48" w:rsidRDefault="00A17F2C" w:rsidP="000337CB">
      <w:pPr>
        <w:spacing w:before="120" w:after="120"/>
        <w:jc w:val="center"/>
        <w:rPr>
          <w:szCs w:val="24"/>
        </w:rPr>
      </w:pPr>
      <w:r w:rsidRPr="00020E48">
        <w:rPr>
          <w:i/>
          <w:szCs w:val="24"/>
        </w:rPr>
        <w:t>Prepared in accordance with Part 3 of the Human Rights (Parliamentary Scrutiny) Act 2011</w:t>
      </w:r>
    </w:p>
    <w:p w14:paraId="751DE726" w14:textId="77777777" w:rsidR="002A6C77" w:rsidRPr="00020E48" w:rsidRDefault="002A6C77" w:rsidP="000337CB">
      <w:pPr>
        <w:tabs>
          <w:tab w:val="left" w:pos="1418"/>
        </w:tabs>
        <w:ind w:left="851"/>
        <w:jc w:val="center"/>
        <w:rPr>
          <w:b/>
          <w:i/>
          <w:iCs/>
        </w:rPr>
      </w:pPr>
    </w:p>
    <w:p w14:paraId="3A52A4B2" w14:textId="372929D8" w:rsidR="00C6094D" w:rsidRPr="00020E48" w:rsidRDefault="00E463E4" w:rsidP="00E463E4">
      <w:pPr>
        <w:tabs>
          <w:tab w:val="left" w:pos="1418"/>
        </w:tabs>
        <w:jc w:val="center"/>
        <w:rPr>
          <w:bCs/>
          <w:i/>
        </w:rPr>
      </w:pPr>
      <w:r w:rsidRPr="00020E48">
        <w:rPr>
          <w:bCs/>
          <w:i/>
        </w:rPr>
        <w:t>Health Insurance (Section 3C General Medical Services – Extracorporeal Photopheresis for Chronic Graft Versus Host Disease) Amendment Determination 2023</w:t>
      </w:r>
    </w:p>
    <w:p w14:paraId="1BF56C38" w14:textId="77777777" w:rsidR="007708B3" w:rsidRPr="00020E48" w:rsidRDefault="007708B3" w:rsidP="000337CB">
      <w:pPr>
        <w:tabs>
          <w:tab w:val="left" w:pos="1418"/>
        </w:tabs>
        <w:ind w:left="851"/>
        <w:jc w:val="center"/>
        <w:rPr>
          <w:b/>
          <w:i/>
          <w:szCs w:val="24"/>
        </w:rPr>
      </w:pPr>
    </w:p>
    <w:p w14:paraId="2412D153" w14:textId="7AFD921D" w:rsidR="00A17F2C" w:rsidRPr="00020E48" w:rsidRDefault="00A17F2C" w:rsidP="00B23DE8">
      <w:pPr>
        <w:rPr>
          <w:szCs w:val="24"/>
        </w:rPr>
      </w:pPr>
      <w:r w:rsidRPr="00020E48">
        <w:rPr>
          <w:szCs w:val="24"/>
        </w:rPr>
        <w:t xml:space="preserve">This </w:t>
      </w:r>
      <w:r w:rsidR="0046022A" w:rsidRPr="00020E48">
        <w:rPr>
          <w:szCs w:val="24"/>
        </w:rPr>
        <w:t>instrument</w:t>
      </w:r>
      <w:r w:rsidRPr="00020E48">
        <w:rPr>
          <w:szCs w:val="24"/>
        </w:rPr>
        <w:t xml:space="preserve"> is compatible with the human rights and freedoms recognised or declared in the international instruments listed in section 3 of the </w:t>
      </w:r>
      <w:r w:rsidRPr="00020E48">
        <w:rPr>
          <w:i/>
          <w:szCs w:val="24"/>
        </w:rPr>
        <w:t>Human Rights (Parliamentary Scrutiny) Act 2011</w:t>
      </w:r>
      <w:r w:rsidRPr="00020E48">
        <w:rPr>
          <w:szCs w:val="24"/>
        </w:rPr>
        <w:t>.</w:t>
      </w:r>
    </w:p>
    <w:p w14:paraId="7EDA9098" w14:textId="306A78E1" w:rsidR="006E6BBF" w:rsidRPr="00020E48" w:rsidRDefault="006E6BBF" w:rsidP="008734F5">
      <w:pPr>
        <w:spacing w:before="120" w:after="120"/>
        <w:rPr>
          <w:b/>
          <w:szCs w:val="24"/>
        </w:rPr>
      </w:pPr>
      <w:r w:rsidRPr="00020E48">
        <w:rPr>
          <w:b/>
          <w:szCs w:val="24"/>
        </w:rPr>
        <w:t xml:space="preserve">Overview of the </w:t>
      </w:r>
      <w:r w:rsidR="00B86A9F" w:rsidRPr="00020E48">
        <w:rPr>
          <w:b/>
          <w:szCs w:val="24"/>
        </w:rPr>
        <w:t>Determination</w:t>
      </w:r>
    </w:p>
    <w:p w14:paraId="2A42670E" w14:textId="77777777" w:rsidR="00364C80" w:rsidRPr="00020E48" w:rsidRDefault="00364C80" w:rsidP="00B23DE8">
      <w:pPr>
        <w:rPr>
          <w:szCs w:val="24"/>
        </w:rPr>
      </w:pPr>
      <w:r w:rsidRPr="00020E48">
        <w:rPr>
          <w:szCs w:val="24"/>
        </w:rPr>
        <w:t xml:space="preserve">The </w:t>
      </w:r>
      <w:r w:rsidRPr="00020E48">
        <w:rPr>
          <w:bCs/>
          <w:i/>
          <w:iCs/>
          <w:szCs w:val="24"/>
        </w:rPr>
        <w:t>Health Insurance (Section 3C General Medical Services – Extracorporeal Photopheresis for Chronic Graft Versus Host Disease) Amendment Determination 2023</w:t>
      </w:r>
      <w:r w:rsidRPr="00020E48">
        <w:rPr>
          <w:bCs/>
          <w:szCs w:val="24"/>
        </w:rPr>
        <w:t xml:space="preserve"> (the Determination) amends the </w:t>
      </w:r>
      <w:r w:rsidRPr="00020E48">
        <w:rPr>
          <w:i/>
          <w:iCs/>
          <w:szCs w:val="24"/>
        </w:rPr>
        <w:t>Health Insurance (Section 3C General Medical Services – Extracorporeal Photopheresis for Chronic Graft Versus Host Disease) Determination 2022</w:t>
      </w:r>
      <w:r w:rsidRPr="00020E48">
        <w:rPr>
          <w:szCs w:val="24"/>
        </w:rPr>
        <w:t xml:space="preserve"> (the Principal Determination). The Determination amends the claiming frequency limitations of items 13761 and 13762, in line with the original policy authority.</w:t>
      </w:r>
    </w:p>
    <w:p w14:paraId="50785023" w14:textId="77777777" w:rsidR="00364C80" w:rsidRPr="00020E48" w:rsidRDefault="00364C80" w:rsidP="00364C80">
      <w:pPr>
        <w:ind w:right="-483"/>
        <w:rPr>
          <w:szCs w:val="24"/>
        </w:rPr>
      </w:pPr>
    </w:p>
    <w:p w14:paraId="32A73691" w14:textId="77777777" w:rsidR="00364C80" w:rsidRPr="00020E48" w:rsidRDefault="00364C80" w:rsidP="00B23DE8">
      <w:pPr>
        <w:rPr>
          <w:szCs w:val="24"/>
        </w:rPr>
      </w:pPr>
      <w:r w:rsidRPr="00020E48">
        <w:rPr>
          <w:szCs w:val="24"/>
        </w:rPr>
        <w:t>Items 13761 and 13762 were introduced on 1 March 2022 for the treatment of chronic graft</w:t>
      </w:r>
      <w:r w:rsidRPr="00020E48">
        <w:rPr>
          <w:szCs w:val="24"/>
        </w:rPr>
        <w:noBreakHyphen/>
        <w:t>versus</w:t>
      </w:r>
      <w:r w:rsidRPr="00020E48">
        <w:rPr>
          <w:szCs w:val="24"/>
        </w:rPr>
        <w:noBreakHyphen/>
        <w:t>host disease (</w:t>
      </w:r>
      <w:proofErr w:type="spellStart"/>
      <w:r w:rsidRPr="00020E48">
        <w:rPr>
          <w:szCs w:val="24"/>
        </w:rPr>
        <w:t>cGVHD</w:t>
      </w:r>
      <w:proofErr w:type="spellEnd"/>
      <w:r w:rsidRPr="00020E48">
        <w:rPr>
          <w:szCs w:val="24"/>
        </w:rPr>
        <w:t xml:space="preserve">) by extracorporeal photopheresis (ECP), in alignment with the pharmaceutical </w:t>
      </w:r>
      <w:proofErr w:type="spellStart"/>
      <w:r w:rsidRPr="00020E48">
        <w:rPr>
          <w:bCs/>
          <w:szCs w:val="24"/>
        </w:rPr>
        <w:t>methoxalen</w:t>
      </w:r>
      <w:proofErr w:type="spellEnd"/>
      <w:r w:rsidRPr="00020E48">
        <w:rPr>
          <w:bCs/>
          <w:szCs w:val="24"/>
        </w:rPr>
        <w:t xml:space="preserve"> </w:t>
      </w:r>
      <w:r w:rsidRPr="00020E48">
        <w:rPr>
          <w:szCs w:val="24"/>
        </w:rPr>
        <w:t xml:space="preserve">being listed on the Pharmaceutical Benefits Scheme (PBS). Item 13761 provides a service for the initial treatment of ECP for </w:t>
      </w:r>
      <w:proofErr w:type="spellStart"/>
      <w:r w:rsidRPr="00020E48">
        <w:rPr>
          <w:szCs w:val="24"/>
        </w:rPr>
        <w:t>cGVHD</w:t>
      </w:r>
      <w:proofErr w:type="spellEnd"/>
      <w:r w:rsidRPr="00020E48">
        <w:rPr>
          <w:szCs w:val="24"/>
        </w:rPr>
        <w:t xml:space="preserve">, where item 13762 provides a service for the ongoing treatment of ECP for </w:t>
      </w:r>
      <w:proofErr w:type="spellStart"/>
      <w:r w:rsidRPr="00020E48">
        <w:rPr>
          <w:szCs w:val="24"/>
        </w:rPr>
        <w:t>cGVHD</w:t>
      </w:r>
      <w:proofErr w:type="spellEnd"/>
      <w:r w:rsidRPr="00020E48">
        <w:rPr>
          <w:szCs w:val="24"/>
        </w:rPr>
        <w:t>.</w:t>
      </w:r>
    </w:p>
    <w:p w14:paraId="53E52913" w14:textId="77777777" w:rsidR="00364C80" w:rsidRPr="00020E48" w:rsidRDefault="00364C80" w:rsidP="00364C80">
      <w:pPr>
        <w:ind w:right="-483"/>
        <w:rPr>
          <w:szCs w:val="24"/>
        </w:rPr>
      </w:pPr>
    </w:p>
    <w:p w14:paraId="196593EC" w14:textId="77777777" w:rsidR="00364C80" w:rsidRPr="00020E48" w:rsidRDefault="00364C80" w:rsidP="00B23DE8">
      <w:pPr>
        <w:rPr>
          <w:szCs w:val="24"/>
        </w:rPr>
      </w:pPr>
      <w:r w:rsidRPr="00020E48">
        <w:rPr>
          <w:szCs w:val="24"/>
        </w:rPr>
        <w:t xml:space="preserve">ECP is delivered using a single use device, in conjunction with the drug </w:t>
      </w:r>
      <w:proofErr w:type="spellStart"/>
      <w:r w:rsidRPr="00020E48">
        <w:rPr>
          <w:szCs w:val="24"/>
        </w:rPr>
        <w:t>methoxalen</w:t>
      </w:r>
      <w:proofErr w:type="spellEnd"/>
      <w:r w:rsidRPr="00020E48">
        <w:rPr>
          <w:szCs w:val="24"/>
        </w:rPr>
        <w:t xml:space="preserve">, at each treatment session over an initial cycle of 25 treatment sessions. </w:t>
      </w:r>
    </w:p>
    <w:p w14:paraId="68E88C4A" w14:textId="77777777" w:rsidR="00364C80" w:rsidRPr="00020E48" w:rsidRDefault="00364C80" w:rsidP="00364C80">
      <w:pPr>
        <w:ind w:right="-483"/>
        <w:rPr>
          <w:szCs w:val="24"/>
        </w:rPr>
      </w:pPr>
    </w:p>
    <w:p w14:paraId="0B04788A" w14:textId="33A9C1DF" w:rsidR="00F553D4" w:rsidRPr="00020E48" w:rsidRDefault="00F553D4" w:rsidP="00B23DE8">
      <w:pPr>
        <w:rPr>
          <w:szCs w:val="24"/>
        </w:rPr>
      </w:pPr>
      <w:r w:rsidRPr="00020E48">
        <w:rPr>
          <w:szCs w:val="24"/>
        </w:rPr>
        <w:t xml:space="preserve">The Medical Services Advisory Committee (MSAC) supported the listing of items 13761 and 13762 at its July 2021 meeting under MSAC application 1651. However, due to a misunderstanding of the policy intention, the frequency restriction placed on items 13761 and 13762 stated the items were applicable only once per treatment cycle. The amendments made by the Determination were discussed at MSAC’s meeting of 19 August 2022. </w:t>
      </w:r>
    </w:p>
    <w:p w14:paraId="4590FEA1" w14:textId="77777777" w:rsidR="00F553D4" w:rsidRPr="00020E48" w:rsidRDefault="00F553D4" w:rsidP="00F553D4">
      <w:pPr>
        <w:ind w:right="-483"/>
        <w:rPr>
          <w:szCs w:val="24"/>
        </w:rPr>
      </w:pPr>
    </w:p>
    <w:p w14:paraId="66853EAD" w14:textId="77777777" w:rsidR="00F553D4" w:rsidRPr="00020E48" w:rsidRDefault="00F553D4" w:rsidP="00B23DE8">
      <w:pPr>
        <w:rPr>
          <w:szCs w:val="24"/>
        </w:rPr>
      </w:pPr>
      <w:r w:rsidRPr="00020E48">
        <w:rPr>
          <w:szCs w:val="24"/>
        </w:rPr>
        <w:t>The Determination inserts a definition for treatment session to clarify that a treatment session means a single session in a series of sessions that make up a treatment cycle. The Determination also amends the current restriction to specify that items 13761 and 13762 are applicable once per treatment session.</w:t>
      </w:r>
    </w:p>
    <w:p w14:paraId="2412D15C" w14:textId="50D38E8B" w:rsidR="00A17F2C" w:rsidRPr="00020E48" w:rsidRDefault="00A17F2C" w:rsidP="00B23DE8">
      <w:pPr>
        <w:spacing w:before="120" w:after="120"/>
        <w:rPr>
          <w:b/>
          <w:szCs w:val="24"/>
        </w:rPr>
      </w:pPr>
      <w:r w:rsidRPr="00020E48">
        <w:rPr>
          <w:b/>
          <w:szCs w:val="24"/>
        </w:rPr>
        <w:t>Human rights implications</w:t>
      </w:r>
    </w:p>
    <w:p w14:paraId="449665F0" w14:textId="2ED3F54B" w:rsidR="00806020" w:rsidRPr="00020E48" w:rsidRDefault="00806020" w:rsidP="00B23DE8">
      <w:pPr>
        <w:spacing w:before="120" w:after="120"/>
        <w:rPr>
          <w:szCs w:val="24"/>
        </w:rPr>
      </w:pPr>
      <w:r w:rsidRPr="00B23DE8">
        <w:rPr>
          <w:bCs/>
          <w:szCs w:val="24"/>
        </w:rPr>
        <w:t>This</w:t>
      </w:r>
      <w:r w:rsidRPr="00020E48">
        <w:rPr>
          <w:szCs w:val="24"/>
        </w:rPr>
        <w:t xml:space="preserve"> instrument engages Articles 9 and 12 of the International Covenant on Economic Social and Cultural Rights (ICESCR), specifically the rights to health and social security. </w:t>
      </w:r>
    </w:p>
    <w:p w14:paraId="2412D15E" w14:textId="1567A7A0" w:rsidR="00A17F2C" w:rsidRPr="00020E48" w:rsidRDefault="00A17F2C" w:rsidP="00806020">
      <w:pPr>
        <w:spacing w:before="120" w:after="120"/>
        <w:rPr>
          <w:i/>
          <w:szCs w:val="24"/>
        </w:rPr>
      </w:pPr>
      <w:r w:rsidRPr="00020E48">
        <w:rPr>
          <w:i/>
          <w:szCs w:val="24"/>
        </w:rPr>
        <w:t>The Right to Health</w:t>
      </w:r>
    </w:p>
    <w:p w14:paraId="2412D15F" w14:textId="77777777" w:rsidR="00A17F2C" w:rsidRPr="00020E48" w:rsidRDefault="00A17F2C" w:rsidP="000337CB">
      <w:pPr>
        <w:spacing w:before="120" w:after="120"/>
        <w:rPr>
          <w:szCs w:val="24"/>
        </w:rPr>
      </w:pPr>
      <w:r w:rsidRPr="00020E4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020E48">
        <w:rPr>
          <w:szCs w:val="24"/>
        </w:rPr>
        <w:t>healthy, but</w:t>
      </w:r>
      <w:proofErr w:type="gramEnd"/>
      <w:r w:rsidRPr="00020E48">
        <w:rPr>
          <w:szCs w:val="24"/>
        </w:rPr>
        <w:t xml:space="preserve"> is a right to a system of health protection which provides equality of opportunity for people to enjoy the highest attainable level of health. </w:t>
      </w:r>
    </w:p>
    <w:p w14:paraId="2412D160" w14:textId="77777777" w:rsidR="00A17F2C" w:rsidRPr="00020E48" w:rsidRDefault="00A17F2C" w:rsidP="000337CB">
      <w:pPr>
        <w:spacing w:before="120" w:after="120"/>
        <w:rPr>
          <w:szCs w:val="24"/>
        </w:rPr>
      </w:pPr>
      <w:r w:rsidRPr="00020E48">
        <w:rPr>
          <w:szCs w:val="24"/>
        </w:rPr>
        <w:lastRenderedPageBreak/>
        <w:t xml:space="preserve">The Committee reports that the </w:t>
      </w:r>
      <w:r w:rsidRPr="00020E48">
        <w:rPr>
          <w:i/>
          <w:szCs w:val="24"/>
        </w:rPr>
        <w:t>‘highest attainable standard of health’</w:t>
      </w:r>
      <w:r w:rsidRPr="00020E48">
        <w:rPr>
          <w:szCs w:val="24"/>
        </w:rPr>
        <w:t xml:space="preserve"> </w:t>
      </w:r>
      <w:proofErr w:type="gramStart"/>
      <w:r w:rsidRPr="00020E48">
        <w:rPr>
          <w:szCs w:val="24"/>
        </w:rPr>
        <w:t>takes into account</w:t>
      </w:r>
      <w:proofErr w:type="gramEnd"/>
      <w:r w:rsidRPr="00020E48">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020E48" w:rsidRDefault="00A17F2C" w:rsidP="000337CB">
      <w:pPr>
        <w:spacing w:before="120" w:after="120"/>
        <w:rPr>
          <w:i/>
          <w:szCs w:val="24"/>
        </w:rPr>
      </w:pPr>
      <w:r w:rsidRPr="00020E48">
        <w:rPr>
          <w:i/>
          <w:szCs w:val="24"/>
        </w:rPr>
        <w:t xml:space="preserve">The Right to Social Security </w:t>
      </w:r>
    </w:p>
    <w:p w14:paraId="2412D162" w14:textId="77777777" w:rsidR="00A17F2C" w:rsidRPr="00020E48" w:rsidRDefault="00A17F2C" w:rsidP="000337CB">
      <w:pPr>
        <w:spacing w:before="120" w:after="120"/>
        <w:rPr>
          <w:szCs w:val="24"/>
        </w:rPr>
      </w:pPr>
      <w:r w:rsidRPr="00020E48">
        <w:rPr>
          <w:szCs w:val="24"/>
        </w:rPr>
        <w:t>The right to social security is contained in Article 9 of the ICESCR. It requires that a country must, within its maximum available resources, ensure access to a social security scheme that</w:t>
      </w:r>
      <w:r w:rsidR="00BA69CB" w:rsidRPr="00020E48">
        <w:rPr>
          <w:szCs w:val="24"/>
        </w:rPr>
        <w:t xml:space="preserve"> </w:t>
      </w:r>
      <w:r w:rsidRPr="00020E48">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20E48">
        <w:rPr>
          <w:szCs w:val="24"/>
        </w:rPr>
        <w:t>in an effort to</w:t>
      </w:r>
      <w:proofErr w:type="gramEnd"/>
      <w:r w:rsidRPr="00020E48">
        <w:rPr>
          <w:szCs w:val="24"/>
        </w:rPr>
        <w:t xml:space="preserve"> satisfy, as a matter of priority, this minimum obligation.</w:t>
      </w:r>
    </w:p>
    <w:p w14:paraId="0345FFEA" w14:textId="2A5A9406" w:rsidR="00A46B56" w:rsidRPr="00020E48" w:rsidRDefault="00A17F2C" w:rsidP="000337CB">
      <w:pPr>
        <w:spacing w:before="120" w:after="120"/>
        <w:rPr>
          <w:szCs w:val="24"/>
        </w:rPr>
      </w:pPr>
      <w:r w:rsidRPr="00020E48">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20E48">
        <w:rPr>
          <w:szCs w:val="24"/>
        </w:rPr>
        <w:t>Government</w:t>
      </w:r>
      <w:proofErr w:type="gramEnd"/>
      <w:r w:rsidRPr="00020E48">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020E48" w:rsidRDefault="00A46B56" w:rsidP="00A46B56">
      <w:pPr>
        <w:shd w:val="clear" w:color="auto" w:fill="FFFFFF"/>
        <w:spacing w:before="120" w:after="120"/>
        <w:rPr>
          <w:color w:val="000000"/>
          <w:szCs w:val="24"/>
        </w:rPr>
      </w:pPr>
      <w:r w:rsidRPr="00020E48">
        <w:rPr>
          <w:i/>
          <w:iCs/>
          <w:color w:val="000000"/>
          <w:szCs w:val="24"/>
        </w:rPr>
        <w:t>The right of equality and non-discrimination</w:t>
      </w:r>
    </w:p>
    <w:p w14:paraId="11907FD2" w14:textId="43837338" w:rsidR="00A46B56" w:rsidRPr="00020E48" w:rsidRDefault="00A46B56" w:rsidP="00A46B56">
      <w:pPr>
        <w:spacing w:before="120" w:after="120"/>
        <w:rPr>
          <w:szCs w:val="24"/>
        </w:rPr>
      </w:pPr>
      <w:r w:rsidRPr="00020E48">
        <w:rPr>
          <w:color w:val="000000"/>
          <w:szCs w:val="24"/>
        </w:rPr>
        <w:t xml:space="preserve">The rights of equality and non-discrimination are contained in articles 2, 16 and 26 of the International Covenant on Civil and Political Rights (ICCPR).  Article 26 of the ICCPR requires that all persons are </w:t>
      </w:r>
      <w:r w:rsidRPr="00B23DE8">
        <w:rPr>
          <w:szCs w:val="24"/>
        </w:rPr>
        <w:t>equal</w:t>
      </w:r>
      <w:r w:rsidRPr="00020E48">
        <w:rPr>
          <w:color w:val="000000"/>
          <w:szCs w:val="24"/>
        </w:rPr>
        <w:t xml:space="preserve">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020E48">
        <w:rPr>
          <w:color w:val="000000"/>
          <w:szCs w:val="24"/>
        </w:rPr>
        <w:t>birth</w:t>
      </w:r>
      <w:proofErr w:type="gramEnd"/>
      <w:r w:rsidRPr="00020E48">
        <w:rPr>
          <w:color w:val="000000"/>
          <w:szCs w:val="24"/>
        </w:rPr>
        <w:t xml:space="preserve"> or other status.</w:t>
      </w:r>
    </w:p>
    <w:p w14:paraId="2412D164" w14:textId="1BF78036" w:rsidR="00A17F2C" w:rsidRPr="00020E48" w:rsidRDefault="00A17F2C" w:rsidP="000337CB">
      <w:pPr>
        <w:spacing w:before="120" w:after="120"/>
        <w:rPr>
          <w:szCs w:val="24"/>
          <w:u w:val="single"/>
        </w:rPr>
      </w:pPr>
      <w:r w:rsidRPr="00020E48">
        <w:rPr>
          <w:szCs w:val="24"/>
          <w:u w:val="single"/>
        </w:rPr>
        <w:t xml:space="preserve">Analysis </w:t>
      </w:r>
    </w:p>
    <w:p w14:paraId="5CED5F70" w14:textId="14E50815" w:rsidR="0079191B" w:rsidRPr="00020E48" w:rsidRDefault="00806020" w:rsidP="00B23DE8">
      <w:pPr>
        <w:spacing w:before="120" w:after="120"/>
        <w:rPr>
          <w:szCs w:val="24"/>
        </w:rPr>
      </w:pPr>
      <w:r w:rsidRPr="00020E48">
        <w:rPr>
          <w:szCs w:val="24"/>
        </w:rPr>
        <w:t xml:space="preserve">This instrument will </w:t>
      </w:r>
      <w:r w:rsidR="00B15781" w:rsidRPr="00020E48">
        <w:rPr>
          <w:szCs w:val="24"/>
        </w:rPr>
        <w:t xml:space="preserve">reflect </w:t>
      </w:r>
      <w:r w:rsidR="00B15781" w:rsidRPr="00020E48">
        <w:t>contemporary clinical practice</w:t>
      </w:r>
      <w:r w:rsidR="00B15781" w:rsidRPr="00020E48">
        <w:rPr>
          <w:szCs w:val="24"/>
        </w:rPr>
        <w:t xml:space="preserve"> to </w:t>
      </w:r>
      <w:r w:rsidR="00FA771B" w:rsidRPr="00020E48">
        <w:rPr>
          <w:szCs w:val="24"/>
        </w:rPr>
        <w:t>provide access</w:t>
      </w:r>
      <w:r w:rsidR="002C7CFB" w:rsidRPr="00020E48">
        <w:rPr>
          <w:szCs w:val="24"/>
        </w:rPr>
        <w:t xml:space="preserve"> </w:t>
      </w:r>
      <w:r w:rsidR="00FA771B" w:rsidRPr="00020E48">
        <w:rPr>
          <w:szCs w:val="24"/>
        </w:rPr>
        <w:t xml:space="preserve">to </w:t>
      </w:r>
      <w:r w:rsidR="00A44066" w:rsidRPr="00020E48">
        <w:rPr>
          <w:szCs w:val="24"/>
        </w:rPr>
        <w:t>the amended</w:t>
      </w:r>
      <w:r w:rsidR="00FA771B" w:rsidRPr="00020E48">
        <w:rPr>
          <w:szCs w:val="24"/>
        </w:rPr>
        <w:t xml:space="preserve"> medical services</w:t>
      </w:r>
      <w:r w:rsidR="002C7CFB" w:rsidRPr="00020E48">
        <w:rPr>
          <w:szCs w:val="24"/>
        </w:rPr>
        <w:t xml:space="preserve"> more frequently</w:t>
      </w:r>
      <w:r w:rsidR="00FA771B" w:rsidRPr="00020E48">
        <w:rPr>
          <w:szCs w:val="24"/>
        </w:rPr>
        <w:t xml:space="preserve"> in line with the original policy </w:t>
      </w:r>
      <w:proofErr w:type="gramStart"/>
      <w:r w:rsidR="00FA771B" w:rsidRPr="00020E48">
        <w:rPr>
          <w:szCs w:val="24"/>
        </w:rPr>
        <w:t>intent</w:t>
      </w:r>
      <w:r w:rsidR="00876F17" w:rsidRPr="00020E48">
        <w:rPr>
          <w:szCs w:val="24"/>
        </w:rPr>
        <w:t>,</w:t>
      </w:r>
      <w:r w:rsidR="00FA771B" w:rsidRPr="00020E48">
        <w:rPr>
          <w:szCs w:val="24"/>
        </w:rPr>
        <w:t xml:space="preserve"> and</w:t>
      </w:r>
      <w:proofErr w:type="gramEnd"/>
      <w:r w:rsidR="00FA771B" w:rsidRPr="00020E48">
        <w:rPr>
          <w:szCs w:val="24"/>
        </w:rPr>
        <w:t xml:space="preserve"> ensure </w:t>
      </w:r>
      <w:r w:rsidR="00B15781" w:rsidRPr="00020E48">
        <w:rPr>
          <w:szCs w:val="24"/>
        </w:rPr>
        <w:t xml:space="preserve">that patients </w:t>
      </w:r>
      <w:r w:rsidR="007C7403" w:rsidRPr="00020E48">
        <w:rPr>
          <w:szCs w:val="24"/>
        </w:rPr>
        <w:t xml:space="preserve">continue to </w:t>
      </w:r>
      <w:r w:rsidR="00B15781" w:rsidRPr="00020E48">
        <w:rPr>
          <w:szCs w:val="24"/>
        </w:rPr>
        <w:t>have access to</w:t>
      </w:r>
      <w:r w:rsidRPr="00020E48">
        <w:rPr>
          <w:szCs w:val="24"/>
        </w:rPr>
        <w:t xml:space="preserve"> health and social security </w:t>
      </w:r>
      <w:r w:rsidR="00B15781" w:rsidRPr="00020E48">
        <w:rPr>
          <w:szCs w:val="24"/>
        </w:rPr>
        <w:t xml:space="preserve">through relevant </w:t>
      </w:r>
      <w:r w:rsidR="00C67BC7" w:rsidRPr="00020E48">
        <w:rPr>
          <w:szCs w:val="24"/>
        </w:rPr>
        <w:t xml:space="preserve">subsidised </w:t>
      </w:r>
      <w:r w:rsidR="00E34DED" w:rsidRPr="00020E48">
        <w:rPr>
          <w:szCs w:val="24"/>
        </w:rPr>
        <w:t>medical</w:t>
      </w:r>
      <w:r w:rsidR="00C67BC7" w:rsidRPr="00020E48">
        <w:rPr>
          <w:szCs w:val="24"/>
        </w:rPr>
        <w:t xml:space="preserve"> services </w:t>
      </w:r>
      <w:r w:rsidR="0039170C" w:rsidRPr="00020E48">
        <w:rPr>
          <w:szCs w:val="24"/>
        </w:rPr>
        <w:t xml:space="preserve">on the Medicare Benefits Schedule. </w:t>
      </w:r>
    </w:p>
    <w:p w14:paraId="2412D166" w14:textId="1973400E" w:rsidR="00A17F2C" w:rsidRPr="00B23DE8" w:rsidRDefault="00A17F2C" w:rsidP="00B23DE8">
      <w:pPr>
        <w:spacing w:before="120" w:after="120"/>
        <w:rPr>
          <w:b/>
          <w:szCs w:val="24"/>
        </w:rPr>
      </w:pPr>
      <w:r w:rsidRPr="00B23DE8">
        <w:rPr>
          <w:b/>
          <w:szCs w:val="24"/>
        </w:rPr>
        <w:t xml:space="preserve">Conclusion </w:t>
      </w:r>
    </w:p>
    <w:p w14:paraId="2412D167" w14:textId="0AFBD63A" w:rsidR="00A17F2C" w:rsidRPr="00020E48" w:rsidRDefault="006E6BBF" w:rsidP="00B23DE8">
      <w:pPr>
        <w:spacing w:before="120" w:after="120"/>
        <w:rPr>
          <w:color w:val="FF0000"/>
          <w:szCs w:val="24"/>
        </w:rPr>
      </w:pPr>
      <w:r w:rsidRPr="00B23DE8">
        <w:rPr>
          <w:bCs/>
          <w:szCs w:val="24"/>
        </w:rPr>
        <w:t>This</w:t>
      </w:r>
      <w:r w:rsidRPr="00020E48">
        <w:rPr>
          <w:szCs w:val="24"/>
        </w:rPr>
        <w:t xml:space="preserve"> </w:t>
      </w:r>
      <w:r w:rsidR="0046022A" w:rsidRPr="00020E48">
        <w:rPr>
          <w:szCs w:val="24"/>
        </w:rPr>
        <w:t>instrument</w:t>
      </w:r>
      <w:r w:rsidRPr="00020E48">
        <w:rPr>
          <w:szCs w:val="24"/>
        </w:rPr>
        <w:t xml:space="preserve"> </w:t>
      </w:r>
      <w:r w:rsidR="00F15284" w:rsidRPr="00020E48">
        <w:rPr>
          <w:szCs w:val="24"/>
        </w:rPr>
        <w:t xml:space="preserve">is compatible with human rights as it </w:t>
      </w:r>
      <w:r w:rsidR="002C7CFB" w:rsidRPr="00020E48">
        <w:rPr>
          <w:szCs w:val="24"/>
        </w:rPr>
        <w:t>advances</w:t>
      </w:r>
      <w:r w:rsidR="007C7403" w:rsidRPr="00020E48">
        <w:rPr>
          <w:szCs w:val="24"/>
        </w:rPr>
        <w:t xml:space="preserve"> the </w:t>
      </w:r>
      <w:r w:rsidR="00910EF6" w:rsidRPr="00020E48">
        <w:rPr>
          <w:szCs w:val="24"/>
        </w:rPr>
        <w:t>right to health</w:t>
      </w:r>
      <w:r w:rsidR="00CC6FAB" w:rsidRPr="00020E48">
        <w:rPr>
          <w:szCs w:val="24"/>
        </w:rPr>
        <w:t>,</w:t>
      </w:r>
      <w:r w:rsidR="00910EF6" w:rsidRPr="00020E48">
        <w:rPr>
          <w:szCs w:val="24"/>
        </w:rPr>
        <w:t xml:space="preserve"> the right to social security</w:t>
      </w:r>
      <w:r w:rsidR="00CC6FAB" w:rsidRPr="00020E48">
        <w:rPr>
          <w:szCs w:val="24"/>
        </w:rPr>
        <w:t xml:space="preserve"> and the rights of equality and non-discrimination</w:t>
      </w:r>
      <w:r w:rsidR="002C7CFB" w:rsidRPr="00020E48">
        <w:rPr>
          <w:szCs w:val="24"/>
        </w:rPr>
        <w:t xml:space="preserve"> by amending the frequency limitation on the relevant subsidised medical services to allow patients to access the service more frequently</w:t>
      </w:r>
      <w:r w:rsidR="00910EF6" w:rsidRPr="00020E48">
        <w:rPr>
          <w:szCs w:val="24"/>
        </w:rPr>
        <w:t xml:space="preserve">. </w:t>
      </w:r>
    </w:p>
    <w:p w14:paraId="2412D168" w14:textId="77777777" w:rsidR="00F15284" w:rsidRPr="00020E48" w:rsidRDefault="00F15284" w:rsidP="000337CB">
      <w:pPr>
        <w:rPr>
          <w:rFonts w:eastAsia="Calibri"/>
          <w:szCs w:val="24"/>
          <w:lang w:eastAsia="en-US"/>
        </w:rPr>
      </w:pPr>
    </w:p>
    <w:p w14:paraId="75A46380" w14:textId="77777777" w:rsidR="00C67BC7" w:rsidRPr="00020E48" w:rsidRDefault="00C67BC7" w:rsidP="000F2948">
      <w:pPr>
        <w:jc w:val="center"/>
        <w:rPr>
          <w:b/>
          <w:bCs/>
        </w:rPr>
      </w:pPr>
    </w:p>
    <w:p w14:paraId="1A4FB0F3" w14:textId="10A7CB4E" w:rsidR="001B6095" w:rsidRPr="00020E48" w:rsidRDefault="00910D20" w:rsidP="001B6095">
      <w:pPr>
        <w:shd w:val="clear" w:color="auto" w:fill="FFFFFF"/>
        <w:spacing w:line="240" w:lineRule="atLeast"/>
        <w:ind w:right="-23"/>
        <w:jc w:val="center"/>
        <w:rPr>
          <w:b/>
          <w:bCs/>
          <w:szCs w:val="22"/>
        </w:rPr>
      </w:pPr>
      <w:r w:rsidRPr="00020E48">
        <w:rPr>
          <w:b/>
          <w:bCs/>
          <w:szCs w:val="22"/>
        </w:rPr>
        <w:t xml:space="preserve">Daniel McCabe </w:t>
      </w:r>
    </w:p>
    <w:p w14:paraId="7E442A4C" w14:textId="51B36C41" w:rsidR="001B6095" w:rsidRPr="00020E48" w:rsidRDefault="00910D20" w:rsidP="001B6095">
      <w:pPr>
        <w:shd w:val="clear" w:color="auto" w:fill="FFFFFF"/>
        <w:spacing w:line="240" w:lineRule="atLeast"/>
        <w:ind w:right="-23"/>
        <w:jc w:val="center"/>
        <w:rPr>
          <w:b/>
          <w:bCs/>
          <w:szCs w:val="22"/>
        </w:rPr>
      </w:pPr>
      <w:r w:rsidRPr="00020E48">
        <w:rPr>
          <w:b/>
          <w:bCs/>
          <w:szCs w:val="22"/>
        </w:rPr>
        <w:t xml:space="preserve">First Assistant Secretary </w:t>
      </w:r>
    </w:p>
    <w:p w14:paraId="1817A584" w14:textId="6C9B2DD4" w:rsidR="001B6095" w:rsidRPr="00020E48" w:rsidRDefault="00237932" w:rsidP="001B6095">
      <w:pPr>
        <w:shd w:val="clear" w:color="auto" w:fill="FFFFFF"/>
        <w:spacing w:line="240" w:lineRule="atLeast"/>
        <w:ind w:right="-23"/>
        <w:jc w:val="center"/>
        <w:rPr>
          <w:b/>
          <w:bCs/>
          <w:szCs w:val="22"/>
        </w:rPr>
      </w:pPr>
      <w:r w:rsidRPr="00020E48">
        <w:rPr>
          <w:b/>
          <w:bCs/>
          <w:szCs w:val="22"/>
        </w:rPr>
        <w:t>Medicare</w:t>
      </w:r>
      <w:r w:rsidR="00910D20" w:rsidRPr="00020E48">
        <w:rPr>
          <w:b/>
          <w:bCs/>
          <w:szCs w:val="22"/>
        </w:rPr>
        <w:t xml:space="preserve"> Benefits and Digital Health Division</w:t>
      </w:r>
    </w:p>
    <w:p w14:paraId="42E9857F" w14:textId="4E59DF1A" w:rsidR="001B6095" w:rsidRPr="00020E48" w:rsidRDefault="00910D20" w:rsidP="001B6095">
      <w:pPr>
        <w:shd w:val="clear" w:color="auto" w:fill="FFFFFF"/>
        <w:spacing w:line="240" w:lineRule="atLeast"/>
        <w:ind w:right="-23"/>
        <w:jc w:val="center"/>
        <w:rPr>
          <w:b/>
          <w:bCs/>
          <w:szCs w:val="22"/>
        </w:rPr>
      </w:pPr>
      <w:r w:rsidRPr="00020E48">
        <w:rPr>
          <w:b/>
          <w:bCs/>
          <w:szCs w:val="22"/>
        </w:rPr>
        <w:t>Health Resourcing Group</w:t>
      </w:r>
    </w:p>
    <w:p w14:paraId="2412D16E" w14:textId="562C0FB9" w:rsidR="00636C51" w:rsidRPr="0020245D" w:rsidRDefault="000F2948" w:rsidP="001B6095">
      <w:pPr>
        <w:jc w:val="center"/>
        <w:rPr>
          <w:rFonts w:eastAsia="Calibri"/>
          <w:szCs w:val="24"/>
          <w:lang w:eastAsia="en-US"/>
        </w:rPr>
      </w:pPr>
      <w:r w:rsidRPr="00020E48">
        <w:rPr>
          <w:b/>
          <w:bCs/>
        </w:rPr>
        <w:t>Department of Health</w:t>
      </w:r>
      <w:r w:rsidR="00CC6FAB" w:rsidRPr="00020E48">
        <w:rPr>
          <w:b/>
          <w:bCs/>
        </w:rPr>
        <w:t xml:space="preserve"> and Aged Care</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B416" w14:textId="77777777" w:rsidR="00AF1DA0" w:rsidRDefault="00AF1DA0">
      <w:r>
        <w:separator/>
      </w:r>
    </w:p>
  </w:endnote>
  <w:endnote w:type="continuationSeparator" w:id="0">
    <w:p w14:paraId="740EA125" w14:textId="77777777" w:rsidR="00AF1DA0" w:rsidRDefault="00AF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F965" w14:textId="77777777" w:rsidR="00AF1DA0" w:rsidRDefault="00AF1DA0">
      <w:r>
        <w:separator/>
      </w:r>
    </w:p>
  </w:footnote>
  <w:footnote w:type="continuationSeparator" w:id="0">
    <w:p w14:paraId="15B0D559" w14:textId="77777777" w:rsidR="00AF1DA0" w:rsidRDefault="00AF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0E48"/>
    <w:rsid w:val="00021EFA"/>
    <w:rsid w:val="00024158"/>
    <w:rsid w:val="00024A1D"/>
    <w:rsid w:val="00025F64"/>
    <w:rsid w:val="00026689"/>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0250"/>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07C6"/>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68F"/>
    <w:rsid w:val="000F1714"/>
    <w:rsid w:val="000F249E"/>
    <w:rsid w:val="000F2948"/>
    <w:rsid w:val="000F2AFC"/>
    <w:rsid w:val="000F37A0"/>
    <w:rsid w:val="000F548E"/>
    <w:rsid w:val="000F5E76"/>
    <w:rsid w:val="000F6853"/>
    <w:rsid w:val="001000CE"/>
    <w:rsid w:val="00103CB1"/>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2435"/>
    <w:rsid w:val="00154FC4"/>
    <w:rsid w:val="001551FE"/>
    <w:rsid w:val="0015521F"/>
    <w:rsid w:val="00156C3C"/>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749"/>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6FA"/>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485E"/>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37932"/>
    <w:rsid w:val="0024152E"/>
    <w:rsid w:val="002427DC"/>
    <w:rsid w:val="00242974"/>
    <w:rsid w:val="00244D84"/>
    <w:rsid w:val="00250061"/>
    <w:rsid w:val="00250642"/>
    <w:rsid w:val="00251E4A"/>
    <w:rsid w:val="00251F50"/>
    <w:rsid w:val="002538F6"/>
    <w:rsid w:val="00253E30"/>
    <w:rsid w:val="0025493F"/>
    <w:rsid w:val="00257459"/>
    <w:rsid w:val="00257E4D"/>
    <w:rsid w:val="002604A4"/>
    <w:rsid w:val="00262865"/>
    <w:rsid w:val="00263279"/>
    <w:rsid w:val="002643FC"/>
    <w:rsid w:val="00274073"/>
    <w:rsid w:val="0027545F"/>
    <w:rsid w:val="0027610D"/>
    <w:rsid w:val="002806A1"/>
    <w:rsid w:val="00281918"/>
    <w:rsid w:val="00284483"/>
    <w:rsid w:val="00284749"/>
    <w:rsid w:val="00285256"/>
    <w:rsid w:val="00286CD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C7CFB"/>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0433C"/>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0EA9"/>
    <w:rsid w:val="0035214B"/>
    <w:rsid w:val="003527D6"/>
    <w:rsid w:val="00353351"/>
    <w:rsid w:val="00353622"/>
    <w:rsid w:val="0035389C"/>
    <w:rsid w:val="00357CD8"/>
    <w:rsid w:val="0036001E"/>
    <w:rsid w:val="0036105C"/>
    <w:rsid w:val="00361ADE"/>
    <w:rsid w:val="00363306"/>
    <w:rsid w:val="003637E5"/>
    <w:rsid w:val="0036495A"/>
    <w:rsid w:val="00364C80"/>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50C4"/>
    <w:rsid w:val="00397A97"/>
    <w:rsid w:val="003A280D"/>
    <w:rsid w:val="003A4854"/>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6B87"/>
    <w:rsid w:val="004B7CB9"/>
    <w:rsid w:val="004C10BA"/>
    <w:rsid w:val="004C166D"/>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57A03"/>
    <w:rsid w:val="005642D9"/>
    <w:rsid w:val="00564C2B"/>
    <w:rsid w:val="00564C37"/>
    <w:rsid w:val="00564D84"/>
    <w:rsid w:val="00570F2B"/>
    <w:rsid w:val="0057258C"/>
    <w:rsid w:val="00573651"/>
    <w:rsid w:val="00573CCD"/>
    <w:rsid w:val="00574E71"/>
    <w:rsid w:val="005811D8"/>
    <w:rsid w:val="00581904"/>
    <w:rsid w:val="00582B3F"/>
    <w:rsid w:val="00583643"/>
    <w:rsid w:val="00585309"/>
    <w:rsid w:val="005857E8"/>
    <w:rsid w:val="005858CB"/>
    <w:rsid w:val="0058699E"/>
    <w:rsid w:val="00586CE9"/>
    <w:rsid w:val="00590B04"/>
    <w:rsid w:val="00592F78"/>
    <w:rsid w:val="00594EB6"/>
    <w:rsid w:val="005973B7"/>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593D"/>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56EC"/>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D5F"/>
    <w:rsid w:val="006F2E4F"/>
    <w:rsid w:val="006F5CDC"/>
    <w:rsid w:val="006F6EC2"/>
    <w:rsid w:val="0070058D"/>
    <w:rsid w:val="00702854"/>
    <w:rsid w:val="00704585"/>
    <w:rsid w:val="00704A1A"/>
    <w:rsid w:val="00705833"/>
    <w:rsid w:val="00705924"/>
    <w:rsid w:val="00707B77"/>
    <w:rsid w:val="00707CE9"/>
    <w:rsid w:val="00707E4E"/>
    <w:rsid w:val="00710055"/>
    <w:rsid w:val="007103BC"/>
    <w:rsid w:val="0071184F"/>
    <w:rsid w:val="00712189"/>
    <w:rsid w:val="007134A2"/>
    <w:rsid w:val="0071361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6F17"/>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D20"/>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27D"/>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37D"/>
    <w:rsid w:val="00972D48"/>
    <w:rsid w:val="00975E68"/>
    <w:rsid w:val="00977A95"/>
    <w:rsid w:val="00982585"/>
    <w:rsid w:val="00983FD9"/>
    <w:rsid w:val="009852B0"/>
    <w:rsid w:val="00985DC9"/>
    <w:rsid w:val="00985FA9"/>
    <w:rsid w:val="00987A99"/>
    <w:rsid w:val="009902F7"/>
    <w:rsid w:val="0099448D"/>
    <w:rsid w:val="00995A06"/>
    <w:rsid w:val="00996BF2"/>
    <w:rsid w:val="009A222A"/>
    <w:rsid w:val="009A26CA"/>
    <w:rsid w:val="009A4347"/>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5FA"/>
    <w:rsid w:val="00A4278E"/>
    <w:rsid w:val="00A4292D"/>
    <w:rsid w:val="00A44066"/>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5A85"/>
    <w:rsid w:val="00AC681D"/>
    <w:rsid w:val="00AC6FF1"/>
    <w:rsid w:val="00AD0F67"/>
    <w:rsid w:val="00AD1A30"/>
    <w:rsid w:val="00AD7E8E"/>
    <w:rsid w:val="00AE0487"/>
    <w:rsid w:val="00AE0F81"/>
    <w:rsid w:val="00AE330D"/>
    <w:rsid w:val="00AE7A51"/>
    <w:rsid w:val="00AF134A"/>
    <w:rsid w:val="00AF1DA0"/>
    <w:rsid w:val="00AF3563"/>
    <w:rsid w:val="00AF3BCE"/>
    <w:rsid w:val="00AF421C"/>
    <w:rsid w:val="00AF5C05"/>
    <w:rsid w:val="00AF7622"/>
    <w:rsid w:val="00B00238"/>
    <w:rsid w:val="00B007E0"/>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3DE8"/>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086"/>
    <w:rsid w:val="00B55CDD"/>
    <w:rsid w:val="00B56E4F"/>
    <w:rsid w:val="00B63345"/>
    <w:rsid w:val="00B63A7A"/>
    <w:rsid w:val="00B652B0"/>
    <w:rsid w:val="00B709F7"/>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87E9C"/>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C6FA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1010"/>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2B03"/>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067D"/>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05099"/>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4DED"/>
    <w:rsid w:val="00E35B1E"/>
    <w:rsid w:val="00E4250F"/>
    <w:rsid w:val="00E44A7E"/>
    <w:rsid w:val="00E463E4"/>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6AC5"/>
    <w:rsid w:val="00F47621"/>
    <w:rsid w:val="00F553D4"/>
    <w:rsid w:val="00F570AB"/>
    <w:rsid w:val="00F571A5"/>
    <w:rsid w:val="00F57A71"/>
    <w:rsid w:val="00F61C28"/>
    <w:rsid w:val="00F61E69"/>
    <w:rsid w:val="00F633B7"/>
    <w:rsid w:val="00F645F1"/>
    <w:rsid w:val="00F6591A"/>
    <w:rsid w:val="00F661F7"/>
    <w:rsid w:val="00F70D35"/>
    <w:rsid w:val="00F75170"/>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71B"/>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50E"/>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2178284">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19</cp:revision>
  <cp:lastPrinted>2019-09-23T06:46:00Z</cp:lastPrinted>
  <dcterms:created xsi:type="dcterms:W3CDTF">2023-02-24T00:15:00Z</dcterms:created>
  <dcterms:modified xsi:type="dcterms:W3CDTF">2023-03-24T03:36:00Z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