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2D11F" w14:textId="77777777" w:rsidR="00FA6784" w:rsidRPr="002753F3" w:rsidRDefault="00FA6784" w:rsidP="00FA6784">
      <w:pPr>
        <w:pStyle w:val="H3"/>
        <w:jc w:val="center"/>
        <w:rPr>
          <w:sz w:val="24"/>
          <w:szCs w:val="24"/>
        </w:rPr>
      </w:pPr>
      <w:r w:rsidRPr="002753F3">
        <w:rPr>
          <w:sz w:val="24"/>
          <w:szCs w:val="24"/>
        </w:rPr>
        <w:t>EXPLANATORY STATEMENT</w:t>
      </w:r>
    </w:p>
    <w:p w14:paraId="2412D122" w14:textId="77777777" w:rsidR="00FA6784" w:rsidRPr="002753F3" w:rsidRDefault="00FA6784" w:rsidP="00825D52">
      <w:pPr>
        <w:rPr>
          <w:i/>
          <w:iCs/>
          <w:sz w:val="20"/>
        </w:rPr>
      </w:pPr>
    </w:p>
    <w:p w14:paraId="2412D123" w14:textId="77777777" w:rsidR="00FA6784" w:rsidRPr="002753F3" w:rsidRDefault="00FA6784" w:rsidP="00FA6784">
      <w:pPr>
        <w:jc w:val="center"/>
        <w:rPr>
          <w:i/>
          <w:iCs/>
        </w:rPr>
      </w:pPr>
      <w:r w:rsidRPr="002753F3">
        <w:rPr>
          <w:i/>
          <w:iCs/>
        </w:rPr>
        <w:t>Health Insurance Act 1973</w:t>
      </w:r>
    </w:p>
    <w:p w14:paraId="2412D124" w14:textId="77777777" w:rsidR="00A1739A" w:rsidRPr="002753F3" w:rsidRDefault="00A1739A" w:rsidP="00A1739A">
      <w:pPr>
        <w:rPr>
          <w:szCs w:val="24"/>
          <w:u w:val="single"/>
        </w:rPr>
      </w:pPr>
    </w:p>
    <w:p w14:paraId="2838A7B4" w14:textId="104E25EB" w:rsidR="00FD602D" w:rsidRPr="002753F3" w:rsidRDefault="00D471DD" w:rsidP="00961795">
      <w:pPr>
        <w:ind w:right="84"/>
        <w:jc w:val="center"/>
        <w:rPr>
          <w:szCs w:val="24"/>
        </w:rPr>
      </w:pPr>
      <w:r w:rsidRPr="002753F3">
        <w:rPr>
          <w:i/>
          <w:iCs/>
        </w:rPr>
        <w:t>Health Insurance Amendment (Mental Health Case Conferencing Services and Indexation) Determination 2023</w:t>
      </w:r>
    </w:p>
    <w:p w14:paraId="052E97C1" w14:textId="77777777" w:rsidR="00164A69" w:rsidRPr="002753F3" w:rsidRDefault="00164A69" w:rsidP="004C6AE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shd w:val="clear" w:color="auto" w:fill="FFFFFF"/>
        </w:rPr>
      </w:pPr>
    </w:p>
    <w:p w14:paraId="647455E6" w14:textId="77777777" w:rsidR="00F75B7B" w:rsidRPr="002753F3" w:rsidRDefault="00164A69" w:rsidP="00F75B7B">
      <w:pPr>
        <w:shd w:val="clear" w:color="auto" w:fill="FFFFFF"/>
        <w:rPr>
          <w:shd w:val="clear" w:color="auto" w:fill="FFFFFF"/>
        </w:rPr>
      </w:pPr>
      <w:r w:rsidRPr="002753F3">
        <w:t>Subsection</w:t>
      </w:r>
      <w:r w:rsidRPr="002753F3">
        <w:rPr>
          <w:shd w:val="clear" w:color="auto" w:fill="FFFFFF"/>
        </w:rPr>
        <w:t xml:space="preserve"> 3</w:t>
      </w:r>
      <w:proofErr w:type="gramStart"/>
      <w:r w:rsidRPr="002753F3">
        <w:rPr>
          <w:shd w:val="clear" w:color="auto" w:fill="FFFFFF"/>
        </w:rPr>
        <w:t>C(</w:t>
      </w:r>
      <w:proofErr w:type="gramEnd"/>
      <w:r w:rsidRPr="002753F3">
        <w:rPr>
          <w:shd w:val="clear" w:color="auto" w:fill="FFFFFF"/>
        </w:rPr>
        <w:t xml:space="preserve">1) of the </w:t>
      </w:r>
      <w:r w:rsidRPr="002753F3">
        <w:rPr>
          <w:i/>
          <w:shd w:val="clear" w:color="auto" w:fill="FFFFFF"/>
        </w:rPr>
        <w:t>Health Insurance Act 1973</w:t>
      </w:r>
      <w:r w:rsidRPr="002753F3">
        <w:rPr>
          <w:shd w:val="clear" w:color="auto" w:fill="FFFFFF"/>
        </w:rPr>
        <w:t xml:space="preserve"> (the Act) </w:t>
      </w:r>
      <w:r w:rsidR="00477C74" w:rsidRPr="002753F3">
        <w:rPr>
          <w:shd w:val="clear" w:color="auto" w:fill="FFFFFF"/>
        </w:rPr>
        <w:t>provide</w:t>
      </w:r>
      <w:r w:rsidR="002E5708" w:rsidRPr="002753F3">
        <w:rPr>
          <w:shd w:val="clear" w:color="auto" w:fill="FFFFFF"/>
        </w:rPr>
        <w:t>s</w:t>
      </w:r>
      <w:r w:rsidR="00477C74" w:rsidRPr="002753F3">
        <w:rPr>
          <w:shd w:val="clear" w:color="auto" w:fill="FFFFFF"/>
        </w:rPr>
        <w:t xml:space="preserve"> that</w:t>
      </w:r>
      <w:r w:rsidRPr="002753F3">
        <w:rPr>
          <w:shd w:val="clear" w:color="auto" w:fill="FFFFFF"/>
        </w:rPr>
        <w:t xml:space="preserve"> the Minister </w:t>
      </w:r>
      <w:r w:rsidR="00477C74" w:rsidRPr="002753F3">
        <w:rPr>
          <w:shd w:val="clear" w:color="auto" w:fill="FFFFFF"/>
        </w:rPr>
        <w:t>may</w:t>
      </w:r>
      <w:r w:rsidRPr="002753F3">
        <w:rPr>
          <w:shd w:val="clear" w:color="auto" w:fill="FFFFFF"/>
        </w:rPr>
        <w:t xml:space="preserve">, by legislative instrument, determine that a health service not specified in an item in the </w:t>
      </w:r>
      <w:r w:rsidR="00825D52" w:rsidRPr="002753F3">
        <w:rPr>
          <w:iCs/>
        </w:rPr>
        <w:t>general</w:t>
      </w:r>
      <w:r w:rsidR="00825D52" w:rsidRPr="002753F3">
        <w:rPr>
          <w:shd w:val="clear" w:color="auto" w:fill="FFFFFF"/>
        </w:rPr>
        <w:t xml:space="preserve"> medical</w:t>
      </w:r>
      <w:r w:rsidRPr="002753F3">
        <w:rPr>
          <w:shd w:val="clear" w:color="auto" w:fill="FFFFFF"/>
        </w:rPr>
        <w:t xml:space="preserve"> services table </w:t>
      </w:r>
      <w:r w:rsidR="00D01D5A" w:rsidRPr="002753F3">
        <w:rPr>
          <w:shd w:val="clear" w:color="auto" w:fill="FFFFFF"/>
        </w:rPr>
        <w:t xml:space="preserve">(the Table) </w:t>
      </w:r>
      <w:r w:rsidRPr="002753F3">
        <w:rPr>
          <w:shd w:val="clear" w:color="auto" w:fill="FFFFFF"/>
        </w:rPr>
        <w:t xml:space="preserve">shall, in specified circumstances and for specified statutory provisions, be treated as if it were specified in the </w:t>
      </w:r>
      <w:r w:rsidR="00D01D5A" w:rsidRPr="002753F3">
        <w:rPr>
          <w:shd w:val="clear" w:color="auto" w:fill="FFFFFF"/>
        </w:rPr>
        <w:t xml:space="preserve">Table. </w:t>
      </w:r>
    </w:p>
    <w:p w14:paraId="7DB18649" w14:textId="27B4F6FF" w:rsidR="00841EDA" w:rsidRPr="002753F3" w:rsidRDefault="00164A69" w:rsidP="00F75B7B">
      <w:pPr>
        <w:shd w:val="clear" w:color="auto" w:fill="FFFFFF"/>
        <w:rPr>
          <w:shd w:val="clear" w:color="auto" w:fill="FFFFFF"/>
        </w:rPr>
      </w:pPr>
      <w:r w:rsidRPr="002753F3">
        <w:rPr>
          <w:shd w:val="clear" w:color="auto" w:fill="FFFFFF"/>
        </w:rPr>
        <w:t xml:space="preserve"> </w:t>
      </w:r>
    </w:p>
    <w:p w14:paraId="0CD04EE8" w14:textId="047B4B17" w:rsidR="00050623" w:rsidRPr="002753F3" w:rsidRDefault="00050623" w:rsidP="00F75B7B">
      <w:pPr>
        <w:shd w:val="clear" w:color="auto" w:fill="FFFFFF"/>
      </w:pPr>
      <w:r w:rsidRPr="002753F3">
        <w:t xml:space="preserve">The </w:t>
      </w:r>
      <w:r w:rsidR="00D01D5A" w:rsidRPr="002753F3">
        <w:t>Table</w:t>
      </w:r>
      <w:r w:rsidRPr="002753F3">
        <w:t xml:space="preserve"> is set out in the regulations made under subsection 4</w:t>
      </w:r>
      <w:r w:rsidR="00825D52" w:rsidRPr="002753F3">
        <w:t>(1)</w:t>
      </w:r>
      <w:r w:rsidRPr="002753F3">
        <w:t xml:space="preserve"> of the Act. The most </w:t>
      </w:r>
      <w:r w:rsidRPr="002753F3">
        <w:rPr>
          <w:iCs/>
        </w:rPr>
        <w:t>recent</w:t>
      </w:r>
      <w:r w:rsidRPr="002753F3">
        <w:t xml:space="preserve"> </w:t>
      </w:r>
      <w:r w:rsidRPr="002753F3">
        <w:rPr>
          <w:shd w:val="clear" w:color="auto" w:fill="FFFFFF"/>
        </w:rPr>
        <w:t>version</w:t>
      </w:r>
      <w:r w:rsidRPr="002753F3">
        <w:t xml:space="preserve"> of the regulations is the </w:t>
      </w:r>
      <w:r w:rsidR="00825D52" w:rsidRPr="002753F3">
        <w:rPr>
          <w:i/>
          <w:iCs/>
        </w:rPr>
        <w:t>Health Insurance (General Medical Services Table) Regulations 2021</w:t>
      </w:r>
      <w:r w:rsidR="00D01D5A" w:rsidRPr="002753F3">
        <w:t>.</w:t>
      </w:r>
      <w:r w:rsidRPr="002753F3">
        <w:t xml:space="preserve"> </w:t>
      </w:r>
    </w:p>
    <w:p w14:paraId="2E6FE463" w14:textId="77777777" w:rsidR="00050623" w:rsidRPr="002753F3" w:rsidRDefault="00050623"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p>
    <w:p w14:paraId="15997618" w14:textId="77777777" w:rsidR="00050623" w:rsidRPr="002753F3" w:rsidRDefault="00050623" w:rsidP="00F75B7B">
      <w:pPr>
        <w:shd w:val="clear" w:color="auto" w:fill="FFFFFF"/>
      </w:pPr>
      <w:r w:rsidRPr="002753F3">
        <w:t xml:space="preserve">This instrument relies on subsection 33(3) of the </w:t>
      </w:r>
      <w:r w:rsidRPr="002753F3">
        <w:rPr>
          <w:i/>
        </w:rPr>
        <w:t>Acts Interpretation Act 1901</w:t>
      </w:r>
      <w:r w:rsidRPr="002753F3">
        <w:t xml:space="preserve"> (AIA).  Subsection 33(3) of the AIA</w:t>
      </w:r>
      <w:r w:rsidRPr="002753F3">
        <w:rPr>
          <w:i/>
        </w:rPr>
        <w:t xml:space="preserve"> </w:t>
      </w:r>
      <w:r w:rsidRPr="002753F3">
        <w:t xml:space="preserve">provides that where an Act confers a power to make, grant or issue any instrument </w:t>
      </w:r>
      <w:r w:rsidRPr="002753F3">
        <w:rPr>
          <w:iCs/>
        </w:rPr>
        <w:t>of</w:t>
      </w:r>
      <w:r w:rsidRPr="002753F3">
        <w:t xml:space="preserve"> a legislative or administrative character (including rules, </w:t>
      </w:r>
      <w:proofErr w:type="gramStart"/>
      <w:r w:rsidRPr="002753F3">
        <w:t>regulations</w:t>
      </w:r>
      <w:proofErr w:type="gramEnd"/>
      <w:r w:rsidRPr="002753F3">
        <w:t xml:space="preserve"> or by-laws), the power shall be construed as including a power exercisable in the like manner and subject to the like conditions (if any) to repeal, rescind, revoke, amend, or vary any such instrument.</w:t>
      </w:r>
    </w:p>
    <w:p w14:paraId="2412D129" w14:textId="2D4AC742" w:rsidR="008C5F1C" w:rsidRPr="002753F3" w:rsidRDefault="008C5F1C" w:rsidP="00D33180">
      <w:pPr>
        <w:autoSpaceDE w:val="0"/>
        <w:autoSpaceDN w:val="0"/>
        <w:adjustRightInd w:val="0"/>
        <w:ind w:right="-483"/>
        <w:rPr>
          <w:szCs w:val="24"/>
        </w:rPr>
      </w:pPr>
    </w:p>
    <w:p w14:paraId="2412D12A" w14:textId="77777777" w:rsidR="00BB00BA" w:rsidRPr="002753F3" w:rsidRDefault="00A1739A" w:rsidP="00BB00BA">
      <w:pPr>
        <w:rPr>
          <w:b/>
          <w:szCs w:val="24"/>
          <w:lang w:val="en-US" w:eastAsia="en-US"/>
        </w:rPr>
      </w:pPr>
      <w:r w:rsidRPr="002753F3">
        <w:rPr>
          <w:b/>
          <w:szCs w:val="24"/>
          <w:lang w:val="en-US" w:eastAsia="en-US"/>
        </w:rPr>
        <w:t>Purpose</w:t>
      </w:r>
    </w:p>
    <w:p w14:paraId="519E9A81" w14:textId="1FC5A85A" w:rsidR="007708B3" w:rsidRPr="002753F3" w:rsidRDefault="00825D52" w:rsidP="00F75B7B">
      <w:pPr>
        <w:shd w:val="clear" w:color="auto" w:fill="FFFFFF"/>
      </w:pPr>
      <w:r w:rsidRPr="002753F3">
        <w:rPr>
          <w:szCs w:val="24"/>
        </w:rPr>
        <w:t xml:space="preserve">The </w:t>
      </w:r>
      <w:r w:rsidRPr="002753F3">
        <w:t>purpose</w:t>
      </w:r>
      <w:r w:rsidRPr="002753F3">
        <w:rPr>
          <w:szCs w:val="24"/>
        </w:rPr>
        <w:t xml:space="preserve"> of the </w:t>
      </w:r>
      <w:r w:rsidR="00D471DD" w:rsidRPr="002753F3">
        <w:rPr>
          <w:i/>
          <w:iCs/>
        </w:rPr>
        <w:t>Health Insurance Amendment (Mental Health Case Conferencing Services and Indexation) Determination 2023</w:t>
      </w:r>
      <w:r w:rsidRPr="002753F3">
        <w:t xml:space="preserve"> (the Determination) is to amend the </w:t>
      </w:r>
      <w:r w:rsidRPr="002753F3">
        <w:rPr>
          <w:i/>
          <w:iCs/>
        </w:rPr>
        <w:t>Health Insurance (Allied Health Services) Determination 2014</w:t>
      </w:r>
      <w:r w:rsidRPr="002753F3">
        <w:t xml:space="preserve"> (the AHS Determination) and the </w:t>
      </w:r>
      <w:r w:rsidRPr="002753F3">
        <w:rPr>
          <w:i/>
          <w:iCs/>
        </w:rPr>
        <w:t>Health Insurance (Section 3C General Medical Services – Other Medical Practitioner) Determination 2018</w:t>
      </w:r>
      <w:r w:rsidRPr="002753F3">
        <w:t xml:space="preserve"> (the OMP Determination) to:</w:t>
      </w:r>
    </w:p>
    <w:p w14:paraId="3B4C940B" w14:textId="19A96DA1" w:rsidR="00825D52" w:rsidRPr="002753F3" w:rsidRDefault="00825D52" w:rsidP="00825D52">
      <w:pPr>
        <w:pStyle w:val="ListParagraph"/>
        <w:numPr>
          <w:ilvl w:val="0"/>
          <w:numId w:val="33"/>
        </w:numPr>
        <w:shd w:val="clear" w:color="auto" w:fill="FFFFFF"/>
        <w:rPr>
          <w:szCs w:val="24"/>
        </w:rPr>
      </w:pPr>
      <w:r w:rsidRPr="002753F3">
        <w:rPr>
          <w:szCs w:val="24"/>
        </w:rPr>
        <w:t xml:space="preserve">apply annual </w:t>
      </w:r>
      <w:r w:rsidR="00AD521F" w:rsidRPr="002753F3">
        <w:rPr>
          <w:color w:val="000000"/>
          <w:shd w:val="clear" w:color="auto" w:fill="FFFFFF"/>
        </w:rPr>
        <w:t xml:space="preserve">fee indexation by increasing the schedule fees </w:t>
      </w:r>
      <w:r w:rsidR="00AD521F" w:rsidRPr="002753F3">
        <w:t>of the Medicare Benefits Schedule (MBS) items listed in these principal determinations</w:t>
      </w:r>
      <w:r w:rsidR="002248A2" w:rsidRPr="002753F3">
        <w:t xml:space="preserve"> by 3.6 per </w:t>
      </w:r>
      <w:proofErr w:type="gramStart"/>
      <w:r w:rsidR="002248A2" w:rsidRPr="002753F3">
        <w:t>cent</w:t>
      </w:r>
      <w:r w:rsidRPr="002753F3">
        <w:rPr>
          <w:szCs w:val="24"/>
        </w:rPr>
        <w:t>;</w:t>
      </w:r>
      <w:proofErr w:type="gramEnd"/>
    </w:p>
    <w:p w14:paraId="1EB8D676" w14:textId="24CBAFFC" w:rsidR="00825D52" w:rsidRPr="002753F3" w:rsidRDefault="00825D52" w:rsidP="00825D52">
      <w:pPr>
        <w:pStyle w:val="ListParagraph"/>
        <w:numPr>
          <w:ilvl w:val="0"/>
          <w:numId w:val="33"/>
        </w:numPr>
        <w:shd w:val="clear" w:color="auto" w:fill="FFFFFF"/>
        <w:rPr>
          <w:szCs w:val="24"/>
        </w:rPr>
      </w:pPr>
      <w:r w:rsidRPr="002753F3">
        <w:rPr>
          <w:szCs w:val="24"/>
        </w:rPr>
        <w:t xml:space="preserve">introduce </w:t>
      </w:r>
      <w:r w:rsidR="002248A2" w:rsidRPr="002753F3">
        <w:rPr>
          <w:szCs w:val="24"/>
        </w:rPr>
        <w:t>nine</w:t>
      </w:r>
      <w:r w:rsidRPr="002753F3">
        <w:rPr>
          <w:szCs w:val="24"/>
        </w:rPr>
        <w:t xml:space="preserve"> items to </w:t>
      </w:r>
      <w:r w:rsidRPr="002753F3">
        <w:t xml:space="preserve">enable case conferencing for patients being treated under the </w:t>
      </w:r>
      <w:r w:rsidRPr="002753F3">
        <w:rPr>
          <w:i/>
          <w:iCs/>
        </w:rPr>
        <w:t xml:space="preserve">Better Access to Psychiatrists, Psychologists and General Practitioners through the MBS </w:t>
      </w:r>
      <w:r w:rsidRPr="002753F3">
        <w:t>(Better Access) initiative or an eating disorder treatment and management plan</w:t>
      </w:r>
      <w:r w:rsidR="00D03249" w:rsidRPr="002753F3">
        <w:t>; and</w:t>
      </w:r>
    </w:p>
    <w:p w14:paraId="352B1FE7" w14:textId="15711772" w:rsidR="00D03249" w:rsidRPr="002753F3" w:rsidRDefault="00D03249" w:rsidP="00825D52">
      <w:pPr>
        <w:pStyle w:val="ListParagraph"/>
        <w:numPr>
          <w:ilvl w:val="0"/>
          <w:numId w:val="33"/>
        </w:numPr>
        <w:shd w:val="clear" w:color="auto" w:fill="FFFFFF"/>
        <w:rPr>
          <w:szCs w:val="24"/>
        </w:rPr>
      </w:pPr>
      <w:r w:rsidRPr="002753F3">
        <w:rPr>
          <w:szCs w:val="24"/>
        </w:rPr>
        <w:t xml:space="preserve">allow patients </w:t>
      </w:r>
      <w:r w:rsidRPr="002753F3">
        <w:t>being treated under the Better Access initiative or an eating disorder treatment and management plan</w:t>
      </w:r>
      <w:r w:rsidRPr="002753F3">
        <w:rPr>
          <w:szCs w:val="24"/>
        </w:rPr>
        <w:t xml:space="preserve"> to access services for the creation and review of team care arrangements by </w:t>
      </w:r>
      <w:r w:rsidRPr="002753F3">
        <w:t>other medical practitioners.</w:t>
      </w:r>
    </w:p>
    <w:p w14:paraId="3DBCD545" w14:textId="4EEBF172" w:rsidR="00AD521F" w:rsidRPr="002753F3" w:rsidRDefault="00AD521F" w:rsidP="00AD521F">
      <w:pPr>
        <w:shd w:val="clear" w:color="auto" w:fill="FFFFFF"/>
        <w:rPr>
          <w:szCs w:val="24"/>
        </w:rPr>
      </w:pPr>
    </w:p>
    <w:p w14:paraId="4C9A8BC3" w14:textId="5508254D" w:rsidR="00AD521F" w:rsidRPr="002753F3" w:rsidRDefault="002248A2" w:rsidP="00F75B7B">
      <w:pPr>
        <w:shd w:val="clear" w:color="auto" w:fill="FFFFFF"/>
      </w:pPr>
      <w:r w:rsidRPr="002753F3">
        <w:t xml:space="preserve">The increase of the schedule fees for items in the AHS Determination and OMP Determination reflects the Australian Government’s policy regarding Medicare indexation and means </w:t>
      </w:r>
      <w:r w:rsidRPr="002753F3">
        <w:rPr>
          <w:iCs/>
        </w:rPr>
        <w:t>that</w:t>
      </w:r>
      <w:r w:rsidRPr="002753F3">
        <w:t xml:space="preserve"> patients will receive an increased Medicare benefit for these services.</w:t>
      </w:r>
    </w:p>
    <w:p w14:paraId="4E235FD0" w14:textId="3E1F9F2E" w:rsidR="002248A2" w:rsidRPr="002753F3" w:rsidRDefault="002248A2" w:rsidP="00AD521F">
      <w:pPr>
        <w:shd w:val="clear" w:color="auto" w:fill="FFFFFF"/>
      </w:pPr>
    </w:p>
    <w:p w14:paraId="5E2A81C6" w14:textId="32AD4CB7" w:rsidR="002248A2" w:rsidRPr="002753F3" w:rsidRDefault="002248A2" w:rsidP="00F75B7B">
      <w:pPr>
        <w:shd w:val="clear" w:color="auto" w:fill="FFFFFF"/>
      </w:pPr>
      <w:r w:rsidRPr="002753F3">
        <w:t xml:space="preserve">The new </w:t>
      </w:r>
      <w:r w:rsidR="00D03249" w:rsidRPr="002753F3">
        <w:t xml:space="preserve">mental health </w:t>
      </w:r>
      <w:r w:rsidRPr="002753F3">
        <w:t xml:space="preserve">case conferencing </w:t>
      </w:r>
      <w:r w:rsidR="00B3299C" w:rsidRPr="002753F3">
        <w:t>item</w:t>
      </w:r>
      <w:r w:rsidRPr="002753F3">
        <w:t>s</w:t>
      </w:r>
      <w:r w:rsidR="00D03249" w:rsidRPr="002753F3">
        <w:t xml:space="preserve">, and the changes to allow patients being treated under the Better Access initiative or an eating disorder treatment and management plan to access services for the creation and review of team care </w:t>
      </w:r>
      <w:r w:rsidR="00D03249" w:rsidRPr="002753F3">
        <w:lastRenderedPageBreak/>
        <w:t>arrangements,</w:t>
      </w:r>
      <w:r w:rsidRPr="002753F3">
        <w:t xml:space="preserve"> w</w:t>
      </w:r>
      <w:r w:rsidR="00B3299C" w:rsidRPr="002753F3">
        <w:t>ere</w:t>
      </w:r>
      <w:r w:rsidRPr="002753F3">
        <w:t xml:space="preserve"> announced in the 2022-23 March Budget under the</w:t>
      </w:r>
      <w:r w:rsidRPr="002753F3">
        <w:rPr>
          <w:bCs/>
        </w:rPr>
        <w:t xml:space="preserve"> </w:t>
      </w:r>
      <w:r w:rsidRPr="002753F3">
        <w:rPr>
          <w:bCs/>
          <w:i/>
          <w:iCs/>
        </w:rPr>
        <w:t>Prioritising Mental Health</w:t>
      </w:r>
      <w:r w:rsidRPr="002753F3">
        <w:rPr>
          <w:bCs/>
        </w:rPr>
        <w:t xml:space="preserve"> measure.</w:t>
      </w:r>
    </w:p>
    <w:p w14:paraId="48E08F90" w14:textId="0AE19B13" w:rsidR="002248A2" w:rsidRPr="002753F3" w:rsidRDefault="002248A2" w:rsidP="00AD521F">
      <w:pPr>
        <w:shd w:val="clear" w:color="auto" w:fill="FFFFFF"/>
      </w:pPr>
    </w:p>
    <w:p w14:paraId="0C06ED24" w14:textId="00C42B44" w:rsidR="002248A2" w:rsidRPr="002753F3" w:rsidRDefault="002248A2" w:rsidP="00AD521F">
      <w:pPr>
        <w:shd w:val="clear" w:color="auto" w:fill="FFFFFF"/>
      </w:pPr>
      <w:r w:rsidRPr="002753F3">
        <w:rPr>
          <w:b/>
        </w:rPr>
        <w:t>Consultation</w:t>
      </w:r>
    </w:p>
    <w:p w14:paraId="7CFBB000" w14:textId="7B27FEC8" w:rsidR="00320769" w:rsidRPr="002753F3" w:rsidRDefault="002248A2" w:rsidP="00F75B7B">
      <w:pPr>
        <w:shd w:val="clear" w:color="auto" w:fill="FFFFFF"/>
        <w:rPr>
          <w:color w:val="000000"/>
          <w:shd w:val="clear" w:color="auto" w:fill="FFFFFF"/>
        </w:rPr>
      </w:pPr>
      <w:r w:rsidRPr="002753F3">
        <w:rPr>
          <w:color w:val="000000"/>
          <w:shd w:val="clear" w:color="auto" w:fill="FFFFFF"/>
        </w:rPr>
        <w:t xml:space="preserve">No consultation was undertaken regarding annual indexation, as these changes continue </w:t>
      </w:r>
      <w:r w:rsidRPr="002753F3">
        <w:t>business</w:t>
      </w:r>
      <w:r w:rsidRPr="002753F3">
        <w:rPr>
          <w:color w:val="000000"/>
          <w:shd w:val="clear" w:color="auto" w:fill="FFFFFF"/>
        </w:rPr>
        <w:t>-as-usual implementation of the Government’s policy on Medicare indexation, which is expected by stakeholders to be applied on 1 July of each year.</w:t>
      </w:r>
    </w:p>
    <w:p w14:paraId="3AFF0816" w14:textId="77777777" w:rsidR="00F75B7B" w:rsidRPr="002753F3" w:rsidRDefault="00F75B7B" w:rsidP="00F75B7B">
      <w:pPr>
        <w:pStyle w:val="Header"/>
        <w:tabs>
          <w:tab w:val="num" w:pos="1080"/>
        </w:tabs>
        <w:rPr>
          <w:bCs/>
          <w:szCs w:val="24"/>
        </w:rPr>
      </w:pPr>
      <w:bookmarkStart w:id="0" w:name="_Hlk128490427"/>
    </w:p>
    <w:p w14:paraId="08962717" w14:textId="7373C2A4" w:rsidR="00D03249" w:rsidRPr="002753F3" w:rsidRDefault="00D03249" w:rsidP="00F75B7B">
      <w:pPr>
        <w:pStyle w:val="Header"/>
        <w:tabs>
          <w:tab w:val="num" w:pos="1080"/>
        </w:tabs>
        <w:rPr>
          <w:bCs/>
          <w:szCs w:val="24"/>
        </w:rPr>
      </w:pPr>
      <w:r w:rsidRPr="002753F3">
        <w:rPr>
          <w:bCs/>
          <w:szCs w:val="24"/>
        </w:rPr>
        <w:t xml:space="preserve">Representatives from the below organisations, as well as consumer and carer </w:t>
      </w:r>
      <w:r w:rsidRPr="002753F3">
        <w:rPr>
          <w:color w:val="000000"/>
          <w:shd w:val="clear" w:color="auto" w:fill="FFFFFF"/>
        </w:rPr>
        <w:t>representatives</w:t>
      </w:r>
      <w:r w:rsidRPr="002753F3">
        <w:rPr>
          <w:bCs/>
          <w:szCs w:val="24"/>
        </w:rPr>
        <w:t>, were given the opportunity to comment on the MBS changes related to mental health case conferences and team care arrangements:</w:t>
      </w:r>
    </w:p>
    <w:p w14:paraId="03664406" w14:textId="77777777" w:rsidR="00D03249" w:rsidRPr="002753F3" w:rsidRDefault="00D03249" w:rsidP="00D03249">
      <w:pPr>
        <w:pStyle w:val="ListParagraph"/>
        <w:numPr>
          <w:ilvl w:val="0"/>
          <w:numId w:val="41"/>
        </w:numPr>
        <w:spacing w:after="200" w:line="276" w:lineRule="auto"/>
        <w:rPr>
          <w:bCs/>
          <w:iCs/>
          <w:szCs w:val="24"/>
        </w:rPr>
      </w:pPr>
      <w:r w:rsidRPr="002753F3">
        <w:rPr>
          <w:bCs/>
          <w:iCs/>
          <w:szCs w:val="24"/>
        </w:rPr>
        <w:t>Royal Australian College of General Practitioners (RACGP):</w:t>
      </w:r>
    </w:p>
    <w:p w14:paraId="054C432B" w14:textId="77777777" w:rsidR="00D03249" w:rsidRPr="002753F3" w:rsidRDefault="00D03249" w:rsidP="00D03249">
      <w:pPr>
        <w:pStyle w:val="ListParagraph"/>
        <w:numPr>
          <w:ilvl w:val="0"/>
          <w:numId w:val="41"/>
        </w:numPr>
        <w:rPr>
          <w:bCs/>
          <w:iCs/>
          <w:szCs w:val="24"/>
        </w:rPr>
      </w:pPr>
      <w:r w:rsidRPr="002753F3">
        <w:rPr>
          <w:bCs/>
          <w:iCs/>
          <w:szCs w:val="24"/>
        </w:rPr>
        <w:t>Australian Medical Association (AMA</w:t>
      </w:r>
      <w:proofErr w:type="gramStart"/>
      <w:r w:rsidRPr="002753F3">
        <w:rPr>
          <w:bCs/>
          <w:iCs/>
          <w:szCs w:val="24"/>
        </w:rPr>
        <w:t>);</w:t>
      </w:r>
      <w:proofErr w:type="gramEnd"/>
    </w:p>
    <w:p w14:paraId="59B989CF" w14:textId="77777777" w:rsidR="00D03249" w:rsidRPr="002753F3" w:rsidRDefault="00D03249" w:rsidP="00D03249">
      <w:pPr>
        <w:pStyle w:val="ListParagraph"/>
        <w:numPr>
          <w:ilvl w:val="0"/>
          <w:numId w:val="41"/>
        </w:numPr>
        <w:rPr>
          <w:bCs/>
          <w:iCs/>
          <w:szCs w:val="24"/>
        </w:rPr>
      </w:pPr>
      <w:r w:rsidRPr="002753F3">
        <w:rPr>
          <w:bCs/>
          <w:iCs/>
          <w:szCs w:val="24"/>
        </w:rPr>
        <w:t>Australian College of Rural and Remote Medicine (ACRRM)</w:t>
      </w:r>
    </w:p>
    <w:p w14:paraId="3DE8A516" w14:textId="77777777" w:rsidR="00D03249" w:rsidRPr="002753F3" w:rsidRDefault="00D03249" w:rsidP="00D03249">
      <w:pPr>
        <w:pStyle w:val="ListParagraph"/>
        <w:numPr>
          <w:ilvl w:val="0"/>
          <w:numId w:val="41"/>
        </w:numPr>
        <w:rPr>
          <w:bCs/>
          <w:iCs/>
          <w:szCs w:val="24"/>
        </w:rPr>
      </w:pPr>
      <w:r w:rsidRPr="002753F3">
        <w:rPr>
          <w:bCs/>
          <w:iCs/>
          <w:szCs w:val="24"/>
        </w:rPr>
        <w:t>Royal Australian and New Zealand College of Psychiatrists (RANZCP</w:t>
      </w:r>
      <w:proofErr w:type="gramStart"/>
      <w:r w:rsidRPr="002753F3">
        <w:rPr>
          <w:bCs/>
          <w:iCs/>
          <w:szCs w:val="24"/>
        </w:rPr>
        <w:t>);</w:t>
      </w:r>
      <w:proofErr w:type="gramEnd"/>
    </w:p>
    <w:p w14:paraId="2112237F" w14:textId="77777777" w:rsidR="00D03249" w:rsidRPr="002753F3" w:rsidRDefault="00D03249" w:rsidP="00D03249">
      <w:pPr>
        <w:pStyle w:val="ListParagraph"/>
        <w:numPr>
          <w:ilvl w:val="0"/>
          <w:numId w:val="41"/>
        </w:numPr>
        <w:spacing w:after="200" w:line="276" w:lineRule="auto"/>
        <w:rPr>
          <w:bCs/>
          <w:iCs/>
          <w:szCs w:val="24"/>
        </w:rPr>
      </w:pPr>
      <w:r w:rsidRPr="002753F3">
        <w:rPr>
          <w:bCs/>
          <w:iCs/>
          <w:szCs w:val="24"/>
        </w:rPr>
        <w:t>Australian Psychological Society (APS</w:t>
      </w:r>
      <w:proofErr w:type="gramStart"/>
      <w:r w:rsidRPr="002753F3">
        <w:rPr>
          <w:bCs/>
          <w:iCs/>
          <w:szCs w:val="24"/>
        </w:rPr>
        <w:t>);</w:t>
      </w:r>
      <w:proofErr w:type="gramEnd"/>
    </w:p>
    <w:p w14:paraId="4FE88532" w14:textId="77777777" w:rsidR="00D03249" w:rsidRPr="002753F3" w:rsidRDefault="00D03249" w:rsidP="00D03249">
      <w:pPr>
        <w:pStyle w:val="ListParagraph"/>
        <w:numPr>
          <w:ilvl w:val="0"/>
          <w:numId w:val="41"/>
        </w:numPr>
        <w:spacing w:after="200" w:line="276" w:lineRule="auto"/>
        <w:rPr>
          <w:bCs/>
          <w:iCs/>
          <w:szCs w:val="24"/>
        </w:rPr>
      </w:pPr>
      <w:r w:rsidRPr="002753F3">
        <w:rPr>
          <w:bCs/>
          <w:iCs/>
          <w:szCs w:val="24"/>
        </w:rPr>
        <w:t>Australian Clinical Psychology Association (ACPA</w:t>
      </w:r>
      <w:proofErr w:type="gramStart"/>
      <w:r w:rsidRPr="002753F3">
        <w:rPr>
          <w:bCs/>
          <w:iCs/>
          <w:szCs w:val="24"/>
        </w:rPr>
        <w:t>);</w:t>
      </w:r>
      <w:proofErr w:type="gramEnd"/>
    </w:p>
    <w:p w14:paraId="264AA2A3" w14:textId="77777777" w:rsidR="00D03249" w:rsidRPr="002753F3" w:rsidRDefault="00D03249" w:rsidP="00D03249">
      <w:pPr>
        <w:pStyle w:val="ListParagraph"/>
        <w:numPr>
          <w:ilvl w:val="0"/>
          <w:numId w:val="41"/>
        </w:numPr>
        <w:spacing w:after="200" w:line="276" w:lineRule="auto"/>
        <w:rPr>
          <w:bCs/>
          <w:iCs/>
          <w:szCs w:val="24"/>
        </w:rPr>
      </w:pPr>
      <w:r w:rsidRPr="002753F3">
        <w:rPr>
          <w:bCs/>
          <w:iCs/>
          <w:szCs w:val="24"/>
        </w:rPr>
        <w:t>Australian Association of Psychologists Inc (</w:t>
      </w:r>
      <w:proofErr w:type="spellStart"/>
      <w:r w:rsidRPr="002753F3">
        <w:rPr>
          <w:bCs/>
          <w:iCs/>
          <w:szCs w:val="24"/>
        </w:rPr>
        <w:t>AAPi</w:t>
      </w:r>
      <w:proofErr w:type="spellEnd"/>
      <w:proofErr w:type="gramStart"/>
      <w:r w:rsidRPr="002753F3">
        <w:rPr>
          <w:bCs/>
          <w:iCs/>
          <w:szCs w:val="24"/>
        </w:rPr>
        <w:t>);</w:t>
      </w:r>
      <w:proofErr w:type="gramEnd"/>
    </w:p>
    <w:p w14:paraId="184E0808" w14:textId="77777777" w:rsidR="00D03249" w:rsidRPr="002753F3" w:rsidRDefault="00D03249" w:rsidP="00D03249">
      <w:pPr>
        <w:pStyle w:val="ListParagraph"/>
        <w:numPr>
          <w:ilvl w:val="0"/>
          <w:numId w:val="41"/>
        </w:numPr>
        <w:rPr>
          <w:bCs/>
          <w:iCs/>
          <w:szCs w:val="24"/>
        </w:rPr>
      </w:pPr>
      <w:r w:rsidRPr="002753F3">
        <w:rPr>
          <w:bCs/>
          <w:iCs/>
          <w:szCs w:val="24"/>
        </w:rPr>
        <w:t>Australian Association of Social Workers (AASW</w:t>
      </w:r>
      <w:proofErr w:type="gramStart"/>
      <w:r w:rsidRPr="002753F3">
        <w:rPr>
          <w:bCs/>
          <w:iCs/>
          <w:szCs w:val="24"/>
        </w:rPr>
        <w:t>);</w:t>
      </w:r>
      <w:proofErr w:type="gramEnd"/>
    </w:p>
    <w:p w14:paraId="0496D2F5" w14:textId="77777777" w:rsidR="00D03249" w:rsidRPr="002753F3" w:rsidRDefault="00D03249" w:rsidP="00D03249">
      <w:pPr>
        <w:pStyle w:val="ListParagraph"/>
        <w:numPr>
          <w:ilvl w:val="0"/>
          <w:numId w:val="41"/>
        </w:numPr>
        <w:rPr>
          <w:bCs/>
          <w:iCs/>
          <w:szCs w:val="24"/>
        </w:rPr>
      </w:pPr>
      <w:r w:rsidRPr="002753F3">
        <w:rPr>
          <w:bCs/>
          <w:iCs/>
          <w:szCs w:val="24"/>
        </w:rPr>
        <w:t>Occupational Therapy Australia (OTA</w:t>
      </w:r>
      <w:proofErr w:type="gramStart"/>
      <w:r w:rsidRPr="002753F3">
        <w:rPr>
          <w:bCs/>
          <w:iCs/>
          <w:szCs w:val="24"/>
        </w:rPr>
        <w:t>);</w:t>
      </w:r>
      <w:proofErr w:type="gramEnd"/>
    </w:p>
    <w:p w14:paraId="2927AF63" w14:textId="77777777" w:rsidR="00D03249" w:rsidRPr="002753F3" w:rsidRDefault="00D03249" w:rsidP="00D03249">
      <w:pPr>
        <w:pStyle w:val="ListParagraph"/>
        <w:numPr>
          <w:ilvl w:val="0"/>
          <w:numId w:val="41"/>
        </w:numPr>
        <w:rPr>
          <w:bCs/>
          <w:iCs/>
          <w:szCs w:val="24"/>
        </w:rPr>
      </w:pPr>
      <w:r w:rsidRPr="002753F3">
        <w:rPr>
          <w:bCs/>
          <w:iCs/>
          <w:szCs w:val="24"/>
        </w:rPr>
        <w:t xml:space="preserve">headspace </w:t>
      </w:r>
      <w:proofErr w:type="gramStart"/>
      <w:r w:rsidRPr="002753F3">
        <w:rPr>
          <w:bCs/>
          <w:iCs/>
          <w:szCs w:val="24"/>
        </w:rPr>
        <w:t>National;</w:t>
      </w:r>
      <w:proofErr w:type="gramEnd"/>
    </w:p>
    <w:p w14:paraId="72802D26" w14:textId="77777777" w:rsidR="00D03249" w:rsidRPr="002753F3" w:rsidRDefault="00D03249" w:rsidP="00D03249">
      <w:pPr>
        <w:pStyle w:val="ListParagraph"/>
        <w:numPr>
          <w:ilvl w:val="0"/>
          <w:numId w:val="41"/>
        </w:numPr>
        <w:rPr>
          <w:bCs/>
          <w:iCs/>
          <w:szCs w:val="24"/>
        </w:rPr>
      </w:pPr>
      <w:r w:rsidRPr="002753F3">
        <w:rPr>
          <w:bCs/>
          <w:iCs/>
          <w:szCs w:val="24"/>
        </w:rPr>
        <w:t xml:space="preserve">Emerging </w:t>
      </w:r>
      <w:proofErr w:type="gramStart"/>
      <w:r w:rsidRPr="002753F3">
        <w:rPr>
          <w:bCs/>
          <w:iCs/>
          <w:szCs w:val="24"/>
        </w:rPr>
        <w:t>Minds;</w:t>
      </w:r>
      <w:proofErr w:type="gramEnd"/>
    </w:p>
    <w:p w14:paraId="183991C4" w14:textId="77777777" w:rsidR="00D03249" w:rsidRPr="002753F3" w:rsidRDefault="00D03249" w:rsidP="00D03249">
      <w:pPr>
        <w:pStyle w:val="ListParagraph"/>
        <w:numPr>
          <w:ilvl w:val="0"/>
          <w:numId w:val="41"/>
        </w:numPr>
        <w:rPr>
          <w:bCs/>
          <w:iCs/>
          <w:szCs w:val="24"/>
        </w:rPr>
      </w:pPr>
      <w:proofErr w:type="spellStart"/>
      <w:r w:rsidRPr="002753F3">
        <w:rPr>
          <w:bCs/>
          <w:iCs/>
          <w:szCs w:val="24"/>
        </w:rPr>
        <w:t>Gidget</w:t>
      </w:r>
      <w:proofErr w:type="spellEnd"/>
      <w:r w:rsidRPr="002753F3">
        <w:rPr>
          <w:bCs/>
          <w:iCs/>
          <w:szCs w:val="24"/>
        </w:rPr>
        <w:t xml:space="preserve"> Foundation Australia; and</w:t>
      </w:r>
    </w:p>
    <w:p w14:paraId="02264A85" w14:textId="10E765D0" w:rsidR="007708B3" w:rsidRPr="002753F3" w:rsidRDefault="00D03249" w:rsidP="00D03249">
      <w:pPr>
        <w:pStyle w:val="ListParagraph"/>
        <w:numPr>
          <w:ilvl w:val="0"/>
          <w:numId w:val="41"/>
        </w:numPr>
        <w:rPr>
          <w:bCs/>
          <w:iCs/>
          <w:szCs w:val="24"/>
        </w:rPr>
      </w:pPr>
      <w:proofErr w:type="spellStart"/>
      <w:r w:rsidRPr="002753F3">
        <w:rPr>
          <w:bCs/>
          <w:iCs/>
          <w:szCs w:val="24"/>
        </w:rPr>
        <w:t>Orygen</w:t>
      </w:r>
      <w:proofErr w:type="spellEnd"/>
      <w:r w:rsidRPr="002753F3">
        <w:rPr>
          <w:bCs/>
          <w:iCs/>
          <w:szCs w:val="24"/>
        </w:rPr>
        <w:t>.</w:t>
      </w:r>
      <w:bookmarkEnd w:id="0"/>
    </w:p>
    <w:p w14:paraId="6C278A35" w14:textId="77777777" w:rsidR="00D03249" w:rsidRPr="002753F3" w:rsidRDefault="00D03249" w:rsidP="000337CB">
      <w:pPr>
        <w:rPr>
          <w:szCs w:val="24"/>
        </w:rPr>
      </w:pPr>
    </w:p>
    <w:p w14:paraId="2412D134" w14:textId="1A40D713" w:rsidR="00967E51" w:rsidRPr="002753F3" w:rsidRDefault="00A1739A" w:rsidP="00F75B7B">
      <w:pPr>
        <w:pStyle w:val="Header"/>
        <w:tabs>
          <w:tab w:val="num" w:pos="1080"/>
        </w:tabs>
        <w:rPr>
          <w:szCs w:val="24"/>
        </w:rPr>
      </w:pPr>
      <w:r w:rsidRPr="002753F3">
        <w:rPr>
          <w:szCs w:val="24"/>
        </w:rPr>
        <w:t xml:space="preserve">Details of the </w:t>
      </w:r>
      <w:r w:rsidR="00574E71" w:rsidRPr="002753F3">
        <w:rPr>
          <w:szCs w:val="24"/>
        </w:rPr>
        <w:t>Determination</w:t>
      </w:r>
      <w:r w:rsidRPr="002753F3">
        <w:rPr>
          <w:szCs w:val="24"/>
        </w:rPr>
        <w:t xml:space="preserve"> are set out in the </w:t>
      </w:r>
      <w:r w:rsidRPr="002753F3">
        <w:rPr>
          <w:szCs w:val="24"/>
          <w:u w:val="single"/>
        </w:rPr>
        <w:t>Attachment</w:t>
      </w:r>
      <w:r w:rsidRPr="002753F3">
        <w:rPr>
          <w:szCs w:val="24"/>
        </w:rPr>
        <w:t>.</w:t>
      </w:r>
    </w:p>
    <w:p w14:paraId="4487B0E5" w14:textId="77777777" w:rsidR="00F75B7B" w:rsidRPr="002753F3" w:rsidRDefault="00F75B7B" w:rsidP="00F75B7B">
      <w:pPr>
        <w:pStyle w:val="Header"/>
        <w:tabs>
          <w:tab w:val="num" w:pos="1080"/>
        </w:tabs>
        <w:rPr>
          <w:szCs w:val="24"/>
        </w:rPr>
      </w:pPr>
    </w:p>
    <w:p w14:paraId="2412D135" w14:textId="5662150C" w:rsidR="006C138D" w:rsidRPr="002753F3" w:rsidRDefault="00825D52" w:rsidP="00F75B7B">
      <w:pPr>
        <w:pStyle w:val="Header"/>
        <w:tabs>
          <w:tab w:val="num" w:pos="1080"/>
        </w:tabs>
        <w:rPr>
          <w:szCs w:val="24"/>
        </w:rPr>
      </w:pPr>
      <w:r w:rsidRPr="002753F3">
        <w:rPr>
          <w:szCs w:val="24"/>
        </w:rPr>
        <w:t>Schedule 1 of t</w:t>
      </w:r>
      <w:r w:rsidR="00297AD0" w:rsidRPr="002753F3">
        <w:rPr>
          <w:szCs w:val="24"/>
        </w:rPr>
        <w:t xml:space="preserve">he </w:t>
      </w:r>
      <w:r w:rsidR="00967E51" w:rsidRPr="002753F3">
        <w:rPr>
          <w:szCs w:val="24"/>
        </w:rPr>
        <w:t>Determination</w:t>
      </w:r>
      <w:r w:rsidR="00297AD0" w:rsidRPr="002753F3">
        <w:rPr>
          <w:szCs w:val="24"/>
        </w:rPr>
        <w:t xml:space="preserve"> </w:t>
      </w:r>
      <w:r w:rsidR="007524B0" w:rsidRPr="002753F3">
        <w:rPr>
          <w:szCs w:val="24"/>
        </w:rPr>
        <w:t xml:space="preserve">commences </w:t>
      </w:r>
      <w:r w:rsidR="00C63FDC" w:rsidRPr="002753F3">
        <w:rPr>
          <w:szCs w:val="24"/>
        </w:rPr>
        <w:t xml:space="preserve">on </w:t>
      </w:r>
      <w:r w:rsidRPr="002753F3">
        <w:rPr>
          <w:szCs w:val="24"/>
        </w:rPr>
        <w:t>1 July 2023 and Schedule 2 commences immediately after the commencement of Schedule 1.</w:t>
      </w:r>
    </w:p>
    <w:p w14:paraId="2412D136" w14:textId="77777777" w:rsidR="00236DF2" w:rsidRPr="002753F3" w:rsidRDefault="00236DF2" w:rsidP="00574E71">
      <w:pPr>
        <w:rPr>
          <w:szCs w:val="24"/>
        </w:rPr>
      </w:pPr>
    </w:p>
    <w:p w14:paraId="2412D138" w14:textId="65B73875" w:rsidR="00574E71" w:rsidRPr="002753F3" w:rsidRDefault="0002728B" w:rsidP="00F75B7B">
      <w:pPr>
        <w:pStyle w:val="Header"/>
        <w:tabs>
          <w:tab w:val="num" w:pos="1080"/>
        </w:tabs>
        <w:rPr>
          <w:szCs w:val="24"/>
        </w:rPr>
      </w:pPr>
      <w:r w:rsidRPr="002753F3">
        <w:rPr>
          <w:szCs w:val="24"/>
        </w:rPr>
        <w:t>T</w:t>
      </w:r>
      <w:r w:rsidR="00574E71" w:rsidRPr="002753F3">
        <w:rPr>
          <w:szCs w:val="24"/>
        </w:rPr>
        <w:t xml:space="preserve">he Determination is </w:t>
      </w:r>
      <w:r w:rsidR="004417A2" w:rsidRPr="002753F3">
        <w:rPr>
          <w:szCs w:val="24"/>
        </w:rPr>
        <w:t xml:space="preserve">a </w:t>
      </w:r>
      <w:r w:rsidR="00574E71" w:rsidRPr="002753F3">
        <w:rPr>
          <w:szCs w:val="24"/>
        </w:rPr>
        <w:t xml:space="preserve">legislative instrument for the purposes of the </w:t>
      </w:r>
      <w:r w:rsidR="00574E71" w:rsidRPr="002753F3">
        <w:rPr>
          <w:i/>
        </w:rPr>
        <w:t>Legislation Act 2003</w:t>
      </w:r>
      <w:r w:rsidR="00574E71" w:rsidRPr="002753F3">
        <w:rPr>
          <w:szCs w:val="24"/>
        </w:rPr>
        <w:t>.</w:t>
      </w:r>
    </w:p>
    <w:p w14:paraId="2412D139" w14:textId="77777777" w:rsidR="00A1739A" w:rsidRPr="002753F3" w:rsidRDefault="00A1739A" w:rsidP="000337CB">
      <w:pPr>
        <w:ind w:left="6663" w:hanging="3119"/>
        <w:rPr>
          <w:szCs w:val="24"/>
        </w:rPr>
      </w:pPr>
      <w:r w:rsidRPr="002753F3">
        <w:rPr>
          <w:szCs w:val="24"/>
        </w:rPr>
        <w:t xml:space="preserve">           </w:t>
      </w:r>
    </w:p>
    <w:p w14:paraId="2412D13A" w14:textId="77777777" w:rsidR="00A1739A" w:rsidRPr="002753F3" w:rsidRDefault="00A1739A" w:rsidP="000337CB">
      <w:pPr>
        <w:ind w:left="6663" w:hanging="3119"/>
        <w:rPr>
          <w:szCs w:val="24"/>
        </w:rPr>
      </w:pPr>
      <w:r w:rsidRPr="002753F3">
        <w:rPr>
          <w:szCs w:val="24"/>
          <w:u w:val="single"/>
        </w:rPr>
        <w:t>Authority</w:t>
      </w:r>
      <w:r w:rsidR="00967E51" w:rsidRPr="002753F3">
        <w:rPr>
          <w:szCs w:val="24"/>
        </w:rPr>
        <w:t xml:space="preserve">:     Subsection </w:t>
      </w:r>
      <w:r w:rsidRPr="002753F3">
        <w:rPr>
          <w:szCs w:val="24"/>
        </w:rPr>
        <w:t>3</w:t>
      </w:r>
      <w:proofErr w:type="gramStart"/>
      <w:r w:rsidR="00967E51" w:rsidRPr="002753F3">
        <w:rPr>
          <w:szCs w:val="24"/>
        </w:rPr>
        <w:t>C</w:t>
      </w:r>
      <w:r w:rsidRPr="002753F3">
        <w:rPr>
          <w:szCs w:val="24"/>
        </w:rPr>
        <w:t>(</w:t>
      </w:r>
      <w:proofErr w:type="gramEnd"/>
      <w:r w:rsidRPr="002753F3">
        <w:rPr>
          <w:szCs w:val="24"/>
        </w:rPr>
        <w:t xml:space="preserve">1) of the </w:t>
      </w:r>
    </w:p>
    <w:p w14:paraId="2412D13B" w14:textId="0596CD30" w:rsidR="00A1739A" w:rsidRPr="002753F3" w:rsidRDefault="00A1739A" w:rsidP="000337CB">
      <w:pPr>
        <w:tabs>
          <w:tab w:val="left" w:pos="4820"/>
        </w:tabs>
        <w:rPr>
          <w:szCs w:val="24"/>
        </w:rPr>
        <w:sectPr w:rsidR="00A1739A" w:rsidRPr="002753F3" w:rsidSect="00235B6C">
          <w:headerReference w:type="default" r:id="rId11"/>
          <w:pgSz w:w="11906" w:h="16838"/>
          <w:pgMar w:top="1440" w:right="1800" w:bottom="1135" w:left="1800" w:header="708" w:footer="708" w:gutter="0"/>
          <w:pgNumType w:start="1"/>
          <w:cols w:space="708"/>
          <w:docGrid w:linePitch="360"/>
        </w:sectPr>
      </w:pPr>
      <w:r w:rsidRPr="002753F3">
        <w:rPr>
          <w:i/>
          <w:szCs w:val="24"/>
        </w:rPr>
        <w:tab/>
        <w:t>Health Insurance Act 1973</w:t>
      </w:r>
    </w:p>
    <w:p w14:paraId="2412D13D" w14:textId="77777777" w:rsidR="006D5816" w:rsidRPr="002753F3" w:rsidRDefault="006D5816" w:rsidP="000337CB">
      <w:pPr>
        <w:pStyle w:val="BodyText"/>
        <w:jc w:val="right"/>
        <w:rPr>
          <w:szCs w:val="24"/>
        </w:rPr>
      </w:pPr>
      <w:r w:rsidRPr="002753F3">
        <w:rPr>
          <w:szCs w:val="24"/>
        </w:rPr>
        <w:lastRenderedPageBreak/>
        <w:t>ATTACHMENT</w:t>
      </w:r>
    </w:p>
    <w:p w14:paraId="2412D13E" w14:textId="77777777" w:rsidR="006D5816" w:rsidRPr="002753F3" w:rsidRDefault="006D5816" w:rsidP="000337CB">
      <w:pPr>
        <w:pStyle w:val="BodyText"/>
        <w:rPr>
          <w:szCs w:val="24"/>
          <w:u w:val="single"/>
        </w:rPr>
      </w:pPr>
    </w:p>
    <w:p w14:paraId="5B0C808A" w14:textId="09CDB19F" w:rsidR="00215191" w:rsidRPr="002753F3" w:rsidRDefault="00A41364" w:rsidP="00186752">
      <w:pPr>
        <w:pStyle w:val="BodyText"/>
        <w:rPr>
          <w:i/>
          <w:iCs/>
        </w:rPr>
      </w:pPr>
      <w:r w:rsidRPr="002753F3">
        <w:rPr>
          <w:szCs w:val="24"/>
        </w:rPr>
        <w:t xml:space="preserve">Details of the </w:t>
      </w:r>
      <w:r w:rsidR="00D471DD" w:rsidRPr="002753F3">
        <w:rPr>
          <w:i/>
          <w:iCs/>
        </w:rPr>
        <w:t>Health Insurance Amendment (Mental Health Case Conferencing Services and Indexation) Determination 2023</w:t>
      </w:r>
    </w:p>
    <w:p w14:paraId="7BBEB147" w14:textId="720F9678" w:rsidR="00E70355" w:rsidRPr="002753F3" w:rsidRDefault="00E70355" w:rsidP="000337CB">
      <w:pPr>
        <w:pStyle w:val="BodyText"/>
        <w:rPr>
          <w:b w:val="0"/>
          <w:i/>
          <w:szCs w:val="24"/>
        </w:rPr>
      </w:pPr>
    </w:p>
    <w:p w14:paraId="2412D141" w14:textId="7C34D5F4" w:rsidR="00FE02C2" w:rsidRPr="002753F3" w:rsidRDefault="001B0111" w:rsidP="000337CB">
      <w:pPr>
        <w:pStyle w:val="BodyText"/>
        <w:rPr>
          <w:b w:val="0"/>
          <w:szCs w:val="24"/>
          <w:u w:val="single"/>
        </w:rPr>
      </w:pPr>
      <w:r w:rsidRPr="002753F3">
        <w:rPr>
          <w:b w:val="0"/>
          <w:szCs w:val="24"/>
          <w:u w:val="single"/>
        </w:rPr>
        <w:t>Section 1 – Name</w:t>
      </w:r>
    </w:p>
    <w:p w14:paraId="2412D142" w14:textId="77777777" w:rsidR="00FE02C2" w:rsidRPr="002753F3" w:rsidRDefault="00FE02C2" w:rsidP="000337CB">
      <w:pPr>
        <w:pStyle w:val="BodyText"/>
        <w:rPr>
          <w:b w:val="0"/>
          <w:szCs w:val="24"/>
          <w:u w:val="single"/>
        </w:rPr>
      </w:pPr>
    </w:p>
    <w:p w14:paraId="2412D144" w14:textId="109FE630" w:rsidR="00F83B6F" w:rsidRPr="002753F3" w:rsidRDefault="00BC7397" w:rsidP="00C67BC7">
      <w:pPr>
        <w:pStyle w:val="BodyText"/>
      </w:pPr>
      <w:r w:rsidRPr="002753F3">
        <w:rPr>
          <w:b w:val="0"/>
          <w:szCs w:val="24"/>
        </w:rPr>
        <w:t>S</w:t>
      </w:r>
      <w:r w:rsidR="00FE02C2" w:rsidRPr="002753F3">
        <w:rPr>
          <w:b w:val="0"/>
          <w:szCs w:val="24"/>
        </w:rPr>
        <w:t xml:space="preserve">ection </w:t>
      </w:r>
      <w:r w:rsidRPr="002753F3">
        <w:rPr>
          <w:b w:val="0"/>
          <w:szCs w:val="24"/>
        </w:rPr>
        <w:t xml:space="preserve">1 </w:t>
      </w:r>
      <w:r w:rsidR="00FE02C2" w:rsidRPr="002753F3">
        <w:rPr>
          <w:b w:val="0"/>
          <w:szCs w:val="24"/>
        </w:rPr>
        <w:t>provides</w:t>
      </w:r>
      <w:r w:rsidR="008B683E" w:rsidRPr="002753F3">
        <w:rPr>
          <w:b w:val="0"/>
          <w:szCs w:val="24"/>
        </w:rPr>
        <w:t xml:space="preserve"> for the </w:t>
      </w:r>
      <w:r w:rsidR="008B2094" w:rsidRPr="002753F3">
        <w:rPr>
          <w:b w:val="0"/>
          <w:szCs w:val="24"/>
        </w:rPr>
        <w:t>Determination</w:t>
      </w:r>
      <w:r w:rsidR="00FE02C2" w:rsidRPr="002753F3">
        <w:rPr>
          <w:b w:val="0"/>
          <w:szCs w:val="24"/>
        </w:rPr>
        <w:t xml:space="preserve"> to be referred to as the </w:t>
      </w:r>
      <w:r w:rsidR="00D471DD" w:rsidRPr="002753F3">
        <w:rPr>
          <w:b w:val="0"/>
          <w:i/>
          <w:iCs/>
          <w:szCs w:val="24"/>
        </w:rPr>
        <w:t>Health Insurance Amendment (Mental Health Case Conferencing Services and Indexation) Determination 2023</w:t>
      </w:r>
      <w:r w:rsidR="00C841B1" w:rsidRPr="002753F3">
        <w:rPr>
          <w:b w:val="0"/>
          <w:i/>
          <w:iCs/>
          <w:szCs w:val="24"/>
        </w:rPr>
        <w:t xml:space="preserve"> </w:t>
      </w:r>
      <w:r w:rsidR="00C841B1" w:rsidRPr="002753F3">
        <w:rPr>
          <w:b w:val="0"/>
          <w:szCs w:val="24"/>
        </w:rPr>
        <w:t>(the Determination)</w:t>
      </w:r>
      <w:r w:rsidR="00825D52" w:rsidRPr="002753F3">
        <w:rPr>
          <w:b w:val="0"/>
          <w:szCs w:val="24"/>
        </w:rPr>
        <w:t>.</w:t>
      </w:r>
    </w:p>
    <w:p w14:paraId="68DAA207" w14:textId="77777777" w:rsidR="00FD602D" w:rsidRPr="002753F3" w:rsidRDefault="00FD602D" w:rsidP="00FD602D"/>
    <w:p w14:paraId="49D1E050" w14:textId="77777777" w:rsidR="007A4089" w:rsidRPr="002753F3" w:rsidRDefault="00FE02C2" w:rsidP="000337CB">
      <w:pPr>
        <w:pStyle w:val="BodyText"/>
        <w:rPr>
          <w:b w:val="0"/>
          <w:szCs w:val="24"/>
          <w:u w:val="single"/>
        </w:rPr>
      </w:pPr>
      <w:r w:rsidRPr="002753F3">
        <w:rPr>
          <w:b w:val="0"/>
          <w:szCs w:val="24"/>
          <w:u w:val="single"/>
        </w:rPr>
        <w:t xml:space="preserve">Section 2 – Commencement </w:t>
      </w:r>
    </w:p>
    <w:p w14:paraId="2DCE2ED0" w14:textId="77777777" w:rsidR="007A4089" w:rsidRPr="002753F3" w:rsidRDefault="007A4089" w:rsidP="000337CB">
      <w:pPr>
        <w:pStyle w:val="BodyText"/>
        <w:rPr>
          <w:b w:val="0"/>
          <w:szCs w:val="24"/>
          <w:u w:val="single"/>
        </w:rPr>
      </w:pPr>
    </w:p>
    <w:p w14:paraId="2412D148" w14:textId="536B066E" w:rsidR="00510A4F" w:rsidRPr="002753F3" w:rsidRDefault="00510A4F" w:rsidP="000337CB">
      <w:pPr>
        <w:pStyle w:val="BodyText"/>
        <w:rPr>
          <w:b w:val="0"/>
          <w:szCs w:val="24"/>
        </w:rPr>
      </w:pPr>
      <w:r w:rsidRPr="002753F3">
        <w:rPr>
          <w:b w:val="0"/>
          <w:szCs w:val="24"/>
        </w:rPr>
        <w:t xml:space="preserve">Section 2 </w:t>
      </w:r>
      <w:r w:rsidR="00404F11" w:rsidRPr="002753F3">
        <w:rPr>
          <w:b w:val="0"/>
          <w:szCs w:val="24"/>
        </w:rPr>
        <w:t xml:space="preserve">provides </w:t>
      </w:r>
      <w:r w:rsidR="00825D52" w:rsidRPr="002753F3">
        <w:rPr>
          <w:b w:val="0"/>
          <w:szCs w:val="24"/>
        </w:rPr>
        <w:t>for</w:t>
      </w:r>
      <w:r w:rsidR="00404F11" w:rsidRPr="002753F3">
        <w:rPr>
          <w:b w:val="0"/>
          <w:szCs w:val="24"/>
        </w:rPr>
        <w:t xml:space="preserve"> the </w:t>
      </w:r>
      <w:r w:rsidR="00825D52" w:rsidRPr="002753F3">
        <w:rPr>
          <w:b w:val="0"/>
          <w:szCs w:val="24"/>
        </w:rPr>
        <w:t xml:space="preserve">Schedule 1 of the </w:t>
      </w:r>
      <w:r w:rsidR="008B2094" w:rsidRPr="002753F3">
        <w:rPr>
          <w:b w:val="0"/>
          <w:szCs w:val="24"/>
        </w:rPr>
        <w:t xml:space="preserve">Determination </w:t>
      </w:r>
      <w:r w:rsidR="00825D52" w:rsidRPr="002753F3">
        <w:rPr>
          <w:b w:val="0"/>
          <w:szCs w:val="24"/>
        </w:rPr>
        <w:t xml:space="preserve">to </w:t>
      </w:r>
      <w:r w:rsidR="00404F11" w:rsidRPr="002753F3">
        <w:rPr>
          <w:b w:val="0"/>
          <w:szCs w:val="24"/>
        </w:rPr>
        <w:t xml:space="preserve">commence </w:t>
      </w:r>
      <w:r w:rsidR="00C63FDC" w:rsidRPr="002753F3">
        <w:rPr>
          <w:b w:val="0"/>
          <w:szCs w:val="24"/>
        </w:rPr>
        <w:t xml:space="preserve">on </w:t>
      </w:r>
      <w:r w:rsidR="00825D52" w:rsidRPr="002753F3">
        <w:rPr>
          <w:b w:val="0"/>
          <w:szCs w:val="24"/>
        </w:rPr>
        <w:t>1 July 2023 and Schedule 2 to commence immediately after the commencement of Schedule 1</w:t>
      </w:r>
      <w:r w:rsidR="00C63FDC" w:rsidRPr="002753F3">
        <w:rPr>
          <w:b w:val="0"/>
          <w:szCs w:val="24"/>
        </w:rPr>
        <w:t xml:space="preserve">. </w:t>
      </w:r>
    </w:p>
    <w:p w14:paraId="16C03200" w14:textId="77777777" w:rsidR="007E0017" w:rsidRPr="002753F3" w:rsidRDefault="007E0017" w:rsidP="000337CB">
      <w:pPr>
        <w:pStyle w:val="BodyText"/>
        <w:rPr>
          <w:b w:val="0"/>
          <w:szCs w:val="24"/>
        </w:rPr>
      </w:pPr>
    </w:p>
    <w:p w14:paraId="005D5660" w14:textId="77777777" w:rsidR="007A4089" w:rsidRPr="002753F3" w:rsidRDefault="00FE02C2" w:rsidP="000337CB">
      <w:pPr>
        <w:pStyle w:val="BodyText"/>
        <w:rPr>
          <w:b w:val="0"/>
          <w:szCs w:val="24"/>
          <w:u w:val="single"/>
        </w:rPr>
      </w:pPr>
      <w:r w:rsidRPr="002753F3">
        <w:rPr>
          <w:b w:val="0"/>
          <w:szCs w:val="24"/>
          <w:u w:val="single"/>
        </w:rPr>
        <w:t xml:space="preserve">Section 3 – </w:t>
      </w:r>
      <w:r w:rsidR="00E5798A" w:rsidRPr="002753F3">
        <w:rPr>
          <w:b w:val="0"/>
          <w:szCs w:val="24"/>
          <w:u w:val="single"/>
        </w:rPr>
        <w:t>Authority</w:t>
      </w:r>
    </w:p>
    <w:p w14:paraId="53BFA098" w14:textId="77777777" w:rsidR="007A4089" w:rsidRPr="002753F3" w:rsidRDefault="007A4089" w:rsidP="000337CB">
      <w:pPr>
        <w:pStyle w:val="BodyText"/>
        <w:rPr>
          <w:b w:val="0"/>
          <w:szCs w:val="24"/>
          <w:u w:val="single"/>
        </w:rPr>
      </w:pPr>
    </w:p>
    <w:p w14:paraId="2412D14B" w14:textId="60EB4E9C" w:rsidR="00FE02C2" w:rsidRPr="002753F3" w:rsidRDefault="00F83B6F" w:rsidP="000337CB">
      <w:pPr>
        <w:pStyle w:val="BodyText"/>
        <w:rPr>
          <w:b w:val="0"/>
        </w:rPr>
      </w:pPr>
      <w:r w:rsidRPr="002753F3">
        <w:rPr>
          <w:b w:val="0"/>
        </w:rPr>
        <w:t xml:space="preserve">Section 3 provides that the </w:t>
      </w:r>
      <w:r w:rsidR="008B2094" w:rsidRPr="002753F3">
        <w:rPr>
          <w:b w:val="0"/>
          <w:szCs w:val="24"/>
        </w:rPr>
        <w:t xml:space="preserve">Determination </w:t>
      </w:r>
      <w:r w:rsidR="00E5798A" w:rsidRPr="002753F3">
        <w:rPr>
          <w:b w:val="0"/>
        </w:rPr>
        <w:t xml:space="preserve">is made under </w:t>
      </w:r>
      <w:r w:rsidR="00367440" w:rsidRPr="002753F3">
        <w:rPr>
          <w:b w:val="0"/>
        </w:rPr>
        <w:t xml:space="preserve">subsection </w:t>
      </w:r>
      <w:r w:rsidR="00E5798A" w:rsidRPr="002753F3">
        <w:rPr>
          <w:b w:val="0"/>
        </w:rPr>
        <w:t>3</w:t>
      </w:r>
      <w:proofErr w:type="gramStart"/>
      <w:r w:rsidR="00E5798A" w:rsidRPr="002753F3">
        <w:rPr>
          <w:b w:val="0"/>
        </w:rPr>
        <w:t>C(</w:t>
      </w:r>
      <w:proofErr w:type="gramEnd"/>
      <w:r w:rsidR="00E5798A" w:rsidRPr="002753F3">
        <w:rPr>
          <w:b w:val="0"/>
        </w:rPr>
        <w:t xml:space="preserve">1) of the </w:t>
      </w:r>
      <w:r w:rsidR="00E5798A" w:rsidRPr="002753F3">
        <w:rPr>
          <w:b w:val="0"/>
          <w:i/>
        </w:rPr>
        <w:t>Health Insurance Act 1973</w:t>
      </w:r>
      <w:r w:rsidR="00E5798A" w:rsidRPr="002753F3">
        <w:rPr>
          <w:b w:val="0"/>
        </w:rPr>
        <w:t>.</w:t>
      </w:r>
    </w:p>
    <w:p w14:paraId="0DBF1241" w14:textId="77777777" w:rsidR="00E70355" w:rsidRPr="002753F3" w:rsidRDefault="00E70355" w:rsidP="000337CB">
      <w:pPr>
        <w:pStyle w:val="BodyText"/>
        <w:rPr>
          <w:b w:val="0"/>
        </w:rPr>
      </w:pPr>
    </w:p>
    <w:p w14:paraId="20CBF84A" w14:textId="77777777" w:rsidR="00C63FDC" w:rsidRPr="002753F3" w:rsidRDefault="00C63FDC" w:rsidP="00C63FDC">
      <w:pPr>
        <w:pStyle w:val="BodyText"/>
        <w:rPr>
          <w:b w:val="0"/>
          <w:szCs w:val="24"/>
          <w:u w:val="single"/>
        </w:rPr>
      </w:pPr>
      <w:r w:rsidRPr="002753F3">
        <w:rPr>
          <w:b w:val="0"/>
          <w:szCs w:val="24"/>
          <w:u w:val="single"/>
        </w:rPr>
        <w:t>Section 4 – Schedules</w:t>
      </w:r>
    </w:p>
    <w:p w14:paraId="4C010161" w14:textId="77777777" w:rsidR="00C63FDC" w:rsidRPr="002753F3" w:rsidRDefault="00C63FDC" w:rsidP="00C63FDC">
      <w:pPr>
        <w:pStyle w:val="BodyText"/>
        <w:rPr>
          <w:b w:val="0"/>
          <w:szCs w:val="24"/>
          <w:u w:val="single"/>
        </w:rPr>
      </w:pPr>
    </w:p>
    <w:p w14:paraId="5D9EBF8D" w14:textId="77777777" w:rsidR="00C63FDC" w:rsidRPr="002753F3" w:rsidRDefault="00C63FDC" w:rsidP="00C63FDC">
      <w:pPr>
        <w:pStyle w:val="BodyText"/>
        <w:rPr>
          <w:b w:val="0"/>
          <w:szCs w:val="24"/>
        </w:rPr>
      </w:pPr>
      <w:r w:rsidRPr="002753F3">
        <w:rPr>
          <w:b w:val="0"/>
          <w:szCs w:val="24"/>
        </w:rPr>
        <w:t>Section 4 provides that each instrument that is specified in a Schedule to this Determination is amended or repealed as set out in the applicable items in the Schedule concerned, and any other item in a Schedule to this Determination has effect according to its terms.</w:t>
      </w:r>
    </w:p>
    <w:p w14:paraId="17D2CF69" w14:textId="187A5F5A" w:rsidR="007E0017" w:rsidRPr="002753F3" w:rsidRDefault="007E0017" w:rsidP="00404F11">
      <w:pPr>
        <w:pStyle w:val="BodyText"/>
        <w:rPr>
          <w:b w:val="0"/>
          <w:szCs w:val="24"/>
        </w:rPr>
      </w:pPr>
    </w:p>
    <w:p w14:paraId="29A8CD2C" w14:textId="13CDFBD8" w:rsidR="003C451D" w:rsidRPr="002753F3" w:rsidRDefault="003C451D" w:rsidP="00404F11">
      <w:pPr>
        <w:pStyle w:val="BodyText"/>
        <w:rPr>
          <w:b w:val="0"/>
          <w:szCs w:val="24"/>
        </w:rPr>
      </w:pPr>
      <w:r w:rsidRPr="002753F3">
        <w:rPr>
          <w:b w:val="0"/>
          <w:szCs w:val="24"/>
          <w:u w:val="single"/>
        </w:rPr>
        <w:t>Schedule 1 – Indexation</w:t>
      </w:r>
    </w:p>
    <w:p w14:paraId="60433DCC" w14:textId="0EA69B05" w:rsidR="003C451D" w:rsidRPr="002753F3" w:rsidRDefault="003C451D" w:rsidP="00404F11">
      <w:pPr>
        <w:pStyle w:val="BodyText"/>
        <w:rPr>
          <w:b w:val="0"/>
          <w:szCs w:val="24"/>
        </w:rPr>
      </w:pPr>
    </w:p>
    <w:p w14:paraId="2895D57A" w14:textId="11241A82" w:rsidR="003C451D" w:rsidRPr="002753F3" w:rsidRDefault="003C451D" w:rsidP="00404F11">
      <w:pPr>
        <w:pStyle w:val="BodyText"/>
        <w:rPr>
          <w:b w:val="0"/>
          <w:szCs w:val="24"/>
        </w:rPr>
      </w:pPr>
      <w:r w:rsidRPr="002753F3">
        <w:rPr>
          <w:i/>
          <w:iCs/>
        </w:rPr>
        <w:t xml:space="preserve">Health Insurance (Allied Health Services) Determination 2014 </w:t>
      </w:r>
      <w:r w:rsidRPr="002753F3">
        <w:t xml:space="preserve">(AHS Determination) </w:t>
      </w:r>
    </w:p>
    <w:p w14:paraId="1AD63E7C" w14:textId="3119B8D5" w:rsidR="003C451D" w:rsidRPr="002753F3" w:rsidRDefault="003C451D" w:rsidP="00404F11">
      <w:pPr>
        <w:pStyle w:val="BodyText"/>
        <w:rPr>
          <w:b w:val="0"/>
          <w:szCs w:val="24"/>
        </w:rPr>
      </w:pPr>
    </w:p>
    <w:p w14:paraId="42D4816B" w14:textId="4BC87197" w:rsidR="003C451D" w:rsidRPr="002753F3" w:rsidRDefault="003C451D" w:rsidP="00404F11">
      <w:pPr>
        <w:pStyle w:val="BodyText"/>
        <w:rPr>
          <w:b w:val="0"/>
          <w:szCs w:val="24"/>
        </w:rPr>
      </w:pPr>
      <w:r w:rsidRPr="002753F3">
        <w:rPr>
          <w:bCs/>
          <w:szCs w:val="24"/>
        </w:rPr>
        <w:t xml:space="preserve">Item 1 </w:t>
      </w:r>
      <w:r w:rsidRPr="002753F3">
        <w:rPr>
          <w:b w:val="0"/>
          <w:szCs w:val="24"/>
        </w:rPr>
        <w:t xml:space="preserve">amends subsection 17(1) of the AHS Determination to apply annual indexation to allied health services from 1 July 2023. This will increase the benefit paid to patients for these services, which is calculated as a percentage of the fee per section 10 of the </w:t>
      </w:r>
      <w:r w:rsidRPr="002753F3">
        <w:rPr>
          <w:b w:val="0"/>
          <w:i/>
          <w:iCs/>
          <w:szCs w:val="24"/>
        </w:rPr>
        <w:t>Health Insurance Act 1973</w:t>
      </w:r>
      <w:r w:rsidRPr="002753F3">
        <w:rPr>
          <w:b w:val="0"/>
          <w:szCs w:val="24"/>
        </w:rPr>
        <w:t>. Indexation will be applied by 3.6 per cent, which is represented as 1.036.</w:t>
      </w:r>
    </w:p>
    <w:p w14:paraId="62CC6C8F" w14:textId="576D9C10" w:rsidR="003C451D" w:rsidRPr="002753F3" w:rsidRDefault="003C451D" w:rsidP="00404F11">
      <w:pPr>
        <w:pStyle w:val="BodyText"/>
        <w:rPr>
          <w:b w:val="0"/>
          <w:szCs w:val="24"/>
        </w:rPr>
      </w:pPr>
    </w:p>
    <w:p w14:paraId="23090428" w14:textId="5C23741F" w:rsidR="003C451D" w:rsidRPr="002753F3" w:rsidRDefault="003C451D" w:rsidP="00404F11">
      <w:pPr>
        <w:pStyle w:val="BodyText"/>
        <w:rPr>
          <w:b w:val="0"/>
          <w:bCs/>
        </w:rPr>
      </w:pPr>
      <w:r w:rsidRPr="002753F3">
        <w:rPr>
          <w:i/>
          <w:iCs/>
        </w:rPr>
        <w:t xml:space="preserve">Health Insurance (Section 3C General Medical Services – Other Medical Practitioner) Determination 2018 </w:t>
      </w:r>
      <w:r w:rsidRPr="002753F3">
        <w:t>(OMP Determination)</w:t>
      </w:r>
    </w:p>
    <w:p w14:paraId="572AAC17" w14:textId="1B18DE9A" w:rsidR="003C451D" w:rsidRPr="002753F3" w:rsidRDefault="003C451D" w:rsidP="00404F11">
      <w:pPr>
        <w:pStyle w:val="BodyText"/>
        <w:rPr>
          <w:b w:val="0"/>
          <w:bCs/>
        </w:rPr>
      </w:pPr>
    </w:p>
    <w:p w14:paraId="2420712B" w14:textId="371D1581" w:rsidR="003C451D" w:rsidRPr="002753F3" w:rsidRDefault="003C451D" w:rsidP="00404F11">
      <w:pPr>
        <w:pStyle w:val="BodyText"/>
        <w:rPr>
          <w:b w:val="0"/>
          <w:bCs/>
          <w:szCs w:val="24"/>
        </w:rPr>
      </w:pPr>
      <w:r w:rsidRPr="002753F3">
        <w:t xml:space="preserve">Items 2 to 6 </w:t>
      </w:r>
      <w:r w:rsidRPr="002753F3">
        <w:rPr>
          <w:b w:val="0"/>
          <w:bCs/>
        </w:rPr>
        <w:t xml:space="preserve">amend the OMP Determination to apply annual indexation to specified services by </w:t>
      </w:r>
      <w:r w:rsidRPr="002753F3">
        <w:rPr>
          <w:b w:val="0"/>
          <w:bCs/>
          <w:color w:val="000000"/>
          <w:shd w:val="clear" w:color="auto" w:fill="FFFFFF"/>
        </w:rPr>
        <w:t xml:space="preserve">increasing the schedule fees by 3.6 </w:t>
      </w:r>
      <w:r w:rsidRPr="002753F3">
        <w:rPr>
          <w:b w:val="0"/>
          <w:szCs w:val="24"/>
        </w:rPr>
        <w:t>per</w:t>
      </w:r>
      <w:r w:rsidRPr="002753F3">
        <w:rPr>
          <w:b w:val="0"/>
          <w:bCs/>
          <w:color w:val="000000"/>
          <w:shd w:val="clear" w:color="auto" w:fill="FFFFFF"/>
        </w:rPr>
        <w:t xml:space="preserve"> cent from 1 July 2023. The fees for other medical practitioner items are calculated to reflect 80 per cent of the schedule fee for the equivalent general practitioner item.</w:t>
      </w:r>
      <w:r w:rsidRPr="002753F3">
        <w:rPr>
          <w:b w:val="0"/>
          <w:bCs/>
        </w:rPr>
        <w:t xml:space="preserve"> </w:t>
      </w:r>
    </w:p>
    <w:p w14:paraId="5B92E068" w14:textId="77777777" w:rsidR="003C451D" w:rsidRPr="002753F3" w:rsidRDefault="003C451D" w:rsidP="00404F11">
      <w:pPr>
        <w:pStyle w:val="BodyText"/>
        <w:rPr>
          <w:b w:val="0"/>
          <w:szCs w:val="24"/>
        </w:rPr>
      </w:pPr>
    </w:p>
    <w:p w14:paraId="768D340E" w14:textId="5B938F21" w:rsidR="00C63FDC" w:rsidRPr="002753F3" w:rsidRDefault="00C63FDC" w:rsidP="00C63FDC">
      <w:pPr>
        <w:pStyle w:val="Header"/>
        <w:tabs>
          <w:tab w:val="num" w:pos="1080"/>
        </w:tabs>
        <w:rPr>
          <w:szCs w:val="24"/>
          <w:u w:val="single"/>
        </w:rPr>
      </w:pPr>
      <w:r w:rsidRPr="002753F3">
        <w:rPr>
          <w:szCs w:val="24"/>
          <w:u w:val="single"/>
        </w:rPr>
        <w:t xml:space="preserve">Schedule </w:t>
      </w:r>
      <w:r w:rsidR="003C451D" w:rsidRPr="002753F3">
        <w:rPr>
          <w:szCs w:val="24"/>
          <w:u w:val="single"/>
        </w:rPr>
        <w:t>2</w:t>
      </w:r>
      <w:r w:rsidRPr="002753F3">
        <w:rPr>
          <w:szCs w:val="24"/>
          <w:u w:val="single"/>
        </w:rPr>
        <w:t xml:space="preserve"> – </w:t>
      </w:r>
      <w:r w:rsidR="00D03249" w:rsidRPr="002753F3">
        <w:rPr>
          <w:szCs w:val="24"/>
          <w:u w:val="single"/>
        </w:rPr>
        <w:t>Mental health c</w:t>
      </w:r>
      <w:r w:rsidR="003C451D" w:rsidRPr="002753F3">
        <w:rPr>
          <w:szCs w:val="24"/>
          <w:u w:val="single"/>
        </w:rPr>
        <w:t>ase conferenc</w:t>
      </w:r>
      <w:r w:rsidR="00D03249" w:rsidRPr="002753F3">
        <w:rPr>
          <w:szCs w:val="24"/>
          <w:u w:val="single"/>
        </w:rPr>
        <w:t>ing</w:t>
      </w:r>
      <w:r w:rsidR="003C451D" w:rsidRPr="002753F3">
        <w:rPr>
          <w:szCs w:val="24"/>
          <w:u w:val="single"/>
        </w:rPr>
        <w:t xml:space="preserve"> services</w:t>
      </w:r>
    </w:p>
    <w:p w14:paraId="2212E577" w14:textId="77777777" w:rsidR="00C63FDC" w:rsidRPr="002753F3" w:rsidRDefault="00C63FDC" w:rsidP="00C63FDC">
      <w:pPr>
        <w:pStyle w:val="Header"/>
        <w:tabs>
          <w:tab w:val="num" w:pos="1080"/>
        </w:tabs>
        <w:rPr>
          <w:szCs w:val="24"/>
          <w:u w:val="single"/>
        </w:rPr>
      </w:pPr>
    </w:p>
    <w:p w14:paraId="5E6E21BA" w14:textId="36E948BB" w:rsidR="003C451D" w:rsidRPr="002753F3" w:rsidRDefault="003C451D" w:rsidP="00505F9A">
      <w:pPr>
        <w:pStyle w:val="Header"/>
        <w:tabs>
          <w:tab w:val="num" w:pos="1080"/>
        </w:tabs>
        <w:rPr>
          <w:b/>
          <w:bCs/>
        </w:rPr>
      </w:pPr>
      <w:r w:rsidRPr="002753F3">
        <w:rPr>
          <w:b/>
          <w:bCs/>
          <w:i/>
          <w:iCs/>
        </w:rPr>
        <w:t>Health Insurance (Allied Health Services) Determination 2014</w:t>
      </w:r>
      <w:r w:rsidRPr="002753F3">
        <w:rPr>
          <w:b/>
          <w:bCs/>
        </w:rPr>
        <w:t xml:space="preserve"> (AHS Determination)</w:t>
      </w:r>
    </w:p>
    <w:p w14:paraId="73285ED6" w14:textId="2898B70B" w:rsidR="00B451B5" w:rsidRPr="002753F3" w:rsidRDefault="00B451B5" w:rsidP="00C63FDC">
      <w:pPr>
        <w:pStyle w:val="Header"/>
        <w:tabs>
          <w:tab w:val="num" w:pos="1080"/>
        </w:tabs>
        <w:rPr>
          <w:i/>
        </w:rPr>
      </w:pPr>
    </w:p>
    <w:p w14:paraId="5A36C027" w14:textId="25FCED4D" w:rsidR="007708B3" w:rsidRPr="002753F3" w:rsidRDefault="003C451D" w:rsidP="00C63FDC">
      <w:pPr>
        <w:pStyle w:val="Header"/>
        <w:tabs>
          <w:tab w:val="num" w:pos="1080"/>
        </w:tabs>
        <w:rPr>
          <w:iCs/>
        </w:rPr>
      </w:pPr>
      <w:r w:rsidRPr="002753F3">
        <w:rPr>
          <w:b/>
          <w:bCs/>
          <w:iCs/>
        </w:rPr>
        <w:t>Item 1</w:t>
      </w:r>
      <w:r w:rsidRPr="002753F3">
        <w:rPr>
          <w:iCs/>
        </w:rPr>
        <w:t xml:space="preserve"> amends subsection 14(1)</w:t>
      </w:r>
      <w:r w:rsidR="004D06F9" w:rsidRPr="002753F3">
        <w:rPr>
          <w:iCs/>
        </w:rPr>
        <w:t xml:space="preserve"> of the AHS Determination</w:t>
      </w:r>
      <w:r w:rsidRPr="002753F3">
        <w:rPr>
          <w:iCs/>
        </w:rPr>
        <w:t xml:space="preserve"> to insert references to the three new </w:t>
      </w:r>
      <w:r w:rsidR="00CB5139" w:rsidRPr="002753F3">
        <w:rPr>
          <w:iCs/>
        </w:rPr>
        <w:t>allied health</w:t>
      </w:r>
      <w:r w:rsidR="00C841B1" w:rsidRPr="002753F3">
        <w:rPr>
          <w:iCs/>
        </w:rPr>
        <w:t xml:space="preserve"> items for mental health case conference services (for items </w:t>
      </w:r>
      <w:r w:rsidR="00C841B1" w:rsidRPr="002753F3">
        <w:rPr>
          <w:szCs w:val="22"/>
        </w:rPr>
        <w:t xml:space="preserve">80176, 80177 and </w:t>
      </w:r>
      <w:r w:rsidR="00C841B1" w:rsidRPr="002753F3">
        <w:rPr>
          <w:szCs w:val="22"/>
        </w:rPr>
        <w:lastRenderedPageBreak/>
        <w:t xml:space="preserve">80178, </w:t>
      </w:r>
      <w:r w:rsidR="00C841B1" w:rsidRPr="002753F3">
        <w:rPr>
          <w:iCs/>
        </w:rPr>
        <w:t xml:space="preserve">refer to </w:t>
      </w:r>
      <w:r w:rsidR="00C841B1" w:rsidRPr="002753F3">
        <w:rPr>
          <w:b/>
          <w:bCs/>
          <w:iCs/>
        </w:rPr>
        <w:t>item 4</w:t>
      </w:r>
      <w:r w:rsidR="00C841B1" w:rsidRPr="002753F3">
        <w:rPr>
          <w:iCs/>
        </w:rPr>
        <w:t xml:space="preserve"> of Schedule 2 of the Determination). Section 14 provides general requirements for case conference items.</w:t>
      </w:r>
    </w:p>
    <w:p w14:paraId="67D2FE45" w14:textId="24718332" w:rsidR="00C841B1" w:rsidRPr="002753F3" w:rsidRDefault="00C841B1" w:rsidP="00C63FDC">
      <w:pPr>
        <w:pStyle w:val="Header"/>
        <w:tabs>
          <w:tab w:val="num" w:pos="1080"/>
        </w:tabs>
        <w:rPr>
          <w:iCs/>
        </w:rPr>
      </w:pPr>
    </w:p>
    <w:p w14:paraId="31C2DEBF" w14:textId="48DF5EF7" w:rsidR="00C841B1" w:rsidRPr="002753F3" w:rsidRDefault="00C841B1" w:rsidP="00C63FDC">
      <w:pPr>
        <w:pStyle w:val="Header"/>
        <w:tabs>
          <w:tab w:val="num" w:pos="1080"/>
        </w:tabs>
        <w:rPr>
          <w:iCs/>
        </w:rPr>
      </w:pPr>
      <w:r w:rsidRPr="002753F3">
        <w:rPr>
          <w:b/>
          <w:bCs/>
          <w:iCs/>
        </w:rPr>
        <w:t xml:space="preserve">Item 2 </w:t>
      </w:r>
      <w:r w:rsidRPr="002753F3">
        <w:rPr>
          <w:iCs/>
        </w:rPr>
        <w:t>amends subsection 14(2)</w:t>
      </w:r>
      <w:r w:rsidR="004D06F9" w:rsidRPr="002753F3">
        <w:rPr>
          <w:iCs/>
        </w:rPr>
        <w:t xml:space="preserve"> of the AHS Determination</w:t>
      </w:r>
      <w:r w:rsidRPr="002753F3">
        <w:rPr>
          <w:iCs/>
        </w:rPr>
        <w:t xml:space="preserve"> to insert the definition of </w:t>
      </w:r>
      <w:r w:rsidRPr="002753F3">
        <w:rPr>
          <w:b/>
          <w:bCs/>
          <w:i/>
        </w:rPr>
        <w:t>mental health case conference</w:t>
      </w:r>
      <w:r w:rsidRPr="002753F3">
        <w:rPr>
          <w:iCs/>
        </w:rPr>
        <w:t>.</w:t>
      </w:r>
    </w:p>
    <w:p w14:paraId="147ED5FF" w14:textId="60E460D7" w:rsidR="00C841B1" w:rsidRPr="002753F3" w:rsidRDefault="00C841B1" w:rsidP="00C63FDC">
      <w:pPr>
        <w:pStyle w:val="Header"/>
        <w:tabs>
          <w:tab w:val="num" w:pos="1080"/>
        </w:tabs>
        <w:rPr>
          <w:iCs/>
        </w:rPr>
      </w:pPr>
    </w:p>
    <w:p w14:paraId="346403B4" w14:textId="66670605" w:rsidR="00C841B1" w:rsidRPr="002753F3" w:rsidRDefault="00C841B1" w:rsidP="00C63FDC">
      <w:pPr>
        <w:pStyle w:val="Header"/>
        <w:tabs>
          <w:tab w:val="num" w:pos="1080"/>
        </w:tabs>
        <w:rPr>
          <w:iCs/>
        </w:rPr>
      </w:pPr>
      <w:r w:rsidRPr="002753F3">
        <w:rPr>
          <w:b/>
          <w:bCs/>
          <w:iCs/>
        </w:rPr>
        <w:t xml:space="preserve">Item 3 </w:t>
      </w:r>
      <w:r w:rsidRPr="002753F3">
        <w:rPr>
          <w:iCs/>
        </w:rPr>
        <w:t xml:space="preserve">inserts new section 15A, which provides limitations for allied health mental health case conference services (for items </w:t>
      </w:r>
      <w:r w:rsidRPr="002753F3">
        <w:rPr>
          <w:szCs w:val="22"/>
        </w:rPr>
        <w:t xml:space="preserve">80176, 80177 and 80178, </w:t>
      </w:r>
      <w:r w:rsidRPr="002753F3">
        <w:rPr>
          <w:iCs/>
        </w:rPr>
        <w:t xml:space="preserve">refer to </w:t>
      </w:r>
      <w:r w:rsidRPr="002753F3">
        <w:rPr>
          <w:b/>
          <w:bCs/>
          <w:iCs/>
        </w:rPr>
        <w:t>item 4</w:t>
      </w:r>
      <w:r w:rsidRPr="002753F3">
        <w:rPr>
          <w:iCs/>
        </w:rPr>
        <w:t xml:space="preserve"> of Schedule 2 of the Determination).</w:t>
      </w:r>
    </w:p>
    <w:p w14:paraId="38D57020" w14:textId="6F3B5A42" w:rsidR="00C841B1" w:rsidRPr="002753F3" w:rsidRDefault="00C841B1" w:rsidP="00C63FDC">
      <w:pPr>
        <w:pStyle w:val="Header"/>
        <w:tabs>
          <w:tab w:val="num" w:pos="1080"/>
        </w:tabs>
        <w:rPr>
          <w:iCs/>
        </w:rPr>
      </w:pPr>
    </w:p>
    <w:p w14:paraId="4EDB2F48" w14:textId="77777777" w:rsidR="00F75B7B" w:rsidRPr="002753F3" w:rsidRDefault="00C841B1" w:rsidP="00F75B7B">
      <w:pPr>
        <w:pStyle w:val="Header"/>
        <w:tabs>
          <w:tab w:val="num" w:pos="1080"/>
        </w:tabs>
        <w:rPr>
          <w:szCs w:val="22"/>
        </w:rPr>
      </w:pPr>
      <w:r w:rsidRPr="002753F3">
        <w:rPr>
          <w:iCs/>
          <w:szCs w:val="24"/>
        </w:rPr>
        <w:t>Item</w:t>
      </w:r>
      <w:r w:rsidR="00AB73D3" w:rsidRPr="002753F3">
        <w:rPr>
          <w:iCs/>
          <w:szCs w:val="24"/>
        </w:rPr>
        <w:t>s</w:t>
      </w:r>
      <w:r w:rsidRPr="002753F3">
        <w:rPr>
          <w:iCs/>
        </w:rPr>
        <w:t xml:space="preserve"> </w:t>
      </w:r>
      <w:r w:rsidRPr="002753F3">
        <w:rPr>
          <w:szCs w:val="22"/>
        </w:rPr>
        <w:t xml:space="preserve">80176, 80177 </w:t>
      </w:r>
      <w:r w:rsidR="00AB73D3" w:rsidRPr="002753F3">
        <w:rPr>
          <w:szCs w:val="22"/>
        </w:rPr>
        <w:t>and</w:t>
      </w:r>
      <w:r w:rsidRPr="002753F3">
        <w:rPr>
          <w:szCs w:val="22"/>
        </w:rPr>
        <w:t xml:space="preserve"> 80178 will only apply to a service if</w:t>
      </w:r>
      <w:r w:rsidR="00AB73D3" w:rsidRPr="002753F3">
        <w:rPr>
          <w:szCs w:val="22"/>
        </w:rPr>
        <w:t>:</w:t>
      </w:r>
      <w:r w:rsidRPr="002753F3">
        <w:rPr>
          <w:szCs w:val="22"/>
        </w:rPr>
        <w:t xml:space="preserve"> </w:t>
      </w:r>
    </w:p>
    <w:p w14:paraId="53027FA0" w14:textId="480A513B" w:rsidR="00C841B1" w:rsidRPr="002753F3" w:rsidRDefault="00C841B1" w:rsidP="00F75B7B">
      <w:pPr>
        <w:pStyle w:val="Header"/>
        <w:numPr>
          <w:ilvl w:val="0"/>
          <w:numId w:val="42"/>
        </w:numPr>
        <w:rPr>
          <w:szCs w:val="22"/>
        </w:rPr>
      </w:pPr>
      <w:r w:rsidRPr="002753F3">
        <w:rPr>
          <w:szCs w:val="22"/>
        </w:rPr>
        <w:t xml:space="preserve">the </w:t>
      </w:r>
      <w:r w:rsidRPr="002753F3">
        <w:rPr>
          <w:bCs/>
          <w:iCs/>
          <w:szCs w:val="24"/>
        </w:rPr>
        <w:t>patient</w:t>
      </w:r>
      <w:r w:rsidRPr="002753F3">
        <w:rPr>
          <w:szCs w:val="22"/>
        </w:rPr>
        <w:t xml:space="preserve"> is not an admitted patient of a hospital and:</w:t>
      </w:r>
    </w:p>
    <w:p w14:paraId="6851D9FC" w14:textId="10711192" w:rsidR="00C841B1" w:rsidRPr="002753F3" w:rsidRDefault="00C841B1" w:rsidP="00AB73D3">
      <w:pPr>
        <w:pStyle w:val="Header"/>
        <w:numPr>
          <w:ilvl w:val="1"/>
          <w:numId w:val="37"/>
        </w:numPr>
        <w:rPr>
          <w:iCs/>
          <w:szCs w:val="24"/>
        </w:rPr>
      </w:pPr>
      <w:r w:rsidRPr="002753F3">
        <w:rPr>
          <w:iCs/>
          <w:szCs w:val="24"/>
        </w:rPr>
        <w:t>is referred for a</w:t>
      </w:r>
      <w:r w:rsidR="00D22B62" w:rsidRPr="002753F3">
        <w:rPr>
          <w:iCs/>
          <w:szCs w:val="24"/>
        </w:rPr>
        <w:t xml:space="preserve"> </w:t>
      </w:r>
      <w:r w:rsidRPr="002753F3">
        <w:rPr>
          <w:iCs/>
          <w:szCs w:val="24"/>
        </w:rPr>
        <w:t>psychological therapy health or focussed psychological strategies health service; or</w:t>
      </w:r>
    </w:p>
    <w:p w14:paraId="584CFBEA" w14:textId="5D8B5674" w:rsidR="00C841B1" w:rsidRPr="002753F3" w:rsidRDefault="00C841B1" w:rsidP="00AB73D3">
      <w:pPr>
        <w:pStyle w:val="Header"/>
        <w:numPr>
          <w:ilvl w:val="1"/>
          <w:numId w:val="37"/>
        </w:numPr>
        <w:rPr>
          <w:iCs/>
          <w:szCs w:val="24"/>
        </w:rPr>
      </w:pPr>
      <w:r w:rsidRPr="002753F3">
        <w:rPr>
          <w:iCs/>
          <w:szCs w:val="24"/>
        </w:rPr>
        <w:t>has an eating disorder treatment and management plan</w:t>
      </w:r>
      <w:r w:rsidR="00AB73D3" w:rsidRPr="002753F3">
        <w:rPr>
          <w:iCs/>
          <w:szCs w:val="24"/>
        </w:rPr>
        <w:t>; and</w:t>
      </w:r>
    </w:p>
    <w:p w14:paraId="0D9CF9C2" w14:textId="23FFF59A" w:rsidR="00AB73D3" w:rsidRPr="002753F3" w:rsidRDefault="00AB73D3" w:rsidP="00C841B1">
      <w:pPr>
        <w:pStyle w:val="Header"/>
        <w:numPr>
          <w:ilvl w:val="0"/>
          <w:numId w:val="37"/>
        </w:numPr>
        <w:rPr>
          <w:iCs/>
          <w:szCs w:val="24"/>
        </w:rPr>
      </w:pPr>
      <w:r w:rsidRPr="002753F3">
        <w:t xml:space="preserve">a service under item </w:t>
      </w:r>
      <w:r w:rsidRPr="002753F3">
        <w:rPr>
          <w:szCs w:val="22"/>
        </w:rPr>
        <w:t xml:space="preserve">80176, 80177 or 80178 has not been performed for the patient in the last three </w:t>
      </w:r>
      <w:proofErr w:type="gramStart"/>
      <w:r w:rsidRPr="002753F3">
        <w:rPr>
          <w:szCs w:val="22"/>
        </w:rPr>
        <w:t>months;</w:t>
      </w:r>
      <w:proofErr w:type="gramEnd"/>
    </w:p>
    <w:p w14:paraId="6497CF9F" w14:textId="4234CA74" w:rsidR="00AB73D3" w:rsidRPr="002753F3" w:rsidRDefault="00AB73D3" w:rsidP="00C841B1">
      <w:pPr>
        <w:pStyle w:val="Header"/>
        <w:numPr>
          <w:ilvl w:val="0"/>
          <w:numId w:val="37"/>
        </w:numPr>
        <w:rPr>
          <w:iCs/>
          <w:szCs w:val="24"/>
        </w:rPr>
      </w:pPr>
      <w:r w:rsidRPr="002753F3">
        <w:rPr>
          <w:iCs/>
          <w:szCs w:val="24"/>
        </w:rPr>
        <w:t xml:space="preserve">the service is provided by an </w:t>
      </w:r>
      <w:r w:rsidRPr="002753F3">
        <w:rPr>
          <w:rFonts w:cstheme="minorHAnsi"/>
          <w:szCs w:val="24"/>
        </w:rPr>
        <w:t>allied health professional who meets the qualification requirements outlined in Schedule 1 of the AHS Determination in relation to the provision of a</w:t>
      </w:r>
      <w:r w:rsidRPr="002753F3">
        <w:rPr>
          <w:bCs/>
          <w:iCs/>
        </w:rPr>
        <w:t>:</w:t>
      </w:r>
    </w:p>
    <w:p w14:paraId="5E50F49B" w14:textId="77777777" w:rsidR="00AB73D3" w:rsidRPr="002753F3" w:rsidRDefault="00AB73D3" w:rsidP="00AB73D3">
      <w:pPr>
        <w:pStyle w:val="Header"/>
        <w:numPr>
          <w:ilvl w:val="1"/>
          <w:numId w:val="37"/>
        </w:numPr>
        <w:rPr>
          <w:iCs/>
          <w:szCs w:val="24"/>
        </w:rPr>
      </w:pPr>
      <w:r w:rsidRPr="002753F3">
        <w:rPr>
          <w:iCs/>
          <w:szCs w:val="24"/>
        </w:rPr>
        <w:t xml:space="preserve">psychological therapy health </w:t>
      </w:r>
      <w:proofErr w:type="gramStart"/>
      <w:r w:rsidRPr="002753F3">
        <w:rPr>
          <w:iCs/>
          <w:szCs w:val="24"/>
        </w:rPr>
        <w:t>service;</w:t>
      </w:r>
      <w:proofErr w:type="gramEnd"/>
    </w:p>
    <w:p w14:paraId="62C4D36B" w14:textId="7802A4F1" w:rsidR="00AB73D3" w:rsidRPr="002753F3" w:rsidRDefault="00AB73D3" w:rsidP="00AB73D3">
      <w:pPr>
        <w:pStyle w:val="Header"/>
        <w:numPr>
          <w:ilvl w:val="1"/>
          <w:numId w:val="37"/>
        </w:numPr>
        <w:rPr>
          <w:iCs/>
          <w:szCs w:val="24"/>
        </w:rPr>
      </w:pPr>
      <w:r w:rsidRPr="002753F3">
        <w:rPr>
          <w:iCs/>
          <w:szCs w:val="24"/>
        </w:rPr>
        <w:t>focussed psychological strategies health service; or</w:t>
      </w:r>
    </w:p>
    <w:p w14:paraId="7E479E80" w14:textId="257D0DB5" w:rsidR="00AB73D3" w:rsidRPr="002753F3" w:rsidRDefault="00AB73D3" w:rsidP="00AB73D3">
      <w:pPr>
        <w:pStyle w:val="Header"/>
        <w:numPr>
          <w:ilvl w:val="1"/>
          <w:numId w:val="37"/>
        </w:numPr>
        <w:rPr>
          <w:iCs/>
          <w:szCs w:val="24"/>
        </w:rPr>
      </w:pPr>
      <w:r w:rsidRPr="002753F3">
        <w:rPr>
          <w:iCs/>
          <w:szCs w:val="24"/>
        </w:rPr>
        <w:t>dietetics health service.</w:t>
      </w:r>
    </w:p>
    <w:p w14:paraId="371F01D6" w14:textId="2D7DE917" w:rsidR="007708B3" w:rsidRPr="002753F3" w:rsidRDefault="007708B3" w:rsidP="00C63FDC">
      <w:pPr>
        <w:pStyle w:val="Header"/>
        <w:tabs>
          <w:tab w:val="num" w:pos="1080"/>
        </w:tabs>
        <w:rPr>
          <w:b/>
          <w:szCs w:val="24"/>
        </w:rPr>
      </w:pPr>
    </w:p>
    <w:p w14:paraId="49A2C324" w14:textId="77777777" w:rsidR="00AC4917" w:rsidRPr="002753F3" w:rsidRDefault="00AB73D3" w:rsidP="00C63FDC">
      <w:pPr>
        <w:pStyle w:val="Header"/>
        <w:tabs>
          <w:tab w:val="num" w:pos="1080"/>
        </w:tabs>
        <w:rPr>
          <w:iCs/>
        </w:rPr>
      </w:pPr>
      <w:r w:rsidRPr="002753F3">
        <w:rPr>
          <w:b/>
          <w:szCs w:val="24"/>
        </w:rPr>
        <w:t xml:space="preserve">Item 4 </w:t>
      </w:r>
      <w:r w:rsidRPr="002753F3">
        <w:rPr>
          <w:bCs/>
          <w:szCs w:val="24"/>
        </w:rPr>
        <w:t xml:space="preserve">introduces items </w:t>
      </w:r>
      <w:r w:rsidRPr="002753F3">
        <w:rPr>
          <w:szCs w:val="22"/>
        </w:rPr>
        <w:t>80176, 80177 and 80178 for</w:t>
      </w:r>
      <w:r w:rsidRPr="002753F3">
        <w:rPr>
          <w:iCs/>
        </w:rPr>
        <w:t xml:space="preserve"> participation in a mental health case conference service by an eligible allied health practitioner.</w:t>
      </w:r>
      <w:r w:rsidR="00AC4917" w:rsidRPr="002753F3">
        <w:rPr>
          <w:iCs/>
        </w:rPr>
        <w:t xml:space="preserve"> The three items are </w:t>
      </w:r>
      <w:proofErr w:type="gramStart"/>
      <w:r w:rsidR="00AC4917" w:rsidRPr="002753F3">
        <w:rPr>
          <w:iCs/>
        </w:rPr>
        <w:t>time-tiered</w:t>
      </w:r>
      <w:proofErr w:type="gramEnd"/>
      <w:r w:rsidR="00AC4917" w:rsidRPr="002753F3">
        <w:rPr>
          <w:iCs/>
        </w:rPr>
        <w:t>.</w:t>
      </w:r>
    </w:p>
    <w:p w14:paraId="1B8AA3C8" w14:textId="77777777" w:rsidR="00AC4917" w:rsidRPr="002753F3" w:rsidRDefault="00AC4917" w:rsidP="00C63FDC">
      <w:pPr>
        <w:pStyle w:val="Header"/>
        <w:tabs>
          <w:tab w:val="num" w:pos="1080"/>
        </w:tabs>
        <w:rPr>
          <w:iCs/>
        </w:rPr>
      </w:pPr>
    </w:p>
    <w:p w14:paraId="5263F085" w14:textId="4B1B3491" w:rsidR="00AB73D3" w:rsidRPr="002753F3" w:rsidRDefault="004D06F9" w:rsidP="00C63FDC">
      <w:pPr>
        <w:pStyle w:val="Header"/>
        <w:tabs>
          <w:tab w:val="num" w:pos="1080"/>
        </w:tabs>
        <w:rPr>
          <w:b/>
          <w:bCs/>
          <w:szCs w:val="22"/>
        </w:rPr>
      </w:pPr>
      <w:r w:rsidRPr="002753F3">
        <w:rPr>
          <w:b/>
          <w:bCs/>
          <w:i/>
          <w:iCs/>
        </w:rPr>
        <w:t>Health Insurance (Section 3C General Medical Services – Other Medical Practitioner) Determination 2018</w:t>
      </w:r>
      <w:r w:rsidR="00AB73D3" w:rsidRPr="002753F3">
        <w:rPr>
          <w:b/>
          <w:bCs/>
          <w:szCs w:val="22"/>
        </w:rPr>
        <w:t xml:space="preserve"> </w:t>
      </w:r>
      <w:r w:rsidRPr="002753F3">
        <w:rPr>
          <w:b/>
          <w:bCs/>
          <w:szCs w:val="22"/>
        </w:rPr>
        <w:t>(OMP Determination)</w:t>
      </w:r>
    </w:p>
    <w:p w14:paraId="4427B23D" w14:textId="41ED944B" w:rsidR="004D06F9" w:rsidRPr="002753F3" w:rsidRDefault="004D06F9" w:rsidP="00C63FDC">
      <w:pPr>
        <w:pStyle w:val="Header"/>
        <w:tabs>
          <w:tab w:val="num" w:pos="1080"/>
        </w:tabs>
        <w:rPr>
          <w:b/>
          <w:bCs/>
          <w:szCs w:val="22"/>
        </w:rPr>
      </w:pPr>
    </w:p>
    <w:p w14:paraId="3AC15E48" w14:textId="0FC0A083" w:rsidR="00B451B5" w:rsidRPr="002753F3" w:rsidRDefault="00B451B5" w:rsidP="00C63FDC">
      <w:pPr>
        <w:pStyle w:val="Header"/>
        <w:tabs>
          <w:tab w:val="num" w:pos="1080"/>
        </w:tabs>
        <w:rPr>
          <w:i/>
        </w:rPr>
      </w:pPr>
      <w:r w:rsidRPr="002753F3">
        <w:rPr>
          <w:b/>
          <w:bCs/>
          <w:iCs/>
        </w:rPr>
        <w:t>Item 5</w:t>
      </w:r>
      <w:r w:rsidRPr="002753F3">
        <w:rPr>
          <w:iCs/>
        </w:rPr>
        <w:t xml:space="preserve"> amends subsection 4(1) of the OMP Determination to insert the definition for </w:t>
      </w:r>
      <w:r w:rsidRPr="002753F3">
        <w:rPr>
          <w:b/>
          <w:bCs/>
          <w:i/>
        </w:rPr>
        <w:t>eating disorder treatment and management plan</w:t>
      </w:r>
      <w:r w:rsidRPr="002753F3">
        <w:rPr>
          <w:iCs/>
        </w:rPr>
        <w:t>.</w:t>
      </w:r>
    </w:p>
    <w:p w14:paraId="6BDA8AF1" w14:textId="77777777" w:rsidR="00B451B5" w:rsidRPr="002753F3" w:rsidRDefault="00B451B5" w:rsidP="00C63FDC">
      <w:pPr>
        <w:pStyle w:val="Header"/>
        <w:tabs>
          <w:tab w:val="num" w:pos="1080"/>
        </w:tabs>
        <w:rPr>
          <w:b/>
          <w:bCs/>
          <w:szCs w:val="22"/>
        </w:rPr>
      </w:pPr>
    </w:p>
    <w:p w14:paraId="525EDBAF" w14:textId="4C5B8B03" w:rsidR="004D06F9" w:rsidRPr="002753F3" w:rsidRDefault="004D06F9" w:rsidP="00C63FDC">
      <w:pPr>
        <w:pStyle w:val="Header"/>
        <w:tabs>
          <w:tab w:val="num" w:pos="1080"/>
        </w:tabs>
        <w:rPr>
          <w:iCs/>
        </w:rPr>
      </w:pPr>
      <w:r w:rsidRPr="002753F3">
        <w:rPr>
          <w:b/>
          <w:bCs/>
          <w:szCs w:val="22"/>
        </w:rPr>
        <w:t xml:space="preserve">Items </w:t>
      </w:r>
      <w:r w:rsidR="008F1B82" w:rsidRPr="002753F3">
        <w:rPr>
          <w:b/>
          <w:bCs/>
          <w:szCs w:val="22"/>
        </w:rPr>
        <w:t>6</w:t>
      </w:r>
      <w:r w:rsidRPr="002753F3">
        <w:rPr>
          <w:b/>
          <w:bCs/>
          <w:szCs w:val="22"/>
        </w:rPr>
        <w:t xml:space="preserve"> to </w:t>
      </w:r>
      <w:r w:rsidR="008F1B82" w:rsidRPr="002753F3">
        <w:rPr>
          <w:b/>
          <w:bCs/>
          <w:szCs w:val="22"/>
        </w:rPr>
        <w:t>8</w:t>
      </w:r>
      <w:r w:rsidRPr="002753F3">
        <w:rPr>
          <w:b/>
          <w:bCs/>
          <w:szCs w:val="22"/>
        </w:rPr>
        <w:t xml:space="preserve"> </w:t>
      </w:r>
      <w:r w:rsidRPr="002753F3">
        <w:rPr>
          <w:szCs w:val="22"/>
        </w:rPr>
        <w:t xml:space="preserve">amend clause 1.6.1 of OMP Determination to </w:t>
      </w:r>
      <w:r w:rsidR="00811B94" w:rsidRPr="002753F3">
        <w:rPr>
          <w:szCs w:val="22"/>
        </w:rPr>
        <w:t xml:space="preserve">insert </w:t>
      </w:r>
      <w:r w:rsidRPr="002753F3">
        <w:rPr>
          <w:iCs/>
        </w:rPr>
        <w:t>references to six new items for mental health case conference services</w:t>
      </w:r>
      <w:r w:rsidR="00811B94" w:rsidRPr="002753F3">
        <w:rPr>
          <w:iCs/>
        </w:rPr>
        <w:t xml:space="preserve"> (refer to </w:t>
      </w:r>
      <w:r w:rsidR="00811B94" w:rsidRPr="002753F3">
        <w:rPr>
          <w:b/>
          <w:bCs/>
          <w:iCs/>
        </w:rPr>
        <w:t>item 1</w:t>
      </w:r>
      <w:r w:rsidR="008F1B82" w:rsidRPr="002753F3">
        <w:rPr>
          <w:b/>
          <w:bCs/>
          <w:iCs/>
        </w:rPr>
        <w:t>2</w:t>
      </w:r>
      <w:r w:rsidR="00811B94" w:rsidRPr="002753F3">
        <w:rPr>
          <w:iCs/>
        </w:rPr>
        <w:t xml:space="preserve"> of Schedule 2 of the Determination)</w:t>
      </w:r>
      <w:r w:rsidRPr="002753F3">
        <w:rPr>
          <w:iCs/>
        </w:rPr>
        <w:t xml:space="preserve"> and </w:t>
      </w:r>
      <w:r w:rsidR="00811B94" w:rsidRPr="002753F3">
        <w:rPr>
          <w:iCs/>
        </w:rPr>
        <w:t xml:space="preserve">insert </w:t>
      </w:r>
      <w:r w:rsidRPr="002753F3">
        <w:rPr>
          <w:iCs/>
        </w:rPr>
        <w:t xml:space="preserve">the definition of </w:t>
      </w:r>
      <w:r w:rsidRPr="002753F3">
        <w:rPr>
          <w:b/>
          <w:bCs/>
          <w:iCs/>
        </w:rPr>
        <w:t>mental health case conference</w:t>
      </w:r>
      <w:r w:rsidRPr="002753F3">
        <w:rPr>
          <w:iCs/>
        </w:rPr>
        <w:t>.</w:t>
      </w:r>
      <w:r w:rsidR="00811B94" w:rsidRPr="002753F3">
        <w:rPr>
          <w:iCs/>
        </w:rPr>
        <w:t xml:space="preserve"> Clause 1.6.1 provides definitions for terms used in items in Division 1.6 of the OMP Determination.</w:t>
      </w:r>
    </w:p>
    <w:p w14:paraId="1C02685B" w14:textId="236A2761" w:rsidR="00811B94" w:rsidRPr="002753F3" w:rsidRDefault="00811B94" w:rsidP="00C63FDC">
      <w:pPr>
        <w:pStyle w:val="Header"/>
        <w:tabs>
          <w:tab w:val="num" w:pos="1080"/>
        </w:tabs>
        <w:rPr>
          <w:iCs/>
        </w:rPr>
      </w:pPr>
    </w:p>
    <w:p w14:paraId="6F6408A0" w14:textId="278DE9A8" w:rsidR="00D22B62" w:rsidRPr="002753F3" w:rsidRDefault="00811B94" w:rsidP="00C63FDC">
      <w:pPr>
        <w:pStyle w:val="Header"/>
        <w:tabs>
          <w:tab w:val="num" w:pos="1080"/>
        </w:tabs>
        <w:rPr>
          <w:iCs/>
        </w:rPr>
      </w:pPr>
      <w:r w:rsidRPr="002753F3">
        <w:rPr>
          <w:b/>
          <w:bCs/>
          <w:iCs/>
        </w:rPr>
        <w:t xml:space="preserve">Item </w:t>
      </w:r>
      <w:r w:rsidR="008F1B82" w:rsidRPr="002753F3">
        <w:rPr>
          <w:b/>
          <w:bCs/>
          <w:iCs/>
        </w:rPr>
        <w:t>9</w:t>
      </w:r>
      <w:r w:rsidRPr="002753F3">
        <w:rPr>
          <w:iCs/>
        </w:rPr>
        <w:t xml:space="preserve"> amends subclause 1.6.2(5) of the OMP Determination to insert a reference to subclause 2.16.9(1A) of the general medical services table. Subclause 1.6.2(5) applies clause 2.16.9 of the general medical services table, which provides restrictions for GP management plan and team care arrangement services, to items in the OMP Determination.</w:t>
      </w:r>
    </w:p>
    <w:p w14:paraId="10AB6088" w14:textId="19A2F3D6" w:rsidR="00D22B62" w:rsidRPr="002753F3" w:rsidRDefault="00D22B62" w:rsidP="00C63FDC">
      <w:pPr>
        <w:pStyle w:val="Header"/>
        <w:tabs>
          <w:tab w:val="num" w:pos="1080"/>
        </w:tabs>
        <w:rPr>
          <w:iCs/>
        </w:rPr>
      </w:pPr>
    </w:p>
    <w:p w14:paraId="393DF948" w14:textId="121B728B" w:rsidR="00811B94" w:rsidRPr="002753F3" w:rsidRDefault="00D22B62" w:rsidP="00C63FDC">
      <w:pPr>
        <w:pStyle w:val="Header"/>
        <w:tabs>
          <w:tab w:val="num" w:pos="1080"/>
        </w:tabs>
      </w:pPr>
      <w:r w:rsidRPr="002753F3">
        <w:rPr>
          <w:iCs/>
        </w:rPr>
        <w:t xml:space="preserve">Subclause 2.16.9(1A) of the general medical services table will provide access to </w:t>
      </w:r>
      <w:r w:rsidRPr="002753F3">
        <w:t>services for coordinating the development of team care arrangements, or coordinating a review of team care arrangements, for the patient, if the patient:</w:t>
      </w:r>
    </w:p>
    <w:p w14:paraId="18A8363E" w14:textId="77777777" w:rsidR="00D22B62" w:rsidRPr="002753F3" w:rsidRDefault="00D22B62" w:rsidP="00D22B62">
      <w:pPr>
        <w:pStyle w:val="Header"/>
        <w:numPr>
          <w:ilvl w:val="0"/>
          <w:numId w:val="39"/>
        </w:numPr>
      </w:pPr>
      <w:r w:rsidRPr="002753F3">
        <w:t>is referred for a psychological therapy health or focussed psychological strategies health service; or</w:t>
      </w:r>
    </w:p>
    <w:p w14:paraId="4205F51E" w14:textId="0AD40781" w:rsidR="00D22B62" w:rsidRPr="002753F3" w:rsidRDefault="00D22B62" w:rsidP="00D22B62">
      <w:pPr>
        <w:pStyle w:val="Header"/>
        <w:numPr>
          <w:ilvl w:val="0"/>
          <w:numId w:val="39"/>
        </w:numPr>
        <w:rPr>
          <w:iCs/>
        </w:rPr>
      </w:pPr>
      <w:r w:rsidRPr="002753F3">
        <w:t>has an eating disorder treatment and management plan.</w:t>
      </w:r>
    </w:p>
    <w:p w14:paraId="06636D53" w14:textId="3203A9D1" w:rsidR="00811B94" w:rsidRPr="002753F3" w:rsidRDefault="00811B94" w:rsidP="00811B94">
      <w:pPr>
        <w:spacing w:before="240" w:after="240"/>
      </w:pPr>
      <w:r w:rsidRPr="002753F3">
        <w:rPr>
          <w:b/>
          <w:bCs/>
          <w:iCs/>
        </w:rPr>
        <w:lastRenderedPageBreak/>
        <w:t xml:space="preserve">Item </w:t>
      </w:r>
      <w:r w:rsidR="008F1B82" w:rsidRPr="002753F3">
        <w:rPr>
          <w:b/>
          <w:bCs/>
          <w:iCs/>
        </w:rPr>
        <w:t>10</w:t>
      </w:r>
      <w:r w:rsidRPr="002753F3">
        <w:rPr>
          <w:b/>
          <w:bCs/>
          <w:iCs/>
        </w:rPr>
        <w:t xml:space="preserve"> </w:t>
      </w:r>
      <w:r w:rsidRPr="002753F3">
        <w:t xml:space="preserve">amends the table at clause 1.6.3 of the OMP Determination to update the frequency limitations for services provided under items 230 and 233. </w:t>
      </w:r>
    </w:p>
    <w:p w14:paraId="2F65B9A2" w14:textId="09F35ED8" w:rsidR="00811B94" w:rsidRPr="002753F3" w:rsidRDefault="00811B94" w:rsidP="00811B94">
      <w:pPr>
        <w:spacing w:before="240"/>
      </w:pPr>
      <w:r w:rsidRPr="002753F3">
        <w:t>The new patient cohort eligible for services under items 230 and 233 in accordance with subclause 2.16.9(1A) of the general medical services will be able to access:</w:t>
      </w:r>
    </w:p>
    <w:p w14:paraId="6C8F4355" w14:textId="02948E32" w:rsidR="00811B94" w:rsidRPr="002753F3" w:rsidRDefault="00811B94" w:rsidP="00811B94">
      <w:pPr>
        <w:pStyle w:val="ListParagraph"/>
        <w:numPr>
          <w:ilvl w:val="0"/>
          <w:numId w:val="38"/>
        </w:numPr>
        <w:spacing w:after="240"/>
      </w:pPr>
      <w:r w:rsidRPr="002753F3">
        <w:t xml:space="preserve">one service under item 230 or 723 of the general medical services table in a </w:t>
      </w:r>
      <w:proofErr w:type="gramStart"/>
      <w:r w:rsidRPr="002753F3">
        <w:t>12 month</w:t>
      </w:r>
      <w:proofErr w:type="gramEnd"/>
      <w:r w:rsidRPr="002753F3">
        <w:t xml:space="preserve"> period; and</w:t>
      </w:r>
    </w:p>
    <w:p w14:paraId="4F16F8A8" w14:textId="553F22ED" w:rsidR="00811B94" w:rsidRPr="002753F3" w:rsidRDefault="00811B94" w:rsidP="00811B94">
      <w:pPr>
        <w:pStyle w:val="ListParagraph"/>
        <w:numPr>
          <w:ilvl w:val="0"/>
          <w:numId w:val="38"/>
        </w:numPr>
        <w:spacing w:before="240" w:after="240"/>
      </w:pPr>
      <w:r w:rsidRPr="002753F3">
        <w:t xml:space="preserve">one service under item 233 or 732 of the general medical services table in a </w:t>
      </w:r>
      <w:proofErr w:type="gramStart"/>
      <w:r w:rsidRPr="002753F3">
        <w:t>3 month</w:t>
      </w:r>
      <w:proofErr w:type="gramEnd"/>
      <w:r w:rsidRPr="002753F3">
        <w:t xml:space="preserve"> period.</w:t>
      </w:r>
    </w:p>
    <w:p w14:paraId="6F955381" w14:textId="04ABC8FB" w:rsidR="00811B94" w:rsidRPr="002753F3" w:rsidRDefault="00811B94" w:rsidP="00811B94">
      <w:pPr>
        <w:pStyle w:val="Header"/>
        <w:tabs>
          <w:tab w:val="num" w:pos="1080"/>
        </w:tabs>
        <w:rPr>
          <w:iCs/>
        </w:rPr>
      </w:pPr>
      <w:r w:rsidRPr="002753F3">
        <w:t>Accessing services under items 230 and 233 in accordance with subclause 2.16.9(1A) of the general medical services table will not reduce how often a patient may access services under items 230 and 233 in accordance with 2.16.9(1) of the general medical</w:t>
      </w:r>
      <w:r w:rsidR="00D22B62" w:rsidRPr="002753F3">
        <w:t xml:space="preserve"> services table</w:t>
      </w:r>
      <w:r w:rsidRPr="002753F3">
        <w:t xml:space="preserve">. For example, a patient has received one service under item </w:t>
      </w:r>
      <w:r w:rsidR="00D22B62" w:rsidRPr="002753F3">
        <w:t>230</w:t>
      </w:r>
      <w:r w:rsidRPr="002753F3">
        <w:t xml:space="preserve"> in the last 12 months to create team care arrangements for their medical condition that is likely to last six months. However, the patient also has an eating disorder treatment and management plan, and their medical practitioner would like to create team care arrangements in relation to this using item 230. The change to the table at </w:t>
      </w:r>
      <w:r w:rsidR="00D22B62" w:rsidRPr="002753F3">
        <w:t>clause 1.6.3</w:t>
      </w:r>
      <w:r w:rsidRPr="002753F3">
        <w:t xml:space="preserve"> will allow item 23</w:t>
      </w:r>
      <w:r w:rsidR="00D22B62" w:rsidRPr="002753F3">
        <w:t>0</w:t>
      </w:r>
      <w:r w:rsidRPr="002753F3">
        <w:t xml:space="preserve"> to be claimed a second time in 12 months in these circumstances.</w:t>
      </w:r>
    </w:p>
    <w:p w14:paraId="0961E9B8" w14:textId="4EC5D8D0" w:rsidR="00811B94" w:rsidRPr="002753F3" w:rsidRDefault="00811B94" w:rsidP="00C63FDC">
      <w:pPr>
        <w:pStyle w:val="Header"/>
        <w:tabs>
          <w:tab w:val="num" w:pos="1080"/>
        </w:tabs>
        <w:rPr>
          <w:iCs/>
        </w:rPr>
      </w:pPr>
    </w:p>
    <w:p w14:paraId="171B7CF4" w14:textId="081EAEA4" w:rsidR="00D22B62" w:rsidRPr="002753F3" w:rsidRDefault="00D22B62" w:rsidP="00C63FDC">
      <w:pPr>
        <w:pStyle w:val="Header"/>
        <w:tabs>
          <w:tab w:val="num" w:pos="1080"/>
        </w:tabs>
        <w:rPr>
          <w:iCs/>
          <w:szCs w:val="24"/>
        </w:rPr>
      </w:pPr>
      <w:r w:rsidRPr="002753F3">
        <w:rPr>
          <w:b/>
          <w:bCs/>
          <w:iCs/>
        </w:rPr>
        <w:t>Item 1</w:t>
      </w:r>
      <w:r w:rsidR="008F1B82" w:rsidRPr="002753F3">
        <w:rPr>
          <w:b/>
          <w:bCs/>
          <w:iCs/>
        </w:rPr>
        <w:t>1</w:t>
      </w:r>
      <w:r w:rsidRPr="002753F3">
        <w:rPr>
          <w:iCs/>
        </w:rPr>
        <w:t xml:space="preserve"> inserts new clause 1.6.4 which provides application provisions for the six </w:t>
      </w:r>
      <w:r w:rsidRPr="002753F3">
        <w:rPr>
          <w:iCs/>
          <w:szCs w:val="24"/>
        </w:rPr>
        <w:t>new mental health case conference items (</w:t>
      </w:r>
      <w:r w:rsidRPr="002753F3">
        <w:rPr>
          <w:szCs w:val="24"/>
        </w:rPr>
        <w:t xml:space="preserve">refer to </w:t>
      </w:r>
      <w:r w:rsidRPr="002753F3">
        <w:rPr>
          <w:b/>
          <w:bCs/>
          <w:szCs w:val="24"/>
        </w:rPr>
        <w:t>item 1</w:t>
      </w:r>
      <w:r w:rsidR="008F1B82" w:rsidRPr="002753F3">
        <w:rPr>
          <w:b/>
          <w:bCs/>
          <w:szCs w:val="24"/>
        </w:rPr>
        <w:t>2</w:t>
      </w:r>
      <w:r w:rsidRPr="002753F3">
        <w:rPr>
          <w:b/>
          <w:bCs/>
          <w:szCs w:val="24"/>
        </w:rPr>
        <w:t xml:space="preserve"> </w:t>
      </w:r>
      <w:r w:rsidRPr="002753F3">
        <w:rPr>
          <w:szCs w:val="24"/>
        </w:rPr>
        <w:t>of Schedule 2 of the Determination). Items 969, 971, 972, 973, 975 and 986</w:t>
      </w:r>
      <w:r w:rsidRPr="002753F3">
        <w:rPr>
          <w:iCs/>
          <w:szCs w:val="24"/>
        </w:rPr>
        <w:t xml:space="preserve"> will only be available if the patient:</w:t>
      </w:r>
    </w:p>
    <w:p w14:paraId="7F81FE60" w14:textId="1FE54E84" w:rsidR="00AE5E2C" w:rsidRPr="002753F3" w:rsidRDefault="00AE5E2C" w:rsidP="00AE5E2C">
      <w:pPr>
        <w:pStyle w:val="Header"/>
        <w:numPr>
          <w:ilvl w:val="0"/>
          <w:numId w:val="40"/>
        </w:numPr>
        <w:rPr>
          <w:iCs/>
        </w:rPr>
      </w:pPr>
      <w:r w:rsidRPr="002753F3">
        <w:rPr>
          <w:iCs/>
        </w:rPr>
        <w:t>is referred for a psychological therapy health or focussed psychological strategies health service; or</w:t>
      </w:r>
    </w:p>
    <w:p w14:paraId="73EED8D5" w14:textId="2CC1C06A" w:rsidR="00811B94" w:rsidRPr="002753F3" w:rsidRDefault="00AE5E2C" w:rsidP="00AE5E2C">
      <w:pPr>
        <w:pStyle w:val="Header"/>
        <w:numPr>
          <w:ilvl w:val="0"/>
          <w:numId w:val="40"/>
        </w:numPr>
        <w:rPr>
          <w:iCs/>
        </w:rPr>
      </w:pPr>
      <w:r w:rsidRPr="002753F3">
        <w:rPr>
          <w:iCs/>
        </w:rPr>
        <w:t>has an eating disorder treatment and management plan.</w:t>
      </w:r>
    </w:p>
    <w:p w14:paraId="1FFF6246" w14:textId="2369E103" w:rsidR="0032760D" w:rsidRPr="002753F3" w:rsidRDefault="0032760D" w:rsidP="0032760D">
      <w:pPr>
        <w:pStyle w:val="Header"/>
        <w:rPr>
          <w:iCs/>
        </w:rPr>
      </w:pPr>
    </w:p>
    <w:p w14:paraId="2FE9F1CE" w14:textId="782B5824" w:rsidR="0032760D" w:rsidRPr="002753F3" w:rsidRDefault="0032760D" w:rsidP="0032760D">
      <w:pPr>
        <w:pStyle w:val="Header"/>
        <w:rPr>
          <w:iCs/>
        </w:rPr>
      </w:pPr>
      <w:r w:rsidRPr="002753F3">
        <w:rPr>
          <w:b/>
          <w:bCs/>
          <w:iCs/>
        </w:rPr>
        <w:t>Item 1</w:t>
      </w:r>
      <w:r w:rsidR="008F1B82" w:rsidRPr="002753F3">
        <w:rPr>
          <w:b/>
          <w:bCs/>
          <w:iCs/>
        </w:rPr>
        <w:t>2</w:t>
      </w:r>
      <w:r w:rsidRPr="002753F3">
        <w:rPr>
          <w:iCs/>
        </w:rPr>
        <w:t xml:space="preserve"> introduces items 969, 971, 972, 973, 975 and 986 for other medical practitioner </w:t>
      </w:r>
      <w:r w:rsidR="00535EF1" w:rsidRPr="002753F3">
        <w:rPr>
          <w:iCs/>
        </w:rPr>
        <w:t xml:space="preserve">mental health </w:t>
      </w:r>
      <w:r w:rsidRPr="002753F3">
        <w:rPr>
          <w:iCs/>
        </w:rPr>
        <w:t>case conference services.</w:t>
      </w:r>
    </w:p>
    <w:p w14:paraId="21DF9DDC" w14:textId="1767E1F1" w:rsidR="00331752" w:rsidRPr="002753F3" w:rsidRDefault="00331752">
      <w:pPr>
        <w:spacing w:after="200" w:line="276" w:lineRule="auto"/>
        <w:rPr>
          <w:szCs w:val="24"/>
          <w:u w:val="single"/>
        </w:rPr>
      </w:pPr>
      <w:r w:rsidRPr="002753F3">
        <w:rPr>
          <w:szCs w:val="24"/>
          <w:u w:val="single"/>
        </w:rPr>
        <w:br w:type="page"/>
      </w:r>
    </w:p>
    <w:p w14:paraId="2412D14E" w14:textId="632B4BE9" w:rsidR="00A17F2C" w:rsidRPr="002753F3" w:rsidRDefault="00A17F2C" w:rsidP="008D136F">
      <w:pPr>
        <w:pStyle w:val="Header"/>
        <w:tabs>
          <w:tab w:val="num" w:pos="1080"/>
        </w:tabs>
        <w:jc w:val="center"/>
        <w:rPr>
          <w:b/>
          <w:sz w:val="28"/>
          <w:szCs w:val="28"/>
        </w:rPr>
      </w:pPr>
      <w:r w:rsidRPr="002753F3">
        <w:rPr>
          <w:b/>
          <w:sz w:val="28"/>
          <w:szCs w:val="28"/>
        </w:rPr>
        <w:lastRenderedPageBreak/>
        <w:t>Statement of Compatibility with Human Rights</w:t>
      </w:r>
    </w:p>
    <w:p w14:paraId="2412D14F" w14:textId="77777777" w:rsidR="00A17F2C" w:rsidRPr="002753F3" w:rsidRDefault="00A17F2C" w:rsidP="000337CB">
      <w:pPr>
        <w:spacing w:before="120" w:after="120"/>
        <w:jc w:val="center"/>
        <w:rPr>
          <w:szCs w:val="24"/>
        </w:rPr>
      </w:pPr>
      <w:r w:rsidRPr="002753F3">
        <w:rPr>
          <w:i/>
          <w:szCs w:val="24"/>
        </w:rPr>
        <w:t>Prepared in accordance with Part 3 of the Human Rights (Parliamentary Scrutiny) Act 2011</w:t>
      </w:r>
    </w:p>
    <w:p w14:paraId="751DE726" w14:textId="77777777" w:rsidR="002A6C77" w:rsidRPr="002753F3" w:rsidRDefault="002A6C77" w:rsidP="000337CB">
      <w:pPr>
        <w:tabs>
          <w:tab w:val="left" w:pos="1418"/>
        </w:tabs>
        <w:ind w:left="851"/>
        <w:jc w:val="center"/>
        <w:rPr>
          <w:b/>
          <w:i/>
          <w:iCs/>
        </w:rPr>
      </w:pPr>
    </w:p>
    <w:p w14:paraId="3A52A4B2" w14:textId="57731768" w:rsidR="00C6094D" w:rsidRPr="002753F3" w:rsidRDefault="00D471DD" w:rsidP="007708B3">
      <w:pPr>
        <w:tabs>
          <w:tab w:val="left" w:pos="1418"/>
        </w:tabs>
        <w:jc w:val="center"/>
        <w:rPr>
          <w:i/>
          <w:iCs/>
        </w:rPr>
      </w:pPr>
      <w:r w:rsidRPr="002753F3">
        <w:rPr>
          <w:i/>
          <w:iCs/>
        </w:rPr>
        <w:t>Health Insurance Amendment (Mental Health Case Conferencing Services and Indexation) Determination 2023</w:t>
      </w:r>
    </w:p>
    <w:p w14:paraId="1BF56C38" w14:textId="77777777" w:rsidR="007708B3" w:rsidRPr="002753F3" w:rsidRDefault="007708B3" w:rsidP="000337CB">
      <w:pPr>
        <w:tabs>
          <w:tab w:val="left" w:pos="1418"/>
        </w:tabs>
        <w:ind w:left="851"/>
        <w:jc w:val="center"/>
        <w:rPr>
          <w:b/>
          <w:i/>
          <w:szCs w:val="24"/>
        </w:rPr>
      </w:pPr>
    </w:p>
    <w:p w14:paraId="2412D153" w14:textId="7AFD921D" w:rsidR="00A17F2C" w:rsidRPr="002753F3" w:rsidRDefault="00A17F2C" w:rsidP="00F75B7B">
      <w:pPr>
        <w:shd w:val="clear" w:color="auto" w:fill="FFFFFF"/>
        <w:rPr>
          <w:szCs w:val="24"/>
        </w:rPr>
      </w:pPr>
      <w:r w:rsidRPr="002753F3">
        <w:rPr>
          <w:szCs w:val="24"/>
        </w:rPr>
        <w:t xml:space="preserve">This </w:t>
      </w:r>
      <w:r w:rsidR="0046022A" w:rsidRPr="002753F3">
        <w:t>instrument</w:t>
      </w:r>
      <w:r w:rsidRPr="002753F3">
        <w:rPr>
          <w:szCs w:val="24"/>
        </w:rPr>
        <w:t xml:space="preserve"> is compatible with the human rights and freedoms recognised or declared in the international instruments listed in section 3 of the </w:t>
      </w:r>
      <w:r w:rsidRPr="002753F3">
        <w:rPr>
          <w:i/>
          <w:szCs w:val="24"/>
        </w:rPr>
        <w:t>Human Rights (Parliamentary Scrutiny) Act 2011</w:t>
      </w:r>
      <w:r w:rsidRPr="002753F3">
        <w:rPr>
          <w:szCs w:val="24"/>
        </w:rPr>
        <w:t>.</w:t>
      </w:r>
    </w:p>
    <w:p w14:paraId="7EDA9098" w14:textId="306A78E1" w:rsidR="006E6BBF" w:rsidRPr="002753F3" w:rsidRDefault="006E6BBF" w:rsidP="008734F5">
      <w:pPr>
        <w:spacing w:before="120" w:after="120"/>
        <w:rPr>
          <w:b/>
          <w:szCs w:val="24"/>
        </w:rPr>
      </w:pPr>
      <w:r w:rsidRPr="002753F3">
        <w:rPr>
          <w:b/>
          <w:szCs w:val="24"/>
        </w:rPr>
        <w:t xml:space="preserve">Overview of the </w:t>
      </w:r>
      <w:r w:rsidR="00B86A9F" w:rsidRPr="002753F3">
        <w:rPr>
          <w:b/>
          <w:szCs w:val="24"/>
        </w:rPr>
        <w:t>Determination</w:t>
      </w:r>
    </w:p>
    <w:p w14:paraId="3F6B5BB3" w14:textId="77777777" w:rsidR="00535EF1" w:rsidRPr="002753F3" w:rsidRDefault="00535EF1" w:rsidP="00535EF1">
      <w:pPr>
        <w:shd w:val="clear" w:color="auto" w:fill="FFFFFF"/>
      </w:pPr>
      <w:r w:rsidRPr="002753F3">
        <w:t>The</w:t>
      </w:r>
      <w:r w:rsidRPr="002753F3">
        <w:rPr>
          <w:szCs w:val="24"/>
        </w:rPr>
        <w:t xml:space="preserve"> purpose of the </w:t>
      </w:r>
      <w:r w:rsidRPr="002753F3">
        <w:rPr>
          <w:i/>
          <w:iCs/>
        </w:rPr>
        <w:t>Health Insurance Amendment (Mental Health Case Conferencing Services and Indexation) Determination 2023</w:t>
      </w:r>
      <w:r w:rsidRPr="002753F3">
        <w:t xml:space="preserve"> (the Determination) is to amend the </w:t>
      </w:r>
      <w:r w:rsidRPr="002753F3">
        <w:rPr>
          <w:i/>
          <w:iCs/>
        </w:rPr>
        <w:t>Health Insurance (Allied Health Services) Determination 2014</w:t>
      </w:r>
      <w:r w:rsidRPr="002753F3">
        <w:t xml:space="preserve"> (the AHS Determination) and the </w:t>
      </w:r>
      <w:r w:rsidRPr="002753F3">
        <w:rPr>
          <w:i/>
          <w:iCs/>
        </w:rPr>
        <w:t>Health Insurance (Section 3C General Medical Services – Other Medical Practitioner) Determination 2018</w:t>
      </w:r>
      <w:r w:rsidRPr="002753F3">
        <w:t xml:space="preserve"> (the OMP Determination) to:</w:t>
      </w:r>
    </w:p>
    <w:p w14:paraId="14A9B7AC" w14:textId="77777777" w:rsidR="00535EF1" w:rsidRPr="002753F3" w:rsidRDefault="00535EF1" w:rsidP="00535EF1">
      <w:pPr>
        <w:pStyle w:val="ListParagraph"/>
        <w:numPr>
          <w:ilvl w:val="0"/>
          <w:numId w:val="33"/>
        </w:numPr>
        <w:shd w:val="clear" w:color="auto" w:fill="FFFFFF"/>
        <w:rPr>
          <w:szCs w:val="24"/>
        </w:rPr>
      </w:pPr>
      <w:r w:rsidRPr="002753F3">
        <w:rPr>
          <w:szCs w:val="24"/>
        </w:rPr>
        <w:t xml:space="preserve">apply annual </w:t>
      </w:r>
      <w:r w:rsidRPr="002753F3">
        <w:rPr>
          <w:color w:val="000000"/>
          <w:shd w:val="clear" w:color="auto" w:fill="FFFFFF"/>
        </w:rPr>
        <w:t xml:space="preserve">fee indexation by increasing the schedule fees </w:t>
      </w:r>
      <w:r w:rsidRPr="002753F3">
        <w:t xml:space="preserve">of the Medicare Benefits Schedule (MBS) items listed in these principal determinations by 3.6 per </w:t>
      </w:r>
      <w:proofErr w:type="gramStart"/>
      <w:r w:rsidRPr="002753F3">
        <w:t>cent</w:t>
      </w:r>
      <w:r w:rsidRPr="002753F3">
        <w:rPr>
          <w:szCs w:val="24"/>
        </w:rPr>
        <w:t>;</w:t>
      </w:r>
      <w:proofErr w:type="gramEnd"/>
    </w:p>
    <w:p w14:paraId="4DF80C90" w14:textId="77777777" w:rsidR="00535EF1" w:rsidRPr="002753F3" w:rsidRDefault="00535EF1" w:rsidP="00535EF1">
      <w:pPr>
        <w:pStyle w:val="ListParagraph"/>
        <w:numPr>
          <w:ilvl w:val="0"/>
          <w:numId w:val="33"/>
        </w:numPr>
        <w:shd w:val="clear" w:color="auto" w:fill="FFFFFF"/>
        <w:rPr>
          <w:szCs w:val="24"/>
        </w:rPr>
      </w:pPr>
      <w:r w:rsidRPr="002753F3">
        <w:rPr>
          <w:szCs w:val="24"/>
        </w:rPr>
        <w:t xml:space="preserve">introduce nine items to </w:t>
      </w:r>
      <w:r w:rsidRPr="002753F3">
        <w:t xml:space="preserve">enable case conferencing for patients being treated under the </w:t>
      </w:r>
      <w:r w:rsidRPr="002753F3">
        <w:rPr>
          <w:i/>
          <w:iCs/>
        </w:rPr>
        <w:t xml:space="preserve">Better Access to Psychiatrists, Psychologists and General Practitioners through the MBS </w:t>
      </w:r>
      <w:r w:rsidRPr="002753F3">
        <w:t>(Better Access) initiative or an eating disorder treatment and management plan; and</w:t>
      </w:r>
    </w:p>
    <w:p w14:paraId="4006CA4D" w14:textId="77777777" w:rsidR="00535EF1" w:rsidRPr="002753F3" w:rsidRDefault="00535EF1" w:rsidP="00535EF1">
      <w:pPr>
        <w:pStyle w:val="ListParagraph"/>
        <w:numPr>
          <w:ilvl w:val="0"/>
          <w:numId w:val="33"/>
        </w:numPr>
        <w:shd w:val="clear" w:color="auto" w:fill="FFFFFF"/>
        <w:rPr>
          <w:szCs w:val="24"/>
        </w:rPr>
      </w:pPr>
      <w:r w:rsidRPr="002753F3">
        <w:rPr>
          <w:szCs w:val="24"/>
        </w:rPr>
        <w:t xml:space="preserve">allow patients </w:t>
      </w:r>
      <w:r w:rsidRPr="002753F3">
        <w:t>being treated under the Better Access initiative or an eating disorder treatment and management plan</w:t>
      </w:r>
      <w:r w:rsidRPr="002753F3">
        <w:rPr>
          <w:szCs w:val="24"/>
        </w:rPr>
        <w:t xml:space="preserve"> to access services for the creation and review of team care arrangements by </w:t>
      </w:r>
      <w:r w:rsidRPr="002753F3">
        <w:t>other medical practitioners.</w:t>
      </w:r>
    </w:p>
    <w:p w14:paraId="5F8BCB94" w14:textId="77777777" w:rsidR="00535EF1" w:rsidRPr="002753F3" w:rsidRDefault="00535EF1" w:rsidP="00535EF1">
      <w:pPr>
        <w:shd w:val="clear" w:color="auto" w:fill="FFFFFF"/>
        <w:rPr>
          <w:szCs w:val="24"/>
        </w:rPr>
      </w:pPr>
    </w:p>
    <w:p w14:paraId="110DE448" w14:textId="77777777" w:rsidR="00535EF1" w:rsidRPr="002753F3" w:rsidRDefault="00535EF1" w:rsidP="00535EF1">
      <w:pPr>
        <w:shd w:val="clear" w:color="auto" w:fill="FFFFFF"/>
      </w:pPr>
      <w:r w:rsidRPr="002753F3">
        <w:t xml:space="preserve">The increase of </w:t>
      </w:r>
      <w:r w:rsidRPr="002753F3">
        <w:rPr>
          <w:szCs w:val="24"/>
        </w:rPr>
        <w:t>the</w:t>
      </w:r>
      <w:r w:rsidRPr="002753F3">
        <w:t xml:space="preserve"> schedule fees for items in the AHS Determination and OMP Determination reflects the Australian Government’s policy regarding Medicare indexation and means that patients will receive an increased Medicare benefit for these services.</w:t>
      </w:r>
    </w:p>
    <w:p w14:paraId="5CFB46C4" w14:textId="77777777" w:rsidR="00535EF1" w:rsidRPr="002753F3" w:rsidRDefault="00535EF1" w:rsidP="00535EF1">
      <w:pPr>
        <w:shd w:val="clear" w:color="auto" w:fill="FFFFFF"/>
      </w:pPr>
    </w:p>
    <w:p w14:paraId="5F104528" w14:textId="2ED6B847" w:rsidR="00C67BC7" w:rsidRPr="002753F3" w:rsidRDefault="00535EF1" w:rsidP="00F75B7B">
      <w:pPr>
        <w:shd w:val="clear" w:color="auto" w:fill="FFFFFF"/>
        <w:rPr>
          <w:iCs/>
        </w:rPr>
      </w:pPr>
      <w:r w:rsidRPr="002753F3">
        <w:t xml:space="preserve">The new mental health case conferencing items, and the changes to allow patients being treated under the Better Access </w:t>
      </w:r>
      <w:r w:rsidRPr="002753F3">
        <w:rPr>
          <w:szCs w:val="24"/>
        </w:rPr>
        <w:t>initiative</w:t>
      </w:r>
      <w:r w:rsidRPr="002753F3">
        <w:t xml:space="preserve"> or an eating disorder treatment and management plan to access services for the creation and review of team care arrangements, were announced in the 2022-23 March Budget under the</w:t>
      </w:r>
      <w:r w:rsidRPr="002753F3">
        <w:rPr>
          <w:bCs/>
        </w:rPr>
        <w:t xml:space="preserve"> </w:t>
      </w:r>
      <w:r w:rsidRPr="002753F3">
        <w:rPr>
          <w:bCs/>
          <w:i/>
          <w:iCs/>
        </w:rPr>
        <w:t>Prioritising Mental Health</w:t>
      </w:r>
      <w:r w:rsidRPr="002753F3">
        <w:rPr>
          <w:bCs/>
        </w:rPr>
        <w:t xml:space="preserve"> measure.</w:t>
      </w:r>
    </w:p>
    <w:p w14:paraId="31515278" w14:textId="28FBF7FC" w:rsidR="007708B3" w:rsidRPr="002753F3" w:rsidRDefault="007708B3" w:rsidP="002A6C77">
      <w:pPr>
        <w:ind w:right="-482"/>
        <w:rPr>
          <w:iCs/>
        </w:rPr>
      </w:pPr>
    </w:p>
    <w:p w14:paraId="2412D15C" w14:textId="50D38E8B" w:rsidR="00A17F2C" w:rsidRPr="002753F3" w:rsidRDefault="00A17F2C" w:rsidP="002A6C77">
      <w:pPr>
        <w:ind w:right="-482"/>
        <w:rPr>
          <w:b/>
          <w:szCs w:val="24"/>
        </w:rPr>
      </w:pPr>
      <w:r w:rsidRPr="002753F3">
        <w:rPr>
          <w:b/>
          <w:szCs w:val="24"/>
        </w:rPr>
        <w:t>Human rights implications</w:t>
      </w:r>
    </w:p>
    <w:p w14:paraId="449665F0" w14:textId="2ED3F54B" w:rsidR="00806020" w:rsidRPr="002753F3" w:rsidRDefault="00806020" w:rsidP="00806020">
      <w:pPr>
        <w:spacing w:before="120" w:after="120"/>
        <w:rPr>
          <w:szCs w:val="24"/>
        </w:rPr>
      </w:pPr>
      <w:r w:rsidRPr="002753F3">
        <w:rPr>
          <w:szCs w:val="24"/>
        </w:rPr>
        <w:t xml:space="preserve">This instrument engages Articles 9 and 12 of the International Covenant on Economic Social and Cultural Rights (ICESCR), specifically the rights to health and social security. </w:t>
      </w:r>
    </w:p>
    <w:p w14:paraId="2412D15E" w14:textId="1567A7A0" w:rsidR="00A17F2C" w:rsidRPr="002753F3" w:rsidRDefault="00A17F2C" w:rsidP="00806020">
      <w:pPr>
        <w:spacing w:before="120" w:after="120"/>
        <w:rPr>
          <w:i/>
          <w:szCs w:val="24"/>
        </w:rPr>
      </w:pPr>
      <w:r w:rsidRPr="002753F3">
        <w:rPr>
          <w:i/>
          <w:szCs w:val="24"/>
        </w:rPr>
        <w:t>The Right to Health</w:t>
      </w:r>
    </w:p>
    <w:p w14:paraId="2412D15F" w14:textId="568A0BDA" w:rsidR="00A17F2C" w:rsidRPr="002753F3" w:rsidRDefault="00A17F2C" w:rsidP="00F75B7B">
      <w:pPr>
        <w:shd w:val="clear" w:color="auto" w:fill="FFFFFF"/>
        <w:rPr>
          <w:szCs w:val="24"/>
        </w:rPr>
      </w:pPr>
      <w:r w:rsidRPr="002753F3">
        <w:rPr>
          <w:szCs w:val="24"/>
        </w:rPr>
        <w:t xml:space="preserve">The right </w:t>
      </w:r>
      <w:r w:rsidRPr="002753F3">
        <w:t>to</w:t>
      </w:r>
      <w:r w:rsidRPr="002753F3">
        <w:rPr>
          <w:szCs w:val="24"/>
        </w:rPr>
        <w:t xml:space="preserve"> the enjoyment of the highest attainable standard of physical and mental health is contained in Article 12(1) of the ICESCR. The UN Committee on Economic Social and Cultural Rights (the Committee) has stated that the right to health is not a right for each individual to be </w:t>
      </w:r>
      <w:proofErr w:type="gramStart"/>
      <w:r w:rsidRPr="002753F3">
        <w:rPr>
          <w:szCs w:val="24"/>
        </w:rPr>
        <w:t>healthy, but</w:t>
      </w:r>
      <w:proofErr w:type="gramEnd"/>
      <w:r w:rsidRPr="002753F3">
        <w:rPr>
          <w:szCs w:val="24"/>
        </w:rPr>
        <w:t xml:space="preserve"> is a right to a system of health protection which provides equality of opportunity for people to enjoy the highest attainable level of health. </w:t>
      </w:r>
    </w:p>
    <w:p w14:paraId="08F58C21" w14:textId="77777777" w:rsidR="00F75B7B" w:rsidRPr="002753F3" w:rsidRDefault="00F75B7B" w:rsidP="00F75B7B">
      <w:pPr>
        <w:shd w:val="clear" w:color="auto" w:fill="FFFFFF"/>
        <w:rPr>
          <w:szCs w:val="24"/>
        </w:rPr>
      </w:pPr>
    </w:p>
    <w:p w14:paraId="2412D160" w14:textId="77777777" w:rsidR="00A17F2C" w:rsidRPr="002753F3" w:rsidRDefault="00A17F2C" w:rsidP="00F75B7B">
      <w:pPr>
        <w:shd w:val="clear" w:color="auto" w:fill="FFFFFF"/>
        <w:rPr>
          <w:szCs w:val="24"/>
        </w:rPr>
      </w:pPr>
      <w:r w:rsidRPr="002753F3">
        <w:rPr>
          <w:szCs w:val="24"/>
        </w:rPr>
        <w:t xml:space="preserve">The Committee reports that the </w:t>
      </w:r>
      <w:r w:rsidRPr="002753F3">
        <w:rPr>
          <w:i/>
          <w:szCs w:val="24"/>
        </w:rPr>
        <w:t>‘highest attainable standard of health’</w:t>
      </w:r>
      <w:r w:rsidRPr="002753F3">
        <w:rPr>
          <w:szCs w:val="24"/>
        </w:rPr>
        <w:t xml:space="preserve"> </w:t>
      </w:r>
      <w:proofErr w:type="gramStart"/>
      <w:r w:rsidRPr="002753F3">
        <w:rPr>
          <w:szCs w:val="24"/>
        </w:rPr>
        <w:t>takes into account</w:t>
      </w:r>
      <w:proofErr w:type="gramEnd"/>
      <w:r w:rsidRPr="002753F3">
        <w:rPr>
          <w:szCs w:val="24"/>
        </w:rPr>
        <w:t xml:space="preserve"> the country’s available resources. This right may be understood as a right of access to a variety of public health and health care facilities, goods, services, programs, and conditions necessary for the realisation of the highest attainable standard of health. </w:t>
      </w:r>
    </w:p>
    <w:p w14:paraId="2412D161" w14:textId="0585490B" w:rsidR="00A17F2C" w:rsidRPr="002753F3" w:rsidRDefault="00A17F2C" w:rsidP="000337CB">
      <w:pPr>
        <w:spacing w:before="120" w:after="120"/>
        <w:rPr>
          <w:i/>
          <w:szCs w:val="24"/>
        </w:rPr>
      </w:pPr>
      <w:r w:rsidRPr="002753F3">
        <w:rPr>
          <w:i/>
          <w:szCs w:val="24"/>
        </w:rPr>
        <w:lastRenderedPageBreak/>
        <w:t xml:space="preserve">The Right to Social Security </w:t>
      </w:r>
    </w:p>
    <w:p w14:paraId="2412D162" w14:textId="6094D221" w:rsidR="00A17F2C" w:rsidRPr="002753F3" w:rsidRDefault="00A17F2C" w:rsidP="00F75B7B">
      <w:pPr>
        <w:shd w:val="clear" w:color="auto" w:fill="FFFFFF"/>
        <w:rPr>
          <w:szCs w:val="24"/>
        </w:rPr>
      </w:pPr>
      <w:r w:rsidRPr="002753F3">
        <w:rPr>
          <w:iCs/>
          <w:szCs w:val="24"/>
        </w:rPr>
        <w:t>The</w:t>
      </w:r>
      <w:r w:rsidRPr="002753F3">
        <w:rPr>
          <w:szCs w:val="24"/>
        </w:rPr>
        <w:t xml:space="preserve"> right to social security is contained in Article 9 of the ICESCR. It requires that a country must, within its maximum available resources, ensure access to a social security scheme that</w:t>
      </w:r>
      <w:r w:rsidR="00BA69CB" w:rsidRPr="002753F3">
        <w:rPr>
          <w:szCs w:val="24"/>
        </w:rPr>
        <w:t xml:space="preserve"> </w:t>
      </w:r>
      <w:r w:rsidRPr="002753F3">
        <w:rPr>
          <w:szCs w:val="24"/>
        </w:rPr>
        <w:t xml:space="preserve">provides a minimum essential level of benefits to all individuals and families that will enable them to acquire at least essential health care. Countries are obliged to demonstrate that every effort has been made to use all resources that are at their disposal </w:t>
      </w:r>
      <w:proofErr w:type="gramStart"/>
      <w:r w:rsidRPr="002753F3">
        <w:rPr>
          <w:szCs w:val="24"/>
        </w:rPr>
        <w:t>in an effort to</w:t>
      </w:r>
      <w:proofErr w:type="gramEnd"/>
      <w:r w:rsidRPr="002753F3">
        <w:rPr>
          <w:szCs w:val="24"/>
        </w:rPr>
        <w:t xml:space="preserve"> satisfy, as a matter of priority, this minimum obligation.</w:t>
      </w:r>
    </w:p>
    <w:p w14:paraId="484E1D2C" w14:textId="77777777" w:rsidR="00F75B7B" w:rsidRPr="002753F3" w:rsidRDefault="00F75B7B" w:rsidP="00F75B7B">
      <w:pPr>
        <w:shd w:val="clear" w:color="auto" w:fill="FFFFFF"/>
        <w:rPr>
          <w:szCs w:val="24"/>
        </w:rPr>
      </w:pPr>
    </w:p>
    <w:p w14:paraId="66FC6343" w14:textId="78CFC98B" w:rsidR="00B612B5" w:rsidRPr="002753F3" w:rsidRDefault="00A17F2C" w:rsidP="00F75B7B">
      <w:pPr>
        <w:shd w:val="clear" w:color="auto" w:fill="FFFFFF"/>
        <w:rPr>
          <w:szCs w:val="24"/>
        </w:rPr>
      </w:pPr>
      <w:r w:rsidRPr="002753F3">
        <w:rPr>
          <w:szCs w:val="24"/>
        </w:rPr>
        <w:t xml:space="preserve">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w:t>
      </w:r>
      <w:proofErr w:type="gramStart"/>
      <w:r w:rsidRPr="002753F3">
        <w:rPr>
          <w:szCs w:val="24"/>
        </w:rPr>
        <w:t>Government</w:t>
      </w:r>
      <w:proofErr w:type="gramEnd"/>
      <w:r w:rsidRPr="002753F3">
        <w:rPr>
          <w:szCs w:val="24"/>
        </w:rPr>
        <w:t xml:space="preserve"> to re-direct its limited resources in ways that it considers to be more effective at meeting the general health needs of all society, particularly the needs of the more disadvantaged members of society.</w:t>
      </w:r>
    </w:p>
    <w:p w14:paraId="31D17BE7" w14:textId="77777777" w:rsidR="00B612B5" w:rsidRPr="002753F3" w:rsidRDefault="00B612B5" w:rsidP="00B612B5">
      <w:pPr>
        <w:spacing w:before="120" w:after="120"/>
        <w:rPr>
          <w:i/>
          <w:szCs w:val="24"/>
        </w:rPr>
      </w:pPr>
      <w:r w:rsidRPr="002753F3">
        <w:rPr>
          <w:i/>
          <w:szCs w:val="24"/>
        </w:rPr>
        <w:t>The right of equality and non-discrimination</w:t>
      </w:r>
    </w:p>
    <w:p w14:paraId="01405BA5" w14:textId="6B9DB180" w:rsidR="00B612B5" w:rsidRPr="002753F3" w:rsidRDefault="00B612B5" w:rsidP="00F75B7B">
      <w:pPr>
        <w:spacing w:before="120" w:after="120"/>
        <w:rPr>
          <w:szCs w:val="24"/>
        </w:rPr>
      </w:pPr>
      <w:r w:rsidRPr="002753F3">
        <w:rPr>
          <w:iCs/>
          <w:szCs w:val="24"/>
        </w:rPr>
        <w:t>The</w:t>
      </w:r>
      <w:r w:rsidRPr="002753F3">
        <w:rPr>
          <w:szCs w:val="24"/>
        </w:rPr>
        <w:t xml:space="preserve"> rights of equality and non-discrimination are contained in articles 2, 16 and 26 of the International Covenant on Civil and Political Rights (ICCPR).  Article 26 of the ICCPR requires that all persons are equal before the law, are entitled without any discrimination to the equal protection of the law and in this respect, the law shall prohibit any discrimination and guarantee to all persons equal and effective protection against discrimination on any ground such as race, colour, sex, language, religion, political or other opinion, national or social origin, property, </w:t>
      </w:r>
      <w:proofErr w:type="gramStart"/>
      <w:r w:rsidRPr="002753F3">
        <w:rPr>
          <w:szCs w:val="24"/>
        </w:rPr>
        <w:t>birth</w:t>
      </w:r>
      <w:proofErr w:type="gramEnd"/>
      <w:r w:rsidRPr="002753F3">
        <w:rPr>
          <w:szCs w:val="24"/>
        </w:rPr>
        <w:t xml:space="preserve"> or other status.</w:t>
      </w:r>
    </w:p>
    <w:p w14:paraId="2412D164" w14:textId="1BF78036" w:rsidR="00A17F2C" w:rsidRPr="002753F3" w:rsidRDefault="00A17F2C" w:rsidP="000337CB">
      <w:pPr>
        <w:spacing w:before="120" w:after="120"/>
        <w:rPr>
          <w:szCs w:val="24"/>
          <w:u w:val="single"/>
        </w:rPr>
      </w:pPr>
      <w:r w:rsidRPr="002753F3">
        <w:rPr>
          <w:szCs w:val="24"/>
          <w:u w:val="single"/>
        </w:rPr>
        <w:t xml:space="preserve">Analysis </w:t>
      </w:r>
    </w:p>
    <w:p w14:paraId="5CED5F70" w14:textId="692C92EE" w:rsidR="0079191B" w:rsidRPr="002753F3" w:rsidRDefault="00E32594" w:rsidP="00F75B7B">
      <w:pPr>
        <w:spacing w:before="120" w:after="120"/>
        <w:rPr>
          <w:szCs w:val="24"/>
        </w:rPr>
      </w:pPr>
      <w:r w:rsidRPr="002753F3">
        <w:rPr>
          <w:szCs w:val="24"/>
        </w:rPr>
        <w:t xml:space="preserve">This instrument advances the rights to health and social security and the right of equality and non-discrimination by increasing the Medicare benefit patients will receive when accessing the services </w:t>
      </w:r>
      <w:r w:rsidRPr="002753F3">
        <w:rPr>
          <w:color w:val="000000"/>
          <w:szCs w:val="24"/>
        </w:rPr>
        <w:t>listed in the determinations specified</w:t>
      </w:r>
      <w:r w:rsidRPr="002753F3">
        <w:rPr>
          <w:szCs w:val="24"/>
        </w:rPr>
        <w:t xml:space="preserve">. This will assist patients to continue accessing clinically relevant health services. This instrument also advances </w:t>
      </w:r>
      <w:proofErr w:type="gramStart"/>
      <w:r w:rsidRPr="002753F3">
        <w:rPr>
          <w:szCs w:val="24"/>
        </w:rPr>
        <w:t>these right</w:t>
      </w:r>
      <w:proofErr w:type="gramEnd"/>
      <w:r w:rsidRPr="002753F3">
        <w:rPr>
          <w:szCs w:val="24"/>
        </w:rPr>
        <w:t xml:space="preserve"> by providing patients with access to mental health case conference services.</w:t>
      </w:r>
    </w:p>
    <w:p w14:paraId="7BE1446C" w14:textId="77777777" w:rsidR="00F75B7B" w:rsidRPr="002753F3" w:rsidRDefault="00A17F2C" w:rsidP="00F75B7B">
      <w:pPr>
        <w:spacing w:before="120" w:after="120"/>
        <w:rPr>
          <w:b/>
          <w:szCs w:val="24"/>
        </w:rPr>
      </w:pPr>
      <w:r w:rsidRPr="002753F3">
        <w:rPr>
          <w:b/>
          <w:szCs w:val="24"/>
        </w:rPr>
        <w:t xml:space="preserve">Conclusion </w:t>
      </w:r>
    </w:p>
    <w:p w14:paraId="2412D167" w14:textId="788405D9" w:rsidR="00A17F2C" w:rsidRPr="002753F3" w:rsidRDefault="006E6BBF" w:rsidP="00F75B7B">
      <w:pPr>
        <w:spacing w:before="120" w:after="120"/>
        <w:rPr>
          <w:b/>
          <w:szCs w:val="24"/>
        </w:rPr>
      </w:pPr>
      <w:r w:rsidRPr="002753F3">
        <w:rPr>
          <w:bCs/>
          <w:szCs w:val="24"/>
        </w:rPr>
        <w:t xml:space="preserve">This </w:t>
      </w:r>
      <w:r w:rsidR="0046022A" w:rsidRPr="002753F3">
        <w:rPr>
          <w:bCs/>
          <w:szCs w:val="24"/>
        </w:rPr>
        <w:t>instrument</w:t>
      </w:r>
      <w:r w:rsidRPr="002753F3">
        <w:rPr>
          <w:szCs w:val="24"/>
        </w:rPr>
        <w:t xml:space="preserve"> </w:t>
      </w:r>
      <w:r w:rsidR="00F15284" w:rsidRPr="002753F3">
        <w:rPr>
          <w:szCs w:val="24"/>
        </w:rPr>
        <w:t xml:space="preserve">is compatible with human rights as it </w:t>
      </w:r>
      <w:r w:rsidR="00E32594" w:rsidRPr="002753F3">
        <w:rPr>
          <w:szCs w:val="24"/>
        </w:rPr>
        <w:t>advance</w:t>
      </w:r>
      <w:r w:rsidR="007C7403" w:rsidRPr="002753F3">
        <w:rPr>
          <w:szCs w:val="24"/>
        </w:rPr>
        <w:t xml:space="preserve">s the </w:t>
      </w:r>
      <w:r w:rsidR="00910EF6" w:rsidRPr="002753F3">
        <w:rPr>
          <w:szCs w:val="24"/>
        </w:rPr>
        <w:t>right to health</w:t>
      </w:r>
      <w:r w:rsidR="00E32594" w:rsidRPr="002753F3">
        <w:rPr>
          <w:szCs w:val="24"/>
        </w:rPr>
        <w:t>,</w:t>
      </w:r>
      <w:r w:rsidR="00910EF6" w:rsidRPr="002753F3">
        <w:rPr>
          <w:szCs w:val="24"/>
        </w:rPr>
        <w:t xml:space="preserve"> the right to social security</w:t>
      </w:r>
      <w:r w:rsidR="00E32594" w:rsidRPr="002753F3">
        <w:rPr>
          <w:szCs w:val="24"/>
        </w:rPr>
        <w:t xml:space="preserve"> and the right of equality and non-discrimination.</w:t>
      </w:r>
      <w:r w:rsidR="00910EF6" w:rsidRPr="002753F3">
        <w:rPr>
          <w:szCs w:val="24"/>
        </w:rPr>
        <w:t xml:space="preserve"> </w:t>
      </w:r>
    </w:p>
    <w:p w14:paraId="2412D168" w14:textId="77777777" w:rsidR="00F15284" w:rsidRPr="002753F3" w:rsidRDefault="00F15284" w:rsidP="000337CB">
      <w:pPr>
        <w:rPr>
          <w:rFonts w:eastAsia="Calibri"/>
          <w:szCs w:val="24"/>
          <w:lang w:eastAsia="en-US"/>
        </w:rPr>
      </w:pPr>
    </w:p>
    <w:p w14:paraId="75A46380" w14:textId="77777777" w:rsidR="00C67BC7" w:rsidRPr="002753F3" w:rsidRDefault="00C67BC7" w:rsidP="000F2948">
      <w:pPr>
        <w:jc w:val="center"/>
        <w:rPr>
          <w:b/>
          <w:bCs/>
        </w:rPr>
      </w:pPr>
    </w:p>
    <w:p w14:paraId="4BF7C5C3" w14:textId="77777777" w:rsidR="00E32594" w:rsidRPr="002753F3" w:rsidRDefault="00E32594" w:rsidP="00E32594">
      <w:pPr>
        <w:shd w:val="clear" w:color="auto" w:fill="FFFFFF"/>
        <w:spacing w:line="240" w:lineRule="atLeast"/>
        <w:ind w:right="397"/>
        <w:jc w:val="center"/>
        <w:rPr>
          <w:b/>
          <w:bCs/>
          <w:sz w:val="22"/>
          <w:szCs w:val="22"/>
        </w:rPr>
      </w:pPr>
      <w:r w:rsidRPr="002753F3">
        <w:rPr>
          <w:b/>
          <w:bCs/>
          <w:szCs w:val="22"/>
        </w:rPr>
        <w:t>Daniel McCabe</w:t>
      </w:r>
    </w:p>
    <w:p w14:paraId="7B6AA8EC" w14:textId="77777777" w:rsidR="00E32594" w:rsidRPr="002753F3" w:rsidRDefault="00E32594" w:rsidP="00E32594">
      <w:pPr>
        <w:shd w:val="clear" w:color="auto" w:fill="FFFFFF"/>
        <w:spacing w:line="240" w:lineRule="atLeast"/>
        <w:ind w:right="397"/>
        <w:jc w:val="center"/>
        <w:rPr>
          <w:b/>
          <w:bCs/>
          <w:szCs w:val="22"/>
        </w:rPr>
      </w:pPr>
      <w:r w:rsidRPr="002753F3">
        <w:rPr>
          <w:b/>
          <w:bCs/>
          <w:szCs w:val="22"/>
        </w:rPr>
        <w:t>First Assistant Secretary</w:t>
      </w:r>
    </w:p>
    <w:p w14:paraId="23797AD7" w14:textId="6E7F1784" w:rsidR="00E32594" w:rsidRPr="002753F3" w:rsidRDefault="00E32594" w:rsidP="00E32594">
      <w:pPr>
        <w:shd w:val="clear" w:color="auto" w:fill="FFFFFF"/>
        <w:spacing w:line="240" w:lineRule="atLeast"/>
        <w:ind w:right="397"/>
        <w:jc w:val="center"/>
        <w:rPr>
          <w:b/>
          <w:bCs/>
          <w:szCs w:val="22"/>
        </w:rPr>
      </w:pPr>
      <w:r w:rsidRPr="002753F3">
        <w:rPr>
          <w:b/>
          <w:bCs/>
          <w:szCs w:val="22"/>
        </w:rPr>
        <w:t>Medica</w:t>
      </w:r>
      <w:r w:rsidR="00C32976" w:rsidRPr="002753F3">
        <w:rPr>
          <w:b/>
          <w:bCs/>
          <w:szCs w:val="22"/>
        </w:rPr>
        <w:t>re</w:t>
      </w:r>
      <w:r w:rsidRPr="002753F3">
        <w:rPr>
          <w:b/>
          <w:bCs/>
          <w:szCs w:val="22"/>
        </w:rPr>
        <w:t xml:space="preserve"> Benefits and Digital Health Division </w:t>
      </w:r>
    </w:p>
    <w:p w14:paraId="066A4C32" w14:textId="77777777" w:rsidR="00E32594" w:rsidRPr="002753F3" w:rsidRDefault="00E32594" w:rsidP="00E32594">
      <w:pPr>
        <w:shd w:val="clear" w:color="auto" w:fill="FFFFFF"/>
        <w:spacing w:line="240" w:lineRule="atLeast"/>
        <w:ind w:right="397"/>
        <w:jc w:val="center"/>
        <w:rPr>
          <w:b/>
          <w:bCs/>
          <w:szCs w:val="22"/>
        </w:rPr>
      </w:pPr>
      <w:r w:rsidRPr="002753F3">
        <w:rPr>
          <w:b/>
          <w:bCs/>
          <w:szCs w:val="22"/>
        </w:rPr>
        <w:t>Health Resourcing Group</w:t>
      </w:r>
    </w:p>
    <w:p w14:paraId="2412D16E" w14:textId="36F9D595" w:rsidR="00636C51" w:rsidRPr="00825D52" w:rsidRDefault="00E32594" w:rsidP="00E32594">
      <w:pPr>
        <w:jc w:val="center"/>
        <w:rPr>
          <w:rFonts w:eastAsia="Calibri"/>
          <w:szCs w:val="24"/>
          <w:lang w:eastAsia="en-US"/>
        </w:rPr>
      </w:pPr>
      <w:r w:rsidRPr="002753F3">
        <w:rPr>
          <w:b/>
          <w:bCs/>
        </w:rPr>
        <w:t>Department of Health and Aged Care</w:t>
      </w:r>
    </w:p>
    <w:sectPr w:rsidR="00636C51" w:rsidRPr="00825D52" w:rsidSect="00B15781">
      <w:headerReference w:type="even" r:id="rId12"/>
      <w:headerReference w:type="default" r:id="rId13"/>
      <w:headerReference w:type="first" r:id="rId14"/>
      <w:pgSz w:w="11906" w:h="16838"/>
      <w:pgMar w:top="1440" w:right="1133" w:bottom="1440" w:left="1440"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8D333" w14:textId="77777777" w:rsidR="00511DBC" w:rsidRDefault="00511DBC">
      <w:r>
        <w:separator/>
      </w:r>
    </w:p>
  </w:endnote>
  <w:endnote w:type="continuationSeparator" w:id="0">
    <w:p w14:paraId="6A98B978" w14:textId="77777777" w:rsidR="00511DBC" w:rsidRDefault="00511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64CC3" w14:textId="77777777" w:rsidR="00511DBC" w:rsidRDefault="00511DBC">
      <w:r>
        <w:separator/>
      </w:r>
    </w:p>
  </w:footnote>
  <w:footnote w:type="continuationSeparator" w:id="0">
    <w:p w14:paraId="1F4EB998" w14:textId="77777777" w:rsidR="00511DBC" w:rsidRDefault="00511D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2D176" w14:textId="10FCF571" w:rsidR="00A1739A" w:rsidRDefault="00A1739A" w:rsidP="00BD6F5F">
    <w:pPr>
      <w:pStyle w:val="Header"/>
      <w:jc w:val="center"/>
    </w:pPr>
    <w:r>
      <w:fldChar w:fldCharType="begin"/>
    </w:r>
    <w:r>
      <w:instrText xml:space="preserve"> PAGE  \* Arabic  \* MERGEFORMAT </w:instrText>
    </w:r>
    <w:r>
      <w:fldChar w:fldCharType="separate"/>
    </w:r>
    <w:r w:rsidR="00B612B5">
      <w:rPr>
        <w:noProof/>
      </w:rPr>
      <w:t>2</w:t>
    </w:r>
    <w:r>
      <w:fldChar w:fldCharType="end"/>
    </w:r>
  </w:p>
  <w:p w14:paraId="2412D177" w14:textId="77777777" w:rsidR="00A1739A" w:rsidRDefault="00A17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2D178" w14:textId="77777777" w:rsidR="001C35BC" w:rsidRDefault="001C35BC" w:rsidP="009D37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412D179" w14:textId="77777777" w:rsidR="001C35BC" w:rsidRDefault="001C35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1527589"/>
      <w:docPartObj>
        <w:docPartGallery w:val="Page Numbers (Top of Page)"/>
        <w:docPartUnique/>
      </w:docPartObj>
    </w:sdtPr>
    <w:sdtEndPr>
      <w:rPr>
        <w:noProof/>
      </w:rPr>
    </w:sdtEndPr>
    <w:sdtContent>
      <w:p w14:paraId="2412D17A" w14:textId="5A938825" w:rsidR="00E23B6B" w:rsidRDefault="00E23B6B">
        <w:pPr>
          <w:pStyle w:val="Header"/>
          <w:jc w:val="center"/>
        </w:pPr>
        <w:r>
          <w:fldChar w:fldCharType="begin"/>
        </w:r>
        <w:r>
          <w:instrText xml:space="preserve"> PAGE   \* MERGEFORMAT </w:instrText>
        </w:r>
        <w:r>
          <w:fldChar w:fldCharType="separate"/>
        </w:r>
        <w:r w:rsidR="00B612B5">
          <w:rPr>
            <w:noProof/>
          </w:rPr>
          <w:t>5</w:t>
        </w:r>
        <w:r>
          <w:rPr>
            <w:noProof/>
          </w:rPr>
          <w:fldChar w:fldCharType="end"/>
        </w:r>
      </w:p>
    </w:sdtContent>
  </w:sdt>
  <w:p w14:paraId="2412D17B" w14:textId="77777777" w:rsidR="001C35BC" w:rsidRDefault="001C35BC" w:rsidP="00E23B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2389212"/>
      <w:docPartObj>
        <w:docPartGallery w:val="Page Numbers (Top of Page)"/>
        <w:docPartUnique/>
      </w:docPartObj>
    </w:sdtPr>
    <w:sdtEndPr>
      <w:rPr>
        <w:noProof/>
      </w:rPr>
    </w:sdtEndPr>
    <w:sdtContent>
      <w:p w14:paraId="2412D17C" w14:textId="76B7DDB7" w:rsidR="00E23B6B" w:rsidRDefault="00E23B6B">
        <w:pPr>
          <w:pStyle w:val="Header"/>
          <w:jc w:val="center"/>
        </w:pPr>
        <w:r>
          <w:fldChar w:fldCharType="begin"/>
        </w:r>
        <w:r>
          <w:instrText xml:space="preserve"> PAGE   \* MERGEFORMAT </w:instrText>
        </w:r>
        <w:r>
          <w:fldChar w:fldCharType="separate"/>
        </w:r>
        <w:r w:rsidR="00B612B5">
          <w:rPr>
            <w:noProof/>
          </w:rPr>
          <w:t>3</w:t>
        </w:r>
        <w:r>
          <w:rPr>
            <w:noProof/>
          </w:rPr>
          <w:fldChar w:fldCharType="end"/>
        </w:r>
      </w:p>
    </w:sdtContent>
  </w:sdt>
  <w:p w14:paraId="2412D17D" w14:textId="77777777" w:rsidR="00BA67DC" w:rsidRDefault="00BA6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3F34"/>
    <w:multiLevelType w:val="hybridMultilevel"/>
    <w:tmpl w:val="C76C1D78"/>
    <w:lvl w:ilvl="0" w:tplc="0CCC3EE2">
      <w:start w:val="1"/>
      <w:numFmt w:val="lowerRoman"/>
      <w:lvlText w:val="(%1)"/>
      <w:lvlJc w:val="left"/>
      <w:pPr>
        <w:ind w:left="1974" w:hanging="720"/>
      </w:pPr>
    </w:lvl>
    <w:lvl w:ilvl="1" w:tplc="0C090019">
      <w:start w:val="1"/>
      <w:numFmt w:val="lowerLetter"/>
      <w:lvlText w:val="%2."/>
      <w:lvlJc w:val="left"/>
      <w:pPr>
        <w:ind w:left="2334" w:hanging="360"/>
      </w:pPr>
    </w:lvl>
    <w:lvl w:ilvl="2" w:tplc="0C09001B">
      <w:start w:val="1"/>
      <w:numFmt w:val="lowerRoman"/>
      <w:lvlText w:val="%3."/>
      <w:lvlJc w:val="right"/>
      <w:pPr>
        <w:ind w:left="3054" w:hanging="180"/>
      </w:pPr>
    </w:lvl>
    <w:lvl w:ilvl="3" w:tplc="0C09000F">
      <w:start w:val="1"/>
      <w:numFmt w:val="decimal"/>
      <w:lvlText w:val="%4."/>
      <w:lvlJc w:val="left"/>
      <w:pPr>
        <w:ind w:left="3774" w:hanging="360"/>
      </w:pPr>
    </w:lvl>
    <w:lvl w:ilvl="4" w:tplc="0C090019">
      <w:start w:val="1"/>
      <w:numFmt w:val="lowerLetter"/>
      <w:lvlText w:val="%5."/>
      <w:lvlJc w:val="left"/>
      <w:pPr>
        <w:ind w:left="4494" w:hanging="360"/>
      </w:pPr>
    </w:lvl>
    <w:lvl w:ilvl="5" w:tplc="0C09001B">
      <w:start w:val="1"/>
      <w:numFmt w:val="lowerRoman"/>
      <w:lvlText w:val="%6."/>
      <w:lvlJc w:val="right"/>
      <w:pPr>
        <w:ind w:left="5214" w:hanging="180"/>
      </w:pPr>
    </w:lvl>
    <w:lvl w:ilvl="6" w:tplc="0C09000F">
      <w:start w:val="1"/>
      <w:numFmt w:val="decimal"/>
      <w:lvlText w:val="%7."/>
      <w:lvlJc w:val="left"/>
      <w:pPr>
        <w:ind w:left="5934" w:hanging="360"/>
      </w:pPr>
    </w:lvl>
    <w:lvl w:ilvl="7" w:tplc="0C090019">
      <w:start w:val="1"/>
      <w:numFmt w:val="lowerLetter"/>
      <w:lvlText w:val="%8."/>
      <w:lvlJc w:val="left"/>
      <w:pPr>
        <w:ind w:left="6654" w:hanging="360"/>
      </w:pPr>
    </w:lvl>
    <w:lvl w:ilvl="8" w:tplc="0C09001B">
      <w:start w:val="1"/>
      <w:numFmt w:val="lowerRoman"/>
      <w:lvlText w:val="%9."/>
      <w:lvlJc w:val="right"/>
      <w:pPr>
        <w:ind w:left="7374" w:hanging="180"/>
      </w:pPr>
    </w:lvl>
  </w:abstractNum>
  <w:abstractNum w:abstractNumId="1" w15:restartNumberingAfterBreak="0">
    <w:nsid w:val="03312BE0"/>
    <w:multiLevelType w:val="hybridMultilevel"/>
    <w:tmpl w:val="A2EA9C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D81895"/>
    <w:multiLevelType w:val="hybridMultilevel"/>
    <w:tmpl w:val="83E0CE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E13706"/>
    <w:multiLevelType w:val="hybridMultilevel"/>
    <w:tmpl w:val="E49A9306"/>
    <w:lvl w:ilvl="0" w:tplc="03E6116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1556406F"/>
    <w:multiLevelType w:val="hybridMultilevel"/>
    <w:tmpl w:val="33245BB8"/>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99E067B"/>
    <w:multiLevelType w:val="hybridMultilevel"/>
    <w:tmpl w:val="93908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E447B6"/>
    <w:multiLevelType w:val="hybridMultilevel"/>
    <w:tmpl w:val="CD724C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20F76946"/>
    <w:multiLevelType w:val="hybridMultilevel"/>
    <w:tmpl w:val="CAF23526"/>
    <w:lvl w:ilvl="0" w:tplc="B8F404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16547D8"/>
    <w:multiLevelType w:val="hybridMultilevel"/>
    <w:tmpl w:val="970889D8"/>
    <w:lvl w:ilvl="0" w:tplc="E248A25E">
      <w:start w:val="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7243F27"/>
    <w:multiLevelType w:val="hybridMultilevel"/>
    <w:tmpl w:val="DDD4945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28934A34"/>
    <w:multiLevelType w:val="hybridMultilevel"/>
    <w:tmpl w:val="CD6E7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A86C0E"/>
    <w:multiLevelType w:val="hybridMultilevel"/>
    <w:tmpl w:val="4C18B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9502A9A"/>
    <w:multiLevelType w:val="hybridMultilevel"/>
    <w:tmpl w:val="0A3C24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0B5175"/>
    <w:multiLevelType w:val="hybridMultilevel"/>
    <w:tmpl w:val="7CD0B86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423F78"/>
    <w:multiLevelType w:val="hybridMultilevel"/>
    <w:tmpl w:val="65F83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33653CE"/>
    <w:multiLevelType w:val="hybridMultilevel"/>
    <w:tmpl w:val="9E825B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C136E61"/>
    <w:multiLevelType w:val="hybridMultilevel"/>
    <w:tmpl w:val="05C2201A"/>
    <w:lvl w:ilvl="0" w:tplc="40E4B4B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C217041"/>
    <w:multiLevelType w:val="hybridMultilevel"/>
    <w:tmpl w:val="6F36D3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3C42605F"/>
    <w:multiLevelType w:val="hybridMultilevel"/>
    <w:tmpl w:val="C0389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23709A8"/>
    <w:multiLevelType w:val="hybridMultilevel"/>
    <w:tmpl w:val="6B92533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2EB7FCD"/>
    <w:multiLevelType w:val="hybridMultilevel"/>
    <w:tmpl w:val="6B52B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5BD376F"/>
    <w:multiLevelType w:val="hybridMultilevel"/>
    <w:tmpl w:val="93769A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97B3599"/>
    <w:multiLevelType w:val="hybridMultilevel"/>
    <w:tmpl w:val="F35EF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9B141E2"/>
    <w:multiLevelType w:val="hybridMultilevel"/>
    <w:tmpl w:val="70F00D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F0C46A6"/>
    <w:multiLevelType w:val="hybridMultilevel"/>
    <w:tmpl w:val="3B2C5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F7871D1"/>
    <w:multiLevelType w:val="hybridMultilevel"/>
    <w:tmpl w:val="6E588790"/>
    <w:lvl w:ilvl="0" w:tplc="9CFE6CFC">
      <w:start w:val="1"/>
      <w:numFmt w:val="lowerLetter"/>
      <w:lvlText w:val="(%1)"/>
      <w:lvlJc w:val="left"/>
      <w:pPr>
        <w:ind w:left="1495" w:hanging="360"/>
      </w:pPr>
      <w:rPr>
        <w:rFonts w:ascii="Times New Roman" w:hAnsi="Times New Roman" w:cs="Times New Roman" w:hint="default"/>
        <w:color w:val="000000"/>
        <w:sz w:val="22"/>
      </w:rPr>
    </w:lvl>
    <w:lvl w:ilvl="1" w:tplc="0C090019">
      <w:start w:val="1"/>
      <w:numFmt w:val="lowerLetter"/>
      <w:lvlText w:val="%2."/>
      <w:lvlJc w:val="left"/>
      <w:pPr>
        <w:ind w:left="2215" w:hanging="360"/>
      </w:pPr>
    </w:lvl>
    <w:lvl w:ilvl="2" w:tplc="0C09001B">
      <w:start w:val="1"/>
      <w:numFmt w:val="lowerRoman"/>
      <w:lvlText w:val="%3."/>
      <w:lvlJc w:val="right"/>
      <w:pPr>
        <w:ind w:left="2935" w:hanging="180"/>
      </w:pPr>
    </w:lvl>
    <w:lvl w:ilvl="3" w:tplc="0C09000F">
      <w:start w:val="1"/>
      <w:numFmt w:val="decimal"/>
      <w:lvlText w:val="%4."/>
      <w:lvlJc w:val="left"/>
      <w:pPr>
        <w:ind w:left="3655" w:hanging="360"/>
      </w:pPr>
    </w:lvl>
    <w:lvl w:ilvl="4" w:tplc="0C090019">
      <w:start w:val="1"/>
      <w:numFmt w:val="lowerLetter"/>
      <w:lvlText w:val="%5."/>
      <w:lvlJc w:val="left"/>
      <w:pPr>
        <w:ind w:left="4375" w:hanging="360"/>
      </w:pPr>
    </w:lvl>
    <w:lvl w:ilvl="5" w:tplc="0C09001B">
      <w:start w:val="1"/>
      <w:numFmt w:val="lowerRoman"/>
      <w:lvlText w:val="%6."/>
      <w:lvlJc w:val="right"/>
      <w:pPr>
        <w:ind w:left="5095" w:hanging="180"/>
      </w:pPr>
    </w:lvl>
    <w:lvl w:ilvl="6" w:tplc="0C09000F">
      <w:start w:val="1"/>
      <w:numFmt w:val="decimal"/>
      <w:lvlText w:val="%7."/>
      <w:lvlJc w:val="left"/>
      <w:pPr>
        <w:ind w:left="5815" w:hanging="360"/>
      </w:pPr>
    </w:lvl>
    <w:lvl w:ilvl="7" w:tplc="0C090019">
      <w:start w:val="1"/>
      <w:numFmt w:val="lowerLetter"/>
      <w:lvlText w:val="%8."/>
      <w:lvlJc w:val="left"/>
      <w:pPr>
        <w:ind w:left="6535" w:hanging="360"/>
      </w:pPr>
    </w:lvl>
    <w:lvl w:ilvl="8" w:tplc="0C09001B">
      <w:start w:val="1"/>
      <w:numFmt w:val="lowerRoman"/>
      <w:lvlText w:val="%9."/>
      <w:lvlJc w:val="right"/>
      <w:pPr>
        <w:ind w:left="7255" w:hanging="180"/>
      </w:pPr>
    </w:lvl>
  </w:abstractNum>
  <w:abstractNum w:abstractNumId="26" w15:restartNumberingAfterBreak="0">
    <w:nsid w:val="52B11796"/>
    <w:multiLevelType w:val="hybridMultilevel"/>
    <w:tmpl w:val="0D3E48DC"/>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2D2117F"/>
    <w:multiLevelType w:val="hybridMultilevel"/>
    <w:tmpl w:val="D19CE4E0"/>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2F842BB"/>
    <w:multiLevelType w:val="hybridMultilevel"/>
    <w:tmpl w:val="79A8A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4580D81"/>
    <w:multiLevelType w:val="hybridMultilevel"/>
    <w:tmpl w:val="77A0CA76"/>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4B56AF0"/>
    <w:multiLevelType w:val="hybridMultilevel"/>
    <w:tmpl w:val="7E0E3C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2FE71A6"/>
    <w:multiLevelType w:val="hybridMultilevel"/>
    <w:tmpl w:val="DEEC801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680F4A58"/>
    <w:multiLevelType w:val="hybridMultilevel"/>
    <w:tmpl w:val="1C36CA60"/>
    <w:lvl w:ilvl="0" w:tplc="ECC29448">
      <w:start w:val="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99D779E"/>
    <w:multiLevelType w:val="hybridMultilevel"/>
    <w:tmpl w:val="F0A456B8"/>
    <w:lvl w:ilvl="0" w:tplc="6B3C780C">
      <w:start w:val="1"/>
      <w:numFmt w:val="lowerLetter"/>
      <w:lvlText w:val="(%1)"/>
      <w:lvlJc w:val="left"/>
      <w:pPr>
        <w:ind w:left="1330" w:hanging="360"/>
      </w:pPr>
      <w:rPr>
        <w:rFonts w:hint="default"/>
      </w:rPr>
    </w:lvl>
    <w:lvl w:ilvl="1" w:tplc="0C090019" w:tentative="1">
      <w:start w:val="1"/>
      <w:numFmt w:val="lowerLetter"/>
      <w:lvlText w:val="%2."/>
      <w:lvlJc w:val="left"/>
      <w:pPr>
        <w:ind w:left="2050" w:hanging="360"/>
      </w:pPr>
    </w:lvl>
    <w:lvl w:ilvl="2" w:tplc="0C09001B" w:tentative="1">
      <w:start w:val="1"/>
      <w:numFmt w:val="lowerRoman"/>
      <w:lvlText w:val="%3."/>
      <w:lvlJc w:val="right"/>
      <w:pPr>
        <w:ind w:left="2770" w:hanging="180"/>
      </w:pPr>
    </w:lvl>
    <w:lvl w:ilvl="3" w:tplc="0C09000F" w:tentative="1">
      <w:start w:val="1"/>
      <w:numFmt w:val="decimal"/>
      <w:lvlText w:val="%4."/>
      <w:lvlJc w:val="left"/>
      <w:pPr>
        <w:ind w:left="3490" w:hanging="360"/>
      </w:pPr>
    </w:lvl>
    <w:lvl w:ilvl="4" w:tplc="0C090019" w:tentative="1">
      <w:start w:val="1"/>
      <w:numFmt w:val="lowerLetter"/>
      <w:lvlText w:val="%5."/>
      <w:lvlJc w:val="left"/>
      <w:pPr>
        <w:ind w:left="4210" w:hanging="360"/>
      </w:pPr>
    </w:lvl>
    <w:lvl w:ilvl="5" w:tplc="0C09001B" w:tentative="1">
      <w:start w:val="1"/>
      <w:numFmt w:val="lowerRoman"/>
      <w:lvlText w:val="%6."/>
      <w:lvlJc w:val="right"/>
      <w:pPr>
        <w:ind w:left="4930" w:hanging="180"/>
      </w:pPr>
    </w:lvl>
    <w:lvl w:ilvl="6" w:tplc="0C09000F" w:tentative="1">
      <w:start w:val="1"/>
      <w:numFmt w:val="decimal"/>
      <w:lvlText w:val="%7."/>
      <w:lvlJc w:val="left"/>
      <w:pPr>
        <w:ind w:left="5650" w:hanging="360"/>
      </w:pPr>
    </w:lvl>
    <w:lvl w:ilvl="7" w:tplc="0C090019" w:tentative="1">
      <w:start w:val="1"/>
      <w:numFmt w:val="lowerLetter"/>
      <w:lvlText w:val="%8."/>
      <w:lvlJc w:val="left"/>
      <w:pPr>
        <w:ind w:left="6370" w:hanging="360"/>
      </w:pPr>
    </w:lvl>
    <w:lvl w:ilvl="8" w:tplc="0C09001B" w:tentative="1">
      <w:start w:val="1"/>
      <w:numFmt w:val="lowerRoman"/>
      <w:lvlText w:val="%9."/>
      <w:lvlJc w:val="right"/>
      <w:pPr>
        <w:ind w:left="7090" w:hanging="180"/>
      </w:pPr>
    </w:lvl>
  </w:abstractNum>
  <w:abstractNum w:abstractNumId="34" w15:restartNumberingAfterBreak="0">
    <w:nsid w:val="6A144E79"/>
    <w:multiLevelType w:val="hybridMultilevel"/>
    <w:tmpl w:val="76E8F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EE05509"/>
    <w:multiLevelType w:val="hybridMultilevel"/>
    <w:tmpl w:val="FFEA3C84"/>
    <w:lvl w:ilvl="0" w:tplc="6FA0B2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FAF4D0B"/>
    <w:multiLevelType w:val="hybridMultilevel"/>
    <w:tmpl w:val="DC7C1D3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8010E6E"/>
    <w:multiLevelType w:val="hybridMultilevel"/>
    <w:tmpl w:val="90663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9980D78"/>
    <w:multiLevelType w:val="hybridMultilevel"/>
    <w:tmpl w:val="D8282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AF00AC0"/>
    <w:multiLevelType w:val="hybridMultilevel"/>
    <w:tmpl w:val="98767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1"/>
  </w:num>
  <w:num w:numId="2">
    <w:abstractNumId w:val="1"/>
  </w:num>
  <w:num w:numId="3">
    <w:abstractNumId w:val="3"/>
  </w:num>
  <w:num w:numId="4">
    <w:abstractNumId w:val="15"/>
  </w:num>
  <w:num w:numId="5">
    <w:abstractNumId w:val="24"/>
  </w:num>
  <w:num w:numId="6">
    <w:abstractNumId w:val="13"/>
  </w:num>
  <w:num w:numId="7">
    <w:abstractNumId w:val="36"/>
  </w:num>
  <w:num w:numId="8">
    <w:abstractNumId w:val="7"/>
  </w:num>
  <w:num w:numId="9">
    <w:abstractNumId w:val="6"/>
  </w:num>
  <w:num w:numId="10">
    <w:abstractNumId w:val="39"/>
  </w:num>
  <w:num w:numId="11">
    <w:abstractNumId w:val="35"/>
  </w:num>
  <w:num w:numId="12">
    <w:abstractNumId w:val="16"/>
  </w:num>
  <w:num w:numId="13">
    <w:abstractNumId w:val="19"/>
  </w:num>
  <w:num w:numId="14">
    <w:abstractNumId w:val="33"/>
  </w:num>
  <w:num w:numId="15">
    <w:abstractNumId w:val="8"/>
  </w:num>
  <w:num w:numId="16">
    <w:abstractNumId w:val="26"/>
  </w:num>
  <w:num w:numId="17">
    <w:abstractNumId w:val="29"/>
  </w:num>
  <w:num w:numId="18">
    <w:abstractNumId w:val="27"/>
  </w:num>
  <w:num w:numId="19">
    <w:abstractNumId w:val="4"/>
  </w:num>
  <w:num w:numId="20">
    <w:abstractNumId w:val="14"/>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8"/>
  </w:num>
  <w:num w:numId="25">
    <w:abstractNumId w:val="10"/>
  </w:num>
  <w:num w:numId="26">
    <w:abstractNumId w:val="5"/>
  </w:num>
  <w:num w:numId="27">
    <w:abstractNumId w:val="20"/>
  </w:num>
  <w:num w:numId="28">
    <w:abstractNumId w:val="37"/>
  </w:num>
  <w:num w:numId="29">
    <w:abstractNumId w:val="22"/>
  </w:num>
  <w:num w:numId="30">
    <w:abstractNumId w:val="34"/>
  </w:num>
  <w:num w:numId="31">
    <w:abstractNumId w:val="18"/>
  </w:num>
  <w:num w:numId="32">
    <w:abstractNumId w:val="32"/>
  </w:num>
  <w:num w:numId="33">
    <w:abstractNumId w:val="2"/>
  </w:num>
  <w:num w:numId="34">
    <w:abstractNumId w:val="11"/>
  </w:num>
  <w:num w:numId="35">
    <w:abstractNumId w:val="17"/>
  </w:num>
  <w:num w:numId="36">
    <w:abstractNumId w:val="9"/>
  </w:num>
  <w:num w:numId="37">
    <w:abstractNumId w:val="12"/>
  </w:num>
  <w:num w:numId="38">
    <w:abstractNumId w:val="21"/>
  </w:num>
  <w:num w:numId="39">
    <w:abstractNumId w:val="38"/>
  </w:num>
  <w:num w:numId="40">
    <w:abstractNumId w:val="30"/>
  </w:num>
  <w:num w:numId="41">
    <w:abstractNumId w:val="17"/>
  </w:num>
  <w:num w:numId="42">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251"/>
    <w:rsid w:val="0000029E"/>
    <w:rsid w:val="00000DEE"/>
    <w:rsid w:val="00001CCE"/>
    <w:rsid w:val="00003D66"/>
    <w:rsid w:val="0000441D"/>
    <w:rsid w:val="00004E17"/>
    <w:rsid w:val="00005906"/>
    <w:rsid w:val="00007B65"/>
    <w:rsid w:val="00010199"/>
    <w:rsid w:val="00012B9E"/>
    <w:rsid w:val="00014639"/>
    <w:rsid w:val="00014B38"/>
    <w:rsid w:val="00014E40"/>
    <w:rsid w:val="00016774"/>
    <w:rsid w:val="000203B4"/>
    <w:rsid w:val="00021EFA"/>
    <w:rsid w:val="00024158"/>
    <w:rsid w:val="00024A1D"/>
    <w:rsid w:val="00025F64"/>
    <w:rsid w:val="0002704E"/>
    <w:rsid w:val="0002728B"/>
    <w:rsid w:val="00027830"/>
    <w:rsid w:val="000319EF"/>
    <w:rsid w:val="00033034"/>
    <w:rsid w:val="000337CB"/>
    <w:rsid w:val="0003591F"/>
    <w:rsid w:val="00041849"/>
    <w:rsid w:val="0004426E"/>
    <w:rsid w:val="00044A2A"/>
    <w:rsid w:val="00050623"/>
    <w:rsid w:val="000509BA"/>
    <w:rsid w:val="0005224B"/>
    <w:rsid w:val="00054F46"/>
    <w:rsid w:val="0005533C"/>
    <w:rsid w:val="00063242"/>
    <w:rsid w:val="000640CF"/>
    <w:rsid w:val="00064BA4"/>
    <w:rsid w:val="00067F59"/>
    <w:rsid w:val="000710DD"/>
    <w:rsid w:val="0007187A"/>
    <w:rsid w:val="0007236F"/>
    <w:rsid w:val="000727E0"/>
    <w:rsid w:val="00073983"/>
    <w:rsid w:val="00073BC9"/>
    <w:rsid w:val="00076C34"/>
    <w:rsid w:val="00076FE3"/>
    <w:rsid w:val="00080116"/>
    <w:rsid w:val="00081188"/>
    <w:rsid w:val="00081C37"/>
    <w:rsid w:val="00082D12"/>
    <w:rsid w:val="0009514A"/>
    <w:rsid w:val="000969EF"/>
    <w:rsid w:val="000A199B"/>
    <w:rsid w:val="000A31F2"/>
    <w:rsid w:val="000A45BE"/>
    <w:rsid w:val="000A467F"/>
    <w:rsid w:val="000A6FB3"/>
    <w:rsid w:val="000A7B9B"/>
    <w:rsid w:val="000B208E"/>
    <w:rsid w:val="000B3452"/>
    <w:rsid w:val="000C1226"/>
    <w:rsid w:val="000C12EE"/>
    <w:rsid w:val="000C3BA7"/>
    <w:rsid w:val="000C3D8A"/>
    <w:rsid w:val="000C46E6"/>
    <w:rsid w:val="000C4B3D"/>
    <w:rsid w:val="000C5BA2"/>
    <w:rsid w:val="000C6797"/>
    <w:rsid w:val="000C6FF8"/>
    <w:rsid w:val="000C7FE1"/>
    <w:rsid w:val="000D1325"/>
    <w:rsid w:val="000D1A87"/>
    <w:rsid w:val="000D2300"/>
    <w:rsid w:val="000D3B79"/>
    <w:rsid w:val="000D7803"/>
    <w:rsid w:val="000E0C87"/>
    <w:rsid w:val="000E1ACD"/>
    <w:rsid w:val="000E1EB3"/>
    <w:rsid w:val="000E3444"/>
    <w:rsid w:val="000E4AFA"/>
    <w:rsid w:val="000E534F"/>
    <w:rsid w:val="000E66FA"/>
    <w:rsid w:val="000E7163"/>
    <w:rsid w:val="000F14A0"/>
    <w:rsid w:val="000F1575"/>
    <w:rsid w:val="000F162A"/>
    <w:rsid w:val="000F1714"/>
    <w:rsid w:val="000F249E"/>
    <w:rsid w:val="000F2948"/>
    <w:rsid w:val="000F2AFC"/>
    <w:rsid w:val="000F37A0"/>
    <w:rsid w:val="000F548E"/>
    <w:rsid w:val="000F5E76"/>
    <w:rsid w:val="000F6853"/>
    <w:rsid w:val="001000CE"/>
    <w:rsid w:val="00104751"/>
    <w:rsid w:val="0010617D"/>
    <w:rsid w:val="00106763"/>
    <w:rsid w:val="00107F36"/>
    <w:rsid w:val="0011066E"/>
    <w:rsid w:val="00110D12"/>
    <w:rsid w:val="00113B2E"/>
    <w:rsid w:val="00120766"/>
    <w:rsid w:val="00121189"/>
    <w:rsid w:val="00121A66"/>
    <w:rsid w:val="00132087"/>
    <w:rsid w:val="00134B27"/>
    <w:rsid w:val="00135D0D"/>
    <w:rsid w:val="001400C4"/>
    <w:rsid w:val="00141323"/>
    <w:rsid w:val="00141E8C"/>
    <w:rsid w:val="00143685"/>
    <w:rsid w:val="00143943"/>
    <w:rsid w:val="001448F2"/>
    <w:rsid w:val="00145918"/>
    <w:rsid w:val="00145D25"/>
    <w:rsid w:val="00145DED"/>
    <w:rsid w:val="001519E4"/>
    <w:rsid w:val="00154FC4"/>
    <w:rsid w:val="001551FE"/>
    <w:rsid w:val="0015521F"/>
    <w:rsid w:val="001603DB"/>
    <w:rsid w:val="001641C0"/>
    <w:rsid w:val="00164A69"/>
    <w:rsid w:val="0016646C"/>
    <w:rsid w:val="00167DA1"/>
    <w:rsid w:val="0017187F"/>
    <w:rsid w:val="00174E96"/>
    <w:rsid w:val="001770D9"/>
    <w:rsid w:val="0017759F"/>
    <w:rsid w:val="0018012F"/>
    <w:rsid w:val="00180206"/>
    <w:rsid w:val="00180742"/>
    <w:rsid w:val="00181B3E"/>
    <w:rsid w:val="00181F74"/>
    <w:rsid w:val="00183C10"/>
    <w:rsid w:val="0018451D"/>
    <w:rsid w:val="001865F8"/>
    <w:rsid w:val="00186752"/>
    <w:rsid w:val="001867EA"/>
    <w:rsid w:val="00187EE5"/>
    <w:rsid w:val="00190FC9"/>
    <w:rsid w:val="0019289B"/>
    <w:rsid w:val="001929C3"/>
    <w:rsid w:val="0019464A"/>
    <w:rsid w:val="00195A6A"/>
    <w:rsid w:val="001965DA"/>
    <w:rsid w:val="0019711F"/>
    <w:rsid w:val="001978CE"/>
    <w:rsid w:val="001A43A5"/>
    <w:rsid w:val="001A4BE2"/>
    <w:rsid w:val="001A5BC0"/>
    <w:rsid w:val="001A7249"/>
    <w:rsid w:val="001A7EF8"/>
    <w:rsid w:val="001B0111"/>
    <w:rsid w:val="001B3714"/>
    <w:rsid w:val="001B5ED9"/>
    <w:rsid w:val="001B6095"/>
    <w:rsid w:val="001B66AF"/>
    <w:rsid w:val="001B7092"/>
    <w:rsid w:val="001C1B86"/>
    <w:rsid w:val="001C2609"/>
    <w:rsid w:val="001C35BC"/>
    <w:rsid w:val="001C51D8"/>
    <w:rsid w:val="001C5FC1"/>
    <w:rsid w:val="001C6713"/>
    <w:rsid w:val="001D0291"/>
    <w:rsid w:val="001D0C04"/>
    <w:rsid w:val="001D6B46"/>
    <w:rsid w:val="001D778A"/>
    <w:rsid w:val="001D7D62"/>
    <w:rsid w:val="001E014D"/>
    <w:rsid w:val="001E2D6D"/>
    <w:rsid w:val="001E3B02"/>
    <w:rsid w:val="001E5391"/>
    <w:rsid w:val="001E5787"/>
    <w:rsid w:val="001E57BC"/>
    <w:rsid w:val="001E5DE7"/>
    <w:rsid w:val="001E63F3"/>
    <w:rsid w:val="001E7C25"/>
    <w:rsid w:val="001F004A"/>
    <w:rsid w:val="001F0923"/>
    <w:rsid w:val="001F1F27"/>
    <w:rsid w:val="00200145"/>
    <w:rsid w:val="002003CA"/>
    <w:rsid w:val="002003F7"/>
    <w:rsid w:val="00200971"/>
    <w:rsid w:val="0020245D"/>
    <w:rsid w:val="00203952"/>
    <w:rsid w:val="00203F23"/>
    <w:rsid w:val="00204413"/>
    <w:rsid w:val="00210EE7"/>
    <w:rsid w:val="00213177"/>
    <w:rsid w:val="00215191"/>
    <w:rsid w:val="00216C44"/>
    <w:rsid w:val="00217EBF"/>
    <w:rsid w:val="00220EE3"/>
    <w:rsid w:val="00221C4B"/>
    <w:rsid w:val="002227DF"/>
    <w:rsid w:val="0022342C"/>
    <w:rsid w:val="0022384B"/>
    <w:rsid w:val="002248A2"/>
    <w:rsid w:val="00225B50"/>
    <w:rsid w:val="00225D8E"/>
    <w:rsid w:val="002264F4"/>
    <w:rsid w:val="002322A8"/>
    <w:rsid w:val="0023311C"/>
    <w:rsid w:val="00233BEB"/>
    <w:rsid w:val="00235B6C"/>
    <w:rsid w:val="00236DF2"/>
    <w:rsid w:val="0024152E"/>
    <w:rsid w:val="002427DC"/>
    <w:rsid w:val="00242974"/>
    <w:rsid w:val="00244D84"/>
    <w:rsid w:val="00250061"/>
    <w:rsid w:val="00250642"/>
    <w:rsid w:val="00251E4A"/>
    <w:rsid w:val="00251F50"/>
    <w:rsid w:val="002538F6"/>
    <w:rsid w:val="00253E30"/>
    <w:rsid w:val="0025493F"/>
    <w:rsid w:val="00257459"/>
    <w:rsid w:val="00257E4D"/>
    <w:rsid w:val="00262865"/>
    <w:rsid w:val="00263279"/>
    <w:rsid w:val="002643FC"/>
    <w:rsid w:val="00274073"/>
    <w:rsid w:val="002753F3"/>
    <w:rsid w:val="0027545F"/>
    <w:rsid w:val="0027610D"/>
    <w:rsid w:val="002806A1"/>
    <w:rsid w:val="00281918"/>
    <w:rsid w:val="00284483"/>
    <w:rsid w:val="00284749"/>
    <w:rsid w:val="00285256"/>
    <w:rsid w:val="00287AEF"/>
    <w:rsid w:val="00287B08"/>
    <w:rsid w:val="00290B98"/>
    <w:rsid w:val="002944D4"/>
    <w:rsid w:val="00296763"/>
    <w:rsid w:val="0029737E"/>
    <w:rsid w:val="00297AD0"/>
    <w:rsid w:val="002A0CC8"/>
    <w:rsid w:val="002A1E2C"/>
    <w:rsid w:val="002A3243"/>
    <w:rsid w:val="002A5CDF"/>
    <w:rsid w:val="002A68B3"/>
    <w:rsid w:val="002A6C77"/>
    <w:rsid w:val="002B2AC5"/>
    <w:rsid w:val="002B2E78"/>
    <w:rsid w:val="002B49DE"/>
    <w:rsid w:val="002B4E4D"/>
    <w:rsid w:val="002B53D3"/>
    <w:rsid w:val="002B7177"/>
    <w:rsid w:val="002C1BFE"/>
    <w:rsid w:val="002C4F5B"/>
    <w:rsid w:val="002C54A1"/>
    <w:rsid w:val="002C5DCD"/>
    <w:rsid w:val="002D03AB"/>
    <w:rsid w:val="002D2A4E"/>
    <w:rsid w:val="002D5294"/>
    <w:rsid w:val="002D59E0"/>
    <w:rsid w:val="002D5DFC"/>
    <w:rsid w:val="002D5E92"/>
    <w:rsid w:val="002D6269"/>
    <w:rsid w:val="002D629A"/>
    <w:rsid w:val="002E12C3"/>
    <w:rsid w:val="002E3493"/>
    <w:rsid w:val="002E35BF"/>
    <w:rsid w:val="002E5708"/>
    <w:rsid w:val="002E5F5C"/>
    <w:rsid w:val="002E6FD5"/>
    <w:rsid w:val="002E7D88"/>
    <w:rsid w:val="002F0434"/>
    <w:rsid w:val="002F1707"/>
    <w:rsid w:val="002F2F33"/>
    <w:rsid w:val="002F3A26"/>
    <w:rsid w:val="002F449C"/>
    <w:rsid w:val="002F4CD2"/>
    <w:rsid w:val="002F6069"/>
    <w:rsid w:val="002F70B1"/>
    <w:rsid w:val="002F7549"/>
    <w:rsid w:val="00301D49"/>
    <w:rsid w:val="003025C7"/>
    <w:rsid w:val="00302F5C"/>
    <w:rsid w:val="00304080"/>
    <w:rsid w:val="0031124D"/>
    <w:rsid w:val="00312ED1"/>
    <w:rsid w:val="00313554"/>
    <w:rsid w:val="00317B55"/>
    <w:rsid w:val="00320769"/>
    <w:rsid w:val="0032155B"/>
    <w:rsid w:val="003239D0"/>
    <w:rsid w:val="00324908"/>
    <w:rsid w:val="0032760D"/>
    <w:rsid w:val="00331752"/>
    <w:rsid w:val="00332AF9"/>
    <w:rsid w:val="003332C9"/>
    <w:rsid w:val="0033493D"/>
    <w:rsid w:val="00337DE1"/>
    <w:rsid w:val="00340BDB"/>
    <w:rsid w:val="00340E39"/>
    <w:rsid w:val="00341145"/>
    <w:rsid w:val="003412CB"/>
    <w:rsid w:val="00346E4E"/>
    <w:rsid w:val="0035214B"/>
    <w:rsid w:val="003527D6"/>
    <w:rsid w:val="00353351"/>
    <w:rsid w:val="00353622"/>
    <w:rsid w:val="0035389C"/>
    <w:rsid w:val="00357CD8"/>
    <w:rsid w:val="0036001E"/>
    <w:rsid w:val="0036105C"/>
    <w:rsid w:val="00361ADE"/>
    <w:rsid w:val="00363306"/>
    <w:rsid w:val="0036495A"/>
    <w:rsid w:val="00366990"/>
    <w:rsid w:val="00366C2C"/>
    <w:rsid w:val="00367440"/>
    <w:rsid w:val="00370BE6"/>
    <w:rsid w:val="00371F67"/>
    <w:rsid w:val="00375E39"/>
    <w:rsid w:val="00376051"/>
    <w:rsid w:val="003760ED"/>
    <w:rsid w:val="003764AE"/>
    <w:rsid w:val="003775D7"/>
    <w:rsid w:val="00380CBA"/>
    <w:rsid w:val="00381278"/>
    <w:rsid w:val="0038127E"/>
    <w:rsid w:val="00384080"/>
    <w:rsid w:val="00386C22"/>
    <w:rsid w:val="003876E6"/>
    <w:rsid w:val="0039170C"/>
    <w:rsid w:val="00391AFA"/>
    <w:rsid w:val="003937EF"/>
    <w:rsid w:val="00393E9B"/>
    <w:rsid w:val="00397A97"/>
    <w:rsid w:val="003A280D"/>
    <w:rsid w:val="003A5A70"/>
    <w:rsid w:val="003A6230"/>
    <w:rsid w:val="003A6299"/>
    <w:rsid w:val="003B1976"/>
    <w:rsid w:val="003B1D46"/>
    <w:rsid w:val="003B27BA"/>
    <w:rsid w:val="003B366C"/>
    <w:rsid w:val="003B38C1"/>
    <w:rsid w:val="003B59A9"/>
    <w:rsid w:val="003B6B63"/>
    <w:rsid w:val="003B7C31"/>
    <w:rsid w:val="003C02D4"/>
    <w:rsid w:val="003C37E3"/>
    <w:rsid w:val="003C451D"/>
    <w:rsid w:val="003C4CBD"/>
    <w:rsid w:val="003C546B"/>
    <w:rsid w:val="003C7719"/>
    <w:rsid w:val="003D0FBD"/>
    <w:rsid w:val="003D2A6D"/>
    <w:rsid w:val="003E005B"/>
    <w:rsid w:val="003E04DA"/>
    <w:rsid w:val="003E1249"/>
    <w:rsid w:val="003E3544"/>
    <w:rsid w:val="003E35A8"/>
    <w:rsid w:val="003E4F2D"/>
    <w:rsid w:val="003E57BE"/>
    <w:rsid w:val="003E77CB"/>
    <w:rsid w:val="003F47FD"/>
    <w:rsid w:val="003F4B52"/>
    <w:rsid w:val="003F73BA"/>
    <w:rsid w:val="003F73F0"/>
    <w:rsid w:val="00401423"/>
    <w:rsid w:val="00403105"/>
    <w:rsid w:val="00404476"/>
    <w:rsid w:val="00404F11"/>
    <w:rsid w:val="00405890"/>
    <w:rsid w:val="00405EF4"/>
    <w:rsid w:val="00406D7A"/>
    <w:rsid w:val="00411365"/>
    <w:rsid w:val="0041237F"/>
    <w:rsid w:val="00412B6C"/>
    <w:rsid w:val="00414613"/>
    <w:rsid w:val="00415B19"/>
    <w:rsid w:val="0041767B"/>
    <w:rsid w:val="00420205"/>
    <w:rsid w:val="00421D5F"/>
    <w:rsid w:val="004225D8"/>
    <w:rsid w:val="00422831"/>
    <w:rsid w:val="00424197"/>
    <w:rsid w:val="00425F40"/>
    <w:rsid w:val="004265AA"/>
    <w:rsid w:val="00426A8D"/>
    <w:rsid w:val="00430861"/>
    <w:rsid w:val="00432D4D"/>
    <w:rsid w:val="00433DCE"/>
    <w:rsid w:val="00437B1B"/>
    <w:rsid w:val="004405B8"/>
    <w:rsid w:val="004417A2"/>
    <w:rsid w:val="00442F9D"/>
    <w:rsid w:val="00444782"/>
    <w:rsid w:val="00444EDF"/>
    <w:rsid w:val="004456A4"/>
    <w:rsid w:val="00445A6D"/>
    <w:rsid w:val="00446A6B"/>
    <w:rsid w:val="0045189C"/>
    <w:rsid w:val="00451A88"/>
    <w:rsid w:val="004524A0"/>
    <w:rsid w:val="00456B1D"/>
    <w:rsid w:val="0046022A"/>
    <w:rsid w:val="004636B4"/>
    <w:rsid w:val="004641DC"/>
    <w:rsid w:val="00464AC7"/>
    <w:rsid w:val="004669A4"/>
    <w:rsid w:val="00466A5B"/>
    <w:rsid w:val="0046799A"/>
    <w:rsid w:val="0047494B"/>
    <w:rsid w:val="00475A85"/>
    <w:rsid w:val="00476510"/>
    <w:rsid w:val="00476F13"/>
    <w:rsid w:val="00477C74"/>
    <w:rsid w:val="00480561"/>
    <w:rsid w:val="004806B3"/>
    <w:rsid w:val="00481E5E"/>
    <w:rsid w:val="004828A9"/>
    <w:rsid w:val="004849DE"/>
    <w:rsid w:val="00484A65"/>
    <w:rsid w:val="00484E4F"/>
    <w:rsid w:val="004876DF"/>
    <w:rsid w:val="00492341"/>
    <w:rsid w:val="00492DBE"/>
    <w:rsid w:val="004962CC"/>
    <w:rsid w:val="00497EC1"/>
    <w:rsid w:val="004A0313"/>
    <w:rsid w:val="004A0A89"/>
    <w:rsid w:val="004A0BE6"/>
    <w:rsid w:val="004A2249"/>
    <w:rsid w:val="004A26E0"/>
    <w:rsid w:val="004A524A"/>
    <w:rsid w:val="004A56D3"/>
    <w:rsid w:val="004A6B0F"/>
    <w:rsid w:val="004B1ECE"/>
    <w:rsid w:val="004B38C8"/>
    <w:rsid w:val="004B5C2E"/>
    <w:rsid w:val="004B7CB9"/>
    <w:rsid w:val="004C10BA"/>
    <w:rsid w:val="004C1778"/>
    <w:rsid w:val="004C27EB"/>
    <w:rsid w:val="004C33D9"/>
    <w:rsid w:val="004C357A"/>
    <w:rsid w:val="004C405B"/>
    <w:rsid w:val="004C5B35"/>
    <w:rsid w:val="004C5E77"/>
    <w:rsid w:val="004C68D1"/>
    <w:rsid w:val="004C6AE7"/>
    <w:rsid w:val="004C72E8"/>
    <w:rsid w:val="004D04DF"/>
    <w:rsid w:val="004D06F9"/>
    <w:rsid w:val="004D1BF4"/>
    <w:rsid w:val="004D480B"/>
    <w:rsid w:val="004D7821"/>
    <w:rsid w:val="004E10C5"/>
    <w:rsid w:val="004E22A7"/>
    <w:rsid w:val="004E39E6"/>
    <w:rsid w:val="004E71DC"/>
    <w:rsid w:val="004E7F97"/>
    <w:rsid w:val="004F1563"/>
    <w:rsid w:val="004F20B0"/>
    <w:rsid w:val="004F4BAD"/>
    <w:rsid w:val="004F7682"/>
    <w:rsid w:val="005012BC"/>
    <w:rsid w:val="00502156"/>
    <w:rsid w:val="00502277"/>
    <w:rsid w:val="005042B5"/>
    <w:rsid w:val="00505C67"/>
    <w:rsid w:val="00505F9A"/>
    <w:rsid w:val="00510A4F"/>
    <w:rsid w:val="005119E9"/>
    <w:rsid w:val="00511DBC"/>
    <w:rsid w:val="00512A65"/>
    <w:rsid w:val="005130BE"/>
    <w:rsid w:val="005140F2"/>
    <w:rsid w:val="0051709B"/>
    <w:rsid w:val="0052165A"/>
    <w:rsid w:val="00521802"/>
    <w:rsid w:val="0052430B"/>
    <w:rsid w:val="00525D51"/>
    <w:rsid w:val="00532CD3"/>
    <w:rsid w:val="005345A9"/>
    <w:rsid w:val="00534D8A"/>
    <w:rsid w:val="00535EF1"/>
    <w:rsid w:val="005378EB"/>
    <w:rsid w:val="0054004F"/>
    <w:rsid w:val="00540C67"/>
    <w:rsid w:val="00542913"/>
    <w:rsid w:val="005440E4"/>
    <w:rsid w:val="005452CD"/>
    <w:rsid w:val="0054588E"/>
    <w:rsid w:val="00546DB4"/>
    <w:rsid w:val="005474A5"/>
    <w:rsid w:val="00547D82"/>
    <w:rsid w:val="005504B4"/>
    <w:rsid w:val="00550DAB"/>
    <w:rsid w:val="00552105"/>
    <w:rsid w:val="0055354D"/>
    <w:rsid w:val="00554543"/>
    <w:rsid w:val="005555B8"/>
    <w:rsid w:val="005567CF"/>
    <w:rsid w:val="005642D9"/>
    <w:rsid w:val="00564C2B"/>
    <w:rsid w:val="00564C37"/>
    <w:rsid w:val="00564D84"/>
    <w:rsid w:val="00570F2B"/>
    <w:rsid w:val="0057258C"/>
    <w:rsid w:val="00573651"/>
    <w:rsid w:val="00574E71"/>
    <w:rsid w:val="005811D8"/>
    <w:rsid w:val="00581904"/>
    <w:rsid w:val="00582B3F"/>
    <w:rsid w:val="00583643"/>
    <w:rsid w:val="00585309"/>
    <w:rsid w:val="005857E8"/>
    <w:rsid w:val="005858CB"/>
    <w:rsid w:val="0058699E"/>
    <w:rsid w:val="00586CE9"/>
    <w:rsid w:val="00590B04"/>
    <w:rsid w:val="00592F78"/>
    <w:rsid w:val="00594EB6"/>
    <w:rsid w:val="0059798F"/>
    <w:rsid w:val="00597EC9"/>
    <w:rsid w:val="005A0300"/>
    <w:rsid w:val="005A163F"/>
    <w:rsid w:val="005A3D73"/>
    <w:rsid w:val="005A3D8D"/>
    <w:rsid w:val="005A445D"/>
    <w:rsid w:val="005B0EA3"/>
    <w:rsid w:val="005B1B0A"/>
    <w:rsid w:val="005B5062"/>
    <w:rsid w:val="005B6234"/>
    <w:rsid w:val="005B7596"/>
    <w:rsid w:val="005C4A91"/>
    <w:rsid w:val="005C5824"/>
    <w:rsid w:val="005C6118"/>
    <w:rsid w:val="005D3575"/>
    <w:rsid w:val="005D3CED"/>
    <w:rsid w:val="005D538F"/>
    <w:rsid w:val="005D63D9"/>
    <w:rsid w:val="005D68D1"/>
    <w:rsid w:val="005E293A"/>
    <w:rsid w:val="005E44A6"/>
    <w:rsid w:val="005E49E7"/>
    <w:rsid w:val="005E56FE"/>
    <w:rsid w:val="005E62D6"/>
    <w:rsid w:val="005E6A82"/>
    <w:rsid w:val="005E7398"/>
    <w:rsid w:val="005F04DC"/>
    <w:rsid w:val="005F0F6C"/>
    <w:rsid w:val="005F1A7F"/>
    <w:rsid w:val="00601165"/>
    <w:rsid w:val="00607971"/>
    <w:rsid w:val="00611A4E"/>
    <w:rsid w:val="006122C0"/>
    <w:rsid w:val="0061281D"/>
    <w:rsid w:val="00613C46"/>
    <w:rsid w:val="00614085"/>
    <w:rsid w:val="00616889"/>
    <w:rsid w:val="00617F77"/>
    <w:rsid w:val="00623004"/>
    <w:rsid w:val="006237CC"/>
    <w:rsid w:val="00627C91"/>
    <w:rsid w:val="00635031"/>
    <w:rsid w:val="006369D4"/>
    <w:rsid w:val="00636C51"/>
    <w:rsid w:val="006407FA"/>
    <w:rsid w:val="00642537"/>
    <w:rsid w:val="006427B2"/>
    <w:rsid w:val="00642BEB"/>
    <w:rsid w:val="00647426"/>
    <w:rsid w:val="00647590"/>
    <w:rsid w:val="006526F5"/>
    <w:rsid w:val="00656275"/>
    <w:rsid w:val="00657702"/>
    <w:rsid w:val="006619F5"/>
    <w:rsid w:val="006629F9"/>
    <w:rsid w:val="006639F0"/>
    <w:rsid w:val="0066562D"/>
    <w:rsid w:val="0066727B"/>
    <w:rsid w:val="00670998"/>
    <w:rsid w:val="00672050"/>
    <w:rsid w:val="00673872"/>
    <w:rsid w:val="00674A34"/>
    <w:rsid w:val="00685515"/>
    <w:rsid w:val="0068642A"/>
    <w:rsid w:val="00694C76"/>
    <w:rsid w:val="00694F4A"/>
    <w:rsid w:val="006A029B"/>
    <w:rsid w:val="006A17A1"/>
    <w:rsid w:val="006A61C5"/>
    <w:rsid w:val="006B0F31"/>
    <w:rsid w:val="006B13BC"/>
    <w:rsid w:val="006B32FE"/>
    <w:rsid w:val="006B3959"/>
    <w:rsid w:val="006B4B58"/>
    <w:rsid w:val="006B6925"/>
    <w:rsid w:val="006C026A"/>
    <w:rsid w:val="006C138D"/>
    <w:rsid w:val="006C3807"/>
    <w:rsid w:val="006C6821"/>
    <w:rsid w:val="006C7491"/>
    <w:rsid w:val="006C761B"/>
    <w:rsid w:val="006C76B5"/>
    <w:rsid w:val="006D03ED"/>
    <w:rsid w:val="006D2B37"/>
    <w:rsid w:val="006D3D81"/>
    <w:rsid w:val="006D46A1"/>
    <w:rsid w:val="006D4AA4"/>
    <w:rsid w:val="006D54FB"/>
    <w:rsid w:val="006D5816"/>
    <w:rsid w:val="006D627E"/>
    <w:rsid w:val="006D62D4"/>
    <w:rsid w:val="006E1A62"/>
    <w:rsid w:val="006E320C"/>
    <w:rsid w:val="006E3D84"/>
    <w:rsid w:val="006E527B"/>
    <w:rsid w:val="006E5C6B"/>
    <w:rsid w:val="006E6377"/>
    <w:rsid w:val="006E6640"/>
    <w:rsid w:val="006E6BBF"/>
    <w:rsid w:val="006E7529"/>
    <w:rsid w:val="006F2E4F"/>
    <w:rsid w:val="006F5CDC"/>
    <w:rsid w:val="006F6EC2"/>
    <w:rsid w:val="0070058D"/>
    <w:rsid w:val="00702854"/>
    <w:rsid w:val="00704585"/>
    <w:rsid w:val="00704A1A"/>
    <w:rsid w:val="00705833"/>
    <w:rsid w:val="00705924"/>
    <w:rsid w:val="00707B77"/>
    <w:rsid w:val="00707CE9"/>
    <w:rsid w:val="00710055"/>
    <w:rsid w:val="007103BC"/>
    <w:rsid w:val="0071184F"/>
    <w:rsid w:val="00712189"/>
    <w:rsid w:val="007134A2"/>
    <w:rsid w:val="00713FB2"/>
    <w:rsid w:val="00717B45"/>
    <w:rsid w:val="007202C4"/>
    <w:rsid w:val="0072331C"/>
    <w:rsid w:val="00726CFA"/>
    <w:rsid w:val="0072758A"/>
    <w:rsid w:val="007304D5"/>
    <w:rsid w:val="00730965"/>
    <w:rsid w:val="00733599"/>
    <w:rsid w:val="00733F09"/>
    <w:rsid w:val="00735753"/>
    <w:rsid w:val="00735CCC"/>
    <w:rsid w:val="007368DC"/>
    <w:rsid w:val="00736AC9"/>
    <w:rsid w:val="00741A4E"/>
    <w:rsid w:val="00742E97"/>
    <w:rsid w:val="007452E0"/>
    <w:rsid w:val="00745BD4"/>
    <w:rsid w:val="00750378"/>
    <w:rsid w:val="007505FB"/>
    <w:rsid w:val="007524B0"/>
    <w:rsid w:val="00752997"/>
    <w:rsid w:val="007533EC"/>
    <w:rsid w:val="00756F8E"/>
    <w:rsid w:val="00756FEA"/>
    <w:rsid w:val="00757618"/>
    <w:rsid w:val="007614DB"/>
    <w:rsid w:val="00762606"/>
    <w:rsid w:val="00762B45"/>
    <w:rsid w:val="0076544A"/>
    <w:rsid w:val="00767402"/>
    <w:rsid w:val="0077044D"/>
    <w:rsid w:val="007708B3"/>
    <w:rsid w:val="007710A8"/>
    <w:rsid w:val="007721B6"/>
    <w:rsid w:val="00774454"/>
    <w:rsid w:val="00774ABF"/>
    <w:rsid w:val="00776E17"/>
    <w:rsid w:val="00782D07"/>
    <w:rsid w:val="007859F8"/>
    <w:rsid w:val="00791384"/>
    <w:rsid w:val="0079191B"/>
    <w:rsid w:val="00791C27"/>
    <w:rsid w:val="0079239C"/>
    <w:rsid w:val="007934F3"/>
    <w:rsid w:val="00795A80"/>
    <w:rsid w:val="00796464"/>
    <w:rsid w:val="00796F15"/>
    <w:rsid w:val="007A0403"/>
    <w:rsid w:val="007A12F5"/>
    <w:rsid w:val="007A4089"/>
    <w:rsid w:val="007A5936"/>
    <w:rsid w:val="007A5B55"/>
    <w:rsid w:val="007A5F41"/>
    <w:rsid w:val="007A5FEC"/>
    <w:rsid w:val="007B08D1"/>
    <w:rsid w:val="007B161A"/>
    <w:rsid w:val="007B29C6"/>
    <w:rsid w:val="007B37E0"/>
    <w:rsid w:val="007B4EAA"/>
    <w:rsid w:val="007B790F"/>
    <w:rsid w:val="007C20FA"/>
    <w:rsid w:val="007C27D3"/>
    <w:rsid w:val="007C2C95"/>
    <w:rsid w:val="007C6927"/>
    <w:rsid w:val="007C7403"/>
    <w:rsid w:val="007C767F"/>
    <w:rsid w:val="007C79FB"/>
    <w:rsid w:val="007D3891"/>
    <w:rsid w:val="007D4584"/>
    <w:rsid w:val="007D4A14"/>
    <w:rsid w:val="007E0017"/>
    <w:rsid w:val="007E0D9D"/>
    <w:rsid w:val="007E4B14"/>
    <w:rsid w:val="007E4B4C"/>
    <w:rsid w:val="007E7ABF"/>
    <w:rsid w:val="007F0907"/>
    <w:rsid w:val="007F0D24"/>
    <w:rsid w:val="007F10B5"/>
    <w:rsid w:val="007F1C81"/>
    <w:rsid w:val="007F6ABA"/>
    <w:rsid w:val="0080144C"/>
    <w:rsid w:val="00801B90"/>
    <w:rsid w:val="00804A3C"/>
    <w:rsid w:val="00804A98"/>
    <w:rsid w:val="00805C3A"/>
    <w:rsid w:val="00806020"/>
    <w:rsid w:val="008061B8"/>
    <w:rsid w:val="008100CF"/>
    <w:rsid w:val="00811B94"/>
    <w:rsid w:val="008129B1"/>
    <w:rsid w:val="00817A12"/>
    <w:rsid w:val="0082437E"/>
    <w:rsid w:val="008259FD"/>
    <w:rsid w:val="00825B2C"/>
    <w:rsid w:val="00825D52"/>
    <w:rsid w:val="00825D67"/>
    <w:rsid w:val="00826C1C"/>
    <w:rsid w:val="00832E86"/>
    <w:rsid w:val="00833BAB"/>
    <w:rsid w:val="00833FCC"/>
    <w:rsid w:val="008356E6"/>
    <w:rsid w:val="008360AA"/>
    <w:rsid w:val="00837412"/>
    <w:rsid w:val="00840877"/>
    <w:rsid w:val="0084180A"/>
    <w:rsid w:val="0084197A"/>
    <w:rsid w:val="00841EDA"/>
    <w:rsid w:val="00843425"/>
    <w:rsid w:val="00845708"/>
    <w:rsid w:val="00846239"/>
    <w:rsid w:val="00846484"/>
    <w:rsid w:val="008478EE"/>
    <w:rsid w:val="00852FB1"/>
    <w:rsid w:val="0085475F"/>
    <w:rsid w:val="00855C39"/>
    <w:rsid w:val="00856225"/>
    <w:rsid w:val="0085681C"/>
    <w:rsid w:val="008604B1"/>
    <w:rsid w:val="008609B1"/>
    <w:rsid w:val="008645C4"/>
    <w:rsid w:val="00867884"/>
    <w:rsid w:val="008734F5"/>
    <w:rsid w:val="00874DE6"/>
    <w:rsid w:val="00875104"/>
    <w:rsid w:val="008774D2"/>
    <w:rsid w:val="00880E40"/>
    <w:rsid w:val="00883771"/>
    <w:rsid w:val="00883C9D"/>
    <w:rsid w:val="00883EFE"/>
    <w:rsid w:val="008869CA"/>
    <w:rsid w:val="008870CD"/>
    <w:rsid w:val="008905BA"/>
    <w:rsid w:val="0089375C"/>
    <w:rsid w:val="0089513F"/>
    <w:rsid w:val="00895699"/>
    <w:rsid w:val="008A153F"/>
    <w:rsid w:val="008A4A20"/>
    <w:rsid w:val="008A54A9"/>
    <w:rsid w:val="008A6188"/>
    <w:rsid w:val="008A79C6"/>
    <w:rsid w:val="008A7C53"/>
    <w:rsid w:val="008B2094"/>
    <w:rsid w:val="008B28F2"/>
    <w:rsid w:val="008B444F"/>
    <w:rsid w:val="008B683E"/>
    <w:rsid w:val="008C0EF7"/>
    <w:rsid w:val="008C11A2"/>
    <w:rsid w:val="008C20F7"/>
    <w:rsid w:val="008C5F1C"/>
    <w:rsid w:val="008D06D8"/>
    <w:rsid w:val="008D136F"/>
    <w:rsid w:val="008D1B01"/>
    <w:rsid w:val="008D25D7"/>
    <w:rsid w:val="008D2A83"/>
    <w:rsid w:val="008D2D7B"/>
    <w:rsid w:val="008D2D98"/>
    <w:rsid w:val="008D44EB"/>
    <w:rsid w:val="008D6051"/>
    <w:rsid w:val="008E3E1A"/>
    <w:rsid w:val="008E4039"/>
    <w:rsid w:val="008F1AA9"/>
    <w:rsid w:val="008F1B82"/>
    <w:rsid w:val="008F7C5B"/>
    <w:rsid w:val="00901C4E"/>
    <w:rsid w:val="00904502"/>
    <w:rsid w:val="009049C0"/>
    <w:rsid w:val="00906257"/>
    <w:rsid w:val="009069D6"/>
    <w:rsid w:val="00910EF6"/>
    <w:rsid w:val="00911B1A"/>
    <w:rsid w:val="00912380"/>
    <w:rsid w:val="009124F6"/>
    <w:rsid w:val="00912BC1"/>
    <w:rsid w:val="00913B67"/>
    <w:rsid w:val="0091520D"/>
    <w:rsid w:val="00915B08"/>
    <w:rsid w:val="00921DD1"/>
    <w:rsid w:val="009225FE"/>
    <w:rsid w:val="00923D31"/>
    <w:rsid w:val="00923F94"/>
    <w:rsid w:val="00926DD3"/>
    <w:rsid w:val="00935308"/>
    <w:rsid w:val="009361FD"/>
    <w:rsid w:val="009406D2"/>
    <w:rsid w:val="00940F17"/>
    <w:rsid w:val="009414C5"/>
    <w:rsid w:val="009427F2"/>
    <w:rsid w:val="00944F64"/>
    <w:rsid w:val="00945CE1"/>
    <w:rsid w:val="009467A8"/>
    <w:rsid w:val="00951A0B"/>
    <w:rsid w:val="00953383"/>
    <w:rsid w:val="009574A8"/>
    <w:rsid w:val="009574C6"/>
    <w:rsid w:val="00961795"/>
    <w:rsid w:val="009632FC"/>
    <w:rsid w:val="009648F3"/>
    <w:rsid w:val="00964D68"/>
    <w:rsid w:val="00965025"/>
    <w:rsid w:val="009654C8"/>
    <w:rsid w:val="00967E51"/>
    <w:rsid w:val="00971039"/>
    <w:rsid w:val="00971B7B"/>
    <w:rsid w:val="00971D3B"/>
    <w:rsid w:val="00972D48"/>
    <w:rsid w:val="00975E68"/>
    <w:rsid w:val="00977A95"/>
    <w:rsid w:val="00982585"/>
    <w:rsid w:val="00983FD9"/>
    <w:rsid w:val="00985DC9"/>
    <w:rsid w:val="00985FA9"/>
    <w:rsid w:val="00987A99"/>
    <w:rsid w:val="009902F7"/>
    <w:rsid w:val="0099448D"/>
    <w:rsid w:val="00995A06"/>
    <w:rsid w:val="00996BF2"/>
    <w:rsid w:val="009A222A"/>
    <w:rsid w:val="009A26CA"/>
    <w:rsid w:val="009A6FE7"/>
    <w:rsid w:val="009B1BCA"/>
    <w:rsid w:val="009B1FD2"/>
    <w:rsid w:val="009B3AEB"/>
    <w:rsid w:val="009B7AE2"/>
    <w:rsid w:val="009C3EB5"/>
    <w:rsid w:val="009C42BD"/>
    <w:rsid w:val="009C444B"/>
    <w:rsid w:val="009D3773"/>
    <w:rsid w:val="009D499D"/>
    <w:rsid w:val="009D72AA"/>
    <w:rsid w:val="009D7484"/>
    <w:rsid w:val="009E0078"/>
    <w:rsid w:val="009E146B"/>
    <w:rsid w:val="009E14BA"/>
    <w:rsid w:val="009E2AEA"/>
    <w:rsid w:val="009E3183"/>
    <w:rsid w:val="009E36E1"/>
    <w:rsid w:val="009E3783"/>
    <w:rsid w:val="009E3EA3"/>
    <w:rsid w:val="009E3ED4"/>
    <w:rsid w:val="009F0715"/>
    <w:rsid w:val="009F1615"/>
    <w:rsid w:val="009F4352"/>
    <w:rsid w:val="009F45FE"/>
    <w:rsid w:val="009F4E4E"/>
    <w:rsid w:val="009F6717"/>
    <w:rsid w:val="00A01F6A"/>
    <w:rsid w:val="00A0321B"/>
    <w:rsid w:val="00A045CA"/>
    <w:rsid w:val="00A04DC3"/>
    <w:rsid w:val="00A0597B"/>
    <w:rsid w:val="00A05DAD"/>
    <w:rsid w:val="00A06FB4"/>
    <w:rsid w:val="00A14878"/>
    <w:rsid w:val="00A1707B"/>
    <w:rsid w:val="00A1739A"/>
    <w:rsid w:val="00A17694"/>
    <w:rsid w:val="00A17F2C"/>
    <w:rsid w:val="00A232B9"/>
    <w:rsid w:val="00A24F4B"/>
    <w:rsid w:val="00A3185E"/>
    <w:rsid w:val="00A33893"/>
    <w:rsid w:val="00A34C9A"/>
    <w:rsid w:val="00A34D89"/>
    <w:rsid w:val="00A3611E"/>
    <w:rsid w:val="00A41364"/>
    <w:rsid w:val="00A41F72"/>
    <w:rsid w:val="00A4278E"/>
    <w:rsid w:val="00A4292D"/>
    <w:rsid w:val="00A44A25"/>
    <w:rsid w:val="00A54891"/>
    <w:rsid w:val="00A54CA1"/>
    <w:rsid w:val="00A56516"/>
    <w:rsid w:val="00A62031"/>
    <w:rsid w:val="00A65D80"/>
    <w:rsid w:val="00A66849"/>
    <w:rsid w:val="00A672A7"/>
    <w:rsid w:val="00A714DD"/>
    <w:rsid w:val="00A73044"/>
    <w:rsid w:val="00A7379C"/>
    <w:rsid w:val="00A73CF1"/>
    <w:rsid w:val="00A75C9A"/>
    <w:rsid w:val="00A77EB0"/>
    <w:rsid w:val="00A835D4"/>
    <w:rsid w:val="00A853D1"/>
    <w:rsid w:val="00A85AA3"/>
    <w:rsid w:val="00A86302"/>
    <w:rsid w:val="00A86D69"/>
    <w:rsid w:val="00A90EE0"/>
    <w:rsid w:val="00A9123D"/>
    <w:rsid w:val="00A918D2"/>
    <w:rsid w:val="00A91DC0"/>
    <w:rsid w:val="00A91EEC"/>
    <w:rsid w:val="00A92534"/>
    <w:rsid w:val="00A927C4"/>
    <w:rsid w:val="00A92BCA"/>
    <w:rsid w:val="00A93B9E"/>
    <w:rsid w:val="00AA0F9E"/>
    <w:rsid w:val="00AA2734"/>
    <w:rsid w:val="00AA3015"/>
    <w:rsid w:val="00AA3E46"/>
    <w:rsid w:val="00AA4399"/>
    <w:rsid w:val="00AA4D97"/>
    <w:rsid w:val="00AA59AF"/>
    <w:rsid w:val="00AA74B7"/>
    <w:rsid w:val="00AB05D5"/>
    <w:rsid w:val="00AB1416"/>
    <w:rsid w:val="00AB2611"/>
    <w:rsid w:val="00AB35DC"/>
    <w:rsid w:val="00AB419D"/>
    <w:rsid w:val="00AB52D0"/>
    <w:rsid w:val="00AB73D3"/>
    <w:rsid w:val="00AC046B"/>
    <w:rsid w:val="00AC1E16"/>
    <w:rsid w:val="00AC1EDB"/>
    <w:rsid w:val="00AC3A0C"/>
    <w:rsid w:val="00AC3EEC"/>
    <w:rsid w:val="00AC4917"/>
    <w:rsid w:val="00AC50EE"/>
    <w:rsid w:val="00AC54F8"/>
    <w:rsid w:val="00AC57A5"/>
    <w:rsid w:val="00AC681D"/>
    <w:rsid w:val="00AC6FF1"/>
    <w:rsid w:val="00AD0F67"/>
    <w:rsid w:val="00AD1A30"/>
    <w:rsid w:val="00AD3760"/>
    <w:rsid w:val="00AD521F"/>
    <w:rsid w:val="00AD7E8E"/>
    <w:rsid w:val="00AE0487"/>
    <w:rsid w:val="00AE0F81"/>
    <w:rsid w:val="00AE330D"/>
    <w:rsid w:val="00AE5E2C"/>
    <w:rsid w:val="00AE7A51"/>
    <w:rsid w:val="00AF134A"/>
    <w:rsid w:val="00AF3563"/>
    <w:rsid w:val="00AF3BCE"/>
    <w:rsid w:val="00AF421C"/>
    <w:rsid w:val="00AF5C05"/>
    <w:rsid w:val="00AF7622"/>
    <w:rsid w:val="00B00238"/>
    <w:rsid w:val="00B019A9"/>
    <w:rsid w:val="00B03218"/>
    <w:rsid w:val="00B03273"/>
    <w:rsid w:val="00B039EC"/>
    <w:rsid w:val="00B07EFF"/>
    <w:rsid w:val="00B10984"/>
    <w:rsid w:val="00B109B2"/>
    <w:rsid w:val="00B10D67"/>
    <w:rsid w:val="00B110B5"/>
    <w:rsid w:val="00B14C3A"/>
    <w:rsid w:val="00B15781"/>
    <w:rsid w:val="00B167A2"/>
    <w:rsid w:val="00B174E3"/>
    <w:rsid w:val="00B20415"/>
    <w:rsid w:val="00B2772E"/>
    <w:rsid w:val="00B27A5B"/>
    <w:rsid w:val="00B316E7"/>
    <w:rsid w:val="00B3299C"/>
    <w:rsid w:val="00B3398C"/>
    <w:rsid w:val="00B34BDE"/>
    <w:rsid w:val="00B34EF9"/>
    <w:rsid w:val="00B3578F"/>
    <w:rsid w:val="00B35DAD"/>
    <w:rsid w:val="00B36EB3"/>
    <w:rsid w:val="00B40E17"/>
    <w:rsid w:val="00B41AE8"/>
    <w:rsid w:val="00B445D0"/>
    <w:rsid w:val="00B451B5"/>
    <w:rsid w:val="00B45C4D"/>
    <w:rsid w:val="00B50E59"/>
    <w:rsid w:val="00B53FF2"/>
    <w:rsid w:val="00B54620"/>
    <w:rsid w:val="00B55CDD"/>
    <w:rsid w:val="00B56E4F"/>
    <w:rsid w:val="00B612B5"/>
    <w:rsid w:val="00B63345"/>
    <w:rsid w:val="00B63A7A"/>
    <w:rsid w:val="00B652B0"/>
    <w:rsid w:val="00B70D13"/>
    <w:rsid w:val="00B7119B"/>
    <w:rsid w:val="00B71CF1"/>
    <w:rsid w:val="00B72847"/>
    <w:rsid w:val="00B73A3D"/>
    <w:rsid w:val="00B74168"/>
    <w:rsid w:val="00B746F1"/>
    <w:rsid w:val="00B7481E"/>
    <w:rsid w:val="00B748AE"/>
    <w:rsid w:val="00B75DB2"/>
    <w:rsid w:val="00B7681E"/>
    <w:rsid w:val="00B81EB1"/>
    <w:rsid w:val="00B832A3"/>
    <w:rsid w:val="00B83AFF"/>
    <w:rsid w:val="00B84886"/>
    <w:rsid w:val="00B84958"/>
    <w:rsid w:val="00B86A9F"/>
    <w:rsid w:val="00B90E4C"/>
    <w:rsid w:val="00B910E8"/>
    <w:rsid w:val="00B93137"/>
    <w:rsid w:val="00B9328C"/>
    <w:rsid w:val="00B94CD8"/>
    <w:rsid w:val="00B96F16"/>
    <w:rsid w:val="00B97A54"/>
    <w:rsid w:val="00BA0974"/>
    <w:rsid w:val="00BA1526"/>
    <w:rsid w:val="00BA3D73"/>
    <w:rsid w:val="00BA5640"/>
    <w:rsid w:val="00BA58AC"/>
    <w:rsid w:val="00BA67DC"/>
    <w:rsid w:val="00BA69CB"/>
    <w:rsid w:val="00BA7C49"/>
    <w:rsid w:val="00BB00BA"/>
    <w:rsid w:val="00BB112B"/>
    <w:rsid w:val="00BB1B81"/>
    <w:rsid w:val="00BB1CDA"/>
    <w:rsid w:val="00BB25B1"/>
    <w:rsid w:val="00BB2CD8"/>
    <w:rsid w:val="00BB4114"/>
    <w:rsid w:val="00BB49CB"/>
    <w:rsid w:val="00BB6375"/>
    <w:rsid w:val="00BC2D71"/>
    <w:rsid w:val="00BC459E"/>
    <w:rsid w:val="00BC4AAE"/>
    <w:rsid w:val="00BC5DCD"/>
    <w:rsid w:val="00BC626B"/>
    <w:rsid w:val="00BC7397"/>
    <w:rsid w:val="00BD0628"/>
    <w:rsid w:val="00BD304A"/>
    <w:rsid w:val="00BD7FD9"/>
    <w:rsid w:val="00BE1022"/>
    <w:rsid w:val="00BE283F"/>
    <w:rsid w:val="00BE2ECA"/>
    <w:rsid w:val="00BE2EFA"/>
    <w:rsid w:val="00BE597C"/>
    <w:rsid w:val="00BE6870"/>
    <w:rsid w:val="00BE71FD"/>
    <w:rsid w:val="00BE7B19"/>
    <w:rsid w:val="00BF23A6"/>
    <w:rsid w:val="00BF3B3D"/>
    <w:rsid w:val="00BF564D"/>
    <w:rsid w:val="00BF591D"/>
    <w:rsid w:val="00BF5A87"/>
    <w:rsid w:val="00BF6341"/>
    <w:rsid w:val="00C0045E"/>
    <w:rsid w:val="00C00FC7"/>
    <w:rsid w:val="00C00FD8"/>
    <w:rsid w:val="00C05E84"/>
    <w:rsid w:val="00C073E4"/>
    <w:rsid w:val="00C07C34"/>
    <w:rsid w:val="00C13962"/>
    <w:rsid w:val="00C154E6"/>
    <w:rsid w:val="00C158B5"/>
    <w:rsid w:val="00C16E23"/>
    <w:rsid w:val="00C17ED8"/>
    <w:rsid w:val="00C2082B"/>
    <w:rsid w:val="00C20DBA"/>
    <w:rsid w:val="00C23920"/>
    <w:rsid w:val="00C32976"/>
    <w:rsid w:val="00C33771"/>
    <w:rsid w:val="00C3411B"/>
    <w:rsid w:val="00C34230"/>
    <w:rsid w:val="00C3661B"/>
    <w:rsid w:val="00C42112"/>
    <w:rsid w:val="00C435EB"/>
    <w:rsid w:val="00C45768"/>
    <w:rsid w:val="00C4692B"/>
    <w:rsid w:val="00C46A0C"/>
    <w:rsid w:val="00C473F7"/>
    <w:rsid w:val="00C501E5"/>
    <w:rsid w:val="00C5100A"/>
    <w:rsid w:val="00C51884"/>
    <w:rsid w:val="00C549BC"/>
    <w:rsid w:val="00C54F71"/>
    <w:rsid w:val="00C56251"/>
    <w:rsid w:val="00C5667B"/>
    <w:rsid w:val="00C56A65"/>
    <w:rsid w:val="00C56FE0"/>
    <w:rsid w:val="00C6072B"/>
    <w:rsid w:val="00C6094D"/>
    <w:rsid w:val="00C62733"/>
    <w:rsid w:val="00C62FDC"/>
    <w:rsid w:val="00C63FDC"/>
    <w:rsid w:val="00C67BC7"/>
    <w:rsid w:val="00C724F5"/>
    <w:rsid w:val="00C73066"/>
    <w:rsid w:val="00C743D2"/>
    <w:rsid w:val="00C77A1F"/>
    <w:rsid w:val="00C80647"/>
    <w:rsid w:val="00C80836"/>
    <w:rsid w:val="00C841B1"/>
    <w:rsid w:val="00C84DDE"/>
    <w:rsid w:val="00C85162"/>
    <w:rsid w:val="00C87864"/>
    <w:rsid w:val="00C90EAC"/>
    <w:rsid w:val="00C917FD"/>
    <w:rsid w:val="00C93D01"/>
    <w:rsid w:val="00C958FA"/>
    <w:rsid w:val="00C96958"/>
    <w:rsid w:val="00C96A6B"/>
    <w:rsid w:val="00CA26AB"/>
    <w:rsid w:val="00CA62C0"/>
    <w:rsid w:val="00CA73CB"/>
    <w:rsid w:val="00CA79BB"/>
    <w:rsid w:val="00CB4161"/>
    <w:rsid w:val="00CB43A2"/>
    <w:rsid w:val="00CB5139"/>
    <w:rsid w:val="00CB6DE1"/>
    <w:rsid w:val="00CB7730"/>
    <w:rsid w:val="00CC12A0"/>
    <w:rsid w:val="00CC26A8"/>
    <w:rsid w:val="00CC4CED"/>
    <w:rsid w:val="00CC6EBB"/>
    <w:rsid w:val="00CD4A21"/>
    <w:rsid w:val="00CE3A6F"/>
    <w:rsid w:val="00CE63F9"/>
    <w:rsid w:val="00CF0A31"/>
    <w:rsid w:val="00CF1E87"/>
    <w:rsid w:val="00CF240F"/>
    <w:rsid w:val="00CF34FA"/>
    <w:rsid w:val="00CF4B5F"/>
    <w:rsid w:val="00CF4FAD"/>
    <w:rsid w:val="00CF5C15"/>
    <w:rsid w:val="00CF6201"/>
    <w:rsid w:val="00CF6B2F"/>
    <w:rsid w:val="00D006F9"/>
    <w:rsid w:val="00D01D5A"/>
    <w:rsid w:val="00D03249"/>
    <w:rsid w:val="00D054A5"/>
    <w:rsid w:val="00D05CAA"/>
    <w:rsid w:val="00D05DD5"/>
    <w:rsid w:val="00D06129"/>
    <w:rsid w:val="00D114E6"/>
    <w:rsid w:val="00D1198D"/>
    <w:rsid w:val="00D15F17"/>
    <w:rsid w:val="00D161BE"/>
    <w:rsid w:val="00D162D9"/>
    <w:rsid w:val="00D17BDD"/>
    <w:rsid w:val="00D22B62"/>
    <w:rsid w:val="00D24F7B"/>
    <w:rsid w:val="00D30F03"/>
    <w:rsid w:val="00D33180"/>
    <w:rsid w:val="00D34E5E"/>
    <w:rsid w:val="00D37CF1"/>
    <w:rsid w:val="00D4044B"/>
    <w:rsid w:val="00D4046C"/>
    <w:rsid w:val="00D41D2D"/>
    <w:rsid w:val="00D42638"/>
    <w:rsid w:val="00D44316"/>
    <w:rsid w:val="00D448E6"/>
    <w:rsid w:val="00D46EB9"/>
    <w:rsid w:val="00D471DD"/>
    <w:rsid w:val="00D4743F"/>
    <w:rsid w:val="00D5065B"/>
    <w:rsid w:val="00D51CBC"/>
    <w:rsid w:val="00D548E4"/>
    <w:rsid w:val="00D56338"/>
    <w:rsid w:val="00D565F8"/>
    <w:rsid w:val="00D56ABB"/>
    <w:rsid w:val="00D571B1"/>
    <w:rsid w:val="00D57944"/>
    <w:rsid w:val="00D57EFC"/>
    <w:rsid w:val="00D602E0"/>
    <w:rsid w:val="00D63EFF"/>
    <w:rsid w:val="00D64096"/>
    <w:rsid w:val="00D644BD"/>
    <w:rsid w:val="00D65500"/>
    <w:rsid w:val="00D65F8F"/>
    <w:rsid w:val="00D664A9"/>
    <w:rsid w:val="00D66520"/>
    <w:rsid w:val="00D66C5B"/>
    <w:rsid w:val="00D671E2"/>
    <w:rsid w:val="00D67E0A"/>
    <w:rsid w:val="00D712E9"/>
    <w:rsid w:val="00D7566A"/>
    <w:rsid w:val="00D85008"/>
    <w:rsid w:val="00D87426"/>
    <w:rsid w:val="00D8754D"/>
    <w:rsid w:val="00D92717"/>
    <w:rsid w:val="00D93E05"/>
    <w:rsid w:val="00D9515D"/>
    <w:rsid w:val="00DA3A08"/>
    <w:rsid w:val="00DA4715"/>
    <w:rsid w:val="00DA62DF"/>
    <w:rsid w:val="00DA7439"/>
    <w:rsid w:val="00DB0DA9"/>
    <w:rsid w:val="00DB108A"/>
    <w:rsid w:val="00DC1776"/>
    <w:rsid w:val="00DC33A5"/>
    <w:rsid w:val="00DC4340"/>
    <w:rsid w:val="00DC7898"/>
    <w:rsid w:val="00DD19F8"/>
    <w:rsid w:val="00DD1C70"/>
    <w:rsid w:val="00DD3239"/>
    <w:rsid w:val="00DE07E4"/>
    <w:rsid w:val="00DE0877"/>
    <w:rsid w:val="00DE0FF8"/>
    <w:rsid w:val="00DE3EBF"/>
    <w:rsid w:val="00DE6D39"/>
    <w:rsid w:val="00DE7345"/>
    <w:rsid w:val="00DE76EB"/>
    <w:rsid w:val="00DF51CA"/>
    <w:rsid w:val="00DF5581"/>
    <w:rsid w:val="00DF7501"/>
    <w:rsid w:val="00DF7936"/>
    <w:rsid w:val="00E004EF"/>
    <w:rsid w:val="00E04B6F"/>
    <w:rsid w:val="00E13833"/>
    <w:rsid w:val="00E17001"/>
    <w:rsid w:val="00E17406"/>
    <w:rsid w:val="00E20AE5"/>
    <w:rsid w:val="00E20F00"/>
    <w:rsid w:val="00E21297"/>
    <w:rsid w:val="00E23A38"/>
    <w:rsid w:val="00E23B6B"/>
    <w:rsid w:val="00E24721"/>
    <w:rsid w:val="00E25139"/>
    <w:rsid w:val="00E265A0"/>
    <w:rsid w:val="00E266DE"/>
    <w:rsid w:val="00E311F5"/>
    <w:rsid w:val="00E32594"/>
    <w:rsid w:val="00E34BF8"/>
    <w:rsid w:val="00E35B1E"/>
    <w:rsid w:val="00E4250F"/>
    <w:rsid w:val="00E44A7E"/>
    <w:rsid w:val="00E46A7E"/>
    <w:rsid w:val="00E46CE8"/>
    <w:rsid w:val="00E51559"/>
    <w:rsid w:val="00E548DB"/>
    <w:rsid w:val="00E552BD"/>
    <w:rsid w:val="00E55649"/>
    <w:rsid w:val="00E56A50"/>
    <w:rsid w:val="00E5798A"/>
    <w:rsid w:val="00E57A3E"/>
    <w:rsid w:val="00E628D9"/>
    <w:rsid w:val="00E63ADA"/>
    <w:rsid w:val="00E640E0"/>
    <w:rsid w:val="00E645F6"/>
    <w:rsid w:val="00E64C5F"/>
    <w:rsid w:val="00E664F4"/>
    <w:rsid w:val="00E70355"/>
    <w:rsid w:val="00E72855"/>
    <w:rsid w:val="00E72E5D"/>
    <w:rsid w:val="00E7377F"/>
    <w:rsid w:val="00E74710"/>
    <w:rsid w:val="00E74C1D"/>
    <w:rsid w:val="00E75ACC"/>
    <w:rsid w:val="00E81B2F"/>
    <w:rsid w:val="00E844ED"/>
    <w:rsid w:val="00E85810"/>
    <w:rsid w:val="00E85B0A"/>
    <w:rsid w:val="00E90558"/>
    <w:rsid w:val="00E909CD"/>
    <w:rsid w:val="00E92248"/>
    <w:rsid w:val="00E92BD1"/>
    <w:rsid w:val="00E935A1"/>
    <w:rsid w:val="00E93FB6"/>
    <w:rsid w:val="00E94BB6"/>
    <w:rsid w:val="00EA1715"/>
    <w:rsid w:val="00EA2EE8"/>
    <w:rsid w:val="00EA31FD"/>
    <w:rsid w:val="00EA4349"/>
    <w:rsid w:val="00EA4EE4"/>
    <w:rsid w:val="00EA5A32"/>
    <w:rsid w:val="00EB2F51"/>
    <w:rsid w:val="00EB3BF0"/>
    <w:rsid w:val="00EB4DA6"/>
    <w:rsid w:val="00EB601D"/>
    <w:rsid w:val="00EB6CCD"/>
    <w:rsid w:val="00EC0273"/>
    <w:rsid w:val="00EC25BA"/>
    <w:rsid w:val="00ED0AD5"/>
    <w:rsid w:val="00ED1DE2"/>
    <w:rsid w:val="00ED1F31"/>
    <w:rsid w:val="00ED3630"/>
    <w:rsid w:val="00ED7140"/>
    <w:rsid w:val="00ED77E5"/>
    <w:rsid w:val="00EE026E"/>
    <w:rsid w:val="00EE3C59"/>
    <w:rsid w:val="00EE5B70"/>
    <w:rsid w:val="00EE66B6"/>
    <w:rsid w:val="00EE7B48"/>
    <w:rsid w:val="00EF0AFA"/>
    <w:rsid w:val="00EF38E5"/>
    <w:rsid w:val="00EF5C33"/>
    <w:rsid w:val="00EF629C"/>
    <w:rsid w:val="00EF6508"/>
    <w:rsid w:val="00EF6AB8"/>
    <w:rsid w:val="00EF7C6E"/>
    <w:rsid w:val="00F012F4"/>
    <w:rsid w:val="00F01632"/>
    <w:rsid w:val="00F0546E"/>
    <w:rsid w:val="00F0625D"/>
    <w:rsid w:val="00F0672D"/>
    <w:rsid w:val="00F072E1"/>
    <w:rsid w:val="00F11185"/>
    <w:rsid w:val="00F11DDA"/>
    <w:rsid w:val="00F12E98"/>
    <w:rsid w:val="00F1446A"/>
    <w:rsid w:val="00F14DDA"/>
    <w:rsid w:val="00F15284"/>
    <w:rsid w:val="00F169CB"/>
    <w:rsid w:val="00F207AB"/>
    <w:rsid w:val="00F2161A"/>
    <w:rsid w:val="00F21724"/>
    <w:rsid w:val="00F2198A"/>
    <w:rsid w:val="00F21A81"/>
    <w:rsid w:val="00F21CC1"/>
    <w:rsid w:val="00F22D61"/>
    <w:rsid w:val="00F2324D"/>
    <w:rsid w:val="00F2428F"/>
    <w:rsid w:val="00F25075"/>
    <w:rsid w:val="00F27444"/>
    <w:rsid w:val="00F317CA"/>
    <w:rsid w:val="00F319F3"/>
    <w:rsid w:val="00F31BFB"/>
    <w:rsid w:val="00F323E7"/>
    <w:rsid w:val="00F324D2"/>
    <w:rsid w:val="00F32A56"/>
    <w:rsid w:val="00F335E4"/>
    <w:rsid w:val="00F35509"/>
    <w:rsid w:val="00F358C3"/>
    <w:rsid w:val="00F413D8"/>
    <w:rsid w:val="00F42100"/>
    <w:rsid w:val="00F42A9B"/>
    <w:rsid w:val="00F45470"/>
    <w:rsid w:val="00F464FE"/>
    <w:rsid w:val="00F465F9"/>
    <w:rsid w:val="00F47621"/>
    <w:rsid w:val="00F570AB"/>
    <w:rsid w:val="00F571A5"/>
    <w:rsid w:val="00F57A71"/>
    <w:rsid w:val="00F61C28"/>
    <w:rsid w:val="00F61E69"/>
    <w:rsid w:val="00F633B7"/>
    <w:rsid w:val="00F645F1"/>
    <w:rsid w:val="00F6591A"/>
    <w:rsid w:val="00F70D35"/>
    <w:rsid w:val="00F7546C"/>
    <w:rsid w:val="00F75B7B"/>
    <w:rsid w:val="00F77B00"/>
    <w:rsid w:val="00F83B6F"/>
    <w:rsid w:val="00F84470"/>
    <w:rsid w:val="00F857BC"/>
    <w:rsid w:val="00F90273"/>
    <w:rsid w:val="00F90BD0"/>
    <w:rsid w:val="00F91A5F"/>
    <w:rsid w:val="00F93ACB"/>
    <w:rsid w:val="00F93C4F"/>
    <w:rsid w:val="00F95994"/>
    <w:rsid w:val="00FA2611"/>
    <w:rsid w:val="00FA29C9"/>
    <w:rsid w:val="00FA2D81"/>
    <w:rsid w:val="00FA3F17"/>
    <w:rsid w:val="00FA49C5"/>
    <w:rsid w:val="00FA5BD2"/>
    <w:rsid w:val="00FA6175"/>
    <w:rsid w:val="00FA6784"/>
    <w:rsid w:val="00FA7E00"/>
    <w:rsid w:val="00FB1780"/>
    <w:rsid w:val="00FB35C6"/>
    <w:rsid w:val="00FB4C5A"/>
    <w:rsid w:val="00FB5BFA"/>
    <w:rsid w:val="00FB6F79"/>
    <w:rsid w:val="00FC10F6"/>
    <w:rsid w:val="00FC33A2"/>
    <w:rsid w:val="00FC7C25"/>
    <w:rsid w:val="00FD1C2E"/>
    <w:rsid w:val="00FD3574"/>
    <w:rsid w:val="00FD602D"/>
    <w:rsid w:val="00FD60D2"/>
    <w:rsid w:val="00FD6A7D"/>
    <w:rsid w:val="00FD6FC9"/>
    <w:rsid w:val="00FE02C2"/>
    <w:rsid w:val="00FE2D34"/>
    <w:rsid w:val="00FF26F6"/>
    <w:rsid w:val="00FF35E2"/>
    <w:rsid w:val="00FF784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12D11F"/>
  <w15:docId w15:val="{E574E81B-4A76-4110-B683-FA3D0CF8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323"/>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paragraph" w:styleId="Heading2">
    <w:name w:val="heading 2"/>
    <w:basedOn w:val="Normal"/>
    <w:next w:val="Normal"/>
    <w:link w:val="Heading2Char"/>
    <w:uiPriority w:val="9"/>
    <w:semiHidden/>
    <w:unhideWhenUsed/>
    <w:qFormat/>
    <w:rsid w:val="00C20DB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
    <w:semiHidden/>
    <w:unhideWhenUsed/>
    <w:qFormat/>
    <w:rsid w:val="00811B94"/>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uiPriority w:val="99"/>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aliases w:val="List Paragraph1,Recommendation,List Paragraph11,dot point 1,Body text,Bullet Point,Bullet point,Bulletr List Paragraph,Content descriptions,FooterText,L,List Bullet 1,List Bullet Cab,List Paragraph2,List Paragraph21,Listeafsnit1,リスト段落,列"/>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nhideWhenUsed/>
    <w:rsid w:val="003E35A8"/>
    <w:rPr>
      <w:sz w:val="16"/>
      <w:szCs w:val="16"/>
    </w:rPr>
  </w:style>
  <w:style w:type="paragraph" w:styleId="CommentText">
    <w:name w:val="annotation text"/>
    <w:basedOn w:val="Normal"/>
    <w:link w:val="CommentTextChar"/>
    <w:unhideWhenUsed/>
    <w:rsid w:val="003E35A8"/>
    <w:rPr>
      <w:sz w:val="20"/>
    </w:rPr>
  </w:style>
  <w:style w:type="character" w:customStyle="1" w:styleId="CommentTextChar">
    <w:name w:val="Comment Text Char"/>
    <w:basedOn w:val="DefaultParagraphFont"/>
    <w:link w:val="CommentText"/>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F90273"/>
    <w:pPr>
      <w:tabs>
        <w:tab w:val="center" w:pos="4513"/>
        <w:tab w:val="right" w:pos="9026"/>
      </w:tabs>
    </w:pPr>
  </w:style>
  <w:style w:type="character" w:customStyle="1" w:styleId="FooterChar">
    <w:name w:val="Footer Char"/>
    <w:basedOn w:val="DefaultParagraphFont"/>
    <w:link w:val="Footer"/>
    <w:uiPriority w:val="99"/>
    <w:rsid w:val="00F90273"/>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3A6230"/>
    <w:rPr>
      <w:b/>
      <w:bCs/>
      <w:i/>
      <w:smallCaps/>
      <w:color w:val="C0504D" w:themeColor="accent2"/>
      <w:spacing w:val="5"/>
      <w:u w:val="none"/>
    </w:rPr>
  </w:style>
  <w:style w:type="paragraph" w:customStyle="1" w:styleId="ActHead9">
    <w:name w:val="ActHead 9"/>
    <w:aliases w:val="aat"/>
    <w:basedOn w:val="Normal"/>
    <w:next w:val="Normal"/>
    <w:qFormat/>
    <w:rsid w:val="006D5816"/>
    <w:pPr>
      <w:keepNext/>
      <w:keepLines/>
      <w:spacing w:before="280"/>
      <w:ind w:left="1134" w:hanging="1134"/>
      <w:outlineLvl w:val="8"/>
    </w:pPr>
    <w:rPr>
      <w:b/>
      <w:i/>
      <w:kern w:val="28"/>
      <w:sz w:val="28"/>
    </w:rPr>
  </w:style>
  <w:style w:type="paragraph" w:styleId="NoSpacing">
    <w:name w:val="No Spacing"/>
    <w:uiPriority w:val="1"/>
    <w:qFormat/>
    <w:rsid w:val="00A1739A"/>
    <w:pPr>
      <w:spacing w:after="0" w:line="240" w:lineRule="auto"/>
    </w:pPr>
    <w:rPr>
      <w:rFonts w:ascii="Times New Roman" w:eastAsia="Times New Roman" w:hAnsi="Times New Roman" w:cs="Times New Roman"/>
      <w:sz w:val="24"/>
      <w:szCs w:val="24"/>
    </w:rPr>
  </w:style>
  <w:style w:type="paragraph" w:customStyle="1" w:styleId="ItemHead">
    <w:name w:val="ItemHead"/>
    <w:aliases w:val="ih"/>
    <w:basedOn w:val="Normal"/>
    <w:next w:val="Normal"/>
    <w:rsid w:val="00A1739A"/>
    <w:pPr>
      <w:keepNext/>
      <w:keepLines/>
      <w:spacing w:before="220"/>
      <w:ind w:left="709" w:hanging="709"/>
    </w:pPr>
    <w:rPr>
      <w:rFonts w:ascii="Arial" w:hAnsi="Arial"/>
      <w:b/>
      <w:kern w:val="28"/>
    </w:rPr>
  </w:style>
  <w:style w:type="paragraph" w:customStyle="1" w:styleId="Tablea">
    <w:name w:val="Table(a)"/>
    <w:aliases w:val="ta"/>
    <w:basedOn w:val="Normal"/>
    <w:rsid w:val="00A1739A"/>
    <w:pPr>
      <w:spacing w:before="60"/>
      <w:ind w:left="284" w:hanging="284"/>
    </w:pPr>
    <w:rPr>
      <w:sz w:val="20"/>
    </w:rPr>
  </w:style>
  <w:style w:type="paragraph" w:customStyle="1" w:styleId="Tabletext">
    <w:name w:val="Tabletext"/>
    <w:aliases w:val="tt"/>
    <w:basedOn w:val="Normal"/>
    <w:rsid w:val="00F90BD0"/>
    <w:pPr>
      <w:spacing w:before="60" w:line="240" w:lineRule="atLeast"/>
    </w:pPr>
    <w:rPr>
      <w:sz w:val="20"/>
    </w:rPr>
  </w:style>
  <w:style w:type="paragraph" w:customStyle="1" w:styleId="Item">
    <w:name w:val="Item"/>
    <w:aliases w:val="i"/>
    <w:basedOn w:val="Normal"/>
    <w:next w:val="ItemHead"/>
    <w:rsid w:val="00A41364"/>
    <w:pPr>
      <w:keepLines/>
      <w:spacing w:before="80"/>
      <w:ind w:left="709"/>
    </w:pPr>
    <w:rPr>
      <w:sz w:val="22"/>
    </w:rPr>
  </w:style>
  <w:style w:type="paragraph" w:styleId="PlainText">
    <w:name w:val="Plain Text"/>
    <w:basedOn w:val="Normal"/>
    <w:link w:val="PlainTextChar"/>
    <w:uiPriority w:val="99"/>
    <w:unhideWhenUsed/>
    <w:rsid w:val="001E5787"/>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1E5787"/>
    <w:rPr>
      <w:rFonts w:ascii="Calibri" w:hAnsi="Calibri" w:cs="Times New Roman"/>
    </w:rPr>
  </w:style>
  <w:style w:type="paragraph" w:customStyle="1" w:styleId="H3">
    <w:name w:val="H3"/>
    <w:basedOn w:val="Normal"/>
    <w:next w:val="Normal"/>
    <w:rsid w:val="00FA6784"/>
    <w:pPr>
      <w:keepNext/>
      <w:spacing w:before="100" w:after="100"/>
      <w:outlineLvl w:val="3"/>
    </w:pPr>
    <w:rPr>
      <w:b/>
      <w:bCs/>
      <w:sz w:val="28"/>
      <w:szCs w:val="28"/>
      <w:lang w:eastAsia="en-US"/>
    </w:rPr>
  </w:style>
  <w:style w:type="paragraph" w:customStyle="1" w:styleId="pfparanumlevel10">
    <w:name w:val="pfparanumlevel10"/>
    <w:basedOn w:val="Normal"/>
    <w:rsid w:val="00DE0FF8"/>
    <w:pPr>
      <w:spacing w:before="100" w:beforeAutospacing="1" w:after="100" w:afterAutospacing="1"/>
    </w:pPr>
    <w:rPr>
      <w:szCs w:val="24"/>
    </w:rPr>
  </w:style>
  <w:style w:type="character" w:customStyle="1" w:styleId="apple-converted-space">
    <w:name w:val="apple-converted-space"/>
    <w:basedOn w:val="DefaultParagraphFont"/>
    <w:rsid w:val="00393E9B"/>
  </w:style>
  <w:style w:type="character" w:customStyle="1" w:styleId="ListParagraphChar">
    <w:name w:val="List Paragraph Char"/>
    <w:aliases w:val="List Paragraph1 Char,Recommendation Char,List Paragraph11 Char,dot point 1 Char,Body text Char,Bullet Point Char,Bullet point Char,Bulletr List Paragraph Char,Content descriptions Char,FooterText Char,L Char,List Bullet 1 Char,列 Char"/>
    <w:link w:val="ListParagraph"/>
    <w:uiPriority w:val="34"/>
    <w:locked/>
    <w:rsid w:val="00E92248"/>
    <w:rPr>
      <w:rFonts w:ascii="Times New Roman" w:eastAsia="Times New Roman" w:hAnsi="Times New Roman" w:cs="Times New Roman"/>
      <w:sz w:val="24"/>
      <w:szCs w:val="20"/>
      <w:lang w:eastAsia="en-AU"/>
    </w:rPr>
  </w:style>
  <w:style w:type="paragraph" w:customStyle="1" w:styleId="r1">
    <w:name w:val="r1"/>
    <w:basedOn w:val="Normal"/>
    <w:rsid w:val="002E7D88"/>
    <w:pPr>
      <w:spacing w:before="100" w:beforeAutospacing="1" w:after="100" w:afterAutospacing="1"/>
    </w:pPr>
    <w:rPr>
      <w:szCs w:val="24"/>
    </w:rPr>
  </w:style>
  <w:style w:type="paragraph" w:customStyle="1" w:styleId="p1">
    <w:name w:val="p1"/>
    <w:basedOn w:val="Normal"/>
    <w:rsid w:val="002E7D88"/>
    <w:pPr>
      <w:spacing w:before="100" w:beforeAutospacing="1" w:after="100" w:afterAutospacing="1"/>
    </w:pPr>
    <w:rPr>
      <w:szCs w:val="24"/>
    </w:rPr>
  </w:style>
  <w:style w:type="paragraph" w:customStyle="1" w:styleId="p2">
    <w:name w:val="p2"/>
    <w:basedOn w:val="Normal"/>
    <w:rsid w:val="002E7D88"/>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C20DBA"/>
    <w:rPr>
      <w:rFonts w:asciiTheme="majorHAnsi" w:eastAsiaTheme="majorEastAsia" w:hAnsiTheme="majorHAnsi" w:cstheme="majorBidi"/>
      <w:b/>
      <w:bCs/>
      <w:color w:val="4F81BD" w:themeColor="accent1"/>
      <w:sz w:val="26"/>
      <w:szCs w:val="26"/>
      <w:lang w:eastAsia="en-AU"/>
    </w:rPr>
  </w:style>
  <w:style w:type="paragraph" w:customStyle="1" w:styleId="Tabletext0">
    <w:name w:val="Table text"/>
    <w:basedOn w:val="Normal"/>
    <w:link w:val="TabletextChar"/>
    <w:qFormat/>
    <w:rsid w:val="00E72E5D"/>
    <w:pPr>
      <w:keepLines/>
      <w:spacing w:before="40" w:after="40"/>
    </w:pPr>
    <w:rPr>
      <w:rFonts w:ascii="Arial Narrow" w:hAnsi="Arial Narrow" w:cs="Tahoma"/>
      <w:sz w:val="20"/>
      <w:lang w:val="en-GB" w:eastAsia="en-US"/>
    </w:rPr>
  </w:style>
  <w:style w:type="character" w:customStyle="1" w:styleId="TabletextChar">
    <w:name w:val="Table text Char"/>
    <w:link w:val="Tabletext0"/>
    <w:rsid w:val="00E72E5D"/>
    <w:rPr>
      <w:rFonts w:ascii="Arial Narrow" w:eastAsia="Times New Roman" w:hAnsi="Arial Narrow" w:cs="Tahoma"/>
      <w:sz w:val="20"/>
      <w:szCs w:val="20"/>
      <w:lang w:val="en-GB"/>
    </w:rPr>
  </w:style>
  <w:style w:type="paragraph" w:customStyle="1" w:styleId="paragraphsub">
    <w:name w:val="paragraphsub"/>
    <w:basedOn w:val="Normal"/>
    <w:rsid w:val="002427DC"/>
    <w:pPr>
      <w:spacing w:before="100" w:beforeAutospacing="1" w:after="100" w:afterAutospacing="1"/>
    </w:pPr>
    <w:rPr>
      <w:szCs w:val="24"/>
    </w:rPr>
  </w:style>
  <w:style w:type="paragraph" w:customStyle="1" w:styleId="paragraph">
    <w:name w:val="paragraph"/>
    <w:basedOn w:val="Normal"/>
    <w:rsid w:val="002427DC"/>
    <w:pPr>
      <w:spacing w:before="100" w:beforeAutospacing="1" w:after="100" w:afterAutospacing="1"/>
    </w:pPr>
    <w:rPr>
      <w:szCs w:val="24"/>
    </w:rPr>
  </w:style>
  <w:style w:type="paragraph" w:customStyle="1" w:styleId="Char1">
    <w:name w:val="Char1"/>
    <w:basedOn w:val="Normal"/>
    <w:rsid w:val="002806A1"/>
    <w:rPr>
      <w:rFonts w:ascii="Arial" w:hAnsi="Arial" w:cs="Arial"/>
      <w:sz w:val="22"/>
      <w:szCs w:val="22"/>
      <w:lang w:eastAsia="en-US"/>
    </w:rPr>
  </w:style>
  <w:style w:type="character" w:styleId="Emphasis">
    <w:name w:val="Emphasis"/>
    <w:basedOn w:val="DefaultParagraphFont"/>
    <w:uiPriority w:val="20"/>
    <w:qFormat/>
    <w:rsid w:val="00B15781"/>
    <w:rPr>
      <w:i/>
      <w:iCs/>
    </w:rPr>
  </w:style>
  <w:style w:type="character" w:customStyle="1" w:styleId="Heading6Char">
    <w:name w:val="Heading 6 Char"/>
    <w:basedOn w:val="DefaultParagraphFont"/>
    <w:link w:val="Heading6"/>
    <w:rsid w:val="00811B94"/>
    <w:rPr>
      <w:rFonts w:asciiTheme="majorHAnsi" w:eastAsiaTheme="majorEastAsia" w:hAnsiTheme="majorHAnsi" w:cstheme="majorBidi"/>
      <w:color w:val="243F60" w:themeColor="accent1" w:themeShade="7F"/>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42790">
      <w:bodyDiv w:val="1"/>
      <w:marLeft w:val="0"/>
      <w:marRight w:val="0"/>
      <w:marTop w:val="0"/>
      <w:marBottom w:val="0"/>
      <w:divBdr>
        <w:top w:val="none" w:sz="0" w:space="0" w:color="auto"/>
        <w:left w:val="none" w:sz="0" w:space="0" w:color="auto"/>
        <w:bottom w:val="none" w:sz="0" w:space="0" w:color="auto"/>
        <w:right w:val="none" w:sz="0" w:space="0" w:color="auto"/>
      </w:divBdr>
    </w:div>
    <w:div w:id="236207998">
      <w:bodyDiv w:val="1"/>
      <w:marLeft w:val="0"/>
      <w:marRight w:val="0"/>
      <w:marTop w:val="0"/>
      <w:marBottom w:val="0"/>
      <w:divBdr>
        <w:top w:val="none" w:sz="0" w:space="0" w:color="auto"/>
        <w:left w:val="none" w:sz="0" w:space="0" w:color="auto"/>
        <w:bottom w:val="none" w:sz="0" w:space="0" w:color="auto"/>
        <w:right w:val="none" w:sz="0" w:space="0" w:color="auto"/>
      </w:divBdr>
    </w:div>
    <w:div w:id="321276056">
      <w:bodyDiv w:val="1"/>
      <w:marLeft w:val="0"/>
      <w:marRight w:val="0"/>
      <w:marTop w:val="0"/>
      <w:marBottom w:val="0"/>
      <w:divBdr>
        <w:top w:val="none" w:sz="0" w:space="0" w:color="auto"/>
        <w:left w:val="none" w:sz="0" w:space="0" w:color="auto"/>
        <w:bottom w:val="none" w:sz="0" w:space="0" w:color="auto"/>
        <w:right w:val="none" w:sz="0" w:space="0" w:color="auto"/>
      </w:divBdr>
    </w:div>
    <w:div w:id="336883452">
      <w:bodyDiv w:val="1"/>
      <w:marLeft w:val="0"/>
      <w:marRight w:val="0"/>
      <w:marTop w:val="0"/>
      <w:marBottom w:val="0"/>
      <w:divBdr>
        <w:top w:val="none" w:sz="0" w:space="0" w:color="auto"/>
        <w:left w:val="none" w:sz="0" w:space="0" w:color="auto"/>
        <w:bottom w:val="none" w:sz="0" w:space="0" w:color="auto"/>
        <w:right w:val="none" w:sz="0" w:space="0" w:color="auto"/>
      </w:divBdr>
    </w:div>
    <w:div w:id="427039913">
      <w:bodyDiv w:val="1"/>
      <w:marLeft w:val="0"/>
      <w:marRight w:val="0"/>
      <w:marTop w:val="0"/>
      <w:marBottom w:val="0"/>
      <w:divBdr>
        <w:top w:val="none" w:sz="0" w:space="0" w:color="auto"/>
        <w:left w:val="none" w:sz="0" w:space="0" w:color="auto"/>
        <w:bottom w:val="none" w:sz="0" w:space="0" w:color="auto"/>
        <w:right w:val="none" w:sz="0" w:space="0" w:color="auto"/>
      </w:divBdr>
    </w:div>
    <w:div w:id="491877123">
      <w:bodyDiv w:val="1"/>
      <w:marLeft w:val="0"/>
      <w:marRight w:val="0"/>
      <w:marTop w:val="0"/>
      <w:marBottom w:val="0"/>
      <w:divBdr>
        <w:top w:val="none" w:sz="0" w:space="0" w:color="auto"/>
        <w:left w:val="none" w:sz="0" w:space="0" w:color="auto"/>
        <w:bottom w:val="none" w:sz="0" w:space="0" w:color="auto"/>
        <w:right w:val="none" w:sz="0" w:space="0" w:color="auto"/>
      </w:divBdr>
    </w:div>
    <w:div w:id="535854373">
      <w:bodyDiv w:val="1"/>
      <w:marLeft w:val="0"/>
      <w:marRight w:val="0"/>
      <w:marTop w:val="0"/>
      <w:marBottom w:val="0"/>
      <w:divBdr>
        <w:top w:val="none" w:sz="0" w:space="0" w:color="auto"/>
        <w:left w:val="none" w:sz="0" w:space="0" w:color="auto"/>
        <w:bottom w:val="none" w:sz="0" w:space="0" w:color="auto"/>
        <w:right w:val="none" w:sz="0" w:space="0" w:color="auto"/>
      </w:divBdr>
    </w:div>
    <w:div w:id="631834190">
      <w:bodyDiv w:val="1"/>
      <w:marLeft w:val="0"/>
      <w:marRight w:val="0"/>
      <w:marTop w:val="0"/>
      <w:marBottom w:val="0"/>
      <w:divBdr>
        <w:top w:val="none" w:sz="0" w:space="0" w:color="auto"/>
        <w:left w:val="none" w:sz="0" w:space="0" w:color="auto"/>
        <w:bottom w:val="none" w:sz="0" w:space="0" w:color="auto"/>
        <w:right w:val="none" w:sz="0" w:space="0" w:color="auto"/>
      </w:divBdr>
    </w:div>
    <w:div w:id="638460004">
      <w:bodyDiv w:val="1"/>
      <w:marLeft w:val="0"/>
      <w:marRight w:val="0"/>
      <w:marTop w:val="0"/>
      <w:marBottom w:val="0"/>
      <w:divBdr>
        <w:top w:val="none" w:sz="0" w:space="0" w:color="auto"/>
        <w:left w:val="none" w:sz="0" w:space="0" w:color="auto"/>
        <w:bottom w:val="none" w:sz="0" w:space="0" w:color="auto"/>
        <w:right w:val="none" w:sz="0" w:space="0" w:color="auto"/>
      </w:divBdr>
    </w:div>
    <w:div w:id="801313901">
      <w:bodyDiv w:val="1"/>
      <w:marLeft w:val="0"/>
      <w:marRight w:val="0"/>
      <w:marTop w:val="0"/>
      <w:marBottom w:val="0"/>
      <w:divBdr>
        <w:top w:val="none" w:sz="0" w:space="0" w:color="auto"/>
        <w:left w:val="none" w:sz="0" w:space="0" w:color="auto"/>
        <w:bottom w:val="none" w:sz="0" w:space="0" w:color="auto"/>
        <w:right w:val="none" w:sz="0" w:space="0" w:color="auto"/>
      </w:divBdr>
      <w:divsChild>
        <w:div w:id="273826955">
          <w:marLeft w:val="0"/>
          <w:marRight w:val="0"/>
          <w:marTop w:val="0"/>
          <w:marBottom w:val="0"/>
          <w:divBdr>
            <w:top w:val="none" w:sz="0" w:space="0" w:color="auto"/>
            <w:left w:val="none" w:sz="0" w:space="0" w:color="auto"/>
            <w:bottom w:val="none" w:sz="0" w:space="0" w:color="auto"/>
            <w:right w:val="none" w:sz="0" w:space="0" w:color="auto"/>
          </w:divBdr>
          <w:divsChild>
            <w:div w:id="1544754915">
              <w:marLeft w:val="0"/>
              <w:marRight w:val="0"/>
              <w:marTop w:val="0"/>
              <w:marBottom w:val="0"/>
              <w:divBdr>
                <w:top w:val="none" w:sz="0" w:space="0" w:color="auto"/>
                <w:left w:val="none" w:sz="0" w:space="0" w:color="auto"/>
                <w:bottom w:val="none" w:sz="0" w:space="0" w:color="auto"/>
                <w:right w:val="none" w:sz="0" w:space="0" w:color="auto"/>
              </w:divBdr>
              <w:divsChild>
                <w:div w:id="274022750">
                  <w:marLeft w:val="0"/>
                  <w:marRight w:val="0"/>
                  <w:marTop w:val="0"/>
                  <w:marBottom w:val="0"/>
                  <w:divBdr>
                    <w:top w:val="none" w:sz="0" w:space="0" w:color="auto"/>
                    <w:left w:val="none" w:sz="0" w:space="0" w:color="auto"/>
                    <w:bottom w:val="none" w:sz="0" w:space="0" w:color="auto"/>
                    <w:right w:val="none" w:sz="0" w:space="0" w:color="auto"/>
                  </w:divBdr>
                  <w:divsChild>
                    <w:div w:id="1905868625">
                      <w:marLeft w:val="0"/>
                      <w:marRight w:val="0"/>
                      <w:marTop w:val="0"/>
                      <w:marBottom w:val="0"/>
                      <w:divBdr>
                        <w:top w:val="none" w:sz="0" w:space="0" w:color="auto"/>
                        <w:left w:val="none" w:sz="0" w:space="0" w:color="auto"/>
                        <w:bottom w:val="none" w:sz="0" w:space="0" w:color="auto"/>
                        <w:right w:val="none" w:sz="0" w:space="0" w:color="auto"/>
                      </w:divBdr>
                      <w:divsChild>
                        <w:div w:id="1726488885">
                          <w:marLeft w:val="0"/>
                          <w:marRight w:val="0"/>
                          <w:marTop w:val="0"/>
                          <w:marBottom w:val="0"/>
                          <w:divBdr>
                            <w:top w:val="none" w:sz="0" w:space="0" w:color="auto"/>
                            <w:left w:val="none" w:sz="0" w:space="0" w:color="auto"/>
                            <w:bottom w:val="none" w:sz="0" w:space="0" w:color="auto"/>
                            <w:right w:val="none" w:sz="0" w:space="0" w:color="auto"/>
                          </w:divBdr>
                          <w:divsChild>
                            <w:div w:id="967977015">
                              <w:marLeft w:val="0"/>
                              <w:marRight w:val="0"/>
                              <w:marTop w:val="0"/>
                              <w:marBottom w:val="0"/>
                              <w:divBdr>
                                <w:top w:val="none" w:sz="0" w:space="0" w:color="auto"/>
                                <w:left w:val="none" w:sz="0" w:space="0" w:color="auto"/>
                                <w:bottom w:val="none" w:sz="0" w:space="0" w:color="auto"/>
                                <w:right w:val="none" w:sz="0" w:space="0" w:color="auto"/>
                              </w:divBdr>
                              <w:divsChild>
                                <w:div w:id="19476708">
                                  <w:marLeft w:val="0"/>
                                  <w:marRight w:val="0"/>
                                  <w:marTop w:val="0"/>
                                  <w:marBottom w:val="0"/>
                                  <w:divBdr>
                                    <w:top w:val="none" w:sz="0" w:space="0" w:color="auto"/>
                                    <w:left w:val="none" w:sz="0" w:space="0" w:color="auto"/>
                                    <w:bottom w:val="none" w:sz="0" w:space="0" w:color="auto"/>
                                    <w:right w:val="none" w:sz="0" w:space="0" w:color="auto"/>
                                  </w:divBdr>
                                  <w:divsChild>
                                    <w:div w:id="402527790">
                                      <w:marLeft w:val="0"/>
                                      <w:marRight w:val="0"/>
                                      <w:marTop w:val="0"/>
                                      <w:marBottom w:val="0"/>
                                      <w:divBdr>
                                        <w:top w:val="none" w:sz="0" w:space="0" w:color="auto"/>
                                        <w:left w:val="none" w:sz="0" w:space="0" w:color="auto"/>
                                        <w:bottom w:val="none" w:sz="0" w:space="0" w:color="auto"/>
                                        <w:right w:val="none" w:sz="0" w:space="0" w:color="auto"/>
                                      </w:divBdr>
                                      <w:divsChild>
                                        <w:div w:id="332806679">
                                          <w:marLeft w:val="0"/>
                                          <w:marRight w:val="0"/>
                                          <w:marTop w:val="0"/>
                                          <w:marBottom w:val="0"/>
                                          <w:divBdr>
                                            <w:top w:val="none" w:sz="0" w:space="0" w:color="auto"/>
                                            <w:left w:val="none" w:sz="0" w:space="0" w:color="auto"/>
                                            <w:bottom w:val="none" w:sz="0" w:space="0" w:color="auto"/>
                                            <w:right w:val="none" w:sz="0" w:space="0" w:color="auto"/>
                                          </w:divBdr>
                                          <w:divsChild>
                                            <w:div w:id="1982274262">
                                              <w:marLeft w:val="0"/>
                                              <w:marRight w:val="0"/>
                                              <w:marTop w:val="0"/>
                                              <w:marBottom w:val="0"/>
                                              <w:divBdr>
                                                <w:top w:val="none" w:sz="0" w:space="0" w:color="auto"/>
                                                <w:left w:val="none" w:sz="0" w:space="0" w:color="auto"/>
                                                <w:bottom w:val="none" w:sz="0" w:space="0" w:color="auto"/>
                                                <w:right w:val="none" w:sz="0" w:space="0" w:color="auto"/>
                                              </w:divBdr>
                                              <w:divsChild>
                                                <w:div w:id="1525749501">
                                                  <w:marLeft w:val="0"/>
                                                  <w:marRight w:val="0"/>
                                                  <w:marTop w:val="0"/>
                                                  <w:marBottom w:val="0"/>
                                                  <w:divBdr>
                                                    <w:top w:val="none" w:sz="0" w:space="0" w:color="auto"/>
                                                    <w:left w:val="none" w:sz="0" w:space="0" w:color="auto"/>
                                                    <w:bottom w:val="none" w:sz="0" w:space="0" w:color="auto"/>
                                                    <w:right w:val="none" w:sz="0" w:space="0" w:color="auto"/>
                                                  </w:divBdr>
                                                  <w:divsChild>
                                                    <w:div w:id="293798688">
                                                      <w:marLeft w:val="0"/>
                                                      <w:marRight w:val="0"/>
                                                      <w:marTop w:val="0"/>
                                                      <w:marBottom w:val="0"/>
                                                      <w:divBdr>
                                                        <w:top w:val="none" w:sz="0" w:space="0" w:color="auto"/>
                                                        <w:left w:val="none" w:sz="0" w:space="0" w:color="auto"/>
                                                        <w:bottom w:val="none" w:sz="0" w:space="0" w:color="auto"/>
                                                        <w:right w:val="none" w:sz="0" w:space="0" w:color="auto"/>
                                                      </w:divBdr>
                                                      <w:divsChild>
                                                        <w:div w:id="18198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8234931">
      <w:bodyDiv w:val="1"/>
      <w:marLeft w:val="0"/>
      <w:marRight w:val="0"/>
      <w:marTop w:val="0"/>
      <w:marBottom w:val="0"/>
      <w:divBdr>
        <w:top w:val="none" w:sz="0" w:space="0" w:color="auto"/>
        <w:left w:val="none" w:sz="0" w:space="0" w:color="auto"/>
        <w:bottom w:val="none" w:sz="0" w:space="0" w:color="auto"/>
        <w:right w:val="none" w:sz="0" w:space="0" w:color="auto"/>
      </w:divBdr>
      <w:divsChild>
        <w:div w:id="103158440">
          <w:marLeft w:val="0"/>
          <w:marRight w:val="0"/>
          <w:marTop w:val="0"/>
          <w:marBottom w:val="0"/>
          <w:divBdr>
            <w:top w:val="none" w:sz="0" w:space="0" w:color="auto"/>
            <w:left w:val="none" w:sz="0" w:space="0" w:color="auto"/>
            <w:bottom w:val="none" w:sz="0" w:space="0" w:color="auto"/>
            <w:right w:val="none" w:sz="0" w:space="0" w:color="auto"/>
          </w:divBdr>
          <w:divsChild>
            <w:div w:id="1975720635">
              <w:marLeft w:val="0"/>
              <w:marRight w:val="0"/>
              <w:marTop w:val="0"/>
              <w:marBottom w:val="0"/>
              <w:divBdr>
                <w:top w:val="none" w:sz="0" w:space="0" w:color="auto"/>
                <w:left w:val="none" w:sz="0" w:space="0" w:color="auto"/>
                <w:bottom w:val="none" w:sz="0" w:space="0" w:color="auto"/>
                <w:right w:val="none" w:sz="0" w:space="0" w:color="auto"/>
              </w:divBdr>
              <w:divsChild>
                <w:div w:id="1285844245">
                  <w:marLeft w:val="0"/>
                  <w:marRight w:val="0"/>
                  <w:marTop w:val="0"/>
                  <w:marBottom w:val="0"/>
                  <w:divBdr>
                    <w:top w:val="none" w:sz="0" w:space="0" w:color="auto"/>
                    <w:left w:val="none" w:sz="0" w:space="0" w:color="auto"/>
                    <w:bottom w:val="none" w:sz="0" w:space="0" w:color="auto"/>
                    <w:right w:val="none" w:sz="0" w:space="0" w:color="auto"/>
                  </w:divBdr>
                  <w:divsChild>
                    <w:div w:id="1009257078">
                      <w:marLeft w:val="0"/>
                      <w:marRight w:val="0"/>
                      <w:marTop w:val="0"/>
                      <w:marBottom w:val="0"/>
                      <w:divBdr>
                        <w:top w:val="none" w:sz="0" w:space="0" w:color="auto"/>
                        <w:left w:val="none" w:sz="0" w:space="0" w:color="auto"/>
                        <w:bottom w:val="none" w:sz="0" w:space="0" w:color="auto"/>
                        <w:right w:val="none" w:sz="0" w:space="0" w:color="auto"/>
                      </w:divBdr>
                      <w:divsChild>
                        <w:div w:id="637418678">
                          <w:marLeft w:val="0"/>
                          <w:marRight w:val="0"/>
                          <w:marTop w:val="0"/>
                          <w:marBottom w:val="0"/>
                          <w:divBdr>
                            <w:top w:val="none" w:sz="0" w:space="0" w:color="auto"/>
                            <w:left w:val="none" w:sz="0" w:space="0" w:color="auto"/>
                            <w:bottom w:val="none" w:sz="0" w:space="0" w:color="auto"/>
                            <w:right w:val="none" w:sz="0" w:space="0" w:color="auto"/>
                          </w:divBdr>
                          <w:divsChild>
                            <w:div w:id="1215654006">
                              <w:marLeft w:val="0"/>
                              <w:marRight w:val="0"/>
                              <w:marTop w:val="0"/>
                              <w:marBottom w:val="0"/>
                              <w:divBdr>
                                <w:top w:val="none" w:sz="0" w:space="0" w:color="auto"/>
                                <w:left w:val="none" w:sz="0" w:space="0" w:color="auto"/>
                                <w:bottom w:val="none" w:sz="0" w:space="0" w:color="auto"/>
                                <w:right w:val="none" w:sz="0" w:space="0" w:color="auto"/>
                              </w:divBdr>
                              <w:divsChild>
                                <w:div w:id="1042360788">
                                  <w:marLeft w:val="0"/>
                                  <w:marRight w:val="0"/>
                                  <w:marTop w:val="0"/>
                                  <w:marBottom w:val="0"/>
                                  <w:divBdr>
                                    <w:top w:val="none" w:sz="0" w:space="0" w:color="auto"/>
                                    <w:left w:val="none" w:sz="0" w:space="0" w:color="auto"/>
                                    <w:bottom w:val="none" w:sz="0" w:space="0" w:color="auto"/>
                                    <w:right w:val="none" w:sz="0" w:space="0" w:color="auto"/>
                                  </w:divBdr>
                                  <w:divsChild>
                                    <w:div w:id="447772035">
                                      <w:marLeft w:val="0"/>
                                      <w:marRight w:val="0"/>
                                      <w:marTop w:val="0"/>
                                      <w:marBottom w:val="0"/>
                                      <w:divBdr>
                                        <w:top w:val="none" w:sz="0" w:space="0" w:color="auto"/>
                                        <w:left w:val="none" w:sz="0" w:space="0" w:color="auto"/>
                                        <w:bottom w:val="none" w:sz="0" w:space="0" w:color="auto"/>
                                        <w:right w:val="none" w:sz="0" w:space="0" w:color="auto"/>
                                      </w:divBdr>
                                      <w:divsChild>
                                        <w:div w:id="1059523645">
                                          <w:marLeft w:val="0"/>
                                          <w:marRight w:val="0"/>
                                          <w:marTop w:val="0"/>
                                          <w:marBottom w:val="0"/>
                                          <w:divBdr>
                                            <w:top w:val="none" w:sz="0" w:space="0" w:color="auto"/>
                                            <w:left w:val="none" w:sz="0" w:space="0" w:color="auto"/>
                                            <w:bottom w:val="none" w:sz="0" w:space="0" w:color="auto"/>
                                            <w:right w:val="none" w:sz="0" w:space="0" w:color="auto"/>
                                          </w:divBdr>
                                          <w:divsChild>
                                            <w:div w:id="910503621">
                                              <w:marLeft w:val="0"/>
                                              <w:marRight w:val="0"/>
                                              <w:marTop w:val="0"/>
                                              <w:marBottom w:val="0"/>
                                              <w:divBdr>
                                                <w:top w:val="none" w:sz="0" w:space="0" w:color="auto"/>
                                                <w:left w:val="none" w:sz="0" w:space="0" w:color="auto"/>
                                                <w:bottom w:val="none" w:sz="0" w:space="0" w:color="auto"/>
                                                <w:right w:val="none" w:sz="0" w:space="0" w:color="auto"/>
                                              </w:divBdr>
                                              <w:divsChild>
                                                <w:div w:id="1458521124">
                                                  <w:marLeft w:val="0"/>
                                                  <w:marRight w:val="0"/>
                                                  <w:marTop w:val="0"/>
                                                  <w:marBottom w:val="0"/>
                                                  <w:divBdr>
                                                    <w:top w:val="none" w:sz="0" w:space="0" w:color="auto"/>
                                                    <w:left w:val="none" w:sz="0" w:space="0" w:color="auto"/>
                                                    <w:bottom w:val="none" w:sz="0" w:space="0" w:color="auto"/>
                                                    <w:right w:val="none" w:sz="0" w:space="0" w:color="auto"/>
                                                  </w:divBdr>
                                                  <w:divsChild>
                                                    <w:div w:id="1765228687">
                                                      <w:marLeft w:val="0"/>
                                                      <w:marRight w:val="0"/>
                                                      <w:marTop w:val="0"/>
                                                      <w:marBottom w:val="0"/>
                                                      <w:divBdr>
                                                        <w:top w:val="none" w:sz="0" w:space="0" w:color="auto"/>
                                                        <w:left w:val="none" w:sz="0" w:space="0" w:color="auto"/>
                                                        <w:bottom w:val="none" w:sz="0" w:space="0" w:color="auto"/>
                                                        <w:right w:val="none" w:sz="0" w:space="0" w:color="auto"/>
                                                      </w:divBdr>
                                                      <w:divsChild>
                                                        <w:div w:id="4083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8335264">
      <w:bodyDiv w:val="1"/>
      <w:marLeft w:val="0"/>
      <w:marRight w:val="0"/>
      <w:marTop w:val="0"/>
      <w:marBottom w:val="0"/>
      <w:divBdr>
        <w:top w:val="none" w:sz="0" w:space="0" w:color="auto"/>
        <w:left w:val="none" w:sz="0" w:space="0" w:color="auto"/>
        <w:bottom w:val="none" w:sz="0" w:space="0" w:color="auto"/>
        <w:right w:val="none" w:sz="0" w:space="0" w:color="auto"/>
      </w:divBdr>
    </w:div>
    <w:div w:id="1239828909">
      <w:bodyDiv w:val="1"/>
      <w:marLeft w:val="0"/>
      <w:marRight w:val="0"/>
      <w:marTop w:val="0"/>
      <w:marBottom w:val="0"/>
      <w:divBdr>
        <w:top w:val="none" w:sz="0" w:space="0" w:color="auto"/>
        <w:left w:val="none" w:sz="0" w:space="0" w:color="auto"/>
        <w:bottom w:val="none" w:sz="0" w:space="0" w:color="auto"/>
        <w:right w:val="none" w:sz="0" w:space="0" w:color="auto"/>
      </w:divBdr>
      <w:divsChild>
        <w:div w:id="1176580735">
          <w:marLeft w:val="0"/>
          <w:marRight w:val="0"/>
          <w:marTop w:val="0"/>
          <w:marBottom w:val="0"/>
          <w:divBdr>
            <w:top w:val="none" w:sz="0" w:space="0" w:color="auto"/>
            <w:left w:val="none" w:sz="0" w:space="0" w:color="auto"/>
            <w:bottom w:val="none" w:sz="0" w:space="0" w:color="auto"/>
            <w:right w:val="none" w:sz="0" w:space="0" w:color="auto"/>
          </w:divBdr>
          <w:divsChild>
            <w:div w:id="766459630">
              <w:marLeft w:val="0"/>
              <w:marRight w:val="0"/>
              <w:marTop w:val="0"/>
              <w:marBottom w:val="0"/>
              <w:divBdr>
                <w:top w:val="none" w:sz="0" w:space="0" w:color="auto"/>
                <w:left w:val="none" w:sz="0" w:space="0" w:color="auto"/>
                <w:bottom w:val="none" w:sz="0" w:space="0" w:color="auto"/>
                <w:right w:val="none" w:sz="0" w:space="0" w:color="auto"/>
              </w:divBdr>
              <w:divsChild>
                <w:div w:id="625813468">
                  <w:marLeft w:val="0"/>
                  <w:marRight w:val="0"/>
                  <w:marTop w:val="0"/>
                  <w:marBottom w:val="0"/>
                  <w:divBdr>
                    <w:top w:val="none" w:sz="0" w:space="0" w:color="auto"/>
                    <w:left w:val="none" w:sz="0" w:space="0" w:color="auto"/>
                    <w:bottom w:val="none" w:sz="0" w:space="0" w:color="auto"/>
                    <w:right w:val="none" w:sz="0" w:space="0" w:color="auto"/>
                  </w:divBdr>
                  <w:divsChild>
                    <w:div w:id="1139759348">
                      <w:marLeft w:val="0"/>
                      <w:marRight w:val="0"/>
                      <w:marTop w:val="0"/>
                      <w:marBottom w:val="0"/>
                      <w:divBdr>
                        <w:top w:val="none" w:sz="0" w:space="0" w:color="auto"/>
                        <w:left w:val="none" w:sz="0" w:space="0" w:color="auto"/>
                        <w:bottom w:val="none" w:sz="0" w:space="0" w:color="auto"/>
                        <w:right w:val="none" w:sz="0" w:space="0" w:color="auto"/>
                      </w:divBdr>
                      <w:divsChild>
                        <w:div w:id="1328052494">
                          <w:marLeft w:val="0"/>
                          <w:marRight w:val="0"/>
                          <w:marTop w:val="0"/>
                          <w:marBottom w:val="0"/>
                          <w:divBdr>
                            <w:top w:val="none" w:sz="0" w:space="0" w:color="auto"/>
                            <w:left w:val="none" w:sz="0" w:space="0" w:color="auto"/>
                            <w:bottom w:val="none" w:sz="0" w:space="0" w:color="auto"/>
                            <w:right w:val="none" w:sz="0" w:space="0" w:color="auto"/>
                          </w:divBdr>
                          <w:divsChild>
                            <w:div w:id="2044673811">
                              <w:marLeft w:val="0"/>
                              <w:marRight w:val="0"/>
                              <w:marTop w:val="0"/>
                              <w:marBottom w:val="0"/>
                              <w:divBdr>
                                <w:top w:val="none" w:sz="0" w:space="0" w:color="auto"/>
                                <w:left w:val="none" w:sz="0" w:space="0" w:color="auto"/>
                                <w:bottom w:val="none" w:sz="0" w:space="0" w:color="auto"/>
                                <w:right w:val="none" w:sz="0" w:space="0" w:color="auto"/>
                              </w:divBdr>
                              <w:divsChild>
                                <w:div w:id="297885232">
                                  <w:marLeft w:val="0"/>
                                  <w:marRight w:val="0"/>
                                  <w:marTop w:val="0"/>
                                  <w:marBottom w:val="0"/>
                                  <w:divBdr>
                                    <w:top w:val="none" w:sz="0" w:space="0" w:color="auto"/>
                                    <w:left w:val="none" w:sz="0" w:space="0" w:color="auto"/>
                                    <w:bottom w:val="none" w:sz="0" w:space="0" w:color="auto"/>
                                    <w:right w:val="none" w:sz="0" w:space="0" w:color="auto"/>
                                  </w:divBdr>
                                  <w:divsChild>
                                    <w:div w:id="1257447096">
                                      <w:marLeft w:val="0"/>
                                      <w:marRight w:val="0"/>
                                      <w:marTop w:val="0"/>
                                      <w:marBottom w:val="0"/>
                                      <w:divBdr>
                                        <w:top w:val="none" w:sz="0" w:space="0" w:color="auto"/>
                                        <w:left w:val="none" w:sz="0" w:space="0" w:color="auto"/>
                                        <w:bottom w:val="none" w:sz="0" w:space="0" w:color="auto"/>
                                        <w:right w:val="none" w:sz="0" w:space="0" w:color="auto"/>
                                      </w:divBdr>
                                      <w:divsChild>
                                        <w:div w:id="2065593274">
                                          <w:marLeft w:val="0"/>
                                          <w:marRight w:val="0"/>
                                          <w:marTop w:val="0"/>
                                          <w:marBottom w:val="0"/>
                                          <w:divBdr>
                                            <w:top w:val="none" w:sz="0" w:space="0" w:color="auto"/>
                                            <w:left w:val="none" w:sz="0" w:space="0" w:color="auto"/>
                                            <w:bottom w:val="none" w:sz="0" w:space="0" w:color="auto"/>
                                            <w:right w:val="none" w:sz="0" w:space="0" w:color="auto"/>
                                          </w:divBdr>
                                          <w:divsChild>
                                            <w:div w:id="443311344">
                                              <w:marLeft w:val="0"/>
                                              <w:marRight w:val="0"/>
                                              <w:marTop w:val="0"/>
                                              <w:marBottom w:val="0"/>
                                              <w:divBdr>
                                                <w:top w:val="none" w:sz="0" w:space="0" w:color="auto"/>
                                                <w:left w:val="none" w:sz="0" w:space="0" w:color="auto"/>
                                                <w:bottom w:val="none" w:sz="0" w:space="0" w:color="auto"/>
                                                <w:right w:val="none" w:sz="0" w:space="0" w:color="auto"/>
                                              </w:divBdr>
                                              <w:divsChild>
                                                <w:div w:id="1393580753">
                                                  <w:marLeft w:val="0"/>
                                                  <w:marRight w:val="0"/>
                                                  <w:marTop w:val="0"/>
                                                  <w:marBottom w:val="0"/>
                                                  <w:divBdr>
                                                    <w:top w:val="none" w:sz="0" w:space="0" w:color="auto"/>
                                                    <w:left w:val="none" w:sz="0" w:space="0" w:color="auto"/>
                                                    <w:bottom w:val="none" w:sz="0" w:space="0" w:color="auto"/>
                                                    <w:right w:val="none" w:sz="0" w:space="0" w:color="auto"/>
                                                  </w:divBdr>
                                                  <w:divsChild>
                                                    <w:div w:id="2140027089">
                                                      <w:marLeft w:val="0"/>
                                                      <w:marRight w:val="0"/>
                                                      <w:marTop w:val="0"/>
                                                      <w:marBottom w:val="0"/>
                                                      <w:divBdr>
                                                        <w:top w:val="none" w:sz="0" w:space="0" w:color="auto"/>
                                                        <w:left w:val="none" w:sz="0" w:space="0" w:color="auto"/>
                                                        <w:bottom w:val="none" w:sz="0" w:space="0" w:color="auto"/>
                                                        <w:right w:val="none" w:sz="0" w:space="0" w:color="auto"/>
                                                      </w:divBdr>
                                                      <w:divsChild>
                                                        <w:div w:id="129237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0910966">
      <w:bodyDiv w:val="1"/>
      <w:marLeft w:val="0"/>
      <w:marRight w:val="0"/>
      <w:marTop w:val="0"/>
      <w:marBottom w:val="0"/>
      <w:divBdr>
        <w:top w:val="none" w:sz="0" w:space="0" w:color="auto"/>
        <w:left w:val="none" w:sz="0" w:space="0" w:color="auto"/>
        <w:bottom w:val="none" w:sz="0" w:space="0" w:color="auto"/>
        <w:right w:val="none" w:sz="0" w:space="0" w:color="auto"/>
      </w:divBdr>
      <w:divsChild>
        <w:div w:id="1771970544">
          <w:marLeft w:val="0"/>
          <w:marRight w:val="0"/>
          <w:marTop w:val="0"/>
          <w:marBottom w:val="0"/>
          <w:divBdr>
            <w:top w:val="none" w:sz="0" w:space="0" w:color="auto"/>
            <w:left w:val="none" w:sz="0" w:space="0" w:color="auto"/>
            <w:bottom w:val="none" w:sz="0" w:space="0" w:color="auto"/>
            <w:right w:val="none" w:sz="0" w:space="0" w:color="auto"/>
          </w:divBdr>
          <w:divsChild>
            <w:div w:id="1670595938">
              <w:marLeft w:val="0"/>
              <w:marRight w:val="0"/>
              <w:marTop w:val="0"/>
              <w:marBottom w:val="0"/>
              <w:divBdr>
                <w:top w:val="none" w:sz="0" w:space="0" w:color="auto"/>
                <w:left w:val="none" w:sz="0" w:space="0" w:color="auto"/>
                <w:bottom w:val="none" w:sz="0" w:space="0" w:color="auto"/>
                <w:right w:val="none" w:sz="0" w:space="0" w:color="auto"/>
              </w:divBdr>
              <w:divsChild>
                <w:div w:id="1869220343">
                  <w:marLeft w:val="0"/>
                  <w:marRight w:val="0"/>
                  <w:marTop w:val="0"/>
                  <w:marBottom w:val="0"/>
                  <w:divBdr>
                    <w:top w:val="none" w:sz="0" w:space="0" w:color="auto"/>
                    <w:left w:val="none" w:sz="0" w:space="0" w:color="auto"/>
                    <w:bottom w:val="none" w:sz="0" w:space="0" w:color="auto"/>
                    <w:right w:val="none" w:sz="0" w:space="0" w:color="auto"/>
                  </w:divBdr>
                  <w:divsChild>
                    <w:div w:id="1181161797">
                      <w:marLeft w:val="0"/>
                      <w:marRight w:val="0"/>
                      <w:marTop w:val="0"/>
                      <w:marBottom w:val="0"/>
                      <w:divBdr>
                        <w:top w:val="none" w:sz="0" w:space="0" w:color="auto"/>
                        <w:left w:val="none" w:sz="0" w:space="0" w:color="auto"/>
                        <w:bottom w:val="none" w:sz="0" w:space="0" w:color="auto"/>
                        <w:right w:val="none" w:sz="0" w:space="0" w:color="auto"/>
                      </w:divBdr>
                      <w:divsChild>
                        <w:div w:id="627928534">
                          <w:marLeft w:val="0"/>
                          <w:marRight w:val="0"/>
                          <w:marTop w:val="0"/>
                          <w:marBottom w:val="0"/>
                          <w:divBdr>
                            <w:top w:val="none" w:sz="0" w:space="0" w:color="auto"/>
                            <w:left w:val="none" w:sz="0" w:space="0" w:color="auto"/>
                            <w:bottom w:val="none" w:sz="0" w:space="0" w:color="auto"/>
                            <w:right w:val="none" w:sz="0" w:space="0" w:color="auto"/>
                          </w:divBdr>
                          <w:divsChild>
                            <w:div w:id="1983921637">
                              <w:marLeft w:val="0"/>
                              <w:marRight w:val="0"/>
                              <w:marTop w:val="0"/>
                              <w:marBottom w:val="0"/>
                              <w:divBdr>
                                <w:top w:val="none" w:sz="0" w:space="0" w:color="auto"/>
                                <w:left w:val="none" w:sz="0" w:space="0" w:color="auto"/>
                                <w:bottom w:val="none" w:sz="0" w:space="0" w:color="auto"/>
                                <w:right w:val="none" w:sz="0" w:space="0" w:color="auto"/>
                              </w:divBdr>
                              <w:divsChild>
                                <w:div w:id="385226643">
                                  <w:marLeft w:val="0"/>
                                  <w:marRight w:val="0"/>
                                  <w:marTop w:val="0"/>
                                  <w:marBottom w:val="0"/>
                                  <w:divBdr>
                                    <w:top w:val="none" w:sz="0" w:space="0" w:color="auto"/>
                                    <w:left w:val="none" w:sz="0" w:space="0" w:color="auto"/>
                                    <w:bottom w:val="none" w:sz="0" w:space="0" w:color="auto"/>
                                    <w:right w:val="none" w:sz="0" w:space="0" w:color="auto"/>
                                  </w:divBdr>
                                  <w:divsChild>
                                    <w:div w:id="3824493">
                                      <w:marLeft w:val="0"/>
                                      <w:marRight w:val="0"/>
                                      <w:marTop w:val="0"/>
                                      <w:marBottom w:val="0"/>
                                      <w:divBdr>
                                        <w:top w:val="none" w:sz="0" w:space="0" w:color="auto"/>
                                        <w:left w:val="none" w:sz="0" w:space="0" w:color="auto"/>
                                        <w:bottom w:val="none" w:sz="0" w:space="0" w:color="auto"/>
                                        <w:right w:val="none" w:sz="0" w:space="0" w:color="auto"/>
                                      </w:divBdr>
                                      <w:divsChild>
                                        <w:div w:id="1818262810">
                                          <w:marLeft w:val="0"/>
                                          <w:marRight w:val="0"/>
                                          <w:marTop w:val="0"/>
                                          <w:marBottom w:val="0"/>
                                          <w:divBdr>
                                            <w:top w:val="none" w:sz="0" w:space="0" w:color="auto"/>
                                            <w:left w:val="none" w:sz="0" w:space="0" w:color="auto"/>
                                            <w:bottom w:val="none" w:sz="0" w:space="0" w:color="auto"/>
                                            <w:right w:val="none" w:sz="0" w:space="0" w:color="auto"/>
                                          </w:divBdr>
                                          <w:divsChild>
                                            <w:div w:id="16993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3574671">
      <w:bodyDiv w:val="1"/>
      <w:marLeft w:val="0"/>
      <w:marRight w:val="0"/>
      <w:marTop w:val="0"/>
      <w:marBottom w:val="0"/>
      <w:divBdr>
        <w:top w:val="none" w:sz="0" w:space="0" w:color="auto"/>
        <w:left w:val="none" w:sz="0" w:space="0" w:color="auto"/>
        <w:bottom w:val="none" w:sz="0" w:space="0" w:color="auto"/>
        <w:right w:val="none" w:sz="0" w:space="0" w:color="auto"/>
      </w:divBdr>
      <w:divsChild>
        <w:div w:id="1430807174">
          <w:marLeft w:val="0"/>
          <w:marRight w:val="0"/>
          <w:marTop w:val="0"/>
          <w:marBottom w:val="0"/>
          <w:divBdr>
            <w:top w:val="none" w:sz="0" w:space="0" w:color="auto"/>
            <w:left w:val="none" w:sz="0" w:space="0" w:color="auto"/>
            <w:bottom w:val="none" w:sz="0" w:space="0" w:color="auto"/>
            <w:right w:val="none" w:sz="0" w:space="0" w:color="auto"/>
          </w:divBdr>
          <w:divsChild>
            <w:div w:id="243532155">
              <w:marLeft w:val="0"/>
              <w:marRight w:val="0"/>
              <w:marTop w:val="0"/>
              <w:marBottom w:val="0"/>
              <w:divBdr>
                <w:top w:val="none" w:sz="0" w:space="0" w:color="auto"/>
                <w:left w:val="none" w:sz="0" w:space="0" w:color="auto"/>
                <w:bottom w:val="none" w:sz="0" w:space="0" w:color="auto"/>
                <w:right w:val="none" w:sz="0" w:space="0" w:color="auto"/>
              </w:divBdr>
              <w:divsChild>
                <w:div w:id="1096439898">
                  <w:marLeft w:val="0"/>
                  <w:marRight w:val="0"/>
                  <w:marTop w:val="0"/>
                  <w:marBottom w:val="0"/>
                  <w:divBdr>
                    <w:top w:val="none" w:sz="0" w:space="0" w:color="auto"/>
                    <w:left w:val="none" w:sz="0" w:space="0" w:color="auto"/>
                    <w:bottom w:val="none" w:sz="0" w:space="0" w:color="auto"/>
                    <w:right w:val="none" w:sz="0" w:space="0" w:color="auto"/>
                  </w:divBdr>
                  <w:divsChild>
                    <w:div w:id="1393698627">
                      <w:marLeft w:val="0"/>
                      <w:marRight w:val="0"/>
                      <w:marTop w:val="0"/>
                      <w:marBottom w:val="0"/>
                      <w:divBdr>
                        <w:top w:val="none" w:sz="0" w:space="0" w:color="auto"/>
                        <w:left w:val="none" w:sz="0" w:space="0" w:color="auto"/>
                        <w:bottom w:val="none" w:sz="0" w:space="0" w:color="auto"/>
                        <w:right w:val="none" w:sz="0" w:space="0" w:color="auto"/>
                      </w:divBdr>
                      <w:divsChild>
                        <w:div w:id="1387797174">
                          <w:marLeft w:val="0"/>
                          <w:marRight w:val="0"/>
                          <w:marTop w:val="0"/>
                          <w:marBottom w:val="0"/>
                          <w:divBdr>
                            <w:top w:val="none" w:sz="0" w:space="0" w:color="auto"/>
                            <w:left w:val="none" w:sz="0" w:space="0" w:color="auto"/>
                            <w:bottom w:val="none" w:sz="0" w:space="0" w:color="auto"/>
                            <w:right w:val="none" w:sz="0" w:space="0" w:color="auto"/>
                          </w:divBdr>
                          <w:divsChild>
                            <w:div w:id="385106741">
                              <w:marLeft w:val="0"/>
                              <w:marRight w:val="0"/>
                              <w:marTop w:val="0"/>
                              <w:marBottom w:val="0"/>
                              <w:divBdr>
                                <w:top w:val="none" w:sz="0" w:space="0" w:color="auto"/>
                                <w:left w:val="none" w:sz="0" w:space="0" w:color="auto"/>
                                <w:bottom w:val="none" w:sz="0" w:space="0" w:color="auto"/>
                                <w:right w:val="none" w:sz="0" w:space="0" w:color="auto"/>
                              </w:divBdr>
                              <w:divsChild>
                                <w:div w:id="477966340">
                                  <w:marLeft w:val="0"/>
                                  <w:marRight w:val="0"/>
                                  <w:marTop w:val="0"/>
                                  <w:marBottom w:val="0"/>
                                  <w:divBdr>
                                    <w:top w:val="none" w:sz="0" w:space="0" w:color="auto"/>
                                    <w:left w:val="none" w:sz="0" w:space="0" w:color="auto"/>
                                    <w:bottom w:val="none" w:sz="0" w:space="0" w:color="auto"/>
                                    <w:right w:val="none" w:sz="0" w:space="0" w:color="auto"/>
                                  </w:divBdr>
                                  <w:divsChild>
                                    <w:div w:id="1847360628">
                                      <w:marLeft w:val="0"/>
                                      <w:marRight w:val="0"/>
                                      <w:marTop w:val="0"/>
                                      <w:marBottom w:val="0"/>
                                      <w:divBdr>
                                        <w:top w:val="none" w:sz="0" w:space="0" w:color="auto"/>
                                        <w:left w:val="none" w:sz="0" w:space="0" w:color="auto"/>
                                        <w:bottom w:val="none" w:sz="0" w:space="0" w:color="auto"/>
                                        <w:right w:val="none" w:sz="0" w:space="0" w:color="auto"/>
                                      </w:divBdr>
                                      <w:divsChild>
                                        <w:div w:id="1733041517">
                                          <w:marLeft w:val="0"/>
                                          <w:marRight w:val="0"/>
                                          <w:marTop w:val="0"/>
                                          <w:marBottom w:val="0"/>
                                          <w:divBdr>
                                            <w:top w:val="none" w:sz="0" w:space="0" w:color="auto"/>
                                            <w:left w:val="none" w:sz="0" w:space="0" w:color="auto"/>
                                            <w:bottom w:val="none" w:sz="0" w:space="0" w:color="auto"/>
                                            <w:right w:val="none" w:sz="0" w:space="0" w:color="auto"/>
                                          </w:divBdr>
                                          <w:divsChild>
                                            <w:div w:id="103044471">
                                              <w:marLeft w:val="0"/>
                                              <w:marRight w:val="0"/>
                                              <w:marTop w:val="0"/>
                                              <w:marBottom w:val="0"/>
                                              <w:divBdr>
                                                <w:top w:val="none" w:sz="0" w:space="0" w:color="auto"/>
                                                <w:left w:val="none" w:sz="0" w:space="0" w:color="auto"/>
                                                <w:bottom w:val="none" w:sz="0" w:space="0" w:color="auto"/>
                                                <w:right w:val="none" w:sz="0" w:space="0" w:color="auto"/>
                                              </w:divBdr>
                                              <w:divsChild>
                                                <w:div w:id="1163274133">
                                                  <w:marLeft w:val="0"/>
                                                  <w:marRight w:val="0"/>
                                                  <w:marTop w:val="0"/>
                                                  <w:marBottom w:val="0"/>
                                                  <w:divBdr>
                                                    <w:top w:val="none" w:sz="0" w:space="0" w:color="auto"/>
                                                    <w:left w:val="none" w:sz="0" w:space="0" w:color="auto"/>
                                                    <w:bottom w:val="none" w:sz="0" w:space="0" w:color="auto"/>
                                                    <w:right w:val="none" w:sz="0" w:space="0" w:color="auto"/>
                                                  </w:divBdr>
                                                  <w:divsChild>
                                                    <w:div w:id="1087457730">
                                                      <w:marLeft w:val="0"/>
                                                      <w:marRight w:val="0"/>
                                                      <w:marTop w:val="0"/>
                                                      <w:marBottom w:val="0"/>
                                                      <w:divBdr>
                                                        <w:top w:val="none" w:sz="0" w:space="0" w:color="auto"/>
                                                        <w:left w:val="none" w:sz="0" w:space="0" w:color="auto"/>
                                                        <w:bottom w:val="none" w:sz="0" w:space="0" w:color="auto"/>
                                                        <w:right w:val="none" w:sz="0" w:space="0" w:color="auto"/>
                                                      </w:divBdr>
                                                      <w:divsChild>
                                                        <w:div w:id="136440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5188248">
      <w:bodyDiv w:val="1"/>
      <w:marLeft w:val="0"/>
      <w:marRight w:val="0"/>
      <w:marTop w:val="0"/>
      <w:marBottom w:val="0"/>
      <w:divBdr>
        <w:top w:val="none" w:sz="0" w:space="0" w:color="auto"/>
        <w:left w:val="none" w:sz="0" w:space="0" w:color="auto"/>
        <w:bottom w:val="none" w:sz="0" w:space="0" w:color="auto"/>
        <w:right w:val="none" w:sz="0" w:space="0" w:color="auto"/>
      </w:divBdr>
      <w:divsChild>
        <w:div w:id="984120464">
          <w:marLeft w:val="0"/>
          <w:marRight w:val="0"/>
          <w:marTop w:val="0"/>
          <w:marBottom w:val="0"/>
          <w:divBdr>
            <w:top w:val="none" w:sz="0" w:space="0" w:color="auto"/>
            <w:left w:val="none" w:sz="0" w:space="0" w:color="auto"/>
            <w:bottom w:val="none" w:sz="0" w:space="0" w:color="auto"/>
            <w:right w:val="none" w:sz="0" w:space="0" w:color="auto"/>
          </w:divBdr>
          <w:divsChild>
            <w:div w:id="897321369">
              <w:marLeft w:val="0"/>
              <w:marRight w:val="0"/>
              <w:marTop w:val="0"/>
              <w:marBottom w:val="0"/>
              <w:divBdr>
                <w:top w:val="none" w:sz="0" w:space="0" w:color="auto"/>
                <w:left w:val="none" w:sz="0" w:space="0" w:color="auto"/>
                <w:bottom w:val="none" w:sz="0" w:space="0" w:color="auto"/>
                <w:right w:val="none" w:sz="0" w:space="0" w:color="auto"/>
              </w:divBdr>
              <w:divsChild>
                <w:div w:id="436607783">
                  <w:marLeft w:val="0"/>
                  <w:marRight w:val="0"/>
                  <w:marTop w:val="0"/>
                  <w:marBottom w:val="0"/>
                  <w:divBdr>
                    <w:top w:val="none" w:sz="0" w:space="0" w:color="auto"/>
                    <w:left w:val="none" w:sz="0" w:space="0" w:color="auto"/>
                    <w:bottom w:val="none" w:sz="0" w:space="0" w:color="auto"/>
                    <w:right w:val="none" w:sz="0" w:space="0" w:color="auto"/>
                  </w:divBdr>
                  <w:divsChild>
                    <w:div w:id="1948459361">
                      <w:marLeft w:val="0"/>
                      <w:marRight w:val="0"/>
                      <w:marTop w:val="0"/>
                      <w:marBottom w:val="0"/>
                      <w:divBdr>
                        <w:top w:val="none" w:sz="0" w:space="0" w:color="auto"/>
                        <w:left w:val="none" w:sz="0" w:space="0" w:color="auto"/>
                        <w:bottom w:val="none" w:sz="0" w:space="0" w:color="auto"/>
                        <w:right w:val="none" w:sz="0" w:space="0" w:color="auto"/>
                      </w:divBdr>
                      <w:divsChild>
                        <w:div w:id="1160123933">
                          <w:marLeft w:val="0"/>
                          <w:marRight w:val="0"/>
                          <w:marTop w:val="0"/>
                          <w:marBottom w:val="0"/>
                          <w:divBdr>
                            <w:top w:val="none" w:sz="0" w:space="0" w:color="auto"/>
                            <w:left w:val="none" w:sz="0" w:space="0" w:color="auto"/>
                            <w:bottom w:val="none" w:sz="0" w:space="0" w:color="auto"/>
                            <w:right w:val="none" w:sz="0" w:space="0" w:color="auto"/>
                          </w:divBdr>
                          <w:divsChild>
                            <w:div w:id="404030146">
                              <w:marLeft w:val="0"/>
                              <w:marRight w:val="0"/>
                              <w:marTop w:val="0"/>
                              <w:marBottom w:val="0"/>
                              <w:divBdr>
                                <w:top w:val="none" w:sz="0" w:space="0" w:color="auto"/>
                                <w:left w:val="none" w:sz="0" w:space="0" w:color="auto"/>
                                <w:bottom w:val="none" w:sz="0" w:space="0" w:color="auto"/>
                                <w:right w:val="none" w:sz="0" w:space="0" w:color="auto"/>
                              </w:divBdr>
                              <w:divsChild>
                                <w:div w:id="1450973420">
                                  <w:marLeft w:val="0"/>
                                  <w:marRight w:val="0"/>
                                  <w:marTop w:val="0"/>
                                  <w:marBottom w:val="0"/>
                                  <w:divBdr>
                                    <w:top w:val="none" w:sz="0" w:space="0" w:color="auto"/>
                                    <w:left w:val="none" w:sz="0" w:space="0" w:color="auto"/>
                                    <w:bottom w:val="none" w:sz="0" w:space="0" w:color="auto"/>
                                    <w:right w:val="none" w:sz="0" w:space="0" w:color="auto"/>
                                  </w:divBdr>
                                  <w:divsChild>
                                    <w:div w:id="2073311308">
                                      <w:marLeft w:val="0"/>
                                      <w:marRight w:val="0"/>
                                      <w:marTop w:val="0"/>
                                      <w:marBottom w:val="0"/>
                                      <w:divBdr>
                                        <w:top w:val="none" w:sz="0" w:space="0" w:color="auto"/>
                                        <w:left w:val="none" w:sz="0" w:space="0" w:color="auto"/>
                                        <w:bottom w:val="none" w:sz="0" w:space="0" w:color="auto"/>
                                        <w:right w:val="none" w:sz="0" w:space="0" w:color="auto"/>
                                      </w:divBdr>
                                      <w:divsChild>
                                        <w:div w:id="1128163872">
                                          <w:marLeft w:val="0"/>
                                          <w:marRight w:val="0"/>
                                          <w:marTop w:val="0"/>
                                          <w:marBottom w:val="0"/>
                                          <w:divBdr>
                                            <w:top w:val="none" w:sz="0" w:space="0" w:color="auto"/>
                                            <w:left w:val="none" w:sz="0" w:space="0" w:color="auto"/>
                                            <w:bottom w:val="none" w:sz="0" w:space="0" w:color="auto"/>
                                            <w:right w:val="none" w:sz="0" w:space="0" w:color="auto"/>
                                          </w:divBdr>
                                          <w:divsChild>
                                            <w:div w:id="1247154983">
                                              <w:marLeft w:val="0"/>
                                              <w:marRight w:val="0"/>
                                              <w:marTop w:val="0"/>
                                              <w:marBottom w:val="0"/>
                                              <w:divBdr>
                                                <w:top w:val="none" w:sz="0" w:space="0" w:color="auto"/>
                                                <w:left w:val="none" w:sz="0" w:space="0" w:color="auto"/>
                                                <w:bottom w:val="none" w:sz="0" w:space="0" w:color="auto"/>
                                                <w:right w:val="none" w:sz="0" w:space="0" w:color="auto"/>
                                              </w:divBdr>
                                              <w:divsChild>
                                                <w:div w:id="1570849028">
                                                  <w:marLeft w:val="0"/>
                                                  <w:marRight w:val="0"/>
                                                  <w:marTop w:val="0"/>
                                                  <w:marBottom w:val="0"/>
                                                  <w:divBdr>
                                                    <w:top w:val="none" w:sz="0" w:space="0" w:color="auto"/>
                                                    <w:left w:val="none" w:sz="0" w:space="0" w:color="auto"/>
                                                    <w:bottom w:val="none" w:sz="0" w:space="0" w:color="auto"/>
                                                    <w:right w:val="none" w:sz="0" w:space="0" w:color="auto"/>
                                                  </w:divBdr>
                                                  <w:divsChild>
                                                    <w:div w:id="386341188">
                                                      <w:marLeft w:val="0"/>
                                                      <w:marRight w:val="0"/>
                                                      <w:marTop w:val="0"/>
                                                      <w:marBottom w:val="0"/>
                                                      <w:divBdr>
                                                        <w:top w:val="none" w:sz="0" w:space="0" w:color="auto"/>
                                                        <w:left w:val="none" w:sz="0" w:space="0" w:color="auto"/>
                                                        <w:bottom w:val="none" w:sz="0" w:space="0" w:color="auto"/>
                                                        <w:right w:val="none" w:sz="0" w:space="0" w:color="auto"/>
                                                      </w:divBdr>
                                                      <w:divsChild>
                                                        <w:div w:id="4545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0549008">
      <w:bodyDiv w:val="1"/>
      <w:marLeft w:val="0"/>
      <w:marRight w:val="0"/>
      <w:marTop w:val="0"/>
      <w:marBottom w:val="0"/>
      <w:divBdr>
        <w:top w:val="none" w:sz="0" w:space="0" w:color="auto"/>
        <w:left w:val="none" w:sz="0" w:space="0" w:color="auto"/>
        <w:bottom w:val="none" w:sz="0" w:space="0" w:color="auto"/>
        <w:right w:val="none" w:sz="0" w:space="0" w:color="auto"/>
      </w:divBdr>
      <w:divsChild>
        <w:div w:id="1390496052">
          <w:marLeft w:val="0"/>
          <w:marRight w:val="0"/>
          <w:marTop w:val="0"/>
          <w:marBottom w:val="0"/>
          <w:divBdr>
            <w:top w:val="none" w:sz="0" w:space="0" w:color="auto"/>
            <w:left w:val="none" w:sz="0" w:space="0" w:color="auto"/>
            <w:bottom w:val="none" w:sz="0" w:space="0" w:color="auto"/>
            <w:right w:val="none" w:sz="0" w:space="0" w:color="auto"/>
          </w:divBdr>
          <w:divsChild>
            <w:div w:id="886139543">
              <w:marLeft w:val="0"/>
              <w:marRight w:val="0"/>
              <w:marTop w:val="0"/>
              <w:marBottom w:val="0"/>
              <w:divBdr>
                <w:top w:val="none" w:sz="0" w:space="0" w:color="auto"/>
                <w:left w:val="none" w:sz="0" w:space="0" w:color="auto"/>
                <w:bottom w:val="none" w:sz="0" w:space="0" w:color="auto"/>
                <w:right w:val="none" w:sz="0" w:space="0" w:color="auto"/>
              </w:divBdr>
              <w:divsChild>
                <w:div w:id="179438413">
                  <w:marLeft w:val="0"/>
                  <w:marRight w:val="0"/>
                  <w:marTop w:val="0"/>
                  <w:marBottom w:val="0"/>
                  <w:divBdr>
                    <w:top w:val="none" w:sz="0" w:space="0" w:color="auto"/>
                    <w:left w:val="none" w:sz="0" w:space="0" w:color="auto"/>
                    <w:bottom w:val="none" w:sz="0" w:space="0" w:color="auto"/>
                    <w:right w:val="none" w:sz="0" w:space="0" w:color="auto"/>
                  </w:divBdr>
                  <w:divsChild>
                    <w:div w:id="1630434823">
                      <w:marLeft w:val="0"/>
                      <w:marRight w:val="0"/>
                      <w:marTop w:val="0"/>
                      <w:marBottom w:val="0"/>
                      <w:divBdr>
                        <w:top w:val="none" w:sz="0" w:space="0" w:color="auto"/>
                        <w:left w:val="none" w:sz="0" w:space="0" w:color="auto"/>
                        <w:bottom w:val="none" w:sz="0" w:space="0" w:color="auto"/>
                        <w:right w:val="none" w:sz="0" w:space="0" w:color="auto"/>
                      </w:divBdr>
                      <w:divsChild>
                        <w:div w:id="1692028225">
                          <w:marLeft w:val="0"/>
                          <w:marRight w:val="0"/>
                          <w:marTop w:val="0"/>
                          <w:marBottom w:val="0"/>
                          <w:divBdr>
                            <w:top w:val="none" w:sz="0" w:space="0" w:color="auto"/>
                            <w:left w:val="none" w:sz="0" w:space="0" w:color="auto"/>
                            <w:bottom w:val="none" w:sz="0" w:space="0" w:color="auto"/>
                            <w:right w:val="none" w:sz="0" w:space="0" w:color="auto"/>
                          </w:divBdr>
                          <w:divsChild>
                            <w:div w:id="2044092035">
                              <w:marLeft w:val="0"/>
                              <w:marRight w:val="0"/>
                              <w:marTop w:val="0"/>
                              <w:marBottom w:val="0"/>
                              <w:divBdr>
                                <w:top w:val="none" w:sz="0" w:space="0" w:color="auto"/>
                                <w:left w:val="none" w:sz="0" w:space="0" w:color="auto"/>
                                <w:bottom w:val="none" w:sz="0" w:space="0" w:color="auto"/>
                                <w:right w:val="none" w:sz="0" w:space="0" w:color="auto"/>
                              </w:divBdr>
                              <w:divsChild>
                                <w:div w:id="13112888">
                                  <w:marLeft w:val="0"/>
                                  <w:marRight w:val="0"/>
                                  <w:marTop w:val="0"/>
                                  <w:marBottom w:val="0"/>
                                  <w:divBdr>
                                    <w:top w:val="none" w:sz="0" w:space="0" w:color="auto"/>
                                    <w:left w:val="none" w:sz="0" w:space="0" w:color="auto"/>
                                    <w:bottom w:val="none" w:sz="0" w:space="0" w:color="auto"/>
                                    <w:right w:val="none" w:sz="0" w:space="0" w:color="auto"/>
                                  </w:divBdr>
                                  <w:divsChild>
                                    <w:div w:id="237832743">
                                      <w:marLeft w:val="0"/>
                                      <w:marRight w:val="0"/>
                                      <w:marTop w:val="0"/>
                                      <w:marBottom w:val="0"/>
                                      <w:divBdr>
                                        <w:top w:val="none" w:sz="0" w:space="0" w:color="auto"/>
                                        <w:left w:val="none" w:sz="0" w:space="0" w:color="auto"/>
                                        <w:bottom w:val="none" w:sz="0" w:space="0" w:color="auto"/>
                                        <w:right w:val="none" w:sz="0" w:space="0" w:color="auto"/>
                                      </w:divBdr>
                                      <w:divsChild>
                                        <w:div w:id="2081907773">
                                          <w:marLeft w:val="0"/>
                                          <w:marRight w:val="0"/>
                                          <w:marTop w:val="0"/>
                                          <w:marBottom w:val="0"/>
                                          <w:divBdr>
                                            <w:top w:val="none" w:sz="0" w:space="0" w:color="auto"/>
                                            <w:left w:val="none" w:sz="0" w:space="0" w:color="auto"/>
                                            <w:bottom w:val="none" w:sz="0" w:space="0" w:color="auto"/>
                                            <w:right w:val="none" w:sz="0" w:space="0" w:color="auto"/>
                                          </w:divBdr>
                                          <w:divsChild>
                                            <w:div w:id="674964602">
                                              <w:marLeft w:val="0"/>
                                              <w:marRight w:val="0"/>
                                              <w:marTop w:val="0"/>
                                              <w:marBottom w:val="0"/>
                                              <w:divBdr>
                                                <w:top w:val="none" w:sz="0" w:space="0" w:color="auto"/>
                                                <w:left w:val="none" w:sz="0" w:space="0" w:color="auto"/>
                                                <w:bottom w:val="none" w:sz="0" w:space="0" w:color="auto"/>
                                                <w:right w:val="none" w:sz="0" w:space="0" w:color="auto"/>
                                              </w:divBdr>
                                              <w:divsChild>
                                                <w:div w:id="1363507356">
                                                  <w:marLeft w:val="0"/>
                                                  <w:marRight w:val="0"/>
                                                  <w:marTop w:val="0"/>
                                                  <w:marBottom w:val="0"/>
                                                  <w:divBdr>
                                                    <w:top w:val="none" w:sz="0" w:space="0" w:color="auto"/>
                                                    <w:left w:val="none" w:sz="0" w:space="0" w:color="auto"/>
                                                    <w:bottom w:val="none" w:sz="0" w:space="0" w:color="auto"/>
                                                    <w:right w:val="none" w:sz="0" w:space="0" w:color="auto"/>
                                                  </w:divBdr>
                                                  <w:divsChild>
                                                    <w:div w:id="430204740">
                                                      <w:marLeft w:val="0"/>
                                                      <w:marRight w:val="0"/>
                                                      <w:marTop w:val="0"/>
                                                      <w:marBottom w:val="0"/>
                                                      <w:divBdr>
                                                        <w:top w:val="none" w:sz="0" w:space="0" w:color="auto"/>
                                                        <w:left w:val="none" w:sz="0" w:space="0" w:color="auto"/>
                                                        <w:bottom w:val="none" w:sz="0" w:space="0" w:color="auto"/>
                                                        <w:right w:val="none" w:sz="0" w:space="0" w:color="auto"/>
                                                      </w:divBdr>
                                                      <w:divsChild>
                                                        <w:div w:id="74071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15301410">
      <w:bodyDiv w:val="1"/>
      <w:marLeft w:val="0"/>
      <w:marRight w:val="0"/>
      <w:marTop w:val="0"/>
      <w:marBottom w:val="0"/>
      <w:divBdr>
        <w:top w:val="none" w:sz="0" w:space="0" w:color="auto"/>
        <w:left w:val="none" w:sz="0" w:space="0" w:color="auto"/>
        <w:bottom w:val="none" w:sz="0" w:space="0" w:color="auto"/>
        <w:right w:val="none" w:sz="0" w:space="0" w:color="auto"/>
      </w:divBdr>
    </w:div>
    <w:div w:id="1732266222">
      <w:bodyDiv w:val="1"/>
      <w:marLeft w:val="0"/>
      <w:marRight w:val="0"/>
      <w:marTop w:val="0"/>
      <w:marBottom w:val="0"/>
      <w:divBdr>
        <w:top w:val="none" w:sz="0" w:space="0" w:color="auto"/>
        <w:left w:val="none" w:sz="0" w:space="0" w:color="auto"/>
        <w:bottom w:val="none" w:sz="0" w:space="0" w:color="auto"/>
        <w:right w:val="none" w:sz="0" w:space="0" w:color="auto"/>
      </w:divBdr>
    </w:div>
    <w:div w:id="1753771209">
      <w:bodyDiv w:val="1"/>
      <w:marLeft w:val="0"/>
      <w:marRight w:val="0"/>
      <w:marTop w:val="0"/>
      <w:marBottom w:val="0"/>
      <w:divBdr>
        <w:top w:val="none" w:sz="0" w:space="0" w:color="auto"/>
        <w:left w:val="none" w:sz="0" w:space="0" w:color="auto"/>
        <w:bottom w:val="none" w:sz="0" w:space="0" w:color="auto"/>
        <w:right w:val="none" w:sz="0" w:space="0" w:color="auto"/>
      </w:divBdr>
    </w:div>
    <w:div w:id="1779527508">
      <w:bodyDiv w:val="1"/>
      <w:marLeft w:val="0"/>
      <w:marRight w:val="0"/>
      <w:marTop w:val="0"/>
      <w:marBottom w:val="0"/>
      <w:divBdr>
        <w:top w:val="none" w:sz="0" w:space="0" w:color="auto"/>
        <w:left w:val="none" w:sz="0" w:space="0" w:color="auto"/>
        <w:bottom w:val="none" w:sz="0" w:space="0" w:color="auto"/>
        <w:right w:val="none" w:sz="0" w:space="0" w:color="auto"/>
      </w:divBdr>
      <w:divsChild>
        <w:div w:id="503862300">
          <w:marLeft w:val="0"/>
          <w:marRight w:val="0"/>
          <w:marTop w:val="0"/>
          <w:marBottom w:val="0"/>
          <w:divBdr>
            <w:top w:val="none" w:sz="0" w:space="0" w:color="auto"/>
            <w:left w:val="none" w:sz="0" w:space="0" w:color="auto"/>
            <w:bottom w:val="none" w:sz="0" w:space="0" w:color="auto"/>
            <w:right w:val="none" w:sz="0" w:space="0" w:color="auto"/>
          </w:divBdr>
          <w:divsChild>
            <w:div w:id="475269338">
              <w:marLeft w:val="0"/>
              <w:marRight w:val="0"/>
              <w:marTop w:val="0"/>
              <w:marBottom w:val="0"/>
              <w:divBdr>
                <w:top w:val="none" w:sz="0" w:space="0" w:color="auto"/>
                <w:left w:val="none" w:sz="0" w:space="0" w:color="auto"/>
                <w:bottom w:val="none" w:sz="0" w:space="0" w:color="auto"/>
                <w:right w:val="none" w:sz="0" w:space="0" w:color="auto"/>
              </w:divBdr>
              <w:divsChild>
                <w:div w:id="1530218358">
                  <w:marLeft w:val="0"/>
                  <w:marRight w:val="0"/>
                  <w:marTop w:val="0"/>
                  <w:marBottom w:val="0"/>
                  <w:divBdr>
                    <w:top w:val="none" w:sz="0" w:space="0" w:color="auto"/>
                    <w:left w:val="none" w:sz="0" w:space="0" w:color="auto"/>
                    <w:bottom w:val="none" w:sz="0" w:space="0" w:color="auto"/>
                    <w:right w:val="none" w:sz="0" w:space="0" w:color="auto"/>
                  </w:divBdr>
                  <w:divsChild>
                    <w:div w:id="130052536">
                      <w:marLeft w:val="0"/>
                      <w:marRight w:val="0"/>
                      <w:marTop w:val="0"/>
                      <w:marBottom w:val="0"/>
                      <w:divBdr>
                        <w:top w:val="none" w:sz="0" w:space="0" w:color="auto"/>
                        <w:left w:val="none" w:sz="0" w:space="0" w:color="auto"/>
                        <w:bottom w:val="none" w:sz="0" w:space="0" w:color="auto"/>
                        <w:right w:val="none" w:sz="0" w:space="0" w:color="auto"/>
                      </w:divBdr>
                      <w:divsChild>
                        <w:div w:id="1829900626">
                          <w:marLeft w:val="0"/>
                          <w:marRight w:val="0"/>
                          <w:marTop w:val="0"/>
                          <w:marBottom w:val="0"/>
                          <w:divBdr>
                            <w:top w:val="none" w:sz="0" w:space="0" w:color="auto"/>
                            <w:left w:val="none" w:sz="0" w:space="0" w:color="auto"/>
                            <w:bottom w:val="none" w:sz="0" w:space="0" w:color="auto"/>
                            <w:right w:val="none" w:sz="0" w:space="0" w:color="auto"/>
                          </w:divBdr>
                          <w:divsChild>
                            <w:div w:id="644506637">
                              <w:marLeft w:val="0"/>
                              <w:marRight w:val="0"/>
                              <w:marTop w:val="0"/>
                              <w:marBottom w:val="0"/>
                              <w:divBdr>
                                <w:top w:val="none" w:sz="0" w:space="0" w:color="auto"/>
                                <w:left w:val="none" w:sz="0" w:space="0" w:color="auto"/>
                                <w:bottom w:val="none" w:sz="0" w:space="0" w:color="auto"/>
                                <w:right w:val="none" w:sz="0" w:space="0" w:color="auto"/>
                              </w:divBdr>
                              <w:divsChild>
                                <w:div w:id="39401690">
                                  <w:marLeft w:val="0"/>
                                  <w:marRight w:val="0"/>
                                  <w:marTop w:val="0"/>
                                  <w:marBottom w:val="0"/>
                                  <w:divBdr>
                                    <w:top w:val="none" w:sz="0" w:space="0" w:color="auto"/>
                                    <w:left w:val="none" w:sz="0" w:space="0" w:color="auto"/>
                                    <w:bottom w:val="none" w:sz="0" w:space="0" w:color="auto"/>
                                    <w:right w:val="none" w:sz="0" w:space="0" w:color="auto"/>
                                  </w:divBdr>
                                  <w:divsChild>
                                    <w:div w:id="2081437236">
                                      <w:marLeft w:val="0"/>
                                      <w:marRight w:val="0"/>
                                      <w:marTop w:val="0"/>
                                      <w:marBottom w:val="0"/>
                                      <w:divBdr>
                                        <w:top w:val="none" w:sz="0" w:space="0" w:color="auto"/>
                                        <w:left w:val="none" w:sz="0" w:space="0" w:color="auto"/>
                                        <w:bottom w:val="none" w:sz="0" w:space="0" w:color="auto"/>
                                        <w:right w:val="none" w:sz="0" w:space="0" w:color="auto"/>
                                      </w:divBdr>
                                      <w:divsChild>
                                        <w:div w:id="1334064365">
                                          <w:marLeft w:val="0"/>
                                          <w:marRight w:val="0"/>
                                          <w:marTop w:val="0"/>
                                          <w:marBottom w:val="0"/>
                                          <w:divBdr>
                                            <w:top w:val="none" w:sz="0" w:space="0" w:color="auto"/>
                                            <w:left w:val="none" w:sz="0" w:space="0" w:color="auto"/>
                                            <w:bottom w:val="none" w:sz="0" w:space="0" w:color="auto"/>
                                            <w:right w:val="none" w:sz="0" w:space="0" w:color="auto"/>
                                          </w:divBdr>
                                          <w:divsChild>
                                            <w:div w:id="217471535">
                                              <w:marLeft w:val="0"/>
                                              <w:marRight w:val="0"/>
                                              <w:marTop w:val="0"/>
                                              <w:marBottom w:val="0"/>
                                              <w:divBdr>
                                                <w:top w:val="none" w:sz="0" w:space="0" w:color="auto"/>
                                                <w:left w:val="none" w:sz="0" w:space="0" w:color="auto"/>
                                                <w:bottom w:val="none" w:sz="0" w:space="0" w:color="auto"/>
                                                <w:right w:val="none" w:sz="0" w:space="0" w:color="auto"/>
                                              </w:divBdr>
                                              <w:divsChild>
                                                <w:div w:id="1016224928">
                                                  <w:marLeft w:val="0"/>
                                                  <w:marRight w:val="0"/>
                                                  <w:marTop w:val="0"/>
                                                  <w:marBottom w:val="0"/>
                                                  <w:divBdr>
                                                    <w:top w:val="none" w:sz="0" w:space="0" w:color="auto"/>
                                                    <w:left w:val="none" w:sz="0" w:space="0" w:color="auto"/>
                                                    <w:bottom w:val="none" w:sz="0" w:space="0" w:color="auto"/>
                                                    <w:right w:val="none" w:sz="0" w:space="0" w:color="auto"/>
                                                  </w:divBdr>
                                                  <w:divsChild>
                                                    <w:div w:id="2094550326">
                                                      <w:marLeft w:val="0"/>
                                                      <w:marRight w:val="0"/>
                                                      <w:marTop w:val="0"/>
                                                      <w:marBottom w:val="0"/>
                                                      <w:divBdr>
                                                        <w:top w:val="none" w:sz="0" w:space="0" w:color="auto"/>
                                                        <w:left w:val="none" w:sz="0" w:space="0" w:color="auto"/>
                                                        <w:bottom w:val="none" w:sz="0" w:space="0" w:color="auto"/>
                                                        <w:right w:val="none" w:sz="0" w:space="0" w:color="auto"/>
                                                      </w:divBdr>
                                                      <w:divsChild>
                                                        <w:div w:id="23529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5463814">
      <w:bodyDiv w:val="1"/>
      <w:marLeft w:val="0"/>
      <w:marRight w:val="0"/>
      <w:marTop w:val="0"/>
      <w:marBottom w:val="0"/>
      <w:divBdr>
        <w:top w:val="none" w:sz="0" w:space="0" w:color="auto"/>
        <w:left w:val="none" w:sz="0" w:space="0" w:color="auto"/>
        <w:bottom w:val="none" w:sz="0" w:space="0" w:color="auto"/>
        <w:right w:val="none" w:sz="0" w:space="0" w:color="auto"/>
      </w:divBdr>
    </w:div>
    <w:div w:id="213983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8bd9498f-fa43-4ae2-8bb2-4c55a71680a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D4509C3D779E74F86554752994C3202" ma:contentTypeVersion="1" ma:contentTypeDescription="Create a new document." ma:contentTypeScope="" ma:versionID="cc38fab6ee7250a1ec76ade8891a3b1a">
  <xsd:schema xmlns:xsd="http://www.w3.org/2001/XMLSchema" xmlns:xs="http://www.w3.org/2001/XMLSchema" xmlns:p="http://schemas.microsoft.com/office/2006/metadata/properties" xmlns:ns2="8bd9498f-fa43-4ae2-8bb2-4c55a71680ad" targetNamespace="http://schemas.microsoft.com/office/2006/metadata/properties" ma:root="true" ma:fieldsID="242b35c5b343e57f5b0319ba383165ed" ns2:_="">
    <xsd:import namespace="8bd9498f-fa43-4ae2-8bb2-4c55a71680ad"/>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9498f-fa43-4ae2-8bb2-4c55a71680ad" elementFormDefault="qualified">
    <xsd:import namespace="http://schemas.microsoft.com/office/2006/documentManagement/types"/>
    <xsd:import namespace="http://schemas.microsoft.com/office/infopath/2007/PartnerControls"/>
    <xsd:element name="Category" ma:index="8" nillable="true" ma:displayName="Category" ma:description="brief description of document type"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13C29E-D991-4DB9-A13E-7C1AA632889D}">
  <ds:schemaRefs>
    <ds:schemaRef ds:uri="http://schemas.microsoft.com/office/2006/metadata/properties"/>
    <ds:schemaRef ds:uri="http://schemas.microsoft.com/office/infopath/2007/PartnerControls"/>
    <ds:schemaRef ds:uri="8bd9498f-fa43-4ae2-8bb2-4c55a71680ad"/>
  </ds:schemaRefs>
</ds:datastoreItem>
</file>

<file path=customXml/itemProps2.xml><?xml version="1.0" encoding="utf-8"?>
<ds:datastoreItem xmlns:ds="http://schemas.openxmlformats.org/officeDocument/2006/customXml" ds:itemID="{92302654-7AE2-4618-95A8-D8C9C03930B2}">
  <ds:schemaRefs>
    <ds:schemaRef ds:uri="http://schemas.microsoft.com/sharepoint/v3/contenttype/forms"/>
  </ds:schemaRefs>
</ds:datastoreItem>
</file>

<file path=customXml/itemProps3.xml><?xml version="1.0" encoding="utf-8"?>
<ds:datastoreItem xmlns:ds="http://schemas.openxmlformats.org/officeDocument/2006/customXml" ds:itemID="{724489D0-2373-42D1-807D-BD349825AA27}">
  <ds:schemaRefs>
    <ds:schemaRef ds:uri="http://schemas.openxmlformats.org/officeDocument/2006/bibliography"/>
  </ds:schemaRefs>
</ds:datastoreItem>
</file>

<file path=customXml/itemProps4.xml><?xml version="1.0" encoding="utf-8"?>
<ds:datastoreItem xmlns:ds="http://schemas.openxmlformats.org/officeDocument/2006/customXml" ds:itemID="{159BCE3D-4D7E-4F2D-BAFC-F3760C023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9498f-fa43-4ae2-8bb2-4c55a7168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7</Pages>
  <Words>2477</Words>
  <Characters>14122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Nicoli Carol</dc:creator>
  <cp:lastModifiedBy>VANCUYLENBURG, Chrisanne</cp:lastModifiedBy>
  <cp:revision>22</cp:revision>
  <cp:lastPrinted>2019-09-23T06:46:00Z</cp:lastPrinted>
  <dcterms:created xsi:type="dcterms:W3CDTF">2023-02-21T22:26:00Z</dcterms:created>
  <dcterms:modified xsi:type="dcterms:W3CDTF">2023-03-24T03:02:00Z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0x010100DD4509C3D779E74F86554752994C3202</vt:lpwstr>
  </property>
</Properties>
</file>