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103244"/>
    <w:bookmarkEnd w:id="0"/>
    <w:p w14:paraId="0F19041B" w14:textId="5CE2B8FB" w:rsidR="00715914" w:rsidRPr="005F1388" w:rsidRDefault="002A5689" w:rsidP="00715914">
      <w:pPr>
        <w:rPr>
          <w:sz w:val="28"/>
        </w:rPr>
      </w:pPr>
      <w:r>
        <w:object w:dxaOrig="2146" w:dyaOrig="1561" w14:anchorId="09E2C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41078883" r:id="rId9"/>
        </w:object>
      </w:r>
    </w:p>
    <w:p w14:paraId="4DBF444B" w14:textId="77777777" w:rsidR="00715914" w:rsidRPr="00E500D4" w:rsidRDefault="00715914" w:rsidP="00715914">
      <w:pPr>
        <w:rPr>
          <w:sz w:val="19"/>
        </w:rPr>
      </w:pPr>
    </w:p>
    <w:p w14:paraId="3DABCBD6" w14:textId="0F68D3F7" w:rsidR="00554826" w:rsidRPr="00E500D4" w:rsidRDefault="000D47E2" w:rsidP="00554826">
      <w:pPr>
        <w:pStyle w:val="ShortT"/>
      </w:pPr>
      <w:bookmarkStart w:id="1" w:name="_Hlk112740412"/>
      <w:r>
        <w:t>A New Tax System (</w:t>
      </w:r>
      <w:r w:rsidR="00C33889" w:rsidRPr="002660BF">
        <w:t>Goods and Services Tax</w:t>
      </w:r>
      <w:r>
        <w:t>)</w:t>
      </w:r>
      <w:r w:rsidR="0060574F" w:rsidRPr="002660BF">
        <w:t>:</w:t>
      </w:r>
      <w:r w:rsidR="00554826" w:rsidRPr="002660BF">
        <w:t xml:space="preserve"> </w:t>
      </w:r>
      <w:r w:rsidR="00C33889" w:rsidRPr="002660BF">
        <w:t>Waiver of Tax Invoice Requirement</w:t>
      </w:r>
      <w:r w:rsidR="008122E1" w:rsidRPr="002660BF">
        <w:t xml:space="preserve"> </w:t>
      </w:r>
      <w:r w:rsidR="00554826" w:rsidRPr="002660BF">
        <w:t>(</w:t>
      </w:r>
      <w:r w:rsidR="00C33889" w:rsidRPr="002660BF">
        <w:t>Acquisitions under an Agency Relationship</w:t>
      </w:r>
      <w:r w:rsidR="00554826" w:rsidRPr="002660BF">
        <w:t xml:space="preserve">) </w:t>
      </w:r>
      <w:r w:rsidR="00C33889" w:rsidRPr="002660BF">
        <w:t>Determination 2023</w:t>
      </w:r>
    </w:p>
    <w:bookmarkEnd w:id="1"/>
    <w:p w14:paraId="02B79B60" w14:textId="2E4E6E7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3889" w:rsidRPr="002660BF">
        <w:rPr>
          <w:szCs w:val="22"/>
        </w:rPr>
        <w:t>Ben Kelly</w:t>
      </w:r>
      <w:r w:rsidRPr="002660BF">
        <w:rPr>
          <w:szCs w:val="22"/>
        </w:rPr>
        <w:t xml:space="preserve">, </w:t>
      </w:r>
      <w:r w:rsidR="00C33889" w:rsidRPr="002660BF">
        <w:t>Deputy Commissioner of Taxation</w:t>
      </w:r>
      <w:r w:rsidRPr="002660BF">
        <w:rPr>
          <w:szCs w:val="22"/>
        </w:rPr>
        <w:t xml:space="preserve">, make the following </w:t>
      </w:r>
      <w:r w:rsidR="00C33889" w:rsidRPr="002660BF">
        <w:rPr>
          <w:szCs w:val="22"/>
        </w:rPr>
        <w:t>determination</w:t>
      </w:r>
      <w:r w:rsidRPr="002660BF">
        <w:rPr>
          <w:szCs w:val="22"/>
        </w:rPr>
        <w:t>.</w:t>
      </w:r>
    </w:p>
    <w:p w14:paraId="58D0620D" w14:textId="7BB717A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D4507">
        <w:rPr>
          <w:szCs w:val="22"/>
        </w:rPr>
        <w:tab/>
        <w:t>7 March 2023</w:t>
      </w:r>
    </w:p>
    <w:p w14:paraId="4D4E850F" w14:textId="71230937" w:rsidR="00554826" w:rsidRDefault="00C3388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2" w:name="_Hlk112739709"/>
      <w:r w:rsidRPr="002660BF">
        <w:rPr>
          <w:szCs w:val="22"/>
        </w:rPr>
        <w:t>Ben Kelly</w:t>
      </w:r>
      <w:bookmarkEnd w:id="2"/>
    </w:p>
    <w:p w14:paraId="5853765A" w14:textId="5DB632FF" w:rsidR="00554826" w:rsidRPr="008E0027" w:rsidRDefault="00C33889" w:rsidP="00554826">
      <w:pPr>
        <w:pStyle w:val="SignCoverPageEnd"/>
        <w:ind w:right="91"/>
        <w:rPr>
          <w:sz w:val="22"/>
        </w:rPr>
      </w:pPr>
      <w:r w:rsidRPr="002660BF">
        <w:rPr>
          <w:sz w:val="22"/>
        </w:rPr>
        <w:t>Deputy Commissioner of Taxation</w:t>
      </w:r>
    </w:p>
    <w:p w14:paraId="14F035BC" w14:textId="77777777" w:rsidR="00554826" w:rsidRDefault="00554826" w:rsidP="00554826"/>
    <w:p w14:paraId="5E4A3B5F" w14:textId="77777777" w:rsidR="00554826" w:rsidRPr="00ED79B6" w:rsidRDefault="00554826" w:rsidP="00554826"/>
    <w:p w14:paraId="60D48FB0" w14:textId="77777777" w:rsidR="00F6696E" w:rsidRDefault="00F6696E" w:rsidP="00F6696E"/>
    <w:p w14:paraId="55994D85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3FC77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41E8DAE" w14:textId="6189A489" w:rsidR="00EA002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A0025">
        <w:rPr>
          <w:noProof/>
        </w:rPr>
        <w:t>1  Name</w:t>
      </w:r>
      <w:r w:rsidR="00EA0025">
        <w:rPr>
          <w:noProof/>
        </w:rPr>
        <w:tab/>
      </w:r>
      <w:r w:rsidR="00EA0025">
        <w:rPr>
          <w:noProof/>
        </w:rPr>
        <w:fldChar w:fldCharType="begin"/>
      </w:r>
      <w:r w:rsidR="00EA0025">
        <w:rPr>
          <w:noProof/>
        </w:rPr>
        <w:instrText xml:space="preserve"> PAGEREF _Toc126851404 \h </w:instrText>
      </w:r>
      <w:r w:rsidR="00EA0025">
        <w:rPr>
          <w:noProof/>
        </w:rPr>
      </w:r>
      <w:r w:rsidR="00EA0025">
        <w:rPr>
          <w:noProof/>
        </w:rPr>
        <w:fldChar w:fldCharType="separate"/>
      </w:r>
      <w:r w:rsidR="00EA0025">
        <w:rPr>
          <w:noProof/>
        </w:rPr>
        <w:t>1</w:t>
      </w:r>
      <w:r w:rsidR="00EA0025">
        <w:rPr>
          <w:noProof/>
        </w:rPr>
        <w:fldChar w:fldCharType="end"/>
      </w:r>
    </w:p>
    <w:p w14:paraId="332E338A" w14:textId="5C27425E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7BFB1F" w14:textId="6D38F3D0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5D7A66" w14:textId="7EF45EDB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2D865A" w14:textId="3FBD2AB7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8808BB" w14:textId="7577DC3F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Waiver of the requirement to hold a tax invoice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3C633" w14:textId="757B3FF5" w:rsidR="00EA0025" w:rsidRDefault="00EA00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Document information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976B51" w14:textId="294C8A1B" w:rsidR="00EA0025" w:rsidRPr="008B2EE4" w:rsidRDefault="00EA0025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16"/>
          <w:szCs w:val="16"/>
        </w:rPr>
      </w:pPr>
      <w:r>
        <w:rPr>
          <w:noProof/>
        </w:rPr>
        <w:t>Schedule 1—Repeals</w:t>
      </w:r>
      <w:r w:rsidRPr="008B2EE4">
        <w:rPr>
          <w:b w:val="0"/>
          <w:bCs/>
          <w:noProof/>
          <w:sz w:val="18"/>
          <w:szCs w:val="14"/>
        </w:rPr>
        <w:tab/>
      </w:r>
      <w:r w:rsidRPr="008B2EE4">
        <w:rPr>
          <w:b w:val="0"/>
          <w:bCs/>
          <w:noProof/>
          <w:sz w:val="18"/>
          <w:szCs w:val="14"/>
        </w:rPr>
        <w:fldChar w:fldCharType="begin"/>
      </w:r>
      <w:r w:rsidRPr="008B2EE4">
        <w:rPr>
          <w:b w:val="0"/>
          <w:bCs/>
          <w:noProof/>
          <w:sz w:val="18"/>
          <w:szCs w:val="14"/>
        </w:rPr>
        <w:instrText xml:space="preserve"> PAGEREF _Toc126851411 \h </w:instrText>
      </w:r>
      <w:r w:rsidRPr="008B2EE4">
        <w:rPr>
          <w:b w:val="0"/>
          <w:bCs/>
          <w:noProof/>
          <w:sz w:val="18"/>
          <w:szCs w:val="14"/>
        </w:rPr>
      </w:r>
      <w:r w:rsidRPr="008B2EE4">
        <w:rPr>
          <w:b w:val="0"/>
          <w:bCs/>
          <w:noProof/>
          <w:sz w:val="18"/>
          <w:szCs w:val="14"/>
        </w:rPr>
        <w:fldChar w:fldCharType="separate"/>
      </w:r>
      <w:r w:rsidRPr="008B2EE4">
        <w:rPr>
          <w:b w:val="0"/>
          <w:bCs/>
          <w:noProof/>
          <w:sz w:val="18"/>
          <w:szCs w:val="14"/>
        </w:rPr>
        <w:t>3</w:t>
      </w:r>
      <w:r w:rsidRPr="008B2EE4">
        <w:rPr>
          <w:b w:val="0"/>
          <w:bCs/>
          <w:noProof/>
          <w:sz w:val="18"/>
          <w:szCs w:val="14"/>
        </w:rPr>
        <w:fldChar w:fldCharType="end"/>
      </w:r>
    </w:p>
    <w:p w14:paraId="2CFCE5A2" w14:textId="45D892ED" w:rsidR="00EA0025" w:rsidRPr="008B2EE4" w:rsidRDefault="00EA0025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</w:rPr>
      </w:pPr>
      <w:r w:rsidRPr="000A737A">
        <w:rPr>
          <w:iCs/>
          <w:noProof/>
        </w:rPr>
        <w:t>A New Tax System (Goods and Services Tax) Waiver of Tax Invoice Requirement (Acquisitions under an Agency Relationship) Legislative Instrument 2013</w:t>
      </w:r>
      <w:r w:rsidRPr="008B2EE4">
        <w:rPr>
          <w:i w:val="0"/>
          <w:iCs/>
          <w:noProof/>
          <w:sz w:val="18"/>
          <w:szCs w:val="18"/>
        </w:rPr>
        <w:tab/>
      </w:r>
      <w:r w:rsidRPr="008B2EE4">
        <w:rPr>
          <w:i w:val="0"/>
          <w:iCs/>
          <w:noProof/>
          <w:sz w:val="18"/>
          <w:szCs w:val="18"/>
        </w:rPr>
        <w:fldChar w:fldCharType="begin"/>
      </w:r>
      <w:r w:rsidRPr="008B2EE4">
        <w:rPr>
          <w:i w:val="0"/>
          <w:iCs/>
          <w:noProof/>
          <w:sz w:val="18"/>
          <w:szCs w:val="18"/>
        </w:rPr>
        <w:instrText xml:space="preserve"> PAGEREF _Toc126851412 \h </w:instrText>
      </w:r>
      <w:r w:rsidRPr="008B2EE4">
        <w:rPr>
          <w:i w:val="0"/>
          <w:iCs/>
          <w:noProof/>
          <w:sz w:val="18"/>
          <w:szCs w:val="18"/>
        </w:rPr>
      </w:r>
      <w:r w:rsidRPr="008B2EE4">
        <w:rPr>
          <w:i w:val="0"/>
          <w:iCs/>
          <w:noProof/>
          <w:sz w:val="18"/>
          <w:szCs w:val="18"/>
        </w:rPr>
        <w:fldChar w:fldCharType="separate"/>
      </w:r>
      <w:r w:rsidRPr="008B2EE4">
        <w:rPr>
          <w:i w:val="0"/>
          <w:iCs/>
          <w:noProof/>
          <w:sz w:val="18"/>
          <w:szCs w:val="18"/>
        </w:rPr>
        <w:t>3</w:t>
      </w:r>
      <w:r w:rsidRPr="008B2EE4">
        <w:rPr>
          <w:i w:val="0"/>
          <w:iCs/>
          <w:noProof/>
          <w:sz w:val="18"/>
          <w:szCs w:val="18"/>
        </w:rPr>
        <w:fldChar w:fldCharType="end"/>
      </w:r>
    </w:p>
    <w:p w14:paraId="6D1C5E34" w14:textId="7D023E35" w:rsidR="00F6696E" w:rsidRDefault="00B418CB" w:rsidP="00F6696E">
      <w:pPr>
        <w:outlineLvl w:val="0"/>
      </w:pPr>
      <w:r>
        <w:fldChar w:fldCharType="end"/>
      </w:r>
    </w:p>
    <w:p w14:paraId="7456D36B" w14:textId="77777777" w:rsidR="00F6696E" w:rsidRPr="00A802BC" w:rsidRDefault="00F6696E" w:rsidP="00F6696E">
      <w:pPr>
        <w:outlineLvl w:val="0"/>
        <w:rPr>
          <w:sz w:val="20"/>
        </w:rPr>
      </w:pPr>
    </w:p>
    <w:p w14:paraId="41F9AAAE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39C6B2" w14:textId="77777777" w:rsidR="003253E0" w:rsidRPr="00554826" w:rsidRDefault="003253E0" w:rsidP="003253E0">
      <w:pPr>
        <w:pStyle w:val="ActHead5"/>
      </w:pPr>
      <w:bookmarkStart w:id="3" w:name="_Toc454512513"/>
      <w:bookmarkStart w:id="4" w:name="_Toc126851404"/>
      <w:r w:rsidRPr="00554826">
        <w:lastRenderedPageBreak/>
        <w:t>1  Name</w:t>
      </w:r>
      <w:bookmarkEnd w:id="3"/>
      <w:bookmarkEnd w:id="4"/>
    </w:p>
    <w:p w14:paraId="333FEA89" w14:textId="6D15F84C" w:rsidR="00554826" w:rsidRDefault="003253E0" w:rsidP="003253E0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5" w:name="_Hlk114566467"/>
      <w:r>
        <w:t xml:space="preserve"> </w:t>
      </w:r>
      <w:r w:rsidR="000D47E2" w:rsidRPr="000D47E2">
        <w:rPr>
          <w:i/>
          <w:iCs/>
        </w:rPr>
        <w:t>A New Tax System (</w:t>
      </w:r>
      <w:bookmarkEnd w:id="5"/>
      <w:r w:rsidR="00D73103" w:rsidRPr="000D47E2">
        <w:rPr>
          <w:i/>
          <w:iCs/>
        </w:rPr>
        <w:t>Goods</w:t>
      </w:r>
      <w:r w:rsidR="00D73103" w:rsidRPr="002660BF">
        <w:rPr>
          <w:i/>
        </w:rPr>
        <w:t xml:space="preserve"> and Services Tax</w:t>
      </w:r>
      <w:r w:rsidR="000D47E2">
        <w:rPr>
          <w:i/>
        </w:rPr>
        <w:t>)</w:t>
      </w:r>
      <w:r w:rsidR="00D73103" w:rsidRPr="002660BF">
        <w:rPr>
          <w:i/>
        </w:rPr>
        <w:t>: Waiver of Tax Invoice Requirement (Acquisitions under an Agency Relationship) Determination 2023</w:t>
      </w:r>
      <w:r w:rsidR="00554826" w:rsidRPr="002660BF">
        <w:t>.</w:t>
      </w:r>
    </w:p>
    <w:p w14:paraId="36155F43" w14:textId="77777777" w:rsidR="00554826" w:rsidRPr="00554826" w:rsidRDefault="00554826" w:rsidP="00554826">
      <w:pPr>
        <w:pStyle w:val="ActHead5"/>
      </w:pPr>
      <w:bookmarkStart w:id="6" w:name="_Toc126851405"/>
      <w:r w:rsidRPr="00554826">
        <w:t>2  Commencement</w:t>
      </w:r>
      <w:bookmarkEnd w:id="6"/>
    </w:p>
    <w:p w14:paraId="43C414D7" w14:textId="77777777" w:rsidR="003253E0" w:rsidRPr="003422B4" w:rsidRDefault="003253E0" w:rsidP="003253E0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99F0B2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3F0799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B3E1F6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CC3F37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5DD9C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3B39D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CE774F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4E54D7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09119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AB36A2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BDACA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3725CA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DA0FD8" w14:textId="0C29CB10" w:rsidR="003767E2" w:rsidRPr="00EB71D7" w:rsidRDefault="003767E2" w:rsidP="00A02135">
            <w:pPr>
              <w:pStyle w:val="Tabletext"/>
            </w:pPr>
            <w:r w:rsidRPr="00EB71D7">
              <w:t xml:space="preserve">1.  </w:t>
            </w:r>
            <w:r w:rsidR="004335E2" w:rsidRPr="00EB71D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EB919" w14:textId="5F4B4CC3" w:rsidR="003767E2" w:rsidRPr="00EB71D7" w:rsidRDefault="00F01D9B" w:rsidP="00A02135">
            <w:pPr>
              <w:pStyle w:val="Tabletext"/>
            </w:pPr>
            <w:r w:rsidRPr="00EB71D7">
              <w:t>O</w:t>
            </w:r>
            <w:r w:rsidR="004335E2" w:rsidRPr="00EB71D7">
              <w:t xml:space="preserve">n the day after </w:t>
            </w:r>
            <w:r w:rsidR="00F21DA1" w:rsidRPr="00EB71D7">
              <w:t>this instrument</w:t>
            </w:r>
            <w:r w:rsidR="004335E2" w:rsidRPr="00EB71D7">
              <w:t xml:space="preserve"> is registered</w:t>
            </w:r>
            <w:r w:rsidR="00EB71D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FAFA7" w14:textId="5CF91D23" w:rsidR="003767E2" w:rsidRPr="00EB71D7" w:rsidRDefault="003767E2" w:rsidP="00A02135">
            <w:pPr>
              <w:pStyle w:val="Tabletext"/>
            </w:pPr>
          </w:p>
        </w:tc>
      </w:tr>
    </w:tbl>
    <w:p w14:paraId="45595B58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11B395B" w14:textId="76CDF709" w:rsidR="003253E0" w:rsidRPr="003422B4" w:rsidRDefault="003253E0" w:rsidP="003253E0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 xml:space="preserve">Any information in column 3 of the table is not part of this instrument. </w:t>
      </w:r>
      <w:r w:rsidR="001C1D22">
        <w:t xml:space="preserve">Information may be inserted in this column, or information in it may be edited, </w:t>
      </w:r>
      <w:r w:rsidR="00CD5EF3">
        <w:t xml:space="preserve">in </w:t>
      </w:r>
      <w:r w:rsidRPr="003422B4">
        <w:t>any published version of this instrument.</w:t>
      </w:r>
    </w:p>
    <w:p w14:paraId="5884935E" w14:textId="77777777" w:rsidR="003253E0" w:rsidRPr="00554826" w:rsidRDefault="003253E0" w:rsidP="003253E0">
      <w:pPr>
        <w:pStyle w:val="ActHead5"/>
      </w:pPr>
      <w:bookmarkStart w:id="7" w:name="_Toc126851406"/>
      <w:r w:rsidRPr="00554826">
        <w:t>3  Authority</w:t>
      </w:r>
      <w:bookmarkEnd w:id="7"/>
    </w:p>
    <w:p w14:paraId="28DD524A" w14:textId="2E6FC6DC" w:rsidR="00554826" w:rsidRPr="009C2562" w:rsidRDefault="003253E0" w:rsidP="003253E0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>This instrument</w:t>
      </w:r>
      <w:r w:rsidR="00F71FC6">
        <w:t xml:space="preserve"> is</w:t>
      </w:r>
      <w:r w:rsidRPr="009C2562">
        <w:t xml:space="preserve"> made </w:t>
      </w:r>
      <w:r w:rsidR="00554826" w:rsidRPr="002660BF">
        <w:t xml:space="preserve">under </w:t>
      </w:r>
      <w:r w:rsidR="008122E1" w:rsidRPr="002660BF">
        <w:t xml:space="preserve">subsection 29-10(3) of the </w:t>
      </w:r>
      <w:r w:rsidR="00E96461" w:rsidRPr="007074EF">
        <w:t>Act</w:t>
      </w:r>
      <w:r w:rsidR="00554826" w:rsidRPr="002660BF">
        <w:t>.</w:t>
      </w:r>
    </w:p>
    <w:p w14:paraId="4DAAA5E4" w14:textId="77777777" w:rsidR="00554826" w:rsidRPr="00554826" w:rsidRDefault="00554826" w:rsidP="00554826">
      <w:pPr>
        <w:pStyle w:val="ActHead5"/>
      </w:pPr>
      <w:bookmarkStart w:id="8" w:name="_Toc126851407"/>
      <w:r w:rsidRPr="00554826">
        <w:t>4  Definitions</w:t>
      </w:r>
      <w:bookmarkEnd w:id="8"/>
    </w:p>
    <w:p w14:paraId="266A9D7A" w14:textId="77777777" w:rsidR="00806574" w:rsidRDefault="00806574" w:rsidP="00806574">
      <w:pPr>
        <w:pStyle w:val="notetext"/>
        <w:ind w:left="1701" w:hanging="567"/>
      </w:pPr>
      <w:bookmarkStart w:id="9" w:name="_Hlk118384344"/>
      <w:bookmarkStart w:id="10" w:name="_Hlk118376673"/>
      <w:bookmarkStart w:id="11" w:name="_Hlk116043376"/>
      <w:bookmarkStart w:id="12" w:name="_Hlk115272815"/>
      <w:r>
        <w:t>Note:</w:t>
      </w:r>
      <w:r>
        <w:tab/>
        <w:t>A number of expressions used in this instrument are defined in the Act, including the following:</w:t>
      </w:r>
    </w:p>
    <w:p w14:paraId="6328064C" w14:textId="32A97EC9" w:rsidR="00806574" w:rsidRDefault="00806574" w:rsidP="00806574">
      <w:pPr>
        <w:pStyle w:val="notepara"/>
        <w:ind w:left="2127" w:hanging="426"/>
      </w:pPr>
      <w:r w:rsidRPr="009C2562">
        <w:t>(a)</w:t>
      </w:r>
      <w:r w:rsidRPr="009C2562">
        <w:tab/>
      </w:r>
      <w:r w:rsidRPr="00F3389E">
        <w:t>ABN</w:t>
      </w:r>
      <w:r w:rsidRPr="009C2562">
        <w:t>;</w:t>
      </w:r>
    </w:p>
    <w:p w14:paraId="11866C33" w14:textId="77777777" w:rsidR="00806574" w:rsidRDefault="00806574" w:rsidP="00806574">
      <w:pPr>
        <w:pStyle w:val="notepara"/>
        <w:ind w:left="2127" w:hanging="426"/>
      </w:pPr>
      <w:r w:rsidRPr="009C2562">
        <w:t>(</w:t>
      </w:r>
      <w:r>
        <w:t>b</w:t>
      </w:r>
      <w:r w:rsidRPr="009C2562">
        <w:t>)</w:t>
      </w:r>
      <w:r w:rsidRPr="009C2562">
        <w:tab/>
      </w:r>
      <w:r>
        <w:t>creditable acquisition</w:t>
      </w:r>
      <w:r w:rsidRPr="009C2562">
        <w:t>;</w:t>
      </w:r>
    </w:p>
    <w:p w14:paraId="0595ACA1" w14:textId="77777777" w:rsidR="00EA0025" w:rsidRDefault="00806574" w:rsidP="00806574">
      <w:pPr>
        <w:pStyle w:val="notepara"/>
        <w:ind w:left="2127" w:hanging="426"/>
      </w:pPr>
      <w:r w:rsidRPr="009C2562">
        <w:t>(</w:t>
      </w:r>
      <w:r>
        <w:t>c</w:t>
      </w:r>
      <w:r w:rsidRPr="009C2562">
        <w:t>)</w:t>
      </w:r>
      <w:r w:rsidRPr="009C2562">
        <w:tab/>
      </w:r>
      <w:r>
        <w:t>GST return</w:t>
      </w:r>
      <w:r w:rsidRPr="009C2562">
        <w:t>;</w:t>
      </w:r>
    </w:p>
    <w:p w14:paraId="0E3FF414" w14:textId="5D399854" w:rsidR="00806574" w:rsidRPr="009C2562" w:rsidRDefault="00806574" w:rsidP="00806574">
      <w:pPr>
        <w:pStyle w:val="notepara"/>
        <w:ind w:left="2127" w:hanging="426"/>
      </w:pPr>
      <w:r w:rsidRPr="009C2562">
        <w:t>(</w:t>
      </w:r>
      <w:r>
        <w:t>d</w:t>
      </w:r>
      <w:r w:rsidRPr="009C2562">
        <w:t>)</w:t>
      </w:r>
      <w:r w:rsidRPr="009C2562">
        <w:tab/>
      </w:r>
      <w:r>
        <w:t>input tax credit.</w:t>
      </w:r>
    </w:p>
    <w:bookmarkEnd w:id="9"/>
    <w:bookmarkEnd w:id="10"/>
    <w:p w14:paraId="6A847FDE" w14:textId="7D7200F2" w:rsidR="00F94840" w:rsidRPr="009C2562" w:rsidRDefault="00F94840" w:rsidP="00F94840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In this </w:t>
      </w:r>
      <w:r w:rsidR="004F4F44">
        <w:t>determination</w:t>
      </w:r>
      <w:r w:rsidRPr="009C2562">
        <w:t>:</w:t>
      </w:r>
    </w:p>
    <w:bookmarkEnd w:id="11"/>
    <w:bookmarkEnd w:id="12"/>
    <w:p w14:paraId="01F1B902" w14:textId="77777777" w:rsidR="00EA0025" w:rsidRDefault="00313E39" w:rsidP="00313E3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Pr="002660BF">
        <w:t xml:space="preserve">the </w:t>
      </w:r>
      <w:r w:rsidRPr="002660BF">
        <w:rPr>
          <w:i/>
          <w:iCs/>
        </w:rPr>
        <w:t>A New Tax System (Goods and Services Tax) Act 1999</w:t>
      </w:r>
      <w:r w:rsidRPr="002660BF">
        <w:t>.</w:t>
      </w:r>
    </w:p>
    <w:p w14:paraId="4A182F75" w14:textId="144DA64E" w:rsidR="0098276A" w:rsidRDefault="0098276A" w:rsidP="00F94840">
      <w:pPr>
        <w:pStyle w:val="Definition"/>
      </w:pPr>
      <w:r>
        <w:rPr>
          <w:b/>
          <w:i/>
        </w:rPr>
        <w:t>i</w:t>
      </w:r>
      <w:r w:rsidR="00CC363A" w:rsidRPr="002660BF">
        <w:rPr>
          <w:b/>
          <w:i/>
        </w:rPr>
        <w:t xml:space="preserve">nsurance </w:t>
      </w:r>
      <w:r>
        <w:rPr>
          <w:b/>
          <w:i/>
        </w:rPr>
        <w:t xml:space="preserve">or reinsurance </w:t>
      </w:r>
      <w:r w:rsidR="00CC363A" w:rsidRPr="002660BF">
        <w:rPr>
          <w:b/>
          <w:i/>
        </w:rPr>
        <w:t>broker</w:t>
      </w:r>
      <w:r w:rsidR="00554826" w:rsidRPr="002660BF">
        <w:rPr>
          <w:b/>
          <w:i/>
        </w:rPr>
        <w:t xml:space="preserve"> </w:t>
      </w:r>
      <w:r>
        <w:t>means:</w:t>
      </w:r>
    </w:p>
    <w:p w14:paraId="7528927C" w14:textId="77777777" w:rsidR="00EA0025" w:rsidRDefault="0098276A" w:rsidP="0098276A">
      <w:pPr>
        <w:pStyle w:val="paragraph"/>
        <w:tabs>
          <w:tab w:val="clear" w:pos="1531"/>
          <w:tab w:val="right" w:pos="1418"/>
        </w:tabs>
        <w:ind w:left="1701" w:hanging="1701"/>
      </w:pPr>
      <w:r w:rsidRPr="00676B16">
        <w:tab/>
        <w:t>(a)</w:t>
      </w:r>
      <w:r w:rsidRPr="00676B16">
        <w:tab/>
      </w:r>
      <w:r w:rsidR="00A12C99">
        <w:t xml:space="preserve">an </w:t>
      </w:r>
      <w:r>
        <w:t>insurance broker as defined in the Act</w:t>
      </w:r>
      <w:r w:rsidRPr="00676B16">
        <w:t xml:space="preserve">; </w:t>
      </w:r>
      <w:r w:rsidR="00676FAF">
        <w:t>and</w:t>
      </w:r>
    </w:p>
    <w:p w14:paraId="503EED40" w14:textId="332031F0" w:rsidR="0098276A" w:rsidRDefault="0098276A" w:rsidP="0098276A">
      <w:pPr>
        <w:pStyle w:val="paragraph"/>
        <w:tabs>
          <w:tab w:val="clear" w:pos="1531"/>
          <w:tab w:val="right" w:pos="1418"/>
        </w:tabs>
        <w:ind w:left="1701" w:hanging="1701"/>
      </w:pPr>
      <w:r w:rsidRPr="00676B16">
        <w:tab/>
        <w:t>(</w:t>
      </w:r>
      <w:r>
        <w:t>b</w:t>
      </w:r>
      <w:r w:rsidRPr="00676B16">
        <w:t>)</w:t>
      </w:r>
      <w:r w:rsidRPr="00676B16">
        <w:tab/>
      </w:r>
      <w:r w:rsidR="00A12C99">
        <w:t xml:space="preserve">a </w:t>
      </w:r>
      <w:r>
        <w:t>reinsurance broker</w:t>
      </w:r>
      <w:r w:rsidR="00BB2CD8">
        <w:t xml:space="preserve"> as defined in this </w:t>
      </w:r>
      <w:r w:rsidR="00A12C99">
        <w:t>section</w:t>
      </w:r>
      <w:r>
        <w:t>.</w:t>
      </w:r>
    </w:p>
    <w:p w14:paraId="03411836" w14:textId="77777777" w:rsidR="00EA0025" w:rsidRDefault="0098276A" w:rsidP="00F94840">
      <w:pPr>
        <w:pStyle w:val="Definition"/>
        <w:rPr>
          <w:bCs/>
          <w:iCs/>
        </w:rPr>
      </w:pPr>
      <w:r>
        <w:rPr>
          <w:b/>
          <w:i/>
        </w:rPr>
        <w:t>r</w:t>
      </w:r>
      <w:r w:rsidR="00D15ABF">
        <w:rPr>
          <w:b/>
          <w:i/>
        </w:rPr>
        <w:t xml:space="preserve">einsurance </w:t>
      </w:r>
      <w:r w:rsidR="00A12C99">
        <w:rPr>
          <w:b/>
          <w:i/>
        </w:rPr>
        <w:t xml:space="preserve">broker </w:t>
      </w:r>
      <w:r w:rsidR="00D15ABF" w:rsidRPr="00D15ABF">
        <w:rPr>
          <w:bCs/>
          <w:iCs/>
        </w:rPr>
        <w:t>is</w:t>
      </w:r>
      <w:r w:rsidR="00BD4317">
        <w:rPr>
          <w:bCs/>
          <w:iCs/>
        </w:rPr>
        <w:t xml:space="preserve"> a</w:t>
      </w:r>
      <w:r w:rsidR="00D15ABF" w:rsidRPr="00D15ABF">
        <w:rPr>
          <w:bCs/>
          <w:iCs/>
        </w:rPr>
        <w:t xml:space="preserve"> </w:t>
      </w:r>
      <w:r w:rsidR="00BD4317">
        <w:rPr>
          <w:bCs/>
          <w:iCs/>
        </w:rPr>
        <w:t xml:space="preserve">person who carries on the business of arranging contracts of insurance for </w:t>
      </w:r>
      <w:r w:rsidR="00D15ABF" w:rsidRPr="00D15ABF">
        <w:rPr>
          <w:bCs/>
          <w:iCs/>
        </w:rPr>
        <w:t xml:space="preserve">an insurer </w:t>
      </w:r>
      <w:r w:rsidR="00A12C99">
        <w:rPr>
          <w:bCs/>
          <w:iCs/>
        </w:rPr>
        <w:t xml:space="preserve">that </w:t>
      </w:r>
      <w:r w:rsidR="00BD4317">
        <w:rPr>
          <w:bCs/>
          <w:iCs/>
        </w:rPr>
        <w:t xml:space="preserve">seeks to </w:t>
      </w:r>
      <w:r w:rsidR="00D15ABF" w:rsidRPr="00D15ABF">
        <w:rPr>
          <w:bCs/>
          <w:iCs/>
        </w:rPr>
        <w:t>distribut</w:t>
      </w:r>
      <w:r w:rsidR="00A12C99">
        <w:rPr>
          <w:bCs/>
          <w:iCs/>
        </w:rPr>
        <w:t>e</w:t>
      </w:r>
      <w:r w:rsidR="00D15ABF" w:rsidRPr="00D15ABF">
        <w:rPr>
          <w:bCs/>
          <w:iCs/>
        </w:rPr>
        <w:t xml:space="preserve"> its potential liability by laying off part of its risk to another insurer (the reinsurer) with the object of reducing the amount of its possible loss.</w:t>
      </w:r>
    </w:p>
    <w:p w14:paraId="3B78B4E3" w14:textId="30889822" w:rsidR="003253E0" w:rsidRDefault="003253E0" w:rsidP="00554826">
      <w:pPr>
        <w:pStyle w:val="subsection"/>
      </w:pPr>
    </w:p>
    <w:p w14:paraId="6DBE6C7E" w14:textId="77777777" w:rsidR="003253E0" w:rsidRPr="00554826" w:rsidRDefault="003253E0" w:rsidP="003253E0">
      <w:pPr>
        <w:pStyle w:val="ActHead5"/>
      </w:pPr>
      <w:bookmarkStart w:id="13" w:name="_Toc126851408"/>
      <w:r w:rsidRPr="00554826">
        <w:t>5  Schedules</w:t>
      </w:r>
      <w:bookmarkEnd w:id="13"/>
    </w:p>
    <w:p w14:paraId="3D551CED" w14:textId="77777777" w:rsidR="003253E0" w:rsidRDefault="003253E0" w:rsidP="003253E0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A7249C" w14:textId="747B5B42" w:rsidR="00F94840" w:rsidRPr="00F94840" w:rsidRDefault="00554826" w:rsidP="00F94840">
      <w:pPr>
        <w:pStyle w:val="ActHead5"/>
      </w:pPr>
      <w:bookmarkStart w:id="14" w:name="_Toc126851409"/>
      <w:r w:rsidRPr="002660BF">
        <w:t xml:space="preserve">6  </w:t>
      </w:r>
      <w:r w:rsidR="001D21A0">
        <w:t>Waiver of the</w:t>
      </w:r>
      <w:r w:rsidR="001D21A0" w:rsidRPr="00DB1922">
        <w:t xml:space="preserve"> requirement to hold a tax invoice</w:t>
      </w:r>
      <w:bookmarkEnd w:id="14"/>
    </w:p>
    <w:p w14:paraId="56D1963A" w14:textId="67387410" w:rsidR="00EA2D2A" w:rsidRPr="00676B16" w:rsidRDefault="00EA2D2A" w:rsidP="00EA2D2A">
      <w:pPr>
        <w:pStyle w:val="subsection"/>
        <w:tabs>
          <w:tab w:val="clear" w:pos="1021"/>
          <w:tab w:val="right" w:pos="851"/>
        </w:tabs>
      </w:pPr>
      <w:bookmarkStart w:id="15" w:name="_Hlk118107002"/>
      <w:r w:rsidRPr="00EA2D2A">
        <w:tab/>
      </w:r>
      <w:r w:rsidR="001C1D22">
        <w:tab/>
      </w:r>
      <w:r w:rsidRPr="00676B16">
        <w:t xml:space="preserve">For the purposes of attributing an input tax credit for a creditable acquisition to a tax period, a recipient is not required to hold a tax invoice </w:t>
      </w:r>
      <w:r w:rsidR="00701742">
        <w:t>under subsection</w:t>
      </w:r>
      <w:r w:rsidR="002A5689">
        <w:t> </w:t>
      </w:r>
      <w:r w:rsidR="00701742">
        <w:t>29</w:t>
      </w:r>
      <w:r w:rsidR="008B2EE4">
        <w:noBreakHyphen/>
      </w:r>
      <w:r w:rsidR="00701742">
        <w:t xml:space="preserve">10(3) of the Act </w:t>
      </w:r>
      <w:r>
        <w:t>if:</w:t>
      </w:r>
    </w:p>
    <w:p w14:paraId="0DB09498" w14:textId="77777777" w:rsidR="00EA0025" w:rsidRDefault="00EA2D2A" w:rsidP="00EA2D2A">
      <w:pPr>
        <w:pStyle w:val="paragraph"/>
        <w:tabs>
          <w:tab w:val="clear" w:pos="1531"/>
          <w:tab w:val="right" w:pos="1418"/>
        </w:tabs>
        <w:ind w:left="1701" w:hanging="1701"/>
      </w:pPr>
      <w:r w:rsidRPr="00676B16">
        <w:tab/>
        <w:t>(a)</w:t>
      </w:r>
      <w:r w:rsidRPr="00676B16">
        <w:tab/>
      </w:r>
      <w:r>
        <w:t>the recipient</w:t>
      </w:r>
      <w:r w:rsidRPr="00676B16">
        <w:t xml:space="preserve"> makes an acquisition through their agent, insurance </w:t>
      </w:r>
      <w:r w:rsidR="00141B99">
        <w:t xml:space="preserve">or reinsurance </w:t>
      </w:r>
      <w:r w:rsidRPr="00676B16">
        <w:t>broker, or by way of a supply made through the supplier's agent;</w:t>
      </w:r>
    </w:p>
    <w:p w14:paraId="417D1054" w14:textId="734A8A82" w:rsidR="00EA2D2A" w:rsidRPr="00676B16" w:rsidRDefault="0018308F" w:rsidP="0018308F">
      <w:pPr>
        <w:pStyle w:val="paragraph"/>
        <w:tabs>
          <w:tab w:val="clear" w:pos="1531"/>
          <w:tab w:val="right" w:pos="1418"/>
        </w:tabs>
        <w:ind w:left="1701" w:hanging="1701"/>
      </w:pPr>
      <w:r w:rsidRPr="00676B16">
        <w:tab/>
        <w:t>(b)</w:t>
      </w:r>
      <w:r w:rsidRPr="00676B16">
        <w:tab/>
      </w:r>
      <w:r>
        <w:t xml:space="preserve">the acquisition is not covered by Division 111 of the Act; </w:t>
      </w:r>
      <w:r w:rsidR="00EA2D2A" w:rsidRPr="00676B16">
        <w:t>and</w:t>
      </w:r>
    </w:p>
    <w:p w14:paraId="75E83783" w14:textId="71D81FB5" w:rsidR="00EA2D2A" w:rsidRPr="00676B16" w:rsidRDefault="00EA2D2A" w:rsidP="00EA2D2A">
      <w:pPr>
        <w:pStyle w:val="paragraph"/>
        <w:tabs>
          <w:tab w:val="clear" w:pos="1531"/>
          <w:tab w:val="right" w:pos="1418"/>
        </w:tabs>
        <w:ind w:left="1701" w:hanging="1701"/>
      </w:pPr>
      <w:r w:rsidRPr="00676B16">
        <w:tab/>
        <w:t>(</w:t>
      </w:r>
      <w:r w:rsidR="0018308F">
        <w:t>c</w:t>
      </w:r>
      <w:r w:rsidRPr="00676B16">
        <w:t>)</w:t>
      </w:r>
      <w:r w:rsidRPr="00676B16">
        <w:tab/>
      </w:r>
      <w:r>
        <w:t>a</w:t>
      </w:r>
      <w:r w:rsidRPr="00676B16">
        <w:t xml:space="preserve">t the time the recipient gives a GST return to the Commissioner for the tax period to which the input tax credit (or any part of the input tax credit) </w:t>
      </w:r>
      <w:r w:rsidR="0018308F">
        <w:t xml:space="preserve">for </w:t>
      </w:r>
      <w:r w:rsidRPr="00676B16">
        <w:t>the acquisition would otherwise be attributable:</w:t>
      </w:r>
    </w:p>
    <w:p w14:paraId="68A683FD" w14:textId="3B822A10" w:rsidR="00EA2D2A" w:rsidRPr="00EA2D2A" w:rsidRDefault="00EA2D2A" w:rsidP="00EA2D2A">
      <w:pPr>
        <w:pStyle w:val="paragraphsub"/>
        <w:ind w:left="2268" w:hanging="2268"/>
      </w:pPr>
      <w:r w:rsidRPr="00EA2D2A">
        <w:tab/>
        <w:t>(i)</w:t>
      </w:r>
      <w:r w:rsidRPr="00EA2D2A">
        <w:tab/>
        <w:t>the recipient or their agent holds a document for the creditable acquisition that was issued by the supplier, the supplier</w:t>
      </w:r>
      <w:r w:rsidR="001352F6">
        <w:t>’</w:t>
      </w:r>
      <w:r w:rsidRPr="00EA2D2A">
        <w:t>s agent, or the recipient</w:t>
      </w:r>
      <w:r w:rsidR="005D7D1E">
        <w:t>’</w:t>
      </w:r>
      <w:r w:rsidRPr="00EA2D2A">
        <w:t xml:space="preserve">s insurance </w:t>
      </w:r>
      <w:r w:rsidR="005D7D1E">
        <w:t xml:space="preserve">or reinsurance </w:t>
      </w:r>
      <w:r w:rsidRPr="00EA2D2A">
        <w:t>broker; and</w:t>
      </w:r>
    </w:p>
    <w:p w14:paraId="57227439" w14:textId="5BD6E08B" w:rsidR="00EA2D2A" w:rsidRPr="00B25306" w:rsidRDefault="00EA2D2A" w:rsidP="00EA2D2A">
      <w:pPr>
        <w:pStyle w:val="paragraphsub"/>
        <w:ind w:left="2268" w:hanging="2268"/>
      </w:pPr>
      <w:r w:rsidRPr="00EA2D2A">
        <w:tab/>
        <w:t>(ii)</w:t>
      </w:r>
      <w:r w:rsidRPr="00EA2D2A">
        <w:tab/>
        <w:t>th</w:t>
      </w:r>
      <w:r w:rsidR="00D36570">
        <w:t>at</w:t>
      </w:r>
      <w:r w:rsidRPr="00EA2D2A">
        <w:t xml:space="preserve"> document meets the requirements in section 7.</w:t>
      </w:r>
    </w:p>
    <w:p w14:paraId="1AD1907C" w14:textId="2863B550" w:rsidR="00326A4A" w:rsidRPr="00E63228" w:rsidRDefault="00ED42F7" w:rsidP="00326A4A">
      <w:pPr>
        <w:pStyle w:val="ActHead5"/>
      </w:pPr>
      <w:bookmarkStart w:id="16" w:name="_Toc126851410"/>
      <w:bookmarkEnd w:id="15"/>
      <w:r w:rsidRPr="00E63228">
        <w:t>7</w:t>
      </w:r>
      <w:r w:rsidR="00326A4A" w:rsidRPr="00E63228">
        <w:t xml:space="preserve">  </w:t>
      </w:r>
      <w:r w:rsidR="00510E72" w:rsidRPr="00E63228">
        <w:t>Document information requirements</w:t>
      </w:r>
      <w:bookmarkEnd w:id="16"/>
    </w:p>
    <w:p w14:paraId="74A09958" w14:textId="67651283" w:rsidR="00326A4A" w:rsidRPr="00E63228" w:rsidRDefault="00B67E98" w:rsidP="00B67E98">
      <w:pPr>
        <w:pStyle w:val="subsection"/>
        <w:tabs>
          <w:tab w:val="clear" w:pos="1021"/>
          <w:tab w:val="right" w:pos="851"/>
        </w:tabs>
        <w:spacing w:beforeLines="40" w:before="96"/>
      </w:pPr>
      <w:r w:rsidRPr="005A2020">
        <w:tab/>
      </w:r>
      <w:r w:rsidRPr="005A2020">
        <w:tab/>
      </w:r>
      <w:bookmarkStart w:id="17" w:name="_Hlk115271411"/>
      <w:r w:rsidR="008C25E7" w:rsidRPr="00E63228">
        <w:t xml:space="preserve">The </w:t>
      </w:r>
      <w:r w:rsidR="001D2DB1">
        <w:t xml:space="preserve">requirements </w:t>
      </w:r>
      <w:r w:rsidR="002D2849">
        <w:t>referred to in</w:t>
      </w:r>
      <w:r w:rsidR="008C25E7" w:rsidRPr="00E63228">
        <w:t xml:space="preserve"> </w:t>
      </w:r>
      <w:r w:rsidR="0097653B">
        <w:t>sub</w:t>
      </w:r>
      <w:r w:rsidR="008C25E7" w:rsidRPr="00E63228">
        <w:t xml:space="preserve">paragraph </w:t>
      </w:r>
      <w:r w:rsidR="00ED42F7" w:rsidRPr="00E63228">
        <w:t>6</w:t>
      </w:r>
      <w:r w:rsidR="001D2DB1">
        <w:t>(</w:t>
      </w:r>
      <w:r w:rsidR="00EF3784">
        <w:t>c</w:t>
      </w:r>
      <w:r w:rsidR="001D2DB1">
        <w:t>)</w:t>
      </w:r>
      <w:r w:rsidR="00195DBC">
        <w:t>(ii)</w:t>
      </w:r>
      <w:r w:rsidR="00FE1EFC" w:rsidRPr="00FE1EFC">
        <w:t xml:space="preserve"> </w:t>
      </w:r>
      <w:bookmarkStart w:id="18" w:name="_Hlk115272335"/>
      <w:r w:rsidR="001D2DB1">
        <w:t>are that the</w:t>
      </w:r>
      <w:r w:rsidR="00FE1EFC" w:rsidRPr="00CA2CF5">
        <w:t xml:space="preserve"> document</w:t>
      </w:r>
      <w:bookmarkEnd w:id="17"/>
      <w:bookmarkEnd w:id="18"/>
      <w:r w:rsidR="008C25E7" w:rsidRPr="00E63228">
        <w:t>:</w:t>
      </w:r>
    </w:p>
    <w:p w14:paraId="5027BCEE" w14:textId="6E7DC5CE" w:rsidR="00326A4A" w:rsidRDefault="00326A4A" w:rsidP="00C54E9C">
      <w:pPr>
        <w:pStyle w:val="paragraph"/>
        <w:tabs>
          <w:tab w:val="clear" w:pos="1531"/>
          <w:tab w:val="right" w:pos="1418"/>
        </w:tabs>
        <w:spacing w:beforeLines="40" w:before="96"/>
        <w:ind w:left="1701"/>
      </w:pPr>
      <w:r w:rsidRPr="00E63228">
        <w:tab/>
        <w:t>(a)</w:t>
      </w:r>
      <w:r w:rsidRPr="00E63228">
        <w:tab/>
      </w:r>
      <w:bookmarkStart w:id="19" w:name="_Hlk115271836"/>
      <w:r w:rsidR="008C25E7" w:rsidRPr="00E63228">
        <w:t>meet</w:t>
      </w:r>
      <w:r w:rsidR="007F1AB3">
        <w:t>s</w:t>
      </w:r>
      <w:r w:rsidR="008C25E7" w:rsidRPr="00E63228">
        <w:t xml:space="preserve"> the requirements </w:t>
      </w:r>
      <w:r w:rsidR="0018308F">
        <w:t xml:space="preserve">in </w:t>
      </w:r>
      <w:r w:rsidR="008C25E7" w:rsidRPr="00E63228">
        <w:t>paragraphs 29-70(1)(a) and 29-70(1)(c) of the</w:t>
      </w:r>
      <w:r w:rsidR="00EE6375" w:rsidRPr="00E63228">
        <w:t xml:space="preserve"> </w:t>
      </w:r>
      <w:r w:rsidR="008C25E7" w:rsidRPr="00E63228">
        <w:t xml:space="preserve">Act, other than </w:t>
      </w:r>
      <w:r w:rsidR="0018308F">
        <w:t xml:space="preserve">the requirements in </w:t>
      </w:r>
      <w:r w:rsidR="008C25E7" w:rsidRPr="00E63228">
        <w:t>subparagraphs 29-70(1)(c</w:t>
      </w:r>
      <w:bookmarkEnd w:id="19"/>
      <w:r w:rsidR="008C25E7" w:rsidRPr="00E63228">
        <w:t>)(i) and</w:t>
      </w:r>
      <w:r w:rsidR="00195DBC">
        <w:t xml:space="preserve"> </w:t>
      </w:r>
      <w:r w:rsidR="008A6353">
        <w:t>(</w:t>
      </w:r>
      <w:r w:rsidR="008C25E7" w:rsidRPr="00E63228">
        <w:t>ii)</w:t>
      </w:r>
      <w:r w:rsidR="008A6353">
        <w:t xml:space="preserve"> as applicable</w:t>
      </w:r>
      <w:r w:rsidR="008C25E7" w:rsidRPr="00E63228">
        <w:t>; and</w:t>
      </w:r>
    </w:p>
    <w:p w14:paraId="1F87C8F6" w14:textId="59F1C26D" w:rsidR="00326A4A" w:rsidRPr="00E63228" w:rsidRDefault="00326A4A" w:rsidP="00C54E9C">
      <w:pPr>
        <w:pStyle w:val="paragraph"/>
        <w:tabs>
          <w:tab w:val="clear" w:pos="1531"/>
          <w:tab w:val="right" w:pos="1418"/>
        </w:tabs>
        <w:spacing w:beforeLines="40" w:before="96"/>
        <w:ind w:left="1701"/>
      </w:pPr>
      <w:r w:rsidRPr="00E63228">
        <w:tab/>
        <w:t>(b)</w:t>
      </w:r>
      <w:r w:rsidRPr="00E63228">
        <w:tab/>
      </w:r>
      <w:r w:rsidR="00C518A7" w:rsidRPr="00E63228">
        <w:t>contain</w:t>
      </w:r>
      <w:r w:rsidR="007F1AB3">
        <w:t>s</w:t>
      </w:r>
      <w:r w:rsidR="00C518A7" w:rsidRPr="00E63228">
        <w:t xml:space="preserve"> enough information to enable the following to be clearly ascertained from the document:</w:t>
      </w:r>
    </w:p>
    <w:p w14:paraId="4438B6A0" w14:textId="5C2C978B" w:rsidR="00C54E9C" w:rsidRPr="00C54E9C" w:rsidRDefault="00C54E9C" w:rsidP="00C54E9C">
      <w:pPr>
        <w:pStyle w:val="paragraphsub"/>
        <w:ind w:left="2268" w:hanging="2268"/>
      </w:pPr>
      <w:r w:rsidRPr="00C54E9C">
        <w:tab/>
        <w:t>(i)</w:t>
      </w:r>
      <w:r w:rsidRPr="00C54E9C">
        <w:tab/>
        <w:t xml:space="preserve">where the requirements </w:t>
      </w:r>
      <w:r w:rsidR="001C1D22">
        <w:t>in</w:t>
      </w:r>
      <w:r w:rsidR="001C1D22" w:rsidRPr="00C54E9C">
        <w:t xml:space="preserve"> </w:t>
      </w:r>
      <w:r w:rsidRPr="00C54E9C">
        <w:t>subparagraph 29-70(1)(c)(i) of the Act are not met and the recipient makes a creditable acquisition by way of a supply made through the supplier</w:t>
      </w:r>
      <w:r w:rsidR="00F446E4">
        <w:t>’</w:t>
      </w:r>
      <w:r w:rsidRPr="00C54E9C">
        <w:t>s agent or an insurance broker</w:t>
      </w:r>
      <w:r w:rsidR="001C1D22">
        <w:t>,</w:t>
      </w:r>
      <w:r w:rsidRPr="00C54E9C">
        <w:t xml:space="preserve"> the identity and</w:t>
      </w:r>
      <w:r w:rsidR="007101E4" w:rsidRPr="007101E4" w:rsidDel="007101E4">
        <w:t xml:space="preserve"> </w:t>
      </w:r>
      <w:r w:rsidRPr="00C54E9C">
        <w:t>ABN of the supplier's agent or the insurance</w:t>
      </w:r>
      <w:r w:rsidR="00BD2ABF">
        <w:t xml:space="preserve"> or reinsurance</w:t>
      </w:r>
      <w:r w:rsidRPr="00C54E9C">
        <w:t xml:space="preserve"> broker; and</w:t>
      </w:r>
    </w:p>
    <w:p w14:paraId="76AA6BD2" w14:textId="079A7496" w:rsidR="00C54E9C" w:rsidRPr="00C54E9C" w:rsidRDefault="00C54E9C" w:rsidP="00C54E9C">
      <w:pPr>
        <w:pStyle w:val="paragraphsub"/>
        <w:ind w:left="2268" w:hanging="2268"/>
      </w:pPr>
      <w:bookmarkStart w:id="20" w:name="_Hlk116038275"/>
      <w:r w:rsidRPr="00C54E9C">
        <w:tab/>
        <w:t>(ii)</w:t>
      </w:r>
      <w:r w:rsidRPr="00C54E9C">
        <w:tab/>
        <w:t xml:space="preserve">where the requirements </w:t>
      </w:r>
      <w:r w:rsidR="001C1D22">
        <w:t xml:space="preserve">in </w:t>
      </w:r>
      <w:r w:rsidRPr="00C54E9C">
        <w:t>subparagraph 29-70(1)(c)(ii) of the Act are not met and the recipient makes a creditable acquisition through their agent</w:t>
      </w:r>
      <w:r w:rsidR="001C1D22">
        <w:t>,</w:t>
      </w:r>
      <w:r w:rsidRPr="00C54E9C">
        <w:t xml:space="preserve"> the identity or ABN of the recipient’s agent if the total price of the acqui</w:t>
      </w:r>
      <w:r w:rsidR="0063134A">
        <w:t>sition</w:t>
      </w:r>
      <w:r w:rsidRPr="00C54E9C">
        <w:t xml:space="preserve"> is at least $1,000 or such higher amount </w:t>
      </w:r>
      <w:r w:rsidR="001C1D22">
        <w:t xml:space="preserve">specified in </w:t>
      </w:r>
      <w:r w:rsidRPr="00C54E9C">
        <w:t xml:space="preserve">regulations made </w:t>
      </w:r>
      <w:r w:rsidR="001C1D22">
        <w:t>for the purposes of</w:t>
      </w:r>
      <w:r w:rsidR="001C1D22" w:rsidRPr="00C54E9C">
        <w:t xml:space="preserve"> </w:t>
      </w:r>
      <w:r w:rsidR="001C1D22">
        <w:t>subparagraph</w:t>
      </w:r>
      <w:r w:rsidR="00C8346D">
        <w:t> </w:t>
      </w:r>
      <w:r w:rsidRPr="00C54E9C">
        <w:t>29</w:t>
      </w:r>
      <w:r w:rsidR="00C8346D">
        <w:noBreakHyphen/>
      </w:r>
      <w:r w:rsidRPr="00C54E9C">
        <w:t>70</w:t>
      </w:r>
      <w:r w:rsidR="000E4432">
        <w:t>(1)</w:t>
      </w:r>
      <w:r w:rsidR="001C1D22">
        <w:t>(c)(ii)</w:t>
      </w:r>
      <w:r w:rsidRPr="00C54E9C">
        <w:t xml:space="preserve"> of the Act.</w:t>
      </w:r>
    </w:p>
    <w:bookmarkEnd w:id="20"/>
    <w:p w14:paraId="66B9E9FC" w14:textId="77777777" w:rsidR="00554826" w:rsidRDefault="00554826" w:rsidP="00C54E9C">
      <w:pPr>
        <w:pStyle w:val="paragraph"/>
        <w:ind w:left="0" w:firstLine="0"/>
      </w:pPr>
      <w:r>
        <w:br w:type="page"/>
      </w:r>
    </w:p>
    <w:p w14:paraId="05526070" w14:textId="77777777" w:rsidR="00D6537E" w:rsidRPr="004E1307" w:rsidRDefault="004E1307" w:rsidP="00D6537E">
      <w:pPr>
        <w:pStyle w:val="ActHead6"/>
      </w:pPr>
      <w:bookmarkStart w:id="21" w:name="_Toc126851411"/>
      <w:r>
        <w:lastRenderedPageBreak/>
        <w:t xml:space="preserve">Schedule </w:t>
      </w:r>
      <w:r w:rsidR="00D6537E" w:rsidRPr="004E1307">
        <w:t>1—Repeals</w:t>
      </w:r>
      <w:bookmarkEnd w:id="21"/>
    </w:p>
    <w:p w14:paraId="444A4DC7" w14:textId="2E6E2212" w:rsidR="00D6537E" w:rsidRPr="00D6537E" w:rsidRDefault="00076FC6" w:rsidP="00076FC6">
      <w:pPr>
        <w:pStyle w:val="ActHead9"/>
        <w:ind w:left="0" w:firstLine="0"/>
      </w:pPr>
      <w:bookmarkStart w:id="22" w:name="_Toc126851412"/>
      <w:r w:rsidRPr="00E63228">
        <w:rPr>
          <w:iCs/>
        </w:rPr>
        <w:t>A New Tax System (Goods and Services Tax) Waiver of Tax Invoice Requirement (Acquisitions under an Agency Relationship) Legislative Instrument 2013</w:t>
      </w:r>
      <w:bookmarkEnd w:id="22"/>
    </w:p>
    <w:p w14:paraId="7196A1C2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DBFCC02" w14:textId="0AA1817E" w:rsidR="00554826" w:rsidRDefault="00C54E9C" w:rsidP="00C54E9C">
      <w:pPr>
        <w:pStyle w:val="Item"/>
      </w:pPr>
      <w:bookmarkStart w:id="23" w:name="_Hlk116038400"/>
      <w:r>
        <w:t>Repeal the instrument</w:t>
      </w:r>
      <w:bookmarkEnd w:id="23"/>
      <w:r w:rsidR="008B2EE4">
        <w:t>.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8446" w14:textId="77777777" w:rsidR="002A3B7C" w:rsidRDefault="002A3B7C" w:rsidP="00715914">
      <w:pPr>
        <w:spacing w:line="240" w:lineRule="auto"/>
      </w:pPr>
      <w:r>
        <w:separator/>
      </w:r>
    </w:p>
  </w:endnote>
  <w:endnote w:type="continuationSeparator" w:id="0">
    <w:p w14:paraId="458E67BD" w14:textId="77777777" w:rsidR="002A3B7C" w:rsidRDefault="002A3B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B7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37534A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665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7BFE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A6FF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DB2B4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72159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BD55EA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C87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6803E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04FE6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A1983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8DF6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73DAA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FBCEEA" w14:textId="77777777" w:rsidR="0072147A" w:rsidRDefault="0072147A" w:rsidP="00A369E3">
          <w:pPr>
            <w:rPr>
              <w:sz w:val="18"/>
            </w:rPr>
          </w:pPr>
        </w:p>
      </w:tc>
    </w:tr>
  </w:tbl>
  <w:p w14:paraId="03BADD6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3AC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C95A4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8D4C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82F1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23EF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3CEF3C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92B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C62327" w14:textId="77777777" w:rsidTr="00A87A58">
      <w:tc>
        <w:tcPr>
          <w:tcW w:w="365" w:type="pct"/>
        </w:tcPr>
        <w:p w14:paraId="2A54A70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99AF9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F2C03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0B20324" w14:textId="77777777" w:rsidTr="00A87A58">
      <w:tc>
        <w:tcPr>
          <w:tcW w:w="5000" w:type="pct"/>
          <w:gridSpan w:val="3"/>
        </w:tcPr>
        <w:p w14:paraId="693F692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82F4D3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861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FF14A48" w14:textId="77777777" w:rsidTr="00A87A58">
      <w:tc>
        <w:tcPr>
          <w:tcW w:w="947" w:type="pct"/>
        </w:tcPr>
        <w:p w14:paraId="505629A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8969C1" w14:textId="7447586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76EB">
            <w:rPr>
              <w:i/>
              <w:noProof/>
              <w:sz w:val="18"/>
            </w:rPr>
            <w:t>A New Tax System (Goods and Services Tax): Waiver of Tax Invoice Requirement (Acquisitions under an Agency Relationship)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AC26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DEBD48A" w14:textId="77777777" w:rsidTr="00A87A58">
      <w:tc>
        <w:tcPr>
          <w:tcW w:w="5000" w:type="pct"/>
          <w:gridSpan w:val="3"/>
        </w:tcPr>
        <w:p w14:paraId="36BB63AE" w14:textId="77777777" w:rsidR="00F6696E" w:rsidRDefault="00F6696E" w:rsidP="000850AC">
          <w:pPr>
            <w:rPr>
              <w:sz w:val="18"/>
            </w:rPr>
          </w:pPr>
        </w:p>
      </w:tc>
    </w:tr>
  </w:tbl>
  <w:p w14:paraId="6B45932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4C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8065966" w14:textId="77777777" w:rsidTr="00A87A58">
      <w:tc>
        <w:tcPr>
          <w:tcW w:w="365" w:type="pct"/>
        </w:tcPr>
        <w:p w14:paraId="4F590A3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EACA57" w14:textId="3564E8F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76EB">
            <w:rPr>
              <w:i/>
              <w:noProof/>
              <w:sz w:val="18"/>
            </w:rPr>
            <w:t>A New Tax System (Goods and Services Tax): Waiver of Tax Invoice Requirement (Acquisitions under an Agency Relationship)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611F9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0C0706F" w14:textId="77777777" w:rsidTr="00A87A58">
      <w:tc>
        <w:tcPr>
          <w:tcW w:w="5000" w:type="pct"/>
          <w:gridSpan w:val="3"/>
        </w:tcPr>
        <w:p w14:paraId="46A05A9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1A6056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26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1D9687D" w14:textId="77777777" w:rsidTr="00A87A58">
      <w:tc>
        <w:tcPr>
          <w:tcW w:w="947" w:type="pct"/>
        </w:tcPr>
        <w:p w14:paraId="266CEF9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305137" w14:textId="1435FC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76EB">
            <w:rPr>
              <w:i/>
              <w:noProof/>
              <w:sz w:val="18"/>
            </w:rPr>
            <w:t>A New Tax System (Goods and Services Tax): Waiver of Tax Invoice Requirement (Acquisitions under an Agency Relationship)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A8914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CDE570" w14:textId="77777777" w:rsidTr="00A87A58">
      <w:tc>
        <w:tcPr>
          <w:tcW w:w="5000" w:type="pct"/>
          <w:gridSpan w:val="3"/>
        </w:tcPr>
        <w:p w14:paraId="3C8A899B" w14:textId="77777777" w:rsidR="008C2EAC" w:rsidRDefault="008C2EAC" w:rsidP="000850AC">
          <w:pPr>
            <w:rPr>
              <w:sz w:val="18"/>
            </w:rPr>
          </w:pPr>
        </w:p>
      </w:tc>
    </w:tr>
  </w:tbl>
  <w:p w14:paraId="5AE7C34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76F9" w14:textId="77777777" w:rsidR="002A3B7C" w:rsidRDefault="002A3B7C" w:rsidP="00715914">
      <w:pPr>
        <w:spacing w:line="240" w:lineRule="auto"/>
      </w:pPr>
      <w:r>
        <w:separator/>
      </w:r>
    </w:p>
  </w:footnote>
  <w:footnote w:type="continuationSeparator" w:id="0">
    <w:p w14:paraId="35039DCD" w14:textId="77777777" w:rsidR="002A3B7C" w:rsidRDefault="002A3B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97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71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B7F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61E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E0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B30" w14:textId="77777777" w:rsidR="004E1307" w:rsidRDefault="004E1307" w:rsidP="00715914">
    <w:pPr>
      <w:rPr>
        <w:sz w:val="20"/>
      </w:rPr>
    </w:pPr>
  </w:p>
  <w:p w14:paraId="48B91DF3" w14:textId="77777777" w:rsidR="004E1307" w:rsidRDefault="004E1307" w:rsidP="00715914">
    <w:pPr>
      <w:rPr>
        <w:sz w:val="20"/>
      </w:rPr>
    </w:pPr>
  </w:p>
  <w:p w14:paraId="00BEC122" w14:textId="77777777" w:rsidR="004E1307" w:rsidRPr="007A1328" w:rsidRDefault="004E1307" w:rsidP="00715914">
    <w:pPr>
      <w:rPr>
        <w:sz w:val="20"/>
      </w:rPr>
    </w:pPr>
  </w:p>
  <w:p w14:paraId="3103DE43" w14:textId="77777777" w:rsidR="004E1307" w:rsidRPr="007A1328" w:rsidRDefault="004E1307" w:rsidP="00715914">
    <w:pPr>
      <w:rPr>
        <w:b/>
        <w:sz w:val="24"/>
      </w:rPr>
    </w:pPr>
  </w:p>
  <w:p w14:paraId="7C7290E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7756" w14:textId="77777777" w:rsidR="004E1307" w:rsidRPr="007A1328" w:rsidRDefault="004E1307" w:rsidP="00715914">
    <w:pPr>
      <w:jc w:val="right"/>
      <w:rPr>
        <w:sz w:val="20"/>
      </w:rPr>
    </w:pPr>
  </w:p>
  <w:p w14:paraId="1455FEE7" w14:textId="77777777" w:rsidR="004E1307" w:rsidRPr="007A1328" w:rsidRDefault="004E1307" w:rsidP="00715914">
    <w:pPr>
      <w:jc w:val="right"/>
      <w:rPr>
        <w:sz w:val="20"/>
      </w:rPr>
    </w:pPr>
  </w:p>
  <w:p w14:paraId="4220A388" w14:textId="77777777" w:rsidR="004E1307" w:rsidRPr="007A1328" w:rsidRDefault="004E1307" w:rsidP="00715914">
    <w:pPr>
      <w:jc w:val="right"/>
      <w:rPr>
        <w:sz w:val="20"/>
      </w:rPr>
    </w:pPr>
  </w:p>
  <w:p w14:paraId="792E7A69" w14:textId="77777777" w:rsidR="004E1307" w:rsidRPr="007A1328" w:rsidRDefault="004E1307" w:rsidP="00715914">
    <w:pPr>
      <w:jc w:val="right"/>
      <w:rPr>
        <w:b/>
        <w:sz w:val="24"/>
      </w:rPr>
    </w:pPr>
  </w:p>
  <w:p w14:paraId="071AFE7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59F4"/>
    <w:multiLevelType w:val="hybridMultilevel"/>
    <w:tmpl w:val="D3CAA8B0"/>
    <w:lvl w:ilvl="0" w:tplc="7D06C1FE">
      <w:start w:val="1"/>
      <w:numFmt w:val="decimal"/>
      <w:lvlText w:val="(%1)"/>
      <w:lvlJc w:val="left"/>
      <w:pPr>
        <w:ind w:left="1140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F0837"/>
    <w:multiLevelType w:val="hybridMultilevel"/>
    <w:tmpl w:val="C7E2A2F0"/>
    <w:lvl w:ilvl="0" w:tplc="04548D86">
      <w:start w:val="1"/>
      <w:numFmt w:val="lowerLetter"/>
      <w:lvlText w:val="(%1)"/>
      <w:lvlJc w:val="left"/>
      <w:pPr>
        <w:ind w:left="2136" w:hanging="435"/>
      </w:p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>
      <w:start w:val="1"/>
      <w:numFmt w:val="lowerRoman"/>
      <w:lvlText w:val="%3."/>
      <w:lvlJc w:val="right"/>
      <w:pPr>
        <w:ind w:left="3501" w:hanging="180"/>
      </w:pPr>
    </w:lvl>
    <w:lvl w:ilvl="3" w:tplc="0C09000F">
      <w:start w:val="1"/>
      <w:numFmt w:val="decimal"/>
      <w:lvlText w:val="%4."/>
      <w:lvlJc w:val="left"/>
      <w:pPr>
        <w:ind w:left="4221" w:hanging="360"/>
      </w:pPr>
    </w:lvl>
    <w:lvl w:ilvl="4" w:tplc="0C090019">
      <w:start w:val="1"/>
      <w:numFmt w:val="lowerLetter"/>
      <w:lvlText w:val="%5."/>
      <w:lvlJc w:val="left"/>
      <w:pPr>
        <w:ind w:left="4941" w:hanging="360"/>
      </w:pPr>
    </w:lvl>
    <w:lvl w:ilvl="5" w:tplc="0C09001B">
      <w:start w:val="1"/>
      <w:numFmt w:val="lowerRoman"/>
      <w:lvlText w:val="%6."/>
      <w:lvlJc w:val="right"/>
      <w:pPr>
        <w:ind w:left="5661" w:hanging="180"/>
      </w:pPr>
    </w:lvl>
    <w:lvl w:ilvl="6" w:tplc="0C09000F">
      <w:start w:val="1"/>
      <w:numFmt w:val="decimal"/>
      <w:lvlText w:val="%7."/>
      <w:lvlJc w:val="left"/>
      <w:pPr>
        <w:ind w:left="6381" w:hanging="360"/>
      </w:pPr>
    </w:lvl>
    <w:lvl w:ilvl="7" w:tplc="0C090019">
      <w:start w:val="1"/>
      <w:numFmt w:val="lowerLetter"/>
      <w:lvlText w:val="%8."/>
      <w:lvlJc w:val="left"/>
      <w:pPr>
        <w:ind w:left="7101" w:hanging="360"/>
      </w:pPr>
    </w:lvl>
    <w:lvl w:ilvl="8" w:tplc="0C09001B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26C7D17"/>
    <w:multiLevelType w:val="hybridMultilevel"/>
    <w:tmpl w:val="DDFCC304"/>
    <w:lvl w:ilvl="0" w:tplc="35820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E2E94"/>
    <w:multiLevelType w:val="hybridMultilevel"/>
    <w:tmpl w:val="AD0C1A4A"/>
    <w:lvl w:ilvl="0" w:tplc="D18A5344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06084B"/>
    <w:multiLevelType w:val="hybridMultilevel"/>
    <w:tmpl w:val="59C8E26C"/>
    <w:lvl w:ilvl="0" w:tplc="77CA062E">
      <w:start w:val="1"/>
      <w:numFmt w:val="lowerLetter"/>
      <w:lvlText w:val="(%1)"/>
      <w:lvlJc w:val="left"/>
      <w:pPr>
        <w:ind w:left="2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53B0C62"/>
    <w:multiLevelType w:val="hybridMultilevel"/>
    <w:tmpl w:val="E5020840"/>
    <w:lvl w:ilvl="0" w:tplc="B7D2746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21A4E28"/>
    <w:multiLevelType w:val="hybridMultilevel"/>
    <w:tmpl w:val="61EAEC52"/>
    <w:lvl w:ilvl="0" w:tplc="8C5C4A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A02A42"/>
    <w:multiLevelType w:val="hybridMultilevel"/>
    <w:tmpl w:val="C130DB38"/>
    <w:lvl w:ilvl="0" w:tplc="EB20C016">
      <w:start w:val="1"/>
      <w:numFmt w:val="decimal"/>
      <w:lvlText w:val="(%1)"/>
      <w:lvlJc w:val="left"/>
      <w:pPr>
        <w:ind w:left="1140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6BD92626"/>
    <w:multiLevelType w:val="hybridMultilevel"/>
    <w:tmpl w:val="BF0E1868"/>
    <w:lvl w:ilvl="0" w:tplc="732A90B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F00279B"/>
    <w:multiLevelType w:val="hybridMultilevel"/>
    <w:tmpl w:val="42AE8F7A"/>
    <w:lvl w:ilvl="0" w:tplc="6C987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3"/>
    <w:rsid w:val="00004174"/>
    <w:rsid w:val="00004470"/>
    <w:rsid w:val="000045A9"/>
    <w:rsid w:val="000136AF"/>
    <w:rsid w:val="000169C3"/>
    <w:rsid w:val="00021858"/>
    <w:rsid w:val="0002218C"/>
    <w:rsid w:val="000258B1"/>
    <w:rsid w:val="00040A89"/>
    <w:rsid w:val="000437C1"/>
    <w:rsid w:val="0004455A"/>
    <w:rsid w:val="0005365D"/>
    <w:rsid w:val="000614BF"/>
    <w:rsid w:val="0006709C"/>
    <w:rsid w:val="00074376"/>
    <w:rsid w:val="00076C46"/>
    <w:rsid w:val="00076FC6"/>
    <w:rsid w:val="000779EF"/>
    <w:rsid w:val="000912E7"/>
    <w:rsid w:val="000978F5"/>
    <w:rsid w:val="000B15CD"/>
    <w:rsid w:val="000B35EB"/>
    <w:rsid w:val="000D05EF"/>
    <w:rsid w:val="000D47E2"/>
    <w:rsid w:val="000E2261"/>
    <w:rsid w:val="000E4432"/>
    <w:rsid w:val="000E78B7"/>
    <w:rsid w:val="000F21C1"/>
    <w:rsid w:val="000F502E"/>
    <w:rsid w:val="000F5BB4"/>
    <w:rsid w:val="0010745C"/>
    <w:rsid w:val="00132CEB"/>
    <w:rsid w:val="001339B0"/>
    <w:rsid w:val="001352F6"/>
    <w:rsid w:val="00136DE4"/>
    <w:rsid w:val="00141B99"/>
    <w:rsid w:val="00142B62"/>
    <w:rsid w:val="001441B7"/>
    <w:rsid w:val="00144FCA"/>
    <w:rsid w:val="001516CB"/>
    <w:rsid w:val="00152336"/>
    <w:rsid w:val="0015348A"/>
    <w:rsid w:val="00156601"/>
    <w:rsid w:val="00157B8B"/>
    <w:rsid w:val="00166C2F"/>
    <w:rsid w:val="00170CDF"/>
    <w:rsid w:val="001809D7"/>
    <w:rsid w:val="00180B06"/>
    <w:rsid w:val="0018308F"/>
    <w:rsid w:val="001939E1"/>
    <w:rsid w:val="00194C3E"/>
    <w:rsid w:val="00195382"/>
    <w:rsid w:val="00195DBC"/>
    <w:rsid w:val="001970D0"/>
    <w:rsid w:val="001B2CB6"/>
    <w:rsid w:val="001C1B6F"/>
    <w:rsid w:val="001C1D22"/>
    <w:rsid w:val="001C2653"/>
    <w:rsid w:val="001C61C5"/>
    <w:rsid w:val="001C69C4"/>
    <w:rsid w:val="001D023C"/>
    <w:rsid w:val="001D21A0"/>
    <w:rsid w:val="001D2DB1"/>
    <w:rsid w:val="001D37EF"/>
    <w:rsid w:val="001E25D1"/>
    <w:rsid w:val="001E3590"/>
    <w:rsid w:val="001E7407"/>
    <w:rsid w:val="001F5D5E"/>
    <w:rsid w:val="001F6219"/>
    <w:rsid w:val="001F6CD4"/>
    <w:rsid w:val="00201B74"/>
    <w:rsid w:val="00203484"/>
    <w:rsid w:val="00206444"/>
    <w:rsid w:val="00206C4D"/>
    <w:rsid w:val="00215AF1"/>
    <w:rsid w:val="002321E8"/>
    <w:rsid w:val="00232984"/>
    <w:rsid w:val="0023301E"/>
    <w:rsid w:val="0024010F"/>
    <w:rsid w:val="00240749"/>
    <w:rsid w:val="00240D43"/>
    <w:rsid w:val="00243018"/>
    <w:rsid w:val="0024460A"/>
    <w:rsid w:val="0025082C"/>
    <w:rsid w:val="002564A4"/>
    <w:rsid w:val="002660BF"/>
    <w:rsid w:val="0026736C"/>
    <w:rsid w:val="00271C17"/>
    <w:rsid w:val="00281308"/>
    <w:rsid w:val="00284719"/>
    <w:rsid w:val="00286BC9"/>
    <w:rsid w:val="00293E9F"/>
    <w:rsid w:val="00297ECB"/>
    <w:rsid w:val="002A3B7C"/>
    <w:rsid w:val="002A5689"/>
    <w:rsid w:val="002A76EB"/>
    <w:rsid w:val="002A7BCF"/>
    <w:rsid w:val="002B2046"/>
    <w:rsid w:val="002B2EDD"/>
    <w:rsid w:val="002C3FD1"/>
    <w:rsid w:val="002D043A"/>
    <w:rsid w:val="002D266B"/>
    <w:rsid w:val="002D2849"/>
    <w:rsid w:val="002D6224"/>
    <w:rsid w:val="002E264F"/>
    <w:rsid w:val="002F2EDE"/>
    <w:rsid w:val="002F547B"/>
    <w:rsid w:val="002F76B2"/>
    <w:rsid w:val="00304F8B"/>
    <w:rsid w:val="00313609"/>
    <w:rsid w:val="00313E39"/>
    <w:rsid w:val="003253E0"/>
    <w:rsid w:val="00326A4A"/>
    <w:rsid w:val="00335BC6"/>
    <w:rsid w:val="003415D3"/>
    <w:rsid w:val="00344338"/>
    <w:rsid w:val="00344701"/>
    <w:rsid w:val="00352B0F"/>
    <w:rsid w:val="0035479F"/>
    <w:rsid w:val="00360459"/>
    <w:rsid w:val="00362C4F"/>
    <w:rsid w:val="003767E2"/>
    <w:rsid w:val="0038049F"/>
    <w:rsid w:val="003975A1"/>
    <w:rsid w:val="003A1F49"/>
    <w:rsid w:val="003B3D53"/>
    <w:rsid w:val="003C5005"/>
    <w:rsid w:val="003C6231"/>
    <w:rsid w:val="003D0BFE"/>
    <w:rsid w:val="003D5700"/>
    <w:rsid w:val="003D67F6"/>
    <w:rsid w:val="003E341B"/>
    <w:rsid w:val="003E4D00"/>
    <w:rsid w:val="003F7A92"/>
    <w:rsid w:val="004116CD"/>
    <w:rsid w:val="0041640C"/>
    <w:rsid w:val="00417EB9"/>
    <w:rsid w:val="00420569"/>
    <w:rsid w:val="00424CA9"/>
    <w:rsid w:val="004276DF"/>
    <w:rsid w:val="00431E9B"/>
    <w:rsid w:val="004335E2"/>
    <w:rsid w:val="0043364D"/>
    <w:rsid w:val="004379E3"/>
    <w:rsid w:val="0044015E"/>
    <w:rsid w:val="0044291A"/>
    <w:rsid w:val="004506E2"/>
    <w:rsid w:val="0046084A"/>
    <w:rsid w:val="00465DC4"/>
    <w:rsid w:val="00467661"/>
    <w:rsid w:val="00472DBE"/>
    <w:rsid w:val="00474A19"/>
    <w:rsid w:val="00477830"/>
    <w:rsid w:val="00487764"/>
    <w:rsid w:val="00496F97"/>
    <w:rsid w:val="004A305C"/>
    <w:rsid w:val="004A43C6"/>
    <w:rsid w:val="004B6C48"/>
    <w:rsid w:val="004C17FD"/>
    <w:rsid w:val="004C480B"/>
    <w:rsid w:val="004C4E59"/>
    <w:rsid w:val="004C6809"/>
    <w:rsid w:val="004D4507"/>
    <w:rsid w:val="004E063A"/>
    <w:rsid w:val="004E1307"/>
    <w:rsid w:val="004E7BEC"/>
    <w:rsid w:val="004F25E3"/>
    <w:rsid w:val="004F2BC4"/>
    <w:rsid w:val="004F4F44"/>
    <w:rsid w:val="00505D3D"/>
    <w:rsid w:val="00506AF6"/>
    <w:rsid w:val="00507D8E"/>
    <w:rsid w:val="00510E72"/>
    <w:rsid w:val="00516B8D"/>
    <w:rsid w:val="00524366"/>
    <w:rsid w:val="00526A55"/>
    <w:rsid w:val="005303C8"/>
    <w:rsid w:val="00537FBC"/>
    <w:rsid w:val="0054592E"/>
    <w:rsid w:val="00554826"/>
    <w:rsid w:val="0056085C"/>
    <w:rsid w:val="00562877"/>
    <w:rsid w:val="00562EAC"/>
    <w:rsid w:val="00562EB8"/>
    <w:rsid w:val="00572EA0"/>
    <w:rsid w:val="00574B1F"/>
    <w:rsid w:val="00584811"/>
    <w:rsid w:val="00585784"/>
    <w:rsid w:val="00593AA6"/>
    <w:rsid w:val="00594161"/>
    <w:rsid w:val="00594749"/>
    <w:rsid w:val="005A2020"/>
    <w:rsid w:val="005A3C11"/>
    <w:rsid w:val="005A4B48"/>
    <w:rsid w:val="005A4EBF"/>
    <w:rsid w:val="005A65D5"/>
    <w:rsid w:val="005B4067"/>
    <w:rsid w:val="005B544F"/>
    <w:rsid w:val="005B7B1B"/>
    <w:rsid w:val="005C3F41"/>
    <w:rsid w:val="005C66FE"/>
    <w:rsid w:val="005D1D92"/>
    <w:rsid w:val="005D2D09"/>
    <w:rsid w:val="005D7D1E"/>
    <w:rsid w:val="005E6F71"/>
    <w:rsid w:val="00600219"/>
    <w:rsid w:val="00603EA7"/>
    <w:rsid w:val="00604F2A"/>
    <w:rsid w:val="0060574F"/>
    <w:rsid w:val="00620076"/>
    <w:rsid w:val="00620814"/>
    <w:rsid w:val="00627E0A"/>
    <w:rsid w:val="0063134A"/>
    <w:rsid w:val="00641260"/>
    <w:rsid w:val="0065488B"/>
    <w:rsid w:val="0065616F"/>
    <w:rsid w:val="00666EA3"/>
    <w:rsid w:val="00670EA1"/>
    <w:rsid w:val="00672F4D"/>
    <w:rsid w:val="0067406C"/>
    <w:rsid w:val="00676B16"/>
    <w:rsid w:val="00676FAF"/>
    <w:rsid w:val="00677CC2"/>
    <w:rsid w:val="0068504A"/>
    <w:rsid w:val="0068732F"/>
    <w:rsid w:val="0068744B"/>
    <w:rsid w:val="006905DE"/>
    <w:rsid w:val="00691FEA"/>
    <w:rsid w:val="0069207B"/>
    <w:rsid w:val="006A154F"/>
    <w:rsid w:val="006A437B"/>
    <w:rsid w:val="006B28EB"/>
    <w:rsid w:val="006B5789"/>
    <w:rsid w:val="006C2347"/>
    <w:rsid w:val="006C30C5"/>
    <w:rsid w:val="006C5C4F"/>
    <w:rsid w:val="006C68EB"/>
    <w:rsid w:val="006C7F8C"/>
    <w:rsid w:val="006E1A4F"/>
    <w:rsid w:val="006E2E1C"/>
    <w:rsid w:val="006E6246"/>
    <w:rsid w:val="006E69C2"/>
    <w:rsid w:val="006E6DCC"/>
    <w:rsid w:val="006F318F"/>
    <w:rsid w:val="0070017E"/>
    <w:rsid w:val="00700B2C"/>
    <w:rsid w:val="00701742"/>
    <w:rsid w:val="007050A2"/>
    <w:rsid w:val="007074EF"/>
    <w:rsid w:val="007101E4"/>
    <w:rsid w:val="00713084"/>
    <w:rsid w:val="00714F20"/>
    <w:rsid w:val="0071590F"/>
    <w:rsid w:val="00715914"/>
    <w:rsid w:val="0072147A"/>
    <w:rsid w:val="00721D1F"/>
    <w:rsid w:val="00723791"/>
    <w:rsid w:val="00731E00"/>
    <w:rsid w:val="007440B7"/>
    <w:rsid w:val="007500C8"/>
    <w:rsid w:val="00756272"/>
    <w:rsid w:val="00762D38"/>
    <w:rsid w:val="00766BE7"/>
    <w:rsid w:val="00767C3F"/>
    <w:rsid w:val="007715C9"/>
    <w:rsid w:val="00771613"/>
    <w:rsid w:val="00771BFB"/>
    <w:rsid w:val="00774EDD"/>
    <w:rsid w:val="007757EC"/>
    <w:rsid w:val="00783E89"/>
    <w:rsid w:val="00793915"/>
    <w:rsid w:val="007A1704"/>
    <w:rsid w:val="007C2253"/>
    <w:rsid w:val="007C73A1"/>
    <w:rsid w:val="007D0DF9"/>
    <w:rsid w:val="007D7911"/>
    <w:rsid w:val="007E163D"/>
    <w:rsid w:val="007E667A"/>
    <w:rsid w:val="007F1AB3"/>
    <w:rsid w:val="007F28C9"/>
    <w:rsid w:val="007F500B"/>
    <w:rsid w:val="007F51B2"/>
    <w:rsid w:val="008040DD"/>
    <w:rsid w:val="00806574"/>
    <w:rsid w:val="008117E9"/>
    <w:rsid w:val="008122E1"/>
    <w:rsid w:val="00824498"/>
    <w:rsid w:val="00826BD1"/>
    <w:rsid w:val="0083092C"/>
    <w:rsid w:val="00854D0B"/>
    <w:rsid w:val="00856575"/>
    <w:rsid w:val="00856A31"/>
    <w:rsid w:val="00860B4E"/>
    <w:rsid w:val="00867B37"/>
    <w:rsid w:val="00867CFB"/>
    <w:rsid w:val="008754D0"/>
    <w:rsid w:val="00875D13"/>
    <w:rsid w:val="0088418E"/>
    <w:rsid w:val="008855C9"/>
    <w:rsid w:val="00886456"/>
    <w:rsid w:val="00896176"/>
    <w:rsid w:val="008A2ED4"/>
    <w:rsid w:val="008A46E1"/>
    <w:rsid w:val="008A4F43"/>
    <w:rsid w:val="008A6353"/>
    <w:rsid w:val="008B2706"/>
    <w:rsid w:val="008B2EE4"/>
    <w:rsid w:val="008C25E7"/>
    <w:rsid w:val="008C2EAC"/>
    <w:rsid w:val="008D0EE0"/>
    <w:rsid w:val="008E0027"/>
    <w:rsid w:val="008E4AD4"/>
    <w:rsid w:val="008E6067"/>
    <w:rsid w:val="008F54E7"/>
    <w:rsid w:val="008F7427"/>
    <w:rsid w:val="00903422"/>
    <w:rsid w:val="00905624"/>
    <w:rsid w:val="00917C96"/>
    <w:rsid w:val="00923580"/>
    <w:rsid w:val="009254C3"/>
    <w:rsid w:val="00932377"/>
    <w:rsid w:val="00936BC0"/>
    <w:rsid w:val="00941236"/>
    <w:rsid w:val="00943FD5"/>
    <w:rsid w:val="00947D5A"/>
    <w:rsid w:val="009532A5"/>
    <w:rsid w:val="009545BD"/>
    <w:rsid w:val="0096490C"/>
    <w:rsid w:val="00964CF0"/>
    <w:rsid w:val="0097653B"/>
    <w:rsid w:val="00977806"/>
    <w:rsid w:val="00982242"/>
    <w:rsid w:val="0098276A"/>
    <w:rsid w:val="009868E9"/>
    <w:rsid w:val="009900A3"/>
    <w:rsid w:val="00992213"/>
    <w:rsid w:val="009C11F5"/>
    <w:rsid w:val="009C3413"/>
    <w:rsid w:val="009E2DF2"/>
    <w:rsid w:val="009E568E"/>
    <w:rsid w:val="009E5AA6"/>
    <w:rsid w:val="00A0441E"/>
    <w:rsid w:val="00A12128"/>
    <w:rsid w:val="00A12C99"/>
    <w:rsid w:val="00A21AD5"/>
    <w:rsid w:val="00A22C98"/>
    <w:rsid w:val="00A231E2"/>
    <w:rsid w:val="00A369E3"/>
    <w:rsid w:val="00A46BE3"/>
    <w:rsid w:val="00A540B6"/>
    <w:rsid w:val="00A57600"/>
    <w:rsid w:val="00A64912"/>
    <w:rsid w:val="00A67448"/>
    <w:rsid w:val="00A70A74"/>
    <w:rsid w:val="00A75FE9"/>
    <w:rsid w:val="00A8489E"/>
    <w:rsid w:val="00A85BD5"/>
    <w:rsid w:val="00A933E2"/>
    <w:rsid w:val="00AA5DAE"/>
    <w:rsid w:val="00AB724A"/>
    <w:rsid w:val="00AD53CC"/>
    <w:rsid w:val="00AD5641"/>
    <w:rsid w:val="00AE5447"/>
    <w:rsid w:val="00AF06CF"/>
    <w:rsid w:val="00B00A24"/>
    <w:rsid w:val="00B020EC"/>
    <w:rsid w:val="00B078E9"/>
    <w:rsid w:val="00B07CDB"/>
    <w:rsid w:val="00B12BA6"/>
    <w:rsid w:val="00B1627E"/>
    <w:rsid w:val="00B16A31"/>
    <w:rsid w:val="00B1767B"/>
    <w:rsid w:val="00B17DFD"/>
    <w:rsid w:val="00B25306"/>
    <w:rsid w:val="00B27831"/>
    <w:rsid w:val="00B308FE"/>
    <w:rsid w:val="00B33709"/>
    <w:rsid w:val="00B33B3C"/>
    <w:rsid w:val="00B343DC"/>
    <w:rsid w:val="00B36392"/>
    <w:rsid w:val="00B418CB"/>
    <w:rsid w:val="00B47444"/>
    <w:rsid w:val="00B50ADC"/>
    <w:rsid w:val="00B52566"/>
    <w:rsid w:val="00B566B1"/>
    <w:rsid w:val="00B63834"/>
    <w:rsid w:val="00B67E98"/>
    <w:rsid w:val="00B80199"/>
    <w:rsid w:val="00B830D7"/>
    <w:rsid w:val="00B83204"/>
    <w:rsid w:val="00B856E7"/>
    <w:rsid w:val="00B92791"/>
    <w:rsid w:val="00BA220B"/>
    <w:rsid w:val="00BA3A57"/>
    <w:rsid w:val="00BA6173"/>
    <w:rsid w:val="00BB1533"/>
    <w:rsid w:val="00BB2CD8"/>
    <w:rsid w:val="00BB4E1A"/>
    <w:rsid w:val="00BC015E"/>
    <w:rsid w:val="00BC4AFC"/>
    <w:rsid w:val="00BC4DE5"/>
    <w:rsid w:val="00BC5C51"/>
    <w:rsid w:val="00BC76AC"/>
    <w:rsid w:val="00BD0ECB"/>
    <w:rsid w:val="00BD2878"/>
    <w:rsid w:val="00BD2ABF"/>
    <w:rsid w:val="00BD4317"/>
    <w:rsid w:val="00BE2155"/>
    <w:rsid w:val="00BE3F18"/>
    <w:rsid w:val="00BE719A"/>
    <w:rsid w:val="00BE720A"/>
    <w:rsid w:val="00BF0D73"/>
    <w:rsid w:val="00BF2465"/>
    <w:rsid w:val="00BF5D28"/>
    <w:rsid w:val="00C15853"/>
    <w:rsid w:val="00C16619"/>
    <w:rsid w:val="00C25E7F"/>
    <w:rsid w:val="00C2746F"/>
    <w:rsid w:val="00C323D6"/>
    <w:rsid w:val="00C324A0"/>
    <w:rsid w:val="00C3253F"/>
    <w:rsid w:val="00C3282D"/>
    <w:rsid w:val="00C33889"/>
    <w:rsid w:val="00C40531"/>
    <w:rsid w:val="00C42BF8"/>
    <w:rsid w:val="00C50043"/>
    <w:rsid w:val="00C518A7"/>
    <w:rsid w:val="00C54E9C"/>
    <w:rsid w:val="00C7573B"/>
    <w:rsid w:val="00C7611D"/>
    <w:rsid w:val="00C8346D"/>
    <w:rsid w:val="00C84F9E"/>
    <w:rsid w:val="00C911A5"/>
    <w:rsid w:val="00C913D5"/>
    <w:rsid w:val="00C93C9C"/>
    <w:rsid w:val="00C97A54"/>
    <w:rsid w:val="00CA4023"/>
    <w:rsid w:val="00CA5B23"/>
    <w:rsid w:val="00CB28CD"/>
    <w:rsid w:val="00CB602E"/>
    <w:rsid w:val="00CB7E90"/>
    <w:rsid w:val="00CC363A"/>
    <w:rsid w:val="00CD0B3D"/>
    <w:rsid w:val="00CD5EF3"/>
    <w:rsid w:val="00CE051D"/>
    <w:rsid w:val="00CE1335"/>
    <w:rsid w:val="00CE493D"/>
    <w:rsid w:val="00CF07FA"/>
    <w:rsid w:val="00CF0BB2"/>
    <w:rsid w:val="00CF3EE8"/>
    <w:rsid w:val="00D01394"/>
    <w:rsid w:val="00D02DE0"/>
    <w:rsid w:val="00D13441"/>
    <w:rsid w:val="00D14BB3"/>
    <w:rsid w:val="00D150E7"/>
    <w:rsid w:val="00D15ABF"/>
    <w:rsid w:val="00D36570"/>
    <w:rsid w:val="00D52DC2"/>
    <w:rsid w:val="00D53BCC"/>
    <w:rsid w:val="00D54C9E"/>
    <w:rsid w:val="00D57794"/>
    <w:rsid w:val="00D6537E"/>
    <w:rsid w:val="00D6611C"/>
    <w:rsid w:val="00D70DFB"/>
    <w:rsid w:val="00D73103"/>
    <w:rsid w:val="00D766DF"/>
    <w:rsid w:val="00D8206C"/>
    <w:rsid w:val="00D84190"/>
    <w:rsid w:val="00D90B69"/>
    <w:rsid w:val="00D91F10"/>
    <w:rsid w:val="00DA186E"/>
    <w:rsid w:val="00DA38B2"/>
    <w:rsid w:val="00DA4116"/>
    <w:rsid w:val="00DB251C"/>
    <w:rsid w:val="00DB3698"/>
    <w:rsid w:val="00DB4630"/>
    <w:rsid w:val="00DC4F88"/>
    <w:rsid w:val="00DD3A7B"/>
    <w:rsid w:val="00DE107C"/>
    <w:rsid w:val="00DE279A"/>
    <w:rsid w:val="00DF2388"/>
    <w:rsid w:val="00E05704"/>
    <w:rsid w:val="00E1606B"/>
    <w:rsid w:val="00E31F97"/>
    <w:rsid w:val="00E338EF"/>
    <w:rsid w:val="00E33931"/>
    <w:rsid w:val="00E5370B"/>
    <w:rsid w:val="00E544BB"/>
    <w:rsid w:val="00E63228"/>
    <w:rsid w:val="00E7210E"/>
    <w:rsid w:val="00E74DC7"/>
    <w:rsid w:val="00E8075A"/>
    <w:rsid w:val="00E82F39"/>
    <w:rsid w:val="00E8510E"/>
    <w:rsid w:val="00E940D8"/>
    <w:rsid w:val="00E94D5E"/>
    <w:rsid w:val="00E96461"/>
    <w:rsid w:val="00E964D5"/>
    <w:rsid w:val="00EA0025"/>
    <w:rsid w:val="00EA2D2A"/>
    <w:rsid w:val="00EA3F1C"/>
    <w:rsid w:val="00EA7100"/>
    <w:rsid w:val="00EA7F9F"/>
    <w:rsid w:val="00EB1274"/>
    <w:rsid w:val="00EB71D7"/>
    <w:rsid w:val="00EB77F7"/>
    <w:rsid w:val="00EC6F99"/>
    <w:rsid w:val="00ED2BB6"/>
    <w:rsid w:val="00ED34E1"/>
    <w:rsid w:val="00ED3B8D"/>
    <w:rsid w:val="00ED42F7"/>
    <w:rsid w:val="00ED4C1B"/>
    <w:rsid w:val="00ED5678"/>
    <w:rsid w:val="00ED6C16"/>
    <w:rsid w:val="00EE0C31"/>
    <w:rsid w:val="00EE20E0"/>
    <w:rsid w:val="00EE5E36"/>
    <w:rsid w:val="00EE6375"/>
    <w:rsid w:val="00EF2E3A"/>
    <w:rsid w:val="00EF3784"/>
    <w:rsid w:val="00EF6CCE"/>
    <w:rsid w:val="00F01D9B"/>
    <w:rsid w:val="00F02C7C"/>
    <w:rsid w:val="00F032D6"/>
    <w:rsid w:val="00F072A7"/>
    <w:rsid w:val="00F0771D"/>
    <w:rsid w:val="00F078DC"/>
    <w:rsid w:val="00F130D6"/>
    <w:rsid w:val="00F13FC9"/>
    <w:rsid w:val="00F21119"/>
    <w:rsid w:val="00F21DA1"/>
    <w:rsid w:val="00F32BA8"/>
    <w:rsid w:val="00F32EE0"/>
    <w:rsid w:val="00F3389E"/>
    <w:rsid w:val="00F349F1"/>
    <w:rsid w:val="00F364DD"/>
    <w:rsid w:val="00F369CE"/>
    <w:rsid w:val="00F4350D"/>
    <w:rsid w:val="00F446E4"/>
    <w:rsid w:val="00F44AF7"/>
    <w:rsid w:val="00F479C4"/>
    <w:rsid w:val="00F567F7"/>
    <w:rsid w:val="00F6696E"/>
    <w:rsid w:val="00F71FC6"/>
    <w:rsid w:val="00F73BD6"/>
    <w:rsid w:val="00F7766F"/>
    <w:rsid w:val="00F83989"/>
    <w:rsid w:val="00F85099"/>
    <w:rsid w:val="00F9379C"/>
    <w:rsid w:val="00F94840"/>
    <w:rsid w:val="00F9632C"/>
    <w:rsid w:val="00FA1E52"/>
    <w:rsid w:val="00FB565A"/>
    <w:rsid w:val="00FB5A08"/>
    <w:rsid w:val="00FC2959"/>
    <w:rsid w:val="00FC6A80"/>
    <w:rsid w:val="00FE015C"/>
    <w:rsid w:val="00FE1EFC"/>
    <w:rsid w:val="00FE3708"/>
    <w:rsid w:val="00FE4688"/>
    <w:rsid w:val="00FF334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7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0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0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D0"/>
    <w:rPr>
      <w:b/>
      <w:bCs/>
    </w:rPr>
  </w:style>
  <w:style w:type="paragraph" w:styleId="Revision">
    <w:name w:val="Revision"/>
    <w:hidden/>
    <w:uiPriority w:val="99"/>
    <w:semiHidden/>
    <w:rsid w:val="00BC5C51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B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6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FA7D-E11B-4D66-A376-33209A62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7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2023-03-23T01:15:00Z</dcterms:created>
  <dcterms:modified xsi:type="dcterms:W3CDTF">2023-03-23T01:15:00Z</dcterms:modified>
</cp:coreProperties>
</file>