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379FC" w14:textId="77777777" w:rsidR="00FB640B" w:rsidRDefault="0057002B" w:rsidP="00BB0CF2">
      <w:pPr>
        <w:pStyle w:val="ESTitleHeader"/>
      </w:pPr>
      <w:r w:rsidRPr="008B24C8">
        <w:t>EXPLANATORY STATEMENT</w:t>
      </w:r>
    </w:p>
    <w:p w14:paraId="2FEB8D38" w14:textId="77777777" w:rsidR="00607451" w:rsidRPr="008B24C8" w:rsidRDefault="00607451" w:rsidP="00607451">
      <w:pPr>
        <w:pStyle w:val="ESTitleDecisionMaker"/>
      </w:pPr>
      <w:r w:rsidRPr="008B24C8">
        <w:t>Issued by authority of the</w:t>
      </w:r>
      <w:r w:rsidR="00C177D3">
        <w:t xml:space="preserve"> Minister for</w:t>
      </w:r>
      <w:r w:rsidRPr="008B24C8">
        <w:t xml:space="preserve"> </w:t>
      </w:r>
      <w:r>
        <w:t>Immigration, Citizenship and Multicultural Affairs</w:t>
      </w:r>
    </w:p>
    <w:p w14:paraId="7A955A8F" w14:textId="77777777" w:rsidR="00607451" w:rsidRPr="008B24C8" w:rsidRDefault="00607451" w:rsidP="00607451">
      <w:pPr>
        <w:pStyle w:val="ESTitleEnablingLegislation"/>
      </w:pPr>
      <w:r>
        <w:t xml:space="preserve">Migration Regulations 1994 </w:t>
      </w:r>
    </w:p>
    <w:p w14:paraId="4EC00926" w14:textId="77777777" w:rsidR="00607451" w:rsidRPr="00F76AFB" w:rsidRDefault="00607451" w:rsidP="00607451">
      <w:pPr>
        <w:pStyle w:val="ESParagraph"/>
        <w:jc w:val="center"/>
        <w:rPr>
          <w:b/>
          <w:i/>
          <w:color w:val="000000" w:themeColor="text1"/>
        </w:rPr>
      </w:pPr>
      <w:r w:rsidRPr="00280CAF">
        <w:rPr>
          <w:b/>
          <w:i/>
        </w:rPr>
        <w:t xml:space="preserve">Migration (Specification under clause 485.231 </w:t>
      </w:r>
      <w:r>
        <w:rPr>
          <w:b/>
          <w:i/>
        </w:rPr>
        <w:t>- Qualifications) Instrument (LIN 23/023</w:t>
      </w:r>
      <w:r w:rsidRPr="00280CAF">
        <w:rPr>
          <w:b/>
          <w:i/>
        </w:rPr>
        <w:t xml:space="preserve">) </w:t>
      </w:r>
      <w:r w:rsidRPr="00F76AFB">
        <w:rPr>
          <w:b/>
          <w:i/>
          <w:color w:val="000000" w:themeColor="text1"/>
        </w:rPr>
        <w:t>2023</w:t>
      </w:r>
    </w:p>
    <w:p w14:paraId="382BD18B" w14:textId="77777777" w:rsidR="0057002B" w:rsidRPr="008B24C8" w:rsidRDefault="0057002B" w:rsidP="002D167E">
      <w:pPr>
        <w:pStyle w:val="ESPara"/>
      </w:pPr>
      <w:r w:rsidRPr="008B24C8">
        <w:t xml:space="preserve">The instrument, Departmental reference </w:t>
      </w:r>
      <w:r w:rsidR="00607451">
        <w:t>LIN 23/023,</w:t>
      </w:r>
      <w:r w:rsidRPr="008B24C8">
        <w:t xml:space="preserve"> is made under </w:t>
      </w:r>
      <w:r w:rsidR="003D3852">
        <w:t>sub</w:t>
      </w:r>
      <w:r w:rsidR="00607451">
        <w:t>clause 485.231</w:t>
      </w:r>
      <w:r w:rsidR="003D3852">
        <w:t>(1)</w:t>
      </w:r>
      <w:r w:rsidR="00607451" w:rsidRPr="008B24C8">
        <w:t xml:space="preserve"> of </w:t>
      </w:r>
      <w:r w:rsidR="00C177D3">
        <w:t xml:space="preserve">Schedule 2 to </w:t>
      </w:r>
      <w:r w:rsidR="00607451" w:rsidRPr="008B24C8">
        <w:t xml:space="preserve">the </w:t>
      </w:r>
      <w:r w:rsidR="00607451" w:rsidRPr="008B24C8">
        <w:rPr>
          <w:i/>
        </w:rPr>
        <w:t>Migration Regulations 1994</w:t>
      </w:r>
      <w:r w:rsidR="00607451">
        <w:t xml:space="preserve"> (the Migration Regulations).</w:t>
      </w:r>
      <w:r w:rsidRPr="008B24C8">
        <w:t xml:space="preserve">  </w:t>
      </w:r>
    </w:p>
    <w:p w14:paraId="04129A11" w14:textId="4134DEF7" w:rsidR="00EA12C9" w:rsidRPr="008B24C8" w:rsidRDefault="00607451" w:rsidP="002D167E">
      <w:pPr>
        <w:pStyle w:val="ESPara"/>
      </w:pPr>
      <w:r>
        <w:t xml:space="preserve">The </w:t>
      </w:r>
      <w:r w:rsidR="00EA12C9" w:rsidRPr="008B24C8">
        <w:t xml:space="preserve">instrument </w:t>
      </w:r>
      <w:r>
        <w:t xml:space="preserve">repeals </w:t>
      </w:r>
      <w:r>
        <w:rPr>
          <w:i/>
        </w:rPr>
        <w:t>Migration Regulations 1994 –Qualifications – IMMI 13/013</w:t>
      </w:r>
      <w:r w:rsidR="00F76AFB">
        <w:rPr>
          <w:i/>
        </w:rPr>
        <w:t xml:space="preserve"> </w:t>
      </w:r>
      <w:r w:rsidR="00F76AFB">
        <w:t>(F2013L00528)</w:t>
      </w:r>
      <w:r w:rsidR="00C177D3">
        <w:t xml:space="preserve"> </w:t>
      </w:r>
      <w:r w:rsidR="00EA12C9" w:rsidRPr="008B24C8">
        <w:t xml:space="preserve">in accordance with subsection 33(3) of the </w:t>
      </w:r>
      <w:r w:rsidR="00EA12C9" w:rsidRPr="008B24C8">
        <w:rPr>
          <w:i/>
        </w:rPr>
        <w:t>Acts Interpretation Act 1901</w:t>
      </w:r>
      <w:r w:rsidR="00EA12C9" w:rsidRPr="008B24C8">
        <w:t xml:space="preserve">. That subsection provides that </w:t>
      </w:r>
      <w:r w:rsidR="00100DFC">
        <w:t>a power to make a legislative instrument includes a power to amend or repeal that instrument in the same manner, and subject to the same conditions, as the power to make the instrument</w:t>
      </w:r>
      <w:r w:rsidR="00BD598E" w:rsidRPr="008B24C8">
        <w:t xml:space="preserve">.  </w:t>
      </w:r>
    </w:p>
    <w:p w14:paraId="58AD261D" w14:textId="245A8927" w:rsidR="00BD598E" w:rsidRPr="008B24C8" w:rsidRDefault="00AA4557" w:rsidP="002D167E">
      <w:pPr>
        <w:pStyle w:val="ESPara"/>
      </w:pPr>
      <w:r>
        <w:t xml:space="preserve">The instrument commences </w:t>
      </w:r>
      <w:r w:rsidR="00607451">
        <w:t xml:space="preserve">on </w:t>
      </w:r>
      <w:r w:rsidR="006E35FD">
        <w:t>the day after it is registered</w:t>
      </w:r>
      <w:r w:rsidR="00F76AFB">
        <w:t xml:space="preserve"> on the Federal Register of Legislation</w:t>
      </w:r>
      <w:r w:rsidR="00607451">
        <w:t>,</w:t>
      </w:r>
      <w:r>
        <w:t xml:space="preserve"> and i</w:t>
      </w:r>
      <w:r w:rsidR="00BD598E" w:rsidRPr="008B24C8">
        <w:t xml:space="preserve">s a </w:t>
      </w:r>
      <w:r>
        <w:t>legislative</w:t>
      </w:r>
      <w:r w:rsidR="00BD598E" w:rsidRPr="008B24C8">
        <w:t xml:space="preserve"> instrument for </w:t>
      </w:r>
      <w:r w:rsidR="00B75478">
        <w:t xml:space="preserve">the </w:t>
      </w:r>
      <w:r w:rsidR="00100DFC">
        <w:rPr>
          <w:i/>
        </w:rPr>
        <w:t>Legislation Act 2003</w:t>
      </w:r>
      <w:r w:rsidR="00C177D3">
        <w:rPr>
          <w:i/>
        </w:rPr>
        <w:t xml:space="preserve"> </w:t>
      </w:r>
      <w:r w:rsidR="00C177D3">
        <w:t>(Legislation Act)</w:t>
      </w:r>
      <w:r w:rsidR="00BD598E" w:rsidRPr="008B24C8">
        <w:t xml:space="preserve">.  </w:t>
      </w:r>
    </w:p>
    <w:p w14:paraId="059BF943" w14:textId="77777777" w:rsidR="00EA12C9" w:rsidRPr="00B20D18" w:rsidRDefault="00BD598E" w:rsidP="00100DFC">
      <w:pPr>
        <w:pStyle w:val="ESHeading"/>
        <w:rPr>
          <w:color w:val="000000" w:themeColor="text1"/>
        </w:rPr>
      </w:pPr>
      <w:r w:rsidRPr="00B20D18">
        <w:rPr>
          <w:color w:val="000000" w:themeColor="text1"/>
        </w:rPr>
        <w:t>Purpose</w:t>
      </w:r>
    </w:p>
    <w:p w14:paraId="4BB620D5" w14:textId="394C1155" w:rsidR="00B75478" w:rsidRDefault="00607451" w:rsidP="002D167E">
      <w:pPr>
        <w:pStyle w:val="ESPara"/>
      </w:pPr>
      <w:r>
        <w:t xml:space="preserve">Subclause 485.231(1) </w:t>
      </w:r>
      <w:r w:rsidR="00045735">
        <w:t>of</w:t>
      </w:r>
      <w:r w:rsidR="00E67FCA">
        <w:t xml:space="preserve"> Schedule 2 to</w:t>
      </w:r>
      <w:r w:rsidR="00045735">
        <w:t xml:space="preserve"> </w:t>
      </w:r>
      <w:r>
        <w:t>the Migration Regulations provides that applicants seeking to satisfy the primary criteria for the grant of a Subclass 485</w:t>
      </w:r>
      <w:r w:rsidR="00E67FCA">
        <w:t xml:space="preserve"> (Temporary Graduate)</w:t>
      </w:r>
      <w:r>
        <w:t xml:space="preserve"> visa in the Post-Study Work stream must hold a qualification or qualifications of a kind specified by the Minister in an </w:t>
      </w:r>
      <w:proofErr w:type="gramStart"/>
      <w:r>
        <w:t>instrument</w:t>
      </w:r>
      <w:proofErr w:type="gramEnd"/>
      <w:r>
        <w:t xml:space="preserve"> in writing.</w:t>
      </w:r>
    </w:p>
    <w:p w14:paraId="25166CA3" w14:textId="0D9F651E" w:rsidR="00607451" w:rsidRDefault="00C177D3" w:rsidP="002D167E">
      <w:pPr>
        <w:pStyle w:val="ESPara"/>
      </w:pPr>
      <w:r>
        <w:t>T</w:t>
      </w:r>
      <w:r w:rsidR="00607451">
        <w:t>he</w:t>
      </w:r>
      <w:r>
        <w:t xml:space="preserve"> purpose of the</w:t>
      </w:r>
      <w:r w:rsidR="00607451">
        <w:t xml:space="preserve"> instrument </w:t>
      </w:r>
      <w:r>
        <w:t xml:space="preserve">is </w:t>
      </w:r>
      <w:r w:rsidR="00607451">
        <w:t>to specify that</w:t>
      </w:r>
      <w:r w:rsidR="008661AB">
        <w:t xml:space="preserve"> applicants must hold one or more</w:t>
      </w:r>
      <w:r w:rsidR="00607451">
        <w:t xml:space="preserve"> of</w:t>
      </w:r>
      <w:r>
        <w:t xml:space="preserve"> the following </w:t>
      </w:r>
      <w:r w:rsidR="00531962">
        <w:t>qualifications</w:t>
      </w:r>
      <w:r w:rsidR="00F76AFB">
        <w:t xml:space="preserve"> </w:t>
      </w:r>
      <w:r w:rsidR="00825404">
        <w:t xml:space="preserve">that are a result of study undertaken </w:t>
      </w:r>
      <w:r w:rsidR="00F76AFB">
        <w:t>at the Australian Qualification Framework level 7 or higher</w:t>
      </w:r>
      <w:r w:rsidR="00607451">
        <w:t xml:space="preserve">: </w:t>
      </w:r>
    </w:p>
    <w:p w14:paraId="68527A36" w14:textId="267DD17C" w:rsidR="00607451" w:rsidRDefault="00A328F2" w:rsidP="00607451">
      <w:pPr>
        <w:pStyle w:val="ESSubparaList"/>
      </w:pPr>
      <w:r>
        <w:t>b</w:t>
      </w:r>
      <w:r w:rsidR="00607451" w:rsidRPr="004E79C1">
        <w:t xml:space="preserve">achelor </w:t>
      </w:r>
      <w:r>
        <w:t>d</w:t>
      </w:r>
      <w:r w:rsidR="00607451" w:rsidRPr="004E79C1">
        <w:t>egree;</w:t>
      </w:r>
    </w:p>
    <w:p w14:paraId="3F275105" w14:textId="41284E35" w:rsidR="00607451" w:rsidRPr="004E79C1" w:rsidRDefault="00A328F2" w:rsidP="00607451">
      <w:pPr>
        <w:pStyle w:val="ESSubparaList"/>
      </w:pPr>
      <w:r>
        <w:t>b</w:t>
      </w:r>
      <w:r w:rsidR="00607451" w:rsidRPr="004E79C1">
        <w:t>achelor (</w:t>
      </w:r>
      <w:r w:rsidR="00F76AFB">
        <w:t>h</w:t>
      </w:r>
      <w:r w:rsidR="00607451" w:rsidRPr="004E79C1">
        <w:t xml:space="preserve">onours) </w:t>
      </w:r>
      <w:r>
        <w:t>d</w:t>
      </w:r>
      <w:r w:rsidR="00607451" w:rsidRPr="004E79C1">
        <w:t>egree;</w:t>
      </w:r>
    </w:p>
    <w:p w14:paraId="625BF9C4" w14:textId="577F1DF3" w:rsidR="00607451" w:rsidRPr="004E79C1" w:rsidRDefault="00A328F2" w:rsidP="00607451">
      <w:pPr>
        <w:pStyle w:val="ESSubparaList"/>
      </w:pPr>
      <w:r>
        <w:t>m</w:t>
      </w:r>
      <w:r w:rsidR="00607451" w:rsidRPr="004E79C1">
        <w:t xml:space="preserve">asters </w:t>
      </w:r>
      <w:r w:rsidR="00825404">
        <w:t xml:space="preserve">by coursework </w:t>
      </w:r>
      <w:r>
        <w:t>d</w:t>
      </w:r>
      <w:r w:rsidR="00C177D3">
        <w:t>egre</w:t>
      </w:r>
      <w:r w:rsidR="00825404">
        <w:t>e</w:t>
      </w:r>
      <w:r w:rsidR="00607451" w:rsidRPr="004E79C1">
        <w:t>;</w:t>
      </w:r>
    </w:p>
    <w:p w14:paraId="7D89C2F2" w14:textId="274C4598" w:rsidR="00607451" w:rsidRPr="004E79C1" w:rsidRDefault="00A328F2" w:rsidP="00607451">
      <w:pPr>
        <w:pStyle w:val="ESSubparaList"/>
      </w:pPr>
      <w:r>
        <w:t>m</w:t>
      </w:r>
      <w:r w:rsidR="00607451" w:rsidRPr="004E79C1">
        <w:t xml:space="preserve">asters </w:t>
      </w:r>
      <w:r w:rsidR="00825404">
        <w:t xml:space="preserve">by research </w:t>
      </w:r>
      <w:r>
        <w:t>d</w:t>
      </w:r>
      <w:r w:rsidR="00C177D3">
        <w:t>egree</w:t>
      </w:r>
      <w:r w:rsidR="00607451" w:rsidRPr="004E79C1">
        <w:t>;</w:t>
      </w:r>
    </w:p>
    <w:p w14:paraId="4C5EBA14" w14:textId="42F7D2EA" w:rsidR="00B20D18" w:rsidRPr="004E79C1" w:rsidRDefault="00A328F2" w:rsidP="00607451">
      <w:pPr>
        <w:pStyle w:val="ESSubparaList"/>
      </w:pPr>
      <w:r>
        <w:t>m</w:t>
      </w:r>
      <w:r w:rsidR="00607451" w:rsidRPr="004E79C1">
        <w:t xml:space="preserve">asters </w:t>
      </w:r>
      <w:r w:rsidR="00825404">
        <w:t xml:space="preserve">(extended) </w:t>
      </w:r>
      <w:r>
        <w:t>d</w:t>
      </w:r>
      <w:r w:rsidR="00C177D3">
        <w:t>egree</w:t>
      </w:r>
      <w:r w:rsidR="00607451" w:rsidRPr="004E79C1">
        <w:t>;</w:t>
      </w:r>
    </w:p>
    <w:p w14:paraId="69158241" w14:textId="13F36633" w:rsidR="00B20D18" w:rsidRDefault="00DC3399" w:rsidP="00F76AFB">
      <w:pPr>
        <w:pStyle w:val="ESSubparaList"/>
      </w:pPr>
      <w:proofErr w:type="gramStart"/>
      <w:r>
        <w:t>d</w:t>
      </w:r>
      <w:r w:rsidR="00607451" w:rsidRPr="004E79C1">
        <w:t>octoral</w:t>
      </w:r>
      <w:proofErr w:type="gramEnd"/>
      <w:r w:rsidR="00607451" w:rsidRPr="004E79C1">
        <w:t xml:space="preserve"> </w:t>
      </w:r>
      <w:r>
        <w:t>d</w:t>
      </w:r>
      <w:r w:rsidR="00607451" w:rsidRPr="004E79C1">
        <w:t>egree</w:t>
      </w:r>
      <w:r w:rsidR="00B20D18">
        <w:t>.</w:t>
      </w:r>
    </w:p>
    <w:p w14:paraId="482D86DF" w14:textId="0DAD9A42" w:rsidR="00531962" w:rsidRDefault="00531962" w:rsidP="00531962">
      <w:pPr>
        <w:pStyle w:val="ESPara"/>
      </w:pPr>
      <w:r>
        <w:t xml:space="preserve">The </w:t>
      </w:r>
      <w:r w:rsidR="00F76AFB">
        <w:t>instrument</w:t>
      </w:r>
      <w:r>
        <w:t xml:space="preserve"> enhance</w:t>
      </w:r>
      <w:r w:rsidR="00F76AFB">
        <w:t>s</w:t>
      </w:r>
      <w:r>
        <w:t xml:space="preserve"> the quality, integrity and competitiveness of Australia’s international education sector by providing for post-study work arrangements for applicants conferred or awarded a specified degree.</w:t>
      </w:r>
    </w:p>
    <w:p w14:paraId="159BFE05" w14:textId="31F80E1F" w:rsidR="00C64632" w:rsidRPr="00C64632" w:rsidRDefault="00C64632" w:rsidP="0037737C">
      <w:pPr>
        <w:pStyle w:val="ESSubparaHeader"/>
      </w:pPr>
      <w:r>
        <w:t xml:space="preserve">All applicants must meet the Australian study requirement in the six months immediately prior to making their visa application </w:t>
      </w:r>
      <w:r w:rsidR="00F35093">
        <w:t>(see paragraph 485.231(3</w:t>
      </w:r>
      <w:proofErr w:type="gramStart"/>
      <w:r w:rsidR="00F35093">
        <w:t>)(</w:t>
      </w:r>
      <w:proofErr w:type="gramEnd"/>
      <w:r w:rsidR="00F35093">
        <w:t xml:space="preserve">a) of Schedule 2 to the Migration Regulations) </w:t>
      </w:r>
      <w:r>
        <w:lastRenderedPageBreak/>
        <w:t>and have obtained their qualification at an eligible educational institution</w:t>
      </w:r>
      <w:r w:rsidR="00F35093">
        <w:t xml:space="preserve"> (see sub</w:t>
      </w:r>
      <w:r w:rsidR="007571A0">
        <w:t>clause</w:t>
      </w:r>
      <w:r w:rsidR="00F35093">
        <w:t xml:space="preserve"> 485.231(2) of Schedule 2 to the Migration Regulations)</w:t>
      </w:r>
      <w:r>
        <w:t xml:space="preserve">. </w:t>
      </w:r>
    </w:p>
    <w:p w14:paraId="06A8EFE5" w14:textId="5DE58CBE" w:rsidR="00607451" w:rsidRDefault="00F76AFB" w:rsidP="00607451">
      <w:pPr>
        <w:pStyle w:val="ESPara"/>
      </w:pPr>
      <w:r>
        <w:t>T</w:t>
      </w:r>
      <w:r w:rsidR="00607451">
        <w:t>he instrument maintain</w:t>
      </w:r>
      <w:r w:rsidR="00F35093">
        <w:t>s</w:t>
      </w:r>
      <w:r w:rsidR="00607451">
        <w:t xml:space="preserve"> </w:t>
      </w:r>
      <w:r w:rsidR="00F35093">
        <w:t>the</w:t>
      </w:r>
      <w:r w:rsidR="00607451">
        <w:t xml:space="preserve"> arrangements previously in place under </w:t>
      </w:r>
      <w:r w:rsidR="00607451" w:rsidRPr="000554B1">
        <w:t>IMMI 13/013</w:t>
      </w:r>
      <w:r w:rsidR="00607451">
        <w:t>,</w:t>
      </w:r>
      <w:r w:rsidR="00607451">
        <w:rPr>
          <w:i/>
        </w:rPr>
        <w:t xml:space="preserve"> </w:t>
      </w:r>
      <w:r w:rsidR="00607451">
        <w:t xml:space="preserve">which is due to be repealed by </w:t>
      </w:r>
      <w:proofErr w:type="spellStart"/>
      <w:r w:rsidR="00607451">
        <w:t>sunsetting</w:t>
      </w:r>
      <w:proofErr w:type="spellEnd"/>
      <w:r w:rsidR="00607451">
        <w:t xml:space="preserve"> on 1 April 2023.</w:t>
      </w:r>
    </w:p>
    <w:p w14:paraId="1A07D81F" w14:textId="77777777" w:rsidR="008B24C8" w:rsidRDefault="008B24C8" w:rsidP="00100DFC">
      <w:pPr>
        <w:pStyle w:val="ESHeading"/>
      </w:pPr>
      <w:r w:rsidRPr="008B24C8">
        <w:t>Consultation</w:t>
      </w:r>
    </w:p>
    <w:p w14:paraId="417D9FC0" w14:textId="4E6938DE" w:rsidR="00F76AFB" w:rsidRPr="00F76AFB" w:rsidRDefault="00F76AFB" w:rsidP="000554B1">
      <w:pPr>
        <w:pStyle w:val="ESPara"/>
        <w:rPr>
          <w:color w:val="000000" w:themeColor="text1"/>
        </w:rPr>
      </w:pPr>
      <w:r w:rsidRPr="00F76AFB">
        <w:rPr>
          <w:color w:val="000000" w:themeColor="text1"/>
        </w:rPr>
        <w:t xml:space="preserve">Consultation is unnecessary as the instrument is of a machinery nature and does not alter existing arrangements. </w:t>
      </w:r>
    </w:p>
    <w:p w14:paraId="65719C7A" w14:textId="4F290EF0" w:rsidR="000554B1" w:rsidRPr="00CB707E" w:rsidRDefault="0007410D" w:rsidP="000554B1">
      <w:pPr>
        <w:pStyle w:val="ESPara"/>
      </w:pPr>
      <w:r w:rsidRPr="00CB707E">
        <w:rPr>
          <w:color w:val="000000" w:themeColor="text1"/>
        </w:rPr>
        <w:t xml:space="preserve">The Office of Impact Analysis (OIA) was consulted and considered that the instrument dealt with matters of a minor nature and no regulatory impact statement was required. </w:t>
      </w:r>
    </w:p>
    <w:p w14:paraId="528CEB28" w14:textId="23284BCE" w:rsidR="000554B1" w:rsidRPr="00CB707E" w:rsidRDefault="000554B1" w:rsidP="000554B1">
      <w:pPr>
        <w:pStyle w:val="ESPara"/>
        <w:numPr>
          <w:ilvl w:val="0"/>
          <w:numId w:val="7"/>
        </w:numPr>
      </w:pPr>
      <w:r w:rsidRPr="00CB707E">
        <w:t xml:space="preserve">The </w:t>
      </w:r>
      <w:r w:rsidR="0007410D" w:rsidRPr="00CB707E">
        <w:t xml:space="preserve">OIA </w:t>
      </w:r>
      <w:r w:rsidRPr="00CB707E">
        <w:t xml:space="preserve">reference number is </w:t>
      </w:r>
      <w:r w:rsidR="0007410D" w:rsidRPr="00CB707E">
        <w:rPr>
          <w:color w:val="000000" w:themeColor="text1"/>
        </w:rPr>
        <w:t>OBPR23-04317</w:t>
      </w:r>
      <w:r w:rsidRPr="0007410D">
        <w:t xml:space="preserve"> </w:t>
      </w:r>
    </w:p>
    <w:p w14:paraId="4EF964DA" w14:textId="0D153F2B" w:rsidR="008C25F9" w:rsidRDefault="008C25F9" w:rsidP="00100DFC">
      <w:pPr>
        <w:pStyle w:val="ESHeading"/>
        <w:rPr>
          <w:b w:val="0"/>
          <w:u w:val="single"/>
        </w:rPr>
      </w:pPr>
      <w:r>
        <w:t>Details of the instrument</w:t>
      </w:r>
    </w:p>
    <w:p w14:paraId="03251789" w14:textId="2919F112" w:rsidR="008C25F9" w:rsidRDefault="008C25F9" w:rsidP="002B5083">
      <w:pPr>
        <w:pStyle w:val="ESPara"/>
        <w:rPr>
          <w:color w:val="000000" w:themeColor="text1"/>
        </w:rPr>
      </w:pPr>
      <w:r>
        <w:rPr>
          <w:color w:val="000000" w:themeColor="text1"/>
        </w:rPr>
        <w:t>Section 1 of the instrument sets out its name</w:t>
      </w:r>
      <w:r w:rsidRPr="00F76AFB">
        <w:rPr>
          <w:color w:val="000000" w:themeColor="text1"/>
        </w:rPr>
        <w:t xml:space="preserve">. </w:t>
      </w:r>
    </w:p>
    <w:p w14:paraId="63420DEA" w14:textId="771A853F" w:rsidR="008C25F9" w:rsidRDefault="008C25F9" w:rsidP="002B5083">
      <w:pPr>
        <w:pStyle w:val="ESPara"/>
        <w:rPr>
          <w:color w:val="000000" w:themeColor="text1"/>
        </w:rPr>
      </w:pPr>
      <w:r>
        <w:rPr>
          <w:color w:val="000000" w:themeColor="text1"/>
        </w:rPr>
        <w:t xml:space="preserve">Section 2 of the instrument provides that the instrument will commence the day after it is registered on the Federal Register of Legislation. </w:t>
      </w:r>
    </w:p>
    <w:p w14:paraId="4F76B520" w14:textId="040F89A0" w:rsidR="008C25F9" w:rsidRDefault="008C25F9" w:rsidP="002B5083">
      <w:pPr>
        <w:pStyle w:val="ESPara"/>
        <w:rPr>
          <w:color w:val="000000" w:themeColor="text1"/>
        </w:rPr>
      </w:pPr>
      <w:r>
        <w:rPr>
          <w:color w:val="000000" w:themeColor="text1"/>
        </w:rPr>
        <w:t xml:space="preserve">Section 3 of the instrument sets out definitions, and links the definition of ‘Australian Qualification Framework’ to the definition in the </w:t>
      </w:r>
      <w:r>
        <w:rPr>
          <w:i/>
          <w:color w:val="000000" w:themeColor="text1"/>
        </w:rPr>
        <w:t>Higher Education Support Act 2003</w:t>
      </w:r>
      <w:r>
        <w:rPr>
          <w:color w:val="000000" w:themeColor="text1"/>
        </w:rPr>
        <w:t>.</w:t>
      </w:r>
    </w:p>
    <w:p w14:paraId="631F84CF" w14:textId="27525D63" w:rsidR="008C25F9" w:rsidRDefault="008C25F9" w:rsidP="002B5083">
      <w:pPr>
        <w:pStyle w:val="ESPara"/>
        <w:rPr>
          <w:color w:val="000000" w:themeColor="text1"/>
        </w:rPr>
      </w:pPr>
      <w:r>
        <w:rPr>
          <w:color w:val="000000" w:themeColor="text1"/>
        </w:rPr>
        <w:t>Section 4 of the instrument provides that the previously mentioned qualifications</w:t>
      </w:r>
      <w:r w:rsidR="00FB63D2">
        <w:rPr>
          <w:color w:val="000000" w:themeColor="text1"/>
        </w:rPr>
        <w:t xml:space="preserve"> (see paragraph 5 above)</w:t>
      </w:r>
      <w:r>
        <w:rPr>
          <w:color w:val="000000" w:themeColor="text1"/>
        </w:rPr>
        <w:t xml:space="preserve"> are specified for the purpose of subclause 485.231(1) of Schedule 2 to the Migration Regulations.</w:t>
      </w:r>
    </w:p>
    <w:p w14:paraId="48213286" w14:textId="07A9AFE0" w:rsidR="008C25F9" w:rsidRDefault="008C25F9" w:rsidP="002B5083">
      <w:pPr>
        <w:pStyle w:val="ESPara"/>
        <w:rPr>
          <w:color w:val="000000" w:themeColor="text1"/>
        </w:rPr>
      </w:pPr>
      <w:r>
        <w:rPr>
          <w:color w:val="000000" w:themeColor="text1"/>
        </w:rPr>
        <w:t xml:space="preserve">Section 5 repeals the previous instrument, IMMI 13/013. </w:t>
      </w:r>
    </w:p>
    <w:p w14:paraId="13CCCCFD" w14:textId="6A30ADDF" w:rsidR="008C25F9" w:rsidRPr="002B5083" w:rsidRDefault="008C25F9" w:rsidP="002B5083">
      <w:pPr>
        <w:pStyle w:val="ESPara"/>
        <w:rPr>
          <w:color w:val="000000" w:themeColor="text1"/>
        </w:rPr>
      </w:pPr>
      <w:r>
        <w:rPr>
          <w:color w:val="000000" w:themeColor="text1"/>
        </w:rPr>
        <w:t>Section 6 is a savings provision which provides that anything done under IMMI 13/013 continues to be in effect as if it had been done under this instrument.</w:t>
      </w:r>
    </w:p>
    <w:p w14:paraId="03263A85" w14:textId="2822829C" w:rsidR="00AA4557" w:rsidRPr="00AA4557" w:rsidRDefault="00AA4557" w:rsidP="00100DFC">
      <w:pPr>
        <w:pStyle w:val="ESHeading"/>
      </w:pPr>
      <w:r>
        <w:t xml:space="preserve">Parliamentary scrutiny etc.  </w:t>
      </w:r>
    </w:p>
    <w:p w14:paraId="6C9FC3C0" w14:textId="517EB829" w:rsidR="00607451" w:rsidRDefault="00607451" w:rsidP="00607451">
      <w:pPr>
        <w:pStyle w:val="ESPara"/>
      </w:pPr>
      <w:r>
        <w:t xml:space="preserve">The instrument is exempt from disallowance under section 42 of the Legislation Act.  This is because a legislative instrument made under Schedule 2 of the Migration Regulations </w:t>
      </w:r>
      <w:r w:rsidR="00F35093">
        <w:t>i</w:t>
      </w:r>
      <w:r>
        <w:t xml:space="preserve">s prescribed by section 10, item 20(b) of the </w:t>
      </w:r>
      <w:r>
        <w:rPr>
          <w:i/>
        </w:rPr>
        <w:t>Legislation (Exemptions and Other Matters) Regulation 2015</w:t>
      </w:r>
      <w:r w:rsidR="00F35093">
        <w:rPr>
          <w:i/>
        </w:rPr>
        <w:t xml:space="preserve"> </w:t>
      </w:r>
      <w:r w:rsidR="00F35093">
        <w:t>as an instrument that is not subject to disallowance</w:t>
      </w:r>
      <w:r>
        <w:rPr>
          <w:i/>
        </w:rPr>
        <w:t>.</w:t>
      </w:r>
      <w:r>
        <w:t xml:space="preserve"> </w:t>
      </w:r>
    </w:p>
    <w:p w14:paraId="482588E0" w14:textId="77777777" w:rsidR="00607451" w:rsidRDefault="00607451" w:rsidP="00607451">
      <w:pPr>
        <w:pStyle w:val="ESPara"/>
      </w:pPr>
      <w:r>
        <w:t>As the instrument is exempt from disallowance, a State</w:t>
      </w:r>
      <w:r w:rsidR="003D3852">
        <w:t>ment</w:t>
      </w:r>
      <w:r>
        <w:t xml:space="preserve"> of Compatibility with Human Rights is not required. </w:t>
      </w:r>
    </w:p>
    <w:p w14:paraId="6300C7F9" w14:textId="056BD05E" w:rsidR="00915032" w:rsidRPr="00607451" w:rsidRDefault="00607451" w:rsidP="00607451">
      <w:pPr>
        <w:pStyle w:val="ESPara"/>
      </w:pPr>
      <w:r w:rsidRPr="00B75478">
        <w:t xml:space="preserve">The </w:t>
      </w:r>
      <w:r>
        <w:t>instrument was made by the Minister for Immigratio</w:t>
      </w:r>
      <w:bookmarkStart w:id="0" w:name="_GoBack"/>
      <w:bookmarkEnd w:id="0"/>
      <w:r>
        <w:t>n, Citizenship and Multicultural Affairs, in accordance with subclause 485.231(</w:t>
      </w:r>
      <w:r w:rsidR="003D3852">
        <w:t>1</w:t>
      </w:r>
      <w:r>
        <w:t xml:space="preserve">) of </w:t>
      </w:r>
      <w:r w:rsidR="003D3852">
        <w:t xml:space="preserve">Schedule 2 to </w:t>
      </w:r>
      <w:r>
        <w:t>the Migration Regulations.</w:t>
      </w:r>
    </w:p>
    <w:sectPr w:rsidR="00915032" w:rsidRPr="00607451" w:rsidSect="004F5CE4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0254C"/>
    <w:multiLevelType w:val="hybridMultilevel"/>
    <w:tmpl w:val="ECCA8DFE"/>
    <w:lvl w:ilvl="0" w:tplc="4D96F32A">
      <w:start w:val="1"/>
      <w:numFmt w:val="lowerLetter"/>
      <w:lvlText w:val="(%1)"/>
      <w:lvlJc w:val="left"/>
      <w:pPr>
        <w:ind w:left="572" w:hanging="430"/>
      </w:pPr>
      <w:rPr>
        <w:rFonts w:hint="default"/>
      </w:rPr>
    </w:lvl>
    <w:lvl w:ilvl="1" w:tplc="6434BED8">
      <w:start w:val="1"/>
      <w:numFmt w:val="lowerRoman"/>
      <w:lvlText w:val="(%2)"/>
      <w:lvlJc w:val="left"/>
      <w:pPr>
        <w:ind w:left="1222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9F42196"/>
    <w:multiLevelType w:val="hybridMultilevel"/>
    <w:tmpl w:val="779C29F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8A"/>
    <w:rsid w:val="00045735"/>
    <w:rsid w:val="000554B1"/>
    <w:rsid w:val="0007410D"/>
    <w:rsid w:val="000C739E"/>
    <w:rsid w:val="000D014F"/>
    <w:rsid w:val="00100DFC"/>
    <w:rsid w:val="0019164E"/>
    <w:rsid w:val="001B4C8A"/>
    <w:rsid w:val="002402E0"/>
    <w:rsid w:val="00263924"/>
    <w:rsid w:val="002B5083"/>
    <w:rsid w:val="002D167E"/>
    <w:rsid w:val="0037737C"/>
    <w:rsid w:val="003D3852"/>
    <w:rsid w:val="00421F06"/>
    <w:rsid w:val="00457D4A"/>
    <w:rsid w:val="00464080"/>
    <w:rsid w:val="004F324E"/>
    <w:rsid w:val="004F5CE4"/>
    <w:rsid w:val="00531962"/>
    <w:rsid w:val="00560B24"/>
    <w:rsid w:val="0057002B"/>
    <w:rsid w:val="005A3733"/>
    <w:rsid w:val="00604E06"/>
    <w:rsid w:val="00607451"/>
    <w:rsid w:val="006E35FD"/>
    <w:rsid w:val="00756216"/>
    <w:rsid w:val="007571A0"/>
    <w:rsid w:val="007A781B"/>
    <w:rsid w:val="007E4691"/>
    <w:rsid w:val="008077F5"/>
    <w:rsid w:val="008079D2"/>
    <w:rsid w:val="00825404"/>
    <w:rsid w:val="008661AB"/>
    <w:rsid w:val="0088407D"/>
    <w:rsid w:val="008B24C8"/>
    <w:rsid w:val="008B3726"/>
    <w:rsid w:val="008C25F9"/>
    <w:rsid w:val="00915032"/>
    <w:rsid w:val="00A328F2"/>
    <w:rsid w:val="00AA4557"/>
    <w:rsid w:val="00AA4F77"/>
    <w:rsid w:val="00B20D18"/>
    <w:rsid w:val="00B445D9"/>
    <w:rsid w:val="00B61BA2"/>
    <w:rsid w:val="00B65A06"/>
    <w:rsid w:val="00B75478"/>
    <w:rsid w:val="00BB0CF2"/>
    <w:rsid w:val="00BD598E"/>
    <w:rsid w:val="00BE3E7F"/>
    <w:rsid w:val="00C177D3"/>
    <w:rsid w:val="00C64632"/>
    <w:rsid w:val="00C81A5E"/>
    <w:rsid w:val="00C92737"/>
    <w:rsid w:val="00C930F2"/>
    <w:rsid w:val="00CB707E"/>
    <w:rsid w:val="00D11F1C"/>
    <w:rsid w:val="00D40E1E"/>
    <w:rsid w:val="00DC3399"/>
    <w:rsid w:val="00E03DCC"/>
    <w:rsid w:val="00E13255"/>
    <w:rsid w:val="00E45FE2"/>
    <w:rsid w:val="00E67FCA"/>
    <w:rsid w:val="00EA12C9"/>
    <w:rsid w:val="00F35093"/>
    <w:rsid w:val="00F550EB"/>
    <w:rsid w:val="00F76AFB"/>
    <w:rsid w:val="00FB63D2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AA496"/>
  <w15:chartTrackingRefBased/>
  <w15:docId w15:val="{7C5D84A6-AD29-453B-8E13-E819F474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paragraph" w:customStyle="1" w:styleId="LDSecHead">
    <w:name w:val="LDSecHead"/>
    <w:next w:val="Normal"/>
    <w:link w:val="LDSecHeadChar"/>
    <w:rsid w:val="00607451"/>
    <w:pPr>
      <w:keepNext/>
      <w:tabs>
        <w:tab w:val="left" w:pos="737"/>
      </w:tabs>
      <w:spacing w:before="180" w:after="60"/>
      <w:ind w:left="737" w:hanging="737"/>
      <w:outlineLvl w:val="3"/>
    </w:pPr>
    <w:rPr>
      <w:rFonts w:ascii="Arial" w:eastAsia="Calibri" w:hAnsi="Arial" w:cs="Arial"/>
      <w:b/>
    </w:rPr>
  </w:style>
  <w:style w:type="character" w:customStyle="1" w:styleId="LDSecHeadChar">
    <w:name w:val="LDSecHead Char"/>
    <w:link w:val="LDSecHead"/>
    <w:locked/>
    <w:rsid w:val="00607451"/>
    <w:rPr>
      <w:rFonts w:ascii="Arial" w:eastAsia="Calibri" w:hAnsi="Arial" w:cs="Arial"/>
      <w:b/>
    </w:rPr>
  </w:style>
  <w:style w:type="paragraph" w:styleId="NoSpacing">
    <w:name w:val="No Spacing"/>
    <w:uiPriority w:val="1"/>
    <w:qFormat/>
    <w:rsid w:val="00607451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paragraph">
    <w:name w:val="paragraph"/>
    <w:basedOn w:val="Normal"/>
    <w:rsid w:val="004F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55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0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47E0D-8B3F-47C4-B514-99CFA6FF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LEE</dc:creator>
  <cp:keywords/>
  <dc:description/>
  <cp:lastModifiedBy>Mariana LEE</cp:lastModifiedBy>
  <cp:revision>2</cp:revision>
  <dcterms:created xsi:type="dcterms:W3CDTF">2023-03-22T04:26:00Z</dcterms:created>
  <dcterms:modified xsi:type="dcterms:W3CDTF">2023-03-22T04:26:00Z</dcterms:modified>
</cp:coreProperties>
</file>