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65F44" w14:textId="77777777" w:rsidR="00E00750" w:rsidRPr="00D24F72" w:rsidRDefault="00E00750" w:rsidP="00E00750">
      <w:pPr>
        <w:pStyle w:val="Title"/>
        <w:rPr>
          <w:color w:val="000000" w:themeColor="text1"/>
        </w:rPr>
      </w:pPr>
      <w:bookmarkStart w:id="0" w:name="_GoBack"/>
      <w:bookmarkEnd w:id="0"/>
      <w:r w:rsidRPr="00D24F72">
        <w:rPr>
          <w:color w:val="000000" w:themeColor="text1"/>
        </w:rPr>
        <w:t xml:space="preserve">Explanatory Statement </w:t>
      </w:r>
    </w:p>
    <w:p w14:paraId="30D196C2" w14:textId="77777777" w:rsidR="00E00750" w:rsidRPr="00D24F72" w:rsidRDefault="00E00750" w:rsidP="00E00750">
      <w:pPr>
        <w:rPr>
          <w:color w:val="000000" w:themeColor="text1"/>
          <w:sz w:val="24"/>
        </w:rPr>
      </w:pPr>
    </w:p>
    <w:p w14:paraId="73916F68" w14:textId="77777777" w:rsidR="00E00750" w:rsidRPr="00D24F72" w:rsidRDefault="00D751F2" w:rsidP="004120B9">
      <w:pPr>
        <w:jc w:val="center"/>
        <w:rPr>
          <w:i/>
          <w:color w:val="000000" w:themeColor="text1"/>
          <w:sz w:val="24"/>
          <w:szCs w:val="24"/>
        </w:rPr>
      </w:pPr>
      <w:bookmarkStart w:id="1" w:name="_Toc113891895"/>
      <w:bookmarkStart w:id="2" w:name="_Toc113892419"/>
      <w:r w:rsidRPr="00D24F72">
        <w:rPr>
          <w:i/>
          <w:color w:val="000000" w:themeColor="text1"/>
          <w:sz w:val="24"/>
          <w:szCs w:val="24"/>
        </w:rPr>
        <w:t>Broadcasting Services Act 1992</w:t>
      </w:r>
      <w:bookmarkEnd w:id="1"/>
      <w:bookmarkEnd w:id="2"/>
    </w:p>
    <w:p w14:paraId="2D6BEE4E" w14:textId="77777777" w:rsidR="00E00750" w:rsidRPr="00D24F72" w:rsidRDefault="00E00750" w:rsidP="00E00750">
      <w:pPr>
        <w:rPr>
          <w:color w:val="000000" w:themeColor="text1"/>
        </w:rPr>
      </w:pPr>
    </w:p>
    <w:p w14:paraId="20A1F430" w14:textId="77777777" w:rsidR="00E00750" w:rsidRPr="00D24F72" w:rsidRDefault="002062BE" w:rsidP="00E00750">
      <w:pPr>
        <w:jc w:val="center"/>
        <w:rPr>
          <w:b/>
          <w:color w:val="000000" w:themeColor="text1"/>
          <w:sz w:val="28"/>
          <w:szCs w:val="28"/>
        </w:rPr>
      </w:pPr>
      <w:bookmarkStart w:id="3" w:name="_Hlk126661196"/>
      <w:r w:rsidRPr="00D24F72">
        <w:rPr>
          <w:b/>
          <w:color w:val="000000" w:themeColor="text1"/>
          <w:sz w:val="28"/>
          <w:szCs w:val="28"/>
        </w:rPr>
        <w:t>Broadcasting Services (Events) Notice 2023</w:t>
      </w:r>
      <w:bookmarkEnd w:id="3"/>
    </w:p>
    <w:p w14:paraId="43C41583" w14:textId="77777777" w:rsidR="007F6AB9" w:rsidRPr="00D24F72" w:rsidRDefault="007F6AB9" w:rsidP="007F6AB9">
      <w:pPr>
        <w:rPr>
          <w:color w:val="000000" w:themeColor="text1"/>
          <w:sz w:val="24"/>
        </w:rPr>
      </w:pPr>
    </w:p>
    <w:p w14:paraId="651EEB53" w14:textId="77777777" w:rsidR="007F6AB9" w:rsidRPr="00D24F72" w:rsidRDefault="007F6AB9" w:rsidP="007F6AB9">
      <w:pPr>
        <w:rPr>
          <w:color w:val="000000" w:themeColor="text1"/>
          <w:sz w:val="24"/>
        </w:rPr>
      </w:pPr>
    </w:p>
    <w:p w14:paraId="3ADF440A" w14:textId="587C2560" w:rsidR="00136308" w:rsidRPr="00D24F72" w:rsidRDefault="001C1979" w:rsidP="00136308">
      <w:pPr>
        <w:jc w:val="center"/>
        <w:rPr>
          <w:color w:val="000000" w:themeColor="text1"/>
          <w:sz w:val="24"/>
          <w:szCs w:val="24"/>
        </w:rPr>
      </w:pPr>
      <w:r w:rsidRPr="00D24F72">
        <w:rPr>
          <w:color w:val="000000" w:themeColor="text1"/>
          <w:sz w:val="24"/>
          <w:szCs w:val="24"/>
        </w:rPr>
        <w:t>Issued by the A</w:t>
      </w:r>
      <w:r w:rsidR="003D6754" w:rsidRPr="00D24F72">
        <w:rPr>
          <w:color w:val="000000" w:themeColor="text1"/>
          <w:sz w:val="24"/>
          <w:szCs w:val="24"/>
        </w:rPr>
        <w:t>uthority of the Minister for Commun</w:t>
      </w:r>
      <w:r w:rsidR="00BB5279" w:rsidRPr="00D24F72">
        <w:rPr>
          <w:color w:val="000000" w:themeColor="text1"/>
          <w:sz w:val="24"/>
          <w:szCs w:val="24"/>
        </w:rPr>
        <w:t>ications</w:t>
      </w:r>
    </w:p>
    <w:p w14:paraId="224201C9" w14:textId="77777777" w:rsidR="00E00750" w:rsidRPr="00D24F72" w:rsidRDefault="00E00750" w:rsidP="00E00750">
      <w:pPr>
        <w:rPr>
          <w:color w:val="000000" w:themeColor="text1"/>
          <w:sz w:val="24"/>
        </w:rPr>
      </w:pPr>
    </w:p>
    <w:p w14:paraId="594B40CD" w14:textId="77777777" w:rsidR="00E00750" w:rsidRPr="00D24F72" w:rsidRDefault="0014799A" w:rsidP="00E00750">
      <w:pPr>
        <w:rPr>
          <w:color w:val="000000" w:themeColor="text1"/>
          <w:sz w:val="24"/>
          <w:u w:val="single"/>
        </w:rPr>
      </w:pPr>
      <w:r w:rsidRPr="00D24F72">
        <w:rPr>
          <w:color w:val="000000" w:themeColor="text1"/>
          <w:sz w:val="24"/>
          <w:u w:val="single"/>
        </w:rPr>
        <w:t xml:space="preserve">Authority </w:t>
      </w:r>
    </w:p>
    <w:p w14:paraId="3701EEEF" w14:textId="77777777" w:rsidR="00E00750" w:rsidRPr="00D24F72" w:rsidRDefault="00E00750" w:rsidP="00E00750">
      <w:pPr>
        <w:rPr>
          <w:color w:val="000000" w:themeColor="text1"/>
          <w:sz w:val="24"/>
          <w:szCs w:val="24"/>
        </w:rPr>
      </w:pPr>
    </w:p>
    <w:p w14:paraId="60382755" w14:textId="77777777" w:rsidR="005914D6" w:rsidRDefault="002062BE" w:rsidP="00E00750">
      <w:pPr>
        <w:rPr>
          <w:color w:val="000000" w:themeColor="text1"/>
          <w:sz w:val="24"/>
          <w:szCs w:val="24"/>
        </w:rPr>
      </w:pPr>
      <w:bookmarkStart w:id="4" w:name="_Hlk129786456"/>
      <w:r w:rsidRPr="00D24F72">
        <w:rPr>
          <w:color w:val="000000" w:themeColor="text1"/>
          <w:sz w:val="24"/>
          <w:szCs w:val="24"/>
        </w:rPr>
        <w:t xml:space="preserve">The </w:t>
      </w:r>
      <w:r w:rsidRPr="0014543A">
        <w:rPr>
          <w:i/>
          <w:color w:val="000000" w:themeColor="text1"/>
          <w:sz w:val="24"/>
          <w:szCs w:val="24"/>
        </w:rPr>
        <w:t>Broadcasting Services (Events) Notice 2023</w:t>
      </w:r>
      <w:r w:rsidRPr="00D24F72">
        <w:rPr>
          <w:color w:val="000000" w:themeColor="text1"/>
          <w:sz w:val="24"/>
          <w:szCs w:val="24"/>
        </w:rPr>
        <w:t xml:space="preserve"> (the Notice) is made by the Minister for Communications (the Minister) under subsection 115(1) of the </w:t>
      </w:r>
      <w:r w:rsidRPr="00D05090">
        <w:rPr>
          <w:i/>
          <w:color w:val="000000" w:themeColor="text1"/>
          <w:sz w:val="24"/>
          <w:szCs w:val="24"/>
        </w:rPr>
        <w:t>Broadcasting Services Act 1992</w:t>
      </w:r>
      <w:r w:rsidRPr="00D24F72">
        <w:rPr>
          <w:color w:val="000000" w:themeColor="text1"/>
          <w:sz w:val="24"/>
          <w:szCs w:val="24"/>
        </w:rPr>
        <w:t xml:space="preserve"> (the </w:t>
      </w:r>
      <w:r w:rsidR="00E64079">
        <w:rPr>
          <w:color w:val="000000" w:themeColor="text1"/>
          <w:sz w:val="24"/>
          <w:szCs w:val="24"/>
        </w:rPr>
        <w:t>Act</w:t>
      </w:r>
      <w:r w:rsidRPr="00D24F72">
        <w:rPr>
          <w:color w:val="000000" w:themeColor="text1"/>
          <w:sz w:val="24"/>
          <w:szCs w:val="24"/>
        </w:rPr>
        <w:t>).</w:t>
      </w:r>
      <w:r w:rsidR="00D05090">
        <w:rPr>
          <w:color w:val="000000" w:themeColor="text1"/>
          <w:sz w:val="24"/>
          <w:szCs w:val="24"/>
        </w:rPr>
        <w:t xml:space="preserve"> </w:t>
      </w:r>
    </w:p>
    <w:p w14:paraId="6549BFEB" w14:textId="77777777" w:rsidR="00E00750" w:rsidRPr="00D24F72" w:rsidRDefault="00E00750" w:rsidP="00E00750">
      <w:pPr>
        <w:rPr>
          <w:color w:val="000000" w:themeColor="text1"/>
          <w:sz w:val="24"/>
          <w:szCs w:val="24"/>
        </w:rPr>
      </w:pPr>
    </w:p>
    <w:p w14:paraId="5954849E" w14:textId="77777777" w:rsidR="0014799A" w:rsidRPr="00D24F72" w:rsidRDefault="0014799A" w:rsidP="001318EF">
      <w:pPr>
        <w:rPr>
          <w:color w:val="000000" w:themeColor="text1"/>
          <w:sz w:val="24"/>
          <w:szCs w:val="24"/>
          <w:u w:val="single"/>
        </w:rPr>
      </w:pPr>
      <w:r w:rsidRPr="00D24F72">
        <w:rPr>
          <w:color w:val="000000" w:themeColor="text1"/>
          <w:sz w:val="24"/>
          <w:szCs w:val="24"/>
          <w:u w:val="single"/>
        </w:rPr>
        <w:t xml:space="preserve">Purpose </w:t>
      </w:r>
    </w:p>
    <w:p w14:paraId="1A7090F8" w14:textId="77777777" w:rsidR="00A00F9D" w:rsidRDefault="00A00F9D" w:rsidP="00A00F9D">
      <w:pPr>
        <w:shd w:val="clear" w:color="auto" w:fill="FFFFFF"/>
        <w:rPr>
          <w:color w:val="000000"/>
          <w:sz w:val="24"/>
          <w:szCs w:val="24"/>
        </w:rPr>
      </w:pPr>
    </w:p>
    <w:p w14:paraId="6B763F53" w14:textId="77777777" w:rsidR="00A00F9D" w:rsidRDefault="00A00F9D" w:rsidP="00A00F9D">
      <w:pPr>
        <w:shd w:val="clear" w:color="auto" w:fill="FFFFFF"/>
        <w:rPr>
          <w:color w:val="000000"/>
          <w:sz w:val="24"/>
          <w:szCs w:val="24"/>
          <w:lang w:val="en-GB"/>
        </w:rPr>
      </w:pPr>
      <w:bookmarkStart w:id="5" w:name="_Hlk129789014"/>
      <w:r w:rsidRPr="0059350E">
        <w:rPr>
          <w:color w:val="000000"/>
          <w:sz w:val="24"/>
          <w:szCs w:val="24"/>
        </w:rPr>
        <w:t xml:space="preserve">Subsection 115(1) of the </w:t>
      </w:r>
      <w:r>
        <w:rPr>
          <w:color w:val="000000"/>
          <w:sz w:val="24"/>
          <w:szCs w:val="24"/>
        </w:rPr>
        <w:t>Act</w:t>
      </w:r>
      <w:r w:rsidRPr="0059350E">
        <w:rPr>
          <w:color w:val="000000"/>
          <w:sz w:val="24"/>
          <w:szCs w:val="24"/>
        </w:rPr>
        <w:t xml:space="preserve"> provides that the Minister may give notice, by legislative instrument, specifying an event, or events of a kind, the televising of which should, in the Minister’s opinion, be available free to the general public. </w:t>
      </w:r>
      <w:r w:rsidRPr="00B47683">
        <w:rPr>
          <w:color w:val="000000"/>
          <w:sz w:val="24"/>
          <w:szCs w:val="24"/>
          <w:lang w:val="en-GB"/>
        </w:rPr>
        <w:t xml:space="preserve">A notice made under subsection 115(1) of the </w:t>
      </w:r>
      <w:r>
        <w:rPr>
          <w:color w:val="000000"/>
          <w:sz w:val="24"/>
          <w:szCs w:val="24"/>
          <w:lang w:val="en-GB"/>
        </w:rPr>
        <w:t>Act</w:t>
      </w:r>
      <w:r w:rsidRPr="00B47683">
        <w:rPr>
          <w:color w:val="000000"/>
          <w:sz w:val="24"/>
          <w:szCs w:val="24"/>
          <w:lang w:val="en-GB"/>
        </w:rPr>
        <w:t xml:space="preserve"> is commonly known as the </w:t>
      </w:r>
      <w:r w:rsidR="00E41020">
        <w:rPr>
          <w:color w:val="000000"/>
          <w:sz w:val="24"/>
          <w:szCs w:val="24"/>
          <w:lang w:val="en-GB"/>
        </w:rPr>
        <w:t>‘</w:t>
      </w:r>
      <w:r w:rsidRPr="00B47683">
        <w:rPr>
          <w:color w:val="000000"/>
          <w:sz w:val="24"/>
          <w:szCs w:val="24"/>
          <w:lang w:val="en-GB"/>
        </w:rPr>
        <w:t>anti-siphoning list</w:t>
      </w:r>
      <w:r w:rsidR="00E41020">
        <w:rPr>
          <w:color w:val="000000"/>
          <w:sz w:val="24"/>
          <w:szCs w:val="24"/>
          <w:lang w:val="en-GB"/>
        </w:rPr>
        <w:t>’</w:t>
      </w:r>
      <w:r w:rsidR="002A4BC0">
        <w:rPr>
          <w:color w:val="000000"/>
          <w:sz w:val="24"/>
          <w:szCs w:val="24"/>
          <w:lang w:val="en-GB"/>
        </w:rPr>
        <w:t xml:space="preserve"> </w:t>
      </w:r>
      <w:r w:rsidR="00C80B31">
        <w:rPr>
          <w:color w:val="000000"/>
          <w:sz w:val="24"/>
          <w:szCs w:val="24"/>
          <w:lang w:val="en-GB"/>
        </w:rPr>
        <w:t>(</w:t>
      </w:r>
      <w:r w:rsidR="002A4BC0">
        <w:rPr>
          <w:color w:val="000000"/>
          <w:sz w:val="24"/>
          <w:szCs w:val="24"/>
          <w:lang w:val="en-GB"/>
        </w:rPr>
        <w:t>the list</w:t>
      </w:r>
      <w:r w:rsidR="00C80B31">
        <w:rPr>
          <w:color w:val="000000"/>
          <w:sz w:val="24"/>
          <w:szCs w:val="24"/>
          <w:lang w:val="en-GB"/>
        </w:rPr>
        <w:t>)</w:t>
      </w:r>
      <w:r w:rsidRPr="00B47683">
        <w:rPr>
          <w:color w:val="000000"/>
          <w:sz w:val="24"/>
          <w:szCs w:val="24"/>
          <w:lang w:val="en-GB"/>
        </w:rPr>
        <w:t>.</w:t>
      </w:r>
      <w:r w:rsidR="000F4E74" w:rsidRPr="000F4E74">
        <w:rPr>
          <w:color w:val="000000" w:themeColor="text1"/>
          <w:sz w:val="24"/>
          <w:szCs w:val="24"/>
        </w:rPr>
        <w:t xml:space="preserve"> </w:t>
      </w:r>
      <w:r w:rsidR="000F4E74">
        <w:rPr>
          <w:color w:val="000000" w:themeColor="text1"/>
          <w:sz w:val="24"/>
          <w:szCs w:val="24"/>
        </w:rPr>
        <w:t>The anti</w:t>
      </w:r>
      <w:r w:rsidR="000F4E74">
        <w:rPr>
          <w:color w:val="000000" w:themeColor="text1"/>
          <w:sz w:val="24"/>
          <w:szCs w:val="24"/>
        </w:rPr>
        <w:noBreakHyphen/>
        <w:t xml:space="preserve">siphoning list forms an integral part of the anti-siphoning scheme (as set out in </w:t>
      </w:r>
      <w:r w:rsidR="000F4E74" w:rsidRPr="00EB6FBD">
        <w:rPr>
          <w:color w:val="000000" w:themeColor="text1"/>
          <w:sz w:val="24"/>
        </w:rPr>
        <w:t xml:space="preserve">section </w:t>
      </w:r>
      <w:r w:rsidR="000F4E74">
        <w:rPr>
          <w:color w:val="000000" w:themeColor="text1"/>
          <w:sz w:val="24"/>
        </w:rPr>
        <w:t>115</w:t>
      </w:r>
      <w:r w:rsidR="000F4E74" w:rsidRPr="00EB6FBD">
        <w:rPr>
          <w:color w:val="000000" w:themeColor="text1"/>
          <w:sz w:val="24"/>
        </w:rPr>
        <w:t xml:space="preserve"> of the Act and paragraph 10(1)(e) of Schedule 2 to the Act</w:t>
      </w:r>
      <w:r w:rsidR="000F4E74">
        <w:rPr>
          <w:color w:val="000000" w:themeColor="text1"/>
          <w:sz w:val="24"/>
        </w:rPr>
        <w:t>).</w:t>
      </w:r>
    </w:p>
    <w:p w14:paraId="32684D10" w14:textId="77777777" w:rsidR="00A00F9D" w:rsidRDefault="00A00F9D" w:rsidP="00CB39C0">
      <w:pPr>
        <w:shd w:val="clear" w:color="auto" w:fill="FFFFFF"/>
        <w:rPr>
          <w:color w:val="000000"/>
          <w:sz w:val="24"/>
          <w:szCs w:val="24"/>
          <w:lang w:val="en-GB"/>
        </w:rPr>
      </w:pPr>
      <w:r>
        <w:rPr>
          <w:color w:val="000000"/>
          <w:sz w:val="24"/>
          <w:szCs w:val="24"/>
          <w:lang w:val="en-GB"/>
        </w:rPr>
        <w:t xml:space="preserve"> </w:t>
      </w:r>
    </w:p>
    <w:p w14:paraId="666126AB" w14:textId="77777777" w:rsidR="00CB39C0" w:rsidRDefault="00CB39C0" w:rsidP="00CB39C0">
      <w:pPr>
        <w:shd w:val="clear" w:color="auto" w:fill="FFFFFF"/>
        <w:rPr>
          <w:color w:val="000000" w:themeColor="text1"/>
          <w:sz w:val="24"/>
          <w:szCs w:val="24"/>
        </w:rPr>
      </w:pPr>
      <w:r w:rsidRPr="00D05090">
        <w:rPr>
          <w:color w:val="000000"/>
          <w:sz w:val="24"/>
          <w:szCs w:val="24"/>
          <w:lang w:val="en-GB"/>
        </w:rPr>
        <w:t xml:space="preserve">The </w:t>
      </w:r>
      <w:r>
        <w:rPr>
          <w:color w:val="000000" w:themeColor="text1"/>
          <w:sz w:val="24"/>
          <w:szCs w:val="24"/>
        </w:rPr>
        <w:t>Notice</w:t>
      </w:r>
      <w:r w:rsidRPr="00D24F72">
        <w:rPr>
          <w:color w:val="000000" w:themeColor="text1"/>
          <w:sz w:val="24"/>
          <w:szCs w:val="24"/>
        </w:rPr>
        <w:t xml:space="preserve"> </w:t>
      </w:r>
      <w:r w:rsidRPr="00D05090">
        <w:rPr>
          <w:color w:val="000000"/>
          <w:sz w:val="24"/>
          <w:szCs w:val="24"/>
          <w:lang w:val="en-GB"/>
        </w:rPr>
        <w:t xml:space="preserve">revokes </w:t>
      </w:r>
      <w:r>
        <w:rPr>
          <w:color w:val="000000"/>
          <w:sz w:val="24"/>
          <w:szCs w:val="24"/>
          <w:lang w:val="en-GB"/>
        </w:rPr>
        <w:t xml:space="preserve">and remakes </w:t>
      </w:r>
      <w:r w:rsidRPr="00D05090">
        <w:rPr>
          <w:color w:val="000000"/>
          <w:sz w:val="24"/>
          <w:szCs w:val="24"/>
          <w:lang w:val="en-GB"/>
        </w:rPr>
        <w:t>the</w:t>
      </w:r>
      <w:r w:rsidRPr="0014543A">
        <w:rPr>
          <w:i/>
          <w:color w:val="000000"/>
          <w:sz w:val="24"/>
          <w:szCs w:val="24"/>
          <w:lang w:val="en-GB"/>
        </w:rPr>
        <w:t xml:space="preserve"> Broadcasting Services (Events) Notice (No. 1) 2010</w:t>
      </w:r>
      <w:r>
        <w:rPr>
          <w:color w:val="000000"/>
          <w:sz w:val="24"/>
          <w:szCs w:val="24"/>
          <w:lang w:val="en-GB"/>
        </w:rPr>
        <w:t xml:space="preserve"> (the 2010 Notice) – </w:t>
      </w:r>
      <w:r w:rsidRPr="00D05090">
        <w:rPr>
          <w:color w:val="000000"/>
          <w:sz w:val="24"/>
          <w:szCs w:val="24"/>
          <w:lang w:val="en-GB"/>
        </w:rPr>
        <w:t xml:space="preserve">which </w:t>
      </w:r>
      <w:r>
        <w:rPr>
          <w:color w:val="000000"/>
          <w:sz w:val="24"/>
          <w:szCs w:val="24"/>
          <w:lang w:val="en-GB"/>
        </w:rPr>
        <w:t>i</w:t>
      </w:r>
      <w:r w:rsidRPr="00D05090">
        <w:rPr>
          <w:color w:val="000000"/>
          <w:sz w:val="24"/>
          <w:szCs w:val="24"/>
          <w:lang w:val="en-GB"/>
        </w:rPr>
        <w:t xml:space="preserve">s due to expire on 1 </w:t>
      </w:r>
      <w:r>
        <w:rPr>
          <w:color w:val="000000"/>
          <w:sz w:val="24"/>
          <w:szCs w:val="24"/>
          <w:lang w:val="en-GB"/>
        </w:rPr>
        <w:t>April</w:t>
      </w:r>
      <w:r w:rsidRPr="00D05090">
        <w:rPr>
          <w:color w:val="000000"/>
          <w:sz w:val="24"/>
          <w:szCs w:val="24"/>
          <w:lang w:val="en-GB"/>
        </w:rPr>
        <w:t xml:space="preserve"> 20</w:t>
      </w:r>
      <w:r>
        <w:rPr>
          <w:color w:val="000000"/>
          <w:sz w:val="24"/>
          <w:szCs w:val="24"/>
          <w:lang w:val="en-GB"/>
        </w:rPr>
        <w:t>23 – with</w:t>
      </w:r>
      <w:r w:rsidRPr="00A37BBF">
        <w:rPr>
          <w:color w:val="000000" w:themeColor="text1"/>
          <w:sz w:val="24"/>
          <w:szCs w:val="24"/>
        </w:rPr>
        <w:t xml:space="preserve"> </w:t>
      </w:r>
      <w:r>
        <w:rPr>
          <w:color w:val="000000" w:themeColor="text1"/>
          <w:sz w:val="24"/>
          <w:szCs w:val="24"/>
        </w:rPr>
        <w:t>m</w:t>
      </w:r>
      <w:r w:rsidRPr="00A37BBF">
        <w:rPr>
          <w:color w:val="000000" w:themeColor="text1"/>
          <w:sz w:val="24"/>
          <w:szCs w:val="24"/>
        </w:rPr>
        <w:t>inor</w:t>
      </w:r>
      <w:r w:rsidRPr="00A37BBF">
        <w:rPr>
          <w:sz w:val="24"/>
          <w:szCs w:val="24"/>
        </w:rPr>
        <w:t xml:space="preserve"> amendments</w:t>
      </w:r>
      <w:r>
        <w:rPr>
          <w:sz w:val="24"/>
          <w:szCs w:val="24"/>
        </w:rPr>
        <w:t xml:space="preserve"> </w:t>
      </w:r>
      <w:r w:rsidRPr="00A37BBF">
        <w:rPr>
          <w:sz w:val="24"/>
          <w:szCs w:val="24"/>
        </w:rPr>
        <w:t>to update out</w:t>
      </w:r>
      <w:r w:rsidRPr="00A37BBF">
        <w:rPr>
          <w:sz w:val="24"/>
          <w:szCs w:val="24"/>
        </w:rPr>
        <w:noBreakHyphen/>
        <w:t>of</w:t>
      </w:r>
      <w:r w:rsidRPr="00A37BBF">
        <w:rPr>
          <w:sz w:val="24"/>
          <w:szCs w:val="24"/>
        </w:rPr>
        <w:noBreakHyphen/>
        <w:t>date names of sporting bodies and competitions</w:t>
      </w:r>
      <w:r w:rsidRPr="00A37BBF">
        <w:rPr>
          <w:color w:val="000000" w:themeColor="text1"/>
          <w:sz w:val="24"/>
          <w:szCs w:val="24"/>
        </w:rPr>
        <w:t>.</w:t>
      </w:r>
      <w:r w:rsidR="00720369">
        <w:rPr>
          <w:color w:val="000000" w:themeColor="text1"/>
          <w:sz w:val="24"/>
          <w:szCs w:val="24"/>
        </w:rPr>
        <w:t xml:space="preserve"> </w:t>
      </w:r>
    </w:p>
    <w:p w14:paraId="38154F61" w14:textId="77777777" w:rsidR="00A00F9D" w:rsidRPr="00A00F9D" w:rsidRDefault="00A00F9D" w:rsidP="00A00F9D">
      <w:pPr>
        <w:shd w:val="clear" w:color="auto" w:fill="FFFFFF"/>
        <w:rPr>
          <w:color w:val="000000"/>
          <w:sz w:val="24"/>
          <w:szCs w:val="24"/>
        </w:rPr>
      </w:pPr>
    </w:p>
    <w:p w14:paraId="24930D3D" w14:textId="77777777" w:rsidR="00626447" w:rsidRDefault="00A00F9D" w:rsidP="00A00F9D">
      <w:pPr>
        <w:shd w:val="clear" w:color="auto" w:fill="FFFFFF"/>
        <w:rPr>
          <w:color w:val="000000"/>
          <w:sz w:val="24"/>
          <w:szCs w:val="24"/>
          <w:lang w:val="en-GB"/>
        </w:rPr>
      </w:pPr>
      <w:bookmarkStart w:id="6" w:name="_Hlk129792867"/>
      <w:r w:rsidRPr="004131AE">
        <w:rPr>
          <w:color w:val="000000"/>
          <w:sz w:val="24"/>
          <w:lang w:val="en-GB"/>
        </w:rPr>
        <w:t xml:space="preserve">The purpose of the Notice is </w:t>
      </w:r>
      <w:r w:rsidR="006D5AFD" w:rsidRPr="00D525B7">
        <w:rPr>
          <w:color w:val="000000"/>
          <w:sz w:val="24"/>
          <w:szCs w:val="24"/>
          <w:lang w:val="en-GB"/>
        </w:rPr>
        <w:t>to maintain the</w:t>
      </w:r>
      <w:r w:rsidR="006D5AFD">
        <w:rPr>
          <w:color w:val="000000"/>
          <w:sz w:val="24"/>
          <w:szCs w:val="24"/>
          <w:lang w:val="en-GB"/>
        </w:rPr>
        <w:t xml:space="preserve"> events listed in the 2010 Notice</w:t>
      </w:r>
      <w:r w:rsidR="006D5AFD">
        <w:rPr>
          <w:color w:val="000000"/>
          <w:sz w:val="24"/>
          <w:lang w:val="en-GB"/>
        </w:rPr>
        <w:t xml:space="preserve"> </w:t>
      </w:r>
      <w:r w:rsidR="00720369">
        <w:rPr>
          <w:color w:val="000000"/>
          <w:sz w:val="24"/>
          <w:lang w:val="en-GB"/>
        </w:rPr>
        <w:t>for a period of 3</w:t>
      </w:r>
      <w:r w:rsidR="00FF54A7">
        <w:rPr>
          <w:color w:val="000000"/>
          <w:sz w:val="24"/>
          <w:lang w:val="en-GB"/>
        </w:rPr>
        <w:t> </w:t>
      </w:r>
      <w:r w:rsidR="00720369">
        <w:rPr>
          <w:color w:val="000000"/>
          <w:sz w:val="24"/>
          <w:lang w:val="en-GB"/>
        </w:rPr>
        <w:t xml:space="preserve">years </w:t>
      </w:r>
      <w:r w:rsidR="003C40B4" w:rsidRPr="004131AE">
        <w:rPr>
          <w:color w:val="000000"/>
          <w:sz w:val="24"/>
          <w:lang w:val="en-GB"/>
        </w:rPr>
        <w:t>(and</w:t>
      </w:r>
      <w:r w:rsidR="00626447" w:rsidRPr="004131AE">
        <w:rPr>
          <w:color w:val="000000"/>
          <w:sz w:val="24"/>
          <w:lang w:val="en-GB"/>
        </w:rPr>
        <w:t xml:space="preserve">, in turn, the </w:t>
      </w:r>
      <w:r w:rsidR="003C40B4" w:rsidRPr="004131AE">
        <w:rPr>
          <w:color w:val="000000"/>
          <w:sz w:val="24"/>
          <w:lang w:val="en-GB"/>
        </w:rPr>
        <w:t xml:space="preserve">operation of the anti-siphoning scheme) while </w:t>
      </w:r>
      <w:r w:rsidR="00626447" w:rsidRPr="004131AE">
        <w:rPr>
          <w:color w:val="000000"/>
          <w:sz w:val="24"/>
          <w:lang w:val="en-GB"/>
        </w:rPr>
        <w:t xml:space="preserve">broader legislative reforms to the </w:t>
      </w:r>
      <w:r w:rsidR="008C3FDE">
        <w:rPr>
          <w:color w:val="000000"/>
          <w:sz w:val="24"/>
          <w:lang w:val="en-GB"/>
        </w:rPr>
        <w:t xml:space="preserve">anti-siphoning </w:t>
      </w:r>
      <w:r w:rsidR="00626447" w:rsidRPr="004131AE">
        <w:rPr>
          <w:color w:val="000000"/>
          <w:sz w:val="24"/>
          <w:lang w:val="en-GB"/>
        </w:rPr>
        <w:t>scheme are considered.</w:t>
      </w:r>
      <w:r w:rsidR="00626447">
        <w:rPr>
          <w:color w:val="000000"/>
          <w:sz w:val="24"/>
          <w:szCs w:val="24"/>
          <w:lang w:val="en-GB"/>
        </w:rPr>
        <w:t xml:space="preserve"> </w:t>
      </w:r>
    </w:p>
    <w:bookmarkEnd w:id="6"/>
    <w:p w14:paraId="386F9E33" w14:textId="77777777" w:rsidR="00A00F9D" w:rsidRDefault="00A00F9D" w:rsidP="00E00750">
      <w:pPr>
        <w:rPr>
          <w:color w:val="000000" w:themeColor="text1"/>
          <w:sz w:val="24"/>
          <w:szCs w:val="24"/>
        </w:rPr>
      </w:pPr>
    </w:p>
    <w:p w14:paraId="2D14D77B" w14:textId="77777777" w:rsidR="00404192" w:rsidRPr="00D24F72" w:rsidRDefault="00404192" w:rsidP="00E00750">
      <w:pPr>
        <w:rPr>
          <w:color w:val="000000" w:themeColor="text1"/>
          <w:sz w:val="24"/>
          <w:szCs w:val="24"/>
        </w:rPr>
      </w:pPr>
      <w:r w:rsidRPr="00D24F72">
        <w:rPr>
          <w:color w:val="000000" w:themeColor="text1"/>
          <w:sz w:val="24"/>
          <w:szCs w:val="24"/>
        </w:rPr>
        <w:t xml:space="preserve">The notes on the provisions of the </w:t>
      </w:r>
      <w:r w:rsidR="00D24F72" w:rsidRPr="00D24F72">
        <w:rPr>
          <w:color w:val="000000" w:themeColor="text1"/>
          <w:sz w:val="24"/>
          <w:szCs w:val="24"/>
        </w:rPr>
        <w:t>Notice</w:t>
      </w:r>
      <w:r w:rsidRPr="00D24F72">
        <w:rPr>
          <w:color w:val="000000" w:themeColor="text1"/>
          <w:sz w:val="24"/>
          <w:szCs w:val="24"/>
        </w:rPr>
        <w:t xml:space="preserve"> are set out in </w:t>
      </w:r>
      <w:r w:rsidRPr="00D24F72">
        <w:rPr>
          <w:b/>
          <w:color w:val="000000" w:themeColor="text1"/>
          <w:sz w:val="24"/>
          <w:szCs w:val="24"/>
          <w:u w:val="single"/>
        </w:rPr>
        <w:t>Attachment A</w:t>
      </w:r>
      <w:r w:rsidRPr="00D24F72">
        <w:rPr>
          <w:color w:val="000000" w:themeColor="text1"/>
          <w:sz w:val="24"/>
          <w:szCs w:val="24"/>
        </w:rPr>
        <w:t>.</w:t>
      </w:r>
    </w:p>
    <w:p w14:paraId="139B5211" w14:textId="77777777" w:rsidR="00404192" w:rsidRPr="00D24F72" w:rsidRDefault="00404192" w:rsidP="00E00750">
      <w:pPr>
        <w:rPr>
          <w:color w:val="000000" w:themeColor="text1"/>
          <w:sz w:val="24"/>
          <w:szCs w:val="24"/>
        </w:rPr>
      </w:pPr>
    </w:p>
    <w:p w14:paraId="48A81B7C" w14:textId="77777777" w:rsidR="00E00750" w:rsidRPr="00D24F72" w:rsidRDefault="00E00750" w:rsidP="00E00750">
      <w:pPr>
        <w:rPr>
          <w:color w:val="000000" w:themeColor="text1"/>
          <w:sz w:val="24"/>
          <w:szCs w:val="24"/>
        </w:rPr>
      </w:pPr>
      <w:r w:rsidRPr="00D24F72">
        <w:rPr>
          <w:color w:val="000000" w:themeColor="text1"/>
          <w:sz w:val="24"/>
          <w:szCs w:val="24"/>
        </w:rPr>
        <w:t xml:space="preserve">This </w:t>
      </w:r>
      <w:r w:rsidR="002131AC" w:rsidRPr="00D24F72">
        <w:rPr>
          <w:color w:val="000000" w:themeColor="text1"/>
          <w:sz w:val="24"/>
          <w:szCs w:val="24"/>
        </w:rPr>
        <w:t xml:space="preserve">instrument </w:t>
      </w:r>
      <w:r w:rsidRPr="00D24F72">
        <w:rPr>
          <w:color w:val="000000" w:themeColor="text1"/>
          <w:sz w:val="24"/>
          <w:szCs w:val="24"/>
        </w:rPr>
        <w:t xml:space="preserve">is a legislative instrument for the purposes of </w:t>
      </w:r>
      <w:r w:rsidR="00623BEB" w:rsidRPr="00D24F72">
        <w:rPr>
          <w:color w:val="000000" w:themeColor="text1"/>
          <w:sz w:val="24"/>
          <w:szCs w:val="24"/>
        </w:rPr>
        <w:t>section 8 of</w:t>
      </w:r>
      <w:r w:rsidR="00893412" w:rsidRPr="00D24F72">
        <w:rPr>
          <w:color w:val="000000" w:themeColor="text1"/>
          <w:sz w:val="24"/>
          <w:szCs w:val="24"/>
        </w:rPr>
        <w:t xml:space="preserve"> </w:t>
      </w:r>
      <w:r w:rsidRPr="00D24F72">
        <w:rPr>
          <w:color w:val="000000" w:themeColor="text1"/>
          <w:sz w:val="24"/>
          <w:szCs w:val="24"/>
        </w:rPr>
        <w:t>the</w:t>
      </w:r>
      <w:r w:rsidR="00893412" w:rsidRPr="00D24F72">
        <w:rPr>
          <w:color w:val="000000" w:themeColor="text1"/>
          <w:sz w:val="24"/>
          <w:szCs w:val="24"/>
        </w:rPr>
        <w:t xml:space="preserve"> </w:t>
      </w:r>
      <w:r w:rsidR="00623BEB" w:rsidRPr="00D24F72">
        <w:rPr>
          <w:i/>
          <w:color w:val="000000" w:themeColor="text1"/>
          <w:sz w:val="24"/>
          <w:szCs w:val="24"/>
        </w:rPr>
        <w:t>Legislation</w:t>
      </w:r>
      <w:r w:rsidR="00893412" w:rsidRPr="00D24F72">
        <w:rPr>
          <w:i/>
          <w:color w:val="000000" w:themeColor="text1"/>
          <w:sz w:val="24"/>
          <w:szCs w:val="24"/>
        </w:rPr>
        <w:t> </w:t>
      </w:r>
      <w:r w:rsidRPr="00D24F72">
        <w:rPr>
          <w:i/>
          <w:color w:val="000000" w:themeColor="text1"/>
          <w:sz w:val="24"/>
          <w:szCs w:val="24"/>
        </w:rPr>
        <w:t>Act</w:t>
      </w:r>
      <w:r w:rsidR="005914D6">
        <w:rPr>
          <w:i/>
          <w:color w:val="000000" w:themeColor="text1"/>
          <w:sz w:val="24"/>
          <w:szCs w:val="24"/>
        </w:rPr>
        <w:t> </w:t>
      </w:r>
      <w:r w:rsidRPr="00D24F72">
        <w:rPr>
          <w:i/>
          <w:color w:val="000000" w:themeColor="text1"/>
          <w:sz w:val="24"/>
          <w:szCs w:val="24"/>
        </w:rPr>
        <w:t>2003</w:t>
      </w:r>
      <w:r w:rsidRPr="00D24F72">
        <w:rPr>
          <w:color w:val="000000" w:themeColor="text1"/>
          <w:sz w:val="24"/>
          <w:szCs w:val="24"/>
        </w:rPr>
        <w:t>.</w:t>
      </w:r>
    </w:p>
    <w:p w14:paraId="74333E8F" w14:textId="77777777" w:rsidR="002131AC" w:rsidRPr="00D24F72" w:rsidRDefault="002131AC" w:rsidP="00E00750">
      <w:pPr>
        <w:rPr>
          <w:color w:val="000000" w:themeColor="text1"/>
          <w:sz w:val="24"/>
          <w:szCs w:val="24"/>
        </w:rPr>
      </w:pPr>
    </w:p>
    <w:p w14:paraId="6CF3DDF8" w14:textId="77777777" w:rsidR="00E00750" w:rsidRPr="00D24F72" w:rsidRDefault="00E00750" w:rsidP="00E00750">
      <w:pPr>
        <w:rPr>
          <w:color w:val="000000" w:themeColor="text1"/>
          <w:sz w:val="24"/>
          <w:szCs w:val="24"/>
          <w:u w:val="single"/>
        </w:rPr>
      </w:pPr>
      <w:r w:rsidRPr="00D24F72">
        <w:rPr>
          <w:color w:val="000000" w:themeColor="text1"/>
          <w:sz w:val="24"/>
          <w:szCs w:val="24"/>
          <w:u w:val="single"/>
        </w:rPr>
        <w:t>Background</w:t>
      </w:r>
    </w:p>
    <w:p w14:paraId="62977432" w14:textId="77777777" w:rsidR="00680978" w:rsidRPr="00680978" w:rsidRDefault="00680978" w:rsidP="009A75C6">
      <w:pPr>
        <w:rPr>
          <w:color w:val="000000" w:themeColor="text1"/>
          <w:sz w:val="24"/>
          <w:szCs w:val="24"/>
        </w:rPr>
      </w:pPr>
    </w:p>
    <w:p w14:paraId="67517ACD" w14:textId="75EF36C8" w:rsidR="00971290" w:rsidRDefault="00290310" w:rsidP="005914D6">
      <w:pPr>
        <w:rPr>
          <w:color w:val="000000" w:themeColor="text1"/>
          <w:sz w:val="24"/>
          <w:szCs w:val="24"/>
        </w:rPr>
      </w:pPr>
      <w:bookmarkStart w:id="7" w:name="_Hlk129792902"/>
      <w:r>
        <w:rPr>
          <w:color w:val="000000" w:themeColor="text1"/>
          <w:sz w:val="24"/>
          <w:szCs w:val="24"/>
        </w:rPr>
        <w:t xml:space="preserve">The anti-siphoning </w:t>
      </w:r>
      <w:r w:rsidR="00720369">
        <w:rPr>
          <w:color w:val="000000" w:themeColor="text1"/>
          <w:sz w:val="24"/>
          <w:szCs w:val="24"/>
        </w:rPr>
        <w:t xml:space="preserve">scheme operates </w:t>
      </w:r>
      <w:r w:rsidR="00C3791B">
        <w:rPr>
          <w:color w:val="000000" w:themeColor="text1"/>
          <w:sz w:val="24"/>
          <w:szCs w:val="24"/>
        </w:rPr>
        <w:t>through the inclusion of</w:t>
      </w:r>
      <w:r w:rsidR="00EB6FBD">
        <w:rPr>
          <w:color w:val="000000" w:themeColor="text1"/>
          <w:sz w:val="24"/>
          <w:szCs w:val="24"/>
        </w:rPr>
        <w:t xml:space="preserve"> </w:t>
      </w:r>
      <w:r w:rsidR="00C3791B">
        <w:rPr>
          <w:color w:val="000000" w:themeColor="text1"/>
          <w:sz w:val="24"/>
        </w:rPr>
        <w:t>a</w:t>
      </w:r>
      <w:r w:rsidR="005914D6" w:rsidRPr="004131AE">
        <w:rPr>
          <w:color w:val="000000" w:themeColor="text1"/>
          <w:sz w:val="24"/>
        </w:rPr>
        <w:t xml:space="preserve">n event </w:t>
      </w:r>
      <w:r w:rsidR="00CB424D">
        <w:rPr>
          <w:color w:val="000000" w:themeColor="text1"/>
          <w:sz w:val="24"/>
        </w:rPr>
        <w:t>o</w:t>
      </w:r>
      <w:r w:rsidR="002A4BC0">
        <w:rPr>
          <w:color w:val="000000" w:themeColor="text1"/>
          <w:sz w:val="24"/>
        </w:rPr>
        <w:t xml:space="preserve">n </w:t>
      </w:r>
      <w:r w:rsidR="005914D6" w:rsidRPr="00EB6FBD">
        <w:rPr>
          <w:color w:val="000000" w:themeColor="text1"/>
          <w:sz w:val="24"/>
        </w:rPr>
        <w:t>the anti</w:t>
      </w:r>
      <w:r w:rsidR="002A4BC0">
        <w:rPr>
          <w:color w:val="000000" w:themeColor="text1"/>
          <w:sz w:val="24"/>
        </w:rPr>
        <w:noBreakHyphen/>
      </w:r>
      <w:r w:rsidR="005914D6" w:rsidRPr="00EB6FBD">
        <w:rPr>
          <w:color w:val="000000" w:themeColor="text1"/>
          <w:sz w:val="24"/>
        </w:rPr>
        <w:t xml:space="preserve">siphoning list </w:t>
      </w:r>
      <w:r w:rsidR="000F4E74">
        <w:rPr>
          <w:color w:val="000000" w:themeColor="text1"/>
          <w:sz w:val="24"/>
        </w:rPr>
        <w:t xml:space="preserve">(in accordance with </w:t>
      </w:r>
      <w:r w:rsidR="00227CB2">
        <w:rPr>
          <w:color w:val="000000" w:themeColor="text1"/>
          <w:sz w:val="24"/>
        </w:rPr>
        <w:t>sub</w:t>
      </w:r>
      <w:r w:rsidR="000F4E74">
        <w:rPr>
          <w:color w:val="000000" w:themeColor="text1"/>
          <w:sz w:val="24"/>
        </w:rPr>
        <w:t>section 115(1) of the Act)</w:t>
      </w:r>
      <w:r w:rsidR="002A4BC0">
        <w:rPr>
          <w:color w:val="000000" w:themeColor="text1"/>
          <w:sz w:val="24"/>
        </w:rPr>
        <w:t>. This</w:t>
      </w:r>
      <w:r w:rsidR="000F4E74">
        <w:rPr>
          <w:color w:val="000000" w:themeColor="text1"/>
          <w:sz w:val="24"/>
        </w:rPr>
        <w:t xml:space="preserve"> </w:t>
      </w:r>
      <w:r w:rsidR="005914D6" w:rsidRPr="00EB6FBD">
        <w:rPr>
          <w:color w:val="000000" w:themeColor="text1"/>
          <w:sz w:val="24"/>
        </w:rPr>
        <w:t xml:space="preserve">triggers a licence condition for subscription television </w:t>
      </w:r>
      <w:r w:rsidR="00CF5A2E">
        <w:rPr>
          <w:color w:val="000000" w:themeColor="text1"/>
          <w:sz w:val="24"/>
        </w:rPr>
        <w:t xml:space="preserve">broadcasting </w:t>
      </w:r>
      <w:r w:rsidR="00EB6FBD" w:rsidRPr="00EB6FBD">
        <w:rPr>
          <w:color w:val="000000" w:themeColor="text1"/>
          <w:sz w:val="24"/>
          <w:szCs w:val="24"/>
        </w:rPr>
        <w:t>licensees</w:t>
      </w:r>
      <w:r w:rsidR="002A4BC0">
        <w:rPr>
          <w:color w:val="000000" w:themeColor="text1"/>
          <w:sz w:val="24"/>
          <w:szCs w:val="24"/>
        </w:rPr>
        <w:t xml:space="preserve"> which prohibits</w:t>
      </w:r>
      <w:r w:rsidR="000F4E74">
        <w:rPr>
          <w:color w:val="000000" w:themeColor="text1"/>
          <w:sz w:val="24"/>
          <w:szCs w:val="24"/>
        </w:rPr>
        <w:t xml:space="preserve"> </w:t>
      </w:r>
      <w:r w:rsidR="00720369">
        <w:rPr>
          <w:color w:val="000000" w:themeColor="text1"/>
          <w:sz w:val="24"/>
          <w:szCs w:val="24"/>
        </w:rPr>
        <w:t xml:space="preserve">them </w:t>
      </w:r>
      <w:r w:rsidR="005914D6" w:rsidRPr="00EB6FBD">
        <w:rPr>
          <w:color w:val="000000" w:themeColor="text1"/>
          <w:sz w:val="24"/>
        </w:rPr>
        <w:t xml:space="preserve">from acquiring </w:t>
      </w:r>
      <w:r w:rsidR="00EB6FBD" w:rsidRPr="00EB6FBD">
        <w:rPr>
          <w:color w:val="000000" w:themeColor="text1"/>
          <w:sz w:val="24"/>
          <w:szCs w:val="24"/>
        </w:rPr>
        <w:t>a</w:t>
      </w:r>
      <w:r w:rsidR="005914D6" w:rsidRPr="00EB6FBD">
        <w:rPr>
          <w:color w:val="000000" w:themeColor="text1"/>
          <w:sz w:val="24"/>
          <w:szCs w:val="24"/>
        </w:rPr>
        <w:t xml:space="preserve"> right</w:t>
      </w:r>
      <w:r w:rsidR="005914D6" w:rsidRPr="00EB6FBD">
        <w:rPr>
          <w:color w:val="000000" w:themeColor="text1"/>
          <w:sz w:val="24"/>
        </w:rPr>
        <w:t xml:space="preserve"> to televise the event ahead of </w:t>
      </w:r>
      <w:r w:rsidR="00503493" w:rsidRPr="00EB6FBD">
        <w:rPr>
          <w:color w:val="000000" w:themeColor="text1"/>
          <w:sz w:val="24"/>
          <w:szCs w:val="24"/>
        </w:rPr>
        <w:t xml:space="preserve">a </w:t>
      </w:r>
      <w:r w:rsidR="005914D6" w:rsidRPr="00EB6FBD">
        <w:rPr>
          <w:color w:val="000000" w:themeColor="text1"/>
          <w:sz w:val="24"/>
        </w:rPr>
        <w:t xml:space="preserve">commercial television </w:t>
      </w:r>
      <w:r w:rsidR="005914D6" w:rsidRPr="00EB6FBD">
        <w:rPr>
          <w:color w:val="000000" w:themeColor="text1"/>
          <w:sz w:val="24"/>
          <w:szCs w:val="24"/>
        </w:rPr>
        <w:t>broadcast</w:t>
      </w:r>
      <w:r w:rsidR="00CF5A2E">
        <w:rPr>
          <w:color w:val="000000" w:themeColor="text1"/>
          <w:sz w:val="24"/>
          <w:szCs w:val="24"/>
        </w:rPr>
        <w:t>ing licensee</w:t>
      </w:r>
      <w:r w:rsidR="005914D6" w:rsidRPr="00EB6FBD">
        <w:rPr>
          <w:color w:val="000000" w:themeColor="text1"/>
          <w:sz w:val="24"/>
          <w:szCs w:val="24"/>
        </w:rPr>
        <w:t xml:space="preserve"> </w:t>
      </w:r>
      <w:r w:rsidR="00EB6FBD" w:rsidRPr="00EB6FBD">
        <w:rPr>
          <w:color w:val="000000" w:themeColor="text1"/>
          <w:sz w:val="24"/>
          <w:szCs w:val="24"/>
        </w:rPr>
        <w:t>or a</w:t>
      </w:r>
      <w:r w:rsidR="00EB6FBD" w:rsidRPr="00EB6FBD">
        <w:rPr>
          <w:color w:val="000000" w:themeColor="text1"/>
          <w:sz w:val="24"/>
        </w:rPr>
        <w:t xml:space="preserve"> </w:t>
      </w:r>
      <w:r w:rsidR="005914D6" w:rsidRPr="00EB6FBD">
        <w:rPr>
          <w:color w:val="000000" w:themeColor="text1"/>
          <w:sz w:val="24"/>
        </w:rPr>
        <w:t xml:space="preserve">national </w:t>
      </w:r>
      <w:r w:rsidR="005914D6" w:rsidRPr="00EB6FBD">
        <w:rPr>
          <w:color w:val="000000" w:themeColor="text1"/>
          <w:sz w:val="24"/>
          <w:szCs w:val="24"/>
        </w:rPr>
        <w:t>broadcaster</w:t>
      </w:r>
      <w:r w:rsidR="005914D6" w:rsidRPr="00EB6FBD">
        <w:rPr>
          <w:color w:val="000000" w:themeColor="text1"/>
          <w:sz w:val="24"/>
        </w:rPr>
        <w:t xml:space="preserve"> (see section 99 of the Act and paragraph 10(1)(e) of Schedule 2 to the Act).</w:t>
      </w:r>
    </w:p>
    <w:bookmarkEnd w:id="7"/>
    <w:p w14:paraId="3BE1061B" w14:textId="77777777" w:rsidR="005914D6" w:rsidRPr="00D46917" w:rsidRDefault="005914D6" w:rsidP="005914D6">
      <w:pPr>
        <w:rPr>
          <w:color w:val="000000" w:themeColor="text1"/>
          <w:sz w:val="24"/>
          <w:szCs w:val="24"/>
        </w:rPr>
      </w:pPr>
    </w:p>
    <w:p w14:paraId="42B40869" w14:textId="6F25BA79" w:rsidR="00D24F72" w:rsidRPr="0059350E" w:rsidRDefault="00134B6E" w:rsidP="0059350E">
      <w:pPr>
        <w:rPr>
          <w:color w:val="000000" w:themeColor="text1"/>
          <w:sz w:val="24"/>
          <w:szCs w:val="24"/>
        </w:rPr>
      </w:pPr>
      <w:r>
        <w:rPr>
          <w:color w:val="000000" w:themeColor="text1"/>
          <w:sz w:val="24"/>
          <w:szCs w:val="24"/>
        </w:rPr>
        <w:t>E</w:t>
      </w:r>
      <w:r w:rsidR="0078360A" w:rsidRPr="00D46917">
        <w:rPr>
          <w:color w:val="000000" w:themeColor="text1"/>
          <w:sz w:val="24"/>
          <w:szCs w:val="24"/>
        </w:rPr>
        <w:t>vents are taken to be removed from the</w:t>
      </w:r>
      <w:r w:rsidR="00C0426F" w:rsidRPr="00D46917">
        <w:rPr>
          <w:color w:val="000000" w:themeColor="text1"/>
          <w:sz w:val="24"/>
          <w:szCs w:val="24"/>
        </w:rPr>
        <w:t xml:space="preserve"> anti</w:t>
      </w:r>
      <w:r w:rsidR="00417A6C">
        <w:rPr>
          <w:color w:val="000000" w:themeColor="text1"/>
          <w:sz w:val="24"/>
          <w:szCs w:val="24"/>
        </w:rPr>
        <w:noBreakHyphen/>
      </w:r>
      <w:r w:rsidR="00C0426F" w:rsidRPr="00D46917">
        <w:rPr>
          <w:color w:val="000000" w:themeColor="text1"/>
          <w:sz w:val="24"/>
          <w:szCs w:val="24"/>
        </w:rPr>
        <w:t>siphoning</w:t>
      </w:r>
      <w:r w:rsidR="0078360A" w:rsidRPr="00D46917">
        <w:rPr>
          <w:color w:val="000000" w:themeColor="text1"/>
          <w:sz w:val="24"/>
          <w:szCs w:val="24"/>
        </w:rPr>
        <w:t xml:space="preserve"> list </w:t>
      </w:r>
      <w:r w:rsidR="00C0426F" w:rsidRPr="00D46917">
        <w:rPr>
          <w:color w:val="000000" w:themeColor="text1"/>
          <w:sz w:val="24"/>
          <w:szCs w:val="24"/>
        </w:rPr>
        <w:t>4,368 hours</w:t>
      </w:r>
      <w:r w:rsidR="00420A21" w:rsidRPr="00D46917">
        <w:rPr>
          <w:color w:val="000000" w:themeColor="text1"/>
          <w:sz w:val="24"/>
          <w:szCs w:val="24"/>
        </w:rPr>
        <w:t xml:space="preserve"> (</w:t>
      </w:r>
      <w:r w:rsidR="009A75C6" w:rsidRPr="00D46917">
        <w:rPr>
          <w:color w:val="000000" w:themeColor="text1"/>
          <w:sz w:val="24"/>
          <w:szCs w:val="24"/>
        </w:rPr>
        <w:t xml:space="preserve">approximately </w:t>
      </w:r>
      <w:r w:rsidR="00420A21" w:rsidRPr="00D46917">
        <w:rPr>
          <w:color w:val="000000" w:themeColor="text1"/>
          <w:sz w:val="24"/>
          <w:szCs w:val="24"/>
        </w:rPr>
        <w:t>6 months)</w:t>
      </w:r>
      <w:r w:rsidR="00C0426F" w:rsidRPr="00D46917">
        <w:rPr>
          <w:color w:val="000000" w:themeColor="text1"/>
          <w:sz w:val="24"/>
          <w:szCs w:val="24"/>
        </w:rPr>
        <w:t xml:space="preserve"> before their start</w:t>
      </w:r>
      <w:r w:rsidR="0078360A" w:rsidRPr="00D46917">
        <w:rPr>
          <w:color w:val="000000" w:themeColor="text1"/>
          <w:sz w:val="24"/>
          <w:szCs w:val="24"/>
        </w:rPr>
        <w:t xml:space="preserve"> unless the Minister intervenes to retain an event on the list</w:t>
      </w:r>
      <w:r>
        <w:rPr>
          <w:color w:val="000000" w:themeColor="text1"/>
          <w:sz w:val="24"/>
          <w:szCs w:val="24"/>
        </w:rPr>
        <w:t xml:space="preserve"> </w:t>
      </w:r>
      <w:r w:rsidRPr="00366D29">
        <w:rPr>
          <w:color w:val="000000"/>
          <w:sz w:val="24"/>
          <w:szCs w:val="24"/>
        </w:rPr>
        <w:t>(</w:t>
      </w:r>
      <w:r w:rsidRPr="00366D29">
        <w:rPr>
          <w:color w:val="000000"/>
          <w:sz w:val="24"/>
          <w:szCs w:val="24"/>
          <w:shd w:val="clear" w:color="auto" w:fill="FFFFFF"/>
        </w:rPr>
        <w:t xml:space="preserve">see </w:t>
      </w:r>
      <w:r w:rsidR="00407A7B">
        <w:rPr>
          <w:color w:val="000000"/>
          <w:sz w:val="24"/>
          <w:szCs w:val="24"/>
          <w:shd w:val="clear" w:color="auto" w:fill="FFFFFF"/>
        </w:rPr>
        <w:t>sub</w:t>
      </w:r>
      <w:r>
        <w:rPr>
          <w:color w:val="000000"/>
          <w:sz w:val="24"/>
          <w:szCs w:val="24"/>
          <w:shd w:val="clear" w:color="auto" w:fill="FFFFFF"/>
        </w:rPr>
        <w:t xml:space="preserve">section </w:t>
      </w:r>
      <w:r w:rsidRPr="00366D29">
        <w:rPr>
          <w:color w:val="000000"/>
          <w:sz w:val="24"/>
          <w:szCs w:val="24"/>
          <w:shd w:val="clear" w:color="auto" w:fill="FFFFFF"/>
        </w:rPr>
        <w:t>115(1AA)) of the Act)</w:t>
      </w:r>
      <w:r w:rsidR="0078360A" w:rsidRPr="00D46917">
        <w:rPr>
          <w:color w:val="000000" w:themeColor="text1"/>
          <w:sz w:val="24"/>
          <w:szCs w:val="24"/>
        </w:rPr>
        <w:t>.</w:t>
      </w:r>
    </w:p>
    <w:p w14:paraId="0FB36C61" w14:textId="77777777" w:rsidR="00854281" w:rsidRPr="0059350E" w:rsidRDefault="00854281" w:rsidP="0059350E">
      <w:pPr>
        <w:rPr>
          <w:color w:val="000000" w:themeColor="text1"/>
          <w:sz w:val="24"/>
          <w:szCs w:val="24"/>
        </w:rPr>
      </w:pPr>
    </w:p>
    <w:p w14:paraId="71517C9C" w14:textId="77777777" w:rsidR="009A75C6" w:rsidRDefault="009A75C6" w:rsidP="00E951B6">
      <w:pPr>
        <w:rPr>
          <w:color w:val="000000" w:themeColor="text1"/>
          <w:sz w:val="24"/>
          <w:szCs w:val="24"/>
        </w:rPr>
      </w:pPr>
    </w:p>
    <w:p w14:paraId="5E264F6D" w14:textId="77777777" w:rsidR="000A1001" w:rsidRPr="0091099F" w:rsidRDefault="000A1001" w:rsidP="000A1001">
      <w:pPr>
        <w:rPr>
          <w:color w:val="000000" w:themeColor="text1"/>
          <w:sz w:val="24"/>
          <w:szCs w:val="24"/>
        </w:rPr>
      </w:pPr>
      <w:r w:rsidRPr="000A1001">
        <w:rPr>
          <w:color w:val="000000" w:themeColor="text1"/>
          <w:sz w:val="24"/>
          <w:szCs w:val="24"/>
        </w:rPr>
        <w:lastRenderedPageBreak/>
        <w:t xml:space="preserve">The anti-siphoning </w:t>
      </w:r>
      <w:r>
        <w:rPr>
          <w:color w:val="000000" w:themeColor="text1"/>
          <w:sz w:val="24"/>
          <w:szCs w:val="24"/>
        </w:rPr>
        <w:t>list</w:t>
      </w:r>
      <w:r w:rsidRPr="000A1001">
        <w:rPr>
          <w:color w:val="000000" w:themeColor="text1"/>
          <w:sz w:val="24"/>
          <w:szCs w:val="24"/>
        </w:rPr>
        <w:t xml:space="preserve"> has been amended a number of times since it was first made </w:t>
      </w:r>
      <w:r>
        <w:rPr>
          <w:color w:val="000000" w:themeColor="text1"/>
          <w:sz w:val="24"/>
          <w:szCs w:val="24"/>
        </w:rPr>
        <w:t>o</w:t>
      </w:r>
      <w:r w:rsidRPr="000A1001">
        <w:rPr>
          <w:color w:val="000000" w:themeColor="text1"/>
          <w:sz w:val="24"/>
          <w:szCs w:val="24"/>
        </w:rPr>
        <w:t xml:space="preserve">n </w:t>
      </w:r>
      <w:r>
        <w:rPr>
          <w:color w:val="000000" w:themeColor="text1"/>
          <w:sz w:val="24"/>
          <w:szCs w:val="24"/>
        </w:rPr>
        <w:t>6 July </w:t>
      </w:r>
      <w:r w:rsidRPr="000A1001">
        <w:rPr>
          <w:color w:val="000000" w:themeColor="text1"/>
          <w:sz w:val="24"/>
          <w:szCs w:val="24"/>
        </w:rPr>
        <w:t xml:space="preserve">1994, with events added and removed. To date, all events </w:t>
      </w:r>
      <w:r w:rsidR="0014543A">
        <w:rPr>
          <w:color w:val="000000" w:themeColor="text1"/>
          <w:sz w:val="24"/>
          <w:szCs w:val="24"/>
        </w:rPr>
        <w:t xml:space="preserve">included on the list </w:t>
      </w:r>
      <w:r w:rsidRPr="000A1001">
        <w:rPr>
          <w:color w:val="000000" w:themeColor="text1"/>
          <w:sz w:val="24"/>
          <w:szCs w:val="24"/>
        </w:rPr>
        <w:t>have been sporting events</w:t>
      </w:r>
      <w:r w:rsidR="00D46917">
        <w:rPr>
          <w:color w:val="000000" w:themeColor="text1"/>
          <w:sz w:val="24"/>
          <w:szCs w:val="24"/>
        </w:rPr>
        <w:t>.</w:t>
      </w:r>
    </w:p>
    <w:p w14:paraId="7EC1F205" w14:textId="77777777" w:rsidR="00854281" w:rsidRPr="0091099F" w:rsidRDefault="00854281" w:rsidP="000A1001">
      <w:pPr>
        <w:rPr>
          <w:color w:val="000000" w:themeColor="text1"/>
          <w:sz w:val="24"/>
          <w:szCs w:val="24"/>
        </w:rPr>
      </w:pPr>
    </w:p>
    <w:p w14:paraId="716E9975" w14:textId="77777777" w:rsidR="00A63CAD" w:rsidRDefault="00E951B6" w:rsidP="00DF0B51">
      <w:pPr>
        <w:rPr>
          <w:color w:val="000000" w:themeColor="text1"/>
          <w:sz w:val="24"/>
          <w:szCs w:val="24"/>
        </w:rPr>
      </w:pPr>
      <w:r w:rsidRPr="004131AE">
        <w:rPr>
          <w:color w:val="000000" w:themeColor="text1"/>
          <w:sz w:val="24"/>
        </w:rPr>
        <w:t>T</w:t>
      </w:r>
      <w:r w:rsidR="00DF0B51" w:rsidRPr="004131AE">
        <w:rPr>
          <w:color w:val="000000" w:themeColor="text1"/>
          <w:sz w:val="24"/>
        </w:rPr>
        <w:t xml:space="preserve">he inclusion of an event on the anti-siphoning </w:t>
      </w:r>
      <w:r w:rsidR="0014543A" w:rsidRPr="004131AE">
        <w:rPr>
          <w:color w:val="000000" w:themeColor="text1"/>
          <w:sz w:val="24"/>
        </w:rPr>
        <w:t xml:space="preserve">list </w:t>
      </w:r>
      <w:r w:rsidRPr="004131AE">
        <w:rPr>
          <w:color w:val="000000" w:themeColor="text1"/>
          <w:sz w:val="24"/>
        </w:rPr>
        <w:t>does not guarantee that</w:t>
      </w:r>
      <w:r w:rsidR="00DF0B51" w:rsidRPr="004131AE">
        <w:rPr>
          <w:color w:val="000000" w:themeColor="text1"/>
          <w:sz w:val="24"/>
        </w:rPr>
        <w:t xml:space="preserve"> it</w:t>
      </w:r>
      <w:r w:rsidRPr="004131AE">
        <w:rPr>
          <w:color w:val="000000" w:themeColor="text1"/>
          <w:sz w:val="24"/>
        </w:rPr>
        <w:t xml:space="preserve"> will </w:t>
      </w:r>
      <w:r w:rsidR="00DF0B51" w:rsidRPr="004131AE">
        <w:rPr>
          <w:color w:val="000000" w:themeColor="text1"/>
          <w:sz w:val="24"/>
        </w:rPr>
        <w:t xml:space="preserve">be </w:t>
      </w:r>
      <w:r w:rsidRPr="004131AE">
        <w:rPr>
          <w:color w:val="000000" w:themeColor="text1"/>
          <w:sz w:val="24"/>
        </w:rPr>
        <w:t xml:space="preserve">broadcast on free-to-air television. </w:t>
      </w:r>
      <w:r w:rsidR="002A6ACB" w:rsidRPr="004131AE">
        <w:rPr>
          <w:color w:val="000000" w:themeColor="text1"/>
          <w:sz w:val="24"/>
        </w:rPr>
        <w:t xml:space="preserve">Rather, </w:t>
      </w:r>
      <w:r w:rsidR="0014543A" w:rsidRPr="004131AE">
        <w:rPr>
          <w:color w:val="000000" w:themeColor="text1"/>
          <w:sz w:val="24"/>
        </w:rPr>
        <w:t xml:space="preserve">the list (and </w:t>
      </w:r>
      <w:r w:rsidR="00EB6FBD">
        <w:rPr>
          <w:color w:val="000000" w:themeColor="text1"/>
          <w:sz w:val="24"/>
        </w:rPr>
        <w:t xml:space="preserve">the anti-siphoning </w:t>
      </w:r>
      <w:r w:rsidR="0014543A" w:rsidRPr="004131AE">
        <w:rPr>
          <w:color w:val="000000" w:themeColor="text1"/>
          <w:sz w:val="24"/>
        </w:rPr>
        <w:t xml:space="preserve">scheme) </w:t>
      </w:r>
      <w:r w:rsidR="00DF0B51" w:rsidRPr="004131AE">
        <w:rPr>
          <w:color w:val="000000" w:themeColor="text1"/>
          <w:sz w:val="24"/>
        </w:rPr>
        <w:t xml:space="preserve">aim </w:t>
      </w:r>
      <w:r w:rsidR="00E35DC7" w:rsidRPr="004131AE">
        <w:rPr>
          <w:color w:val="000000" w:themeColor="text1"/>
          <w:sz w:val="24"/>
        </w:rPr>
        <w:t>to encourage free-to-air coverage of event</w:t>
      </w:r>
      <w:r w:rsidR="0014543A" w:rsidRPr="004131AE">
        <w:rPr>
          <w:color w:val="000000" w:themeColor="text1"/>
          <w:sz w:val="24"/>
        </w:rPr>
        <w:t>s</w:t>
      </w:r>
      <w:r w:rsidR="002A6ACB" w:rsidRPr="004131AE">
        <w:rPr>
          <w:color w:val="000000" w:themeColor="text1"/>
          <w:sz w:val="24"/>
        </w:rPr>
        <w:t xml:space="preserve"> </w:t>
      </w:r>
      <w:r w:rsidR="0014543A" w:rsidRPr="004131AE">
        <w:rPr>
          <w:color w:val="000000" w:themeColor="text1"/>
          <w:sz w:val="24"/>
        </w:rPr>
        <w:t xml:space="preserve">on the list </w:t>
      </w:r>
      <w:r w:rsidR="00DF0B51" w:rsidRPr="004131AE">
        <w:rPr>
          <w:color w:val="000000" w:themeColor="text1"/>
          <w:sz w:val="24"/>
        </w:rPr>
        <w:t>by giving</w:t>
      </w:r>
      <w:r w:rsidR="0091099F" w:rsidRPr="004131AE">
        <w:rPr>
          <w:color w:val="000000" w:themeColor="text1"/>
          <w:sz w:val="24"/>
        </w:rPr>
        <w:t xml:space="preserve"> </w:t>
      </w:r>
      <w:r w:rsidR="00DF0B51" w:rsidRPr="004131AE">
        <w:rPr>
          <w:color w:val="000000" w:themeColor="text1"/>
          <w:sz w:val="24"/>
        </w:rPr>
        <w:t>free-to-air broadcasters an</w:t>
      </w:r>
      <w:r w:rsidR="0091099F" w:rsidRPr="004131AE">
        <w:rPr>
          <w:color w:val="000000" w:themeColor="text1"/>
          <w:sz w:val="24"/>
        </w:rPr>
        <w:t xml:space="preserve"> opportunity to acquire the right to televise </w:t>
      </w:r>
      <w:r w:rsidR="0014543A" w:rsidRPr="004131AE">
        <w:rPr>
          <w:color w:val="000000" w:themeColor="text1"/>
          <w:sz w:val="24"/>
        </w:rPr>
        <w:t>those events</w:t>
      </w:r>
      <w:r w:rsidR="0091099F" w:rsidRPr="004131AE">
        <w:rPr>
          <w:color w:val="000000" w:themeColor="text1"/>
          <w:sz w:val="24"/>
        </w:rPr>
        <w:t xml:space="preserve"> ahead of subscription television broadcasting licensees.</w:t>
      </w:r>
    </w:p>
    <w:bookmarkEnd w:id="4"/>
    <w:p w14:paraId="3B021038" w14:textId="77777777" w:rsidR="0091099F" w:rsidRPr="004A651A" w:rsidRDefault="0091099F" w:rsidP="001C0BCA">
      <w:pPr>
        <w:rPr>
          <w:color w:val="000000" w:themeColor="text1"/>
          <w:sz w:val="24"/>
          <w:szCs w:val="24"/>
        </w:rPr>
      </w:pPr>
    </w:p>
    <w:p w14:paraId="593511C7" w14:textId="77777777" w:rsidR="001A1ED0" w:rsidRPr="00D24F72" w:rsidRDefault="001A1ED0" w:rsidP="001C0BCA">
      <w:pPr>
        <w:rPr>
          <w:bCs/>
          <w:color w:val="000000" w:themeColor="text1"/>
          <w:sz w:val="24"/>
          <w:szCs w:val="24"/>
          <w:u w:val="single"/>
        </w:rPr>
      </w:pPr>
      <w:r w:rsidRPr="00D24F72">
        <w:rPr>
          <w:color w:val="000000" w:themeColor="text1"/>
          <w:sz w:val="24"/>
          <w:szCs w:val="24"/>
          <w:u w:val="single"/>
        </w:rPr>
        <w:t>Consultation</w:t>
      </w:r>
    </w:p>
    <w:p w14:paraId="63F7EC89" w14:textId="77777777" w:rsidR="001A1ED0" w:rsidRPr="00D24F72" w:rsidRDefault="001A1ED0" w:rsidP="001A1ED0">
      <w:pPr>
        <w:ind w:right="91"/>
        <w:rPr>
          <w:color w:val="000000" w:themeColor="text1"/>
          <w:sz w:val="24"/>
          <w:szCs w:val="24"/>
        </w:rPr>
      </w:pPr>
    </w:p>
    <w:p w14:paraId="393A3D87" w14:textId="77777777" w:rsidR="00D46917" w:rsidRDefault="000E5503" w:rsidP="000A5848">
      <w:pPr>
        <w:ind w:right="91"/>
        <w:rPr>
          <w:color w:val="000000" w:themeColor="text1"/>
          <w:sz w:val="24"/>
          <w:szCs w:val="24"/>
          <w:shd w:val="clear" w:color="auto" w:fill="FFFFFF"/>
        </w:rPr>
      </w:pPr>
      <w:r w:rsidRPr="00D24F72">
        <w:rPr>
          <w:color w:val="000000" w:themeColor="text1"/>
          <w:sz w:val="24"/>
          <w:szCs w:val="24"/>
          <w:shd w:val="clear" w:color="auto" w:fill="FFFFFF"/>
        </w:rPr>
        <w:t>T</w:t>
      </w:r>
      <w:r w:rsidR="001A1ED0" w:rsidRPr="00D24F72">
        <w:rPr>
          <w:color w:val="000000" w:themeColor="text1"/>
          <w:sz w:val="24"/>
          <w:szCs w:val="24"/>
          <w:shd w:val="clear" w:color="auto" w:fill="FFFFFF"/>
        </w:rPr>
        <w:t xml:space="preserve">he Department of </w:t>
      </w:r>
      <w:r w:rsidR="00157B2B" w:rsidRPr="00D24F72">
        <w:rPr>
          <w:color w:val="000000" w:themeColor="text1"/>
          <w:sz w:val="24"/>
          <w:szCs w:val="24"/>
          <w:shd w:val="clear" w:color="auto" w:fill="FFFFFF"/>
        </w:rPr>
        <w:t xml:space="preserve">Infrastructure, Transport, Regional Development, </w:t>
      </w:r>
      <w:r w:rsidR="001A1ED0" w:rsidRPr="00D24F72">
        <w:rPr>
          <w:color w:val="000000" w:themeColor="text1"/>
          <w:sz w:val="24"/>
          <w:szCs w:val="24"/>
          <w:shd w:val="clear" w:color="auto" w:fill="FFFFFF"/>
        </w:rPr>
        <w:t xml:space="preserve">Communications and the Arts (the </w:t>
      </w:r>
      <w:r w:rsidR="001A4A57" w:rsidRPr="00D24F72">
        <w:rPr>
          <w:color w:val="000000" w:themeColor="text1"/>
          <w:sz w:val="24"/>
          <w:szCs w:val="24"/>
          <w:shd w:val="clear" w:color="auto" w:fill="FFFFFF"/>
        </w:rPr>
        <w:t>D</w:t>
      </w:r>
      <w:r w:rsidR="001A1ED0" w:rsidRPr="00D24F72">
        <w:rPr>
          <w:color w:val="000000" w:themeColor="text1"/>
          <w:sz w:val="24"/>
          <w:szCs w:val="24"/>
          <w:shd w:val="clear" w:color="auto" w:fill="FFFFFF"/>
        </w:rPr>
        <w:t>epartment)</w:t>
      </w:r>
      <w:r w:rsidR="000D6D68">
        <w:rPr>
          <w:color w:val="000000" w:themeColor="text1"/>
          <w:sz w:val="24"/>
          <w:szCs w:val="24"/>
          <w:shd w:val="clear" w:color="auto" w:fill="FFFFFF"/>
        </w:rPr>
        <w:t xml:space="preserve"> </w:t>
      </w:r>
      <w:r w:rsidR="002634B8">
        <w:rPr>
          <w:color w:val="000000" w:themeColor="text1"/>
          <w:sz w:val="24"/>
          <w:szCs w:val="24"/>
          <w:shd w:val="clear" w:color="auto" w:fill="FFFFFF"/>
        </w:rPr>
        <w:t xml:space="preserve">undertook </w:t>
      </w:r>
      <w:r w:rsidR="000D6D68">
        <w:rPr>
          <w:color w:val="000000" w:themeColor="text1"/>
          <w:sz w:val="24"/>
          <w:szCs w:val="24"/>
          <w:shd w:val="clear" w:color="auto" w:fill="FFFFFF"/>
        </w:rPr>
        <w:t>a</w:t>
      </w:r>
      <w:r w:rsidR="000D6D68" w:rsidRPr="000D6D68">
        <w:rPr>
          <w:color w:val="000000" w:themeColor="text1"/>
          <w:sz w:val="24"/>
          <w:szCs w:val="24"/>
          <w:shd w:val="clear" w:color="auto" w:fill="FFFFFF"/>
        </w:rPr>
        <w:t xml:space="preserve"> consultation process </w:t>
      </w:r>
      <w:r w:rsidR="002634B8">
        <w:rPr>
          <w:color w:val="000000" w:themeColor="text1"/>
          <w:sz w:val="24"/>
          <w:szCs w:val="24"/>
          <w:shd w:val="clear" w:color="auto" w:fill="FFFFFF"/>
        </w:rPr>
        <w:t>as part of</w:t>
      </w:r>
      <w:r w:rsidR="000D6D68" w:rsidRPr="000D6D68">
        <w:rPr>
          <w:color w:val="000000" w:themeColor="text1"/>
          <w:sz w:val="24"/>
          <w:szCs w:val="24"/>
          <w:shd w:val="clear" w:color="auto" w:fill="FFFFFF"/>
        </w:rPr>
        <w:t xml:space="preserve"> the review </w:t>
      </w:r>
      <w:r w:rsidR="004E1A88">
        <w:rPr>
          <w:color w:val="000000" w:themeColor="text1"/>
          <w:sz w:val="24"/>
          <w:szCs w:val="24"/>
          <w:shd w:val="clear" w:color="auto" w:fill="FFFFFF"/>
        </w:rPr>
        <w:t>of the anti</w:t>
      </w:r>
      <w:r w:rsidR="00EA0B05">
        <w:rPr>
          <w:color w:val="000000" w:themeColor="text1"/>
          <w:sz w:val="24"/>
          <w:szCs w:val="24"/>
          <w:shd w:val="clear" w:color="auto" w:fill="FFFFFF"/>
        </w:rPr>
        <w:noBreakHyphen/>
      </w:r>
      <w:r w:rsidR="004E1A88">
        <w:rPr>
          <w:color w:val="000000" w:themeColor="text1"/>
          <w:sz w:val="24"/>
          <w:szCs w:val="24"/>
          <w:shd w:val="clear" w:color="auto" w:fill="FFFFFF"/>
        </w:rPr>
        <w:t>siphoning scheme</w:t>
      </w:r>
      <w:r w:rsidR="002634B8">
        <w:rPr>
          <w:color w:val="000000" w:themeColor="text1"/>
          <w:sz w:val="24"/>
          <w:szCs w:val="24"/>
          <w:shd w:val="clear" w:color="auto" w:fill="FFFFFF"/>
        </w:rPr>
        <w:t>. Consultatio</w:t>
      </w:r>
      <w:r w:rsidR="00E41020">
        <w:rPr>
          <w:color w:val="000000" w:themeColor="text1"/>
          <w:sz w:val="24"/>
          <w:szCs w:val="24"/>
          <w:shd w:val="clear" w:color="auto" w:fill="FFFFFF"/>
        </w:rPr>
        <w:t>n opened</w:t>
      </w:r>
      <w:r w:rsidR="000D6D68" w:rsidRPr="000D6D68">
        <w:rPr>
          <w:color w:val="000000" w:themeColor="text1"/>
          <w:sz w:val="24"/>
          <w:szCs w:val="24"/>
          <w:shd w:val="clear" w:color="auto" w:fill="FFFFFF"/>
        </w:rPr>
        <w:t xml:space="preserve"> on 11 October 2022 with the release of a consultation paper</w:t>
      </w:r>
      <w:r w:rsidR="00E41020">
        <w:rPr>
          <w:color w:val="000000" w:themeColor="text1"/>
          <w:sz w:val="24"/>
          <w:szCs w:val="24"/>
          <w:shd w:val="clear" w:color="auto" w:fill="FFFFFF"/>
        </w:rPr>
        <w:t xml:space="preserve"> and</w:t>
      </w:r>
      <w:r w:rsidR="002A4BC0">
        <w:rPr>
          <w:color w:val="000000" w:themeColor="text1"/>
          <w:sz w:val="24"/>
          <w:szCs w:val="24"/>
          <w:shd w:val="clear" w:color="auto" w:fill="FFFFFF"/>
        </w:rPr>
        <w:t xml:space="preserve"> </w:t>
      </w:r>
      <w:r w:rsidR="00605701" w:rsidRPr="000D6D68">
        <w:rPr>
          <w:color w:val="000000" w:themeColor="text1"/>
          <w:sz w:val="24"/>
          <w:szCs w:val="24"/>
          <w:shd w:val="clear" w:color="auto" w:fill="FFFFFF"/>
        </w:rPr>
        <w:t xml:space="preserve">closed </w:t>
      </w:r>
      <w:r w:rsidR="00605701">
        <w:rPr>
          <w:color w:val="000000" w:themeColor="text1"/>
          <w:sz w:val="24"/>
          <w:szCs w:val="24"/>
          <w:shd w:val="clear" w:color="auto" w:fill="FFFFFF"/>
        </w:rPr>
        <w:t xml:space="preserve">for </w:t>
      </w:r>
      <w:r w:rsidR="00E41020">
        <w:rPr>
          <w:color w:val="000000" w:themeColor="text1"/>
          <w:sz w:val="24"/>
          <w:szCs w:val="24"/>
          <w:shd w:val="clear" w:color="auto" w:fill="FFFFFF"/>
        </w:rPr>
        <w:t>submissions</w:t>
      </w:r>
      <w:r w:rsidR="000D6D68" w:rsidRPr="000D6D68">
        <w:rPr>
          <w:color w:val="000000" w:themeColor="text1"/>
          <w:sz w:val="24"/>
          <w:szCs w:val="24"/>
          <w:shd w:val="clear" w:color="auto" w:fill="FFFFFF"/>
        </w:rPr>
        <w:t xml:space="preserve"> on 6 December 2022.</w:t>
      </w:r>
    </w:p>
    <w:p w14:paraId="0A574441" w14:textId="77777777" w:rsidR="00D46917" w:rsidRDefault="00D46917" w:rsidP="000A5848">
      <w:pPr>
        <w:ind w:right="91"/>
        <w:rPr>
          <w:color w:val="000000" w:themeColor="text1"/>
          <w:sz w:val="24"/>
          <w:szCs w:val="24"/>
        </w:rPr>
      </w:pPr>
    </w:p>
    <w:p w14:paraId="50E22DC8" w14:textId="77777777" w:rsidR="000E5503" w:rsidRPr="004E1A88" w:rsidRDefault="000E5503" w:rsidP="000A5848">
      <w:pPr>
        <w:ind w:right="91"/>
        <w:rPr>
          <w:color w:val="000000" w:themeColor="text1"/>
          <w:sz w:val="24"/>
          <w:szCs w:val="24"/>
        </w:rPr>
      </w:pPr>
      <w:r w:rsidRPr="00D24F72">
        <w:rPr>
          <w:color w:val="000000" w:themeColor="text1"/>
          <w:sz w:val="24"/>
          <w:szCs w:val="24"/>
        </w:rPr>
        <w:t xml:space="preserve">A total of </w:t>
      </w:r>
      <w:r w:rsidR="008A1767" w:rsidRPr="00D24F72">
        <w:rPr>
          <w:color w:val="000000" w:themeColor="text1"/>
          <w:sz w:val="24"/>
          <w:szCs w:val="24"/>
        </w:rPr>
        <w:t>2</w:t>
      </w:r>
      <w:r w:rsidR="00D24F72" w:rsidRPr="00D24F72">
        <w:rPr>
          <w:color w:val="000000" w:themeColor="text1"/>
          <w:sz w:val="24"/>
          <w:szCs w:val="24"/>
        </w:rPr>
        <w:t>5</w:t>
      </w:r>
      <w:r w:rsidRPr="00D24F72">
        <w:rPr>
          <w:color w:val="000000" w:themeColor="text1"/>
          <w:sz w:val="24"/>
          <w:szCs w:val="24"/>
        </w:rPr>
        <w:t xml:space="preserve"> submissions</w:t>
      </w:r>
      <w:r w:rsidR="00D24F72" w:rsidRPr="00D24F72">
        <w:rPr>
          <w:color w:val="000000" w:themeColor="text1"/>
          <w:sz w:val="24"/>
          <w:szCs w:val="24"/>
        </w:rPr>
        <w:t xml:space="preserve"> </w:t>
      </w:r>
      <w:r w:rsidRPr="00D24F72">
        <w:rPr>
          <w:color w:val="000000" w:themeColor="text1"/>
          <w:sz w:val="24"/>
          <w:szCs w:val="24"/>
        </w:rPr>
        <w:t>were received in response to the consultation paper</w:t>
      </w:r>
      <w:r w:rsidR="00B40ADB">
        <w:rPr>
          <w:color w:val="000000" w:themeColor="text1"/>
          <w:sz w:val="24"/>
          <w:szCs w:val="24"/>
        </w:rPr>
        <w:t>. All</w:t>
      </w:r>
      <w:r w:rsidR="00B40ADB" w:rsidRPr="00B40ADB">
        <w:rPr>
          <w:color w:val="000000" w:themeColor="text1"/>
          <w:sz w:val="24"/>
          <w:szCs w:val="24"/>
        </w:rPr>
        <w:t xml:space="preserve"> 13 </w:t>
      </w:r>
      <w:r w:rsidR="00745784">
        <w:rPr>
          <w:color w:val="000000" w:themeColor="text1"/>
          <w:sz w:val="24"/>
          <w:szCs w:val="24"/>
        </w:rPr>
        <w:t xml:space="preserve">public </w:t>
      </w:r>
      <w:r w:rsidR="00B40ADB" w:rsidRPr="00B40ADB">
        <w:rPr>
          <w:color w:val="000000" w:themeColor="text1"/>
          <w:sz w:val="24"/>
          <w:szCs w:val="24"/>
        </w:rPr>
        <w:t xml:space="preserve">submissions were published on the </w:t>
      </w:r>
      <w:r w:rsidR="00B40ADB">
        <w:rPr>
          <w:color w:val="000000" w:themeColor="text1"/>
          <w:sz w:val="24"/>
          <w:szCs w:val="24"/>
        </w:rPr>
        <w:t>D</w:t>
      </w:r>
      <w:r w:rsidR="00B40ADB" w:rsidRPr="00B40ADB">
        <w:rPr>
          <w:color w:val="000000" w:themeColor="text1"/>
          <w:sz w:val="24"/>
          <w:szCs w:val="24"/>
        </w:rPr>
        <w:t>epartment’s website</w:t>
      </w:r>
      <w:r w:rsidR="0014543A">
        <w:rPr>
          <w:color w:val="000000" w:themeColor="text1"/>
          <w:sz w:val="24"/>
          <w:szCs w:val="24"/>
        </w:rPr>
        <w:t>. T</w:t>
      </w:r>
      <w:r w:rsidR="00B40ADB">
        <w:rPr>
          <w:color w:val="000000" w:themeColor="text1"/>
          <w:sz w:val="24"/>
          <w:szCs w:val="24"/>
        </w:rPr>
        <w:t>he remaining 12 submissions were confidential</w:t>
      </w:r>
      <w:r w:rsidRPr="00D24F72">
        <w:rPr>
          <w:color w:val="000000" w:themeColor="text1"/>
          <w:sz w:val="24"/>
          <w:szCs w:val="24"/>
        </w:rPr>
        <w:t xml:space="preserve">. </w:t>
      </w:r>
      <w:r w:rsidR="00745784" w:rsidRPr="004131AE">
        <w:rPr>
          <w:sz w:val="24"/>
        </w:rPr>
        <w:t xml:space="preserve">There were a variety of views </w:t>
      </w:r>
      <w:r w:rsidR="0014543A" w:rsidRPr="004131AE">
        <w:rPr>
          <w:sz w:val="24"/>
        </w:rPr>
        <w:t xml:space="preserve">put forward in submissions </w:t>
      </w:r>
      <w:r w:rsidR="00745784" w:rsidRPr="004131AE">
        <w:rPr>
          <w:sz w:val="24"/>
        </w:rPr>
        <w:t xml:space="preserve">in relation to the anti-siphoning list. </w:t>
      </w:r>
      <w:r w:rsidR="0014543A" w:rsidRPr="004131AE">
        <w:rPr>
          <w:sz w:val="24"/>
        </w:rPr>
        <w:t>However, t</w:t>
      </w:r>
      <w:r w:rsidR="00B00FCE" w:rsidRPr="004131AE">
        <w:rPr>
          <w:sz w:val="24"/>
        </w:rPr>
        <w:t xml:space="preserve">he </w:t>
      </w:r>
      <w:r w:rsidR="00E632AF" w:rsidRPr="004131AE">
        <w:rPr>
          <w:sz w:val="24"/>
        </w:rPr>
        <w:t xml:space="preserve">majority </w:t>
      </w:r>
      <w:r w:rsidR="00B00FCE" w:rsidRPr="004131AE">
        <w:rPr>
          <w:sz w:val="24"/>
        </w:rPr>
        <w:t xml:space="preserve">of submissions </w:t>
      </w:r>
      <w:r w:rsidR="0014543A" w:rsidRPr="004131AE">
        <w:rPr>
          <w:sz w:val="24"/>
        </w:rPr>
        <w:t xml:space="preserve">focused on the </w:t>
      </w:r>
      <w:r w:rsidR="00B00FCE" w:rsidRPr="004131AE">
        <w:rPr>
          <w:sz w:val="24"/>
        </w:rPr>
        <w:t>acquisition of media rights by streaming services and digital platforms.</w:t>
      </w:r>
      <w:r w:rsidR="001F2370" w:rsidRPr="004131AE">
        <w:rPr>
          <w:sz w:val="24"/>
        </w:rPr>
        <w:t xml:space="preserve"> </w:t>
      </w:r>
      <w:r w:rsidR="00A84560" w:rsidRPr="004131AE">
        <w:rPr>
          <w:sz w:val="24"/>
        </w:rPr>
        <w:t>Th</w:t>
      </w:r>
      <w:r w:rsidR="0014543A" w:rsidRPr="004131AE">
        <w:rPr>
          <w:sz w:val="24"/>
        </w:rPr>
        <w:t xml:space="preserve">ese views and perspectives </w:t>
      </w:r>
      <w:r w:rsidR="00A84560" w:rsidRPr="004131AE">
        <w:rPr>
          <w:sz w:val="24"/>
        </w:rPr>
        <w:t xml:space="preserve">will </w:t>
      </w:r>
      <w:r w:rsidR="00456D0F" w:rsidRPr="004131AE">
        <w:rPr>
          <w:sz w:val="24"/>
        </w:rPr>
        <w:t xml:space="preserve">inform consideration of </w:t>
      </w:r>
      <w:r w:rsidR="00A84560" w:rsidRPr="004131AE">
        <w:rPr>
          <w:sz w:val="24"/>
        </w:rPr>
        <w:t>broader legislative reforms</w:t>
      </w:r>
      <w:r w:rsidR="00B40ADB" w:rsidRPr="004131AE">
        <w:rPr>
          <w:sz w:val="24"/>
        </w:rPr>
        <w:t xml:space="preserve"> to the anti-siphoning </w:t>
      </w:r>
      <w:r w:rsidR="004E1A88" w:rsidRPr="004131AE">
        <w:rPr>
          <w:sz w:val="24"/>
        </w:rPr>
        <w:t>scheme</w:t>
      </w:r>
      <w:r w:rsidR="00A84560" w:rsidRPr="004131AE">
        <w:rPr>
          <w:sz w:val="24"/>
        </w:rPr>
        <w:t>.</w:t>
      </w:r>
    </w:p>
    <w:p w14:paraId="10032607" w14:textId="77777777" w:rsidR="00503257" w:rsidRPr="00D24F72" w:rsidRDefault="00503257" w:rsidP="00503257">
      <w:pPr>
        <w:rPr>
          <w:color w:val="000000" w:themeColor="text1"/>
          <w:sz w:val="24"/>
          <w:szCs w:val="24"/>
        </w:rPr>
      </w:pPr>
    </w:p>
    <w:p w14:paraId="63D6A23F" w14:textId="77777777" w:rsidR="008D1DB0" w:rsidRPr="00D24F72" w:rsidRDefault="002374A8" w:rsidP="001C0BCA">
      <w:pPr>
        <w:rPr>
          <w:color w:val="000000" w:themeColor="text1"/>
          <w:sz w:val="24"/>
          <w:szCs w:val="24"/>
          <w:u w:val="single"/>
        </w:rPr>
      </w:pPr>
      <w:r w:rsidRPr="00D24F72">
        <w:rPr>
          <w:color w:val="000000" w:themeColor="text1"/>
          <w:sz w:val="24"/>
          <w:szCs w:val="24"/>
          <w:u w:val="single"/>
        </w:rPr>
        <w:t>Regulat</w:t>
      </w:r>
      <w:r>
        <w:rPr>
          <w:color w:val="000000" w:themeColor="text1"/>
          <w:sz w:val="24"/>
          <w:szCs w:val="24"/>
          <w:u w:val="single"/>
        </w:rPr>
        <w:t>ory</w:t>
      </w:r>
      <w:r w:rsidRPr="00D24F72">
        <w:rPr>
          <w:color w:val="000000" w:themeColor="text1"/>
          <w:sz w:val="24"/>
          <w:szCs w:val="24"/>
          <w:u w:val="single"/>
        </w:rPr>
        <w:t xml:space="preserve"> </w:t>
      </w:r>
      <w:r w:rsidR="00EB6FBD">
        <w:rPr>
          <w:color w:val="000000" w:themeColor="text1"/>
          <w:sz w:val="24"/>
          <w:szCs w:val="24"/>
          <w:u w:val="single"/>
        </w:rPr>
        <w:t>impact analysis</w:t>
      </w:r>
    </w:p>
    <w:p w14:paraId="3C1B4492" w14:textId="77777777" w:rsidR="001C0BCA" w:rsidRPr="004A651A" w:rsidRDefault="001C0BCA" w:rsidP="001C0BCA">
      <w:pPr>
        <w:ind w:right="91"/>
        <w:rPr>
          <w:color w:val="000000" w:themeColor="text1"/>
          <w:sz w:val="24"/>
          <w:szCs w:val="24"/>
        </w:rPr>
      </w:pPr>
      <w:bookmarkStart w:id="8" w:name="_Hlk129775427"/>
    </w:p>
    <w:bookmarkEnd w:id="8"/>
    <w:p w14:paraId="7D226E46" w14:textId="77777777" w:rsidR="00EB6FBD" w:rsidRPr="004131AE" w:rsidRDefault="00EB6FBD" w:rsidP="00EB6FBD">
      <w:pPr>
        <w:autoSpaceDE w:val="0"/>
        <w:autoSpaceDN w:val="0"/>
        <w:spacing w:line="300" w:lineRule="exact"/>
        <w:rPr>
          <w:rFonts w:eastAsiaTheme="minorHAnsi"/>
          <w:sz w:val="24"/>
        </w:rPr>
      </w:pPr>
      <w:r w:rsidRPr="004131AE">
        <w:rPr>
          <w:rFonts w:eastAsiaTheme="minorHAnsi"/>
          <w:color w:val="000000"/>
          <w:sz w:val="24"/>
        </w:rPr>
        <w:t xml:space="preserve">The Office of Impact Analysis (OIA) has advised that </w:t>
      </w:r>
      <w:r>
        <w:rPr>
          <w:color w:val="000000"/>
          <w:sz w:val="24"/>
          <w:szCs w:val="24"/>
        </w:rPr>
        <w:t>self-assessment by the Department can be conducted in lieu</w:t>
      </w:r>
      <w:r w:rsidRPr="004131AE">
        <w:rPr>
          <w:rFonts w:eastAsiaTheme="minorHAnsi"/>
          <w:color w:val="000000"/>
          <w:sz w:val="24"/>
        </w:rPr>
        <w:t xml:space="preserve"> of an Impact </w:t>
      </w:r>
      <w:r>
        <w:rPr>
          <w:color w:val="000000"/>
          <w:sz w:val="24"/>
          <w:szCs w:val="24"/>
        </w:rPr>
        <w:t xml:space="preserve">Analysis. </w:t>
      </w:r>
      <w:r>
        <w:rPr>
          <w:sz w:val="24"/>
          <w:szCs w:val="24"/>
        </w:rPr>
        <w:t xml:space="preserve">The Department has certified that the 2010 Notice is operating effectively and efficiently, and therefore an Impact </w:t>
      </w:r>
      <w:r w:rsidR="00C80B31">
        <w:rPr>
          <w:sz w:val="24"/>
          <w:szCs w:val="24"/>
        </w:rPr>
        <w:t>Analysis</w:t>
      </w:r>
      <w:r w:rsidRPr="004131AE">
        <w:rPr>
          <w:rFonts w:eastAsiaTheme="minorHAnsi"/>
          <w:sz w:val="24"/>
        </w:rPr>
        <w:t xml:space="preserve"> is not required</w:t>
      </w:r>
      <w:r>
        <w:rPr>
          <w:sz w:val="24"/>
          <w:szCs w:val="24"/>
        </w:rPr>
        <w:t xml:space="preserve"> to remake it. A certification letter advising of this will be published on the OIA website</w:t>
      </w:r>
      <w:r w:rsidRPr="004131AE">
        <w:rPr>
          <w:rFonts w:eastAsiaTheme="minorHAnsi"/>
          <w:sz w:val="24"/>
        </w:rPr>
        <w:t xml:space="preserve">. </w:t>
      </w:r>
      <w:r w:rsidRPr="004131AE">
        <w:rPr>
          <w:rFonts w:eastAsiaTheme="minorHAnsi"/>
          <w:color w:val="000000"/>
          <w:sz w:val="24"/>
        </w:rPr>
        <w:t>The OIA reference number is OBPR23-03909.</w:t>
      </w:r>
    </w:p>
    <w:p w14:paraId="2CED8072" w14:textId="77777777" w:rsidR="00103BD9" w:rsidRPr="00D24F72" w:rsidRDefault="00103BD9" w:rsidP="008D1DB0">
      <w:pPr>
        <w:rPr>
          <w:color w:val="000000" w:themeColor="text1"/>
          <w:sz w:val="24"/>
          <w:szCs w:val="24"/>
        </w:rPr>
      </w:pPr>
    </w:p>
    <w:p w14:paraId="2E65698F" w14:textId="77777777" w:rsidR="002131AC" w:rsidRPr="00D24F72" w:rsidRDefault="002131AC" w:rsidP="007F201A">
      <w:pPr>
        <w:keepNext/>
        <w:rPr>
          <w:bCs/>
          <w:color w:val="000000" w:themeColor="text1"/>
          <w:sz w:val="24"/>
          <w:szCs w:val="24"/>
          <w:u w:val="single"/>
        </w:rPr>
      </w:pPr>
      <w:r w:rsidRPr="00D24F72">
        <w:rPr>
          <w:bCs/>
          <w:color w:val="000000" w:themeColor="text1"/>
          <w:sz w:val="24"/>
          <w:szCs w:val="24"/>
          <w:u w:val="single"/>
        </w:rPr>
        <w:t>Statement of compatibility with human rights</w:t>
      </w:r>
    </w:p>
    <w:p w14:paraId="038F6C1E" w14:textId="77777777" w:rsidR="008D1DB0" w:rsidRPr="00D24F72" w:rsidRDefault="008D1DB0" w:rsidP="001C0BCA">
      <w:pPr>
        <w:ind w:right="91"/>
        <w:rPr>
          <w:color w:val="000000" w:themeColor="text1"/>
          <w:sz w:val="24"/>
          <w:szCs w:val="24"/>
        </w:rPr>
      </w:pPr>
    </w:p>
    <w:p w14:paraId="30337438" w14:textId="77777777" w:rsidR="002131AC" w:rsidRPr="00D24F72" w:rsidRDefault="00B562E2" w:rsidP="007F201A">
      <w:pPr>
        <w:keepNext/>
        <w:rPr>
          <w:color w:val="000000" w:themeColor="text1"/>
          <w:sz w:val="24"/>
          <w:szCs w:val="24"/>
        </w:rPr>
      </w:pPr>
      <w:r w:rsidRPr="00D24F72">
        <w:rPr>
          <w:color w:val="000000" w:themeColor="text1"/>
          <w:sz w:val="24"/>
          <w:szCs w:val="24"/>
        </w:rPr>
        <w:t xml:space="preserve">A statement of compatibility with human rights for the purposes of Part 3 of the </w:t>
      </w:r>
      <w:r w:rsidRPr="00D24F72">
        <w:rPr>
          <w:i/>
          <w:color w:val="000000" w:themeColor="text1"/>
          <w:sz w:val="24"/>
          <w:szCs w:val="24"/>
        </w:rPr>
        <w:t>Human Rights (Parliamentary Scrutiny) Act 2011</w:t>
      </w:r>
      <w:r w:rsidRPr="00D24F72">
        <w:rPr>
          <w:color w:val="000000" w:themeColor="text1"/>
          <w:sz w:val="24"/>
          <w:szCs w:val="24"/>
        </w:rPr>
        <w:t xml:space="preserve"> is set out in </w:t>
      </w:r>
      <w:r w:rsidRPr="00D24F72">
        <w:rPr>
          <w:b/>
          <w:color w:val="000000" w:themeColor="text1"/>
          <w:sz w:val="24"/>
          <w:szCs w:val="24"/>
          <w:u w:val="single"/>
        </w:rPr>
        <w:t xml:space="preserve">Attachment </w:t>
      </w:r>
      <w:r w:rsidR="00D46917">
        <w:rPr>
          <w:b/>
          <w:color w:val="000000" w:themeColor="text1"/>
          <w:sz w:val="24"/>
          <w:szCs w:val="24"/>
          <w:u w:val="single"/>
        </w:rPr>
        <w:t>B</w:t>
      </w:r>
      <w:r w:rsidRPr="00D24F72">
        <w:rPr>
          <w:color w:val="000000" w:themeColor="text1"/>
          <w:sz w:val="24"/>
          <w:szCs w:val="24"/>
        </w:rPr>
        <w:t>.</w:t>
      </w:r>
    </w:p>
    <w:p w14:paraId="40FE6076" w14:textId="77777777" w:rsidR="008D1DB0" w:rsidRPr="00D24F72" w:rsidRDefault="008D1DB0" w:rsidP="008D1DB0">
      <w:pPr>
        <w:rPr>
          <w:color w:val="000000" w:themeColor="text1"/>
          <w:sz w:val="24"/>
          <w:szCs w:val="24"/>
        </w:rPr>
      </w:pPr>
    </w:p>
    <w:p w14:paraId="79C759B8" w14:textId="77777777" w:rsidR="006B6586" w:rsidRPr="00D24F72" w:rsidRDefault="006B6586" w:rsidP="00DB46FC">
      <w:pPr>
        <w:rPr>
          <w:color w:val="000000" w:themeColor="text1"/>
          <w:sz w:val="24"/>
          <w:szCs w:val="24"/>
        </w:rPr>
      </w:pPr>
    </w:p>
    <w:bookmarkEnd w:id="5"/>
    <w:p w14:paraId="131E93E7" w14:textId="77777777" w:rsidR="00D56985" w:rsidRPr="00D24F72" w:rsidRDefault="00D56985">
      <w:pPr>
        <w:spacing w:after="200" w:line="276" w:lineRule="auto"/>
        <w:rPr>
          <w:color w:val="000000" w:themeColor="text1"/>
          <w:sz w:val="24"/>
          <w:szCs w:val="24"/>
          <w:u w:val="single"/>
        </w:rPr>
        <w:sectPr w:rsidR="00D56985" w:rsidRPr="00D24F72" w:rsidSect="00675482">
          <w:headerReference w:type="even" r:id="rId12"/>
          <w:headerReference w:type="default" r:id="rId13"/>
          <w:footerReference w:type="even" r:id="rId14"/>
          <w:footerReference w:type="default" r:id="rId15"/>
          <w:footerReference w:type="first" r:id="rId16"/>
          <w:pgSz w:w="11906" w:h="16838" w:code="9"/>
          <w:pgMar w:top="1440" w:right="1440" w:bottom="1440" w:left="1440" w:header="0" w:footer="567" w:gutter="0"/>
          <w:cols w:space="708"/>
          <w:titlePg/>
          <w:docGrid w:linePitch="360"/>
        </w:sectPr>
      </w:pPr>
    </w:p>
    <w:p w14:paraId="171CBA0C" w14:textId="77777777" w:rsidR="00404192" w:rsidRPr="00D24F72" w:rsidRDefault="00404192" w:rsidP="00404192">
      <w:pPr>
        <w:spacing w:after="160"/>
        <w:ind w:right="91"/>
        <w:jc w:val="right"/>
        <w:rPr>
          <w:b/>
          <w:color w:val="000000" w:themeColor="text1"/>
          <w:sz w:val="28"/>
          <w:szCs w:val="28"/>
        </w:rPr>
      </w:pPr>
      <w:r w:rsidRPr="00D24F72">
        <w:rPr>
          <w:b/>
          <w:color w:val="000000" w:themeColor="text1"/>
          <w:sz w:val="28"/>
          <w:szCs w:val="28"/>
        </w:rPr>
        <w:lastRenderedPageBreak/>
        <w:t>Attachment A</w:t>
      </w:r>
    </w:p>
    <w:p w14:paraId="441A0985" w14:textId="77777777" w:rsidR="00E00750" w:rsidRPr="00D24F72" w:rsidRDefault="00C57C54" w:rsidP="00E00750">
      <w:pPr>
        <w:ind w:right="91"/>
        <w:rPr>
          <w:color w:val="000000" w:themeColor="text1"/>
          <w:sz w:val="24"/>
          <w:szCs w:val="24"/>
        </w:rPr>
      </w:pPr>
      <w:r w:rsidRPr="00D24F72">
        <w:rPr>
          <w:b/>
          <w:color w:val="000000" w:themeColor="text1"/>
          <w:sz w:val="28"/>
          <w:szCs w:val="28"/>
        </w:rPr>
        <w:t>Broadcasting Services (Events) Notice 2023</w:t>
      </w:r>
    </w:p>
    <w:p w14:paraId="35EBFEC5" w14:textId="77777777" w:rsidR="00DF4962" w:rsidRPr="00D24F72" w:rsidRDefault="00DF4962" w:rsidP="00080CAA">
      <w:pPr>
        <w:keepNext/>
        <w:ind w:right="91"/>
        <w:rPr>
          <w:color w:val="000000" w:themeColor="text1"/>
          <w:sz w:val="24"/>
          <w:szCs w:val="24"/>
        </w:rPr>
      </w:pPr>
    </w:p>
    <w:p w14:paraId="3999A209" w14:textId="77777777" w:rsidR="0029249F" w:rsidRPr="00D24F72" w:rsidRDefault="0029249F" w:rsidP="0029249F">
      <w:pPr>
        <w:ind w:right="91"/>
        <w:rPr>
          <w:color w:val="000000" w:themeColor="text1"/>
          <w:sz w:val="24"/>
          <w:szCs w:val="24"/>
        </w:rPr>
      </w:pPr>
      <w:r w:rsidRPr="00D24F72">
        <w:rPr>
          <w:color w:val="000000" w:themeColor="text1"/>
          <w:sz w:val="24"/>
          <w:szCs w:val="24"/>
          <w:u w:val="single"/>
        </w:rPr>
        <w:t>Section 1</w:t>
      </w:r>
      <w:r w:rsidRPr="00D24F72">
        <w:rPr>
          <w:color w:val="000000" w:themeColor="text1"/>
          <w:sz w:val="24"/>
          <w:szCs w:val="24"/>
        </w:rPr>
        <w:t xml:space="preserve"> provides that the name of the instrument </w:t>
      </w:r>
      <w:r w:rsidRPr="00FA1B8D">
        <w:rPr>
          <w:color w:val="000000" w:themeColor="text1"/>
          <w:sz w:val="24"/>
          <w:szCs w:val="24"/>
        </w:rPr>
        <w:t xml:space="preserve">is the </w:t>
      </w:r>
      <w:r w:rsidRPr="00FA1B8D">
        <w:rPr>
          <w:i/>
          <w:color w:val="000000" w:themeColor="text1"/>
          <w:sz w:val="24"/>
          <w:szCs w:val="24"/>
        </w:rPr>
        <w:t>Broadcasting Services (Events) Notice 2023</w:t>
      </w:r>
      <w:r w:rsidRPr="00FA1B8D">
        <w:rPr>
          <w:color w:val="000000" w:themeColor="text1"/>
          <w:sz w:val="24"/>
          <w:szCs w:val="24"/>
        </w:rPr>
        <w:t xml:space="preserve"> </w:t>
      </w:r>
      <w:r w:rsidRPr="00D24F72">
        <w:rPr>
          <w:iCs/>
          <w:color w:val="000000" w:themeColor="text1"/>
          <w:sz w:val="24"/>
          <w:szCs w:val="24"/>
        </w:rPr>
        <w:t xml:space="preserve">(the </w:t>
      </w:r>
      <w:r>
        <w:rPr>
          <w:iCs/>
          <w:color w:val="000000" w:themeColor="text1"/>
          <w:sz w:val="24"/>
          <w:szCs w:val="24"/>
        </w:rPr>
        <w:t>Notice</w:t>
      </w:r>
      <w:r w:rsidRPr="00D24F72">
        <w:rPr>
          <w:iCs/>
          <w:color w:val="000000" w:themeColor="text1"/>
          <w:sz w:val="24"/>
          <w:szCs w:val="24"/>
        </w:rPr>
        <w:t>).</w:t>
      </w:r>
    </w:p>
    <w:p w14:paraId="55E9FE46" w14:textId="77777777" w:rsidR="0029249F" w:rsidRPr="004A651A" w:rsidRDefault="0029249F" w:rsidP="0029249F">
      <w:pPr>
        <w:rPr>
          <w:color w:val="000000" w:themeColor="text1"/>
          <w:sz w:val="24"/>
          <w:szCs w:val="24"/>
        </w:rPr>
      </w:pPr>
    </w:p>
    <w:p w14:paraId="0CCC9674" w14:textId="77777777" w:rsidR="0029249F" w:rsidRPr="00D24F72" w:rsidRDefault="0029249F" w:rsidP="0029249F">
      <w:pPr>
        <w:rPr>
          <w:color w:val="000000" w:themeColor="text1"/>
          <w:sz w:val="24"/>
          <w:szCs w:val="24"/>
        </w:rPr>
      </w:pPr>
      <w:r w:rsidRPr="00D24F72">
        <w:rPr>
          <w:color w:val="000000" w:themeColor="text1"/>
          <w:sz w:val="24"/>
          <w:szCs w:val="24"/>
          <w:u w:val="single"/>
        </w:rPr>
        <w:t>Section 2</w:t>
      </w:r>
      <w:r w:rsidRPr="00D24F72">
        <w:rPr>
          <w:color w:val="000000" w:themeColor="text1"/>
          <w:sz w:val="24"/>
          <w:szCs w:val="24"/>
        </w:rPr>
        <w:t xml:space="preserve"> provides that the </w:t>
      </w:r>
      <w:r>
        <w:rPr>
          <w:color w:val="000000" w:themeColor="text1"/>
          <w:sz w:val="24"/>
          <w:szCs w:val="24"/>
        </w:rPr>
        <w:t>Notice</w:t>
      </w:r>
      <w:r w:rsidRPr="00D24F72">
        <w:rPr>
          <w:color w:val="000000" w:themeColor="text1"/>
          <w:sz w:val="24"/>
          <w:szCs w:val="24"/>
        </w:rPr>
        <w:t xml:space="preserve"> will commence on the </w:t>
      </w:r>
      <w:r w:rsidRPr="00FA1B8D">
        <w:rPr>
          <w:color w:val="000000" w:themeColor="text1"/>
          <w:sz w:val="24"/>
          <w:szCs w:val="24"/>
        </w:rPr>
        <w:t>day after it is registered.</w:t>
      </w:r>
      <w:r w:rsidR="00FF0B85">
        <w:rPr>
          <w:color w:val="000000" w:themeColor="text1"/>
          <w:sz w:val="24"/>
          <w:szCs w:val="24"/>
        </w:rPr>
        <w:t xml:space="preserve"> </w:t>
      </w:r>
    </w:p>
    <w:p w14:paraId="1FB49D82" w14:textId="77777777" w:rsidR="0014543A" w:rsidRPr="004A651A" w:rsidRDefault="0014543A" w:rsidP="0029249F">
      <w:pPr>
        <w:ind w:right="91"/>
        <w:rPr>
          <w:color w:val="000000" w:themeColor="text1"/>
          <w:sz w:val="24"/>
          <w:szCs w:val="24"/>
        </w:rPr>
      </w:pPr>
    </w:p>
    <w:p w14:paraId="6F0B54FF" w14:textId="77777777" w:rsidR="0029249F" w:rsidRPr="00C57C54" w:rsidRDefault="0029249F" w:rsidP="0029249F">
      <w:pPr>
        <w:ind w:right="91"/>
        <w:rPr>
          <w:color w:val="000000" w:themeColor="text1"/>
          <w:sz w:val="24"/>
          <w:szCs w:val="24"/>
        </w:rPr>
      </w:pPr>
      <w:r>
        <w:rPr>
          <w:color w:val="000000" w:themeColor="text1"/>
          <w:sz w:val="24"/>
          <w:szCs w:val="24"/>
          <w:u w:val="single"/>
        </w:rPr>
        <w:t>Section</w:t>
      </w:r>
      <w:r w:rsidRPr="00D24F72">
        <w:rPr>
          <w:color w:val="000000" w:themeColor="text1"/>
          <w:sz w:val="24"/>
          <w:szCs w:val="24"/>
          <w:u w:val="single"/>
        </w:rPr>
        <w:t xml:space="preserve"> </w:t>
      </w:r>
      <w:r>
        <w:rPr>
          <w:color w:val="000000" w:themeColor="text1"/>
          <w:sz w:val="24"/>
          <w:szCs w:val="24"/>
          <w:u w:val="single"/>
        </w:rPr>
        <w:t>3</w:t>
      </w:r>
      <w:r w:rsidRPr="00D24F72">
        <w:rPr>
          <w:color w:val="000000" w:themeColor="text1"/>
          <w:sz w:val="24"/>
          <w:szCs w:val="24"/>
        </w:rPr>
        <w:t xml:space="preserve"> provides that the </w:t>
      </w:r>
      <w:r>
        <w:rPr>
          <w:color w:val="000000" w:themeColor="text1"/>
          <w:sz w:val="24"/>
          <w:szCs w:val="24"/>
        </w:rPr>
        <w:t xml:space="preserve">source of </w:t>
      </w:r>
      <w:r w:rsidRPr="00D24F72">
        <w:rPr>
          <w:color w:val="000000" w:themeColor="text1"/>
          <w:sz w:val="24"/>
          <w:szCs w:val="24"/>
        </w:rPr>
        <w:t>authority for making the</w:t>
      </w:r>
      <w:r>
        <w:rPr>
          <w:iCs/>
          <w:color w:val="000000" w:themeColor="text1"/>
          <w:sz w:val="24"/>
          <w:szCs w:val="24"/>
        </w:rPr>
        <w:t xml:space="preserve"> Notice</w:t>
      </w:r>
      <w:r w:rsidRPr="00C57C54">
        <w:rPr>
          <w:iCs/>
          <w:color w:val="000000" w:themeColor="text1"/>
          <w:sz w:val="24"/>
          <w:szCs w:val="24"/>
        </w:rPr>
        <w:t xml:space="preserve"> </w:t>
      </w:r>
      <w:r w:rsidRPr="00D24F72">
        <w:rPr>
          <w:color w:val="000000" w:themeColor="text1"/>
          <w:sz w:val="24"/>
          <w:szCs w:val="24"/>
        </w:rPr>
        <w:t xml:space="preserve">is subsection </w:t>
      </w:r>
      <w:r w:rsidRPr="00FA1B8D">
        <w:rPr>
          <w:color w:val="000000" w:themeColor="text1"/>
          <w:sz w:val="24"/>
          <w:szCs w:val="24"/>
        </w:rPr>
        <w:t xml:space="preserve">115(1) </w:t>
      </w:r>
      <w:r w:rsidRPr="00D24F72">
        <w:rPr>
          <w:color w:val="000000" w:themeColor="text1"/>
          <w:sz w:val="24"/>
          <w:szCs w:val="24"/>
        </w:rPr>
        <w:t xml:space="preserve">of the </w:t>
      </w:r>
      <w:r w:rsidRPr="00D24F72">
        <w:rPr>
          <w:i/>
          <w:color w:val="000000" w:themeColor="text1"/>
          <w:sz w:val="24"/>
          <w:szCs w:val="24"/>
        </w:rPr>
        <w:t>Broadcasting Services Act 1992</w:t>
      </w:r>
      <w:r>
        <w:rPr>
          <w:color w:val="000000" w:themeColor="text1"/>
          <w:sz w:val="24"/>
          <w:szCs w:val="24"/>
        </w:rPr>
        <w:t>.</w:t>
      </w:r>
    </w:p>
    <w:p w14:paraId="20C8B380" w14:textId="77777777" w:rsidR="0029249F" w:rsidRPr="00D24F72" w:rsidRDefault="0029249F" w:rsidP="0029249F">
      <w:pPr>
        <w:ind w:right="91"/>
        <w:rPr>
          <w:color w:val="000000" w:themeColor="text1"/>
          <w:sz w:val="24"/>
          <w:szCs w:val="24"/>
        </w:rPr>
      </w:pPr>
    </w:p>
    <w:p w14:paraId="4E9AE887" w14:textId="77777777" w:rsidR="0029249F" w:rsidRPr="00D24F72" w:rsidRDefault="0029249F" w:rsidP="0029249F">
      <w:pPr>
        <w:ind w:right="91"/>
        <w:rPr>
          <w:color w:val="000000" w:themeColor="text1"/>
          <w:sz w:val="24"/>
          <w:szCs w:val="24"/>
        </w:rPr>
      </w:pPr>
      <w:r w:rsidRPr="00D24F72">
        <w:rPr>
          <w:color w:val="000000" w:themeColor="text1"/>
          <w:sz w:val="24"/>
          <w:szCs w:val="24"/>
          <w:u w:val="single"/>
        </w:rPr>
        <w:t xml:space="preserve">Section </w:t>
      </w:r>
      <w:r>
        <w:rPr>
          <w:color w:val="000000" w:themeColor="text1"/>
          <w:sz w:val="24"/>
          <w:szCs w:val="24"/>
          <w:u w:val="single"/>
        </w:rPr>
        <w:t>4</w:t>
      </w:r>
      <w:r w:rsidRPr="00D24F72">
        <w:rPr>
          <w:color w:val="000000" w:themeColor="text1"/>
          <w:sz w:val="24"/>
          <w:szCs w:val="24"/>
        </w:rPr>
        <w:t xml:space="preserve"> sets out relevant definitions for the </w:t>
      </w:r>
      <w:r>
        <w:rPr>
          <w:color w:val="000000" w:themeColor="text1"/>
          <w:sz w:val="24"/>
          <w:szCs w:val="24"/>
        </w:rPr>
        <w:t>Notice</w:t>
      </w:r>
      <w:r w:rsidRPr="00D24F72">
        <w:rPr>
          <w:color w:val="000000" w:themeColor="text1"/>
          <w:sz w:val="24"/>
          <w:szCs w:val="24"/>
        </w:rPr>
        <w:t>.</w:t>
      </w:r>
      <w:r>
        <w:rPr>
          <w:color w:val="000000" w:themeColor="text1"/>
          <w:sz w:val="24"/>
          <w:szCs w:val="24"/>
        </w:rPr>
        <w:t xml:space="preserve"> </w:t>
      </w:r>
      <w:r w:rsidR="00D46917">
        <w:rPr>
          <w:color w:val="000000" w:themeColor="text1"/>
          <w:sz w:val="24"/>
          <w:szCs w:val="24"/>
        </w:rPr>
        <w:t>O</w:t>
      </w:r>
      <w:r>
        <w:rPr>
          <w:color w:val="000000" w:themeColor="text1"/>
          <w:sz w:val="24"/>
          <w:szCs w:val="24"/>
        </w:rPr>
        <w:t xml:space="preserve">nly </w:t>
      </w:r>
      <w:r w:rsidR="00D46917">
        <w:rPr>
          <w:color w:val="000000" w:themeColor="text1"/>
          <w:sz w:val="24"/>
          <w:szCs w:val="24"/>
        </w:rPr>
        <w:t xml:space="preserve">one </w:t>
      </w:r>
      <w:r>
        <w:rPr>
          <w:color w:val="000000" w:themeColor="text1"/>
          <w:sz w:val="24"/>
          <w:szCs w:val="24"/>
        </w:rPr>
        <w:t xml:space="preserve">definition is set out </w:t>
      </w:r>
      <w:r w:rsidR="009A5AC3">
        <w:rPr>
          <w:color w:val="000000" w:themeColor="text1"/>
          <w:sz w:val="24"/>
          <w:szCs w:val="24"/>
        </w:rPr>
        <w:t>–</w:t>
      </w:r>
      <w:r>
        <w:rPr>
          <w:color w:val="000000" w:themeColor="text1"/>
          <w:sz w:val="24"/>
          <w:szCs w:val="24"/>
        </w:rPr>
        <w:t xml:space="preserve"> the</w:t>
      </w:r>
      <w:r w:rsidRPr="00D24F72">
        <w:rPr>
          <w:color w:val="000000" w:themeColor="text1"/>
          <w:sz w:val="24"/>
          <w:szCs w:val="24"/>
        </w:rPr>
        <w:t xml:space="preserve"> term </w:t>
      </w:r>
      <w:r>
        <w:rPr>
          <w:color w:val="000000" w:themeColor="text1"/>
          <w:sz w:val="24"/>
          <w:szCs w:val="24"/>
        </w:rPr>
        <w:t>‘</w:t>
      </w:r>
      <w:r w:rsidRPr="0014543A">
        <w:rPr>
          <w:i/>
          <w:color w:val="000000" w:themeColor="text1"/>
          <w:sz w:val="24"/>
          <w:szCs w:val="24"/>
        </w:rPr>
        <w:t>Act’</w:t>
      </w:r>
      <w:r w:rsidRPr="0014543A">
        <w:rPr>
          <w:color w:val="000000" w:themeColor="text1"/>
          <w:sz w:val="24"/>
          <w:szCs w:val="24"/>
        </w:rPr>
        <w:t xml:space="preserve"> i</w:t>
      </w:r>
      <w:r>
        <w:rPr>
          <w:color w:val="000000" w:themeColor="text1"/>
          <w:sz w:val="24"/>
          <w:szCs w:val="24"/>
        </w:rPr>
        <w:t xml:space="preserve">s defined to </w:t>
      </w:r>
      <w:r w:rsidRPr="00D24F72">
        <w:rPr>
          <w:color w:val="000000" w:themeColor="text1"/>
          <w:sz w:val="24"/>
          <w:szCs w:val="24"/>
        </w:rPr>
        <w:t xml:space="preserve">mean the </w:t>
      </w:r>
      <w:r>
        <w:rPr>
          <w:color w:val="000000" w:themeColor="text1"/>
          <w:sz w:val="24"/>
          <w:szCs w:val="24"/>
        </w:rPr>
        <w:t>‘</w:t>
      </w:r>
      <w:r w:rsidRPr="00D24F72">
        <w:rPr>
          <w:i/>
          <w:color w:val="000000" w:themeColor="text1"/>
          <w:sz w:val="24"/>
          <w:szCs w:val="24"/>
        </w:rPr>
        <w:t>Broadcasting Services Act 1992</w:t>
      </w:r>
      <w:r>
        <w:rPr>
          <w:i/>
          <w:color w:val="000000" w:themeColor="text1"/>
          <w:sz w:val="24"/>
          <w:szCs w:val="24"/>
        </w:rPr>
        <w:t>’</w:t>
      </w:r>
      <w:r w:rsidRPr="00D24F72">
        <w:rPr>
          <w:color w:val="000000" w:themeColor="text1"/>
          <w:sz w:val="24"/>
          <w:szCs w:val="24"/>
        </w:rPr>
        <w:t>.</w:t>
      </w:r>
    </w:p>
    <w:p w14:paraId="27D75145" w14:textId="77777777" w:rsidR="0029249F" w:rsidRPr="00D24F72" w:rsidRDefault="0029249F" w:rsidP="0029249F">
      <w:pPr>
        <w:ind w:right="91"/>
        <w:rPr>
          <w:color w:val="000000" w:themeColor="text1"/>
          <w:sz w:val="24"/>
          <w:szCs w:val="24"/>
        </w:rPr>
      </w:pPr>
    </w:p>
    <w:p w14:paraId="0A558FD3" w14:textId="77777777" w:rsidR="0029249F" w:rsidRPr="00D24F72" w:rsidRDefault="0029249F" w:rsidP="0029249F">
      <w:pPr>
        <w:ind w:right="91"/>
        <w:rPr>
          <w:color w:val="000000" w:themeColor="text1"/>
          <w:sz w:val="24"/>
          <w:szCs w:val="24"/>
        </w:rPr>
      </w:pPr>
      <w:r w:rsidRPr="00D24F72">
        <w:rPr>
          <w:color w:val="000000" w:themeColor="text1"/>
          <w:sz w:val="24"/>
          <w:szCs w:val="24"/>
          <w:u w:val="single"/>
        </w:rPr>
        <w:t>Section 5</w:t>
      </w:r>
      <w:r w:rsidRPr="00D24F72">
        <w:rPr>
          <w:color w:val="000000" w:themeColor="text1"/>
          <w:sz w:val="24"/>
          <w:szCs w:val="24"/>
        </w:rPr>
        <w:t xml:space="preserve"> provides that each instrument that is specified in a Schedule to the </w:t>
      </w:r>
      <w:r>
        <w:rPr>
          <w:color w:val="000000" w:themeColor="text1"/>
          <w:sz w:val="24"/>
          <w:szCs w:val="24"/>
        </w:rPr>
        <w:t>Notice</w:t>
      </w:r>
      <w:r w:rsidRPr="00D24F72">
        <w:rPr>
          <w:color w:val="000000" w:themeColor="text1"/>
          <w:sz w:val="24"/>
          <w:szCs w:val="24"/>
        </w:rPr>
        <w:t xml:space="preserve"> is amended or repealed as set out in </w:t>
      </w:r>
      <w:r w:rsidRPr="00675482">
        <w:rPr>
          <w:color w:val="000000" w:themeColor="text1"/>
          <w:sz w:val="24"/>
          <w:szCs w:val="24"/>
        </w:rPr>
        <w:t>the applicable items in the Schedule concerned</w:t>
      </w:r>
      <w:r w:rsidRPr="00D24F72">
        <w:rPr>
          <w:color w:val="000000" w:themeColor="text1"/>
          <w:sz w:val="24"/>
          <w:szCs w:val="24"/>
        </w:rPr>
        <w:t xml:space="preserve">, and that any other item </w:t>
      </w:r>
      <w:r>
        <w:rPr>
          <w:color w:val="000000" w:themeColor="text1"/>
          <w:sz w:val="24"/>
          <w:szCs w:val="24"/>
        </w:rPr>
        <w:t xml:space="preserve">in a Schedule to the Notice </w:t>
      </w:r>
      <w:r w:rsidRPr="00D24F72">
        <w:rPr>
          <w:color w:val="000000" w:themeColor="text1"/>
          <w:sz w:val="24"/>
          <w:szCs w:val="24"/>
        </w:rPr>
        <w:t xml:space="preserve">has effect according to its terms. </w:t>
      </w:r>
      <w:r w:rsidRPr="00744F63">
        <w:rPr>
          <w:color w:val="000000" w:themeColor="text1"/>
          <w:sz w:val="24"/>
          <w:szCs w:val="24"/>
        </w:rPr>
        <w:t xml:space="preserve">Only one instrument is specified – the </w:t>
      </w:r>
      <w:r w:rsidRPr="00744F63">
        <w:rPr>
          <w:i/>
          <w:color w:val="000000" w:themeColor="text1"/>
          <w:sz w:val="24"/>
          <w:szCs w:val="24"/>
        </w:rPr>
        <w:t>Broadcasting Services (Events) Notice (No. 1) 2010</w:t>
      </w:r>
      <w:r w:rsidRPr="00744F63">
        <w:rPr>
          <w:color w:val="000000" w:themeColor="text1"/>
          <w:sz w:val="24"/>
          <w:szCs w:val="24"/>
        </w:rPr>
        <w:t xml:space="preserve"> in Schedule 2.</w:t>
      </w:r>
    </w:p>
    <w:p w14:paraId="0F7B3745" w14:textId="77777777" w:rsidR="003C4BF8" w:rsidRPr="00D24F72" w:rsidRDefault="003C4BF8" w:rsidP="0029249F">
      <w:pPr>
        <w:ind w:right="91"/>
        <w:rPr>
          <w:color w:val="000000" w:themeColor="text1"/>
          <w:sz w:val="24"/>
          <w:szCs w:val="24"/>
        </w:rPr>
      </w:pPr>
    </w:p>
    <w:p w14:paraId="05040C97" w14:textId="77777777" w:rsidR="009A5AC3" w:rsidRPr="009A5AC3" w:rsidRDefault="0029249F" w:rsidP="009A5AC3">
      <w:pPr>
        <w:ind w:right="91"/>
        <w:rPr>
          <w:color w:val="000000" w:themeColor="text1"/>
          <w:sz w:val="24"/>
          <w:szCs w:val="24"/>
        </w:rPr>
      </w:pPr>
      <w:r w:rsidRPr="00D24F72">
        <w:rPr>
          <w:color w:val="000000" w:themeColor="text1"/>
          <w:sz w:val="24"/>
          <w:szCs w:val="24"/>
          <w:u w:val="single"/>
        </w:rPr>
        <w:t>Section 6</w:t>
      </w:r>
      <w:r w:rsidR="00A63CAD">
        <w:rPr>
          <w:color w:val="000000" w:themeColor="text1"/>
          <w:sz w:val="24"/>
          <w:szCs w:val="24"/>
        </w:rPr>
        <w:t xml:space="preserve"> provides that</w:t>
      </w:r>
      <w:r w:rsidR="0014543A">
        <w:rPr>
          <w:color w:val="000000" w:themeColor="text1"/>
          <w:sz w:val="24"/>
          <w:szCs w:val="24"/>
        </w:rPr>
        <w:t xml:space="preserve">, </w:t>
      </w:r>
      <w:r w:rsidR="00A63CAD">
        <w:rPr>
          <w:color w:val="000000" w:themeColor="text1"/>
          <w:sz w:val="24"/>
          <w:szCs w:val="24"/>
        </w:rPr>
        <w:t xml:space="preserve">for </w:t>
      </w:r>
      <w:r w:rsidR="0059350E" w:rsidRPr="0059350E">
        <w:rPr>
          <w:color w:val="000000" w:themeColor="text1"/>
          <w:sz w:val="24"/>
          <w:szCs w:val="24"/>
        </w:rPr>
        <w:t xml:space="preserve">the purpose of subsection 115(1) of the Act, </w:t>
      </w:r>
      <w:r w:rsidRPr="00675482">
        <w:rPr>
          <w:color w:val="000000" w:themeColor="text1"/>
          <w:sz w:val="24"/>
          <w:szCs w:val="24"/>
        </w:rPr>
        <w:t xml:space="preserve">each event specified in Schedule 1 to this Notice is an event specified of a kind, the televising of which should, in </w:t>
      </w:r>
      <w:r>
        <w:rPr>
          <w:color w:val="000000" w:themeColor="text1"/>
          <w:sz w:val="24"/>
          <w:szCs w:val="24"/>
        </w:rPr>
        <w:t>the Minister’s</w:t>
      </w:r>
      <w:r w:rsidRPr="00675482">
        <w:rPr>
          <w:color w:val="000000" w:themeColor="text1"/>
          <w:sz w:val="24"/>
          <w:szCs w:val="24"/>
        </w:rPr>
        <w:t xml:space="preserve"> opinion, be available free to the general public</w:t>
      </w:r>
      <w:r w:rsidRPr="00D24F72">
        <w:rPr>
          <w:color w:val="000000" w:themeColor="text1"/>
          <w:sz w:val="24"/>
          <w:szCs w:val="24"/>
        </w:rPr>
        <w:t xml:space="preserve">. </w:t>
      </w:r>
    </w:p>
    <w:p w14:paraId="0763AB04" w14:textId="77777777" w:rsidR="00A63CAD" w:rsidRDefault="00A63CAD" w:rsidP="009A5AC3"/>
    <w:p w14:paraId="15A467BC" w14:textId="77777777" w:rsidR="00A63CAD" w:rsidRPr="00420A21" w:rsidRDefault="00A63CAD" w:rsidP="00A63CAD">
      <w:pPr>
        <w:shd w:val="clear" w:color="auto" w:fill="FFFFFF"/>
        <w:ind w:right="91"/>
        <w:rPr>
          <w:color w:val="000000"/>
        </w:rPr>
      </w:pPr>
      <w:r w:rsidRPr="00744F63">
        <w:rPr>
          <w:color w:val="000000"/>
          <w:sz w:val="24"/>
          <w:szCs w:val="24"/>
          <w:u w:val="single"/>
        </w:rPr>
        <w:t>Section 7</w:t>
      </w:r>
      <w:r w:rsidRPr="00744F63">
        <w:rPr>
          <w:color w:val="000000"/>
          <w:sz w:val="24"/>
          <w:szCs w:val="24"/>
        </w:rPr>
        <w:t xml:space="preserve"> </w:t>
      </w:r>
      <w:r w:rsidR="003008BF" w:rsidRPr="004131AE">
        <w:rPr>
          <w:color w:val="000000"/>
          <w:sz w:val="24"/>
        </w:rPr>
        <w:t>provides</w:t>
      </w:r>
      <w:r w:rsidR="003008BF">
        <w:rPr>
          <w:color w:val="000000"/>
          <w:sz w:val="24"/>
          <w:szCs w:val="24"/>
        </w:rPr>
        <w:t xml:space="preserve"> that t</w:t>
      </w:r>
      <w:r w:rsidRPr="00744F63">
        <w:rPr>
          <w:color w:val="000000"/>
          <w:sz w:val="24"/>
          <w:szCs w:val="24"/>
        </w:rPr>
        <w:t xml:space="preserve">he Notice will be repealed 36 months (or 3 years) after </w:t>
      </w:r>
      <w:r w:rsidR="003008BF">
        <w:rPr>
          <w:color w:val="000000"/>
          <w:sz w:val="24"/>
          <w:szCs w:val="24"/>
        </w:rPr>
        <w:t xml:space="preserve">it </w:t>
      </w:r>
      <w:r w:rsidRPr="00744F63">
        <w:rPr>
          <w:color w:val="000000"/>
          <w:sz w:val="24"/>
          <w:szCs w:val="24"/>
        </w:rPr>
        <w:t>commences. This is less than the usual ten years that would apply by operation of the sunsetting repeal rule under section 50 of the </w:t>
      </w:r>
      <w:r w:rsidRPr="00744F63">
        <w:rPr>
          <w:i/>
          <w:iCs/>
          <w:color w:val="000000"/>
          <w:sz w:val="24"/>
          <w:szCs w:val="24"/>
        </w:rPr>
        <w:t>Legislation Act 2003</w:t>
      </w:r>
      <w:r w:rsidRPr="00744F63">
        <w:rPr>
          <w:color w:val="000000"/>
          <w:sz w:val="24"/>
          <w:szCs w:val="24"/>
        </w:rPr>
        <w:t>.</w:t>
      </w:r>
      <w:r w:rsidRPr="00744F63">
        <w:rPr>
          <w:color w:val="000000"/>
        </w:rPr>
        <w:t xml:space="preserve"> </w:t>
      </w:r>
      <w:r w:rsidRPr="004131AE">
        <w:rPr>
          <w:color w:val="000000"/>
          <w:sz w:val="24"/>
        </w:rPr>
        <w:t xml:space="preserve">The self-repeal provision </w:t>
      </w:r>
      <w:r w:rsidR="003008BF" w:rsidRPr="004131AE">
        <w:rPr>
          <w:color w:val="000000"/>
          <w:sz w:val="24"/>
        </w:rPr>
        <w:t xml:space="preserve">effectively </w:t>
      </w:r>
      <w:r w:rsidR="00720369">
        <w:rPr>
          <w:color w:val="000000"/>
          <w:sz w:val="24"/>
          <w:szCs w:val="24"/>
        </w:rPr>
        <w:t xml:space="preserve">provides </w:t>
      </w:r>
      <w:r w:rsidR="00720369" w:rsidRPr="009D7588">
        <w:rPr>
          <w:color w:val="000000"/>
          <w:sz w:val="24"/>
          <w:szCs w:val="24"/>
        </w:rPr>
        <w:t>time</w:t>
      </w:r>
      <w:r w:rsidRPr="009D7588">
        <w:rPr>
          <w:color w:val="000000"/>
          <w:sz w:val="24"/>
        </w:rPr>
        <w:t xml:space="preserve"> for </w:t>
      </w:r>
      <w:r w:rsidR="00720369" w:rsidRPr="009D7588">
        <w:rPr>
          <w:color w:val="000000"/>
          <w:sz w:val="24"/>
          <w:szCs w:val="24"/>
        </w:rPr>
        <w:t>consideration of</w:t>
      </w:r>
      <w:r w:rsidRPr="009D7588">
        <w:rPr>
          <w:color w:val="000000"/>
          <w:sz w:val="24"/>
        </w:rPr>
        <w:t xml:space="preserve"> broader</w:t>
      </w:r>
      <w:r w:rsidRPr="004131AE">
        <w:rPr>
          <w:color w:val="000000"/>
          <w:sz w:val="24"/>
        </w:rPr>
        <w:t xml:space="preserve"> reform</w:t>
      </w:r>
      <w:r w:rsidR="003008BF" w:rsidRPr="004131AE">
        <w:rPr>
          <w:color w:val="000000"/>
          <w:sz w:val="24"/>
        </w:rPr>
        <w:t xml:space="preserve">s to the </w:t>
      </w:r>
      <w:r w:rsidR="008C3FDE">
        <w:rPr>
          <w:color w:val="000000"/>
          <w:sz w:val="24"/>
        </w:rPr>
        <w:t xml:space="preserve">anti-siphoning </w:t>
      </w:r>
      <w:r w:rsidR="003008BF" w:rsidRPr="004131AE">
        <w:rPr>
          <w:color w:val="000000"/>
          <w:sz w:val="24"/>
        </w:rPr>
        <w:t>scheme while maintaining the operation of the scheme in the interim.</w:t>
      </w:r>
      <w:r w:rsidR="003008BF">
        <w:rPr>
          <w:color w:val="000000"/>
          <w:sz w:val="24"/>
          <w:szCs w:val="24"/>
        </w:rPr>
        <w:t xml:space="preserve"> </w:t>
      </w:r>
    </w:p>
    <w:p w14:paraId="5F2C6260" w14:textId="77777777" w:rsidR="00203D2C" w:rsidRPr="004A651A" w:rsidRDefault="00203D2C" w:rsidP="009A5AC3">
      <w:pPr>
        <w:keepNext/>
        <w:ind w:right="91"/>
        <w:rPr>
          <w:color w:val="000000" w:themeColor="text1"/>
          <w:sz w:val="24"/>
          <w:szCs w:val="24"/>
        </w:rPr>
      </w:pPr>
    </w:p>
    <w:p w14:paraId="44C6D6DD" w14:textId="77777777" w:rsidR="009A5AC3" w:rsidRDefault="009A5AC3" w:rsidP="009A5AC3">
      <w:pPr>
        <w:keepNext/>
        <w:ind w:right="91"/>
        <w:rPr>
          <w:color w:val="000000" w:themeColor="text1"/>
          <w:sz w:val="24"/>
          <w:szCs w:val="24"/>
          <w:u w:val="single"/>
        </w:rPr>
      </w:pPr>
      <w:r w:rsidRPr="00D24F72">
        <w:rPr>
          <w:color w:val="000000" w:themeColor="text1"/>
          <w:sz w:val="24"/>
          <w:szCs w:val="24"/>
          <w:u w:val="single"/>
        </w:rPr>
        <w:t>Schedule</w:t>
      </w:r>
      <w:r>
        <w:rPr>
          <w:color w:val="000000" w:themeColor="text1"/>
          <w:sz w:val="24"/>
          <w:szCs w:val="24"/>
          <w:u w:val="single"/>
        </w:rPr>
        <w:t xml:space="preserve"> 1</w:t>
      </w:r>
    </w:p>
    <w:p w14:paraId="1B2DBBE5" w14:textId="77777777" w:rsidR="00860508" w:rsidRPr="00D24F72" w:rsidRDefault="00860508" w:rsidP="009A5AC3">
      <w:pPr>
        <w:keepNext/>
        <w:ind w:right="91"/>
        <w:rPr>
          <w:color w:val="000000" w:themeColor="text1"/>
          <w:sz w:val="24"/>
          <w:szCs w:val="24"/>
        </w:rPr>
      </w:pPr>
    </w:p>
    <w:p w14:paraId="448E1157" w14:textId="77777777" w:rsidR="00787C45" w:rsidRDefault="00860508" w:rsidP="0029249F">
      <w:pPr>
        <w:ind w:right="91"/>
        <w:rPr>
          <w:color w:val="000000" w:themeColor="text1"/>
          <w:sz w:val="24"/>
          <w:szCs w:val="24"/>
        </w:rPr>
      </w:pPr>
      <w:r w:rsidRPr="00860508">
        <w:rPr>
          <w:color w:val="000000" w:themeColor="text1"/>
          <w:sz w:val="24"/>
          <w:szCs w:val="24"/>
        </w:rPr>
        <w:t xml:space="preserve">The following table sets out </w:t>
      </w:r>
      <w:r w:rsidR="001B2BAF">
        <w:rPr>
          <w:color w:val="000000" w:themeColor="text1"/>
          <w:sz w:val="24"/>
          <w:szCs w:val="24"/>
        </w:rPr>
        <w:t xml:space="preserve">the </w:t>
      </w:r>
      <w:r w:rsidRPr="00860508">
        <w:rPr>
          <w:color w:val="000000" w:themeColor="text1"/>
          <w:sz w:val="24"/>
          <w:szCs w:val="24"/>
        </w:rPr>
        <w:t>events included in the anti-siphoning list</w:t>
      </w:r>
      <w:r>
        <w:rPr>
          <w:color w:val="000000" w:themeColor="text1"/>
          <w:sz w:val="24"/>
          <w:szCs w:val="24"/>
        </w:rPr>
        <w:t>.</w:t>
      </w:r>
    </w:p>
    <w:p w14:paraId="193C0595" w14:textId="77777777" w:rsidR="00860508" w:rsidRPr="00787C45" w:rsidRDefault="00860508" w:rsidP="0029249F">
      <w:pPr>
        <w:ind w:right="91"/>
        <w:rPr>
          <w:color w:val="000000" w:themeColor="text1"/>
          <w:sz w:val="24"/>
          <w:szCs w:val="24"/>
        </w:rPr>
      </w:pPr>
    </w:p>
    <w:tbl>
      <w:tblPr>
        <w:tblStyle w:val="TableGrid"/>
        <w:tblW w:w="4778" w:type="pct"/>
        <w:tblLook w:val="04A0" w:firstRow="1" w:lastRow="0" w:firstColumn="1" w:lastColumn="0" w:noHBand="0" w:noVBand="1"/>
      </w:tblPr>
      <w:tblGrid>
        <w:gridCol w:w="2263"/>
        <w:gridCol w:w="6774"/>
      </w:tblGrid>
      <w:tr w:rsidR="00E922B7" w:rsidRPr="00787C45" w14:paraId="48EF306D" w14:textId="77777777" w:rsidTr="00E922B7">
        <w:trPr>
          <w:tblHeader/>
        </w:trPr>
        <w:tc>
          <w:tcPr>
            <w:tcW w:w="1252" w:type="pct"/>
            <w:tcBorders>
              <w:top w:val="single" w:sz="4" w:space="0" w:color="auto"/>
              <w:left w:val="single" w:sz="4" w:space="0" w:color="auto"/>
              <w:bottom w:val="single" w:sz="4" w:space="0" w:color="auto"/>
              <w:right w:val="single" w:sz="4" w:space="0" w:color="auto"/>
            </w:tcBorders>
          </w:tcPr>
          <w:p w14:paraId="2EAEE9D7" w14:textId="77777777" w:rsidR="00E922B7" w:rsidRPr="00787C45" w:rsidRDefault="00203D2C" w:rsidP="00EF6512">
            <w:pPr>
              <w:spacing w:before="60" w:after="60"/>
              <w:rPr>
                <w:b/>
                <w:sz w:val="24"/>
                <w:szCs w:val="24"/>
              </w:rPr>
            </w:pPr>
            <w:r>
              <w:rPr>
                <w:b/>
                <w:sz w:val="24"/>
                <w:szCs w:val="24"/>
              </w:rPr>
              <w:t>Sport</w:t>
            </w:r>
          </w:p>
        </w:tc>
        <w:tc>
          <w:tcPr>
            <w:tcW w:w="3748" w:type="pct"/>
            <w:tcBorders>
              <w:top w:val="single" w:sz="4" w:space="0" w:color="auto"/>
              <w:left w:val="single" w:sz="4" w:space="0" w:color="auto"/>
              <w:bottom w:val="single" w:sz="4" w:space="0" w:color="auto"/>
              <w:right w:val="single" w:sz="4" w:space="0" w:color="auto"/>
            </w:tcBorders>
            <w:hideMark/>
          </w:tcPr>
          <w:p w14:paraId="074DA63D" w14:textId="77777777" w:rsidR="00E922B7" w:rsidRPr="00787C45" w:rsidRDefault="00E922B7" w:rsidP="00EF6512">
            <w:pPr>
              <w:spacing w:before="60" w:after="60"/>
              <w:rPr>
                <w:b/>
                <w:sz w:val="24"/>
                <w:szCs w:val="24"/>
              </w:rPr>
            </w:pPr>
            <w:r w:rsidRPr="00787C45">
              <w:rPr>
                <w:b/>
                <w:sz w:val="24"/>
                <w:szCs w:val="24"/>
              </w:rPr>
              <w:t xml:space="preserve">Event </w:t>
            </w:r>
          </w:p>
        </w:tc>
      </w:tr>
      <w:tr w:rsidR="00E922B7" w:rsidRPr="00787C45" w14:paraId="1C866CFC" w14:textId="77777777" w:rsidTr="00E922B7">
        <w:tc>
          <w:tcPr>
            <w:tcW w:w="1252" w:type="pct"/>
            <w:vMerge w:val="restart"/>
            <w:tcBorders>
              <w:top w:val="single" w:sz="4" w:space="0" w:color="auto"/>
              <w:left w:val="single" w:sz="4" w:space="0" w:color="auto"/>
              <w:right w:val="single" w:sz="4" w:space="0" w:color="auto"/>
            </w:tcBorders>
          </w:tcPr>
          <w:p w14:paraId="1B219D44" w14:textId="77777777" w:rsidR="00E922B7" w:rsidRPr="00787C45" w:rsidRDefault="00E922B7" w:rsidP="00EF6512">
            <w:pPr>
              <w:spacing w:before="60" w:after="60"/>
              <w:rPr>
                <w:sz w:val="24"/>
                <w:szCs w:val="24"/>
              </w:rPr>
            </w:pPr>
            <w:r>
              <w:rPr>
                <w:b/>
                <w:sz w:val="24"/>
                <w:szCs w:val="24"/>
              </w:rPr>
              <w:t xml:space="preserve">Item 1 </w:t>
            </w:r>
            <w:r w:rsidRPr="00787C45">
              <w:rPr>
                <w:b/>
                <w:sz w:val="24"/>
                <w:szCs w:val="24"/>
              </w:rPr>
              <w:t>Olympic Games</w:t>
            </w:r>
          </w:p>
        </w:tc>
        <w:tc>
          <w:tcPr>
            <w:tcW w:w="3748" w:type="pct"/>
            <w:tcBorders>
              <w:top w:val="single" w:sz="4" w:space="0" w:color="auto"/>
              <w:left w:val="single" w:sz="4" w:space="0" w:color="auto"/>
              <w:bottom w:val="single" w:sz="4" w:space="0" w:color="auto"/>
              <w:right w:val="single" w:sz="4" w:space="0" w:color="auto"/>
            </w:tcBorders>
            <w:hideMark/>
          </w:tcPr>
          <w:p w14:paraId="739B011B" w14:textId="77777777" w:rsidR="00E922B7" w:rsidRPr="00787C45" w:rsidRDefault="00E922B7" w:rsidP="00E922B7">
            <w:pPr>
              <w:pStyle w:val="ListParagraph"/>
              <w:numPr>
                <w:ilvl w:val="0"/>
                <w:numId w:val="31"/>
              </w:numPr>
              <w:spacing w:before="60" w:after="60"/>
              <w:rPr>
                <w:sz w:val="24"/>
                <w:szCs w:val="24"/>
              </w:rPr>
            </w:pPr>
            <w:r>
              <w:rPr>
                <w:sz w:val="24"/>
                <w:szCs w:val="24"/>
              </w:rPr>
              <w:t xml:space="preserve">Each event that is held as part of </w:t>
            </w:r>
            <w:r w:rsidRPr="009A5AC3">
              <w:rPr>
                <w:sz w:val="24"/>
                <w:szCs w:val="24"/>
              </w:rPr>
              <w:t>the Summer Olympic Games</w:t>
            </w:r>
            <w:r>
              <w:rPr>
                <w:sz w:val="24"/>
                <w:szCs w:val="24"/>
              </w:rPr>
              <w:t xml:space="preserve">, </w:t>
            </w:r>
            <w:r w:rsidRPr="009A5AC3">
              <w:rPr>
                <w:sz w:val="24"/>
                <w:szCs w:val="24"/>
              </w:rPr>
              <w:t>including the Opening and Closing Ceremonies</w:t>
            </w:r>
            <w:r>
              <w:rPr>
                <w:sz w:val="24"/>
                <w:szCs w:val="24"/>
              </w:rPr>
              <w:t>.</w:t>
            </w:r>
          </w:p>
        </w:tc>
      </w:tr>
      <w:tr w:rsidR="00E922B7" w:rsidRPr="00787C45" w14:paraId="471D3B8E" w14:textId="77777777" w:rsidTr="00E922B7">
        <w:tc>
          <w:tcPr>
            <w:tcW w:w="1252" w:type="pct"/>
            <w:vMerge/>
            <w:tcBorders>
              <w:left w:val="single" w:sz="4" w:space="0" w:color="auto"/>
              <w:bottom w:val="single" w:sz="4" w:space="0" w:color="auto"/>
              <w:right w:val="single" w:sz="4" w:space="0" w:color="auto"/>
            </w:tcBorders>
          </w:tcPr>
          <w:p w14:paraId="6C0FC2E8" w14:textId="77777777" w:rsidR="00E922B7" w:rsidRDefault="00E922B7" w:rsidP="00EF6512">
            <w:pPr>
              <w:spacing w:before="60" w:after="60"/>
              <w:rPr>
                <w:sz w:val="24"/>
                <w:szCs w:val="24"/>
              </w:rPr>
            </w:pPr>
          </w:p>
        </w:tc>
        <w:tc>
          <w:tcPr>
            <w:tcW w:w="3748" w:type="pct"/>
            <w:tcBorders>
              <w:top w:val="single" w:sz="4" w:space="0" w:color="auto"/>
              <w:left w:val="single" w:sz="4" w:space="0" w:color="auto"/>
              <w:bottom w:val="single" w:sz="4" w:space="0" w:color="auto"/>
              <w:right w:val="single" w:sz="4" w:space="0" w:color="auto"/>
            </w:tcBorders>
          </w:tcPr>
          <w:p w14:paraId="33B5236F" w14:textId="77777777" w:rsidR="00E922B7" w:rsidRPr="00787C45" w:rsidRDefault="00E922B7" w:rsidP="00E922B7">
            <w:pPr>
              <w:pStyle w:val="ListParagraph"/>
              <w:numPr>
                <w:ilvl w:val="0"/>
                <w:numId w:val="31"/>
              </w:numPr>
              <w:spacing w:before="60" w:after="60"/>
              <w:rPr>
                <w:sz w:val="24"/>
                <w:szCs w:val="24"/>
              </w:rPr>
            </w:pPr>
            <w:r>
              <w:rPr>
                <w:sz w:val="24"/>
                <w:szCs w:val="24"/>
              </w:rPr>
              <w:t xml:space="preserve">Each event that is held as part of </w:t>
            </w:r>
            <w:r w:rsidRPr="009A5AC3">
              <w:rPr>
                <w:sz w:val="24"/>
                <w:szCs w:val="24"/>
              </w:rPr>
              <w:t>the Winter Olympic Games</w:t>
            </w:r>
            <w:r>
              <w:rPr>
                <w:sz w:val="24"/>
                <w:szCs w:val="24"/>
              </w:rPr>
              <w:t xml:space="preserve">, </w:t>
            </w:r>
            <w:r w:rsidRPr="009A5AC3">
              <w:rPr>
                <w:sz w:val="24"/>
                <w:szCs w:val="24"/>
              </w:rPr>
              <w:t>including the Opening and Closing Ceremonies</w:t>
            </w:r>
            <w:r>
              <w:rPr>
                <w:sz w:val="24"/>
                <w:szCs w:val="24"/>
              </w:rPr>
              <w:t>.</w:t>
            </w:r>
          </w:p>
        </w:tc>
      </w:tr>
      <w:tr w:rsidR="00E922B7" w:rsidRPr="00787C45" w14:paraId="1EB92222" w14:textId="77777777" w:rsidTr="00E922B7">
        <w:tc>
          <w:tcPr>
            <w:tcW w:w="1252" w:type="pct"/>
            <w:tcBorders>
              <w:top w:val="single" w:sz="4" w:space="0" w:color="auto"/>
              <w:left w:val="single" w:sz="4" w:space="0" w:color="auto"/>
              <w:bottom w:val="single" w:sz="4" w:space="0" w:color="auto"/>
              <w:right w:val="single" w:sz="4" w:space="0" w:color="auto"/>
            </w:tcBorders>
          </w:tcPr>
          <w:p w14:paraId="47829572" w14:textId="77777777" w:rsidR="00E922B7" w:rsidRPr="00787C45" w:rsidRDefault="00E922B7" w:rsidP="00EF6512">
            <w:pPr>
              <w:spacing w:before="60" w:after="60"/>
              <w:rPr>
                <w:sz w:val="24"/>
                <w:szCs w:val="24"/>
              </w:rPr>
            </w:pPr>
            <w:r>
              <w:rPr>
                <w:b/>
                <w:sz w:val="24"/>
                <w:szCs w:val="24"/>
              </w:rPr>
              <w:t xml:space="preserve">Item 2 </w:t>
            </w:r>
            <w:r w:rsidRPr="00787C45">
              <w:rPr>
                <w:b/>
                <w:sz w:val="24"/>
                <w:szCs w:val="24"/>
              </w:rPr>
              <w:t>Commonwealth Games</w:t>
            </w:r>
          </w:p>
        </w:tc>
        <w:tc>
          <w:tcPr>
            <w:tcW w:w="3748" w:type="pct"/>
            <w:tcBorders>
              <w:top w:val="single" w:sz="4" w:space="0" w:color="auto"/>
              <w:left w:val="single" w:sz="4" w:space="0" w:color="auto"/>
              <w:bottom w:val="single" w:sz="4" w:space="0" w:color="auto"/>
              <w:right w:val="single" w:sz="4" w:space="0" w:color="auto"/>
            </w:tcBorders>
            <w:hideMark/>
          </w:tcPr>
          <w:p w14:paraId="77AC0E9A" w14:textId="77777777" w:rsidR="00E922B7" w:rsidRPr="00787C45" w:rsidRDefault="00E922B7" w:rsidP="00EF6512">
            <w:pPr>
              <w:spacing w:before="60" w:after="60"/>
              <w:rPr>
                <w:sz w:val="24"/>
                <w:szCs w:val="24"/>
              </w:rPr>
            </w:pPr>
            <w:r w:rsidRPr="00787C45">
              <w:rPr>
                <w:sz w:val="24"/>
                <w:szCs w:val="24"/>
              </w:rPr>
              <w:t>Each event held as part of the Commonwealth Games, including the Opening Ceremony and the Closing Ceremony</w:t>
            </w:r>
            <w:r>
              <w:rPr>
                <w:sz w:val="24"/>
                <w:szCs w:val="24"/>
              </w:rPr>
              <w:t>.</w:t>
            </w:r>
          </w:p>
        </w:tc>
      </w:tr>
      <w:tr w:rsidR="00E922B7" w:rsidRPr="00787C45" w14:paraId="3D2538A6" w14:textId="77777777" w:rsidTr="00E922B7">
        <w:tc>
          <w:tcPr>
            <w:tcW w:w="1252" w:type="pct"/>
            <w:tcBorders>
              <w:top w:val="single" w:sz="4" w:space="0" w:color="auto"/>
              <w:left w:val="single" w:sz="4" w:space="0" w:color="auto"/>
              <w:bottom w:val="single" w:sz="4" w:space="0" w:color="auto"/>
              <w:right w:val="single" w:sz="4" w:space="0" w:color="auto"/>
            </w:tcBorders>
          </w:tcPr>
          <w:p w14:paraId="3F5F3351" w14:textId="77777777" w:rsidR="00E922B7" w:rsidRPr="00787C45" w:rsidRDefault="00E922B7" w:rsidP="00EF6512">
            <w:pPr>
              <w:spacing w:before="60" w:after="60"/>
              <w:rPr>
                <w:sz w:val="24"/>
                <w:szCs w:val="24"/>
              </w:rPr>
            </w:pPr>
            <w:r>
              <w:rPr>
                <w:b/>
                <w:sz w:val="24"/>
                <w:szCs w:val="24"/>
              </w:rPr>
              <w:t>Item 3</w:t>
            </w:r>
            <w:r w:rsidRPr="00787C45">
              <w:rPr>
                <w:b/>
                <w:sz w:val="24"/>
                <w:szCs w:val="24"/>
              </w:rPr>
              <w:t xml:space="preserve"> Horse racing  </w:t>
            </w:r>
          </w:p>
        </w:tc>
        <w:tc>
          <w:tcPr>
            <w:tcW w:w="3748" w:type="pct"/>
            <w:tcBorders>
              <w:top w:val="single" w:sz="4" w:space="0" w:color="auto"/>
              <w:left w:val="single" w:sz="4" w:space="0" w:color="auto"/>
              <w:bottom w:val="single" w:sz="4" w:space="0" w:color="auto"/>
              <w:right w:val="single" w:sz="4" w:space="0" w:color="auto"/>
            </w:tcBorders>
            <w:hideMark/>
          </w:tcPr>
          <w:p w14:paraId="42407069" w14:textId="77777777" w:rsidR="00E922B7" w:rsidRPr="00787C45" w:rsidRDefault="00E922B7" w:rsidP="00EF6512">
            <w:pPr>
              <w:spacing w:before="60" w:after="60"/>
              <w:rPr>
                <w:sz w:val="24"/>
                <w:szCs w:val="24"/>
              </w:rPr>
            </w:pPr>
            <w:r w:rsidRPr="00750665">
              <w:rPr>
                <w:sz w:val="24"/>
                <w:szCs w:val="24"/>
              </w:rPr>
              <w:t>Each running of the Melbourne Cup organised by the Victoria Racing Club</w:t>
            </w:r>
            <w:r>
              <w:rPr>
                <w:sz w:val="24"/>
                <w:szCs w:val="24"/>
              </w:rPr>
              <w:t>.</w:t>
            </w:r>
          </w:p>
        </w:tc>
      </w:tr>
      <w:tr w:rsidR="00E922B7" w:rsidRPr="00787C45" w14:paraId="5A38B56E" w14:textId="77777777" w:rsidTr="00E922B7">
        <w:tc>
          <w:tcPr>
            <w:tcW w:w="1252" w:type="pct"/>
            <w:tcBorders>
              <w:top w:val="single" w:sz="4" w:space="0" w:color="auto"/>
              <w:left w:val="single" w:sz="4" w:space="0" w:color="auto"/>
              <w:bottom w:val="single" w:sz="4" w:space="0" w:color="auto"/>
              <w:right w:val="single" w:sz="4" w:space="0" w:color="auto"/>
            </w:tcBorders>
          </w:tcPr>
          <w:p w14:paraId="57FAFD3D" w14:textId="77777777" w:rsidR="00E922B7" w:rsidRPr="00787C45" w:rsidRDefault="00E922B7" w:rsidP="00EF6512">
            <w:pPr>
              <w:spacing w:before="60" w:after="60"/>
              <w:rPr>
                <w:sz w:val="24"/>
                <w:szCs w:val="24"/>
              </w:rPr>
            </w:pPr>
            <w:r>
              <w:rPr>
                <w:b/>
                <w:sz w:val="24"/>
                <w:szCs w:val="24"/>
              </w:rPr>
              <w:t>Item 4</w:t>
            </w:r>
            <w:r w:rsidRPr="00EF6512">
              <w:rPr>
                <w:b/>
                <w:sz w:val="24"/>
                <w:szCs w:val="24"/>
              </w:rPr>
              <w:t xml:space="preserve"> Australian rules football</w:t>
            </w:r>
          </w:p>
        </w:tc>
        <w:tc>
          <w:tcPr>
            <w:tcW w:w="3748" w:type="pct"/>
            <w:tcBorders>
              <w:top w:val="single" w:sz="4" w:space="0" w:color="auto"/>
              <w:left w:val="single" w:sz="4" w:space="0" w:color="auto"/>
              <w:bottom w:val="single" w:sz="4" w:space="0" w:color="auto"/>
              <w:right w:val="single" w:sz="4" w:space="0" w:color="auto"/>
            </w:tcBorders>
            <w:hideMark/>
          </w:tcPr>
          <w:p w14:paraId="52D1EB32" w14:textId="77777777" w:rsidR="00E922B7" w:rsidRPr="00787C45" w:rsidRDefault="00E922B7" w:rsidP="00EF6512">
            <w:pPr>
              <w:spacing w:before="60" w:after="60"/>
              <w:rPr>
                <w:sz w:val="24"/>
                <w:szCs w:val="24"/>
              </w:rPr>
            </w:pPr>
            <w:r w:rsidRPr="00787C45">
              <w:rPr>
                <w:sz w:val="24"/>
                <w:szCs w:val="24"/>
              </w:rPr>
              <w:t>Each match in the Australian Football League Premiership competition</w:t>
            </w:r>
            <w:r w:rsidR="00605701">
              <w:rPr>
                <w:sz w:val="24"/>
                <w:szCs w:val="24"/>
              </w:rPr>
              <w:t>,</w:t>
            </w:r>
            <w:r w:rsidRPr="00787C45">
              <w:rPr>
                <w:sz w:val="24"/>
                <w:szCs w:val="24"/>
              </w:rPr>
              <w:t xml:space="preserve"> including the Finals Series</w:t>
            </w:r>
            <w:r>
              <w:rPr>
                <w:sz w:val="24"/>
                <w:szCs w:val="24"/>
              </w:rPr>
              <w:t>.</w:t>
            </w:r>
          </w:p>
        </w:tc>
      </w:tr>
      <w:tr w:rsidR="00E922B7" w:rsidRPr="00787C45" w14:paraId="04D2025E" w14:textId="77777777" w:rsidTr="00E922B7">
        <w:tc>
          <w:tcPr>
            <w:tcW w:w="1252" w:type="pct"/>
            <w:vMerge w:val="restart"/>
            <w:tcBorders>
              <w:top w:val="single" w:sz="4" w:space="0" w:color="auto"/>
              <w:left w:val="single" w:sz="4" w:space="0" w:color="auto"/>
              <w:right w:val="single" w:sz="4" w:space="0" w:color="auto"/>
            </w:tcBorders>
          </w:tcPr>
          <w:p w14:paraId="4C9515C0" w14:textId="77777777" w:rsidR="00E922B7" w:rsidRDefault="00E922B7" w:rsidP="00EF6512">
            <w:pPr>
              <w:spacing w:before="60" w:after="60"/>
              <w:rPr>
                <w:sz w:val="24"/>
                <w:szCs w:val="24"/>
              </w:rPr>
            </w:pPr>
            <w:r>
              <w:rPr>
                <w:b/>
                <w:sz w:val="24"/>
                <w:szCs w:val="24"/>
              </w:rPr>
              <w:t>Item 5</w:t>
            </w:r>
            <w:r w:rsidRPr="00EF6512">
              <w:rPr>
                <w:b/>
                <w:sz w:val="24"/>
                <w:szCs w:val="24"/>
              </w:rPr>
              <w:t xml:space="preserve"> Rugby league football</w:t>
            </w:r>
          </w:p>
        </w:tc>
        <w:tc>
          <w:tcPr>
            <w:tcW w:w="3748" w:type="pct"/>
            <w:tcBorders>
              <w:top w:val="single" w:sz="4" w:space="0" w:color="auto"/>
              <w:left w:val="single" w:sz="4" w:space="0" w:color="auto"/>
              <w:bottom w:val="single" w:sz="4" w:space="0" w:color="auto"/>
              <w:right w:val="single" w:sz="4" w:space="0" w:color="auto"/>
            </w:tcBorders>
          </w:tcPr>
          <w:p w14:paraId="0E7049F5" w14:textId="77777777" w:rsidR="00E922B7" w:rsidRPr="00787C45" w:rsidRDefault="00E922B7" w:rsidP="00E922B7">
            <w:pPr>
              <w:pStyle w:val="ListParagraph"/>
              <w:numPr>
                <w:ilvl w:val="0"/>
                <w:numId w:val="33"/>
              </w:numPr>
              <w:spacing w:before="60" w:after="60"/>
              <w:rPr>
                <w:sz w:val="24"/>
                <w:szCs w:val="24"/>
              </w:rPr>
            </w:pPr>
            <w:r w:rsidRPr="00EF6512">
              <w:rPr>
                <w:sz w:val="24"/>
                <w:szCs w:val="24"/>
              </w:rPr>
              <w:t>Each match in the National Rugby League Premiership competition</w:t>
            </w:r>
            <w:r w:rsidR="00605701">
              <w:rPr>
                <w:sz w:val="24"/>
                <w:szCs w:val="24"/>
              </w:rPr>
              <w:t>,</w:t>
            </w:r>
            <w:r w:rsidRPr="00EF6512">
              <w:rPr>
                <w:sz w:val="24"/>
                <w:szCs w:val="24"/>
              </w:rPr>
              <w:t xml:space="preserve"> including the Finals Series</w:t>
            </w:r>
            <w:r>
              <w:rPr>
                <w:sz w:val="24"/>
                <w:szCs w:val="24"/>
              </w:rPr>
              <w:t>.</w:t>
            </w:r>
          </w:p>
        </w:tc>
      </w:tr>
      <w:tr w:rsidR="00E922B7" w:rsidRPr="00787C45" w14:paraId="56DEF419" w14:textId="77777777" w:rsidTr="00E922B7">
        <w:tc>
          <w:tcPr>
            <w:tcW w:w="1252" w:type="pct"/>
            <w:vMerge/>
            <w:tcBorders>
              <w:left w:val="single" w:sz="4" w:space="0" w:color="auto"/>
              <w:right w:val="single" w:sz="4" w:space="0" w:color="auto"/>
            </w:tcBorders>
          </w:tcPr>
          <w:p w14:paraId="07B172C5" w14:textId="77777777" w:rsidR="00E922B7" w:rsidRDefault="00E922B7" w:rsidP="00EF6512">
            <w:pPr>
              <w:spacing w:before="60" w:after="60"/>
              <w:rPr>
                <w:sz w:val="24"/>
                <w:szCs w:val="24"/>
              </w:rPr>
            </w:pPr>
          </w:p>
        </w:tc>
        <w:tc>
          <w:tcPr>
            <w:tcW w:w="3748" w:type="pct"/>
            <w:tcBorders>
              <w:top w:val="single" w:sz="4" w:space="0" w:color="auto"/>
              <w:left w:val="single" w:sz="4" w:space="0" w:color="auto"/>
              <w:bottom w:val="single" w:sz="4" w:space="0" w:color="auto"/>
              <w:right w:val="single" w:sz="4" w:space="0" w:color="auto"/>
            </w:tcBorders>
          </w:tcPr>
          <w:p w14:paraId="3D8C9FE5" w14:textId="77777777" w:rsidR="00E922B7" w:rsidRPr="00EF6512" w:rsidRDefault="00E922B7" w:rsidP="00E922B7">
            <w:pPr>
              <w:pStyle w:val="ListParagraph"/>
              <w:numPr>
                <w:ilvl w:val="0"/>
                <w:numId w:val="33"/>
              </w:numPr>
              <w:spacing w:before="60" w:after="60"/>
              <w:rPr>
                <w:sz w:val="24"/>
                <w:szCs w:val="24"/>
              </w:rPr>
            </w:pPr>
            <w:r w:rsidRPr="00EF6512">
              <w:rPr>
                <w:sz w:val="24"/>
                <w:szCs w:val="24"/>
              </w:rPr>
              <w:t>Each match in the National Rugby League State of Origin Series.</w:t>
            </w:r>
          </w:p>
        </w:tc>
      </w:tr>
      <w:tr w:rsidR="00E922B7" w:rsidRPr="00787C45" w14:paraId="4E3B822E" w14:textId="77777777" w:rsidTr="00E922B7">
        <w:tc>
          <w:tcPr>
            <w:tcW w:w="1252" w:type="pct"/>
            <w:vMerge/>
            <w:tcBorders>
              <w:left w:val="single" w:sz="4" w:space="0" w:color="auto"/>
              <w:right w:val="single" w:sz="4" w:space="0" w:color="auto"/>
            </w:tcBorders>
          </w:tcPr>
          <w:p w14:paraId="4247501A" w14:textId="77777777" w:rsidR="00E922B7" w:rsidRDefault="00E922B7" w:rsidP="00EF6512">
            <w:pPr>
              <w:spacing w:before="60" w:after="60"/>
              <w:rPr>
                <w:sz w:val="24"/>
                <w:szCs w:val="24"/>
              </w:rPr>
            </w:pPr>
          </w:p>
        </w:tc>
        <w:tc>
          <w:tcPr>
            <w:tcW w:w="3748" w:type="pct"/>
            <w:tcBorders>
              <w:top w:val="single" w:sz="4" w:space="0" w:color="auto"/>
              <w:left w:val="single" w:sz="4" w:space="0" w:color="auto"/>
              <w:bottom w:val="single" w:sz="4" w:space="0" w:color="auto"/>
              <w:right w:val="single" w:sz="4" w:space="0" w:color="auto"/>
            </w:tcBorders>
          </w:tcPr>
          <w:p w14:paraId="44D8DA4C" w14:textId="77777777" w:rsidR="00E922B7" w:rsidRPr="00EF6512" w:rsidRDefault="00E922B7" w:rsidP="00E922B7">
            <w:pPr>
              <w:pStyle w:val="ListParagraph"/>
              <w:numPr>
                <w:ilvl w:val="0"/>
                <w:numId w:val="33"/>
              </w:numPr>
              <w:spacing w:before="60" w:after="60"/>
              <w:rPr>
                <w:sz w:val="24"/>
                <w:szCs w:val="24"/>
              </w:rPr>
            </w:pPr>
            <w:r w:rsidRPr="00EF6512">
              <w:rPr>
                <w:sz w:val="24"/>
                <w:szCs w:val="24"/>
              </w:rPr>
              <w:t>Each international rugby league test match that: involves the senior Australian representative team; and is played in Australia or New Zealand</w:t>
            </w:r>
            <w:r>
              <w:rPr>
                <w:sz w:val="24"/>
                <w:szCs w:val="24"/>
              </w:rPr>
              <w:t>.</w:t>
            </w:r>
          </w:p>
        </w:tc>
      </w:tr>
      <w:tr w:rsidR="00E922B7" w:rsidRPr="00787C45" w14:paraId="44B7938A" w14:textId="77777777" w:rsidTr="00E922B7">
        <w:tc>
          <w:tcPr>
            <w:tcW w:w="1252" w:type="pct"/>
            <w:vMerge/>
            <w:tcBorders>
              <w:left w:val="single" w:sz="4" w:space="0" w:color="auto"/>
              <w:bottom w:val="single" w:sz="4" w:space="0" w:color="auto"/>
              <w:right w:val="single" w:sz="4" w:space="0" w:color="auto"/>
            </w:tcBorders>
          </w:tcPr>
          <w:p w14:paraId="5BFE001E" w14:textId="77777777" w:rsidR="00E922B7" w:rsidRDefault="00E922B7" w:rsidP="00EF6512">
            <w:pPr>
              <w:spacing w:before="60" w:after="60"/>
              <w:rPr>
                <w:sz w:val="24"/>
                <w:szCs w:val="24"/>
              </w:rPr>
            </w:pPr>
          </w:p>
        </w:tc>
        <w:tc>
          <w:tcPr>
            <w:tcW w:w="3748" w:type="pct"/>
            <w:tcBorders>
              <w:top w:val="single" w:sz="4" w:space="0" w:color="auto"/>
              <w:left w:val="single" w:sz="4" w:space="0" w:color="auto"/>
              <w:bottom w:val="single" w:sz="4" w:space="0" w:color="auto"/>
              <w:right w:val="single" w:sz="4" w:space="0" w:color="auto"/>
            </w:tcBorders>
          </w:tcPr>
          <w:p w14:paraId="3A575DD5" w14:textId="77777777" w:rsidR="00E922B7" w:rsidRPr="00EF6512" w:rsidRDefault="00E922B7" w:rsidP="00E922B7">
            <w:pPr>
              <w:pStyle w:val="ListParagraph"/>
              <w:numPr>
                <w:ilvl w:val="0"/>
                <w:numId w:val="33"/>
              </w:numPr>
              <w:spacing w:before="60" w:after="60"/>
              <w:rPr>
                <w:sz w:val="24"/>
                <w:szCs w:val="24"/>
              </w:rPr>
            </w:pPr>
            <w:r w:rsidRPr="00EF6512">
              <w:rPr>
                <w:sz w:val="24"/>
                <w:szCs w:val="24"/>
              </w:rPr>
              <w:t>Each match of the Rugby League World Cup that: involves the senior Australian representative team; and is played in Australia, New Zealand or Papua New Guinea</w:t>
            </w:r>
          </w:p>
        </w:tc>
      </w:tr>
      <w:tr w:rsidR="00E922B7" w:rsidRPr="00787C45" w14:paraId="57310117" w14:textId="77777777" w:rsidTr="00E922B7">
        <w:tc>
          <w:tcPr>
            <w:tcW w:w="1252" w:type="pct"/>
            <w:vMerge w:val="restart"/>
            <w:tcBorders>
              <w:top w:val="single" w:sz="4" w:space="0" w:color="auto"/>
              <w:left w:val="single" w:sz="4" w:space="0" w:color="auto"/>
              <w:right w:val="single" w:sz="4" w:space="0" w:color="auto"/>
            </w:tcBorders>
          </w:tcPr>
          <w:p w14:paraId="51A3E2D5" w14:textId="77777777" w:rsidR="00E922B7" w:rsidRDefault="00E922B7" w:rsidP="00EF6512">
            <w:pPr>
              <w:spacing w:before="60" w:after="60"/>
              <w:rPr>
                <w:sz w:val="24"/>
                <w:szCs w:val="24"/>
              </w:rPr>
            </w:pPr>
            <w:r>
              <w:rPr>
                <w:b/>
                <w:sz w:val="24"/>
                <w:szCs w:val="24"/>
              </w:rPr>
              <w:t xml:space="preserve">Item 6 </w:t>
            </w:r>
            <w:r w:rsidRPr="00EF6512">
              <w:rPr>
                <w:b/>
                <w:sz w:val="24"/>
                <w:szCs w:val="24"/>
              </w:rPr>
              <w:t>Rugby union football</w:t>
            </w:r>
          </w:p>
        </w:tc>
        <w:tc>
          <w:tcPr>
            <w:tcW w:w="3748" w:type="pct"/>
            <w:tcBorders>
              <w:top w:val="single" w:sz="4" w:space="0" w:color="auto"/>
              <w:left w:val="single" w:sz="4" w:space="0" w:color="auto"/>
              <w:bottom w:val="single" w:sz="4" w:space="0" w:color="auto"/>
              <w:right w:val="single" w:sz="4" w:space="0" w:color="auto"/>
            </w:tcBorders>
          </w:tcPr>
          <w:p w14:paraId="1741ED15" w14:textId="77777777" w:rsidR="00E922B7" w:rsidRPr="00E922B7" w:rsidRDefault="00E922B7" w:rsidP="00E922B7">
            <w:pPr>
              <w:pStyle w:val="ListParagraph"/>
              <w:numPr>
                <w:ilvl w:val="0"/>
                <w:numId w:val="32"/>
              </w:numPr>
              <w:spacing w:before="60" w:after="60"/>
              <w:rPr>
                <w:sz w:val="24"/>
                <w:szCs w:val="24"/>
              </w:rPr>
            </w:pPr>
            <w:r w:rsidRPr="00E922B7">
              <w:rPr>
                <w:sz w:val="24"/>
                <w:szCs w:val="24"/>
              </w:rPr>
              <w:t>Each international test match that: involves the senior Australian representative team selected by Rugby Australia; and is played in Australia or New Zealand.</w:t>
            </w:r>
          </w:p>
        </w:tc>
      </w:tr>
      <w:tr w:rsidR="00E922B7" w:rsidRPr="00787C45" w14:paraId="2B26B6AF" w14:textId="77777777" w:rsidTr="00E922B7">
        <w:tc>
          <w:tcPr>
            <w:tcW w:w="1252" w:type="pct"/>
            <w:vMerge/>
            <w:tcBorders>
              <w:left w:val="single" w:sz="4" w:space="0" w:color="auto"/>
              <w:right w:val="single" w:sz="4" w:space="0" w:color="auto"/>
            </w:tcBorders>
          </w:tcPr>
          <w:p w14:paraId="0E03AD9E" w14:textId="77777777" w:rsidR="00E922B7" w:rsidRDefault="00E922B7" w:rsidP="00EF6512">
            <w:pPr>
              <w:spacing w:before="60" w:after="60"/>
              <w:rPr>
                <w:sz w:val="24"/>
                <w:szCs w:val="24"/>
              </w:rPr>
            </w:pPr>
          </w:p>
        </w:tc>
        <w:tc>
          <w:tcPr>
            <w:tcW w:w="3748" w:type="pct"/>
            <w:tcBorders>
              <w:top w:val="single" w:sz="4" w:space="0" w:color="auto"/>
              <w:left w:val="single" w:sz="4" w:space="0" w:color="auto"/>
              <w:bottom w:val="single" w:sz="4" w:space="0" w:color="auto"/>
              <w:right w:val="single" w:sz="4" w:space="0" w:color="auto"/>
            </w:tcBorders>
          </w:tcPr>
          <w:p w14:paraId="3E284D35" w14:textId="77777777" w:rsidR="00E922B7" w:rsidRPr="00E922B7" w:rsidRDefault="00E922B7" w:rsidP="00E922B7">
            <w:pPr>
              <w:pStyle w:val="ListParagraph"/>
              <w:numPr>
                <w:ilvl w:val="0"/>
                <w:numId w:val="32"/>
              </w:numPr>
              <w:spacing w:before="60" w:after="60"/>
              <w:rPr>
                <w:sz w:val="24"/>
                <w:szCs w:val="24"/>
              </w:rPr>
            </w:pPr>
            <w:r w:rsidRPr="00E922B7">
              <w:rPr>
                <w:sz w:val="24"/>
                <w:szCs w:val="24"/>
              </w:rPr>
              <w:t>Each match of the Rugby World Cup tournament that involves the senior Australian representative team selected by Rugby Australia.</w:t>
            </w:r>
          </w:p>
        </w:tc>
      </w:tr>
      <w:tr w:rsidR="00E922B7" w:rsidRPr="00787C45" w14:paraId="688DBBC6" w14:textId="77777777" w:rsidTr="00367424">
        <w:tc>
          <w:tcPr>
            <w:tcW w:w="1252" w:type="pct"/>
            <w:vMerge/>
            <w:tcBorders>
              <w:left w:val="single" w:sz="4" w:space="0" w:color="auto"/>
              <w:right w:val="single" w:sz="4" w:space="0" w:color="auto"/>
            </w:tcBorders>
          </w:tcPr>
          <w:p w14:paraId="073B158B" w14:textId="77777777" w:rsidR="00E922B7" w:rsidRDefault="00E922B7" w:rsidP="00EF6512">
            <w:pPr>
              <w:spacing w:before="60" w:after="60"/>
              <w:rPr>
                <w:sz w:val="24"/>
                <w:szCs w:val="24"/>
              </w:rPr>
            </w:pPr>
          </w:p>
        </w:tc>
        <w:tc>
          <w:tcPr>
            <w:tcW w:w="3748" w:type="pct"/>
            <w:tcBorders>
              <w:top w:val="single" w:sz="4" w:space="0" w:color="auto"/>
              <w:left w:val="single" w:sz="4" w:space="0" w:color="auto"/>
              <w:bottom w:val="single" w:sz="4" w:space="0" w:color="auto"/>
              <w:right w:val="single" w:sz="4" w:space="0" w:color="auto"/>
            </w:tcBorders>
          </w:tcPr>
          <w:p w14:paraId="00B6314B" w14:textId="77777777" w:rsidR="00E922B7" w:rsidRPr="00E922B7" w:rsidRDefault="00E922B7" w:rsidP="00E922B7">
            <w:pPr>
              <w:pStyle w:val="ListParagraph"/>
              <w:numPr>
                <w:ilvl w:val="0"/>
                <w:numId w:val="32"/>
              </w:numPr>
              <w:spacing w:before="60" w:after="60"/>
              <w:rPr>
                <w:sz w:val="24"/>
                <w:szCs w:val="24"/>
              </w:rPr>
            </w:pPr>
            <w:r w:rsidRPr="00E922B7">
              <w:rPr>
                <w:sz w:val="24"/>
                <w:szCs w:val="24"/>
              </w:rPr>
              <w:t xml:space="preserve">The final of the Rugby World Cup tournament. </w:t>
            </w:r>
          </w:p>
        </w:tc>
      </w:tr>
      <w:tr w:rsidR="00ED3D84" w:rsidRPr="00787C45" w14:paraId="549D1F27" w14:textId="77777777" w:rsidTr="00367424">
        <w:tc>
          <w:tcPr>
            <w:tcW w:w="1252" w:type="pct"/>
            <w:vMerge w:val="restart"/>
            <w:tcBorders>
              <w:left w:val="single" w:sz="4" w:space="0" w:color="auto"/>
              <w:right w:val="single" w:sz="4" w:space="0" w:color="auto"/>
            </w:tcBorders>
          </w:tcPr>
          <w:p w14:paraId="2069773F" w14:textId="77777777" w:rsidR="00ED3D84" w:rsidRDefault="00ED3D84" w:rsidP="00367424">
            <w:pPr>
              <w:spacing w:before="60" w:after="60"/>
              <w:rPr>
                <w:sz w:val="24"/>
                <w:szCs w:val="24"/>
              </w:rPr>
            </w:pPr>
            <w:r>
              <w:rPr>
                <w:b/>
                <w:sz w:val="24"/>
                <w:szCs w:val="24"/>
              </w:rPr>
              <w:t xml:space="preserve">Item 7 </w:t>
            </w:r>
            <w:r w:rsidRPr="00367424">
              <w:rPr>
                <w:b/>
                <w:sz w:val="24"/>
                <w:szCs w:val="24"/>
              </w:rPr>
              <w:t>Cricket</w:t>
            </w:r>
          </w:p>
        </w:tc>
        <w:tc>
          <w:tcPr>
            <w:tcW w:w="3748" w:type="pct"/>
            <w:tcBorders>
              <w:top w:val="single" w:sz="4" w:space="0" w:color="auto"/>
              <w:left w:val="single" w:sz="4" w:space="0" w:color="auto"/>
              <w:bottom w:val="single" w:sz="4" w:space="0" w:color="auto"/>
              <w:right w:val="single" w:sz="4" w:space="0" w:color="auto"/>
            </w:tcBorders>
          </w:tcPr>
          <w:p w14:paraId="09106270" w14:textId="77777777" w:rsidR="00ED3D84" w:rsidRPr="00E922B7" w:rsidRDefault="00ED3D84" w:rsidP="00CE20A2">
            <w:pPr>
              <w:pStyle w:val="ListParagraph"/>
              <w:numPr>
                <w:ilvl w:val="0"/>
                <w:numId w:val="35"/>
              </w:numPr>
              <w:spacing w:before="60" w:after="60"/>
              <w:rPr>
                <w:sz w:val="24"/>
                <w:szCs w:val="24"/>
              </w:rPr>
            </w:pPr>
            <w:r w:rsidRPr="008A62C3">
              <w:rPr>
                <w:sz w:val="24"/>
                <w:szCs w:val="24"/>
              </w:rPr>
              <w:t>Each test match that: involves the senior Australian representative team selected by Cricket Australia; and is played in Australia.</w:t>
            </w:r>
          </w:p>
        </w:tc>
      </w:tr>
      <w:tr w:rsidR="00ED3D84" w:rsidRPr="00787C45" w14:paraId="7EF312C0" w14:textId="77777777" w:rsidTr="00367424">
        <w:tc>
          <w:tcPr>
            <w:tcW w:w="1252" w:type="pct"/>
            <w:vMerge/>
            <w:tcBorders>
              <w:left w:val="single" w:sz="4" w:space="0" w:color="auto"/>
              <w:right w:val="single" w:sz="4" w:space="0" w:color="auto"/>
            </w:tcBorders>
          </w:tcPr>
          <w:p w14:paraId="2AC10B6A" w14:textId="77777777" w:rsidR="00ED3D84" w:rsidRDefault="00ED3D84" w:rsidP="00EF6512">
            <w:pPr>
              <w:spacing w:before="60" w:after="60"/>
              <w:rPr>
                <w:sz w:val="24"/>
                <w:szCs w:val="24"/>
              </w:rPr>
            </w:pPr>
          </w:p>
        </w:tc>
        <w:tc>
          <w:tcPr>
            <w:tcW w:w="3748" w:type="pct"/>
            <w:tcBorders>
              <w:top w:val="single" w:sz="4" w:space="0" w:color="auto"/>
              <w:left w:val="single" w:sz="4" w:space="0" w:color="auto"/>
              <w:bottom w:val="single" w:sz="4" w:space="0" w:color="auto"/>
              <w:right w:val="single" w:sz="4" w:space="0" w:color="auto"/>
            </w:tcBorders>
          </w:tcPr>
          <w:p w14:paraId="4ADF98BB" w14:textId="77777777" w:rsidR="00ED3D84" w:rsidRPr="00CE20A2" w:rsidRDefault="00ED3D84" w:rsidP="00CE20A2">
            <w:pPr>
              <w:pStyle w:val="ListParagraph"/>
              <w:numPr>
                <w:ilvl w:val="0"/>
                <w:numId w:val="35"/>
              </w:numPr>
              <w:spacing w:before="60" w:after="60"/>
              <w:rPr>
                <w:sz w:val="24"/>
                <w:szCs w:val="24"/>
              </w:rPr>
            </w:pPr>
            <w:r w:rsidRPr="00CE20A2">
              <w:rPr>
                <w:sz w:val="24"/>
                <w:szCs w:val="24"/>
              </w:rPr>
              <w:t xml:space="preserve">Each test match that involves both: the senior Australian representative team selected by Cricket Australia; and the senior English representative team; and is played in the United Kingdom. </w:t>
            </w:r>
          </w:p>
        </w:tc>
      </w:tr>
      <w:tr w:rsidR="00ED3D84" w:rsidRPr="00787C45" w14:paraId="3EBB44C1" w14:textId="77777777" w:rsidTr="00ED3D84">
        <w:tc>
          <w:tcPr>
            <w:tcW w:w="1252" w:type="pct"/>
            <w:vMerge/>
            <w:tcBorders>
              <w:left w:val="single" w:sz="4" w:space="0" w:color="auto"/>
              <w:right w:val="single" w:sz="4" w:space="0" w:color="auto"/>
            </w:tcBorders>
          </w:tcPr>
          <w:p w14:paraId="4E234144" w14:textId="77777777" w:rsidR="00ED3D84" w:rsidRDefault="00ED3D84" w:rsidP="00EF6512">
            <w:pPr>
              <w:spacing w:before="60" w:after="60"/>
              <w:rPr>
                <w:sz w:val="24"/>
                <w:szCs w:val="24"/>
              </w:rPr>
            </w:pPr>
          </w:p>
        </w:tc>
        <w:tc>
          <w:tcPr>
            <w:tcW w:w="3748" w:type="pct"/>
            <w:tcBorders>
              <w:top w:val="single" w:sz="4" w:space="0" w:color="auto"/>
              <w:left w:val="single" w:sz="4" w:space="0" w:color="auto"/>
              <w:bottom w:val="single" w:sz="4" w:space="0" w:color="auto"/>
              <w:right w:val="single" w:sz="4" w:space="0" w:color="auto"/>
            </w:tcBorders>
          </w:tcPr>
          <w:p w14:paraId="398BAEBC" w14:textId="77777777" w:rsidR="00ED3D84" w:rsidRPr="00ED3D84" w:rsidRDefault="00ED3D84" w:rsidP="00ED3D84">
            <w:pPr>
              <w:pStyle w:val="ListParagraph"/>
              <w:numPr>
                <w:ilvl w:val="0"/>
                <w:numId w:val="35"/>
              </w:numPr>
              <w:spacing w:before="60" w:after="60"/>
              <w:rPr>
                <w:sz w:val="24"/>
                <w:szCs w:val="24"/>
              </w:rPr>
            </w:pPr>
            <w:r w:rsidRPr="00ED3D84">
              <w:rPr>
                <w:sz w:val="24"/>
                <w:szCs w:val="24"/>
              </w:rPr>
              <w:t xml:space="preserve">Each one day cricket match that: involves the senior Australian representative team selected by Cricket Australia; and is played in Australia. </w:t>
            </w:r>
          </w:p>
        </w:tc>
      </w:tr>
      <w:tr w:rsidR="00ED3D84" w:rsidRPr="00787C45" w14:paraId="06F1C79B" w14:textId="77777777" w:rsidTr="00ED3D84">
        <w:tc>
          <w:tcPr>
            <w:tcW w:w="1252" w:type="pct"/>
            <w:vMerge/>
            <w:tcBorders>
              <w:left w:val="single" w:sz="4" w:space="0" w:color="auto"/>
              <w:right w:val="single" w:sz="4" w:space="0" w:color="auto"/>
            </w:tcBorders>
          </w:tcPr>
          <w:p w14:paraId="31496D84" w14:textId="77777777" w:rsidR="00ED3D84" w:rsidRDefault="00ED3D84" w:rsidP="00EF6512">
            <w:pPr>
              <w:spacing w:before="60" w:after="60"/>
              <w:rPr>
                <w:sz w:val="24"/>
                <w:szCs w:val="24"/>
              </w:rPr>
            </w:pPr>
          </w:p>
        </w:tc>
        <w:tc>
          <w:tcPr>
            <w:tcW w:w="3748" w:type="pct"/>
            <w:tcBorders>
              <w:top w:val="single" w:sz="4" w:space="0" w:color="auto"/>
              <w:left w:val="single" w:sz="4" w:space="0" w:color="auto"/>
              <w:bottom w:val="single" w:sz="4" w:space="0" w:color="auto"/>
              <w:right w:val="single" w:sz="4" w:space="0" w:color="auto"/>
            </w:tcBorders>
          </w:tcPr>
          <w:p w14:paraId="68FB2CC7" w14:textId="77777777" w:rsidR="00ED3D84" w:rsidRPr="00ED3D84" w:rsidRDefault="00ED3D84" w:rsidP="00ED3D84">
            <w:pPr>
              <w:pStyle w:val="ListParagraph"/>
              <w:numPr>
                <w:ilvl w:val="0"/>
                <w:numId w:val="35"/>
              </w:numPr>
              <w:spacing w:before="60" w:after="60"/>
            </w:pPr>
            <w:r w:rsidRPr="00ED3D84">
              <w:rPr>
                <w:sz w:val="24"/>
                <w:szCs w:val="24"/>
              </w:rPr>
              <w:t>Each Twenty20 (T20) cricket match that: involves the senior Australian representative team selected by Cricket Australia; and is played in Australia.</w:t>
            </w:r>
          </w:p>
        </w:tc>
      </w:tr>
      <w:tr w:rsidR="00ED3D84" w:rsidRPr="00787C45" w14:paraId="5979A96D" w14:textId="77777777" w:rsidTr="00ED3D84">
        <w:tc>
          <w:tcPr>
            <w:tcW w:w="1252" w:type="pct"/>
            <w:vMerge/>
            <w:tcBorders>
              <w:left w:val="single" w:sz="4" w:space="0" w:color="auto"/>
              <w:right w:val="single" w:sz="4" w:space="0" w:color="auto"/>
            </w:tcBorders>
          </w:tcPr>
          <w:p w14:paraId="04833BB6" w14:textId="77777777" w:rsidR="00ED3D84" w:rsidRDefault="00ED3D84" w:rsidP="00ED3D84">
            <w:pPr>
              <w:pStyle w:val="ListParagraph"/>
              <w:spacing w:before="60" w:after="60"/>
              <w:ind w:left="360"/>
              <w:rPr>
                <w:sz w:val="24"/>
                <w:szCs w:val="24"/>
              </w:rPr>
            </w:pPr>
          </w:p>
        </w:tc>
        <w:tc>
          <w:tcPr>
            <w:tcW w:w="3748" w:type="pct"/>
            <w:tcBorders>
              <w:top w:val="single" w:sz="4" w:space="0" w:color="auto"/>
              <w:left w:val="single" w:sz="4" w:space="0" w:color="auto"/>
              <w:bottom w:val="single" w:sz="4" w:space="0" w:color="auto"/>
              <w:right w:val="single" w:sz="4" w:space="0" w:color="auto"/>
            </w:tcBorders>
          </w:tcPr>
          <w:p w14:paraId="399663A6" w14:textId="77777777" w:rsidR="00ED3D84" w:rsidRPr="00ED3D84" w:rsidRDefault="00ED3D84" w:rsidP="00ED3D84">
            <w:pPr>
              <w:pStyle w:val="ListParagraph"/>
              <w:numPr>
                <w:ilvl w:val="0"/>
                <w:numId w:val="35"/>
              </w:numPr>
              <w:spacing w:before="60" w:after="60"/>
              <w:rPr>
                <w:sz w:val="24"/>
                <w:szCs w:val="24"/>
              </w:rPr>
            </w:pPr>
            <w:r w:rsidRPr="00ED3D84">
              <w:rPr>
                <w:sz w:val="24"/>
                <w:szCs w:val="24"/>
              </w:rPr>
              <w:t>Each match of the International Cricket Council Cricket World Cup that: involves the senior Australian representative team selected by Cricket Australia; and is played in Australia or New Zealand.</w:t>
            </w:r>
          </w:p>
        </w:tc>
      </w:tr>
      <w:tr w:rsidR="00ED3D84" w:rsidRPr="00787C45" w14:paraId="11BD5471" w14:textId="77777777" w:rsidTr="00ED3D84">
        <w:tc>
          <w:tcPr>
            <w:tcW w:w="1252" w:type="pct"/>
            <w:vMerge/>
            <w:tcBorders>
              <w:left w:val="single" w:sz="4" w:space="0" w:color="auto"/>
              <w:right w:val="single" w:sz="4" w:space="0" w:color="auto"/>
            </w:tcBorders>
          </w:tcPr>
          <w:p w14:paraId="2B65976F" w14:textId="77777777" w:rsidR="00ED3D84" w:rsidRDefault="00ED3D84" w:rsidP="00ED3D84">
            <w:pPr>
              <w:pStyle w:val="ListParagraph"/>
              <w:spacing w:before="60" w:after="60"/>
              <w:ind w:left="360"/>
              <w:rPr>
                <w:sz w:val="24"/>
                <w:szCs w:val="24"/>
              </w:rPr>
            </w:pPr>
          </w:p>
        </w:tc>
        <w:tc>
          <w:tcPr>
            <w:tcW w:w="3748" w:type="pct"/>
            <w:tcBorders>
              <w:top w:val="single" w:sz="4" w:space="0" w:color="auto"/>
              <w:left w:val="single" w:sz="4" w:space="0" w:color="auto"/>
              <w:bottom w:val="single" w:sz="4" w:space="0" w:color="auto"/>
              <w:right w:val="single" w:sz="4" w:space="0" w:color="auto"/>
            </w:tcBorders>
          </w:tcPr>
          <w:p w14:paraId="736F592F" w14:textId="77777777" w:rsidR="00ED3D84" w:rsidRPr="00ED3D84" w:rsidRDefault="00ED3D84" w:rsidP="00ED3D84">
            <w:pPr>
              <w:pStyle w:val="ListParagraph"/>
              <w:numPr>
                <w:ilvl w:val="0"/>
                <w:numId w:val="35"/>
              </w:numPr>
              <w:spacing w:before="60" w:after="60"/>
              <w:rPr>
                <w:sz w:val="24"/>
                <w:szCs w:val="24"/>
              </w:rPr>
            </w:pPr>
            <w:r w:rsidRPr="00203D2C">
              <w:rPr>
                <w:sz w:val="24"/>
                <w:szCs w:val="24"/>
              </w:rPr>
              <w:t>The final of the International Cricket Council Cricket World Cup if the final is played in Australia or New Zealand.</w:t>
            </w:r>
          </w:p>
        </w:tc>
      </w:tr>
      <w:tr w:rsidR="00ED3D84" w:rsidRPr="00787C45" w14:paraId="35C97ED7" w14:textId="77777777" w:rsidTr="00ED3D84">
        <w:tc>
          <w:tcPr>
            <w:tcW w:w="1252" w:type="pct"/>
            <w:vMerge/>
            <w:tcBorders>
              <w:left w:val="single" w:sz="4" w:space="0" w:color="auto"/>
              <w:right w:val="single" w:sz="4" w:space="0" w:color="auto"/>
            </w:tcBorders>
          </w:tcPr>
          <w:p w14:paraId="275D29FA" w14:textId="77777777" w:rsidR="00ED3D84" w:rsidRDefault="00ED3D84" w:rsidP="00ED3D84">
            <w:pPr>
              <w:pStyle w:val="ListParagraph"/>
              <w:spacing w:before="60" w:after="60"/>
              <w:ind w:left="360"/>
              <w:rPr>
                <w:sz w:val="24"/>
                <w:szCs w:val="24"/>
              </w:rPr>
            </w:pPr>
          </w:p>
        </w:tc>
        <w:tc>
          <w:tcPr>
            <w:tcW w:w="3748" w:type="pct"/>
            <w:tcBorders>
              <w:top w:val="single" w:sz="4" w:space="0" w:color="auto"/>
              <w:left w:val="single" w:sz="4" w:space="0" w:color="auto"/>
              <w:bottom w:val="single" w:sz="4" w:space="0" w:color="auto"/>
              <w:right w:val="single" w:sz="4" w:space="0" w:color="auto"/>
            </w:tcBorders>
          </w:tcPr>
          <w:p w14:paraId="3C2014C4" w14:textId="77777777" w:rsidR="00ED3D84" w:rsidRPr="00ED3D84" w:rsidRDefault="00ED3D84" w:rsidP="00ED3D84">
            <w:pPr>
              <w:pStyle w:val="ListParagraph"/>
              <w:numPr>
                <w:ilvl w:val="0"/>
                <w:numId w:val="35"/>
              </w:numPr>
              <w:spacing w:before="60" w:after="60"/>
            </w:pPr>
            <w:r w:rsidRPr="00ED3D84">
              <w:rPr>
                <w:sz w:val="24"/>
                <w:szCs w:val="24"/>
              </w:rPr>
              <w:t>Each match of the International Cricket Council T20 World Cup that: involves the senior Australian representative team selected by Cricket Australia; and is played in Australia or New Zealand.</w:t>
            </w:r>
          </w:p>
        </w:tc>
      </w:tr>
      <w:tr w:rsidR="00ED3D84" w:rsidRPr="00787C45" w14:paraId="3005C9AF" w14:textId="77777777" w:rsidTr="00ED3D84">
        <w:tc>
          <w:tcPr>
            <w:tcW w:w="1252" w:type="pct"/>
            <w:vMerge/>
            <w:tcBorders>
              <w:left w:val="single" w:sz="4" w:space="0" w:color="auto"/>
              <w:right w:val="single" w:sz="4" w:space="0" w:color="auto"/>
            </w:tcBorders>
          </w:tcPr>
          <w:p w14:paraId="0E13DD91" w14:textId="77777777" w:rsidR="00ED3D84" w:rsidRDefault="00ED3D84" w:rsidP="00ED3D84">
            <w:pPr>
              <w:pStyle w:val="ListParagraph"/>
              <w:spacing w:before="60" w:after="60"/>
              <w:ind w:left="360"/>
              <w:rPr>
                <w:sz w:val="24"/>
                <w:szCs w:val="24"/>
              </w:rPr>
            </w:pPr>
          </w:p>
        </w:tc>
        <w:tc>
          <w:tcPr>
            <w:tcW w:w="3748" w:type="pct"/>
            <w:tcBorders>
              <w:top w:val="single" w:sz="4" w:space="0" w:color="auto"/>
              <w:left w:val="single" w:sz="4" w:space="0" w:color="auto"/>
              <w:bottom w:val="single" w:sz="4" w:space="0" w:color="auto"/>
              <w:right w:val="single" w:sz="4" w:space="0" w:color="auto"/>
            </w:tcBorders>
          </w:tcPr>
          <w:p w14:paraId="2B27C6E3" w14:textId="77777777" w:rsidR="00ED3D84" w:rsidRPr="004F6414" w:rsidRDefault="00ED3D84" w:rsidP="00ED3D84">
            <w:pPr>
              <w:pStyle w:val="ListParagraph"/>
              <w:numPr>
                <w:ilvl w:val="0"/>
                <w:numId w:val="35"/>
              </w:numPr>
              <w:spacing w:before="60" w:after="60"/>
            </w:pPr>
            <w:r w:rsidRPr="00ED3D84">
              <w:rPr>
                <w:sz w:val="24"/>
                <w:szCs w:val="24"/>
              </w:rPr>
              <w:t>The final of the International Cricket Council T20 World Cup if the final is played in Australia or New Zealand.</w:t>
            </w:r>
          </w:p>
        </w:tc>
      </w:tr>
      <w:tr w:rsidR="0077784C" w:rsidRPr="00787C45" w14:paraId="66C23206" w14:textId="77777777" w:rsidTr="00ED3D84">
        <w:tc>
          <w:tcPr>
            <w:tcW w:w="1252" w:type="pct"/>
            <w:vMerge w:val="restart"/>
            <w:tcBorders>
              <w:left w:val="single" w:sz="4" w:space="0" w:color="auto"/>
              <w:right w:val="single" w:sz="4" w:space="0" w:color="auto"/>
            </w:tcBorders>
          </w:tcPr>
          <w:p w14:paraId="69170288" w14:textId="77777777" w:rsidR="0077784C" w:rsidRPr="00ED3D84" w:rsidRDefault="0077784C" w:rsidP="00ED3D84">
            <w:pPr>
              <w:spacing w:before="60" w:after="60"/>
              <w:rPr>
                <w:sz w:val="24"/>
                <w:szCs w:val="24"/>
              </w:rPr>
            </w:pPr>
            <w:r w:rsidRPr="00ED3D84">
              <w:rPr>
                <w:b/>
                <w:sz w:val="24"/>
                <w:szCs w:val="24"/>
              </w:rPr>
              <w:t>Item 8 Soccer</w:t>
            </w:r>
          </w:p>
        </w:tc>
        <w:tc>
          <w:tcPr>
            <w:tcW w:w="3748" w:type="pct"/>
            <w:tcBorders>
              <w:top w:val="single" w:sz="4" w:space="0" w:color="auto"/>
              <w:left w:val="single" w:sz="4" w:space="0" w:color="auto"/>
              <w:bottom w:val="single" w:sz="4" w:space="0" w:color="auto"/>
              <w:right w:val="single" w:sz="4" w:space="0" w:color="auto"/>
            </w:tcBorders>
          </w:tcPr>
          <w:p w14:paraId="32C911F2" w14:textId="77777777" w:rsidR="0077784C" w:rsidRPr="00ED3D84" w:rsidRDefault="0077784C" w:rsidP="00ED3D84">
            <w:pPr>
              <w:pStyle w:val="ListParagraph"/>
              <w:numPr>
                <w:ilvl w:val="0"/>
                <w:numId w:val="38"/>
              </w:numPr>
              <w:spacing w:before="60" w:after="60"/>
              <w:rPr>
                <w:sz w:val="24"/>
                <w:szCs w:val="24"/>
              </w:rPr>
            </w:pPr>
            <w:r w:rsidRPr="00ED3D84">
              <w:rPr>
                <w:sz w:val="24"/>
                <w:szCs w:val="24"/>
              </w:rPr>
              <w:t xml:space="preserve">Each match of the Fédération Internationale de Football Association </w:t>
            </w:r>
            <w:r w:rsidR="00A26D9B">
              <w:rPr>
                <w:sz w:val="24"/>
                <w:szCs w:val="24"/>
              </w:rPr>
              <w:t xml:space="preserve">(FIFA) </w:t>
            </w:r>
            <w:r w:rsidRPr="00ED3D84">
              <w:rPr>
                <w:sz w:val="24"/>
                <w:szCs w:val="24"/>
              </w:rPr>
              <w:t xml:space="preserve">World Cup tournament that involves the senior Australian representative team selected by Football Australia. </w:t>
            </w:r>
          </w:p>
        </w:tc>
      </w:tr>
      <w:tr w:rsidR="0077784C" w:rsidRPr="00787C45" w14:paraId="0B131676" w14:textId="77777777" w:rsidTr="00ED3D84">
        <w:tc>
          <w:tcPr>
            <w:tcW w:w="1252" w:type="pct"/>
            <w:vMerge/>
            <w:tcBorders>
              <w:left w:val="single" w:sz="4" w:space="0" w:color="auto"/>
              <w:right w:val="single" w:sz="4" w:space="0" w:color="auto"/>
            </w:tcBorders>
          </w:tcPr>
          <w:p w14:paraId="43060A76" w14:textId="77777777" w:rsidR="0077784C" w:rsidRPr="00ED3D84" w:rsidRDefault="0077784C" w:rsidP="00ED3D84">
            <w:pPr>
              <w:spacing w:before="60" w:after="60"/>
              <w:rPr>
                <w:b/>
                <w:sz w:val="24"/>
                <w:szCs w:val="24"/>
              </w:rPr>
            </w:pPr>
          </w:p>
        </w:tc>
        <w:tc>
          <w:tcPr>
            <w:tcW w:w="3748" w:type="pct"/>
            <w:tcBorders>
              <w:top w:val="single" w:sz="4" w:space="0" w:color="auto"/>
              <w:left w:val="single" w:sz="4" w:space="0" w:color="auto"/>
              <w:bottom w:val="single" w:sz="4" w:space="0" w:color="auto"/>
              <w:right w:val="single" w:sz="4" w:space="0" w:color="auto"/>
            </w:tcBorders>
          </w:tcPr>
          <w:p w14:paraId="59CC3B7D" w14:textId="77777777" w:rsidR="0077784C" w:rsidRPr="00ED3D84" w:rsidRDefault="0077784C" w:rsidP="00ED3D84">
            <w:pPr>
              <w:pStyle w:val="ListParagraph"/>
              <w:numPr>
                <w:ilvl w:val="0"/>
                <w:numId w:val="38"/>
              </w:numPr>
              <w:spacing w:before="60" w:after="60"/>
              <w:rPr>
                <w:sz w:val="24"/>
                <w:szCs w:val="24"/>
              </w:rPr>
            </w:pPr>
            <w:r w:rsidRPr="00ED3D84">
              <w:rPr>
                <w:sz w:val="24"/>
                <w:szCs w:val="24"/>
              </w:rPr>
              <w:t xml:space="preserve">The final of the Fédération Internationale de Football Association </w:t>
            </w:r>
            <w:r w:rsidR="00820BD8" w:rsidRPr="00B40ADB">
              <w:rPr>
                <w:sz w:val="24"/>
                <w:szCs w:val="24"/>
              </w:rPr>
              <w:t xml:space="preserve">(FIFA) </w:t>
            </w:r>
            <w:r w:rsidRPr="00ED3D84">
              <w:rPr>
                <w:sz w:val="24"/>
                <w:szCs w:val="24"/>
              </w:rPr>
              <w:t>World Cup tournament.</w:t>
            </w:r>
          </w:p>
        </w:tc>
      </w:tr>
      <w:tr w:rsidR="0077784C" w:rsidRPr="0077784C" w14:paraId="0B0E7220" w14:textId="77777777" w:rsidTr="00ED3D84">
        <w:tc>
          <w:tcPr>
            <w:tcW w:w="1252" w:type="pct"/>
            <w:vMerge/>
            <w:tcBorders>
              <w:left w:val="single" w:sz="4" w:space="0" w:color="auto"/>
              <w:right w:val="single" w:sz="4" w:space="0" w:color="auto"/>
            </w:tcBorders>
          </w:tcPr>
          <w:p w14:paraId="76515D7E" w14:textId="77777777" w:rsidR="0077784C" w:rsidRPr="0077784C" w:rsidRDefault="0077784C" w:rsidP="00ED3D84">
            <w:pPr>
              <w:spacing w:before="60" w:after="60"/>
              <w:rPr>
                <w:b/>
                <w:sz w:val="24"/>
                <w:szCs w:val="24"/>
              </w:rPr>
            </w:pPr>
          </w:p>
        </w:tc>
        <w:tc>
          <w:tcPr>
            <w:tcW w:w="3748" w:type="pct"/>
            <w:tcBorders>
              <w:top w:val="single" w:sz="4" w:space="0" w:color="auto"/>
              <w:left w:val="single" w:sz="4" w:space="0" w:color="auto"/>
              <w:bottom w:val="single" w:sz="4" w:space="0" w:color="auto"/>
              <w:right w:val="single" w:sz="4" w:space="0" w:color="auto"/>
            </w:tcBorders>
          </w:tcPr>
          <w:p w14:paraId="2A7CA68E" w14:textId="77777777" w:rsidR="0077784C" w:rsidRPr="0077784C" w:rsidRDefault="0077784C" w:rsidP="00ED3D84">
            <w:pPr>
              <w:pStyle w:val="ListParagraph"/>
              <w:numPr>
                <w:ilvl w:val="0"/>
                <w:numId w:val="38"/>
              </w:numPr>
              <w:spacing w:before="60" w:after="60"/>
              <w:rPr>
                <w:sz w:val="24"/>
                <w:szCs w:val="24"/>
              </w:rPr>
            </w:pPr>
            <w:r w:rsidRPr="0077784C">
              <w:rPr>
                <w:sz w:val="24"/>
                <w:szCs w:val="24"/>
              </w:rPr>
              <w:t xml:space="preserve">Each match in the Fédération Internationale de Football Association </w:t>
            </w:r>
            <w:r w:rsidR="00093B08" w:rsidRPr="00B40ADB">
              <w:rPr>
                <w:sz w:val="24"/>
                <w:szCs w:val="24"/>
              </w:rPr>
              <w:t>(FIFA)</w:t>
            </w:r>
            <w:r w:rsidR="00093B08" w:rsidRPr="00820BD8">
              <w:rPr>
                <w:color w:val="FF0000"/>
                <w:sz w:val="24"/>
                <w:szCs w:val="24"/>
              </w:rPr>
              <w:t xml:space="preserve"> </w:t>
            </w:r>
            <w:r w:rsidRPr="0077784C">
              <w:rPr>
                <w:sz w:val="24"/>
                <w:szCs w:val="24"/>
              </w:rPr>
              <w:t>World Cup Qualification tournament that: involves the senior Australian representative team selected by Football Australia; and is played in Australia.</w:t>
            </w:r>
          </w:p>
        </w:tc>
      </w:tr>
      <w:tr w:rsidR="000E52AA" w:rsidRPr="0077784C" w14:paraId="3E14D807" w14:textId="77777777" w:rsidTr="00ED3D84">
        <w:tc>
          <w:tcPr>
            <w:tcW w:w="1252" w:type="pct"/>
            <w:vMerge w:val="restart"/>
            <w:tcBorders>
              <w:left w:val="single" w:sz="4" w:space="0" w:color="auto"/>
              <w:right w:val="single" w:sz="4" w:space="0" w:color="auto"/>
            </w:tcBorders>
          </w:tcPr>
          <w:p w14:paraId="443CF59D" w14:textId="77777777" w:rsidR="000E52AA" w:rsidRPr="0077784C" w:rsidRDefault="000E52AA" w:rsidP="00ED3D84">
            <w:pPr>
              <w:spacing w:before="60" w:after="60"/>
              <w:rPr>
                <w:b/>
                <w:sz w:val="24"/>
                <w:szCs w:val="24"/>
              </w:rPr>
            </w:pPr>
            <w:r w:rsidRPr="0077784C">
              <w:rPr>
                <w:b/>
                <w:sz w:val="24"/>
                <w:szCs w:val="24"/>
              </w:rPr>
              <w:t>Item 9 Tennis</w:t>
            </w:r>
          </w:p>
        </w:tc>
        <w:tc>
          <w:tcPr>
            <w:tcW w:w="3748" w:type="pct"/>
            <w:tcBorders>
              <w:top w:val="single" w:sz="4" w:space="0" w:color="auto"/>
              <w:left w:val="single" w:sz="4" w:space="0" w:color="auto"/>
              <w:bottom w:val="single" w:sz="4" w:space="0" w:color="auto"/>
              <w:right w:val="single" w:sz="4" w:space="0" w:color="auto"/>
            </w:tcBorders>
          </w:tcPr>
          <w:p w14:paraId="71A76684" w14:textId="77777777" w:rsidR="000E52AA" w:rsidRPr="0077784C" w:rsidRDefault="000E52AA" w:rsidP="0077784C">
            <w:pPr>
              <w:pStyle w:val="ListParagraph"/>
              <w:numPr>
                <w:ilvl w:val="0"/>
                <w:numId w:val="41"/>
              </w:numPr>
              <w:spacing w:before="60" w:after="60"/>
              <w:rPr>
                <w:sz w:val="24"/>
                <w:szCs w:val="24"/>
              </w:rPr>
            </w:pPr>
            <w:r w:rsidRPr="0077784C">
              <w:rPr>
                <w:sz w:val="24"/>
                <w:szCs w:val="24"/>
              </w:rPr>
              <w:t>Each match in the Australian Open tennis tournament.</w:t>
            </w:r>
          </w:p>
        </w:tc>
      </w:tr>
      <w:tr w:rsidR="000E52AA" w:rsidRPr="0077784C" w14:paraId="09507F74" w14:textId="77777777" w:rsidTr="00ED3D84">
        <w:tc>
          <w:tcPr>
            <w:tcW w:w="1252" w:type="pct"/>
            <w:vMerge/>
            <w:tcBorders>
              <w:left w:val="single" w:sz="4" w:space="0" w:color="auto"/>
              <w:right w:val="single" w:sz="4" w:space="0" w:color="auto"/>
            </w:tcBorders>
          </w:tcPr>
          <w:p w14:paraId="40B06AF8" w14:textId="77777777" w:rsidR="000E52AA" w:rsidRPr="0077784C" w:rsidRDefault="000E52AA" w:rsidP="00ED3D84">
            <w:pPr>
              <w:spacing w:before="60" w:after="60"/>
              <w:rPr>
                <w:b/>
                <w:sz w:val="24"/>
                <w:szCs w:val="24"/>
              </w:rPr>
            </w:pPr>
          </w:p>
        </w:tc>
        <w:tc>
          <w:tcPr>
            <w:tcW w:w="3748" w:type="pct"/>
            <w:tcBorders>
              <w:top w:val="single" w:sz="4" w:space="0" w:color="auto"/>
              <w:left w:val="single" w:sz="4" w:space="0" w:color="auto"/>
              <w:bottom w:val="single" w:sz="4" w:space="0" w:color="auto"/>
              <w:right w:val="single" w:sz="4" w:space="0" w:color="auto"/>
            </w:tcBorders>
          </w:tcPr>
          <w:p w14:paraId="4B04918C" w14:textId="77777777" w:rsidR="000E52AA" w:rsidRPr="0077784C" w:rsidRDefault="000E52AA" w:rsidP="0077784C">
            <w:pPr>
              <w:pStyle w:val="ListParagraph"/>
              <w:numPr>
                <w:ilvl w:val="0"/>
                <w:numId w:val="41"/>
              </w:numPr>
              <w:spacing w:before="60" w:after="60"/>
              <w:rPr>
                <w:sz w:val="24"/>
                <w:szCs w:val="24"/>
              </w:rPr>
            </w:pPr>
            <w:r w:rsidRPr="0077784C">
              <w:rPr>
                <w:sz w:val="24"/>
                <w:szCs w:val="24"/>
              </w:rPr>
              <w:t>Each match in each tie of the International Tennis Federation Davis Cup World Group tennis tournament that: involves an Australian representative team; and is played in Australia.</w:t>
            </w:r>
          </w:p>
        </w:tc>
      </w:tr>
      <w:tr w:rsidR="000E52AA" w:rsidRPr="0077784C" w14:paraId="51AB3616" w14:textId="77777777" w:rsidTr="00ED3D84">
        <w:tc>
          <w:tcPr>
            <w:tcW w:w="1252" w:type="pct"/>
            <w:vMerge/>
            <w:tcBorders>
              <w:left w:val="single" w:sz="4" w:space="0" w:color="auto"/>
              <w:right w:val="single" w:sz="4" w:space="0" w:color="auto"/>
            </w:tcBorders>
          </w:tcPr>
          <w:p w14:paraId="70364594" w14:textId="77777777" w:rsidR="000E52AA" w:rsidRPr="0077784C" w:rsidRDefault="000E52AA" w:rsidP="00ED3D84">
            <w:pPr>
              <w:spacing w:before="60" w:after="60"/>
              <w:rPr>
                <w:b/>
                <w:sz w:val="24"/>
                <w:szCs w:val="24"/>
              </w:rPr>
            </w:pPr>
          </w:p>
        </w:tc>
        <w:tc>
          <w:tcPr>
            <w:tcW w:w="3748" w:type="pct"/>
            <w:tcBorders>
              <w:top w:val="single" w:sz="4" w:space="0" w:color="auto"/>
              <w:left w:val="single" w:sz="4" w:space="0" w:color="auto"/>
              <w:bottom w:val="single" w:sz="4" w:space="0" w:color="auto"/>
              <w:right w:val="single" w:sz="4" w:space="0" w:color="auto"/>
            </w:tcBorders>
          </w:tcPr>
          <w:p w14:paraId="6D1820B2" w14:textId="77777777" w:rsidR="000E52AA" w:rsidRPr="0077784C" w:rsidRDefault="000E52AA" w:rsidP="0077784C">
            <w:pPr>
              <w:pStyle w:val="ListParagraph"/>
              <w:numPr>
                <w:ilvl w:val="0"/>
                <w:numId w:val="41"/>
              </w:numPr>
              <w:spacing w:before="60" w:after="60"/>
              <w:rPr>
                <w:sz w:val="24"/>
                <w:szCs w:val="24"/>
              </w:rPr>
            </w:pPr>
            <w:r w:rsidRPr="0077784C">
              <w:rPr>
                <w:sz w:val="24"/>
                <w:szCs w:val="24"/>
              </w:rPr>
              <w:t>The final of the International Tennis Federation Davis Cup World Group tennis tournament if the final involves an Australian representative team.</w:t>
            </w:r>
          </w:p>
        </w:tc>
      </w:tr>
      <w:tr w:rsidR="000E52AA" w:rsidRPr="0077784C" w14:paraId="09345830" w14:textId="77777777" w:rsidTr="00ED3D84">
        <w:tc>
          <w:tcPr>
            <w:tcW w:w="1252" w:type="pct"/>
            <w:vMerge w:val="restart"/>
            <w:tcBorders>
              <w:left w:val="single" w:sz="4" w:space="0" w:color="auto"/>
              <w:right w:val="single" w:sz="4" w:space="0" w:color="auto"/>
            </w:tcBorders>
          </w:tcPr>
          <w:p w14:paraId="3046D9B6" w14:textId="77777777" w:rsidR="000E52AA" w:rsidRPr="0077784C" w:rsidRDefault="000E52AA" w:rsidP="00ED3D84">
            <w:pPr>
              <w:spacing w:before="60" w:after="60"/>
              <w:rPr>
                <w:b/>
                <w:sz w:val="24"/>
                <w:szCs w:val="24"/>
              </w:rPr>
            </w:pPr>
            <w:r w:rsidRPr="0077784C">
              <w:rPr>
                <w:b/>
                <w:sz w:val="24"/>
                <w:szCs w:val="24"/>
              </w:rPr>
              <w:t>Item 10 Netball</w:t>
            </w:r>
          </w:p>
        </w:tc>
        <w:tc>
          <w:tcPr>
            <w:tcW w:w="3748" w:type="pct"/>
            <w:tcBorders>
              <w:top w:val="single" w:sz="4" w:space="0" w:color="auto"/>
              <w:left w:val="single" w:sz="4" w:space="0" w:color="auto"/>
              <w:bottom w:val="single" w:sz="4" w:space="0" w:color="auto"/>
              <w:right w:val="single" w:sz="4" w:space="0" w:color="auto"/>
            </w:tcBorders>
          </w:tcPr>
          <w:p w14:paraId="291AEE4A" w14:textId="77777777" w:rsidR="000E52AA" w:rsidRPr="0077784C" w:rsidRDefault="000E52AA" w:rsidP="000E52AA">
            <w:pPr>
              <w:pStyle w:val="ListParagraph"/>
              <w:numPr>
                <w:ilvl w:val="0"/>
                <w:numId w:val="42"/>
              </w:numPr>
              <w:spacing w:before="60" w:after="60"/>
              <w:rPr>
                <w:sz w:val="24"/>
                <w:szCs w:val="24"/>
              </w:rPr>
            </w:pPr>
            <w:r w:rsidRPr="0077784C">
              <w:rPr>
                <w:sz w:val="24"/>
                <w:szCs w:val="24"/>
              </w:rPr>
              <w:t>A semi-final of the Netball World Cup if the semi-final involves the senior Australian representative team selected by Netball Australia.</w:t>
            </w:r>
          </w:p>
        </w:tc>
      </w:tr>
      <w:tr w:rsidR="000E52AA" w:rsidRPr="0077784C" w14:paraId="4B19FDE0" w14:textId="77777777" w:rsidTr="00ED3D84">
        <w:tc>
          <w:tcPr>
            <w:tcW w:w="1252" w:type="pct"/>
            <w:vMerge/>
            <w:tcBorders>
              <w:left w:val="single" w:sz="4" w:space="0" w:color="auto"/>
              <w:right w:val="single" w:sz="4" w:space="0" w:color="auto"/>
            </w:tcBorders>
          </w:tcPr>
          <w:p w14:paraId="3827F1F8" w14:textId="77777777" w:rsidR="000E52AA" w:rsidRPr="0077784C" w:rsidRDefault="000E52AA" w:rsidP="00ED3D84">
            <w:pPr>
              <w:spacing w:before="60" w:after="60"/>
              <w:rPr>
                <w:b/>
                <w:sz w:val="24"/>
                <w:szCs w:val="24"/>
              </w:rPr>
            </w:pPr>
          </w:p>
        </w:tc>
        <w:tc>
          <w:tcPr>
            <w:tcW w:w="3748" w:type="pct"/>
            <w:tcBorders>
              <w:top w:val="single" w:sz="4" w:space="0" w:color="auto"/>
              <w:left w:val="single" w:sz="4" w:space="0" w:color="auto"/>
              <w:bottom w:val="single" w:sz="4" w:space="0" w:color="auto"/>
              <w:right w:val="single" w:sz="4" w:space="0" w:color="auto"/>
            </w:tcBorders>
          </w:tcPr>
          <w:p w14:paraId="6F7A8A56" w14:textId="77777777" w:rsidR="000E52AA" w:rsidRPr="0077784C" w:rsidRDefault="000E52AA" w:rsidP="000E52AA">
            <w:pPr>
              <w:pStyle w:val="ListParagraph"/>
              <w:numPr>
                <w:ilvl w:val="0"/>
                <w:numId w:val="42"/>
              </w:numPr>
              <w:spacing w:before="60" w:after="60"/>
              <w:rPr>
                <w:sz w:val="24"/>
                <w:szCs w:val="24"/>
              </w:rPr>
            </w:pPr>
            <w:r w:rsidRPr="0077784C">
              <w:rPr>
                <w:sz w:val="24"/>
                <w:szCs w:val="24"/>
              </w:rPr>
              <w:t>The final of the Netball World Cup if the final involves the senior Australian representative team selected by Netball Australia.</w:t>
            </w:r>
          </w:p>
        </w:tc>
      </w:tr>
      <w:tr w:rsidR="000E52AA" w:rsidRPr="0077784C" w14:paraId="06579622" w14:textId="77777777" w:rsidTr="00ED3D84">
        <w:tc>
          <w:tcPr>
            <w:tcW w:w="1252" w:type="pct"/>
            <w:vMerge w:val="restart"/>
            <w:tcBorders>
              <w:left w:val="single" w:sz="4" w:space="0" w:color="auto"/>
              <w:right w:val="single" w:sz="4" w:space="0" w:color="auto"/>
            </w:tcBorders>
          </w:tcPr>
          <w:p w14:paraId="3F2D654C" w14:textId="77777777" w:rsidR="000E52AA" w:rsidRPr="0077784C" w:rsidRDefault="000E52AA" w:rsidP="00ED3D84">
            <w:pPr>
              <w:spacing w:before="60" w:after="60"/>
              <w:rPr>
                <w:b/>
                <w:sz w:val="24"/>
                <w:szCs w:val="24"/>
              </w:rPr>
            </w:pPr>
            <w:r w:rsidRPr="0077784C">
              <w:rPr>
                <w:b/>
                <w:sz w:val="24"/>
                <w:szCs w:val="24"/>
              </w:rPr>
              <w:t>Item 11 Motor sports</w:t>
            </w:r>
          </w:p>
        </w:tc>
        <w:tc>
          <w:tcPr>
            <w:tcW w:w="3748" w:type="pct"/>
            <w:tcBorders>
              <w:top w:val="single" w:sz="4" w:space="0" w:color="auto"/>
              <w:left w:val="single" w:sz="4" w:space="0" w:color="auto"/>
              <w:bottom w:val="single" w:sz="4" w:space="0" w:color="auto"/>
              <w:right w:val="single" w:sz="4" w:space="0" w:color="auto"/>
            </w:tcBorders>
          </w:tcPr>
          <w:p w14:paraId="4B93F62A" w14:textId="77777777" w:rsidR="000E52AA" w:rsidRPr="0077784C" w:rsidRDefault="000E52AA" w:rsidP="000E52AA">
            <w:pPr>
              <w:pStyle w:val="ListParagraph"/>
              <w:numPr>
                <w:ilvl w:val="0"/>
                <w:numId w:val="43"/>
              </w:numPr>
              <w:spacing w:before="60" w:after="60"/>
              <w:rPr>
                <w:sz w:val="24"/>
                <w:szCs w:val="24"/>
              </w:rPr>
            </w:pPr>
            <w:r w:rsidRPr="0077784C">
              <w:rPr>
                <w:sz w:val="24"/>
                <w:szCs w:val="24"/>
              </w:rPr>
              <w:t xml:space="preserve">Each race in the Fédération Internationale de </w:t>
            </w:r>
            <w:proofErr w:type="spellStart"/>
            <w:r w:rsidRPr="0077784C">
              <w:rPr>
                <w:sz w:val="24"/>
                <w:szCs w:val="24"/>
              </w:rPr>
              <w:t>l’Automobile</w:t>
            </w:r>
            <w:proofErr w:type="spellEnd"/>
            <w:r w:rsidRPr="0077784C">
              <w:rPr>
                <w:sz w:val="24"/>
                <w:szCs w:val="24"/>
              </w:rPr>
              <w:t xml:space="preserve"> Formula One World Championship (Grand Prix) held in Australia.</w:t>
            </w:r>
          </w:p>
        </w:tc>
      </w:tr>
      <w:tr w:rsidR="000E52AA" w:rsidRPr="0077784C" w14:paraId="53A0E697" w14:textId="77777777" w:rsidTr="00ED3D84">
        <w:tc>
          <w:tcPr>
            <w:tcW w:w="1252" w:type="pct"/>
            <w:vMerge/>
            <w:tcBorders>
              <w:left w:val="single" w:sz="4" w:space="0" w:color="auto"/>
              <w:right w:val="single" w:sz="4" w:space="0" w:color="auto"/>
            </w:tcBorders>
          </w:tcPr>
          <w:p w14:paraId="692746E7" w14:textId="77777777" w:rsidR="000E52AA" w:rsidRPr="0077784C" w:rsidRDefault="000E52AA" w:rsidP="00ED3D84">
            <w:pPr>
              <w:spacing w:before="60" w:after="60"/>
              <w:rPr>
                <w:b/>
                <w:sz w:val="24"/>
                <w:szCs w:val="24"/>
              </w:rPr>
            </w:pPr>
          </w:p>
        </w:tc>
        <w:tc>
          <w:tcPr>
            <w:tcW w:w="3748" w:type="pct"/>
            <w:tcBorders>
              <w:top w:val="single" w:sz="4" w:space="0" w:color="auto"/>
              <w:left w:val="single" w:sz="4" w:space="0" w:color="auto"/>
              <w:bottom w:val="single" w:sz="4" w:space="0" w:color="auto"/>
              <w:right w:val="single" w:sz="4" w:space="0" w:color="auto"/>
            </w:tcBorders>
          </w:tcPr>
          <w:p w14:paraId="22D800BC" w14:textId="77777777" w:rsidR="000E52AA" w:rsidRPr="0077784C" w:rsidRDefault="000E52AA" w:rsidP="000E52AA">
            <w:pPr>
              <w:pStyle w:val="ListParagraph"/>
              <w:numPr>
                <w:ilvl w:val="0"/>
                <w:numId w:val="43"/>
              </w:numPr>
              <w:spacing w:before="60" w:after="60"/>
              <w:rPr>
                <w:sz w:val="24"/>
                <w:szCs w:val="24"/>
              </w:rPr>
            </w:pPr>
            <w:r w:rsidRPr="0077784C">
              <w:rPr>
                <w:sz w:val="24"/>
                <w:szCs w:val="24"/>
              </w:rPr>
              <w:t xml:space="preserve">Each race in the Fédération Internationale de </w:t>
            </w:r>
            <w:proofErr w:type="spellStart"/>
            <w:r w:rsidRPr="0077784C">
              <w:rPr>
                <w:sz w:val="24"/>
                <w:szCs w:val="24"/>
              </w:rPr>
              <w:t>Motocyclisme</w:t>
            </w:r>
            <w:proofErr w:type="spellEnd"/>
            <w:r w:rsidRPr="0077784C">
              <w:rPr>
                <w:sz w:val="24"/>
                <w:szCs w:val="24"/>
              </w:rPr>
              <w:t xml:space="preserve"> MotoGP World Championship held in Australia.</w:t>
            </w:r>
          </w:p>
        </w:tc>
      </w:tr>
      <w:tr w:rsidR="000E52AA" w:rsidRPr="0077784C" w14:paraId="0B76CCEC" w14:textId="77777777" w:rsidTr="00E922B7">
        <w:tc>
          <w:tcPr>
            <w:tcW w:w="1252" w:type="pct"/>
            <w:vMerge/>
            <w:tcBorders>
              <w:left w:val="single" w:sz="4" w:space="0" w:color="auto"/>
              <w:bottom w:val="single" w:sz="4" w:space="0" w:color="auto"/>
              <w:right w:val="single" w:sz="4" w:space="0" w:color="auto"/>
            </w:tcBorders>
          </w:tcPr>
          <w:p w14:paraId="5EBB14D5" w14:textId="77777777" w:rsidR="000E52AA" w:rsidRPr="0077784C" w:rsidRDefault="000E52AA" w:rsidP="00ED3D84">
            <w:pPr>
              <w:spacing w:before="60" w:after="60"/>
              <w:rPr>
                <w:b/>
                <w:sz w:val="24"/>
                <w:szCs w:val="24"/>
              </w:rPr>
            </w:pPr>
          </w:p>
        </w:tc>
        <w:tc>
          <w:tcPr>
            <w:tcW w:w="3748" w:type="pct"/>
            <w:tcBorders>
              <w:top w:val="single" w:sz="4" w:space="0" w:color="auto"/>
              <w:left w:val="single" w:sz="4" w:space="0" w:color="auto"/>
              <w:bottom w:val="single" w:sz="4" w:space="0" w:color="auto"/>
              <w:right w:val="single" w:sz="4" w:space="0" w:color="auto"/>
            </w:tcBorders>
          </w:tcPr>
          <w:p w14:paraId="4A1B1163" w14:textId="77777777" w:rsidR="000E52AA" w:rsidRPr="0077784C" w:rsidRDefault="000E52AA" w:rsidP="000E52AA">
            <w:pPr>
              <w:pStyle w:val="ListParagraph"/>
              <w:numPr>
                <w:ilvl w:val="0"/>
                <w:numId w:val="43"/>
              </w:numPr>
              <w:spacing w:before="60" w:after="60"/>
              <w:rPr>
                <w:sz w:val="24"/>
                <w:szCs w:val="24"/>
              </w:rPr>
            </w:pPr>
            <w:r w:rsidRPr="0077784C">
              <w:rPr>
                <w:sz w:val="24"/>
                <w:szCs w:val="24"/>
              </w:rPr>
              <w:t>Each Bathurst 1000 race in the Supercars Championship.</w:t>
            </w:r>
          </w:p>
        </w:tc>
      </w:tr>
    </w:tbl>
    <w:p w14:paraId="67A037EC" w14:textId="77777777" w:rsidR="00ED3D84" w:rsidRPr="0077784C" w:rsidRDefault="00ED3D84" w:rsidP="00ED3D84">
      <w:pPr>
        <w:pStyle w:val="subsection"/>
        <w:ind w:left="0" w:firstLine="0"/>
        <w:rPr>
          <w:sz w:val="24"/>
          <w:szCs w:val="24"/>
        </w:rPr>
      </w:pPr>
    </w:p>
    <w:p w14:paraId="088E4FCD" w14:textId="77777777" w:rsidR="0029249F" w:rsidRPr="00D24F72" w:rsidRDefault="0029249F" w:rsidP="0029249F">
      <w:pPr>
        <w:keepNext/>
        <w:ind w:right="91"/>
        <w:rPr>
          <w:color w:val="000000" w:themeColor="text1"/>
          <w:sz w:val="24"/>
          <w:szCs w:val="24"/>
        </w:rPr>
      </w:pPr>
      <w:r w:rsidRPr="00D24F72">
        <w:rPr>
          <w:color w:val="000000" w:themeColor="text1"/>
          <w:sz w:val="24"/>
          <w:szCs w:val="24"/>
          <w:u w:val="single"/>
        </w:rPr>
        <w:t>Schedule</w:t>
      </w:r>
      <w:r>
        <w:rPr>
          <w:color w:val="000000" w:themeColor="text1"/>
          <w:sz w:val="24"/>
          <w:szCs w:val="24"/>
          <w:u w:val="single"/>
        </w:rPr>
        <w:t xml:space="preserve"> 2</w:t>
      </w:r>
    </w:p>
    <w:p w14:paraId="569810A3" w14:textId="77777777" w:rsidR="000E52AA" w:rsidRPr="00D24F72" w:rsidRDefault="000E52AA" w:rsidP="0029249F">
      <w:pPr>
        <w:keepNext/>
        <w:ind w:right="91"/>
        <w:rPr>
          <w:color w:val="000000" w:themeColor="text1"/>
          <w:sz w:val="24"/>
          <w:szCs w:val="24"/>
        </w:rPr>
      </w:pPr>
    </w:p>
    <w:p w14:paraId="22C31AA7" w14:textId="47FE04D6" w:rsidR="0029249F" w:rsidRPr="00C0426F" w:rsidRDefault="00C0426F">
      <w:pPr>
        <w:spacing w:after="200" w:line="276" w:lineRule="auto"/>
        <w:rPr>
          <w:color w:val="000000" w:themeColor="text1"/>
          <w:sz w:val="24"/>
          <w:szCs w:val="24"/>
        </w:rPr>
        <w:sectPr w:rsidR="0029249F" w:rsidRPr="00C0426F" w:rsidSect="00EA502E">
          <w:pgSz w:w="11906" w:h="16838" w:code="9"/>
          <w:pgMar w:top="1021" w:right="1021" w:bottom="1021" w:left="1418" w:header="0" w:footer="567" w:gutter="0"/>
          <w:cols w:space="708"/>
          <w:titlePg/>
          <w:docGrid w:linePitch="360"/>
        </w:sectPr>
      </w:pPr>
      <w:r w:rsidRPr="00C0426F">
        <w:rPr>
          <w:color w:val="000000" w:themeColor="text1"/>
          <w:sz w:val="24"/>
          <w:szCs w:val="24"/>
          <w:u w:val="single"/>
        </w:rPr>
        <w:t>Item 1</w:t>
      </w:r>
      <w:r>
        <w:rPr>
          <w:color w:val="000000" w:themeColor="text1"/>
          <w:sz w:val="24"/>
          <w:szCs w:val="24"/>
        </w:rPr>
        <w:t xml:space="preserve"> </w:t>
      </w:r>
      <w:r w:rsidRPr="00C0426F">
        <w:rPr>
          <w:color w:val="000000" w:themeColor="text1"/>
          <w:sz w:val="24"/>
          <w:szCs w:val="24"/>
        </w:rPr>
        <w:t xml:space="preserve">provides that the </w:t>
      </w:r>
      <w:r w:rsidRPr="003008BF">
        <w:rPr>
          <w:i/>
          <w:color w:val="000000" w:themeColor="text1"/>
          <w:sz w:val="24"/>
          <w:szCs w:val="24"/>
        </w:rPr>
        <w:t>Broadcasting Services (Events) Notice (No. 1) 2010</w:t>
      </w:r>
      <w:r w:rsidRPr="00C0426F">
        <w:rPr>
          <w:color w:val="000000" w:themeColor="text1"/>
          <w:sz w:val="24"/>
          <w:szCs w:val="24"/>
        </w:rPr>
        <w:t xml:space="preserve"> is </w:t>
      </w:r>
      <w:r w:rsidR="00E35C0C">
        <w:rPr>
          <w:color w:val="000000" w:themeColor="text1"/>
          <w:sz w:val="24"/>
          <w:szCs w:val="24"/>
        </w:rPr>
        <w:t>repealed</w:t>
      </w:r>
      <w:r w:rsidRPr="00C0426F">
        <w:rPr>
          <w:color w:val="000000" w:themeColor="text1"/>
          <w:sz w:val="24"/>
          <w:szCs w:val="24"/>
        </w:rPr>
        <w:t>.</w:t>
      </w:r>
    </w:p>
    <w:p w14:paraId="31E23F8D" w14:textId="77777777" w:rsidR="002C0CD5" w:rsidRPr="00D24F72" w:rsidRDefault="00404192" w:rsidP="00675482">
      <w:pPr>
        <w:spacing w:after="160"/>
        <w:jc w:val="right"/>
        <w:rPr>
          <w:color w:val="000000" w:themeColor="text1"/>
          <w:sz w:val="28"/>
          <w:szCs w:val="28"/>
        </w:rPr>
      </w:pPr>
      <w:r w:rsidRPr="00D24F72">
        <w:rPr>
          <w:b/>
          <w:color w:val="000000" w:themeColor="text1"/>
          <w:sz w:val="28"/>
          <w:szCs w:val="28"/>
        </w:rPr>
        <w:t xml:space="preserve">Attachment </w:t>
      </w:r>
      <w:r w:rsidR="00675482">
        <w:rPr>
          <w:b/>
          <w:color w:val="000000" w:themeColor="text1"/>
          <w:sz w:val="28"/>
          <w:szCs w:val="28"/>
        </w:rPr>
        <w:t>B</w:t>
      </w:r>
    </w:p>
    <w:p w14:paraId="4FACD79E" w14:textId="77777777" w:rsidR="00404192" w:rsidRPr="00D24F72" w:rsidRDefault="00404192" w:rsidP="00404192">
      <w:pPr>
        <w:spacing w:before="360" w:after="120"/>
        <w:jc w:val="center"/>
        <w:rPr>
          <w:color w:val="000000" w:themeColor="text1"/>
          <w:sz w:val="28"/>
          <w:szCs w:val="28"/>
        </w:rPr>
      </w:pPr>
      <w:r w:rsidRPr="00D24F72">
        <w:rPr>
          <w:b/>
          <w:color w:val="000000" w:themeColor="text1"/>
          <w:sz w:val="28"/>
          <w:szCs w:val="28"/>
        </w:rPr>
        <w:t>Statement of Compatibility with Human Rights</w:t>
      </w:r>
    </w:p>
    <w:p w14:paraId="34D8A89B" w14:textId="77777777" w:rsidR="00404192" w:rsidRPr="00D24F72" w:rsidRDefault="00404192" w:rsidP="00404192">
      <w:pPr>
        <w:jc w:val="center"/>
        <w:rPr>
          <w:color w:val="000000" w:themeColor="text1"/>
          <w:sz w:val="24"/>
          <w:szCs w:val="24"/>
        </w:rPr>
      </w:pPr>
      <w:r w:rsidRPr="00382FBA">
        <w:rPr>
          <w:color w:val="000000" w:themeColor="text1"/>
          <w:sz w:val="24"/>
          <w:szCs w:val="24"/>
        </w:rPr>
        <w:t>Prepared in accordance with Part 3 of the</w:t>
      </w:r>
      <w:r w:rsidRPr="00D24F72">
        <w:rPr>
          <w:i/>
          <w:color w:val="000000" w:themeColor="text1"/>
          <w:sz w:val="24"/>
          <w:szCs w:val="24"/>
        </w:rPr>
        <w:t xml:space="preserve"> Human Rights (Parliamentary Scrutiny) Act 2011</w:t>
      </w:r>
    </w:p>
    <w:p w14:paraId="76C924D6" w14:textId="77777777" w:rsidR="00404192" w:rsidRPr="00D24F72" w:rsidRDefault="00404192" w:rsidP="00404192">
      <w:pPr>
        <w:jc w:val="center"/>
        <w:rPr>
          <w:color w:val="000000" w:themeColor="text1"/>
          <w:sz w:val="24"/>
          <w:szCs w:val="24"/>
        </w:rPr>
      </w:pPr>
    </w:p>
    <w:p w14:paraId="1D97207A" w14:textId="77777777" w:rsidR="00404192" w:rsidRPr="00D24F72" w:rsidRDefault="000F1924" w:rsidP="00404192">
      <w:pPr>
        <w:spacing w:before="120" w:after="120"/>
        <w:jc w:val="center"/>
        <w:rPr>
          <w:i/>
          <w:color w:val="000000" w:themeColor="text1"/>
          <w:sz w:val="24"/>
          <w:szCs w:val="24"/>
        </w:rPr>
      </w:pPr>
      <w:r w:rsidRPr="000F1924">
        <w:rPr>
          <w:b/>
          <w:i/>
          <w:color w:val="000000" w:themeColor="text1"/>
          <w:sz w:val="24"/>
          <w:szCs w:val="24"/>
        </w:rPr>
        <w:t>Broadcasting Services (Events) Notice 2023</w:t>
      </w:r>
    </w:p>
    <w:p w14:paraId="49C5B02D" w14:textId="77777777" w:rsidR="00404192" w:rsidRPr="00D24F72" w:rsidRDefault="00404192" w:rsidP="00404192">
      <w:pPr>
        <w:rPr>
          <w:color w:val="000000" w:themeColor="text1"/>
          <w:sz w:val="24"/>
          <w:szCs w:val="24"/>
        </w:rPr>
      </w:pPr>
    </w:p>
    <w:p w14:paraId="40048F9B" w14:textId="77777777" w:rsidR="00404192" w:rsidRPr="00D24F72" w:rsidRDefault="00C80B31" w:rsidP="00404192">
      <w:pPr>
        <w:rPr>
          <w:color w:val="000000" w:themeColor="text1"/>
          <w:sz w:val="24"/>
          <w:szCs w:val="24"/>
        </w:rPr>
      </w:pPr>
      <w:r w:rsidRPr="00D24F72">
        <w:rPr>
          <w:color w:val="000000" w:themeColor="text1"/>
          <w:sz w:val="24"/>
          <w:szCs w:val="24"/>
        </w:rPr>
        <w:t>Th</w:t>
      </w:r>
      <w:r>
        <w:rPr>
          <w:color w:val="000000" w:themeColor="text1"/>
          <w:sz w:val="24"/>
          <w:szCs w:val="24"/>
        </w:rPr>
        <w:t>e</w:t>
      </w:r>
      <w:r w:rsidRPr="00D24F72">
        <w:rPr>
          <w:color w:val="000000" w:themeColor="text1"/>
          <w:sz w:val="24"/>
          <w:szCs w:val="24"/>
        </w:rPr>
        <w:t xml:space="preserve"> </w:t>
      </w:r>
      <w:r w:rsidR="000F1924" w:rsidRPr="003008BF">
        <w:rPr>
          <w:i/>
          <w:color w:val="000000" w:themeColor="text1"/>
          <w:sz w:val="24"/>
          <w:szCs w:val="24"/>
        </w:rPr>
        <w:t>Broadcasting Services (Events) Notice 2023</w:t>
      </w:r>
      <w:r w:rsidR="00404192" w:rsidRPr="00D24F72">
        <w:rPr>
          <w:color w:val="000000" w:themeColor="text1"/>
          <w:sz w:val="24"/>
          <w:szCs w:val="24"/>
        </w:rPr>
        <w:t xml:space="preserve"> is compatible with the human rights and freedoms recognised or declared in the international instruments </w:t>
      </w:r>
      <w:r w:rsidR="00F835DF" w:rsidRPr="00D24F72">
        <w:rPr>
          <w:color w:val="000000" w:themeColor="text1"/>
          <w:sz w:val="24"/>
          <w:szCs w:val="24"/>
        </w:rPr>
        <w:t xml:space="preserve">listed </w:t>
      </w:r>
      <w:r w:rsidR="00F835DF" w:rsidRPr="001B65AA">
        <w:rPr>
          <w:color w:val="000000" w:themeColor="text1"/>
          <w:sz w:val="24"/>
          <w:szCs w:val="24"/>
        </w:rPr>
        <w:t>in section 3</w:t>
      </w:r>
      <w:r w:rsidR="00F835DF" w:rsidRPr="00D24F72">
        <w:rPr>
          <w:color w:val="000000" w:themeColor="text1"/>
          <w:sz w:val="24"/>
          <w:szCs w:val="24"/>
        </w:rPr>
        <w:t xml:space="preserve"> of the </w:t>
      </w:r>
      <w:r w:rsidR="00F835DF" w:rsidRPr="00D24F72">
        <w:rPr>
          <w:i/>
          <w:color w:val="000000" w:themeColor="text1"/>
          <w:sz w:val="24"/>
          <w:szCs w:val="24"/>
        </w:rPr>
        <w:t>Human Rights (Parliamentary Scrutiny) Act 2011</w:t>
      </w:r>
      <w:r w:rsidR="00F835DF" w:rsidRPr="00D24F72">
        <w:rPr>
          <w:color w:val="000000" w:themeColor="text1"/>
          <w:sz w:val="24"/>
          <w:szCs w:val="24"/>
        </w:rPr>
        <w:t>.</w:t>
      </w:r>
    </w:p>
    <w:p w14:paraId="0A05FE4F" w14:textId="77777777" w:rsidR="00F835DF" w:rsidRPr="00D24F72" w:rsidRDefault="00F835DF" w:rsidP="00404192">
      <w:pPr>
        <w:rPr>
          <w:color w:val="000000" w:themeColor="text1"/>
          <w:sz w:val="24"/>
          <w:szCs w:val="24"/>
        </w:rPr>
      </w:pPr>
    </w:p>
    <w:p w14:paraId="22F9DDBD" w14:textId="42507572" w:rsidR="005914D6" w:rsidRPr="00EF1A16" w:rsidRDefault="00443A66" w:rsidP="00EF1A16">
      <w:pPr>
        <w:spacing w:before="120" w:after="120"/>
        <w:rPr>
          <w:color w:val="000000" w:themeColor="text1"/>
          <w:sz w:val="24"/>
          <w:szCs w:val="24"/>
        </w:rPr>
      </w:pPr>
      <w:r w:rsidRPr="00D24F72">
        <w:rPr>
          <w:b/>
          <w:color w:val="000000" w:themeColor="text1"/>
          <w:sz w:val="24"/>
          <w:szCs w:val="24"/>
        </w:rPr>
        <w:t xml:space="preserve">Overview </w:t>
      </w:r>
    </w:p>
    <w:p w14:paraId="66BC689C" w14:textId="77777777" w:rsidR="004E1A88" w:rsidRPr="004E1A88" w:rsidRDefault="00EF1A16" w:rsidP="004E1A88">
      <w:pPr>
        <w:rPr>
          <w:color w:val="000000"/>
          <w:sz w:val="24"/>
          <w:szCs w:val="24"/>
        </w:rPr>
      </w:pPr>
      <w:bookmarkStart w:id="9" w:name="_Hlk129784880"/>
      <w:r w:rsidRPr="00EF1A16">
        <w:rPr>
          <w:color w:val="000000"/>
          <w:sz w:val="24"/>
          <w:szCs w:val="24"/>
        </w:rPr>
        <w:t xml:space="preserve">The </w:t>
      </w:r>
      <w:r w:rsidRPr="00C253EC">
        <w:rPr>
          <w:i/>
          <w:color w:val="000000" w:themeColor="text1"/>
          <w:sz w:val="24"/>
          <w:szCs w:val="24"/>
        </w:rPr>
        <w:t xml:space="preserve">Broadcasting Services (Events) Notice 2023 </w:t>
      </w:r>
      <w:r w:rsidRPr="00D24F72">
        <w:rPr>
          <w:color w:val="000000" w:themeColor="text1"/>
          <w:sz w:val="24"/>
          <w:szCs w:val="24"/>
        </w:rPr>
        <w:t xml:space="preserve">(the </w:t>
      </w:r>
      <w:r>
        <w:rPr>
          <w:color w:val="000000" w:themeColor="text1"/>
          <w:sz w:val="24"/>
          <w:szCs w:val="24"/>
        </w:rPr>
        <w:t>Notice</w:t>
      </w:r>
      <w:r w:rsidRPr="00D24F72">
        <w:rPr>
          <w:color w:val="000000" w:themeColor="text1"/>
          <w:sz w:val="24"/>
          <w:szCs w:val="24"/>
        </w:rPr>
        <w:t>)</w:t>
      </w:r>
      <w:r w:rsidR="001B2BAF">
        <w:rPr>
          <w:color w:val="000000" w:themeColor="text1"/>
          <w:sz w:val="24"/>
          <w:szCs w:val="24"/>
        </w:rPr>
        <w:t xml:space="preserve"> is a</w:t>
      </w:r>
      <w:r w:rsidRPr="00D24F72">
        <w:rPr>
          <w:color w:val="000000" w:themeColor="text1"/>
          <w:sz w:val="24"/>
          <w:szCs w:val="24"/>
        </w:rPr>
        <w:t xml:space="preserve"> </w:t>
      </w:r>
      <w:r w:rsidRPr="00EF1A16">
        <w:rPr>
          <w:color w:val="000000"/>
          <w:sz w:val="24"/>
          <w:szCs w:val="24"/>
        </w:rPr>
        <w:t xml:space="preserve">legislative instrument made by the Minister under subsection 115(1) of the </w:t>
      </w:r>
      <w:r w:rsidRPr="00854758">
        <w:rPr>
          <w:i/>
          <w:color w:val="000000"/>
          <w:sz w:val="24"/>
          <w:szCs w:val="24"/>
        </w:rPr>
        <w:t>B</w:t>
      </w:r>
      <w:r w:rsidR="001B2BAF">
        <w:rPr>
          <w:i/>
          <w:color w:val="000000"/>
          <w:sz w:val="24"/>
          <w:szCs w:val="24"/>
        </w:rPr>
        <w:t xml:space="preserve">roadcasting </w:t>
      </w:r>
      <w:r w:rsidRPr="00854758">
        <w:rPr>
          <w:i/>
          <w:color w:val="000000"/>
          <w:sz w:val="24"/>
          <w:szCs w:val="24"/>
        </w:rPr>
        <w:t>S</w:t>
      </w:r>
      <w:r w:rsidR="001B2BAF">
        <w:rPr>
          <w:i/>
          <w:color w:val="000000"/>
          <w:sz w:val="24"/>
          <w:szCs w:val="24"/>
        </w:rPr>
        <w:t xml:space="preserve">ervices </w:t>
      </w:r>
      <w:r w:rsidRPr="00854758">
        <w:rPr>
          <w:i/>
          <w:color w:val="000000"/>
          <w:sz w:val="24"/>
          <w:szCs w:val="24"/>
        </w:rPr>
        <w:t>A</w:t>
      </w:r>
      <w:r w:rsidR="001B2BAF">
        <w:rPr>
          <w:i/>
          <w:color w:val="000000"/>
          <w:sz w:val="24"/>
          <w:szCs w:val="24"/>
        </w:rPr>
        <w:t>ct 1992</w:t>
      </w:r>
      <w:r w:rsidR="009D7588">
        <w:rPr>
          <w:i/>
          <w:color w:val="000000"/>
          <w:sz w:val="24"/>
          <w:szCs w:val="24"/>
        </w:rPr>
        <w:t xml:space="preserve"> </w:t>
      </w:r>
      <w:r w:rsidR="009D7588">
        <w:rPr>
          <w:color w:val="000000"/>
          <w:sz w:val="24"/>
          <w:szCs w:val="24"/>
        </w:rPr>
        <w:t>(the Act)</w:t>
      </w:r>
      <w:r w:rsidRPr="00EF1A16">
        <w:rPr>
          <w:color w:val="000000"/>
          <w:sz w:val="24"/>
          <w:szCs w:val="24"/>
        </w:rPr>
        <w:t>, specifying the events which should, in the opinion of the Minister, b</w:t>
      </w:r>
      <w:r w:rsidR="001B2BAF">
        <w:rPr>
          <w:color w:val="000000"/>
          <w:sz w:val="24"/>
          <w:szCs w:val="24"/>
        </w:rPr>
        <w:t>e</w:t>
      </w:r>
      <w:r w:rsidRPr="00EF1A16">
        <w:rPr>
          <w:color w:val="000000"/>
          <w:sz w:val="24"/>
          <w:szCs w:val="24"/>
        </w:rPr>
        <w:t xml:space="preserve"> available free to the general public.</w:t>
      </w:r>
      <w:r w:rsidR="004E1A88">
        <w:rPr>
          <w:color w:val="000000"/>
          <w:sz w:val="24"/>
          <w:szCs w:val="24"/>
        </w:rPr>
        <w:t xml:space="preserve"> </w:t>
      </w:r>
      <w:r w:rsidRPr="00B47683">
        <w:rPr>
          <w:color w:val="000000"/>
          <w:sz w:val="24"/>
          <w:szCs w:val="24"/>
          <w:lang w:val="en-GB"/>
        </w:rPr>
        <w:t xml:space="preserve">A notice made under subsection 115(1) of the </w:t>
      </w:r>
      <w:r>
        <w:rPr>
          <w:color w:val="000000"/>
          <w:sz w:val="24"/>
          <w:szCs w:val="24"/>
          <w:lang w:val="en-GB"/>
        </w:rPr>
        <w:t>Act</w:t>
      </w:r>
      <w:r w:rsidRPr="00B47683">
        <w:rPr>
          <w:color w:val="000000"/>
          <w:sz w:val="24"/>
          <w:szCs w:val="24"/>
          <w:lang w:val="en-GB"/>
        </w:rPr>
        <w:t xml:space="preserve"> is commonly known as the </w:t>
      </w:r>
      <w:r w:rsidR="009D7588">
        <w:rPr>
          <w:color w:val="000000"/>
          <w:sz w:val="24"/>
          <w:szCs w:val="24"/>
          <w:lang w:val="en-GB"/>
        </w:rPr>
        <w:t>‘</w:t>
      </w:r>
      <w:r w:rsidRPr="00B47683">
        <w:rPr>
          <w:color w:val="000000"/>
          <w:sz w:val="24"/>
          <w:szCs w:val="24"/>
          <w:lang w:val="en-GB"/>
        </w:rPr>
        <w:t>anti</w:t>
      </w:r>
      <w:r w:rsidR="00E41020">
        <w:rPr>
          <w:color w:val="000000"/>
          <w:sz w:val="24"/>
          <w:szCs w:val="24"/>
          <w:lang w:val="en-GB"/>
        </w:rPr>
        <w:noBreakHyphen/>
      </w:r>
      <w:r w:rsidRPr="00B47683">
        <w:rPr>
          <w:color w:val="000000"/>
          <w:sz w:val="24"/>
          <w:szCs w:val="24"/>
          <w:lang w:val="en-GB"/>
        </w:rPr>
        <w:t>siphoning list</w:t>
      </w:r>
      <w:r w:rsidR="009D7588">
        <w:rPr>
          <w:color w:val="000000"/>
          <w:sz w:val="24"/>
          <w:szCs w:val="24"/>
          <w:lang w:val="en-GB"/>
        </w:rPr>
        <w:t>’</w:t>
      </w:r>
      <w:r w:rsidRPr="00B47683">
        <w:rPr>
          <w:color w:val="000000"/>
          <w:sz w:val="24"/>
          <w:szCs w:val="24"/>
          <w:lang w:val="en-GB"/>
        </w:rPr>
        <w:t>.</w:t>
      </w:r>
      <w:r>
        <w:rPr>
          <w:color w:val="000000"/>
          <w:sz w:val="24"/>
          <w:szCs w:val="24"/>
          <w:lang w:val="en-GB"/>
        </w:rPr>
        <w:t xml:space="preserve"> </w:t>
      </w:r>
      <w:r w:rsidR="00C80B31">
        <w:rPr>
          <w:color w:val="000000" w:themeColor="text1"/>
          <w:sz w:val="24"/>
          <w:szCs w:val="24"/>
        </w:rPr>
        <w:t>The anti</w:t>
      </w:r>
      <w:r w:rsidR="00C80B31">
        <w:rPr>
          <w:color w:val="000000" w:themeColor="text1"/>
          <w:sz w:val="24"/>
          <w:szCs w:val="24"/>
        </w:rPr>
        <w:noBreakHyphen/>
        <w:t xml:space="preserve">siphoning list forms an integral part of the anti-siphoning scheme (as set out in </w:t>
      </w:r>
      <w:r w:rsidR="00C80B31" w:rsidRPr="00EB6FBD">
        <w:rPr>
          <w:color w:val="000000" w:themeColor="text1"/>
          <w:sz w:val="24"/>
        </w:rPr>
        <w:t xml:space="preserve">section </w:t>
      </w:r>
      <w:r w:rsidR="00C80B31">
        <w:rPr>
          <w:color w:val="000000" w:themeColor="text1"/>
          <w:sz w:val="24"/>
        </w:rPr>
        <w:t>115</w:t>
      </w:r>
      <w:r w:rsidR="00C80B31" w:rsidRPr="00EB6FBD">
        <w:rPr>
          <w:color w:val="000000" w:themeColor="text1"/>
          <w:sz w:val="24"/>
        </w:rPr>
        <w:t xml:space="preserve"> of the Act and paragraph 10(1)(e) of Schedule 2 to the Act</w:t>
      </w:r>
      <w:r w:rsidR="00C80B31">
        <w:rPr>
          <w:color w:val="000000" w:themeColor="text1"/>
          <w:sz w:val="24"/>
        </w:rPr>
        <w:t>).</w:t>
      </w:r>
    </w:p>
    <w:p w14:paraId="6506176A" w14:textId="77777777" w:rsidR="004E1A88" w:rsidRDefault="004E1A88" w:rsidP="00EF1A16">
      <w:pPr>
        <w:shd w:val="clear" w:color="auto" w:fill="FFFFFF"/>
        <w:rPr>
          <w:color w:val="000000"/>
          <w:sz w:val="24"/>
          <w:szCs w:val="24"/>
          <w:lang w:val="en-GB"/>
        </w:rPr>
      </w:pPr>
    </w:p>
    <w:p w14:paraId="35BD292E" w14:textId="77777777" w:rsidR="009D7588" w:rsidRDefault="009D7588" w:rsidP="009D7588">
      <w:pPr>
        <w:shd w:val="clear" w:color="auto" w:fill="FFFFFF"/>
        <w:rPr>
          <w:color w:val="000000" w:themeColor="text1"/>
          <w:sz w:val="24"/>
          <w:szCs w:val="24"/>
        </w:rPr>
      </w:pPr>
      <w:r w:rsidRPr="00D05090">
        <w:rPr>
          <w:color w:val="000000"/>
          <w:sz w:val="24"/>
          <w:szCs w:val="24"/>
          <w:lang w:val="en-GB"/>
        </w:rPr>
        <w:t xml:space="preserve">The </w:t>
      </w:r>
      <w:r>
        <w:rPr>
          <w:color w:val="000000" w:themeColor="text1"/>
          <w:sz w:val="24"/>
          <w:szCs w:val="24"/>
        </w:rPr>
        <w:t>Notice</w:t>
      </w:r>
      <w:r w:rsidRPr="00D24F72">
        <w:rPr>
          <w:color w:val="000000" w:themeColor="text1"/>
          <w:sz w:val="24"/>
          <w:szCs w:val="24"/>
        </w:rPr>
        <w:t xml:space="preserve"> </w:t>
      </w:r>
      <w:r w:rsidRPr="00D05090">
        <w:rPr>
          <w:color w:val="000000"/>
          <w:sz w:val="24"/>
          <w:szCs w:val="24"/>
          <w:lang w:val="en-GB"/>
        </w:rPr>
        <w:t xml:space="preserve">revokes </w:t>
      </w:r>
      <w:r>
        <w:rPr>
          <w:color w:val="000000"/>
          <w:sz w:val="24"/>
          <w:szCs w:val="24"/>
          <w:lang w:val="en-GB"/>
        </w:rPr>
        <w:t xml:space="preserve">and remakes </w:t>
      </w:r>
      <w:r w:rsidRPr="00D05090">
        <w:rPr>
          <w:color w:val="000000"/>
          <w:sz w:val="24"/>
          <w:szCs w:val="24"/>
          <w:lang w:val="en-GB"/>
        </w:rPr>
        <w:t>the</w:t>
      </w:r>
      <w:r w:rsidRPr="0014543A">
        <w:rPr>
          <w:i/>
          <w:color w:val="000000"/>
          <w:sz w:val="24"/>
          <w:szCs w:val="24"/>
          <w:lang w:val="en-GB"/>
        </w:rPr>
        <w:t xml:space="preserve"> Broadcasting Services (Events) Notice (No. 1) 2010</w:t>
      </w:r>
      <w:r>
        <w:rPr>
          <w:color w:val="000000"/>
          <w:sz w:val="24"/>
          <w:szCs w:val="24"/>
          <w:lang w:val="en-GB"/>
        </w:rPr>
        <w:t xml:space="preserve"> (the 2010 Notice) – </w:t>
      </w:r>
      <w:r w:rsidRPr="00D05090">
        <w:rPr>
          <w:color w:val="000000"/>
          <w:sz w:val="24"/>
          <w:szCs w:val="24"/>
          <w:lang w:val="en-GB"/>
        </w:rPr>
        <w:t xml:space="preserve">which </w:t>
      </w:r>
      <w:r>
        <w:rPr>
          <w:color w:val="000000"/>
          <w:sz w:val="24"/>
          <w:szCs w:val="24"/>
          <w:lang w:val="en-GB"/>
        </w:rPr>
        <w:t>i</w:t>
      </w:r>
      <w:r w:rsidRPr="00D05090">
        <w:rPr>
          <w:color w:val="000000"/>
          <w:sz w:val="24"/>
          <w:szCs w:val="24"/>
          <w:lang w:val="en-GB"/>
        </w:rPr>
        <w:t xml:space="preserve">s due to expire on 1 </w:t>
      </w:r>
      <w:r>
        <w:rPr>
          <w:color w:val="000000"/>
          <w:sz w:val="24"/>
          <w:szCs w:val="24"/>
          <w:lang w:val="en-GB"/>
        </w:rPr>
        <w:t>April</w:t>
      </w:r>
      <w:r w:rsidRPr="00D05090">
        <w:rPr>
          <w:color w:val="000000"/>
          <w:sz w:val="24"/>
          <w:szCs w:val="24"/>
          <w:lang w:val="en-GB"/>
        </w:rPr>
        <w:t xml:space="preserve"> 20</w:t>
      </w:r>
      <w:r>
        <w:rPr>
          <w:color w:val="000000"/>
          <w:sz w:val="24"/>
          <w:szCs w:val="24"/>
          <w:lang w:val="en-GB"/>
        </w:rPr>
        <w:t>23 – with</w:t>
      </w:r>
      <w:r w:rsidRPr="00A37BBF">
        <w:rPr>
          <w:color w:val="000000" w:themeColor="text1"/>
          <w:sz w:val="24"/>
          <w:szCs w:val="24"/>
        </w:rPr>
        <w:t xml:space="preserve"> </w:t>
      </w:r>
      <w:r>
        <w:rPr>
          <w:color w:val="000000" w:themeColor="text1"/>
          <w:sz w:val="24"/>
          <w:szCs w:val="24"/>
        </w:rPr>
        <w:t>m</w:t>
      </w:r>
      <w:r w:rsidRPr="00A37BBF">
        <w:rPr>
          <w:color w:val="000000" w:themeColor="text1"/>
          <w:sz w:val="24"/>
          <w:szCs w:val="24"/>
        </w:rPr>
        <w:t>inor</w:t>
      </w:r>
      <w:r w:rsidRPr="00A37BBF">
        <w:rPr>
          <w:sz w:val="24"/>
          <w:szCs w:val="24"/>
        </w:rPr>
        <w:t xml:space="preserve"> amendments</w:t>
      </w:r>
      <w:r>
        <w:rPr>
          <w:sz w:val="24"/>
          <w:szCs w:val="24"/>
        </w:rPr>
        <w:t xml:space="preserve"> </w:t>
      </w:r>
      <w:r w:rsidRPr="00A37BBF">
        <w:rPr>
          <w:sz w:val="24"/>
          <w:szCs w:val="24"/>
        </w:rPr>
        <w:t>to update out</w:t>
      </w:r>
      <w:r w:rsidRPr="00A37BBF">
        <w:rPr>
          <w:sz w:val="24"/>
          <w:szCs w:val="24"/>
        </w:rPr>
        <w:noBreakHyphen/>
        <w:t>of</w:t>
      </w:r>
      <w:r w:rsidRPr="00A37BBF">
        <w:rPr>
          <w:sz w:val="24"/>
          <w:szCs w:val="24"/>
        </w:rPr>
        <w:noBreakHyphen/>
        <w:t>date names of sporting bodies and competitions</w:t>
      </w:r>
      <w:r w:rsidRPr="00A37BBF">
        <w:rPr>
          <w:color w:val="000000" w:themeColor="text1"/>
          <w:sz w:val="24"/>
          <w:szCs w:val="24"/>
        </w:rPr>
        <w:t>.</w:t>
      </w:r>
      <w:r>
        <w:rPr>
          <w:color w:val="000000" w:themeColor="text1"/>
          <w:sz w:val="24"/>
          <w:szCs w:val="24"/>
        </w:rPr>
        <w:t xml:space="preserve"> </w:t>
      </w:r>
    </w:p>
    <w:p w14:paraId="34E1A43A" w14:textId="77777777" w:rsidR="009D7588" w:rsidRDefault="009D7588" w:rsidP="00EF1A16">
      <w:pPr>
        <w:shd w:val="clear" w:color="auto" w:fill="FFFFFF"/>
        <w:rPr>
          <w:color w:val="000000"/>
          <w:sz w:val="24"/>
          <w:szCs w:val="24"/>
          <w:lang w:val="en-GB"/>
        </w:rPr>
      </w:pPr>
    </w:p>
    <w:p w14:paraId="4F6608BB" w14:textId="77777777" w:rsidR="00EF1A16" w:rsidRPr="00456D0F" w:rsidRDefault="00EF1A16" w:rsidP="00EF1A16">
      <w:pPr>
        <w:shd w:val="clear" w:color="auto" w:fill="FFFFFF"/>
        <w:rPr>
          <w:color w:val="000000" w:themeColor="text1"/>
          <w:sz w:val="24"/>
          <w:szCs w:val="24"/>
        </w:rPr>
      </w:pPr>
      <w:bookmarkStart w:id="10" w:name="_Hlk129790550"/>
      <w:r w:rsidRPr="00D525B7">
        <w:rPr>
          <w:color w:val="000000"/>
          <w:sz w:val="24"/>
          <w:szCs w:val="24"/>
          <w:lang w:val="en-GB"/>
        </w:rPr>
        <w:t>The purpose of the Notice is to maintain the</w:t>
      </w:r>
      <w:r w:rsidR="001B2BAF">
        <w:rPr>
          <w:color w:val="000000"/>
          <w:sz w:val="24"/>
          <w:szCs w:val="24"/>
          <w:lang w:val="en-GB"/>
        </w:rPr>
        <w:t xml:space="preserve"> </w:t>
      </w:r>
      <w:r w:rsidR="00A22003">
        <w:rPr>
          <w:color w:val="000000"/>
          <w:sz w:val="24"/>
          <w:szCs w:val="24"/>
          <w:lang w:val="en-GB"/>
        </w:rPr>
        <w:t>events listed in the 2010 Notice</w:t>
      </w:r>
      <w:r w:rsidR="00AF5B7C" w:rsidRPr="004131AE">
        <w:rPr>
          <w:color w:val="000000"/>
          <w:sz w:val="24"/>
          <w:lang w:val="en-GB"/>
        </w:rPr>
        <w:t xml:space="preserve"> </w:t>
      </w:r>
      <w:r w:rsidR="00AF5B7C">
        <w:rPr>
          <w:color w:val="000000"/>
          <w:sz w:val="24"/>
          <w:lang w:val="en-GB"/>
        </w:rPr>
        <w:t xml:space="preserve">for a period of </w:t>
      </w:r>
      <w:r w:rsidR="002374A8">
        <w:rPr>
          <w:color w:val="000000"/>
          <w:sz w:val="24"/>
          <w:lang w:val="en-GB"/>
        </w:rPr>
        <w:t>3 </w:t>
      </w:r>
      <w:r w:rsidR="00AF5B7C">
        <w:rPr>
          <w:color w:val="000000"/>
          <w:sz w:val="24"/>
          <w:lang w:val="en-GB"/>
        </w:rPr>
        <w:t xml:space="preserve">years </w:t>
      </w:r>
      <w:r w:rsidR="00AF5B7C" w:rsidRPr="004131AE">
        <w:rPr>
          <w:color w:val="000000"/>
          <w:sz w:val="24"/>
          <w:lang w:val="en-GB"/>
        </w:rPr>
        <w:t xml:space="preserve">(and, in turn, the operation of the anti-siphoning scheme) while broader legislative reforms to the </w:t>
      </w:r>
      <w:r w:rsidR="00AF5B7C">
        <w:rPr>
          <w:color w:val="000000"/>
          <w:sz w:val="24"/>
          <w:lang w:val="en-GB"/>
        </w:rPr>
        <w:t xml:space="preserve">anti-siphoning </w:t>
      </w:r>
      <w:r w:rsidR="00AF5B7C" w:rsidRPr="004131AE">
        <w:rPr>
          <w:color w:val="000000"/>
          <w:sz w:val="24"/>
          <w:lang w:val="en-GB"/>
        </w:rPr>
        <w:t>scheme are considered.</w:t>
      </w:r>
    </w:p>
    <w:bookmarkEnd w:id="10"/>
    <w:p w14:paraId="1869C899" w14:textId="77777777" w:rsidR="00EF1A16" w:rsidRDefault="00EF1A16" w:rsidP="00EF1A16">
      <w:pPr>
        <w:shd w:val="clear" w:color="auto" w:fill="FFFFFF"/>
        <w:rPr>
          <w:color w:val="000000"/>
          <w:sz w:val="24"/>
          <w:szCs w:val="24"/>
          <w:lang w:val="en-GB"/>
        </w:rPr>
      </w:pPr>
    </w:p>
    <w:p w14:paraId="2D41672E" w14:textId="044E19A8" w:rsidR="002A4BC0" w:rsidRDefault="00EA0B05" w:rsidP="002A4BC0">
      <w:pPr>
        <w:rPr>
          <w:color w:val="000000" w:themeColor="text1"/>
          <w:sz w:val="24"/>
          <w:szCs w:val="24"/>
        </w:rPr>
      </w:pPr>
      <w:r>
        <w:rPr>
          <w:color w:val="000000" w:themeColor="text1"/>
          <w:sz w:val="24"/>
          <w:szCs w:val="24"/>
        </w:rPr>
        <w:t xml:space="preserve">The anti-siphoning scheme operates through the inclusion of </w:t>
      </w:r>
      <w:r>
        <w:rPr>
          <w:color w:val="000000" w:themeColor="text1"/>
          <w:sz w:val="24"/>
        </w:rPr>
        <w:t>a</w:t>
      </w:r>
      <w:r w:rsidRPr="004131AE">
        <w:rPr>
          <w:color w:val="000000" w:themeColor="text1"/>
          <w:sz w:val="24"/>
        </w:rPr>
        <w:t xml:space="preserve">n event </w:t>
      </w:r>
      <w:r w:rsidR="00E546B4">
        <w:rPr>
          <w:color w:val="000000" w:themeColor="text1"/>
          <w:sz w:val="24"/>
        </w:rPr>
        <w:t>o</w:t>
      </w:r>
      <w:r>
        <w:rPr>
          <w:color w:val="000000" w:themeColor="text1"/>
          <w:sz w:val="24"/>
        </w:rPr>
        <w:t xml:space="preserve">n </w:t>
      </w:r>
      <w:r w:rsidRPr="00EB6FBD">
        <w:rPr>
          <w:color w:val="000000" w:themeColor="text1"/>
          <w:sz w:val="24"/>
        </w:rPr>
        <w:t>the anti</w:t>
      </w:r>
      <w:r>
        <w:rPr>
          <w:color w:val="000000" w:themeColor="text1"/>
          <w:sz w:val="24"/>
        </w:rPr>
        <w:noBreakHyphen/>
      </w:r>
      <w:r w:rsidRPr="00EB6FBD">
        <w:rPr>
          <w:color w:val="000000" w:themeColor="text1"/>
          <w:sz w:val="24"/>
        </w:rPr>
        <w:t xml:space="preserve">siphoning list </w:t>
      </w:r>
      <w:r w:rsidR="002A4BC0">
        <w:rPr>
          <w:color w:val="000000" w:themeColor="text1"/>
          <w:sz w:val="24"/>
        </w:rPr>
        <w:t>(in accordance with</w:t>
      </w:r>
      <w:r w:rsidR="00E546B4">
        <w:rPr>
          <w:color w:val="000000" w:themeColor="text1"/>
          <w:sz w:val="24"/>
        </w:rPr>
        <w:t xml:space="preserve"> sub</w:t>
      </w:r>
      <w:r w:rsidR="002A4BC0">
        <w:rPr>
          <w:color w:val="000000" w:themeColor="text1"/>
          <w:sz w:val="24"/>
        </w:rPr>
        <w:t xml:space="preserve">section 115(1) of the Act). This </w:t>
      </w:r>
      <w:r w:rsidR="002A4BC0" w:rsidRPr="00EB6FBD">
        <w:rPr>
          <w:color w:val="000000" w:themeColor="text1"/>
          <w:sz w:val="24"/>
        </w:rPr>
        <w:t xml:space="preserve">triggers a licence condition for subscription television </w:t>
      </w:r>
      <w:r w:rsidR="00E546B4">
        <w:rPr>
          <w:color w:val="000000" w:themeColor="text1"/>
          <w:sz w:val="24"/>
        </w:rPr>
        <w:t xml:space="preserve">broadcasting </w:t>
      </w:r>
      <w:r w:rsidR="002A4BC0" w:rsidRPr="00EB6FBD">
        <w:rPr>
          <w:color w:val="000000" w:themeColor="text1"/>
          <w:sz w:val="24"/>
          <w:szCs w:val="24"/>
        </w:rPr>
        <w:t>licensees</w:t>
      </w:r>
      <w:r w:rsidR="002A4BC0">
        <w:rPr>
          <w:color w:val="000000" w:themeColor="text1"/>
          <w:sz w:val="24"/>
          <w:szCs w:val="24"/>
        </w:rPr>
        <w:t xml:space="preserve"> which prohibits them </w:t>
      </w:r>
      <w:r w:rsidR="002A4BC0" w:rsidRPr="00EB6FBD">
        <w:rPr>
          <w:color w:val="000000" w:themeColor="text1"/>
          <w:sz w:val="24"/>
        </w:rPr>
        <w:t xml:space="preserve">from acquiring </w:t>
      </w:r>
      <w:r w:rsidR="002A4BC0" w:rsidRPr="00EB6FBD">
        <w:rPr>
          <w:color w:val="000000" w:themeColor="text1"/>
          <w:sz w:val="24"/>
          <w:szCs w:val="24"/>
        </w:rPr>
        <w:t>a right</w:t>
      </w:r>
      <w:r w:rsidR="002A4BC0" w:rsidRPr="00EB6FBD">
        <w:rPr>
          <w:color w:val="000000" w:themeColor="text1"/>
          <w:sz w:val="24"/>
        </w:rPr>
        <w:t xml:space="preserve"> to televise the event ahead of </w:t>
      </w:r>
      <w:r w:rsidR="002A4BC0" w:rsidRPr="00EB6FBD">
        <w:rPr>
          <w:color w:val="000000" w:themeColor="text1"/>
          <w:sz w:val="24"/>
          <w:szCs w:val="24"/>
        </w:rPr>
        <w:t xml:space="preserve">a </w:t>
      </w:r>
      <w:r w:rsidR="002A4BC0" w:rsidRPr="00EB6FBD">
        <w:rPr>
          <w:color w:val="000000" w:themeColor="text1"/>
          <w:sz w:val="24"/>
        </w:rPr>
        <w:t xml:space="preserve">commercial television </w:t>
      </w:r>
      <w:r w:rsidR="002A4BC0" w:rsidRPr="00EB6FBD">
        <w:rPr>
          <w:color w:val="000000" w:themeColor="text1"/>
          <w:sz w:val="24"/>
          <w:szCs w:val="24"/>
        </w:rPr>
        <w:t>broadcast</w:t>
      </w:r>
      <w:r w:rsidR="00E546B4">
        <w:rPr>
          <w:color w:val="000000" w:themeColor="text1"/>
          <w:sz w:val="24"/>
          <w:szCs w:val="24"/>
        </w:rPr>
        <w:t>ing licensee</w:t>
      </w:r>
      <w:r w:rsidR="002A4BC0" w:rsidRPr="00EB6FBD">
        <w:rPr>
          <w:color w:val="000000" w:themeColor="text1"/>
          <w:sz w:val="24"/>
          <w:szCs w:val="24"/>
        </w:rPr>
        <w:t xml:space="preserve"> or a</w:t>
      </w:r>
      <w:r w:rsidR="002A4BC0" w:rsidRPr="00EB6FBD">
        <w:rPr>
          <w:color w:val="000000" w:themeColor="text1"/>
          <w:sz w:val="24"/>
        </w:rPr>
        <w:t xml:space="preserve"> national </w:t>
      </w:r>
      <w:r w:rsidR="002A4BC0" w:rsidRPr="00EB6FBD">
        <w:rPr>
          <w:color w:val="000000" w:themeColor="text1"/>
          <w:sz w:val="24"/>
          <w:szCs w:val="24"/>
        </w:rPr>
        <w:t>broadcaster</w:t>
      </w:r>
      <w:r w:rsidR="002A4BC0" w:rsidRPr="00EB6FBD">
        <w:rPr>
          <w:color w:val="000000" w:themeColor="text1"/>
          <w:sz w:val="24"/>
        </w:rPr>
        <w:t xml:space="preserve"> (see section 99 of the Act and paragraph 10(1)(e) of Schedule 2 to the Act).</w:t>
      </w:r>
    </w:p>
    <w:p w14:paraId="41202222" w14:textId="77777777" w:rsidR="00AD7937" w:rsidRPr="00971290" w:rsidRDefault="00AD7937" w:rsidP="00C80B31">
      <w:pPr>
        <w:rPr>
          <w:color w:val="000000"/>
          <w:szCs w:val="24"/>
        </w:rPr>
      </w:pPr>
    </w:p>
    <w:p w14:paraId="08CA44B4" w14:textId="6E561A44" w:rsidR="00AD7937" w:rsidRPr="00366D29" w:rsidRDefault="00AD7937" w:rsidP="00AD7937">
      <w:pPr>
        <w:rPr>
          <w:color w:val="000000" w:themeColor="text1"/>
          <w:sz w:val="24"/>
          <w:szCs w:val="24"/>
        </w:rPr>
      </w:pPr>
      <w:r w:rsidRPr="00366D29">
        <w:rPr>
          <w:color w:val="000000"/>
          <w:sz w:val="24"/>
          <w:szCs w:val="24"/>
        </w:rPr>
        <w:t>Events are taken to be removed from the anti-siphoning list 4,368 hours (approximately 6 months) before their start unless the Minister intervenes to retain an event on the list (</w:t>
      </w:r>
      <w:r w:rsidRPr="00366D29">
        <w:rPr>
          <w:color w:val="000000"/>
          <w:sz w:val="24"/>
          <w:szCs w:val="24"/>
          <w:shd w:val="clear" w:color="auto" w:fill="FFFFFF"/>
        </w:rPr>
        <w:t xml:space="preserve">see </w:t>
      </w:r>
      <w:r w:rsidR="00E546B4">
        <w:rPr>
          <w:color w:val="000000"/>
          <w:sz w:val="24"/>
          <w:szCs w:val="24"/>
          <w:shd w:val="clear" w:color="auto" w:fill="FFFFFF"/>
        </w:rPr>
        <w:t>sub</w:t>
      </w:r>
      <w:r w:rsidR="00134B6E">
        <w:rPr>
          <w:color w:val="000000"/>
          <w:sz w:val="24"/>
          <w:szCs w:val="24"/>
          <w:shd w:val="clear" w:color="auto" w:fill="FFFFFF"/>
        </w:rPr>
        <w:t xml:space="preserve">section </w:t>
      </w:r>
      <w:r w:rsidRPr="00366D29">
        <w:rPr>
          <w:color w:val="000000"/>
          <w:sz w:val="24"/>
          <w:szCs w:val="24"/>
          <w:shd w:val="clear" w:color="auto" w:fill="FFFFFF"/>
        </w:rPr>
        <w:t>115(1AA)) of the Act)</w:t>
      </w:r>
      <w:r w:rsidRPr="00366D29">
        <w:rPr>
          <w:color w:val="000000"/>
          <w:sz w:val="24"/>
          <w:szCs w:val="24"/>
        </w:rPr>
        <w:t>.</w:t>
      </w:r>
    </w:p>
    <w:p w14:paraId="52BA5268" w14:textId="77777777" w:rsidR="002A4BC0" w:rsidRDefault="002A4BC0" w:rsidP="00AD7937">
      <w:pPr>
        <w:rPr>
          <w:color w:val="000000" w:themeColor="text1"/>
          <w:sz w:val="24"/>
          <w:szCs w:val="24"/>
        </w:rPr>
      </w:pPr>
    </w:p>
    <w:p w14:paraId="50F82F48" w14:textId="77777777" w:rsidR="00AF5B7C" w:rsidRPr="0091099F" w:rsidRDefault="00AF5B7C" w:rsidP="00AF5B7C">
      <w:pPr>
        <w:rPr>
          <w:color w:val="000000" w:themeColor="text1"/>
          <w:sz w:val="24"/>
          <w:szCs w:val="24"/>
        </w:rPr>
      </w:pPr>
      <w:r w:rsidRPr="000A1001">
        <w:rPr>
          <w:color w:val="000000" w:themeColor="text1"/>
          <w:sz w:val="24"/>
          <w:szCs w:val="24"/>
        </w:rPr>
        <w:t xml:space="preserve">The anti-siphoning </w:t>
      </w:r>
      <w:r>
        <w:rPr>
          <w:color w:val="000000" w:themeColor="text1"/>
          <w:sz w:val="24"/>
          <w:szCs w:val="24"/>
        </w:rPr>
        <w:t>list</w:t>
      </w:r>
      <w:r w:rsidRPr="000A1001">
        <w:rPr>
          <w:color w:val="000000" w:themeColor="text1"/>
          <w:sz w:val="24"/>
          <w:szCs w:val="24"/>
        </w:rPr>
        <w:t xml:space="preserve"> has been amended a number of times since it was first made </w:t>
      </w:r>
      <w:r>
        <w:rPr>
          <w:color w:val="000000" w:themeColor="text1"/>
          <w:sz w:val="24"/>
          <w:szCs w:val="24"/>
        </w:rPr>
        <w:t>o</w:t>
      </w:r>
      <w:r w:rsidRPr="000A1001">
        <w:rPr>
          <w:color w:val="000000" w:themeColor="text1"/>
          <w:sz w:val="24"/>
          <w:szCs w:val="24"/>
        </w:rPr>
        <w:t xml:space="preserve">n </w:t>
      </w:r>
      <w:r>
        <w:rPr>
          <w:color w:val="000000" w:themeColor="text1"/>
          <w:sz w:val="24"/>
          <w:szCs w:val="24"/>
        </w:rPr>
        <w:t>6 July </w:t>
      </w:r>
      <w:r w:rsidRPr="000A1001">
        <w:rPr>
          <w:color w:val="000000" w:themeColor="text1"/>
          <w:sz w:val="24"/>
          <w:szCs w:val="24"/>
        </w:rPr>
        <w:t xml:space="preserve">1994, with events added and removed. To date, all events </w:t>
      </w:r>
      <w:r>
        <w:rPr>
          <w:color w:val="000000" w:themeColor="text1"/>
          <w:sz w:val="24"/>
          <w:szCs w:val="24"/>
        </w:rPr>
        <w:t>included on the anti</w:t>
      </w:r>
      <w:r>
        <w:rPr>
          <w:color w:val="000000" w:themeColor="text1"/>
          <w:sz w:val="24"/>
          <w:szCs w:val="24"/>
        </w:rPr>
        <w:noBreakHyphen/>
        <w:t xml:space="preserve">siphoning list </w:t>
      </w:r>
      <w:r w:rsidRPr="000A1001">
        <w:rPr>
          <w:color w:val="000000" w:themeColor="text1"/>
          <w:sz w:val="24"/>
          <w:szCs w:val="24"/>
        </w:rPr>
        <w:t>have been sporting events</w:t>
      </w:r>
      <w:r>
        <w:rPr>
          <w:color w:val="000000" w:themeColor="text1"/>
          <w:sz w:val="24"/>
          <w:szCs w:val="24"/>
        </w:rPr>
        <w:t>.</w:t>
      </w:r>
    </w:p>
    <w:p w14:paraId="5C3AAC47" w14:textId="77777777" w:rsidR="00AF5B7C" w:rsidRDefault="00AF5B7C" w:rsidP="00366D29">
      <w:pPr>
        <w:rPr>
          <w:color w:val="000000" w:themeColor="text1"/>
          <w:sz w:val="24"/>
          <w:szCs w:val="24"/>
        </w:rPr>
      </w:pPr>
    </w:p>
    <w:p w14:paraId="51F018CD" w14:textId="77777777" w:rsidR="00366D29" w:rsidRDefault="00366D29" w:rsidP="00366D29">
      <w:pPr>
        <w:rPr>
          <w:color w:val="000000" w:themeColor="text1"/>
          <w:sz w:val="24"/>
          <w:szCs w:val="24"/>
        </w:rPr>
      </w:pPr>
      <w:r w:rsidRPr="00920F35">
        <w:rPr>
          <w:color w:val="000000" w:themeColor="text1"/>
          <w:sz w:val="24"/>
          <w:szCs w:val="24"/>
        </w:rPr>
        <w:t>T</w:t>
      </w:r>
      <w:r>
        <w:rPr>
          <w:color w:val="000000" w:themeColor="text1"/>
          <w:sz w:val="24"/>
          <w:szCs w:val="24"/>
        </w:rPr>
        <w:t xml:space="preserve">he inclusion of an event on the anti-siphoning list </w:t>
      </w:r>
      <w:r w:rsidRPr="00920F35">
        <w:rPr>
          <w:color w:val="000000" w:themeColor="text1"/>
          <w:sz w:val="24"/>
          <w:szCs w:val="24"/>
        </w:rPr>
        <w:t xml:space="preserve">does </w:t>
      </w:r>
      <w:r w:rsidRPr="0091099F">
        <w:rPr>
          <w:color w:val="000000" w:themeColor="text1"/>
          <w:sz w:val="24"/>
          <w:szCs w:val="24"/>
        </w:rPr>
        <w:t>not</w:t>
      </w:r>
      <w:r w:rsidRPr="00E951B6">
        <w:rPr>
          <w:color w:val="000000" w:themeColor="text1"/>
          <w:sz w:val="24"/>
          <w:szCs w:val="24"/>
        </w:rPr>
        <w:t xml:space="preserve"> guarantee that</w:t>
      </w:r>
      <w:r>
        <w:rPr>
          <w:color w:val="000000" w:themeColor="text1"/>
          <w:sz w:val="24"/>
          <w:szCs w:val="24"/>
        </w:rPr>
        <w:t xml:space="preserve"> it</w:t>
      </w:r>
      <w:r w:rsidRPr="00E951B6">
        <w:rPr>
          <w:color w:val="000000" w:themeColor="text1"/>
          <w:sz w:val="24"/>
          <w:szCs w:val="24"/>
        </w:rPr>
        <w:t xml:space="preserve"> will </w:t>
      </w:r>
      <w:r>
        <w:rPr>
          <w:color w:val="000000" w:themeColor="text1"/>
          <w:sz w:val="24"/>
          <w:szCs w:val="24"/>
        </w:rPr>
        <w:t xml:space="preserve">be </w:t>
      </w:r>
      <w:r w:rsidRPr="00E951B6">
        <w:rPr>
          <w:color w:val="000000" w:themeColor="text1"/>
          <w:sz w:val="24"/>
          <w:szCs w:val="24"/>
        </w:rPr>
        <w:t xml:space="preserve">broadcast on free-to-air television. </w:t>
      </w:r>
      <w:r w:rsidRPr="004131AE">
        <w:rPr>
          <w:color w:val="000000" w:themeColor="text1"/>
          <w:sz w:val="24"/>
        </w:rPr>
        <w:t xml:space="preserve">Rather, the list (and </w:t>
      </w:r>
      <w:r w:rsidR="00296996">
        <w:rPr>
          <w:color w:val="000000" w:themeColor="text1"/>
          <w:sz w:val="24"/>
        </w:rPr>
        <w:t xml:space="preserve">anti-siphoning </w:t>
      </w:r>
      <w:r w:rsidRPr="004131AE">
        <w:rPr>
          <w:color w:val="000000" w:themeColor="text1"/>
          <w:sz w:val="24"/>
        </w:rPr>
        <w:t>scheme) aim to encourage free-to-air coverage of events on the list by giving free-to-air broadcasters an opportunity to acquire the right to televise those events ahead of subscription television broadcasting licensees.</w:t>
      </w:r>
    </w:p>
    <w:bookmarkEnd w:id="9"/>
    <w:p w14:paraId="02F457BA" w14:textId="77777777" w:rsidR="00E32D78" w:rsidRPr="000D1B36" w:rsidRDefault="00E32D78" w:rsidP="00E32D78">
      <w:pPr>
        <w:pStyle w:val="NormalWeb"/>
        <w:rPr>
          <w:b/>
        </w:rPr>
      </w:pPr>
      <w:r w:rsidRPr="000D1B36">
        <w:rPr>
          <w:b/>
        </w:rPr>
        <w:t>Statement of compatibility with human rights</w:t>
      </w:r>
    </w:p>
    <w:p w14:paraId="72D63995" w14:textId="77777777" w:rsidR="00E32D78" w:rsidRDefault="00E32D78" w:rsidP="00E32D78">
      <w:pPr>
        <w:pStyle w:val="NormalWeb"/>
      </w:pPr>
      <w:r>
        <w:t xml:space="preserve">Subsection 9(1) of the </w:t>
      </w:r>
      <w:r w:rsidRPr="00E32D78">
        <w:rPr>
          <w:i/>
        </w:rPr>
        <w:t>Human Rights (Parliamentary Scrutiny) Act 2011</w:t>
      </w:r>
      <w:r>
        <w:t xml:space="preserve"> requires the rule</w:t>
      </w:r>
      <w:r w:rsidR="005D7500">
        <w:noBreakHyphen/>
      </w:r>
      <w:r>
        <w:t xml:space="preserve">maker in relation to a legislative instrument to which section 42 (disallowance) of the </w:t>
      </w:r>
      <w:r w:rsidR="001B2BAF">
        <w:rPr>
          <w:i/>
        </w:rPr>
        <w:t>Legislation Act 2003</w:t>
      </w:r>
      <w:r w:rsidR="003008BF">
        <w:rPr>
          <w:i/>
        </w:rPr>
        <w:t xml:space="preserve"> </w:t>
      </w:r>
      <w:r>
        <w:t xml:space="preserve">applies to cause a statement of compatibility with human rights to be prepared in respect of that legislative instrument. </w:t>
      </w:r>
    </w:p>
    <w:p w14:paraId="1F6C001F" w14:textId="77777777" w:rsidR="00E32D78" w:rsidRDefault="00E32D78" w:rsidP="00E32D78">
      <w:pPr>
        <w:pStyle w:val="NormalWeb"/>
      </w:pPr>
      <w:r>
        <w:t>The statement of compatibility set out below has been prepared to meet that requirement.</w:t>
      </w:r>
    </w:p>
    <w:p w14:paraId="0D4D5A8A" w14:textId="77777777" w:rsidR="00AF532C" w:rsidRDefault="00AF532C" w:rsidP="00E32D78">
      <w:pPr>
        <w:pStyle w:val="NormalWeb"/>
      </w:pPr>
      <w:r w:rsidRPr="00AF532C">
        <w:t>Australia is a signatory to the International Covenant on Civil and Political Rights (the ICCPR) and the International Covenant on Economic, Social and Cultural Rights (ICESCR) (two of the international instruments listed in section 3 of the </w:t>
      </w:r>
      <w:r w:rsidRPr="00A8112F">
        <w:rPr>
          <w:i/>
        </w:rPr>
        <w:t>Human Rights (Parliamentary Scrutiny) Act 2011</w:t>
      </w:r>
      <w:r w:rsidRPr="00AF532C">
        <w:t xml:space="preserve">). </w:t>
      </w:r>
    </w:p>
    <w:p w14:paraId="6B97193A" w14:textId="77777777" w:rsidR="00E32D78" w:rsidRPr="00C06E8A" w:rsidRDefault="00AF532C" w:rsidP="00E32D78">
      <w:pPr>
        <w:pStyle w:val="NormalWeb"/>
      </w:pPr>
      <w:r w:rsidRPr="00AF532C">
        <w:t xml:space="preserve">Article </w:t>
      </w:r>
      <w:r>
        <w:t>15</w:t>
      </w:r>
      <w:r w:rsidRPr="00AF532C">
        <w:t xml:space="preserve">(1) </w:t>
      </w:r>
      <w:r w:rsidR="00C06E8A" w:rsidRPr="00AF532C">
        <w:t xml:space="preserve">of the ICESCR </w:t>
      </w:r>
      <w:r w:rsidR="00C06E8A">
        <w:t>recognises</w:t>
      </w:r>
      <w:r w:rsidRPr="00AF532C">
        <w:t xml:space="preserve"> the right of everyone to take part in cultural life. Cultural life includes sports.</w:t>
      </w:r>
      <w:r w:rsidR="00C06E8A">
        <w:t xml:space="preserve"> </w:t>
      </w:r>
      <w:r w:rsidR="00E32D78" w:rsidRPr="00E32D78">
        <w:rPr>
          <w:color w:val="000000"/>
        </w:rPr>
        <w:t>Articles 19(2) and 27 of the ICCPR also respectively:</w:t>
      </w:r>
    </w:p>
    <w:p w14:paraId="1EAFAFA6" w14:textId="77777777" w:rsidR="00E32D78" w:rsidRPr="00E32D78" w:rsidRDefault="00E32D78" w:rsidP="00E32D78">
      <w:pPr>
        <w:pStyle w:val="NormalWeb"/>
        <w:numPr>
          <w:ilvl w:val="1"/>
          <w:numId w:val="47"/>
        </w:numPr>
        <w:rPr>
          <w:color w:val="000000"/>
        </w:rPr>
      </w:pPr>
      <w:r w:rsidRPr="00E32D78">
        <w:rPr>
          <w:color w:val="000000"/>
        </w:rPr>
        <w:t>recognise the right to freedom of expression, including the right to receive and impart</w:t>
      </w:r>
      <w:r>
        <w:rPr>
          <w:color w:val="000000"/>
        </w:rPr>
        <w:t xml:space="preserve"> </w:t>
      </w:r>
      <w:r w:rsidRPr="00E32D78">
        <w:rPr>
          <w:color w:val="000000"/>
        </w:rPr>
        <w:t>information and ideas of all kinds, regardless of frontiers, either orally, in writing or</w:t>
      </w:r>
      <w:r>
        <w:rPr>
          <w:color w:val="000000"/>
        </w:rPr>
        <w:t xml:space="preserve"> </w:t>
      </w:r>
      <w:r w:rsidRPr="00E32D78">
        <w:rPr>
          <w:color w:val="000000"/>
        </w:rPr>
        <w:t>in print, in the form of art, or through any other media of a person’s choice; and</w:t>
      </w:r>
    </w:p>
    <w:p w14:paraId="54F2243B" w14:textId="77777777" w:rsidR="00E32D78" w:rsidRPr="00E32D78" w:rsidRDefault="00E32D78" w:rsidP="00E32D78">
      <w:pPr>
        <w:pStyle w:val="NormalWeb"/>
        <w:numPr>
          <w:ilvl w:val="1"/>
          <w:numId w:val="47"/>
        </w:numPr>
        <w:rPr>
          <w:color w:val="000000"/>
        </w:rPr>
      </w:pPr>
      <w:r w:rsidRPr="00E32D78">
        <w:rPr>
          <w:color w:val="000000"/>
        </w:rPr>
        <w:t>provide that ethnic, religious or linguistic minorities shall not be denied the right to enjoy their own culture.</w:t>
      </w:r>
    </w:p>
    <w:p w14:paraId="6864DCB9" w14:textId="77777777" w:rsidR="00E32D78" w:rsidRDefault="00E32D78" w:rsidP="00E32D78">
      <w:pPr>
        <w:pStyle w:val="NormalWeb"/>
        <w:rPr>
          <w:color w:val="000000"/>
        </w:rPr>
      </w:pPr>
      <w:r w:rsidRPr="00E32D78">
        <w:rPr>
          <w:color w:val="000000"/>
        </w:rPr>
        <w:t>The UN Committee on Economic, Social and Cultural Rights has given a very broad</w:t>
      </w:r>
      <w:r>
        <w:rPr>
          <w:color w:val="000000"/>
        </w:rPr>
        <w:t xml:space="preserve"> </w:t>
      </w:r>
      <w:r w:rsidRPr="00E32D78">
        <w:rPr>
          <w:color w:val="000000"/>
        </w:rPr>
        <w:t>interpretation to the term ‘culture’. This could potentially include the ability to access or</w:t>
      </w:r>
      <w:r>
        <w:rPr>
          <w:color w:val="000000"/>
        </w:rPr>
        <w:t xml:space="preserve"> </w:t>
      </w:r>
      <w:r w:rsidRPr="00E32D78">
        <w:rPr>
          <w:color w:val="000000"/>
        </w:rPr>
        <w:t>participate in sporting events through viewing these events live or on television. The current</w:t>
      </w:r>
      <w:r>
        <w:rPr>
          <w:color w:val="000000"/>
        </w:rPr>
        <w:t xml:space="preserve"> </w:t>
      </w:r>
      <w:r w:rsidRPr="00E32D78">
        <w:rPr>
          <w:color w:val="000000"/>
        </w:rPr>
        <w:t>anti-siphoning notice consists entirely of sporting events. There are no limitations on events which could be added to the</w:t>
      </w:r>
      <w:r w:rsidR="00B17134">
        <w:rPr>
          <w:color w:val="000000"/>
        </w:rPr>
        <w:t xml:space="preserve"> anti-siphoning</w:t>
      </w:r>
      <w:r w:rsidRPr="00E32D78">
        <w:rPr>
          <w:color w:val="000000"/>
        </w:rPr>
        <w:t xml:space="preserve"> list, other than that the Minister must be</w:t>
      </w:r>
      <w:r>
        <w:rPr>
          <w:color w:val="000000"/>
        </w:rPr>
        <w:t xml:space="preserve"> </w:t>
      </w:r>
      <w:r w:rsidRPr="00E32D78">
        <w:rPr>
          <w:color w:val="000000"/>
        </w:rPr>
        <w:t xml:space="preserve">of the opinion that those events should be available free to the public. </w:t>
      </w:r>
      <w:r w:rsidRPr="001B65AA">
        <w:rPr>
          <w:color w:val="000000"/>
        </w:rPr>
        <w:t xml:space="preserve">Arguably, the </w:t>
      </w:r>
      <w:r w:rsidR="00E41020">
        <w:rPr>
          <w:color w:val="000000"/>
        </w:rPr>
        <w:t>inclusion</w:t>
      </w:r>
      <w:r w:rsidR="00C06E8A" w:rsidRPr="001B65AA">
        <w:rPr>
          <w:color w:val="000000"/>
        </w:rPr>
        <w:t xml:space="preserve"> of events</w:t>
      </w:r>
      <w:r w:rsidR="00E41020">
        <w:rPr>
          <w:color w:val="000000"/>
        </w:rPr>
        <w:t xml:space="preserve"> on the anti-siphoning list</w:t>
      </w:r>
      <w:r w:rsidRPr="001B65AA">
        <w:rPr>
          <w:color w:val="000000"/>
        </w:rPr>
        <w:t xml:space="preserve"> promotes both the right to receive information and to take part in culture.</w:t>
      </w:r>
    </w:p>
    <w:p w14:paraId="007497A0" w14:textId="77777777" w:rsidR="00285AA4" w:rsidRPr="00CB39C0" w:rsidRDefault="000F16C6" w:rsidP="00CB39C0">
      <w:pPr>
        <w:spacing w:before="120" w:after="120"/>
        <w:rPr>
          <w:color w:val="000000" w:themeColor="text1"/>
          <w:sz w:val="24"/>
          <w:szCs w:val="24"/>
        </w:rPr>
      </w:pPr>
      <w:r w:rsidRPr="00D24F72">
        <w:rPr>
          <w:b/>
          <w:color w:val="000000" w:themeColor="text1"/>
          <w:sz w:val="24"/>
          <w:szCs w:val="24"/>
        </w:rPr>
        <w:t>Human rights implications</w:t>
      </w:r>
    </w:p>
    <w:p w14:paraId="13E9969E" w14:textId="77777777" w:rsidR="00285AA4" w:rsidRPr="00285AA4" w:rsidRDefault="00285AA4" w:rsidP="00285AA4">
      <w:pPr>
        <w:shd w:val="clear" w:color="auto" w:fill="FFFFFF"/>
        <w:rPr>
          <w:color w:val="000000"/>
        </w:rPr>
      </w:pPr>
      <w:r w:rsidRPr="00285AA4">
        <w:rPr>
          <w:color w:val="000000"/>
          <w:sz w:val="24"/>
          <w:szCs w:val="24"/>
        </w:rPr>
        <w:t>The Notice is compatible with the human rights and freedoms recognised or declared in the international instruments listed in section 3 of the </w:t>
      </w:r>
      <w:r w:rsidRPr="00285AA4">
        <w:rPr>
          <w:i/>
          <w:iCs/>
          <w:color w:val="000000"/>
          <w:sz w:val="24"/>
          <w:szCs w:val="24"/>
        </w:rPr>
        <w:t>Human Rights (Parliamentary Scrutiny) Act 2011</w:t>
      </w:r>
      <w:r w:rsidRPr="00285AA4">
        <w:rPr>
          <w:color w:val="000000"/>
          <w:sz w:val="24"/>
          <w:szCs w:val="24"/>
        </w:rPr>
        <w:t xml:space="preserve">. This is because the Notice promotes freedom of expression and cultural rights by facilitating greater access by all Australians to </w:t>
      </w:r>
      <w:r w:rsidR="00355FD1">
        <w:rPr>
          <w:color w:val="000000"/>
          <w:sz w:val="24"/>
          <w:szCs w:val="24"/>
        </w:rPr>
        <w:t xml:space="preserve">free </w:t>
      </w:r>
      <w:r w:rsidRPr="00285AA4">
        <w:rPr>
          <w:color w:val="000000"/>
          <w:sz w:val="24"/>
          <w:szCs w:val="24"/>
        </w:rPr>
        <w:t xml:space="preserve">coverage of </w:t>
      </w:r>
      <w:r w:rsidR="00FE3899">
        <w:rPr>
          <w:color w:val="000000"/>
          <w:sz w:val="24"/>
          <w:szCs w:val="24"/>
        </w:rPr>
        <w:t>sporting events</w:t>
      </w:r>
      <w:r w:rsidRPr="00285AA4">
        <w:rPr>
          <w:color w:val="000000"/>
          <w:sz w:val="24"/>
          <w:szCs w:val="24"/>
          <w:lang w:val="en-GB"/>
        </w:rPr>
        <w:t>.</w:t>
      </w:r>
    </w:p>
    <w:p w14:paraId="0343D570" w14:textId="77777777" w:rsidR="000F16C6" w:rsidRPr="00FE3899" w:rsidRDefault="00285AA4" w:rsidP="00FE3899">
      <w:pPr>
        <w:shd w:val="clear" w:color="auto" w:fill="FFFFFF"/>
        <w:rPr>
          <w:color w:val="000000"/>
        </w:rPr>
      </w:pPr>
      <w:r w:rsidRPr="00285AA4">
        <w:rPr>
          <w:color w:val="000000"/>
          <w:sz w:val="24"/>
          <w:szCs w:val="24"/>
        </w:rPr>
        <w:t> </w:t>
      </w:r>
    </w:p>
    <w:p w14:paraId="5C5FE4D8" w14:textId="77777777" w:rsidR="000F16C6" w:rsidRPr="00D24F72" w:rsidRDefault="000F16C6" w:rsidP="000F16C6">
      <w:pPr>
        <w:spacing w:before="120" w:after="120"/>
        <w:rPr>
          <w:color w:val="000000" w:themeColor="text1"/>
          <w:sz w:val="24"/>
          <w:szCs w:val="24"/>
        </w:rPr>
      </w:pPr>
      <w:r w:rsidRPr="00D24F72">
        <w:rPr>
          <w:b/>
          <w:color w:val="000000" w:themeColor="text1"/>
          <w:sz w:val="24"/>
          <w:szCs w:val="24"/>
        </w:rPr>
        <w:t>Conclusion</w:t>
      </w:r>
    </w:p>
    <w:p w14:paraId="65DB08AD" w14:textId="12715A90" w:rsidR="00442103" w:rsidRPr="00D24F72" w:rsidRDefault="000F16C6" w:rsidP="00404192">
      <w:pPr>
        <w:rPr>
          <w:color w:val="000000" w:themeColor="text1"/>
          <w:sz w:val="24"/>
          <w:szCs w:val="24"/>
        </w:rPr>
      </w:pPr>
      <w:r w:rsidRPr="00D24F72">
        <w:rPr>
          <w:color w:val="000000" w:themeColor="text1"/>
          <w:sz w:val="24"/>
          <w:szCs w:val="24"/>
        </w:rPr>
        <w:t xml:space="preserve">This </w:t>
      </w:r>
      <w:r w:rsidR="00F05D08">
        <w:rPr>
          <w:color w:val="000000" w:themeColor="text1"/>
          <w:sz w:val="24"/>
          <w:szCs w:val="24"/>
        </w:rPr>
        <w:t>Notice</w:t>
      </w:r>
      <w:r w:rsidRPr="00D24F72">
        <w:rPr>
          <w:color w:val="000000" w:themeColor="text1"/>
          <w:sz w:val="24"/>
          <w:szCs w:val="24"/>
        </w:rPr>
        <w:t xml:space="preserve"> is compatible with human rights as it does not raise any human rights issues.</w:t>
      </w:r>
    </w:p>
    <w:p w14:paraId="1EE8B19C" w14:textId="77777777" w:rsidR="000F16C6" w:rsidRPr="00D24F72" w:rsidRDefault="000F16C6">
      <w:pPr>
        <w:spacing w:after="200" w:line="276" w:lineRule="auto"/>
        <w:rPr>
          <w:color w:val="000000" w:themeColor="text1"/>
          <w:sz w:val="24"/>
          <w:szCs w:val="24"/>
        </w:rPr>
      </w:pPr>
    </w:p>
    <w:sectPr w:rsidR="000F16C6" w:rsidRPr="00D24F72" w:rsidSect="004145A2">
      <w:headerReference w:type="default" r:id="rId17"/>
      <w:footerReference w:type="first" r:id="rId18"/>
      <w:pgSz w:w="11906" w:h="16838" w:code="9"/>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8B5ED" w14:textId="77777777" w:rsidR="00B52958" w:rsidRDefault="00B52958" w:rsidP="009A5536">
      <w:r>
        <w:separator/>
      </w:r>
    </w:p>
  </w:endnote>
  <w:endnote w:type="continuationSeparator" w:id="0">
    <w:p w14:paraId="30F846CD" w14:textId="77777777" w:rsidR="00B52958" w:rsidRDefault="00B52958" w:rsidP="009A5536">
      <w:r>
        <w:continuationSeparator/>
      </w:r>
    </w:p>
  </w:endnote>
  <w:endnote w:type="continuationNotice" w:id="1">
    <w:p w14:paraId="2BDE6C0D" w14:textId="77777777" w:rsidR="00B52958" w:rsidRDefault="00B529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031F9" w14:textId="77777777" w:rsidR="002062BE" w:rsidRDefault="00417A6C" w:rsidP="00D74681">
    <w:pPr>
      <w:pStyle w:val="Footer"/>
      <w:spacing w:before="720"/>
      <w:jc w:val="right"/>
    </w:pPr>
    <w:r>
      <w:rPr>
        <w:noProof/>
      </w:rPr>
      <mc:AlternateContent>
        <mc:Choice Requires="wps">
          <w:drawing>
            <wp:anchor distT="0" distB="0" distL="114300" distR="114300" simplePos="0" relativeHeight="251662343" behindDoc="1" locked="1" layoutInCell="1" allowOverlap="1" wp14:anchorId="75252E62" wp14:editId="2E716727">
              <wp:simplePos x="0" y="0"/>
              <wp:positionH relativeFrom="page">
                <wp:align>left</wp:align>
              </wp:positionH>
              <wp:positionV relativeFrom="page">
                <wp:align>bottom</wp:align>
              </wp:positionV>
              <wp:extent cx="1007280" cy="539280"/>
              <wp:effectExtent l="0" t="0" r="254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01F4FB5F" w14:textId="77777777" w:rsidR="00417A6C" w:rsidRPr="007A05BE" w:rsidRDefault="00417A6C" w:rsidP="00D74681">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52E62" id="_x0000_t202" coordsize="21600,21600" o:spt="202" path="m,l,21600r21600,l21600,xe">
              <v:stroke joinstyle="miter"/>
              <v:path gradientshapeok="t" o:connecttype="rect"/>
            </v:shapetype>
            <v:shape id="Text Box 1" o:spid="_x0000_s1026" type="#_x0000_t202" style="position:absolute;left:0;text-align:left;margin-left:0;margin-top:0;width:79.3pt;height:42.45pt;z-index:-251654137;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" filled="f" stroked="f" strokeweight=".5pt">
              <v:textbox inset="18mm,0,0,10mm">
                <w:txbxContent>
                  <w:p w14:paraId="01F4FB5F" w14:textId="77777777" w:rsidR="00417A6C" w:rsidRPr="007A05BE" w:rsidRDefault="00417A6C" w:rsidP="00D74681">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61319" behindDoc="1" locked="1" layoutInCell="1" allowOverlap="1" wp14:anchorId="4F8F1F41" wp14:editId="40AEE385">
              <wp:simplePos x="0" y="0"/>
              <wp:positionH relativeFrom="page">
                <wp:align>left</wp:align>
              </wp:positionH>
              <wp:positionV relativeFrom="page">
                <wp:align>bottom</wp:align>
              </wp:positionV>
              <wp:extent cx="4320000" cy="539280"/>
              <wp:effectExtent l="0" t="0" r="4445"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0000" cy="539280"/>
                      </a:xfrm>
                      <a:prstGeom prst="rect">
                        <a:avLst/>
                      </a:prstGeom>
                      <a:noFill/>
                      <a:ln w="6350">
                        <a:noFill/>
                      </a:ln>
                    </wps:spPr>
                    <wps:txbx>
                      <w:txbxContent>
                        <w:sdt>
                          <w:sdtPr>
                            <w:alias w:val="Title"/>
                            <w:tag w:val=""/>
                            <w:id w:val="1728796528"/>
                            <w:showingPlcHdr/>
                            <w:dataBinding w:prefixMappings="xmlns:ns0='http://purl.org/dc/elements/1.1/' xmlns:ns1='http://schemas.openxmlformats.org/package/2006/metadata/core-properties' " w:xpath="/ns1:coreProperties[1]/ns0:title[1]" w:storeItemID="{6C3C8BC8-F283-45AE-878A-BAB7291924A1}"/>
                            <w:text/>
                          </w:sdtPr>
                          <w:sdtEndPr/>
                          <w:sdtContent>
                            <w:p w14:paraId="0862DD84" w14:textId="77777777" w:rsidR="00417A6C" w:rsidRDefault="00417A6C" w:rsidP="00D74681">
                              <w:pPr>
                                <w:pStyle w:val="Footer"/>
                              </w:pPr>
                              <w:r>
                                <w:t xml:space="preserve">     </w:t>
                              </w:r>
                            </w:p>
                          </w:sdtContent>
                        </w:sdt>
                      </w:txbxContent>
                    </wps:txbx>
                    <wps:bodyPr rot="0" spcFirstLastPara="0" vertOverflow="overflow" horzOverflow="overflow" vert="horz" wrap="square" lIns="100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F1F41" id="Text Box 3" o:spid="_x0000_s1027" type="#_x0000_t202" style="position:absolute;left:0;text-align:left;margin-left:0;margin-top:0;width:340.15pt;height:42.45pt;z-index:-25165516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" filled="f" stroked="f" strokeweight=".5pt">
              <v:textbox inset="28mm,0,0,10mm">
                <w:txbxContent>
                  <w:sdt>
                    <w:sdtPr>
                      <w:alias w:val="Title"/>
                      <w:tag w:val=""/>
                      <w:id w:val="1728796528"/>
                      <w:showingPlcHdr/>
                      <w:dataBinding w:prefixMappings="xmlns:ns0='http://purl.org/dc/elements/1.1/' xmlns:ns1='http://schemas.openxmlformats.org/package/2006/metadata/core-properties' " w:xpath="/ns1:coreProperties[1]/ns0:title[1]" w:storeItemID="{6C3C8BC8-F283-45AE-878A-BAB7291924A1}"/>
                      <w:text/>
                    </w:sdtPr>
                    <w:sdtEndPr/>
                    <w:sdtContent>
                      <w:p w14:paraId="0862DD84" w14:textId="77777777" w:rsidR="00417A6C" w:rsidRDefault="00417A6C" w:rsidP="00D74681">
                        <w:pPr>
                          <w:pStyle w:val="Footer"/>
                        </w:pPr>
                        <w:r>
                          <w:t xml:space="preserve">     </w:t>
                        </w:r>
                      </w:p>
                    </w:sdtContent>
                  </w:sdt>
                </w:txbxContent>
              </v:textbox>
              <w10:wrap anchorx="page" anchory="page"/>
              <w10:anchorlock/>
            </v:shape>
          </w:pict>
        </mc:Fallback>
      </mc:AlternateContent>
    </w:r>
    <w:r>
      <w:rPr>
        <w:noProof/>
      </w:rPr>
      <w:drawing>
        <wp:anchor distT="0" distB="0" distL="114300" distR="114300" simplePos="0" relativeHeight="251660295" behindDoc="1" locked="1" layoutInCell="1" allowOverlap="1" wp14:anchorId="105B362B" wp14:editId="1639C2BA">
          <wp:simplePos x="0" y="0"/>
          <wp:positionH relativeFrom="page">
            <wp:align>right</wp:align>
          </wp:positionH>
          <wp:positionV relativeFrom="page">
            <wp:align>bottom</wp:align>
          </wp:positionV>
          <wp:extent cx="10692000" cy="183240"/>
          <wp:effectExtent l="0" t="0" r="0" b="762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2427756"/>
      <w:docPartObj>
        <w:docPartGallery w:val="Page Numbers (Bottom of Page)"/>
        <w:docPartUnique/>
      </w:docPartObj>
    </w:sdtPr>
    <w:sdtEndPr>
      <w:rPr>
        <w:noProof/>
      </w:rPr>
    </w:sdtEndPr>
    <w:sdtContent>
      <w:p w14:paraId="3DBB0438" w14:textId="77777777" w:rsidR="002062BE" w:rsidRDefault="002062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9DB76D" w14:textId="77777777" w:rsidR="002062BE" w:rsidRDefault="002062BE" w:rsidP="00D74681">
    <w:pPr>
      <w:pStyle w:val="Footer"/>
      <w:spacing w:befor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8747340"/>
      <w:docPartObj>
        <w:docPartGallery w:val="Page Numbers (Bottom of Page)"/>
        <w:docPartUnique/>
      </w:docPartObj>
    </w:sdtPr>
    <w:sdtEndPr>
      <w:rPr>
        <w:noProof/>
      </w:rPr>
    </w:sdtEndPr>
    <w:sdtContent>
      <w:p w14:paraId="5B841B1F" w14:textId="77777777" w:rsidR="002062BE" w:rsidRDefault="002062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115CB5" w14:textId="77777777" w:rsidR="002062BE" w:rsidRDefault="002062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542825"/>
      <w:docPartObj>
        <w:docPartGallery w:val="Page Numbers (Bottom of Page)"/>
        <w:docPartUnique/>
      </w:docPartObj>
    </w:sdtPr>
    <w:sdtEndPr>
      <w:rPr>
        <w:noProof/>
      </w:rPr>
    </w:sdtEndPr>
    <w:sdtContent>
      <w:p w14:paraId="6E5DA737" w14:textId="77777777" w:rsidR="002062BE" w:rsidRDefault="002062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E4E3F1" w14:textId="77777777" w:rsidR="002062BE" w:rsidRDefault="00206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94ADF" w14:textId="77777777" w:rsidR="00B52958" w:rsidRDefault="00B52958" w:rsidP="009A5536">
      <w:r>
        <w:separator/>
      </w:r>
    </w:p>
  </w:footnote>
  <w:footnote w:type="continuationSeparator" w:id="0">
    <w:p w14:paraId="688A414C" w14:textId="77777777" w:rsidR="00B52958" w:rsidRDefault="00B52958" w:rsidP="009A5536">
      <w:r>
        <w:continuationSeparator/>
      </w:r>
    </w:p>
  </w:footnote>
  <w:footnote w:type="continuationNotice" w:id="1">
    <w:p w14:paraId="1922E570" w14:textId="77777777" w:rsidR="00B52958" w:rsidRDefault="00B529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AA01" w14:textId="77777777" w:rsidR="002062BE" w:rsidRDefault="004131AE" w:rsidP="00D74681">
    <w:pPr>
      <w:pStyle w:val="Header"/>
      <w:spacing w:after="1320"/>
    </w:pPr>
    <w:r>
      <w:fldChar w:fldCharType="begin"/>
    </w:r>
    <w:r>
      <w:instrText xml:space="preserve"> STYLEREF  "Heading 1"  \* MERGEFORMAT </w:instrText>
    </w:r>
    <w:r>
      <w:fldChar w:fldCharType="separate"/>
    </w:r>
    <w:r w:rsidR="00A11590">
      <w:rPr>
        <w:b/>
        <w:bCs/>
        <w:noProof/>
        <w:lang w:val="en-US"/>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90F52" w14:textId="77777777" w:rsidR="002062BE" w:rsidRDefault="002062BE" w:rsidP="00D74681">
    <w:pPr>
      <w:pStyle w:val="Header"/>
      <w:spacing w:after="13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7C6CB" w14:textId="77777777" w:rsidR="002062BE" w:rsidRDefault="002062BE">
    <w:pPr>
      <w:pStyle w:val="Header"/>
    </w:pPr>
  </w:p>
  <w:p w14:paraId="74E25CF1" w14:textId="77777777" w:rsidR="002062BE" w:rsidRDefault="002062BE">
    <w:pPr>
      <w:pStyle w:val="Header"/>
    </w:pPr>
  </w:p>
  <w:p w14:paraId="2B148BDA" w14:textId="77777777" w:rsidR="002062BE" w:rsidRDefault="002062BE">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1"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484ABAF4"/>
    <w:lvl w:ilvl="0">
      <w:start w:val="1"/>
      <w:numFmt w:val="bullet"/>
      <w:lvlText w:val=""/>
      <w:lvlJc w:val="left"/>
      <w:pPr>
        <w:tabs>
          <w:tab w:val="num" w:pos="1492"/>
        </w:tabs>
        <w:ind w:left="1492" w:hanging="360"/>
      </w:pPr>
      <w:rPr>
        <w:rFonts w:ascii="Symbol" w:hAnsi="Symbol" w:hint="default"/>
        <w:color w:val="FFFFFF" w:themeColor="background1"/>
      </w:rPr>
    </w:lvl>
  </w:abstractNum>
  <w:abstractNum w:abstractNumId="3" w15:restartNumberingAfterBreak="0">
    <w:nsid w:val="FFFFFF81"/>
    <w:multiLevelType w:val="singleLevel"/>
    <w:tmpl w:val="9C7CAF1C"/>
    <w:styleLink w:val="BoxedBullets1"/>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AAA64F24"/>
    <w:styleLink w:val="AttachmentNumbers1"/>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3414C6"/>
    <w:multiLevelType w:val="hybridMultilevel"/>
    <w:tmpl w:val="695A1F48"/>
    <w:styleLink w:val="Bullets1"/>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78522A9"/>
    <w:multiLevelType w:val="hybridMultilevel"/>
    <w:tmpl w:val="5F06FF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90B1873"/>
    <w:multiLevelType w:val="hybridMultilevel"/>
    <w:tmpl w:val="05F6F980"/>
    <w:lvl w:ilvl="0" w:tplc="58A29A2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CA5582E"/>
    <w:multiLevelType w:val="hybridMultilevel"/>
    <w:tmpl w:val="2C26FBE0"/>
    <w:lvl w:ilvl="0" w:tplc="4A308FD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21AED"/>
    <w:multiLevelType w:val="multilevel"/>
    <w:tmpl w:val="C2EED61A"/>
    <w:numStyleLink w:val="NumberedHeadings"/>
  </w:abstractNum>
  <w:abstractNum w:abstractNumId="11" w15:restartNumberingAfterBreak="0">
    <w:nsid w:val="0D96750D"/>
    <w:multiLevelType w:val="hybridMultilevel"/>
    <w:tmpl w:val="6D025DD0"/>
    <w:lvl w:ilvl="0" w:tplc="4F500EFA">
      <w:start w:val="1"/>
      <w:numFmt w:val="decimal"/>
      <w:lvlText w:val="(%1)"/>
      <w:lvlJc w:val="left"/>
      <w:pPr>
        <w:ind w:left="360" w:hanging="360"/>
      </w:pPr>
      <w:rPr>
        <w:rFonts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ECB2A6E"/>
    <w:multiLevelType w:val="hybridMultilevel"/>
    <w:tmpl w:val="12105DCE"/>
    <w:lvl w:ilvl="0" w:tplc="462C56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FD46AF8"/>
    <w:multiLevelType w:val="hybridMultilevel"/>
    <w:tmpl w:val="F3F21DE4"/>
    <w:styleLink w:val="AppendixNumbers1"/>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361284F"/>
    <w:multiLevelType w:val="hybridMultilevel"/>
    <w:tmpl w:val="71184A04"/>
    <w:lvl w:ilvl="0" w:tplc="4F500EFA">
      <w:start w:val="1"/>
      <w:numFmt w:val="decimal"/>
      <w:lvlText w:val="(%1)"/>
      <w:lvlJc w:val="left"/>
      <w:pPr>
        <w:ind w:left="360" w:hanging="360"/>
      </w:pPr>
      <w:rPr>
        <w:rFonts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5A931BD"/>
    <w:multiLevelType w:val="hybridMultilevel"/>
    <w:tmpl w:val="BB6496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CE359D7"/>
    <w:multiLevelType w:val="hybridMultilevel"/>
    <w:tmpl w:val="8876A668"/>
    <w:lvl w:ilvl="0" w:tplc="965CC25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1EA14B63"/>
    <w:multiLevelType w:val="hybridMultilevel"/>
    <w:tmpl w:val="C3B6A460"/>
    <w:lvl w:ilvl="0" w:tplc="60422E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F26317C"/>
    <w:multiLevelType w:val="hybridMultilevel"/>
    <w:tmpl w:val="05F6F980"/>
    <w:lvl w:ilvl="0" w:tplc="58A29A2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5FD2150"/>
    <w:multiLevelType w:val="hybridMultilevel"/>
    <w:tmpl w:val="05F6F980"/>
    <w:lvl w:ilvl="0" w:tplc="58A29A2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622307A"/>
    <w:multiLevelType w:val="hybridMultilevel"/>
    <w:tmpl w:val="28604E1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268E5004"/>
    <w:multiLevelType w:val="hybridMultilevel"/>
    <w:tmpl w:val="FE56CCE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2" w15:restartNumberingAfterBreak="0">
    <w:nsid w:val="2A681A9C"/>
    <w:multiLevelType w:val="hybridMultilevel"/>
    <w:tmpl w:val="130C2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6658DC"/>
    <w:multiLevelType w:val="hybridMultilevel"/>
    <w:tmpl w:val="A238E3BE"/>
    <w:lvl w:ilvl="0" w:tplc="95BA70FA">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4"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F56972"/>
    <w:multiLevelType w:val="hybridMultilevel"/>
    <w:tmpl w:val="C362414C"/>
    <w:styleLink w:val="ListLegal1"/>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AA51938"/>
    <w:multiLevelType w:val="multilevel"/>
    <w:tmpl w:val="298C34E4"/>
    <w:numStyleLink w:val="AppendixNumbers"/>
  </w:abstractNum>
  <w:abstractNum w:abstractNumId="27" w15:restartNumberingAfterBreak="0">
    <w:nsid w:val="3C2F29F5"/>
    <w:multiLevelType w:val="hybridMultilevel"/>
    <w:tmpl w:val="92F40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DE00C2D"/>
    <w:multiLevelType w:val="hybridMultilevel"/>
    <w:tmpl w:val="A7CE38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F90462B"/>
    <w:multiLevelType w:val="hybridMultilevel"/>
    <w:tmpl w:val="1D4C625A"/>
    <w:lvl w:ilvl="0" w:tplc="4F500EFA">
      <w:start w:val="1"/>
      <w:numFmt w:val="decimal"/>
      <w:lvlText w:val="(%1)"/>
      <w:lvlJc w:val="left"/>
      <w:pPr>
        <w:ind w:left="360" w:hanging="360"/>
      </w:pPr>
      <w:rPr>
        <w:rFonts w:hint="default"/>
        <w:sz w:val="24"/>
        <w:szCs w:val="24"/>
      </w:rPr>
    </w:lvl>
    <w:lvl w:ilvl="1" w:tplc="8E586038">
      <w:numFmt w:val="bullet"/>
      <w:lvlText w:val=""/>
      <w:lvlJc w:val="left"/>
      <w:pPr>
        <w:ind w:left="1080" w:hanging="360"/>
      </w:pPr>
      <w:rPr>
        <w:rFonts w:ascii="Times New Roman" w:eastAsia="Times New Roman" w:hAnsi="Times New Roman"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3FA272A9"/>
    <w:multiLevelType w:val="hybridMultilevel"/>
    <w:tmpl w:val="030AF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3" w15:restartNumberingAfterBreak="0">
    <w:nsid w:val="48BC0BDC"/>
    <w:multiLevelType w:val="hybridMultilevel"/>
    <w:tmpl w:val="5038E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A301FC"/>
    <w:multiLevelType w:val="hybridMultilevel"/>
    <w:tmpl w:val="A238E3BE"/>
    <w:lvl w:ilvl="0" w:tplc="95BA70FA">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5" w15:restartNumberingAfterBreak="0">
    <w:nsid w:val="4BDB65F6"/>
    <w:multiLevelType w:val="hybridMultilevel"/>
    <w:tmpl w:val="AD6EE1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1113021"/>
    <w:multiLevelType w:val="hybridMultilevel"/>
    <w:tmpl w:val="4B489F44"/>
    <w:styleLink w:val="NumberedHeadings1"/>
    <w:lvl w:ilvl="0" w:tplc="859C498A">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60716C3"/>
    <w:multiLevelType w:val="hybridMultilevel"/>
    <w:tmpl w:val="2C5E904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95F61A5"/>
    <w:multiLevelType w:val="hybridMultilevel"/>
    <w:tmpl w:val="A5960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CDC2302"/>
    <w:multiLevelType w:val="hybridMultilevel"/>
    <w:tmpl w:val="637624D8"/>
    <w:styleLink w:val="ListNumbered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2EE05A2"/>
    <w:multiLevelType w:val="hybridMultilevel"/>
    <w:tmpl w:val="71184A04"/>
    <w:lvl w:ilvl="0" w:tplc="4F500EFA">
      <w:start w:val="1"/>
      <w:numFmt w:val="decimal"/>
      <w:lvlText w:val="(%1)"/>
      <w:lvlJc w:val="left"/>
      <w:pPr>
        <w:ind w:left="360" w:hanging="360"/>
      </w:pPr>
      <w:rPr>
        <w:rFonts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66C7ACD"/>
    <w:multiLevelType w:val="hybridMultilevel"/>
    <w:tmpl w:val="12246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AC44072"/>
    <w:multiLevelType w:val="hybridMultilevel"/>
    <w:tmpl w:val="6D025DD0"/>
    <w:lvl w:ilvl="0" w:tplc="4F500EFA">
      <w:start w:val="1"/>
      <w:numFmt w:val="decimal"/>
      <w:lvlText w:val="(%1)"/>
      <w:lvlJc w:val="left"/>
      <w:pPr>
        <w:ind w:left="360" w:hanging="360"/>
      </w:pPr>
      <w:rPr>
        <w:rFonts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176065F"/>
    <w:multiLevelType w:val="hybridMultilevel"/>
    <w:tmpl w:val="55AAF436"/>
    <w:lvl w:ilvl="0" w:tplc="4F500EFA">
      <w:start w:val="1"/>
      <w:numFmt w:val="decimal"/>
      <w:lvlText w:val="(%1)"/>
      <w:lvlJc w:val="left"/>
      <w:pPr>
        <w:ind w:left="360" w:hanging="360"/>
      </w:pPr>
      <w:rPr>
        <w:rFonts w:hint="default"/>
        <w:sz w:val="24"/>
        <w:szCs w:val="24"/>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E554E84"/>
    <w:multiLevelType w:val="multilevel"/>
    <w:tmpl w:val="8FCE6D18"/>
    <w:styleLink w:val="ListLegal"/>
    <w:lvl w:ilvl="0">
      <w:start w:val="1"/>
      <w:numFmt w:val="decimal"/>
      <w:pStyle w:val="ListLegal10"/>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7" w15:restartNumberingAfterBreak="0">
    <w:nsid w:val="7F385FE5"/>
    <w:multiLevelType w:val="hybridMultilevel"/>
    <w:tmpl w:val="05F6F980"/>
    <w:lvl w:ilvl="0" w:tplc="58A29A2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7"/>
  </w:num>
  <w:num w:numId="2">
    <w:abstractNumId w:val="12"/>
  </w:num>
  <w:num w:numId="3">
    <w:abstractNumId w:val="27"/>
  </w:num>
  <w:num w:numId="4">
    <w:abstractNumId w:val="16"/>
  </w:num>
  <w:num w:numId="5">
    <w:abstractNumId w:val="32"/>
  </w:num>
  <w:num w:numId="6">
    <w:abstractNumId w:val="46"/>
  </w:num>
  <w:num w:numId="7">
    <w:abstractNumId w:val="5"/>
  </w:num>
  <w:num w:numId="8">
    <w:abstractNumId w:val="29"/>
  </w:num>
  <w:num w:numId="9">
    <w:abstractNumId w:val="10"/>
  </w:num>
  <w:num w:numId="10">
    <w:abstractNumId w:val="24"/>
  </w:num>
  <w:num w:numId="11">
    <w:abstractNumId w:val="26"/>
  </w:num>
  <w:num w:numId="12">
    <w:abstractNumId w:val="39"/>
  </w:num>
  <w:num w:numId="13">
    <w:abstractNumId w:val="41"/>
  </w:num>
  <w:num w:numId="14">
    <w:abstractNumId w:val="6"/>
  </w:num>
  <w:num w:numId="15">
    <w:abstractNumId w:val="35"/>
  </w:num>
  <w:num w:numId="16">
    <w:abstractNumId w:val="25"/>
  </w:num>
  <w:num w:numId="17">
    <w:abstractNumId w:val="15"/>
  </w:num>
  <w:num w:numId="18">
    <w:abstractNumId w:val="40"/>
  </w:num>
  <w:num w:numId="19">
    <w:abstractNumId w:val="37"/>
  </w:num>
  <w:num w:numId="20">
    <w:abstractNumId w:val="36"/>
  </w:num>
  <w:num w:numId="21">
    <w:abstractNumId w:val="7"/>
  </w:num>
  <w:num w:numId="22">
    <w:abstractNumId w:val="13"/>
  </w:num>
  <w:num w:numId="23">
    <w:abstractNumId w:val="28"/>
  </w:num>
  <w:num w:numId="24">
    <w:abstractNumId w:val="4"/>
  </w:num>
  <w:num w:numId="25">
    <w:abstractNumId w:val="3"/>
  </w:num>
  <w:num w:numId="26">
    <w:abstractNumId w:val="0"/>
  </w:num>
  <w:num w:numId="27">
    <w:abstractNumId w:val="2"/>
  </w:num>
  <w:num w:numId="28">
    <w:abstractNumId w:val="1"/>
  </w:num>
  <w:num w:numId="29">
    <w:abstractNumId w:val="31"/>
  </w:num>
  <w:num w:numId="30">
    <w:abstractNumId w:val="20"/>
  </w:num>
  <w:num w:numId="31">
    <w:abstractNumId w:val="47"/>
  </w:num>
  <w:num w:numId="32">
    <w:abstractNumId w:val="18"/>
  </w:num>
  <w:num w:numId="33">
    <w:abstractNumId w:val="8"/>
  </w:num>
  <w:num w:numId="34">
    <w:abstractNumId w:val="19"/>
  </w:num>
  <w:num w:numId="35">
    <w:abstractNumId w:val="11"/>
  </w:num>
  <w:num w:numId="36">
    <w:abstractNumId w:val="21"/>
  </w:num>
  <w:num w:numId="37">
    <w:abstractNumId w:val="38"/>
  </w:num>
  <w:num w:numId="38">
    <w:abstractNumId w:val="44"/>
  </w:num>
  <w:num w:numId="39">
    <w:abstractNumId w:val="23"/>
  </w:num>
  <w:num w:numId="40">
    <w:abstractNumId w:val="34"/>
  </w:num>
  <w:num w:numId="41">
    <w:abstractNumId w:val="42"/>
  </w:num>
  <w:num w:numId="42">
    <w:abstractNumId w:val="30"/>
  </w:num>
  <w:num w:numId="43">
    <w:abstractNumId w:val="14"/>
  </w:num>
  <w:num w:numId="44">
    <w:abstractNumId w:val="22"/>
  </w:num>
  <w:num w:numId="45">
    <w:abstractNumId w:val="43"/>
  </w:num>
  <w:num w:numId="46">
    <w:abstractNumId w:val="33"/>
  </w:num>
  <w:num w:numId="47">
    <w:abstractNumId w:val="45"/>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CD5"/>
    <w:rsid w:val="00000255"/>
    <w:rsid w:val="00005672"/>
    <w:rsid w:val="00012F63"/>
    <w:rsid w:val="00014D0F"/>
    <w:rsid w:val="00023D5B"/>
    <w:rsid w:val="00025395"/>
    <w:rsid w:val="0003177A"/>
    <w:rsid w:val="0003396D"/>
    <w:rsid w:val="00044B2C"/>
    <w:rsid w:val="00045D93"/>
    <w:rsid w:val="000461BA"/>
    <w:rsid w:val="00052478"/>
    <w:rsid w:val="00063D3F"/>
    <w:rsid w:val="000653B6"/>
    <w:rsid w:val="00065CC7"/>
    <w:rsid w:val="00073799"/>
    <w:rsid w:val="000748D2"/>
    <w:rsid w:val="00074ACC"/>
    <w:rsid w:val="00075BD3"/>
    <w:rsid w:val="00080CAA"/>
    <w:rsid w:val="00080ECB"/>
    <w:rsid w:val="00081693"/>
    <w:rsid w:val="000823DE"/>
    <w:rsid w:val="00091C0E"/>
    <w:rsid w:val="0009304D"/>
    <w:rsid w:val="00093B08"/>
    <w:rsid w:val="0009720F"/>
    <w:rsid w:val="000972A0"/>
    <w:rsid w:val="000A1001"/>
    <w:rsid w:val="000A32AE"/>
    <w:rsid w:val="000A5848"/>
    <w:rsid w:val="000A704C"/>
    <w:rsid w:val="000C1BC9"/>
    <w:rsid w:val="000C2EF1"/>
    <w:rsid w:val="000C5458"/>
    <w:rsid w:val="000D1B36"/>
    <w:rsid w:val="000D57DD"/>
    <w:rsid w:val="000D6D68"/>
    <w:rsid w:val="000E2948"/>
    <w:rsid w:val="000E52AA"/>
    <w:rsid w:val="000E5503"/>
    <w:rsid w:val="000F00D4"/>
    <w:rsid w:val="000F04CB"/>
    <w:rsid w:val="000F16C6"/>
    <w:rsid w:val="000F1924"/>
    <w:rsid w:val="000F4E74"/>
    <w:rsid w:val="001013DD"/>
    <w:rsid w:val="001025F0"/>
    <w:rsid w:val="00103BD9"/>
    <w:rsid w:val="0010562C"/>
    <w:rsid w:val="001077E4"/>
    <w:rsid w:val="00113F27"/>
    <w:rsid w:val="0012015C"/>
    <w:rsid w:val="00124660"/>
    <w:rsid w:val="00124D53"/>
    <w:rsid w:val="0012623C"/>
    <w:rsid w:val="001318EF"/>
    <w:rsid w:val="0013393B"/>
    <w:rsid w:val="00134B6E"/>
    <w:rsid w:val="00136308"/>
    <w:rsid w:val="00136B01"/>
    <w:rsid w:val="00136D23"/>
    <w:rsid w:val="001371DF"/>
    <w:rsid w:val="0014543A"/>
    <w:rsid w:val="0014799A"/>
    <w:rsid w:val="00147DD5"/>
    <w:rsid w:val="001520BA"/>
    <w:rsid w:val="00154B96"/>
    <w:rsid w:val="00157B2B"/>
    <w:rsid w:val="00167F68"/>
    <w:rsid w:val="00177D92"/>
    <w:rsid w:val="00181B44"/>
    <w:rsid w:val="00191575"/>
    <w:rsid w:val="0019351E"/>
    <w:rsid w:val="001A1ED0"/>
    <w:rsid w:val="001A4A57"/>
    <w:rsid w:val="001A4D94"/>
    <w:rsid w:val="001A4E6E"/>
    <w:rsid w:val="001A6C88"/>
    <w:rsid w:val="001B25DC"/>
    <w:rsid w:val="001B2BAF"/>
    <w:rsid w:val="001B341A"/>
    <w:rsid w:val="001B65AA"/>
    <w:rsid w:val="001C01C8"/>
    <w:rsid w:val="001C0BCA"/>
    <w:rsid w:val="001C1979"/>
    <w:rsid w:val="001C1EE7"/>
    <w:rsid w:val="001C56A0"/>
    <w:rsid w:val="001C6DC2"/>
    <w:rsid w:val="001D1DF8"/>
    <w:rsid w:val="001D3DC9"/>
    <w:rsid w:val="001E505E"/>
    <w:rsid w:val="001E558E"/>
    <w:rsid w:val="001E6ACA"/>
    <w:rsid w:val="001E738C"/>
    <w:rsid w:val="001F11B4"/>
    <w:rsid w:val="001F2370"/>
    <w:rsid w:val="001F27A1"/>
    <w:rsid w:val="001F594D"/>
    <w:rsid w:val="00202FA4"/>
    <w:rsid w:val="00203D2C"/>
    <w:rsid w:val="00203EBE"/>
    <w:rsid w:val="00204EE2"/>
    <w:rsid w:val="00205B7B"/>
    <w:rsid w:val="002062BE"/>
    <w:rsid w:val="002071A2"/>
    <w:rsid w:val="002131AC"/>
    <w:rsid w:val="0022053E"/>
    <w:rsid w:val="00221130"/>
    <w:rsid w:val="00223FD5"/>
    <w:rsid w:val="00227CB2"/>
    <w:rsid w:val="002309C5"/>
    <w:rsid w:val="00230B95"/>
    <w:rsid w:val="00236881"/>
    <w:rsid w:val="002374A8"/>
    <w:rsid w:val="0024103B"/>
    <w:rsid w:val="00244199"/>
    <w:rsid w:val="002515ED"/>
    <w:rsid w:val="002558A4"/>
    <w:rsid w:val="0025701E"/>
    <w:rsid w:val="00257035"/>
    <w:rsid w:val="00257097"/>
    <w:rsid w:val="00260CC2"/>
    <w:rsid w:val="0026336A"/>
    <w:rsid w:val="002634B8"/>
    <w:rsid w:val="00265874"/>
    <w:rsid w:val="00274FFD"/>
    <w:rsid w:val="002772C9"/>
    <w:rsid w:val="002817A8"/>
    <w:rsid w:val="00283F0F"/>
    <w:rsid w:val="00285AA4"/>
    <w:rsid w:val="00286690"/>
    <w:rsid w:val="0028670A"/>
    <w:rsid w:val="00290310"/>
    <w:rsid w:val="0029237E"/>
    <w:rsid w:val="0029249F"/>
    <w:rsid w:val="00292A86"/>
    <w:rsid w:val="002930BE"/>
    <w:rsid w:val="00295CB0"/>
    <w:rsid w:val="0029646A"/>
    <w:rsid w:val="00296996"/>
    <w:rsid w:val="002969AE"/>
    <w:rsid w:val="00297734"/>
    <w:rsid w:val="002A2C10"/>
    <w:rsid w:val="002A41E0"/>
    <w:rsid w:val="002A42CA"/>
    <w:rsid w:val="002A4BC0"/>
    <w:rsid w:val="002A6862"/>
    <w:rsid w:val="002A6ACB"/>
    <w:rsid w:val="002B2E14"/>
    <w:rsid w:val="002B6963"/>
    <w:rsid w:val="002B771E"/>
    <w:rsid w:val="002C0CD5"/>
    <w:rsid w:val="002C48FE"/>
    <w:rsid w:val="002D1A77"/>
    <w:rsid w:val="002D47B0"/>
    <w:rsid w:val="002D71C5"/>
    <w:rsid w:val="002E0677"/>
    <w:rsid w:val="002E0695"/>
    <w:rsid w:val="002E1E0B"/>
    <w:rsid w:val="002E59BE"/>
    <w:rsid w:val="002F4E99"/>
    <w:rsid w:val="003008BF"/>
    <w:rsid w:val="00300D7D"/>
    <w:rsid w:val="00302B40"/>
    <w:rsid w:val="0030725E"/>
    <w:rsid w:val="00311D94"/>
    <w:rsid w:val="00314A7F"/>
    <w:rsid w:val="0031712B"/>
    <w:rsid w:val="003249E7"/>
    <w:rsid w:val="00337791"/>
    <w:rsid w:val="003409EF"/>
    <w:rsid w:val="00342677"/>
    <w:rsid w:val="0034299C"/>
    <w:rsid w:val="003431F5"/>
    <w:rsid w:val="003505DF"/>
    <w:rsid w:val="0035283B"/>
    <w:rsid w:val="00355FD1"/>
    <w:rsid w:val="00362728"/>
    <w:rsid w:val="00362FC5"/>
    <w:rsid w:val="00366D29"/>
    <w:rsid w:val="00367424"/>
    <w:rsid w:val="00380C21"/>
    <w:rsid w:val="00382FBA"/>
    <w:rsid w:val="00383893"/>
    <w:rsid w:val="00384952"/>
    <w:rsid w:val="00390DE4"/>
    <w:rsid w:val="00397491"/>
    <w:rsid w:val="003A1A35"/>
    <w:rsid w:val="003A2D76"/>
    <w:rsid w:val="003A39A2"/>
    <w:rsid w:val="003A3F4D"/>
    <w:rsid w:val="003B02A7"/>
    <w:rsid w:val="003B1EB1"/>
    <w:rsid w:val="003C40B4"/>
    <w:rsid w:val="003C4BF8"/>
    <w:rsid w:val="003C5EA2"/>
    <w:rsid w:val="003C78F4"/>
    <w:rsid w:val="003D155C"/>
    <w:rsid w:val="003D5088"/>
    <w:rsid w:val="003D5B27"/>
    <w:rsid w:val="003D6754"/>
    <w:rsid w:val="003E1201"/>
    <w:rsid w:val="003E2734"/>
    <w:rsid w:val="003E4F77"/>
    <w:rsid w:val="003F0792"/>
    <w:rsid w:val="003F29D7"/>
    <w:rsid w:val="003F45F2"/>
    <w:rsid w:val="003F6F9A"/>
    <w:rsid w:val="00404192"/>
    <w:rsid w:val="00405662"/>
    <w:rsid w:val="00407A7B"/>
    <w:rsid w:val="004101E0"/>
    <w:rsid w:val="00411D93"/>
    <w:rsid w:val="004120B9"/>
    <w:rsid w:val="004131AE"/>
    <w:rsid w:val="004145A2"/>
    <w:rsid w:val="00417A6C"/>
    <w:rsid w:val="00420A21"/>
    <w:rsid w:val="004222FE"/>
    <w:rsid w:val="00425BE7"/>
    <w:rsid w:val="00425D18"/>
    <w:rsid w:val="00426E5D"/>
    <w:rsid w:val="00442103"/>
    <w:rsid w:val="00442797"/>
    <w:rsid w:val="00442A12"/>
    <w:rsid w:val="00443A66"/>
    <w:rsid w:val="00450190"/>
    <w:rsid w:val="00451427"/>
    <w:rsid w:val="004541D8"/>
    <w:rsid w:val="00454238"/>
    <w:rsid w:val="0045464F"/>
    <w:rsid w:val="00456D0F"/>
    <w:rsid w:val="00470C69"/>
    <w:rsid w:val="004756DB"/>
    <w:rsid w:val="00475731"/>
    <w:rsid w:val="0047601F"/>
    <w:rsid w:val="0047768F"/>
    <w:rsid w:val="00485E9A"/>
    <w:rsid w:val="004901F5"/>
    <w:rsid w:val="004907AB"/>
    <w:rsid w:val="00492DBB"/>
    <w:rsid w:val="00493C04"/>
    <w:rsid w:val="00493CD6"/>
    <w:rsid w:val="00497F62"/>
    <w:rsid w:val="004A19EE"/>
    <w:rsid w:val="004A207C"/>
    <w:rsid w:val="004A3E33"/>
    <w:rsid w:val="004A651A"/>
    <w:rsid w:val="004B3D09"/>
    <w:rsid w:val="004B75EA"/>
    <w:rsid w:val="004C01F9"/>
    <w:rsid w:val="004C0CE7"/>
    <w:rsid w:val="004C5F60"/>
    <w:rsid w:val="004C7152"/>
    <w:rsid w:val="004D15C1"/>
    <w:rsid w:val="004D4484"/>
    <w:rsid w:val="004D5004"/>
    <w:rsid w:val="004D57B5"/>
    <w:rsid w:val="004D5926"/>
    <w:rsid w:val="004D7ECE"/>
    <w:rsid w:val="004E1A88"/>
    <w:rsid w:val="004E4107"/>
    <w:rsid w:val="004E63FE"/>
    <w:rsid w:val="004F06DF"/>
    <w:rsid w:val="004F3E1A"/>
    <w:rsid w:val="004F6A71"/>
    <w:rsid w:val="00500824"/>
    <w:rsid w:val="00501EB5"/>
    <w:rsid w:val="005024B0"/>
    <w:rsid w:val="00502ADA"/>
    <w:rsid w:val="00503257"/>
    <w:rsid w:val="00503493"/>
    <w:rsid w:val="00510AE3"/>
    <w:rsid w:val="00517442"/>
    <w:rsid w:val="00517B36"/>
    <w:rsid w:val="00517B98"/>
    <w:rsid w:val="00517BA8"/>
    <w:rsid w:val="005302E3"/>
    <w:rsid w:val="00531F51"/>
    <w:rsid w:val="005357C5"/>
    <w:rsid w:val="005407C0"/>
    <w:rsid w:val="00541F2F"/>
    <w:rsid w:val="00545DBC"/>
    <w:rsid w:val="0055586C"/>
    <w:rsid w:val="00555C84"/>
    <w:rsid w:val="00557F57"/>
    <w:rsid w:val="0056157E"/>
    <w:rsid w:val="0056237D"/>
    <w:rsid w:val="005627A9"/>
    <w:rsid w:val="00564D71"/>
    <w:rsid w:val="00565C39"/>
    <w:rsid w:val="005704CF"/>
    <w:rsid w:val="0057121E"/>
    <w:rsid w:val="005724FA"/>
    <w:rsid w:val="005726B2"/>
    <w:rsid w:val="00573EA4"/>
    <w:rsid w:val="005750C6"/>
    <w:rsid w:val="0057755A"/>
    <w:rsid w:val="005817CB"/>
    <w:rsid w:val="005836F1"/>
    <w:rsid w:val="005914D6"/>
    <w:rsid w:val="0059350E"/>
    <w:rsid w:val="00593BA2"/>
    <w:rsid w:val="00597955"/>
    <w:rsid w:val="005A03F1"/>
    <w:rsid w:val="005A1A60"/>
    <w:rsid w:val="005A39C8"/>
    <w:rsid w:val="005B1E56"/>
    <w:rsid w:val="005B3571"/>
    <w:rsid w:val="005B3CCA"/>
    <w:rsid w:val="005B422B"/>
    <w:rsid w:val="005B5E2D"/>
    <w:rsid w:val="005B7525"/>
    <w:rsid w:val="005C2DDE"/>
    <w:rsid w:val="005C39CE"/>
    <w:rsid w:val="005C52F5"/>
    <w:rsid w:val="005D6D6F"/>
    <w:rsid w:val="005D6D96"/>
    <w:rsid w:val="005D7500"/>
    <w:rsid w:val="005D75BA"/>
    <w:rsid w:val="005E12D9"/>
    <w:rsid w:val="005E26DD"/>
    <w:rsid w:val="005E2A0D"/>
    <w:rsid w:val="005E5AED"/>
    <w:rsid w:val="005F5255"/>
    <w:rsid w:val="005F78F1"/>
    <w:rsid w:val="00603472"/>
    <w:rsid w:val="00605433"/>
    <w:rsid w:val="00605701"/>
    <w:rsid w:val="006226E0"/>
    <w:rsid w:val="00623BEB"/>
    <w:rsid w:val="00625455"/>
    <w:rsid w:val="00625A05"/>
    <w:rsid w:val="00626447"/>
    <w:rsid w:val="006335DF"/>
    <w:rsid w:val="006430D3"/>
    <w:rsid w:val="00643AB0"/>
    <w:rsid w:val="00643F9F"/>
    <w:rsid w:val="00644221"/>
    <w:rsid w:val="00657E79"/>
    <w:rsid w:val="00664B2E"/>
    <w:rsid w:val="00672BA9"/>
    <w:rsid w:val="0067314C"/>
    <w:rsid w:val="00674186"/>
    <w:rsid w:val="00675482"/>
    <w:rsid w:val="006772EE"/>
    <w:rsid w:val="00680978"/>
    <w:rsid w:val="00681B5B"/>
    <w:rsid w:val="0068395F"/>
    <w:rsid w:val="006916C7"/>
    <w:rsid w:val="006937B8"/>
    <w:rsid w:val="00694561"/>
    <w:rsid w:val="006977C6"/>
    <w:rsid w:val="006A0C04"/>
    <w:rsid w:val="006A2B71"/>
    <w:rsid w:val="006B0888"/>
    <w:rsid w:val="006B1F96"/>
    <w:rsid w:val="006B6586"/>
    <w:rsid w:val="006B7F1D"/>
    <w:rsid w:val="006C1618"/>
    <w:rsid w:val="006C2445"/>
    <w:rsid w:val="006C43C8"/>
    <w:rsid w:val="006D5AFD"/>
    <w:rsid w:val="006E066E"/>
    <w:rsid w:val="006E201C"/>
    <w:rsid w:val="006E72B5"/>
    <w:rsid w:val="006F648A"/>
    <w:rsid w:val="007007BC"/>
    <w:rsid w:val="00714002"/>
    <w:rsid w:val="00715A05"/>
    <w:rsid w:val="00716BE9"/>
    <w:rsid w:val="00720369"/>
    <w:rsid w:val="007206B3"/>
    <w:rsid w:val="0072690A"/>
    <w:rsid w:val="007306D4"/>
    <w:rsid w:val="00736B52"/>
    <w:rsid w:val="00737430"/>
    <w:rsid w:val="007440BF"/>
    <w:rsid w:val="00744F63"/>
    <w:rsid w:val="00745784"/>
    <w:rsid w:val="007472D5"/>
    <w:rsid w:val="00750665"/>
    <w:rsid w:val="0075412D"/>
    <w:rsid w:val="00756BDD"/>
    <w:rsid w:val="007608DD"/>
    <w:rsid w:val="00760F19"/>
    <w:rsid w:val="00760FA5"/>
    <w:rsid w:val="007677EE"/>
    <w:rsid w:val="007747B8"/>
    <w:rsid w:val="00775701"/>
    <w:rsid w:val="0077784C"/>
    <w:rsid w:val="00783069"/>
    <w:rsid w:val="0078360A"/>
    <w:rsid w:val="007847A2"/>
    <w:rsid w:val="00786989"/>
    <w:rsid w:val="00787C45"/>
    <w:rsid w:val="00795426"/>
    <w:rsid w:val="00797AA1"/>
    <w:rsid w:val="007A5A43"/>
    <w:rsid w:val="007A6680"/>
    <w:rsid w:val="007B23C8"/>
    <w:rsid w:val="007B4F7F"/>
    <w:rsid w:val="007B5A98"/>
    <w:rsid w:val="007C6273"/>
    <w:rsid w:val="007D0C63"/>
    <w:rsid w:val="007D4DAC"/>
    <w:rsid w:val="007E0BA1"/>
    <w:rsid w:val="007E2F4A"/>
    <w:rsid w:val="007E63D8"/>
    <w:rsid w:val="007E684B"/>
    <w:rsid w:val="007E7A2A"/>
    <w:rsid w:val="007F201A"/>
    <w:rsid w:val="007F6AB9"/>
    <w:rsid w:val="00800CD7"/>
    <w:rsid w:val="0080114B"/>
    <w:rsid w:val="00802340"/>
    <w:rsid w:val="00802B79"/>
    <w:rsid w:val="00806F4C"/>
    <w:rsid w:val="00806FE8"/>
    <w:rsid w:val="00807748"/>
    <w:rsid w:val="00815D4C"/>
    <w:rsid w:val="00817AF7"/>
    <w:rsid w:val="00820BD8"/>
    <w:rsid w:val="00825D55"/>
    <w:rsid w:val="008261E9"/>
    <w:rsid w:val="00846A33"/>
    <w:rsid w:val="00847528"/>
    <w:rsid w:val="00854281"/>
    <w:rsid w:val="00854758"/>
    <w:rsid w:val="0085532F"/>
    <w:rsid w:val="00860508"/>
    <w:rsid w:val="00862C34"/>
    <w:rsid w:val="008636EC"/>
    <w:rsid w:val="00870B67"/>
    <w:rsid w:val="00870DC1"/>
    <w:rsid w:val="00884CA9"/>
    <w:rsid w:val="00890C86"/>
    <w:rsid w:val="00893412"/>
    <w:rsid w:val="00893980"/>
    <w:rsid w:val="0089572A"/>
    <w:rsid w:val="00897635"/>
    <w:rsid w:val="008A1767"/>
    <w:rsid w:val="008A30EB"/>
    <w:rsid w:val="008A3C27"/>
    <w:rsid w:val="008A60A1"/>
    <w:rsid w:val="008A62C3"/>
    <w:rsid w:val="008B1988"/>
    <w:rsid w:val="008B236E"/>
    <w:rsid w:val="008B3E6F"/>
    <w:rsid w:val="008C054F"/>
    <w:rsid w:val="008C1030"/>
    <w:rsid w:val="008C219A"/>
    <w:rsid w:val="008C3FDE"/>
    <w:rsid w:val="008C4988"/>
    <w:rsid w:val="008C7F23"/>
    <w:rsid w:val="008D1DB0"/>
    <w:rsid w:val="008D6495"/>
    <w:rsid w:val="008F1836"/>
    <w:rsid w:val="008F1896"/>
    <w:rsid w:val="008F2147"/>
    <w:rsid w:val="008F2C72"/>
    <w:rsid w:val="008F316C"/>
    <w:rsid w:val="00905707"/>
    <w:rsid w:val="0090590B"/>
    <w:rsid w:val="00907575"/>
    <w:rsid w:val="0090786A"/>
    <w:rsid w:val="0091099F"/>
    <w:rsid w:val="009114F1"/>
    <w:rsid w:val="00912D09"/>
    <w:rsid w:val="00915D9B"/>
    <w:rsid w:val="00920F35"/>
    <w:rsid w:val="0092130A"/>
    <w:rsid w:val="0092370E"/>
    <w:rsid w:val="009237B2"/>
    <w:rsid w:val="009302AC"/>
    <w:rsid w:val="00931AE8"/>
    <w:rsid w:val="00931DD1"/>
    <w:rsid w:val="00932043"/>
    <w:rsid w:val="00935716"/>
    <w:rsid w:val="00937EC4"/>
    <w:rsid w:val="00943227"/>
    <w:rsid w:val="0094454A"/>
    <w:rsid w:val="0094740C"/>
    <w:rsid w:val="00951AE3"/>
    <w:rsid w:val="00952E77"/>
    <w:rsid w:val="0096301F"/>
    <w:rsid w:val="00966A3D"/>
    <w:rsid w:val="00967BE0"/>
    <w:rsid w:val="00971290"/>
    <w:rsid w:val="00971E14"/>
    <w:rsid w:val="009836AE"/>
    <w:rsid w:val="00983B76"/>
    <w:rsid w:val="00985353"/>
    <w:rsid w:val="00990F64"/>
    <w:rsid w:val="00992CD7"/>
    <w:rsid w:val="00993FDB"/>
    <w:rsid w:val="009944C5"/>
    <w:rsid w:val="009974E7"/>
    <w:rsid w:val="009A1904"/>
    <w:rsid w:val="009A5536"/>
    <w:rsid w:val="009A5AC3"/>
    <w:rsid w:val="009A66BC"/>
    <w:rsid w:val="009A75C6"/>
    <w:rsid w:val="009A7B36"/>
    <w:rsid w:val="009B03D8"/>
    <w:rsid w:val="009B4C72"/>
    <w:rsid w:val="009B5DF7"/>
    <w:rsid w:val="009C1FA2"/>
    <w:rsid w:val="009C24FC"/>
    <w:rsid w:val="009C4BAA"/>
    <w:rsid w:val="009C7369"/>
    <w:rsid w:val="009D1A85"/>
    <w:rsid w:val="009D2415"/>
    <w:rsid w:val="009D7588"/>
    <w:rsid w:val="009D7C6E"/>
    <w:rsid w:val="009E1630"/>
    <w:rsid w:val="009E6D84"/>
    <w:rsid w:val="009E76EA"/>
    <w:rsid w:val="009F630F"/>
    <w:rsid w:val="009F6EAD"/>
    <w:rsid w:val="009F77A0"/>
    <w:rsid w:val="009F7DB7"/>
    <w:rsid w:val="00A00F9D"/>
    <w:rsid w:val="00A0312C"/>
    <w:rsid w:val="00A10D62"/>
    <w:rsid w:val="00A11590"/>
    <w:rsid w:val="00A14284"/>
    <w:rsid w:val="00A21FB9"/>
    <w:rsid w:val="00A22003"/>
    <w:rsid w:val="00A220CA"/>
    <w:rsid w:val="00A229C7"/>
    <w:rsid w:val="00A22D9D"/>
    <w:rsid w:val="00A2416B"/>
    <w:rsid w:val="00A2430D"/>
    <w:rsid w:val="00A26D9B"/>
    <w:rsid w:val="00A270C3"/>
    <w:rsid w:val="00A344B8"/>
    <w:rsid w:val="00A37B3A"/>
    <w:rsid w:val="00A37BBF"/>
    <w:rsid w:val="00A41EEB"/>
    <w:rsid w:val="00A43997"/>
    <w:rsid w:val="00A5427C"/>
    <w:rsid w:val="00A56066"/>
    <w:rsid w:val="00A600B0"/>
    <w:rsid w:val="00A621C9"/>
    <w:rsid w:val="00A623AE"/>
    <w:rsid w:val="00A62687"/>
    <w:rsid w:val="00A63310"/>
    <w:rsid w:val="00A63CAD"/>
    <w:rsid w:val="00A661AA"/>
    <w:rsid w:val="00A7002A"/>
    <w:rsid w:val="00A72D46"/>
    <w:rsid w:val="00A74D42"/>
    <w:rsid w:val="00A74F24"/>
    <w:rsid w:val="00A80728"/>
    <w:rsid w:val="00A8112F"/>
    <w:rsid w:val="00A82965"/>
    <w:rsid w:val="00A84560"/>
    <w:rsid w:val="00A85A68"/>
    <w:rsid w:val="00A96997"/>
    <w:rsid w:val="00A974DD"/>
    <w:rsid w:val="00AA4552"/>
    <w:rsid w:val="00AA7EB6"/>
    <w:rsid w:val="00AB243A"/>
    <w:rsid w:val="00AB6792"/>
    <w:rsid w:val="00AC0CC6"/>
    <w:rsid w:val="00AC454B"/>
    <w:rsid w:val="00AD055F"/>
    <w:rsid w:val="00AD1746"/>
    <w:rsid w:val="00AD18CC"/>
    <w:rsid w:val="00AD1BB4"/>
    <w:rsid w:val="00AD516C"/>
    <w:rsid w:val="00AD7937"/>
    <w:rsid w:val="00AE5440"/>
    <w:rsid w:val="00AE5687"/>
    <w:rsid w:val="00AE64FD"/>
    <w:rsid w:val="00AF0CD8"/>
    <w:rsid w:val="00AF2EBD"/>
    <w:rsid w:val="00AF38FD"/>
    <w:rsid w:val="00AF532C"/>
    <w:rsid w:val="00AF5B7C"/>
    <w:rsid w:val="00B00FCE"/>
    <w:rsid w:val="00B02B52"/>
    <w:rsid w:val="00B0617E"/>
    <w:rsid w:val="00B1164A"/>
    <w:rsid w:val="00B1639B"/>
    <w:rsid w:val="00B17134"/>
    <w:rsid w:val="00B174CA"/>
    <w:rsid w:val="00B244E5"/>
    <w:rsid w:val="00B26B93"/>
    <w:rsid w:val="00B33CFF"/>
    <w:rsid w:val="00B34E74"/>
    <w:rsid w:val="00B40ADB"/>
    <w:rsid w:val="00B47512"/>
    <w:rsid w:val="00B47683"/>
    <w:rsid w:val="00B52958"/>
    <w:rsid w:val="00B562E2"/>
    <w:rsid w:val="00B61477"/>
    <w:rsid w:val="00B64E92"/>
    <w:rsid w:val="00B65470"/>
    <w:rsid w:val="00B67EB8"/>
    <w:rsid w:val="00B7201F"/>
    <w:rsid w:val="00B729D0"/>
    <w:rsid w:val="00B738E7"/>
    <w:rsid w:val="00B76DAD"/>
    <w:rsid w:val="00B77233"/>
    <w:rsid w:val="00B818F3"/>
    <w:rsid w:val="00B85B64"/>
    <w:rsid w:val="00B92B95"/>
    <w:rsid w:val="00B94CF2"/>
    <w:rsid w:val="00B953FB"/>
    <w:rsid w:val="00BA2E17"/>
    <w:rsid w:val="00BA3A2C"/>
    <w:rsid w:val="00BA47D9"/>
    <w:rsid w:val="00BA4D59"/>
    <w:rsid w:val="00BA7DBC"/>
    <w:rsid w:val="00BB0447"/>
    <w:rsid w:val="00BB3ACB"/>
    <w:rsid w:val="00BB5279"/>
    <w:rsid w:val="00BD1DAA"/>
    <w:rsid w:val="00BD2757"/>
    <w:rsid w:val="00BD3D69"/>
    <w:rsid w:val="00BD41CD"/>
    <w:rsid w:val="00BD4974"/>
    <w:rsid w:val="00BF1C8E"/>
    <w:rsid w:val="00BF4247"/>
    <w:rsid w:val="00BF788E"/>
    <w:rsid w:val="00C0426F"/>
    <w:rsid w:val="00C06E8A"/>
    <w:rsid w:val="00C1272C"/>
    <w:rsid w:val="00C14E9F"/>
    <w:rsid w:val="00C2416F"/>
    <w:rsid w:val="00C253EC"/>
    <w:rsid w:val="00C27EFF"/>
    <w:rsid w:val="00C3068D"/>
    <w:rsid w:val="00C30D36"/>
    <w:rsid w:val="00C3227E"/>
    <w:rsid w:val="00C34F3E"/>
    <w:rsid w:val="00C37836"/>
    <w:rsid w:val="00C3791B"/>
    <w:rsid w:val="00C43C9A"/>
    <w:rsid w:val="00C46453"/>
    <w:rsid w:val="00C467C6"/>
    <w:rsid w:val="00C47D42"/>
    <w:rsid w:val="00C50AA7"/>
    <w:rsid w:val="00C53D90"/>
    <w:rsid w:val="00C55C56"/>
    <w:rsid w:val="00C55D10"/>
    <w:rsid w:val="00C55EDC"/>
    <w:rsid w:val="00C562E0"/>
    <w:rsid w:val="00C57C54"/>
    <w:rsid w:val="00C6263B"/>
    <w:rsid w:val="00C7008B"/>
    <w:rsid w:val="00C704D7"/>
    <w:rsid w:val="00C70B5F"/>
    <w:rsid w:val="00C70E91"/>
    <w:rsid w:val="00C80B31"/>
    <w:rsid w:val="00C9128D"/>
    <w:rsid w:val="00C93B7B"/>
    <w:rsid w:val="00C96A8A"/>
    <w:rsid w:val="00CA25A8"/>
    <w:rsid w:val="00CA4E80"/>
    <w:rsid w:val="00CA7D56"/>
    <w:rsid w:val="00CA7F5C"/>
    <w:rsid w:val="00CB3334"/>
    <w:rsid w:val="00CB39C0"/>
    <w:rsid w:val="00CB424D"/>
    <w:rsid w:val="00CB5FCA"/>
    <w:rsid w:val="00CC1313"/>
    <w:rsid w:val="00CC27D8"/>
    <w:rsid w:val="00CC53A7"/>
    <w:rsid w:val="00CD0D31"/>
    <w:rsid w:val="00CE05BE"/>
    <w:rsid w:val="00CE0A02"/>
    <w:rsid w:val="00CE20A2"/>
    <w:rsid w:val="00CE21C9"/>
    <w:rsid w:val="00CE22DF"/>
    <w:rsid w:val="00CE45D5"/>
    <w:rsid w:val="00CE59A5"/>
    <w:rsid w:val="00CE64B1"/>
    <w:rsid w:val="00CE6644"/>
    <w:rsid w:val="00CF0CFC"/>
    <w:rsid w:val="00CF2B33"/>
    <w:rsid w:val="00CF490C"/>
    <w:rsid w:val="00CF4949"/>
    <w:rsid w:val="00CF4995"/>
    <w:rsid w:val="00CF585A"/>
    <w:rsid w:val="00CF5A2E"/>
    <w:rsid w:val="00D00EF9"/>
    <w:rsid w:val="00D05090"/>
    <w:rsid w:val="00D062F3"/>
    <w:rsid w:val="00D07093"/>
    <w:rsid w:val="00D143D2"/>
    <w:rsid w:val="00D164CC"/>
    <w:rsid w:val="00D24F72"/>
    <w:rsid w:val="00D25761"/>
    <w:rsid w:val="00D326BF"/>
    <w:rsid w:val="00D32CC3"/>
    <w:rsid w:val="00D41F08"/>
    <w:rsid w:val="00D4427B"/>
    <w:rsid w:val="00D46917"/>
    <w:rsid w:val="00D505EA"/>
    <w:rsid w:val="00D525B7"/>
    <w:rsid w:val="00D54AB9"/>
    <w:rsid w:val="00D56985"/>
    <w:rsid w:val="00D56CAE"/>
    <w:rsid w:val="00D61EBC"/>
    <w:rsid w:val="00D74681"/>
    <w:rsid w:val="00D75085"/>
    <w:rsid w:val="00D751F2"/>
    <w:rsid w:val="00D76A82"/>
    <w:rsid w:val="00D800FE"/>
    <w:rsid w:val="00D81095"/>
    <w:rsid w:val="00D83243"/>
    <w:rsid w:val="00D83D04"/>
    <w:rsid w:val="00D8622C"/>
    <w:rsid w:val="00DA72D3"/>
    <w:rsid w:val="00DB1D2E"/>
    <w:rsid w:val="00DB46FC"/>
    <w:rsid w:val="00DC0F57"/>
    <w:rsid w:val="00DC71DC"/>
    <w:rsid w:val="00DC7953"/>
    <w:rsid w:val="00DD4139"/>
    <w:rsid w:val="00DE0F2C"/>
    <w:rsid w:val="00DE5D6B"/>
    <w:rsid w:val="00DF0B51"/>
    <w:rsid w:val="00DF4962"/>
    <w:rsid w:val="00E00750"/>
    <w:rsid w:val="00E02AEF"/>
    <w:rsid w:val="00E0320C"/>
    <w:rsid w:val="00E1008D"/>
    <w:rsid w:val="00E107C9"/>
    <w:rsid w:val="00E120FC"/>
    <w:rsid w:val="00E13D65"/>
    <w:rsid w:val="00E2167F"/>
    <w:rsid w:val="00E24DB4"/>
    <w:rsid w:val="00E30F84"/>
    <w:rsid w:val="00E3219F"/>
    <w:rsid w:val="00E32D78"/>
    <w:rsid w:val="00E34F26"/>
    <w:rsid w:val="00E35C0C"/>
    <w:rsid w:val="00E35DC7"/>
    <w:rsid w:val="00E41020"/>
    <w:rsid w:val="00E42623"/>
    <w:rsid w:val="00E46146"/>
    <w:rsid w:val="00E47933"/>
    <w:rsid w:val="00E513A4"/>
    <w:rsid w:val="00E546B4"/>
    <w:rsid w:val="00E55311"/>
    <w:rsid w:val="00E56ECE"/>
    <w:rsid w:val="00E60E59"/>
    <w:rsid w:val="00E63210"/>
    <w:rsid w:val="00E632AF"/>
    <w:rsid w:val="00E64001"/>
    <w:rsid w:val="00E64079"/>
    <w:rsid w:val="00E642A6"/>
    <w:rsid w:val="00E65342"/>
    <w:rsid w:val="00E653D9"/>
    <w:rsid w:val="00E65C61"/>
    <w:rsid w:val="00E70412"/>
    <w:rsid w:val="00E7098E"/>
    <w:rsid w:val="00E711EA"/>
    <w:rsid w:val="00E73D5C"/>
    <w:rsid w:val="00E74F6D"/>
    <w:rsid w:val="00E757B0"/>
    <w:rsid w:val="00E76F01"/>
    <w:rsid w:val="00E80289"/>
    <w:rsid w:val="00E83A47"/>
    <w:rsid w:val="00E85A7F"/>
    <w:rsid w:val="00E87B35"/>
    <w:rsid w:val="00E922B7"/>
    <w:rsid w:val="00E951B6"/>
    <w:rsid w:val="00EA0B05"/>
    <w:rsid w:val="00EA15B8"/>
    <w:rsid w:val="00EA243A"/>
    <w:rsid w:val="00EA2482"/>
    <w:rsid w:val="00EA43AF"/>
    <w:rsid w:val="00EA4759"/>
    <w:rsid w:val="00EA4ADA"/>
    <w:rsid w:val="00EA502E"/>
    <w:rsid w:val="00EA58B4"/>
    <w:rsid w:val="00EA6917"/>
    <w:rsid w:val="00EA6AE2"/>
    <w:rsid w:val="00EA7478"/>
    <w:rsid w:val="00EB02B1"/>
    <w:rsid w:val="00EB0AB9"/>
    <w:rsid w:val="00EB258C"/>
    <w:rsid w:val="00EB2CDC"/>
    <w:rsid w:val="00EB3066"/>
    <w:rsid w:val="00EB4AB2"/>
    <w:rsid w:val="00EB6FBD"/>
    <w:rsid w:val="00ED2D8E"/>
    <w:rsid w:val="00ED3D84"/>
    <w:rsid w:val="00ED51B1"/>
    <w:rsid w:val="00EE1D21"/>
    <w:rsid w:val="00EE36FF"/>
    <w:rsid w:val="00EE4315"/>
    <w:rsid w:val="00EF1A16"/>
    <w:rsid w:val="00EF4360"/>
    <w:rsid w:val="00EF5E84"/>
    <w:rsid w:val="00EF6512"/>
    <w:rsid w:val="00F00611"/>
    <w:rsid w:val="00F01126"/>
    <w:rsid w:val="00F02273"/>
    <w:rsid w:val="00F05D08"/>
    <w:rsid w:val="00F07D9B"/>
    <w:rsid w:val="00F11773"/>
    <w:rsid w:val="00F126B6"/>
    <w:rsid w:val="00F1553C"/>
    <w:rsid w:val="00F15BB3"/>
    <w:rsid w:val="00F16970"/>
    <w:rsid w:val="00F20667"/>
    <w:rsid w:val="00F2257C"/>
    <w:rsid w:val="00F229E6"/>
    <w:rsid w:val="00F23EF0"/>
    <w:rsid w:val="00F342A3"/>
    <w:rsid w:val="00F35AA5"/>
    <w:rsid w:val="00F367BA"/>
    <w:rsid w:val="00F3799E"/>
    <w:rsid w:val="00F415AC"/>
    <w:rsid w:val="00F41EA7"/>
    <w:rsid w:val="00F5065D"/>
    <w:rsid w:val="00F520DC"/>
    <w:rsid w:val="00F600C5"/>
    <w:rsid w:val="00F60DED"/>
    <w:rsid w:val="00F60EF1"/>
    <w:rsid w:val="00F61C14"/>
    <w:rsid w:val="00F6642A"/>
    <w:rsid w:val="00F670AB"/>
    <w:rsid w:val="00F7381F"/>
    <w:rsid w:val="00F7563E"/>
    <w:rsid w:val="00F763AB"/>
    <w:rsid w:val="00F835DF"/>
    <w:rsid w:val="00F90268"/>
    <w:rsid w:val="00F9118D"/>
    <w:rsid w:val="00F911EF"/>
    <w:rsid w:val="00F92A51"/>
    <w:rsid w:val="00F93D3B"/>
    <w:rsid w:val="00F94DB3"/>
    <w:rsid w:val="00F95AFA"/>
    <w:rsid w:val="00F95C72"/>
    <w:rsid w:val="00F96A15"/>
    <w:rsid w:val="00F96BFF"/>
    <w:rsid w:val="00FA1B8D"/>
    <w:rsid w:val="00FA1E14"/>
    <w:rsid w:val="00FA2A7C"/>
    <w:rsid w:val="00FA7522"/>
    <w:rsid w:val="00FB337D"/>
    <w:rsid w:val="00FC05FE"/>
    <w:rsid w:val="00FC1B28"/>
    <w:rsid w:val="00FC5221"/>
    <w:rsid w:val="00FC5ACE"/>
    <w:rsid w:val="00FD6285"/>
    <w:rsid w:val="00FD6E81"/>
    <w:rsid w:val="00FE11C0"/>
    <w:rsid w:val="00FE3899"/>
    <w:rsid w:val="00FE6E75"/>
    <w:rsid w:val="00FF0498"/>
    <w:rsid w:val="00FF0B85"/>
    <w:rsid w:val="00FF195D"/>
    <w:rsid w:val="00FF4E74"/>
    <w:rsid w:val="00FF532E"/>
    <w:rsid w:val="00FF54A7"/>
    <w:rsid w:val="00FF73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E524C98"/>
  <w15:docId w15:val="{B2ACD933-5EE1-4B65-9BAC-2E6F84C6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CD5"/>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uiPriority w:val="9"/>
    <w:qFormat/>
    <w:rsid w:val="002C0CD5"/>
    <w:pPr>
      <w:keepNext/>
      <w:jc w:val="center"/>
      <w:outlineLvl w:val="0"/>
    </w:pPr>
    <w:rPr>
      <w:i/>
      <w:sz w:val="24"/>
    </w:rPr>
  </w:style>
  <w:style w:type="paragraph" w:styleId="Heading2">
    <w:name w:val="heading 2"/>
    <w:basedOn w:val="Normal"/>
    <w:next w:val="Normal"/>
    <w:link w:val="Heading2Char"/>
    <w:uiPriority w:val="9"/>
    <w:unhideWhenUsed/>
    <w:qFormat/>
    <w:rsid w:val="001E505E"/>
    <w:pPr>
      <w:keepNext/>
      <w:keepLines/>
      <w:suppressAutoHyphens/>
      <w:spacing w:before="320" w:after="160"/>
      <w:outlineLvl w:val="1"/>
    </w:pPr>
    <w:rPr>
      <w:rFonts w:asciiTheme="majorHAnsi" w:eastAsiaTheme="majorEastAsia" w:hAnsiTheme="majorHAnsi" w:cstheme="majorBidi"/>
      <w:color w:val="373545" w:themeColor="text2"/>
      <w:sz w:val="36"/>
      <w:szCs w:val="26"/>
      <w:lang w:eastAsia="en-US"/>
    </w:rPr>
  </w:style>
  <w:style w:type="paragraph" w:styleId="Heading3">
    <w:name w:val="heading 3"/>
    <w:basedOn w:val="Normal"/>
    <w:next w:val="Normal"/>
    <w:link w:val="Heading3Char"/>
    <w:uiPriority w:val="9"/>
    <w:unhideWhenUsed/>
    <w:qFormat/>
    <w:rsid w:val="001E505E"/>
    <w:pPr>
      <w:keepNext/>
      <w:keepLines/>
      <w:spacing w:before="40"/>
      <w:outlineLvl w:val="2"/>
    </w:pPr>
    <w:rPr>
      <w:rFonts w:asciiTheme="majorHAnsi" w:eastAsiaTheme="majorEastAsia" w:hAnsiTheme="majorHAnsi" w:cstheme="majorBidi"/>
      <w:color w:val="1A495C" w:themeColor="accent1" w:themeShade="7F"/>
      <w:sz w:val="24"/>
      <w:szCs w:val="24"/>
    </w:rPr>
  </w:style>
  <w:style w:type="paragraph" w:styleId="Heading4">
    <w:name w:val="heading 4"/>
    <w:basedOn w:val="Normal"/>
    <w:next w:val="Normal"/>
    <w:link w:val="Heading4Char"/>
    <w:uiPriority w:val="9"/>
    <w:unhideWhenUsed/>
    <w:rsid w:val="001E505E"/>
    <w:pPr>
      <w:keepNext/>
      <w:keepLines/>
      <w:suppressAutoHyphens/>
      <w:spacing w:before="240" w:after="160"/>
      <w:outlineLvl w:val="3"/>
    </w:pPr>
    <w:rPr>
      <w:rFonts w:asciiTheme="majorHAnsi" w:eastAsiaTheme="majorEastAsia" w:hAnsiTheme="majorHAnsi" w:cstheme="majorBidi"/>
      <w:b/>
      <w:iCs/>
      <w:color w:val="3C4647" w:themeColor="accent4" w:themeShade="80"/>
      <w:sz w:val="26"/>
      <w:szCs w:val="22"/>
      <w:lang w:eastAsia="en-US"/>
    </w:rPr>
  </w:style>
  <w:style w:type="paragraph" w:styleId="Heading5">
    <w:name w:val="heading 5"/>
    <w:basedOn w:val="Normal"/>
    <w:next w:val="Normal"/>
    <w:link w:val="Heading5Char"/>
    <w:uiPriority w:val="9"/>
    <w:unhideWhenUsed/>
    <w:rsid w:val="001E505E"/>
    <w:pPr>
      <w:keepNext/>
      <w:keepLines/>
      <w:suppressAutoHyphens/>
      <w:spacing w:before="240" w:after="160"/>
      <w:outlineLvl w:val="4"/>
    </w:pPr>
    <w:rPr>
      <w:rFonts w:asciiTheme="majorHAnsi" w:eastAsiaTheme="majorEastAsia" w:hAnsiTheme="majorHAnsi" w:cstheme="majorBidi"/>
      <w:b/>
      <w:color w:val="373545" w:themeColor="text2"/>
      <w:sz w:val="22"/>
      <w:szCs w:val="22"/>
      <w:lang w:eastAsia="en-US"/>
    </w:rPr>
  </w:style>
  <w:style w:type="paragraph" w:styleId="Heading6">
    <w:name w:val="heading 6"/>
    <w:basedOn w:val="Normal"/>
    <w:next w:val="Normal"/>
    <w:link w:val="Heading6Char"/>
    <w:uiPriority w:val="9"/>
    <w:semiHidden/>
    <w:unhideWhenUsed/>
    <w:rsid w:val="001E505E"/>
    <w:pPr>
      <w:keepNext/>
      <w:keepLines/>
      <w:suppressAutoHyphens/>
      <w:spacing w:before="240" w:after="160"/>
      <w:outlineLvl w:val="5"/>
    </w:pPr>
    <w:rPr>
      <w:rFonts w:asciiTheme="majorHAnsi" w:eastAsiaTheme="majorEastAsia" w:hAnsiTheme="majorHAnsi" w:cstheme="majorBidi"/>
      <w:i/>
      <w:color w:val="373545" w:themeColor="text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CD5"/>
    <w:rPr>
      <w:rFonts w:ascii="Times New Roman" w:eastAsia="Times New Roman" w:hAnsi="Times New Roman" w:cs="Times New Roman"/>
      <w:i/>
      <w:sz w:val="24"/>
      <w:szCs w:val="20"/>
      <w:lang w:eastAsia="en-AU"/>
    </w:rPr>
  </w:style>
  <w:style w:type="paragraph" w:styleId="Title">
    <w:name w:val="Title"/>
    <w:basedOn w:val="Normal"/>
    <w:link w:val="TitleChar"/>
    <w:uiPriority w:val="17"/>
    <w:qFormat/>
    <w:rsid w:val="002C0CD5"/>
    <w:pPr>
      <w:jc w:val="center"/>
    </w:pPr>
    <w:rPr>
      <w:b/>
      <w:sz w:val="24"/>
      <w:u w:val="single"/>
      <w:lang w:val="en-GB" w:eastAsia="en-US"/>
    </w:rPr>
  </w:style>
  <w:style w:type="character" w:customStyle="1" w:styleId="TitleChar">
    <w:name w:val="Title Char"/>
    <w:basedOn w:val="DefaultParagraphFont"/>
    <w:link w:val="Title"/>
    <w:uiPriority w:val="17"/>
    <w:rsid w:val="002C0CD5"/>
    <w:rPr>
      <w:rFonts w:ascii="Times New Roman" w:eastAsia="Times New Roman" w:hAnsi="Times New Roman" w:cs="Times New Roman"/>
      <w:b/>
      <w:sz w:val="24"/>
      <w:szCs w:val="20"/>
      <w:u w:val="single"/>
      <w:lang w:val="en-GB"/>
    </w:rPr>
  </w:style>
  <w:style w:type="paragraph" w:styleId="BodyText3">
    <w:name w:val="Body Text 3"/>
    <w:basedOn w:val="Normal"/>
    <w:link w:val="BodyText3Char"/>
    <w:rsid w:val="002C0CD5"/>
    <w:rPr>
      <w:sz w:val="24"/>
      <w:u w:val="single"/>
      <w:lang w:val="en-GB" w:eastAsia="en-US"/>
    </w:rPr>
  </w:style>
  <w:style w:type="character" w:customStyle="1" w:styleId="BodyText3Char">
    <w:name w:val="Body Text 3 Char"/>
    <w:basedOn w:val="DefaultParagraphFont"/>
    <w:link w:val="BodyText3"/>
    <w:rsid w:val="002C0CD5"/>
    <w:rPr>
      <w:rFonts w:ascii="Times New Roman" w:eastAsia="Times New Roman" w:hAnsi="Times New Roman" w:cs="Times New Roman"/>
      <w:sz w:val="24"/>
      <w:szCs w:val="20"/>
      <w:u w:val="single"/>
      <w:lang w:val="en-GB"/>
    </w:rPr>
  </w:style>
  <w:style w:type="paragraph" w:styleId="BodyText">
    <w:name w:val="Body Text"/>
    <w:basedOn w:val="Normal"/>
    <w:link w:val="BodyTextChar"/>
    <w:rsid w:val="002C0CD5"/>
    <w:pPr>
      <w:jc w:val="center"/>
    </w:pPr>
    <w:rPr>
      <w:sz w:val="24"/>
    </w:rPr>
  </w:style>
  <w:style w:type="character" w:customStyle="1" w:styleId="BodyTextChar">
    <w:name w:val="Body Text Char"/>
    <w:basedOn w:val="DefaultParagraphFont"/>
    <w:link w:val="BodyText"/>
    <w:rsid w:val="002C0CD5"/>
    <w:rPr>
      <w:rFonts w:ascii="Times New Roman" w:eastAsia="Times New Roman" w:hAnsi="Times New Roman" w:cs="Times New Roman"/>
      <w:sz w:val="24"/>
      <w:szCs w:val="20"/>
      <w:lang w:eastAsia="en-AU"/>
    </w:rPr>
  </w:style>
  <w:style w:type="paragraph" w:styleId="Header">
    <w:name w:val="header"/>
    <w:basedOn w:val="Normal"/>
    <w:link w:val="HeaderChar"/>
    <w:uiPriority w:val="99"/>
    <w:rsid w:val="002C0CD5"/>
    <w:pPr>
      <w:tabs>
        <w:tab w:val="center" w:pos="4320"/>
        <w:tab w:val="right" w:pos="8640"/>
      </w:tabs>
    </w:pPr>
    <w:rPr>
      <w:sz w:val="24"/>
    </w:rPr>
  </w:style>
  <w:style w:type="character" w:customStyle="1" w:styleId="HeaderChar">
    <w:name w:val="Header Char"/>
    <w:basedOn w:val="DefaultParagraphFont"/>
    <w:link w:val="Header"/>
    <w:uiPriority w:val="99"/>
    <w:rsid w:val="002C0CD5"/>
    <w:rPr>
      <w:rFonts w:ascii="Times New Roman" w:eastAsia="Times New Roman" w:hAnsi="Times New Roman" w:cs="Times New Roman"/>
      <w:sz w:val="24"/>
      <w:szCs w:val="20"/>
      <w:lang w:eastAsia="en-AU"/>
    </w:rPr>
  </w:style>
  <w:style w:type="character" w:styleId="PageNumber">
    <w:name w:val="page number"/>
    <w:basedOn w:val="DefaultParagraphFont"/>
    <w:uiPriority w:val="99"/>
    <w:rsid w:val="002C0CD5"/>
  </w:style>
  <w:style w:type="character" w:styleId="CommentReference">
    <w:name w:val="annotation reference"/>
    <w:basedOn w:val="DefaultParagraphFont"/>
    <w:uiPriority w:val="99"/>
    <w:semiHidden/>
    <w:rsid w:val="002C0CD5"/>
    <w:rPr>
      <w:sz w:val="16"/>
      <w:szCs w:val="16"/>
    </w:rPr>
  </w:style>
  <w:style w:type="paragraph" w:styleId="CommentText">
    <w:name w:val="annotation text"/>
    <w:basedOn w:val="Normal"/>
    <w:link w:val="CommentTextChar"/>
    <w:uiPriority w:val="99"/>
    <w:semiHidden/>
    <w:rsid w:val="002C0CD5"/>
  </w:style>
  <w:style w:type="character" w:customStyle="1" w:styleId="CommentTextChar">
    <w:name w:val="Comment Text Char"/>
    <w:basedOn w:val="DefaultParagraphFont"/>
    <w:link w:val="CommentText"/>
    <w:uiPriority w:val="99"/>
    <w:semiHidden/>
    <w:rsid w:val="002C0CD5"/>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C0CD5"/>
    <w:rPr>
      <w:rFonts w:ascii="Tahoma" w:hAnsi="Tahoma" w:cs="Tahoma"/>
      <w:sz w:val="16"/>
      <w:szCs w:val="16"/>
    </w:rPr>
  </w:style>
  <w:style w:type="character" w:customStyle="1" w:styleId="BalloonTextChar">
    <w:name w:val="Balloon Text Char"/>
    <w:basedOn w:val="DefaultParagraphFont"/>
    <w:link w:val="BalloonText"/>
    <w:uiPriority w:val="99"/>
    <w:semiHidden/>
    <w:rsid w:val="002C0CD5"/>
    <w:rPr>
      <w:rFonts w:ascii="Tahoma" w:eastAsia="Times New Roman" w:hAnsi="Tahoma" w:cs="Tahoma"/>
      <w:sz w:val="16"/>
      <w:szCs w:val="16"/>
      <w:lang w:eastAsia="en-AU"/>
    </w:rPr>
  </w:style>
  <w:style w:type="paragraph" w:styleId="Footer">
    <w:name w:val="footer"/>
    <w:basedOn w:val="Normal"/>
    <w:link w:val="FooterChar"/>
    <w:uiPriority w:val="99"/>
    <w:unhideWhenUsed/>
    <w:rsid w:val="00203EBE"/>
    <w:pPr>
      <w:tabs>
        <w:tab w:val="center" w:pos="4513"/>
        <w:tab w:val="right" w:pos="9026"/>
      </w:tabs>
    </w:pPr>
  </w:style>
  <w:style w:type="character" w:customStyle="1" w:styleId="FooterChar">
    <w:name w:val="Footer Char"/>
    <w:basedOn w:val="DefaultParagraphFont"/>
    <w:link w:val="Footer"/>
    <w:uiPriority w:val="99"/>
    <w:rsid w:val="00203EB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51AE3"/>
    <w:rPr>
      <w:b/>
      <w:bCs/>
    </w:rPr>
  </w:style>
  <w:style w:type="character" w:customStyle="1" w:styleId="CommentSubjectChar">
    <w:name w:val="Comment Subject Char"/>
    <w:basedOn w:val="CommentTextChar"/>
    <w:link w:val="CommentSubject"/>
    <w:uiPriority w:val="99"/>
    <w:semiHidden/>
    <w:rsid w:val="00951AE3"/>
    <w:rPr>
      <w:rFonts w:ascii="Times New Roman" w:eastAsia="Times New Roman" w:hAnsi="Times New Roman" w:cs="Times New Roman"/>
      <w:b/>
      <w:bCs/>
      <w:sz w:val="20"/>
      <w:szCs w:val="20"/>
      <w:lang w:eastAsia="en-AU"/>
    </w:rPr>
  </w:style>
  <w:style w:type="paragraph" w:styleId="BodyText2">
    <w:name w:val="Body Text 2"/>
    <w:basedOn w:val="Normal"/>
    <w:link w:val="BodyText2Char"/>
    <w:uiPriority w:val="99"/>
    <w:unhideWhenUsed/>
    <w:rsid w:val="002131AC"/>
    <w:pPr>
      <w:spacing w:after="120" w:line="480" w:lineRule="auto"/>
    </w:pPr>
  </w:style>
  <w:style w:type="character" w:customStyle="1" w:styleId="BodyText2Char">
    <w:name w:val="Body Text 2 Char"/>
    <w:basedOn w:val="DefaultParagraphFont"/>
    <w:link w:val="BodyText2"/>
    <w:uiPriority w:val="99"/>
    <w:rsid w:val="002131AC"/>
    <w:rPr>
      <w:rFonts w:ascii="Times New Roman" w:eastAsia="Times New Roman" w:hAnsi="Times New Roman" w:cs="Times New Roman"/>
      <w:sz w:val="20"/>
      <w:szCs w:val="20"/>
      <w:lang w:eastAsia="en-AU"/>
    </w:rPr>
  </w:style>
  <w:style w:type="paragraph" w:styleId="ListParagraph">
    <w:name w:val="List Paragraph"/>
    <w:aliases w:val="Bullet point,CV text,Dot pt,F5 List Paragraph,FooterText,L,List Paragraph1,List Paragraph11,List Paragraph111,List Paragraph2,Medium Grid 1 - Accent 21,NFP GP Bulleted List,Numbered Paragraph,Recommendation,Table text,numbered,列,列出段,列出段落"/>
    <w:basedOn w:val="Normal"/>
    <w:link w:val="ListParagraphChar"/>
    <w:uiPriority w:val="34"/>
    <w:qFormat/>
    <w:rsid w:val="008A3C27"/>
    <w:pPr>
      <w:ind w:left="720"/>
      <w:contextualSpacing/>
    </w:pPr>
  </w:style>
  <w:style w:type="character" w:styleId="Emphasis">
    <w:name w:val="Emphasis"/>
    <w:basedOn w:val="DefaultParagraphFont"/>
    <w:uiPriority w:val="20"/>
    <w:qFormat/>
    <w:rsid w:val="0014799A"/>
    <w:rPr>
      <w:i/>
      <w:iCs/>
    </w:rPr>
  </w:style>
  <w:style w:type="paragraph" w:customStyle="1" w:styleId="Default">
    <w:name w:val="Default"/>
    <w:basedOn w:val="Normal"/>
    <w:rsid w:val="000C5458"/>
    <w:pPr>
      <w:autoSpaceDE w:val="0"/>
      <w:autoSpaceDN w:val="0"/>
    </w:pPr>
    <w:rPr>
      <w:rFonts w:ascii="Calibri" w:eastAsiaTheme="minorHAnsi" w:hAnsi="Calibri" w:cs="Calibri"/>
      <w:color w:val="000000"/>
      <w:sz w:val="24"/>
      <w:szCs w:val="24"/>
      <w:lang w:eastAsia="en-US"/>
    </w:rPr>
  </w:style>
  <w:style w:type="paragraph" w:styleId="Revision">
    <w:name w:val="Revision"/>
    <w:hidden/>
    <w:uiPriority w:val="99"/>
    <w:semiHidden/>
    <w:rsid w:val="000D57DD"/>
    <w:pPr>
      <w:spacing w:after="0" w:line="240" w:lineRule="auto"/>
    </w:pPr>
    <w:rPr>
      <w:rFonts w:ascii="Times New Roman" w:eastAsia="Times New Roman" w:hAnsi="Times New Roman" w:cs="Times New Roman"/>
      <w:sz w:val="20"/>
      <w:szCs w:val="20"/>
      <w:lang w:eastAsia="en-AU"/>
    </w:rPr>
  </w:style>
  <w:style w:type="character" w:customStyle="1" w:styleId="Heading2Char">
    <w:name w:val="Heading 2 Char"/>
    <w:basedOn w:val="DefaultParagraphFont"/>
    <w:link w:val="Heading2"/>
    <w:uiPriority w:val="9"/>
    <w:rsid w:val="001E505E"/>
    <w:rPr>
      <w:rFonts w:asciiTheme="majorHAnsi" w:eastAsiaTheme="majorEastAsia" w:hAnsiTheme="majorHAnsi" w:cstheme="majorBidi"/>
      <w:color w:val="373545" w:themeColor="text2"/>
      <w:sz w:val="36"/>
      <w:szCs w:val="26"/>
    </w:rPr>
  </w:style>
  <w:style w:type="character" w:customStyle="1" w:styleId="Heading3Char">
    <w:name w:val="Heading 3 Char"/>
    <w:basedOn w:val="DefaultParagraphFont"/>
    <w:link w:val="Heading3"/>
    <w:uiPriority w:val="9"/>
    <w:rsid w:val="001E505E"/>
    <w:rPr>
      <w:rFonts w:asciiTheme="majorHAnsi" w:eastAsiaTheme="majorEastAsia" w:hAnsiTheme="majorHAnsi" w:cstheme="majorBidi"/>
      <w:color w:val="1A495C" w:themeColor="accent1" w:themeShade="7F"/>
      <w:sz w:val="24"/>
      <w:szCs w:val="24"/>
      <w:lang w:eastAsia="en-AU"/>
    </w:rPr>
  </w:style>
  <w:style w:type="character" w:customStyle="1" w:styleId="Heading4Char">
    <w:name w:val="Heading 4 Char"/>
    <w:basedOn w:val="DefaultParagraphFont"/>
    <w:link w:val="Heading4"/>
    <w:uiPriority w:val="9"/>
    <w:rsid w:val="001E505E"/>
    <w:rPr>
      <w:rFonts w:asciiTheme="majorHAnsi" w:eastAsiaTheme="majorEastAsia" w:hAnsiTheme="majorHAnsi" w:cstheme="majorBidi"/>
      <w:b/>
      <w:iCs/>
      <w:color w:val="3C4647" w:themeColor="accent4" w:themeShade="80"/>
      <w:sz w:val="26"/>
    </w:rPr>
  </w:style>
  <w:style w:type="character" w:customStyle="1" w:styleId="Heading5Char">
    <w:name w:val="Heading 5 Char"/>
    <w:basedOn w:val="DefaultParagraphFont"/>
    <w:link w:val="Heading5"/>
    <w:uiPriority w:val="9"/>
    <w:rsid w:val="001E505E"/>
    <w:rPr>
      <w:rFonts w:asciiTheme="majorHAnsi" w:eastAsiaTheme="majorEastAsia" w:hAnsiTheme="majorHAnsi" w:cstheme="majorBidi"/>
      <w:b/>
      <w:color w:val="373545" w:themeColor="text2"/>
    </w:rPr>
  </w:style>
  <w:style w:type="character" w:customStyle="1" w:styleId="Heading6Char">
    <w:name w:val="Heading 6 Char"/>
    <w:basedOn w:val="DefaultParagraphFont"/>
    <w:link w:val="Heading6"/>
    <w:uiPriority w:val="9"/>
    <w:semiHidden/>
    <w:rsid w:val="001E505E"/>
    <w:rPr>
      <w:rFonts w:asciiTheme="majorHAnsi" w:eastAsiaTheme="majorEastAsia" w:hAnsiTheme="majorHAnsi" w:cstheme="majorBidi"/>
      <w:i/>
      <w:color w:val="373545" w:themeColor="text2"/>
    </w:rPr>
  </w:style>
  <w:style w:type="character" w:styleId="PlaceholderText">
    <w:name w:val="Placeholder Text"/>
    <w:basedOn w:val="DefaultParagraphFont"/>
    <w:uiPriority w:val="99"/>
    <w:semiHidden/>
    <w:rsid w:val="001E505E"/>
    <w:rPr>
      <w:color w:val="808080"/>
    </w:rPr>
  </w:style>
  <w:style w:type="paragraph" w:styleId="Subtitle">
    <w:name w:val="Subtitle"/>
    <w:basedOn w:val="Normal"/>
    <w:next w:val="Normal"/>
    <w:link w:val="SubtitleChar"/>
    <w:uiPriority w:val="18"/>
    <w:qFormat/>
    <w:rsid w:val="001E505E"/>
    <w:pPr>
      <w:numPr>
        <w:ilvl w:val="1"/>
      </w:numPr>
      <w:suppressAutoHyphens/>
      <w:spacing w:before="480" w:after="160"/>
    </w:pPr>
    <w:rPr>
      <w:rFonts w:asciiTheme="majorHAnsi" w:eastAsiaTheme="minorEastAsia" w:hAnsiTheme="majorHAnsi" w:cstheme="minorBidi"/>
      <w:color w:val="377B88"/>
      <w:sz w:val="44"/>
      <w:szCs w:val="22"/>
      <w:lang w:eastAsia="en-US"/>
    </w:rPr>
  </w:style>
  <w:style w:type="character" w:customStyle="1" w:styleId="SubtitleChar">
    <w:name w:val="Subtitle Char"/>
    <w:basedOn w:val="DefaultParagraphFont"/>
    <w:link w:val="Subtitle"/>
    <w:uiPriority w:val="18"/>
    <w:rsid w:val="001E505E"/>
    <w:rPr>
      <w:rFonts w:asciiTheme="majorHAnsi" w:eastAsiaTheme="minorEastAsia" w:hAnsiTheme="majorHAnsi"/>
      <w:color w:val="377B88"/>
      <w:sz w:val="44"/>
    </w:rPr>
  </w:style>
  <w:style w:type="paragraph" w:customStyle="1" w:styleId="CoverDate">
    <w:name w:val="Cover Date"/>
    <w:basedOn w:val="Normal"/>
    <w:uiPriority w:val="19"/>
    <w:qFormat/>
    <w:rsid w:val="001E505E"/>
    <w:pPr>
      <w:suppressAutoHyphens/>
      <w:spacing w:before="160" w:after="80"/>
    </w:pPr>
    <w:rPr>
      <w:rFonts w:asciiTheme="minorHAnsi" w:eastAsiaTheme="minorHAnsi" w:hAnsiTheme="minorHAnsi" w:cstheme="minorBidi"/>
      <w:b/>
      <w:color w:val="000000" w:themeColor="text1"/>
      <w:sz w:val="22"/>
      <w:szCs w:val="22"/>
      <w:lang w:eastAsia="en-US"/>
    </w:rPr>
  </w:style>
  <w:style w:type="paragraph" w:customStyle="1" w:styleId="CoverPhoto">
    <w:name w:val="Cover Photo"/>
    <w:basedOn w:val="Normal"/>
    <w:uiPriority w:val="19"/>
    <w:qFormat/>
    <w:rsid w:val="001E505E"/>
    <w:pPr>
      <w:suppressAutoHyphens/>
      <w:spacing w:before="1240" w:after="160"/>
    </w:pPr>
    <w:rPr>
      <w:rFonts w:asciiTheme="minorHAnsi" w:eastAsiaTheme="minorHAnsi" w:hAnsiTheme="minorHAnsi" w:cstheme="minorBidi"/>
      <w:color w:val="000000" w:themeColor="text1"/>
      <w:sz w:val="22"/>
      <w:szCs w:val="22"/>
      <w:lang w:eastAsia="en-US"/>
    </w:rPr>
  </w:style>
  <w:style w:type="paragraph" w:styleId="NoSpacing">
    <w:name w:val="No Spacing"/>
    <w:uiPriority w:val="1"/>
    <w:qFormat/>
    <w:rsid w:val="001E505E"/>
    <w:pPr>
      <w:suppressAutoHyphens/>
      <w:spacing w:before="160" w:after="80" w:line="240" w:lineRule="auto"/>
      <w:contextualSpacing/>
    </w:pPr>
    <w:rPr>
      <w:color w:val="000000" w:themeColor="text1"/>
      <w:kern w:val="12"/>
    </w:rPr>
  </w:style>
  <w:style w:type="paragraph" w:customStyle="1" w:styleId="ImprintHeading">
    <w:name w:val="Imprint Heading"/>
    <w:basedOn w:val="Normal"/>
    <w:uiPriority w:val="12"/>
    <w:rsid w:val="001E505E"/>
    <w:pPr>
      <w:suppressAutoHyphens/>
      <w:spacing w:before="240" w:after="160"/>
      <w:outlineLvl w:val="1"/>
    </w:pPr>
    <w:rPr>
      <w:rFonts w:asciiTheme="minorHAnsi" w:eastAsiaTheme="minorHAnsi" w:hAnsiTheme="minorHAnsi" w:cstheme="minorBidi"/>
      <w:b/>
      <w:color w:val="000000" w:themeColor="text1"/>
      <w:sz w:val="22"/>
      <w:szCs w:val="22"/>
      <w:lang w:val="x-none" w:eastAsia="en-US"/>
    </w:rPr>
  </w:style>
  <w:style w:type="character" w:styleId="Hyperlink">
    <w:name w:val="Hyperlink"/>
    <w:basedOn w:val="DefaultParagraphFont"/>
    <w:uiPriority w:val="99"/>
    <w:unhideWhenUsed/>
    <w:rsid w:val="001E505E"/>
    <w:rPr>
      <w:color w:val="6B9F25" w:themeColor="hyperlink"/>
      <w:u w:val="single"/>
    </w:rPr>
  </w:style>
  <w:style w:type="table" w:styleId="TableGrid">
    <w:name w:val="Table Grid"/>
    <w:basedOn w:val="TableNormal"/>
    <w:uiPriority w:val="39"/>
    <w:rsid w:val="001E505E"/>
    <w:pPr>
      <w:spacing w:after="0" w:line="240"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CMA Footnote Text,ACMA Footnote Text Char1,Footnote Text Char Char,Footnote Text Char Char Char Char,Footnote Text Char1,Footnote Text Char1 Char Char,Footnote Text Char1 Char Char Char Char,Footnote text,footnote text"/>
    <w:basedOn w:val="Normal"/>
    <w:link w:val="FootnoteTextChar"/>
    <w:uiPriority w:val="99"/>
    <w:qFormat/>
    <w:rsid w:val="001E505E"/>
    <w:pPr>
      <w:suppressAutoHyphens/>
      <w:ind w:left="284" w:hanging="284"/>
    </w:pPr>
    <w:rPr>
      <w:rFonts w:asciiTheme="minorHAnsi" w:eastAsiaTheme="minorHAnsi" w:hAnsiTheme="minorHAnsi" w:cstheme="minorBidi"/>
      <w:color w:val="000000" w:themeColor="text1"/>
      <w:sz w:val="18"/>
      <w:szCs w:val="22"/>
      <w:lang w:eastAsia="en-US"/>
    </w:rPr>
  </w:style>
  <w:style w:type="character" w:customStyle="1" w:styleId="FootnoteTextChar">
    <w:name w:val="Footnote Text Char"/>
    <w:aliases w:val="ACMA Footnote Text Char,ACMA Footnote Text Char1 Char,Footnote Text Char Char Char,Footnote Text Char Char Char Char Char,Footnote Text Char1 Char,Footnote Text Char1 Char Char Char,Footnote Text Char1 Char Char Char Char Char"/>
    <w:basedOn w:val="DefaultParagraphFont"/>
    <w:link w:val="FootnoteText"/>
    <w:uiPriority w:val="99"/>
    <w:qFormat/>
    <w:rsid w:val="001E505E"/>
    <w:rPr>
      <w:color w:val="000000" w:themeColor="text1"/>
      <w:sz w:val="18"/>
    </w:rPr>
  </w:style>
  <w:style w:type="character" w:styleId="FootnoteReference">
    <w:name w:val="footnote reference"/>
    <w:aliases w:val="(NECG) Footnote Reference,Appel note de bas de p,Appel note de bas de p + 11 pt,Appel note de bas de p1,Appel note de bas de p2,Appel note de bas de p3,Footnote,Footnote Reference/,Footnote symbol,Italic,Style 12,Style 124,fr,o"/>
    <w:basedOn w:val="DefaultParagraphFont"/>
    <w:uiPriority w:val="99"/>
    <w:unhideWhenUsed/>
    <w:qFormat/>
    <w:rsid w:val="001E505E"/>
    <w:rPr>
      <w:vertAlign w:val="superscript"/>
    </w:rPr>
  </w:style>
  <w:style w:type="paragraph" w:customStyle="1" w:styleId="Introduction">
    <w:name w:val="Introduction"/>
    <w:basedOn w:val="Normal"/>
    <w:uiPriority w:val="2"/>
    <w:qFormat/>
    <w:rsid w:val="001E505E"/>
    <w:pPr>
      <w:suppressAutoHyphens/>
      <w:spacing w:before="240" w:after="240"/>
    </w:pPr>
    <w:rPr>
      <w:rFonts w:asciiTheme="minorHAnsi" w:eastAsiaTheme="minorHAnsi" w:hAnsiTheme="minorHAnsi" w:cstheme="minorBidi"/>
      <w:color w:val="377B88"/>
      <w:sz w:val="26"/>
      <w:szCs w:val="22"/>
      <w:lang w:val="x-none" w:eastAsia="en-US"/>
    </w:rPr>
  </w:style>
  <w:style w:type="paragraph" w:styleId="Caption">
    <w:name w:val="caption"/>
    <w:basedOn w:val="Normal"/>
    <w:next w:val="Normal"/>
    <w:uiPriority w:val="14"/>
    <w:qFormat/>
    <w:rsid w:val="001E505E"/>
    <w:pPr>
      <w:suppressAutoHyphens/>
      <w:spacing w:before="240" w:after="160"/>
    </w:pPr>
    <w:rPr>
      <w:rFonts w:asciiTheme="minorHAnsi" w:eastAsiaTheme="minorHAnsi" w:hAnsiTheme="minorHAnsi" w:cstheme="minorBidi"/>
      <w:b/>
      <w:iCs/>
      <w:color w:val="000000" w:themeColor="text1"/>
      <w:sz w:val="22"/>
      <w:szCs w:val="18"/>
      <w:lang w:eastAsia="en-US"/>
    </w:rPr>
  </w:style>
  <w:style w:type="table" w:customStyle="1" w:styleId="DefaultTable1">
    <w:name w:val="Default Table 1"/>
    <w:basedOn w:val="TableNormal"/>
    <w:uiPriority w:val="99"/>
    <w:rsid w:val="001E505E"/>
    <w:pPr>
      <w:spacing w:before="80" w:after="80" w:line="240" w:lineRule="auto"/>
    </w:pPr>
    <w:rPr>
      <w:color w:val="000000" w:themeColor="text1"/>
    </w:rPr>
    <w:tblPr>
      <w:tblStyleRowBandSize w:val="1"/>
      <w:tblStyleColBandSize w:val="1"/>
      <w:tblBorders>
        <w:top w:val="single" w:sz="4" w:space="0" w:color="58B6C0" w:themeColor="accent2"/>
        <w:bottom w:val="single" w:sz="4" w:space="0" w:color="58B6C0" w:themeColor="accent2"/>
        <w:insideH w:val="single" w:sz="4" w:space="0" w:color="58B6C0" w:themeColor="accent2"/>
      </w:tblBorders>
    </w:tblPr>
    <w:tblStylePr w:type="firstRow">
      <w:rPr>
        <w:b/>
        <w:color w:val="FFFFFF" w:themeColor="background1"/>
      </w:rPr>
      <w:tblPr/>
      <w:trPr>
        <w:tblHeader/>
      </w:trPr>
      <w:tcPr>
        <w:tcBorders>
          <w:top w:val="nil"/>
          <w:bottom w:val="nil"/>
        </w:tcBorders>
        <w:shd w:val="clear" w:color="auto" w:fill="3494BA" w:themeFill="accent1"/>
      </w:tcPr>
    </w:tblStylePr>
    <w:tblStylePr w:type="lastRow">
      <w:rPr>
        <w:b/>
      </w:rPr>
      <w:tblPr/>
      <w:tcPr>
        <w:shd w:val="clear" w:color="auto" w:fill="E6EEF0"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E505E"/>
    <w:pPr>
      <w:suppressAutoHyphens/>
      <w:spacing w:before="120" w:after="80"/>
    </w:pPr>
    <w:rPr>
      <w:rFonts w:asciiTheme="minorHAnsi" w:eastAsiaTheme="minorHAnsi" w:hAnsiTheme="minorHAnsi" w:cstheme="minorBidi"/>
      <w:color w:val="000000" w:themeColor="text1"/>
      <w:sz w:val="16"/>
      <w:szCs w:val="22"/>
      <w:lang w:val="x-none" w:eastAsia="en-US"/>
    </w:rPr>
  </w:style>
  <w:style w:type="paragraph" w:customStyle="1" w:styleId="Sourcenotesnumbered">
    <w:name w:val="Source notes numbered"/>
    <w:basedOn w:val="Sourcenotes"/>
    <w:uiPriority w:val="15"/>
    <w:qFormat/>
    <w:rsid w:val="001E505E"/>
    <w:pPr>
      <w:spacing w:before="80"/>
    </w:pPr>
  </w:style>
  <w:style w:type="paragraph" w:customStyle="1" w:styleId="ListLegal10">
    <w:name w:val="List Legal 1"/>
    <w:basedOn w:val="Normal"/>
    <w:uiPriority w:val="3"/>
    <w:qFormat/>
    <w:rsid w:val="001E505E"/>
    <w:pPr>
      <w:numPr>
        <w:numId w:val="6"/>
      </w:numPr>
      <w:suppressAutoHyphens/>
      <w:spacing w:before="80" w:after="80"/>
    </w:pPr>
    <w:rPr>
      <w:rFonts w:asciiTheme="minorHAnsi" w:eastAsiaTheme="minorHAnsi" w:hAnsiTheme="minorHAnsi" w:cstheme="minorBidi"/>
      <w:color w:val="000000" w:themeColor="text1"/>
      <w:sz w:val="22"/>
      <w:szCs w:val="22"/>
      <w:lang w:val="x-none" w:eastAsia="en-US"/>
    </w:rPr>
  </w:style>
  <w:style w:type="paragraph" w:customStyle="1" w:styleId="ListLegal2">
    <w:name w:val="List Legal 2"/>
    <w:basedOn w:val="ListLegal10"/>
    <w:uiPriority w:val="3"/>
    <w:rsid w:val="001E505E"/>
    <w:pPr>
      <w:numPr>
        <w:ilvl w:val="1"/>
      </w:numPr>
    </w:pPr>
  </w:style>
  <w:style w:type="paragraph" w:customStyle="1" w:styleId="ListLegal3">
    <w:name w:val="List Legal 3"/>
    <w:basedOn w:val="ListLegal2"/>
    <w:uiPriority w:val="3"/>
    <w:rsid w:val="001E505E"/>
    <w:pPr>
      <w:numPr>
        <w:ilvl w:val="2"/>
      </w:numPr>
    </w:pPr>
  </w:style>
  <w:style w:type="paragraph" w:customStyle="1" w:styleId="ListNumbered1">
    <w:name w:val="List Numbered 1"/>
    <w:basedOn w:val="Normal"/>
    <w:uiPriority w:val="3"/>
    <w:qFormat/>
    <w:rsid w:val="001E505E"/>
    <w:pPr>
      <w:numPr>
        <w:numId w:val="7"/>
      </w:numPr>
      <w:suppressAutoHyphens/>
      <w:spacing w:before="80" w:after="80"/>
    </w:pPr>
    <w:rPr>
      <w:rFonts w:asciiTheme="minorHAnsi" w:eastAsiaTheme="minorHAnsi" w:hAnsiTheme="minorHAnsi" w:cstheme="minorBidi"/>
      <w:color w:val="000000" w:themeColor="text1"/>
      <w:sz w:val="22"/>
      <w:szCs w:val="22"/>
      <w:lang w:val="x-none" w:eastAsia="en-US"/>
    </w:rPr>
  </w:style>
  <w:style w:type="paragraph" w:customStyle="1" w:styleId="ListNumbered21">
    <w:name w:val="List Numbered 2.1"/>
    <w:basedOn w:val="ListNumbered1"/>
    <w:uiPriority w:val="3"/>
    <w:rsid w:val="001E505E"/>
    <w:pPr>
      <w:numPr>
        <w:ilvl w:val="1"/>
      </w:numPr>
    </w:pPr>
  </w:style>
  <w:style w:type="paragraph" w:customStyle="1" w:styleId="ListNumbered311">
    <w:name w:val="List Numbered 3.1.1"/>
    <w:basedOn w:val="ListNumbered21"/>
    <w:uiPriority w:val="3"/>
    <w:rsid w:val="001E505E"/>
    <w:pPr>
      <w:numPr>
        <w:ilvl w:val="2"/>
      </w:numPr>
    </w:pPr>
  </w:style>
  <w:style w:type="paragraph" w:customStyle="1" w:styleId="Bullet1">
    <w:name w:val="Bullet 1"/>
    <w:basedOn w:val="Normal"/>
    <w:uiPriority w:val="3"/>
    <w:qFormat/>
    <w:rsid w:val="001E505E"/>
    <w:pPr>
      <w:numPr>
        <w:numId w:val="5"/>
      </w:numPr>
      <w:suppressAutoHyphens/>
      <w:spacing w:before="80" w:after="80"/>
    </w:pPr>
    <w:rPr>
      <w:rFonts w:asciiTheme="minorHAnsi" w:eastAsiaTheme="minorHAnsi" w:hAnsiTheme="minorHAnsi" w:cstheme="minorBidi"/>
      <w:color w:val="000000" w:themeColor="text1"/>
      <w:sz w:val="22"/>
      <w:szCs w:val="22"/>
      <w:lang w:val="x-none" w:eastAsia="en-US"/>
    </w:rPr>
  </w:style>
  <w:style w:type="paragraph" w:customStyle="1" w:styleId="Bullet2">
    <w:name w:val="Bullet 2"/>
    <w:basedOn w:val="Bullet1"/>
    <w:uiPriority w:val="3"/>
    <w:rsid w:val="001E505E"/>
    <w:pPr>
      <w:numPr>
        <w:ilvl w:val="1"/>
      </w:numPr>
    </w:pPr>
  </w:style>
  <w:style w:type="paragraph" w:customStyle="1" w:styleId="Bullet3">
    <w:name w:val="Bullet 3"/>
    <w:basedOn w:val="Bullet2"/>
    <w:uiPriority w:val="3"/>
    <w:rsid w:val="001E505E"/>
    <w:pPr>
      <w:numPr>
        <w:ilvl w:val="2"/>
      </w:numPr>
    </w:pPr>
  </w:style>
  <w:style w:type="paragraph" w:styleId="TOCHeading">
    <w:name w:val="TOC Heading"/>
    <w:basedOn w:val="Heading1"/>
    <w:next w:val="Normal"/>
    <w:uiPriority w:val="39"/>
    <w:qFormat/>
    <w:rsid w:val="001E505E"/>
    <w:pPr>
      <w:keepLines/>
      <w:suppressAutoHyphens/>
      <w:spacing w:after="160"/>
      <w:contextualSpacing/>
      <w:jc w:val="left"/>
    </w:pPr>
    <w:rPr>
      <w:rFonts w:asciiTheme="majorHAnsi" w:eastAsiaTheme="majorEastAsia" w:hAnsiTheme="majorHAnsi" w:cstheme="majorBidi"/>
      <w:i w:val="0"/>
      <w:color w:val="373545" w:themeColor="text2"/>
      <w:sz w:val="44"/>
      <w:szCs w:val="32"/>
      <w:lang w:eastAsia="en-US"/>
    </w:rPr>
  </w:style>
  <w:style w:type="paragraph" w:customStyle="1" w:styleId="Box1Text">
    <w:name w:val="Box 1 Text"/>
    <w:basedOn w:val="Normal"/>
    <w:uiPriority w:val="23"/>
    <w:qFormat/>
    <w:rsid w:val="001E505E"/>
    <w:pPr>
      <w:pBdr>
        <w:top w:val="single" w:sz="4" w:space="14" w:color="58B6C0" w:themeColor="accent2"/>
        <w:left w:val="single" w:sz="4" w:space="14" w:color="58B6C0" w:themeColor="accent2"/>
        <w:bottom w:val="single" w:sz="4" w:space="14" w:color="58B6C0" w:themeColor="accent2"/>
        <w:right w:val="single" w:sz="4" w:space="14" w:color="58B6C0" w:themeColor="accent2"/>
      </w:pBdr>
      <w:suppressAutoHyphens/>
      <w:spacing w:before="160" w:after="80"/>
      <w:ind w:left="284" w:right="284"/>
    </w:pPr>
    <w:rPr>
      <w:rFonts w:asciiTheme="minorHAnsi" w:eastAsiaTheme="minorHAnsi" w:hAnsiTheme="minorHAnsi" w:cstheme="minorBidi"/>
      <w:color w:val="000000" w:themeColor="text1"/>
      <w:sz w:val="22"/>
      <w:szCs w:val="22"/>
      <w:lang w:val="x-none" w:eastAsia="en-US"/>
    </w:rPr>
  </w:style>
  <w:style w:type="paragraph" w:customStyle="1" w:styleId="Box1Heading">
    <w:name w:val="Box 1 Heading"/>
    <w:basedOn w:val="Box1Text"/>
    <w:uiPriority w:val="23"/>
    <w:qFormat/>
    <w:rsid w:val="001E505E"/>
    <w:rPr>
      <w:b/>
    </w:rPr>
  </w:style>
  <w:style w:type="paragraph" w:customStyle="1" w:styleId="Box1Bullet1">
    <w:name w:val="Box 1 Bullet 1"/>
    <w:basedOn w:val="Box1Text"/>
    <w:uiPriority w:val="24"/>
    <w:qFormat/>
    <w:rsid w:val="001E505E"/>
    <w:pPr>
      <w:numPr>
        <w:numId w:val="13"/>
      </w:numPr>
      <w:spacing w:before="80"/>
    </w:pPr>
    <w:rPr>
      <w:kern w:val="12"/>
      <w:sz w:val="20"/>
      <w:szCs w:val="20"/>
    </w:rPr>
  </w:style>
  <w:style w:type="paragraph" w:customStyle="1" w:styleId="Box2Text">
    <w:name w:val="Box 2 Text"/>
    <w:basedOn w:val="Normal"/>
    <w:uiPriority w:val="24"/>
    <w:qFormat/>
    <w:rsid w:val="001E505E"/>
    <w:pPr>
      <w:pBdr>
        <w:top w:val="single" w:sz="4" w:space="14" w:color="E6EEF0" w:themeColor="accent5" w:themeTint="33"/>
        <w:left w:val="single" w:sz="4" w:space="14" w:color="E6EEF0" w:themeColor="accent5" w:themeTint="33"/>
        <w:bottom w:val="single" w:sz="4" w:space="14" w:color="E6EEF0" w:themeColor="accent5" w:themeTint="33"/>
        <w:right w:val="single" w:sz="4" w:space="14" w:color="E6EEF0" w:themeColor="accent5" w:themeTint="33"/>
      </w:pBdr>
      <w:shd w:val="clear" w:color="auto" w:fill="E6EEF0" w:themeFill="accent5" w:themeFillTint="33"/>
      <w:suppressAutoHyphens/>
      <w:spacing w:before="160" w:after="80"/>
      <w:ind w:left="284" w:right="284"/>
    </w:pPr>
    <w:rPr>
      <w:rFonts w:asciiTheme="minorHAnsi" w:eastAsiaTheme="minorHAnsi" w:hAnsiTheme="minorHAnsi" w:cstheme="minorBidi"/>
      <w:color w:val="000000" w:themeColor="text1"/>
      <w:sz w:val="22"/>
      <w:szCs w:val="22"/>
      <w:lang w:val="x-none" w:eastAsia="en-US"/>
    </w:rPr>
  </w:style>
  <w:style w:type="paragraph" w:customStyle="1" w:styleId="Box2Heading">
    <w:name w:val="Box 2 Heading"/>
    <w:basedOn w:val="Box2Text"/>
    <w:uiPriority w:val="24"/>
    <w:qFormat/>
    <w:rsid w:val="001E505E"/>
    <w:rPr>
      <w:b/>
    </w:rPr>
  </w:style>
  <w:style w:type="paragraph" w:customStyle="1" w:styleId="Box2Bullet1">
    <w:name w:val="Box 2 Bullet 1"/>
    <w:basedOn w:val="Box2Text"/>
    <w:uiPriority w:val="25"/>
    <w:qFormat/>
    <w:rsid w:val="001E505E"/>
    <w:pPr>
      <w:numPr>
        <w:ilvl w:val="1"/>
        <w:numId w:val="13"/>
      </w:numPr>
      <w:spacing w:before="80"/>
    </w:pPr>
    <w:rPr>
      <w:kern w:val="12"/>
      <w:sz w:val="20"/>
      <w:szCs w:val="20"/>
    </w:rPr>
  </w:style>
  <w:style w:type="table" w:customStyle="1" w:styleId="IconBoxTable">
    <w:name w:val="Icon Box Table"/>
    <w:basedOn w:val="TableNormal"/>
    <w:uiPriority w:val="99"/>
    <w:rsid w:val="001E505E"/>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1E505E"/>
    <w:pPr>
      <w:numPr>
        <w:numId w:val="5"/>
      </w:numPr>
    </w:pPr>
  </w:style>
  <w:style w:type="numbering" w:customStyle="1" w:styleId="ListLegal">
    <w:name w:val="List Legal"/>
    <w:uiPriority w:val="99"/>
    <w:rsid w:val="001E505E"/>
    <w:pPr>
      <w:numPr>
        <w:numId w:val="6"/>
      </w:numPr>
    </w:pPr>
  </w:style>
  <w:style w:type="numbering" w:customStyle="1" w:styleId="ListNumbered">
    <w:name w:val="List Numbered"/>
    <w:uiPriority w:val="99"/>
    <w:rsid w:val="001E505E"/>
    <w:pPr>
      <w:numPr>
        <w:numId w:val="7"/>
      </w:numPr>
    </w:pPr>
  </w:style>
  <w:style w:type="paragraph" w:customStyle="1" w:styleId="Heading1Numbered">
    <w:name w:val="Heading 1 Numbered"/>
    <w:basedOn w:val="Heading1"/>
    <w:uiPriority w:val="10"/>
    <w:rsid w:val="001E505E"/>
    <w:pPr>
      <w:keepLines/>
      <w:numPr>
        <w:numId w:val="9"/>
      </w:numPr>
      <w:suppressAutoHyphens/>
      <w:spacing w:before="480" w:after="160"/>
      <w:contextualSpacing/>
      <w:jc w:val="left"/>
    </w:pPr>
    <w:rPr>
      <w:rFonts w:asciiTheme="majorHAnsi" w:eastAsiaTheme="majorEastAsia" w:hAnsiTheme="majorHAnsi" w:cstheme="majorBidi"/>
      <w:i w:val="0"/>
      <w:color w:val="373545" w:themeColor="text2"/>
      <w:sz w:val="44"/>
      <w:szCs w:val="32"/>
      <w:lang w:eastAsia="en-US"/>
    </w:rPr>
  </w:style>
  <w:style w:type="paragraph" w:customStyle="1" w:styleId="Heading2Numbered">
    <w:name w:val="Heading 2 Numbered"/>
    <w:basedOn w:val="Heading2"/>
    <w:uiPriority w:val="10"/>
    <w:rsid w:val="001E505E"/>
    <w:pPr>
      <w:numPr>
        <w:ilvl w:val="1"/>
        <w:numId w:val="9"/>
      </w:numPr>
    </w:pPr>
  </w:style>
  <w:style w:type="paragraph" w:customStyle="1" w:styleId="Heading3Numbered">
    <w:name w:val="Heading 3 Numbered"/>
    <w:basedOn w:val="Heading3"/>
    <w:uiPriority w:val="10"/>
    <w:rsid w:val="001E505E"/>
    <w:pPr>
      <w:numPr>
        <w:ilvl w:val="2"/>
        <w:numId w:val="9"/>
      </w:numPr>
      <w:suppressAutoHyphens/>
      <w:spacing w:before="240" w:after="160"/>
    </w:pPr>
    <w:rPr>
      <w:b/>
      <w:color w:val="5A696A" w:themeColor="accent4" w:themeShade="BF"/>
      <w:sz w:val="32"/>
      <w:lang w:eastAsia="en-US"/>
    </w:rPr>
  </w:style>
  <w:style w:type="paragraph" w:customStyle="1" w:styleId="Heading4Numbered">
    <w:name w:val="Heading 4 Numbered"/>
    <w:basedOn w:val="Heading4"/>
    <w:uiPriority w:val="10"/>
    <w:rsid w:val="001E505E"/>
    <w:pPr>
      <w:numPr>
        <w:ilvl w:val="3"/>
        <w:numId w:val="9"/>
      </w:numPr>
    </w:pPr>
  </w:style>
  <w:style w:type="paragraph" w:customStyle="1" w:styleId="Heading5Numbered">
    <w:name w:val="Heading 5 Numbered"/>
    <w:basedOn w:val="Heading5"/>
    <w:uiPriority w:val="10"/>
    <w:rsid w:val="001E505E"/>
    <w:pPr>
      <w:numPr>
        <w:ilvl w:val="4"/>
        <w:numId w:val="9"/>
      </w:numPr>
    </w:pPr>
  </w:style>
  <w:style w:type="numbering" w:customStyle="1" w:styleId="NumberedHeadings">
    <w:name w:val="Numbered Headings"/>
    <w:uiPriority w:val="99"/>
    <w:rsid w:val="001E505E"/>
    <w:pPr>
      <w:numPr>
        <w:numId w:val="8"/>
      </w:numPr>
    </w:pPr>
  </w:style>
  <w:style w:type="paragraph" w:customStyle="1" w:styleId="AppendixHeading1">
    <w:name w:val="Appendix Heading 1"/>
    <w:basedOn w:val="Heading1"/>
    <w:uiPriority w:val="11"/>
    <w:qFormat/>
    <w:rsid w:val="001E505E"/>
    <w:pPr>
      <w:keepLines/>
      <w:numPr>
        <w:numId w:val="11"/>
      </w:numPr>
      <w:suppressAutoHyphens/>
      <w:spacing w:before="480" w:after="160"/>
      <w:contextualSpacing/>
      <w:jc w:val="left"/>
    </w:pPr>
    <w:rPr>
      <w:rFonts w:asciiTheme="majorHAnsi" w:eastAsiaTheme="majorEastAsia" w:hAnsiTheme="majorHAnsi" w:cstheme="majorBidi"/>
      <w:i w:val="0"/>
      <w:color w:val="373545" w:themeColor="text2"/>
      <w:sz w:val="44"/>
      <w:szCs w:val="32"/>
      <w:lang w:eastAsia="en-US"/>
    </w:rPr>
  </w:style>
  <w:style w:type="paragraph" w:customStyle="1" w:styleId="AppendixHeading2">
    <w:name w:val="Appendix Heading 2"/>
    <w:basedOn w:val="Heading2"/>
    <w:uiPriority w:val="11"/>
    <w:rsid w:val="001E505E"/>
    <w:pPr>
      <w:numPr>
        <w:ilvl w:val="1"/>
        <w:numId w:val="11"/>
      </w:numPr>
    </w:pPr>
  </w:style>
  <w:style w:type="paragraph" w:customStyle="1" w:styleId="AttachmentHeading1">
    <w:name w:val="Attachment Heading 1"/>
    <w:basedOn w:val="Heading1"/>
    <w:uiPriority w:val="11"/>
    <w:qFormat/>
    <w:rsid w:val="001E505E"/>
    <w:pPr>
      <w:keepLines/>
      <w:numPr>
        <w:numId w:val="12"/>
      </w:numPr>
      <w:suppressAutoHyphens/>
      <w:spacing w:before="480" w:after="160"/>
      <w:contextualSpacing/>
      <w:jc w:val="left"/>
    </w:pPr>
    <w:rPr>
      <w:rFonts w:asciiTheme="majorHAnsi" w:eastAsiaTheme="majorEastAsia" w:hAnsiTheme="majorHAnsi" w:cstheme="majorBidi"/>
      <w:i w:val="0"/>
      <w:color w:val="373545" w:themeColor="text2"/>
      <w:sz w:val="44"/>
      <w:szCs w:val="32"/>
      <w:lang w:eastAsia="en-US"/>
    </w:rPr>
  </w:style>
  <w:style w:type="paragraph" w:customStyle="1" w:styleId="AttachmentHeading2">
    <w:name w:val="Attachment Heading 2"/>
    <w:basedOn w:val="Heading2"/>
    <w:uiPriority w:val="11"/>
    <w:rsid w:val="001E505E"/>
    <w:pPr>
      <w:numPr>
        <w:ilvl w:val="1"/>
        <w:numId w:val="12"/>
      </w:numPr>
    </w:pPr>
  </w:style>
  <w:style w:type="numbering" w:customStyle="1" w:styleId="AppendixNumbers">
    <w:name w:val="Appendix Numbers"/>
    <w:uiPriority w:val="99"/>
    <w:rsid w:val="001E505E"/>
    <w:pPr>
      <w:numPr>
        <w:numId w:val="10"/>
      </w:numPr>
    </w:pPr>
  </w:style>
  <w:style w:type="numbering" w:customStyle="1" w:styleId="AttachmentNumbers">
    <w:name w:val="Attachment Numbers"/>
    <w:uiPriority w:val="99"/>
    <w:rsid w:val="001E505E"/>
    <w:pPr>
      <w:numPr>
        <w:numId w:val="12"/>
      </w:numPr>
    </w:pPr>
  </w:style>
  <w:style w:type="paragraph" w:styleId="Quote">
    <w:name w:val="Quote"/>
    <w:basedOn w:val="Normal"/>
    <w:next w:val="Normal"/>
    <w:link w:val="QuoteChar"/>
    <w:uiPriority w:val="29"/>
    <w:qFormat/>
    <w:rsid w:val="001E505E"/>
    <w:pPr>
      <w:pBdr>
        <w:left w:val="single" w:sz="48" w:space="22" w:color="4BB3B5"/>
      </w:pBdr>
      <w:suppressAutoHyphens/>
      <w:spacing w:before="160" w:after="160"/>
      <w:ind w:left="567" w:right="567"/>
    </w:pPr>
    <w:rPr>
      <w:rFonts w:asciiTheme="minorHAnsi" w:eastAsiaTheme="minorHAnsi" w:hAnsiTheme="minorHAnsi" w:cstheme="minorBidi"/>
      <w:b/>
      <w:iCs/>
      <w:color w:val="404040" w:themeColor="text1" w:themeTint="BF"/>
      <w:sz w:val="22"/>
      <w:szCs w:val="22"/>
      <w:lang w:eastAsia="en-US"/>
    </w:rPr>
  </w:style>
  <w:style w:type="character" w:customStyle="1" w:styleId="QuoteChar">
    <w:name w:val="Quote Char"/>
    <w:basedOn w:val="DefaultParagraphFont"/>
    <w:link w:val="Quote"/>
    <w:uiPriority w:val="29"/>
    <w:rsid w:val="001E505E"/>
    <w:rPr>
      <w:b/>
      <w:iCs/>
      <w:color w:val="404040" w:themeColor="text1" w:themeTint="BF"/>
    </w:rPr>
  </w:style>
  <w:style w:type="paragraph" w:styleId="TOC1">
    <w:name w:val="toc 1"/>
    <w:basedOn w:val="Normal"/>
    <w:next w:val="Normal"/>
    <w:autoRedefine/>
    <w:uiPriority w:val="39"/>
    <w:rsid w:val="001E505E"/>
    <w:pPr>
      <w:keepLines/>
      <w:tabs>
        <w:tab w:val="right" w:pos="9854"/>
      </w:tabs>
      <w:suppressAutoHyphens/>
      <w:spacing w:before="160" w:after="80"/>
      <w:ind w:left="567" w:hanging="567"/>
    </w:pPr>
    <w:rPr>
      <w:rFonts w:asciiTheme="minorHAnsi" w:eastAsiaTheme="minorHAnsi" w:hAnsiTheme="minorHAnsi" w:cstheme="minorBidi"/>
      <w:b/>
      <w:color w:val="000000" w:themeColor="text1"/>
      <w:sz w:val="24"/>
      <w:szCs w:val="22"/>
      <w:u w:val="single" w:color="58B6C0" w:themeColor="accent2"/>
      <w:lang w:eastAsia="en-US"/>
    </w:rPr>
  </w:style>
  <w:style w:type="paragraph" w:styleId="TOC2">
    <w:name w:val="toc 2"/>
    <w:basedOn w:val="Normal"/>
    <w:next w:val="Normal"/>
    <w:autoRedefine/>
    <w:uiPriority w:val="39"/>
    <w:rsid w:val="001E505E"/>
    <w:pPr>
      <w:keepLines/>
      <w:suppressAutoHyphens/>
      <w:spacing w:before="80" w:after="80"/>
      <w:ind w:left="567" w:hanging="567"/>
    </w:pPr>
    <w:rPr>
      <w:rFonts w:asciiTheme="minorHAnsi" w:eastAsiaTheme="minorHAnsi" w:hAnsiTheme="minorHAnsi" w:cstheme="minorBidi"/>
      <w:color w:val="000000" w:themeColor="text1"/>
      <w:sz w:val="22"/>
      <w:szCs w:val="22"/>
      <w:lang w:eastAsia="en-US"/>
    </w:rPr>
  </w:style>
  <w:style w:type="paragraph" w:styleId="TOC3">
    <w:name w:val="toc 3"/>
    <w:basedOn w:val="Normal"/>
    <w:next w:val="Normal"/>
    <w:autoRedefine/>
    <w:uiPriority w:val="39"/>
    <w:rsid w:val="001E505E"/>
    <w:pPr>
      <w:suppressAutoHyphens/>
      <w:spacing w:before="80" w:after="80"/>
      <w:ind w:left="1134" w:hanging="567"/>
    </w:pPr>
    <w:rPr>
      <w:rFonts w:asciiTheme="minorHAnsi" w:eastAsiaTheme="minorHAnsi" w:hAnsiTheme="minorHAnsi" w:cstheme="minorBidi"/>
      <w:color w:val="000000" w:themeColor="text1"/>
      <w:sz w:val="22"/>
      <w:szCs w:val="22"/>
      <w:lang w:eastAsia="en-US"/>
    </w:rPr>
  </w:style>
  <w:style w:type="paragraph" w:styleId="TableofFigures">
    <w:name w:val="table of figures"/>
    <w:basedOn w:val="Normal"/>
    <w:next w:val="Normal"/>
    <w:uiPriority w:val="40"/>
    <w:unhideWhenUsed/>
    <w:rsid w:val="001E505E"/>
    <w:pPr>
      <w:suppressAutoHyphens/>
      <w:spacing w:before="80" w:after="80"/>
    </w:pPr>
    <w:rPr>
      <w:rFonts w:asciiTheme="minorHAnsi" w:eastAsiaTheme="minorHAnsi" w:hAnsiTheme="minorHAnsi" w:cstheme="minorBidi"/>
      <w:color w:val="000000" w:themeColor="text1"/>
      <w:sz w:val="22"/>
      <w:szCs w:val="22"/>
      <w:lang w:eastAsia="en-US"/>
    </w:rPr>
  </w:style>
  <w:style w:type="paragraph" w:customStyle="1" w:styleId="AreaHeading">
    <w:name w:val="Area Heading"/>
    <w:basedOn w:val="Normal"/>
    <w:qFormat/>
    <w:rsid w:val="001E505E"/>
    <w:pPr>
      <w:suppressAutoHyphens/>
      <w:spacing w:after="80"/>
      <w:ind w:left="-1020" w:firstLine="1020"/>
    </w:pPr>
    <w:rPr>
      <w:rFonts w:asciiTheme="minorHAnsi" w:eastAsiaTheme="minorHAnsi" w:hAnsiTheme="minorHAnsi" w:cs="Times New Roman (Body CS)"/>
      <w:caps/>
      <w:color w:val="3C4647" w:themeColor="accent4" w:themeShade="80"/>
      <w:sz w:val="22"/>
      <w:szCs w:val="22"/>
      <w:lang w:eastAsia="en-US"/>
    </w:rPr>
  </w:style>
  <w:style w:type="paragraph" w:customStyle="1" w:styleId="Box2Checklist">
    <w:name w:val="Box 2 Checklist"/>
    <w:basedOn w:val="Box2Text"/>
    <w:uiPriority w:val="26"/>
    <w:qFormat/>
    <w:rsid w:val="001E505E"/>
    <w:pPr>
      <w:numPr>
        <w:ilvl w:val="2"/>
        <w:numId w:val="13"/>
      </w:numPr>
    </w:pPr>
    <w:rPr>
      <w:kern w:val="12"/>
      <w:sz w:val="20"/>
      <w:szCs w:val="20"/>
    </w:rPr>
  </w:style>
  <w:style w:type="numbering" w:customStyle="1" w:styleId="BoxedBullets">
    <w:name w:val="Boxed Bullets"/>
    <w:uiPriority w:val="99"/>
    <w:rsid w:val="001E505E"/>
    <w:pPr>
      <w:numPr>
        <w:numId w:val="13"/>
      </w:numPr>
    </w:pPr>
  </w:style>
  <w:style w:type="paragraph" w:styleId="NormalWeb">
    <w:name w:val="Normal (Web)"/>
    <w:basedOn w:val="Normal"/>
    <w:uiPriority w:val="99"/>
    <w:unhideWhenUsed/>
    <w:rsid w:val="001E505E"/>
    <w:pPr>
      <w:spacing w:before="100" w:beforeAutospacing="1" w:after="100" w:afterAutospacing="1"/>
    </w:pPr>
    <w:rPr>
      <w:sz w:val="24"/>
      <w:szCs w:val="24"/>
    </w:rPr>
  </w:style>
  <w:style w:type="character" w:styleId="HTMLCite">
    <w:name w:val="HTML Cite"/>
    <w:basedOn w:val="DefaultParagraphFont"/>
    <w:uiPriority w:val="99"/>
    <w:semiHidden/>
    <w:unhideWhenUsed/>
    <w:rsid w:val="001E505E"/>
    <w:rPr>
      <w:i/>
      <w:iCs/>
    </w:rPr>
  </w:style>
  <w:style w:type="character" w:customStyle="1" w:styleId="dyjrff">
    <w:name w:val="dyjrff"/>
    <w:basedOn w:val="DefaultParagraphFont"/>
    <w:rsid w:val="001E505E"/>
  </w:style>
  <w:style w:type="paragraph" w:customStyle="1" w:styleId="myvuie">
    <w:name w:val="myvuie"/>
    <w:basedOn w:val="Normal"/>
    <w:rsid w:val="001E505E"/>
    <w:pPr>
      <w:spacing w:before="100" w:beforeAutospacing="1" w:after="100" w:afterAutospacing="1"/>
    </w:pPr>
    <w:rPr>
      <w:sz w:val="24"/>
      <w:szCs w:val="24"/>
    </w:rPr>
  </w:style>
  <w:style w:type="character" w:customStyle="1" w:styleId="zgwo7">
    <w:name w:val="zgwo7"/>
    <w:basedOn w:val="DefaultParagraphFont"/>
    <w:rsid w:val="001E505E"/>
  </w:style>
  <w:style w:type="character" w:customStyle="1" w:styleId="UnresolvedMention1">
    <w:name w:val="Unresolved Mention1"/>
    <w:basedOn w:val="DefaultParagraphFont"/>
    <w:uiPriority w:val="99"/>
    <w:semiHidden/>
    <w:unhideWhenUsed/>
    <w:rsid w:val="001E505E"/>
    <w:rPr>
      <w:color w:val="605E5C"/>
      <w:shd w:val="clear" w:color="auto" w:fill="E1DFDD"/>
    </w:rPr>
  </w:style>
  <w:style w:type="character" w:styleId="FollowedHyperlink">
    <w:name w:val="FollowedHyperlink"/>
    <w:basedOn w:val="DefaultParagraphFont"/>
    <w:uiPriority w:val="99"/>
    <w:semiHidden/>
    <w:unhideWhenUsed/>
    <w:rsid w:val="001E505E"/>
    <w:rPr>
      <w:color w:val="9F6715" w:themeColor="followedHyperlink"/>
      <w:u w:val="single"/>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FP GP Bulleted List Char"/>
    <w:link w:val="ListParagraph"/>
    <w:uiPriority w:val="34"/>
    <w:qFormat/>
    <w:rsid w:val="001E505E"/>
    <w:rPr>
      <w:rFonts w:ascii="Times New Roman" w:eastAsia="Times New Roman" w:hAnsi="Times New Roman" w:cs="Times New Roman"/>
      <w:sz w:val="20"/>
      <w:szCs w:val="20"/>
      <w:lang w:eastAsia="en-AU"/>
    </w:rPr>
  </w:style>
  <w:style w:type="character" w:customStyle="1" w:styleId="UnresolvedMention2">
    <w:name w:val="Unresolved Mention2"/>
    <w:basedOn w:val="DefaultParagraphFont"/>
    <w:uiPriority w:val="99"/>
    <w:semiHidden/>
    <w:unhideWhenUsed/>
    <w:rsid w:val="001E505E"/>
    <w:rPr>
      <w:color w:val="605E5C"/>
      <w:shd w:val="clear" w:color="auto" w:fill="E1DFDD"/>
    </w:rPr>
  </w:style>
  <w:style w:type="numbering" w:customStyle="1" w:styleId="NoList1">
    <w:name w:val="No List1"/>
    <w:next w:val="NoList"/>
    <w:uiPriority w:val="99"/>
    <w:semiHidden/>
    <w:unhideWhenUsed/>
    <w:rsid w:val="001E505E"/>
  </w:style>
  <w:style w:type="table" w:customStyle="1" w:styleId="TableGrid1">
    <w:name w:val="Table Grid1"/>
    <w:basedOn w:val="TableNormal"/>
    <w:next w:val="TableGrid"/>
    <w:uiPriority w:val="39"/>
    <w:rsid w:val="001E505E"/>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11">
    <w:name w:val="Default Table 11"/>
    <w:basedOn w:val="TableNormal"/>
    <w:uiPriority w:val="99"/>
    <w:rsid w:val="001E505E"/>
    <w:pPr>
      <w:spacing w:before="80" w:after="80" w:line="240" w:lineRule="auto"/>
    </w:pPr>
    <w:rPr>
      <w:color w:val="000000"/>
    </w:rPr>
    <w:tblPr>
      <w:tblStyleRowBandSize w:val="1"/>
      <w:tblStyleColBandSize w:val="1"/>
      <w:tblBorders>
        <w:top w:val="single" w:sz="4" w:space="0" w:color="008089"/>
        <w:bottom w:val="single" w:sz="4" w:space="0" w:color="008089"/>
        <w:insideH w:val="single" w:sz="4" w:space="0" w:color="008089"/>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IconBoxTable1">
    <w:name w:val="Icon Box Table1"/>
    <w:basedOn w:val="TableNormal"/>
    <w:uiPriority w:val="99"/>
    <w:rsid w:val="001E505E"/>
    <w:pPr>
      <w:spacing w:before="80" w:after="80" w:line="240" w:lineRule="auto"/>
    </w:pPr>
    <w:rPr>
      <w:color w:val="000000"/>
    </w:rPr>
    <w:tblPr>
      <w:tblCellMar>
        <w:top w:w="57" w:type="dxa"/>
        <w:left w:w="170" w:type="dxa"/>
        <w:bottom w:w="57" w:type="dxa"/>
        <w:right w:w="170" w:type="dxa"/>
      </w:tblCellMar>
    </w:tblPr>
    <w:tcPr>
      <w:shd w:val="clear" w:color="auto" w:fill="F2F2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1">
    <w:name w:val="Bullets1"/>
    <w:uiPriority w:val="99"/>
    <w:rsid w:val="001E505E"/>
    <w:pPr>
      <w:numPr>
        <w:numId w:val="14"/>
      </w:numPr>
    </w:pPr>
  </w:style>
  <w:style w:type="numbering" w:customStyle="1" w:styleId="ListLegal1">
    <w:name w:val="List Legal1"/>
    <w:uiPriority w:val="99"/>
    <w:rsid w:val="001E505E"/>
    <w:pPr>
      <w:numPr>
        <w:numId w:val="16"/>
      </w:numPr>
    </w:pPr>
  </w:style>
  <w:style w:type="numbering" w:customStyle="1" w:styleId="ListNumbered10">
    <w:name w:val="List Numbered1"/>
    <w:uiPriority w:val="99"/>
    <w:rsid w:val="001E505E"/>
    <w:pPr>
      <w:numPr>
        <w:numId w:val="18"/>
      </w:numPr>
    </w:pPr>
  </w:style>
  <w:style w:type="numbering" w:customStyle="1" w:styleId="NumberedHeadings1">
    <w:name w:val="Numbered Headings1"/>
    <w:uiPriority w:val="99"/>
    <w:rsid w:val="001E505E"/>
    <w:pPr>
      <w:numPr>
        <w:numId w:val="20"/>
      </w:numPr>
    </w:pPr>
  </w:style>
  <w:style w:type="numbering" w:customStyle="1" w:styleId="AppendixNumbers1">
    <w:name w:val="Appendix Numbers1"/>
    <w:uiPriority w:val="99"/>
    <w:rsid w:val="001E505E"/>
    <w:pPr>
      <w:numPr>
        <w:numId w:val="22"/>
      </w:numPr>
    </w:pPr>
  </w:style>
  <w:style w:type="numbering" w:customStyle="1" w:styleId="AttachmentNumbers1">
    <w:name w:val="Attachment Numbers1"/>
    <w:uiPriority w:val="99"/>
    <w:rsid w:val="001E505E"/>
    <w:pPr>
      <w:numPr>
        <w:numId w:val="24"/>
      </w:numPr>
    </w:pPr>
  </w:style>
  <w:style w:type="numbering" w:customStyle="1" w:styleId="BoxedBullets1">
    <w:name w:val="Boxed Bullets1"/>
    <w:uiPriority w:val="99"/>
    <w:rsid w:val="001E505E"/>
    <w:pPr>
      <w:numPr>
        <w:numId w:val="25"/>
      </w:numPr>
    </w:pPr>
  </w:style>
  <w:style w:type="character" w:customStyle="1" w:styleId="UnresolvedMention3">
    <w:name w:val="Unresolved Mention3"/>
    <w:basedOn w:val="DefaultParagraphFont"/>
    <w:uiPriority w:val="99"/>
    <w:semiHidden/>
    <w:unhideWhenUsed/>
    <w:rsid w:val="009D1A85"/>
    <w:rPr>
      <w:color w:val="605E5C"/>
      <w:shd w:val="clear" w:color="auto" w:fill="E1DFDD"/>
    </w:rPr>
  </w:style>
  <w:style w:type="paragraph" w:customStyle="1" w:styleId="subsection">
    <w:name w:val="subsection"/>
    <w:aliases w:val="ss,Subsection"/>
    <w:basedOn w:val="Normal"/>
    <w:link w:val="subsectionChar"/>
    <w:rsid w:val="003C4BF8"/>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3C4BF8"/>
    <w:rPr>
      <w:rFonts w:ascii="Times New Roman" w:eastAsia="Times New Roman" w:hAnsi="Times New Roman" w:cs="Times New Roman"/>
      <w:szCs w:val="20"/>
      <w:lang w:eastAsia="en-AU"/>
    </w:rPr>
  </w:style>
  <w:style w:type="paragraph" w:customStyle="1" w:styleId="ActHead5">
    <w:name w:val="ActHead 5"/>
    <w:aliases w:val="s"/>
    <w:basedOn w:val="Normal"/>
    <w:next w:val="subsection"/>
    <w:qFormat/>
    <w:rsid w:val="009A5AC3"/>
    <w:pPr>
      <w:keepNext/>
      <w:keepLines/>
      <w:spacing w:before="280"/>
      <w:ind w:left="1134" w:hanging="1134"/>
      <w:outlineLvl w:val="4"/>
    </w:pPr>
    <w:rPr>
      <w:b/>
      <w:kern w:val="28"/>
      <w:sz w:val="24"/>
    </w:rPr>
  </w:style>
  <w:style w:type="paragraph" w:customStyle="1" w:styleId="paragraph">
    <w:name w:val="paragraph"/>
    <w:aliases w:val="a"/>
    <w:basedOn w:val="Normal"/>
    <w:rsid w:val="00750665"/>
    <w:pPr>
      <w:tabs>
        <w:tab w:val="right" w:pos="1531"/>
      </w:tabs>
      <w:spacing w:before="40"/>
      <w:ind w:left="1644" w:hanging="1644"/>
    </w:pPr>
    <w:rPr>
      <w:sz w:val="22"/>
    </w:rPr>
  </w:style>
  <w:style w:type="paragraph" w:customStyle="1" w:styleId="paragraphsub">
    <w:name w:val="paragraph(sub)"/>
    <w:aliases w:val="aa"/>
    <w:basedOn w:val="Normal"/>
    <w:rsid w:val="00B729D0"/>
    <w:pPr>
      <w:tabs>
        <w:tab w:val="right" w:pos="1985"/>
      </w:tabs>
      <w:spacing w:before="40"/>
      <w:ind w:left="2098" w:hanging="2098"/>
    </w:pPr>
    <w:rPr>
      <w:sz w:val="22"/>
    </w:rPr>
  </w:style>
  <w:style w:type="character" w:styleId="UnresolvedMention">
    <w:name w:val="Unresolved Mention"/>
    <w:basedOn w:val="DefaultParagraphFont"/>
    <w:uiPriority w:val="99"/>
    <w:semiHidden/>
    <w:unhideWhenUsed/>
    <w:rsid w:val="000A1001"/>
    <w:rPr>
      <w:color w:val="605E5C"/>
      <w:shd w:val="clear" w:color="auto" w:fill="E1DFDD"/>
    </w:rPr>
  </w:style>
  <w:style w:type="character" w:styleId="Strong">
    <w:name w:val="Strong"/>
    <w:basedOn w:val="DefaultParagraphFont"/>
    <w:uiPriority w:val="22"/>
    <w:qFormat/>
    <w:rsid w:val="00E60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66211">
      <w:bodyDiv w:val="1"/>
      <w:marLeft w:val="0"/>
      <w:marRight w:val="0"/>
      <w:marTop w:val="0"/>
      <w:marBottom w:val="0"/>
      <w:divBdr>
        <w:top w:val="none" w:sz="0" w:space="0" w:color="auto"/>
        <w:left w:val="none" w:sz="0" w:space="0" w:color="auto"/>
        <w:bottom w:val="none" w:sz="0" w:space="0" w:color="auto"/>
        <w:right w:val="none" w:sz="0" w:space="0" w:color="auto"/>
      </w:divBdr>
    </w:div>
    <w:div w:id="196815927">
      <w:bodyDiv w:val="1"/>
      <w:marLeft w:val="0"/>
      <w:marRight w:val="0"/>
      <w:marTop w:val="0"/>
      <w:marBottom w:val="0"/>
      <w:divBdr>
        <w:top w:val="none" w:sz="0" w:space="0" w:color="auto"/>
        <w:left w:val="none" w:sz="0" w:space="0" w:color="auto"/>
        <w:bottom w:val="none" w:sz="0" w:space="0" w:color="auto"/>
        <w:right w:val="none" w:sz="0" w:space="0" w:color="auto"/>
      </w:divBdr>
    </w:div>
    <w:div w:id="344601528">
      <w:bodyDiv w:val="1"/>
      <w:marLeft w:val="0"/>
      <w:marRight w:val="0"/>
      <w:marTop w:val="0"/>
      <w:marBottom w:val="0"/>
      <w:divBdr>
        <w:top w:val="none" w:sz="0" w:space="0" w:color="auto"/>
        <w:left w:val="none" w:sz="0" w:space="0" w:color="auto"/>
        <w:bottom w:val="none" w:sz="0" w:space="0" w:color="auto"/>
        <w:right w:val="none" w:sz="0" w:space="0" w:color="auto"/>
      </w:divBdr>
    </w:div>
    <w:div w:id="668288766">
      <w:bodyDiv w:val="1"/>
      <w:marLeft w:val="0"/>
      <w:marRight w:val="0"/>
      <w:marTop w:val="0"/>
      <w:marBottom w:val="0"/>
      <w:divBdr>
        <w:top w:val="none" w:sz="0" w:space="0" w:color="auto"/>
        <w:left w:val="none" w:sz="0" w:space="0" w:color="auto"/>
        <w:bottom w:val="none" w:sz="0" w:space="0" w:color="auto"/>
        <w:right w:val="none" w:sz="0" w:space="0" w:color="auto"/>
      </w:divBdr>
    </w:div>
    <w:div w:id="706106278">
      <w:bodyDiv w:val="1"/>
      <w:marLeft w:val="0"/>
      <w:marRight w:val="0"/>
      <w:marTop w:val="0"/>
      <w:marBottom w:val="0"/>
      <w:divBdr>
        <w:top w:val="none" w:sz="0" w:space="0" w:color="auto"/>
        <w:left w:val="none" w:sz="0" w:space="0" w:color="auto"/>
        <w:bottom w:val="none" w:sz="0" w:space="0" w:color="auto"/>
        <w:right w:val="none" w:sz="0" w:space="0" w:color="auto"/>
      </w:divBdr>
    </w:div>
    <w:div w:id="716006453">
      <w:bodyDiv w:val="1"/>
      <w:marLeft w:val="0"/>
      <w:marRight w:val="0"/>
      <w:marTop w:val="0"/>
      <w:marBottom w:val="0"/>
      <w:divBdr>
        <w:top w:val="none" w:sz="0" w:space="0" w:color="auto"/>
        <w:left w:val="none" w:sz="0" w:space="0" w:color="auto"/>
        <w:bottom w:val="none" w:sz="0" w:space="0" w:color="auto"/>
        <w:right w:val="none" w:sz="0" w:space="0" w:color="auto"/>
      </w:divBdr>
    </w:div>
    <w:div w:id="934174631">
      <w:bodyDiv w:val="1"/>
      <w:marLeft w:val="0"/>
      <w:marRight w:val="0"/>
      <w:marTop w:val="0"/>
      <w:marBottom w:val="0"/>
      <w:divBdr>
        <w:top w:val="none" w:sz="0" w:space="0" w:color="auto"/>
        <w:left w:val="none" w:sz="0" w:space="0" w:color="auto"/>
        <w:bottom w:val="none" w:sz="0" w:space="0" w:color="auto"/>
        <w:right w:val="none" w:sz="0" w:space="0" w:color="auto"/>
      </w:divBdr>
    </w:div>
    <w:div w:id="943533889">
      <w:bodyDiv w:val="1"/>
      <w:marLeft w:val="0"/>
      <w:marRight w:val="0"/>
      <w:marTop w:val="0"/>
      <w:marBottom w:val="0"/>
      <w:divBdr>
        <w:top w:val="none" w:sz="0" w:space="0" w:color="auto"/>
        <w:left w:val="none" w:sz="0" w:space="0" w:color="auto"/>
        <w:bottom w:val="none" w:sz="0" w:space="0" w:color="auto"/>
        <w:right w:val="none" w:sz="0" w:space="0" w:color="auto"/>
      </w:divBdr>
    </w:div>
    <w:div w:id="981084461">
      <w:bodyDiv w:val="1"/>
      <w:marLeft w:val="0"/>
      <w:marRight w:val="0"/>
      <w:marTop w:val="0"/>
      <w:marBottom w:val="0"/>
      <w:divBdr>
        <w:top w:val="none" w:sz="0" w:space="0" w:color="auto"/>
        <w:left w:val="none" w:sz="0" w:space="0" w:color="auto"/>
        <w:bottom w:val="none" w:sz="0" w:space="0" w:color="auto"/>
        <w:right w:val="none" w:sz="0" w:space="0" w:color="auto"/>
      </w:divBdr>
    </w:div>
    <w:div w:id="1044908573">
      <w:bodyDiv w:val="1"/>
      <w:marLeft w:val="0"/>
      <w:marRight w:val="0"/>
      <w:marTop w:val="0"/>
      <w:marBottom w:val="0"/>
      <w:divBdr>
        <w:top w:val="none" w:sz="0" w:space="0" w:color="auto"/>
        <w:left w:val="none" w:sz="0" w:space="0" w:color="auto"/>
        <w:bottom w:val="none" w:sz="0" w:space="0" w:color="auto"/>
        <w:right w:val="none" w:sz="0" w:space="0" w:color="auto"/>
      </w:divBdr>
    </w:div>
    <w:div w:id="1046830181">
      <w:bodyDiv w:val="1"/>
      <w:marLeft w:val="0"/>
      <w:marRight w:val="0"/>
      <w:marTop w:val="0"/>
      <w:marBottom w:val="0"/>
      <w:divBdr>
        <w:top w:val="none" w:sz="0" w:space="0" w:color="auto"/>
        <w:left w:val="none" w:sz="0" w:space="0" w:color="auto"/>
        <w:bottom w:val="none" w:sz="0" w:space="0" w:color="auto"/>
        <w:right w:val="none" w:sz="0" w:space="0" w:color="auto"/>
      </w:divBdr>
    </w:div>
    <w:div w:id="1051467522">
      <w:bodyDiv w:val="1"/>
      <w:marLeft w:val="0"/>
      <w:marRight w:val="0"/>
      <w:marTop w:val="0"/>
      <w:marBottom w:val="0"/>
      <w:divBdr>
        <w:top w:val="none" w:sz="0" w:space="0" w:color="auto"/>
        <w:left w:val="none" w:sz="0" w:space="0" w:color="auto"/>
        <w:bottom w:val="none" w:sz="0" w:space="0" w:color="auto"/>
        <w:right w:val="none" w:sz="0" w:space="0" w:color="auto"/>
      </w:divBdr>
    </w:div>
    <w:div w:id="1110710096">
      <w:bodyDiv w:val="1"/>
      <w:marLeft w:val="0"/>
      <w:marRight w:val="0"/>
      <w:marTop w:val="0"/>
      <w:marBottom w:val="0"/>
      <w:divBdr>
        <w:top w:val="none" w:sz="0" w:space="0" w:color="auto"/>
        <w:left w:val="none" w:sz="0" w:space="0" w:color="auto"/>
        <w:bottom w:val="none" w:sz="0" w:space="0" w:color="auto"/>
        <w:right w:val="none" w:sz="0" w:space="0" w:color="auto"/>
      </w:divBdr>
    </w:div>
    <w:div w:id="1518500320">
      <w:bodyDiv w:val="1"/>
      <w:marLeft w:val="0"/>
      <w:marRight w:val="0"/>
      <w:marTop w:val="0"/>
      <w:marBottom w:val="0"/>
      <w:divBdr>
        <w:top w:val="none" w:sz="0" w:space="0" w:color="auto"/>
        <w:left w:val="none" w:sz="0" w:space="0" w:color="auto"/>
        <w:bottom w:val="none" w:sz="0" w:space="0" w:color="auto"/>
        <w:right w:val="none" w:sz="0" w:space="0" w:color="auto"/>
      </w:divBdr>
    </w:div>
    <w:div w:id="1540975500">
      <w:bodyDiv w:val="1"/>
      <w:marLeft w:val="0"/>
      <w:marRight w:val="0"/>
      <w:marTop w:val="0"/>
      <w:marBottom w:val="0"/>
      <w:divBdr>
        <w:top w:val="none" w:sz="0" w:space="0" w:color="auto"/>
        <w:left w:val="none" w:sz="0" w:space="0" w:color="auto"/>
        <w:bottom w:val="none" w:sz="0" w:space="0" w:color="auto"/>
        <w:right w:val="none" w:sz="0" w:space="0" w:color="auto"/>
      </w:divBdr>
    </w:div>
    <w:div w:id="1614441666">
      <w:bodyDiv w:val="1"/>
      <w:marLeft w:val="0"/>
      <w:marRight w:val="0"/>
      <w:marTop w:val="0"/>
      <w:marBottom w:val="0"/>
      <w:divBdr>
        <w:top w:val="none" w:sz="0" w:space="0" w:color="auto"/>
        <w:left w:val="none" w:sz="0" w:space="0" w:color="auto"/>
        <w:bottom w:val="none" w:sz="0" w:space="0" w:color="auto"/>
        <w:right w:val="none" w:sz="0" w:space="0" w:color="auto"/>
      </w:divBdr>
    </w:div>
    <w:div w:id="1754933265">
      <w:bodyDiv w:val="1"/>
      <w:marLeft w:val="0"/>
      <w:marRight w:val="0"/>
      <w:marTop w:val="0"/>
      <w:marBottom w:val="0"/>
      <w:divBdr>
        <w:top w:val="none" w:sz="0" w:space="0" w:color="auto"/>
        <w:left w:val="none" w:sz="0" w:space="0" w:color="auto"/>
        <w:bottom w:val="none" w:sz="0" w:space="0" w:color="auto"/>
        <w:right w:val="none" w:sz="0" w:space="0" w:color="auto"/>
      </w:divBdr>
    </w:div>
    <w:div w:id="1909339372">
      <w:bodyDiv w:val="1"/>
      <w:marLeft w:val="0"/>
      <w:marRight w:val="0"/>
      <w:marTop w:val="0"/>
      <w:marBottom w:val="0"/>
      <w:divBdr>
        <w:top w:val="none" w:sz="0" w:space="0" w:color="auto"/>
        <w:left w:val="none" w:sz="0" w:space="0" w:color="auto"/>
        <w:bottom w:val="none" w:sz="0" w:space="0" w:color="auto"/>
        <w:right w:val="none" w:sz="0" w:space="0" w:color="auto"/>
      </w:divBdr>
    </w:div>
    <w:div w:id="1936478818">
      <w:bodyDiv w:val="1"/>
      <w:marLeft w:val="0"/>
      <w:marRight w:val="0"/>
      <w:marTop w:val="0"/>
      <w:marBottom w:val="0"/>
      <w:divBdr>
        <w:top w:val="none" w:sz="0" w:space="0" w:color="auto"/>
        <w:left w:val="none" w:sz="0" w:space="0" w:color="auto"/>
        <w:bottom w:val="none" w:sz="0" w:space="0" w:color="auto"/>
        <w:right w:val="none" w:sz="0" w:space="0" w:color="auto"/>
      </w:divBdr>
    </w:div>
    <w:div w:id="1976330036">
      <w:bodyDiv w:val="1"/>
      <w:marLeft w:val="0"/>
      <w:marRight w:val="0"/>
      <w:marTop w:val="0"/>
      <w:marBottom w:val="0"/>
      <w:divBdr>
        <w:top w:val="none" w:sz="0" w:space="0" w:color="auto"/>
        <w:left w:val="none" w:sz="0" w:space="0" w:color="auto"/>
        <w:bottom w:val="none" w:sz="0" w:space="0" w:color="auto"/>
        <w:right w:val="none" w:sz="0" w:space="0" w:color="auto"/>
      </w:divBdr>
    </w:div>
    <w:div w:id="2124223420">
      <w:bodyDiv w:val="1"/>
      <w:marLeft w:val="0"/>
      <w:marRight w:val="0"/>
      <w:marTop w:val="0"/>
      <w:marBottom w:val="0"/>
      <w:divBdr>
        <w:top w:val="none" w:sz="0" w:space="0" w:color="auto"/>
        <w:left w:val="none" w:sz="0" w:space="0" w:color="auto"/>
        <w:bottom w:val="none" w:sz="0" w:space="0" w:color="auto"/>
        <w:right w:val="none" w:sz="0" w:space="0" w:color="auto"/>
      </w:divBdr>
    </w:div>
    <w:div w:id="214704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2022-09-01T00:00:00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E6B0E1DA-F4C5-4A07-ABE2-D942BDCB7B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28F656E62BFBA45B663154D58C58017" ma:contentTypeVersion="" ma:contentTypeDescription="PDMS Document Site Content Type" ma:contentTypeScope="" ma:versionID="1ecf04f201c5e602b2a7bf740dbd40f8">
  <xsd:schema xmlns:xsd="http://www.w3.org/2001/XMLSchema" xmlns:xs="http://www.w3.org/2001/XMLSchema" xmlns:p="http://schemas.microsoft.com/office/2006/metadata/properties" xmlns:ns2="E6B0E1DA-F4C5-4A07-ABE2-D942BDCB7BA3" targetNamespace="http://schemas.microsoft.com/office/2006/metadata/properties" ma:root="true" ma:fieldsID="25babb4749d82421f031b4214721f9bb" ns2:_="">
    <xsd:import namespace="E6B0E1DA-F4C5-4A07-ABE2-D942BDCB7BA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0E1DA-F4C5-4A07-ABE2-D942BDCB7BA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A2C832-9A17-4DE8-9EE5-78F12A2A5F24}">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6B0E1DA-F4C5-4A07-ABE2-D942BDCB7BA3"/>
    <ds:schemaRef ds:uri="http://www.w3.org/XML/1998/namespace"/>
    <ds:schemaRef ds:uri="http://purl.org/dc/dcmitype/"/>
  </ds:schemaRefs>
</ds:datastoreItem>
</file>

<file path=customXml/itemProps3.xml><?xml version="1.0" encoding="utf-8"?>
<ds:datastoreItem xmlns:ds="http://schemas.openxmlformats.org/officeDocument/2006/customXml" ds:itemID="{3E221CC0-F7F1-475E-B229-D660CEB2C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B0E1DA-F4C5-4A07-ABE2-D942BDCB7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D91F81-EDC5-4074-B316-3AF94D2137FB}">
  <ds:schemaRefs>
    <ds:schemaRef ds:uri="http://schemas.microsoft.com/sharepoint/v3/contenttype/forms"/>
  </ds:schemaRefs>
</ds:datastoreItem>
</file>

<file path=customXml/itemProps5.xml><?xml version="1.0" encoding="utf-8"?>
<ds:datastoreItem xmlns:ds="http://schemas.openxmlformats.org/officeDocument/2006/customXml" ds:itemID="{0AB4C89E-161A-4A0D-B795-718630C7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2324</Words>
  <Characters>13247</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DBCDE</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bmetschke</dc:creator>
  <cp:lastModifiedBy>Hammond, Rhiannon</cp:lastModifiedBy>
  <cp:revision>2</cp:revision>
  <cp:lastPrinted>2022-09-12T06:31:00Z</cp:lastPrinted>
  <dcterms:created xsi:type="dcterms:W3CDTF">2023-03-27T03:21:00Z</dcterms:created>
  <dcterms:modified xsi:type="dcterms:W3CDTF">2023-03-27T03:21:00Z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0x010100266966F133664895A6EE3632470D45F500228F656E62BFBA45B663154D58C58017</vt:lpwstr>
  </property>
  <property fmtid="{D5CDD505-2E9C-101B-9397-08002B2CF9AE}" pid="3" name="TaxCatchAll">
    <vt:lpwstr>1375;#Metschke, Bernadette [Person - BMETSCHKE] [internal] [23089]|14c4c4ea-7d5b-42a0-88f0-64aed0c65d50;#54;#Legal Practice Unit [Organization] [internal] [39804]|3601d318-3562-4026-bcf3-e3d37a91abed</vt:lpwstr>
  </property>
  <property fmtid="{D5CDD505-2E9C-101B-9397-08002B2CF9AE}" pid="4" name="me786d0e3c9949dc83d6a9826d3f7afb">
    <vt:lpwstr>Legal Practice Unit [Organization] [internal] [39804]|3601d318-3562-4026-bcf3-e3d37a91abed</vt:lpwstr>
  </property>
  <property fmtid="{D5CDD505-2E9C-101B-9397-08002B2CF9AE}" pid="5" name="l7f7762656034748af4098221ba10b64">
    <vt:lpwstr>Metschke, Bernadette [Person - BMETSCHKE] [internal] [23089]|14c4c4ea-7d5b-42a0-88f0-64aed0c65d50</vt:lpwstr>
  </property>
  <property fmtid="{D5CDD505-2E9C-101B-9397-08002B2CF9AE}" pid="6" name="c1aa94c1bcce43cc9138ccb9c7bf6e69">
    <vt:lpwstr/>
  </property>
  <property fmtid="{D5CDD505-2E9C-101B-9397-08002B2CF9AE}" pid="7" name="ie56bdfdc4a44ef997c05b4ed8c67594">
    <vt:lpwstr/>
  </property>
  <property fmtid="{D5CDD505-2E9C-101B-9397-08002B2CF9AE}" pid="8" name="dd9c7627a75f4720a6ccce58a35e4d75">
    <vt:lpwstr/>
  </property>
  <property fmtid="{D5CDD505-2E9C-101B-9397-08002B2CF9AE}" pid="9" name="e74c999a0f514bafbaad1ae53c56eac2">
    <vt:lpwstr/>
  </property>
  <property fmtid="{D5CDD505-2E9C-101B-9397-08002B2CF9AE}" pid="10" name="l30152c64bc5409cb0d6af5fc7998329">
    <vt:lpwstr/>
  </property>
  <property fmtid="{D5CDD505-2E9C-101B-9397-08002B2CF9AE}" pid="11" name="a26f7cb41fae41ebb6c8e377b7c30d71">
    <vt:lpwstr/>
  </property>
  <property fmtid="{D5CDD505-2E9C-101B-9397-08002B2CF9AE}" pid="12" name="hab31d4ae2264d5c8e77fd86c07e7635">
    <vt:lpwstr/>
  </property>
  <property fmtid="{D5CDD505-2E9C-101B-9397-08002B2CF9AE}" pid="13" name="e65fcc6ef396426b9c231bd6b3bc54de">
    <vt:lpwstr/>
  </property>
  <property fmtid="{D5CDD505-2E9C-101B-9397-08002B2CF9AE}" pid="14" name="TrimRevisionNumber">
    <vt:i4>63</vt:i4>
  </property>
  <property fmtid="{D5CDD505-2E9C-101B-9397-08002B2CF9AE}" pid="15" name="trimRootDocClassification">
    <vt:lpwstr/>
  </property>
  <property fmtid="{D5CDD505-2E9C-101B-9397-08002B2CF9AE}" pid="16" name="trimRootDocAssigneeLocation">
    <vt:lpwstr>1375;#Metschke, Bernadette [Person - BMETSCHKE] [internal] [23089]|14c4c4ea-7d5b-42a0-88f0-64aed0c65d50</vt:lpwstr>
  </property>
  <property fmtid="{D5CDD505-2E9C-101B-9397-08002B2CF9AE}" pid="17" name="trimRootDocOwnerLocation">
    <vt:lpwstr>54;#Legal Practice Unit [Organization] [internal] [39804]|3601d318-3562-4026-bcf3-e3d37a91abed</vt:lpwstr>
  </property>
  <property fmtid="{D5CDD505-2E9C-101B-9397-08002B2CF9AE}" pid="18" name="trimRootDocOtherContactLocation">
    <vt:lpwstr/>
  </property>
  <property fmtid="{D5CDD505-2E9C-101B-9397-08002B2CF9AE}" pid="19" name="trimRootDocACLCanUpdateMetadata_List">
    <vt:lpwstr/>
  </property>
  <property fmtid="{D5CDD505-2E9C-101B-9397-08002B2CF9AE}" pid="20" name="trimRootDocACLCanContributeDocuments_List">
    <vt:lpwstr/>
  </property>
  <property fmtid="{D5CDD505-2E9C-101B-9397-08002B2CF9AE}" pid="21" name="trimRootDocACLCanModifyAccess_List">
    <vt:lpwstr/>
  </property>
  <property fmtid="{D5CDD505-2E9C-101B-9397-08002B2CF9AE}" pid="22" name="trimRootDocACLCanUpdateDocument_List">
    <vt:lpwstr/>
  </property>
  <property fmtid="{D5CDD505-2E9C-101B-9397-08002B2CF9AE}" pid="23" name="trimRootDocACLCanViewMetadata_List">
    <vt:lpwstr/>
  </property>
  <property fmtid="{D5CDD505-2E9C-101B-9397-08002B2CF9AE}" pid="24" name="uri">
    <vt:lpwstr>2948986</vt:lpwstr>
  </property>
  <property fmtid="{D5CDD505-2E9C-101B-9397-08002B2CF9AE}" pid="25" name="trimRootDocACLCanViewDocument_List">
    <vt:lpwstr/>
  </property>
</Properties>
</file>