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BF72" w14:textId="77777777" w:rsidR="00DF2239" w:rsidRPr="003F21BB" w:rsidRDefault="00DF2239" w:rsidP="00DF2239">
      <w:pPr>
        <w:rPr>
          <w:color w:val="000000"/>
          <w:lang w:val="en-US"/>
        </w:rPr>
      </w:pPr>
      <w:bookmarkStart w:id="0" w:name="_Toc168113228"/>
      <w:r>
        <w:rPr>
          <w:noProof/>
          <w:color w:val="000000"/>
        </w:rPr>
        <w:drawing>
          <wp:inline distT="0" distB="0" distL="0" distR="0" wp14:anchorId="29FC857D" wp14:editId="5799C5F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39F4717" w14:textId="77777777" w:rsidR="00DF2239" w:rsidRPr="003F21BB" w:rsidRDefault="00DF2239" w:rsidP="00DF2239">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8</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20770C8F" w14:textId="77777777" w:rsidR="00DF2239" w:rsidRPr="003F21BB" w:rsidRDefault="00DF2239" w:rsidP="00DF2239">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Pr>
          <w:rFonts w:ascii="Arial" w:hAnsi="Arial" w:cs="Arial"/>
          <w:b/>
          <w:bCs/>
          <w:color w:val="000000"/>
          <w:sz w:val="28"/>
          <w:szCs w:val="28"/>
        </w:rPr>
        <w:t>GRS 114.4 Details of Investment Assets</w:t>
      </w:r>
    </w:p>
    <w:p w14:paraId="12297D34" w14:textId="77777777" w:rsidR="00DF2239" w:rsidRPr="003F21BB" w:rsidRDefault="00DF2239" w:rsidP="00DF2239">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5CB4F0A8" w14:textId="77777777" w:rsidR="00DF2239" w:rsidRPr="003F21BB" w:rsidRDefault="00DF2239" w:rsidP="00DF2239">
      <w:pPr>
        <w:ind w:left="720" w:hanging="720"/>
        <w:rPr>
          <w:color w:val="000000"/>
          <w:sz w:val="24"/>
        </w:rPr>
      </w:pPr>
    </w:p>
    <w:p w14:paraId="248142C9" w14:textId="77777777" w:rsidR="00DF2239" w:rsidRPr="007924D0" w:rsidRDefault="00DF2239" w:rsidP="00DF2239">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0DEBE620" w14:textId="77777777" w:rsidR="00DF2239" w:rsidRDefault="00DF2239" w:rsidP="00DF2239">
      <w:pPr>
        <w:jc w:val="both"/>
        <w:rPr>
          <w:color w:val="000000"/>
          <w:sz w:val="24"/>
          <w:szCs w:val="24"/>
        </w:rPr>
      </w:pPr>
    </w:p>
    <w:p w14:paraId="2DE80995" w14:textId="77777777" w:rsidR="00DF2239" w:rsidRPr="004F7A0C" w:rsidRDefault="00DF2239" w:rsidP="00DF2239">
      <w:pPr>
        <w:pStyle w:val="ListParagraph"/>
        <w:numPr>
          <w:ilvl w:val="0"/>
          <w:numId w:val="44"/>
        </w:numPr>
        <w:jc w:val="both"/>
        <w:rPr>
          <w:sz w:val="24"/>
          <w:szCs w:val="24"/>
        </w:rPr>
      </w:pPr>
      <w:r w:rsidRPr="004F7A0C">
        <w:rPr>
          <w:sz w:val="24"/>
          <w:szCs w:val="24"/>
        </w:rPr>
        <w:t xml:space="preserve">REVOKE Financial Sector (Collection of Data) (reporting standard) determination No. </w:t>
      </w:r>
      <w:r>
        <w:rPr>
          <w:sz w:val="24"/>
          <w:szCs w:val="24"/>
        </w:rPr>
        <w:t>9</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szCs w:val="24"/>
        </w:rPr>
        <w:t xml:space="preserve">GRS 114.4 Details of Investment Assets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39C45632" w14:textId="77777777" w:rsidR="00DF2239" w:rsidRPr="004F7A0C" w:rsidRDefault="00DF2239" w:rsidP="00DF2239">
      <w:pPr>
        <w:pStyle w:val="ListParagraph"/>
        <w:rPr>
          <w:sz w:val="24"/>
          <w:szCs w:val="24"/>
        </w:rPr>
      </w:pPr>
    </w:p>
    <w:p w14:paraId="3C2B976D" w14:textId="77777777" w:rsidR="00DF2239" w:rsidRDefault="00DF2239" w:rsidP="00DF2239">
      <w:pPr>
        <w:pStyle w:val="ListParagraph"/>
        <w:numPr>
          <w:ilvl w:val="0"/>
          <w:numId w:val="44"/>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B12C6E">
        <w:rPr>
          <w:i/>
          <w:sz w:val="24"/>
        </w:rPr>
        <w:t xml:space="preserve"> </w:t>
      </w:r>
      <w:r>
        <w:rPr>
          <w:i/>
          <w:sz w:val="24"/>
        </w:rPr>
        <w:t>GRS 114.4 Details of Investment Assets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6F5D1393" w14:textId="77777777" w:rsidR="00DF2239" w:rsidRPr="007924D0" w:rsidRDefault="00DF2239" w:rsidP="00DF2239">
      <w:pPr>
        <w:pStyle w:val="ListParagraph"/>
        <w:rPr>
          <w:sz w:val="24"/>
          <w:szCs w:val="24"/>
        </w:rPr>
      </w:pPr>
    </w:p>
    <w:p w14:paraId="60C4EC94" w14:textId="77777777" w:rsidR="00DF2239" w:rsidRPr="007924D0" w:rsidRDefault="00DF2239" w:rsidP="00DF2239">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7DB4E578" w14:textId="77777777" w:rsidR="00DF2239" w:rsidRPr="007924D0" w:rsidRDefault="00DF2239" w:rsidP="00DF2239">
      <w:pPr>
        <w:jc w:val="both"/>
        <w:rPr>
          <w:sz w:val="24"/>
          <w:szCs w:val="24"/>
          <w:lang w:val="en-US"/>
        </w:rPr>
      </w:pPr>
    </w:p>
    <w:p w14:paraId="1FD42887" w14:textId="77777777" w:rsidR="00DF2239" w:rsidRPr="007924D0" w:rsidRDefault="00DF2239" w:rsidP="00DF2239">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2923874E" w14:textId="77777777" w:rsidR="00DF2239" w:rsidRPr="007924D0" w:rsidRDefault="00DF2239" w:rsidP="00DF2239">
      <w:pPr>
        <w:jc w:val="both"/>
        <w:rPr>
          <w:sz w:val="24"/>
          <w:szCs w:val="24"/>
          <w:lang w:val="en-US"/>
        </w:rPr>
      </w:pPr>
    </w:p>
    <w:p w14:paraId="530A8105" w14:textId="6ADF0533" w:rsidR="00DF2239" w:rsidRPr="003F21BB" w:rsidRDefault="00DF2239" w:rsidP="00DF2239">
      <w:pPr>
        <w:jc w:val="both"/>
        <w:rPr>
          <w:sz w:val="24"/>
          <w:szCs w:val="24"/>
          <w:lang w:val="en-US"/>
        </w:rPr>
      </w:pPr>
      <w:r w:rsidRPr="007924D0">
        <w:rPr>
          <w:sz w:val="24"/>
          <w:szCs w:val="24"/>
          <w:lang w:val="en-US"/>
        </w:rPr>
        <w:t xml:space="preserve">Dated: </w:t>
      </w:r>
      <w:r w:rsidR="00ED0598">
        <w:rPr>
          <w:sz w:val="24"/>
          <w:szCs w:val="24"/>
          <w:lang w:val="en-US"/>
        </w:rPr>
        <w:t>21</w:t>
      </w:r>
      <w:r w:rsidR="00ED0598" w:rsidRPr="007924D0">
        <w:rPr>
          <w:sz w:val="24"/>
          <w:szCs w:val="24"/>
          <w:lang w:val="en-US"/>
        </w:rPr>
        <w:t xml:space="preserve"> </w:t>
      </w:r>
      <w:r w:rsidRPr="007924D0">
        <w:rPr>
          <w:sz w:val="24"/>
          <w:szCs w:val="24"/>
          <w:lang w:val="en-US"/>
        </w:rPr>
        <w:t>March 202</w:t>
      </w:r>
      <w:r>
        <w:rPr>
          <w:sz w:val="24"/>
          <w:szCs w:val="24"/>
          <w:lang w:val="en-US"/>
        </w:rPr>
        <w:t>3</w:t>
      </w:r>
    </w:p>
    <w:p w14:paraId="550473CF" w14:textId="77777777" w:rsidR="00DF2239" w:rsidRPr="003F21BB" w:rsidRDefault="00DF2239" w:rsidP="00DF2239">
      <w:pPr>
        <w:jc w:val="both"/>
        <w:rPr>
          <w:i/>
          <w:sz w:val="24"/>
          <w:szCs w:val="24"/>
          <w:lang w:val="en-US"/>
        </w:rPr>
      </w:pPr>
    </w:p>
    <w:p w14:paraId="52D406EF" w14:textId="77777777" w:rsidR="00DF2239" w:rsidRPr="003F21BB" w:rsidRDefault="00DF2239" w:rsidP="00DF2239">
      <w:pPr>
        <w:jc w:val="both"/>
        <w:rPr>
          <w:sz w:val="24"/>
          <w:szCs w:val="24"/>
          <w:lang w:val="en-US"/>
        </w:rPr>
      </w:pPr>
    </w:p>
    <w:p w14:paraId="2B1AE52E" w14:textId="77777777" w:rsidR="00DF2239" w:rsidRPr="003F21BB" w:rsidRDefault="00DF2239" w:rsidP="00DF2239">
      <w:pPr>
        <w:jc w:val="both"/>
        <w:rPr>
          <w:sz w:val="24"/>
          <w:szCs w:val="24"/>
          <w:lang w:val="en-US"/>
        </w:rPr>
      </w:pPr>
      <w:r>
        <w:rPr>
          <w:sz w:val="24"/>
          <w:szCs w:val="24"/>
          <w:lang w:val="en-US"/>
        </w:rPr>
        <w:t>Michael Murphy</w:t>
      </w:r>
    </w:p>
    <w:p w14:paraId="41D6CDD5" w14:textId="77777777" w:rsidR="00DF2239" w:rsidRPr="003F21BB" w:rsidRDefault="00DF2239" w:rsidP="00DF2239">
      <w:pPr>
        <w:jc w:val="both"/>
        <w:rPr>
          <w:sz w:val="24"/>
          <w:szCs w:val="24"/>
          <w:lang w:val="en-US"/>
        </w:rPr>
      </w:pPr>
      <w:r>
        <w:rPr>
          <w:sz w:val="24"/>
          <w:szCs w:val="24"/>
          <w:lang w:val="en-US"/>
        </w:rPr>
        <w:t>General Manager – Chief Data Officer (Acting),</w:t>
      </w:r>
    </w:p>
    <w:p w14:paraId="68A34017" w14:textId="36120B7C" w:rsidR="00DF2239" w:rsidRDefault="00DF2239" w:rsidP="00DF2239">
      <w:pPr>
        <w:jc w:val="both"/>
        <w:rPr>
          <w:sz w:val="24"/>
          <w:szCs w:val="24"/>
          <w:lang w:val="en-US"/>
        </w:rPr>
      </w:pPr>
      <w:r>
        <w:rPr>
          <w:sz w:val="24"/>
          <w:szCs w:val="24"/>
          <w:lang w:val="en-US"/>
        </w:rPr>
        <w:t>Technology and Data</w:t>
      </w:r>
      <w:r w:rsidRPr="003F21BB">
        <w:rPr>
          <w:sz w:val="24"/>
          <w:szCs w:val="24"/>
          <w:lang w:val="en-US"/>
        </w:rPr>
        <w:t xml:space="preserve"> Division</w:t>
      </w:r>
    </w:p>
    <w:p w14:paraId="6D4F6CE9" w14:textId="77777777" w:rsidR="00DF2239" w:rsidRDefault="00DF2239">
      <w:pPr>
        <w:rPr>
          <w:sz w:val="24"/>
          <w:szCs w:val="24"/>
          <w:lang w:val="en-US"/>
        </w:rPr>
      </w:pPr>
      <w:r>
        <w:rPr>
          <w:sz w:val="24"/>
          <w:szCs w:val="24"/>
          <w:lang w:val="en-US"/>
        </w:rPr>
        <w:br w:type="page"/>
      </w:r>
    </w:p>
    <w:p w14:paraId="380F7314" w14:textId="77777777" w:rsidR="00DF2239" w:rsidRPr="003F21BB" w:rsidRDefault="00DF2239" w:rsidP="00DF2239">
      <w:pPr>
        <w:jc w:val="both"/>
        <w:rPr>
          <w:b/>
          <w:sz w:val="24"/>
          <w:szCs w:val="24"/>
          <w:lang w:val="en-US"/>
        </w:rPr>
      </w:pPr>
      <w:r w:rsidRPr="003F21BB">
        <w:rPr>
          <w:b/>
          <w:color w:val="000000"/>
          <w:sz w:val="24"/>
          <w:szCs w:val="24"/>
          <w:lang w:val="en-US"/>
        </w:rPr>
        <w:lastRenderedPageBreak/>
        <w:t>Interpretation</w:t>
      </w:r>
    </w:p>
    <w:p w14:paraId="43BE96AA" w14:textId="77777777" w:rsidR="00DF2239" w:rsidRPr="003F21BB" w:rsidRDefault="00DF2239" w:rsidP="00DF2239">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01A6CDC8" w14:textId="77777777" w:rsidR="00DF2239" w:rsidRPr="003F21BB" w:rsidRDefault="00DF2239" w:rsidP="00DF2239">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773112D9" w14:textId="77777777" w:rsidR="00DF2239" w:rsidRPr="003F21BB" w:rsidRDefault="00DF2239" w:rsidP="00DF2239">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1F29BFE0" w14:textId="77777777" w:rsidR="00DF2239" w:rsidRPr="003F21BB" w:rsidRDefault="00DF2239" w:rsidP="00DF2239">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1FB2BABC" w14:textId="77777777" w:rsidR="00DF2239" w:rsidRPr="003F21BB" w:rsidRDefault="00DF2239" w:rsidP="00DF2239">
      <w:pPr>
        <w:keepNext/>
        <w:autoSpaceDE w:val="0"/>
        <w:autoSpaceDN w:val="0"/>
        <w:spacing w:before="60" w:line="200" w:lineRule="exact"/>
        <w:rPr>
          <w:rFonts w:ascii="Arial" w:hAnsi="Arial" w:cs="Arial"/>
          <w:color w:val="000000"/>
          <w:sz w:val="18"/>
          <w:szCs w:val="18"/>
        </w:rPr>
      </w:pPr>
    </w:p>
    <w:p w14:paraId="26B28747" w14:textId="77777777" w:rsidR="00DF2239" w:rsidRPr="003F21BB" w:rsidRDefault="00DF2239" w:rsidP="00DF2239">
      <w:pPr>
        <w:tabs>
          <w:tab w:val="center" w:pos="4320"/>
          <w:tab w:val="right" w:pos="8640"/>
        </w:tabs>
        <w:jc w:val="both"/>
        <w:rPr>
          <w:bCs/>
          <w:sz w:val="24"/>
          <w:szCs w:val="24"/>
          <w:lang w:val="en-US"/>
        </w:rPr>
      </w:pPr>
      <w:r w:rsidRPr="002D3393">
        <w:rPr>
          <w:i/>
          <w:color w:val="000000"/>
          <w:sz w:val="24"/>
          <w:szCs w:val="24"/>
        </w:rPr>
        <w:t xml:space="preserve">Reporting Standard </w:t>
      </w:r>
      <w:r>
        <w:rPr>
          <w:i/>
          <w:sz w:val="24"/>
        </w:rPr>
        <w:t>GRS 114.4 Details of Investment Assets</w:t>
      </w:r>
      <w:r w:rsidRPr="003F21BB">
        <w:rPr>
          <w:bCs/>
          <w:sz w:val="24"/>
          <w:szCs w:val="24"/>
          <w:lang w:val="en-US"/>
        </w:rPr>
        <w:t xml:space="preserve"> comprises the document commencing on the following page.</w:t>
      </w:r>
      <w:bookmarkEnd w:id="0"/>
    </w:p>
    <w:p w14:paraId="0F8DFABF" w14:textId="77777777" w:rsidR="00DF2239" w:rsidRPr="00B52458" w:rsidRDefault="00DF2239">
      <w:pPr>
        <w:rPr>
          <w:rFonts w:ascii="Arial" w:hAnsi="Arial" w:cs="Arial"/>
          <w:b/>
          <w:sz w:val="40"/>
          <w:szCs w:val="40"/>
          <w:lang w:val="en-US"/>
        </w:rPr>
        <w:sectPr w:rsidR="00DF2239" w:rsidRPr="00B52458" w:rsidSect="00F51470">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1F343121" w14:textId="50FE01E3" w:rsidR="005B7824" w:rsidRPr="00FF0FE3" w:rsidRDefault="00CD148F"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00017BBB" wp14:editId="6771854A">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304D7862" w14:textId="77777777" w:rsidR="005B7824" w:rsidRPr="005B7824" w:rsidRDefault="005B7824" w:rsidP="005B7824">
      <w:pPr>
        <w:keepNext/>
        <w:jc w:val="both"/>
        <w:outlineLvl w:val="1"/>
        <w:rPr>
          <w:rFonts w:ascii="Arial" w:hAnsi="Arial" w:cs="Arial"/>
          <w:b/>
          <w:sz w:val="40"/>
          <w:szCs w:val="40"/>
          <w:lang w:val="en-US"/>
        </w:rPr>
      </w:pPr>
    </w:p>
    <w:p w14:paraId="271026B0"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A1524B">
        <w:rPr>
          <w:rFonts w:ascii="Arial" w:hAnsi="Arial" w:cs="Arial"/>
          <w:b/>
          <w:sz w:val="40"/>
          <w:szCs w:val="40"/>
          <w:lang w:val="en-US"/>
        </w:rPr>
        <w:t>114.</w:t>
      </w:r>
      <w:r w:rsidR="009B08E2">
        <w:rPr>
          <w:rFonts w:ascii="Arial" w:hAnsi="Arial" w:cs="Arial"/>
          <w:b/>
          <w:sz w:val="40"/>
          <w:szCs w:val="40"/>
          <w:lang w:val="en-US"/>
        </w:rPr>
        <w:t>4</w:t>
      </w:r>
      <w:r w:rsidRPr="005B7824">
        <w:rPr>
          <w:rFonts w:ascii="Arial" w:hAnsi="Arial" w:cs="Arial"/>
          <w:b/>
          <w:sz w:val="40"/>
          <w:szCs w:val="40"/>
          <w:lang w:val="en-US"/>
        </w:rPr>
        <w:t xml:space="preserve"> </w:t>
      </w:r>
    </w:p>
    <w:p w14:paraId="31A8F4AC" w14:textId="77777777" w:rsidR="005B7824" w:rsidRPr="005B7824" w:rsidRDefault="005B7824" w:rsidP="005B7824">
      <w:pPr>
        <w:jc w:val="both"/>
        <w:rPr>
          <w:b/>
          <w:sz w:val="28"/>
          <w:lang w:val="en-US"/>
        </w:rPr>
      </w:pPr>
    </w:p>
    <w:p w14:paraId="39BF2FF2" w14:textId="77777777" w:rsidR="005B7824" w:rsidRPr="005B7824" w:rsidRDefault="009B08E2" w:rsidP="005B7824">
      <w:pPr>
        <w:keepNext/>
        <w:jc w:val="both"/>
        <w:outlineLvl w:val="0"/>
        <w:rPr>
          <w:rFonts w:ascii="Arial" w:hAnsi="Arial" w:cs="Arial"/>
          <w:b/>
          <w:sz w:val="40"/>
          <w:szCs w:val="40"/>
          <w:lang w:val="en-US"/>
        </w:rPr>
      </w:pPr>
      <w:r>
        <w:rPr>
          <w:rFonts w:ascii="Arial" w:hAnsi="Arial" w:cs="Arial"/>
          <w:b/>
          <w:sz w:val="40"/>
          <w:szCs w:val="40"/>
          <w:lang w:val="en-US"/>
        </w:rPr>
        <w:t>Details of Investment Assets</w:t>
      </w:r>
    </w:p>
    <w:p w14:paraId="769F18FF" w14:textId="77777777" w:rsidR="005B7824" w:rsidRPr="005B7824" w:rsidRDefault="005B7824" w:rsidP="005B7824">
      <w:pPr>
        <w:jc w:val="both"/>
        <w:rPr>
          <w:sz w:val="28"/>
          <w:lang w:val="en-US"/>
        </w:rPr>
      </w:pPr>
    </w:p>
    <w:p w14:paraId="508EF6C8"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179E3226"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2AF686F7"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9B08E2">
        <w:rPr>
          <w:sz w:val="24"/>
          <w:lang w:val="en-US"/>
        </w:rPr>
        <w:t>investment assets</w:t>
      </w:r>
      <w:r w:rsidRPr="005B7824">
        <w:rPr>
          <w:sz w:val="24"/>
          <w:lang w:val="en-US"/>
        </w:rPr>
        <w:t xml:space="preserve">. </w:t>
      </w:r>
    </w:p>
    <w:p w14:paraId="4EA47D2F"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A1524B">
        <w:rPr>
          <w:i/>
          <w:sz w:val="24"/>
          <w:lang w:val="en-US"/>
        </w:rPr>
        <w:t>114.</w:t>
      </w:r>
      <w:r w:rsidR="009B08E2">
        <w:rPr>
          <w:i/>
          <w:sz w:val="24"/>
          <w:lang w:val="en-US"/>
        </w:rPr>
        <w:t>4</w:t>
      </w:r>
      <w:r w:rsidRPr="005B7824">
        <w:rPr>
          <w:i/>
          <w:sz w:val="24"/>
          <w:lang w:val="en-US"/>
        </w:rPr>
        <w:t xml:space="preserve"> </w:t>
      </w:r>
      <w:r w:rsidR="009B08E2">
        <w:rPr>
          <w:i/>
          <w:sz w:val="24"/>
          <w:lang w:val="en-US"/>
        </w:rPr>
        <w:t>Details of Investment Assets</w:t>
      </w:r>
      <w:r w:rsidRPr="005B7824">
        <w:rPr>
          <w:sz w:val="24"/>
          <w:lang w:val="en-US"/>
        </w:rPr>
        <w:t xml:space="preserve"> and associated specific instructions and must be read in conjunction with the general instruction guide.</w:t>
      </w:r>
    </w:p>
    <w:p w14:paraId="17634A8B"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572F8180"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5487DE85" w14:textId="77777777" w:rsidR="005B7824" w:rsidRPr="005B7824" w:rsidRDefault="005B7824" w:rsidP="005A571D">
      <w:pPr>
        <w:numPr>
          <w:ilvl w:val="0"/>
          <w:numId w:val="1"/>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7B70780B"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24BA3522" w14:textId="77777777" w:rsidR="005B7824" w:rsidRPr="005B7824" w:rsidRDefault="005B7824" w:rsidP="005A571D">
      <w:pPr>
        <w:numPr>
          <w:ilvl w:val="1"/>
          <w:numId w:val="5"/>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A1524B">
        <w:rPr>
          <w:i/>
          <w:sz w:val="24"/>
          <w:lang w:val="en-US"/>
        </w:rPr>
        <w:t>114.</w:t>
      </w:r>
      <w:r w:rsidR="009B08E2">
        <w:rPr>
          <w:i/>
          <w:sz w:val="24"/>
          <w:lang w:val="en-US"/>
        </w:rPr>
        <w:t>4 Details of Investment Assets</w:t>
      </w:r>
      <w:r w:rsidRPr="005B7824">
        <w:rPr>
          <w:sz w:val="24"/>
          <w:lang w:val="en-US"/>
        </w:rPr>
        <w:t xml:space="preserve"> (GRF </w:t>
      </w:r>
      <w:r w:rsidR="00A1524B">
        <w:rPr>
          <w:sz w:val="24"/>
          <w:lang w:val="en-US"/>
        </w:rPr>
        <w:t>114.</w:t>
      </w:r>
      <w:r w:rsidR="009B08E2">
        <w:rPr>
          <w:sz w:val="24"/>
          <w:lang w:val="en-US"/>
        </w:rPr>
        <w:t>4</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16952C00"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73C5BCE3" w14:textId="63EBAAEB" w:rsidR="005B7824" w:rsidRPr="005B7824" w:rsidRDefault="005B7824" w:rsidP="005A571D">
      <w:pPr>
        <w:numPr>
          <w:ilvl w:val="1"/>
          <w:numId w:val="5"/>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D80762">
        <w:rPr>
          <w:sz w:val="24"/>
          <w:szCs w:val="24"/>
          <w:lang w:val="en-US"/>
        </w:rPr>
        <w:t xml:space="preserve"> </w:t>
      </w:r>
      <w:r w:rsidR="002F459F">
        <w:rPr>
          <w:sz w:val="24"/>
          <w:szCs w:val="24"/>
          <w:lang w:val="en-US"/>
        </w:rPr>
        <w:t>1 April 2023</w:t>
      </w:r>
      <w:r w:rsidRPr="005B7824">
        <w:rPr>
          <w:sz w:val="24"/>
          <w:szCs w:val="24"/>
          <w:lang w:val="en-US"/>
        </w:rPr>
        <w:t xml:space="preserve">. </w:t>
      </w:r>
      <w:r w:rsidRPr="005B7824">
        <w:rPr>
          <w:sz w:val="24"/>
          <w:lang w:val="en-US"/>
        </w:rPr>
        <w:t xml:space="preserve"> </w:t>
      </w:r>
    </w:p>
    <w:p w14:paraId="03EC35D9"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221680E7" w14:textId="0D94DEB6" w:rsidR="00605308" w:rsidRDefault="005B7824" w:rsidP="00605308">
      <w:pPr>
        <w:numPr>
          <w:ilvl w:val="1"/>
          <w:numId w:val="5"/>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A1524B">
        <w:rPr>
          <w:sz w:val="24"/>
          <w:lang w:val="en-US"/>
        </w:rPr>
        <w:t>114.</w:t>
      </w:r>
      <w:r w:rsidR="009B08E2">
        <w:rPr>
          <w:sz w:val="24"/>
          <w:lang w:val="en-US"/>
        </w:rPr>
        <w:t>4</w:t>
      </w:r>
      <w:r w:rsidR="002A1DD8">
        <w:rPr>
          <w:sz w:val="24"/>
          <w:lang w:val="en-US"/>
        </w:rPr>
        <w:t xml:space="preserve"> </w:t>
      </w:r>
      <w:r w:rsidRPr="005B7824">
        <w:rPr>
          <w:sz w:val="24"/>
          <w:lang w:val="en-US"/>
        </w:rPr>
        <w:t>for each reporting period.</w:t>
      </w:r>
      <w:bookmarkEnd w:id="1"/>
      <w:r w:rsidRPr="005B7824">
        <w:rPr>
          <w:sz w:val="24"/>
          <w:lang w:val="en-US"/>
        </w:rPr>
        <w:t xml:space="preserve"> </w:t>
      </w:r>
      <w:bookmarkEnd w:id="2"/>
    </w:p>
    <w:p w14:paraId="320DED26" w14:textId="12073F2A" w:rsidR="005B7824" w:rsidRPr="005B7824" w:rsidRDefault="00083821"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1CC4F6F1" w14:textId="77777777" w:rsidR="00B4147B" w:rsidRDefault="005B7824" w:rsidP="005A571D">
      <w:pPr>
        <w:numPr>
          <w:ilvl w:val="1"/>
          <w:numId w:val="5"/>
        </w:numPr>
        <w:spacing w:after="240"/>
        <w:jc w:val="both"/>
        <w:rPr>
          <w:sz w:val="24"/>
          <w:szCs w:val="24"/>
          <w:lang w:val="en-US"/>
        </w:rPr>
      </w:pPr>
      <w:bookmarkStart w:id="3" w:name="_Ref339262396"/>
      <w:r w:rsidRPr="005B7824">
        <w:rPr>
          <w:sz w:val="24"/>
          <w:szCs w:val="24"/>
          <w:lang w:val="en-US"/>
        </w:rPr>
        <w:t xml:space="preserve">The </w:t>
      </w:r>
      <w:r w:rsidR="00B4147B">
        <w:rPr>
          <w:sz w:val="24"/>
          <w:szCs w:val="24"/>
          <w:lang w:val="en-US"/>
        </w:rPr>
        <w:t>information required by this reporting standard must be given to APRA:</w:t>
      </w:r>
    </w:p>
    <w:p w14:paraId="59E71D6B" w14:textId="77777777" w:rsidR="00B4147B" w:rsidRDefault="00B4147B" w:rsidP="00605308">
      <w:pPr>
        <w:numPr>
          <w:ilvl w:val="0"/>
          <w:numId w:val="3"/>
        </w:numPr>
        <w:spacing w:after="240"/>
        <w:jc w:val="both"/>
        <w:rPr>
          <w:sz w:val="24"/>
          <w:szCs w:val="24"/>
          <w:lang w:val="en-US"/>
        </w:rPr>
      </w:pPr>
      <w:r>
        <w:rPr>
          <w:sz w:val="24"/>
          <w:szCs w:val="24"/>
          <w:lang w:val="en-US"/>
        </w:rPr>
        <w:t>in electronic format using an electronic method available on APRA’s website; or</w:t>
      </w:r>
    </w:p>
    <w:p w14:paraId="11397E2E" w14:textId="73293DF4" w:rsidR="005B7824" w:rsidRPr="00605308" w:rsidRDefault="003E375D" w:rsidP="00605308">
      <w:pPr>
        <w:numPr>
          <w:ilvl w:val="0"/>
          <w:numId w:val="3"/>
        </w:numPr>
        <w:spacing w:after="240"/>
        <w:jc w:val="both"/>
        <w:rPr>
          <w:sz w:val="24"/>
          <w:szCs w:val="24"/>
          <w:lang w:val="en-US"/>
        </w:rPr>
      </w:pPr>
      <w:r>
        <w:rPr>
          <w:sz w:val="24"/>
          <w:szCs w:val="24"/>
          <w:lang w:val="en-US"/>
        </w:rPr>
        <w:lastRenderedPageBreak/>
        <w:t>by a method notified by APRA prior to submission.</w:t>
      </w:r>
      <w:bookmarkEnd w:id="3"/>
    </w:p>
    <w:p w14:paraId="65AA648E"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Reporting periods and due dates</w:t>
      </w:r>
    </w:p>
    <w:p w14:paraId="54E07E1E" w14:textId="77777777" w:rsidR="005B7824" w:rsidRPr="005B7824" w:rsidRDefault="005B7824" w:rsidP="005A571D">
      <w:pPr>
        <w:numPr>
          <w:ilvl w:val="1"/>
          <w:numId w:val="5"/>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Pr="005B7824">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43531945" w14:textId="77777777" w:rsidR="005B7824" w:rsidRPr="005B7824" w:rsidRDefault="005B7824" w:rsidP="00ED0598">
      <w:pPr>
        <w:numPr>
          <w:ilvl w:val="0"/>
          <w:numId w:val="45"/>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65FD33C5" w14:textId="77777777" w:rsidR="005B7824" w:rsidRPr="005B7824" w:rsidRDefault="005B7824" w:rsidP="00ED0598">
      <w:pPr>
        <w:numPr>
          <w:ilvl w:val="0"/>
          <w:numId w:val="45"/>
        </w:numPr>
        <w:spacing w:after="240"/>
        <w:jc w:val="both"/>
        <w:rPr>
          <w:sz w:val="24"/>
          <w:lang w:val="en-US"/>
        </w:rPr>
      </w:pPr>
      <w:bookmarkStart w:id="6" w:name="_Ref339261564"/>
      <w:r w:rsidRPr="005B7824">
        <w:rPr>
          <w:sz w:val="24"/>
          <w:szCs w:val="24"/>
          <w:lang w:val="en-US"/>
        </w:rPr>
        <w:t>in respect of each financial year of the insurer.</w:t>
      </w:r>
      <w:bookmarkEnd w:id="6"/>
    </w:p>
    <w:p w14:paraId="3DB80640" w14:textId="7777777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Pr="005B7824">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Pr="005B7824">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Pr="005B782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Pr="005B7824">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w:t>
      </w:r>
      <w:proofErr w:type="gramStart"/>
      <w:r w:rsidRPr="005B7824">
        <w:rPr>
          <w:lang w:val="en-US"/>
        </w:rPr>
        <w:t>J(</w:t>
      </w:r>
      <w:proofErr w:type="gramEnd"/>
      <w:r w:rsidRPr="005B7824">
        <w:rPr>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57D49E7D" w14:textId="77777777" w:rsidR="005B7824" w:rsidRPr="005B7824" w:rsidRDefault="005B7824" w:rsidP="005A571D">
      <w:pPr>
        <w:numPr>
          <w:ilvl w:val="1"/>
          <w:numId w:val="5"/>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Pr="005B782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Pr="005B7824">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Pr="005B782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Pr="005B7824">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12D10811" w14:textId="77777777" w:rsidR="005B7824" w:rsidRPr="005B7824" w:rsidRDefault="005B7824" w:rsidP="005A571D">
      <w:pPr>
        <w:numPr>
          <w:ilvl w:val="1"/>
          <w:numId w:val="5"/>
        </w:numPr>
        <w:spacing w:after="240"/>
        <w:jc w:val="both"/>
        <w:rPr>
          <w:sz w:val="24"/>
          <w:lang w:val="en-US"/>
        </w:rPr>
      </w:pPr>
      <w:r w:rsidRPr="005B7824">
        <w:rPr>
          <w:sz w:val="24"/>
          <w:lang w:val="en-US"/>
        </w:rPr>
        <w:t>The information required by this Reporting Standard in respect of an insurer must be provided to APRA:</w:t>
      </w:r>
    </w:p>
    <w:p w14:paraId="782F21CE" w14:textId="77777777" w:rsidR="005B7824" w:rsidRPr="005B7824" w:rsidRDefault="005B7824" w:rsidP="005A571D">
      <w:pPr>
        <w:numPr>
          <w:ilvl w:val="2"/>
          <w:numId w:val="5"/>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4330CD6D" w14:textId="77777777" w:rsidR="005B7824" w:rsidRPr="005B7824" w:rsidRDefault="005B7824" w:rsidP="005A571D">
      <w:pPr>
        <w:numPr>
          <w:ilvl w:val="2"/>
          <w:numId w:val="5"/>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Pr="005B7824">
        <w:rPr>
          <w:sz w:val="24"/>
          <w:lang w:val="en-US"/>
        </w:rPr>
        <w:t>7</w:t>
      </w:r>
      <w:r w:rsidRPr="005B7824">
        <w:rPr>
          <w:sz w:val="24"/>
          <w:lang w:val="en-US"/>
        </w:rPr>
        <w:fldChar w:fldCharType="end"/>
      </w:r>
      <w:r w:rsidRPr="005B7824">
        <w:rPr>
          <w:sz w:val="24"/>
          <w:lang w:val="en-US"/>
        </w:rPr>
        <w:t>, within the time specified by notice in writing.</w:t>
      </w:r>
    </w:p>
    <w:p w14:paraId="4245B686" w14:textId="77777777" w:rsidR="005B7824" w:rsidRPr="005B7824" w:rsidRDefault="005B7824" w:rsidP="005B7824">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w:t>
      </w:r>
      <w:proofErr w:type="gramStart"/>
      <w:r w:rsidRPr="005B7824">
        <w:rPr>
          <w:lang w:val="en-US"/>
        </w:rPr>
        <w:t>J(</w:t>
      </w:r>
      <w:proofErr w:type="gramEnd"/>
      <w:r w:rsidRPr="005B7824">
        <w:rPr>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Pr="005B782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Pr="005B7824">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07780A0D"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23264042" w14:textId="77777777" w:rsidR="005B7824" w:rsidRPr="005B7824" w:rsidRDefault="005B7824" w:rsidP="005A571D">
      <w:pPr>
        <w:numPr>
          <w:ilvl w:val="1"/>
          <w:numId w:val="5"/>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0D7BEBE9" w14:textId="77777777" w:rsidR="005B7824" w:rsidRPr="005B7824" w:rsidRDefault="005B7824" w:rsidP="005A571D">
      <w:pPr>
        <w:numPr>
          <w:ilvl w:val="0"/>
          <w:numId w:val="4"/>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66160B81" w14:textId="77777777" w:rsidR="005B7824" w:rsidRPr="005B7824" w:rsidRDefault="005B7824" w:rsidP="005A571D">
      <w:pPr>
        <w:numPr>
          <w:ilvl w:val="0"/>
          <w:numId w:val="4"/>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w:t>
      </w:r>
      <w:r w:rsidRPr="005B7824">
        <w:rPr>
          <w:sz w:val="24"/>
          <w:lang w:val="en-US"/>
        </w:rPr>
        <w:lastRenderedPageBreak/>
        <w:t xml:space="preserve">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76C4471A" w14:textId="77777777" w:rsidR="005B7824" w:rsidRPr="005B7824" w:rsidRDefault="005B7824" w:rsidP="005A571D">
      <w:pPr>
        <w:numPr>
          <w:ilvl w:val="1"/>
          <w:numId w:val="5"/>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62E89838"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10248C37" w14:textId="0AF7C7BC" w:rsidR="005B7824" w:rsidRPr="005B7824" w:rsidRDefault="005B7824" w:rsidP="005A571D">
      <w:pPr>
        <w:numPr>
          <w:ilvl w:val="1"/>
          <w:numId w:val="5"/>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6523D4B9" w14:textId="5EB62228" w:rsidR="005B7824" w:rsidRPr="005B7824" w:rsidRDefault="005B7824" w:rsidP="005A571D">
      <w:pPr>
        <w:numPr>
          <w:ilvl w:val="1"/>
          <w:numId w:val="5"/>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2AA4A6A2" w14:textId="77777777" w:rsidR="005B7824" w:rsidRPr="005B7824" w:rsidRDefault="005B7824" w:rsidP="005A571D">
      <w:pPr>
        <w:numPr>
          <w:ilvl w:val="2"/>
          <w:numId w:val="1"/>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09995E23" w14:textId="77777777" w:rsidR="005B7824" w:rsidRPr="005B7824" w:rsidRDefault="005B7824" w:rsidP="005A571D">
      <w:pPr>
        <w:numPr>
          <w:ilvl w:val="2"/>
          <w:numId w:val="1"/>
        </w:numPr>
        <w:tabs>
          <w:tab w:val="left" w:pos="1134"/>
        </w:tabs>
        <w:spacing w:after="240"/>
        <w:ind w:left="1134" w:hanging="567"/>
        <w:jc w:val="both"/>
        <w:rPr>
          <w:sz w:val="24"/>
          <w:lang w:val="en-US"/>
        </w:rPr>
      </w:pPr>
      <w:r w:rsidRPr="005B7824">
        <w:rPr>
          <w:sz w:val="24"/>
          <w:lang w:val="en-US"/>
        </w:rPr>
        <w:t>retain the completed copy.</w:t>
      </w:r>
    </w:p>
    <w:p w14:paraId="5BBD0A8D" w14:textId="77777777" w:rsidR="005B7824" w:rsidRPr="005B7824" w:rsidRDefault="005B7824" w:rsidP="005A571D">
      <w:pPr>
        <w:numPr>
          <w:ilvl w:val="1"/>
          <w:numId w:val="5"/>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7E4AB902" w14:textId="77777777" w:rsidR="005B7824" w:rsidRPr="005B7824" w:rsidRDefault="005B7824" w:rsidP="005A571D">
      <w:pPr>
        <w:numPr>
          <w:ilvl w:val="0"/>
          <w:numId w:val="8"/>
        </w:numPr>
        <w:tabs>
          <w:tab w:val="left" w:pos="1134"/>
        </w:tabs>
        <w:spacing w:after="240"/>
        <w:ind w:left="1134" w:hanging="567"/>
        <w:jc w:val="both"/>
        <w:rPr>
          <w:sz w:val="24"/>
          <w:lang w:val="en-US"/>
        </w:rPr>
      </w:pPr>
      <w:r w:rsidRPr="005B7824">
        <w:rPr>
          <w:sz w:val="24"/>
          <w:lang w:val="en-US"/>
        </w:rPr>
        <w:t>the Principal Executive Officer of the insurer; or</w:t>
      </w:r>
    </w:p>
    <w:p w14:paraId="13A87040" w14:textId="77777777" w:rsidR="005B7824" w:rsidRPr="005B7824" w:rsidRDefault="005B7824" w:rsidP="005A571D">
      <w:pPr>
        <w:numPr>
          <w:ilvl w:val="0"/>
          <w:numId w:val="8"/>
        </w:numPr>
        <w:tabs>
          <w:tab w:val="left" w:pos="1134"/>
        </w:tabs>
        <w:spacing w:after="240"/>
        <w:ind w:left="1134" w:hanging="567"/>
        <w:jc w:val="both"/>
        <w:rPr>
          <w:sz w:val="24"/>
          <w:lang w:val="en-US"/>
        </w:rPr>
      </w:pPr>
      <w:r w:rsidRPr="005B7824">
        <w:rPr>
          <w:sz w:val="24"/>
          <w:lang w:val="en-US"/>
        </w:rPr>
        <w:t>the Chief Financial Officer of the insurer.</w:t>
      </w:r>
    </w:p>
    <w:p w14:paraId="3FE6F7BB"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1ABA886B" w14:textId="77777777" w:rsidR="005B7824" w:rsidRPr="005B7824" w:rsidRDefault="005B7824" w:rsidP="005A571D">
      <w:pPr>
        <w:numPr>
          <w:ilvl w:val="1"/>
          <w:numId w:val="5"/>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A1524B">
        <w:rPr>
          <w:snapToGrid w:val="0"/>
          <w:sz w:val="24"/>
          <w:lang w:eastAsia="en-US"/>
        </w:rPr>
        <w:t>114.</w:t>
      </w:r>
      <w:r w:rsidR="009B08E2">
        <w:rPr>
          <w:snapToGrid w:val="0"/>
          <w:sz w:val="24"/>
          <w:lang w:eastAsia="en-US"/>
        </w:rPr>
        <w:t>4</w:t>
      </w:r>
      <w:r w:rsidRPr="005B7824">
        <w:rPr>
          <w:i/>
          <w:snapToGrid w:val="0"/>
          <w:sz w:val="24"/>
          <w:lang w:eastAsia="en-US"/>
        </w:rPr>
        <w:t xml:space="preserve"> </w:t>
      </w:r>
      <w:r w:rsidRPr="005B7824">
        <w:rPr>
          <w:snapToGrid w:val="0"/>
          <w:sz w:val="24"/>
          <w:lang w:eastAsia="en-US"/>
        </w:rPr>
        <w:t>in relation to that insurer.</w:t>
      </w:r>
    </w:p>
    <w:p w14:paraId="01102F4A" w14:textId="77777777" w:rsidR="005B7824" w:rsidRPr="005B7824" w:rsidRDefault="005B7824" w:rsidP="005B7824">
      <w:pPr>
        <w:spacing w:after="240"/>
        <w:rPr>
          <w:rFonts w:ascii="Arial" w:hAnsi="Arial" w:cs="Arial"/>
          <w:b/>
          <w:snapToGrid w:val="0"/>
          <w:sz w:val="24"/>
          <w:lang w:eastAsia="en-US"/>
        </w:rPr>
      </w:pPr>
      <w:r w:rsidRPr="005B7824">
        <w:rPr>
          <w:rFonts w:ascii="Arial" w:hAnsi="Arial" w:cs="Arial"/>
          <w:b/>
          <w:snapToGrid w:val="0"/>
          <w:sz w:val="24"/>
          <w:lang w:eastAsia="en-US"/>
        </w:rPr>
        <w:t>Transition</w:t>
      </w:r>
    </w:p>
    <w:p w14:paraId="64F2E91F" w14:textId="77777777" w:rsidR="005B7824" w:rsidRPr="005B7824" w:rsidRDefault="005B7824" w:rsidP="005A571D">
      <w:pPr>
        <w:numPr>
          <w:ilvl w:val="1"/>
          <w:numId w:val="5"/>
        </w:numPr>
        <w:spacing w:after="240"/>
        <w:jc w:val="both"/>
        <w:rPr>
          <w:sz w:val="24"/>
          <w:szCs w:val="24"/>
          <w:lang w:val="en-US"/>
        </w:rPr>
      </w:pPr>
      <w:r w:rsidRPr="005B7824">
        <w:rPr>
          <w:sz w:val="24"/>
          <w:szCs w:val="24"/>
          <w:lang w:val="en-US"/>
        </w:rPr>
        <w:t>An insurer must report under the old reporting standard in respect of a transitional reporting period. For these purposes:</w:t>
      </w:r>
    </w:p>
    <w:p w14:paraId="55E62FCA" w14:textId="0C492E7A" w:rsidR="005B7824" w:rsidRPr="005B7824" w:rsidRDefault="005B7824" w:rsidP="005B7824">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w:t>
      </w:r>
      <w:r w:rsidR="00B4147B">
        <w:rPr>
          <w:sz w:val="24"/>
          <w:szCs w:val="24"/>
          <w:lang w:val="en-US"/>
        </w:rPr>
        <w:t>;</w:t>
      </w:r>
      <w:r w:rsidRPr="005B7824">
        <w:rPr>
          <w:sz w:val="24"/>
          <w:szCs w:val="24"/>
          <w:lang w:val="en-US"/>
        </w:rPr>
        <w:t xml:space="preserve"> and</w:t>
      </w:r>
    </w:p>
    <w:p w14:paraId="7AC44267" w14:textId="77777777"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means a reporting period under the old reporting standard:</w:t>
      </w:r>
    </w:p>
    <w:p w14:paraId="56346A72" w14:textId="77777777" w:rsidR="005B7824" w:rsidRPr="005B7824" w:rsidRDefault="005B7824" w:rsidP="005A571D">
      <w:pPr>
        <w:numPr>
          <w:ilvl w:val="0"/>
          <w:numId w:val="7"/>
        </w:numPr>
        <w:tabs>
          <w:tab w:val="left" w:pos="1134"/>
        </w:tabs>
        <w:spacing w:after="240"/>
        <w:ind w:left="1134" w:hanging="567"/>
        <w:jc w:val="both"/>
        <w:rPr>
          <w:sz w:val="24"/>
          <w:szCs w:val="24"/>
        </w:rPr>
      </w:pPr>
      <w:r w:rsidRPr="005B7824">
        <w:rPr>
          <w:sz w:val="24"/>
          <w:szCs w:val="24"/>
        </w:rPr>
        <w:t>which ended before the date of revocation of the old reporting standard; and</w:t>
      </w:r>
    </w:p>
    <w:p w14:paraId="33E46929" w14:textId="77777777" w:rsidR="005B7824" w:rsidRDefault="005B7824" w:rsidP="005A571D">
      <w:pPr>
        <w:numPr>
          <w:ilvl w:val="0"/>
          <w:numId w:val="7"/>
        </w:numPr>
        <w:tabs>
          <w:tab w:val="left" w:pos="1134"/>
        </w:tabs>
        <w:spacing w:after="240"/>
        <w:ind w:left="1134" w:hanging="567"/>
        <w:contextualSpacing/>
        <w:jc w:val="both"/>
        <w:rPr>
          <w:sz w:val="24"/>
          <w:szCs w:val="24"/>
        </w:rPr>
      </w:pPr>
      <w:r w:rsidRPr="005B7824">
        <w:rPr>
          <w:sz w:val="24"/>
          <w:szCs w:val="24"/>
        </w:rPr>
        <w:t>in relation to which the insurer was required, under the old reporting standard, to report by a date on or after the date of revocation of the old reporting standard.</w:t>
      </w:r>
    </w:p>
    <w:p w14:paraId="5CA32A40" w14:textId="77777777" w:rsidR="005B7824" w:rsidRPr="005B7824" w:rsidRDefault="005B7824" w:rsidP="005B7824">
      <w:pPr>
        <w:spacing w:after="240"/>
        <w:ind w:left="567"/>
        <w:contextualSpacing/>
        <w:jc w:val="both"/>
        <w:rPr>
          <w:sz w:val="24"/>
          <w:szCs w:val="24"/>
        </w:rPr>
      </w:pPr>
    </w:p>
    <w:p w14:paraId="7A98C9B7" w14:textId="77777777"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527F63F8"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lastRenderedPageBreak/>
        <w:t xml:space="preserve">Interpretation </w:t>
      </w:r>
    </w:p>
    <w:p w14:paraId="7C2B0FE9" w14:textId="77777777" w:rsidR="005B7824" w:rsidRPr="005B7824" w:rsidRDefault="005B7824" w:rsidP="005A571D">
      <w:pPr>
        <w:numPr>
          <w:ilvl w:val="1"/>
          <w:numId w:val="5"/>
        </w:numPr>
        <w:spacing w:after="240"/>
        <w:jc w:val="both"/>
        <w:rPr>
          <w:sz w:val="24"/>
          <w:lang w:val="en-US"/>
        </w:rPr>
      </w:pPr>
      <w:r w:rsidRPr="005B7824">
        <w:rPr>
          <w:sz w:val="24"/>
          <w:lang w:val="en-US"/>
        </w:rPr>
        <w:t>In this Reporting Standard (including the attachments):</w:t>
      </w:r>
    </w:p>
    <w:p w14:paraId="1B0E504A" w14:textId="77777777" w:rsidR="005B7824" w:rsidRPr="005B7824" w:rsidRDefault="005B7824" w:rsidP="005A571D">
      <w:pPr>
        <w:numPr>
          <w:ilvl w:val="0"/>
          <w:numId w:val="6"/>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0F2AD711" w14:textId="77777777" w:rsidR="005B7824" w:rsidRPr="005B7824" w:rsidRDefault="005B7824" w:rsidP="005A571D">
      <w:pPr>
        <w:numPr>
          <w:ilvl w:val="0"/>
          <w:numId w:val="6"/>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w:t>
      </w:r>
      <w:proofErr w:type="gramStart"/>
      <w:r w:rsidRPr="005B7824">
        <w:rPr>
          <w:sz w:val="24"/>
          <w:szCs w:val="24"/>
          <w:lang w:val="en-US"/>
        </w:rPr>
        <w:t>Act;</w:t>
      </w:r>
      <w:proofErr w:type="gramEnd"/>
    </w:p>
    <w:p w14:paraId="798952C8" w14:textId="6E88BEE8"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217578">
        <w:rPr>
          <w:sz w:val="24"/>
          <w:szCs w:val="24"/>
          <w:lang w:val="en-US"/>
        </w:rPr>
        <w:t>.</w:t>
      </w:r>
      <w:r w:rsidR="00217578" w:rsidRPr="00217578">
        <w:rPr>
          <w:sz w:val="24"/>
          <w:szCs w:val="24"/>
        </w:rPr>
        <w:t xml:space="preserve"> </w:t>
      </w:r>
      <w:r w:rsidR="00217578" w:rsidRPr="00952A58">
        <w:rPr>
          <w:sz w:val="24"/>
          <w:szCs w:val="24"/>
        </w:rPr>
        <w:t xml:space="preserve">The Australian Reinsurance Pool Corporation is also an APRA-authorised reinsurer for the purposes of this </w:t>
      </w:r>
      <w:proofErr w:type="gramStart"/>
      <w:r w:rsidR="00217578" w:rsidRPr="00952A58">
        <w:rPr>
          <w:sz w:val="24"/>
          <w:szCs w:val="24"/>
        </w:rPr>
        <w:t>definition</w:t>
      </w:r>
      <w:r w:rsidR="00217578">
        <w:rPr>
          <w:sz w:val="24"/>
          <w:szCs w:val="24"/>
        </w:rPr>
        <w:t>;</w:t>
      </w:r>
      <w:proofErr w:type="gramEnd"/>
    </w:p>
    <w:p w14:paraId="2439B7E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 001;</w:t>
      </w:r>
    </w:p>
    <w:p w14:paraId="5551968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insurer, by whatever name </w:t>
      </w:r>
      <w:proofErr w:type="gramStart"/>
      <w:r w:rsidRPr="005B7824">
        <w:rPr>
          <w:sz w:val="24"/>
          <w:szCs w:val="24"/>
          <w:lang w:val="en-US"/>
        </w:rPr>
        <w:t>called;</w:t>
      </w:r>
      <w:proofErr w:type="gramEnd"/>
    </w:p>
    <w:p w14:paraId="3609737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proofErr w:type="gramStart"/>
      <w:r w:rsidRPr="005B7824">
        <w:rPr>
          <w:iCs/>
          <w:sz w:val="24"/>
          <w:szCs w:val="24"/>
          <w:lang w:val="en-US"/>
        </w:rPr>
        <w:t>insurer;</w:t>
      </w:r>
      <w:proofErr w:type="gramEnd"/>
    </w:p>
    <w:p w14:paraId="239E9630"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w:t>
      </w:r>
      <w:proofErr w:type="gramStart"/>
      <w:r w:rsidRPr="005B7824">
        <w:rPr>
          <w:sz w:val="24"/>
          <w:szCs w:val="24"/>
          <w:lang w:val="en-US"/>
        </w:rPr>
        <w:t>Act;</w:t>
      </w:r>
      <w:proofErr w:type="gramEnd"/>
      <w:r w:rsidRPr="005B7824">
        <w:rPr>
          <w:b/>
          <w:i/>
          <w:sz w:val="24"/>
          <w:szCs w:val="24"/>
          <w:lang w:val="en-US"/>
        </w:rPr>
        <w:t xml:space="preserve"> </w:t>
      </w:r>
    </w:p>
    <w:p w14:paraId="15F464A4"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5BC599B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46A67C16"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 xml:space="preserve">Insurance Act </w:t>
      </w:r>
      <w:proofErr w:type="gramStart"/>
      <w:r w:rsidRPr="005B7824">
        <w:rPr>
          <w:i/>
          <w:sz w:val="24"/>
          <w:szCs w:val="24"/>
          <w:lang w:val="en-US"/>
        </w:rPr>
        <w:t>1973</w:t>
      </w:r>
      <w:r w:rsidRPr="005B7824">
        <w:rPr>
          <w:sz w:val="24"/>
          <w:szCs w:val="24"/>
          <w:lang w:val="en-US"/>
        </w:rPr>
        <w:t>;</w:t>
      </w:r>
      <w:proofErr w:type="gramEnd"/>
    </w:p>
    <w:p w14:paraId="7BF32ED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w:t>
      </w:r>
      <w:proofErr w:type="gramStart"/>
      <w:r w:rsidRPr="005B7824">
        <w:rPr>
          <w:sz w:val="24"/>
          <w:szCs w:val="24"/>
          <w:lang w:val="en-US"/>
        </w:rPr>
        <w:t>Act;</w:t>
      </w:r>
      <w:proofErr w:type="gramEnd"/>
      <w:r w:rsidRPr="005B7824">
        <w:rPr>
          <w:sz w:val="24"/>
          <w:szCs w:val="24"/>
          <w:lang w:val="en-US"/>
        </w:rPr>
        <w:t xml:space="preserve"> </w:t>
      </w:r>
    </w:p>
    <w:p w14:paraId="3B588F39"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4F7B62A3"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w:t>
      </w:r>
      <w:proofErr w:type="gramStart"/>
      <w:r w:rsidRPr="005B7824">
        <w:rPr>
          <w:sz w:val="24"/>
          <w:szCs w:val="24"/>
          <w:lang w:val="en-US"/>
        </w:rPr>
        <w:t>reinsurer;</w:t>
      </w:r>
      <w:proofErr w:type="gramEnd"/>
    </w:p>
    <w:p w14:paraId="4B83D46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insurer,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insurer; and</w:t>
      </w:r>
    </w:p>
    <w:p w14:paraId="1B77DD9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Pr="005B782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Pr="005B7824">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Pr="005B782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Pr="005B7824">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Pr="005B7824">
        <w:rPr>
          <w:sz w:val="24"/>
          <w:szCs w:val="24"/>
          <w:lang w:val="en-US"/>
        </w:rPr>
        <w:t>7</w:t>
      </w:r>
      <w:r w:rsidRPr="005B7824">
        <w:rPr>
          <w:sz w:val="24"/>
          <w:szCs w:val="24"/>
          <w:lang w:val="en-US"/>
        </w:rPr>
        <w:fldChar w:fldCharType="end"/>
      </w:r>
      <w:r w:rsidRPr="005B7824">
        <w:rPr>
          <w:sz w:val="24"/>
          <w:szCs w:val="24"/>
          <w:lang w:val="en-US"/>
        </w:rPr>
        <w:t xml:space="preserve">. </w:t>
      </w:r>
    </w:p>
    <w:p w14:paraId="607DAF58" w14:textId="77777777" w:rsidR="00726E2A" w:rsidRDefault="00726E2A" w:rsidP="00760AC5">
      <w:pPr>
        <w:pStyle w:val="Header"/>
        <w:jc w:val="both"/>
        <w:rPr>
          <w:bCs/>
        </w:rPr>
        <w:sectPr w:rsidR="00726E2A" w:rsidSect="00F51470">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tbl>
      <w:tblPr>
        <w:tblW w:w="13892" w:type="dxa"/>
        <w:tblInd w:w="108" w:type="dxa"/>
        <w:tblLook w:val="0400" w:firstRow="0" w:lastRow="0" w:firstColumn="0" w:lastColumn="0" w:noHBand="0" w:noVBand="1"/>
      </w:tblPr>
      <w:tblGrid>
        <w:gridCol w:w="13892"/>
      </w:tblGrid>
      <w:tr w:rsidR="009C340B" w:rsidRPr="00FC3309" w14:paraId="1571519B" w14:textId="77777777" w:rsidTr="0044317F">
        <w:trPr>
          <w:trHeight w:val="300"/>
        </w:trPr>
        <w:tc>
          <w:tcPr>
            <w:tcW w:w="8806" w:type="dxa"/>
            <w:shd w:val="clear" w:color="auto" w:fill="auto"/>
            <w:noWrap/>
            <w:vAlign w:val="bottom"/>
            <w:hideMark/>
          </w:tcPr>
          <w:p w14:paraId="5027799D" w14:textId="77777777" w:rsidR="009C340B" w:rsidRPr="00142495" w:rsidRDefault="009C340B" w:rsidP="0044317F">
            <w:pPr>
              <w:jc w:val="center"/>
              <w:rPr>
                <w:rFonts w:ascii="Arial" w:hAnsi="Arial" w:cs="Arial"/>
                <w:b/>
                <w:sz w:val="32"/>
                <w:szCs w:val="32"/>
              </w:rPr>
            </w:pPr>
            <w:r w:rsidRPr="00142495">
              <w:rPr>
                <w:rFonts w:ascii="Arial" w:hAnsi="Arial" w:cs="Arial"/>
                <w:b/>
                <w:sz w:val="32"/>
                <w:szCs w:val="32"/>
              </w:rPr>
              <w:lastRenderedPageBreak/>
              <w:t>GRF_114_4: Details of Investment Assets</w:t>
            </w:r>
          </w:p>
        </w:tc>
      </w:tr>
    </w:tbl>
    <w:p w14:paraId="37546B6B" w14:textId="77777777" w:rsidR="009C340B" w:rsidRPr="00FC3309" w:rsidRDefault="009C340B" w:rsidP="009C340B">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9C340B" w:rsidRPr="00FC3309" w14:paraId="6D98968A" w14:textId="77777777" w:rsidTr="0044317F">
        <w:trPr>
          <w:trHeight w:val="317"/>
        </w:trPr>
        <w:tc>
          <w:tcPr>
            <w:tcW w:w="6946" w:type="dxa"/>
            <w:tcBorders>
              <w:top w:val="nil"/>
              <w:left w:val="nil"/>
              <w:bottom w:val="single" w:sz="4" w:space="0" w:color="auto"/>
              <w:right w:val="nil"/>
            </w:tcBorders>
            <w:vAlign w:val="bottom"/>
            <w:hideMark/>
          </w:tcPr>
          <w:p w14:paraId="3CA9C5FB" w14:textId="77777777" w:rsidR="009C340B" w:rsidRPr="00FC3309" w:rsidRDefault="009C340B" w:rsidP="0044317F">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581D0D6B" w14:textId="77777777" w:rsidR="009C340B" w:rsidRPr="00FC3309" w:rsidRDefault="009C340B" w:rsidP="0044317F">
            <w:pPr>
              <w:rPr>
                <w:rFonts w:ascii="Arial" w:hAnsi="Arial" w:cs="Arial"/>
                <w:b/>
                <w:bCs/>
              </w:rPr>
            </w:pPr>
            <w:r w:rsidRPr="00FC3309">
              <w:rPr>
                <w:rFonts w:ascii="Arial" w:hAnsi="Arial" w:cs="Arial"/>
                <w:b/>
                <w:bCs/>
              </w:rPr>
              <w:t>Institution Name</w:t>
            </w:r>
          </w:p>
        </w:tc>
      </w:tr>
      <w:tr w:rsidR="009C340B" w:rsidRPr="00FC3309" w14:paraId="2F41B809" w14:textId="77777777" w:rsidTr="0044317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1D40FB7" w14:textId="77777777" w:rsidR="009C340B" w:rsidRPr="00FC3309" w:rsidRDefault="009C340B" w:rsidP="0044317F">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F6BA265" w14:textId="77777777" w:rsidR="009C340B" w:rsidRPr="00FC3309" w:rsidRDefault="009C340B" w:rsidP="0044317F">
            <w:pPr>
              <w:rPr>
                <w:rFonts w:ascii="Arial" w:hAnsi="Arial" w:cs="Arial"/>
              </w:rPr>
            </w:pPr>
          </w:p>
        </w:tc>
      </w:tr>
      <w:tr w:rsidR="009C340B" w:rsidRPr="00FC3309" w14:paraId="25D529BB" w14:textId="77777777" w:rsidTr="0044317F">
        <w:trPr>
          <w:trHeight w:val="317"/>
        </w:trPr>
        <w:tc>
          <w:tcPr>
            <w:tcW w:w="6946" w:type="dxa"/>
            <w:tcBorders>
              <w:top w:val="single" w:sz="4" w:space="0" w:color="auto"/>
              <w:left w:val="nil"/>
              <w:bottom w:val="single" w:sz="4" w:space="0" w:color="auto"/>
              <w:right w:val="nil"/>
            </w:tcBorders>
            <w:noWrap/>
            <w:vAlign w:val="bottom"/>
            <w:hideMark/>
          </w:tcPr>
          <w:p w14:paraId="073E05B8" w14:textId="77777777" w:rsidR="009C340B" w:rsidRPr="00FC3309" w:rsidRDefault="009C340B" w:rsidP="0044317F">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716E0C27" w14:textId="77777777" w:rsidR="009C340B" w:rsidRPr="00FC3309" w:rsidRDefault="009C340B" w:rsidP="0044317F">
            <w:pPr>
              <w:rPr>
                <w:rFonts w:ascii="Arial" w:hAnsi="Arial" w:cs="Arial"/>
                <w:b/>
              </w:rPr>
            </w:pPr>
            <w:r w:rsidRPr="00FC3309">
              <w:rPr>
                <w:rFonts w:ascii="Arial" w:hAnsi="Arial" w:cs="Arial"/>
                <w:b/>
              </w:rPr>
              <w:t xml:space="preserve">Scale Factor </w:t>
            </w:r>
          </w:p>
        </w:tc>
      </w:tr>
      <w:tr w:rsidR="009C340B" w:rsidRPr="00FC3309" w14:paraId="5C80668D" w14:textId="77777777" w:rsidTr="0044317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DAEC49F" w14:textId="77777777" w:rsidR="009C340B" w:rsidRPr="00FC3309" w:rsidRDefault="009C340B" w:rsidP="0044317F">
            <w:pPr>
              <w:rPr>
                <w:rFonts w:ascii="Arial" w:hAnsi="Arial" w:cs="Arial"/>
              </w:rPr>
            </w:pPr>
            <w:r>
              <w:rPr>
                <w:rFonts w:ascii="Arial" w:hAnsi="Arial" w:cs="Arial"/>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4B9F1DC" w14:textId="77777777" w:rsidR="009C340B" w:rsidRPr="00FC3309" w:rsidRDefault="009C340B" w:rsidP="0044317F">
            <w:pPr>
              <w:rPr>
                <w:rFonts w:ascii="Arial" w:hAnsi="Arial" w:cs="Arial"/>
              </w:rPr>
            </w:pPr>
            <w:r w:rsidRPr="00FF043A">
              <w:rPr>
                <w:rFonts w:ascii="Arial" w:hAnsi="Arial" w:cs="Arial"/>
              </w:rPr>
              <w:t>Thousands of dollars no decimal place</w:t>
            </w:r>
          </w:p>
        </w:tc>
      </w:tr>
      <w:tr w:rsidR="009C340B" w:rsidRPr="00FC3309" w14:paraId="04710280" w14:textId="77777777" w:rsidTr="0044317F">
        <w:trPr>
          <w:trHeight w:val="317"/>
        </w:trPr>
        <w:tc>
          <w:tcPr>
            <w:tcW w:w="6946" w:type="dxa"/>
            <w:tcBorders>
              <w:top w:val="single" w:sz="4" w:space="0" w:color="auto"/>
              <w:bottom w:val="single" w:sz="4" w:space="0" w:color="auto"/>
            </w:tcBorders>
            <w:noWrap/>
            <w:vAlign w:val="bottom"/>
          </w:tcPr>
          <w:p w14:paraId="44EB2310" w14:textId="77777777" w:rsidR="009C340B" w:rsidRPr="00FC3309" w:rsidRDefault="009C340B" w:rsidP="0044317F">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0BACEF9D" w14:textId="77777777" w:rsidR="009C340B" w:rsidRPr="00FC3309" w:rsidRDefault="009C340B" w:rsidP="0044317F">
            <w:pPr>
              <w:rPr>
                <w:rFonts w:ascii="Arial" w:hAnsi="Arial" w:cs="Arial"/>
              </w:rPr>
            </w:pPr>
          </w:p>
        </w:tc>
      </w:tr>
      <w:tr w:rsidR="009C340B" w:rsidRPr="00FC3309" w14:paraId="2117C981" w14:textId="77777777" w:rsidTr="0044317F">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7E799F45" w14:textId="77777777" w:rsidR="009C340B" w:rsidRPr="00FC3309" w:rsidRDefault="009C340B" w:rsidP="0044317F">
            <w:pPr>
              <w:rPr>
                <w:rFonts w:ascii="Arial" w:hAnsi="Arial" w:cs="Arial"/>
              </w:rPr>
            </w:pPr>
            <w:r w:rsidRPr="00FF043A">
              <w:rPr>
                <w:rFonts w:ascii="Arial" w:hAnsi="Arial" w:cs="Arial"/>
              </w:rPr>
              <w:t>Licensed Insurer</w:t>
            </w:r>
          </w:p>
        </w:tc>
        <w:tc>
          <w:tcPr>
            <w:tcW w:w="6946" w:type="dxa"/>
            <w:tcBorders>
              <w:left w:val="single" w:sz="4" w:space="0" w:color="auto"/>
            </w:tcBorders>
            <w:noWrap/>
            <w:vAlign w:val="bottom"/>
          </w:tcPr>
          <w:p w14:paraId="1AE011CE" w14:textId="77777777" w:rsidR="009C340B" w:rsidRPr="00FC3309" w:rsidRDefault="009C340B" w:rsidP="0044317F">
            <w:pPr>
              <w:rPr>
                <w:rFonts w:ascii="Arial" w:hAnsi="Arial" w:cs="Arial"/>
              </w:rPr>
            </w:pPr>
          </w:p>
        </w:tc>
      </w:tr>
    </w:tbl>
    <w:p w14:paraId="289A2026" w14:textId="77777777" w:rsidR="009C340B" w:rsidRPr="00FC3309" w:rsidRDefault="009C340B" w:rsidP="009C340B">
      <w:pPr>
        <w:rPr>
          <w:rFonts w:ascii="Arial" w:hAnsi="Arial" w:cs="Arial"/>
        </w:rPr>
      </w:pPr>
    </w:p>
    <w:tbl>
      <w:tblPr>
        <w:tblW w:w="13892" w:type="dxa"/>
        <w:tblInd w:w="108" w:type="dxa"/>
        <w:tblLook w:val="04A0" w:firstRow="1" w:lastRow="0" w:firstColumn="1" w:lastColumn="0" w:noHBand="0" w:noVBand="1"/>
      </w:tblPr>
      <w:tblGrid>
        <w:gridCol w:w="13892"/>
      </w:tblGrid>
      <w:tr w:rsidR="009C340B" w:rsidRPr="00FC3309" w14:paraId="389513BD" w14:textId="77777777" w:rsidTr="0044317F">
        <w:tc>
          <w:tcPr>
            <w:tcW w:w="8789" w:type="dxa"/>
          </w:tcPr>
          <w:p w14:paraId="3BD013D1" w14:textId="77777777" w:rsidR="009C340B" w:rsidRPr="00FC3309" w:rsidRDefault="009C340B" w:rsidP="0044317F">
            <w:pPr>
              <w:rPr>
                <w:rFonts w:ascii="Arial" w:hAnsi="Arial" w:cs="Arial"/>
                <w:b/>
                <w:bCs/>
                <w:sz w:val="24"/>
                <w:szCs w:val="24"/>
              </w:rPr>
            </w:pPr>
            <w:r w:rsidRPr="00FF043A">
              <w:rPr>
                <w:rFonts w:ascii="Arial" w:hAnsi="Arial" w:cs="Arial"/>
                <w:b/>
                <w:bCs/>
                <w:sz w:val="24"/>
                <w:szCs w:val="24"/>
              </w:rPr>
              <w:t>Section 1: Direct interest rate holdings</w:t>
            </w:r>
          </w:p>
        </w:tc>
      </w:tr>
    </w:tbl>
    <w:p w14:paraId="4A231932"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FF043A" w14:paraId="3D406C83" w14:textId="77777777" w:rsidTr="0044317F">
        <w:trPr>
          <w:trHeight w:val="317"/>
        </w:trPr>
        <w:tc>
          <w:tcPr>
            <w:tcW w:w="12206" w:type="dxa"/>
            <w:tcBorders>
              <w:top w:val="nil"/>
              <w:left w:val="nil"/>
              <w:bottom w:val="nil"/>
            </w:tcBorders>
            <w:shd w:val="clear" w:color="auto" w:fill="auto"/>
            <w:noWrap/>
            <w:vAlign w:val="bottom"/>
            <w:hideMark/>
          </w:tcPr>
          <w:p w14:paraId="3F8A5D58" w14:textId="77777777" w:rsidR="009C340B" w:rsidRPr="00191DD7" w:rsidRDefault="009C340B" w:rsidP="009C340B">
            <w:pPr>
              <w:numPr>
                <w:ilvl w:val="0"/>
                <w:numId w:val="34"/>
              </w:numPr>
              <w:rPr>
                <w:rFonts w:ascii="Arial" w:hAnsi="Arial" w:cs="Arial"/>
                <w:b/>
                <w:bCs/>
              </w:rPr>
            </w:pPr>
            <w:r w:rsidRPr="00191DD7">
              <w:rPr>
                <w:rFonts w:ascii="Arial" w:hAnsi="Arial" w:cs="Arial"/>
                <w:b/>
                <w:bCs/>
              </w:rPr>
              <w:t>Deposits or placements with (</w:t>
            </w:r>
            <w:proofErr w:type="gramStart"/>
            <w:r w:rsidRPr="00191DD7">
              <w:rPr>
                <w:rFonts w:ascii="Arial" w:hAnsi="Arial" w:cs="Arial"/>
                <w:b/>
                <w:bCs/>
              </w:rPr>
              <w:t>i.e.</w:t>
            </w:r>
            <w:proofErr w:type="gramEnd"/>
            <w:r w:rsidRPr="00191DD7">
              <w:rPr>
                <w:rFonts w:ascii="Arial" w:hAnsi="Arial" w:cs="Arial"/>
                <w:b/>
                <w:bCs/>
              </w:rPr>
              <w:t xml:space="preserve"> money market type deposits / placements):</w:t>
            </w:r>
          </w:p>
        </w:tc>
        <w:tc>
          <w:tcPr>
            <w:tcW w:w="1686" w:type="dxa"/>
            <w:tcBorders>
              <w:bottom w:val="single" w:sz="4" w:space="0" w:color="auto"/>
            </w:tcBorders>
            <w:shd w:val="clear" w:color="auto" w:fill="auto"/>
            <w:noWrap/>
            <w:vAlign w:val="bottom"/>
          </w:tcPr>
          <w:p w14:paraId="3A2BCC11" w14:textId="77777777" w:rsidR="009C340B" w:rsidRPr="00FF043A" w:rsidRDefault="009C340B" w:rsidP="0044317F">
            <w:pPr>
              <w:jc w:val="center"/>
              <w:rPr>
                <w:rFonts w:ascii="Arial" w:hAnsi="Arial" w:cs="Arial"/>
              </w:rPr>
            </w:pPr>
          </w:p>
        </w:tc>
      </w:tr>
      <w:tr w:rsidR="009C340B" w:rsidRPr="00FF043A" w14:paraId="14C0FBA3" w14:textId="77777777" w:rsidTr="0044317F">
        <w:trPr>
          <w:trHeight w:val="317"/>
        </w:trPr>
        <w:tc>
          <w:tcPr>
            <w:tcW w:w="12206" w:type="dxa"/>
            <w:tcBorders>
              <w:top w:val="nil"/>
              <w:left w:val="nil"/>
              <w:bottom w:val="nil"/>
              <w:right w:val="nil"/>
            </w:tcBorders>
            <w:shd w:val="clear" w:color="auto" w:fill="auto"/>
            <w:noWrap/>
            <w:vAlign w:val="bottom"/>
          </w:tcPr>
          <w:p w14:paraId="6B8FAA3D" w14:textId="77777777" w:rsidR="009C340B" w:rsidRPr="00FF043A" w:rsidRDefault="009C340B" w:rsidP="009C340B">
            <w:pPr>
              <w:numPr>
                <w:ilvl w:val="1"/>
                <w:numId w:val="34"/>
              </w:numPr>
              <w:rPr>
                <w:rFonts w:ascii="Arial" w:hAnsi="Arial" w:cs="Arial"/>
              </w:rPr>
            </w:pPr>
            <w:r w:rsidRPr="00191DD7">
              <w:rPr>
                <w:rFonts w:ascii="Arial" w:hAnsi="Arial" w:cs="Arial"/>
              </w:rPr>
              <w:t>Authorised Deposit Taking Institutions (ADIs)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2DF66" w14:textId="77777777" w:rsidR="009C340B" w:rsidRPr="00FF043A" w:rsidRDefault="009C340B" w:rsidP="0044317F">
            <w:pPr>
              <w:jc w:val="center"/>
              <w:rPr>
                <w:rFonts w:ascii="Arial" w:hAnsi="Arial" w:cs="Arial"/>
              </w:rPr>
            </w:pPr>
          </w:p>
        </w:tc>
      </w:tr>
      <w:tr w:rsidR="009C340B" w:rsidRPr="00FF043A" w14:paraId="58E56AE6" w14:textId="77777777" w:rsidTr="0044317F">
        <w:trPr>
          <w:trHeight w:val="317"/>
        </w:trPr>
        <w:tc>
          <w:tcPr>
            <w:tcW w:w="12206" w:type="dxa"/>
            <w:tcBorders>
              <w:top w:val="nil"/>
              <w:left w:val="nil"/>
              <w:bottom w:val="nil"/>
              <w:right w:val="nil"/>
            </w:tcBorders>
            <w:shd w:val="clear" w:color="auto" w:fill="auto"/>
            <w:noWrap/>
            <w:vAlign w:val="bottom"/>
            <w:hideMark/>
          </w:tcPr>
          <w:p w14:paraId="4A825CCE" w14:textId="77777777" w:rsidR="009C340B" w:rsidRPr="00FF043A" w:rsidRDefault="009C340B" w:rsidP="009C340B">
            <w:pPr>
              <w:numPr>
                <w:ilvl w:val="1"/>
                <w:numId w:val="34"/>
              </w:numPr>
              <w:rPr>
                <w:rFonts w:ascii="Arial" w:hAnsi="Arial" w:cs="Arial"/>
              </w:rPr>
            </w:pPr>
            <w:r w:rsidRPr="00FF043A">
              <w:rPr>
                <w:rFonts w:ascii="Arial" w:hAnsi="Arial" w:cs="Arial"/>
              </w:rPr>
              <w:t>Other</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062F1FD9" w14:textId="77777777" w:rsidR="009C340B" w:rsidRPr="00FF043A" w:rsidRDefault="009C340B" w:rsidP="0044317F">
            <w:pPr>
              <w:jc w:val="center"/>
              <w:rPr>
                <w:rFonts w:ascii="Arial" w:hAnsi="Arial" w:cs="Arial"/>
              </w:rPr>
            </w:pPr>
          </w:p>
        </w:tc>
      </w:tr>
    </w:tbl>
    <w:p w14:paraId="7442D3B1"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FF043A" w14:paraId="56184520" w14:textId="77777777" w:rsidTr="0044317F">
        <w:trPr>
          <w:trHeight w:val="317"/>
        </w:trPr>
        <w:tc>
          <w:tcPr>
            <w:tcW w:w="12206" w:type="dxa"/>
            <w:tcBorders>
              <w:top w:val="nil"/>
              <w:left w:val="nil"/>
              <w:bottom w:val="nil"/>
            </w:tcBorders>
            <w:shd w:val="clear" w:color="auto" w:fill="auto"/>
            <w:noWrap/>
            <w:vAlign w:val="bottom"/>
            <w:hideMark/>
          </w:tcPr>
          <w:p w14:paraId="42C01AD9" w14:textId="77777777" w:rsidR="009C340B" w:rsidRPr="00191DD7" w:rsidRDefault="009C340B" w:rsidP="009C340B">
            <w:pPr>
              <w:numPr>
                <w:ilvl w:val="0"/>
                <w:numId w:val="34"/>
              </w:numPr>
              <w:rPr>
                <w:rFonts w:ascii="Arial" w:hAnsi="Arial" w:cs="Arial"/>
                <w:b/>
                <w:bCs/>
              </w:rPr>
            </w:pPr>
            <w:r w:rsidRPr="00191DD7">
              <w:rPr>
                <w:rFonts w:ascii="Arial" w:hAnsi="Arial" w:cs="Arial"/>
                <w:b/>
                <w:bCs/>
              </w:rPr>
              <w:t>Short term securities</w:t>
            </w:r>
          </w:p>
        </w:tc>
        <w:tc>
          <w:tcPr>
            <w:tcW w:w="1686" w:type="dxa"/>
            <w:shd w:val="clear" w:color="auto" w:fill="auto"/>
            <w:noWrap/>
            <w:vAlign w:val="bottom"/>
          </w:tcPr>
          <w:p w14:paraId="5ED2BFE3" w14:textId="77777777" w:rsidR="009C340B" w:rsidRPr="00FF043A" w:rsidRDefault="009C340B" w:rsidP="0044317F">
            <w:pPr>
              <w:jc w:val="center"/>
              <w:rPr>
                <w:rFonts w:ascii="Arial" w:hAnsi="Arial" w:cs="Arial"/>
              </w:rPr>
            </w:pPr>
          </w:p>
        </w:tc>
      </w:tr>
      <w:tr w:rsidR="009C340B" w:rsidRPr="00FF043A" w14:paraId="1B296C78" w14:textId="77777777" w:rsidTr="0044317F">
        <w:trPr>
          <w:trHeight w:val="317"/>
        </w:trPr>
        <w:tc>
          <w:tcPr>
            <w:tcW w:w="12206" w:type="dxa"/>
            <w:tcBorders>
              <w:top w:val="nil"/>
              <w:left w:val="nil"/>
              <w:bottom w:val="nil"/>
            </w:tcBorders>
            <w:shd w:val="clear" w:color="auto" w:fill="auto"/>
            <w:noWrap/>
            <w:vAlign w:val="bottom"/>
          </w:tcPr>
          <w:p w14:paraId="7C20B869" w14:textId="77777777" w:rsidR="009C340B" w:rsidRPr="00191DD7" w:rsidRDefault="009C340B" w:rsidP="0044317F">
            <w:pPr>
              <w:ind w:left="284"/>
              <w:rPr>
                <w:rFonts w:ascii="Arial" w:hAnsi="Arial" w:cs="Arial"/>
                <w:b/>
              </w:rPr>
            </w:pPr>
            <w:r w:rsidRPr="00191DD7">
              <w:rPr>
                <w:rFonts w:ascii="Arial" w:hAnsi="Arial" w:cs="Arial"/>
                <w:b/>
                <w:bCs/>
              </w:rPr>
              <w:t>Bills of exchange:</w:t>
            </w:r>
          </w:p>
        </w:tc>
        <w:tc>
          <w:tcPr>
            <w:tcW w:w="1686" w:type="dxa"/>
            <w:tcBorders>
              <w:bottom w:val="single" w:sz="4" w:space="0" w:color="auto"/>
            </w:tcBorders>
            <w:shd w:val="clear" w:color="auto" w:fill="auto"/>
            <w:noWrap/>
            <w:vAlign w:val="bottom"/>
          </w:tcPr>
          <w:p w14:paraId="0E4F818B" w14:textId="77777777" w:rsidR="009C340B" w:rsidRDefault="009C340B" w:rsidP="0044317F">
            <w:pPr>
              <w:jc w:val="center"/>
              <w:rPr>
                <w:rFonts w:ascii="Arial" w:hAnsi="Arial" w:cs="Arial"/>
              </w:rPr>
            </w:pPr>
          </w:p>
        </w:tc>
      </w:tr>
      <w:tr w:rsidR="009C340B" w:rsidRPr="00FF043A" w14:paraId="63E910BD" w14:textId="77777777" w:rsidTr="0044317F">
        <w:trPr>
          <w:trHeight w:val="317"/>
        </w:trPr>
        <w:tc>
          <w:tcPr>
            <w:tcW w:w="12206" w:type="dxa"/>
            <w:tcBorders>
              <w:top w:val="nil"/>
              <w:left w:val="nil"/>
              <w:bottom w:val="nil"/>
              <w:right w:val="nil"/>
            </w:tcBorders>
            <w:shd w:val="clear" w:color="auto" w:fill="auto"/>
            <w:noWrap/>
            <w:vAlign w:val="bottom"/>
          </w:tcPr>
          <w:p w14:paraId="1F32E933" w14:textId="77777777" w:rsidR="009C340B" w:rsidRPr="007F4A8E" w:rsidRDefault="009C340B" w:rsidP="009C340B">
            <w:pPr>
              <w:numPr>
                <w:ilvl w:val="1"/>
                <w:numId w:val="34"/>
              </w:numPr>
              <w:rPr>
                <w:rFonts w:ascii="Arial" w:hAnsi="Arial" w:cs="Arial"/>
              </w:rPr>
            </w:pPr>
            <w:r w:rsidRPr="00191DD7">
              <w:rPr>
                <w:rFonts w:ascii="Arial" w:hAnsi="Arial" w:cs="Arial"/>
              </w:rPr>
              <w:t>Bank accepted</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0671" w14:textId="77777777" w:rsidR="009C340B" w:rsidRDefault="009C340B" w:rsidP="0044317F">
            <w:pPr>
              <w:jc w:val="center"/>
              <w:rPr>
                <w:rFonts w:ascii="Arial" w:hAnsi="Arial" w:cs="Arial"/>
              </w:rPr>
            </w:pPr>
          </w:p>
        </w:tc>
      </w:tr>
      <w:tr w:rsidR="009C340B" w:rsidRPr="00FF043A" w14:paraId="6A604428" w14:textId="77777777" w:rsidTr="0044317F">
        <w:trPr>
          <w:trHeight w:val="317"/>
        </w:trPr>
        <w:tc>
          <w:tcPr>
            <w:tcW w:w="12206" w:type="dxa"/>
            <w:tcBorders>
              <w:top w:val="nil"/>
              <w:left w:val="nil"/>
              <w:bottom w:val="nil"/>
              <w:right w:val="nil"/>
            </w:tcBorders>
            <w:shd w:val="clear" w:color="auto" w:fill="auto"/>
            <w:noWrap/>
            <w:vAlign w:val="bottom"/>
            <w:hideMark/>
          </w:tcPr>
          <w:p w14:paraId="7F340DE1" w14:textId="77777777" w:rsidR="009C340B" w:rsidRPr="00FF043A" w:rsidRDefault="009C340B" w:rsidP="009C340B">
            <w:pPr>
              <w:numPr>
                <w:ilvl w:val="1"/>
                <w:numId w:val="34"/>
              </w:numPr>
              <w:rPr>
                <w:rFonts w:ascii="Arial" w:hAnsi="Arial" w:cs="Arial"/>
              </w:rPr>
            </w:pPr>
            <w:r w:rsidRPr="00FF043A">
              <w:rPr>
                <w:rFonts w:ascii="Arial" w:hAnsi="Arial" w:cs="Arial"/>
              </w:rPr>
              <w:t>Other</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0B056E2C" w14:textId="77777777" w:rsidR="009C340B" w:rsidRPr="00FF043A" w:rsidRDefault="009C340B" w:rsidP="0044317F">
            <w:pPr>
              <w:jc w:val="center"/>
              <w:rPr>
                <w:rFonts w:ascii="Arial" w:hAnsi="Arial" w:cs="Arial"/>
              </w:rPr>
            </w:pPr>
          </w:p>
        </w:tc>
      </w:tr>
      <w:tr w:rsidR="009C340B" w:rsidRPr="00FF043A" w14:paraId="102FFA35" w14:textId="77777777" w:rsidTr="0044317F">
        <w:trPr>
          <w:trHeight w:val="317"/>
        </w:trPr>
        <w:tc>
          <w:tcPr>
            <w:tcW w:w="12206" w:type="dxa"/>
            <w:tcBorders>
              <w:top w:val="nil"/>
              <w:left w:val="nil"/>
              <w:bottom w:val="nil"/>
            </w:tcBorders>
            <w:shd w:val="clear" w:color="auto" w:fill="auto"/>
            <w:noWrap/>
            <w:vAlign w:val="bottom"/>
          </w:tcPr>
          <w:p w14:paraId="0A2398E3" w14:textId="77777777" w:rsidR="009C340B" w:rsidRPr="00E30D94" w:rsidRDefault="009C340B" w:rsidP="0044317F">
            <w:pPr>
              <w:ind w:left="284"/>
              <w:rPr>
                <w:rFonts w:ascii="Arial" w:hAnsi="Arial" w:cs="Arial"/>
                <w:b/>
                <w:bCs/>
              </w:rPr>
            </w:pPr>
            <w:r w:rsidRPr="00E30D94">
              <w:rPr>
                <w:rFonts w:ascii="Arial" w:hAnsi="Arial" w:cs="Arial"/>
                <w:b/>
                <w:bCs/>
              </w:rPr>
              <w:t>Commercial paper and promissory notes issued by:</w:t>
            </w:r>
          </w:p>
        </w:tc>
        <w:tc>
          <w:tcPr>
            <w:tcW w:w="1686" w:type="dxa"/>
            <w:tcBorders>
              <w:top w:val="single" w:sz="4" w:space="0" w:color="auto"/>
              <w:bottom w:val="single" w:sz="4" w:space="0" w:color="auto"/>
            </w:tcBorders>
            <w:shd w:val="clear" w:color="auto" w:fill="auto"/>
            <w:noWrap/>
            <w:vAlign w:val="bottom"/>
          </w:tcPr>
          <w:p w14:paraId="12ACF497" w14:textId="77777777" w:rsidR="009C340B" w:rsidRDefault="009C340B" w:rsidP="0044317F">
            <w:pPr>
              <w:jc w:val="center"/>
              <w:rPr>
                <w:rFonts w:ascii="Arial" w:hAnsi="Arial" w:cs="Arial"/>
              </w:rPr>
            </w:pPr>
          </w:p>
        </w:tc>
      </w:tr>
      <w:tr w:rsidR="009C340B" w:rsidRPr="00FF043A" w14:paraId="1DA25255" w14:textId="77777777" w:rsidTr="0044317F">
        <w:trPr>
          <w:trHeight w:val="317"/>
        </w:trPr>
        <w:tc>
          <w:tcPr>
            <w:tcW w:w="12206" w:type="dxa"/>
            <w:tcBorders>
              <w:top w:val="nil"/>
              <w:left w:val="nil"/>
              <w:bottom w:val="nil"/>
              <w:right w:val="nil"/>
            </w:tcBorders>
            <w:shd w:val="clear" w:color="auto" w:fill="auto"/>
            <w:noWrap/>
            <w:vAlign w:val="bottom"/>
            <w:hideMark/>
          </w:tcPr>
          <w:p w14:paraId="1B9E8352" w14:textId="77777777" w:rsidR="009C340B" w:rsidRPr="00FF043A" w:rsidRDefault="009C340B" w:rsidP="009C340B">
            <w:pPr>
              <w:numPr>
                <w:ilvl w:val="1"/>
                <w:numId w:val="34"/>
              </w:numPr>
              <w:rPr>
                <w:rFonts w:ascii="Arial" w:hAnsi="Arial" w:cs="Arial"/>
              </w:rPr>
            </w:pPr>
            <w:r w:rsidRPr="007F4A8E">
              <w:rPr>
                <w:rFonts w:ascii="Arial" w:hAnsi="Arial" w:cs="Arial"/>
              </w:rPr>
              <w:t>ADIs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09FE1" w14:textId="77777777" w:rsidR="009C340B" w:rsidRPr="00231CAF" w:rsidRDefault="009C340B" w:rsidP="0044317F">
            <w:pPr>
              <w:jc w:val="center"/>
              <w:rPr>
                <w:rFonts w:ascii="Arial" w:hAnsi="Arial" w:cs="Arial"/>
              </w:rPr>
            </w:pPr>
          </w:p>
        </w:tc>
      </w:tr>
      <w:tr w:rsidR="009C340B" w:rsidRPr="00FF043A" w14:paraId="7F771C7B" w14:textId="77777777" w:rsidTr="0044317F">
        <w:trPr>
          <w:trHeight w:val="317"/>
        </w:trPr>
        <w:tc>
          <w:tcPr>
            <w:tcW w:w="12206" w:type="dxa"/>
            <w:tcBorders>
              <w:top w:val="nil"/>
              <w:left w:val="nil"/>
              <w:bottom w:val="nil"/>
              <w:right w:val="nil"/>
            </w:tcBorders>
            <w:shd w:val="clear" w:color="auto" w:fill="auto"/>
            <w:noWrap/>
            <w:vAlign w:val="bottom"/>
            <w:hideMark/>
          </w:tcPr>
          <w:p w14:paraId="773D4750" w14:textId="77777777" w:rsidR="009C340B" w:rsidRPr="00FF043A" w:rsidRDefault="009C340B" w:rsidP="009C340B">
            <w:pPr>
              <w:numPr>
                <w:ilvl w:val="1"/>
                <w:numId w:val="34"/>
              </w:numPr>
              <w:rPr>
                <w:rFonts w:ascii="Arial" w:hAnsi="Arial" w:cs="Arial"/>
              </w:rPr>
            </w:pPr>
            <w:r w:rsidRPr="007F4A8E">
              <w:rPr>
                <w:rFonts w:ascii="Arial" w:hAnsi="Arial" w:cs="Arial"/>
              </w:rPr>
              <w:t>General insurance corporations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5D05C" w14:textId="77777777" w:rsidR="009C340B" w:rsidRPr="00231CAF" w:rsidRDefault="009C340B" w:rsidP="0044317F">
            <w:pPr>
              <w:jc w:val="center"/>
              <w:rPr>
                <w:rFonts w:ascii="Arial" w:hAnsi="Arial" w:cs="Arial"/>
              </w:rPr>
            </w:pPr>
          </w:p>
        </w:tc>
      </w:tr>
      <w:tr w:rsidR="009C340B" w:rsidRPr="00FF043A" w14:paraId="6D2D1602" w14:textId="77777777" w:rsidTr="0044317F">
        <w:trPr>
          <w:trHeight w:val="317"/>
        </w:trPr>
        <w:tc>
          <w:tcPr>
            <w:tcW w:w="12206" w:type="dxa"/>
            <w:tcBorders>
              <w:top w:val="nil"/>
              <w:left w:val="nil"/>
              <w:bottom w:val="nil"/>
              <w:right w:val="nil"/>
            </w:tcBorders>
            <w:shd w:val="clear" w:color="auto" w:fill="auto"/>
            <w:noWrap/>
            <w:vAlign w:val="bottom"/>
          </w:tcPr>
          <w:p w14:paraId="178C8A54" w14:textId="77777777" w:rsidR="009C340B" w:rsidRPr="00FF043A" w:rsidRDefault="009C340B" w:rsidP="009C340B">
            <w:pPr>
              <w:numPr>
                <w:ilvl w:val="1"/>
                <w:numId w:val="34"/>
              </w:numPr>
              <w:rPr>
                <w:rFonts w:ascii="Arial" w:hAnsi="Arial" w:cs="Arial"/>
              </w:rPr>
            </w:pPr>
            <w:proofErr w:type="spellStart"/>
            <w:r w:rsidRPr="007F4A8E">
              <w:rPr>
                <w:rFonts w:ascii="Arial" w:hAnsi="Arial" w:cs="Arial"/>
              </w:rPr>
              <w:t>Securitisers</w:t>
            </w:r>
            <w:proofErr w:type="spellEnd"/>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384DF" w14:textId="77777777" w:rsidR="009C340B" w:rsidRPr="00231CAF" w:rsidRDefault="009C340B" w:rsidP="0044317F">
            <w:pPr>
              <w:jc w:val="center"/>
              <w:rPr>
                <w:rFonts w:ascii="Arial" w:hAnsi="Arial" w:cs="Arial"/>
              </w:rPr>
            </w:pPr>
          </w:p>
        </w:tc>
      </w:tr>
      <w:tr w:rsidR="009C340B" w:rsidRPr="00FF043A" w14:paraId="628CD984" w14:textId="77777777" w:rsidTr="0044317F">
        <w:trPr>
          <w:trHeight w:val="317"/>
        </w:trPr>
        <w:tc>
          <w:tcPr>
            <w:tcW w:w="12206" w:type="dxa"/>
            <w:tcBorders>
              <w:top w:val="nil"/>
              <w:left w:val="nil"/>
              <w:bottom w:val="nil"/>
              <w:right w:val="nil"/>
            </w:tcBorders>
            <w:shd w:val="clear" w:color="auto" w:fill="auto"/>
            <w:noWrap/>
            <w:vAlign w:val="bottom"/>
          </w:tcPr>
          <w:p w14:paraId="75B23100" w14:textId="77777777" w:rsidR="009C340B" w:rsidRPr="00FF043A" w:rsidRDefault="009C340B" w:rsidP="009C340B">
            <w:pPr>
              <w:numPr>
                <w:ilvl w:val="1"/>
                <w:numId w:val="34"/>
              </w:numPr>
              <w:rPr>
                <w:rFonts w:ascii="Arial" w:hAnsi="Arial" w:cs="Arial"/>
              </w:rPr>
            </w:pPr>
            <w:r w:rsidRPr="007F4A8E">
              <w:rPr>
                <w:rFonts w:ascii="Arial" w:hAnsi="Arial" w:cs="Arial"/>
              </w:rPr>
              <w:t>Private trading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500ECAF4" w14:textId="77777777" w:rsidR="009C340B" w:rsidRPr="00231CAF" w:rsidRDefault="009C340B" w:rsidP="0044317F">
            <w:pPr>
              <w:jc w:val="center"/>
              <w:rPr>
                <w:rFonts w:ascii="Arial" w:hAnsi="Arial" w:cs="Arial"/>
              </w:rPr>
            </w:pPr>
          </w:p>
        </w:tc>
      </w:tr>
      <w:tr w:rsidR="009C340B" w:rsidRPr="00FF043A" w14:paraId="4DECD549" w14:textId="77777777" w:rsidTr="0044317F">
        <w:trPr>
          <w:trHeight w:val="317"/>
        </w:trPr>
        <w:tc>
          <w:tcPr>
            <w:tcW w:w="12206" w:type="dxa"/>
            <w:tcBorders>
              <w:top w:val="nil"/>
              <w:left w:val="nil"/>
              <w:bottom w:val="nil"/>
              <w:right w:val="nil"/>
            </w:tcBorders>
            <w:shd w:val="clear" w:color="auto" w:fill="auto"/>
            <w:noWrap/>
            <w:vAlign w:val="bottom"/>
          </w:tcPr>
          <w:p w14:paraId="508185DA" w14:textId="77777777" w:rsidR="009C340B" w:rsidRPr="00FF043A" w:rsidRDefault="009C340B" w:rsidP="009C340B">
            <w:pPr>
              <w:numPr>
                <w:ilvl w:val="1"/>
                <w:numId w:val="34"/>
              </w:numPr>
              <w:rPr>
                <w:rFonts w:ascii="Arial" w:hAnsi="Arial" w:cs="Arial"/>
              </w:rPr>
            </w:pPr>
            <w:r w:rsidRPr="007F4A8E">
              <w:rPr>
                <w:rFonts w:ascii="Arial" w:hAnsi="Arial" w:cs="Arial"/>
              </w:rPr>
              <w:t>Registered Financial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13F8E16D" w14:textId="77777777" w:rsidR="009C340B" w:rsidRPr="00231CAF" w:rsidRDefault="009C340B" w:rsidP="0044317F">
            <w:pPr>
              <w:jc w:val="center"/>
              <w:rPr>
                <w:rFonts w:ascii="Arial" w:hAnsi="Arial" w:cs="Arial"/>
              </w:rPr>
            </w:pPr>
          </w:p>
        </w:tc>
      </w:tr>
      <w:tr w:rsidR="009C340B" w:rsidRPr="00FF043A" w14:paraId="19B88B23" w14:textId="77777777" w:rsidTr="0044317F">
        <w:trPr>
          <w:trHeight w:val="317"/>
        </w:trPr>
        <w:tc>
          <w:tcPr>
            <w:tcW w:w="12206" w:type="dxa"/>
            <w:tcBorders>
              <w:top w:val="nil"/>
              <w:left w:val="nil"/>
              <w:bottom w:val="nil"/>
              <w:right w:val="nil"/>
            </w:tcBorders>
            <w:shd w:val="clear" w:color="auto" w:fill="auto"/>
            <w:noWrap/>
            <w:vAlign w:val="bottom"/>
          </w:tcPr>
          <w:p w14:paraId="11BF1E53" w14:textId="77777777" w:rsidR="009C340B" w:rsidRPr="00FF043A" w:rsidRDefault="009C340B" w:rsidP="009C340B">
            <w:pPr>
              <w:numPr>
                <w:ilvl w:val="1"/>
                <w:numId w:val="34"/>
              </w:numPr>
              <w:rPr>
                <w:rFonts w:ascii="Arial" w:hAnsi="Arial" w:cs="Arial"/>
              </w:rPr>
            </w:pPr>
            <w:r w:rsidRPr="007F4A8E">
              <w:rPr>
                <w:rFonts w:ascii="Arial" w:hAnsi="Arial" w:cs="Arial"/>
              </w:rPr>
              <w:t>Australian Commonwealth Government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6BFB1098" w14:textId="77777777" w:rsidR="009C340B" w:rsidRPr="00231CAF" w:rsidRDefault="009C340B" w:rsidP="0044317F">
            <w:pPr>
              <w:jc w:val="center"/>
              <w:rPr>
                <w:rFonts w:ascii="Arial" w:hAnsi="Arial" w:cs="Arial"/>
              </w:rPr>
            </w:pPr>
          </w:p>
        </w:tc>
      </w:tr>
      <w:tr w:rsidR="009C340B" w:rsidRPr="00FF043A" w14:paraId="3C7B9959" w14:textId="77777777" w:rsidTr="0044317F">
        <w:trPr>
          <w:trHeight w:val="317"/>
        </w:trPr>
        <w:tc>
          <w:tcPr>
            <w:tcW w:w="12206" w:type="dxa"/>
            <w:tcBorders>
              <w:top w:val="nil"/>
              <w:left w:val="nil"/>
              <w:bottom w:val="nil"/>
              <w:right w:val="nil"/>
            </w:tcBorders>
            <w:shd w:val="clear" w:color="auto" w:fill="auto"/>
            <w:noWrap/>
            <w:vAlign w:val="bottom"/>
          </w:tcPr>
          <w:p w14:paraId="57BE7131" w14:textId="77777777" w:rsidR="009C340B" w:rsidRPr="00FF043A" w:rsidRDefault="009C340B" w:rsidP="009C340B">
            <w:pPr>
              <w:numPr>
                <w:ilvl w:val="1"/>
                <w:numId w:val="34"/>
              </w:numPr>
              <w:rPr>
                <w:rFonts w:ascii="Arial" w:hAnsi="Arial" w:cs="Arial"/>
              </w:rPr>
            </w:pPr>
            <w:r w:rsidRPr="007F4A8E">
              <w:rPr>
                <w:rFonts w:ascii="Arial" w:hAnsi="Arial" w:cs="Arial"/>
              </w:rPr>
              <w:t>Australian Commonwealth Government</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40093679" w14:textId="77777777" w:rsidR="009C340B" w:rsidRPr="00231CAF" w:rsidRDefault="009C340B" w:rsidP="0044317F">
            <w:pPr>
              <w:jc w:val="center"/>
              <w:rPr>
                <w:rFonts w:ascii="Arial" w:hAnsi="Arial" w:cs="Arial"/>
              </w:rPr>
            </w:pPr>
          </w:p>
        </w:tc>
      </w:tr>
      <w:tr w:rsidR="009C340B" w:rsidRPr="00FF043A" w14:paraId="5418BB71" w14:textId="77777777" w:rsidTr="0044317F">
        <w:trPr>
          <w:trHeight w:val="317"/>
        </w:trPr>
        <w:tc>
          <w:tcPr>
            <w:tcW w:w="12206" w:type="dxa"/>
            <w:tcBorders>
              <w:top w:val="nil"/>
              <w:left w:val="nil"/>
              <w:bottom w:val="nil"/>
              <w:right w:val="nil"/>
            </w:tcBorders>
            <w:shd w:val="clear" w:color="auto" w:fill="auto"/>
            <w:noWrap/>
            <w:vAlign w:val="bottom"/>
          </w:tcPr>
          <w:p w14:paraId="6CB6B98E" w14:textId="77777777" w:rsidR="009C340B" w:rsidRPr="00FF043A" w:rsidRDefault="009C340B" w:rsidP="009C340B">
            <w:pPr>
              <w:numPr>
                <w:ilvl w:val="1"/>
                <w:numId w:val="34"/>
              </w:numPr>
              <w:rPr>
                <w:rFonts w:ascii="Arial" w:hAnsi="Arial" w:cs="Arial"/>
              </w:rPr>
            </w:pPr>
            <w:r w:rsidRPr="007F4A8E">
              <w:rPr>
                <w:rFonts w:ascii="Arial" w:hAnsi="Arial" w:cs="Arial"/>
              </w:rPr>
              <w:t>Other Australian Government (state, territory &amp; local government)</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38F96EB4" w14:textId="77777777" w:rsidR="009C340B" w:rsidRPr="00231CAF" w:rsidRDefault="009C340B" w:rsidP="0044317F">
            <w:pPr>
              <w:jc w:val="center"/>
              <w:rPr>
                <w:rFonts w:ascii="Arial" w:hAnsi="Arial" w:cs="Arial"/>
              </w:rPr>
            </w:pPr>
          </w:p>
        </w:tc>
      </w:tr>
      <w:tr w:rsidR="009C340B" w:rsidRPr="00FF043A" w14:paraId="18A69C72" w14:textId="77777777" w:rsidTr="0044317F">
        <w:trPr>
          <w:trHeight w:val="317"/>
        </w:trPr>
        <w:tc>
          <w:tcPr>
            <w:tcW w:w="12206" w:type="dxa"/>
            <w:tcBorders>
              <w:top w:val="nil"/>
              <w:left w:val="nil"/>
              <w:bottom w:val="nil"/>
            </w:tcBorders>
            <w:shd w:val="clear" w:color="auto" w:fill="auto"/>
            <w:noWrap/>
            <w:vAlign w:val="bottom"/>
          </w:tcPr>
          <w:p w14:paraId="53DBC5E7" w14:textId="77777777" w:rsidR="009C340B" w:rsidRPr="00FF043A" w:rsidRDefault="009C340B" w:rsidP="009C340B">
            <w:pPr>
              <w:numPr>
                <w:ilvl w:val="1"/>
                <w:numId w:val="34"/>
              </w:numPr>
              <w:rPr>
                <w:rFonts w:ascii="Arial" w:hAnsi="Arial" w:cs="Arial"/>
              </w:rPr>
            </w:pPr>
            <w:r w:rsidRPr="007F4A8E">
              <w:rPr>
                <w:rFonts w:ascii="Arial" w:hAnsi="Arial" w:cs="Arial"/>
              </w:rPr>
              <w:lastRenderedPageBreak/>
              <w:t>National government of a foreign country:</w:t>
            </w:r>
          </w:p>
        </w:tc>
        <w:tc>
          <w:tcPr>
            <w:tcW w:w="1686" w:type="dxa"/>
            <w:tcBorders>
              <w:top w:val="single" w:sz="4" w:space="0" w:color="auto"/>
              <w:bottom w:val="single" w:sz="4" w:space="0" w:color="auto"/>
            </w:tcBorders>
            <w:shd w:val="clear" w:color="auto" w:fill="auto"/>
            <w:noWrap/>
            <w:vAlign w:val="bottom"/>
          </w:tcPr>
          <w:p w14:paraId="3143FF51" w14:textId="77777777" w:rsidR="009C340B" w:rsidRDefault="009C340B" w:rsidP="0044317F">
            <w:pPr>
              <w:jc w:val="center"/>
              <w:rPr>
                <w:rFonts w:ascii="Arial" w:hAnsi="Arial" w:cs="Arial"/>
              </w:rPr>
            </w:pPr>
          </w:p>
        </w:tc>
      </w:tr>
      <w:tr w:rsidR="009C340B" w:rsidRPr="00FF043A" w14:paraId="1E7B8297" w14:textId="77777777" w:rsidTr="0044317F">
        <w:trPr>
          <w:trHeight w:val="317"/>
        </w:trPr>
        <w:tc>
          <w:tcPr>
            <w:tcW w:w="12206" w:type="dxa"/>
            <w:tcBorders>
              <w:top w:val="nil"/>
              <w:left w:val="nil"/>
              <w:bottom w:val="nil"/>
              <w:right w:val="nil"/>
            </w:tcBorders>
            <w:shd w:val="clear" w:color="auto" w:fill="auto"/>
            <w:noWrap/>
            <w:vAlign w:val="bottom"/>
          </w:tcPr>
          <w:p w14:paraId="4ACC88F8" w14:textId="77777777" w:rsidR="009C340B" w:rsidRPr="00FF043A" w:rsidRDefault="009C340B" w:rsidP="009C340B">
            <w:pPr>
              <w:numPr>
                <w:ilvl w:val="2"/>
                <w:numId w:val="34"/>
              </w:numPr>
              <w:rPr>
                <w:rFonts w:ascii="Arial" w:hAnsi="Arial" w:cs="Arial"/>
              </w:rPr>
            </w:pPr>
            <w:r w:rsidRPr="007F4A8E">
              <w:rPr>
                <w:rFonts w:ascii="Arial" w:hAnsi="Arial" w:cs="Arial"/>
              </w:rPr>
              <w:t>Where the security has a Grade 1 rating or the country's long term foreign currency rating is Grade 1</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23AF7DD8" w14:textId="77777777" w:rsidR="009C340B" w:rsidRPr="00231CAF" w:rsidRDefault="009C340B" w:rsidP="0044317F">
            <w:pPr>
              <w:jc w:val="center"/>
              <w:rPr>
                <w:rFonts w:ascii="Arial" w:hAnsi="Arial" w:cs="Arial"/>
              </w:rPr>
            </w:pPr>
          </w:p>
        </w:tc>
      </w:tr>
      <w:tr w:rsidR="009C340B" w:rsidRPr="00FF043A" w14:paraId="6481A702" w14:textId="77777777" w:rsidTr="0044317F">
        <w:trPr>
          <w:trHeight w:val="317"/>
        </w:trPr>
        <w:tc>
          <w:tcPr>
            <w:tcW w:w="12206" w:type="dxa"/>
            <w:tcBorders>
              <w:top w:val="nil"/>
              <w:left w:val="nil"/>
              <w:bottom w:val="nil"/>
              <w:right w:val="nil"/>
            </w:tcBorders>
            <w:shd w:val="clear" w:color="auto" w:fill="auto"/>
            <w:noWrap/>
            <w:vAlign w:val="bottom"/>
          </w:tcPr>
          <w:p w14:paraId="034D9A66" w14:textId="77777777" w:rsidR="009C340B" w:rsidRPr="00FF043A" w:rsidRDefault="009C340B" w:rsidP="009C340B">
            <w:pPr>
              <w:numPr>
                <w:ilvl w:val="2"/>
                <w:numId w:val="34"/>
              </w:numPr>
              <w:rPr>
                <w:rFonts w:ascii="Arial" w:hAnsi="Arial" w:cs="Arial"/>
              </w:rPr>
            </w:pPr>
            <w:r w:rsidRPr="007F4A8E">
              <w:rPr>
                <w:rFonts w:ascii="Arial" w:hAnsi="Arial" w:cs="Arial"/>
              </w:rPr>
              <w:t>Other</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5328EFBA" w14:textId="77777777" w:rsidR="009C340B" w:rsidRPr="00231CAF" w:rsidRDefault="009C340B" w:rsidP="0044317F">
            <w:pPr>
              <w:jc w:val="center"/>
              <w:rPr>
                <w:rFonts w:ascii="Arial" w:hAnsi="Arial" w:cs="Arial"/>
              </w:rPr>
            </w:pPr>
          </w:p>
        </w:tc>
      </w:tr>
      <w:tr w:rsidR="009C340B" w:rsidRPr="00FF043A" w14:paraId="7A363610" w14:textId="77777777" w:rsidTr="0044317F">
        <w:trPr>
          <w:trHeight w:val="317"/>
        </w:trPr>
        <w:tc>
          <w:tcPr>
            <w:tcW w:w="12206" w:type="dxa"/>
            <w:tcBorders>
              <w:top w:val="nil"/>
              <w:left w:val="nil"/>
              <w:bottom w:val="nil"/>
              <w:right w:val="nil"/>
            </w:tcBorders>
            <w:shd w:val="clear" w:color="auto" w:fill="auto"/>
            <w:noWrap/>
            <w:vAlign w:val="bottom"/>
          </w:tcPr>
          <w:p w14:paraId="5CF0F2E8" w14:textId="77777777" w:rsidR="009C340B" w:rsidRPr="00FF043A" w:rsidRDefault="009C340B" w:rsidP="009C340B">
            <w:pPr>
              <w:numPr>
                <w:ilvl w:val="1"/>
                <w:numId w:val="34"/>
              </w:numPr>
              <w:rPr>
                <w:rFonts w:ascii="Arial" w:hAnsi="Arial" w:cs="Arial"/>
              </w:rPr>
            </w:pPr>
            <w:r w:rsidRPr="007F4A8E">
              <w:rPr>
                <w:rFonts w:ascii="Arial" w:hAnsi="Arial" w:cs="Arial"/>
              </w:rPr>
              <w:t>Other</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A39FCD" w14:textId="77777777" w:rsidR="009C340B" w:rsidRPr="00231CAF" w:rsidRDefault="009C340B" w:rsidP="0044317F">
            <w:pPr>
              <w:jc w:val="center"/>
              <w:rPr>
                <w:rFonts w:ascii="Arial" w:hAnsi="Arial" w:cs="Arial"/>
              </w:rPr>
            </w:pPr>
          </w:p>
        </w:tc>
      </w:tr>
      <w:tr w:rsidR="009C340B" w:rsidRPr="00FF043A" w14:paraId="5D87A17A" w14:textId="77777777" w:rsidTr="0044317F">
        <w:trPr>
          <w:trHeight w:val="317"/>
        </w:trPr>
        <w:tc>
          <w:tcPr>
            <w:tcW w:w="12206" w:type="dxa"/>
            <w:tcBorders>
              <w:top w:val="nil"/>
              <w:left w:val="nil"/>
              <w:bottom w:val="nil"/>
              <w:right w:val="nil"/>
            </w:tcBorders>
            <w:shd w:val="clear" w:color="auto" w:fill="auto"/>
            <w:noWrap/>
            <w:vAlign w:val="bottom"/>
          </w:tcPr>
          <w:p w14:paraId="0CC505AB" w14:textId="77777777" w:rsidR="009C340B" w:rsidRPr="00FF043A" w:rsidRDefault="009C340B" w:rsidP="009C340B">
            <w:pPr>
              <w:numPr>
                <w:ilvl w:val="1"/>
                <w:numId w:val="34"/>
              </w:numPr>
              <w:rPr>
                <w:rFonts w:ascii="Arial" w:hAnsi="Arial" w:cs="Arial"/>
              </w:rPr>
            </w:pPr>
            <w:r w:rsidRPr="007F4A8E">
              <w:rPr>
                <w:rFonts w:ascii="Arial" w:hAnsi="Arial" w:cs="Arial"/>
              </w:rPr>
              <w:t>Total commercial paper and promissory notes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7D771C5A" w14:textId="77777777" w:rsidR="009C340B" w:rsidRPr="00231CAF" w:rsidRDefault="009C340B" w:rsidP="0044317F">
            <w:pPr>
              <w:jc w:val="center"/>
              <w:rPr>
                <w:rFonts w:ascii="Arial" w:hAnsi="Arial" w:cs="Arial"/>
              </w:rPr>
            </w:pPr>
          </w:p>
        </w:tc>
      </w:tr>
    </w:tbl>
    <w:p w14:paraId="374ABE08"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FF043A" w14:paraId="209672F1" w14:textId="77777777" w:rsidTr="0044317F">
        <w:trPr>
          <w:trHeight w:val="317"/>
        </w:trPr>
        <w:tc>
          <w:tcPr>
            <w:tcW w:w="12206" w:type="dxa"/>
            <w:tcBorders>
              <w:top w:val="nil"/>
              <w:left w:val="nil"/>
              <w:bottom w:val="nil"/>
            </w:tcBorders>
            <w:shd w:val="clear" w:color="auto" w:fill="auto"/>
            <w:noWrap/>
            <w:vAlign w:val="bottom"/>
            <w:hideMark/>
          </w:tcPr>
          <w:p w14:paraId="49690449" w14:textId="77777777" w:rsidR="009C340B" w:rsidRPr="000B55C3" w:rsidRDefault="009C340B" w:rsidP="009C340B">
            <w:pPr>
              <w:numPr>
                <w:ilvl w:val="0"/>
                <w:numId w:val="34"/>
              </w:numPr>
              <w:rPr>
                <w:rFonts w:ascii="Arial" w:hAnsi="Arial" w:cs="Arial"/>
                <w:b/>
                <w:bCs/>
              </w:rPr>
            </w:pPr>
            <w:r w:rsidRPr="000B55C3">
              <w:rPr>
                <w:rFonts w:ascii="Arial" w:hAnsi="Arial" w:cs="Arial"/>
                <w:b/>
                <w:bCs/>
              </w:rPr>
              <w:t>Long term debt securities</w:t>
            </w:r>
          </w:p>
        </w:tc>
        <w:tc>
          <w:tcPr>
            <w:tcW w:w="1686" w:type="dxa"/>
            <w:tcBorders>
              <w:bottom w:val="single" w:sz="4" w:space="0" w:color="auto"/>
            </w:tcBorders>
            <w:shd w:val="clear" w:color="auto" w:fill="auto"/>
            <w:noWrap/>
            <w:vAlign w:val="bottom"/>
          </w:tcPr>
          <w:p w14:paraId="5CD63404" w14:textId="77777777" w:rsidR="009C340B" w:rsidRPr="00231CAF" w:rsidRDefault="009C340B" w:rsidP="0044317F">
            <w:pPr>
              <w:jc w:val="center"/>
              <w:rPr>
                <w:rFonts w:ascii="Arial" w:hAnsi="Arial" w:cs="Arial"/>
              </w:rPr>
            </w:pPr>
          </w:p>
        </w:tc>
      </w:tr>
      <w:tr w:rsidR="009C340B" w:rsidRPr="00FF043A" w14:paraId="252022E3" w14:textId="77777777" w:rsidTr="0044317F">
        <w:trPr>
          <w:trHeight w:val="317"/>
        </w:trPr>
        <w:tc>
          <w:tcPr>
            <w:tcW w:w="12206" w:type="dxa"/>
            <w:tcBorders>
              <w:top w:val="nil"/>
              <w:left w:val="nil"/>
              <w:bottom w:val="nil"/>
              <w:right w:val="nil"/>
            </w:tcBorders>
            <w:shd w:val="clear" w:color="auto" w:fill="auto"/>
            <w:noWrap/>
            <w:vAlign w:val="bottom"/>
          </w:tcPr>
          <w:p w14:paraId="46C45A32" w14:textId="77777777" w:rsidR="009C340B" w:rsidRPr="007F4A8E" w:rsidRDefault="009C340B" w:rsidP="009C340B">
            <w:pPr>
              <w:numPr>
                <w:ilvl w:val="1"/>
                <w:numId w:val="34"/>
              </w:numPr>
              <w:rPr>
                <w:rFonts w:ascii="Arial" w:hAnsi="Arial" w:cs="Arial"/>
              </w:rPr>
            </w:pPr>
            <w:r w:rsidRPr="000B55C3">
              <w:rPr>
                <w:rFonts w:ascii="Arial" w:hAnsi="Arial" w:cs="Arial"/>
              </w:rPr>
              <w:t>ADIs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5176A" w14:textId="77777777" w:rsidR="009C340B" w:rsidRPr="00231CAF" w:rsidRDefault="009C340B" w:rsidP="0044317F">
            <w:pPr>
              <w:jc w:val="center"/>
              <w:rPr>
                <w:rFonts w:ascii="Arial" w:hAnsi="Arial" w:cs="Arial"/>
              </w:rPr>
            </w:pPr>
          </w:p>
        </w:tc>
      </w:tr>
      <w:tr w:rsidR="009C340B" w:rsidRPr="00FF043A" w14:paraId="7694E174" w14:textId="77777777" w:rsidTr="0044317F">
        <w:trPr>
          <w:trHeight w:val="317"/>
        </w:trPr>
        <w:tc>
          <w:tcPr>
            <w:tcW w:w="12206" w:type="dxa"/>
            <w:tcBorders>
              <w:top w:val="nil"/>
              <w:left w:val="nil"/>
              <w:bottom w:val="nil"/>
              <w:right w:val="nil"/>
            </w:tcBorders>
            <w:shd w:val="clear" w:color="auto" w:fill="auto"/>
            <w:noWrap/>
            <w:vAlign w:val="bottom"/>
            <w:hideMark/>
          </w:tcPr>
          <w:p w14:paraId="5CE72F29" w14:textId="77777777" w:rsidR="009C340B" w:rsidRPr="00FF043A" w:rsidRDefault="009C340B" w:rsidP="009C340B">
            <w:pPr>
              <w:numPr>
                <w:ilvl w:val="1"/>
                <w:numId w:val="34"/>
              </w:numPr>
              <w:rPr>
                <w:rFonts w:ascii="Arial" w:hAnsi="Arial" w:cs="Arial"/>
              </w:rPr>
            </w:pPr>
            <w:r w:rsidRPr="007F4A8E">
              <w:rPr>
                <w:rFonts w:ascii="Arial" w:hAnsi="Arial" w:cs="Arial"/>
              </w:rPr>
              <w:t>General insurance corporations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29C9" w14:textId="77777777" w:rsidR="009C340B" w:rsidRPr="00231CAF" w:rsidRDefault="009C340B" w:rsidP="0044317F">
            <w:pPr>
              <w:jc w:val="center"/>
              <w:rPr>
                <w:rFonts w:ascii="Arial" w:hAnsi="Arial" w:cs="Arial"/>
              </w:rPr>
            </w:pPr>
          </w:p>
        </w:tc>
      </w:tr>
      <w:tr w:rsidR="009C340B" w14:paraId="3F123A5F" w14:textId="77777777" w:rsidTr="0044317F">
        <w:trPr>
          <w:trHeight w:val="317"/>
        </w:trPr>
        <w:tc>
          <w:tcPr>
            <w:tcW w:w="12206" w:type="dxa"/>
            <w:tcBorders>
              <w:top w:val="nil"/>
              <w:left w:val="nil"/>
              <w:bottom w:val="nil"/>
              <w:right w:val="nil"/>
            </w:tcBorders>
            <w:shd w:val="clear" w:color="auto" w:fill="auto"/>
            <w:noWrap/>
            <w:vAlign w:val="bottom"/>
          </w:tcPr>
          <w:p w14:paraId="489A0C63" w14:textId="77777777" w:rsidR="009C340B" w:rsidRPr="00FF043A" w:rsidRDefault="009C340B" w:rsidP="009C340B">
            <w:pPr>
              <w:numPr>
                <w:ilvl w:val="1"/>
                <w:numId w:val="34"/>
              </w:numPr>
              <w:rPr>
                <w:rFonts w:ascii="Arial" w:hAnsi="Arial" w:cs="Arial"/>
              </w:rPr>
            </w:pPr>
            <w:proofErr w:type="spellStart"/>
            <w:r w:rsidRPr="007F4A8E">
              <w:rPr>
                <w:rFonts w:ascii="Arial" w:hAnsi="Arial" w:cs="Arial"/>
              </w:rPr>
              <w:t>Securitisers</w:t>
            </w:r>
            <w:proofErr w:type="spellEnd"/>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A0582" w14:textId="77777777" w:rsidR="009C340B" w:rsidRPr="00231CAF" w:rsidRDefault="009C340B" w:rsidP="0044317F">
            <w:pPr>
              <w:jc w:val="center"/>
              <w:rPr>
                <w:rFonts w:ascii="Arial" w:hAnsi="Arial" w:cs="Arial"/>
              </w:rPr>
            </w:pPr>
          </w:p>
        </w:tc>
      </w:tr>
      <w:tr w:rsidR="009C340B" w14:paraId="691128E1" w14:textId="77777777" w:rsidTr="0044317F">
        <w:trPr>
          <w:trHeight w:val="317"/>
        </w:trPr>
        <w:tc>
          <w:tcPr>
            <w:tcW w:w="12206" w:type="dxa"/>
            <w:tcBorders>
              <w:top w:val="nil"/>
              <w:left w:val="nil"/>
              <w:bottom w:val="nil"/>
              <w:right w:val="nil"/>
            </w:tcBorders>
            <w:shd w:val="clear" w:color="auto" w:fill="auto"/>
            <w:noWrap/>
            <w:vAlign w:val="bottom"/>
          </w:tcPr>
          <w:p w14:paraId="395628CD" w14:textId="77777777" w:rsidR="009C340B" w:rsidRPr="00FF043A" w:rsidRDefault="009C340B" w:rsidP="009C340B">
            <w:pPr>
              <w:numPr>
                <w:ilvl w:val="1"/>
                <w:numId w:val="34"/>
              </w:numPr>
              <w:rPr>
                <w:rFonts w:ascii="Arial" w:hAnsi="Arial" w:cs="Arial"/>
              </w:rPr>
            </w:pPr>
            <w:r w:rsidRPr="007F4A8E">
              <w:rPr>
                <w:rFonts w:ascii="Arial" w:hAnsi="Arial" w:cs="Arial"/>
              </w:rPr>
              <w:t>Private trading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39681598" w14:textId="77777777" w:rsidR="009C340B" w:rsidRPr="00231CAF" w:rsidRDefault="009C340B" w:rsidP="0044317F">
            <w:pPr>
              <w:jc w:val="center"/>
              <w:rPr>
                <w:rFonts w:ascii="Arial" w:hAnsi="Arial" w:cs="Arial"/>
              </w:rPr>
            </w:pPr>
          </w:p>
        </w:tc>
      </w:tr>
      <w:tr w:rsidR="009C340B" w14:paraId="3152F9C4" w14:textId="77777777" w:rsidTr="0044317F">
        <w:trPr>
          <w:trHeight w:val="317"/>
        </w:trPr>
        <w:tc>
          <w:tcPr>
            <w:tcW w:w="12206" w:type="dxa"/>
            <w:tcBorders>
              <w:top w:val="nil"/>
              <w:left w:val="nil"/>
              <w:bottom w:val="nil"/>
              <w:right w:val="nil"/>
            </w:tcBorders>
            <w:shd w:val="clear" w:color="auto" w:fill="auto"/>
            <w:noWrap/>
            <w:vAlign w:val="bottom"/>
          </w:tcPr>
          <w:p w14:paraId="525A3693" w14:textId="77777777" w:rsidR="009C340B" w:rsidRPr="00FF043A" w:rsidRDefault="009C340B" w:rsidP="009C340B">
            <w:pPr>
              <w:numPr>
                <w:ilvl w:val="1"/>
                <w:numId w:val="34"/>
              </w:numPr>
              <w:rPr>
                <w:rFonts w:ascii="Arial" w:hAnsi="Arial" w:cs="Arial"/>
              </w:rPr>
            </w:pPr>
            <w:r w:rsidRPr="007F4A8E">
              <w:rPr>
                <w:rFonts w:ascii="Arial" w:hAnsi="Arial" w:cs="Arial"/>
              </w:rPr>
              <w:t>Registered Financial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69EC8263" w14:textId="77777777" w:rsidR="009C340B" w:rsidRPr="00231CAF" w:rsidRDefault="009C340B" w:rsidP="0044317F">
            <w:pPr>
              <w:jc w:val="center"/>
              <w:rPr>
                <w:rFonts w:ascii="Arial" w:hAnsi="Arial" w:cs="Arial"/>
              </w:rPr>
            </w:pPr>
          </w:p>
        </w:tc>
      </w:tr>
      <w:tr w:rsidR="009C340B" w14:paraId="2EBD77D0" w14:textId="77777777" w:rsidTr="0044317F">
        <w:trPr>
          <w:trHeight w:val="317"/>
        </w:trPr>
        <w:tc>
          <w:tcPr>
            <w:tcW w:w="12206" w:type="dxa"/>
            <w:tcBorders>
              <w:top w:val="nil"/>
              <w:left w:val="nil"/>
              <w:bottom w:val="nil"/>
              <w:right w:val="nil"/>
            </w:tcBorders>
            <w:shd w:val="clear" w:color="auto" w:fill="auto"/>
            <w:noWrap/>
            <w:vAlign w:val="bottom"/>
          </w:tcPr>
          <w:p w14:paraId="574499F6" w14:textId="77777777" w:rsidR="009C340B" w:rsidRPr="00FF043A" w:rsidRDefault="009C340B" w:rsidP="009C340B">
            <w:pPr>
              <w:numPr>
                <w:ilvl w:val="1"/>
                <w:numId w:val="34"/>
              </w:numPr>
              <w:rPr>
                <w:rFonts w:ascii="Arial" w:hAnsi="Arial" w:cs="Arial"/>
              </w:rPr>
            </w:pPr>
            <w:r w:rsidRPr="007F4A8E">
              <w:rPr>
                <w:rFonts w:ascii="Arial" w:hAnsi="Arial" w:cs="Arial"/>
              </w:rPr>
              <w:t>Australian Commonwealth Government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7DD35053" w14:textId="77777777" w:rsidR="009C340B" w:rsidRPr="00231CAF" w:rsidRDefault="009C340B" w:rsidP="0044317F">
            <w:pPr>
              <w:jc w:val="center"/>
              <w:rPr>
                <w:rFonts w:ascii="Arial" w:hAnsi="Arial" w:cs="Arial"/>
              </w:rPr>
            </w:pPr>
          </w:p>
        </w:tc>
      </w:tr>
      <w:tr w:rsidR="009C340B" w14:paraId="51738827" w14:textId="77777777" w:rsidTr="0044317F">
        <w:trPr>
          <w:trHeight w:val="317"/>
        </w:trPr>
        <w:tc>
          <w:tcPr>
            <w:tcW w:w="12206" w:type="dxa"/>
            <w:tcBorders>
              <w:top w:val="nil"/>
              <w:left w:val="nil"/>
              <w:bottom w:val="nil"/>
              <w:right w:val="nil"/>
            </w:tcBorders>
            <w:shd w:val="clear" w:color="auto" w:fill="auto"/>
            <w:noWrap/>
            <w:vAlign w:val="bottom"/>
          </w:tcPr>
          <w:p w14:paraId="35AA438D" w14:textId="77777777" w:rsidR="009C340B" w:rsidRPr="00FF043A" w:rsidRDefault="009C340B" w:rsidP="009C340B">
            <w:pPr>
              <w:numPr>
                <w:ilvl w:val="1"/>
                <w:numId w:val="34"/>
              </w:numPr>
              <w:rPr>
                <w:rFonts w:ascii="Arial" w:hAnsi="Arial" w:cs="Arial"/>
              </w:rPr>
            </w:pPr>
            <w:r w:rsidRPr="007F4A8E">
              <w:rPr>
                <w:rFonts w:ascii="Arial" w:hAnsi="Arial" w:cs="Arial"/>
              </w:rPr>
              <w:t>Australian Commonwealth Government</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5FEE3BA8" w14:textId="77777777" w:rsidR="009C340B" w:rsidRPr="00231CAF" w:rsidRDefault="009C340B" w:rsidP="0044317F">
            <w:pPr>
              <w:jc w:val="center"/>
              <w:rPr>
                <w:rFonts w:ascii="Arial" w:hAnsi="Arial" w:cs="Arial"/>
              </w:rPr>
            </w:pPr>
          </w:p>
        </w:tc>
      </w:tr>
      <w:tr w:rsidR="009C340B" w14:paraId="610E326E" w14:textId="77777777" w:rsidTr="0044317F">
        <w:trPr>
          <w:trHeight w:val="317"/>
        </w:trPr>
        <w:tc>
          <w:tcPr>
            <w:tcW w:w="12206" w:type="dxa"/>
            <w:tcBorders>
              <w:top w:val="nil"/>
              <w:left w:val="nil"/>
              <w:bottom w:val="nil"/>
              <w:right w:val="nil"/>
            </w:tcBorders>
            <w:shd w:val="clear" w:color="auto" w:fill="auto"/>
            <w:noWrap/>
            <w:vAlign w:val="bottom"/>
          </w:tcPr>
          <w:p w14:paraId="583B1E20" w14:textId="77777777" w:rsidR="009C340B" w:rsidRPr="00FF043A" w:rsidRDefault="009C340B" w:rsidP="009C340B">
            <w:pPr>
              <w:numPr>
                <w:ilvl w:val="1"/>
                <w:numId w:val="34"/>
              </w:numPr>
              <w:rPr>
                <w:rFonts w:ascii="Arial" w:hAnsi="Arial" w:cs="Arial"/>
              </w:rPr>
            </w:pPr>
            <w:r w:rsidRPr="007F4A8E">
              <w:rPr>
                <w:rFonts w:ascii="Arial" w:hAnsi="Arial" w:cs="Arial"/>
              </w:rPr>
              <w:t>Other Australian Government (state, territory &amp; local government)</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6EFFA948" w14:textId="77777777" w:rsidR="009C340B" w:rsidRPr="00231CAF" w:rsidRDefault="009C340B" w:rsidP="0044317F">
            <w:pPr>
              <w:jc w:val="center"/>
              <w:rPr>
                <w:rFonts w:ascii="Arial" w:hAnsi="Arial" w:cs="Arial"/>
              </w:rPr>
            </w:pPr>
          </w:p>
        </w:tc>
      </w:tr>
      <w:tr w:rsidR="009C340B" w14:paraId="3080E0DD" w14:textId="77777777" w:rsidTr="0044317F">
        <w:trPr>
          <w:trHeight w:val="317"/>
        </w:trPr>
        <w:tc>
          <w:tcPr>
            <w:tcW w:w="12206" w:type="dxa"/>
            <w:tcBorders>
              <w:top w:val="nil"/>
              <w:left w:val="nil"/>
              <w:bottom w:val="nil"/>
            </w:tcBorders>
            <w:shd w:val="clear" w:color="auto" w:fill="auto"/>
            <w:noWrap/>
            <w:vAlign w:val="bottom"/>
          </w:tcPr>
          <w:p w14:paraId="78B188CA" w14:textId="77777777" w:rsidR="009C340B" w:rsidRPr="00FF043A" w:rsidRDefault="009C340B" w:rsidP="009C340B">
            <w:pPr>
              <w:numPr>
                <w:ilvl w:val="1"/>
                <w:numId w:val="34"/>
              </w:numPr>
              <w:rPr>
                <w:rFonts w:ascii="Arial" w:hAnsi="Arial" w:cs="Arial"/>
              </w:rPr>
            </w:pPr>
            <w:r w:rsidRPr="007F4A8E">
              <w:rPr>
                <w:rFonts w:ascii="Arial" w:hAnsi="Arial" w:cs="Arial"/>
              </w:rPr>
              <w:t>National government of a foreign country:</w:t>
            </w:r>
          </w:p>
        </w:tc>
        <w:tc>
          <w:tcPr>
            <w:tcW w:w="1686" w:type="dxa"/>
            <w:tcBorders>
              <w:top w:val="single" w:sz="4" w:space="0" w:color="auto"/>
              <w:bottom w:val="single" w:sz="4" w:space="0" w:color="auto"/>
            </w:tcBorders>
            <w:shd w:val="clear" w:color="auto" w:fill="auto"/>
            <w:noWrap/>
            <w:vAlign w:val="bottom"/>
          </w:tcPr>
          <w:p w14:paraId="4DD99DA0" w14:textId="77777777" w:rsidR="009C340B" w:rsidRDefault="009C340B" w:rsidP="0044317F">
            <w:pPr>
              <w:jc w:val="center"/>
              <w:rPr>
                <w:rFonts w:ascii="Arial" w:hAnsi="Arial" w:cs="Arial"/>
              </w:rPr>
            </w:pPr>
          </w:p>
        </w:tc>
      </w:tr>
      <w:tr w:rsidR="009C340B" w14:paraId="5467CEF8" w14:textId="77777777" w:rsidTr="0044317F">
        <w:trPr>
          <w:trHeight w:val="317"/>
        </w:trPr>
        <w:tc>
          <w:tcPr>
            <w:tcW w:w="12206" w:type="dxa"/>
            <w:tcBorders>
              <w:top w:val="nil"/>
              <w:left w:val="nil"/>
              <w:bottom w:val="nil"/>
              <w:right w:val="nil"/>
            </w:tcBorders>
            <w:shd w:val="clear" w:color="auto" w:fill="auto"/>
            <w:noWrap/>
            <w:vAlign w:val="bottom"/>
          </w:tcPr>
          <w:p w14:paraId="5B3F3AAD" w14:textId="77777777" w:rsidR="009C340B" w:rsidRPr="00FF043A" w:rsidRDefault="009C340B" w:rsidP="009C340B">
            <w:pPr>
              <w:numPr>
                <w:ilvl w:val="2"/>
                <w:numId w:val="34"/>
              </w:numPr>
              <w:rPr>
                <w:rFonts w:ascii="Arial" w:hAnsi="Arial" w:cs="Arial"/>
              </w:rPr>
            </w:pPr>
            <w:r w:rsidRPr="007F4A8E">
              <w:rPr>
                <w:rFonts w:ascii="Arial" w:hAnsi="Arial" w:cs="Arial"/>
              </w:rPr>
              <w:t>Where the security has a Grade 1 rating or the country's long term foreign currency rating is Grade 1</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23BAE820" w14:textId="77777777" w:rsidR="009C340B" w:rsidRPr="00231CAF" w:rsidRDefault="009C340B" w:rsidP="0044317F">
            <w:pPr>
              <w:jc w:val="center"/>
              <w:rPr>
                <w:rFonts w:ascii="Arial" w:hAnsi="Arial" w:cs="Arial"/>
              </w:rPr>
            </w:pPr>
          </w:p>
        </w:tc>
      </w:tr>
      <w:tr w:rsidR="009C340B" w14:paraId="3C7B5466" w14:textId="77777777" w:rsidTr="0044317F">
        <w:trPr>
          <w:trHeight w:val="317"/>
        </w:trPr>
        <w:tc>
          <w:tcPr>
            <w:tcW w:w="12206" w:type="dxa"/>
            <w:tcBorders>
              <w:top w:val="nil"/>
              <w:left w:val="nil"/>
              <w:bottom w:val="nil"/>
              <w:right w:val="nil"/>
            </w:tcBorders>
            <w:shd w:val="clear" w:color="auto" w:fill="auto"/>
            <w:noWrap/>
            <w:vAlign w:val="bottom"/>
          </w:tcPr>
          <w:p w14:paraId="2D7BD48A" w14:textId="77777777" w:rsidR="009C340B" w:rsidRPr="00FF043A" w:rsidRDefault="009C340B" w:rsidP="009C340B">
            <w:pPr>
              <w:numPr>
                <w:ilvl w:val="2"/>
                <w:numId w:val="34"/>
              </w:numPr>
              <w:rPr>
                <w:rFonts w:ascii="Arial" w:hAnsi="Arial" w:cs="Arial"/>
              </w:rPr>
            </w:pPr>
            <w:r w:rsidRPr="007F4A8E">
              <w:rPr>
                <w:rFonts w:ascii="Arial" w:hAnsi="Arial" w:cs="Arial"/>
              </w:rPr>
              <w:t>Other</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029580D0" w14:textId="77777777" w:rsidR="009C340B" w:rsidRPr="00231CAF" w:rsidRDefault="009C340B" w:rsidP="0044317F">
            <w:pPr>
              <w:jc w:val="center"/>
              <w:rPr>
                <w:rFonts w:ascii="Arial" w:hAnsi="Arial" w:cs="Arial"/>
              </w:rPr>
            </w:pPr>
          </w:p>
        </w:tc>
      </w:tr>
      <w:tr w:rsidR="009C340B" w14:paraId="6331E24C" w14:textId="77777777" w:rsidTr="0044317F">
        <w:trPr>
          <w:trHeight w:val="317"/>
        </w:trPr>
        <w:tc>
          <w:tcPr>
            <w:tcW w:w="12206" w:type="dxa"/>
            <w:tcBorders>
              <w:top w:val="nil"/>
              <w:left w:val="nil"/>
              <w:bottom w:val="nil"/>
              <w:right w:val="nil"/>
            </w:tcBorders>
            <w:shd w:val="clear" w:color="auto" w:fill="auto"/>
            <w:noWrap/>
            <w:vAlign w:val="bottom"/>
          </w:tcPr>
          <w:p w14:paraId="6261A6AB" w14:textId="77777777" w:rsidR="009C340B" w:rsidRPr="00FF043A" w:rsidRDefault="009C340B" w:rsidP="009C340B">
            <w:pPr>
              <w:numPr>
                <w:ilvl w:val="1"/>
                <w:numId w:val="34"/>
              </w:numPr>
              <w:rPr>
                <w:rFonts w:ascii="Arial" w:hAnsi="Arial" w:cs="Arial"/>
              </w:rPr>
            </w:pPr>
            <w:r w:rsidRPr="007F4A8E">
              <w:rPr>
                <w:rFonts w:ascii="Arial" w:hAnsi="Arial" w:cs="Arial"/>
              </w:rPr>
              <w:t>Other</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43E841" w14:textId="77777777" w:rsidR="009C340B" w:rsidRPr="00231CAF" w:rsidRDefault="009C340B" w:rsidP="0044317F">
            <w:pPr>
              <w:jc w:val="center"/>
              <w:rPr>
                <w:rFonts w:ascii="Arial" w:hAnsi="Arial" w:cs="Arial"/>
              </w:rPr>
            </w:pPr>
          </w:p>
        </w:tc>
      </w:tr>
      <w:tr w:rsidR="009C340B" w14:paraId="56A92092" w14:textId="77777777" w:rsidTr="0044317F">
        <w:trPr>
          <w:trHeight w:val="317"/>
        </w:trPr>
        <w:tc>
          <w:tcPr>
            <w:tcW w:w="12206" w:type="dxa"/>
            <w:tcBorders>
              <w:top w:val="nil"/>
              <w:left w:val="nil"/>
              <w:bottom w:val="nil"/>
              <w:right w:val="nil"/>
            </w:tcBorders>
            <w:shd w:val="clear" w:color="auto" w:fill="auto"/>
            <w:noWrap/>
            <w:vAlign w:val="bottom"/>
          </w:tcPr>
          <w:p w14:paraId="0BC371E7" w14:textId="77777777" w:rsidR="009C340B" w:rsidRPr="00FF043A" w:rsidRDefault="009C340B" w:rsidP="009C340B">
            <w:pPr>
              <w:numPr>
                <w:ilvl w:val="1"/>
                <w:numId w:val="34"/>
              </w:numPr>
              <w:rPr>
                <w:rFonts w:ascii="Arial" w:hAnsi="Arial" w:cs="Arial"/>
              </w:rPr>
            </w:pPr>
            <w:r w:rsidRPr="007F4A8E">
              <w:rPr>
                <w:rFonts w:ascii="Arial" w:hAnsi="Arial" w:cs="Arial"/>
              </w:rPr>
              <w:t xml:space="preserve">Total </w:t>
            </w:r>
            <w:r w:rsidRPr="00872DE0">
              <w:rPr>
                <w:rFonts w:ascii="Arial" w:hAnsi="Arial" w:cs="Arial"/>
              </w:rPr>
              <w:t>long term debt securities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63F55ACC" w14:textId="77777777" w:rsidR="009C340B" w:rsidRPr="00231CAF" w:rsidRDefault="009C340B" w:rsidP="0044317F">
            <w:pPr>
              <w:jc w:val="center"/>
              <w:rPr>
                <w:rFonts w:ascii="Arial" w:hAnsi="Arial" w:cs="Arial"/>
              </w:rPr>
            </w:pPr>
          </w:p>
        </w:tc>
      </w:tr>
    </w:tbl>
    <w:p w14:paraId="3153606D"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FF043A" w14:paraId="534FF900" w14:textId="77777777" w:rsidTr="0044317F">
        <w:trPr>
          <w:trHeight w:val="317"/>
        </w:trPr>
        <w:tc>
          <w:tcPr>
            <w:tcW w:w="12206" w:type="dxa"/>
            <w:tcBorders>
              <w:top w:val="nil"/>
              <w:left w:val="nil"/>
              <w:bottom w:val="nil"/>
              <w:right w:val="nil"/>
            </w:tcBorders>
            <w:shd w:val="clear" w:color="auto" w:fill="auto"/>
            <w:noWrap/>
            <w:vAlign w:val="bottom"/>
            <w:hideMark/>
          </w:tcPr>
          <w:p w14:paraId="66A6F1D7" w14:textId="77777777" w:rsidR="009C340B" w:rsidRPr="00872DE0" w:rsidRDefault="009C340B" w:rsidP="009C340B">
            <w:pPr>
              <w:numPr>
                <w:ilvl w:val="0"/>
                <w:numId w:val="34"/>
              </w:numPr>
              <w:rPr>
                <w:rFonts w:ascii="Arial" w:hAnsi="Arial" w:cs="Arial"/>
                <w:b/>
                <w:bCs/>
              </w:rPr>
            </w:pPr>
            <w:r w:rsidRPr="00872DE0">
              <w:rPr>
                <w:rFonts w:ascii="Arial" w:hAnsi="Arial" w:cs="Arial"/>
                <w:b/>
                <w:bCs/>
              </w:rPr>
              <w:t>Total direct interest rate investments</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98A072" w14:textId="77777777" w:rsidR="009C340B" w:rsidRPr="00231CAF" w:rsidRDefault="009C340B" w:rsidP="0044317F">
            <w:pPr>
              <w:jc w:val="center"/>
              <w:rPr>
                <w:rFonts w:ascii="Arial" w:hAnsi="Arial" w:cs="Arial"/>
              </w:rPr>
            </w:pPr>
          </w:p>
        </w:tc>
      </w:tr>
      <w:tr w:rsidR="009C340B" w:rsidRPr="00FF043A" w14:paraId="4DB243A6" w14:textId="77777777" w:rsidTr="0044317F">
        <w:trPr>
          <w:trHeight w:val="317"/>
        </w:trPr>
        <w:tc>
          <w:tcPr>
            <w:tcW w:w="12206" w:type="dxa"/>
            <w:tcBorders>
              <w:top w:val="nil"/>
              <w:left w:val="nil"/>
              <w:bottom w:val="nil"/>
              <w:right w:val="nil"/>
            </w:tcBorders>
            <w:shd w:val="clear" w:color="auto" w:fill="auto"/>
            <w:noWrap/>
            <w:vAlign w:val="bottom"/>
            <w:hideMark/>
          </w:tcPr>
          <w:p w14:paraId="3E1048B2" w14:textId="77777777" w:rsidR="009C340B" w:rsidRPr="00872DE0" w:rsidRDefault="009C340B" w:rsidP="009C340B">
            <w:pPr>
              <w:numPr>
                <w:ilvl w:val="1"/>
                <w:numId w:val="34"/>
              </w:numPr>
              <w:rPr>
                <w:rFonts w:ascii="Arial" w:hAnsi="Arial" w:cs="Arial"/>
                <w:i/>
              </w:rPr>
            </w:pPr>
            <w:r w:rsidRPr="00872DE0">
              <w:rPr>
                <w:rFonts w:ascii="Arial" w:hAnsi="Arial" w:cs="Arial"/>
                <w:i/>
              </w:rPr>
              <w:t>Of which: denominated in a currency other than the Australian currency</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1AA63" w14:textId="77777777" w:rsidR="009C340B" w:rsidRPr="00231CAF" w:rsidRDefault="009C340B" w:rsidP="0044317F">
            <w:pPr>
              <w:jc w:val="center"/>
              <w:rPr>
                <w:rFonts w:ascii="Arial" w:hAnsi="Arial" w:cs="Arial"/>
              </w:rPr>
            </w:pPr>
          </w:p>
        </w:tc>
      </w:tr>
      <w:tr w:rsidR="009C340B" w:rsidRPr="00FF043A" w14:paraId="48BB67B8" w14:textId="77777777" w:rsidTr="0044317F">
        <w:trPr>
          <w:trHeight w:val="317"/>
        </w:trPr>
        <w:tc>
          <w:tcPr>
            <w:tcW w:w="12206" w:type="dxa"/>
            <w:tcBorders>
              <w:top w:val="nil"/>
              <w:left w:val="nil"/>
              <w:bottom w:val="nil"/>
              <w:right w:val="nil"/>
            </w:tcBorders>
            <w:shd w:val="clear" w:color="auto" w:fill="auto"/>
            <w:noWrap/>
            <w:vAlign w:val="bottom"/>
          </w:tcPr>
          <w:p w14:paraId="4ADA0D2C" w14:textId="77777777" w:rsidR="009C340B" w:rsidRPr="00872DE0" w:rsidRDefault="009C340B" w:rsidP="009C340B">
            <w:pPr>
              <w:numPr>
                <w:ilvl w:val="1"/>
                <w:numId w:val="34"/>
              </w:numPr>
              <w:rPr>
                <w:rFonts w:ascii="Arial" w:hAnsi="Arial" w:cs="Arial"/>
                <w:i/>
              </w:rPr>
            </w:pPr>
            <w:r w:rsidRPr="00872DE0">
              <w:rPr>
                <w:rFonts w:ascii="Arial" w:hAnsi="Arial" w:cs="Arial"/>
                <w:i/>
              </w:rPr>
              <w:t>Of which: holdings in own debt instruments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830F8" w14:textId="77777777" w:rsidR="009C340B" w:rsidRPr="00231CAF" w:rsidRDefault="009C340B" w:rsidP="0044317F">
            <w:pPr>
              <w:jc w:val="center"/>
              <w:rPr>
                <w:rFonts w:ascii="Arial" w:hAnsi="Arial" w:cs="Arial"/>
              </w:rPr>
            </w:pPr>
          </w:p>
        </w:tc>
      </w:tr>
    </w:tbl>
    <w:p w14:paraId="5886DE93" w14:textId="77777777" w:rsidR="009C340B" w:rsidRDefault="009C340B" w:rsidP="009C340B">
      <w:pPr>
        <w:rPr>
          <w:rFonts w:ascii="Arial" w:hAnsi="Arial" w:cs="Arial"/>
        </w:rPr>
      </w:pPr>
    </w:p>
    <w:tbl>
      <w:tblPr>
        <w:tblW w:w="13892" w:type="dxa"/>
        <w:tblInd w:w="108" w:type="dxa"/>
        <w:tblLook w:val="04A0" w:firstRow="1" w:lastRow="0" w:firstColumn="1" w:lastColumn="0" w:noHBand="0" w:noVBand="1"/>
      </w:tblPr>
      <w:tblGrid>
        <w:gridCol w:w="13892"/>
      </w:tblGrid>
      <w:tr w:rsidR="009C340B" w:rsidRPr="00FC3309" w14:paraId="5CCF2637" w14:textId="77777777" w:rsidTr="0044317F">
        <w:tc>
          <w:tcPr>
            <w:tcW w:w="8789" w:type="dxa"/>
          </w:tcPr>
          <w:p w14:paraId="49159A59" w14:textId="77777777" w:rsidR="009C340B" w:rsidRPr="00FC3309" w:rsidRDefault="009C340B" w:rsidP="0044317F">
            <w:pPr>
              <w:rPr>
                <w:rFonts w:ascii="Arial" w:hAnsi="Arial" w:cs="Arial"/>
                <w:b/>
                <w:bCs/>
                <w:sz w:val="24"/>
                <w:szCs w:val="24"/>
              </w:rPr>
            </w:pPr>
            <w:r w:rsidRPr="00872DE0">
              <w:rPr>
                <w:rFonts w:ascii="Arial" w:hAnsi="Arial" w:cs="Arial"/>
                <w:b/>
                <w:bCs/>
                <w:sz w:val="24"/>
                <w:szCs w:val="24"/>
              </w:rPr>
              <w:t>Section 2: Direct equity holdings</w:t>
            </w:r>
          </w:p>
        </w:tc>
      </w:tr>
    </w:tbl>
    <w:p w14:paraId="11F9FCAD"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FF043A" w14:paraId="1D9C568C" w14:textId="77777777" w:rsidTr="0044317F">
        <w:trPr>
          <w:trHeight w:val="317"/>
        </w:trPr>
        <w:tc>
          <w:tcPr>
            <w:tcW w:w="12206" w:type="dxa"/>
            <w:tcBorders>
              <w:top w:val="nil"/>
              <w:left w:val="nil"/>
              <w:bottom w:val="nil"/>
            </w:tcBorders>
            <w:shd w:val="clear" w:color="auto" w:fill="auto"/>
            <w:noWrap/>
            <w:vAlign w:val="bottom"/>
            <w:hideMark/>
          </w:tcPr>
          <w:p w14:paraId="3E5F3384" w14:textId="77777777" w:rsidR="009C340B" w:rsidRPr="000B55C3" w:rsidRDefault="009C340B" w:rsidP="009C340B">
            <w:pPr>
              <w:numPr>
                <w:ilvl w:val="0"/>
                <w:numId w:val="41"/>
              </w:numPr>
              <w:rPr>
                <w:rFonts w:ascii="Arial" w:hAnsi="Arial" w:cs="Arial"/>
                <w:b/>
                <w:bCs/>
              </w:rPr>
            </w:pPr>
            <w:r w:rsidRPr="000B55C3">
              <w:rPr>
                <w:rFonts w:ascii="Arial" w:hAnsi="Arial" w:cs="Arial"/>
                <w:b/>
                <w:bCs/>
              </w:rPr>
              <w:t>Australian listed equity</w:t>
            </w:r>
          </w:p>
        </w:tc>
        <w:tc>
          <w:tcPr>
            <w:tcW w:w="1686" w:type="dxa"/>
            <w:tcBorders>
              <w:bottom w:val="single" w:sz="4" w:space="0" w:color="auto"/>
            </w:tcBorders>
            <w:shd w:val="clear" w:color="auto" w:fill="auto"/>
            <w:noWrap/>
            <w:vAlign w:val="bottom"/>
          </w:tcPr>
          <w:p w14:paraId="65483168" w14:textId="77777777" w:rsidR="009C340B" w:rsidRPr="00231CAF" w:rsidRDefault="009C340B" w:rsidP="0044317F">
            <w:pPr>
              <w:jc w:val="center"/>
              <w:rPr>
                <w:rFonts w:ascii="Arial" w:hAnsi="Arial" w:cs="Arial"/>
              </w:rPr>
            </w:pPr>
          </w:p>
        </w:tc>
      </w:tr>
      <w:tr w:rsidR="009C340B" w:rsidRPr="00FF043A" w14:paraId="59C808DD" w14:textId="77777777" w:rsidTr="0044317F">
        <w:trPr>
          <w:trHeight w:val="317"/>
        </w:trPr>
        <w:tc>
          <w:tcPr>
            <w:tcW w:w="12206" w:type="dxa"/>
            <w:tcBorders>
              <w:top w:val="nil"/>
              <w:left w:val="nil"/>
              <w:bottom w:val="nil"/>
              <w:right w:val="nil"/>
            </w:tcBorders>
            <w:shd w:val="clear" w:color="auto" w:fill="auto"/>
            <w:noWrap/>
            <w:vAlign w:val="bottom"/>
          </w:tcPr>
          <w:p w14:paraId="11B104B1" w14:textId="77777777" w:rsidR="009C340B" w:rsidRPr="004F78A0" w:rsidRDefault="009C340B" w:rsidP="009C340B">
            <w:pPr>
              <w:numPr>
                <w:ilvl w:val="1"/>
                <w:numId w:val="35"/>
              </w:numPr>
              <w:rPr>
                <w:rFonts w:ascii="Arial" w:hAnsi="Arial" w:cs="Arial"/>
              </w:rPr>
            </w:pPr>
            <w:r w:rsidRPr="000B55C3">
              <w:rPr>
                <w:rFonts w:ascii="Arial" w:hAnsi="Arial" w:cs="Arial"/>
              </w:rPr>
              <w:lastRenderedPageBreak/>
              <w:t>Banks and ADIs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DA6E2" w14:textId="77777777" w:rsidR="009C340B" w:rsidRPr="00231CAF" w:rsidRDefault="009C340B" w:rsidP="0044317F">
            <w:pPr>
              <w:jc w:val="center"/>
              <w:rPr>
                <w:rFonts w:ascii="Arial" w:hAnsi="Arial" w:cs="Arial"/>
              </w:rPr>
            </w:pPr>
          </w:p>
        </w:tc>
      </w:tr>
      <w:tr w:rsidR="009C340B" w:rsidRPr="00FF043A" w14:paraId="0DFCD938" w14:textId="77777777" w:rsidTr="0044317F">
        <w:trPr>
          <w:trHeight w:val="317"/>
        </w:trPr>
        <w:tc>
          <w:tcPr>
            <w:tcW w:w="12206" w:type="dxa"/>
            <w:tcBorders>
              <w:top w:val="nil"/>
              <w:left w:val="nil"/>
              <w:bottom w:val="nil"/>
              <w:right w:val="nil"/>
            </w:tcBorders>
            <w:shd w:val="clear" w:color="auto" w:fill="auto"/>
            <w:noWrap/>
            <w:vAlign w:val="bottom"/>
            <w:hideMark/>
          </w:tcPr>
          <w:p w14:paraId="6A08DB2D" w14:textId="77777777" w:rsidR="009C340B" w:rsidRPr="004F78A0" w:rsidRDefault="009C340B" w:rsidP="009C340B">
            <w:pPr>
              <w:numPr>
                <w:ilvl w:val="1"/>
                <w:numId w:val="35"/>
              </w:numPr>
              <w:rPr>
                <w:rFonts w:ascii="Arial" w:hAnsi="Arial" w:cs="Arial"/>
              </w:rPr>
            </w:pPr>
            <w:r w:rsidRPr="004F78A0">
              <w:rPr>
                <w:rFonts w:ascii="Arial" w:hAnsi="Arial" w:cs="Arial"/>
              </w:rPr>
              <w:t>General insurance corporations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D45D4" w14:textId="77777777" w:rsidR="009C340B" w:rsidRPr="00231CAF" w:rsidRDefault="009C340B" w:rsidP="0044317F">
            <w:pPr>
              <w:jc w:val="center"/>
              <w:rPr>
                <w:rFonts w:ascii="Arial" w:hAnsi="Arial" w:cs="Arial"/>
              </w:rPr>
            </w:pPr>
          </w:p>
        </w:tc>
      </w:tr>
      <w:tr w:rsidR="009C340B" w:rsidRPr="00FF043A" w14:paraId="45D41CB2" w14:textId="77777777" w:rsidTr="0044317F">
        <w:trPr>
          <w:trHeight w:val="317"/>
        </w:trPr>
        <w:tc>
          <w:tcPr>
            <w:tcW w:w="12206" w:type="dxa"/>
            <w:tcBorders>
              <w:top w:val="nil"/>
              <w:left w:val="nil"/>
              <w:bottom w:val="nil"/>
              <w:right w:val="nil"/>
            </w:tcBorders>
            <w:shd w:val="clear" w:color="auto" w:fill="auto"/>
            <w:noWrap/>
            <w:vAlign w:val="bottom"/>
          </w:tcPr>
          <w:p w14:paraId="3825EEEB" w14:textId="77777777" w:rsidR="009C340B" w:rsidRPr="004F78A0" w:rsidRDefault="009C340B" w:rsidP="009C340B">
            <w:pPr>
              <w:numPr>
                <w:ilvl w:val="1"/>
                <w:numId w:val="35"/>
              </w:numPr>
              <w:rPr>
                <w:rFonts w:ascii="Arial" w:hAnsi="Arial" w:cs="Arial"/>
              </w:rPr>
            </w:pPr>
            <w:r w:rsidRPr="004F78A0">
              <w:rPr>
                <w:rFonts w:ascii="Arial" w:hAnsi="Arial" w:cs="Arial"/>
              </w:rPr>
              <w:t>Private trading corporations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B8258" w14:textId="77777777" w:rsidR="009C340B" w:rsidRPr="00231CAF" w:rsidRDefault="009C340B" w:rsidP="0044317F">
            <w:pPr>
              <w:jc w:val="center"/>
              <w:rPr>
                <w:rFonts w:ascii="Arial" w:hAnsi="Arial" w:cs="Arial"/>
              </w:rPr>
            </w:pPr>
          </w:p>
        </w:tc>
      </w:tr>
      <w:tr w:rsidR="009C340B" w:rsidRPr="00FF043A" w14:paraId="664DBCDF" w14:textId="77777777" w:rsidTr="0044317F">
        <w:trPr>
          <w:trHeight w:val="317"/>
        </w:trPr>
        <w:tc>
          <w:tcPr>
            <w:tcW w:w="12206" w:type="dxa"/>
            <w:tcBorders>
              <w:top w:val="nil"/>
              <w:left w:val="nil"/>
              <w:bottom w:val="nil"/>
              <w:right w:val="nil"/>
            </w:tcBorders>
            <w:shd w:val="clear" w:color="auto" w:fill="auto"/>
            <w:noWrap/>
            <w:vAlign w:val="bottom"/>
          </w:tcPr>
          <w:p w14:paraId="755DB160" w14:textId="77777777" w:rsidR="009C340B" w:rsidRPr="004F78A0" w:rsidRDefault="009C340B" w:rsidP="009C340B">
            <w:pPr>
              <w:numPr>
                <w:ilvl w:val="1"/>
                <w:numId w:val="35"/>
              </w:numPr>
              <w:rPr>
                <w:rFonts w:ascii="Arial" w:hAnsi="Arial" w:cs="Arial"/>
              </w:rPr>
            </w:pPr>
            <w:r w:rsidRPr="004F78A0">
              <w:rPr>
                <w:rFonts w:ascii="Arial" w:hAnsi="Arial" w:cs="Arial"/>
              </w:rPr>
              <w:t>Registered Financial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266AB27A" w14:textId="77777777" w:rsidR="009C340B" w:rsidRPr="00231CAF" w:rsidRDefault="009C340B" w:rsidP="0044317F">
            <w:pPr>
              <w:jc w:val="center"/>
              <w:rPr>
                <w:rFonts w:ascii="Arial" w:hAnsi="Arial" w:cs="Arial"/>
              </w:rPr>
            </w:pPr>
          </w:p>
        </w:tc>
      </w:tr>
      <w:tr w:rsidR="009C340B" w:rsidRPr="00FF043A" w14:paraId="2E2D570A" w14:textId="77777777" w:rsidTr="0044317F">
        <w:trPr>
          <w:trHeight w:val="317"/>
        </w:trPr>
        <w:tc>
          <w:tcPr>
            <w:tcW w:w="12206" w:type="dxa"/>
            <w:tcBorders>
              <w:top w:val="nil"/>
              <w:left w:val="nil"/>
              <w:bottom w:val="nil"/>
              <w:right w:val="nil"/>
            </w:tcBorders>
            <w:shd w:val="clear" w:color="auto" w:fill="auto"/>
            <w:noWrap/>
            <w:vAlign w:val="bottom"/>
          </w:tcPr>
          <w:p w14:paraId="4F53ACF3" w14:textId="77777777" w:rsidR="009C340B" w:rsidRPr="004F78A0" w:rsidRDefault="009C340B" w:rsidP="009C340B">
            <w:pPr>
              <w:numPr>
                <w:ilvl w:val="1"/>
                <w:numId w:val="35"/>
              </w:numPr>
              <w:rPr>
                <w:rFonts w:ascii="Arial" w:hAnsi="Arial" w:cs="Arial"/>
              </w:rPr>
            </w:pPr>
            <w:r w:rsidRPr="004F78A0">
              <w:rPr>
                <w:rFonts w:ascii="Arial" w:hAnsi="Arial" w:cs="Arial"/>
              </w:rPr>
              <w:t>Australian Commonwealth Government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581EBC5E" w14:textId="77777777" w:rsidR="009C340B" w:rsidRPr="00231CAF" w:rsidRDefault="009C340B" w:rsidP="0044317F">
            <w:pPr>
              <w:jc w:val="center"/>
              <w:rPr>
                <w:rFonts w:ascii="Arial" w:hAnsi="Arial" w:cs="Arial"/>
              </w:rPr>
            </w:pPr>
          </w:p>
        </w:tc>
      </w:tr>
      <w:tr w:rsidR="009C340B" w:rsidRPr="00FF043A" w14:paraId="081128BE" w14:textId="77777777" w:rsidTr="0044317F">
        <w:trPr>
          <w:trHeight w:val="317"/>
        </w:trPr>
        <w:tc>
          <w:tcPr>
            <w:tcW w:w="12206" w:type="dxa"/>
            <w:tcBorders>
              <w:top w:val="nil"/>
              <w:left w:val="nil"/>
              <w:bottom w:val="nil"/>
              <w:right w:val="nil"/>
            </w:tcBorders>
            <w:shd w:val="clear" w:color="auto" w:fill="auto"/>
            <w:noWrap/>
            <w:vAlign w:val="bottom"/>
          </w:tcPr>
          <w:p w14:paraId="1C70DBE6" w14:textId="77777777" w:rsidR="009C340B" w:rsidRPr="004F78A0" w:rsidRDefault="009C340B" w:rsidP="009C340B">
            <w:pPr>
              <w:numPr>
                <w:ilvl w:val="1"/>
                <w:numId w:val="35"/>
              </w:numPr>
              <w:rPr>
                <w:rFonts w:ascii="Arial" w:hAnsi="Arial" w:cs="Arial"/>
              </w:rPr>
            </w:pPr>
            <w:r w:rsidRPr="004F78A0">
              <w:rPr>
                <w:rFonts w:ascii="Arial" w:hAnsi="Arial" w:cs="Arial"/>
              </w:rPr>
              <w:t>Other</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B0C20D" w14:textId="77777777" w:rsidR="009C340B" w:rsidRPr="00231CAF" w:rsidRDefault="009C340B" w:rsidP="0044317F">
            <w:pPr>
              <w:jc w:val="center"/>
              <w:rPr>
                <w:rFonts w:ascii="Arial" w:hAnsi="Arial" w:cs="Arial"/>
              </w:rPr>
            </w:pPr>
          </w:p>
        </w:tc>
      </w:tr>
      <w:tr w:rsidR="009C340B" w:rsidRPr="00FF043A" w14:paraId="45AF6BB6" w14:textId="77777777" w:rsidTr="0044317F">
        <w:trPr>
          <w:trHeight w:val="317"/>
        </w:trPr>
        <w:tc>
          <w:tcPr>
            <w:tcW w:w="12206" w:type="dxa"/>
            <w:tcBorders>
              <w:top w:val="nil"/>
              <w:left w:val="nil"/>
              <w:bottom w:val="nil"/>
              <w:right w:val="nil"/>
            </w:tcBorders>
            <w:shd w:val="clear" w:color="auto" w:fill="auto"/>
            <w:noWrap/>
            <w:vAlign w:val="bottom"/>
          </w:tcPr>
          <w:p w14:paraId="1554C775" w14:textId="77777777" w:rsidR="009C340B" w:rsidRPr="004F78A0" w:rsidRDefault="009C340B" w:rsidP="009C340B">
            <w:pPr>
              <w:numPr>
                <w:ilvl w:val="1"/>
                <w:numId w:val="35"/>
              </w:numPr>
              <w:rPr>
                <w:rFonts w:ascii="Arial" w:hAnsi="Arial" w:cs="Arial"/>
              </w:rPr>
            </w:pPr>
            <w:r>
              <w:rPr>
                <w:rFonts w:ascii="Arial" w:hAnsi="Arial" w:cs="Arial"/>
              </w:rPr>
              <w:t>T</w:t>
            </w:r>
            <w:r w:rsidRPr="004F78A0">
              <w:rPr>
                <w:rFonts w:ascii="Arial" w:hAnsi="Arial" w:cs="Arial"/>
              </w:rPr>
              <w:t>otal Australian listed equity</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7074A373" w14:textId="77777777" w:rsidR="009C340B" w:rsidRPr="00231CAF" w:rsidRDefault="009C340B" w:rsidP="0044317F">
            <w:pPr>
              <w:jc w:val="center"/>
              <w:rPr>
                <w:rFonts w:ascii="Arial" w:hAnsi="Arial" w:cs="Arial"/>
              </w:rPr>
            </w:pPr>
          </w:p>
        </w:tc>
      </w:tr>
    </w:tbl>
    <w:p w14:paraId="75C4058C"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FF043A" w14:paraId="0460F00D" w14:textId="77777777" w:rsidTr="0044317F">
        <w:trPr>
          <w:trHeight w:val="317"/>
        </w:trPr>
        <w:tc>
          <w:tcPr>
            <w:tcW w:w="12206" w:type="dxa"/>
            <w:tcBorders>
              <w:top w:val="nil"/>
              <w:left w:val="nil"/>
              <w:bottom w:val="nil"/>
            </w:tcBorders>
            <w:shd w:val="clear" w:color="auto" w:fill="auto"/>
            <w:noWrap/>
            <w:vAlign w:val="bottom"/>
            <w:hideMark/>
          </w:tcPr>
          <w:p w14:paraId="7C15C34B" w14:textId="77777777" w:rsidR="009C340B" w:rsidRPr="000B55C3" w:rsidRDefault="009C340B" w:rsidP="009C340B">
            <w:pPr>
              <w:numPr>
                <w:ilvl w:val="0"/>
                <w:numId w:val="41"/>
              </w:numPr>
              <w:rPr>
                <w:rFonts w:ascii="Arial" w:hAnsi="Arial" w:cs="Arial"/>
                <w:b/>
                <w:bCs/>
              </w:rPr>
            </w:pPr>
            <w:r w:rsidRPr="000B55C3">
              <w:rPr>
                <w:rFonts w:ascii="Arial" w:hAnsi="Arial" w:cs="Arial"/>
                <w:b/>
                <w:bCs/>
              </w:rPr>
              <w:t>Other equity</w:t>
            </w:r>
          </w:p>
        </w:tc>
        <w:tc>
          <w:tcPr>
            <w:tcW w:w="1686" w:type="dxa"/>
            <w:tcBorders>
              <w:bottom w:val="single" w:sz="4" w:space="0" w:color="auto"/>
            </w:tcBorders>
            <w:shd w:val="clear" w:color="auto" w:fill="auto"/>
            <w:noWrap/>
            <w:vAlign w:val="bottom"/>
          </w:tcPr>
          <w:p w14:paraId="69F202C3" w14:textId="77777777" w:rsidR="009C340B" w:rsidRPr="00231CAF" w:rsidRDefault="009C340B" w:rsidP="0044317F">
            <w:pPr>
              <w:rPr>
                <w:rFonts w:ascii="Arial" w:hAnsi="Arial" w:cs="Arial"/>
              </w:rPr>
            </w:pPr>
          </w:p>
        </w:tc>
      </w:tr>
      <w:tr w:rsidR="009C340B" w:rsidRPr="00FF043A" w14:paraId="7C170AB3" w14:textId="77777777" w:rsidTr="0044317F">
        <w:trPr>
          <w:trHeight w:val="317"/>
        </w:trPr>
        <w:tc>
          <w:tcPr>
            <w:tcW w:w="12206" w:type="dxa"/>
            <w:tcBorders>
              <w:top w:val="nil"/>
              <w:left w:val="nil"/>
              <w:bottom w:val="nil"/>
              <w:right w:val="nil"/>
            </w:tcBorders>
            <w:shd w:val="clear" w:color="auto" w:fill="auto"/>
            <w:noWrap/>
            <w:vAlign w:val="bottom"/>
          </w:tcPr>
          <w:p w14:paraId="15E5C3D8" w14:textId="77777777" w:rsidR="009C340B" w:rsidRPr="000B55C3" w:rsidRDefault="009C340B" w:rsidP="009C340B">
            <w:pPr>
              <w:numPr>
                <w:ilvl w:val="1"/>
                <w:numId w:val="41"/>
              </w:numPr>
              <w:rPr>
                <w:rFonts w:ascii="Arial" w:hAnsi="Arial" w:cs="Arial"/>
              </w:rPr>
            </w:pPr>
            <w:r w:rsidRPr="000B55C3">
              <w:rPr>
                <w:rFonts w:ascii="Arial" w:hAnsi="Arial" w:cs="Arial"/>
              </w:rPr>
              <w:t>Banks and ADIs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6F3E3" w14:textId="77777777" w:rsidR="009C340B" w:rsidRPr="00231CAF" w:rsidRDefault="009C340B" w:rsidP="0044317F">
            <w:pPr>
              <w:jc w:val="center"/>
              <w:rPr>
                <w:rFonts w:ascii="Arial" w:hAnsi="Arial" w:cs="Arial"/>
              </w:rPr>
            </w:pPr>
          </w:p>
        </w:tc>
      </w:tr>
      <w:tr w:rsidR="009C340B" w:rsidRPr="00FF043A" w14:paraId="2C3F8E04" w14:textId="77777777" w:rsidTr="0044317F">
        <w:trPr>
          <w:trHeight w:val="317"/>
        </w:trPr>
        <w:tc>
          <w:tcPr>
            <w:tcW w:w="12206" w:type="dxa"/>
            <w:tcBorders>
              <w:top w:val="nil"/>
              <w:left w:val="nil"/>
              <w:bottom w:val="nil"/>
              <w:right w:val="nil"/>
            </w:tcBorders>
            <w:shd w:val="clear" w:color="auto" w:fill="auto"/>
            <w:noWrap/>
            <w:vAlign w:val="bottom"/>
            <w:hideMark/>
          </w:tcPr>
          <w:p w14:paraId="1B0280EC" w14:textId="77777777" w:rsidR="009C340B" w:rsidRPr="004F78A0" w:rsidRDefault="009C340B" w:rsidP="009C340B">
            <w:pPr>
              <w:numPr>
                <w:ilvl w:val="1"/>
                <w:numId w:val="41"/>
              </w:numPr>
              <w:rPr>
                <w:rFonts w:ascii="Arial" w:hAnsi="Arial" w:cs="Arial"/>
              </w:rPr>
            </w:pPr>
            <w:r w:rsidRPr="004F78A0">
              <w:rPr>
                <w:rFonts w:ascii="Arial" w:hAnsi="Arial" w:cs="Arial"/>
              </w:rPr>
              <w:t>General insurance corporations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89601" w14:textId="77777777" w:rsidR="009C340B" w:rsidRPr="00231CAF" w:rsidRDefault="009C340B" w:rsidP="0044317F">
            <w:pPr>
              <w:jc w:val="center"/>
              <w:rPr>
                <w:rFonts w:ascii="Arial" w:hAnsi="Arial" w:cs="Arial"/>
              </w:rPr>
            </w:pPr>
          </w:p>
        </w:tc>
      </w:tr>
      <w:tr w:rsidR="009C340B" w:rsidRPr="00FF043A" w14:paraId="7AC56D65" w14:textId="77777777" w:rsidTr="0044317F">
        <w:trPr>
          <w:trHeight w:val="317"/>
        </w:trPr>
        <w:tc>
          <w:tcPr>
            <w:tcW w:w="12206" w:type="dxa"/>
            <w:tcBorders>
              <w:top w:val="nil"/>
              <w:left w:val="nil"/>
              <w:bottom w:val="nil"/>
              <w:right w:val="nil"/>
            </w:tcBorders>
            <w:shd w:val="clear" w:color="auto" w:fill="auto"/>
            <w:noWrap/>
            <w:vAlign w:val="bottom"/>
          </w:tcPr>
          <w:p w14:paraId="1D37E747" w14:textId="77777777" w:rsidR="009C340B" w:rsidRPr="004F78A0" w:rsidRDefault="009C340B" w:rsidP="009C340B">
            <w:pPr>
              <w:numPr>
                <w:ilvl w:val="1"/>
                <w:numId w:val="41"/>
              </w:numPr>
              <w:rPr>
                <w:rFonts w:ascii="Arial" w:hAnsi="Arial" w:cs="Arial"/>
              </w:rPr>
            </w:pPr>
            <w:r w:rsidRPr="004F78A0">
              <w:rPr>
                <w:rFonts w:ascii="Arial" w:hAnsi="Arial" w:cs="Arial"/>
              </w:rPr>
              <w:t>Private trading corporations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04EA3" w14:textId="77777777" w:rsidR="009C340B" w:rsidRPr="00231CAF" w:rsidRDefault="009C340B" w:rsidP="0044317F">
            <w:pPr>
              <w:jc w:val="center"/>
              <w:rPr>
                <w:rFonts w:ascii="Arial" w:hAnsi="Arial" w:cs="Arial"/>
              </w:rPr>
            </w:pPr>
          </w:p>
        </w:tc>
      </w:tr>
      <w:tr w:rsidR="009C340B" w:rsidRPr="00FF043A" w14:paraId="07B4BBA9" w14:textId="77777777" w:rsidTr="0044317F">
        <w:trPr>
          <w:trHeight w:val="317"/>
        </w:trPr>
        <w:tc>
          <w:tcPr>
            <w:tcW w:w="12206" w:type="dxa"/>
            <w:tcBorders>
              <w:top w:val="nil"/>
              <w:left w:val="nil"/>
              <w:bottom w:val="nil"/>
              <w:right w:val="nil"/>
            </w:tcBorders>
            <w:shd w:val="clear" w:color="auto" w:fill="auto"/>
            <w:noWrap/>
            <w:vAlign w:val="bottom"/>
          </w:tcPr>
          <w:p w14:paraId="0302C603" w14:textId="77777777" w:rsidR="009C340B" w:rsidRPr="004F78A0" w:rsidRDefault="009C340B" w:rsidP="009C340B">
            <w:pPr>
              <w:numPr>
                <w:ilvl w:val="1"/>
                <w:numId w:val="41"/>
              </w:numPr>
              <w:rPr>
                <w:rFonts w:ascii="Arial" w:hAnsi="Arial" w:cs="Arial"/>
              </w:rPr>
            </w:pPr>
            <w:r w:rsidRPr="004F78A0">
              <w:rPr>
                <w:rFonts w:ascii="Arial" w:hAnsi="Arial" w:cs="Arial"/>
              </w:rPr>
              <w:t>Registered Financial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1C73208E" w14:textId="77777777" w:rsidR="009C340B" w:rsidRPr="00231CAF" w:rsidRDefault="009C340B" w:rsidP="0044317F">
            <w:pPr>
              <w:jc w:val="center"/>
              <w:rPr>
                <w:rFonts w:ascii="Arial" w:hAnsi="Arial" w:cs="Arial"/>
              </w:rPr>
            </w:pPr>
          </w:p>
        </w:tc>
      </w:tr>
      <w:tr w:rsidR="009C340B" w:rsidRPr="00FF043A" w14:paraId="7D26078C" w14:textId="77777777" w:rsidTr="0044317F">
        <w:trPr>
          <w:trHeight w:val="317"/>
        </w:trPr>
        <w:tc>
          <w:tcPr>
            <w:tcW w:w="12206" w:type="dxa"/>
            <w:tcBorders>
              <w:top w:val="nil"/>
              <w:left w:val="nil"/>
              <w:bottom w:val="nil"/>
              <w:right w:val="nil"/>
            </w:tcBorders>
            <w:shd w:val="clear" w:color="auto" w:fill="auto"/>
            <w:noWrap/>
            <w:vAlign w:val="bottom"/>
          </w:tcPr>
          <w:p w14:paraId="3B90053B" w14:textId="77777777" w:rsidR="009C340B" w:rsidRPr="004F78A0" w:rsidRDefault="009C340B" w:rsidP="009C340B">
            <w:pPr>
              <w:numPr>
                <w:ilvl w:val="1"/>
                <w:numId w:val="41"/>
              </w:numPr>
              <w:rPr>
                <w:rFonts w:ascii="Arial" w:hAnsi="Arial" w:cs="Arial"/>
              </w:rPr>
            </w:pPr>
            <w:r w:rsidRPr="004F78A0">
              <w:rPr>
                <w:rFonts w:ascii="Arial" w:hAnsi="Arial" w:cs="Arial"/>
              </w:rPr>
              <w:t>Australian Commonwealth Government corporations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1F25832D" w14:textId="77777777" w:rsidR="009C340B" w:rsidRPr="00231CAF" w:rsidRDefault="009C340B" w:rsidP="0044317F">
            <w:pPr>
              <w:jc w:val="center"/>
              <w:rPr>
                <w:rFonts w:ascii="Arial" w:hAnsi="Arial" w:cs="Arial"/>
              </w:rPr>
            </w:pPr>
          </w:p>
        </w:tc>
      </w:tr>
      <w:tr w:rsidR="009C340B" w:rsidRPr="00FF043A" w14:paraId="70AACC24" w14:textId="77777777" w:rsidTr="0044317F">
        <w:trPr>
          <w:trHeight w:val="317"/>
        </w:trPr>
        <w:tc>
          <w:tcPr>
            <w:tcW w:w="12206" w:type="dxa"/>
            <w:tcBorders>
              <w:top w:val="nil"/>
              <w:left w:val="nil"/>
              <w:bottom w:val="nil"/>
              <w:right w:val="nil"/>
            </w:tcBorders>
            <w:shd w:val="clear" w:color="auto" w:fill="auto"/>
            <w:noWrap/>
            <w:vAlign w:val="bottom"/>
          </w:tcPr>
          <w:p w14:paraId="36FC7A86" w14:textId="77777777" w:rsidR="009C340B" w:rsidRPr="004F78A0" w:rsidRDefault="009C340B" w:rsidP="009C340B">
            <w:pPr>
              <w:numPr>
                <w:ilvl w:val="1"/>
                <w:numId w:val="41"/>
              </w:numPr>
              <w:rPr>
                <w:rFonts w:ascii="Arial" w:hAnsi="Arial" w:cs="Arial"/>
              </w:rPr>
            </w:pPr>
            <w:r w:rsidRPr="004F78A0">
              <w:rPr>
                <w:rFonts w:ascii="Arial" w:hAnsi="Arial" w:cs="Arial"/>
              </w:rPr>
              <w:t>Other</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F5397B" w14:textId="77777777" w:rsidR="009C340B" w:rsidRPr="00231CAF" w:rsidRDefault="009C340B" w:rsidP="0044317F">
            <w:pPr>
              <w:jc w:val="center"/>
              <w:rPr>
                <w:rFonts w:ascii="Arial" w:hAnsi="Arial" w:cs="Arial"/>
              </w:rPr>
            </w:pPr>
          </w:p>
        </w:tc>
      </w:tr>
      <w:tr w:rsidR="009C340B" w:rsidRPr="00FF043A" w14:paraId="5F974977" w14:textId="77777777" w:rsidTr="0044317F">
        <w:trPr>
          <w:trHeight w:val="317"/>
        </w:trPr>
        <w:tc>
          <w:tcPr>
            <w:tcW w:w="12206" w:type="dxa"/>
            <w:tcBorders>
              <w:top w:val="nil"/>
              <w:left w:val="nil"/>
              <w:bottom w:val="nil"/>
              <w:right w:val="nil"/>
            </w:tcBorders>
            <w:shd w:val="clear" w:color="auto" w:fill="auto"/>
            <w:noWrap/>
            <w:vAlign w:val="bottom"/>
          </w:tcPr>
          <w:p w14:paraId="63668493" w14:textId="77777777" w:rsidR="009C340B" w:rsidRPr="004F78A0" w:rsidRDefault="009C340B" w:rsidP="009C340B">
            <w:pPr>
              <w:numPr>
                <w:ilvl w:val="1"/>
                <w:numId w:val="41"/>
              </w:numPr>
              <w:rPr>
                <w:rFonts w:ascii="Arial" w:hAnsi="Arial" w:cs="Arial"/>
              </w:rPr>
            </w:pPr>
            <w:r w:rsidRPr="004F78A0">
              <w:rPr>
                <w:rFonts w:ascii="Arial" w:hAnsi="Arial" w:cs="Arial"/>
              </w:rPr>
              <w:t xml:space="preserve">Total </w:t>
            </w:r>
            <w:r>
              <w:rPr>
                <w:rFonts w:ascii="Arial" w:hAnsi="Arial" w:cs="Arial"/>
              </w:rPr>
              <w:t>o</w:t>
            </w:r>
            <w:r w:rsidRPr="004F78A0">
              <w:rPr>
                <w:rFonts w:ascii="Arial" w:hAnsi="Arial" w:cs="Arial"/>
              </w:rPr>
              <w:t>ther equity</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6EF8F336" w14:textId="77777777" w:rsidR="009C340B" w:rsidRPr="00231CAF" w:rsidRDefault="009C340B" w:rsidP="0044317F">
            <w:pPr>
              <w:jc w:val="center"/>
              <w:rPr>
                <w:rFonts w:ascii="Arial" w:hAnsi="Arial" w:cs="Arial"/>
              </w:rPr>
            </w:pPr>
          </w:p>
        </w:tc>
      </w:tr>
    </w:tbl>
    <w:p w14:paraId="49EA34F8" w14:textId="77777777" w:rsidR="009C340B" w:rsidRDefault="009C340B" w:rsidP="009C340B">
      <w:pPr>
        <w:rPr>
          <w:rFonts w:ascii="Arial" w:hAnsi="Arial" w:cs="Arial"/>
        </w:rPr>
      </w:pPr>
    </w:p>
    <w:tbl>
      <w:tblPr>
        <w:tblW w:w="13907" w:type="dxa"/>
        <w:tblInd w:w="93" w:type="dxa"/>
        <w:tblLook w:val="04A0" w:firstRow="1" w:lastRow="0" w:firstColumn="1" w:lastColumn="0" w:noHBand="0" w:noVBand="1"/>
      </w:tblPr>
      <w:tblGrid>
        <w:gridCol w:w="12219"/>
        <w:gridCol w:w="1688"/>
      </w:tblGrid>
      <w:tr w:rsidR="009C340B" w:rsidRPr="004F78A0" w14:paraId="2AD81263" w14:textId="77777777" w:rsidTr="0044317F">
        <w:trPr>
          <w:trHeight w:val="317"/>
        </w:trPr>
        <w:tc>
          <w:tcPr>
            <w:tcW w:w="12206" w:type="dxa"/>
            <w:tcBorders>
              <w:top w:val="nil"/>
              <w:left w:val="nil"/>
              <w:bottom w:val="nil"/>
              <w:right w:val="nil"/>
            </w:tcBorders>
            <w:shd w:val="clear" w:color="auto" w:fill="auto"/>
            <w:noWrap/>
            <w:vAlign w:val="bottom"/>
          </w:tcPr>
          <w:p w14:paraId="38FEE6A9" w14:textId="77777777" w:rsidR="009C340B" w:rsidRPr="004F78A0" w:rsidRDefault="009C340B" w:rsidP="009C340B">
            <w:pPr>
              <w:numPr>
                <w:ilvl w:val="0"/>
                <w:numId w:val="41"/>
              </w:numPr>
              <w:rPr>
                <w:rFonts w:ascii="Arial" w:hAnsi="Arial" w:cs="Arial"/>
                <w:b/>
                <w:bCs/>
              </w:rPr>
            </w:pPr>
            <w:r w:rsidRPr="004F78A0">
              <w:rPr>
                <w:rFonts w:ascii="Arial" w:hAnsi="Arial" w:cs="Arial"/>
                <w:b/>
                <w:bCs/>
              </w:rPr>
              <w:t>Total equity securities</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E3AFB2" w14:textId="77777777" w:rsidR="009C340B" w:rsidRPr="004F78A0" w:rsidRDefault="009C340B" w:rsidP="0044317F">
            <w:pPr>
              <w:jc w:val="center"/>
              <w:rPr>
                <w:rFonts w:ascii="Arial" w:hAnsi="Arial" w:cs="Arial"/>
              </w:rPr>
            </w:pPr>
          </w:p>
        </w:tc>
      </w:tr>
    </w:tbl>
    <w:p w14:paraId="3E4627D2"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FF043A" w14:paraId="1FF41BF6" w14:textId="77777777" w:rsidTr="0044317F">
        <w:trPr>
          <w:trHeight w:val="317"/>
        </w:trPr>
        <w:tc>
          <w:tcPr>
            <w:tcW w:w="12206" w:type="dxa"/>
            <w:tcBorders>
              <w:top w:val="nil"/>
              <w:left w:val="nil"/>
              <w:bottom w:val="nil"/>
              <w:right w:val="nil"/>
            </w:tcBorders>
            <w:shd w:val="clear" w:color="auto" w:fill="auto"/>
            <w:noWrap/>
            <w:vAlign w:val="bottom"/>
            <w:hideMark/>
          </w:tcPr>
          <w:p w14:paraId="2472848C" w14:textId="77777777" w:rsidR="009C340B" w:rsidRPr="004F78A0" w:rsidRDefault="009C340B" w:rsidP="009C340B">
            <w:pPr>
              <w:numPr>
                <w:ilvl w:val="0"/>
                <w:numId w:val="41"/>
              </w:numPr>
              <w:rPr>
                <w:rFonts w:ascii="Arial" w:hAnsi="Arial" w:cs="Arial"/>
                <w:b/>
                <w:bCs/>
              </w:rPr>
            </w:pPr>
            <w:r w:rsidRPr="004F78A0">
              <w:rPr>
                <w:rFonts w:ascii="Arial" w:hAnsi="Arial" w:cs="Arial"/>
                <w:b/>
                <w:bCs/>
              </w:rPr>
              <w:t>Total direct holdings</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53BFDB" w14:textId="77777777" w:rsidR="009C340B" w:rsidRPr="00231CAF" w:rsidRDefault="009C340B" w:rsidP="0044317F">
            <w:pPr>
              <w:jc w:val="center"/>
              <w:rPr>
                <w:rFonts w:ascii="Arial" w:hAnsi="Arial" w:cs="Arial"/>
              </w:rPr>
            </w:pPr>
          </w:p>
        </w:tc>
      </w:tr>
      <w:tr w:rsidR="009C340B" w:rsidRPr="00FF043A" w14:paraId="1C37E872" w14:textId="77777777" w:rsidTr="0044317F">
        <w:trPr>
          <w:trHeight w:val="317"/>
        </w:trPr>
        <w:tc>
          <w:tcPr>
            <w:tcW w:w="12206" w:type="dxa"/>
            <w:tcBorders>
              <w:top w:val="nil"/>
              <w:left w:val="nil"/>
              <w:bottom w:val="nil"/>
              <w:right w:val="nil"/>
            </w:tcBorders>
            <w:shd w:val="clear" w:color="auto" w:fill="auto"/>
            <w:noWrap/>
            <w:vAlign w:val="bottom"/>
            <w:hideMark/>
          </w:tcPr>
          <w:p w14:paraId="72E17951" w14:textId="77777777" w:rsidR="009C340B" w:rsidRPr="004956BC" w:rsidRDefault="009C340B" w:rsidP="009C340B">
            <w:pPr>
              <w:numPr>
                <w:ilvl w:val="1"/>
                <w:numId w:val="41"/>
              </w:numPr>
              <w:rPr>
                <w:rFonts w:ascii="Arial" w:hAnsi="Arial" w:cs="Arial"/>
              </w:rPr>
            </w:pPr>
            <w:r w:rsidRPr="004956BC">
              <w:rPr>
                <w:rFonts w:ascii="Arial" w:hAnsi="Arial" w:cs="Arial"/>
              </w:rPr>
              <w:t>Listed subordinated debt</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8072B" w14:textId="77777777" w:rsidR="009C340B" w:rsidRPr="00231CAF" w:rsidRDefault="009C340B" w:rsidP="0044317F">
            <w:pPr>
              <w:jc w:val="center"/>
              <w:rPr>
                <w:rFonts w:ascii="Arial" w:hAnsi="Arial" w:cs="Arial"/>
              </w:rPr>
            </w:pPr>
          </w:p>
        </w:tc>
      </w:tr>
      <w:tr w:rsidR="009C340B" w:rsidRPr="00FF043A" w14:paraId="659DCC91" w14:textId="77777777" w:rsidTr="0044317F">
        <w:trPr>
          <w:trHeight w:val="317"/>
        </w:trPr>
        <w:tc>
          <w:tcPr>
            <w:tcW w:w="12206" w:type="dxa"/>
            <w:tcBorders>
              <w:top w:val="nil"/>
              <w:left w:val="nil"/>
              <w:bottom w:val="nil"/>
              <w:right w:val="nil"/>
            </w:tcBorders>
            <w:shd w:val="clear" w:color="auto" w:fill="auto"/>
            <w:noWrap/>
            <w:vAlign w:val="bottom"/>
          </w:tcPr>
          <w:p w14:paraId="27DD1F81" w14:textId="77777777" w:rsidR="009C340B" w:rsidRPr="004956BC" w:rsidRDefault="009C340B" w:rsidP="009C340B">
            <w:pPr>
              <w:numPr>
                <w:ilvl w:val="1"/>
                <w:numId w:val="41"/>
              </w:numPr>
              <w:rPr>
                <w:rFonts w:ascii="Arial" w:hAnsi="Arial" w:cs="Arial"/>
              </w:rPr>
            </w:pPr>
            <w:r w:rsidRPr="004956BC">
              <w:rPr>
                <w:rFonts w:ascii="Arial" w:hAnsi="Arial" w:cs="Arial"/>
              </w:rPr>
              <w:t>Unlisted subordinated debt</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E5347" w14:textId="77777777" w:rsidR="009C340B" w:rsidRPr="00231CAF" w:rsidRDefault="009C340B" w:rsidP="0044317F">
            <w:pPr>
              <w:jc w:val="center"/>
              <w:rPr>
                <w:rFonts w:ascii="Arial" w:hAnsi="Arial" w:cs="Arial"/>
              </w:rPr>
            </w:pPr>
          </w:p>
        </w:tc>
      </w:tr>
      <w:tr w:rsidR="009C340B" w:rsidRPr="00FF043A" w14:paraId="2248FEFE" w14:textId="77777777" w:rsidTr="0044317F">
        <w:trPr>
          <w:trHeight w:val="317"/>
        </w:trPr>
        <w:tc>
          <w:tcPr>
            <w:tcW w:w="12206" w:type="dxa"/>
            <w:tcBorders>
              <w:top w:val="nil"/>
              <w:left w:val="nil"/>
              <w:bottom w:val="nil"/>
              <w:right w:val="nil"/>
            </w:tcBorders>
            <w:shd w:val="clear" w:color="auto" w:fill="auto"/>
            <w:noWrap/>
            <w:vAlign w:val="bottom"/>
          </w:tcPr>
          <w:p w14:paraId="71BDC797" w14:textId="77777777" w:rsidR="009C340B" w:rsidRPr="004956BC" w:rsidRDefault="009C340B" w:rsidP="009C340B">
            <w:pPr>
              <w:numPr>
                <w:ilvl w:val="1"/>
                <w:numId w:val="41"/>
              </w:numPr>
              <w:rPr>
                <w:rFonts w:ascii="Arial" w:hAnsi="Arial" w:cs="Arial"/>
              </w:rPr>
            </w:pPr>
            <w:r w:rsidRPr="004956BC">
              <w:rPr>
                <w:rFonts w:ascii="Arial" w:hAnsi="Arial" w:cs="Arial"/>
              </w:rPr>
              <w:t>Listed equities - Direct holdings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189EE1CC" w14:textId="77777777" w:rsidR="009C340B" w:rsidRPr="00231CAF" w:rsidRDefault="009C340B" w:rsidP="0044317F">
            <w:pPr>
              <w:jc w:val="center"/>
              <w:rPr>
                <w:rFonts w:ascii="Arial" w:hAnsi="Arial" w:cs="Arial"/>
              </w:rPr>
            </w:pPr>
          </w:p>
        </w:tc>
      </w:tr>
      <w:tr w:rsidR="009C340B" w:rsidRPr="00FF043A" w14:paraId="16F26ECD" w14:textId="77777777" w:rsidTr="0044317F">
        <w:trPr>
          <w:trHeight w:val="317"/>
        </w:trPr>
        <w:tc>
          <w:tcPr>
            <w:tcW w:w="12206" w:type="dxa"/>
            <w:tcBorders>
              <w:top w:val="nil"/>
              <w:left w:val="nil"/>
              <w:bottom w:val="nil"/>
              <w:right w:val="nil"/>
            </w:tcBorders>
            <w:shd w:val="clear" w:color="auto" w:fill="auto"/>
            <w:noWrap/>
            <w:vAlign w:val="bottom"/>
          </w:tcPr>
          <w:p w14:paraId="656B0C5F" w14:textId="77777777" w:rsidR="009C340B" w:rsidRPr="004956BC" w:rsidRDefault="009C340B" w:rsidP="009C340B">
            <w:pPr>
              <w:numPr>
                <w:ilvl w:val="1"/>
                <w:numId w:val="41"/>
              </w:numPr>
              <w:rPr>
                <w:rFonts w:ascii="Arial" w:hAnsi="Arial" w:cs="Arial"/>
              </w:rPr>
            </w:pPr>
            <w:r w:rsidRPr="004956BC">
              <w:rPr>
                <w:rFonts w:ascii="Arial" w:hAnsi="Arial" w:cs="Arial"/>
              </w:rPr>
              <w:t>Unlisted equities - Direct holdings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56C677E5" w14:textId="77777777" w:rsidR="009C340B" w:rsidRPr="00231CAF" w:rsidRDefault="009C340B" w:rsidP="0044317F">
            <w:pPr>
              <w:jc w:val="center"/>
              <w:rPr>
                <w:rFonts w:ascii="Arial" w:hAnsi="Arial" w:cs="Arial"/>
              </w:rPr>
            </w:pPr>
          </w:p>
        </w:tc>
      </w:tr>
      <w:tr w:rsidR="009C340B" w:rsidRPr="00FF043A" w14:paraId="231821A2" w14:textId="77777777" w:rsidTr="0044317F">
        <w:trPr>
          <w:trHeight w:val="317"/>
        </w:trPr>
        <w:tc>
          <w:tcPr>
            <w:tcW w:w="12206" w:type="dxa"/>
            <w:tcBorders>
              <w:top w:val="nil"/>
              <w:left w:val="nil"/>
              <w:bottom w:val="nil"/>
              <w:right w:val="nil"/>
            </w:tcBorders>
            <w:shd w:val="clear" w:color="auto" w:fill="auto"/>
            <w:noWrap/>
            <w:vAlign w:val="bottom"/>
          </w:tcPr>
          <w:p w14:paraId="6D916372" w14:textId="77777777" w:rsidR="009C340B" w:rsidRPr="00CB797C" w:rsidRDefault="009C340B" w:rsidP="009C340B">
            <w:pPr>
              <w:numPr>
                <w:ilvl w:val="1"/>
                <w:numId w:val="41"/>
              </w:numPr>
              <w:rPr>
                <w:rFonts w:ascii="Arial" w:hAnsi="Arial" w:cs="Arial"/>
                <w:i/>
              </w:rPr>
            </w:pPr>
            <w:r w:rsidRPr="00CB797C">
              <w:rPr>
                <w:rFonts w:ascii="Arial" w:hAnsi="Arial" w:cs="Arial"/>
                <w:i/>
              </w:rPr>
              <w:t>Of which: denominated in a currency other than the Australian currency</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0F65C" w14:textId="77777777" w:rsidR="009C340B" w:rsidRPr="00231CAF" w:rsidRDefault="009C340B" w:rsidP="0044317F">
            <w:pPr>
              <w:jc w:val="center"/>
              <w:rPr>
                <w:rFonts w:ascii="Arial" w:hAnsi="Arial" w:cs="Arial"/>
              </w:rPr>
            </w:pPr>
          </w:p>
        </w:tc>
      </w:tr>
      <w:tr w:rsidR="009C340B" w:rsidRPr="00FF043A" w14:paraId="73E85B8B" w14:textId="77777777" w:rsidTr="0044317F">
        <w:trPr>
          <w:trHeight w:val="317"/>
        </w:trPr>
        <w:tc>
          <w:tcPr>
            <w:tcW w:w="12206" w:type="dxa"/>
            <w:tcBorders>
              <w:top w:val="nil"/>
              <w:left w:val="nil"/>
              <w:bottom w:val="nil"/>
              <w:right w:val="nil"/>
            </w:tcBorders>
            <w:shd w:val="clear" w:color="auto" w:fill="auto"/>
            <w:noWrap/>
            <w:vAlign w:val="bottom"/>
          </w:tcPr>
          <w:p w14:paraId="6FCF0137" w14:textId="77777777" w:rsidR="009C340B" w:rsidRPr="00CB797C" w:rsidRDefault="009C340B" w:rsidP="009C340B">
            <w:pPr>
              <w:numPr>
                <w:ilvl w:val="1"/>
                <w:numId w:val="41"/>
              </w:numPr>
              <w:rPr>
                <w:rFonts w:ascii="Arial" w:hAnsi="Arial" w:cs="Arial"/>
                <w:i/>
              </w:rPr>
            </w:pPr>
            <w:r w:rsidRPr="00CB797C">
              <w:rPr>
                <w:rFonts w:ascii="Arial" w:hAnsi="Arial" w:cs="Arial"/>
                <w:i/>
              </w:rPr>
              <w:t>Of which: holdings in own equity securities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736E921D" w14:textId="77777777" w:rsidR="009C340B" w:rsidRPr="00231CAF" w:rsidRDefault="009C340B" w:rsidP="0044317F">
            <w:pPr>
              <w:jc w:val="center"/>
              <w:rPr>
                <w:rFonts w:ascii="Arial" w:hAnsi="Arial" w:cs="Arial"/>
              </w:rPr>
            </w:pPr>
          </w:p>
        </w:tc>
      </w:tr>
    </w:tbl>
    <w:p w14:paraId="340CCAD3" w14:textId="77777777" w:rsidR="009C340B" w:rsidRDefault="009C340B" w:rsidP="009C340B">
      <w:pPr>
        <w:rPr>
          <w:rFonts w:ascii="Arial" w:hAnsi="Arial" w:cs="Arial"/>
        </w:rPr>
      </w:pPr>
    </w:p>
    <w:tbl>
      <w:tblPr>
        <w:tblW w:w="13892" w:type="dxa"/>
        <w:tblInd w:w="93" w:type="dxa"/>
        <w:tblLayout w:type="fixed"/>
        <w:tblLook w:val="04A0" w:firstRow="1" w:lastRow="0" w:firstColumn="1" w:lastColumn="0" w:noHBand="0" w:noVBand="1"/>
      </w:tblPr>
      <w:tblGrid>
        <w:gridCol w:w="13892"/>
      </w:tblGrid>
      <w:tr w:rsidR="009C340B" w:rsidRPr="00FF043A" w14:paraId="164D0797" w14:textId="77777777" w:rsidTr="0044317F">
        <w:tc>
          <w:tcPr>
            <w:tcW w:w="13892" w:type="dxa"/>
            <w:vAlign w:val="bottom"/>
          </w:tcPr>
          <w:p w14:paraId="69CDC6B5" w14:textId="77777777" w:rsidR="009C340B" w:rsidRPr="00FF043A" w:rsidRDefault="009C340B" w:rsidP="00672663">
            <w:pPr>
              <w:keepNext/>
              <w:numPr>
                <w:ilvl w:val="0"/>
                <w:numId w:val="41"/>
              </w:numPr>
              <w:rPr>
                <w:rFonts w:ascii="Arial" w:hAnsi="Arial" w:cs="Arial"/>
                <w:b/>
                <w:bCs/>
              </w:rPr>
            </w:pPr>
            <w:r w:rsidRPr="00231CAF">
              <w:rPr>
                <w:rFonts w:ascii="Arial" w:hAnsi="Arial" w:cs="Arial"/>
                <w:b/>
                <w:bCs/>
              </w:rPr>
              <w:lastRenderedPageBreak/>
              <w:t>Total direct equity investments of Licensed Insurer which represent exposure to the following sectors:</w:t>
            </w:r>
          </w:p>
        </w:tc>
      </w:tr>
    </w:tbl>
    <w:p w14:paraId="2428ECAC" w14:textId="77777777" w:rsidR="009C340B" w:rsidRDefault="009C340B" w:rsidP="00672663">
      <w:pPr>
        <w:keepNext/>
      </w:pPr>
    </w:p>
    <w:tbl>
      <w:tblPr>
        <w:tblW w:w="13864" w:type="dxa"/>
        <w:tblInd w:w="93" w:type="dxa"/>
        <w:tblLayout w:type="fixed"/>
        <w:tblLook w:val="04A0" w:firstRow="1" w:lastRow="0" w:firstColumn="1" w:lastColumn="0" w:noHBand="0" w:noVBand="1"/>
      </w:tblPr>
      <w:tblGrid>
        <w:gridCol w:w="3559"/>
        <w:gridCol w:w="1472"/>
        <w:gridCol w:w="1472"/>
        <w:gridCol w:w="1472"/>
        <w:gridCol w:w="1472"/>
        <w:gridCol w:w="1472"/>
        <w:gridCol w:w="1472"/>
        <w:gridCol w:w="1473"/>
      </w:tblGrid>
      <w:tr w:rsidR="009C340B" w:rsidRPr="00FC3309" w14:paraId="0EE905CE" w14:textId="77777777" w:rsidTr="0044317F">
        <w:trPr>
          <w:trHeight w:val="317"/>
        </w:trPr>
        <w:tc>
          <w:tcPr>
            <w:tcW w:w="3559" w:type="dxa"/>
            <w:tcBorders>
              <w:top w:val="single" w:sz="4" w:space="0" w:color="auto"/>
              <w:left w:val="single" w:sz="4" w:space="0" w:color="auto"/>
              <w:bottom w:val="nil"/>
              <w:right w:val="single" w:sz="4" w:space="0" w:color="auto"/>
            </w:tcBorders>
            <w:shd w:val="clear" w:color="auto" w:fill="auto"/>
            <w:vAlign w:val="bottom"/>
            <w:hideMark/>
          </w:tcPr>
          <w:p w14:paraId="510C3A88" w14:textId="77777777" w:rsidR="009C340B" w:rsidRPr="00231CAF" w:rsidRDefault="009C340B" w:rsidP="0044317F">
            <w:pPr>
              <w:jc w:val="center"/>
              <w:rPr>
                <w:rFonts w:ascii="Arial" w:hAnsi="Arial" w:cs="Arial"/>
                <w:b/>
                <w:bCs/>
              </w:rPr>
            </w:pPr>
            <w:r w:rsidRPr="00231CAF">
              <w:rPr>
                <w:rFonts w:ascii="Arial" w:hAnsi="Arial" w:cs="Arial"/>
                <w:b/>
                <w:bCs/>
              </w:rPr>
              <w:t>Sector</w:t>
            </w:r>
          </w:p>
        </w:tc>
        <w:tc>
          <w:tcPr>
            <w:tcW w:w="1472" w:type="dxa"/>
            <w:tcBorders>
              <w:top w:val="single" w:sz="4" w:space="0" w:color="auto"/>
              <w:left w:val="nil"/>
              <w:bottom w:val="nil"/>
              <w:right w:val="single" w:sz="4" w:space="0" w:color="auto"/>
            </w:tcBorders>
            <w:shd w:val="clear" w:color="auto" w:fill="auto"/>
            <w:vAlign w:val="bottom"/>
            <w:hideMark/>
          </w:tcPr>
          <w:p w14:paraId="5D2E4826" w14:textId="77777777" w:rsidR="009C340B" w:rsidRPr="00231CAF" w:rsidRDefault="009C340B" w:rsidP="0044317F">
            <w:pPr>
              <w:jc w:val="center"/>
              <w:rPr>
                <w:rFonts w:ascii="Arial" w:hAnsi="Arial" w:cs="Arial"/>
                <w:b/>
                <w:bCs/>
              </w:rPr>
            </w:pPr>
            <w:r w:rsidRPr="00231CAF">
              <w:rPr>
                <w:rFonts w:ascii="Arial" w:hAnsi="Arial" w:cs="Arial"/>
                <w:b/>
                <w:bCs/>
              </w:rPr>
              <w:t xml:space="preserve">AUD </w:t>
            </w:r>
          </w:p>
        </w:tc>
        <w:tc>
          <w:tcPr>
            <w:tcW w:w="1472" w:type="dxa"/>
            <w:tcBorders>
              <w:top w:val="single" w:sz="4" w:space="0" w:color="auto"/>
              <w:left w:val="nil"/>
              <w:bottom w:val="nil"/>
              <w:right w:val="single" w:sz="4" w:space="0" w:color="auto"/>
            </w:tcBorders>
            <w:shd w:val="clear" w:color="auto" w:fill="auto"/>
            <w:vAlign w:val="bottom"/>
            <w:hideMark/>
          </w:tcPr>
          <w:p w14:paraId="5392C45A" w14:textId="77777777" w:rsidR="009C340B" w:rsidRPr="00231CAF" w:rsidRDefault="009C340B" w:rsidP="0044317F">
            <w:pPr>
              <w:jc w:val="center"/>
              <w:rPr>
                <w:rFonts w:ascii="Arial" w:hAnsi="Arial" w:cs="Arial"/>
                <w:b/>
                <w:bCs/>
              </w:rPr>
            </w:pPr>
            <w:r w:rsidRPr="00231CAF">
              <w:rPr>
                <w:rFonts w:ascii="Arial" w:hAnsi="Arial" w:cs="Arial"/>
                <w:b/>
                <w:bCs/>
              </w:rPr>
              <w:t>USD</w:t>
            </w:r>
          </w:p>
        </w:tc>
        <w:tc>
          <w:tcPr>
            <w:tcW w:w="1472" w:type="dxa"/>
            <w:tcBorders>
              <w:top w:val="single" w:sz="4" w:space="0" w:color="auto"/>
              <w:left w:val="nil"/>
              <w:bottom w:val="nil"/>
              <w:right w:val="single" w:sz="4" w:space="0" w:color="000000"/>
            </w:tcBorders>
            <w:shd w:val="clear" w:color="auto" w:fill="auto"/>
            <w:vAlign w:val="bottom"/>
            <w:hideMark/>
          </w:tcPr>
          <w:p w14:paraId="408395C6" w14:textId="77777777" w:rsidR="009C340B" w:rsidRPr="00231CAF" w:rsidRDefault="009C340B" w:rsidP="0044317F">
            <w:pPr>
              <w:jc w:val="center"/>
              <w:rPr>
                <w:rFonts w:ascii="Arial" w:hAnsi="Arial" w:cs="Arial"/>
                <w:b/>
                <w:bCs/>
              </w:rPr>
            </w:pPr>
            <w:r w:rsidRPr="00231CAF">
              <w:rPr>
                <w:rFonts w:ascii="Arial" w:hAnsi="Arial" w:cs="Arial"/>
                <w:b/>
                <w:bCs/>
              </w:rPr>
              <w:t>GBP</w:t>
            </w:r>
          </w:p>
        </w:tc>
        <w:tc>
          <w:tcPr>
            <w:tcW w:w="1472" w:type="dxa"/>
            <w:tcBorders>
              <w:top w:val="single" w:sz="4" w:space="0" w:color="auto"/>
              <w:left w:val="nil"/>
              <w:bottom w:val="nil"/>
              <w:right w:val="single" w:sz="4" w:space="0" w:color="000000"/>
            </w:tcBorders>
            <w:vAlign w:val="bottom"/>
          </w:tcPr>
          <w:p w14:paraId="1315A80C" w14:textId="77777777" w:rsidR="009C340B" w:rsidRPr="00231CAF" w:rsidRDefault="009C340B" w:rsidP="0044317F">
            <w:pPr>
              <w:jc w:val="center"/>
              <w:rPr>
                <w:rFonts w:ascii="Arial" w:hAnsi="Arial" w:cs="Arial"/>
                <w:b/>
                <w:bCs/>
              </w:rPr>
            </w:pPr>
            <w:r w:rsidRPr="00231CAF">
              <w:rPr>
                <w:rFonts w:ascii="Arial" w:hAnsi="Arial" w:cs="Arial"/>
                <w:b/>
                <w:bCs/>
              </w:rPr>
              <w:t xml:space="preserve">EUR </w:t>
            </w:r>
          </w:p>
        </w:tc>
        <w:tc>
          <w:tcPr>
            <w:tcW w:w="1472" w:type="dxa"/>
            <w:tcBorders>
              <w:top w:val="single" w:sz="4" w:space="0" w:color="auto"/>
              <w:left w:val="nil"/>
              <w:bottom w:val="nil"/>
              <w:right w:val="single" w:sz="4" w:space="0" w:color="000000"/>
            </w:tcBorders>
            <w:vAlign w:val="bottom"/>
          </w:tcPr>
          <w:p w14:paraId="40DC830A" w14:textId="77777777" w:rsidR="009C340B" w:rsidRPr="00231CAF" w:rsidRDefault="009C340B" w:rsidP="0044317F">
            <w:pPr>
              <w:jc w:val="center"/>
              <w:rPr>
                <w:rFonts w:ascii="Arial" w:hAnsi="Arial" w:cs="Arial"/>
                <w:b/>
                <w:bCs/>
              </w:rPr>
            </w:pPr>
            <w:r w:rsidRPr="00231CAF">
              <w:rPr>
                <w:rFonts w:ascii="Arial" w:hAnsi="Arial" w:cs="Arial"/>
                <w:b/>
                <w:bCs/>
              </w:rPr>
              <w:t>JPY</w:t>
            </w:r>
          </w:p>
        </w:tc>
        <w:tc>
          <w:tcPr>
            <w:tcW w:w="1472" w:type="dxa"/>
            <w:tcBorders>
              <w:top w:val="single" w:sz="4" w:space="0" w:color="auto"/>
              <w:left w:val="nil"/>
              <w:bottom w:val="nil"/>
              <w:right w:val="single" w:sz="4" w:space="0" w:color="000000"/>
            </w:tcBorders>
            <w:vAlign w:val="bottom"/>
          </w:tcPr>
          <w:p w14:paraId="669BF6B0" w14:textId="77777777" w:rsidR="009C340B" w:rsidRPr="00231CAF" w:rsidRDefault="009C340B" w:rsidP="0044317F">
            <w:pPr>
              <w:jc w:val="center"/>
              <w:rPr>
                <w:rFonts w:ascii="Arial" w:hAnsi="Arial" w:cs="Arial"/>
                <w:b/>
                <w:bCs/>
              </w:rPr>
            </w:pPr>
            <w:r w:rsidRPr="00231CAF">
              <w:rPr>
                <w:rFonts w:ascii="Arial" w:hAnsi="Arial" w:cs="Arial"/>
                <w:b/>
                <w:bCs/>
              </w:rPr>
              <w:t xml:space="preserve">Other Currency </w:t>
            </w:r>
          </w:p>
        </w:tc>
        <w:tc>
          <w:tcPr>
            <w:tcW w:w="1473" w:type="dxa"/>
            <w:tcBorders>
              <w:top w:val="single" w:sz="4" w:space="0" w:color="auto"/>
              <w:left w:val="nil"/>
              <w:bottom w:val="nil"/>
              <w:right w:val="single" w:sz="4" w:space="0" w:color="000000"/>
            </w:tcBorders>
            <w:vAlign w:val="bottom"/>
          </w:tcPr>
          <w:p w14:paraId="0853B8E6" w14:textId="77777777" w:rsidR="009C340B" w:rsidRPr="00231CAF" w:rsidRDefault="009C340B" w:rsidP="0044317F">
            <w:pPr>
              <w:jc w:val="center"/>
              <w:rPr>
                <w:rFonts w:ascii="Arial" w:hAnsi="Arial" w:cs="Arial"/>
                <w:b/>
                <w:bCs/>
              </w:rPr>
            </w:pPr>
            <w:r w:rsidRPr="00231CAF">
              <w:rPr>
                <w:rFonts w:ascii="Arial" w:hAnsi="Arial" w:cs="Arial"/>
                <w:b/>
                <w:bCs/>
              </w:rPr>
              <w:t xml:space="preserve">Total Currencies </w:t>
            </w:r>
          </w:p>
        </w:tc>
      </w:tr>
      <w:tr w:rsidR="009C340B" w:rsidRPr="00FC3309" w14:paraId="76346013" w14:textId="77777777" w:rsidTr="0044317F">
        <w:trPr>
          <w:trHeight w:val="317"/>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1C9076CC" w14:textId="77777777" w:rsidR="009C340B" w:rsidRPr="00FC3309" w:rsidRDefault="009C340B" w:rsidP="0044317F">
            <w:pPr>
              <w:jc w:val="center"/>
              <w:rPr>
                <w:rFonts w:ascii="Arial" w:hAnsi="Arial" w:cs="Arial"/>
                <w:b/>
                <w:bCs/>
              </w:rPr>
            </w:pPr>
            <w:r w:rsidRPr="00FC3309">
              <w:rPr>
                <w:rFonts w:ascii="Arial" w:hAnsi="Arial" w:cs="Arial"/>
                <w:b/>
                <w:bCs/>
              </w:rPr>
              <w:t>(1)</w:t>
            </w:r>
          </w:p>
        </w:tc>
        <w:tc>
          <w:tcPr>
            <w:tcW w:w="1472" w:type="dxa"/>
            <w:tcBorders>
              <w:top w:val="nil"/>
              <w:left w:val="nil"/>
              <w:bottom w:val="single" w:sz="4" w:space="0" w:color="auto"/>
              <w:right w:val="single" w:sz="4" w:space="0" w:color="auto"/>
            </w:tcBorders>
            <w:shd w:val="clear" w:color="auto" w:fill="auto"/>
            <w:vAlign w:val="bottom"/>
            <w:hideMark/>
          </w:tcPr>
          <w:p w14:paraId="6D2A241B" w14:textId="77777777" w:rsidR="009C340B" w:rsidRPr="00FC3309" w:rsidRDefault="009C340B" w:rsidP="0044317F">
            <w:pPr>
              <w:jc w:val="center"/>
              <w:rPr>
                <w:rFonts w:ascii="Arial" w:hAnsi="Arial" w:cs="Arial"/>
                <w:b/>
                <w:bCs/>
              </w:rPr>
            </w:pPr>
            <w:r w:rsidRPr="00FC3309">
              <w:rPr>
                <w:rFonts w:ascii="Arial" w:hAnsi="Arial" w:cs="Arial"/>
                <w:b/>
                <w:bCs/>
              </w:rPr>
              <w:t>(2)</w:t>
            </w:r>
          </w:p>
        </w:tc>
        <w:tc>
          <w:tcPr>
            <w:tcW w:w="1472" w:type="dxa"/>
            <w:tcBorders>
              <w:top w:val="nil"/>
              <w:left w:val="nil"/>
              <w:bottom w:val="single" w:sz="4" w:space="0" w:color="auto"/>
              <w:right w:val="single" w:sz="4" w:space="0" w:color="auto"/>
            </w:tcBorders>
            <w:shd w:val="clear" w:color="auto" w:fill="auto"/>
            <w:vAlign w:val="bottom"/>
            <w:hideMark/>
          </w:tcPr>
          <w:p w14:paraId="04B82243" w14:textId="77777777" w:rsidR="009C340B" w:rsidRPr="00FC3309" w:rsidRDefault="009C340B" w:rsidP="0044317F">
            <w:pPr>
              <w:jc w:val="center"/>
              <w:rPr>
                <w:rFonts w:ascii="Arial" w:hAnsi="Arial" w:cs="Arial"/>
                <w:b/>
                <w:bCs/>
              </w:rPr>
            </w:pPr>
            <w:r w:rsidRPr="00FC3309">
              <w:rPr>
                <w:rFonts w:ascii="Arial" w:hAnsi="Arial" w:cs="Arial"/>
                <w:b/>
                <w:bCs/>
              </w:rPr>
              <w:t>(3)</w:t>
            </w:r>
          </w:p>
        </w:tc>
        <w:tc>
          <w:tcPr>
            <w:tcW w:w="1472" w:type="dxa"/>
            <w:tcBorders>
              <w:top w:val="nil"/>
              <w:left w:val="nil"/>
              <w:bottom w:val="single" w:sz="4" w:space="0" w:color="auto"/>
              <w:right w:val="single" w:sz="4" w:space="0" w:color="000000"/>
            </w:tcBorders>
            <w:shd w:val="clear" w:color="auto" w:fill="auto"/>
            <w:vAlign w:val="bottom"/>
            <w:hideMark/>
          </w:tcPr>
          <w:p w14:paraId="270720F5" w14:textId="77777777" w:rsidR="009C340B" w:rsidRPr="00FC3309" w:rsidRDefault="009C340B" w:rsidP="0044317F">
            <w:pPr>
              <w:jc w:val="center"/>
              <w:rPr>
                <w:rFonts w:ascii="Arial" w:hAnsi="Arial" w:cs="Arial"/>
                <w:b/>
                <w:bCs/>
              </w:rPr>
            </w:pPr>
            <w:r w:rsidRPr="00FC3309">
              <w:rPr>
                <w:rFonts w:ascii="Arial" w:hAnsi="Arial" w:cs="Arial"/>
                <w:b/>
                <w:bCs/>
              </w:rPr>
              <w:t>(4)</w:t>
            </w:r>
          </w:p>
        </w:tc>
        <w:tc>
          <w:tcPr>
            <w:tcW w:w="1472" w:type="dxa"/>
            <w:tcBorders>
              <w:top w:val="nil"/>
              <w:left w:val="nil"/>
              <w:bottom w:val="single" w:sz="4" w:space="0" w:color="auto"/>
              <w:right w:val="single" w:sz="4" w:space="0" w:color="000000"/>
            </w:tcBorders>
            <w:vAlign w:val="bottom"/>
          </w:tcPr>
          <w:p w14:paraId="57882ED2" w14:textId="77777777" w:rsidR="009C340B" w:rsidRPr="00FC3309" w:rsidRDefault="009C340B" w:rsidP="0044317F">
            <w:pPr>
              <w:jc w:val="center"/>
              <w:rPr>
                <w:rFonts w:ascii="Arial" w:hAnsi="Arial" w:cs="Arial"/>
                <w:b/>
                <w:bCs/>
              </w:rPr>
            </w:pPr>
            <w:r w:rsidRPr="00FC3309">
              <w:rPr>
                <w:rFonts w:ascii="Arial" w:hAnsi="Arial" w:cs="Arial"/>
                <w:b/>
                <w:bCs/>
              </w:rPr>
              <w:t>(5)</w:t>
            </w:r>
          </w:p>
        </w:tc>
        <w:tc>
          <w:tcPr>
            <w:tcW w:w="1472" w:type="dxa"/>
            <w:tcBorders>
              <w:top w:val="nil"/>
              <w:left w:val="nil"/>
              <w:bottom w:val="single" w:sz="4" w:space="0" w:color="auto"/>
              <w:right w:val="single" w:sz="4" w:space="0" w:color="000000"/>
            </w:tcBorders>
            <w:vAlign w:val="bottom"/>
          </w:tcPr>
          <w:p w14:paraId="1E7903A2" w14:textId="77777777" w:rsidR="009C340B" w:rsidRPr="00FC3309" w:rsidRDefault="009C340B" w:rsidP="0044317F">
            <w:pPr>
              <w:jc w:val="center"/>
              <w:rPr>
                <w:rFonts w:ascii="Arial" w:hAnsi="Arial" w:cs="Arial"/>
                <w:b/>
                <w:bCs/>
              </w:rPr>
            </w:pPr>
            <w:r w:rsidRPr="00FC3309">
              <w:rPr>
                <w:rFonts w:ascii="Arial" w:hAnsi="Arial" w:cs="Arial"/>
                <w:b/>
                <w:bCs/>
              </w:rPr>
              <w:t>(6)</w:t>
            </w:r>
          </w:p>
        </w:tc>
        <w:tc>
          <w:tcPr>
            <w:tcW w:w="1472" w:type="dxa"/>
            <w:tcBorders>
              <w:top w:val="nil"/>
              <w:left w:val="nil"/>
              <w:bottom w:val="single" w:sz="4" w:space="0" w:color="auto"/>
              <w:right w:val="single" w:sz="4" w:space="0" w:color="000000"/>
            </w:tcBorders>
            <w:vAlign w:val="bottom"/>
          </w:tcPr>
          <w:p w14:paraId="238D336C" w14:textId="77777777" w:rsidR="009C340B" w:rsidRPr="00FC3309" w:rsidRDefault="009C340B" w:rsidP="0044317F">
            <w:pPr>
              <w:jc w:val="center"/>
              <w:rPr>
                <w:rFonts w:ascii="Arial" w:hAnsi="Arial" w:cs="Arial"/>
                <w:b/>
                <w:bCs/>
              </w:rPr>
            </w:pPr>
            <w:r w:rsidRPr="00FC3309">
              <w:rPr>
                <w:rFonts w:ascii="Arial" w:hAnsi="Arial" w:cs="Arial"/>
                <w:b/>
                <w:bCs/>
              </w:rPr>
              <w:t>(7)</w:t>
            </w:r>
          </w:p>
        </w:tc>
        <w:tc>
          <w:tcPr>
            <w:tcW w:w="1473" w:type="dxa"/>
            <w:tcBorders>
              <w:top w:val="nil"/>
              <w:left w:val="nil"/>
              <w:bottom w:val="single" w:sz="4" w:space="0" w:color="auto"/>
              <w:right w:val="single" w:sz="4" w:space="0" w:color="000000"/>
            </w:tcBorders>
            <w:vAlign w:val="bottom"/>
          </w:tcPr>
          <w:p w14:paraId="7AFA7A57" w14:textId="77777777" w:rsidR="009C340B" w:rsidRPr="00FC3309" w:rsidRDefault="009C340B" w:rsidP="0044317F">
            <w:pPr>
              <w:jc w:val="center"/>
              <w:rPr>
                <w:rFonts w:ascii="Arial" w:hAnsi="Arial" w:cs="Arial"/>
                <w:b/>
                <w:bCs/>
              </w:rPr>
            </w:pPr>
            <w:r w:rsidRPr="00FC3309">
              <w:rPr>
                <w:rFonts w:ascii="Arial" w:hAnsi="Arial" w:cs="Arial"/>
                <w:b/>
                <w:bCs/>
              </w:rPr>
              <w:t>(8)</w:t>
            </w:r>
          </w:p>
        </w:tc>
      </w:tr>
      <w:tr w:rsidR="009C340B" w:rsidRPr="00FC3309" w14:paraId="275744C6" w14:textId="77777777" w:rsidTr="0044317F">
        <w:trPr>
          <w:trHeight w:val="317"/>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6BE80" w14:textId="77777777" w:rsidR="009C340B" w:rsidRPr="00231CAF" w:rsidRDefault="009C340B" w:rsidP="0044317F">
            <w:pPr>
              <w:jc w:val="center"/>
              <w:rPr>
                <w:rFonts w:ascii="Arial" w:hAnsi="Arial" w:cs="Arial"/>
                <w:color w:val="000000"/>
              </w:rPr>
            </w:pP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64D7093E" w14:textId="77777777" w:rsidR="009C340B" w:rsidRPr="00231CAF" w:rsidRDefault="009C340B" w:rsidP="0044317F">
            <w:pPr>
              <w:jc w:val="center"/>
              <w:rPr>
                <w:rFonts w:ascii="Arial" w:hAnsi="Arial" w:cs="Arial"/>
                <w:color w:val="000000"/>
              </w:rPr>
            </w:pPr>
          </w:p>
        </w:tc>
        <w:tc>
          <w:tcPr>
            <w:tcW w:w="1472" w:type="dxa"/>
            <w:tcBorders>
              <w:top w:val="single" w:sz="4" w:space="0" w:color="auto"/>
              <w:left w:val="nil"/>
              <w:bottom w:val="single" w:sz="4" w:space="0" w:color="auto"/>
              <w:right w:val="single" w:sz="4" w:space="0" w:color="auto"/>
            </w:tcBorders>
            <w:shd w:val="clear" w:color="auto" w:fill="auto"/>
            <w:noWrap/>
            <w:vAlign w:val="bottom"/>
          </w:tcPr>
          <w:p w14:paraId="288A7A13" w14:textId="77777777" w:rsidR="009C340B" w:rsidRPr="00231CAF" w:rsidRDefault="009C340B" w:rsidP="0044317F">
            <w:pPr>
              <w:jc w:val="center"/>
              <w:rPr>
                <w:rFonts w:ascii="Arial" w:hAnsi="Arial" w:cs="Arial"/>
                <w:color w:val="000000"/>
              </w:rPr>
            </w:pPr>
          </w:p>
        </w:tc>
        <w:tc>
          <w:tcPr>
            <w:tcW w:w="1472" w:type="dxa"/>
            <w:tcBorders>
              <w:top w:val="single" w:sz="4" w:space="0" w:color="auto"/>
              <w:left w:val="nil"/>
              <w:bottom w:val="single" w:sz="4" w:space="0" w:color="auto"/>
              <w:right w:val="single" w:sz="4" w:space="0" w:color="auto"/>
            </w:tcBorders>
            <w:shd w:val="clear" w:color="auto" w:fill="auto"/>
            <w:vAlign w:val="bottom"/>
          </w:tcPr>
          <w:p w14:paraId="6379E99E" w14:textId="77777777" w:rsidR="009C340B" w:rsidRPr="00231CAF" w:rsidRDefault="009C340B" w:rsidP="0044317F">
            <w:pPr>
              <w:jc w:val="center"/>
              <w:rPr>
                <w:rFonts w:ascii="Arial" w:hAnsi="Arial" w:cs="Arial"/>
                <w:color w:val="000000"/>
              </w:rPr>
            </w:pPr>
          </w:p>
        </w:tc>
        <w:tc>
          <w:tcPr>
            <w:tcW w:w="1472" w:type="dxa"/>
            <w:tcBorders>
              <w:top w:val="single" w:sz="4" w:space="0" w:color="auto"/>
              <w:left w:val="nil"/>
              <w:bottom w:val="single" w:sz="4" w:space="0" w:color="auto"/>
              <w:right w:val="single" w:sz="4" w:space="0" w:color="auto"/>
            </w:tcBorders>
            <w:vAlign w:val="bottom"/>
          </w:tcPr>
          <w:p w14:paraId="57042D83" w14:textId="77777777" w:rsidR="009C340B" w:rsidRPr="00231CAF" w:rsidRDefault="009C340B" w:rsidP="0044317F">
            <w:pPr>
              <w:jc w:val="center"/>
              <w:rPr>
                <w:rFonts w:ascii="Arial" w:hAnsi="Arial" w:cs="Arial"/>
                <w:color w:val="000000"/>
              </w:rPr>
            </w:pPr>
          </w:p>
        </w:tc>
        <w:tc>
          <w:tcPr>
            <w:tcW w:w="1472" w:type="dxa"/>
            <w:tcBorders>
              <w:top w:val="single" w:sz="4" w:space="0" w:color="auto"/>
              <w:left w:val="nil"/>
              <w:bottom w:val="single" w:sz="4" w:space="0" w:color="auto"/>
              <w:right w:val="single" w:sz="4" w:space="0" w:color="auto"/>
            </w:tcBorders>
            <w:vAlign w:val="bottom"/>
          </w:tcPr>
          <w:p w14:paraId="5652CFA2" w14:textId="77777777" w:rsidR="009C340B" w:rsidRPr="00231CAF" w:rsidRDefault="009C340B" w:rsidP="0044317F">
            <w:pPr>
              <w:jc w:val="center"/>
              <w:rPr>
                <w:rFonts w:ascii="Arial" w:hAnsi="Arial" w:cs="Arial"/>
                <w:color w:val="000000"/>
              </w:rPr>
            </w:pPr>
          </w:p>
        </w:tc>
        <w:tc>
          <w:tcPr>
            <w:tcW w:w="1472" w:type="dxa"/>
            <w:tcBorders>
              <w:top w:val="single" w:sz="4" w:space="0" w:color="auto"/>
              <w:left w:val="nil"/>
              <w:bottom w:val="single" w:sz="4" w:space="0" w:color="auto"/>
              <w:right w:val="single" w:sz="4" w:space="0" w:color="auto"/>
            </w:tcBorders>
            <w:shd w:val="clear" w:color="auto" w:fill="A6A6A6"/>
            <w:vAlign w:val="bottom"/>
          </w:tcPr>
          <w:p w14:paraId="41F459E9" w14:textId="77777777" w:rsidR="009C340B" w:rsidRPr="00231CAF" w:rsidRDefault="009C340B" w:rsidP="0044317F">
            <w:pPr>
              <w:jc w:val="center"/>
              <w:rPr>
                <w:rFonts w:ascii="Arial" w:hAnsi="Arial" w:cs="Arial"/>
                <w:color w:val="000000"/>
              </w:rPr>
            </w:pPr>
          </w:p>
        </w:tc>
        <w:tc>
          <w:tcPr>
            <w:tcW w:w="1473" w:type="dxa"/>
            <w:tcBorders>
              <w:top w:val="single" w:sz="4" w:space="0" w:color="auto"/>
              <w:left w:val="nil"/>
              <w:bottom w:val="single" w:sz="4" w:space="0" w:color="auto"/>
              <w:right w:val="single" w:sz="4" w:space="0" w:color="auto"/>
            </w:tcBorders>
            <w:vAlign w:val="bottom"/>
          </w:tcPr>
          <w:p w14:paraId="562A143D" w14:textId="77777777" w:rsidR="009C340B" w:rsidRPr="00231CAF" w:rsidRDefault="009C340B" w:rsidP="0044317F">
            <w:pPr>
              <w:jc w:val="center"/>
              <w:rPr>
                <w:rFonts w:ascii="Arial" w:hAnsi="Arial" w:cs="Arial"/>
                <w:color w:val="000000"/>
              </w:rPr>
            </w:pPr>
          </w:p>
        </w:tc>
      </w:tr>
      <w:tr w:rsidR="009C340B" w:rsidRPr="00FC3309" w14:paraId="37B0FC23" w14:textId="77777777" w:rsidTr="0044317F">
        <w:trPr>
          <w:trHeight w:val="317"/>
        </w:trPr>
        <w:tc>
          <w:tcPr>
            <w:tcW w:w="355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9F626E3" w14:textId="77777777" w:rsidR="009C340B" w:rsidRPr="00C31BCC" w:rsidRDefault="009C340B" w:rsidP="0044317F">
            <w:pPr>
              <w:jc w:val="center"/>
              <w:rPr>
                <w:rFonts w:ascii="Arial" w:hAnsi="Arial" w:cs="Arial"/>
                <w:color w:val="000000"/>
              </w:rPr>
            </w:pPr>
            <w:r w:rsidRPr="00C31BCC">
              <w:rPr>
                <w:rFonts w:ascii="Arial" w:hAnsi="Arial" w:cs="Arial"/>
                <w:color w:val="000000"/>
              </w:rPr>
              <w:t>Energy</w:t>
            </w:r>
          </w:p>
        </w:tc>
        <w:tc>
          <w:tcPr>
            <w:tcW w:w="1472" w:type="dxa"/>
            <w:tcBorders>
              <w:top w:val="single" w:sz="4" w:space="0" w:color="auto"/>
              <w:left w:val="dotDash" w:sz="4" w:space="0" w:color="auto"/>
            </w:tcBorders>
            <w:shd w:val="clear" w:color="auto" w:fill="auto"/>
            <w:noWrap/>
            <w:vAlign w:val="bottom"/>
          </w:tcPr>
          <w:p w14:paraId="533EACD4" w14:textId="77777777" w:rsidR="009C340B" w:rsidRPr="00FC3309" w:rsidRDefault="009C340B" w:rsidP="0044317F">
            <w:pPr>
              <w:jc w:val="center"/>
              <w:rPr>
                <w:rFonts w:ascii="Arial" w:hAnsi="Arial" w:cs="Arial"/>
                <w:color w:val="000000"/>
              </w:rPr>
            </w:pPr>
          </w:p>
        </w:tc>
        <w:tc>
          <w:tcPr>
            <w:tcW w:w="1472" w:type="dxa"/>
            <w:tcBorders>
              <w:top w:val="single" w:sz="4" w:space="0" w:color="auto"/>
            </w:tcBorders>
            <w:shd w:val="clear" w:color="auto" w:fill="auto"/>
            <w:noWrap/>
            <w:vAlign w:val="bottom"/>
          </w:tcPr>
          <w:p w14:paraId="26791D1B" w14:textId="77777777" w:rsidR="009C340B" w:rsidRPr="00FC3309" w:rsidRDefault="009C340B" w:rsidP="0044317F">
            <w:pPr>
              <w:jc w:val="center"/>
              <w:rPr>
                <w:rFonts w:ascii="Arial" w:hAnsi="Arial" w:cs="Arial"/>
                <w:color w:val="000000"/>
              </w:rPr>
            </w:pPr>
          </w:p>
        </w:tc>
        <w:tc>
          <w:tcPr>
            <w:tcW w:w="1472" w:type="dxa"/>
            <w:tcBorders>
              <w:top w:val="single" w:sz="4" w:space="0" w:color="auto"/>
            </w:tcBorders>
            <w:shd w:val="clear" w:color="auto" w:fill="auto"/>
            <w:vAlign w:val="bottom"/>
          </w:tcPr>
          <w:p w14:paraId="0F5E515B" w14:textId="77777777" w:rsidR="009C340B" w:rsidRPr="00FC3309" w:rsidRDefault="009C340B" w:rsidP="0044317F">
            <w:pPr>
              <w:jc w:val="center"/>
              <w:rPr>
                <w:rFonts w:ascii="Arial" w:hAnsi="Arial" w:cs="Arial"/>
                <w:color w:val="000000"/>
              </w:rPr>
            </w:pPr>
          </w:p>
        </w:tc>
        <w:tc>
          <w:tcPr>
            <w:tcW w:w="1472" w:type="dxa"/>
            <w:tcBorders>
              <w:top w:val="single" w:sz="4" w:space="0" w:color="auto"/>
            </w:tcBorders>
            <w:vAlign w:val="bottom"/>
          </w:tcPr>
          <w:p w14:paraId="3063BA8B" w14:textId="77777777" w:rsidR="009C340B" w:rsidRPr="00FC3309" w:rsidRDefault="009C340B" w:rsidP="0044317F">
            <w:pPr>
              <w:jc w:val="center"/>
              <w:rPr>
                <w:rFonts w:ascii="Arial" w:hAnsi="Arial" w:cs="Arial"/>
                <w:color w:val="000000"/>
              </w:rPr>
            </w:pPr>
          </w:p>
        </w:tc>
        <w:tc>
          <w:tcPr>
            <w:tcW w:w="1472" w:type="dxa"/>
            <w:tcBorders>
              <w:top w:val="single" w:sz="4" w:space="0" w:color="auto"/>
            </w:tcBorders>
            <w:vAlign w:val="bottom"/>
          </w:tcPr>
          <w:p w14:paraId="7CF83FF5" w14:textId="77777777" w:rsidR="009C340B" w:rsidRPr="00FC3309" w:rsidRDefault="009C340B" w:rsidP="0044317F">
            <w:pPr>
              <w:jc w:val="center"/>
              <w:rPr>
                <w:rFonts w:ascii="Arial" w:hAnsi="Arial" w:cs="Arial"/>
                <w:color w:val="000000"/>
              </w:rPr>
            </w:pPr>
          </w:p>
        </w:tc>
        <w:tc>
          <w:tcPr>
            <w:tcW w:w="1472" w:type="dxa"/>
            <w:tcBorders>
              <w:top w:val="single" w:sz="4" w:space="0" w:color="auto"/>
            </w:tcBorders>
            <w:vAlign w:val="bottom"/>
          </w:tcPr>
          <w:p w14:paraId="5ABA958F" w14:textId="77777777" w:rsidR="009C340B" w:rsidRPr="00FC3309" w:rsidRDefault="009C340B" w:rsidP="0044317F">
            <w:pPr>
              <w:jc w:val="center"/>
              <w:rPr>
                <w:rFonts w:ascii="Arial" w:hAnsi="Arial" w:cs="Arial"/>
                <w:color w:val="000000"/>
              </w:rPr>
            </w:pPr>
          </w:p>
        </w:tc>
        <w:tc>
          <w:tcPr>
            <w:tcW w:w="1473" w:type="dxa"/>
            <w:tcBorders>
              <w:top w:val="single" w:sz="4" w:space="0" w:color="auto"/>
            </w:tcBorders>
            <w:vAlign w:val="bottom"/>
          </w:tcPr>
          <w:p w14:paraId="43087D05" w14:textId="77777777" w:rsidR="009C340B" w:rsidRPr="00FC3309" w:rsidRDefault="009C340B" w:rsidP="0044317F">
            <w:pPr>
              <w:jc w:val="center"/>
              <w:rPr>
                <w:rFonts w:ascii="Arial" w:hAnsi="Arial" w:cs="Arial"/>
                <w:color w:val="000000"/>
              </w:rPr>
            </w:pPr>
          </w:p>
        </w:tc>
      </w:tr>
      <w:tr w:rsidR="009C340B" w:rsidRPr="00FC3309" w14:paraId="4FF2338C"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C5A3F5" w14:textId="77777777" w:rsidR="009C340B" w:rsidRPr="00C31BCC" w:rsidRDefault="009C340B" w:rsidP="0044317F">
            <w:pPr>
              <w:jc w:val="center"/>
              <w:rPr>
                <w:rFonts w:ascii="Arial" w:hAnsi="Arial" w:cs="Arial"/>
                <w:color w:val="000000"/>
              </w:rPr>
            </w:pPr>
            <w:r w:rsidRPr="00C31BCC">
              <w:rPr>
                <w:rFonts w:ascii="Arial" w:hAnsi="Arial" w:cs="Arial"/>
                <w:color w:val="000000"/>
              </w:rPr>
              <w:t>Materials</w:t>
            </w:r>
          </w:p>
        </w:tc>
        <w:tc>
          <w:tcPr>
            <w:tcW w:w="1472" w:type="dxa"/>
            <w:tcBorders>
              <w:left w:val="dotDash" w:sz="4" w:space="0" w:color="auto"/>
            </w:tcBorders>
            <w:shd w:val="clear" w:color="auto" w:fill="auto"/>
            <w:noWrap/>
            <w:vAlign w:val="bottom"/>
          </w:tcPr>
          <w:p w14:paraId="082FAE4C"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283E473E"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783FE0C0" w14:textId="77777777" w:rsidR="009C340B" w:rsidRPr="00FC3309" w:rsidRDefault="009C340B" w:rsidP="0044317F">
            <w:pPr>
              <w:jc w:val="center"/>
              <w:rPr>
                <w:rFonts w:ascii="Arial" w:hAnsi="Arial" w:cs="Arial"/>
                <w:color w:val="000000"/>
              </w:rPr>
            </w:pPr>
          </w:p>
        </w:tc>
        <w:tc>
          <w:tcPr>
            <w:tcW w:w="1472" w:type="dxa"/>
            <w:vAlign w:val="bottom"/>
          </w:tcPr>
          <w:p w14:paraId="459E0DAD" w14:textId="77777777" w:rsidR="009C340B" w:rsidRPr="00FC3309" w:rsidRDefault="009C340B" w:rsidP="0044317F">
            <w:pPr>
              <w:jc w:val="center"/>
              <w:rPr>
                <w:rFonts w:ascii="Arial" w:hAnsi="Arial" w:cs="Arial"/>
                <w:color w:val="000000"/>
              </w:rPr>
            </w:pPr>
          </w:p>
        </w:tc>
        <w:tc>
          <w:tcPr>
            <w:tcW w:w="1472" w:type="dxa"/>
            <w:vAlign w:val="bottom"/>
          </w:tcPr>
          <w:p w14:paraId="5B7F7D4A" w14:textId="77777777" w:rsidR="009C340B" w:rsidRPr="00FC3309" w:rsidRDefault="009C340B" w:rsidP="0044317F">
            <w:pPr>
              <w:jc w:val="center"/>
              <w:rPr>
                <w:rFonts w:ascii="Arial" w:hAnsi="Arial" w:cs="Arial"/>
                <w:color w:val="000000"/>
              </w:rPr>
            </w:pPr>
          </w:p>
        </w:tc>
        <w:tc>
          <w:tcPr>
            <w:tcW w:w="1472" w:type="dxa"/>
            <w:vAlign w:val="bottom"/>
          </w:tcPr>
          <w:p w14:paraId="44F658BF" w14:textId="77777777" w:rsidR="009C340B" w:rsidRPr="00FC3309" w:rsidRDefault="009C340B" w:rsidP="0044317F">
            <w:pPr>
              <w:jc w:val="center"/>
              <w:rPr>
                <w:rFonts w:ascii="Arial" w:hAnsi="Arial" w:cs="Arial"/>
                <w:color w:val="000000"/>
              </w:rPr>
            </w:pPr>
          </w:p>
        </w:tc>
        <w:tc>
          <w:tcPr>
            <w:tcW w:w="1473" w:type="dxa"/>
            <w:vAlign w:val="bottom"/>
          </w:tcPr>
          <w:p w14:paraId="39B78190" w14:textId="77777777" w:rsidR="009C340B" w:rsidRPr="00FC3309" w:rsidRDefault="009C340B" w:rsidP="0044317F">
            <w:pPr>
              <w:jc w:val="center"/>
              <w:rPr>
                <w:rFonts w:ascii="Arial" w:hAnsi="Arial" w:cs="Arial"/>
                <w:color w:val="000000"/>
              </w:rPr>
            </w:pPr>
          </w:p>
        </w:tc>
      </w:tr>
      <w:tr w:rsidR="009C340B" w:rsidRPr="00FC3309" w14:paraId="3B8494F7"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B07195" w14:textId="77777777" w:rsidR="009C340B" w:rsidRPr="00C31BCC" w:rsidRDefault="009C340B" w:rsidP="0044317F">
            <w:pPr>
              <w:jc w:val="center"/>
              <w:rPr>
                <w:rFonts w:ascii="Arial" w:hAnsi="Arial" w:cs="Arial"/>
                <w:color w:val="000000"/>
              </w:rPr>
            </w:pPr>
            <w:r w:rsidRPr="00C31BCC">
              <w:rPr>
                <w:rFonts w:ascii="Arial" w:hAnsi="Arial" w:cs="Arial"/>
                <w:color w:val="000000"/>
              </w:rPr>
              <w:t>Industrials</w:t>
            </w:r>
          </w:p>
        </w:tc>
        <w:tc>
          <w:tcPr>
            <w:tcW w:w="1472" w:type="dxa"/>
            <w:tcBorders>
              <w:left w:val="dotDash" w:sz="4" w:space="0" w:color="auto"/>
            </w:tcBorders>
            <w:shd w:val="clear" w:color="auto" w:fill="auto"/>
            <w:noWrap/>
            <w:vAlign w:val="bottom"/>
          </w:tcPr>
          <w:p w14:paraId="21020DF0"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66DD7B7D"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59D7594E" w14:textId="77777777" w:rsidR="009C340B" w:rsidRPr="00FC3309" w:rsidRDefault="009C340B" w:rsidP="0044317F">
            <w:pPr>
              <w:jc w:val="center"/>
              <w:rPr>
                <w:rFonts w:ascii="Arial" w:hAnsi="Arial" w:cs="Arial"/>
                <w:color w:val="000000"/>
              </w:rPr>
            </w:pPr>
          </w:p>
        </w:tc>
        <w:tc>
          <w:tcPr>
            <w:tcW w:w="1472" w:type="dxa"/>
            <w:vAlign w:val="bottom"/>
          </w:tcPr>
          <w:p w14:paraId="3589D895" w14:textId="77777777" w:rsidR="009C340B" w:rsidRPr="00FC3309" w:rsidRDefault="009C340B" w:rsidP="0044317F">
            <w:pPr>
              <w:jc w:val="center"/>
              <w:rPr>
                <w:rFonts w:ascii="Arial" w:hAnsi="Arial" w:cs="Arial"/>
                <w:color w:val="000000"/>
              </w:rPr>
            </w:pPr>
          </w:p>
        </w:tc>
        <w:tc>
          <w:tcPr>
            <w:tcW w:w="1472" w:type="dxa"/>
            <w:vAlign w:val="bottom"/>
          </w:tcPr>
          <w:p w14:paraId="04469E67" w14:textId="77777777" w:rsidR="009C340B" w:rsidRPr="00FC3309" w:rsidRDefault="009C340B" w:rsidP="0044317F">
            <w:pPr>
              <w:jc w:val="center"/>
              <w:rPr>
                <w:rFonts w:ascii="Arial" w:hAnsi="Arial" w:cs="Arial"/>
                <w:color w:val="000000"/>
              </w:rPr>
            </w:pPr>
          </w:p>
        </w:tc>
        <w:tc>
          <w:tcPr>
            <w:tcW w:w="1472" w:type="dxa"/>
            <w:vAlign w:val="bottom"/>
          </w:tcPr>
          <w:p w14:paraId="243799D4" w14:textId="77777777" w:rsidR="009C340B" w:rsidRPr="00FC3309" w:rsidRDefault="009C340B" w:rsidP="0044317F">
            <w:pPr>
              <w:jc w:val="center"/>
              <w:rPr>
                <w:rFonts w:ascii="Arial" w:hAnsi="Arial" w:cs="Arial"/>
                <w:color w:val="000000"/>
              </w:rPr>
            </w:pPr>
          </w:p>
        </w:tc>
        <w:tc>
          <w:tcPr>
            <w:tcW w:w="1473" w:type="dxa"/>
            <w:vAlign w:val="bottom"/>
          </w:tcPr>
          <w:p w14:paraId="04152DA4" w14:textId="77777777" w:rsidR="009C340B" w:rsidRPr="00FC3309" w:rsidRDefault="009C340B" w:rsidP="0044317F">
            <w:pPr>
              <w:jc w:val="center"/>
              <w:rPr>
                <w:rFonts w:ascii="Arial" w:hAnsi="Arial" w:cs="Arial"/>
                <w:color w:val="000000"/>
              </w:rPr>
            </w:pPr>
          </w:p>
        </w:tc>
      </w:tr>
      <w:tr w:rsidR="009C340B" w:rsidRPr="00FC3309" w14:paraId="4AF09527"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539DE5" w14:textId="77777777" w:rsidR="009C340B" w:rsidRPr="00C31BCC" w:rsidRDefault="009C340B" w:rsidP="0044317F">
            <w:pPr>
              <w:jc w:val="center"/>
              <w:rPr>
                <w:rFonts w:ascii="Arial" w:hAnsi="Arial" w:cs="Arial"/>
                <w:color w:val="000000"/>
              </w:rPr>
            </w:pPr>
            <w:r w:rsidRPr="00C31BCC">
              <w:rPr>
                <w:rFonts w:ascii="Arial" w:hAnsi="Arial" w:cs="Arial"/>
                <w:color w:val="000000"/>
              </w:rPr>
              <w:t>Consumer Discretionary</w:t>
            </w:r>
          </w:p>
        </w:tc>
        <w:tc>
          <w:tcPr>
            <w:tcW w:w="1472" w:type="dxa"/>
            <w:tcBorders>
              <w:left w:val="dotDash" w:sz="4" w:space="0" w:color="auto"/>
            </w:tcBorders>
            <w:shd w:val="clear" w:color="auto" w:fill="auto"/>
            <w:noWrap/>
            <w:vAlign w:val="bottom"/>
          </w:tcPr>
          <w:p w14:paraId="6ADD560C"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483AEDDD"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17C41985" w14:textId="77777777" w:rsidR="009C340B" w:rsidRPr="00FC3309" w:rsidRDefault="009C340B" w:rsidP="0044317F">
            <w:pPr>
              <w:jc w:val="center"/>
              <w:rPr>
                <w:rFonts w:ascii="Arial" w:hAnsi="Arial" w:cs="Arial"/>
                <w:color w:val="000000"/>
              </w:rPr>
            </w:pPr>
          </w:p>
        </w:tc>
        <w:tc>
          <w:tcPr>
            <w:tcW w:w="1472" w:type="dxa"/>
            <w:vAlign w:val="bottom"/>
          </w:tcPr>
          <w:p w14:paraId="5913BBD0" w14:textId="77777777" w:rsidR="009C340B" w:rsidRPr="00FC3309" w:rsidRDefault="009C340B" w:rsidP="0044317F">
            <w:pPr>
              <w:jc w:val="center"/>
              <w:rPr>
                <w:rFonts w:ascii="Arial" w:hAnsi="Arial" w:cs="Arial"/>
                <w:color w:val="000000"/>
              </w:rPr>
            </w:pPr>
          </w:p>
        </w:tc>
        <w:tc>
          <w:tcPr>
            <w:tcW w:w="1472" w:type="dxa"/>
            <w:vAlign w:val="bottom"/>
          </w:tcPr>
          <w:p w14:paraId="6518F2C0" w14:textId="77777777" w:rsidR="009C340B" w:rsidRPr="00FC3309" w:rsidRDefault="009C340B" w:rsidP="0044317F">
            <w:pPr>
              <w:jc w:val="center"/>
              <w:rPr>
                <w:rFonts w:ascii="Arial" w:hAnsi="Arial" w:cs="Arial"/>
                <w:color w:val="000000"/>
              </w:rPr>
            </w:pPr>
          </w:p>
        </w:tc>
        <w:tc>
          <w:tcPr>
            <w:tcW w:w="1472" w:type="dxa"/>
            <w:vAlign w:val="bottom"/>
          </w:tcPr>
          <w:p w14:paraId="0925A7F0" w14:textId="77777777" w:rsidR="009C340B" w:rsidRPr="00FC3309" w:rsidRDefault="009C340B" w:rsidP="0044317F">
            <w:pPr>
              <w:jc w:val="center"/>
              <w:rPr>
                <w:rFonts w:ascii="Arial" w:hAnsi="Arial" w:cs="Arial"/>
                <w:color w:val="000000"/>
              </w:rPr>
            </w:pPr>
          </w:p>
        </w:tc>
        <w:tc>
          <w:tcPr>
            <w:tcW w:w="1473" w:type="dxa"/>
            <w:vAlign w:val="bottom"/>
          </w:tcPr>
          <w:p w14:paraId="04A86327" w14:textId="77777777" w:rsidR="009C340B" w:rsidRPr="00FC3309" w:rsidRDefault="009C340B" w:rsidP="0044317F">
            <w:pPr>
              <w:jc w:val="center"/>
              <w:rPr>
                <w:rFonts w:ascii="Arial" w:hAnsi="Arial" w:cs="Arial"/>
                <w:color w:val="000000"/>
              </w:rPr>
            </w:pPr>
          </w:p>
        </w:tc>
      </w:tr>
      <w:tr w:rsidR="009C340B" w:rsidRPr="00FC3309" w14:paraId="020960AC"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A96C5AC" w14:textId="77777777" w:rsidR="009C340B" w:rsidRPr="00C31BCC" w:rsidRDefault="009C340B" w:rsidP="0044317F">
            <w:pPr>
              <w:jc w:val="center"/>
              <w:rPr>
                <w:rFonts w:ascii="Arial" w:hAnsi="Arial" w:cs="Arial"/>
                <w:color w:val="000000"/>
              </w:rPr>
            </w:pPr>
            <w:r w:rsidRPr="00C31BCC">
              <w:rPr>
                <w:rFonts w:ascii="Arial" w:hAnsi="Arial" w:cs="Arial"/>
                <w:color w:val="000000"/>
              </w:rPr>
              <w:t>Consumer Staples</w:t>
            </w:r>
          </w:p>
        </w:tc>
        <w:tc>
          <w:tcPr>
            <w:tcW w:w="1472" w:type="dxa"/>
            <w:tcBorders>
              <w:left w:val="dotDash" w:sz="4" w:space="0" w:color="auto"/>
            </w:tcBorders>
            <w:shd w:val="clear" w:color="auto" w:fill="auto"/>
            <w:noWrap/>
            <w:vAlign w:val="bottom"/>
          </w:tcPr>
          <w:p w14:paraId="552A1C6B"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4B9112E8"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178F268D" w14:textId="77777777" w:rsidR="009C340B" w:rsidRPr="00FC3309" w:rsidRDefault="009C340B" w:rsidP="0044317F">
            <w:pPr>
              <w:jc w:val="center"/>
              <w:rPr>
                <w:rFonts w:ascii="Arial" w:hAnsi="Arial" w:cs="Arial"/>
                <w:color w:val="000000"/>
              </w:rPr>
            </w:pPr>
          </w:p>
        </w:tc>
        <w:tc>
          <w:tcPr>
            <w:tcW w:w="1472" w:type="dxa"/>
            <w:vAlign w:val="bottom"/>
          </w:tcPr>
          <w:p w14:paraId="69C6A1A6" w14:textId="77777777" w:rsidR="009C340B" w:rsidRPr="00FC3309" w:rsidRDefault="009C340B" w:rsidP="0044317F">
            <w:pPr>
              <w:jc w:val="center"/>
              <w:rPr>
                <w:rFonts w:ascii="Arial" w:hAnsi="Arial" w:cs="Arial"/>
                <w:color w:val="000000"/>
              </w:rPr>
            </w:pPr>
          </w:p>
        </w:tc>
        <w:tc>
          <w:tcPr>
            <w:tcW w:w="1472" w:type="dxa"/>
            <w:vAlign w:val="bottom"/>
          </w:tcPr>
          <w:p w14:paraId="04344084" w14:textId="77777777" w:rsidR="009C340B" w:rsidRPr="00FC3309" w:rsidRDefault="009C340B" w:rsidP="0044317F">
            <w:pPr>
              <w:jc w:val="center"/>
              <w:rPr>
                <w:rFonts w:ascii="Arial" w:hAnsi="Arial" w:cs="Arial"/>
                <w:color w:val="000000"/>
              </w:rPr>
            </w:pPr>
          </w:p>
        </w:tc>
        <w:tc>
          <w:tcPr>
            <w:tcW w:w="1472" w:type="dxa"/>
            <w:vAlign w:val="bottom"/>
          </w:tcPr>
          <w:p w14:paraId="639BA7F2" w14:textId="77777777" w:rsidR="009C340B" w:rsidRPr="00FC3309" w:rsidRDefault="009C340B" w:rsidP="0044317F">
            <w:pPr>
              <w:jc w:val="center"/>
              <w:rPr>
                <w:rFonts w:ascii="Arial" w:hAnsi="Arial" w:cs="Arial"/>
                <w:color w:val="000000"/>
              </w:rPr>
            </w:pPr>
          </w:p>
        </w:tc>
        <w:tc>
          <w:tcPr>
            <w:tcW w:w="1473" w:type="dxa"/>
            <w:vAlign w:val="bottom"/>
          </w:tcPr>
          <w:p w14:paraId="6586DE41" w14:textId="77777777" w:rsidR="009C340B" w:rsidRPr="00FC3309" w:rsidRDefault="009C340B" w:rsidP="0044317F">
            <w:pPr>
              <w:jc w:val="center"/>
              <w:rPr>
                <w:rFonts w:ascii="Arial" w:hAnsi="Arial" w:cs="Arial"/>
                <w:color w:val="000000"/>
              </w:rPr>
            </w:pPr>
          </w:p>
        </w:tc>
      </w:tr>
      <w:tr w:rsidR="009C340B" w:rsidRPr="00FC3309" w14:paraId="1918C76C"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CCE6008" w14:textId="77777777" w:rsidR="009C340B" w:rsidRPr="00C31BCC" w:rsidRDefault="009C340B" w:rsidP="0044317F">
            <w:pPr>
              <w:jc w:val="center"/>
              <w:rPr>
                <w:rFonts w:ascii="Arial" w:hAnsi="Arial" w:cs="Arial"/>
                <w:color w:val="000000"/>
              </w:rPr>
            </w:pPr>
            <w:r w:rsidRPr="00C31BCC">
              <w:rPr>
                <w:rFonts w:ascii="Arial" w:hAnsi="Arial" w:cs="Arial"/>
                <w:color w:val="000000"/>
              </w:rPr>
              <w:t>Health Care</w:t>
            </w:r>
          </w:p>
        </w:tc>
        <w:tc>
          <w:tcPr>
            <w:tcW w:w="1472" w:type="dxa"/>
            <w:tcBorders>
              <w:left w:val="dotDash" w:sz="4" w:space="0" w:color="auto"/>
            </w:tcBorders>
            <w:shd w:val="clear" w:color="auto" w:fill="auto"/>
            <w:noWrap/>
            <w:vAlign w:val="bottom"/>
          </w:tcPr>
          <w:p w14:paraId="5446D991"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3D15652B"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78D7061F" w14:textId="77777777" w:rsidR="009C340B" w:rsidRPr="00FC3309" w:rsidRDefault="009C340B" w:rsidP="0044317F">
            <w:pPr>
              <w:jc w:val="center"/>
              <w:rPr>
                <w:rFonts w:ascii="Arial" w:hAnsi="Arial" w:cs="Arial"/>
                <w:color w:val="000000"/>
              </w:rPr>
            </w:pPr>
          </w:p>
        </w:tc>
        <w:tc>
          <w:tcPr>
            <w:tcW w:w="1472" w:type="dxa"/>
            <w:vAlign w:val="bottom"/>
          </w:tcPr>
          <w:p w14:paraId="6C12DBDB" w14:textId="77777777" w:rsidR="009C340B" w:rsidRPr="00FC3309" w:rsidRDefault="009C340B" w:rsidP="0044317F">
            <w:pPr>
              <w:jc w:val="center"/>
              <w:rPr>
                <w:rFonts w:ascii="Arial" w:hAnsi="Arial" w:cs="Arial"/>
                <w:color w:val="000000"/>
              </w:rPr>
            </w:pPr>
          </w:p>
        </w:tc>
        <w:tc>
          <w:tcPr>
            <w:tcW w:w="1472" w:type="dxa"/>
            <w:vAlign w:val="bottom"/>
          </w:tcPr>
          <w:p w14:paraId="2A893F7F" w14:textId="77777777" w:rsidR="009C340B" w:rsidRPr="00FC3309" w:rsidRDefault="009C340B" w:rsidP="0044317F">
            <w:pPr>
              <w:jc w:val="center"/>
              <w:rPr>
                <w:rFonts w:ascii="Arial" w:hAnsi="Arial" w:cs="Arial"/>
                <w:color w:val="000000"/>
              </w:rPr>
            </w:pPr>
          </w:p>
        </w:tc>
        <w:tc>
          <w:tcPr>
            <w:tcW w:w="1472" w:type="dxa"/>
            <w:vAlign w:val="bottom"/>
          </w:tcPr>
          <w:p w14:paraId="6E55A401" w14:textId="77777777" w:rsidR="009C340B" w:rsidRPr="00FC3309" w:rsidRDefault="009C340B" w:rsidP="0044317F">
            <w:pPr>
              <w:jc w:val="center"/>
              <w:rPr>
                <w:rFonts w:ascii="Arial" w:hAnsi="Arial" w:cs="Arial"/>
                <w:color w:val="000000"/>
              </w:rPr>
            </w:pPr>
          </w:p>
        </w:tc>
        <w:tc>
          <w:tcPr>
            <w:tcW w:w="1473" w:type="dxa"/>
            <w:vAlign w:val="bottom"/>
          </w:tcPr>
          <w:p w14:paraId="6681B565" w14:textId="77777777" w:rsidR="009C340B" w:rsidRPr="00FC3309" w:rsidRDefault="009C340B" w:rsidP="0044317F">
            <w:pPr>
              <w:jc w:val="center"/>
              <w:rPr>
                <w:rFonts w:ascii="Arial" w:hAnsi="Arial" w:cs="Arial"/>
                <w:color w:val="000000"/>
              </w:rPr>
            </w:pPr>
          </w:p>
        </w:tc>
      </w:tr>
      <w:tr w:rsidR="009C340B" w:rsidRPr="00FC3309" w14:paraId="1316B9FD"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6A74B01" w14:textId="77777777" w:rsidR="009C340B" w:rsidRPr="00C31BCC" w:rsidRDefault="009C340B" w:rsidP="0044317F">
            <w:pPr>
              <w:jc w:val="center"/>
              <w:rPr>
                <w:rFonts w:ascii="Arial" w:hAnsi="Arial" w:cs="Arial"/>
                <w:color w:val="000000"/>
              </w:rPr>
            </w:pPr>
            <w:r w:rsidRPr="00C31BCC">
              <w:rPr>
                <w:rFonts w:ascii="Arial" w:hAnsi="Arial" w:cs="Arial"/>
                <w:color w:val="000000"/>
              </w:rPr>
              <w:t>Financials Excluding Property Trusts</w:t>
            </w:r>
          </w:p>
        </w:tc>
        <w:tc>
          <w:tcPr>
            <w:tcW w:w="1472" w:type="dxa"/>
            <w:tcBorders>
              <w:left w:val="dotDash" w:sz="4" w:space="0" w:color="auto"/>
            </w:tcBorders>
            <w:shd w:val="clear" w:color="auto" w:fill="auto"/>
            <w:noWrap/>
            <w:vAlign w:val="bottom"/>
          </w:tcPr>
          <w:p w14:paraId="3AF55E39"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722C8A05"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31B7CF70" w14:textId="77777777" w:rsidR="009C340B" w:rsidRPr="00FC3309" w:rsidRDefault="009C340B" w:rsidP="0044317F">
            <w:pPr>
              <w:jc w:val="center"/>
              <w:rPr>
                <w:rFonts w:ascii="Arial" w:hAnsi="Arial" w:cs="Arial"/>
                <w:color w:val="000000"/>
              </w:rPr>
            </w:pPr>
          </w:p>
        </w:tc>
        <w:tc>
          <w:tcPr>
            <w:tcW w:w="1472" w:type="dxa"/>
            <w:vAlign w:val="bottom"/>
          </w:tcPr>
          <w:p w14:paraId="739DCBA2" w14:textId="77777777" w:rsidR="009C340B" w:rsidRPr="00FC3309" w:rsidRDefault="009C340B" w:rsidP="0044317F">
            <w:pPr>
              <w:jc w:val="center"/>
              <w:rPr>
                <w:rFonts w:ascii="Arial" w:hAnsi="Arial" w:cs="Arial"/>
                <w:color w:val="000000"/>
              </w:rPr>
            </w:pPr>
          </w:p>
        </w:tc>
        <w:tc>
          <w:tcPr>
            <w:tcW w:w="1472" w:type="dxa"/>
            <w:vAlign w:val="bottom"/>
          </w:tcPr>
          <w:p w14:paraId="0799FECA" w14:textId="77777777" w:rsidR="009C340B" w:rsidRPr="00FC3309" w:rsidRDefault="009C340B" w:rsidP="0044317F">
            <w:pPr>
              <w:jc w:val="center"/>
              <w:rPr>
                <w:rFonts w:ascii="Arial" w:hAnsi="Arial" w:cs="Arial"/>
                <w:color w:val="000000"/>
              </w:rPr>
            </w:pPr>
          </w:p>
        </w:tc>
        <w:tc>
          <w:tcPr>
            <w:tcW w:w="1472" w:type="dxa"/>
            <w:vAlign w:val="bottom"/>
          </w:tcPr>
          <w:p w14:paraId="39D04574" w14:textId="77777777" w:rsidR="009C340B" w:rsidRPr="00FC3309" w:rsidRDefault="009C340B" w:rsidP="0044317F">
            <w:pPr>
              <w:jc w:val="center"/>
              <w:rPr>
                <w:rFonts w:ascii="Arial" w:hAnsi="Arial" w:cs="Arial"/>
                <w:color w:val="000000"/>
              </w:rPr>
            </w:pPr>
          </w:p>
        </w:tc>
        <w:tc>
          <w:tcPr>
            <w:tcW w:w="1473" w:type="dxa"/>
            <w:vAlign w:val="bottom"/>
          </w:tcPr>
          <w:p w14:paraId="06054438" w14:textId="77777777" w:rsidR="009C340B" w:rsidRPr="00FC3309" w:rsidRDefault="009C340B" w:rsidP="0044317F">
            <w:pPr>
              <w:jc w:val="center"/>
              <w:rPr>
                <w:rFonts w:ascii="Arial" w:hAnsi="Arial" w:cs="Arial"/>
                <w:color w:val="000000"/>
              </w:rPr>
            </w:pPr>
          </w:p>
        </w:tc>
      </w:tr>
      <w:tr w:rsidR="009C340B" w:rsidRPr="00FC3309" w14:paraId="14727112"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9E9E7BD" w14:textId="77777777" w:rsidR="009C340B" w:rsidRPr="00C31BCC" w:rsidRDefault="009C340B" w:rsidP="0044317F">
            <w:pPr>
              <w:jc w:val="center"/>
              <w:rPr>
                <w:rFonts w:ascii="Arial" w:hAnsi="Arial" w:cs="Arial"/>
                <w:color w:val="000000"/>
              </w:rPr>
            </w:pPr>
            <w:r w:rsidRPr="00C31BCC">
              <w:rPr>
                <w:rFonts w:ascii="Arial" w:hAnsi="Arial" w:cs="Arial"/>
                <w:color w:val="000000"/>
              </w:rPr>
              <w:t>Information Technology</w:t>
            </w:r>
          </w:p>
        </w:tc>
        <w:tc>
          <w:tcPr>
            <w:tcW w:w="1472" w:type="dxa"/>
            <w:tcBorders>
              <w:left w:val="dotDash" w:sz="4" w:space="0" w:color="auto"/>
            </w:tcBorders>
            <w:shd w:val="clear" w:color="auto" w:fill="auto"/>
            <w:noWrap/>
            <w:vAlign w:val="bottom"/>
          </w:tcPr>
          <w:p w14:paraId="4D6C2CC7"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49FEB671"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4BA9F952" w14:textId="77777777" w:rsidR="009C340B" w:rsidRPr="00FC3309" w:rsidRDefault="009C340B" w:rsidP="0044317F">
            <w:pPr>
              <w:jc w:val="center"/>
              <w:rPr>
                <w:rFonts w:ascii="Arial" w:hAnsi="Arial" w:cs="Arial"/>
                <w:color w:val="000000"/>
              </w:rPr>
            </w:pPr>
          </w:p>
        </w:tc>
        <w:tc>
          <w:tcPr>
            <w:tcW w:w="1472" w:type="dxa"/>
            <w:vAlign w:val="bottom"/>
          </w:tcPr>
          <w:p w14:paraId="52CEAAAF" w14:textId="77777777" w:rsidR="009C340B" w:rsidRPr="00FC3309" w:rsidRDefault="009C340B" w:rsidP="0044317F">
            <w:pPr>
              <w:jc w:val="center"/>
              <w:rPr>
                <w:rFonts w:ascii="Arial" w:hAnsi="Arial" w:cs="Arial"/>
                <w:color w:val="000000"/>
              </w:rPr>
            </w:pPr>
          </w:p>
        </w:tc>
        <w:tc>
          <w:tcPr>
            <w:tcW w:w="1472" w:type="dxa"/>
            <w:vAlign w:val="bottom"/>
          </w:tcPr>
          <w:p w14:paraId="5D76EAFE" w14:textId="77777777" w:rsidR="009C340B" w:rsidRPr="00FC3309" w:rsidRDefault="009C340B" w:rsidP="0044317F">
            <w:pPr>
              <w:jc w:val="center"/>
              <w:rPr>
                <w:rFonts w:ascii="Arial" w:hAnsi="Arial" w:cs="Arial"/>
                <w:color w:val="000000"/>
              </w:rPr>
            </w:pPr>
          </w:p>
        </w:tc>
        <w:tc>
          <w:tcPr>
            <w:tcW w:w="1472" w:type="dxa"/>
            <w:vAlign w:val="bottom"/>
          </w:tcPr>
          <w:p w14:paraId="3621EFEF" w14:textId="77777777" w:rsidR="009C340B" w:rsidRPr="00FC3309" w:rsidRDefault="009C340B" w:rsidP="0044317F">
            <w:pPr>
              <w:jc w:val="center"/>
              <w:rPr>
                <w:rFonts w:ascii="Arial" w:hAnsi="Arial" w:cs="Arial"/>
                <w:color w:val="000000"/>
              </w:rPr>
            </w:pPr>
          </w:p>
        </w:tc>
        <w:tc>
          <w:tcPr>
            <w:tcW w:w="1473" w:type="dxa"/>
            <w:vAlign w:val="bottom"/>
          </w:tcPr>
          <w:p w14:paraId="4EFE7F9C" w14:textId="77777777" w:rsidR="009C340B" w:rsidRPr="00FC3309" w:rsidRDefault="009C340B" w:rsidP="0044317F">
            <w:pPr>
              <w:jc w:val="center"/>
              <w:rPr>
                <w:rFonts w:ascii="Arial" w:hAnsi="Arial" w:cs="Arial"/>
                <w:color w:val="000000"/>
              </w:rPr>
            </w:pPr>
          </w:p>
        </w:tc>
      </w:tr>
      <w:tr w:rsidR="009C340B" w:rsidRPr="00FC3309" w14:paraId="72743DB8"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5687A83" w14:textId="77777777" w:rsidR="009C340B" w:rsidRPr="00C31BCC" w:rsidRDefault="009C340B" w:rsidP="0044317F">
            <w:pPr>
              <w:jc w:val="center"/>
              <w:rPr>
                <w:rFonts w:ascii="Arial" w:hAnsi="Arial" w:cs="Arial"/>
                <w:color w:val="000000"/>
              </w:rPr>
            </w:pPr>
            <w:r w:rsidRPr="00C31BCC">
              <w:rPr>
                <w:rFonts w:ascii="Arial" w:hAnsi="Arial" w:cs="Arial"/>
                <w:color w:val="000000"/>
              </w:rPr>
              <w:t>Telecommunication Services</w:t>
            </w:r>
          </w:p>
        </w:tc>
        <w:tc>
          <w:tcPr>
            <w:tcW w:w="1472" w:type="dxa"/>
            <w:tcBorders>
              <w:left w:val="dotDash" w:sz="4" w:space="0" w:color="auto"/>
            </w:tcBorders>
            <w:shd w:val="clear" w:color="auto" w:fill="auto"/>
            <w:noWrap/>
            <w:vAlign w:val="bottom"/>
          </w:tcPr>
          <w:p w14:paraId="1430A532"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293E2C15"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512DEEF4" w14:textId="77777777" w:rsidR="009C340B" w:rsidRPr="00FC3309" w:rsidRDefault="009C340B" w:rsidP="0044317F">
            <w:pPr>
              <w:jc w:val="center"/>
              <w:rPr>
                <w:rFonts w:ascii="Arial" w:hAnsi="Arial" w:cs="Arial"/>
                <w:color w:val="000000"/>
              </w:rPr>
            </w:pPr>
          </w:p>
        </w:tc>
        <w:tc>
          <w:tcPr>
            <w:tcW w:w="1472" w:type="dxa"/>
            <w:vAlign w:val="bottom"/>
          </w:tcPr>
          <w:p w14:paraId="6A34F1DC" w14:textId="77777777" w:rsidR="009C340B" w:rsidRPr="00FC3309" w:rsidRDefault="009C340B" w:rsidP="0044317F">
            <w:pPr>
              <w:jc w:val="center"/>
              <w:rPr>
                <w:rFonts w:ascii="Arial" w:hAnsi="Arial" w:cs="Arial"/>
                <w:color w:val="000000"/>
              </w:rPr>
            </w:pPr>
          </w:p>
        </w:tc>
        <w:tc>
          <w:tcPr>
            <w:tcW w:w="1472" w:type="dxa"/>
            <w:vAlign w:val="bottom"/>
          </w:tcPr>
          <w:p w14:paraId="0C2F825B" w14:textId="77777777" w:rsidR="009C340B" w:rsidRPr="00FC3309" w:rsidRDefault="009C340B" w:rsidP="0044317F">
            <w:pPr>
              <w:jc w:val="center"/>
              <w:rPr>
                <w:rFonts w:ascii="Arial" w:hAnsi="Arial" w:cs="Arial"/>
                <w:color w:val="000000"/>
              </w:rPr>
            </w:pPr>
          </w:p>
        </w:tc>
        <w:tc>
          <w:tcPr>
            <w:tcW w:w="1472" w:type="dxa"/>
            <w:vAlign w:val="bottom"/>
          </w:tcPr>
          <w:p w14:paraId="15A89316" w14:textId="77777777" w:rsidR="009C340B" w:rsidRPr="00FC3309" w:rsidRDefault="009C340B" w:rsidP="0044317F">
            <w:pPr>
              <w:jc w:val="center"/>
              <w:rPr>
                <w:rFonts w:ascii="Arial" w:hAnsi="Arial" w:cs="Arial"/>
                <w:color w:val="000000"/>
              </w:rPr>
            </w:pPr>
          </w:p>
        </w:tc>
        <w:tc>
          <w:tcPr>
            <w:tcW w:w="1473" w:type="dxa"/>
            <w:vAlign w:val="bottom"/>
          </w:tcPr>
          <w:p w14:paraId="7F1F650A" w14:textId="77777777" w:rsidR="009C340B" w:rsidRPr="00FC3309" w:rsidRDefault="009C340B" w:rsidP="0044317F">
            <w:pPr>
              <w:jc w:val="center"/>
              <w:rPr>
                <w:rFonts w:ascii="Arial" w:hAnsi="Arial" w:cs="Arial"/>
                <w:color w:val="000000"/>
              </w:rPr>
            </w:pPr>
          </w:p>
        </w:tc>
      </w:tr>
      <w:tr w:rsidR="009C340B" w:rsidRPr="00FC3309" w14:paraId="63B9F1D1" w14:textId="77777777" w:rsidTr="0044317F">
        <w:trPr>
          <w:trHeight w:val="317"/>
        </w:trPr>
        <w:tc>
          <w:tcPr>
            <w:tcW w:w="3559"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070BD3E" w14:textId="77777777" w:rsidR="009C340B" w:rsidRPr="00C31BCC" w:rsidRDefault="009C340B" w:rsidP="0044317F">
            <w:pPr>
              <w:jc w:val="center"/>
              <w:rPr>
                <w:rFonts w:ascii="Arial" w:hAnsi="Arial" w:cs="Arial"/>
                <w:color w:val="000000"/>
              </w:rPr>
            </w:pPr>
            <w:r w:rsidRPr="00C31BCC">
              <w:rPr>
                <w:rFonts w:ascii="Arial" w:hAnsi="Arial" w:cs="Arial"/>
                <w:color w:val="000000"/>
              </w:rPr>
              <w:t>Utilities</w:t>
            </w:r>
          </w:p>
        </w:tc>
        <w:tc>
          <w:tcPr>
            <w:tcW w:w="1472" w:type="dxa"/>
            <w:tcBorders>
              <w:left w:val="dotDash" w:sz="4" w:space="0" w:color="auto"/>
            </w:tcBorders>
            <w:shd w:val="clear" w:color="auto" w:fill="auto"/>
            <w:noWrap/>
            <w:vAlign w:val="bottom"/>
          </w:tcPr>
          <w:p w14:paraId="3018E80A" w14:textId="77777777" w:rsidR="009C340B" w:rsidRPr="00FC3309" w:rsidRDefault="009C340B" w:rsidP="0044317F">
            <w:pPr>
              <w:jc w:val="center"/>
              <w:rPr>
                <w:rFonts w:ascii="Arial" w:hAnsi="Arial" w:cs="Arial"/>
                <w:color w:val="000000"/>
              </w:rPr>
            </w:pPr>
          </w:p>
        </w:tc>
        <w:tc>
          <w:tcPr>
            <w:tcW w:w="1472" w:type="dxa"/>
            <w:shd w:val="clear" w:color="auto" w:fill="auto"/>
            <w:noWrap/>
            <w:vAlign w:val="bottom"/>
          </w:tcPr>
          <w:p w14:paraId="468A8C7E" w14:textId="77777777" w:rsidR="009C340B" w:rsidRPr="00FC3309" w:rsidRDefault="009C340B" w:rsidP="0044317F">
            <w:pPr>
              <w:jc w:val="center"/>
              <w:rPr>
                <w:rFonts w:ascii="Arial" w:hAnsi="Arial" w:cs="Arial"/>
                <w:color w:val="000000"/>
              </w:rPr>
            </w:pPr>
          </w:p>
        </w:tc>
        <w:tc>
          <w:tcPr>
            <w:tcW w:w="1472" w:type="dxa"/>
            <w:shd w:val="clear" w:color="auto" w:fill="auto"/>
            <w:vAlign w:val="bottom"/>
          </w:tcPr>
          <w:p w14:paraId="4C3C94D7" w14:textId="77777777" w:rsidR="009C340B" w:rsidRPr="00FC3309" w:rsidRDefault="009C340B" w:rsidP="0044317F">
            <w:pPr>
              <w:jc w:val="center"/>
              <w:rPr>
                <w:rFonts w:ascii="Arial" w:hAnsi="Arial" w:cs="Arial"/>
                <w:color w:val="000000"/>
              </w:rPr>
            </w:pPr>
          </w:p>
        </w:tc>
        <w:tc>
          <w:tcPr>
            <w:tcW w:w="1472" w:type="dxa"/>
            <w:vAlign w:val="bottom"/>
          </w:tcPr>
          <w:p w14:paraId="4B26D87E" w14:textId="77777777" w:rsidR="009C340B" w:rsidRPr="00FC3309" w:rsidRDefault="009C340B" w:rsidP="0044317F">
            <w:pPr>
              <w:jc w:val="center"/>
              <w:rPr>
                <w:rFonts w:ascii="Arial" w:hAnsi="Arial" w:cs="Arial"/>
                <w:color w:val="000000"/>
              </w:rPr>
            </w:pPr>
          </w:p>
        </w:tc>
        <w:tc>
          <w:tcPr>
            <w:tcW w:w="1472" w:type="dxa"/>
            <w:vAlign w:val="bottom"/>
          </w:tcPr>
          <w:p w14:paraId="2C4C3231" w14:textId="77777777" w:rsidR="009C340B" w:rsidRPr="00FC3309" w:rsidRDefault="009C340B" w:rsidP="0044317F">
            <w:pPr>
              <w:jc w:val="center"/>
              <w:rPr>
                <w:rFonts w:ascii="Arial" w:hAnsi="Arial" w:cs="Arial"/>
                <w:color w:val="000000"/>
              </w:rPr>
            </w:pPr>
          </w:p>
        </w:tc>
        <w:tc>
          <w:tcPr>
            <w:tcW w:w="1472" w:type="dxa"/>
            <w:vAlign w:val="bottom"/>
          </w:tcPr>
          <w:p w14:paraId="022E422B" w14:textId="77777777" w:rsidR="009C340B" w:rsidRPr="00FC3309" w:rsidRDefault="009C340B" w:rsidP="0044317F">
            <w:pPr>
              <w:jc w:val="center"/>
              <w:rPr>
                <w:rFonts w:ascii="Arial" w:hAnsi="Arial" w:cs="Arial"/>
                <w:color w:val="000000"/>
              </w:rPr>
            </w:pPr>
          </w:p>
        </w:tc>
        <w:tc>
          <w:tcPr>
            <w:tcW w:w="1473" w:type="dxa"/>
            <w:vAlign w:val="bottom"/>
          </w:tcPr>
          <w:p w14:paraId="43AD2039" w14:textId="77777777" w:rsidR="009C340B" w:rsidRPr="00FC3309" w:rsidRDefault="009C340B" w:rsidP="0044317F">
            <w:pPr>
              <w:jc w:val="center"/>
              <w:rPr>
                <w:rFonts w:ascii="Arial" w:hAnsi="Arial" w:cs="Arial"/>
                <w:color w:val="000000"/>
              </w:rPr>
            </w:pPr>
          </w:p>
        </w:tc>
      </w:tr>
    </w:tbl>
    <w:p w14:paraId="6F7EB7DD" w14:textId="77777777" w:rsidR="009C340B" w:rsidRDefault="009C340B" w:rsidP="009C340B">
      <w:pPr>
        <w:rPr>
          <w:rFonts w:ascii="Arial" w:hAnsi="Arial" w:cs="Arial"/>
        </w:rPr>
      </w:pPr>
    </w:p>
    <w:tbl>
      <w:tblPr>
        <w:tblW w:w="13907" w:type="dxa"/>
        <w:tblInd w:w="93" w:type="dxa"/>
        <w:tblLayout w:type="fixed"/>
        <w:tblLook w:val="04A0" w:firstRow="1" w:lastRow="0" w:firstColumn="1" w:lastColumn="0" w:noHBand="0" w:noVBand="1"/>
      </w:tblPr>
      <w:tblGrid>
        <w:gridCol w:w="3559"/>
        <w:gridCol w:w="1478"/>
        <w:gridCol w:w="1478"/>
        <w:gridCol w:w="1478"/>
        <w:gridCol w:w="1479"/>
        <w:gridCol w:w="1478"/>
        <w:gridCol w:w="1478"/>
        <w:gridCol w:w="1479"/>
      </w:tblGrid>
      <w:tr w:rsidR="009C340B" w:rsidRPr="00231CAF" w14:paraId="2F6BB3A8" w14:textId="77777777" w:rsidTr="0044317F">
        <w:trPr>
          <w:trHeight w:val="317"/>
        </w:trPr>
        <w:tc>
          <w:tcPr>
            <w:tcW w:w="3559" w:type="dxa"/>
            <w:tcBorders>
              <w:top w:val="single" w:sz="4" w:space="0" w:color="auto"/>
              <w:left w:val="single" w:sz="4" w:space="0" w:color="auto"/>
              <w:bottom w:val="nil"/>
              <w:right w:val="single" w:sz="4" w:space="0" w:color="auto"/>
            </w:tcBorders>
            <w:shd w:val="clear" w:color="auto" w:fill="auto"/>
            <w:vAlign w:val="bottom"/>
            <w:hideMark/>
          </w:tcPr>
          <w:p w14:paraId="6B608A6D" w14:textId="77777777" w:rsidR="009C340B" w:rsidRPr="00231CAF" w:rsidRDefault="009C340B" w:rsidP="0044317F">
            <w:pPr>
              <w:jc w:val="center"/>
              <w:rPr>
                <w:rFonts w:ascii="Arial" w:hAnsi="Arial" w:cs="Arial"/>
                <w:b/>
                <w:bCs/>
              </w:rPr>
            </w:pPr>
            <w:r w:rsidRPr="00231CAF">
              <w:rPr>
                <w:rFonts w:ascii="Arial" w:hAnsi="Arial" w:cs="Arial"/>
                <w:b/>
                <w:bCs/>
              </w:rPr>
              <w:t>Sector</w:t>
            </w:r>
          </w:p>
        </w:tc>
        <w:tc>
          <w:tcPr>
            <w:tcW w:w="1478" w:type="dxa"/>
            <w:tcBorders>
              <w:top w:val="single" w:sz="4" w:space="0" w:color="auto"/>
              <w:left w:val="nil"/>
              <w:bottom w:val="nil"/>
              <w:right w:val="single" w:sz="4" w:space="0" w:color="auto"/>
            </w:tcBorders>
            <w:shd w:val="clear" w:color="auto" w:fill="auto"/>
            <w:vAlign w:val="bottom"/>
            <w:hideMark/>
          </w:tcPr>
          <w:p w14:paraId="71AB5C39" w14:textId="77777777" w:rsidR="009C340B" w:rsidRPr="00231CAF" w:rsidRDefault="009C340B" w:rsidP="0044317F">
            <w:pPr>
              <w:jc w:val="center"/>
              <w:rPr>
                <w:rFonts w:ascii="Arial" w:hAnsi="Arial" w:cs="Arial"/>
                <w:b/>
                <w:bCs/>
              </w:rPr>
            </w:pPr>
            <w:r w:rsidRPr="00231CAF">
              <w:rPr>
                <w:rFonts w:ascii="Arial" w:hAnsi="Arial" w:cs="Arial"/>
                <w:b/>
                <w:bCs/>
              </w:rPr>
              <w:t xml:space="preserve">AUD </w:t>
            </w:r>
          </w:p>
        </w:tc>
        <w:tc>
          <w:tcPr>
            <w:tcW w:w="1478" w:type="dxa"/>
            <w:tcBorders>
              <w:top w:val="single" w:sz="4" w:space="0" w:color="auto"/>
              <w:left w:val="nil"/>
              <w:bottom w:val="nil"/>
              <w:right w:val="single" w:sz="4" w:space="0" w:color="auto"/>
            </w:tcBorders>
            <w:shd w:val="clear" w:color="auto" w:fill="auto"/>
            <w:vAlign w:val="bottom"/>
            <w:hideMark/>
          </w:tcPr>
          <w:p w14:paraId="55FDF4CF" w14:textId="77777777" w:rsidR="009C340B" w:rsidRPr="00231CAF" w:rsidRDefault="009C340B" w:rsidP="0044317F">
            <w:pPr>
              <w:jc w:val="center"/>
              <w:rPr>
                <w:rFonts w:ascii="Arial" w:hAnsi="Arial" w:cs="Arial"/>
                <w:b/>
                <w:bCs/>
              </w:rPr>
            </w:pPr>
            <w:r w:rsidRPr="00231CAF">
              <w:rPr>
                <w:rFonts w:ascii="Arial" w:hAnsi="Arial" w:cs="Arial"/>
                <w:b/>
                <w:bCs/>
              </w:rPr>
              <w:t>USD</w:t>
            </w:r>
          </w:p>
        </w:tc>
        <w:tc>
          <w:tcPr>
            <w:tcW w:w="1478" w:type="dxa"/>
            <w:tcBorders>
              <w:top w:val="single" w:sz="4" w:space="0" w:color="auto"/>
              <w:left w:val="nil"/>
              <w:bottom w:val="nil"/>
              <w:right w:val="single" w:sz="4" w:space="0" w:color="000000"/>
            </w:tcBorders>
            <w:shd w:val="clear" w:color="auto" w:fill="auto"/>
            <w:vAlign w:val="bottom"/>
            <w:hideMark/>
          </w:tcPr>
          <w:p w14:paraId="0AA59E04" w14:textId="77777777" w:rsidR="009C340B" w:rsidRPr="00231CAF" w:rsidRDefault="009C340B" w:rsidP="0044317F">
            <w:pPr>
              <w:jc w:val="center"/>
              <w:rPr>
                <w:rFonts w:ascii="Arial" w:hAnsi="Arial" w:cs="Arial"/>
                <w:b/>
                <w:bCs/>
              </w:rPr>
            </w:pPr>
            <w:r w:rsidRPr="00231CAF">
              <w:rPr>
                <w:rFonts w:ascii="Arial" w:hAnsi="Arial" w:cs="Arial"/>
                <w:b/>
                <w:bCs/>
              </w:rPr>
              <w:t>GBP</w:t>
            </w:r>
          </w:p>
        </w:tc>
        <w:tc>
          <w:tcPr>
            <w:tcW w:w="1479" w:type="dxa"/>
            <w:tcBorders>
              <w:top w:val="single" w:sz="4" w:space="0" w:color="auto"/>
              <w:left w:val="nil"/>
              <w:bottom w:val="nil"/>
              <w:right w:val="single" w:sz="4" w:space="0" w:color="000000"/>
            </w:tcBorders>
            <w:vAlign w:val="bottom"/>
          </w:tcPr>
          <w:p w14:paraId="0EABB9C0" w14:textId="77777777" w:rsidR="009C340B" w:rsidRPr="00231CAF" w:rsidRDefault="009C340B" w:rsidP="0044317F">
            <w:pPr>
              <w:jc w:val="center"/>
              <w:rPr>
                <w:rFonts w:ascii="Arial" w:hAnsi="Arial" w:cs="Arial"/>
                <w:b/>
                <w:bCs/>
              </w:rPr>
            </w:pPr>
            <w:r w:rsidRPr="00231CAF">
              <w:rPr>
                <w:rFonts w:ascii="Arial" w:hAnsi="Arial" w:cs="Arial"/>
                <w:b/>
                <w:bCs/>
              </w:rPr>
              <w:t xml:space="preserve">EUR </w:t>
            </w:r>
          </w:p>
        </w:tc>
        <w:tc>
          <w:tcPr>
            <w:tcW w:w="1478" w:type="dxa"/>
            <w:tcBorders>
              <w:top w:val="single" w:sz="4" w:space="0" w:color="auto"/>
              <w:left w:val="nil"/>
              <w:bottom w:val="nil"/>
              <w:right w:val="single" w:sz="4" w:space="0" w:color="000000"/>
            </w:tcBorders>
            <w:vAlign w:val="bottom"/>
          </w:tcPr>
          <w:p w14:paraId="6D01BA5D" w14:textId="77777777" w:rsidR="009C340B" w:rsidRPr="00231CAF" w:rsidRDefault="009C340B" w:rsidP="0044317F">
            <w:pPr>
              <w:jc w:val="center"/>
              <w:rPr>
                <w:rFonts w:ascii="Arial" w:hAnsi="Arial" w:cs="Arial"/>
                <w:b/>
                <w:bCs/>
              </w:rPr>
            </w:pPr>
            <w:r w:rsidRPr="00231CAF">
              <w:rPr>
                <w:rFonts w:ascii="Arial" w:hAnsi="Arial" w:cs="Arial"/>
                <w:b/>
                <w:bCs/>
              </w:rPr>
              <w:t>JPY</w:t>
            </w:r>
          </w:p>
        </w:tc>
        <w:tc>
          <w:tcPr>
            <w:tcW w:w="1478" w:type="dxa"/>
            <w:tcBorders>
              <w:top w:val="single" w:sz="4" w:space="0" w:color="auto"/>
              <w:left w:val="nil"/>
              <w:bottom w:val="nil"/>
              <w:right w:val="single" w:sz="4" w:space="0" w:color="000000"/>
            </w:tcBorders>
            <w:vAlign w:val="bottom"/>
          </w:tcPr>
          <w:p w14:paraId="765763CA" w14:textId="77777777" w:rsidR="009C340B" w:rsidRPr="00231CAF" w:rsidRDefault="009C340B" w:rsidP="0044317F">
            <w:pPr>
              <w:jc w:val="center"/>
              <w:rPr>
                <w:rFonts w:ascii="Arial" w:hAnsi="Arial" w:cs="Arial"/>
                <w:b/>
                <w:bCs/>
              </w:rPr>
            </w:pPr>
            <w:r w:rsidRPr="00231CAF">
              <w:rPr>
                <w:rFonts w:ascii="Arial" w:hAnsi="Arial" w:cs="Arial"/>
                <w:b/>
                <w:bCs/>
              </w:rPr>
              <w:t xml:space="preserve">Other Currency </w:t>
            </w:r>
          </w:p>
        </w:tc>
        <w:tc>
          <w:tcPr>
            <w:tcW w:w="1479" w:type="dxa"/>
            <w:tcBorders>
              <w:top w:val="single" w:sz="4" w:space="0" w:color="auto"/>
              <w:left w:val="nil"/>
              <w:bottom w:val="nil"/>
              <w:right w:val="single" w:sz="4" w:space="0" w:color="000000"/>
            </w:tcBorders>
            <w:vAlign w:val="bottom"/>
          </w:tcPr>
          <w:p w14:paraId="119C2CB4" w14:textId="77777777" w:rsidR="009C340B" w:rsidRPr="00231CAF" w:rsidRDefault="009C340B" w:rsidP="0044317F">
            <w:pPr>
              <w:jc w:val="center"/>
              <w:rPr>
                <w:rFonts w:ascii="Arial" w:hAnsi="Arial" w:cs="Arial"/>
                <w:b/>
                <w:bCs/>
              </w:rPr>
            </w:pPr>
            <w:r w:rsidRPr="00231CAF">
              <w:rPr>
                <w:rFonts w:ascii="Arial" w:hAnsi="Arial" w:cs="Arial"/>
                <w:b/>
                <w:bCs/>
              </w:rPr>
              <w:t xml:space="preserve">Total Currencies </w:t>
            </w:r>
          </w:p>
        </w:tc>
      </w:tr>
      <w:tr w:rsidR="009C340B" w:rsidRPr="00FC3309" w14:paraId="43A09D89" w14:textId="77777777" w:rsidTr="0044317F">
        <w:trPr>
          <w:trHeight w:val="317"/>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1D80BB2" w14:textId="77777777" w:rsidR="009C340B" w:rsidRPr="00FC3309" w:rsidRDefault="009C340B" w:rsidP="0044317F">
            <w:pPr>
              <w:jc w:val="center"/>
              <w:rPr>
                <w:rFonts w:ascii="Arial" w:hAnsi="Arial" w:cs="Arial"/>
                <w:b/>
                <w:bCs/>
              </w:rPr>
            </w:pPr>
            <w:r w:rsidRPr="00FC3309">
              <w:rPr>
                <w:rFonts w:ascii="Arial" w:hAnsi="Arial" w:cs="Arial"/>
                <w:b/>
                <w:bCs/>
              </w:rPr>
              <w:t>(1)</w:t>
            </w:r>
          </w:p>
        </w:tc>
        <w:tc>
          <w:tcPr>
            <w:tcW w:w="1478" w:type="dxa"/>
            <w:tcBorders>
              <w:top w:val="nil"/>
              <w:left w:val="nil"/>
              <w:bottom w:val="single" w:sz="4" w:space="0" w:color="auto"/>
              <w:right w:val="single" w:sz="4" w:space="0" w:color="auto"/>
            </w:tcBorders>
            <w:shd w:val="clear" w:color="auto" w:fill="auto"/>
            <w:vAlign w:val="bottom"/>
            <w:hideMark/>
          </w:tcPr>
          <w:p w14:paraId="6845996F" w14:textId="77777777" w:rsidR="009C340B" w:rsidRPr="00FC3309" w:rsidRDefault="009C340B" w:rsidP="0044317F">
            <w:pPr>
              <w:jc w:val="center"/>
              <w:rPr>
                <w:rFonts w:ascii="Arial" w:hAnsi="Arial" w:cs="Arial"/>
                <w:b/>
                <w:bCs/>
              </w:rPr>
            </w:pPr>
            <w:r w:rsidRPr="00FC3309">
              <w:rPr>
                <w:rFonts w:ascii="Arial" w:hAnsi="Arial" w:cs="Arial"/>
                <w:b/>
                <w:bCs/>
              </w:rPr>
              <w:t>(2)</w:t>
            </w:r>
          </w:p>
        </w:tc>
        <w:tc>
          <w:tcPr>
            <w:tcW w:w="1478" w:type="dxa"/>
            <w:tcBorders>
              <w:top w:val="nil"/>
              <w:left w:val="nil"/>
              <w:bottom w:val="single" w:sz="4" w:space="0" w:color="auto"/>
              <w:right w:val="single" w:sz="4" w:space="0" w:color="auto"/>
            </w:tcBorders>
            <w:shd w:val="clear" w:color="auto" w:fill="auto"/>
            <w:vAlign w:val="bottom"/>
            <w:hideMark/>
          </w:tcPr>
          <w:p w14:paraId="511C1522" w14:textId="77777777" w:rsidR="009C340B" w:rsidRPr="00FC3309" w:rsidRDefault="009C340B" w:rsidP="0044317F">
            <w:pPr>
              <w:jc w:val="center"/>
              <w:rPr>
                <w:rFonts w:ascii="Arial" w:hAnsi="Arial" w:cs="Arial"/>
                <w:b/>
                <w:bCs/>
              </w:rPr>
            </w:pPr>
            <w:r w:rsidRPr="00FC3309">
              <w:rPr>
                <w:rFonts w:ascii="Arial" w:hAnsi="Arial" w:cs="Arial"/>
                <w:b/>
                <w:bCs/>
              </w:rPr>
              <w:t>(3)</w:t>
            </w:r>
          </w:p>
        </w:tc>
        <w:tc>
          <w:tcPr>
            <w:tcW w:w="1478" w:type="dxa"/>
            <w:tcBorders>
              <w:top w:val="nil"/>
              <w:left w:val="nil"/>
              <w:bottom w:val="single" w:sz="4" w:space="0" w:color="auto"/>
              <w:right w:val="single" w:sz="4" w:space="0" w:color="000000"/>
            </w:tcBorders>
            <w:shd w:val="clear" w:color="auto" w:fill="auto"/>
            <w:vAlign w:val="bottom"/>
            <w:hideMark/>
          </w:tcPr>
          <w:p w14:paraId="3D63A313" w14:textId="77777777" w:rsidR="009C340B" w:rsidRPr="00FC3309" w:rsidRDefault="009C340B" w:rsidP="0044317F">
            <w:pPr>
              <w:jc w:val="center"/>
              <w:rPr>
                <w:rFonts w:ascii="Arial" w:hAnsi="Arial" w:cs="Arial"/>
                <w:b/>
                <w:bCs/>
              </w:rPr>
            </w:pPr>
            <w:r w:rsidRPr="00FC3309">
              <w:rPr>
                <w:rFonts w:ascii="Arial" w:hAnsi="Arial" w:cs="Arial"/>
                <w:b/>
                <w:bCs/>
              </w:rPr>
              <w:t>(4)</w:t>
            </w:r>
          </w:p>
        </w:tc>
        <w:tc>
          <w:tcPr>
            <w:tcW w:w="1479" w:type="dxa"/>
            <w:tcBorders>
              <w:top w:val="nil"/>
              <w:left w:val="nil"/>
              <w:bottom w:val="single" w:sz="4" w:space="0" w:color="auto"/>
              <w:right w:val="single" w:sz="4" w:space="0" w:color="000000"/>
            </w:tcBorders>
            <w:vAlign w:val="bottom"/>
          </w:tcPr>
          <w:p w14:paraId="3273F50F" w14:textId="77777777" w:rsidR="009C340B" w:rsidRPr="00FC3309" w:rsidRDefault="009C340B" w:rsidP="0044317F">
            <w:pPr>
              <w:jc w:val="center"/>
              <w:rPr>
                <w:rFonts w:ascii="Arial" w:hAnsi="Arial" w:cs="Arial"/>
                <w:b/>
                <w:bCs/>
              </w:rPr>
            </w:pPr>
            <w:r w:rsidRPr="00FC3309">
              <w:rPr>
                <w:rFonts w:ascii="Arial" w:hAnsi="Arial" w:cs="Arial"/>
                <w:b/>
                <w:bCs/>
              </w:rPr>
              <w:t>(5)</w:t>
            </w:r>
          </w:p>
        </w:tc>
        <w:tc>
          <w:tcPr>
            <w:tcW w:w="1478" w:type="dxa"/>
            <w:tcBorders>
              <w:top w:val="nil"/>
              <w:left w:val="nil"/>
              <w:bottom w:val="single" w:sz="4" w:space="0" w:color="auto"/>
              <w:right w:val="single" w:sz="4" w:space="0" w:color="000000"/>
            </w:tcBorders>
            <w:vAlign w:val="bottom"/>
          </w:tcPr>
          <w:p w14:paraId="258CFC2B" w14:textId="77777777" w:rsidR="009C340B" w:rsidRPr="00FC3309" w:rsidRDefault="009C340B" w:rsidP="0044317F">
            <w:pPr>
              <w:jc w:val="center"/>
              <w:rPr>
                <w:rFonts w:ascii="Arial" w:hAnsi="Arial" w:cs="Arial"/>
                <w:b/>
                <w:bCs/>
              </w:rPr>
            </w:pPr>
            <w:r w:rsidRPr="00FC3309">
              <w:rPr>
                <w:rFonts w:ascii="Arial" w:hAnsi="Arial" w:cs="Arial"/>
                <w:b/>
                <w:bCs/>
              </w:rPr>
              <w:t>(6)</w:t>
            </w:r>
          </w:p>
        </w:tc>
        <w:tc>
          <w:tcPr>
            <w:tcW w:w="1478" w:type="dxa"/>
            <w:tcBorders>
              <w:top w:val="nil"/>
              <w:left w:val="nil"/>
              <w:bottom w:val="single" w:sz="4" w:space="0" w:color="auto"/>
              <w:right w:val="single" w:sz="4" w:space="0" w:color="000000"/>
            </w:tcBorders>
            <w:vAlign w:val="bottom"/>
          </w:tcPr>
          <w:p w14:paraId="2CB2CE8C" w14:textId="77777777" w:rsidR="009C340B" w:rsidRPr="00FC3309" w:rsidRDefault="009C340B" w:rsidP="0044317F">
            <w:pPr>
              <w:jc w:val="center"/>
              <w:rPr>
                <w:rFonts w:ascii="Arial" w:hAnsi="Arial" w:cs="Arial"/>
                <w:b/>
                <w:bCs/>
              </w:rPr>
            </w:pPr>
            <w:r w:rsidRPr="00FC3309">
              <w:rPr>
                <w:rFonts w:ascii="Arial" w:hAnsi="Arial" w:cs="Arial"/>
                <w:b/>
                <w:bCs/>
              </w:rPr>
              <w:t>(7)</w:t>
            </w:r>
          </w:p>
        </w:tc>
        <w:tc>
          <w:tcPr>
            <w:tcW w:w="1479" w:type="dxa"/>
            <w:tcBorders>
              <w:top w:val="nil"/>
              <w:left w:val="nil"/>
              <w:bottom w:val="single" w:sz="4" w:space="0" w:color="auto"/>
              <w:right w:val="single" w:sz="4" w:space="0" w:color="000000"/>
            </w:tcBorders>
            <w:vAlign w:val="bottom"/>
          </w:tcPr>
          <w:p w14:paraId="62AA8AED" w14:textId="77777777" w:rsidR="009C340B" w:rsidRPr="00FC3309" w:rsidRDefault="009C340B" w:rsidP="0044317F">
            <w:pPr>
              <w:jc w:val="center"/>
              <w:rPr>
                <w:rFonts w:ascii="Arial" w:hAnsi="Arial" w:cs="Arial"/>
                <w:b/>
                <w:bCs/>
              </w:rPr>
            </w:pPr>
            <w:r w:rsidRPr="00FC3309">
              <w:rPr>
                <w:rFonts w:ascii="Arial" w:hAnsi="Arial" w:cs="Arial"/>
                <w:b/>
                <w:bCs/>
              </w:rPr>
              <w:t>(8)</w:t>
            </w:r>
          </w:p>
        </w:tc>
      </w:tr>
      <w:tr w:rsidR="009C340B" w:rsidRPr="00231CAF" w14:paraId="36E7CCA7" w14:textId="77777777" w:rsidTr="0044317F">
        <w:trPr>
          <w:trHeight w:val="317"/>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858C8" w14:textId="77777777" w:rsidR="009C340B" w:rsidRPr="00231CAF" w:rsidRDefault="009C340B" w:rsidP="0044317F">
            <w:pPr>
              <w:rPr>
                <w:rFonts w:ascii="Arial" w:hAnsi="Arial" w:cs="Arial"/>
                <w:color w:val="000000"/>
              </w:rPr>
            </w:pPr>
            <w:r w:rsidRPr="003C24EB">
              <w:rPr>
                <w:rFonts w:ascii="Arial" w:hAnsi="Arial" w:cs="Arial"/>
                <w:color w:val="000000"/>
              </w:rPr>
              <w:t>Property Trusts</w:t>
            </w:r>
          </w:p>
        </w:tc>
        <w:tc>
          <w:tcPr>
            <w:tcW w:w="1478" w:type="dxa"/>
            <w:tcBorders>
              <w:top w:val="single" w:sz="4" w:space="0" w:color="auto"/>
              <w:left w:val="nil"/>
              <w:bottom w:val="single" w:sz="4" w:space="0" w:color="auto"/>
              <w:right w:val="single" w:sz="4" w:space="0" w:color="auto"/>
            </w:tcBorders>
            <w:shd w:val="clear" w:color="auto" w:fill="auto"/>
            <w:noWrap/>
            <w:vAlign w:val="bottom"/>
          </w:tcPr>
          <w:p w14:paraId="38029320"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shd w:val="clear" w:color="auto" w:fill="auto"/>
            <w:noWrap/>
            <w:vAlign w:val="bottom"/>
          </w:tcPr>
          <w:p w14:paraId="55D2FB61"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shd w:val="clear" w:color="auto" w:fill="auto"/>
            <w:vAlign w:val="bottom"/>
          </w:tcPr>
          <w:p w14:paraId="1A02A064" w14:textId="77777777" w:rsidR="009C340B" w:rsidRPr="003C24EB" w:rsidRDefault="009C340B" w:rsidP="0044317F">
            <w:pPr>
              <w:jc w:val="center"/>
              <w:rPr>
                <w:rFonts w:ascii="Arial" w:hAnsi="Arial" w:cs="Arial"/>
                <w:color w:val="000000"/>
              </w:rPr>
            </w:pPr>
          </w:p>
        </w:tc>
        <w:tc>
          <w:tcPr>
            <w:tcW w:w="1479" w:type="dxa"/>
            <w:tcBorders>
              <w:top w:val="single" w:sz="4" w:space="0" w:color="auto"/>
              <w:left w:val="nil"/>
              <w:bottom w:val="single" w:sz="4" w:space="0" w:color="auto"/>
              <w:right w:val="single" w:sz="4" w:space="0" w:color="auto"/>
            </w:tcBorders>
            <w:vAlign w:val="bottom"/>
          </w:tcPr>
          <w:p w14:paraId="71CFE23C"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vAlign w:val="bottom"/>
          </w:tcPr>
          <w:p w14:paraId="4F2703B1"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shd w:val="clear" w:color="auto" w:fill="A6A6A6"/>
            <w:vAlign w:val="bottom"/>
          </w:tcPr>
          <w:p w14:paraId="26C58CB9" w14:textId="77777777" w:rsidR="009C340B" w:rsidRPr="003C24EB" w:rsidRDefault="009C340B" w:rsidP="0044317F">
            <w:pPr>
              <w:jc w:val="center"/>
              <w:rPr>
                <w:rFonts w:ascii="Arial" w:hAnsi="Arial" w:cs="Arial"/>
                <w:color w:val="000000"/>
              </w:rPr>
            </w:pPr>
          </w:p>
        </w:tc>
        <w:tc>
          <w:tcPr>
            <w:tcW w:w="1479" w:type="dxa"/>
            <w:tcBorders>
              <w:top w:val="single" w:sz="4" w:space="0" w:color="auto"/>
              <w:left w:val="nil"/>
              <w:bottom w:val="single" w:sz="4" w:space="0" w:color="auto"/>
              <w:right w:val="single" w:sz="4" w:space="0" w:color="auto"/>
            </w:tcBorders>
            <w:vAlign w:val="bottom"/>
          </w:tcPr>
          <w:p w14:paraId="03B44C82" w14:textId="77777777" w:rsidR="009C340B" w:rsidRPr="003C24EB" w:rsidRDefault="009C340B" w:rsidP="0044317F">
            <w:pPr>
              <w:jc w:val="center"/>
              <w:rPr>
                <w:rFonts w:ascii="Arial" w:hAnsi="Arial" w:cs="Arial"/>
                <w:color w:val="000000"/>
              </w:rPr>
            </w:pPr>
          </w:p>
        </w:tc>
      </w:tr>
      <w:tr w:rsidR="009C340B" w:rsidRPr="00231CAF" w14:paraId="1117034A" w14:textId="77777777" w:rsidTr="0044317F">
        <w:trPr>
          <w:trHeight w:val="317"/>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2E9B2" w14:textId="77777777" w:rsidR="009C340B" w:rsidRPr="003C24EB" w:rsidRDefault="009C340B" w:rsidP="0044317F">
            <w:pPr>
              <w:rPr>
                <w:rFonts w:ascii="Arial" w:hAnsi="Arial" w:cs="Arial"/>
                <w:b/>
                <w:color w:val="000000"/>
              </w:rPr>
            </w:pPr>
            <w:r w:rsidRPr="003C24EB">
              <w:rPr>
                <w:rFonts w:ascii="Arial" w:hAnsi="Arial" w:cs="Arial"/>
                <w:b/>
                <w:color w:val="000000"/>
              </w:rPr>
              <w:t>Total exposure to all sectors</w:t>
            </w:r>
          </w:p>
        </w:tc>
        <w:tc>
          <w:tcPr>
            <w:tcW w:w="1478" w:type="dxa"/>
            <w:tcBorders>
              <w:top w:val="single" w:sz="4" w:space="0" w:color="auto"/>
              <w:left w:val="nil"/>
              <w:bottom w:val="single" w:sz="4" w:space="0" w:color="auto"/>
              <w:right w:val="single" w:sz="4" w:space="0" w:color="auto"/>
            </w:tcBorders>
            <w:shd w:val="clear" w:color="auto" w:fill="A6A6A6"/>
            <w:noWrap/>
            <w:vAlign w:val="bottom"/>
          </w:tcPr>
          <w:p w14:paraId="05EC595D"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shd w:val="clear" w:color="auto" w:fill="A6A6A6"/>
            <w:noWrap/>
            <w:vAlign w:val="bottom"/>
          </w:tcPr>
          <w:p w14:paraId="572CF676"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shd w:val="clear" w:color="auto" w:fill="A6A6A6"/>
            <w:vAlign w:val="bottom"/>
          </w:tcPr>
          <w:p w14:paraId="72F7F71D" w14:textId="77777777" w:rsidR="009C340B" w:rsidRPr="003C24EB" w:rsidRDefault="009C340B" w:rsidP="0044317F">
            <w:pPr>
              <w:jc w:val="center"/>
              <w:rPr>
                <w:rFonts w:ascii="Arial" w:hAnsi="Arial" w:cs="Arial"/>
                <w:color w:val="000000"/>
              </w:rPr>
            </w:pPr>
          </w:p>
        </w:tc>
        <w:tc>
          <w:tcPr>
            <w:tcW w:w="1479" w:type="dxa"/>
            <w:tcBorders>
              <w:top w:val="single" w:sz="4" w:space="0" w:color="auto"/>
              <w:left w:val="nil"/>
              <w:bottom w:val="single" w:sz="4" w:space="0" w:color="auto"/>
              <w:right w:val="single" w:sz="4" w:space="0" w:color="auto"/>
            </w:tcBorders>
            <w:shd w:val="clear" w:color="auto" w:fill="A6A6A6"/>
            <w:vAlign w:val="bottom"/>
          </w:tcPr>
          <w:p w14:paraId="2DD0031B"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shd w:val="clear" w:color="auto" w:fill="A6A6A6"/>
            <w:vAlign w:val="bottom"/>
          </w:tcPr>
          <w:p w14:paraId="2013E81F" w14:textId="77777777" w:rsidR="009C340B" w:rsidRPr="003C24EB" w:rsidRDefault="009C340B" w:rsidP="0044317F">
            <w:pPr>
              <w:jc w:val="center"/>
              <w:rPr>
                <w:rFonts w:ascii="Arial" w:hAnsi="Arial" w:cs="Arial"/>
                <w:color w:val="000000"/>
              </w:rPr>
            </w:pPr>
          </w:p>
        </w:tc>
        <w:tc>
          <w:tcPr>
            <w:tcW w:w="1478" w:type="dxa"/>
            <w:tcBorders>
              <w:top w:val="single" w:sz="4" w:space="0" w:color="auto"/>
              <w:left w:val="nil"/>
              <w:bottom w:val="single" w:sz="4" w:space="0" w:color="auto"/>
              <w:right w:val="single" w:sz="4" w:space="0" w:color="auto"/>
            </w:tcBorders>
            <w:shd w:val="clear" w:color="auto" w:fill="A6A6A6"/>
            <w:vAlign w:val="bottom"/>
          </w:tcPr>
          <w:p w14:paraId="36BCA16A" w14:textId="77777777" w:rsidR="009C340B" w:rsidRPr="003C24EB" w:rsidRDefault="009C340B" w:rsidP="0044317F">
            <w:pPr>
              <w:jc w:val="center"/>
              <w:rPr>
                <w:rFonts w:ascii="Arial" w:hAnsi="Arial" w:cs="Arial"/>
                <w:color w:val="000000"/>
              </w:rPr>
            </w:pPr>
          </w:p>
        </w:tc>
        <w:tc>
          <w:tcPr>
            <w:tcW w:w="1479" w:type="dxa"/>
            <w:tcBorders>
              <w:top w:val="single" w:sz="4" w:space="0" w:color="auto"/>
              <w:left w:val="nil"/>
              <w:bottom w:val="single" w:sz="4" w:space="0" w:color="auto"/>
              <w:right w:val="single" w:sz="4" w:space="0" w:color="auto"/>
            </w:tcBorders>
            <w:shd w:val="clear" w:color="auto" w:fill="A6A6A6"/>
            <w:vAlign w:val="bottom"/>
          </w:tcPr>
          <w:p w14:paraId="7D89232A" w14:textId="77777777" w:rsidR="009C340B" w:rsidRPr="003C24EB" w:rsidRDefault="009C340B" w:rsidP="0044317F">
            <w:pPr>
              <w:jc w:val="center"/>
              <w:rPr>
                <w:rFonts w:ascii="Arial" w:hAnsi="Arial" w:cs="Arial"/>
                <w:color w:val="000000"/>
              </w:rPr>
            </w:pPr>
          </w:p>
        </w:tc>
      </w:tr>
    </w:tbl>
    <w:p w14:paraId="3AE5D944" w14:textId="77777777" w:rsidR="009C340B" w:rsidRDefault="009C340B" w:rsidP="009C340B">
      <w:pPr>
        <w:rPr>
          <w:rFonts w:ascii="Arial" w:hAnsi="Arial" w:cs="Arial"/>
        </w:rPr>
      </w:pPr>
    </w:p>
    <w:tbl>
      <w:tblPr>
        <w:tblW w:w="13892" w:type="dxa"/>
        <w:tblInd w:w="108" w:type="dxa"/>
        <w:tblLook w:val="04A0" w:firstRow="1" w:lastRow="0" w:firstColumn="1" w:lastColumn="0" w:noHBand="0" w:noVBand="1"/>
      </w:tblPr>
      <w:tblGrid>
        <w:gridCol w:w="13892"/>
      </w:tblGrid>
      <w:tr w:rsidR="009C340B" w:rsidRPr="0020581C" w14:paraId="35A2BDEB" w14:textId="77777777" w:rsidTr="0044317F">
        <w:tc>
          <w:tcPr>
            <w:tcW w:w="8789" w:type="dxa"/>
          </w:tcPr>
          <w:p w14:paraId="1ECCE610" w14:textId="77777777" w:rsidR="009C340B" w:rsidRPr="0020581C" w:rsidRDefault="009C340B" w:rsidP="0044317F">
            <w:pPr>
              <w:rPr>
                <w:rFonts w:ascii="Arial" w:hAnsi="Arial" w:cs="Arial"/>
                <w:b/>
                <w:bCs/>
              </w:rPr>
            </w:pPr>
            <w:r w:rsidRPr="0020581C">
              <w:rPr>
                <w:rFonts w:ascii="Arial" w:hAnsi="Arial" w:cs="Arial"/>
                <w:b/>
                <w:bCs/>
              </w:rPr>
              <w:t>Section 3: Direct property holdings</w:t>
            </w:r>
          </w:p>
        </w:tc>
      </w:tr>
    </w:tbl>
    <w:p w14:paraId="3F5CAC80"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231CAF" w14:paraId="2B6BB98D" w14:textId="77777777" w:rsidTr="0044317F">
        <w:trPr>
          <w:trHeight w:val="317"/>
        </w:trPr>
        <w:tc>
          <w:tcPr>
            <w:tcW w:w="12206" w:type="dxa"/>
            <w:tcBorders>
              <w:top w:val="nil"/>
              <w:left w:val="nil"/>
              <w:bottom w:val="nil"/>
              <w:right w:val="nil"/>
            </w:tcBorders>
            <w:shd w:val="clear" w:color="auto" w:fill="auto"/>
            <w:noWrap/>
            <w:vAlign w:val="bottom"/>
          </w:tcPr>
          <w:p w14:paraId="615272F4" w14:textId="77777777" w:rsidR="009C340B" w:rsidRPr="00EE4EE6" w:rsidRDefault="009C340B" w:rsidP="009C340B">
            <w:pPr>
              <w:numPr>
                <w:ilvl w:val="0"/>
                <w:numId w:val="39"/>
              </w:numPr>
              <w:rPr>
                <w:rFonts w:ascii="Arial" w:hAnsi="Arial" w:cs="Arial"/>
                <w:b/>
                <w:bCs/>
              </w:rPr>
            </w:pPr>
            <w:r w:rsidRPr="00EE4EE6">
              <w:rPr>
                <w:rFonts w:ascii="Arial" w:hAnsi="Arial" w:cs="Arial"/>
                <w:b/>
                <w:bCs/>
              </w:rPr>
              <w:t>Total direct property investments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0ED48" w14:textId="77777777" w:rsidR="009C340B" w:rsidRPr="0020581C" w:rsidRDefault="009C340B" w:rsidP="0044317F">
            <w:pPr>
              <w:jc w:val="center"/>
              <w:rPr>
                <w:rFonts w:ascii="Arial" w:hAnsi="Arial" w:cs="Arial"/>
                <w:color w:val="000000"/>
              </w:rPr>
            </w:pPr>
          </w:p>
        </w:tc>
      </w:tr>
      <w:tr w:rsidR="009C340B" w:rsidRPr="00231CAF" w14:paraId="7D65BB40" w14:textId="77777777" w:rsidTr="0044317F">
        <w:trPr>
          <w:trHeight w:val="317"/>
        </w:trPr>
        <w:tc>
          <w:tcPr>
            <w:tcW w:w="12206" w:type="dxa"/>
            <w:tcBorders>
              <w:top w:val="nil"/>
              <w:left w:val="nil"/>
              <w:bottom w:val="nil"/>
              <w:right w:val="nil"/>
            </w:tcBorders>
            <w:shd w:val="clear" w:color="auto" w:fill="auto"/>
            <w:noWrap/>
            <w:vAlign w:val="bottom"/>
          </w:tcPr>
          <w:p w14:paraId="5EBA1A42" w14:textId="77777777" w:rsidR="009C340B" w:rsidRPr="000B55C3" w:rsidRDefault="009C340B" w:rsidP="009C340B">
            <w:pPr>
              <w:numPr>
                <w:ilvl w:val="1"/>
                <w:numId w:val="40"/>
              </w:numPr>
              <w:rPr>
                <w:rFonts w:ascii="Arial" w:hAnsi="Arial" w:cs="Arial"/>
                <w:bCs/>
              </w:rPr>
            </w:pPr>
            <w:r w:rsidRPr="00EE4EE6">
              <w:rPr>
                <w:rFonts w:ascii="Arial" w:hAnsi="Arial" w:cs="Arial"/>
                <w:bCs/>
              </w:rPr>
              <w:t>Office</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E2D1F" w14:textId="77777777" w:rsidR="009C340B" w:rsidRPr="000B55C3" w:rsidRDefault="009C340B" w:rsidP="0044317F">
            <w:pPr>
              <w:jc w:val="center"/>
              <w:rPr>
                <w:rFonts w:ascii="Arial" w:hAnsi="Arial" w:cs="Arial"/>
                <w:color w:val="000000"/>
              </w:rPr>
            </w:pPr>
          </w:p>
        </w:tc>
      </w:tr>
      <w:tr w:rsidR="009C340B" w:rsidRPr="00231CAF" w14:paraId="39AB05EA" w14:textId="77777777" w:rsidTr="0044317F">
        <w:trPr>
          <w:trHeight w:val="317"/>
        </w:trPr>
        <w:tc>
          <w:tcPr>
            <w:tcW w:w="12206" w:type="dxa"/>
            <w:tcBorders>
              <w:top w:val="nil"/>
              <w:left w:val="nil"/>
              <w:bottom w:val="nil"/>
              <w:right w:val="nil"/>
            </w:tcBorders>
            <w:shd w:val="clear" w:color="auto" w:fill="auto"/>
            <w:noWrap/>
            <w:vAlign w:val="bottom"/>
            <w:hideMark/>
          </w:tcPr>
          <w:p w14:paraId="42CD80E8" w14:textId="77777777" w:rsidR="009C340B" w:rsidRPr="0020581C" w:rsidRDefault="009C340B" w:rsidP="009C340B">
            <w:pPr>
              <w:numPr>
                <w:ilvl w:val="1"/>
                <w:numId w:val="40"/>
              </w:numPr>
              <w:rPr>
                <w:rFonts w:ascii="Arial" w:hAnsi="Arial" w:cs="Arial"/>
                <w:bCs/>
              </w:rPr>
            </w:pPr>
            <w:r w:rsidRPr="0020581C">
              <w:rPr>
                <w:rFonts w:ascii="Arial" w:hAnsi="Arial" w:cs="Arial"/>
                <w:bCs/>
              </w:rPr>
              <w:t>Retail</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72B75" w14:textId="77777777" w:rsidR="009C340B" w:rsidRPr="0020581C" w:rsidRDefault="009C340B" w:rsidP="0044317F">
            <w:pPr>
              <w:jc w:val="center"/>
              <w:rPr>
                <w:rFonts w:ascii="Arial" w:hAnsi="Arial" w:cs="Arial"/>
                <w:color w:val="000000"/>
              </w:rPr>
            </w:pPr>
          </w:p>
        </w:tc>
      </w:tr>
      <w:tr w:rsidR="009C340B" w:rsidRPr="00231CAF" w14:paraId="14481ED7" w14:textId="77777777" w:rsidTr="0044317F">
        <w:trPr>
          <w:trHeight w:val="317"/>
        </w:trPr>
        <w:tc>
          <w:tcPr>
            <w:tcW w:w="12206" w:type="dxa"/>
            <w:tcBorders>
              <w:top w:val="nil"/>
              <w:left w:val="nil"/>
              <w:bottom w:val="nil"/>
              <w:right w:val="nil"/>
            </w:tcBorders>
            <w:shd w:val="clear" w:color="auto" w:fill="auto"/>
            <w:noWrap/>
            <w:vAlign w:val="bottom"/>
          </w:tcPr>
          <w:p w14:paraId="710EB6C0" w14:textId="77777777" w:rsidR="009C340B" w:rsidRPr="0020581C" w:rsidRDefault="009C340B" w:rsidP="009C340B">
            <w:pPr>
              <w:numPr>
                <w:ilvl w:val="1"/>
                <w:numId w:val="40"/>
              </w:numPr>
              <w:rPr>
                <w:rFonts w:ascii="Arial" w:hAnsi="Arial" w:cs="Arial"/>
                <w:bCs/>
              </w:rPr>
            </w:pPr>
            <w:r w:rsidRPr="0020581C">
              <w:rPr>
                <w:rFonts w:ascii="Arial" w:hAnsi="Arial" w:cs="Arial"/>
                <w:bCs/>
              </w:rPr>
              <w:t>Tourism and leisure</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5CE4C" w14:textId="77777777" w:rsidR="009C340B" w:rsidRPr="0020581C" w:rsidRDefault="009C340B" w:rsidP="0044317F">
            <w:pPr>
              <w:jc w:val="center"/>
              <w:rPr>
                <w:rFonts w:ascii="Arial" w:hAnsi="Arial" w:cs="Arial"/>
                <w:color w:val="000000"/>
              </w:rPr>
            </w:pPr>
          </w:p>
        </w:tc>
      </w:tr>
      <w:tr w:rsidR="009C340B" w:rsidRPr="00231CAF" w14:paraId="6BE013AA" w14:textId="77777777" w:rsidTr="0044317F">
        <w:trPr>
          <w:trHeight w:val="317"/>
        </w:trPr>
        <w:tc>
          <w:tcPr>
            <w:tcW w:w="12206" w:type="dxa"/>
            <w:tcBorders>
              <w:top w:val="nil"/>
              <w:left w:val="nil"/>
              <w:bottom w:val="nil"/>
              <w:right w:val="nil"/>
            </w:tcBorders>
            <w:shd w:val="clear" w:color="auto" w:fill="auto"/>
            <w:noWrap/>
            <w:vAlign w:val="bottom"/>
          </w:tcPr>
          <w:p w14:paraId="2DD3E0CB" w14:textId="77777777" w:rsidR="009C340B" w:rsidRPr="0020581C" w:rsidRDefault="009C340B" w:rsidP="009C340B">
            <w:pPr>
              <w:numPr>
                <w:ilvl w:val="1"/>
                <w:numId w:val="40"/>
              </w:numPr>
              <w:rPr>
                <w:rFonts w:ascii="Arial" w:hAnsi="Arial" w:cs="Arial"/>
                <w:bCs/>
              </w:rPr>
            </w:pPr>
            <w:r w:rsidRPr="0020581C">
              <w:rPr>
                <w:rFonts w:ascii="Arial" w:hAnsi="Arial" w:cs="Arial"/>
                <w:bCs/>
              </w:rPr>
              <w:t>Infrastructure</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3463988C" w14:textId="77777777" w:rsidR="009C340B" w:rsidRPr="0020581C" w:rsidRDefault="009C340B" w:rsidP="0044317F">
            <w:pPr>
              <w:jc w:val="center"/>
              <w:rPr>
                <w:rFonts w:ascii="Arial" w:hAnsi="Arial" w:cs="Arial"/>
                <w:color w:val="000000"/>
              </w:rPr>
            </w:pPr>
          </w:p>
        </w:tc>
      </w:tr>
      <w:tr w:rsidR="009C340B" w:rsidRPr="00231CAF" w14:paraId="09BE55D4" w14:textId="77777777" w:rsidTr="0044317F">
        <w:trPr>
          <w:trHeight w:val="317"/>
        </w:trPr>
        <w:tc>
          <w:tcPr>
            <w:tcW w:w="12206" w:type="dxa"/>
            <w:tcBorders>
              <w:top w:val="nil"/>
              <w:left w:val="nil"/>
              <w:bottom w:val="nil"/>
              <w:right w:val="nil"/>
            </w:tcBorders>
            <w:shd w:val="clear" w:color="auto" w:fill="auto"/>
            <w:noWrap/>
            <w:vAlign w:val="bottom"/>
          </w:tcPr>
          <w:p w14:paraId="0E5F54AD" w14:textId="77777777" w:rsidR="009C340B" w:rsidRPr="0020581C" w:rsidRDefault="009C340B" w:rsidP="009C340B">
            <w:pPr>
              <w:numPr>
                <w:ilvl w:val="1"/>
                <w:numId w:val="40"/>
              </w:numPr>
              <w:rPr>
                <w:rFonts w:ascii="Arial" w:hAnsi="Arial" w:cs="Arial"/>
                <w:bCs/>
              </w:rPr>
            </w:pPr>
            <w:r w:rsidRPr="0020581C">
              <w:rPr>
                <w:rFonts w:ascii="Arial" w:hAnsi="Arial" w:cs="Arial"/>
                <w:bCs/>
              </w:rPr>
              <w:lastRenderedPageBreak/>
              <w:t>Other.</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402452" w14:textId="77777777" w:rsidR="009C340B" w:rsidRPr="0020581C" w:rsidRDefault="009C340B" w:rsidP="0044317F">
            <w:pPr>
              <w:jc w:val="center"/>
              <w:rPr>
                <w:rFonts w:ascii="Arial" w:hAnsi="Arial" w:cs="Arial"/>
                <w:color w:val="000000"/>
              </w:rPr>
            </w:pPr>
          </w:p>
        </w:tc>
      </w:tr>
      <w:tr w:rsidR="009C340B" w:rsidRPr="00231CAF" w14:paraId="15BC2F3E" w14:textId="77777777" w:rsidTr="0044317F">
        <w:trPr>
          <w:trHeight w:val="317"/>
        </w:trPr>
        <w:tc>
          <w:tcPr>
            <w:tcW w:w="12206" w:type="dxa"/>
            <w:tcBorders>
              <w:top w:val="nil"/>
              <w:left w:val="nil"/>
              <w:bottom w:val="nil"/>
              <w:right w:val="nil"/>
            </w:tcBorders>
            <w:shd w:val="clear" w:color="auto" w:fill="auto"/>
            <w:noWrap/>
            <w:vAlign w:val="bottom"/>
          </w:tcPr>
          <w:p w14:paraId="65EF5931" w14:textId="77777777" w:rsidR="009C340B" w:rsidRPr="0020581C" w:rsidRDefault="009C340B" w:rsidP="009C340B">
            <w:pPr>
              <w:numPr>
                <w:ilvl w:val="1"/>
                <w:numId w:val="40"/>
              </w:numPr>
              <w:rPr>
                <w:rFonts w:ascii="Arial" w:hAnsi="Arial" w:cs="Arial"/>
                <w:bCs/>
              </w:rPr>
            </w:pPr>
            <w:r w:rsidRPr="0020581C">
              <w:rPr>
                <w:rFonts w:ascii="Arial" w:hAnsi="Arial" w:cs="Arial"/>
                <w:bCs/>
              </w:rPr>
              <w:t>Total direct property investments</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2A3D88F7" w14:textId="77777777" w:rsidR="009C340B" w:rsidRPr="0020581C" w:rsidRDefault="009C340B" w:rsidP="0044317F">
            <w:pPr>
              <w:jc w:val="center"/>
              <w:rPr>
                <w:rFonts w:ascii="Arial" w:hAnsi="Arial" w:cs="Arial"/>
                <w:color w:val="000000"/>
              </w:rPr>
            </w:pPr>
          </w:p>
        </w:tc>
      </w:tr>
      <w:tr w:rsidR="009C340B" w:rsidRPr="00231CAF" w14:paraId="31B54B1A" w14:textId="77777777" w:rsidTr="0044317F">
        <w:trPr>
          <w:trHeight w:val="317"/>
        </w:trPr>
        <w:tc>
          <w:tcPr>
            <w:tcW w:w="12206" w:type="dxa"/>
            <w:tcBorders>
              <w:top w:val="nil"/>
              <w:left w:val="nil"/>
              <w:bottom w:val="nil"/>
              <w:right w:val="nil"/>
            </w:tcBorders>
            <w:shd w:val="clear" w:color="auto" w:fill="auto"/>
            <w:noWrap/>
            <w:vAlign w:val="bottom"/>
          </w:tcPr>
          <w:p w14:paraId="6F6D2A3F" w14:textId="77777777" w:rsidR="009C340B" w:rsidRPr="0020581C" w:rsidRDefault="009C340B" w:rsidP="009C340B">
            <w:pPr>
              <w:numPr>
                <w:ilvl w:val="2"/>
                <w:numId w:val="40"/>
              </w:numPr>
              <w:rPr>
                <w:rFonts w:ascii="Arial" w:hAnsi="Arial" w:cs="Arial"/>
                <w:bCs/>
                <w:i/>
              </w:rPr>
            </w:pPr>
            <w:r w:rsidRPr="0020581C">
              <w:rPr>
                <w:rFonts w:ascii="Arial" w:hAnsi="Arial" w:cs="Arial"/>
                <w:bCs/>
                <w:i/>
              </w:rPr>
              <w:t>Of which: denominated in a currency other than the Australian currency</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49FAB317" w14:textId="77777777" w:rsidR="009C340B" w:rsidRPr="0020581C" w:rsidRDefault="009C340B" w:rsidP="0044317F">
            <w:pPr>
              <w:jc w:val="center"/>
              <w:rPr>
                <w:rFonts w:ascii="Arial" w:hAnsi="Arial" w:cs="Arial"/>
                <w:color w:val="000000"/>
              </w:rPr>
            </w:pPr>
          </w:p>
        </w:tc>
      </w:tr>
    </w:tbl>
    <w:p w14:paraId="130F04CE" w14:textId="77777777" w:rsidR="009C340B" w:rsidRDefault="009C340B" w:rsidP="009C340B">
      <w:pPr>
        <w:rPr>
          <w:rFonts w:ascii="Arial" w:hAnsi="Arial" w:cs="Arial"/>
        </w:rPr>
      </w:pPr>
    </w:p>
    <w:tbl>
      <w:tblPr>
        <w:tblW w:w="13892" w:type="dxa"/>
        <w:tblInd w:w="108" w:type="dxa"/>
        <w:tblLook w:val="04A0" w:firstRow="1" w:lastRow="0" w:firstColumn="1" w:lastColumn="0" w:noHBand="0" w:noVBand="1"/>
      </w:tblPr>
      <w:tblGrid>
        <w:gridCol w:w="13892"/>
      </w:tblGrid>
      <w:tr w:rsidR="009C340B" w:rsidRPr="00C82D48" w14:paraId="7DBB15AD" w14:textId="77777777" w:rsidTr="0044317F">
        <w:tc>
          <w:tcPr>
            <w:tcW w:w="8789" w:type="dxa"/>
          </w:tcPr>
          <w:p w14:paraId="42381CF1" w14:textId="77777777" w:rsidR="009C340B" w:rsidRPr="00C82D48" w:rsidRDefault="009C340B" w:rsidP="0044317F">
            <w:pPr>
              <w:rPr>
                <w:rFonts w:ascii="Arial" w:hAnsi="Arial" w:cs="Arial"/>
                <w:b/>
                <w:bCs/>
              </w:rPr>
            </w:pPr>
            <w:r w:rsidRPr="00C82D48">
              <w:rPr>
                <w:rFonts w:ascii="Arial" w:hAnsi="Arial" w:cs="Arial"/>
                <w:b/>
                <w:bCs/>
              </w:rPr>
              <w:t>Section 4: Loans and advances</w:t>
            </w:r>
          </w:p>
        </w:tc>
      </w:tr>
    </w:tbl>
    <w:p w14:paraId="0D3B7CAC" w14:textId="77777777" w:rsidR="009C340B" w:rsidRDefault="009C340B" w:rsidP="009C340B">
      <w:pPr>
        <w:rPr>
          <w:rFonts w:ascii="Arial" w:hAnsi="Arial" w:cs="Arial"/>
        </w:rPr>
      </w:pPr>
    </w:p>
    <w:tbl>
      <w:tblPr>
        <w:tblW w:w="13892" w:type="dxa"/>
        <w:tblInd w:w="108" w:type="dxa"/>
        <w:tblLayout w:type="fixed"/>
        <w:tblLook w:val="04A0" w:firstRow="1" w:lastRow="0" w:firstColumn="1" w:lastColumn="0" w:noHBand="0" w:noVBand="1"/>
      </w:tblPr>
      <w:tblGrid>
        <w:gridCol w:w="6666"/>
        <w:gridCol w:w="1806"/>
        <w:gridCol w:w="1807"/>
        <w:gridCol w:w="1807"/>
        <w:gridCol w:w="1806"/>
      </w:tblGrid>
      <w:tr w:rsidR="009C340B" w:rsidRPr="00FC3309" w14:paraId="2EAE007B" w14:textId="77777777" w:rsidTr="0044317F">
        <w:trPr>
          <w:trHeight w:val="1115"/>
        </w:trPr>
        <w:tc>
          <w:tcPr>
            <w:tcW w:w="6666" w:type="dxa"/>
            <w:tcBorders>
              <w:top w:val="nil"/>
              <w:left w:val="nil"/>
              <w:bottom w:val="nil"/>
              <w:right w:val="nil"/>
            </w:tcBorders>
            <w:shd w:val="clear" w:color="auto" w:fill="auto"/>
            <w:noWrap/>
            <w:vAlign w:val="bottom"/>
            <w:hideMark/>
          </w:tcPr>
          <w:p w14:paraId="3E2A7879" w14:textId="77777777" w:rsidR="009C340B" w:rsidRPr="00FC3309" w:rsidRDefault="009C340B" w:rsidP="0044317F">
            <w:pPr>
              <w:rPr>
                <w:rFonts w:ascii="Arial" w:hAnsi="Arial" w:cs="Arial"/>
                <w:b/>
                <w:bCs/>
              </w:rPr>
            </w:pPr>
          </w:p>
        </w:tc>
        <w:tc>
          <w:tcPr>
            <w:tcW w:w="1806" w:type="dxa"/>
            <w:tcBorders>
              <w:top w:val="single" w:sz="4" w:space="0" w:color="auto"/>
              <w:left w:val="single" w:sz="4" w:space="0" w:color="auto"/>
              <w:bottom w:val="nil"/>
              <w:right w:val="single" w:sz="4" w:space="0" w:color="auto"/>
            </w:tcBorders>
            <w:shd w:val="clear" w:color="auto" w:fill="auto"/>
            <w:vAlign w:val="bottom"/>
            <w:hideMark/>
          </w:tcPr>
          <w:p w14:paraId="7E5C9750" w14:textId="77777777" w:rsidR="009C340B" w:rsidRPr="0044788B" w:rsidRDefault="009C340B" w:rsidP="0044317F">
            <w:pPr>
              <w:jc w:val="center"/>
              <w:rPr>
                <w:rFonts w:ascii="Arial" w:hAnsi="Arial" w:cs="Arial"/>
                <w:b/>
                <w:bCs/>
              </w:rPr>
            </w:pPr>
            <w:r w:rsidRPr="0044788B">
              <w:rPr>
                <w:rFonts w:ascii="Arial" w:hAnsi="Arial" w:cs="Arial"/>
                <w:b/>
                <w:bCs/>
              </w:rPr>
              <w:t>Balance outstanding</w:t>
            </w:r>
          </w:p>
        </w:tc>
        <w:tc>
          <w:tcPr>
            <w:tcW w:w="1807" w:type="dxa"/>
            <w:tcBorders>
              <w:top w:val="single" w:sz="4" w:space="0" w:color="auto"/>
              <w:left w:val="nil"/>
              <w:bottom w:val="nil"/>
              <w:right w:val="single" w:sz="4" w:space="0" w:color="auto"/>
            </w:tcBorders>
            <w:shd w:val="clear" w:color="auto" w:fill="auto"/>
            <w:vAlign w:val="bottom"/>
            <w:hideMark/>
          </w:tcPr>
          <w:p w14:paraId="4125E4B4" w14:textId="77777777" w:rsidR="009C340B" w:rsidRPr="0044788B" w:rsidRDefault="009C340B" w:rsidP="0044317F">
            <w:pPr>
              <w:jc w:val="center"/>
              <w:rPr>
                <w:rFonts w:ascii="Arial" w:hAnsi="Arial" w:cs="Arial"/>
                <w:b/>
                <w:bCs/>
              </w:rPr>
            </w:pPr>
            <w:r w:rsidRPr="0044788B">
              <w:rPr>
                <w:rFonts w:ascii="Arial" w:hAnsi="Arial" w:cs="Arial"/>
                <w:b/>
                <w:bCs/>
              </w:rPr>
              <w:t>Value of security</w:t>
            </w:r>
          </w:p>
        </w:tc>
        <w:tc>
          <w:tcPr>
            <w:tcW w:w="1807" w:type="dxa"/>
            <w:tcBorders>
              <w:top w:val="single" w:sz="4" w:space="0" w:color="auto"/>
              <w:left w:val="nil"/>
              <w:bottom w:val="nil"/>
              <w:right w:val="single" w:sz="4" w:space="0" w:color="auto"/>
            </w:tcBorders>
            <w:shd w:val="clear" w:color="auto" w:fill="auto"/>
            <w:vAlign w:val="bottom"/>
            <w:hideMark/>
          </w:tcPr>
          <w:p w14:paraId="65C3A4FB" w14:textId="77777777" w:rsidR="009C340B" w:rsidRPr="0044788B" w:rsidRDefault="009C340B" w:rsidP="0044317F">
            <w:pPr>
              <w:jc w:val="center"/>
              <w:rPr>
                <w:rFonts w:ascii="Arial" w:hAnsi="Arial" w:cs="Arial"/>
                <w:b/>
                <w:bCs/>
              </w:rPr>
            </w:pPr>
            <w:r w:rsidRPr="0044788B">
              <w:rPr>
                <w:rFonts w:ascii="Arial" w:hAnsi="Arial" w:cs="Arial"/>
                <w:b/>
                <w:bCs/>
              </w:rPr>
              <w:t>Provision for impairment</w:t>
            </w:r>
          </w:p>
        </w:tc>
        <w:tc>
          <w:tcPr>
            <w:tcW w:w="1806" w:type="dxa"/>
            <w:tcBorders>
              <w:top w:val="single" w:sz="4" w:space="0" w:color="auto"/>
              <w:left w:val="nil"/>
              <w:bottom w:val="nil"/>
              <w:right w:val="single" w:sz="4" w:space="0" w:color="auto"/>
            </w:tcBorders>
            <w:shd w:val="clear" w:color="auto" w:fill="auto"/>
            <w:vAlign w:val="bottom"/>
            <w:hideMark/>
          </w:tcPr>
          <w:p w14:paraId="1D9D17FD" w14:textId="77777777" w:rsidR="009C340B" w:rsidRPr="0044788B" w:rsidRDefault="009C340B" w:rsidP="0044317F">
            <w:pPr>
              <w:jc w:val="center"/>
              <w:rPr>
                <w:rFonts w:ascii="Arial" w:hAnsi="Arial" w:cs="Arial"/>
                <w:b/>
                <w:bCs/>
              </w:rPr>
            </w:pPr>
            <w:r w:rsidRPr="0044788B">
              <w:rPr>
                <w:rFonts w:ascii="Arial" w:hAnsi="Arial" w:cs="Arial"/>
                <w:b/>
                <w:bCs/>
              </w:rPr>
              <w:t>Balance outstanding net of provision for impairment</w:t>
            </w:r>
          </w:p>
        </w:tc>
      </w:tr>
      <w:tr w:rsidR="009C340B" w:rsidRPr="00FC3309" w14:paraId="70D3AA77" w14:textId="77777777" w:rsidTr="0044317F">
        <w:trPr>
          <w:trHeight w:val="315"/>
        </w:trPr>
        <w:tc>
          <w:tcPr>
            <w:tcW w:w="6666" w:type="dxa"/>
            <w:tcBorders>
              <w:top w:val="nil"/>
              <w:left w:val="nil"/>
              <w:bottom w:val="nil"/>
              <w:right w:val="nil"/>
            </w:tcBorders>
            <w:shd w:val="clear" w:color="auto" w:fill="auto"/>
            <w:noWrap/>
            <w:vAlign w:val="bottom"/>
            <w:hideMark/>
          </w:tcPr>
          <w:p w14:paraId="645531AB" w14:textId="77777777" w:rsidR="009C340B" w:rsidRPr="0044788B" w:rsidRDefault="009C340B" w:rsidP="0044317F">
            <w:pPr>
              <w:rPr>
                <w:rFonts w:ascii="Arial" w:hAnsi="Arial" w:cs="Arial"/>
                <w:b/>
                <w:bCs/>
              </w:rPr>
            </w:pPr>
          </w:p>
        </w:tc>
        <w:tc>
          <w:tcPr>
            <w:tcW w:w="1806" w:type="dxa"/>
            <w:tcBorders>
              <w:top w:val="nil"/>
              <w:left w:val="single" w:sz="4" w:space="0" w:color="auto"/>
              <w:bottom w:val="single" w:sz="4" w:space="0" w:color="auto"/>
              <w:right w:val="single" w:sz="4" w:space="0" w:color="auto"/>
            </w:tcBorders>
            <w:shd w:val="clear" w:color="auto" w:fill="auto"/>
            <w:vAlign w:val="bottom"/>
            <w:hideMark/>
          </w:tcPr>
          <w:p w14:paraId="335F55CC" w14:textId="77777777" w:rsidR="009C340B" w:rsidRPr="00FC3309" w:rsidRDefault="009C340B" w:rsidP="0044317F">
            <w:pPr>
              <w:jc w:val="center"/>
              <w:rPr>
                <w:rFonts w:ascii="Arial" w:hAnsi="Arial" w:cs="Arial"/>
                <w:b/>
                <w:bCs/>
              </w:rPr>
            </w:pPr>
            <w:r w:rsidRPr="00FC3309">
              <w:rPr>
                <w:rFonts w:ascii="Arial" w:hAnsi="Arial" w:cs="Arial"/>
                <w:b/>
                <w:bCs/>
              </w:rPr>
              <w:t>(1)</w:t>
            </w:r>
          </w:p>
        </w:tc>
        <w:tc>
          <w:tcPr>
            <w:tcW w:w="1807" w:type="dxa"/>
            <w:tcBorders>
              <w:top w:val="nil"/>
              <w:left w:val="nil"/>
              <w:bottom w:val="single" w:sz="4" w:space="0" w:color="auto"/>
              <w:right w:val="single" w:sz="4" w:space="0" w:color="auto"/>
            </w:tcBorders>
            <w:shd w:val="clear" w:color="auto" w:fill="auto"/>
            <w:vAlign w:val="bottom"/>
            <w:hideMark/>
          </w:tcPr>
          <w:p w14:paraId="6B6B436E" w14:textId="77777777" w:rsidR="009C340B" w:rsidRPr="00FC3309" w:rsidRDefault="009C340B" w:rsidP="0044317F">
            <w:pPr>
              <w:jc w:val="center"/>
              <w:rPr>
                <w:rFonts w:ascii="Arial" w:hAnsi="Arial" w:cs="Arial"/>
                <w:b/>
                <w:bCs/>
              </w:rPr>
            </w:pPr>
            <w:r w:rsidRPr="00FC3309">
              <w:rPr>
                <w:rFonts w:ascii="Arial" w:hAnsi="Arial" w:cs="Arial"/>
                <w:b/>
                <w:bCs/>
              </w:rPr>
              <w:t>(2)</w:t>
            </w:r>
          </w:p>
        </w:tc>
        <w:tc>
          <w:tcPr>
            <w:tcW w:w="1807" w:type="dxa"/>
            <w:tcBorders>
              <w:top w:val="nil"/>
              <w:left w:val="nil"/>
              <w:bottom w:val="single" w:sz="4" w:space="0" w:color="auto"/>
              <w:right w:val="single" w:sz="4" w:space="0" w:color="auto"/>
            </w:tcBorders>
            <w:shd w:val="clear" w:color="auto" w:fill="auto"/>
            <w:vAlign w:val="bottom"/>
            <w:hideMark/>
          </w:tcPr>
          <w:p w14:paraId="0D06C861" w14:textId="77777777" w:rsidR="009C340B" w:rsidRPr="00FC3309" w:rsidRDefault="009C340B" w:rsidP="0044317F">
            <w:pPr>
              <w:jc w:val="center"/>
              <w:rPr>
                <w:rFonts w:ascii="Arial" w:hAnsi="Arial" w:cs="Arial"/>
                <w:b/>
                <w:bCs/>
              </w:rPr>
            </w:pPr>
            <w:r w:rsidRPr="00FC3309">
              <w:rPr>
                <w:rFonts w:ascii="Arial" w:hAnsi="Arial" w:cs="Arial"/>
                <w:b/>
                <w:bCs/>
              </w:rPr>
              <w:t>(3)</w:t>
            </w:r>
          </w:p>
        </w:tc>
        <w:tc>
          <w:tcPr>
            <w:tcW w:w="1806" w:type="dxa"/>
            <w:tcBorders>
              <w:top w:val="nil"/>
              <w:left w:val="nil"/>
              <w:bottom w:val="single" w:sz="4" w:space="0" w:color="auto"/>
              <w:right w:val="single" w:sz="4" w:space="0" w:color="auto"/>
            </w:tcBorders>
            <w:shd w:val="clear" w:color="auto" w:fill="auto"/>
            <w:vAlign w:val="bottom"/>
            <w:hideMark/>
          </w:tcPr>
          <w:p w14:paraId="5841D6A0" w14:textId="77777777" w:rsidR="009C340B" w:rsidRPr="00FC3309" w:rsidRDefault="009C340B" w:rsidP="0044317F">
            <w:pPr>
              <w:jc w:val="center"/>
              <w:rPr>
                <w:rFonts w:ascii="Arial" w:hAnsi="Arial" w:cs="Arial"/>
                <w:b/>
                <w:bCs/>
              </w:rPr>
            </w:pPr>
            <w:r w:rsidRPr="00FC3309">
              <w:rPr>
                <w:rFonts w:ascii="Arial" w:hAnsi="Arial" w:cs="Arial"/>
                <w:b/>
                <w:bCs/>
              </w:rPr>
              <w:t>(4)</w:t>
            </w:r>
          </w:p>
        </w:tc>
      </w:tr>
      <w:tr w:rsidR="009C340B" w:rsidRPr="00FC3309" w14:paraId="6D6A5F99" w14:textId="77777777" w:rsidTr="0044317F">
        <w:trPr>
          <w:trHeight w:val="315"/>
        </w:trPr>
        <w:tc>
          <w:tcPr>
            <w:tcW w:w="6666" w:type="dxa"/>
            <w:tcBorders>
              <w:top w:val="nil"/>
              <w:left w:val="nil"/>
              <w:bottom w:val="nil"/>
            </w:tcBorders>
            <w:shd w:val="clear" w:color="auto" w:fill="auto"/>
            <w:noWrap/>
            <w:vAlign w:val="bottom"/>
            <w:hideMark/>
          </w:tcPr>
          <w:p w14:paraId="033F781E" w14:textId="77777777" w:rsidR="009C340B" w:rsidRPr="0044788B" w:rsidRDefault="009C340B" w:rsidP="009C340B">
            <w:pPr>
              <w:numPr>
                <w:ilvl w:val="0"/>
                <w:numId w:val="38"/>
              </w:numPr>
              <w:rPr>
                <w:rFonts w:ascii="Arial" w:hAnsi="Arial" w:cs="Arial"/>
                <w:b/>
                <w:bCs/>
              </w:rPr>
            </w:pPr>
            <w:r w:rsidRPr="0044788B">
              <w:rPr>
                <w:rFonts w:ascii="Arial" w:hAnsi="Arial" w:cs="Arial"/>
                <w:b/>
                <w:bCs/>
              </w:rPr>
              <w:t>Total loans and advances:</w:t>
            </w:r>
          </w:p>
        </w:tc>
        <w:tc>
          <w:tcPr>
            <w:tcW w:w="7226" w:type="dxa"/>
            <w:gridSpan w:val="4"/>
            <w:tcBorders>
              <w:top w:val="single" w:sz="4" w:space="0" w:color="auto"/>
            </w:tcBorders>
            <w:shd w:val="clear" w:color="auto" w:fill="auto"/>
            <w:noWrap/>
            <w:vAlign w:val="bottom"/>
          </w:tcPr>
          <w:p w14:paraId="34EFC521" w14:textId="77777777" w:rsidR="009C340B" w:rsidRPr="00FC3309" w:rsidRDefault="009C340B" w:rsidP="0044317F">
            <w:pPr>
              <w:jc w:val="center"/>
              <w:rPr>
                <w:rFonts w:ascii="Arial" w:hAnsi="Arial" w:cs="Arial"/>
                <w:color w:val="000000"/>
              </w:rPr>
            </w:pPr>
          </w:p>
        </w:tc>
      </w:tr>
      <w:tr w:rsidR="009C340B" w:rsidRPr="00FC3309" w14:paraId="1AAA09AE" w14:textId="77777777" w:rsidTr="0044317F">
        <w:trPr>
          <w:trHeight w:val="315"/>
        </w:trPr>
        <w:tc>
          <w:tcPr>
            <w:tcW w:w="6666" w:type="dxa"/>
            <w:tcBorders>
              <w:top w:val="nil"/>
              <w:left w:val="nil"/>
              <w:bottom w:val="nil"/>
              <w:right w:val="nil"/>
            </w:tcBorders>
            <w:shd w:val="clear" w:color="auto" w:fill="auto"/>
            <w:noWrap/>
            <w:vAlign w:val="bottom"/>
            <w:hideMark/>
          </w:tcPr>
          <w:p w14:paraId="24E274E8" w14:textId="77777777" w:rsidR="009C340B" w:rsidRPr="0044788B" w:rsidRDefault="009C340B" w:rsidP="009C340B">
            <w:pPr>
              <w:numPr>
                <w:ilvl w:val="1"/>
                <w:numId w:val="38"/>
              </w:numPr>
              <w:rPr>
                <w:rFonts w:ascii="Arial" w:hAnsi="Arial" w:cs="Arial"/>
                <w:bCs/>
              </w:rPr>
            </w:pPr>
            <w:r w:rsidRPr="0044788B">
              <w:rPr>
                <w:rFonts w:ascii="Arial" w:hAnsi="Arial" w:cs="Arial"/>
                <w:bCs/>
              </w:rPr>
              <w:t>Households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BB9BB" w14:textId="77777777" w:rsidR="009C340B" w:rsidRPr="00D32DEA" w:rsidRDefault="009C340B" w:rsidP="0044317F">
            <w:pPr>
              <w:jc w:val="center"/>
              <w:rPr>
                <w:rFonts w:ascii="Arial" w:hAnsi="Arial" w:cs="Arial"/>
                <w:color w:val="000000"/>
              </w:rPr>
            </w:pPr>
          </w:p>
        </w:tc>
        <w:tc>
          <w:tcPr>
            <w:tcW w:w="1807" w:type="dxa"/>
            <w:tcBorders>
              <w:top w:val="nil"/>
              <w:left w:val="single" w:sz="4" w:space="0" w:color="auto"/>
              <w:right w:val="single" w:sz="4" w:space="0" w:color="auto"/>
            </w:tcBorders>
            <w:shd w:val="clear" w:color="auto" w:fill="auto"/>
            <w:noWrap/>
            <w:vAlign w:val="bottom"/>
          </w:tcPr>
          <w:p w14:paraId="3D00FF6B" w14:textId="77777777" w:rsidR="009C340B" w:rsidRPr="00FC3309" w:rsidRDefault="009C340B" w:rsidP="0044317F">
            <w:pPr>
              <w:jc w:val="center"/>
              <w:rPr>
                <w:rFonts w:ascii="Arial" w:hAnsi="Arial" w:cs="Arial"/>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38675"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5A277F" w14:textId="77777777" w:rsidR="009C340B" w:rsidRPr="00D32DEA" w:rsidRDefault="009C340B" w:rsidP="0044317F">
            <w:pPr>
              <w:jc w:val="center"/>
              <w:rPr>
                <w:rFonts w:ascii="Arial" w:hAnsi="Arial" w:cs="Arial"/>
                <w:color w:val="000000"/>
              </w:rPr>
            </w:pPr>
          </w:p>
        </w:tc>
      </w:tr>
      <w:tr w:rsidR="009C340B" w:rsidRPr="00FC3309" w14:paraId="3F4A65DD" w14:textId="77777777" w:rsidTr="0044317F">
        <w:trPr>
          <w:trHeight w:val="315"/>
        </w:trPr>
        <w:tc>
          <w:tcPr>
            <w:tcW w:w="6666" w:type="dxa"/>
            <w:tcBorders>
              <w:top w:val="nil"/>
              <w:left w:val="nil"/>
              <w:bottom w:val="nil"/>
              <w:right w:val="nil"/>
            </w:tcBorders>
            <w:shd w:val="clear" w:color="auto" w:fill="auto"/>
            <w:noWrap/>
            <w:vAlign w:val="bottom"/>
            <w:hideMark/>
          </w:tcPr>
          <w:p w14:paraId="08422A30" w14:textId="77777777" w:rsidR="009C340B" w:rsidRPr="0044788B" w:rsidRDefault="009C340B" w:rsidP="009C340B">
            <w:pPr>
              <w:numPr>
                <w:ilvl w:val="1"/>
                <w:numId w:val="38"/>
              </w:numPr>
              <w:rPr>
                <w:rFonts w:ascii="Arial" w:hAnsi="Arial" w:cs="Arial"/>
                <w:bCs/>
              </w:rPr>
            </w:pPr>
            <w:r w:rsidRPr="0044788B">
              <w:rPr>
                <w:rFonts w:ascii="Arial" w:hAnsi="Arial" w:cs="Arial"/>
                <w:bCs/>
              </w:rPr>
              <w:t>Private unincorporated businesses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91BF9" w14:textId="77777777" w:rsidR="009C340B" w:rsidRPr="00D32DEA" w:rsidRDefault="009C340B" w:rsidP="0044317F">
            <w:pPr>
              <w:jc w:val="center"/>
              <w:rPr>
                <w:rFonts w:ascii="Arial" w:hAnsi="Arial" w:cs="Arial"/>
                <w:color w:val="000000"/>
              </w:rPr>
            </w:pPr>
          </w:p>
        </w:tc>
        <w:tc>
          <w:tcPr>
            <w:tcW w:w="1807" w:type="dxa"/>
            <w:tcBorders>
              <w:top w:val="nil"/>
              <w:left w:val="nil"/>
              <w:bottom w:val="nil"/>
              <w:right w:val="single" w:sz="4" w:space="0" w:color="auto"/>
            </w:tcBorders>
            <w:shd w:val="clear" w:color="auto" w:fill="auto"/>
            <w:noWrap/>
            <w:vAlign w:val="bottom"/>
          </w:tcPr>
          <w:p w14:paraId="0E930391" w14:textId="77777777" w:rsidR="009C340B" w:rsidRPr="00FC3309"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8FC7890"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48AA1091" w14:textId="77777777" w:rsidR="009C340B" w:rsidRPr="00D32DEA" w:rsidRDefault="009C340B" w:rsidP="0044317F">
            <w:pPr>
              <w:jc w:val="center"/>
              <w:rPr>
                <w:rFonts w:ascii="Arial" w:hAnsi="Arial" w:cs="Arial"/>
                <w:color w:val="000000"/>
              </w:rPr>
            </w:pPr>
          </w:p>
        </w:tc>
      </w:tr>
      <w:tr w:rsidR="009C340B" w:rsidRPr="00FC3309" w14:paraId="5BCE7BC9" w14:textId="77777777" w:rsidTr="0044317F">
        <w:trPr>
          <w:trHeight w:val="315"/>
        </w:trPr>
        <w:tc>
          <w:tcPr>
            <w:tcW w:w="6666" w:type="dxa"/>
            <w:tcBorders>
              <w:top w:val="nil"/>
              <w:left w:val="nil"/>
              <w:bottom w:val="nil"/>
              <w:right w:val="nil"/>
            </w:tcBorders>
            <w:shd w:val="clear" w:color="auto" w:fill="auto"/>
            <w:noWrap/>
            <w:vAlign w:val="bottom"/>
          </w:tcPr>
          <w:p w14:paraId="2432AB4D" w14:textId="77777777" w:rsidR="009C340B" w:rsidRPr="0044788B" w:rsidRDefault="009C340B" w:rsidP="009C340B">
            <w:pPr>
              <w:numPr>
                <w:ilvl w:val="1"/>
                <w:numId w:val="38"/>
              </w:numPr>
              <w:rPr>
                <w:rFonts w:ascii="Arial" w:hAnsi="Arial" w:cs="Arial"/>
                <w:bCs/>
              </w:rPr>
            </w:pPr>
            <w:r w:rsidRPr="0044788B">
              <w:rPr>
                <w:rFonts w:ascii="Arial" w:hAnsi="Arial" w:cs="Arial"/>
                <w:bCs/>
              </w:rPr>
              <w:t>Private trading corporations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25E8C" w14:textId="77777777" w:rsidR="009C340B" w:rsidRPr="00D32DEA" w:rsidRDefault="009C340B" w:rsidP="0044317F">
            <w:pPr>
              <w:jc w:val="center"/>
              <w:rPr>
                <w:rFonts w:ascii="Arial" w:hAnsi="Arial" w:cs="Arial"/>
                <w:color w:val="000000"/>
              </w:rPr>
            </w:pPr>
          </w:p>
        </w:tc>
        <w:tc>
          <w:tcPr>
            <w:tcW w:w="1807" w:type="dxa"/>
            <w:tcBorders>
              <w:top w:val="nil"/>
              <w:left w:val="nil"/>
              <w:right w:val="single" w:sz="4" w:space="0" w:color="auto"/>
            </w:tcBorders>
            <w:shd w:val="clear" w:color="auto" w:fill="auto"/>
            <w:noWrap/>
            <w:vAlign w:val="bottom"/>
          </w:tcPr>
          <w:p w14:paraId="7551F5D3" w14:textId="77777777" w:rsidR="009C340B" w:rsidRPr="00FC3309"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4509F1A"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03F4A79A" w14:textId="77777777" w:rsidR="009C340B" w:rsidRPr="00D32DEA" w:rsidRDefault="009C340B" w:rsidP="0044317F">
            <w:pPr>
              <w:jc w:val="center"/>
              <w:rPr>
                <w:rFonts w:ascii="Arial" w:hAnsi="Arial" w:cs="Arial"/>
                <w:color w:val="000000"/>
              </w:rPr>
            </w:pPr>
          </w:p>
        </w:tc>
      </w:tr>
      <w:tr w:rsidR="009C340B" w:rsidRPr="00FC3309" w14:paraId="7B31C819" w14:textId="77777777" w:rsidTr="0044317F">
        <w:trPr>
          <w:trHeight w:val="315"/>
        </w:trPr>
        <w:tc>
          <w:tcPr>
            <w:tcW w:w="6666" w:type="dxa"/>
            <w:tcBorders>
              <w:top w:val="nil"/>
              <w:left w:val="nil"/>
              <w:bottom w:val="nil"/>
              <w:right w:val="nil"/>
            </w:tcBorders>
            <w:shd w:val="clear" w:color="auto" w:fill="auto"/>
            <w:noWrap/>
            <w:vAlign w:val="bottom"/>
          </w:tcPr>
          <w:p w14:paraId="1B6FBABE" w14:textId="77777777" w:rsidR="009C340B" w:rsidRPr="0044788B" w:rsidRDefault="009C340B" w:rsidP="009C340B">
            <w:pPr>
              <w:numPr>
                <w:ilvl w:val="1"/>
                <w:numId w:val="38"/>
              </w:numPr>
              <w:rPr>
                <w:rFonts w:ascii="Arial" w:hAnsi="Arial" w:cs="Arial"/>
                <w:bCs/>
              </w:rPr>
            </w:pPr>
            <w:r w:rsidRPr="0044788B">
              <w:rPr>
                <w:rFonts w:ascii="Arial" w:hAnsi="Arial" w:cs="Arial"/>
                <w:bCs/>
              </w:rPr>
              <w:t>Other</w:t>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5BD401" w14:textId="77777777" w:rsidR="009C340B" w:rsidRPr="00D32DEA" w:rsidRDefault="009C340B" w:rsidP="0044317F">
            <w:pPr>
              <w:jc w:val="center"/>
              <w:rPr>
                <w:rFonts w:ascii="Arial" w:hAnsi="Arial" w:cs="Arial"/>
                <w:color w:val="000000"/>
              </w:rPr>
            </w:pPr>
          </w:p>
        </w:tc>
        <w:tc>
          <w:tcPr>
            <w:tcW w:w="1807" w:type="dxa"/>
            <w:tcBorders>
              <w:top w:val="nil"/>
              <w:left w:val="nil"/>
              <w:right w:val="single" w:sz="4" w:space="0" w:color="auto"/>
            </w:tcBorders>
            <w:shd w:val="clear" w:color="auto" w:fill="auto"/>
            <w:noWrap/>
            <w:vAlign w:val="bottom"/>
          </w:tcPr>
          <w:p w14:paraId="65E1010E" w14:textId="77777777" w:rsidR="009C340B" w:rsidRPr="00FC3309"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03F25600"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D9DE4C" w14:textId="77777777" w:rsidR="009C340B" w:rsidRPr="00D32DEA" w:rsidRDefault="009C340B" w:rsidP="0044317F">
            <w:pPr>
              <w:jc w:val="center"/>
              <w:rPr>
                <w:rFonts w:ascii="Arial" w:hAnsi="Arial" w:cs="Arial"/>
                <w:color w:val="000000"/>
              </w:rPr>
            </w:pPr>
          </w:p>
        </w:tc>
      </w:tr>
      <w:tr w:rsidR="009C340B" w:rsidRPr="00FC3309" w14:paraId="018AFC63" w14:textId="77777777" w:rsidTr="0044317F">
        <w:trPr>
          <w:trHeight w:val="315"/>
        </w:trPr>
        <w:tc>
          <w:tcPr>
            <w:tcW w:w="6666" w:type="dxa"/>
            <w:tcBorders>
              <w:top w:val="nil"/>
              <w:left w:val="nil"/>
              <w:right w:val="nil"/>
            </w:tcBorders>
            <w:shd w:val="clear" w:color="auto" w:fill="auto"/>
            <w:noWrap/>
            <w:vAlign w:val="bottom"/>
          </w:tcPr>
          <w:p w14:paraId="3FD653A8" w14:textId="77777777" w:rsidR="009C340B" w:rsidRPr="0044788B" w:rsidRDefault="009C340B" w:rsidP="009C340B">
            <w:pPr>
              <w:numPr>
                <w:ilvl w:val="1"/>
                <w:numId w:val="38"/>
              </w:numPr>
              <w:rPr>
                <w:rFonts w:ascii="Arial" w:hAnsi="Arial" w:cs="Arial"/>
                <w:bCs/>
              </w:rPr>
            </w:pPr>
            <w:r w:rsidRPr="0044788B">
              <w:rPr>
                <w:rFonts w:ascii="Arial" w:hAnsi="Arial" w:cs="Arial"/>
                <w:bCs/>
              </w:rPr>
              <w:t>Total loans and advances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42615" w14:textId="77777777" w:rsidR="009C340B" w:rsidRPr="00D32DEA" w:rsidRDefault="009C340B" w:rsidP="0044317F">
            <w:pPr>
              <w:jc w:val="center"/>
              <w:rPr>
                <w:rFonts w:ascii="Arial" w:hAnsi="Arial" w:cs="Arial"/>
                <w:color w:val="000000"/>
              </w:rPr>
            </w:pPr>
          </w:p>
        </w:tc>
        <w:tc>
          <w:tcPr>
            <w:tcW w:w="1807" w:type="dxa"/>
            <w:tcBorders>
              <w:top w:val="nil"/>
              <w:left w:val="nil"/>
              <w:right w:val="single" w:sz="4" w:space="0" w:color="auto"/>
            </w:tcBorders>
            <w:shd w:val="clear" w:color="auto" w:fill="auto"/>
            <w:noWrap/>
            <w:vAlign w:val="bottom"/>
          </w:tcPr>
          <w:p w14:paraId="6345A322" w14:textId="77777777" w:rsidR="009C340B" w:rsidRPr="00FC3309"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1902F57"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74C3DF" w14:textId="77777777" w:rsidR="009C340B" w:rsidRPr="00D32DEA" w:rsidRDefault="009C340B" w:rsidP="0044317F">
            <w:pPr>
              <w:jc w:val="center"/>
              <w:rPr>
                <w:rFonts w:ascii="Arial" w:hAnsi="Arial" w:cs="Arial"/>
                <w:color w:val="000000"/>
              </w:rPr>
            </w:pPr>
          </w:p>
        </w:tc>
      </w:tr>
      <w:tr w:rsidR="009C340B" w:rsidRPr="00FC3309" w14:paraId="5F76DF1C" w14:textId="77777777" w:rsidTr="0044317F">
        <w:trPr>
          <w:trHeight w:val="315"/>
        </w:trPr>
        <w:tc>
          <w:tcPr>
            <w:tcW w:w="13892" w:type="dxa"/>
            <w:gridSpan w:val="5"/>
            <w:tcBorders>
              <w:top w:val="nil"/>
              <w:left w:val="nil"/>
              <w:bottom w:val="nil"/>
            </w:tcBorders>
            <w:shd w:val="clear" w:color="auto" w:fill="auto"/>
            <w:noWrap/>
            <w:vAlign w:val="bottom"/>
          </w:tcPr>
          <w:p w14:paraId="4C010DAF" w14:textId="77777777" w:rsidR="009C340B" w:rsidRPr="00D32DEA" w:rsidRDefault="009C340B" w:rsidP="0044317F">
            <w:pPr>
              <w:rPr>
                <w:rFonts w:ascii="Arial" w:hAnsi="Arial" w:cs="Arial"/>
                <w:color w:val="000000"/>
              </w:rPr>
            </w:pPr>
          </w:p>
        </w:tc>
      </w:tr>
      <w:tr w:rsidR="009C340B" w:rsidRPr="00FC3309" w14:paraId="0CA8B2A1" w14:textId="77777777" w:rsidTr="0044317F">
        <w:trPr>
          <w:trHeight w:val="315"/>
        </w:trPr>
        <w:tc>
          <w:tcPr>
            <w:tcW w:w="6666" w:type="dxa"/>
            <w:tcBorders>
              <w:left w:val="nil"/>
              <w:bottom w:val="nil"/>
            </w:tcBorders>
            <w:shd w:val="clear" w:color="auto" w:fill="auto"/>
            <w:noWrap/>
            <w:vAlign w:val="bottom"/>
            <w:hideMark/>
          </w:tcPr>
          <w:p w14:paraId="6E5A0B69" w14:textId="77777777" w:rsidR="009C340B" w:rsidRPr="0044788B" w:rsidRDefault="009C340B" w:rsidP="009C340B">
            <w:pPr>
              <w:numPr>
                <w:ilvl w:val="0"/>
                <w:numId w:val="38"/>
              </w:numPr>
              <w:rPr>
                <w:rFonts w:ascii="Arial" w:hAnsi="Arial" w:cs="Arial"/>
                <w:b/>
                <w:bCs/>
              </w:rPr>
            </w:pPr>
            <w:r w:rsidRPr="00D32DEA">
              <w:rPr>
                <w:rFonts w:ascii="Arial" w:hAnsi="Arial" w:cs="Arial"/>
                <w:b/>
                <w:bCs/>
              </w:rPr>
              <w:t>Total loans and advances which:</w:t>
            </w:r>
          </w:p>
        </w:tc>
        <w:tc>
          <w:tcPr>
            <w:tcW w:w="7226" w:type="dxa"/>
            <w:gridSpan w:val="4"/>
            <w:shd w:val="clear" w:color="auto" w:fill="auto"/>
            <w:noWrap/>
            <w:vAlign w:val="bottom"/>
          </w:tcPr>
          <w:p w14:paraId="0F74BDF9" w14:textId="77777777" w:rsidR="009C340B" w:rsidRPr="00FC3309" w:rsidRDefault="009C340B" w:rsidP="0044317F">
            <w:pPr>
              <w:jc w:val="center"/>
              <w:rPr>
                <w:rFonts w:ascii="Arial" w:hAnsi="Arial" w:cs="Arial"/>
                <w:color w:val="000000"/>
              </w:rPr>
            </w:pPr>
          </w:p>
        </w:tc>
      </w:tr>
      <w:tr w:rsidR="009C340B" w:rsidRPr="00FC3309" w14:paraId="4B222753" w14:textId="77777777" w:rsidTr="0044317F">
        <w:trPr>
          <w:trHeight w:val="315"/>
        </w:trPr>
        <w:tc>
          <w:tcPr>
            <w:tcW w:w="6666" w:type="dxa"/>
            <w:tcBorders>
              <w:top w:val="nil"/>
              <w:left w:val="nil"/>
              <w:bottom w:val="nil"/>
              <w:right w:val="nil"/>
            </w:tcBorders>
            <w:shd w:val="clear" w:color="auto" w:fill="auto"/>
            <w:noWrap/>
            <w:vAlign w:val="bottom"/>
            <w:hideMark/>
          </w:tcPr>
          <w:p w14:paraId="3ED994AB" w14:textId="77777777" w:rsidR="009C340B" w:rsidRPr="0044788B" w:rsidRDefault="009C340B" w:rsidP="009C340B">
            <w:pPr>
              <w:numPr>
                <w:ilvl w:val="1"/>
                <w:numId w:val="38"/>
              </w:numPr>
              <w:rPr>
                <w:rFonts w:ascii="Arial" w:hAnsi="Arial" w:cs="Arial"/>
                <w:bCs/>
              </w:rPr>
            </w:pPr>
            <w:r w:rsidRPr="00D32DEA">
              <w:rPr>
                <w:rFonts w:ascii="Arial" w:hAnsi="Arial" w:cs="Arial"/>
                <w:bCs/>
              </w:rPr>
              <w:t>Are contracted at fixed rates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93738" w14:textId="77777777" w:rsidR="009C340B" w:rsidRPr="00D32DEA" w:rsidRDefault="009C340B" w:rsidP="0044317F">
            <w:pPr>
              <w:jc w:val="center"/>
              <w:rPr>
                <w:rFonts w:ascii="Arial" w:hAnsi="Arial" w:cs="Arial"/>
                <w:color w:val="000000"/>
              </w:rPr>
            </w:pPr>
          </w:p>
        </w:tc>
        <w:tc>
          <w:tcPr>
            <w:tcW w:w="1807" w:type="dxa"/>
            <w:tcBorders>
              <w:top w:val="nil"/>
              <w:left w:val="single" w:sz="4" w:space="0" w:color="auto"/>
            </w:tcBorders>
            <w:shd w:val="clear" w:color="auto" w:fill="auto"/>
            <w:noWrap/>
            <w:vAlign w:val="bottom"/>
          </w:tcPr>
          <w:p w14:paraId="143823AE" w14:textId="77777777" w:rsidR="009C340B" w:rsidRPr="00D32DEA" w:rsidRDefault="009C340B" w:rsidP="0044317F">
            <w:pPr>
              <w:jc w:val="center"/>
              <w:rPr>
                <w:rFonts w:ascii="Arial" w:hAnsi="Arial" w:cs="Arial"/>
                <w:color w:val="000000"/>
              </w:rPr>
            </w:pPr>
          </w:p>
        </w:tc>
        <w:tc>
          <w:tcPr>
            <w:tcW w:w="1807" w:type="dxa"/>
            <w:tcBorders>
              <w:right w:val="single" w:sz="4" w:space="0" w:color="auto"/>
            </w:tcBorders>
            <w:shd w:val="clear" w:color="auto" w:fill="auto"/>
            <w:noWrap/>
            <w:vAlign w:val="bottom"/>
          </w:tcPr>
          <w:p w14:paraId="48BD96DD"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516F28" w14:textId="77777777" w:rsidR="009C340B" w:rsidRPr="00D32DEA" w:rsidRDefault="009C340B" w:rsidP="0044317F">
            <w:pPr>
              <w:jc w:val="center"/>
              <w:rPr>
                <w:rFonts w:ascii="Arial" w:hAnsi="Arial" w:cs="Arial"/>
                <w:color w:val="000000"/>
              </w:rPr>
            </w:pPr>
          </w:p>
        </w:tc>
      </w:tr>
      <w:tr w:rsidR="009C340B" w:rsidRPr="00FC3309" w14:paraId="121F7B37" w14:textId="77777777" w:rsidTr="0044317F">
        <w:trPr>
          <w:trHeight w:val="315"/>
        </w:trPr>
        <w:tc>
          <w:tcPr>
            <w:tcW w:w="6666" w:type="dxa"/>
            <w:tcBorders>
              <w:top w:val="nil"/>
              <w:left w:val="nil"/>
              <w:bottom w:val="nil"/>
              <w:right w:val="nil"/>
            </w:tcBorders>
            <w:shd w:val="clear" w:color="auto" w:fill="auto"/>
            <w:noWrap/>
            <w:vAlign w:val="bottom"/>
            <w:hideMark/>
          </w:tcPr>
          <w:p w14:paraId="784B742A" w14:textId="77777777" w:rsidR="009C340B" w:rsidRPr="0044788B" w:rsidRDefault="009C340B" w:rsidP="009C340B">
            <w:pPr>
              <w:numPr>
                <w:ilvl w:val="1"/>
                <w:numId w:val="38"/>
              </w:numPr>
              <w:rPr>
                <w:rFonts w:ascii="Arial" w:hAnsi="Arial" w:cs="Arial"/>
                <w:bCs/>
              </w:rPr>
            </w:pPr>
            <w:r w:rsidRPr="00D32DEA">
              <w:rPr>
                <w:rFonts w:ascii="Arial" w:hAnsi="Arial" w:cs="Arial"/>
                <w:bCs/>
              </w:rPr>
              <w:t>Are contracted on a variable rate basis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4675F" w14:textId="77777777" w:rsidR="009C340B" w:rsidRPr="00D32DEA" w:rsidRDefault="009C340B" w:rsidP="0044317F">
            <w:pPr>
              <w:jc w:val="center"/>
              <w:rPr>
                <w:rFonts w:ascii="Arial" w:hAnsi="Arial" w:cs="Arial"/>
                <w:color w:val="000000"/>
              </w:rPr>
            </w:pPr>
          </w:p>
        </w:tc>
        <w:tc>
          <w:tcPr>
            <w:tcW w:w="1807" w:type="dxa"/>
            <w:tcBorders>
              <w:top w:val="nil"/>
              <w:left w:val="nil"/>
            </w:tcBorders>
            <w:shd w:val="clear" w:color="auto" w:fill="auto"/>
            <w:noWrap/>
            <w:vAlign w:val="bottom"/>
          </w:tcPr>
          <w:p w14:paraId="00EE6196" w14:textId="77777777" w:rsidR="009C340B" w:rsidRPr="00D32DEA" w:rsidRDefault="009C340B" w:rsidP="0044317F">
            <w:pPr>
              <w:jc w:val="center"/>
              <w:rPr>
                <w:rFonts w:ascii="Arial" w:hAnsi="Arial" w:cs="Arial"/>
                <w:color w:val="000000"/>
              </w:rPr>
            </w:pPr>
          </w:p>
        </w:tc>
        <w:tc>
          <w:tcPr>
            <w:tcW w:w="1807" w:type="dxa"/>
            <w:tcBorders>
              <w:bottom w:val="single" w:sz="4" w:space="0" w:color="auto"/>
              <w:right w:val="single" w:sz="4" w:space="0" w:color="auto"/>
            </w:tcBorders>
            <w:shd w:val="clear" w:color="auto" w:fill="auto"/>
            <w:noWrap/>
            <w:vAlign w:val="bottom"/>
          </w:tcPr>
          <w:p w14:paraId="54226234"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461E43E5" w14:textId="77777777" w:rsidR="009C340B" w:rsidRPr="00D32DEA" w:rsidRDefault="009C340B" w:rsidP="0044317F">
            <w:pPr>
              <w:jc w:val="center"/>
              <w:rPr>
                <w:rFonts w:ascii="Arial" w:hAnsi="Arial" w:cs="Arial"/>
                <w:color w:val="000000"/>
              </w:rPr>
            </w:pPr>
          </w:p>
        </w:tc>
      </w:tr>
      <w:tr w:rsidR="009C340B" w:rsidRPr="00FC3309" w14:paraId="3854ECF9" w14:textId="77777777" w:rsidTr="0044317F">
        <w:trPr>
          <w:trHeight w:val="315"/>
        </w:trPr>
        <w:tc>
          <w:tcPr>
            <w:tcW w:w="6666" w:type="dxa"/>
            <w:tcBorders>
              <w:top w:val="nil"/>
              <w:left w:val="nil"/>
              <w:bottom w:val="nil"/>
              <w:right w:val="nil"/>
            </w:tcBorders>
            <w:shd w:val="clear" w:color="auto" w:fill="auto"/>
            <w:noWrap/>
            <w:vAlign w:val="bottom"/>
          </w:tcPr>
          <w:p w14:paraId="5CC6AA58" w14:textId="77777777" w:rsidR="009C340B" w:rsidRPr="0044788B" w:rsidRDefault="009C340B" w:rsidP="009C340B">
            <w:pPr>
              <w:numPr>
                <w:ilvl w:val="1"/>
                <w:numId w:val="38"/>
              </w:numPr>
              <w:rPr>
                <w:rFonts w:ascii="Arial" w:hAnsi="Arial" w:cs="Arial"/>
                <w:bCs/>
              </w:rPr>
            </w:pPr>
            <w:r w:rsidRPr="00D32DEA">
              <w:rPr>
                <w:rFonts w:ascii="Arial" w:hAnsi="Arial" w:cs="Arial"/>
                <w:bCs/>
              </w:rPr>
              <w:t>Are contracted on an unsecured basis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1E91B" w14:textId="77777777" w:rsidR="009C340B" w:rsidRPr="00D32DEA" w:rsidRDefault="009C340B" w:rsidP="0044317F">
            <w:pPr>
              <w:jc w:val="center"/>
              <w:rPr>
                <w:rFonts w:ascii="Arial" w:hAnsi="Arial" w:cs="Arial"/>
                <w:color w:val="000000"/>
              </w:rPr>
            </w:pPr>
          </w:p>
        </w:tc>
        <w:tc>
          <w:tcPr>
            <w:tcW w:w="1807" w:type="dxa"/>
            <w:tcBorders>
              <w:left w:val="nil"/>
              <w:bottom w:val="single" w:sz="4" w:space="0" w:color="auto"/>
              <w:right w:val="single" w:sz="4" w:space="0" w:color="auto"/>
            </w:tcBorders>
            <w:shd w:val="clear" w:color="auto" w:fill="auto"/>
            <w:noWrap/>
            <w:vAlign w:val="bottom"/>
          </w:tcPr>
          <w:p w14:paraId="2ED8834E" w14:textId="77777777" w:rsidR="009C340B" w:rsidRPr="00D32DEA"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433220A7"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751B6DEC" w14:textId="77777777" w:rsidR="009C340B" w:rsidRPr="00D32DEA" w:rsidRDefault="009C340B" w:rsidP="0044317F">
            <w:pPr>
              <w:jc w:val="center"/>
              <w:rPr>
                <w:rFonts w:ascii="Arial" w:hAnsi="Arial" w:cs="Arial"/>
                <w:color w:val="000000"/>
              </w:rPr>
            </w:pPr>
          </w:p>
        </w:tc>
      </w:tr>
      <w:tr w:rsidR="009C340B" w:rsidRPr="00FC3309" w14:paraId="4CBD40D8" w14:textId="77777777" w:rsidTr="0044317F">
        <w:trPr>
          <w:trHeight w:val="315"/>
        </w:trPr>
        <w:tc>
          <w:tcPr>
            <w:tcW w:w="6666" w:type="dxa"/>
            <w:tcBorders>
              <w:top w:val="nil"/>
              <w:left w:val="nil"/>
              <w:bottom w:val="nil"/>
              <w:right w:val="nil"/>
            </w:tcBorders>
            <w:shd w:val="clear" w:color="auto" w:fill="auto"/>
            <w:noWrap/>
            <w:vAlign w:val="bottom"/>
          </w:tcPr>
          <w:p w14:paraId="2D13D836" w14:textId="77777777" w:rsidR="009C340B" w:rsidRPr="0044788B" w:rsidRDefault="009C340B" w:rsidP="009C340B">
            <w:pPr>
              <w:numPr>
                <w:ilvl w:val="1"/>
                <w:numId w:val="38"/>
              </w:numPr>
              <w:rPr>
                <w:rFonts w:ascii="Arial" w:hAnsi="Arial" w:cs="Arial"/>
                <w:bCs/>
              </w:rPr>
            </w:pPr>
            <w:r w:rsidRPr="00D32DEA">
              <w:rPr>
                <w:rFonts w:ascii="Arial" w:hAnsi="Arial" w:cs="Arial"/>
                <w:bCs/>
              </w:rPr>
              <w:t>Repayment is past due date 90 days or more but &lt; 1 year</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A5B98" w14:textId="77777777" w:rsidR="009C340B" w:rsidRPr="00D32DEA"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E78B71A" w14:textId="77777777" w:rsidR="009C340B" w:rsidRPr="00D32DEA"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815350A"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A09D3F" w14:textId="77777777" w:rsidR="009C340B" w:rsidRPr="00D32DEA" w:rsidRDefault="009C340B" w:rsidP="0044317F">
            <w:pPr>
              <w:jc w:val="center"/>
              <w:rPr>
                <w:rFonts w:ascii="Arial" w:hAnsi="Arial" w:cs="Arial"/>
                <w:color w:val="000000"/>
              </w:rPr>
            </w:pPr>
          </w:p>
        </w:tc>
      </w:tr>
      <w:tr w:rsidR="009C340B" w:rsidRPr="00FC3309" w14:paraId="0D8C2E7D" w14:textId="77777777" w:rsidTr="0044317F">
        <w:trPr>
          <w:trHeight w:val="315"/>
        </w:trPr>
        <w:tc>
          <w:tcPr>
            <w:tcW w:w="6666" w:type="dxa"/>
            <w:tcBorders>
              <w:top w:val="nil"/>
              <w:left w:val="nil"/>
              <w:bottom w:val="nil"/>
              <w:right w:val="nil"/>
            </w:tcBorders>
            <w:shd w:val="clear" w:color="auto" w:fill="auto"/>
            <w:noWrap/>
            <w:vAlign w:val="bottom"/>
          </w:tcPr>
          <w:p w14:paraId="136D78D6" w14:textId="77777777" w:rsidR="009C340B" w:rsidRPr="0044788B" w:rsidRDefault="009C340B" w:rsidP="009C340B">
            <w:pPr>
              <w:numPr>
                <w:ilvl w:val="1"/>
                <w:numId w:val="38"/>
              </w:numPr>
              <w:rPr>
                <w:rFonts w:ascii="Arial" w:hAnsi="Arial" w:cs="Arial"/>
                <w:bCs/>
              </w:rPr>
            </w:pPr>
            <w:r w:rsidRPr="00D32DEA">
              <w:rPr>
                <w:rFonts w:ascii="Arial" w:hAnsi="Arial" w:cs="Arial"/>
                <w:bCs/>
              </w:rPr>
              <w:t>Repayment is past due date 1 year or more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15F77" w14:textId="77777777" w:rsidR="009C340B" w:rsidRPr="00D32DEA"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A783B23" w14:textId="77777777" w:rsidR="009C340B" w:rsidRPr="00D32DEA"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1817E90"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E133C7" w14:textId="77777777" w:rsidR="009C340B" w:rsidRPr="00D32DEA" w:rsidRDefault="009C340B" w:rsidP="0044317F">
            <w:pPr>
              <w:jc w:val="center"/>
              <w:rPr>
                <w:rFonts w:ascii="Arial" w:hAnsi="Arial" w:cs="Arial"/>
                <w:color w:val="000000"/>
              </w:rPr>
            </w:pPr>
          </w:p>
        </w:tc>
      </w:tr>
      <w:tr w:rsidR="009C340B" w:rsidRPr="00FC3309" w14:paraId="41B31CFD" w14:textId="77777777" w:rsidTr="0044317F">
        <w:trPr>
          <w:trHeight w:val="315"/>
        </w:trPr>
        <w:tc>
          <w:tcPr>
            <w:tcW w:w="6666" w:type="dxa"/>
            <w:tcBorders>
              <w:top w:val="nil"/>
              <w:left w:val="nil"/>
              <w:bottom w:val="nil"/>
              <w:right w:val="nil"/>
            </w:tcBorders>
            <w:shd w:val="clear" w:color="auto" w:fill="auto"/>
            <w:noWrap/>
            <w:vAlign w:val="bottom"/>
          </w:tcPr>
          <w:p w14:paraId="55E0390A" w14:textId="77777777" w:rsidR="009C340B" w:rsidRPr="0044788B" w:rsidRDefault="009C340B" w:rsidP="009C340B">
            <w:pPr>
              <w:numPr>
                <w:ilvl w:val="1"/>
                <w:numId w:val="38"/>
              </w:numPr>
              <w:rPr>
                <w:rFonts w:ascii="Arial" w:hAnsi="Arial" w:cs="Arial"/>
                <w:bCs/>
              </w:rPr>
            </w:pPr>
            <w:r w:rsidRPr="00D32DEA">
              <w:rPr>
                <w:rFonts w:ascii="Arial" w:hAnsi="Arial" w:cs="Arial"/>
                <w:bCs/>
              </w:rPr>
              <w:t>Constitute premium funding business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9275A" w14:textId="77777777" w:rsidR="009C340B" w:rsidRPr="00D32DEA" w:rsidRDefault="009C340B" w:rsidP="0044317F">
            <w:pPr>
              <w:jc w:val="center"/>
              <w:rPr>
                <w:rFonts w:ascii="Arial" w:hAnsi="Arial" w:cs="Arial"/>
                <w:color w:val="000000"/>
              </w:rPr>
            </w:pPr>
          </w:p>
        </w:tc>
        <w:tc>
          <w:tcPr>
            <w:tcW w:w="1807" w:type="dxa"/>
            <w:tcBorders>
              <w:top w:val="single" w:sz="4" w:space="0" w:color="auto"/>
              <w:left w:val="single" w:sz="4" w:space="0" w:color="auto"/>
              <w:right w:val="single" w:sz="4" w:space="0" w:color="auto"/>
            </w:tcBorders>
            <w:shd w:val="clear" w:color="auto" w:fill="auto"/>
            <w:noWrap/>
            <w:vAlign w:val="bottom"/>
          </w:tcPr>
          <w:p w14:paraId="12675EB2" w14:textId="77777777" w:rsidR="009C340B" w:rsidRPr="00D32DEA" w:rsidRDefault="009C340B" w:rsidP="0044317F">
            <w:pPr>
              <w:jc w:val="center"/>
              <w:rPr>
                <w:rFonts w:ascii="Arial" w:hAnsi="Arial" w:cs="Arial"/>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89294" w14:textId="77777777" w:rsidR="009C340B" w:rsidRPr="00D32DEA" w:rsidRDefault="009C340B" w:rsidP="0044317F">
            <w:pPr>
              <w:jc w:val="center"/>
              <w:rPr>
                <w:rFonts w:ascii="Arial" w:hAnsi="Arial" w:cs="Arial"/>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380C0F48" w14:textId="77777777" w:rsidR="009C340B" w:rsidRPr="00D32DEA" w:rsidRDefault="009C340B" w:rsidP="0044317F">
            <w:pPr>
              <w:jc w:val="center"/>
              <w:rPr>
                <w:rFonts w:ascii="Arial" w:hAnsi="Arial" w:cs="Arial"/>
                <w:color w:val="000000"/>
              </w:rPr>
            </w:pPr>
          </w:p>
        </w:tc>
      </w:tr>
      <w:tr w:rsidR="009C340B" w:rsidRPr="00D32DEA" w14:paraId="3CADF558" w14:textId="77777777" w:rsidTr="0044317F">
        <w:trPr>
          <w:trHeight w:val="315"/>
        </w:trPr>
        <w:tc>
          <w:tcPr>
            <w:tcW w:w="13892" w:type="dxa"/>
            <w:gridSpan w:val="5"/>
            <w:tcBorders>
              <w:top w:val="nil"/>
              <w:left w:val="nil"/>
              <w:bottom w:val="nil"/>
            </w:tcBorders>
            <w:shd w:val="clear" w:color="auto" w:fill="auto"/>
            <w:noWrap/>
            <w:vAlign w:val="bottom"/>
          </w:tcPr>
          <w:p w14:paraId="0F6BFBF7" w14:textId="77777777" w:rsidR="009C340B" w:rsidRPr="00D32DEA" w:rsidRDefault="009C340B" w:rsidP="0044317F">
            <w:pPr>
              <w:rPr>
                <w:rFonts w:ascii="Arial" w:hAnsi="Arial" w:cs="Arial"/>
                <w:color w:val="000000"/>
              </w:rPr>
            </w:pPr>
          </w:p>
        </w:tc>
      </w:tr>
      <w:tr w:rsidR="009C340B" w:rsidRPr="00D32DEA" w14:paraId="5B0E82D3" w14:textId="77777777" w:rsidTr="0044317F">
        <w:trPr>
          <w:trHeight w:val="315"/>
        </w:trPr>
        <w:tc>
          <w:tcPr>
            <w:tcW w:w="6666" w:type="dxa"/>
            <w:tcBorders>
              <w:top w:val="nil"/>
              <w:left w:val="nil"/>
              <w:bottom w:val="nil"/>
            </w:tcBorders>
            <w:shd w:val="clear" w:color="auto" w:fill="auto"/>
            <w:noWrap/>
            <w:vAlign w:val="bottom"/>
          </w:tcPr>
          <w:p w14:paraId="78A9F6CC" w14:textId="77777777" w:rsidR="009C340B" w:rsidRPr="0044788B" w:rsidRDefault="009C340B" w:rsidP="009C340B">
            <w:pPr>
              <w:numPr>
                <w:ilvl w:val="0"/>
                <w:numId w:val="38"/>
              </w:numPr>
              <w:rPr>
                <w:rFonts w:ascii="Arial" w:hAnsi="Arial" w:cs="Arial"/>
                <w:bCs/>
              </w:rPr>
            </w:pPr>
            <w:r w:rsidRPr="00EA3A80">
              <w:rPr>
                <w:rFonts w:ascii="Arial" w:hAnsi="Arial" w:cs="Arial"/>
                <w:b/>
                <w:bCs/>
              </w:rPr>
              <w:t>Total loans and advances which can be classified into the following:</w:t>
            </w:r>
          </w:p>
        </w:tc>
        <w:tc>
          <w:tcPr>
            <w:tcW w:w="1806" w:type="dxa"/>
            <w:tcBorders>
              <w:bottom w:val="single" w:sz="4" w:space="0" w:color="auto"/>
            </w:tcBorders>
            <w:shd w:val="clear" w:color="auto" w:fill="auto"/>
            <w:noWrap/>
            <w:vAlign w:val="bottom"/>
          </w:tcPr>
          <w:p w14:paraId="2B6DFB67" w14:textId="77777777" w:rsidR="009C340B" w:rsidRPr="00622207" w:rsidRDefault="009C340B" w:rsidP="0044317F">
            <w:pPr>
              <w:jc w:val="center"/>
              <w:rPr>
                <w:rFonts w:ascii="Arial" w:hAnsi="Arial" w:cs="Arial"/>
                <w:color w:val="000000"/>
              </w:rPr>
            </w:pPr>
          </w:p>
        </w:tc>
        <w:tc>
          <w:tcPr>
            <w:tcW w:w="1807" w:type="dxa"/>
            <w:tcBorders>
              <w:bottom w:val="single" w:sz="4" w:space="0" w:color="auto"/>
            </w:tcBorders>
            <w:shd w:val="clear" w:color="auto" w:fill="auto"/>
            <w:noWrap/>
            <w:vAlign w:val="bottom"/>
          </w:tcPr>
          <w:p w14:paraId="35526BAC" w14:textId="77777777" w:rsidR="009C340B" w:rsidRPr="00622207" w:rsidRDefault="009C340B" w:rsidP="0044317F">
            <w:pPr>
              <w:jc w:val="center"/>
              <w:rPr>
                <w:rFonts w:ascii="Arial" w:hAnsi="Arial" w:cs="Arial"/>
                <w:color w:val="000000"/>
              </w:rPr>
            </w:pPr>
          </w:p>
        </w:tc>
        <w:tc>
          <w:tcPr>
            <w:tcW w:w="1807" w:type="dxa"/>
            <w:tcBorders>
              <w:bottom w:val="single" w:sz="4" w:space="0" w:color="auto"/>
            </w:tcBorders>
            <w:shd w:val="clear" w:color="auto" w:fill="auto"/>
            <w:noWrap/>
            <w:vAlign w:val="bottom"/>
          </w:tcPr>
          <w:p w14:paraId="35F96360" w14:textId="77777777" w:rsidR="009C340B" w:rsidRPr="00622207" w:rsidRDefault="009C340B" w:rsidP="0044317F">
            <w:pPr>
              <w:jc w:val="center"/>
              <w:rPr>
                <w:rFonts w:ascii="Arial" w:hAnsi="Arial" w:cs="Arial"/>
                <w:color w:val="000000"/>
              </w:rPr>
            </w:pPr>
          </w:p>
        </w:tc>
        <w:tc>
          <w:tcPr>
            <w:tcW w:w="1806" w:type="dxa"/>
            <w:tcBorders>
              <w:bottom w:val="single" w:sz="4" w:space="0" w:color="auto"/>
            </w:tcBorders>
            <w:shd w:val="clear" w:color="auto" w:fill="auto"/>
            <w:noWrap/>
            <w:vAlign w:val="bottom"/>
          </w:tcPr>
          <w:p w14:paraId="3B663510" w14:textId="77777777" w:rsidR="009C340B" w:rsidRPr="00622207" w:rsidRDefault="009C340B" w:rsidP="0044317F">
            <w:pPr>
              <w:jc w:val="center"/>
              <w:rPr>
                <w:rFonts w:ascii="Arial" w:hAnsi="Arial" w:cs="Arial"/>
                <w:color w:val="000000"/>
              </w:rPr>
            </w:pPr>
          </w:p>
        </w:tc>
      </w:tr>
      <w:tr w:rsidR="009C340B" w:rsidRPr="00D32DEA" w14:paraId="34E20D09" w14:textId="77777777" w:rsidTr="0044317F">
        <w:trPr>
          <w:trHeight w:val="315"/>
        </w:trPr>
        <w:tc>
          <w:tcPr>
            <w:tcW w:w="6666" w:type="dxa"/>
            <w:tcBorders>
              <w:top w:val="nil"/>
              <w:left w:val="nil"/>
              <w:bottom w:val="nil"/>
              <w:right w:val="nil"/>
            </w:tcBorders>
            <w:shd w:val="clear" w:color="auto" w:fill="auto"/>
            <w:noWrap/>
            <w:vAlign w:val="bottom"/>
          </w:tcPr>
          <w:p w14:paraId="56BDB497" w14:textId="77777777" w:rsidR="009C340B" w:rsidRPr="0044788B" w:rsidRDefault="009C340B" w:rsidP="009C340B">
            <w:pPr>
              <w:numPr>
                <w:ilvl w:val="1"/>
                <w:numId w:val="38"/>
              </w:numPr>
              <w:rPr>
                <w:rFonts w:ascii="Arial" w:hAnsi="Arial" w:cs="Arial"/>
                <w:bCs/>
              </w:rPr>
            </w:pPr>
            <w:r w:rsidRPr="00622207">
              <w:rPr>
                <w:rFonts w:ascii="Arial" w:hAnsi="Arial" w:cs="Arial"/>
                <w:bCs/>
              </w:rPr>
              <w:t>Parent or related party not on commercial terms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5D9D3"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24CBE"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6EDBE" w14:textId="77777777" w:rsidR="009C340B" w:rsidRPr="00622207"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5B47E5" w14:textId="77777777" w:rsidR="009C340B" w:rsidRPr="00622207" w:rsidRDefault="009C340B" w:rsidP="0044317F">
            <w:pPr>
              <w:jc w:val="center"/>
              <w:rPr>
                <w:rFonts w:ascii="Arial" w:hAnsi="Arial" w:cs="Arial"/>
                <w:color w:val="000000"/>
              </w:rPr>
            </w:pPr>
          </w:p>
        </w:tc>
      </w:tr>
      <w:tr w:rsidR="009C340B" w:rsidRPr="00D32DEA" w14:paraId="39D4FE72" w14:textId="77777777" w:rsidTr="0044317F">
        <w:trPr>
          <w:trHeight w:val="315"/>
        </w:trPr>
        <w:tc>
          <w:tcPr>
            <w:tcW w:w="6666" w:type="dxa"/>
            <w:tcBorders>
              <w:top w:val="nil"/>
              <w:left w:val="nil"/>
              <w:bottom w:val="nil"/>
              <w:right w:val="nil"/>
            </w:tcBorders>
            <w:shd w:val="clear" w:color="auto" w:fill="auto"/>
            <w:noWrap/>
            <w:vAlign w:val="bottom"/>
            <w:hideMark/>
          </w:tcPr>
          <w:p w14:paraId="5F1ADAE0" w14:textId="77777777" w:rsidR="009C340B" w:rsidRPr="0044788B" w:rsidRDefault="009C340B" w:rsidP="009C340B">
            <w:pPr>
              <w:numPr>
                <w:ilvl w:val="1"/>
                <w:numId w:val="38"/>
              </w:numPr>
              <w:rPr>
                <w:rFonts w:ascii="Arial" w:hAnsi="Arial" w:cs="Arial"/>
                <w:bCs/>
              </w:rPr>
            </w:pPr>
            <w:r w:rsidRPr="00622207">
              <w:rPr>
                <w:rFonts w:ascii="Arial" w:hAnsi="Arial" w:cs="Arial"/>
                <w:bCs/>
              </w:rPr>
              <w:lastRenderedPageBreak/>
              <w:t>Directors of the reporting insurer or related bodies corporate (or a director’s spouse)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B9D97"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3E97802"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DA983" w14:textId="77777777" w:rsidR="009C340B" w:rsidRPr="00622207"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4CD6B0" w14:textId="77777777" w:rsidR="009C340B" w:rsidRPr="00622207" w:rsidRDefault="009C340B" w:rsidP="0044317F">
            <w:pPr>
              <w:jc w:val="center"/>
              <w:rPr>
                <w:rFonts w:ascii="Arial" w:hAnsi="Arial" w:cs="Arial"/>
                <w:color w:val="000000"/>
              </w:rPr>
            </w:pPr>
          </w:p>
        </w:tc>
      </w:tr>
      <w:tr w:rsidR="009C340B" w:rsidRPr="00D32DEA" w14:paraId="738AB86C" w14:textId="77777777" w:rsidTr="0044317F">
        <w:trPr>
          <w:trHeight w:val="315"/>
        </w:trPr>
        <w:tc>
          <w:tcPr>
            <w:tcW w:w="6666" w:type="dxa"/>
            <w:tcBorders>
              <w:top w:val="nil"/>
              <w:left w:val="nil"/>
              <w:bottom w:val="nil"/>
              <w:right w:val="nil"/>
            </w:tcBorders>
            <w:shd w:val="clear" w:color="auto" w:fill="auto"/>
            <w:noWrap/>
            <w:vAlign w:val="bottom"/>
          </w:tcPr>
          <w:p w14:paraId="3B323375" w14:textId="77777777" w:rsidR="009C340B" w:rsidRPr="0044788B" w:rsidRDefault="009C340B" w:rsidP="009C340B">
            <w:pPr>
              <w:numPr>
                <w:ilvl w:val="1"/>
                <w:numId w:val="38"/>
              </w:numPr>
              <w:rPr>
                <w:rFonts w:ascii="Arial" w:hAnsi="Arial" w:cs="Arial"/>
                <w:bCs/>
              </w:rPr>
            </w:pPr>
            <w:r w:rsidRPr="00622207">
              <w:rPr>
                <w:rFonts w:ascii="Arial" w:hAnsi="Arial" w:cs="Arial"/>
                <w:bCs/>
              </w:rPr>
              <w:t>Insurance brokers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CD364"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B766C89"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92E8901" w14:textId="77777777" w:rsidR="009C340B" w:rsidRPr="00622207" w:rsidRDefault="009C340B" w:rsidP="0044317F">
            <w:pPr>
              <w:jc w:val="center"/>
              <w:rPr>
                <w:rFonts w:ascii="Arial" w:hAnsi="Arial" w:cs="Arial"/>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694ABEE8" w14:textId="77777777" w:rsidR="009C340B" w:rsidRPr="00622207" w:rsidRDefault="009C340B" w:rsidP="0044317F">
            <w:pPr>
              <w:jc w:val="center"/>
              <w:rPr>
                <w:rFonts w:ascii="Arial" w:hAnsi="Arial" w:cs="Arial"/>
                <w:color w:val="000000"/>
              </w:rPr>
            </w:pPr>
          </w:p>
        </w:tc>
      </w:tr>
      <w:tr w:rsidR="009C340B" w:rsidRPr="00D32DEA" w14:paraId="6369807F" w14:textId="77777777" w:rsidTr="0044317F">
        <w:trPr>
          <w:trHeight w:val="315"/>
        </w:trPr>
        <w:tc>
          <w:tcPr>
            <w:tcW w:w="6666" w:type="dxa"/>
            <w:tcBorders>
              <w:top w:val="nil"/>
              <w:left w:val="nil"/>
              <w:bottom w:val="nil"/>
              <w:right w:val="nil"/>
            </w:tcBorders>
            <w:shd w:val="clear" w:color="auto" w:fill="auto"/>
            <w:noWrap/>
            <w:vAlign w:val="bottom"/>
          </w:tcPr>
          <w:p w14:paraId="2BD207E3" w14:textId="77777777" w:rsidR="009C340B" w:rsidRPr="0044788B" w:rsidRDefault="009C340B" w:rsidP="009C340B">
            <w:pPr>
              <w:numPr>
                <w:ilvl w:val="1"/>
                <w:numId w:val="38"/>
              </w:numPr>
              <w:rPr>
                <w:rFonts w:ascii="Arial" w:hAnsi="Arial" w:cs="Arial"/>
                <w:bCs/>
              </w:rPr>
            </w:pPr>
            <w:r w:rsidRPr="00622207">
              <w:rPr>
                <w:rFonts w:ascii="Arial" w:hAnsi="Arial" w:cs="Arial"/>
                <w:bCs/>
              </w:rPr>
              <w:t>General insurance companies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564A9"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F736F07"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2A772BE6" w14:textId="77777777" w:rsidR="009C340B" w:rsidRPr="00622207"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DBCD8E" w14:textId="77777777" w:rsidR="009C340B" w:rsidRPr="00622207" w:rsidRDefault="009C340B" w:rsidP="0044317F">
            <w:pPr>
              <w:jc w:val="center"/>
              <w:rPr>
                <w:rFonts w:ascii="Arial" w:hAnsi="Arial" w:cs="Arial"/>
                <w:color w:val="000000"/>
              </w:rPr>
            </w:pPr>
          </w:p>
        </w:tc>
      </w:tr>
      <w:tr w:rsidR="009C340B" w:rsidRPr="00D32DEA" w14:paraId="6B30F772" w14:textId="77777777" w:rsidTr="0044317F">
        <w:trPr>
          <w:trHeight w:val="315"/>
        </w:trPr>
        <w:tc>
          <w:tcPr>
            <w:tcW w:w="6666" w:type="dxa"/>
            <w:tcBorders>
              <w:top w:val="nil"/>
              <w:left w:val="nil"/>
              <w:bottom w:val="nil"/>
              <w:right w:val="nil"/>
            </w:tcBorders>
            <w:shd w:val="clear" w:color="auto" w:fill="auto"/>
            <w:noWrap/>
            <w:vAlign w:val="bottom"/>
          </w:tcPr>
          <w:p w14:paraId="61738604" w14:textId="77777777" w:rsidR="009C340B" w:rsidRPr="0044788B" w:rsidRDefault="009C340B" w:rsidP="009C340B">
            <w:pPr>
              <w:numPr>
                <w:ilvl w:val="1"/>
                <w:numId w:val="38"/>
              </w:numPr>
              <w:rPr>
                <w:rFonts w:ascii="Arial" w:hAnsi="Arial" w:cs="Arial"/>
                <w:bCs/>
              </w:rPr>
            </w:pPr>
            <w:r w:rsidRPr="00622207">
              <w:rPr>
                <w:rFonts w:ascii="Arial" w:hAnsi="Arial" w:cs="Arial"/>
                <w:bCs/>
              </w:rPr>
              <w:t>Unsecured loans to employees (&gt; $1,000 individually)</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9274A"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6950193" w14:textId="77777777" w:rsidR="009C340B" w:rsidRPr="00622207" w:rsidRDefault="009C340B" w:rsidP="0044317F">
            <w:pPr>
              <w:jc w:val="center"/>
              <w:rPr>
                <w:rFonts w:ascii="Arial" w:hAnsi="Arial" w:cs="Arial"/>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D6A2704" w14:textId="77777777" w:rsidR="009C340B" w:rsidRPr="00622207" w:rsidRDefault="009C340B" w:rsidP="0044317F">
            <w:pPr>
              <w:jc w:val="center"/>
              <w:rPr>
                <w:rFonts w:ascii="Arial" w:hAnsi="Arial" w:cs="Arial"/>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678A49" w14:textId="77777777" w:rsidR="009C340B" w:rsidRPr="00622207" w:rsidRDefault="009C340B" w:rsidP="0044317F">
            <w:pPr>
              <w:jc w:val="center"/>
              <w:rPr>
                <w:rFonts w:ascii="Arial" w:hAnsi="Arial" w:cs="Arial"/>
                <w:color w:val="000000"/>
              </w:rPr>
            </w:pPr>
          </w:p>
        </w:tc>
      </w:tr>
    </w:tbl>
    <w:p w14:paraId="5091C3F4" w14:textId="77777777" w:rsidR="009C340B" w:rsidRDefault="009C340B" w:rsidP="009C340B">
      <w:pPr>
        <w:rPr>
          <w:rFonts w:ascii="Arial" w:hAnsi="Arial" w:cs="Arial"/>
        </w:rPr>
      </w:pPr>
    </w:p>
    <w:tbl>
      <w:tblPr>
        <w:tblW w:w="13892" w:type="dxa"/>
        <w:tblInd w:w="108" w:type="dxa"/>
        <w:tblLook w:val="04A0" w:firstRow="1" w:lastRow="0" w:firstColumn="1" w:lastColumn="0" w:noHBand="0" w:noVBand="1"/>
      </w:tblPr>
      <w:tblGrid>
        <w:gridCol w:w="13892"/>
      </w:tblGrid>
      <w:tr w:rsidR="009C340B" w:rsidRPr="00622207" w14:paraId="2EC1D726" w14:textId="77777777" w:rsidTr="0044317F">
        <w:tc>
          <w:tcPr>
            <w:tcW w:w="8789" w:type="dxa"/>
          </w:tcPr>
          <w:p w14:paraId="03174515" w14:textId="77777777" w:rsidR="009C340B" w:rsidRPr="00622207" w:rsidRDefault="009C340B" w:rsidP="0044317F">
            <w:pPr>
              <w:rPr>
                <w:rFonts w:ascii="Arial" w:hAnsi="Arial" w:cs="Arial"/>
                <w:b/>
                <w:bCs/>
              </w:rPr>
            </w:pPr>
            <w:r w:rsidRPr="00622207">
              <w:rPr>
                <w:rFonts w:ascii="Arial" w:hAnsi="Arial" w:cs="Arial"/>
                <w:b/>
                <w:bCs/>
              </w:rPr>
              <w:t>Section 5: Holdings in indirect investment vehicles</w:t>
            </w:r>
          </w:p>
        </w:tc>
      </w:tr>
    </w:tbl>
    <w:p w14:paraId="5D67A033" w14:textId="77777777" w:rsidR="009C340B" w:rsidRDefault="009C340B" w:rsidP="009C340B">
      <w:pPr>
        <w:rPr>
          <w:rFonts w:ascii="Arial" w:hAnsi="Arial" w:cs="Arial"/>
        </w:rPr>
      </w:pPr>
    </w:p>
    <w:tbl>
      <w:tblPr>
        <w:tblW w:w="13892" w:type="dxa"/>
        <w:tblInd w:w="93" w:type="dxa"/>
        <w:tblLook w:val="04A0" w:firstRow="1" w:lastRow="0" w:firstColumn="1" w:lastColumn="0" w:noHBand="0" w:noVBand="1"/>
      </w:tblPr>
      <w:tblGrid>
        <w:gridCol w:w="12206"/>
        <w:gridCol w:w="1686"/>
      </w:tblGrid>
      <w:tr w:rsidR="009C340B" w:rsidRPr="00622207" w14:paraId="5C316FF8" w14:textId="77777777" w:rsidTr="0044317F">
        <w:trPr>
          <w:trHeight w:val="317"/>
        </w:trPr>
        <w:tc>
          <w:tcPr>
            <w:tcW w:w="12206" w:type="dxa"/>
            <w:tcBorders>
              <w:top w:val="nil"/>
              <w:left w:val="nil"/>
              <w:bottom w:val="nil"/>
              <w:right w:val="nil"/>
            </w:tcBorders>
            <w:shd w:val="clear" w:color="auto" w:fill="auto"/>
            <w:noWrap/>
            <w:vAlign w:val="bottom"/>
            <w:hideMark/>
          </w:tcPr>
          <w:p w14:paraId="6B79BBBC" w14:textId="77777777" w:rsidR="009C340B" w:rsidRPr="00622207" w:rsidRDefault="009C340B" w:rsidP="009C340B">
            <w:pPr>
              <w:numPr>
                <w:ilvl w:val="0"/>
                <w:numId w:val="37"/>
              </w:numPr>
              <w:rPr>
                <w:rFonts w:ascii="Arial" w:hAnsi="Arial" w:cs="Arial"/>
                <w:b/>
                <w:bCs/>
              </w:rPr>
            </w:pPr>
            <w:r w:rsidRPr="00622207">
              <w:rPr>
                <w:rFonts w:ascii="Arial" w:hAnsi="Arial" w:cs="Arial"/>
                <w:b/>
                <w:bCs/>
              </w:rPr>
              <w:t>Total holdings in indirect investment vehicles</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241B20" w14:textId="77777777" w:rsidR="009C340B" w:rsidRPr="00DB16F6" w:rsidRDefault="009C340B" w:rsidP="0044317F">
            <w:pPr>
              <w:jc w:val="center"/>
              <w:rPr>
                <w:rFonts w:ascii="Arial" w:hAnsi="Arial" w:cs="Arial"/>
                <w:color w:val="000000"/>
              </w:rPr>
            </w:pPr>
          </w:p>
        </w:tc>
      </w:tr>
      <w:tr w:rsidR="009C340B" w:rsidRPr="00622207" w14:paraId="1253ADD6" w14:textId="77777777" w:rsidTr="0044317F">
        <w:trPr>
          <w:trHeight w:val="317"/>
        </w:trPr>
        <w:tc>
          <w:tcPr>
            <w:tcW w:w="12206" w:type="dxa"/>
            <w:tcBorders>
              <w:top w:val="nil"/>
              <w:left w:val="nil"/>
              <w:bottom w:val="nil"/>
              <w:right w:val="nil"/>
            </w:tcBorders>
            <w:shd w:val="clear" w:color="auto" w:fill="auto"/>
            <w:noWrap/>
            <w:vAlign w:val="bottom"/>
            <w:hideMark/>
          </w:tcPr>
          <w:p w14:paraId="6FA152A9" w14:textId="77777777" w:rsidR="009C340B" w:rsidRPr="00622207" w:rsidRDefault="009C340B" w:rsidP="009C340B">
            <w:pPr>
              <w:numPr>
                <w:ilvl w:val="1"/>
                <w:numId w:val="37"/>
              </w:numPr>
              <w:rPr>
                <w:rFonts w:ascii="Arial" w:hAnsi="Arial" w:cs="Arial"/>
              </w:rPr>
            </w:pPr>
            <w:r w:rsidRPr="00DB16F6">
              <w:rPr>
                <w:rFonts w:ascii="Arial" w:hAnsi="Arial" w:cs="Arial"/>
              </w:rPr>
              <w:t>Listed trusts (excluding CMT)</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D07DF" w14:textId="77777777" w:rsidR="009C340B" w:rsidRPr="00DB16F6" w:rsidRDefault="009C340B" w:rsidP="0044317F">
            <w:pPr>
              <w:jc w:val="center"/>
              <w:rPr>
                <w:rFonts w:ascii="Arial" w:hAnsi="Arial" w:cs="Arial"/>
                <w:color w:val="000000"/>
              </w:rPr>
            </w:pPr>
          </w:p>
        </w:tc>
      </w:tr>
      <w:tr w:rsidR="009C340B" w:rsidRPr="00622207" w14:paraId="5B8A5ECD" w14:textId="77777777" w:rsidTr="0044317F">
        <w:trPr>
          <w:trHeight w:val="317"/>
        </w:trPr>
        <w:tc>
          <w:tcPr>
            <w:tcW w:w="12206" w:type="dxa"/>
            <w:tcBorders>
              <w:top w:val="nil"/>
              <w:left w:val="nil"/>
              <w:bottom w:val="nil"/>
              <w:right w:val="nil"/>
            </w:tcBorders>
            <w:shd w:val="clear" w:color="auto" w:fill="auto"/>
            <w:noWrap/>
            <w:vAlign w:val="bottom"/>
          </w:tcPr>
          <w:p w14:paraId="2F40AA95" w14:textId="77777777" w:rsidR="009C340B" w:rsidRPr="00622207" w:rsidRDefault="009C340B" w:rsidP="009C340B">
            <w:pPr>
              <w:numPr>
                <w:ilvl w:val="1"/>
                <w:numId w:val="37"/>
              </w:numPr>
              <w:rPr>
                <w:rFonts w:ascii="Arial" w:hAnsi="Arial" w:cs="Arial"/>
              </w:rPr>
            </w:pPr>
            <w:r w:rsidRPr="00DB16F6">
              <w:rPr>
                <w:rFonts w:ascii="Arial" w:hAnsi="Arial" w:cs="Arial"/>
              </w:rPr>
              <w:t>Unlisted trusts (excluding CMT)</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CE6AD" w14:textId="77777777" w:rsidR="009C340B" w:rsidRPr="00DB16F6" w:rsidRDefault="009C340B" w:rsidP="0044317F">
            <w:pPr>
              <w:jc w:val="center"/>
              <w:rPr>
                <w:rFonts w:ascii="Arial" w:hAnsi="Arial" w:cs="Arial"/>
                <w:color w:val="000000"/>
              </w:rPr>
            </w:pPr>
          </w:p>
        </w:tc>
      </w:tr>
      <w:tr w:rsidR="009C340B" w:rsidRPr="00622207" w14:paraId="7C58AE68" w14:textId="77777777" w:rsidTr="0044317F">
        <w:trPr>
          <w:trHeight w:val="317"/>
        </w:trPr>
        <w:tc>
          <w:tcPr>
            <w:tcW w:w="12206" w:type="dxa"/>
            <w:tcBorders>
              <w:top w:val="nil"/>
              <w:left w:val="nil"/>
              <w:bottom w:val="nil"/>
              <w:right w:val="nil"/>
            </w:tcBorders>
            <w:shd w:val="clear" w:color="auto" w:fill="auto"/>
            <w:noWrap/>
            <w:vAlign w:val="bottom"/>
          </w:tcPr>
          <w:p w14:paraId="6663C426" w14:textId="77777777" w:rsidR="009C340B" w:rsidRPr="00622207" w:rsidRDefault="009C340B" w:rsidP="009C340B">
            <w:pPr>
              <w:numPr>
                <w:ilvl w:val="1"/>
                <w:numId w:val="37"/>
              </w:numPr>
              <w:rPr>
                <w:rFonts w:ascii="Arial" w:hAnsi="Arial" w:cs="Arial"/>
              </w:rPr>
            </w:pPr>
            <w:r w:rsidRPr="00DB16F6">
              <w:rPr>
                <w:rFonts w:ascii="Arial" w:hAnsi="Arial" w:cs="Arial"/>
              </w:rPr>
              <w:t>Cash management trusts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8D24E" w14:textId="77777777" w:rsidR="009C340B" w:rsidRPr="00DB16F6" w:rsidRDefault="009C340B" w:rsidP="0044317F">
            <w:pPr>
              <w:jc w:val="center"/>
              <w:rPr>
                <w:rFonts w:ascii="Arial" w:hAnsi="Arial" w:cs="Arial"/>
                <w:color w:val="000000"/>
              </w:rPr>
            </w:pPr>
          </w:p>
        </w:tc>
      </w:tr>
      <w:tr w:rsidR="009C340B" w:rsidRPr="00622207" w14:paraId="288B621A" w14:textId="77777777" w:rsidTr="0044317F">
        <w:trPr>
          <w:trHeight w:val="317"/>
        </w:trPr>
        <w:tc>
          <w:tcPr>
            <w:tcW w:w="12206" w:type="dxa"/>
            <w:tcBorders>
              <w:top w:val="nil"/>
              <w:left w:val="nil"/>
              <w:bottom w:val="nil"/>
            </w:tcBorders>
            <w:shd w:val="clear" w:color="auto" w:fill="auto"/>
            <w:noWrap/>
            <w:vAlign w:val="bottom"/>
          </w:tcPr>
          <w:p w14:paraId="7127D532" w14:textId="77777777" w:rsidR="009C340B" w:rsidRPr="00DB16F6" w:rsidRDefault="009C340B" w:rsidP="009C340B">
            <w:pPr>
              <w:numPr>
                <w:ilvl w:val="1"/>
                <w:numId w:val="37"/>
              </w:numPr>
              <w:rPr>
                <w:rFonts w:ascii="Arial" w:hAnsi="Arial" w:cs="Arial"/>
                <w:i/>
              </w:rPr>
            </w:pPr>
            <w:r w:rsidRPr="00DB16F6">
              <w:rPr>
                <w:rFonts w:ascii="Arial" w:hAnsi="Arial" w:cs="Arial"/>
                <w:i/>
              </w:rPr>
              <w:t>Aggregate holdings representing exposure to the following asset classes:</w:t>
            </w:r>
          </w:p>
        </w:tc>
        <w:tc>
          <w:tcPr>
            <w:tcW w:w="1686" w:type="dxa"/>
            <w:tcBorders>
              <w:top w:val="single" w:sz="4" w:space="0" w:color="auto"/>
              <w:bottom w:val="single" w:sz="4" w:space="0" w:color="auto"/>
            </w:tcBorders>
            <w:shd w:val="clear" w:color="auto" w:fill="auto"/>
            <w:noWrap/>
            <w:vAlign w:val="bottom"/>
          </w:tcPr>
          <w:p w14:paraId="202AE477" w14:textId="77777777" w:rsidR="009C340B" w:rsidRPr="00DB16F6" w:rsidRDefault="009C340B" w:rsidP="0044317F">
            <w:pPr>
              <w:jc w:val="center"/>
              <w:rPr>
                <w:rFonts w:ascii="Arial" w:hAnsi="Arial" w:cs="Arial"/>
                <w:color w:val="000000"/>
              </w:rPr>
            </w:pPr>
          </w:p>
        </w:tc>
      </w:tr>
      <w:tr w:rsidR="009C340B" w:rsidRPr="00622207" w14:paraId="53F901BC" w14:textId="77777777" w:rsidTr="0044317F">
        <w:trPr>
          <w:trHeight w:val="317"/>
        </w:trPr>
        <w:tc>
          <w:tcPr>
            <w:tcW w:w="12206" w:type="dxa"/>
            <w:tcBorders>
              <w:top w:val="nil"/>
              <w:left w:val="nil"/>
              <w:bottom w:val="nil"/>
              <w:right w:val="nil"/>
            </w:tcBorders>
            <w:shd w:val="clear" w:color="auto" w:fill="auto"/>
            <w:noWrap/>
            <w:vAlign w:val="bottom"/>
          </w:tcPr>
          <w:p w14:paraId="063F541E" w14:textId="77777777" w:rsidR="009C340B" w:rsidRPr="00DB16F6" w:rsidRDefault="009C340B" w:rsidP="009C340B">
            <w:pPr>
              <w:numPr>
                <w:ilvl w:val="1"/>
                <w:numId w:val="37"/>
              </w:numPr>
              <w:rPr>
                <w:rFonts w:ascii="Arial" w:hAnsi="Arial" w:cs="Arial"/>
                <w:i/>
              </w:rPr>
            </w:pPr>
            <w:r w:rsidRPr="00DB16F6">
              <w:rPr>
                <w:rFonts w:ascii="Arial" w:hAnsi="Arial" w:cs="Arial"/>
                <w:i/>
              </w:rPr>
              <w:t>Cash</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AC01D" w14:textId="77777777" w:rsidR="009C340B" w:rsidRPr="00DB16F6" w:rsidRDefault="009C340B" w:rsidP="0044317F">
            <w:pPr>
              <w:jc w:val="center"/>
              <w:rPr>
                <w:rFonts w:ascii="Arial" w:hAnsi="Arial" w:cs="Arial"/>
                <w:color w:val="000000"/>
              </w:rPr>
            </w:pPr>
          </w:p>
        </w:tc>
      </w:tr>
      <w:tr w:rsidR="009C340B" w:rsidRPr="00622207" w14:paraId="60A1310A" w14:textId="77777777" w:rsidTr="0044317F">
        <w:trPr>
          <w:trHeight w:val="317"/>
        </w:trPr>
        <w:tc>
          <w:tcPr>
            <w:tcW w:w="12206" w:type="dxa"/>
            <w:tcBorders>
              <w:top w:val="nil"/>
              <w:left w:val="nil"/>
              <w:bottom w:val="nil"/>
              <w:right w:val="nil"/>
            </w:tcBorders>
            <w:shd w:val="clear" w:color="auto" w:fill="auto"/>
            <w:noWrap/>
            <w:vAlign w:val="bottom"/>
          </w:tcPr>
          <w:p w14:paraId="12C4640A" w14:textId="77777777" w:rsidR="009C340B" w:rsidRPr="00DB16F6" w:rsidRDefault="009C340B" w:rsidP="009C340B">
            <w:pPr>
              <w:numPr>
                <w:ilvl w:val="1"/>
                <w:numId w:val="37"/>
              </w:numPr>
              <w:rPr>
                <w:rFonts w:ascii="Arial" w:hAnsi="Arial" w:cs="Arial"/>
                <w:i/>
              </w:rPr>
            </w:pPr>
            <w:r w:rsidRPr="00DB16F6">
              <w:rPr>
                <w:rFonts w:ascii="Arial" w:hAnsi="Arial" w:cs="Arial"/>
                <w:i/>
              </w:rPr>
              <w:t>Fixed interest</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E85D6" w14:textId="77777777" w:rsidR="009C340B" w:rsidRPr="00DB16F6" w:rsidRDefault="009C340B" w:rsidP="0044317F">
            <w:pPr>
              <w:jc w:val="center"/>
              <w:rPr>
                <w:rFonts w:ascii="Arial" w:hAnsi="Arial" w:cs="Arial"/>
                <w:color w:val="000000"/>
              </w:rPr>
            </w:pPr>
          </w:p>
        </w:tc>
      </w:tr>
      <w:tr w:rsidR="009C340B" w:rsidRPr="00622207" w14:paraId="1F8E9349" w14:textId="77777777" w:rsidTr="0044317F">
        <w:trPr>
          <w:trHeight w:val="317"/>
        </w:trPr>
        <w:tc>
          <w:tcPr>
            <w:tcW w:w="12206" w:type="dxa"/>
            <w:tcBorders>
              <w:top w:val="nil"/>
              <w:left w:val="nil"/>
              <w:bottom w:val="nil"/>
              <w:right w:val="nil"/>
            </w:tcBorders>
            <w:shd w:val="clear" w:color="auto" w:fill="auto"/>
            <w:noWrap/>
            <w:vAlign w:val="bottom"/>
          </w:tcPr>
          <w:p w14:paraId="22E345B8" w14:textId="77777777" w:rsidR="009C340B" w:rsidRPr="00DB16F6" w:rsidRDefault="009C340B" w:rsidP="009C340B">
            <w:pPr>
              <w:numPr>
                <w:ilvl w:val="1"/>
                <w:numId w:val="37"/>
              </w:numPr>
              <w:rPr>
                <w:rFonts w:ascii="Arial" w:hAnsi="Arial" w:cs="Arial"/>
                <w:i/>
              </w:rPr>
            </w:pPr>
            <w:r w:rsidRPr="00DB16F6">
              <w:rPr>
                <w:rFonts w:ascii="Arial" w:hAnsi="Arial" w:cs="Arial"/>
                <w:i/>
              </w:rPr>
              <w:t>Equities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66BB4" w14:textId="77777777" w:rsidR="009C340B" w:rsidRPr="00DB16F6" w:rsidRDefault="009C340B" w:rsidP="0044317F">
            <w:pPr>
              <w:jc w:val="center"/>
              <w:rPr>
                <w:rFonts w:ascii="Arial" w:hAnsi="Arial" w:cs="Arial"/>
                <w:color w:val="000000"/>
              </w:rPr>
            </w:pPr>
          </w:p>
        </w:tc>
      </w:tr>
      <w:tr w:rsidR="009C340B" w:rsidRPr="00622207" w14:paraId="47B86B03" w14:textId="77777777" w:rsidTr="0044317F">
        <w:trPr>
          <w:trHeight w:val="317"/>
        </w:trPr>
        <w:tc>
          <w:tcPr>
            <w:tcW w:w="12206" w:type="dxa"/>
            <w:tcBorders>
              <w:top w:val="nil"/>
              <w:left w:val="nil"/>
              <w:bottom w:val="nil"/>
              <w:right w:val="nil"/>
            </w:tcBorders>
            <w:shd w:val="clear" w:color="auto" w:fill="auto"/>
            <w:noWrap/>
            <w:vAlign w:val="bottom"/>
          </w:tcPr>
          <w:p w14:paraId="3BB52885" w14:textId="77777777" w:rsidR="009C340B" w:rsidRPr="00DB16F6" w:rsidRDefault="009C340B" w:rsidP="009C340B">
            <w:pPr>
              <w:numPr>
                <w:ilvl w:val="1"/>
                <w:numId w:val="37"/>
              </w:numPr>
              <w:rPr>
                <w:rFonts w:ascii="Arial" w:hAnsi="Arial" w:cs="Arial"/>
                <w:i/>
              </w:rPr>
            </w:pPr>
            <w:r w:rsidRPr="00DB16F6">
              <w:rPr>
                <w:rFonts w:ascii="Arial" w:hAnsi="Arial" w:cs="Arial"/>
                <w:i/>
              </w:rPr>
              <w:t>Property</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0375B" w14:textId="77777777" w:rsidR="009C340B" w:rsidRPr="00DB16F6" w:rsidRDefault="009C340B" w:rsidP="0044317F">
            <w:pPr>
              <w:jc w:val="center"/>
              <w:rPr>
                <w:rFonts w:ascii="Arial" w:hAnsi="Arial" w:cs="Arial"/>
                <w:color w:val="000000"/>
              </w:rPr>
            </w:pPr>
          </w:p>
        </w:tc>
      </w:tr>
      <w:tr w:rsidR="009C340B" w:rsidRPr="00622207" w14:paraId="3DBF6038" w14:textId="77777777" w:rsidTr="0044317F">
        <w:trPr>
          <w:trHeight w:val="317"/>
        </w:trPr>
        <w:tc>
          <w:tcPr>
            <w:tcW w:w="12206" w:type="dxa"/>
            <w:tcBorders>
              <w:top w:val="nil"/>
              <w:left w:val="nil"/>
              <w:bottom w:val="nil"/>
              <w:right w:val="nil"/>
            </w:tcBorders>
            <w:shd w:val="clear" w:color="auto" w:fill="auto"/>
            <w:noWrap/>
            <w:vAlign w:val="bottom"/>
          </w:tcPr>
          <w:p w14:paraId="08EE1A79" w14:textId="77777777" w:rsidR="009C340B" w:rsidRPr="00DB16F6" w:rsidRDefault="009C340B" w:rsidP="009C340B">
            <w:pPr>
              <w:numPr>
                <w:ilvl w:val="1"/>
                <w:numId w:val="37"/>
              </w:numPr>
              <w:rPr>
                <w:rFonts w:ascii="Arial" w:hAnsi="Arial" w:cs="Arial"/>
                <w:i/>
              </w:rPr>
            </w:pPr>
            <w:r w:rsidRPr="00DB16F6">
              <w:rPr>
                <w:rFonts w:ascii="Arial" w:hAnsi="Arial" w:cs="Arial"/>
                <w:i/>
              </w:rPr>
              <w:t>Other</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7A5944" w14:textId="77777777" w:rsidR="009C340B" w:rsidRPr="00DB16F6" w:rsidRDefault="009C340B" w:rsidP="0044317F">
            <w:pPr>
              <w:jc w:val="center"/>
              <w:rPr>
                <w:rFonts w:ascii="Arial" w:hAnsi="Arial" w:cs="Arial"/>
                <w:color w:val="000000"/>
              </w:rPr>
            </w:pPr>
          </w:p>
        </w:tc>
      </w:tr>
    </w:tbl>
    <w:p w14:paraId="71DB0800" w14:textId="77777777" w:rsidR="009C340B" w:rsidRPr="00622207" w:rsidRDefault="009C340B" w:rsidP="009C340B">
      <w:pPr>
        <w:rPr>
          <w:rFonts w:ascii="Arial" w:hAnsi="Arial" w:cs="Arial"/>
        </w:rPr>
      </w:pPr>
    </w:p>
    <w:tbl>
      <w:tblPr>
        <w:tblW w:w="13880" w:type="dxa"/>
        <w:tblInd w:w="93" w:type="dxa"/>
        <w:tblLayout w:type="fixed"/>
        <w:tblLook w:val="04A0" w:firstRow="1" w:lastRow="0" w:firstColumn="1" w:lastColumn="0" w:noHBand="0" w:noVBand="1"/>
      </w:tblPr>
      <w:tblGrid>
        <w:gridCol w:w="3470"/>
        <w:gridCol w:w="3470"/>
        <w:gridCol w:w="3470"/>
        <w:gridCol w:w="3470"/>
      </w:tblGrid>
      <w:tr w:rsidR="009C340B" w:rsidRPr="000612C5" w14:paraId="60F7F860" w14:textId="77777777" w:rsidTr="0044317F">
        <w:trPr>
          <w:trHeight w:val="317"/>
        </w:trPr>
        <w:tc>
          <w:tcPr>
            <w:tcW w:w="3470" w:type="dxa"/>
            <w:tcBorders>
              <w:bottom w:val="single" w:sz="4" w:space="0" w:color="auto"/>
            </w:tcBorders>
            <w:shd w:val="clear" w:color="auto" w:fill="auto"/>
            <w:vAlign w:val="bottom"/>
            <w:hideMark/>
          </w:tcPr>
          <w:p w14:paraId="7ACEE906" w14:textId="77777777" w:rsidR="009C340B" w:rsidRPr="00BC5FC0" w:rsidRDefault="009C340B" w:rsidP="009C340B">
            <w:pPr>
              <w:numPr>
                <w:ilvl w:val="0"/>
                <w:numId w:val="37"/>
              </w:numPr>
              <w:rPr>
                <w:rFonts w:ascii="Arial" w:hAnsi="Arial" w:cs="Arial"/>
                <w:b/>
                <w:bCs/>
              </w:rPr>
            </w:pPr>
            <w:r w:rsidRPr="00BC5FC0">
              <w:rPr>
                <w:rFonts w:ascii="Arial" w:hAnsi="Arial" w:cs="Arial"/>
                <w:b/>
                <w:bCs/>
              </w:rPr>
              <w:t>Indirect investment vehicles</w:t>
            </w:r>
          </w:p>
        </w:tc>
        <w:tc>
          <w:tcPr>
            <w:tcW w:w="3470" w:type="dxa"/>
            <w:tcBorders>
              <w:bottom w:val="single" w:sz="4" w:space="0" w:color="auto"/>
            </w:tcBorders>
            <w:vAlign w:val="bottom"/>
          </w:tcPr>
          <w:p w14:paraId="6ECE834A" w14:textId="77777777" w:rsidR="009C340B" w:rsidRPr="00777FA7" w:rsidRDefault="009C340B" w:rsidP="0044317F">
            <w:pPr>
              <w:jc w:val="center"/>
              <w:rPr>
                <w:rFonts w:ascii="Arial" w:hAnsi="Arial" w:cs="Arial"/>
                <w:b/>
                <w:bCs/>
              </w:rPr>
            </w:pPr>
          </w:p>
        </w:tc>
        <w:tc>
          <w:tcPr>
            <w:tcW w:w="3470" w:type="dxa"/>
            <w:tcBorders>
              <w:bottom w:val="single" w:sz="4" w:space="0" w:color="auto"/>
            </w:tcBorders>
            <w:shd w:val="clear" w:color="auto" w:fill="auto"/>
            <w:vAlign w:val="bottom"/>
          </w:tcPr>
          <w:p w14:paraId="038F8E52" w14:textId="77777777" w:rsidR="009C340B" w:rsidRPr="000612C5" w:rsidRDefault="009C340B" w:rsidP="0044317F">
            <w:pPr>
              <w:jc w:val="center"/>
              <w:rPr>
                <w:rFonts w:ascii="Arial" w:hAnsi="Arial" w:cs="Arial"/>
                <w:b/>
                <w:bCs/>
              </w:rPr>
            </w:pPr>
          </w:p>
        </w:tc>
        <w:tc>
          <w:tcPr>
            <w:tcW w:w="3470" w:type="dxa"/>
            <w:tcBorders>
              <w:bottom w:val="single" w:sz="4" w:space="0" w:color="auto"/>
            </w:tcBorders>
            <w:shd w:val="clear" w:color="auto" w:fill="auto"/>
            <w:vAlign w:val="bottom"/>
          </w:tcPr>
          <w:p w14:paraId="35538A93" w14:textId="77777777" w:rsidR="009C340B" w:rsidRPr="000612C5" w:rsidRDefault="009C340B" w:rsidP="0044317F">
            <w:pPr>
              <w:jc w:val="center"/>
              <w:rPr>
                <w:rFonts w:ascii="Arial" w:hAnsi="Arial" w:cs="Arial"/>
                <w:b/>
                <w:bCs/>
              </w:rPr>
            </w:pPr>
          </w:p>
        </w:tc>
      </w:tr>
      <w:tr w:rsidR="009C340B" w:rsidRPr="000612C5" w14:paraId="359097F8" w14:textId="77777777" w:rsidTr="0044317F">
        <w:trPr>
          <w:trHeight w:val="317"/>
        </w:trPr>
        <w:tc>
          <w:tcPr>
            <w:tcW w:w="3470" w:type="dxa"/>
            <w:tcBorders>
              <w:top w:val="single" w:sz="4" w:space="0" w:color="auto"/>
              <w:left w:val="single" w:sz="4" w:space="0" w:color="auto"/>
              <w:bottom w:val="nil"/>
              <w:right w:val="single" w:sz="4" w:space="0" w:color="auto"/>
            </w:tcBorders>
            <w:shd w:val="clear" w:color="auto" w:fill="auto"/>
            <w:vAlign w:val="bottom"/>
          </w:tcPr>
          <w:p w14:paraId="240065F3" w14:textId="77777777" w:rsidR="009C340B" w:rsidRPr="000612C5" w:rsidRDefault="009C340B" w:rsidP="0044317F">
            <w:pPr>
              <w:jc w:val="center"/>
              <w:rPr>
                <w:rFonts w:ascii="Arial" w:hAnsi="Arial" w:cs="Arial"/>
                <w:b/>
                <w:bCs/>
              </w:rPr>
            </w:pPr>
            <w:r w:rsidRPr="00EB3BAE">
              <w:rPr>
                <w:rFonts w:ascii="Arial" w:hAnsi="Arial" w:cs="Arial"/>
                <w:b/>
                <w:bCs/>
              </w:rPr>
              <w:t>Name</w:t>
            </w:r>
          </w:p>
        </w:tc>
        <w:tc>
          <w:tcPr>
            <w:tcW w:w="3470" w:type="dxa"/>
            <w:tcBorders>
              <w:top w:val="single" w:sz="4" w:space="0" w:color="auto"/>
              <w:left w:val="nil"/>
              <w:bottom w:val="nil"/>
              <w:right w:val="single" w:sz="4" w:space="0" w:color="auto"/>
            </w:tcBorders>
            <w:vAlign w:val="bottom"/>
          </w:tcPr>
          <w:p w14:paraId="3E53E468" w14:textId="77777777" w:rsidR="009C340B" w:rsidRPr="00777FA7" w:rsidRDefault="009C340B" w:rsidP="0044317F">
            <w:pPr>
              <w:jc w:val="center"/>
              <w:rPr>
                <w:rFonts w:ascii="Arial" w:hAnsi="Arial" w:cs="Arial"/>
                <w:b/>
                <w:bCs/>
              </w:rPr>
            </w:pPr>
            <w:r w:rsidRPr="00EB3BAE">
              <w:rPr>
                <w:rFonts w:ascii="Arial" w:hAnsi="Arial" w:cs="Arial"/>
                <w:b/>
                <w:bCs/>
              </w:rPr>
              <w:t>ACN / ABN</w:t>
            </w:r>
          </w:p>
        </w:tc>
        <w:tc>
          <w:tcPr>
            <w:tcW w:w="3470" w:type="dxa"/>
            <w:tcBorders>
              <w:top w:val="single" w:sz="4" w:space="0" w:color="auto"/>
              <w:left w:val="single" w:sz="4" w:space="0" w:color="auto"/>
              <w:bottom w:val="nil"/>
              <w:right w:val="single" w:sz="4" w:space="0" w:color="auto"/>
            </w:tcBorders>
            <w:shd w:val="clear" w:color="auto" w:fill="auto"/>
            <w:vAlign w:val="bottom"/>
          </w:tcPr>
          <w:p w14:paraId="336E4E69" w14:textId="77777777" w:rsidR="009C340B" w:rsidRPr="000612C5" w:rsidRDefault="009C340B" w:rsidP="0044317F">
            <w:pPr>
              <w:jc w:val="center"/>
              <w:rPr>
                <w:rFonts w:ascii="Arial" w:hAnsi="Arial" w:cs="Arial"/>
                <w:b/>
                <w:bCs/>
              </w:rPr>
            </w:pPr>
            <w:r w:rsidRPr="00EB3BAE">
              <w:rPr>
                <w:rFonts w:ascii="Arial" w:hAnsi="Arial" w:cs="Arial"/>
                <w:b/>
                <w:bCs/>
              </w:rPr>
              <w:t>Related party</w:t>
            </w:r>
          </w:p>
        </w:tc>
        <w:tc>
          <w:tcPr>
            <w:tcW w:w="3470" w:type="dxa"/>
            <w:tcBorders>
              <w:top w:val="single" w:sz="4" w:space="0" w:color="auto"/>
              <w:left w:val="nil"/>
              <w:bottom w:val="nil"/>
              <w:right w:val="single" w:sz="4" w:space="0" w:color="auto"/>
            </w:tcBorders>
            <w:shd w:val="clear" w:color="auto" w:fill="auto"/>
            <w:vAlign w:val="bottom"/>
          </w:tcPr>
          <w:p w14:paraId="29C2E9D0" w14:textId="77777777" w:rsidR="009C340B" w:rsidRPr="000612C5" w:rsidRDefault="009C340B" w:rsidP="0044317F">
            <w:pPr>
              <w:jc w:val="center"/>
              <w:rPr>
                <w:rFonts w:ascii="Arial" w:hAnsi="Arial" w:cs="Arial"/>
                <w:b/>
                <w:bCs/>
              </w:rPr>
            </w:pPr>
            <w:r w:rsidRPr="00EB3BAE">
              <w:rPr>
                <w:rFonts w:ascii="Arial" w:hAnsi="Arial" w:cs="Arial"/>
                <w:b/>
                <w:bCs/>
              </w:rPr>
              <w:t>Closing value</w:t>
            </w:r>
          </w:p>
        </w:tc>
      </w:tr>
      <w:tr w:rsidR="009C340B" w:rsidRPr="000612C5" w14:paraId="182B0F61" w14:textId="77777777" w:rsidTr="0044317F">
        <w:trPr>
          <w:trHeight w:val="317"/>
        </w:trPr>
        <w:tc>
          <w:tcPr>
            <w:tcW w:w="3470" w:type="dxa"/>
            <w:tcBorders>
              <w:top w:val="nil"/>
              <w:left w:val="single" w:sz="4" w:space="0" w:color="auto"/>
              <w:bottom w:val="single" w:sz="4" w:space="0" w:color="auto"/>
              <w:right w:val="single" w:sz="4" w:space="0" w:color="auto"/>
            </w:tcBorders>
            <w:shd w:val="clear" w:color="auto" w:fill="auto"/>
            <w:vAlign w:val="bottom"/>
            <w:hideMark/>
          </w:tcPr>
          <w:p w14:paraId="0722E2E8" w14:textId="77777777" w:rsidR="009C340B" w:rsidRPr="000612C5" w:rsidRDefault="009C340B" w:rsidP="0044317F">
            <w:pPr>
              <w:jc w:val="center"/>
              <w:rPr>
                <w:rFonts w:ascii="Arial" w:hAnsi="Arial" w:cs="Arial"/>
                <w:b/>
                <w:bCs/>
              </w:rPr>
            </w:pPr>
            <w:r w:rsidRPr="000612C5">
              <w:rPr>
                <w:rFonts w:ascii="Arial" w:hAnsi="Arial" w:cs="Arial"/>
                <w:b/>
                <w:bCs/>
              </w:rPr>
              <w:t>(1)</w:t>
            </w:r>
          </w:p>
        </w:tc>
        <w:tc>
          <w:tcPr>
            <w:tcW w:w="3470" w:type="dxa"/>
            <w:tcBorders>
              <w:top w:val="nil"/>
              <w:left w:val="nil"/>
              <w:bottom w:val="single" w:sz="4" w:space="0" w:color="auto"/>
              <w:right w:val="single" w:sz="4" w:space="0" w:color="auto"/>
            </w:tcBorders>
          </w:tcPr>
          <w:p w14:paraId="6067A1A4" w14:textId="77777777" w:rsidR="009C340B" w:rsidRPr="000612C5" w:rsidRDefault="009C340B" w:rsidP="0044317F">
            <w:pPr>
              <w:jc w:val="center"/>
              <w:rPr>
                <w:rFonts w:ascii="Arial" w:hAnsi="Arial" w:cs="Arial"/>
                <w:b/>
                <w:bCs/>
              </w:rPr>
            </w:pPr>
            <w:r>
              <w:rPr>
                <w:rFonts w:ascii="Arial" w:hAnsi="Arial" w:cs="Arial"/>
                <w:b/>
                <w:bCs/>
              </w:rPr>
              <w:t>(2)</w:t>
            </w:r>
          </w:p>
        </w:tc>
        <w:tc>
          <w:tcPr>
            <w:tcW w:w="3470" w:type="dxa"/>
            <w:tcBorders>
              <w:top w:val="nil"/>
              <w:left w:val="single" w:sz="4" w:space="0" w:color="auto"/>
              <w:bottom w:val="single" w:sz="4" w:space="0" w:color="auto"/>
              <w:right w:val="single" w:sz="4" w:space="0" w:color="auto"/>
            </w:tcBorders>
            <w:shd w:val="clear" w:color="auto" w:fill="auto"/>
            <w:vAlign w:val="bottom"/>
            <w:hideMark/>
          </w:tcPr>
          <w:p w14:paraId="02B0F5BC" w14:textId="77777777" w:rsidR="009C340B" w:rsidRPr="000612C5" w:rsidRDefault="009C340B" w:rsidP="0044317F">
            <w:pPr>
              <w:jc w:val="center"/>
              <w:rPr>
                <w:rFonts w:ascii="Arial" w:hAnsi="Arial" w:cs="Arial"/>
                <w:b/>
                <w:bCs/>
              </w:rPr>
            </w:pPr>
            <w:r>
              <w:rPr>
                <w:rFonts w:ascii="Arial" w:hAnsi="Arial" w:cs="Arial"/>
                <w:b/>
                <w:bCs/>
              </w:rPr>
              <w:t>(3</w:t>
            </w:r>
            <w:r w:rsidRPr="000612C5">
              <w:rPr>
                <w:rFonts w:ascii="Arial" w:hAnsi="Arial" w:cs="Arial"/>
                <w:b/>
                <w:bCs/>
              </w:rPr>
              <w:t>)</w:t>
            </w:r>
          </w:p>
        </w:tc>
        <w:tc>
          <w:tcPr>
            <w:tcW w:w="3470" w:type="dxa"/>
            <w:tcBorders>
              <w:top w:val="nil"/>
              <w:left w:val="nil"/>
              <w:bottom w:val="single" w:sz="4" w:space="0" w:color="auto"/>
              <w:right w:val="single" w:sz="4" w:space="0" w:color="auto"/>
            </w:tcBorders>
            <w:shd w:val="clear" w:color="auto" w:fill="auto"/>
            <w:vAlign w:val="bottom"/>
            <w:hideMark/>
          </w:tcPr>
          <w:p w14:paraId="59CFE903" w14:textId="77777777" w:rsidR="009C340B" w:rsidRPr="000612C5" w:rsidRDefault="009C340B" w:rsidP="0044317F">
            <w:pPr>
              <w:jc w:val="center"/>
              <w:rPr>
                <w:rFonts w:ascii="Arial" w:hAnsi="Arial" w:cs="Arial"/>
                <w:b/>
                <w:bCs/>
              </w:rPr>
            </w:pPr>
            <w:r>
              <w:rPr>
                <w:rFonts w:ascii="Arial" w:hAnsi="Arial" w:cs="Arial"/>
                <w:b/>
                <w:bCs/>
              </w:rPr>
              <w:t>(4</w:t>
            </w:r>
            <w:r w:rsidRPr="000612C5">
              <w:rPr>
                <w:rFonts w:ascii="Arial" w:hAnsi="Arial" w:cs="Arial"/>
                <w:b/>
                <w:bCs/>
              </w:rPr>
              <w:t>)</w:t>
            </w:r>
          </w:p>
        </w:tc>
      </w:tr>
      <w:tr w:rsidR="009C340B" w:rsidRPr="00BD2319" w14:paraId="3C6BB2DB" w14:textId="77777777" w:rsidTr="0044317F">
        <w:trPr>
          <w:trHeight w:val="317"/>
        </w:trPr>
        <w:tc>
          <w:tcPr>
            <w:tcW w:w="3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9CD50" w14:textId="4636703B" w:rsidR="009C340B" w:rsidRPr="005026ED" w:rsidRDefault="009C340B" w:rsidP="0044317F">
            <w:pPr>
              <w:jc w:val="center"/>
              <w:rPr>
                <w:rFonts w:ascii="Arial" w:hAnsi="Arial" w:cs="Arial"/>
                <w:color w:val="000000"/>
              </w:rPr>
            </w:pPr>
          </w:p>
        </w:tc>
        <w:tc>
          <w:tcPr>
            <w:tcW w:w="3470" w:type="dxa"/>
            <w:tcBorders>
              <w:top w:val="single" w:sz="4" w:space="0" w:color="auto"/>
              <w:left w:val="nil"/>
              <w:bottom w:val="single" w:sz="4" w:space="0" w:color="auto"/>
              <w:right w:val="single" w:sz="4" w:space="0" w:color="auto"/>
            </w:tcBorders>
            <w:vAlign w:val="bottom"/>
          </w:tcPr>
          <w:p w14:paraId="78463E11" w14:textId="07A7AA21" w:rsidR="009C340B" w:rsidRPr="005026ED" w:rsidRDefault="009C340B" w:rsidP="0044317F">
            <w:pPr>
              <w:jc w:val="center"/>
              <w:rPr>
                <w:rFonts w:ascii="Arial" w:hAnsi="Arial" w:cs="Arial"/>
                <w:color w:val="000000"/>
              </w:rPr>
            </w:pPr>
          </w:p>
        </w:tc>
        <w:tc>
          <w:tcPr>
            <w:tcW w:w="3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8015F" w14:textId="5C280DD6" w:rsidR="009C340B" w:rsidRPr="005026ED" w:rsidRDefault="009C340B" w:rsidP="0044317F">
            <w:pPr>
              <w:jc w:val="center"/>
              <w:rPr>
                <w:rFonts w:ascii="Arial" w:hAnsi="Arial" w:cs="Arial"/>
                <w:color w:val="000000"/>
              </w:rPr>
            </w:pPr>
          </w:p>
        </w:tc>
        <w:tc>
          <w:tcPr>
            <w:tcW w:w="3470" w:type="dxa"/>
            <w:tcBorders>
              <w:top w:val="single" w:sz="4" w:space="0" w:color="auto"/>
              <w:left w:val="nil"/>
              <w:bottom w:val="single" w:sz="4" w:space="0" w:color="auto"/>
              <w:right w:val="single" w:sz="4" w:space="0" w:color="auto"/>
            </w:tcBorders>
            <w:shd w:val="clear" w:color="auto" w:fill="auto"/>
            <w:noWrap/>
            <w:vAlign w:val="bottom"/>
          </w:tcPr>
          <w:p w14:paraId="48E96244" w14:textId="4E0620E0" w:rsidR="009C340B" w:rsidRPr="005026ED" w:rsidRDefault="009C340B" w:rsidP="0044317F">
            <w:pPr>
              <w:jc w:val="center"/>
              <w:rPr>
                <w:rFonts w:ascii="Arial" w:hAnsi="Arial" w:cs="Arial"/>
                <w:color w:val="000000"/>
              </w:rPr>
            </w:pPr>
          </w:p>
        </w:tc>
      </w:tr>
      <w:tr w:rsidR="009C340B" w:rsidRPr="00777FA7" w14:paraId="7F9F5674" w14:textId="77777777" w:rsidTr="0044317F">
        <w:trPr>
          <w:trHeight w:val="317"/>
        </w:trPr>
        <w:tc>
          <w:tcPr>
            <w:tcW w:w="3470" w:type="dxa"/>
            <w:tcBorders>
              <w:top w:val="single" w:sz="4" w:space="0" w:color="auto"/>
            </w:tcBorders>
            <w:shd w:val="clear" w:color="auto" w:fill="auto"/>
            <w:noWrap/>
            <w:vAlign w:val="bottom"/>
          </w:tcPr>
          <w:p w14:paraId="0AB94178" w14:textId="77777777" w:rsidR="009C340B" w:rsidRPr="00777FA7" w:rsidRDefault="009C340B" w:rsidP="0044317F">
            <w:pPr>
              <w:jc w:val="center"/>
              <w:rPr>
                <w:rFonts w:ascii="Arial" w:hAnsi="Arial" w:cs="Arial"/>
                <w:color w:val="000000"/>
              </w:rPr>
            </w:pPr>
          </w:p>
        </w:tc>
        <w:tc>
          <w:tcPr>
            <w:tcW w:w="3470" w:type="dxa"/>
            <w:tcBorders>
              <w:top w:val="single" w:sz="4" w:space="0" w:color="auto"/>
              <w:right w:val="dotDash" w:sz="4" w:space="0" w:color="auto"/>
            </w:tcBorders>
          </w:tcPr>
          <w:p w14:paraId="00115E22" w14:textId="77777777" w:rsidR="009C340B" w:rsidRDefault="009C340B" w:rsidP="0044317F">
            <w:pPr>
              <w:jc w:val="center"/>
              <w:rPr>
                <w:rFonts w:ascii="Arial" w:hAnsi="Arial" w:cs="Arial"/>
                <w:color w:val="000000"/>
              </w:rPr>
            </w:pPr>
          </w:p>
        </w:tc>
        <w:tc>
          <w:tcPr>
            <w:tcW w:w="347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554E10B" w14:textId="7B7BB092" w:rsidR="009C340B" w:rsidRPr="00777FA7" w:rsidRDefault="009C340B" w:rsidP="0044317F">
            <w:pPr>
              <w:jc w:val="center"/>
              <w:rPr>
                <w:rFonts w:ascii="Arial" w:hAnsi="Arial" w:cs="Arial"/>
                <w:color w:val="000000"/>
              </w:rPr>
            </w:pPr>
          </w:p>
        </w:tc>
        <w:tc>
          <w:tcPr>
            <w:tcW w:w="3470" w:type="dxa"/>
            <w:tcBorders>
              <w:top w:val="single" w:sz="4" w:space="0" w:color="auto"/>
              <w:left w:val="dotDash" w:sz="4" w:space="0" w:color="auto"/>
            </w:tcBorders>
            <w:shd w:val="clear" w:color="auto" w:fill="auto"/>
            <w:noWrap/>
            <w:vAlign w:val="bottom"/>
          </w:tcPr>
          <w:p w14:paraId="144A40A9" w14:textId="77777777" w:rsidR="009C340B" w:rsidRPr="00777FA7" w:rsidRDefault="009C340B" w:rsidP="0044317F">
            <w:pPr>
              <w:jc w:val="center"/>
              <w:rPr>
                <w:rFonts w:ascii="Arial" w:hAnsi="Arial" w:cs="Arial"/>
                <w:color w:val="000000"/>
              </w:rPr>
            </w:pPr>
          </w:p>
        </w:tc>
      </w:tr>
      <w:tr w:rsidR="009C340B" w:rsidRPr="00777FA7" w14:paraId="20231225" w14:textId="77777777" w:rsidTr="0044317F">
        <w:trPr>
          <w:trHeight w:val="317"/>
        </w:trPr>
        <w:tc>
          <w:tcPr>
            <w:tcW w:w="3470" w:type="dxa"/>
            <w:shd w:val="clear" w:color="auto" w:fill="auto"/>
            <w:noWrap/>
            <w:vAlign w:val="bottom"/>
          </w:tcPr>
          <w:p w14:paraId="1EC48FC9" w14:textId="77777777" w:rsidR="009C340B" w:rsidRPr="00777FA7" w:rsidRDefault="009C340B" w:rsidP="0044317F">
            <w:pPr>
              <w:jc w:val="center"/>
              <w:rPr>
                <w:rFonts w:ascii="Arial" w:hAnsi="Arial" w:cs="Arial"/>
                <w:color w:val="000000"/>
              </w:rPr>
            </w:pPr>
          </w:p>
        </w:tc>
        <w:tc>
          <w:tcPr>
            <w:tcW w:w="3470" w:type="dxa"/>
            <w:tcBorders>
              <w:right w:val="dotDash" w:sz="4" w:space="0" w:color="auto"/>
            </w:tcBorders>
          </w:tcPr>
          <w:p w14:paraId="75CCDE5E" w14:textId="77777777" w:rsidR="009C340B" w:rsidRDefault="009C340B" w:rsidP="0044317F">
            <w:pPr>
              <w:jc w:val="center"/>
              <w:rPr>
                <w:rFonts w:ascii="Arial" w:hAnsi="Arial" w:cs="Arial"/>
                <w:color w:val="000000"/>
              </w:rPr>
            </w:pPr>
          </w:p>
        </w:tc>
        <w:tc>
          <w:tcPr>
            <w:tcW w:w="34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F7BBFDF" w14:textId="5331C999" w:rsidR="009C340B" w:rsidRPr="00777FA7" w:rsidRDefault="009C340B" w:rsidP="0044317F">
            <w:pPr>
              <w:jc w:val="center"/>
              <w:rPr>
                <w:rFonts w:ascii="Arial" w:hAnsi="Arial" w:cs="Arial"/>
                <w:color w:val="000000"/>
              </w:rPr>
            </w:pPr>
          </w:p>
        </w:tc>
        <w:tc>
          <w:tcPr>
            <w:tcW w:w="3470" w:type="dxa"/>
            <w:tcBorders>
              <w:left w:val="dotDash" w:sz="4" w:space="0" w:color="auto"/>
            </w:tcBorders>
            <w:shd w:val="clear" w:color="auto" w:fill="auto"/>
            <w:noWrap/>
            <w:vAlign w:val="bottom"/>
          </w:tcPr>
          <w:p w14:paraId="597CB470" w14:textId="77777777" w:rsidR="009C340B" w:rsidRPr="00777FA7" w:rsidRDefault="009C340B" w:rsidP="0044317F">
            <w:pPr>
              <w:jc w:val="center"/>
              <w:rPr>
                <w:rFonts w:ascii="Arial" w:hAnsi="Arial" w:cs="Arial"/>
                <w:color w:val="000000"/>
              </w:rPr>
            </w:pPr>
          </w:p>
        </w:tc>
      </w:tr>
    </w:tbl>
    <w:p w14:paraId="7C7BC6AA" w14:textId="77777777" w:rsidR="009C340B" w:rsidRDefault="009C340B" w:rsidP="009C340B">
      <w:pPr>
        <w:rPr>
          <w:rFonts w:ascii="Arial" w:hAnsi="Arial" w:cs="Arial"/>
        </w:rPr>
      </w:pPr>
    </w:p>
    <w:tbl>
      <w:tblPr>
        <w:tblW w:w="13892" w:type="dxa"/>
        <w:tblInd w:w="108" w:type="dxa"/>
        <w:tblLook w:val="04A0" w:firstRow="1" w:lastRow="0" w:firstColumn="1" w:lastColumn="0" w:noHBand="0" w:noVBand="1"/>
      </w:tblPr>
      <w:tblGrid>
        <w:gridCol w:w="13892"/>
      </w:tblGrid>
      <w:tr w:rsidR="009C340B" w:rsidRPr="00622207" w14:paraId="086F63AB" w14:textId="77777777" w:rsidTr="0044317F">
        <w:tc>
          <w:tcPr>
            <w:tcW w:w="8789" w:type="dxa"/>
          </w:tcPr>
          <w:p w14:paraId="338174EC" w14:textId="77777777" w:rsidR="009C340B" w:rsidRPr="00622207" w:rsidRDefault="009C340B" w:rsidP="0044317F">
            <w:pPr>
              <w:rPr>
                <w:rFonts w:ascii="Arial" w:hAnsi="Arial" w:cs="Arial"/>
                <w:b/>
                <w:bCs/>
              </w:rPr>
            </w:pPr>
            <w:r w:rsidRPr="005026ED">
              <w:rPr>
                <w:rFonts w:ascii="Arial" w:hAnsi="Arial" w:cs="Arial"/>
                <w:b/>
                <w:bCs/>
              </w:rPr>
              <w:t>Section 6: Policyholders' / Shareholders' funds</w:t>
            </w:r>
          </w:p>
        </w:tc>
      </w:tr>
    </w:tbl>
    <w:p w14:paraId="344F5A1C" w14:textId="77777777" w:rsidR="009C340B" w:rsidRDefault="009C340B" w:rsidP="009C340B">
      <w:pPr>
        <w:rPr>
          <w:rFonts w:ascii="Arial" w:hAnsi="Arial" w:cs="Arial"/>
        </w:rPr>
      </w:pPr>
    </w:p>
    <w:tbl>
      <w:tblPr>
        <w:tblW w:w="13892" w:type="dxa"/>
        <w:tblInd w:w="108" w:type="dxa"/>
        <w:tblLayout w:type="fixed"/>
        <w:tblLook w:val="04A0" w:firstRow="1" w:lastRow="0" w:firstColumn="1" w:lastColumn="0" w:noHBand="0" w:noVBand="1"/>
      </w:tblPr>
      <w:tblGrid>
        <w:gridCol w:w="9009"/>
        <w:gridCol w:w="2441"/>
        <w:gridCol w:w="2442"/>
      </w:tblGrid>
      <w:tr w:rsidR="009C340B" w:rsidRPr="00BD2F84" w14:paraId="0FC1E9FE" w14:textId="77777777" w:rsidTr="0044317F">
        <w:trPr>
          <w:trHeight w:val="312"/>
        </w:trPr>
        <w:tc>
          <w:tcPr>
            <w:tcW w:w="9009" w:type="dxa"/>
            <w:tcBorders>
              <w:top w:val="nil"/>
              <w:left w:val="nil"/>
              <w:bottom w:val="nil"/>
              <w:right w:val="nil"/>
            </w:tcBorders>
            <w:shd w:val="clear" w:color="auto" w:fill="auto"/>
            <w:noWrap/>
            <w:vAlign w:val="bottom"/>
            <w:hideMark/>
          </w:tcPr>
          <w:p w14:paraId="6340A67B" w14:textId="77777777" w:rsidR="009C340B" w:rsidRPr="00BD2F84" w:rsidRDefault="009C340B" w:rsidP="0044317F">
            <w:pPr>
              <w:rPr>
                <w:rFonts w:ascii="Arial" w:hAnsi="Arial" w:cs="Arial"/>
                <w:b/>
                <w:bCs/>
              </w:rPr>
            </w:pPr>
          </w:p>
        </w:tc>
        <w:tc>
          <w:tcPr>
            <w:tcW w:w="2441" w:type="dxa"/>
            <w:tcBorders>
              <w:top w:val="single" w:sz="4" w:space="0" w:color="auto"/>
              <w:left w:val="single" w:sz="4" w:space="0" w:color="auto"/>
              <w:bottom w:val="nil"/>
              <w:right w:val="single" w:sz="4" w:space="0" w:color="auto"/>
            </w:tcBorders>
            <w:shd w:val="clear" w:color="auto" w:fill="auto"/>
            <w:vAlign w:val="bottom"/>
            <w:hideMark/>
          </w:tcPr>
          <w:p w14:paraId="423FB35F" w14:textId="77777777" w:rsidR="009C340B" w:rsidRPr="00BD2F84" w:rsidRDefault="009C340B" w:rsidP="0044317F">
            <w:pPr>
              <w:jc w:val="center"/>
              <w:rPr>
                <w:rFonts w:ascii="Arial" w:hAnsi="Arial" w:cs="Arial"/>
                <w:b/>
                <w:bCs/>
              </w:rPr>
            </w:pPr>
            <w:r w:rsidRPr="00BD2F84">
              <w:rPr>
                <w:rFonts w:ascii="Arial" w:hAnsi="Arial" w:cs="Arial"/>
                <w:b/>
                <w:bCs/>
              </w:rPr>
              <w:t xml:space="preserve"> Policyholders' funds </w:t>
            </w:r>
          </w:p>
        </w:tc>
        <w:tc>
          <w:tcPr>
            <w:tcW w:w="2442" w:type="dxa"/>
            <w:tcBorders>
              <w:top w:val="single" w:sz="4" w:space="0" w:color="auto"/>
              <w:left w:val="nil"/>
              <w:bottom w:val="nil"/>
              <w:right w:val="single" w:sz="4" w:space="0" w:color="auto"/>
            </w:tcBorders>
            <w:shd w:val="clear" w:color="auto" w:fill="auto"/>
            <w:vAlign w:val="bottom"/>
            <w:hideMark/>
          </w:tcPr>
          <w:p w14:paraId="20D11290" w14:textId="77777777" w:rsidR="009C340B" w:rsidRPr="00BD2F84" w:rsidRDefault="009C340B" w:rsidP="0044317F">
            <w:pPr>
              <w:jc w:val="center"/>
              <w:rPr>
                <w:rFonts w:ascii="Arial" w:hAnsi="Arial" w:cs="Arial"/>
                <w:b/>
                <w:bCs/>
              </w:rPr>
            </w:pPr>
            <w:r w:rsidRPr="00BD2F84">
              <w:rPr>
                <w:rFonts w:ascii="Arial" w:hAnsi="Arial" w:cs="Arial"/>
                <w:b/>
                <w:bCs/>
              </w:rPr>
              <w:t>Shareholders' funds</w:t>
            </w:r>
          </w:p>
        </w:tc>
      </w:tr>
      <w:tr w:rsidR="009C340B" w:rsidRPr="00BD2F84" w14:paraId="642896CC" w14:textId="77777777" w:rsidTr="0044317F">
        <w:trPr>
          <w:trHeight w:val="312"/>
        </w:trPr>
        <w:tc>
          <w:tcPr>
            <w:tcW w:w="9009" w:type="dxa"/>
            <w:tcBorders>
              <w:top w:val="nil"/>
              <w:left w:val="nil"/>
              <w:bottom w:val="nil"/>
              <w:right w:val="nil"/>
            </w:tcBorders>
            <w:shd w:val="clear" w:color="auto" w:fill="auto"/>
            <w:noWrap/>
            <w:vAlign w:val="bottom"/>
            <w:hideMark/>
          </w:tcPr>
          <w:p w14:paraId="1D3A7A49" w14:textId="77777777" w:rsidR="009C340B" w:rsidRPr="00BD2F84" w:rsidRDefault="009C340B" w:rsidP="0044317F">
            <w:pPr>
              <w:rPr>
                <w:rFonts w:ascii="Arial" w:hAnsi="Arial" w:cs="Arial"/>
                <w:b/>
                <w:bCs/>
              </w:rPr>
            </w:pPr>
          </w:p>
        </w:tc>
        <w:tc>
          <w:tcPr>
            <w:tcW w:w="2441" w:type="dxa"/>
            <w:tcBorders>
              <w:top w:val="nil"/>
              <w:left w:val="single" w:sz="4" w:space="0" w:color="auto"/>
              <w:bottom w:val="single" w:sz="4" w:space="0" w:color="auto"/>
              <w:right w:val="single" w:sz="4" w:space="0" w:color="auto"/>
            </w:tcBorders>
            <w:shd w:val="clear" w:color="auto" w:fill="auto"/>
            <w:vAlign w:val="bottom"/>
            <w:hideMark/>
          </w:tcPr>
          <w:p w14:paraId="67720128" w14:textId="77777777" w:rsidR="009C340B" w:rsidRPr="00BD2F84" w:rsidRDefault="009C340B" w:rsidP="0044317F">
            <w:pPr>
              <w:jc w:val="center"/>
              <w:rPr>
                <w:rFonts w:ascii="Arial" w:hAnsi="Arial" w:cs="Arial"/>
                <w:b/>
                <w:bCs/>
              </w:rPr>
            </w:pPr>
            <w:r w:rsidRPr="00BD2F84">
              <w:rPr>
                <w:rFonts w:ascii="Arial" w:hAnsi="Arial" w:cs="Arial"/>
                <w:b/>
                <w:bCs/>
              </w:rPr>
              <w:t>(1)</w:t>
            </w:r>
          </w:p>
        </w:tc>
        <w:tc>
          <w:tcPr>
            <w:tcW w:w="2442" w:type="dxa"/>
            <w:tcBorders>
              <w:top w:val="nil"/>
              <w:left w:val="nil"/>
              <w:bottom w:val="single" w:sz="4" w:space="0" w:color="auto"/>
              <w:right w:val="single" w:sz="4" w:space="0" w:color="auto"/>
            </w:tcBorders>
            <w:shd w:val="clear" w:color="auto" w:fill="auto"/>
            <w:vAlign w:val="bottom"/>
            <w:hideMark/>
          </w:tcPr>
          <w:p w14:paraId="1BA3560B" w14:textId="77777777" w:rsidR="009C340B" w:rsidRPr="00BD2F84" w:rsidRDefault="009C340B" w:rsidP="0044317F">
            <w:pPr>
              <w:jc w:val="center"/>
              <w:rPr>
                <w:rFonts w:ascii="Arial" w:hAnsi="Arial" w:cs="Arial"/>
                <w:b/>
                <w:bCs/>
              </w:rPr>
            </w:pPr>
            <w:r w:rsidRPr="00BD2F84">
              <w:rPr>
                <w:rFonts w:ascii="Arial" w:hAnsi="Arial" w:cs="Arial"/>
                <w:b/>
                <w:bCs/>
              </w:rPr>
              <w:t>(2)</w:t>
            </w:r>
          </w:p>
        </w:tc>
      </w:tr>
      <w:tr w:rsidR="009C340B" w:rsidRPr="00BD2F84" w14:paraId="0262153E" w14:textId="77777777" w:rsidTr="0044317F">
        <w:trPr>
          <w:trHeight w:val="312"/>
        </w:trPr>
        <w:tc>
          <w:tcPr>
            <w:tcW w:w="9009" w:type="dxa"/>
            <w:tcBorders>
              <w:top w:val="nil"/>
              <w:left w:val="nil"/>
              <w:bottom w:val="nil"/>
              <w:right w:val="nil"/>
            </w:tcBorders>
            <w:shd w:val="clear" w:color="auto" w:fill="auto"/>
            <w:noWrap/>
            <w:vAlign w:val="bottom"/>
          </w:tcPr>
          <w:p w14:paraId="042DEFCC" w14:textId="77777777" w:rsidR="009C340B" w:rsidRPr="00BD2F84" w:rsidRDefault="009C340B" w:rsidP="009C340B">
            <w:pPr>
              <w:numPr>
                <w:ilvl w:val="0"/>
                <w:numId w:val="36"/>
              </w:numPr>
              <w:rPr>
                <w:rFonts w:ascii="Arial" w:hAnsi="Arial" w:cs="Arial"/>
                <w:bCs/>
              </w:rPr>
            </w:pPr>
            <w:r w:rsidRPr="00BD2F84">
              <w:rPr>
                <w:rFonts w:ascii="Arial" w:hAnsi="Arial" w:cs="Arial"/>
                <w:bCs/>
              </w:rPr>
              <w:lastRenderedPageBreak/>
              <w:t>Total direct interest rate investments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516DC"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E723" w14:textId="77777777" w:rsidR="009C340B" w:rsidRPr="00BD2F84" w:rsidRDefault="009C340B" w:rsidP="0044317F">
            <w:pPr>
              <w:jc w:val="center"/>
              <w:rPr>
                <w:rFonts w:ascii="Arial" w:hAnsi="Arial" w:cs="Arial"/>
                <w:color w:val="000000"/>
              </w:rPr>
            </w:pPr>
          </w:p>
        </w:tc>
      </w:tr>
      <w:tr w:rsidR="009C340B" w:rsidRPr="00BD2F84" w14:paraId="2A3FFF09" w14:textId="77777777" w:rsidTr="0044317F">
        <w:trPr>
          <w:trHeight w:val="312"/>
        </w:trPr>
        <w:tc>
          <w:tcPr>
            <w:tcW w:w="9009" w:type="dxa"/>
            <w:tcBorders>
              <w:top w:val="nil"/>
              <w:left w:val="nil"/>
              <w:bottom w:val="nil"/>
              <w:right w:val="nil"/>
            </w:tcBorders>
            <w:shd w:val="clear" w:color="auto" w:fill="auto"/>
            <w:noWrap/>
            <w:vAlign w:val="bottom"/>
          </w:tcPr>
          <w:p w14:paraId="07D591BE" w14:textId="77777777" w:rsidR="009C340B" w:rsidRPr="00BD2F84" w:rsidRDefault="009C340B" w:rsidP="009C340B">
            <w:pPr>
              <w:numPr>
                <w:ilvl w:val="0"/>
                <w:numId w:val="36"/>
              </w:numPr>
              <w:rPr>
                <w:rFonts w:ascii="Arial" w:hAnsi="Arial" w:cs="Arial"/>
                <w:bCs/>
              </w:rPr>
            </w:pPr>
            <w:r w:rsidRPr="00BD2F84">
              <w:rPr>
                <w:rFonts w:ascii="Arial" w:hAnsi="Arial" w:cs="Arial"/>
                <w:bCs/>
              </w:rPr>
              <w:t>Total direct equity investments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4CB91"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15424439" w14:textId="77777777" w:rsidR="009C340B" w:rsidRPr="00BD2F84" w:rsidRDefault="009C340B" w:rsidP="0044317F">
            <w:pPr>
              <w:jc w:val="center"/>
              <w:rPr>
                <w:rFonts w:ascii="Arial" w:hAnsi="Arial" w:cs="Arial"/>
                <w:color w:val="000000"/>
              </w:rPr>
            </w:pPr>
          </w:p>
        </w:tc>
      </w:tr>
      <w:tr w:rsidR="009C340B" w:rsidRPr="00BD2F84" w14:paraId="0F1E87A9" w14:textId="77777777" w:rsidTr="0044317F">
        <w:trPr>
          <w:trHeight w:val="312"/>
        </w:trPr>
        <w:tc>
          <w:tcPr>
            <w:tcW w:w="9009" w:type="dxa"/>
            <w:tcBorders>
              <w:top w:val="nil"/>
              <w:left w:val="nil"/>
              <w:bottom w:val="nil"/>
              <w:right w:val="nil"/>
            </w:tcBorders>
            <w:shd w:val="clear" w:color="auto" w:fill="auto"/>
            <w:noWrap/>
            <w:vAlign w:val="bottom"/>
          </w:tcPr>
          <w:p w14:paraId="7427C090" w14:textId="77777777" w:rsidR="009C340B" w:rsidRPr="00BD2F84" w:rsidRDefault="009C340B" w:rsidP="009C340B">
            <w:pPr>
              <w:numPr>
                <w:ilvl w:val="0"/>
                <w:numId w:val="36"/>
              </w:numPr>
              <w:rPr>
                <w:rFonts w:ascii="Arial" w:hAnsi="Arial" w:cs="Arial"/>
                <w:bCs/>
              </w:rPr>
            </w:pPr>
            <w:r w:rsidRPr="00BD2F84">
              <w:rPr>
                <w:rFonts w:ascii="Arial" w:hAnsi="Arial" w:cs="Arial"/>
                <w:bCs/>
              </w:rPr>
              <w:t>Total direct property investments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35707"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64FE6967" w14:textId="77777777" w:rsidR="009C340B" w:rsidRPr="00BD2F84" w:rsidRDefault="009C340B" w:rsidP="0044317F">
            <w:pPr>
              <w:jc w:val="center"/>
              <w:rPr>
                <w:rFonts w:ascii="Arial" w:hAnsi="Arial" w:cs="Arial"/>
                <w:color w:val="000000"/>
              </w:rPr>
            </w:pPr>
          </w:p>
        </w:tc>
      </w:tr>
      <w:tr w:rsidR="009C340B" w:rsidRPr="00BD2F84" w14:paraId="16C612AC" w14:textId="77777777" w:rsidTr="0044317F">
        <w:trPr>
          <w:trHeight w:val="312"/>
        </w:trPr>
        <w:tc>
          <w:tcPr>
            <w:tcW w:w="9009" w:type="dxa"/>
            <w:tcBorders>
              <w:top w:val="nil"/>
              <w:left w:val="nil"/>
              <w:bottom w:val="nil"/>
              <w:right w:val="nil"/>
            </w:tcBorders>
            <w:shd w:val="clear" w:color="auto" w:fill="auto"/>
            <w:noWrap/>
            <w:vAlign w:val="bottom"/>
          </w:tcPr>
          <w:p w14:paraId="21471FCF" w14:textId="77777777" w:rsidR="009C340B" w:rsidRPr="00BD2F84" w:rsidRDefault="009C340B" w:rsidP="009C340B">
            <w:pPr>
              <w:numPr>
                <w:ilvl w:val="0"/>
                <w:numId w:val="36"/>
              </w:numPr>
              <w:rPr>
                <w:rFonts w:ascii="Arial" w:hAnsi="Arial" w:cs="Arial"/>
                <w:bCs/>
              </w:rPr>
            </w:pPr>
            <w:r w:rsidRPr="00BD2F84">
              <w:rPr>
                <w:rFonts w:ascii="Arial" w:hAnsi="Arial" w:cs="Arial"/>
                <w:bCs/>
              </w:rPr>
              <w:t>Total net loans and advances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C11A1"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3E5D27A1" w14:textId="77777777" w:rsidR="009C340B" w:rsidRPr="00BD2F84" w:rsidRDefault="009C340B" w:rsidP="0044317F">
            <w:pPr>
              <w:jc w:val="center"/>
              <w:rPr>
                <w:rFonts w:ascii="Arial" w:hAnsi="Arial" w:cs="Arial"/>
                <w:color w:val="000000"/>
              </w:rPr>
            </w:pPr>
          </w:p>
        </w:tc>
      </w:tr>
      <w:tr w:rsidR="009C340B" w:rsidRPr="00BD2F84" w14:paraId="332C1966" w14:textId="77777777" w:rsidTr="0044317F">
        <w:trPr>
          <w:trHeight w:val="312"/>
        </w:trPr>
        <w:tc>
          <w:tcPr>
            <w:tcW w:w="9009" w:type="dxa"/>
            <w:tcBorders>
              <w:top w:val="nil"/>
              <w:left w:val="nil"/>
              <w:right w:val="nil"/>
            </w:tcBorders>
            <w:shd w:val="clear" w:color="auto" w:fill="auto"/>
            <w:noWrap/>
            <w:vAlign w:val="bottom"/>
          </w:tcPr>
          <w:p w14:paraId="47C71964" w14:textId="77777777" w:rsidR="009C340B" w:rsidRPr="00BD2F84" w:rsidRDefault="009C340B" w:rsidP="009C340B">
            <w:pPr>
              <w:numPr>
                <w:ilvl w:val="1"/>
                <w:numId w:val="36"/>
              </w:numPr>
              <w:rPr>
                <w:rFonts w:ascii="Arial" w:hAnsi="Arial" w:cs="Arial"/>
                <w:bCs/>
              </w:rPr>
            </w:pPr>
            <w:r w:rsidRPr="00BD2F84">
              <w:rPr>
                <w:rFonts w:ascii="Arial" w:hAnsi="Arial" w:cs="Arial"/>
                <w:bCs/>
              </w:rPr>
              <w:t>Balance outstanding</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5E10D"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143793C1" w14:textId="77777777" w:rsidR="009C340B" w:rsidRPr="00BD2F84" w:rsidRDefault="009C340B" w:rsidP="0044317F">
            <w:pPr>
              <w:jc w:val="center"/>
              <w:rPr>
                <w:rFonts w:ascii="Arial" w:hAnsi="Arial" w:cs="Arial"/>
                <w:color w:val="000000"/>
              </w:rPr>
            </w:pPr>
          </w:p>
        </w:tc>
      </w:tr>
      <w:tr w:rsidR="009C340B" w:rsidRPr="00BD2F84" w14:paraId="63FF9A98" w14:textId="77777777" w:rsidTr="0044317F">
        <w:trPr>
          <w:trHeight w:val="312"/>
        </w:trPr>
        <w:tc>
          <w:tcPr>
            <w:tcW w:w="9009" w:type="dxa"/>
            <w:tcBorders>
              <w:top w:val="nil"/>
              <w:left w:val="nil"/>
              <w:bottom w:val="nil"/>
              <w:right w:val="nil"/>
            </w:tcBorders>
            <w:shd w:val="clear" w:color="auto" w:fill="auto"/>
            <w:noWrap/>
            <w:vAlign w:val="bottom"/>
          </w:tcPr>
          <w:p w14:paraId="3DD72011" w14:textId="77777777" w:rsidR="009C340B" w:rsidRPr="00BD2F84" w:rsidRDefault="009C340B" w:rsidP="009C340B">
            <w:pPr>
              <w:numPr>
                <w:ilvl w:val="1"/>
                <w:numId w:val="36"/>
              </w:numPr>
              <w:rPr>
                <w:rFonts w:ascii="Arial" w:hAnsi="Arial" w:cs="Arial"/>
                <w:bCs/>
              </w:rPr>
            </w:pPr>
            <w:r w:rsidRPr="00BD2F84">
              <w:rPr>
                <w:rFonts w:ascii="Arial" w:hAnsi="Arial" w:cs="Arial"/>
                <w:bCs/>
              </w:rPr>
              <w:t>Provision for impairment</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606FE"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6F771" w14:textId="77777777" w:rsidR="009C340B" w:rsidRPr="00BD2F84" w:rsidRDefault="009C340B" w:rsidP="0044317F">
            <w:pPr>
              <w:jc w:val="center"/>
              <w:rPr>
                <w:rFonts w:ascii="Arial" w:hAnsi="Arial" w:cs="Arial"/>
                <w:color w:val="000000"/>
              </w:rPr>
            </w:pPr>
          </w:p>
        </w:tc>
      </w:tr>
      <w:tr w:rsidR="009C340B" w:rsidRPr="00BD2F84" w14:paraId="34C6DFDF" w14:textId="77777777" w:rsidTr="0044317F">
        <w:trPr>
          <w:trHeight w:val="312"/>
        </w:trPr>
        <w:tc>
          <w:tcPr>
            <w:tcW w:w="9009" w:type="dxa"/>
            <w:tcBorders>
              <w:top w:val="nil"/>
              <w:left w:val="nil"/>
              <w:bottom w:val="nil"/>
              <w:right w:val="nil"/>
            </w:tcBorders>
            <w:shd w:val="clear" w:color="auto" w:fill="auto"/>
            <w:noWrap/>
            <w:vAlign w:val="bottom"/>
          </w:tcPr>
          <w:p w14:paraId="5FDA97DA" w14:textId="77777777" w:rsidR="009C340B" w:rsidRPr="00BD2F84" w:rsidRDefault="009C340B" w:rsidP="009C340B">
            <w:pPr>
              <w:numPr>
                <w:ilvl w:val="0"/>
                <w:numId w:val="36"/>
              </w:numPr>
              <w:rPr>
                <w:rFonts w:ascii="Arial" w:hAnsi="Arial" w:cs="Arial"/>
                <w:bCs/>
              </w:rPr>
            </w:pPr>
            <w:r w:rsidRPr="00BD2F84">
              <w:rPr>
                <w:rFonts w:ascii="Arial" w:hAnsi="Arial" w:cs="Arial"/>
                <w:bCs/>
              </w:rPr>
              <w:t>Total holdings in indirect investment vehicles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06FD8"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0BCF8FA8" w14:textId="77777777" w:rsidR="009C340B" w:rsidRPr="00BD2F84" w:rsidRDefault="009C340B" w:rsidP="0044317F">
            <w:pPr>
              <w:jc w:val="center"/>
              <w:rPr>
                <w:rFonts w:ascii="Arial" w:hAnsi="Arial" w:cs="Arial"/>
                <w:color w:val="000000"/>
              </w:rPr>
            </w:pPr>
          </w:p>
        </w:tc>
      </w:tr>
      <w:tr w:rsidR="009C340B" w:rsidRPr="00BD2F84" w14:paraId="5CAB19CA" w14:textId="77777777" w:rsidTr="0044317F">
        <w:trPr>
          <w:trHeight w:val="312"/>
        </w:trPr>
        <w:tc>
          <w:tcPr>
            <w:tcW w:w="9009" w:type="dxa"/>
            <w:tcBorders>
              <w:top w:val="nil"/>
              <w:left w:val="nil"/>
              <w:bottom w:val="nil"/>
              <w:right w:val="nil"/>
            </w:tcBorders>
            <w:shd w:val="clear" w:color="auto" w:fill="auto"/>
            <w:noWrap/>
            <w:vAlign w:val="bottom"/>
          </w:tcPr>
          <w:p w14:paraId="4C873E8F" w14:textId="77777777" w:rsidR="009C340B" w:rsidRPr="00BD2F84" w:rsidRDefault="009C340B" w:rsidP="009C340B">
            <w:pPr>
              <w:numPr>
                <w:ilvl w:val="1"/>
                <w:numId w:val="36"/>
              </w:numPr>
              <w:rPr>
                <w:rFonts w:ascii="Arial" w:hAnsi="Arial" w:cs="Arial"/>
                <w:bCs/>
              </w:rPr>
            </w:pPr>
            <w:r w:rsidRPr="00BD2F84">
              <w:rPr>
                <w:rFonts w:ascii="Arial" w:hAnsi="Arial" w:cs="Arial"/>
                <w:bCs/>
              </w:rPr>
              <w:t>Cash</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7D7E6"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3FA29E99" w14:textId="77777777" w:rsidR="009C340B" w:rsidRPr="00BD2F84" w:rsidRDefault="009C340B" w:rsidP="0044317F">
            <w:pPr>
              <w:jc w:val="center"/>
              <w:rPr>
                <w:rFonts w:ascii="Arial" w:hAnsi="Arial" w:cs="Arial"/>
                <w:color w:val="000000"/>
              </w:rPr>
            </w:pPr>
          </w:p>
        </w:tc>
      </w:tr>
      <w:tr w:rsidR="009C340B" w:rsidRPr="00BD2F84" w14:paraId="623E6D31" w14:textId="77777777" w:rsidTr="0044317F">
        <w:trPr>
          <w:trHeight w:val="312"/>
        </w:trPr>
        <w:tc>
          <w:tcPr>
            <w:tcW w:w="9009" w:type="dxa"/>
            <w:tcBorders>
              <w:top w:val="nil"/>
              <w:left w:val="nil"/>
              <w:bottom w:val="nil"/>
              <w:right w:val="nil"/>
            </w:tcBorders>
            <w:shd w:val="clear" w:color="auto" w:fill="auto"/>
            <w:noWrap/>
            <w:vAlign w:val="bottom"/>
          </w:tcPr>
          <w:p w14:paraId="2B093BCB" w14:textId="77777777" w:rsidR="009C340B" w:rsidRPr="00BD2F84" w:rsidRDefault="009C340B" w:rsidP="009C340B">
            <w:pPr>
              <w:numPr>
                <w:ilvl w:val="1"/>
                <w:numId w:val="36"/>
              </w:numPr>
              <w:rPr>
                <w:rFonts w:ascii="Arial" w:hAnsi="Arial" w:cs="Arial"/>
                <w:bCs/>
              </w:rPr>
            </w:pPr>
            <w:r w:rsidRPr="00BD2F84">
              <w:rPr>
                <w:rFonts w:ascii="Arial" w:hAnsi="Arial" w:cs="Arial"/>
                <w:bCs/>
              </w:rPr>
              <w:t>Fixed interest</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79352"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00EB6997" w14:textId="77777777" w:rsidR="009C340B" w:rsidRPr="00BD2F84" w:rsidRDefault="009C340B" w:rsidP="0044317F">
            <w:pPr>
              <w:jc w:val="center"/>
              <w:rPr>
                <w:rFonts w:ascii="Arial" w:hAnsi="Arial" w:cs="Arial"/>
                <w:color w:val="000000"/>
              </w:rPr>
            </w:pPr>
          </w:p>
        </w:tc>
      </w:tr>
      <w:tr w:rsidR="009C340B" w:rsidRPr="00BD2F84" w14:paraId="7B938FA8" w14:textId="77777777" w:rsidTr="0044317F">
        <w:trPr>
          <w:trHeight w:val="312"/>
        </w:trPr>
        <w:tc>
          <w:tcPr>
            <w:tcW w:w="9009" w:type="dxa"/>
            <w:tcBorders>
              <w:top w:val="nil"/>
              <w:left w:val="nil"/>
              <w:bottom w:val="nil"/>
              <w:right w:val="nil"/>
            </w:tcBorders>
            <w:shd w:val="clear" w:color="auto" w:fill="auto"/>
            <w:noWrap/>
            <w:vAlign w:val="bottom"/>
          </w:tcPr>
          <w:p w14:paraId="0FEFD882" w14:textId="77777777" w:rsidR="009C340B" w:rsidRPr="00BD2F84" w:rsidRDefault="009C340B" w:rsidP="009C340B">
            <w:pPr>
              <w:numPr>
                <w:ilvl w:val="1"/>
                <w:numId w:val="36"/>
              </w:numPr>
              <w:rPr>
                <w:rFonts w:ascii="Arial" w:hAnsi="Arial" w:cs="Arial"/>
                <w:bCs/>
              </w:rPr>
            </w:pPr>
            <w:r w:rsidRPr="00BD2F84">
              <w:rPr>
                <w:rFonts w:ascii="Arial" w:hAnsi="Arial" w:cs="Arial"/>
                <w:bCs/>
              </w:rPr>
              <w:t>Equities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9AC9"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78AC0D9F" w14:textId="77777777" w:rsidR="009C340B" w:rsidRPr="00BD2F84" w:rsidRDefault="009C340B" w:rsidP="0044317F">
            <w:pPr>
              <w:jc w:val="center"/>
              <w:rPr>
                <w:rFonts w:ascii="Arial" w:hAnsi="Arial" w:cs="Arial"/>
                <w:color w:val="000000"/>
              </w:rPr>
            </w:pPr>
          </w:p>
        </w:tc>
      </w:tr>
      <w:tr w:rsidR="009C340B" w:rsidRPr="00BD2F84" w14:paraId="0412C8BB" w14:textId="77777777" w:rsidTr="0044317F">
        <w:trPr>
          <w:trHeight w:val="312"/>
        </w:trPr>
        <w:tc>
          <w:tcPr>
            <w:tcW w:w="9009" w:type="dxa"/>
            <w:tcBorders>
              <w:top w:val="nil"/>
              <w:left w:val="nil"/>
              <w:bottom w:val="nil"/>
              <w:right w:val="nil"/>
            </w:tcBorders>
            <w:shd w:val="clear" w:color="auto" w:fill="auto"/>
            <w:noWrap/>
            <w:vAlign w:val="bottom"/>
          </w:tcPr>
          <w:p w14:paraId="66FB2CD2" w14:textId="77777777" w:rsidR="009C340B" w:rsidRPr="00BD2F84" w:rsidRDefault="009C340B" w:rsidP="009C340B">
            <w:pPr>
              <w:numPr>
                <w:ilvl w:val="1"/>
                <w:numId w:val="36"/>
              </w:numPr>
              <w:rPr>
                <w:rFonts w:ascii="Arial" w:hAnsi="Arial" w:cs="Arial"/>
                <w:bCs/>
              </w:rPr>
            </w:pPr>
            <w:r w:rsidRPr="00BD2F84">
              <w:rPr>
                <w:rFonts w:ascii="Arial" w:hAnsi="Arial" w:cs="Arial"/>
                <w:bCs/>
              </w:rPr>
              <w:t>Property</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359D1"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2EC9857D" w14:textId="77777777" w:rsidR="009C340B" w:rsidRPr="00BD2F84" w:rsidRDefault="009C340B" w:rsidP="0044317F">
            <w:pPr>
              <w:jc w:val="center"/>
              <w:rPr>
                <w:rFonts w:ascii="Arial" w:hAnsi="Arial" w:cs="Arial"/>
                <w:color w:val="000000"/>
              </w:rPr>
            </w:pPr>
          </w:p>
        </w:tc>
      </w:tr>
      <w:tr w:rsidR="009C340B" w:rsidRPr="00BD2F84" w14:paraId="42DA9190" w14:textId="77777777" w:rsidTr="0044317F">
        <w:trPr>
          <w:trHeight w:val="312"/>
        </w:trPr>
        <w:tc>
          <w:tcPr>
            <w:tcW w:w="9009" w:type="dxa"/>
            <w:tcBorders>
              <w:top w:val="nil"/>
              <w:left w:val="nil"/>
              <w:bottom w:val="nil"/>
              <w:right w:val="nil"/>
            </w:tcBorders>
            <w:shd w:val="clear" w:color="auto" w:fill="auto"/>
            <w:noWrap/>
            <w:vAlign w:val="bottom"/>
          </w:tcPr>
          <w:p w14:paraId="5FAB69E0" w14:textId="77777777" w:rsidR="009C340B" w:rsidRPr="00BD2F84" w:rsidRDefault="009C340B" w:rsidP="009C340B">
            <w:pPr>
              <w:numPr>
                <w:ilvl w:val="1"/>
                <w:numId w:val="36"/>
              </w:numPr>
              <w:rPr>
                <w:rFonts w:ascii="Arial" w:hAnsi="Arial" w:cs="Arial"/>
                <w:bCs/>
              </w:rPr>
            </w:pPr>
            <w:r w:rsidRPr="00BD2F84">
              <w:rPr>
                <w:rFonts w:ascii="Arial" w:hAnsi="Arial" w:cs="Arial"/>
                <w:bCs/>
              </w:rPr>
              <w:t>Other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099C34" w14:textId="77777777" w:rsidR="009C340B" w:rsidRPr="00BD2F84" w:rsidRDefault="009C340B" w:rsidP="0044317F">
            <w:pPr>
              <w:jc w:val="center"/>
              <w:rPr>
                <w:rFonts w:ascii="Arial" w:hAnsi="Arial" w:cs="Arial"/>
                <w:color w:val="000000"/>
              </w:rPr>
            </w:pPr>
          </w:p>
        </w:tc>
        <w:tc>
          <w:tcPr>
            <w:tcW w:w="2442" w:type="dxa"/>
            <w:tcBorders>
              <w:top w:val="single" w:sz="4" w:space="0" w:color="auto"/>
              <w:left w:val="nil"/>
              <w:bottom w:val="single" w:sz="4" w:space="0" w:color="auto"/>
              <w:right w:val="single" w:sz="4" w:space="0" w:color="auto"/>
            </w:tcBorders>
            <w:shd w:val="clear" w:color="auto" w:fill="A6A6A6"/>
            <w:noWrap/>
            <w:vAlign w:val="bottom"/>
          </w:tcPr>
          <w:p w14:paraId="61BA4AF5" w14:textId="77777777" w:rsidR="009C340B" w:rsidRPr="00BD2F84" w:rsidRDefault="009C340B" w:rsidP="0044317F">
            <w:pPr>
              <w:jc w:val="center"/>
              <w:rPr>
                <w:rFonts w:ascii="Arial" w:hAnsi="Arial" w:cs="Arial"/>
                <w:color w:val="000000"/>
              </w:rPr>
            </w:pPr>
          </w:p>
        </w:tc>
      </w:tr>
    </w:tbl>
    <w:p w14:paraId="560F251E" w14:textId="77777777" w:rsidR="009C340B" w:rsidRDefault="009C340B" w:rsidP="009C340B">
      <w:pPr>
        <w:rPr>
          <w:rFonts w:ascii="Arial" w:hAnsi="Arial" w:cs="Arial"/>
        </w:rPr>
      </w:pPr>
    </w:p>
    <w:tbl>
      <w:tblPr>
        <w:tblW w:w="13892" w:type="dxa"/>
        <w:tblInd w:w="108" w:type="dxa"/>
        <w:tblLook w:val="04A0" w:firstRow="1" w:lastRow="0" w:firstColumn="1" w:lastColumn="0" w:noHBand="0" w:noVBand="1"/>
      </w:tblPr>
      <w:tblGrid>
        <w:gridCol w:w="13892"/>
      </w:tblGrid>
      <w:tr w:rsidR="009C340B" w:rsidRPr="00622207" w14:paraId="5E6AACF4" w14:textId="77777777" w:rsidTr="0044317F">
        <w:tc>
          <w:tcPr>
            <w:tcW w:w="8789" w:type="dxa"/>
          </w:tcPr>
          <w:p w14:paraId="1E0FC7A4" w14:textId="77777777" w:rsidR="009C340B" w:rsidRPr="00622207" w:rsidRDefault="009C340B" w:rsidP="0044317F">
            <w:pPr>
              <w:rPr>
                <w:rFonts w:ascii="Arial" w:hAnsi="Arial" w:cs="Arial"/>
                <w:b/>
                <w:bCs/>
              </w:rPr>
            </w:pPr>
            <w:r w:rsidRPr="00577628">
              <w:rPr>
                <w:rFonts w:ascii="Arial" w:hAnsi="Arial" w:cs="Arial"/>
                <w:b/>
                <w:bCs/>
              </w:rPr>
              <w:t>Section 7: Investments with related parties</w:t>
            </w:r>
          </w:p>
        </w:tc>
      </w:tr>
    </w:tbl>
    <w:p w14:paraId="3D79E655" w14:textId="77777777" w:rsidR="009C340B" w:rsidRDefault="009C340B" w:rsidP="009C340B">
      <w:pPr>
        <w:rPr>
          <w:rFonts w:ascii="Arial" w:hAnsi="Arial" w:cs="Arial"/>
        </w:rPr>
      </w:pPr>
    </w:p>
    <w:tbl>
      <w:tblPr>
        <w:tblW w:w="13892" w:type="dxa"/>
        <w:tblInd w:w="108" w:type="dxa"/>
        <w:tblLayout w:type="fixed"/>
        <w:tblLook w:val="04A0" w:firstRow="1" w:lastRow="0" w:firstColumn="1" w:lastColumn="0" w:noHBand="0" w:noVBand="1"/>
      </w:tblPr>
      <w:tblGrid>
        <w:gridCol w:w="5763"/>
        <w:gridCol w:w="1625"/>
        <w:gridCol w:w="1626"/>
        <w:gridCol w:w="1626"/>
        <w:gridCol w:w="1626"/>
        <w:gridCol w:w="1626"/>
      </w:tblGrid>
      <w:tr w:rsidR="009C340B" w:rsidRPr="00BD2F84" w14:paraId="4BB71A8A" w14:textId="77777777" w:rsidTr="0044317F">
        <w:trPr>
          <w:trHeight w:val="1115"/>
        </w:trPr>
        <w:tc>
          <w:tcPr>
            <w:tcW w:w="5763" w:type="dxa"/>
            <w:tcBorders>
              <w:top w:val="nil"/>
              <w:left w:val="nil"/>
              <w:bottom w:val="nil"/>
              <w:right w:val="nil"/>
            </w:tcBorders>
            <w:shd w:val="clear" w:color="auto" w:fill="auto"/>
            <w:noWrap/>
            <w:vAlign w:val="bottom"/>
            <w:hideMark/>
          </w:tcPr>
          <w:p w14:paraId="08860E9E" w14:textId="77777777" w:rsidR="009C340B" w:rsidRPr="00BD2F84" w:rsidRDefault="009C340B" w:rsidP="0044317F">
            <w:pPr>
              <w:rPr>
                <w:rFonts w:ascii="Arial" w:hAnsi="Arial" w:cs="Arial"/>
                <w:b/>
                <w:bCs/>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B7EAB" w14:textId="77777777" w:rsidR="009C340B" w:rsidRPr="00BD2F84" w:rsidRDefault="009C340B" w:rsidP="0044317F">
            <w:pPr>
              <w:jc w:val="center"/>
              <w:rPr>
                <w:rFonts w:ascii="Arial" w:hAnsi="Arial" w:cs="Arial"/>
                <w:b/>
                <w:bCs/>
              </w:rPr>
            </w:pPr>
            <w:r w:rsidRPr="00BD2F84">
              <w:rPr>
                <w:rFonts w:ascii="Arial" w:hAnsi="Arial" w:cs="Arial"/>
                <w:b/>
                <w:bCs/>
              </w:rPr>
              <w:t xml:space="preserve"> Parent entity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73398" w14:textId="77777777" w:rsidR="009C340B" w:rsidRPr="00BD2F84" w:rsidRDefault="009C340B" w:rsidP="0044317F">
            <w:pPr>
              <w:jc w:val="center"/>
              <w:rPr>
                <w:rFonts w:ascii="Arial" w:hAnsi="Arial" w:cs="Arial"/>
                <w:b/>
                <w:bCs/>
              </w:rPr>
            </w:pPr>
            <w:r w:rsidRPr="00BD2F84">
              <w:rPr>
                <w:rFonts w:ascii="Arial" w:hAnsi="Arial" w:cs="Arial"/>
                <w:b/>
                <w:bCs/>
              </w:rPr>
              <w:t xml:space="preserve"> Controlled entities / Controlled entities of the parent </w:t>
            </w:r>
          </w:p>
        </w:tc>
        <w:tc>
          <w:tcPr>
            <w:tcW w:w="1626" w:type="dxa"/>
            <w:tcBorders>
              <w:top w:val="single" w:sz="4" w:space="0" w:color="auto"/>
              <w:left w:val="single" w:sz="4" w:space="0" w:color="auto"/>
              <w:bottom w:val="single" w:sz="4" w:space="0" w:color="auto"/>
              <w:right w:val="single" w:sz="4" w:space="0" w:color="auto"/>
            </w:tcBorders>
            <w:vAlign w:val="bottom"/>
          </w:tcPr>
          <w:p w14:paraId="64334760" w14:textId="77777777" w:rsidR="009C340B" w:rsidRPr="00BD2F84" w:rsidRDefault="009C340B" w:rsidP="0044317F">
            <w:pPr>
              <w:jc w:val="center"/>
              <w:rPr>
                <w:rFonts w:ascii="Arial" w:hAnsi="Arial" w:cs="Arial"/>
                <w:b/>
                <w:bCs/>
              </w:rPr>
            </w:pPr>
            <w:r w:rsidRPr="00BD2F84">
              <w:rPr>
                <w:rFonts w:ascii="Arial" w:hAnsi="Arial" w:cs="Arial"/>
                <w:b/>
                <w:bCs/>
              </w:rPr>
              <w:t xml:space="preserve"> Associates </w:t>
            </w:r>
          </w:p>
        </w:tc>
        <w:tc>
          <w:tcPr>
            <w:tcW w:w="1626" w:type="dxa"/>
            <w:tcBorders>
              <w:top w:val="single" w:sz="4" w:space="0" w:color="auto"/>
              <w:left w:val="single" w:sz="4" w:space="0" w:color="auto"/>
              <w:bottom w:val="single" w:sz="4" w:space="0" w:color="auto"/>
              <w:right w:val="single" w:sz="4" w:space="0" w:color="auto"/>
            </w:tcBorders>
            <w:vAlign w:val="bottom"/>
          </w:tcPr>
          <w:p w14:paraId="1E462324" w14:textId="77777777" w:rsidR="009C340B" w:rsidRPr="00BD2F84" w:rsidRDefault="009C340B" w:rsidP="0044317F">
            <w:pPr>
              <w:jc w:val="center"/>
              <w:rPr>
                <w:rFonts w:ascii="Arial" w:hAnsi="Arial" w:cs="Arial"/>
                <w:b/>
                <w:bCs/>
              </w:rPr>
            </w:pPr>
            <w:r w:rsidRPr="00BD2F84">
              <w:rPr>
                <w:rFonts w:ascii="Arial" w:hAnsi="Arial" w:cs="Arial"/>
                <w:b/>
                <w:bCs/>
              </w:rPr>
              <w:t xml:space="preserve"> Joint ventures </w:t>
            </w:r>
          </w:p>
        </w:tc>
        <w:tc>
          <w:tcPr>
            <w:tcW w:w="1626" w:type="dxa"/>
            <w:tcBorders>
              <w:top w:val="single" w:sz="4" w:space="0" w:color="auto"/>
              <w:left w:val="single" w:sz="4" w:space="0" w:color="auto"/>
              <w:bottom w:val="single" w:sz="4" w:space="0" w:color="auto"/>
              <w:right w:val="single" w:sz="4" w:space="0" w:color="auto"/>
            </w:tcBorders>
            <w:vAlign w:val="bottom"/>
          </w:tcPr>
          <w:p w14:paraId="03BED9D3" w14:textId="77777777" w:rsidR="009C340B" w:rsidRPr="00BD2F84" w:rsidRDefault="009C340B" w:rsidP="0044317F">
            <w:pPr>
              <w:jc w:val="center"/>
              <w:rPr>
                <w:rFonts w:ascii="Arial" w:hAnsi="Arial" w:cs="Arial"/>
                <w:b/>
                <w:bCs/>
              </w:rPr>
            </w:pPr>
            <w:r w:rsidRPr="00BD2F84">
              <w:rPr>
                <w:rFonts w:ascii="Arial" w:hAnsi="Arial" w:cs="Arial"/>
                <w:b/>
                <w:bCs/>
              </w:rPr>
              <w:t xml:space="preserve"> Other related parties </w:t>
            </w:r>
          </w:p>
        </w:tc>
      </w:tr>
      <w:tr w:rsidR="009C340B" w:rsidRPr="00BD2F84" w14:paraId="2C40171C" w14:textId="77777777" w:rsidTr="0044317F">
        <w:trPr>
          <w:trHeight w:val="315"/>
        </w:trPr>
        <w:tc>
          <w:tcPr>
            <w:tcW w:w="5763" w:type="dxa"/>
            <w:tcBorders>
              <w:top w:val="nil"/>
              <w:left w:val="nil"/>
              <w:bottom w:val="nil"/>
              <w:right w:val="nil"/>
            </w:tcBorders>
            <w:shd w:val="clear" w:color="auto" w:fill="auto"/>
            <w:noWrap/>
            <w:vAlign w:val="bottom"/>
            <w:hideMark/>
          </w:tcPr>
          <w:p w14:paraId="4A820463" w14:textId="77777777" w:rsidR="009C340B" w:rsidRPr="00BD2F84" w:rsidRDefault="009C340B" w:rsidP="0044317F">
            <w:pPr>
              <w:rPr>
                <w:rFonts w:ascii="Arial" w:hAnsi="Arial" w:cs="Arial"/>
                <w:b/>
                <w:bCs/>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F2526" w14:textId="77777777" w:rsidR="009C340B" w:rsidRPr="00BD2F84" w:rsidRDefault="009C340B" w:rsidP="0044317F">
            <w:pPr>
              <w:jc w:val="center"/>
              <w:rPr>
                <w:rFonts w:ascii="Arial" w:hAnsi="Arial" w:cs="Arial"/>
                <w:b/>
                <w:bCs/>
              </w:rPr>
            </w:pPr>
            <w:r w:rsidRPr="00BD2F84">
              <w:rPr>
                <w:rFonts w:ascii="Arial" w:hAnsi="Arial" w:cs="Arial"/>
                <w:b/>
                <w:bCs/>
              </w:rPr>
              <w:t>(1)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1252F" w14:textId="77777777" w:rsidR="009C340B" w:rsidRPr="00BD2F84" w:rsidRDefault="009C340B" w:rsidP="0044317F">
            <w:pPr>
              <w:jc w:val="center"/>
              <w:rPr>
                <w:rFonts w:ascii="Arial" w:hAnsi="Arial" w:cs="Arial"/>
                <w:b/>
                <w:bCs/>
              </w:rPr>
            </w:pPr>
            <w:r w:rsidRPr="00BD2F84">
              <w:rPr>
                <w:rFonts w:ascii="Arial" w:hAnsi="Arial" w:cs="Arial"/>
                <w:b/>
                <w:bCs/>
              </w:rPr>
              <w:t>(2)</w:t>
            </w:r>
          </w:p>
        </w:tc>
        <w:tc>
          <w:tcPr>
            <w:tcW w:w="1626" w:type="dxa"/>
            <w:tcBorders>
              <w:top w:val="single" w:sz="4" w:space="0" w:color="auto"/>
              <w:left w:val="single" w:sz="4" w:space="0" w:color="auto"/>
              <w:bottom w:val="single" w:sz="4" w:space="0" w:color="auto"/>
              <w:right w:val="single" w:sz="4" w:space="0" w:color="auto"/>
            </w:tcBorders>
            <w:vAlign w:val="bottom"/>
          </w:tcPr>
          <w:p w14:paraId="54AC31A6" w14:textId="77777777" w:rsidR="009C340B" w:rsidRPr="00BD2F84" w:rsidRDefault="009C340B" w:rsidP="0044317F">
            <w:pPr>
              <w:jc w:val="center"/>
              <w:rPr>
                <w:rFonts w:ascii="Arial" w:hAnsi="Arial" w:cs="Arial"/>
                <w:b/>
                <w:bCs/>
              </w:rPr>
            </w:pPr>
            <w:r w:rsidRPr="00BD2F84">
              <w:rPr>
                <w:rFonts w:ascii="Arial" w:hAnsi="Arial" w:cs="Arial"/>
                <w:b/>
                <w:bCs/>
              </w:rPr>
              <w:t>(3)</w:t>
            </w:r>
          </w:p>
        </w:tc>
        <w:tc>
          <w:tcPr>
            <w:tcW w:w="1626" w:type="dxa"/>
            <w:tcBorders>
              <w:top w:val="single" w:sz="4" w:space="0" w:color="auto"/>
              <w:left w:val="single" w:sz="4" w:space="0" w:color="auto"/>
              <w:bottom w:val="single" w:sz="4" w:space="0" w:color="auto"/>
              <w:right w:val="single" w:sz="4" w:space="0" w:color="auto"/>
            </w:tcBorders>
            <w:vAlign w:val="bottom"/>
          </w:tcPr>
          <w:p w14:paraId="6CF98245" w14:textId="77777777" w:rsidR="009C340B" w:rsidRPr="00BD2F84" w:rsidRDefault="009C340B" w:rsidP="0044317F">
            <w:pPr>
              <w:jc w:val="center"/>
              <w:rPr>
                <w:rFonts w:ascii="Arial" w:hAnsi="Arial" w:cs="Arial"/>
                <w:b/>
                <w:bCs/>
              </w:rPr>
            </w:pPr>
            <w:r w:rsidRPr="00BD2F84">
              <w:rPr>
                <w:rFonts w:ascii="Arial" w:hAnsi="Arial" w:cs="Arial"/>
                <w:b/>
                <w:bCs/>
              </w:rPr>
              <w:t>(4)</w:t>
            </w:r>
          </w:p>
        </w:tc>
        <w:tc>
          <w:tcPr>
            <w:tcW w:w="1626" w:type="dxa"/>
            <w:tcBorders>
              <w:top w:val="single" w:sz="4" w:space="0" w:color="auto"/>
              <w:left w:val="single" w:sz="4" w:space="0" w:color="auto"/>
              <w:bottom w:val="single" w:sz="4" w:space="0" w:color="auto"/>
              <w:right w:val="single" w:sz="4" w:space="0" w:color="auto"/>
            </w:tcBorders>
            <w:vAlign w:val="bottom"/>
          </w:tcPr>
          <w:p w14:paraId="3B079085" w14:textId="77777777" w:rsidR="009C340B" w:rsidRPr="00BD2F84" w:rsidRDefault="009C340B" w:rsidP="0044317F">
            <w:pPr>
              <w:jc w:val="center"/>
              <w:rPr>
                <w:rFonts w:ascii="Arial" w:hAnsi="Arial" w:cs="Arial"/>
                <w:b/>
                <w:bCs/>
              </w:rPr>
            </w:pPr>
            <w:r w:rsidRPr="00BD2F84">
              <w:rPr>
                <w:rFonts w:ascii="Arial" w:hAnsi="Arial" w:cs="Arial"/>
                <w:b/>
                <w:bCs/>
              </w:rPr>
              <w:t>(5)</w:t>
            </w:r>
          </w:p>
        </w:tc>
      </w:tr>
      <w:tr w:rsidR="009C340B" w:rsidRPr="00BD2F84" w14:paraId="23CB0BC4" w14:textId="77777777" w:rsidTr="0044317F">
        <w:trPr>
          <w:trHeight w:val="315"/>
        </w:trPr>
        <w:tc>
          <w:tcPr>
            <w:tcW w:w="5763" w:type="dxa"/>
            <w:tcBorders>
              <w:top w:val="nil"/>
              <w:left w:val="nil"/>
              <w:bottom w:val="nil"/>
              <w:right w:val="nil"/>
            </w:tcBorders>
            <w:shd w:val="clear" w:color="auto" w:fill="auto"/>
            <w:noWrap/>
            <w:vAlign w:val="bottom"/>
          </w:tcPr>
          <w:p w14:paraId="31C34A04" w14:textId="77777777" w:rsidR="009C340B" w:rsidRPr="00BD2F84" w:rsidRDefault="009C340B" w:rsidP="009C340B">
            <w:pPr>
              <w:numPr>
                <w:ilvl w:val="0"/>
                <w:numId w:val="42"/>
              </w:numPr>
              <w:rPr>
                <w:rFonts w:ascii="Arial" w:hAnsi="Arial" w:cs="Arial"/>
                <w:bCs/>
              </w:rPr>
            </w:pPr>
            <w:r w:rsidRPr="00BD2F84">
              <w:rPr>
                <w:rFonts w:ascii="Arial" w:hAnsi="Arial" w:cs="Arial"/>
                <w:bCs/>
              </w:rPr>
              <w:t>Total direct interest rate investments</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B41D0"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8918A"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06945831"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0408095A"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435B61FD" w14:textId="77777777" w:rsidR="009C340B" w:rsidRPr="00BD2F84" w:rsidRDefault="009C340B" w:rsidP="0044317F">
            <w:pPr>
              <w:jc w:val="center"/>
              <w:rPr>
                <w:rFonts w:ascii="Arial" w:hAnsi="Arial" w:cs="Arial"/>
                <w:color w:val="000000"/>
              </w:rPr>
            </w:pPr>
          </w:p>
        </w:tc>
      </w:tr>
      <w:tr w:rsidR="009C340B" w:rsidRPr="00BD2F84" w14:paraId="2C1F190E" w14:textId="77777777" w:rsidTr="0044317F">
        <w:trPr>
          <w:trHeight w:val="315"/>
        </w:trPr>
        <w:tc>
          <w:tcPr>
            <w:tcW w:w="5763" w:type="dxa"/>
            <w:tcBorders>
              <w:top w:val="nil"/>
              <w:left w:val="nil"/>
              <w:bottom w:val="nil"/>
              <w:right w:val="nil"/>
            </w:tcBorders>
            <w:shd w:val="clear" w:color="auto" w:fill="auto"/>
            <w:noWrap/>
            <w:vAlign w:val="bottom"/>
          </w:tcPr>
          <w:p w14:paraId="3F8F2469" w14:textId="77777777" w:rsidR="009C340B" w:rsidRPr="00BD2F84" w:rsidRDefault="009C340B" w:rsidP="009C340B">
            <w:pPr>
              <w:numPr>
                <w:ilvl w:val="0"/>
                <w:numId w:val="42"/>
              </w:numPr>
              <w:rPr>
                <w:rFonts w:ascii="Arial" w:hAnsi="Arial" w:cs="Arial"/>
                <w:bCs/>
              </w:rPr>
            </w:pPr>
            <w:r w:rsidRPr="00BD2F84">
              <w:rPr>
                <w:rFonts w:ascii="Arial" w:hAnsi="Arial" w:cs="Arial"/>
                <w:bCs/>
              </w:rPr>
              <w:t>Total direct equity investments</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4B18C"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C4D29"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4CB8D6C4"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6A13F1DF"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1A32DB98" w14:textId="77777777" w:rsidR="009C340B" w:rsidRPr="00BD2F84" w:rsidRDefault="009C340B" w:rsidP="0044317F">
            <w:pPr>
              <w:jc w:val="center"/>
              <w:rPr>
                <w:rFonts w:ascii="Arial" w:hAnsi="Arial" w:cs="Arial"/>
                <w:color w:val="000000"/>
              </w:rPr>
            </w:pPr>
          </w:p>
        </w:tc>
      </w:tr>
      <w:tr w:rsidR="009C340B" w:rsidRPr="00BD2F84" w14:paraId="0307603F" w14:textId="77777777" w:rsidTr="0044317F">
        <w:trPr>
          <w:trHeight w:val="315"/>
        </w:trPr>
        <w:tc>
          <w:tcPr>
            <w:tcW w:w="5763" w:type="dxa"/>
            <w:tcBorders>
              <w:top w:val="nil"/>
              <w:left w:val="nil"/>
              <w:bottom w:val="nil"/>
              <w:right w:val="nil"/>
            </w:tcBorders>
            <w:shd w:val="clear" w:color="auto" w:fill="auto"/>
            <w:noWrap/>
            <w:vAlign w:val="bottom"/>
          </w:tcPr>
          <w:p w14:paraId="401108D3" w14:textId="77777777" w:rsidR="009C340B" w:rsidRPr="00BD2F84" w:rsidRDefault="009C340B" w:rsidP="009C340B">
            <w:pPr>
              <w:numPr>
                <w:ilvl w:val="0"/>
                <w:numId w:val="42"/>
              </w:numPr>
              <w:rPr>
                <w:rFonts w:ascii="Arial" w:hAnsi="Arial" w:cs="Arial"/>
                <w:bCs/>
              </w:rPr>
            </w:pPr>
            <w:r w:rsidRPr="00BD2F84">
              <w:rPr>
                <w:rFonts w:ascii="Arial" w:hAnsi="Arial" w:cs="Arial"/>
                <w:bCs/>
              </w:rPr>
              <w:t>Total direct property investments</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C5F37"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DB5A4"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309E4DAA"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44163A9D"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23D37A4B" w14:textId="77777777" w:rsidR="009C340B" w:rsidRPr="00BD2F84" w:rsidRDefault="009C340B" w:rsidP="0044317F">
            <w:pPr>
              <w:jc w:val="center"/>
              <w:rPr>
                <w:rFonts w:ascii="Arial" w:hAnsi="Arial" w:cs="Arial"/>
                <w:color w:val="000000"/>
              </w:rPr>
            </w:pPr>
          </w:p>
        </w:tc>
      </w:tr>
      <w:tr w:rsidR="009C340B" w:rsidRPr="00BD2F84" w14:paraId="4DA227B7" w14:textId="77777777" w:rsidTr="0044317F">
        <w:trPr>
          <w:trHeight w:val="315"/>
        </w:trPr>
        <w:tc>
          <w:tcPr>
            <w:tcW w:w="5763" w:type="dxa"/>
            <w:tcBorders>
              <w:top w:val="nil"/>
              <w:left w:val="nil"/>
              <w:bottom w:val="nil"/>
              <w:right w:val="nil"/>
            </w:tcBorders>
            <w:shd w:val="clear" w:color="auto" w:fill="auto"/>
            <w:noWrap/>
            <w:vAlign w:val="bottom"/>
          </w:tcPr>
          <w:p w14:paraId="4D0411ED" w14:textId="77777777" w:rsidR="009C340B" w:rsidRPr="00BD2F84" w:rsidRDefault="009C340B" w:rsidP="009C340B">
            <w:pPr>
              <w:numPr>
                <w:ilvl w:val="0"/>
                <w:numId w:val="42"/>
              </w:numPr>
              <w:rPr>
                <w:rFonts w:ascii="Arial" w:hAnsi="Arial" w:cs="Arial"/>
                <w:bCs/>
              </w:rPr>
            </w:pPr>
            <w:r w:rsidRPr="00BD2F84">
              <w:rPr>
                <w:rFonts w:ascii="Arial" w:hAnsi="Arial" w:cs="Arial"/>
                <w:bCs/>
              </w:rPr>
              <w:t>Total net loans and advances</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07E0D"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0981B"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47B8266A"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7EA68BD8"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564FC76B" w14:textId="77777777" w:rsidR="009C340B" w:rsidRPr="00BD2F84" w:rsidRDefault="009C340B" w:rsidP="0044317F">
            <w:pPr>
              <w:jc w:val="center"/>
              <w:rPr>
                <w:rFonts w:ascii="Arial" w:hAnsi="Arial" w:cs="Arial"/>
                <w:color w:val="000000"/>
              </w:rPr>
            </w:pPr>
          </w:p>
        </w:tc>
      </w:tr>
      <w:tr w:rsidR="009C340B" w:rsidRPr="00BD2F84" w14:paraId="50730D90" w14:textId="77777777" w:rsidTr="0044317F">
        <w:trPr>
          <w:trHeight w:val="315"/>
        </w:trPr>
        <w:tc>
          <w:tcPr>
            <w:tcW w:w="5763" w:type="dxa"/>
            <w:tcBorders>
              <w:top w:val="nil"/>
              <w:left w:val="nil"/>
              <w:right w:val="nil"/>
            </w:tcBorders>
            <w:shd w:val="clear" w:color="auto" w:fill="auto"/>
            <w:noWrap/>
            <w:vAlign w:val="bottom"/>
          </w:tcPr>
          <w:p w14:paraId="60DA7B22" w14:textId="77777777" w:rsidR="009C340B" w:rsidRPr="00BD2F84" w:rsidRDefault="009C340B" w:rsidP="009C340B">
            <w:pPr>
              <w:numPr>
                <w:ilvl w:val="1"/>
                <w:numId w:val="42"/>
              </w:numPr>
              <w:rPr>
                <w:rFonts w:ascii="Arial" w:hAnsi="Arial" w:cs="Arial"/>
                <w:bCs/>
              </w:rPr>
            </w:pPr>
            <w:r w:rsidRPr="00BD2F84">
              <w:rPr>
                <w:rFonts w:ascii="Arial" w:hAnsi="Arial" w:cs="Arial"/>
                <w:bCs/>
              </w:rPr>
              <w:t>Balance outstanding</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2B785"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73FEF"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519C8CC3"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7DD105FA"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56DF52A9" w14:textId="77777777" w:rsidR="009C340B" w:rsidRPr="00BD2F84" w:rsidRDefault="009C340B" w:rsidP="0044317F">
            <w:pPr>
              <w:jc w:val="center"/>
              <w:rPr>
                <w:rFonts w:ascii="Arial" w:hAnsi="Arial" w:cs="Arial"/>
                <w:color w:val="000000"/>
              </w:rPr>
            </w:pPr>
          </w:p>
        </w:tc>
      </w:tr>
      <w:tr w:rsidR="009C340B" w:rsidRPr="00BD2F84" w14:paraId="07E9446B" w14:textId="77777777" w:rsidTr="0044317F">
        <w:trPr>
          <w:trHeight w:val="315"/>
        </w:trPr>
        <w:tc>
          <w:tcPr>
            <w:tcW w:w="5763" w:type="dxa"/>
            <w:tcBorders>
              <w:top w:val="nil"/>
              <w:left w:val="nil"/>
              <w:right w:val="nil"/>
            </w:tcBorders>
            <w:shd w:val="clear" w:color="auto" w:fill="auto"/>
            <w:noWrap/>
            <w:vAlign w:val="bottom"/>
          </w:tcPr>
          <w:p w14:paraId="68DC23ED" w14:textId="77777777" w:rsidR="009C340B" w:rsidRPr="00BD2F84" w:rsidRDefault="009C340B" w:rsidP="009C340B">
            <w:pPr>
              <w:numPr>
                <w:ilvl w:val="1"/>
                <w:numId w:val="42"/>
              </w:numPr>
              <w:rPr>
                <w:rFonts w:ascii="Arial" w:hAnsi="Arial" w:cs="Arial"/>
                <w:bCs/>
              </w:rPr>
            </w:pPr>
            <w:r w:rsidRPr="00BD2F84">
              <w:rPr>
                <w:rFonts w:ascii="Arial" w:hAnsi="Arial" w:cs="Arial"/>
                <w:bCs/>
              </w:rPr>
              <w:t>Value of security</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B3A66"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C4C33"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6C63FEA4"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532CC9AC"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78419B21" w14:textId="77777777" w:rsidR="009C340B" w:rsidRPr="00BD2F84" w:rsidRDefault="009C340B" w:rsidP="0044317F">
            <w:pPr>
              <w:jc w:val="center"/>
              <w:rPr>
                <w:rFonts w:ascii="Arial" w:hAnsi="Arial" w:cs="Arial"/>
                <w:color w:val="000000"/>
              </w:rPr>
            </w:pPr>
          </w:p>
        </w:tc>
      </w:tr>
      <w:tr w:rsidR="009C340B" w:rsidRPr="00BD2F84" w14:paraId="7E7C3193" w14:textId="77777777" w:rsidTr="0044317F">
        <w:trPr>
          <w:trHeight w:val="315"/>
        </w:trPr>
        <w:tc>
          <w:tcPr>
            <w:tcW w:w="5763" w:type="dxa"/>
            <w:tcBorders>
              <w:top w:val="nil"/>
              <w:left w:val="nil"/>
              <w:bottom w:val="nil"/>
              <w:right w:val="nil"/>
            </w:tcBorders>
            <w:shd w:val="clear" w:color="auto" w:fill="auto"/>
            <w:noWrap/>
            <w:vAlign w:val="bottom"/>
          </w:tcPr>
          <w:p w14:paraId="1AF26110" w14:textId="77777777" w:rsidR="009C340B" w:rsidRPr="00BD2F84" w:rsidRDefault="009C340B" w:rsidP="009C340B">
            <w:pPr>
              <w:numPr>
                <w:ilvl w:val="1"/>
                <w:numId w:val="42"/>
              </w:numPr>
              <w:rPr>
                <w:rFonts w:ascii="Arial" w:hAnsi="Arial" w:cs="Arial"/>
                <w:bCs/>
              </w:rPr>
            </w:pPr>
            <w:r w:rsidRPr="00BD2F84">
              <w:rPr>
                <w:rFonts w:ascii="Arial" w:hAnsi="Arial" w:cs="Arial"/>
                <w:bCs/>
              </w:rPr>
              <w:t>Provision for impairment</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27262"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B160F"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693A0BF9"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72EA3714"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1E50027D" w14:textId="77777777" w:rsidR="009C340B" w:rsidRPr="00BD2F84" w:rsidRDefault="009C340B" w:rsidP="0044317F">
            <w:pPr>
              <w:jc w:val="center"/>
              <w:rPr>
                <w:rFonts w:ascii="Arial" w:hAnsi="Arial" w:cs="Arial"/>
                <w:color w:val="000000"/>
              </w:rPr>
            </w:pPr>
          </w:p>
        </w:tc>
      </w:tr>
      <w:tr w:rsidR="009C340B" w:rsidRPr="00BD2F84" w14:paraId="71C54D49" w14:textId="77777777" w:rsidTr="0044317F">
        <w:trPr>
          <w:trHeight w:val="315"/>
        </w:trPr>
        <w:tc>
          <w:tcPr>
            <w:tcW w:w="5763" w:type="dxa"/>
            <w:tcBorders>
              <w:top w:val="nil"/>
              <w:left w:val="nil"/>
              <w:bottom w:val="nil"/>
              <w:right w:val="nil"/>
            </w:tcBorders>
            <w:shd w:val="clear" w:color="auto" w:fill="auto"/>
            <w:noWrap/>
            <w:vAlign w:val="bottom"/>
          </w:tcPr>
          <w:p w14:paraId="7D86CF22" w14:textId="77777777" w:rsidR="009C340B" w:rsidRPr="00BD2F84" w:rsidRDefault="009C340B" w:rsidP="009C340B">
            <w:pPr>
              <w:numPr>
                <w:ilvl w:val="0"/>
                <w:numId w:val="42"/>
              </w:numPr>
              <w:rPr>
                <w:rFonts w:ascii="Arial" w:hAnsi="Arial" w:cs="Arial"/>
                <w:bCs/>
              </w:rPr>
            </w:pPr>
            <w:r w:rsidRPr="00BD2F84">
              <w:rPr>
                <w:rFonts w:ascii="Arial" w:hAnsi="Arial" w:cs="Arial"/>
                <w:bCs/>
              </w:rPr>
              <w:t>Total holdings in indirect investment vehicles</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53992"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E775F"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0B764F7B"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54D3DE99" w14:textId="77777777" w:rsidR="009C340B" w:rsidRPr="00BD2F84" w:rsidRDefault="009C340B" w:rsidP="0044317F">
            <w:pPr>
              <w:jc w:val="center"/>
              <w:rPr>
                <w:rFonts w:ascii="Arial" w:hAnsi="Arial" w:cs="Arial"/>
                <w:color w:val="000000"/>
              </w:rPr>
            </w:pPr>
          </w:p>
        </w:tc>
        <w:tc>
          <w:tcPr>
            <w:tcW w:w="1626" w:type="dxa"/>
            <w:tcBorders>
              <w:top w:val="single" w:sz="4" w:space="0" w:color="auto"/>
              <w:left w:val="single" w:sz="4" w:space="0" w:color="auto"/>
              <w:bottom w:val="single" w:sz="4" w:space="0" w:color="auto"/>
              <w:right w:val="single" w:sz="4" w:space="0" w:color="auto"/>
            </w:tcBorders>
            <w:vAlign w:val="bottom"/>
          </w:tcPr>
          <w:p w14:paraId="5F0F8745" w14:textId="77777777" w:rsidR="009C340B" w:rsidRPr="00BD2F84" w:rsidRDefault="009C340B" w:rsidP="0044317F">
            <w:pPr>
              <w:jc w:val="center"/>
              <w:rPr>
                <w:rFonts w:ascii="Arial" w:hAnsi="Arial" w:cs="Arial"/>
                <w:color w:val="000000"/>
              </w:rPr>
            </w:pPr>
          </w:p>
        </w:tc>
      </w:tr>
    </w:tbl>
    <w:p w14:paraId="60B0C140" w14:textId="77777777" w:rsidR="00A554B1" w:rsidRDefault="00A554B1" w:rsidP="00A554B1">
      <w:pPr>
        <w:rPr>
          <w:szCs w:val="24"/>
        </w:rPr>
      </w:pPr>
    </w:p>
    <w:p w14:paraId="7EEC5AF4" w14:textId="4EC19C38" w:rsidR="00A554B1" w:rsidRPr="00A554B1" w:rsidRDefault="00A554B1" w:rsidP="00A554B1">
      <w:pPr>
        <w:tabs>
          <w:tab w:val="left" w:pos="1320"/>
        </w:tabs>
        <w:sectPr w:rsidR="00A554B1" w:rsidRPr="00A554B1" w:rsidSect="00142495">
          <w:headerReference w:type="default" r:id="rId21"/>
          <w:footerReference w:type="default" r:id="rId22"/>
          <w:headerReference w:type="first" r:id="rId23"/>
          <w:footerReference w:type="first" r:id="rId24"/>
          <w:pgSz w:w="16840" w:h="11907" w:orient="landscape" w:code="9"/>
          <w:pgMar w:top="1440" w:right="1440" w:bottom="1440" w:left="1440" w:header="720" w:footer="720" w:gutter="0"/>
          <w:pgNumType w:start="1"/>
          <w:cols w:space="720"/>
          <w:docGrid w:linePitch="272"/>
        </w:sectPr>
      </w:pPr>
    </w:p>
    <w:p w14:paraId="7AAFD449" w14:textId="371742EF" w:rsidR="001D6161" w:rsidRPr="001D6161" w:rsidRDefault="001D6161" w:rsidP="00142495">
      <w:pPr>
        <w:keepNext/>
        <w:spacing w:after="240"/>
        <w:jc w:val="center"/>
        <w:rPr>
          <w:rFonts w:ascii="Arial" w:hAnsi="Arial" w:cs="Arial"/>
          <w:b/>
          <w:sz w:val="32"/>
          <w:szCs w:val="32"/>
        </w:rPr>
      </w:pPr>
      <w:r w:rsidRPr="001D6161">
        <w:rPr>
          <w:rFonts w:ascii="Arial" w:hAnsi="Arial" w:cs="Arial"/>
          <w:b/>
          <w:bCs/>
          <w:sz w:val="32"/>
          <w:szCs w:val="32"/>
        </w:rPr>
        <w:lastRenderedPageBreak/>
        <w:t>GRF_114_4: Details of Investment Assets</w:t>
      </w:r>
    </w:p>
    <w:p w14:paraId="466FDC72" w14:textId="77777777" w:rsidR="001D6161" w:rsidRPr="001D6161" w:rsidRDefault="001D6161" w:rsidP="00142495">
      <w:pPr>
        <w:keepNext/>
        <w:spacing w:after="240"/>
        <w:jc w:val="both"/>
        <w:rPr>
          <w:rFonts w:ascii="Arial" w:hAnsi="Arial" w:cs="Arial"/>
          <w:b/>
          <w:sz w:val="32"/>
          <w:szCs w:val="32"/>
        </w:rPr>
      </w:pPr>
      <w:r w:rsidRPr="001D6161">
        <w:rPr>
          <w:sz w:val="24"/>
          <w:szCs w:val="24"/>
        </w:rPr>
        <w:t>These instructions must be read in conjunction with the general instruction guide.</w:t>
      </w:r>
    </w:p>
    <w:p w14:paraId="4C68D8DB" w14:textId="77777777" w:rsidR="001D6161" w:rsidRPr="001D6161" w:rsidRDefault="001D6161" w:rsidP="00142495">
      <w:pPr>
        <w:keepNext/>
        <w:spacing w:after="240"/>
        <w:rPr>
          <w:rFonts w:ascii="Arial" w:hAnsi="Arial" w:cs="Arial"/>
          <w:b/>
          <w:sz w:val="32"/>
          <w:szCs w:val="32"/>
        </w:rPr>
      </w:pPr>
      <w:r w:rsidRPr="001D6161">
        <w:rPr>
          <w:rFonts w:ascii="Arial" w:hAnsi="Arial" w:cs="Arial"/>
          <w:b/>
          <w:sz w:val="32"/>
          <w:szCs w:val="32"/>
        </w:rPr>
        <w:t>Explanatory notes</w:t>
      </w:r>
    </w:p>
    <w:p w14:paraId="6D54226C" w14:textId="46CC751A" w:rsidR="001D6161" w:rsidRPr="001D6161" w:rsidRDefault="001D6161" w:rsidP="00142495">
      <w:pPr>
        <w:keepNext/>
        <w:spacing w:after="240"/>
        <w:rPr>
          <w:rFonts w:ascii="Arial" w:hAnsi="Arial" w:cs="Arial"/>
          <w:b/>
          <w:sz w:val="24"/>
          <w:szCs w:val="24"/>
        </w:rPr>
      </w:pPr>
      <w:r w:rsidRPr="001D6161">
        <w:rPr>
          <w:rFonts w:ascii="Arial" w:hAnsi="Arial" w:cs="Arial"/>
          <w:b/>
          <w:sz w:val="24"/>
          <w:szCs w:val="24"/>
        </w:rPr>
        <w:t>Holdings of units in unit trusts</w:t>
      </w:r>
    </w:p>
    <w:p w14:paraId="4FB97368" w14:textId="77777777" w:rsidR="001D6161" w:rsidRPr="001D6161" w:rsidRDefault="001D6161" w:rsidP="00142495">
      <w:pPr>
        <w:spacing w:after="240"/>
        <w:jc w:val="both"/>
        <w:rPr>
          <w:sz w:val="24"/>
          <w:szCs w:val="24"/>
        </w:rPr>
      </w:pPr>
      <w:r w:rsidRPr="001D6161">
        <w:rPr>
          <w:sz w:val="24"/>
          <w:szCs w:val="24"/>
        </w:rPr>
        <w:t>Where the reporting insurer's investments are represented by holdings of units in unlisted or listed managed investment vehicles/entities, units are to be reported in Section 5 of this form. This requires amongst other things, disclosure of the value of the unit holding according to the nature of the underlying market exposure (</w:t>
      </w:r>
      <w:proofErr w:type="gramStart"/>
      <w:r w:rsidRPr="001D6161">
        <w:rPr>
          <w:sz w:val="24"/>
          <w:szCs w:val="24"/>
        </w:rPr>
        <w:t>i.e.</w:t>
      </w:r>
      <w:proofErr w:type="gramEnd"/>
      <w:r w:rsidRPr="001D6161">
        <w:rPr>
          <w:sz w:val="24"/>
          <w:szCs w:val="24"/>
        </w:rPr>
        <w:t xml:space="preserve"> fixed interest rate related, equity related, property related). If the units are held in a diversified or balanced trust, the investment holding is to be disclosed in accordance with the fund's advised asset allocation.</w:t>
      </w:r>
    </w:p>
    <w:p w14:paraId="188D4575" w14:textId="7D971958" w:rsidR="001D6161" w:rsidRPr="001D6161" w:rsidRDefault="001D6161" w:rsidP="00142495">
      <w:pPr>
        <w:spacing w:after="240"/>
        <w:jc w:val="both"/>
        <w:rPr>
          <w:sz w:val="24"/>
          <w:szCs w:val="24"/>
        </w:rPr>
      </w:pPr>
      <w:r w:rsidRPr="001D6161">
        <w:rPr>
          <w:sz w:val="24"/>
          <w:szCs w:val="24"/>
        </w:rPr>
        <w:t>As an exception, if the units are held in a related party of the reporting insurer (</w:t>
      </w:r>
      <w:proofErr w:type="gramStart"/>
      <w:r w:rsidRPr="001D6161">
        <w:rPr>
          <w:sz w:val="24"/>
          <w:szCs w:val="24"/>
        </w:rPr>
        <w:t>i.e.</w:t>
      </w:r>
      <w:proofErr w:type="gramEnd"/>
      <w:r w:rsidRPr="001D6161">
        <w:rPr>
          <w:sz w:val="24"/>
          <w:szCs w:val="24"/>
        </w:rPr>
        <w:t xml:space="preserve"> a dedicated investment management entity for the Insurer), the insurer may apply to APRA to have such entities approved as part of its Extended Licensed Entity (ELE). This is set out in </w:t>
      </w:r>
      <w:r w:rsidRPr="001D6161">
        <w:rPr>
          <w:i/>
          <w:sz w:val="24"/>
          <w:szCs w:val="24"/>
        </w:rPr>
        <w:t xml:space="preserve">Prudential Standard GPS 114 Capital Adequacy: Asset Risk Charge </w:t>
      </w:r>
      <w:r w:rsidRPr="001D6161">
        <w:rPr>
          <w:sz w:val="24"/>
          <w:szCs w:val="24"/>
        </w:rPr>
        <w:t>(GPS 114). Once approved by APRA this will allow the insurer to look through the legal structures involved and consolidate the balance sheet of the related party with its own for the purposes of determining the Asset Risk Charge. If the insurer has an approved ELE, the underlying individual securities/investments supporting the units held by the licensed insurer are to be disclosed in the investment returns.</w:t>
      </w:r>
    </w:p>
    <w:p w14:paraId="7EAE69D3" w14:textId="4B3E2EA8" w:rsidR="001D6161" w:rsidRPr="001D6161" w:rsidRDefault="001D6161" w:rsidP="00142495">
      <w:pPr>
        <w:keepNext/>
        <w:spacing w:after="240"/>
        <w:rPr>
          <w:rFonts w:ascii="Arial" w:hAnsi="Arial" w:cs="Arial"/>
          <w:b/>
          <w:sz w:val="24"/>
          <w:szCs w:val="24"/>
        </w:rPr>
      </w:pPr>
      <w:r w:rsidRPr="001D6161">
        <w:rPr>
          <w:rFonts w:ascii="Arial" w:hAnsi="Arial" w:cs="Arial"/>
          <w:b/>
          <w:sz w:val="24"/>
          <w:szCs w:val="24"/>
        </w:rPr>
        <w:t>Subordinated debt</w:t>
      </w:r>
    </w:p>
    <w:p w14:paraId="041EB912" w14:textId="77777777" w:rsidR="001D6161" w:rsidRPr="001D6161" w:rsidRDefault="001D6161" w:rsidP="00142495">
      <w:pPr>
        <w:spacing w:after="240"/>
        <w:jc w:val="both"/>
        <w:rPr>
          <w:sz w:val="24"/>
          <w:szCs w:val="24"/>
        </w:rPr>
      </w:pPr>
      <w:r w:rsidRPr="001D6161">
        <w:rPr>
          <w:sz w:val="24"/>
          <w:szCs w:val="24"/>
        </w:rPr>
        <w:t>Subordinated debt is any debt instrument issued by a company (whether Australian or foreign) that constitutes debt subordination within the meaning of subsection 563</w:t>
      </w:r>
      <w:proofErr w:type="gramStart"/>
      <w:r w:rsidRPr="001D6161">
        <w:rPr>
          <w:sz w:val="24"/>
          <w:szCs w:val="24"/>
        </w:rPr>
        <w:t>C(</w:t>
      </w:r>
      <w:proofErr w:type="gramEnd"/>
      <w:r w:rsidRPr="001D6161">
        <w:rPr>
          <w:sz w:val="24"/>
          <w:szCs w:val="24"/>
        </w:rPr>
        <w:t xml:space="preserve">2) of the </w:t>
      </w:r>
      <w:r w:rsidRPr="001D6161">
        <w:rPr>
          <w:i/>
          <w:sz w:val="24"/>
          <w:szCs w:val="24"/>
        </w:rPr>
        <w:t>Corporations Act 2001</w:t>
      </w:r>
      <w:r w:rsidRPr="001D6161">
        <w:rPr>
          <w:sz w:val="24"/>
          <w:szCs w:val="24"/>
        </w:rPr>
        <w:t xml:space="preserve"> but with the references in the subsection to ‘Company’ to be read as including foreign corporations. This definition does not apply to debt instruments issued by a special purpose vehicle (SPV) set up for the purpose of securitising an asset or a pool of assets. Any debt instruments issued by such an SPV are to be treated as ordinary debt instruments with the asset risk charge applied according to the issue-specific counterparty rating.</w:t>
      </w:r>
    </w:p>
    <w:p w14:paraId="29AE8CEE" w14:textId="77777777" w:rsidR="001D6161" w:rsidRPr="001D6161" w:rsidRDefault="001D6161" w:rsidP="00142495">
      <w:pPr>
        <w:keepNext/>
        <w:spacing w:after="240"/>
        <w:rPr>
          <w:rFonts w:ascii="Arial" w:hAnsi="Arial" w:cs="Arial"/>
          <w:b/>
          <w:sz w:val="24"/>
          <w:szCs w:val="24"/>
        </w:rPr>
      </w:pPr>
      <w:r w:rsidRPr="001D6161">
        <w:rPr>
          <w:rFonts w:ascii="Arial" w:hAnsi="Arial" w:cs="Arial"/>
          <w:b/>
          <w:sz w:val="24"/>
          <w:szCs w:val="24"/>
        </w:rPr>
        <w:t>Securities purchased (sold) under agreements to resell (repurchase) and stock lending / borrowing</w:t>
      </w:r>
    </w:p>
    <w:p w14:paraId="28615271" w14:textId="77777777" w:rsidR="001D6161" w:rsidRPr="001D6161" w:rsidRDefault="001D6161" w:rsidP="00142495">
      <w:pPr>
        <w:spacing w:after="240"/>
        <w:jc w:val="both"/>
        <w:rPr>
          <w:sz w:val="24"/>
          <w:szCs w:val="24"/>
        </w:rPr>
      </w:pPr>
      <w:r w:rsidRPr="001D6161">
        <w:rPr>
          <w:sz w:val="24"/>
          <w:szCs w:val="24"/>
        </w:rPr>
        <w:t xml:space="preserve">Treatment is to be consistent with </w:t>
      </w:r>
      <w:r w:rsidRPr="001D6161">
        <w:rPr>
          <w:i/>
          <w:sz w:val="24"/>
          <w:szCs w:val="24"/>
        </w:rPr>
        <w:t>Australian Accounting Standard AASB 139 Financial Instruments: Recognition and Measurement</w:t>
      </w:r>
      <w:r w:rsidRPr="001D6161">
        <w:rPr>
          <w:sz w:val="24"/>
          <w:szCs w:val="24"/>
        </w:rPr>
        <w:t xml:space="preserve"> (AASB 139). Where the transferee of the security effectively receives a lender's rate of return, or a return that does not correlate with ownership of the securities (</w:t>
      </w:r>
      <w:proofErr w:type="gramStart"/>
      <w:r w:rsidRPr="001D6161">
        <w:rPr>
          <w:sz w:val="24"/>
          <w:szCs w:val="24"/>
        </w:rPr>
        <w:t>i.e.</w:t>
      </w:r>
      <w:proofErr w:type="gramEnd"/>
      <w:r w:rsidRPr="001D6161">
        <w:rPr>
          <w:sz w:val="24"/>
          <w:szCs w:val="24"/>
        </w:rPr>
        <w:t xml:space="preserve"> the risks and rewards of ownership of the underlying securities are not effectively transferred), these transactions are to be accounted for as collateralised borrowing or lending activities.</w:t>
      </w:r>
    </w:p>
    <w:p w14:paraId="38A47392" w14:textId="6ED4014D" w:rsidR="001D6161" w:rsidRPr="001D6161" w:rsidRDefault="001D6161" w:rsidP="00142495">
      <w:pPr>
        <w:spacing w:after="240"/>
        <w:jc w:val="both"/>
        <w:rPr>
          <w:sz w:val="24"/>
          <w:szCs w:val="24"/>
        </w:rPr>
      </w:pPr>
      <w:r w:rsidRPr="001D6161">
        <w:rPr>
          <w:sz w:val="24"/>
          <w:szCs w:val="24"/>
        </w:rPr>
        <w:t>Under this method of accounting, for transactions that satisfy the above, do not adjust (</w:t>
      </w:r>
      <w:proofErr w:type="gramStart"/>
      <w:r w:rsidRPr="001D6161">
        <w:rPr>
          <w:sz w:val="24"/>
          <w:szCs w:val="24"/>
        </w:rPr>
        <w:t>i.e.</w:t>
      </w:r>
      <w:proofErr w:type="gramEnd"/>
      <w:r w:rsidRPr="001D6161">
        <w:rPr>
          <w:sz w:val="24"/>
          <w:szCs w:val="24"/>
        </w:rPr>
        <w:t xml:space="preserve"> increase or decrease) the physical investment security holdings/portfolios (interest rate and equity investments) for the securities that are subject to these agreements.</w:t>
      </w:r>
    </w:p>
    <w:p w14:paraId="17F27C90" w14:textId="77777777" w:rsidR="001D6161" w:rsidRPr="001D6161" w:rsidRDefault="001D6161" w:rsidP="00142495">
      <w:pPr>
        <w:keepNext/>
        <w:spacing w:after="240"/>
        <w:rPr>
          <w:rFonts w:ascii="Arial" w:hAnsi="Arial" w:cs="Arial"/>
          <w:b/>
          <w:sz w:val="24"/>
          <w:szCs w:val="24"/>
        </w:rPr>
      </w:pPr>
      <w:r w:rsidRPr="001D6161">
        <w:rPr>
          <w:rFonts w:ascii="Arial" w:hAnsi="Arial" w:cs="Arial"/>
          <w:b/>
          <w:sz w:val="24"/>
          <w:szCs w:val="24"/>
        </w:rPr>
        <w:lastRenderedPageBreak/>
        <w:t>Securities Transacted not Settled (</w:t>
      </w:r>
      <w:proofErr w:type="gramStart"/>
      <w:r w:rsidRPr="001D6161">
        <w:rPr>
          <w:rFonts w:ascii="Arial" w:hAnsi="Arial" w:cs="Arial"/>
          <w:b/>
          <w:sz w:val="24"/>
          <w:szCs w:val="24"/>
        </w:rPr>
        <w:t>i.e.</w:t>
      </w:r>
      <w:proofErr w:type="gramEnd"/>
      <w:r w:rsidRPr="001D6161">
        <w:rPr>
          <w:rFonts w:ascii="Arial" w:hAnsi="Arial" w:cs="Arial"/>
          <w:b/>
          <w:sz w:val="24"/>
          <w:szCs w:val="24"/>
        </w:rPr>
        <w:t xml:space="preserve"> trade date accounting)</w:t>
      </w:r>
    </w:p>
    <w:p w14:paraId="4CA14F98" w14:textId="226AB084" w:rsidR="001D6161" w:rsidRPr="001D6161" w:rsidRDefault="001D6161" w:rsidP="00142495">
      <w:pPr>
        <w:spacing w:after="240"/>
        <w:jc w:val="both"/>
        <w:rPr>
          <w:sz w:val="24"/>
          <w:szCs w:val="24"/>
        </w:rPr>
      </w:pPr>
      <w:proofErr w:type="gramStart"/>
      <w:r w:rsidRPr="001D6161">
        <w:rPr>
          <w:sz w:val="24"/>
          <w:szCs w:val="24"/>
        </w:rPr>
        <w:t>For the purpose of</w:t>
      </w:r>
      <w:proofErr w:type="gramEnd"/>
      <w:r w:rsidRPr="001D6161">
        <w:rPr>
          <w:sz w:val="24"/>
          <w:szCs w:val="24"/>
        </w:rPr>
        <w:t xml:space="preserve"> this form, include market related securities that are recorded on a trade date basis and transacted in accordance with accepted financial market settlements periods in the relevant sections. These do not constitute forward asset purchases for the purposes of </w:t>
      </w:r>
      <w:r w:rsidRPr="001D6161">
        <w:rPr>
          <w:i/>
          <w:sz w:val="24"/>
          <w:szCs w:val="24"/>
        </w:rPr>
        <w:t>GRF 114.3 Off-balance Sheet Business</w:t>
      </w:r>
      <w:r w:rsidRPr="001D6161">
        <w:rPr>
          <w:sz w:val="24"/>
          <w:szCs w:val="24"/>
        </w:rPr>
        <w:t>.</w:t>
      </w:r>
      <w:r w:rsidR="005F5490">
        <w:rPr>
          <w:sz w:val="24"/>
          <w:szCs w:val="24"/>
        </w:rPr>
        <w:t xml:space="preserve"> </w:t>
      </w:r>
    </w:p>
    <w:p w14:paraId="6377454C" w14:textId="59EE349A" w:rsidR="001D6161" w:rsidRPr="001D6161" w:rsidRDefault="001D6161" w:rsidP="00142495">
      <w:pPr>
        <w:keepNext/>
        <w:spacing w:after="240"/>
        <w:rPr>
          <w:rFonts w:ascii="Arial" w:hAnsi="Arial" w:cs="Arial"/>
          <w:b/>
          <w:sz w:val="32"/>
          <w:szCs w:val="32"/>
        </w:rPr>
      </w:pPr>
      <w:r w:rsidRPr="001D6161">
        <w:rPr>
          <w:rFonts w:ascii="Arial" w:hAnsi="Arial" w:cs="Arial"/>
          <w:b/>
          <w:sz w:val="32"/>
          <w:szCs w:val="32"/>
        </w:rPr>
        <w:t>Instructions for specific items</w:t>
      </w:r>
    </w:p>
    <w:p w14:paraId="71AA4E98" w14:textId="77777777" w:rsidR="001D6161" w:rsidRPr="001D6161" w:rsidRDefault="001D6161" w:rsidP="00142495">
      <w:pPr>
        <w:keepNext/>
        <w:spacing w:after="240"/>
        <w:rPr>
          <w:rFonts w:ascii="Arial" w:hAnsi="Arial" w:cs="Arial"/>
          <w:b/>
          <w:sz w:val="24"/>
          <w:szCs w:val="24"/>
        </w:rPr>
      </w:pPr>
      <w:r w:rsidRPr="001D6161">
        <w:rPr>
          <w:rFonts w:ascii="Arial" w:hAnsi="Arial" w:cs="Arial"/>
          <w:b/>
          <w:sz w:val="24"/>
          <w:szCs w:val="24"/>
        </w:rPr>
        <w:t>Section 1: Direct interest rate holdings</w:t>
      </w:r>
    </w:p>
    <w:p w14:paraId="2D962331" w14:textId="5642E108" w:rsidR="001D6161" w:rsidRPr="001D6161" w:rsidRDefault="001D6161" w:rsidP="00142495">
      <w:pPr>
        <w:keepNext/>
        <w:spacing w:after="240"/>
        <w:ind w:left="567" w:hanging="567"/>
        <w:rPr>
          <w:rFonts w:ascii="Arial" w:hAnsi="Arial" w:cs="Arial"/>
          <w:b/>
          <w:sz w:val="24"/>
          <w:szCs w:val="24"/>
        </w:rPr>
      </w:pPr>
      <w:r w:rsidRPr="001D6161">
        <w:rPr>
          <w:rFonts w:ascii="Arial" w:hAnsi="Arial" w:cs="Arial"/>
          <w:b/>
          <w:sz w:val="24"/>
          <w:szCs w:val="24"/>
        </w:rPr>
        <w:t>Deposits or placements with (</w:t>
      </w:r>
      <w:proofErr w:type="gramStart"/>
      <w:r w:rsidRPr="001D6161">
        <w:rPr>
          <w:rFonts w:ascii="Arial" w:hAnsi="Arial" w:cs="Arial"/>
          <w:b/>
          <w:sz w:val="24"/>
          <w:szCs w:val="24"/>
        </w:rPr>
        <w:t>i.e.</w:t>
      </w:r>
      <w:proofErr w:type="gramEnd"/>
      <w:r w:rsidRPr="001D6161">
        <w:rPr>
          <w:rFonts w:ascii="Arial" w:hAnsi="Arial" w:cs="Arial"/>
          <w:b/>
          <w:sz w:val="24"/>
          <w:szCs w:val="24"/>
        </w:rPr>
        <w:t xml:space="preserve"> money market type deposits / placements)</w:t>
      </w:r>
    </w:p>
    <w:p w14:paraId="73D0DFF2" w14:textId="77777777" w:rsidR="001D6161" w:rsidRPr="001D6161" w:rsidRDefault="001D6161" w:rsidP="00142495">
      <w:pPr>
        <w:spacing w:after="240"/>
        <w:jc w:val="both"/>
        <w:rPr>
          <w:sz w:val="24"/>
          <w:szCs w:val="24"/>
        </w:rPr>
      </w:pPr>
      <w:r w:rsidRPr="001D6161">
        <w:rPr>
          <w:sz w:val="24"/>
          <w:szCs w:val="24"/>
        </w:rPr>
        <w:t>This is the value of deposits or placements that are of a money market type basis, as at the reporting date, redeemable or withdrawable by the reporting insurer on demand or within 24 hours. This must be held as part of the reporting insurer's investments portfolio.</w:t>
      </w:r>
    </w:p>
    <w:p w14:paraId="2F2C3C41" w14:textId="5741B455" w:rsidR="001D6161" w:rsidRPr="001D6161" w:rsidRDefault="001D6161" w:rsidP="00142495">
      <w:pPr>
        <w:spacing w:after="240"/>
        <w:jc w:val="both"/>
        <w:rPr>
          <w:sz w:val="24"/>
          <w:szCs w:val="24"/>
        </w:rPr>
      </w:pPr>
      <w:r w:rsidRPr="001D6161">
        <w:rPr>
          <w:sz w:val="24"/>
          <w:szCs w:val="24"/>
        </w:rPr>
        <w:t>Do not include any deposits at call that are used by the reporting insurer for daily liquidity/operations (</w:t>
      </w:r>
      <w:proofErr w:type="gramStart"/>
      <w:r w:rsidRPr="001D6161">
        <w:rPr>
          <w:sz w:val="24"/>
          <w:szCs w:val="24"/>
        </w:rPr>
        <w:t>i.e.</w:t>
      </w:r>
      <w:proofErr w:type="gramEnd"/>
      <w:r w:rsidRPr="001D6161">
        <w:rPr>
          <w:sz w:val="24"/>
          <w:szCs w:val="24"/>
        </w:rPr>
        <w:t xml:space="preserve"> funds that are not specifically included as investment funds). These are to be disclosed as money at short call in Item 1.2 of </w:t>
      </w:r>
      <w:r w:rsidRPr="001D6161">
        <w:rPr>
          <w:i/>
          <w:sz w:val="24"/>
          <w:szCs w:val="24"/>
        </w:rPr>
        <w:t>GRF 300.0 Statement of Financial Position</w:t>
      </w:r>
      <w:r w:rsidRPr="001D6161">
        <w:rPr>
          <w:sz w:val="24"/>
          <w:szCs w:val="24"/>
        </w:rPr>
        <w:t>.</w:t>
      </w:r>
    </w:p>
    <w:p w14:paraId="4F104E79" w14:textId="71813266" w:rsidR="001D6161" w:rsidRPr="001D6161" w:rsidRDefault="001D6161" w:rsidP="00142495">
      <w:pPr>
        <w:keepNext/>
        <w:numPr>
          <w:ilvl w:val="1"/>
          <w:numId w:val="28"/>
        </w:numPr>
        <w:spacing w:after="240"/>
        <w:ind w:left="851" w:hanging="851"/>
        <w:rPr>
          <w:rFonts w:ascii="Arial" w:hAnsi="Arial" w:cs="Arial"/>
          <w:b/>
          <w:sz w:val="24"/>
          <w:szCs w:val="24"/>
        </w:rPr>
      </w:pPr>
      <w:r w:rsidRPr="001D6161">
        <w:rPr>
          <w:rFonts w:ascii="Arial" w:hAnsi="Arial" w:cs="Arial"/>
          <w:b/>
          <w:sz w:val="24"/>
          <w:szCs w:val="24"/>
        </w:rPr>
        <w:t>Authorised Deposit Taking Institutions (ADIs)</w:t>
      </w:r>
    </w:p>
    <w:p w14:paraId="3F9F4F06" w14:textId="413B6C15" w:rsidR="001D6161" w:rsidRPr="001D6161" w:rsidRDefault="001D6161" w:rsidP="00142495">
      <w:pPr>
        <w:spacing w:after="240"/>
        <w:jc w:val="both"/>
        <w:rPr>
          <w:sz w:val="24"/>
          <w:szCs w:val="24"/>
        </w:rPr>
      </w:pPr>
      <w:r w:rsidRPr="001D6161">
        <w:rPr>
          <w:sz w:val="24"/>
          <w:szCs w:val="24"/>
        </w:rPr>
        <w:t xml:space="preserve">This is the value of deposits or placements with ADIs. An ADI has an </w:t>
      </w:r>
      <w:proofErr w:type="gramStart"/>
      <w:r w:rsidRPr="001D6161">
        <w:rPr>
          <w:sz w:val="24"/>
          <w:szCs w:val="24"/>
        </w:rPr>
        <w:t>in force</w:t>
      </w:r>
      <w:proofErr w:type="gramEnd"/>
      <w:r w:rsidRPr="001D6161">
        <w:rPr>
          <w:sz w:val="24"/>
          <w:szCs w:val="24"/>
        </w:rPr>
        <w:t xml:space="preserve"> authority under subsection 9(3) of the </w:t>
      </w:r>
      <w:r w:rsidRPr="001D6161">
        <w:rPr>
          <w:i/>
          <w:sz w:val="24"/>
          <w:szCs w:val="24"/>
        </w:rPr>
        <w:t>Banking Act 1959</w:t>
      </w:r>
      <w:r w:rsidRPr="001D6161">
        <w:rPr>
          <w:sz w:val="24"/>
          <w:szCs w:val="24"/>
        </w:rPr>
        <w:t>.</w:t>
      </w:r>
    </w:p>
    <w:p w14:paraId="5DA77591" w14:textId="77777777" w:rsidR="001D6161" w:rsidRPr="001D6161" w:rsidRDefault="001D6161" w:rsidP="00142495">
      <w:pPr>
        <w:keepNext/>
        <w:numPr>
          <w:ilvl w:val="1"/>
          <w:numId w:val="28"/>
        </w:numPr>
        <w:spacing w:after="240"/>
        <w:ind w:left="851" w:hanging="851"/>
        <w:rPr>
          <w:rFonts w:ascii="Arial" w:hAnsi="Arial" w:cs="Arial"/>
          <w:b/>
          <w:sz w:val="24"/>
          <w:szCs w:val="24"/>
        </w:rPr>
      </w:pPr>
      <w:r w:rsidRPr="001D6161">
        <w:rPr>
          <w:rFonts w:ascii="Arial" w:hAnsi="Arial" w:cs="Arial"/>
          <w:b/>
          <w:sz w:val="24"/>
          <w:szCs w:val="24"/>
        </w:rPr>
        <w:t>Other</w:t>
      </w:r>
    </w:p>
    <w:p w14:paraId="7C561416" w14:textId="77777777" w:rsidR="001D6161" w:rsidRPr="001D6161" w:rsidRDefault="001D6161" w:rsidP="00142495">
      <w:pPr>
        <w:spacing w:after="240"/>
        <w:rPr>
          <w:sz w:val="24"/>
          <w:szCs w:val="24"/>
        </w:rPr>
      </w:pPr>
      <w:r w:rsidRPr="001D6161">
        <w:rPr>
          <w:sz w:val="24"/>
          <w:szCs w:val="24"/>
        </w:rPr>
        <w:t>This is the value of deposits or placements with entities other than ADIs.</w:t>
      </w:r>
      <w:r w:rsidRPr="001D6161">
        <w:rPr>
          <w:sz w:val="24"/>
          <w:szCs w:val="24"/>
        </w:rPr>
        <w:tab/>
      </w:r>
    </w:p>
    <w:p w14:paraId="0D4D9D16" w14:textId="77777777" w:rsidR="001D6161" w:rsidRPr="001D6161" w:rsidRDefault="001D6161" w:rsidP="00142495">
      <w:pPr>
        <w:keepNext/>
        <w:spacing w:after="240"/>
        <w:ind w:left="567" w:hanging="567"/>
        <w:rPr>
          <w:rFonts w:ascii="Arial" w:hAnsi="Arial" w:cs="Arial"/>
          <w:b/>
          <w:sz w:val="24"/>
          <w:szCs w:val="24"/>
        </w:rPr>
      </w:pPr>
      <w:r w:rsidRPr="001D6161">
        <w:rPr>
          <w:rFonts w:ascii="Arial" w:hAnsi="Arial" w:cs="Arial"/>
          <w:b/>
          <w:sz w:val="24"/>
          <w:szCs w:val="24"/>
        </w:rPr>
        <w:t>Short term securities</w:t>
      </w:r>
    </w:p>
    <w:p w14:paraId="759009AA" w14:textId="00C0DD9A" w:rsidR="001D6161" w:rsidRPr="001D6161" w:rsidRDefault="001D6161" w:rsidP="00142495">
      <w:pPr>
        <w:spacing w:after="240"/>
        <w:jc w:val="both"/>
        <w:rPr>
          <w:sz w:val="24"/>
          <w:szCs w:val="24"/>
        </w:rPr>
      </w:pPr>
      <w:r w:rsidRPr="001D6161">
        <w:rPr>
          <w:sz w:val="24"/>
          <w:szCs w:val="24"/>
        </w:rPr>
        <w:t>Short term securities are those with an original term to maturity (as opposed to a residual term to maturity) that is equal to or less than 1 year. Include: bills of exchange; certificates of deposits; commercial paper; other one name paper; and securities lent or sold under repurchase agreements.</w:t>
      </w:r>
    </w:p>
    <w:p w14:paraId="31CFB333" w14:textId="0FC224FD" w:rsidR="001D6161" w:rsidRPr="001D6161" w:rsidRDefault="001D6161" w:rsidP="00142495">
      <w:pPr>
        <w:keepNext/>
        <w:spacing w:after="240"/>
        <w:rPr>
          <w:rFonts w:ascii="Arial" w:hAnsi="Arial" w:cs="Arial"/>
          <w:b/>
          <w:sz w:val="24"/>
          <w:szCs w:val="24"/>
        </w:rPr>
      </w:pPr>
      <w:r w:rsidRPr="001D6161">
        <w:rPr>
          <w:rFonts w:ascii="Arial" w:hAnsi="Arial" w:cs="Arial"/>
          <w:b/>
          <w:sz w:val="24"/>
          <w:szCs w:val="24"/>
        </w:rPr>
        <w:t>Bills of exchange</w:t>
      </w:r>
    </w:p>
    <w:p w14:paraId="081A697F" w14:textId="617D26ED" w:rsidR="001D6161" w:rsidRPr="001D6161" w:rsidRDefault="001D6161" w:rsidP="00142495">
      <w:pPr>
        <w:spacing w:after="240"/>
        <w:jc w:val="both"/>
        <w:rPr>
          <w:sz w:val="24"/>
          <w:szCs w:val="24"/>
        </w:rPr>
      </w:pPr>
      <w:r w:rsidRPr="001D6161">
        <w:rPr>
          <w:sz w:val="24"/>
          <w:szCs w:val="24"/>
        </w:rPr>
        <w:t>A bill of exchange is an unconditional order drawn (issued) by one party, sent to another party for acceptance and made out to, or to the order of, a third party, or the bearer. It is a negotiable instrument that binds each endorser of the bill to pay on redemption should the acceptor fail to do so. These securities are issued at a discount to face value.</w:t>
      </w:r>
    </w:p>
    <w:p w14:paraId="784DE8ED" w14:textId="77777777" w:rsidR="001D6161" w:rsidRPr="001D6161"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t>Bank accepted</w:t>
      </w:r>
    </w:p>
    <w:p w14:paraId="5FEDCA5A" w14:textId="7109309B" w:rsidR="001D6161" w:rsidRPr="001D6161" w:rsidRDefault="001D6161" w:rsidP="00142495">
      <w:pPr>
        <w:spacing w:after="240"/>
        <w:jc w:val="both"/>
        <w:rPr>
          <w:sz w:val="24"/>
          <w:szCs w:val="24"/>
        </w:rPr>
      </w:pPr>
      <w:r w:rsidRPr="001D6161">
        <w:rPr>
          <w:sz w:val="24"/>
          <w:szCs w:val="24"/>
        </w:rPr>
        <w:t>This is the value of bills of exchange held by the reporting insurer as at the relevant date, and that have been accepted by a bank.</w:t>
      </w:r>
    </w:p>
    <w:p w14:paraId="4078BB15" w14:textId="43168E2C" w:rsidR="001D6161" w:rsidRPr="001D6161"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lastRenderedPageBreak/>
        <w:t>Other</w:t>
      </w:r>
    </w:p>
    <w:p w14:paraId="72ADED0B" w14:textId="63D2BDEB" w:rsidR="001D6161" w:rsidRPr="001D6161" w:rsidRDefault="001D6161" w:rsidP="00142495">
      <w:pPr>
        <w:spacing w:after="240"/>
        <w:jc w:val="both"/>
        <w:rPr>
          <w:sz w:val="24"/>
          <w:szCs w:val="24"/>
        </w:rPr>
      </w:pPr>
      <w:r w:rsidRPr="001D6161">
        <w:rPr>
          <w:sz w:val="24"/>
          <w:szCs w:val="24"/>
        </w:rPr>
        <w:t xml:space="preserve">This is the value of bills of exchange held by the reporting insurer as at the relevant date, and that have not been accepted by a bank. </w:t>
      </w:r>
    </w:p>
    <w:p w14:paraId="156BA5BA" w14:textId="77777777" w:rsidR="001D6161" w:rsidRPr="001D6161" w:rsidRDefault="001D6161" w:rsidP="00142495">
      <w:pPr>
        <w:keepNext/>
        <w:spacing w:after="240"/>
        <w:rPr>
          <w:rFonts w:ascii="Arial" w:hAnsi="Arial" w:cs="Arial"/>
          <w:b/>
          <w:sz w:val="24"/>
          <w:szCs w:val="24"/>
        </w:rPr>
      </w:pPr>
      <w:r w:rsidRPr="001D6161">
        <w:rPr>
          <w:rFonts w:ascii="Arial" w:hAnsi="Arial" w:cs="Arial"/>
          <w:b/>
          <w:sz w:val="24"/>
          <w:szCs w:val="24"/>
        </w:rPr>
        <w:t>Commercial paper and promissory notes issued by</w:t>
      </w:r>
    </w:p>
    <w:p w14:paraId="5DC1853E" w14:textId="7C197B6B" w:rsidR="001D6161" w:rsidRPr="001D6161" w:rsidRDefault="001D6161" w:rsidP="00142495">
      <w:pPr>
        <w:spacing w:after="240"/>
        <w:rPr>
          <w:sz w:val="24"/>
          <w:szCs w:val="24"/>
        </w:rPr>
      </w:pPr>
      <w:r w:rsidRPr="001D6161">
        <w:rPr>
          <w:sz w:val="24"/>
          <w:szCs w:val="24"/>
        </w:rPr>
        <w:t xml:space="preserve">This is the value of </w:t>
      </w:r>
      <w:proofErr w:type="gramStart"/>
      <w:r w:rsidRPr="001D6161">
        <w:rPr>
          <w:sz w:val="24"/>
          <w:szCs w:val="24"/>
        </w:rPr>
        <w:t>short term</w:t>
      </w:r>
      <w:proofErr w:type="gramEnd"/>
      <w:r w:rsidRPr="001D6161">
        <w:rPr>
          <w:sz w:val="24"/>
          <w:szCs w:val="24"/>
        </w:rPr>
        <w:t xml:space="preserve"> securities excluding bills of exchange.</w:t>
      </w:r>
    </w:p>
    <w:p w14:paraId="64218FF6" w14:textId="400BD913" w:rsidR="001D6161" w:rsidRPr="001D6161"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t>ADIs</w:t>
      </w:r>
    </w:p>
    <w:p w14:paraId="769CB48B" w14:textId="77777777" w:rsidR="001D6161" w:rsidRPr="001D6161" w:rsidRDefault="001D6161" w:rsidP="00142495">
      <w:pPr>
        <w:spacing w:after="240"/>
        <w:rPr>
          <w:sz w:val="24"/>
          <w:szCs w:val="24"/>
        </w:rPr>
      </w:pPr>
      <w:r w:rsidRPr="001D6161">
        <w:rPr>
          <w:sz w:val="24"/>
          <w:szCs w:val="24"/>
        </w:rPr>
        <w:t xml:space="preserve">An ADI has an </w:t>
      </w:r>
      <w:proofErr w:type="gramStart"/>
      <w:r w:rsidRPr="001D6161">
        <w:rPr>
          <w:sz w:val="24"/>
          <w:szCs w:val="24"/>
        </w:rPr>
        <w:t>in force</w:t>
      </w:r>
      <w:proofErr w:type="gramEnd"/>
      <w:r w:rsidRPr="001D6161">
        <w:rPr>
          <w:sz w:val="24"/>
          <w:szCs w:val="24"/>
        </w:rPr>
        <w:t xml:space="preserve"> authority under subsection 9(3) of the </w:t>
      </w:r>
      <w:r w:rsidRPr="001D6161">
        <w:rPr>
          <w:i/>
          <w:sz w:val="24"/>
          <w:szCs w:val="24"/>
        </w:rPr>
        <w:t>Banking Act 1959</w:t>
      </w:r>
      <w:r w:rsidRPr="001D6161">
        <w:rPr>
          <w:sz w:val="24"/>
          <w:szCs w:val="24"/>
        </w:rPr>
        <w:t>.</w:t>
      </w:r>
    </w:p>
    <w:p w14:paraId="74C73313" w14:textId="2193740A" w:rsidR="001D6161" w:rsidRPr="00160CD2"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t>General insurance corporations</w:t>
      </w:r>
    </w:p>
    <w:p w14:paraId="18FF6667" w14:textId="2611C7F1" w:rsidR="001D6161" w:rsidRPr="001D6161" w:rsidRDefault="001D6161" w:rsidP="00142495">
      <w:pPr>
        <w:spacing w:after="240"/>
        <w:jc w:val="both"/>
        <w:rPr>
          <w:sz w:val="24"/>
          <w:szCs w:val="24"/>
        </w:rPr>
      </w:pPr>
      <w:r w:rsidRPr="001D6161">
        <w:rPr>
          <w:sz w:val="24"/>
          <w:szCs w:val="24"/>
        </w:rPr>
        <w:t xml:space="preserve">A general insurance corporation is a body corporate that is authorised under section 12 of the </w:t>
      </w:r>
      <w:r w:rsidRPr="001D6161">
        <w:rPr>
          <w:i/>
          <w:sz w:val="24"/>
          <w:szCs w:val="24"/>
        </w:rPr>
        <w:t>Insurance Act 1973</w:t>
      </w:r>
      <w:r w:rsidRPr="001D6161">
        <w:rPr>
          <w:sz w:val="24"/>
          <w:szCs w:val="24"/>
        </w:rPr>
        <w:t xml:space="preserve"> to carry on insurance business in Australia. More generally, a non-life, </w:t>
      </w:r>
      <w:proofErr w:type="gramStart"/>
      <w:r w:rsidRPr="001D6161">
        <w:rPr>
          <w:sz w:val="24"/>
          <w:szCs w:val="24"/>
        </w:rPr>
        <w:t>property</w:t>
      </w:r>
      <w:proofErr w:type="gramEnd"/>
      <w:r w:rsidRPr="001D6161">
        <w:rPr>
          <w:sz w:val="24"/>
          <w:szCs w:val="24"/>
        </w:rPr>
        <w:t xml:space="preserve"> or casualty insurer.</w:t>
      </w:r>
    </w:p>
    <w:p w14:paraId="190832B2" w14:textId="77777777" w:rsidR="001D6161" w:rsidRPr="001D6161" w:rsidRDefault="001D6161" w:rsidP="00142495">
      <w:pPr>
        <w:keepNext/>
        <w:spacing w:after="240"/>
        <w:ind w:left="851" w:hanging="851"/>
        <w:rPr>
          <w:rFonts w:ascii="Arial" w:hAnsi="Arial" w:cs="Arial"/>
          <w:b/>
          <w:sz w:val="24"/>
          <w:szCs w:val="24"/>
        </w:rPr>
      </w:pPr>
      <w:proofErr w:type="spellStart"/>
      <w:r w:rsidRPr="001D6161">
        <w:rPr>
          <w:rFonts w:ascii="Arial" w:hAnsi="Arial" w:cs="Arial"/>
          <w:b/>
          <w:sz w:val="24"/>
          <w:szCs w:val="24"/>
        </w:rPr>
        <w:t>Securitisers</w:t>
      </w:r>
      <w:proofErr w:type="spellEnd"/>
    </w:p>
    <w:p w14:paraId="6A8D8FC2" w14:textId="4549C09B" w:rsidR="001D6161" w:rsidRPr="001D6161" w:rsidRDefault="001D6161" w:rsidP="00142495">
      <w:pPr>
        <w:spacing w:after="240"/>
        <w:jc w:val="both"/>
        <w:rPr>
          <w:sz w:val="24"/>
          <w:szCs w:val="24"/>
        </w:rPr>
      </w:pPr>
      <w:r w:rsidRPr="001D6161">
        <w:rPr>
          <w:sz w:val="24"/>
          <w:szCs w:val="24"/>
        </w:rPr>
        <w:t xml:space="preserve">This refers to a securitisation program or </w:t>
      </w:r>
      <w:proofErr w:type="spellStart"/>
      <w:r w:rsidRPr="001D6161">
        <w:rPr>
          <w:sz w:val="24"/>
          <w:szCs w:val="24"/>
        </w:rPr>
        <w:t>securitiser</w:t>
      </w:r>
      <w:proofErr w:type="spellEnd"/>
      <w:r w:rsidRPr="001D6161">
        <w:rPr>
          <w:sz w:val="24"/>
          <w:szCs w:val="24"/>
        </w:rPr>
        <w:t>. A securitisation program represents a structure (a Special Purpose Vehicle (SPV)) where the cash flows from a pool of assets (or interests in assets) are used to service obligations to creditors (typically holders of debt securities) who fund the SPV.</w:t>
      </w:r>
    </w:p>
    <w:p w14:paraId="53D0EF0D" w14:textId="53591130" w:rsidR="001D6161" w:rsidRPr="001D6161"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t>Private trading corporations</w:t>
      </w:r>
    </w:p>
    <w:p w14:paraId="116F9CF1" w14:textId="77777777" w:rsidR="001D6161" w:rsidRPr="001D6161" w:rsidRDefault="001D6161" w:rsidP="00142495">
      <w:pPr>
        <w:spacing w:after="240"/>
        <w:jc w:val="both"/>
        <w:rPr>
          <w:sz w:val="24"/>
          <w:szCs w:val="24"/>
        </w:rPr>
      </w:pPr>
      <w:r w:rsidRPr="001D6161">
        <w:rPr>
          <w:sz w:val="24"/>
          <w:szCs w:val="24"/>
        </w:rPr>
        <w:t>A private trading corporation (non-financial) is a corporation owned and controlled by the private sector whose main activities are producing goods or non-financial services for sale.</w:t>
      </w:r>
    </w:p>
    <w:p w14:paraId="01E48D84" w14:textId="77777777" w:rsidR="001D6161" w:rsidRPr="001D6161" w:rsidRDefault="001D6161" w:rsidP="00142495">
      <w:pPr>
        <w:spacing w:after="240"/>
        <w:rPr>
          <w:sz w:val="24"/>
          <w:szCs w:val="24"/>
        </w:rPr>
      </w:pPr>
      <w:r w:rsidRPr="001D6161">
        <w:rPr>
          <w:sz w:val="24"/>
          <w:szCs w:val="24"/>
        </w:rPr>
        <w:t>This includes:</w:t>
      </w:r>
    </w:p>
    <w:p w14:paraId="3815AAC4" w14:textId="13302DB6" w:rsidR="001D6161" w:rsidRPr="001D6161" w:rsidRDefault="001D6161" w:rsidP="00142495">
      <w:pPr>
        <w:numPr>
          <w:ilvl w:val="0"/>
          <w:numId w:val="13"/>
        </w:numPr>
        <w:spacing w:after="240"/>
        <w:ind w:left="567" w:hanging="567"/>
        <w:jc w:val="both"/>
        <w:rPr>
          <w:sz w:val="24"/>
          <w:szCs w:val="24"/>
        </w:rPr>
      </w:pPr>
      <w:r w:rsidRPr="001D6161">
        <w:rPr>
          <w:sz w:val="24"/>
          <w:szCs w:val="24"/>
        </w:rPr>
        <w:t xml:space="preserve">all resident private corporate trading enterprises, and non-profit institutions that are market producers of goods or non-financial </w:t>
      </w:r>
      <w:proofErr w:type="gramStart"/>
      <w:r w:rsidRPr="001D6161">
        <w:rPr>
          <w:sz w:val="24"/>
          <w:szCs w:val="24"/>
        </w:rPr>
        <w:t>services;</w:t>
      </w:r>
      <w:proofErr w:type="gramEnd"/>
      <w:r w:rsidRPr="001D6161">
        <w:rPr>
          <w:sz w:val="24"/>
          <w:szCs w:val="24"/>
        </w:rPr>
        <w:t xml:space="preserve"> </w:t>
      </w:r>
    </w:p>
    <w:p w14:paraId="3244E252" w14:textId="77777777" w:rsidR="001D6161" w:rsidRPr="001D6161" w:rsidRDefault="001D6161" w:rsidP="00142495">
      <w:pPr>
        <w:numPr>
          <w:ilvl w:val="0"/>
          <w:numId w:val="13"/>
        </w:numPr>
        <w:spacing w:after="240"/>
        <w:ind w:left="567" w:hanging="567"/>
        <w:jc w:val="both"/>
        <w:rPr>
          <w:sz w:val="24"/>
          <w:szCs w:val="24"/>
        </w:rPr>
      </w:pPr>
      <w:r w:rsidRPr="001D6161">
        <w:rPr>
          <w:sz w:val="24"/>
          <w:szCs w:val="24"/>
        </w:rPr>
        <w:t xml:space="preserve">intra-group financiers and retailers registered under the </w:t>
      </w:r>
      <w:r w:rsidRPr="001D6161">
        <w:rPr>
          <w:i/>
          <w:sz w:val="24"/>
          <w:szCs w:val="24"/>
        </w:rPr>
        <w:t>Financial Sector (Collection of Data) Act 2001</w:t>
      </w:r>
      <w:r w:rsidRPr="001D6161">
        <w:rPr>
          <w:sz w:val="24"/>
          <w:szCs w:val="24"/>
        </w:rPr>
        <w:t xml:space="preserve"> (Collection of Data Act) and parent corporations with significant holdings of shares in private trading </w:t>
      </w:r>
      <w:proofErr w:type="gramStart"/>
      <w:r w:rsidRPr="001D6161">
        <w:rPr>
          <w:sz w:val="24"/>
          <w:szCs w:val="24"/>
        </w:rPr>
        <w:t>companies;</w:t>
      </w:r>
      <w:proofErr w:type="gramEnd"/>
    </w:p>
    <w:p w14:paraId="17AB285A" w14:textId="77777777" w:rsidR="001D6161" w:rsidRPr="001D6161" w:rsidRDefault="001D6161" w:rsidP="00142495">
      <w:pPr>
        <w:numPr>
          <w:ilvl w:val="0"/>
          <w:numId w:val="13"/>
        </w:numPr>
        <w:spacing w:after="240"/>
        <w:ind w:left="567" w:hanging="567"/>
        <w:jc w:val="both"/>
        <w:rPr>
          <w:sz w:val="24"/>
          <w:szCs w:val="24"/>
        </w:rPr>
      </w:pPr>
      <w:r w:rsidRPr="001D6161">
        <w:rPr>
          <w:sz w:val="24"/>
          <w:szCs w:val="24"/>
        </w:rPr>
        <w:t xml:space="preserve">privately owned schools and </w:t>
      </w:r>
      <w:proofErr w:type="gramStart"/>
      <w:r w:rsidRPr="001D6161">
        <w:rPr>
          <w:sz w:val="24"/>
          <w:szCs w:val="24"/>
        </w:rPr>
        <w:t>hospitals;</w:t>
      </w:r>
      <w:proofErr w:type="gramEnd"/>
      <w:r w:rsidRPr="001D6161">
        <w:rPr>
          <w:sz w:val="24"/>
          <w:szCs w:val="24"/>
        </w:rPr>
        <w:t xml:space="preserve"> </w:t>
      </w:r>
    </w:p>
    <w:p w14:paraId="1C37BFE4" w14:textId="77777777" w:rsidR="001D6161" w:rsidRPr="001D6161" w:rsidRDefault="001D6161" w:rsidP="00142495">
      <w:pPr>
        <w:numPr>
          <w:ilvl w:val="0"/>
          <w:numId w:val="13"/>
        </w:numPr>
        <w:spacing w:after="240"/>
        <w:ind w:left="567" w:hanging="567"/>
        <w:jc w:val="both"/>
        <w:rPr>
          <w:sz w:val="24"/>
          <w:szCs w:val="24"/>
        </w:rPr>
      </w:pPr>
      <w:r w:rsidRPr="001D6161">
        <w:rPr>
          <w:sz w:val="24"/>
          <w:szCs w:val="24"/>
        </w:rPr>
        <w:t>any unincorporated unit that is a branch in Australia of a non-resident company and which is not included in the financial sector; and</w:t>
      </w:r>
    </w:p>
    <w:p w14:paraId="21C95456" w14:textId="4F512CE0" w:rsidR="001D6161" w:rsidRPr="001D6161" w:rsidRDefault="001D6161" w:rsidP="00142495">
      <w:pPr>
        <w:numPr>
          <w:ilvl w:val="0"/>
          <w:numId w:val="13"/>
        </w:numPr>
        <w:spacing w:after="240"/>
        <w:ind w:left="567" w:hanging="567"/>
        <w:jc w:val="both"/>
        <w:rPr>
          <w:sz w:val="24"/>
          <w:szCs w:val="24"/>
        </w:rPr>
      </w:pPr>
      <w:r w:rsidRPr="001D6161">
        <w:rPr>
          <w:sz w:val="24"/>
          <w:szCs w:val="24"/>
        </w:rPr>
        <w:t xml:space="preserve">unincorporated business </w:t>
      </w:r>
      <w:proofErr w:type="gramStart"/>
      <w:r w:rsidRPr="001D6161">
        <w:rPr>
          <w:sz w:val="24"/>
          <w:szCs w:val="24"/>
        </w:rPr>
        <w:t>in the nature of branches</w:t>
      </w:r>
      <w:proofErr w:type="gramEnd"/>
      <w:r w:rsidRPr="001D6161">
        <w:rPr>
          <w:sz w:val="24"/>
          <w:szCs w:val="24"/>
        </w:rPr>
        <w:t xml:space="preserve"> of non-resident companies and joint ventures or partnerships owned / operated by trading corporations.</w:t>
      </w:r>
    </w:p>
    <w:p w14:paraId="43B53E29" w14:textId="77777777" w:rsidR="001D6161" w:rsidRPr="001D6161"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t>Registered Financial Corporations</w:t>
      </w:r>
    </w:p>
    <w:p w14:paraId="1B1E7959" w14:textId="77777777" w:rsidR="001D6161" w:rsidRPr="001D6161" w:rsidRDefault="001D6161" w:rsidP="00142495">
      <w:pPr>
        <w:spacing w:after="240"/>
        <w:jc w:val="both"/>
        <w:rPr>
          <w:sz w:val="24"/>
          <w:szCs w:val="24"/>
        </w:rPr>
      </w:pPr>
      <w:r w:rsidRPr="001D6161">
        <w:rPr>
          <w:sz w:val="24"/>
          <w:szCs w:val="24"/>
        </w:rPr>
        <w:t xml:space="preserve">Registered Financial Corporations (RFC) are corporations registered by APRA under the Collection of Data Act that are classified as Categories D, Other, or are Cash Management </w:t>
      </w:r>
      <w:r w:rsidRPr="001D6161">
        <w:rPr>
          <w:sz w:val="24"/>
          <w:szCs w:val="24"/>
        </w:rPr>
        <w:lastRenderedPageBreak/>
        <w:t>Trusts. These entities are involved in the business of provision of finance (</w:t>
      </w:r>
      <w:proofErr w:type="gramStart"/>
      <w:r w:rsidRPr="001D6161">
        <w:rPr>
          <w:sz w:val="24"/>
          <w:szCs w:val="24"/>
        </w:rPr>
        <w:t>i.e.</w:t>
      </w:r>
      <w:proofErr w:type="gramEnd"/>
      <w:r w:rsidRPr="001D6161">
        <w:rPr>
          <w:sz w:val="24"/>
          <w:szCs w:val="24"/>
        </w:rPr>
        <w:t xml:space="preserve"> loans or debt securities) and, usually, the borrowing of money.</w:t>
      </w:r>
    </w:p>
    <w:p w14:paraId="7B22059F" w14:textId="78336410" w:rsidR="001D6161" w:rsidRPr="001D6161"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t>Australian Commonwealth Government corporations</w:t>
      </w:r>
    </w:p>
    <w:p w14:paraId="633EB11A" w14:textId="77777777" w:rsidR="001D6161" w:rsidRPr="001D6161" w:rsidRDefault="001D6161" w:rsidP="00142495">
      <w:pPr>
        <w:spacing w:after="240"/>
        <w:jc w:val="both"/>
        <w:rPr>
          <w:sz w:val="24"/>
          <w:szCs w:val="24"/>
        </w:rPr>
      </w:pPr>
      <w:r w:rsidRPr="001D6161">
        <w:rPr>
          <w:sz w:val="24"/>
          <w:szCs w:val="24"/>
        </w:rPr>
        <w:t>This refers to a Commonwealth Public Sector Trading Enterprise (non-financial), which is a trading enterprise owned and controlled by the Australian Commonwealth Government and which produce goods or non-financial services for sale at market price.</w:t>
      </w:r>
    </w:p>
    <w:p w14:paraId="771D1486" w14:textId="77777777" w:rsidR="001D6161" w:rsidRPr="001D6161" w:rsidRDefault="001D6161" w:rsidP="00142495">
      <w:pPr>
        <w:spacing w:after="240"/>
        <w:jc w:val="both"/>
        <w:rPr>
          <w:sz w:val="24"/>
          <w:szCs w:val="24"/>
        </w:rPr>
      </w:pPr>
      <w:r w:rsidRPr="001D6161">
        <w:rPr>
          <w:sz w:val="24"/>
          <w:szCs w:val="24"/>
        </w:rPr>
        <w:t>This includes all trading enterprises owned 50 per cent or more by the Commonwealth Government or controlled by the Commonwealth Government through legislation, decree, or regulation. This excludes the Commonwealth Government itself; Government departments; Commonwealth Government owned financial institutions; and Commonwealth borrowing authorities.</w:t>
      </w:r>
    </w:p>
    <w:p w14:paraId="31A94FF7" w14:textId="5EBFC5B3" w:rsidR="001D6161" w:rsidRPr="001D6161" w:rsidRDefault="001D6161" w:rsidP="00142495">
      <w:pPr>
        <w:keepNext/>
        <w:spacing w:after="240"/>
        <w:ind w:left="851" w:hanging="851"/>
        <w:rPr>
          <w:rFonts w:ascii="Arial" w:hAnsi="Arial" w:cs="Arial"/>
          <w:b/>
          <w:sz w:val="24"/>
          <w:szCs w:val="24"/>
        </w:rPr>
      </w:pPr>
      <w:r w:rsidRPr="001D6161">
        <w:rPr>
          <w:rFonts w:ascii="Arial" w:hAnsi="Arial" w:cs="Arial"/>
          <w:b/>
          <w:sz w:val="24"/>
          <w:szCs w:val="24"/>
        </w:rPr>
        <w:t>Australian Commonwealth Government</w:t>
      </w:r>
    </w:p>
    <w:p w14:paraId="476D972A" w14:textId="77777777" w:rsidR="001D6161" w:rsidRPr="001D6161" w:rsidRDefault="001D6161" w:rsidP="00142495">
      <w:pPr>
        <w:spacing w:after="240"/>
        <w:jc w:val="both"/>
        <w:rPr>
          <w:sz w:val="24"/>
          <w:szCs w:val="24"/>
        </w:rPr>
      </w:pPr>
      <w:r w:rsidRPr="001D6161">
        <w:rPr>
          <w:sz w:val="24"/>
          <w:szCs w:val="24"/>
        </w:rPr>
        <w:t>The Australian Commonwealth Government includes the Federal Government but excludes State and Territory Governments and Commonwealth Public Sector Trading Enterprises.</w:t>
      </w:r>
    </w:p>
    <w:p w14:paraId="524CF754" w14:textId="7E103D0A"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Other Australian Government (state, territory &amp; local government)</w:t>
      </w:r>
    </w:p>
    <w:p w14:paraId="6DB93FE2" w14:textId="77777777" w:rsidR="001D6161" w:rsidRPr="001D6161" w:rsidRDefault="001D6161" w:rsidP="00142495">
      <w:pPr>
        <w:spacing w:after="240"/>
        <w:jc w:val="both"/>
        <w:rPr>
          <w:sz w:val="24"/>
          <w:szCs w:val="24"/>
        </w:rPr>
      </w:pPr>
      <w:r w:rsidRPr="001D6161">
        <w:rPr>
          <w:sz w:val="24"/>
          <w:szCs w:val="24"/>
        </w:rPr>
        <w:t xml:space="preserve">This refers to a state, territory or local Public Sector Trading Enterprise, being </w:t>
      </w:r>
      <w:proofErr w:type="gramStart"/>
      <w:r w:rsidRPr="001D6161">
        <w:rPr>
          <w:sz w:val="24"/>
          <w:szCs w:val="24"/>
        </w:rPr>
        <w:t>a business</w:t>
      </w:r>
      <w:proofErr w:type="gramEnd"/>
      <w:r w:rsidRPr="001D6161">
        <w:rPr>
          <w:sz w:val="24"/>
          <w:szCs w:val="24"/>
        </w:rPr>
        <w:t xml:space="preserve"> which is owned and controlled by a state, territory, or local government and which is not a financial institution or central borrowing authority.</w:t>
      </w:r>
    </w:p>
    <w:p w14:paraId="76D4B04B" w14:textId="77777777" w:rsidR="001D6161" w:rsidRPr="001D6161" w:rsidRDefault="001D6161" w:rsidP="00142495">
      <w:pPr>
        <w:spacing w:after="240"/>
        <w:jc w:val="both"/>
        <w:rPr>
          <w:sz w:val="24"/>
          <w:szCs w:val="24"/>
        </w:rPr>
      </w:pPr>
      <w:r w:rsidRPr="001D6161">
        <w:rPr>
          <w:sz w:val="24"/>
          <w:szCs w:val="24"/>
        </w:rPr>
        <w:t>This includes all trading enterprises 50 per cent or more owned by a state, territory or local government or controlled by a state, territory, or local government through legislation, decree, or regulation (</w:t>
      </w:r>
      <w:proofErr w:type="gramStart"/>
      <w:r w:rsidRPr="001D6161">
        <w:rPr>
          <w:sz w:val="24"/>
          <w:szCs w:val="24"/>
        </w:rPr>
        <w:t>e.g.</w:t>
      </w:r>
      <w:proofErr w:type="gramEnd"/>
      <w:r w:rsidRPr="001D6161">
        <w:rPr>
          <w:sz w:val="24"/>
          <w:szCs w:val="24"/>
        </w:rPr>
        <w:t xml:space="preserve"> state rail and water authorities, gas and fuel authorities, housing commissions, port authorities, non-privatised power authorities, etc.).</w:t>
      </w:r>
    </w:p>
    <w:p w14:paraId="587C1C5D" w14:textId="77777777" w:rsidR="001D6161" w:rsidRPr="001D6161" w:rsidRDefault="001D6161" w:rsidP="00142495">
      <w:pPr>
        <w:keepNext/>
        <w:spacing w:after="240"/>
        <w:ind w:left="993" w:hanging="993"/>
        <w:jc w:val="both"/>
        <w:rPr>
          <w:rFonts w:ascii="Arial" w:hAnsi="Arial" w:cs="Arial"/>
          <w:b/>
          <w:sz w:val="24"/>
          <w:szCs w:val="24"/>
        </w:rPr>
      </w:pPr>
      <w:r w:rsidRPr="001D6161">
        <w:rPr>
          <w:rFonts w:ascii="Arial" w:hAnsi="Arial" w:cs="Arial"/>
          <w:b/>
          <w:sz w:val="24"/>
          <w:szCs w:val="24"/>
        </w:rPr>
        <w:t>2.11.1.</w:t>
      </w:r>
      <w:r w:rsidRPr="001D6161">
        <w:rPr>
          <w:rFonts w:ascii="Arial" w:hAnsi="Arial" w:cs="Arial"/>
          <w:b/>
          <w:sz w:val="24"/>
          <w:szCs w:val="24"/>
        </w:rPr>
        <w:tab/>
        <w:t>Where the security has a Grade 1 rating or the country's long term foreign currency rating is Grade 1</w:t>
      </w:r>
    </w:p>
    <w:p w14:paraId="2C590403" w14:textId="77777777" w:rsidR="001D6161" w:rsidRPr="001D6161" w:rsidRDefault="001D6161" w:rsidP="00142495">
      <w:pPr>
        <w:spacing w:after="240"/>
        <w:jc w:val="both"/>
        <w:rPr>
          <w:sz w:val="24"/>
          <w:szCs w:val="24"/>
        </w:rPr>
      </w:pPr>
      <w:r w:rsidRPr="001D6161">
        <w:rPr>
          <w:sz w:val="24"/>
          <w:szCs w:val="24"/>
        </w:rPr>
        <w:t xml:space="preserve">This refers to a national government of a foreign country where the security in relation to the reported information has a grade 1 counterparty rating or the </w:t>
      </w:r>
      <w:proofErr w:type="gramStart"/>
      <w:r w:rsidRPr="001D6161">
        <w:rPr>
          <w:sz w:val="24"/>
          <w:szCs w:val="24"/>
        </w:rPr>
        <w:t>long term</w:t>
      </w:r>
      <w:proofErr w:type="gramEnd"/>
      <w:r w:rsidRPr="001D6161">
        <w:rPr>
          <w:sz w:val="24"/>
          <w:szCs w:val="24"/>
        </w:rPr>
        <w:t xml:space="preserve"> foreign currency counterparty rating of the country is grade 1. Grade 1 is defined as per </w:t>
      </w:r>
      <w:r w:rsidRPr="001D6161">
        <w:rPr>
          <w:i/>
          <w:sz w:val="24"/>
          <w:szCs w:val="24"/>
        </w:rPr>
        <w:t>Prudential Standard GPS 001 Definitions</w:t>
      </w:r>
      <w:r w:rsidRPr="001D6161">
        <w:rPr>
          <w:sz w:val="24"/>
          <w:szCs w:val="24"/>
        </w:rPr>
        <w:t xml:space="preserve"> (GPS 001).</w:t>
      </w:r>
    </w:p>
    <w:p w14:paraId="6DFBB3F7" w14:textId="77777777" w:rsidR="001D6161" w:rsidRPr="001D6161" w:rsidRDefault="001D6161" w:rsidP="00142495">
      <w:pPr>
        <w:keepNext/>
        <w:spacing w:after="240"/>
        <w:ind w:left="993" w:hanging="993"/>
        <w:jc w:val="both"/>
        <w:rPr>
          <w:rFonts w:ascii="Arial" w:hAnsi="Arial" w:cs="Arial"/>
          <w:b/>
          <w:sz w:val="24"/>
          <w:szCs w:val="24"/>
        </w:rPr>
      </w:pPr>
      <w:r w:rsidRPr="001D6161">
        <w:rPr>
          <w:rFonts w:ascii="Arial" w:hAnsi="Arial" w:cs="Arial"/>
          <w:b/>
          <w:sz w:val="24"/>
          <w:szCs w:val="24"/>
        </w:rPr>
        <w:t>2.11.2.</w:t>
      </w:r>
      <w:r w:rsidRPr="001D6161">
        <w:rPr>
          <w:rFonts w:ascii="Arial" w:hAnsi="Arial" w:cs="Arial"/>
          <w:b/>
          <w:sz w:val="24"/>
          <w:szCs w:val="24"/>
        </w:rPr>
        <w:tab/>
        <w:t>Other</w:t>
      </w:r>
    </w:p>
    <w:p w14:paraId="6C33F281" w14:textId="77777777" w:rsidR="001D6161" w:rsidRPr="001D6161" w:rsidRDefault="001D6161" w:rsidP="00142495">
      <w:pPr>
        <w:spacing w:after="240"/>
        <w:jc w:val="both"/>
        <w:rPr>
          <w:sz w:val="24"/>
          <w:szCs w:val="24"/>
        </w:rPr>
      </w:pPr>
      <w:r w:rsidRPr="001D6161">
        <w:rPr>
          <w:sz w:val="24"/>
          <w:szCs w:val="24"/>
        </w:rPr>
        <w:t xml:space="preserve">This refers to a national government of a foreign country where the security in relation to the reported information does not have a grade 1 counterparty rating or the </w:t>
      </w:r>
      <w:proofErr w:type="gramStart"/>
      <w:r w:rsidRPr="001D6161">
        <w:rPr>
          <w:sz w:val="24"/>
          <w:szCs w:val="24"/>
        </w:rPr>
        <w:t>long term</w:t>
      </w:r>
      <w:proofErr w:type="gramEnd"/>
      <w:r w:rsidRPr="001D6161">
        <w:rPr>
          <w:sz w:val="24"/>
          <w:szCs w:val="24"/>
        </w:rPr>
        <w:t xml:space="preserve"> foreign currency counterparty rating of the country is not grade 1.</w:t>
      </w:r>
    </w:p>
    <w:p w14:paraId="1FEB2EBC" w14:textId="77777777" w:rsidR="001D6161" w:rsidRPr="001D6161" w:rsidRDefault="001D6161" w:rsidP="00142495">
      <w:pPr>
        <w:keepNext/>
        <w:numPr>
          <w:ilvl w:val="0"/>
          <w:numId w:val="23"/>
        </w:numPr>
        <w:spacing w:after="240"/>
        <w:ind w:left="851" w:hanging="851"/>
        <w:jc w:val="both"/>
        <w:rPr>
          <w:rFonts w:ascii="Arial" w:hAnsi="Arial" w:cs="Arial"/>
          <w:b/>
          <w:sz w:val="24"/>
          <w:szCs w:val="24"/>
        </w:rPr>
      </w:pPr>
      <w:r w:rsidRPr="001D6161">
        <w:rPr>
          <w:rFonts w:ascii="Arial" w:hAnsi="Arial" w:cs="Arial"/>
          <w:b/>
          <w:sz w:val="24"/>
          <w:szCs w:val="24"/>
        </w:rPr>
        <w:t>Other</w:t>
      </w:r>
    </w:p>
    <w:p w14:paraId="1C6C9D1E" w14:textId="77777777" w:rsidR="001D6161" w:rsidRPr="001D6161" w:rsidRDefault="001D6161" w:rsidP="00142495">
      <w:pPr>
        <w:spacing w:after="240"/>
        <w:jc w:val="both"/>
        <w:rPr>
          <w:sz w:val="24"/>
          <w:szCs w:val="24"/>
        </w:rPr>
      </w:pPr>
      <w:r w:rsidRPr="001D6161">
        <w:rPr>
          <w:sz w:val="24"/>
          <w:szCs w:val="24"/>
        </w:rPr>
        <w:t>The counterparty for this item is any other counterparty which is not specifically identified in Item 2 in Section 1 of this form.</w:t>
      </w:r>
    </w:p>
    <w:p w14:paraId="0DD451EE" w14:textId="77777777" w:rsidR="001D6161" w:rsidRPr="001D6161" w:rsidRDefault="001D6161" w:rsidP="00142495">
      <w:pPr>
        <w:spacing w:after="240"/>
        <w:jc w:val="both"/>
        <w:rPr>
          <w:sz w:val="24"/>
          <w:szCs w:val="24"/>
        </w:rPr>
      </w:pPr>
      <w:r w:rsidRPr="001D6161">
        <w:rPr>
          <w:sz w:val="24"/>
          <w:szCs w:val="24"/>
        </w:rPr>
        <w:t>It is automatically calculated as Item 2.13 less the sum of Items 2.3 to 2.10, 2.11.1 and 2.11.2</w:t>
      </w:r>
    </w:p>
    <w:p w14:paraId="2557DC9F" w14:textId="77777777" w:rsidR="001D6161" w:rsidRPr="001D6161" w:rsidRDefault="001D6161" w:rsidP="00142495">
      <w:pPr>
        <w:keepNext/>
        <w:numPr>
          <w:ilvl w:val="0"/>
          <w:numId w:val="23"/>
        </w:numPr>
        <w:spacing w:after="240"/>
        <w:ind w:left="851" w:hanging="851"/>
        <w:jc w:val="both"/>
        <w:rPr>
          <w:rFonts w:ascii="Arial" w:hAnsi="Arial" w:cs="Arial"/>
          <w:b/>
          <w:sz w:val="24"/>
          <w:szCs w:val="24"/>
        </w:rPr>
      </w:pPr>
      <w:r w:rsidRPr="001D6161">
        <w:rPr>
          <w:rFonts w:ascii="Arial" w:hAnsi="Arial" w:cs="Arial"/>
          <w:b/>
          <w:sz w:val="24"/>
          <w:szCs w:val="24"/>
        </w:rPr>
        <w:lastRenderedPageBreak/>
        <w:t>Total commercial paper and promissory notes</w:t>
      </w:r>
    </w:p>
    <w:p w14:paraId="36B78C57" w14:textId="77777777" w:rsidR="001D6161" w:rsidRPr="001D6161" w:rsidRDefault="001D6161" w:rsidP="00142495">
      <w:pPr>
        <w:spacing w:after="240"/>
        <w:jc w:val="both"/>
        <w:rPr>
          <w:sz w:val="24"/>
          <w:szCs w:val="24"/>
        </w:rPr>
      </w:pPr>
      <w:r w:rsidRPr="001D6161">
        <w:rPr>
          <w:sz w:val="24"/>
          <w:szCs w:val="24"/>
        </w:rPr>
        <w:t xml:space="preserve">This is the total amount of </w:t>
      </w:r>
      <w:proofErr w:type="gramStart"/>
      <w:r w:rsidRPr="001D6161">
        <w:rPr>
          <w:sz w:val="24"/>
          <w:szCs w:val="24"/>
        </w:rPr>
        <w:t>short term</w:t>
      </w:r>
      <w:proofErr w:type="gramEnd"/>
      <w:r w:rsidRPr="001D6161">
        <w:rPr>
          <w:sz w:val="24"/>
          <w:szCs w:val="24"/>
        </w:rPr>
        <w:t xml:space="preserve"> securities that are not bills of exchange.</w:t>
      </w:r>
    </w:p>
    <w:p w14:paraId="3A8FB182" w14:textId="0567FF87"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Long term debt securities</w:t>
      </w:r>
    </w:p>
    <w:p w14:paraId="3599A224" w14:textId="77777777" w:rsidR="001D6161" w:rsidRPr="001D6161" w:rsidRDefault="001D6161" w:rsidP="00142495">
      <w:pPr>
        <w:spacing w:after="240"/>
        <w:jc w:val="both"/>
        <w:rPr>
          <w:sz w:val="24"/>
          <w:szCs w:val="24"/>
        </w:rPr>
      </w:pPr>
      <w:r w:rsidRPr="001D6161">
        <w:rPr>
          <w:sz w:val="24"/>
          <w:szCs w:val="24"/>
        </w:rPr>
        <w:t>Long term debt securities are those which have an original term to maturity (as opposed to residual term to maturity) that is greater than 1 year. Include: commercial paper; other one name paper; and securities lent or sold under repurchase agreements.</w:t>
      </w:r>
    </w:p>
    <w:p w14:paraId="61EE17B7" w14:textId="6692C015" w:rsidR="001D6161" w:rsidRPr="001D6161" w:rsidRDefault="001D6161" w:rsidP="00142495">
      <w:pPr>
        <w:spacing w:after="240"/>
        <w:jc w:val="both"/>
        <w:rPr>
          <w:sz w:val="24"/>
          <w:szCs w:val="24"/>
        </w:rPr>
      </w:pPr>
      <w:r w:rsidRPr="001D6161">
        <w:rPr>
          <w:sz w:val="24"/>
          <w:szCs w:val="24"/>
        </w:rPr>
        <w:t>For items 3.1 to 3.10, refer to instructions for Items 2.3 to 2.12 for definitions of these counterparties.</w:t>
      </w:r>
    </w:p>
    <w:p w14:paraId="0610C31E" w14:textId="2F2DB998"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Total direct interest rate investments</w:t>
      </w:r>
    </w:p>
    <w:p w14:paraId="4C19FE22" w14:textId="77777777" w:rsidR="001D6161" w:rsidRPr="001D6161" w:rsidRDefault="001D6161" w:rsidP="00142495">
      <w:pPr>
        <w:spacing w:after="240"/>
        <w:jc w:val="both"/>
        <w:rPr>
          <w:sz w:val="24"/>
          <w:szCs w:val="24"/>
        </w:rPr>
      </w:pPr>
      <w:r w:rsidRPr="001D6161">
        <w:rPr>
          <w:sz w:val="24"/>
          <w:szCs w:val="24"/>
        </w:rPr>
        <w:t>This is the value of debt securities held by the reporting insurer as at the relevant date, plus the value of deposits and placements that have been classified by the reporting insurer as assets backing insurance liabilities for statutory reporting purposes.</w:t>
      </w:r>
    </w:p>
    <w:p w14:paraId="1C374CF3" w14:textId="77777777" w:rsidR="001D6161" w:rsidRPr="001D6161" w:rsidRDefault="001D6161" w:rsidP="00142495">
      <w:pPr>
        <w:spacing w:after="240"/>
        <w:jc w:val="both"/>
        <w:rPr>
          <w:sz w:val="24"/>
          <w:szCs w:val="24"/>
        </w:rPr>
      </w:pPr>
      <w:r w:rsidRPr="001D6161">
        <w:rPr>
          <w:sz w:val="24"/>
          <w:szCs w:val="24"/>
        </w:rPr>
        <w:t>It is automatically calculated as the sum of Items 1.1 to 3.10 in Section 1, excluding Item 2.13, and including sub-items.</w:t>
      </w:r>
    </w:p>
    <w:p w14:paraId="108FBDA7" w14:textId="6916A83E" w:rsidR="001D6161" w:rsidRPr="001D6161" w:rsidRDefault="001D6161" w:rsidP="00142495">
      <w:pPr>
        <w:keepNext/>
        <w:numPr>
          <w:ilvl w:val="0"/>
          <w:numId w:val="14"/>
        </w:numPr>
        <w:spacing w:after="240"/>
        <w:ind w:left="851" w:hanging="851"/>
        <w:jc w:val="both"/>
        <w:rPr>
          <w:rFonts w:ascii="Arial" w:hAnsi="Arial" w:cs="Arial"/>
          <w:b/>
          <w:sz w:val="24"/>
          <w:szCs w:val="24"/>
        </w:rPr>
      </w:pPr>
      <w:r w:rsidRPr="001D6161">
        <w:rPr>
          <w:rFonts w:ascii="Arial" w:hAnsi="Arial" w:cs="Arial"/>
          <w:b/>
          <w:sz w:val="24"/>
          <w:szCs w:val="24"/>
        </w:rPr>
        <w:t>Of which: denominated in a currency other than the Australian currency</w:t>
      </w:r>
    </w:p>
    <w:p w14:paraId="756B6C0F" w14:textId="77777777" w:rsidR="001D6161" w:rsidRPr="001D6161" w:rsidRDefault="001D6161" w:rsidP="00142495">
      <w:pPr>
        <w:spacing w:after="240"/>
        <w:jc w:val="both"/>
        <w:rPr>
          <w:sz w:val="24"/>
          <w:szCs w:val="24"/>
        </w:rPr>
      </w:pPr>
      <w:r w:rsidRPr="001D6161">
        <w:rPr>
          <w:sz w:val="24"/>
          <w:szCs w:val="24"/>
        </w:rPr>
        <w:t>This is the value of direct interest rate investments that are denominated in a currency other than the Australian currency.</w:t>
      </w:r>
    </w:p>
    <w:p w14:paraId="351D64B9" w14:textId="77777777" w:rsidR="001D6161" w:rsidRPr="001D6161" w:rsidRDefault="001D6161" w:rsidP="00142495">
      <w:pPr>
        <w:keepNext/>
        <w:numPr>
          <w:ilvl w:val="0"/>
          <w:numId w:val="14"/>
        </w:numPr>
        <w:spacing w:after="240"/>
        <w:ind w:left="851" w:hanging="851"/>
        <w:jc w:val="both"/>
        <w:rPr>
          <w:rFonts w:ascii="Arial" w:hAnsi="Arial" w:cs="Arial"/>
          <w:b/>
          <w:sz w:val="24"/>
          <w:szCs w:val="24"/>
        </w:rPr>
      </w:pPr>
      <w:r w:rsidRPr="001D6161">
        <w:rPr>
          <w:rFonts w:ascii="Arial" w:hAnsi="Arial" w:cs="Arial"/>
          <w:b/>
          <w:sz w:val="24"/>
          <w:szCs w:val="24"/>
        </w:rPr>
        <w:t>Of which: holdings in own debt instruments</w:t>
      </w:r>
    </w:p>
    <w:p w14:paraId="43ADEEFD" w14:textId="77777777" w:rsidR="001D6161" w:rsidRPr="001D6161" w:rsidRDefault="001D6161" w:rsidP="00142495">
      <w:pPr>
        <w:spacing w:after="240"/>
        <w:jc w:val="both"/>
        <w:rPr>
          <w:sz w:val="24"/>
          <w:szCs w:val="24"/>
        </w:rPr>
      </w:pPr>
      <w:r w:rsidRPr="001D6161">
        <w:rPr>
          <w:sz w:val="24"/>
          <w:szCs w:val="24"/>
        </w:rPr>
        <w:t>This is the value of direct interest rate investments that are issued and held by the reporting insurer.</w:t>
      </w:r>
    </w:p>
    <w:p w14:paraId="02B63B54"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Section 2</w:t>
      </w:r>
      <w:r w:rsidRPr="001D6161">
        <w:rPr>
          <w:rFonts w:ascii="Arial" w:hAnsi="Arial" w:cs="Arial"/>
          <w:b/>
          <w:sz w:val="24"/>
          <w:szCs w:val="24"/>
        </w:rPr>
        <w:tab/>
        <w:t>: Direct equity holdings</w:t>
      </w:r>
    </w:p>
    <w:p w14:paraId="240EA9B5" w14:textId="77777777" w:rsidR="001D6161" w:rsidRPr="001D6161" w:rsidRDefault="001D6161" w:rsidP="00142495">
      <w:pPr>
        <w:keepNext/>
        <w:numPr>
          <w:ilvl w:val="0"/>
          <w:numId w:val="15"/>
        </w:numPr>
        <w:spacing w:after="240"/>
        <w:ind w:left="567" w:hanging="567"/>
        <w:jc w:val="both"/>
        <w:rPr>
          <w:rFonts w:ascii="Arial" w:hAnsi="Arial" w:cs="Arial"/>
          <w:b/>
          <w:sz w:val="24"/>
          <w:szCs w:val="24"/>
        </w:rPr>
      </w:pPr>
      <w:r w:rsidRPr="001D6161">
        <w:rPr>
          <w:rFonts w:ascii="Arial" w:hAnsi="Arial" w:cs="Arial"/>
          <w:b/>
          <w:sz w:val="24"/>
          <w:szCs w:val="24"/>
        </w:rPr>
        <w:t>Australian listed equity</w:t>
      </w:r>
    </w:p>
    <w:p w14:paraId="61915454" w14:textId="77777777" w:rsidR="001D6161" w:rsidRPr="001D6161" w:rsidRDefault="001D6161" w:rsidP="00142495">
      <w:pPr>
        <w:spacing w:after="240"/>
        <w:jc w:val="both"/>
        <w:rPr>
          <w:sz w:val="24"/>
          <w:szCs w:val="24"/>
        </w:rPr>
      </w:pPr>
      <w:r w:rsidRPr="001D6161">
        <w:rPr>
          <w:sz w:val="24"/>
          <w:szCs w:val="24"/>
        </w:rPr>
        <w:t>The information required to be reported under this item is different to the information required to be disclosed for Item 4. This item is mainly collected for the purposes of the Australian Bureau of Statistics (ABS) and as such the definitions of listed equities are slightly different for ABS purposes.</w:t>
      </w:r>
    </w:p>
    <w:p w14:paraId="1F5D079D" w14:textId="77777777" w:rsidR="001D6161" w:rsidRPr="001D6161" w:rsidRDefault="001D6161" w:rsidP="00142495">
      <w:pPr>
        <w:spacing w:after="240"/>
        <w:jc w:val="both"/>
        <w:rPr>
          <w:sz w:val="24"/>
          <w:szCs w:val="24"/>
        </w:rPr>
      </w:pPr>
      <w:r w:rsidRPr="001D6161">
        <w:rPr>
          <w:sz w:val="24"/>
          <w:szCs w:val="24"/>
        </w:rPr>
        <w:t>For ABS purposes, report only those equities listed on an Australian stock exchange and exclude equity investments in non-Australian resident companies listed on an Australian stock exchange. Report all other equity securities held by the reporting insurer in Item 2.</w:t>
      </w:r>
    </w:p>
    <w:p w14:paraId="4EF9D77E" w14:textId="77777777" w:rsidR="001D6161" w:rsidRPr="001D6161" w:rsidRDefault="001D6161" w:rsidP="00142495">
      <w:pPr>
        <w:spacing w:after="240"/>
        <w:jc w:val="both"/>
        <w:rPr>
          <w:sz w:val="24"/>
          <w:szCs w:val="24"/>
        </w:rPr>
      </w:pPr>
      <w:r w:rsidRPr="001D6161">
        <w:rPr>
          <w:sz w:val="24"/>
          <w:szCs w:val="24"/>
        </w:rPr>
        <w:t>Equity securities are, as defined by the Australian Accounting Standards, contracts that evidence a residual interest in the assets of an entity after deducting all its liabilities. This includes equity securities lent or sold by the entity under repurchase agreements, where the transaction does not result in the transfer of the rights of ownership of the securities away from the entity to another party.</w:t>
      </w:r>
    </w:p>
    <w:p w14:paraId="61CCE539" w14:textId="77777777" w:rsidR="001D6161" w:rsidRPr="001D6161" w:rsidRDefault="001D6161" w:rsidP="00142495">
      <w:pPr>
        <w:keepNext/>
        <w:numPr>
          <w:ilvl w:val="1"/>
          <w:numId w:val="24"/>
        </w:numPr>
        <w:spacing w:after="240"/>
        <w:ind w:left="851" w:hanging="851"/>
        <w:jc w:val="both"/>
        <w:rPr>
          <w:rFonts w:ascii="Arial" w:hAnsi="Arial" w:cs="Arial"/>
          <w:b/>
          <w:sz w:val="24"/>
          <w:szCs w:val="24"/>
        </w:rPr>
      </w:pPr>
      <w:r w:rsidRPr="001D6161">
        <w:rPr>
          <w:rFonts w:ascii="Arial" w:hAnsi="Arial" w:cs="Arial"/>
          <w:b/>
          <w:sz w:val="24"/>
          <w:szCs w:val="24"/>
        </w:rPr>
        <w:lastRenderedPageBreak/>
        <w:t>Banks and ADIs</w:t>
      </w:r>
    </w:p>
    <w:p w14:paraId="0C829D7E" w14:textId="77777777" w:rsidR="001D6161" w:rsidRPr="001D6161" w:rsidRDefault="001D6161" w:rsidP="00142495">
      <w:pPr>
        <w:spacing w:after="240"/>
        <w:jc w:val="both"/>
        <w:rPr>
          <w:sz w:val="24"/>
          <w:szCs w:val="24"/>
        </w:rPr>
      </w:pPr>
      <w:r w:rsidRPr="001D6161">
        <w:rPr>
          <w:sz w:val="24"/>
          <w:szCs w:val="24"/>
        </w:rPr>
        <w:t>Refer to the definition of Item 2.3 in Section 1.</w:t>
      </w:r>
    </w:p>
    <w:p w14:paraId="09E09FD4" w14:textId="77777777" w:rsidR="001D6161" w:rsidRPr="001D6161" w:rsidRDefault="001D6161" w:rsidP="00142495">
      <w:pPr>
        <w:numPr>
          <w:ilvl w:val="1"/>
          <w:numId w:val="24"/>
        </w:numPr>
        <w:spacing w:after="240"/>
        <w:ind w:left="851" w:hanging="851"/>
        <w:jc w:val="both"/>
        <w:rPr>
          <w:rFonts w:ascii="Arial" w:hAnsi="Arial" w:cs="Arial"/>
          <w:b/>
          <w:sz w:val="24"/>
          <w:szCs w:val="24"/>
        </w:rPr>
      </w:pPr>
      <w:r w:rsidRPr="001D6161">
        <w:rPr>
          <w:rFonts w:ascii="Arial" w:hAnsi="Arial" w:cs="Arial"/>
          <w:b/>
          <w:sz w:val="24"/>
          <w:szCs w:val="24"/>
        </w:rPr>
        <w:t>General insurance corporations</w:t>
      </w:r>
    </w:p>
    <w:p w14:paraId="09602C36" w14:textId="77777777" w:rsidR="001D6161" w:rsidRPr="001D6161" w:rsidRDefault="001D6161" w:rsidP="00142495">
      <w:pPr>
        <w:spacing w:after="240"/>
        <w:jc w:val="both"/>
        <w:rPr>
          <w:sz w:val="24"/>
          <w:szCs w:val="24"/>
        </w:rPr>
      </w:pPr>
      <w:r w:rsidRPr="001D6161">
        <w:rPr>
          <w:sz w:val="24"/>
          <w:szCs w:val="24"/>
        </w:rPr>
        <w:t>Refer to the definition of Item 2.4 in Section 1.</w:t>
      </w:r>
    </w:p>
    <w:p w14:paraId="498CBCD4" w14:textId="77777777" w:rsidR="001D6161" w:rsidRPr="001D6161" w:rsidRDefault="001D6161" w:rsidP="00142495">
      <w:pPr>
        <w:numPr>
          <w:ilvl w:val="1"/>
          <w:numId w:val="24"/>
        </w:numPr>
        <w:spacing w:after="240"/>
        <w:ind w:left="851" w:hanging="851"/>
        <w:jc w:val="both"/>
        <w:rPr>
          <w:rFonts w:ascii="Arial" w:hAnsi="Arial" w:cs="Arial"/>
          <w:b/>
          <w:sz w:val="24"/>
          <w:szCs w:val="24"/>
        </w:rPr>
      </w:pPr>
      <w:r w:rsidRPr="001D6161">
        <w:rPr>
          <w:rFonts w:ascii="Arial" w:hAnsi="Arial" w:cs="Arial"/>
          <w:b/>
          <w:sz w:val="24"/>
          <w:szCs w:val="24"/>
        </w:rPr>
        <w:t>Private trading corporations</w:t>
      </w:r>
    </w:p>
    <w:p w14:paraId="3734E71C" w14:textId="77777777" w:rsidR="001D6161" w:rsidRPr="001D6161" w:rsidRDefault="001D6161" w:rsidP="00142495">
      <w:pPr>
        <w:spacing w:after="240"/>
        <w:jc w:val="both"/>
        <w:rPr>
          <w:sz w:val="24"/>
          <w:szCs w:val="24"/>
        </w:rPr>
      </w:pPr>
      <w:r w:rsidRPr="001D6161">
        <w:rPr>
          <w:sz w:val="24"/>
          <w:szCs w:val="24"/>
        </w:rPr>
        <w:t>Refer to the definition of Item 2.6 in Section 1.</w:t>
      </w:r>
    </w:p>
    <w:p w14:paraId="0392EBB3" w14:textId="77777777" w:rsidR="001D6161" w:rsidRPr="001D6161" w:rsidRDefault="001D6161" w:rsidP="00142495">
      <w:pPr>
        <w:numPr>
          <w:ilvl w:val="1"/>
          <w:numId w:val="24"/>
        </w:numPr>
        <w:spacing w:after="240"/>
        <w:ind w:left="851" w:hanging="851"/>
        <w:jc w:val="both"/>
        <w:rPr>
          <w:rFonts w:ascii="Arial" w:hAnsi="Arial" w:cs="Arial"/>
          <w:b/>
          <w:sz w:val="24"/>
          <w:szCs w:val="24"/>
        </w:rPr>
      </w:pPr>
      <w:r w:rsidRPr="001D6161">
        <w:rPr>
          <w:rFonts w:ascii="Arial" w:hAnsi="Arial" w:cs="Arial"/>
          <w:b/>
          <w:sz w:val="24"/>
          <w:szCs w:val="24"/>
        </w:rPr>
        <w:t>Registered Financial Corporations</w:t>
      </w:r>
    </w:p>
    <w:p w14:paraId="3668F34A" w14:textId="77777777" w:rsidR="001D6161" w:rsidRPr="001D6161" w:rsidRDefault="001D6161" w:rsidP="00142495">
      <w:pPr>
        <w:spacing w:after="240"/>
        <w:jc w:val="both"/>
        <w:rPr>
          <w:sz w:val="24"/>
          <w:szCs w:val="24"/>
        </w:rPr>
      </w:pPr>
      <w:r w:rsidRPr="001D6161">
        <w:rPr>
          <w:sz w:val="24"/>
          <w:szCs w:val="24"/>
        </w:rPr>
        <w:t>Refer to the definition of Item 2.7 in Section 1.</w:t>
      </w:r>
    </w:p>
    <w:p w14:paraId="734A3FBD" w14:textId="77777777" w:rsidR="001D6161" w:rsidRPr="001D6161" w:rsidRDefault="001D6161" w:rsidP="00142495">
      <w:pPr>
        <w:numPr>
          <w:ilvl w:val="1"/>
          <w:numId w:val="24"/>
        </w:numPr>
        <w:spacing w:after="240"/>
        <w:ind w:left="851" w:hanging="851"/>
        <w:jc w:val="both"/>
        <w:rPr>
          <w:rFonts w:ascii="Arial" w:hAnsi="Arial" w:cs="Arial"/>
          <w:b/>
          <w:sz w:val="24"/>
          <w:szCs w:val="24"/>
        </w:rPr>
      </w:pPr>
      <w:r w:rsidRPr="001D6161">
        <w:rPr>
          <w:rFonts w:ascii="Arial" w:hAnsi="Arial" w:cs="Arial"/>
          <w:b/>
          <w:sz w:val="24"/>
          <w:szCs w:val="24"/>
        </w:rPr>
        <w:t>Australian Commonwealth Government corporations</w:t>
      </w:r>
    </w:p>
    <w:p w14:paraId="027C180C" w14:textId="77777777" w:rsidR="001D6161" w:rsidRPr="001D6161" w:rsidRDefault="001D6161" w:rsidP="00142495">
      <w:pPr>
        <w:spacing w:after="240"/>
        <w:jc w:val="both"/>
        <w:rPr>
          <w:sz w:val="24"/>
          <w:szCs w:val="24"/>
        </w:rPr>
      </w:pPr>
      <w:r w:rsidRPr="001D6161">
        <w:rPr>
          <w:sz w:val="24"/>
          <w:szCs w:val="24"/>
        </w:rPr>
        <w:t>Refer to the definition of Item 2.8 in Section 1.</w:t>
      </w:r>
    </w:p>
    <w:p w14:paraId="6DB32480" w14:textId="77777777" w:rsidR="001D6161" w:rsidRPr="001D6161" w:rsidRDefault="001D6161" w:rsidP="00142495">
      <w:pPr>
        <w:numPr>
          <w:ilvl w:val="1"/>
          <w:numId w:val="24"/>
        </w:numPr>
        <w:spacing w:after="240"/>
        <w:ind w:left="851" w:hanging="851"/>
        <w:jc w:val="both"/>
        <w:rPr>
          <w:rFonts w:ascii="Arial" w:hAnsi="Arial" w:cs="Arial"/>
          <w:b/>
          <w:sz w:val="24"/>
          <w:szCs w:val="24"/>
        </w:rPr>
      </w:pPr>
      <w:r w:rsidRPr="001D6161">
        <w:rPr>
          <w:rFonts w:ascii="Arial" w:hAnsi="Arial" w:cs="Arial"/>
          <w:b/>
          <w:sz w:val="24"/>
          <w:szCs w:val="24"/>
        </w:rPr>
        <w:t>Other</w:t>
      </w:r>
    </w:p>
    <w:p w14:paraId="0C8C3FC9" w14:textId="77777777" w:rsidR="001D6161" w:rsidRPr="001D6161" w:rsidRDefault="001D6161" w:rsidP="00142495">
      <w:pPr>
        <w:spacing w:after="240"/>
        <w:jc w:val="both"/>
        <w:rPr>
          <w:sz w:val="24"/>
          <w:szCs w:val="24"/>
        </w:rPr>
      </w:pPr>
      <w:r w:rsidRPr="001D6161">
        <w:rPr>
          <w:sz w:val="24"/>
          <w:szCs w:val="24"/>
        </w:rPr>
        <w:t>This is automatically calculated as Item 1.7 less the sum of Items 1.1 to 1.5.</w:t>
      </w:r>
    </w:p>
    <w:p w14:paraId="7B77C12E" w14:textId="77777777"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Other equity</w:t>
      </w:r>
    </w:p>
    <w:p w14:paraId="3C3B06A2" w14:textId="77777777" w:rsidR="001D6161" w:rsidRPr="001D6161" w:rsidRDefault="001D6161" w:rsidP="00142495">
      <w:pPr>
        <w:spacing w:after="240"/>
        <w:jc w:val="both"/>
        <w:rPr>
          <w:sz w:val="24"/>
          <w:szCs w:val="24"/>
        </w:rPr>
      </w:pPr>
      <w:r w:rsidRPr="001D6161">
        <w:rPr>
          <w:sz w:val="24"/>
          <w:szCs w:val="24"/>
        </w:rPr>
        <w:t>The information required to be reported under this item is different to the information required to be disclosed for Item 4. This item is mainly collected for the purposes of the Australian Bureau of Statistics (ABS) and as such the definitions of listed equities are slightly different for ABS purposes.</w:t>
      </w:r>
    </w:p>
    <w:p w14:paraId="3F7A57AF" w14:textId="77777777" w:rsidR="001D6161" w:rsidRPr="001D6161" w:rsidRDefault="001D6161" w:rsidP="00142495">
      <w:pPr>
        <w:numPr>
          <w:ilvl w:val="0"/>
          <w:numId w:val="26"/>
        </w:numPr>
        <w:spacing w:after="240"/>
        <w:ind w:left="851" w:hanging="851"/>
        <w:jc w:val="both"/>
        <w:rPr>
          <w:rFonts w:ascii="Arial" w:hAnsi="Arial" w:cs="Arial"/>
          <w:b/>
          <w:sz w:val="24"/>
          <w:szCs w:val="24"/>
        </w:rPr>
      </w:pPr>
      <w:r w:rsidRPr="001D6161">
        <w:rPr>
          <w:rFonts w:ascii="Arial" w:hAnsi="Arial" w:cs="Arial"/>
          <w:b/>
          <w:sz w:val="24"/>
          <w:szCs w:val="24"/>
        </w:rPr>
        <w:t>Banks and ADIs</w:t>
      </w:r>
    </w:p>
    <w:p w14:paraId="53829E74" w14:textId="77777777" w:rsidR="001D6161" w:rsidRPr="001D6161" w:rsidRDefault="001D6161" w:rsidP="00142495">
      <w:pPr>
        <w:spacing w:after="240"/>
        <w:jc w:val="both"/>
        <w:rPr>
          <w:sz w:val="24"/>
          <w:szCs w:val="24"/>
        </w:rPr>
      </w:pPr>
      <w:r w:rsidRPr="001D6161">
        <w:rPr>
          <w:sz w:val="24"/>
          <w:szCs w:val="24"/>
        </w:rPr>
        <w:t>Refer to the definition of Item 2.3 in Section 1.</w:t>
      </w:r>
    </w:p>
    <w:p w14:paraId="5505A5BA" w14:textId="77777777" w:rsidR="001D6161" w:rsidRPr="001D6161" w:rsidRDefault="001D6161" w:rsidP="00142495">
      <w:pPr>
        <w:numPr>
          <w:ilvl w:val="0"/>
          <w:numId w:val="26"/>
        </w:numPr>
        <w:spacing w:after="240"/>
        <w:ind w:left="851" w:hanging="851"/>
        <w:jc w:val="both"/>
        <w:rPr>
          <w:rFonts w:ascii="Arial" w:hAnsi="Arial" w:cs="Arial"/>
          <w:b/>
          <w:sz w:val="24"/>
          <w:szCs w:val="24"/>
        </w:rPr>
      </w:pPr>
      <w:r w:rsidRPr="001D6161">
        <w:rPr>
          <w:rFonts w:ascii="Arial" w:hAnsi="Arial" w:cs="Arial"/>
          <w:b/>
          <w:sz w:val="24"/>
          <w:szCs w:val="24"/>
        </w:rPr>
        <w:t>General insurance corporations</w:t>
      </w:r>
    </w:p>
    <w:p w14:paraId="54B3A563" w14:textId="77777777" w:rsidR="001D6161" w:rsidRPr="001D6161" w:rsidRDefault="001D6161" w:rsidP="00142495">
      <w:pPr>
        <w:spacing w:after="240"/>
        <w:jc w:val="both"/>
        <w:rPr>
          <w:sz w:val="24"/>
          <w:szCs w:val="24"/>
        </w:rPr>
      </w:pPr>
      <w:r w:rsidRPr="001D6161">
        <w:rPr>
          <w:sz w:val="24"/>
          <w:szCs w:val="24"/>
        </w:rPr>
        <w:t>Refer to the definition of Item 2.4 in Section 1.</w:t>
      </w:r>
    </w:p>
    <w:p w14:paraId="0ADCB87C" w14:textId="77777777" w:rsidR="001D6161" w:rsidRPr="001D6161" w:rsidRDefault="001D6161" w:rsidP="00142495">
      <w:pPr>
        <w:numPr>
          <w:ilvl w:val="0"/>
          <w:numId w:val="26"/>
        </w:numPr>
        <w:spacing w:after="240"/>
        <w:ind w:left="851" w:hanging="851"/>
        <w:jc w:val="both"/>
        <w:rPr>
          <w:rFonts w:ascii="Arial" w:hAnsi="Arial" w:cs="Arial"/>
          <w:b/>
          <w:sz w:val="24"/>
          <w:szCs w:val="24"/>
        </w:rPr>
      </w:pPr>
      <w:r w:rsidRPr="001D6161">
        <w:rPr>
          <w:rFonts w:ascii="Arial" w:hAnsi="Arial" w:cs="Arial"/>
          <w:b/>
          <w:sz w:val="24"/>
          <w:szCs w:val="24"/>
        </w:rPr>
        <w:t>Private trading corporations</w:t>
      </w:r>
    </w:p>
    <w:p w14:paraId="509E27A4" w14:textId="77777777" w:rsidR="001D6161" w:rsidRPr="001D6161" w:rsidRDefault="001D6161" w:rsidP="00142495">
      <w:pPr>
        <w:spacing w:after="240"/>
        <w:jc w:val="both"/>
        <w:rPr>
          <w:sz w:val="24"/>
          <w:szCs w:val="24"/>
        </w:rPr>
      </w:pPr>
      <w:r w:rsidRPr="001D6161">
        <w:rPr>
          <w:sz w:val="24"/>
          <w:szCs w:val="24"/>
        </w:rPr>
        <w:t>Refer to the definition of Item 2.6 in Section 1.</w:t>
      </w:r>
    </w:p>
    <w:p w14:paraId="5E639A10" w14:textId="77777777" w:rsidR="001D6161" w:rsidRPr="001D6161" w:rsidRDefault="001D6161" w:rsidP="00142495">
      <w:pPr>
        <w:numPr>
          <w:ilvl w:val="0"/>
          <w:numId w:val="26"/>
        </w:numPr>
        <w:spacing w:after="240"/>
        <w:ind w:left="851" w:hanging="851"/>
        <w:jc w:val="both"/>
        <w:rPr>
          <w:rFonts w:ascii="Arial" w:hAnsi="Arial" w:cs="Arial"/>
          <w:b/>
          <w:sz w:val="24"/>
          <w:szCs w:val="24"/>
        </w:rPr>
      </w:pPr>
      <w:r w:rsidRPr="001D6161">
        <w:rPr>
          <w:rFonts w:ascii="Arial" w:hAnsi="Arial" w:cs="Arial"/>
          <w:b/>
          <w:sz w:val="24"/>
          <w:szCs w:val="24"/>
        </w:rPr>
        <w:t>Registered Financial Corporations</w:t>
      </w:r>
    </w:p>
    <w:p w14:paraId="2E1A4FB3" w14:textId="77777777" w:rsidR="001D6161" w:rsidRPr="001D6161" w:rsidRDefault="001D6161" w:rsidP="00142495">
      <w:pPr>
        <w:spacing w:after="240"/>
        <w:jc w:val="both"/>
        <w:rPr>
          <w:b/>
          <w:sz w:val="24"/>
          <w:szCs w:val="24"/>
        </w:rPr>
      </w:pPr>
      <w:r w:rsidRPr="001D6161">
        <w:rPr>
          <w:sz w:val="24"/>
          <w:szCs w:val="24"/>
        </w:rPr>
        <w:t>Refer to the definition of Item 2.7 in Section 1</w:t>
      </w:r>
      <w:r w:rsidRPr="001D6161">
        <w:rPr>
          <w:b/>
          <w:sz w:val="24"/>
          <w:szCs w:val="24"/>
        </w:rPr>
        <w:t>.</w:t>
      </w:r>
    </w:p>
    <w:p w14:paraId="4270517B" w14:textId="77777777" w:rsidR="001D6161" w:rsidRPr="001D6161" w:rsidRDefault="001D6161" w:rsidP="00142495">
      <w:pPr>
        <w:numPr>
          <w:ilvl w:val="0"/>
          <w:numId w:val="26"/>
        </w:numPr>
        <w:spacing w:after="240"/>
        <w:ind w:left="851" w:hanging="851"/>
        <w:jc w:val="both"/>
        <w:rPr>
          <w:rFonts w:ascii="Arial" w:hAnsi="Arial" w:cs="Arial"/>
          <w:b/>
          <w:sz w:val="24"/>
          <w:szCs w:val="24"/>
        </w:rPr>
      </w:pPr>
      <w:r w:rsidRPr="001D6161">
        <w:rPr>
          <w:rFonts w:ascii="Arial" w:hAnsi="Arial" w:cs="Arial"/>
          <w:b/>
          <w:sz w:val="24"/>
          <w:szCs w:val="24"/>
        </w:rPr>
        <w:t>Australian Commonwealth Government corporations</w:t>
      </w:r>
    </w:p>
    <w:p w14:paraId="69F2B226" w14:textId="77777777" w:rsidR="001D6161" w:rsidRPr="001D6161" w:rsidRDefault="001D6161" w:rsidP="00142495">
      <w:pPr>
        <w:spacing w:after="240"/>
        <w:jc w:val="both"/>
        <w:rPr>
          <w:sz w:val="24"/>
          <w:szCs w:val="24"/>
        </w:rPr>
      </w:pPr>
      <w:r w:rsidRPr="001D6161">
        <w:rPr>
          <w:sz w:val="24"/>
          <w:szCs w:val="24"/>
        </w:rPr>
        <w:t>Refer to the definition of Item 2.8 in Section 1.</w:t>
      </w:r>
    </w:p>
    <w:p w14:paraId="1EA94D2C" w14:textId="77777777" w:rsidR="001D6161" w:rsidRPr="001D6161" w:rsidRDefault="001D6161" w:rsidP="002E2382">
      <w:pPr>
        <w:keepNext/>
        <w:numPr>
          <w:ilvl w:val="0"/>
          <w:numId w:val="26"/>
        </w:numPr>
        <w:spacing w:after="240"/>
        <w:ind w:left="851" w:hanging="851"/>
        <w:jc w:val="both"/>
        <w:rPr>
          <w:rFonts w:ascii="Arial" w:hAnsi="Arial" w:cs="Arial"/>
          <w:b/>
          <w:sz w:val="24"/>
          <w:szCs w:val="24"/>
        </w:rPr>
      </w:pPr>
      <w:r w:rsidRPr="001D6161">
        <w:rPr>
          <w:rFonts w:ascii="Arial" w:hAnsi="Arial" w:cs="Arial"/>
          <w:b/>
          <w:sz w:val="24"/>
          <w:szCs w:val="24"/>
        </w:rPr>
        <w:lastRenderedPageBreak/>
        <w:t>Other</w:t>
      </w:r>
    </w:p>
    <w:p w14:paraId="60026401" w14:textId="77777777" w:rsidR="001D6161" w:rsidRPr="001D6161" w:rsidRDefault="001D6161" w:rsidP="00142495">
      <w:pPr>
        <w:spacing w:after="240"/>
        <w:jc w:val="both"/>
        <w:rPr>
          <w:sz w:val="24"/>
          <w:szCs w:val="24"/>
        </w:rPr>
      </w:pPr>
      <w:r w:rsidRPr="001D6161">
        <w:rPr>
          <w:sz w:val="24"/>
          <w:szCs w:val="24"/>
        </w:rPr>
        <w:t>This is automatically calculated as Item 2.7 less the sum of Items 2.1 to 2.5.</w:t>
      </w:r>
    </w:p>
    <w:p w14:paraId="56C35E17" w14:textId="77777777" w:rsidR="001D6161" w:rsidRPr="001D6161" w:rsidRDefault="001D6161" w:rsidP="002E2382">
      <w:pPr>
        <w:keepNext/>
        <w:numPr>
          <w:ilvl w:val="0"/>
          <w:numId w:val="26"/>
        </w:numPr>
        <w:spacing w:after="240"/>
        <w:ind w:left="851" w:hanging="851"/>
        <w:jc w:val="both"/>
        <w:rPr>
          <w:rFonts w:ascii="Arial" w:hAnsi="Arial" w:cs="Arial"/>
          <w:b/>
          <w:sz w:val="24"/>
          <w:szCs w:val="24"/>
        </w:rPr>
      </w:pPr>
      <w:r w:rsidRPr="001D6161">
        <w:rPr>
          <w:rFonts w:ascii="Arial" w:hAnsi="Arial" w:cs="Arial"/>
          <w:b/>
          <w:sz w:val="24"/>
          <w:szCs w:val="24"/>
        </w:rPr>
        <w:t>Total other equity</w:t>
      </w:r>
    </w:p>
    <w:p w14:paraId="1FFD8F7E" w14:textId="77777777" w:rsidR="001D6161" w:rsidRPr="001D6161" w:rsidRDefault="001D6161" w:rsidP="00142495">
      <w:pPr>
        <w:spacing w:after="240"/>
        <w:jc w:val="both"/>
        <w:rPr>
          <w:sz w:val="24"/>
          <w:szCs w:val="24"/>
        </w:rPr>
      </w:pPr>
      <w:r w:rsidRPr="001D6161">
        <w:rPr>
          <w:sz w:val="24"/>
          <w:szCs w:val="24"/>
        </w:rPr>
        <w:t>Report all other equity securities held by the reporting insurer other than those equities listed on an Australian stock exchange.</w:t>
      </w:r>
    </w:p>
    <w:p w14:paraId="5D76A745" w14:textId="26DFD2A7"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Total equity securities</w:t>
      </w:r>
    </w:p>
    <w:p w14:paraId="2BFBDB62" w14:textId="16E015FD" w:rsidR="001D6161" w:rsidRPr="001D6161" w:rsidRDefault="001D6161" w:rsidP="00142495">
      <w:pPr>
        <w:spacing w:after="240"/>
        <w:jc w:val="both"/>
        <w:rPr>
          <w:sz w:val="24"/>
          <w:szCs w:val="24"/>
        </w:rPr>
      </w:pPr>
      <w:r w:rsidRPr="001D6161">
        <w:rPr>
          <w:sz w:val="24"/>
          <w:szCs w:val="24"/>
        </w:rPr>
        <w:t>This is automatically calculated by the form.</w:t>
      </w:r>
    </w:p>
    <w:p w14:paraId="781C05DB" w14:textId="77777777"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Total direct holdings</w:t>
      </w:r>
    </w:p>
    <w:p w14:paraId="661998CB" w14:textId="77777777" w:rsidR="001D6161" w:rsidRPr="001D6161" w:rsidRDefault="001D6161" w:rsidP="00142495">
      <w:pPr>
        <w:spacing w:after="240"/>
        <w:jc w:val="both"/>
        <w:rPr>
          <w:sz w:val="24"/>
          <w:szCs w:val="24"/>
        </w:rPr>
      </w:pPr>
      <w:r w:rsidRPr="001D6161">
        <w:rPr>
          <w:sz w:val="24"/>
          <w:szCs w:val="24"/>
        </w:rPr>
        <w:t>This is the value, as at the relevant date, of equity securities and of subordinated debt securities.</w:t>
      </w:r>
    </w:p>
    <w:p w14:paraId="7F0795DC" w14:textId="77777777" w:rsidR="001D6161" w:rsidRPr="001D6161" w:rsidRDefault="001D6161" w:rsidP="00142495">
      <w:pPr>
        <w:spacing w:after="240"/>
        <w:jc w:val="both"/>
        <w:rPr>
          <w:sz w:val="24"/>
          <w:szCs w:val="24"/>
        </w:rPr>
      </w:pPr>
      <w:r w:rsidRPr="001D6161">
        <w:rPr>
          <w:sz w:val="24"/>
          <w:szCs w:val="24"/>
        </w:rPr>
        <w:t>It is automatically calculated as the sum of Items 4.1 to 4.4 in Section 2.</w:t>
      </w:r>
    </w:p>
    <w:p w14:paraId="610D0B43"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Listed subordinated debt</w:t>
      </w:r>
    </w:p>
    <w:p w14:paraId="4C75EA5F" w14:textId="3D60AB1C" w:rsidR="001D6161" w:rsidRPr="001D6161" w:rsidRDefault="001D6161" w:rsidP="00142495">
      <w:pPr>
        <w:spacing w:after="240"/>
        <w:jc w:val="both"/>
        <w:rPr>
          <w:sz w:val="24"/>
          <w:szCs w:val="24"/>
        </w:rPr>
      </w:pPr>
      <w:r w:rsidRPr="001D6161">
        <w:rPr>
          <w:sz w:val="24"/>
          <w:szCs w:val="24"/>
        </w:rPr>
        <w:t>This is the value, at the relevant date, of debt securities classified as subordinated and which are listed on a recognised exchange.</w:t>
      </w:r>
    </w:p>
    <w:p w14:paraId="62AD20F7"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Unlisted subordinated debt</w:t>
      </w:r>
    </w:p>
    <w:p w14:paraId="26D6977F" w14:textId="77777777" w:rsidR="001D6161" w:rsidRPr="001D6161" w:rsidRDefault="001D6161" w:rsidP="00142495">
      <w:pPr>
        <w:spacing w:after="240"/>
        <w:jc w:val="both"/>
        <w:rPr>
          <w:sz w:val="24"/>
          <w:szCs w:val="24"/>
        </w:rPr>
      </w:pPr>
      <w:r w:rsidRPr="001D6161">
        <w:rPr>
          <w:sz w:val="24"/>
          <w:szCs w:val="24"/>
        </w:rPr>
        <w:t>This is the value, at the relevant date, of debt securities classified as subordinated and which are not listed on a recognised exchange.</w:t>
      </w:r>
    </w:p>
    <w:p w14:paraId="117EAEF8" w14:textId="54B1740D"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Listed equities - Direct holdings</w:t>
      </w:r>
    </w:p>
    <w:p w14:paraId="440B0CAD" w14:textId="77777777" w:rsidR="001D6161" w:rsidRPr="001D6161" w:rsidRDefault="001D6161" w:rsidP="00142495">
      <w:pPr>
        <w:spacing w:after="240"/>
        <w:jc w:val="both"/>
        <w:rPr>
          <w:sz w:val="24"/>
          <w:szCs w:val="24"/>
        </w:rPr>
      </w:pPr>
      <w:r w:rsidRPr="001D6161">
        <w:rPr>
          <w:sz w:val="24"/>
          <w:szCs w:val="24"/>
        </w:rPr>
        <w:t>This is the value of equity securities, as at the relevant date, held directly by the reporting insurer that are listed on a recognised stock exchange.</w:t>
      </w:r>
    </w:p>
    <w:p w14:paraId="76F2259B" w14:textId="5D2EEAB5"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Unlisted equities - Direct holdings</w:t>
      </w:r>
    </w:p>
    <w:p w14:paraId="4299A691" w14:textId="77777777" w:rsidR="001D6161" w:rsidRPr="001D6161" w:rsidRDefault="001D6161" w:rsidP="00142495">
      <w:pPr>
        <w:spacing w:after="240"/>
        <w:jc w:val="both"/>
        <w:rPr>
          <w:sz w:val="24"/>
          <w:szCs w:val="24"/>
        </w:rPr>
      </w:pPr>
      <w:r w:rsidRPr="001D6161">
        <w:rPr>
          <w:sz w:val="24"/>
          <w:szCs w:val="24"/>
        </w:rPr>
        <w:t>This is the value of equity securities, as at the relevant date, held directly by the reporting insurer that are not listed on a recognised stock exchange.</w:t>
      </w:r>
    </w:p>
    <w:p w14:paraId="1B97DAE0" w14:textId="3A566BB2"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Of which: denominated in a currency other than the Australian currency</w:t>
      </w:r>
    </w:p>
    <w:p w14:paraId="2BB480D1" w14:textId="77777777" w:rsidR="001D6161" w:rsidRPr="001D6161" w:rsidRDefault="001D6161" w:rsidP="00142495">
      <w:pPr>
        <w:spacing w:after="240"/>
        <w:jc w:val="both"/>
        <w:rPr>
          <w:sz w:val="24"/>
          <w:szCs w:val="24"/>
        </w:rPr>
      </w:pPr>
      <w:r w:rsidRPr="001D6161">
        <w:rPr>
          <w:sz w:val="24"/>
          <w:szCs w:val="24"/>
        </w:rPr>
        <w:t>This is the value of direct equity securities, listed and unlisted, that are denominated in a currency other than the Australian currency.</w:t>
      </w:r>
    </w:p>
    <w:p w14:paraId="46BEA9AB" w14:textId="3F97F60A"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Of which: holdings in own equity securities</w:t>
      </w:r>
    </w:p>
    <w:p w14:paraId="1B7FD380" w14:textId="77777777" w:rsidR="001D6161" w:rsidRPr="001D6161" w:rsidRDefault="001D6161" w:rsidP="00142495">
      <w:pPr>
        <w:spacing w:after="240"/>
        <w:jc w:val="both"/>
        <w:rPr>
          <w:sz w:val="24"/>
          <w:szCs w:val="24"/>
        </w:rPr>
      </w:pPr>
      <w:r w:rsidRPr="001D6161">
        <w:rPr>
          <w:sz w:val="24"/>
          <w:szCs w:val="24"/>
        </w:rPr>
        <w:t>This is the value of direct equity securities, listed and unlisted, that are issued and held by the reporting insurer.</w:t>
      </w:r>
    </w:p>
    <w:p w14:paraId="11E188D4" w14:textId="73A10F28"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lastRenderedPageBreak/>
        <w:t>Total direct equity investments of Licensed Insurer which represent exposure</w:t>
      </w:r>
      <w:r w:rsidR="00AD62A0">
        <w:rPr>
          <w:rFonts w:ascii="Arial" w:hAnsi="Arial" w:cs="Arial"/>
          <w:b/>
          <w:sz w:val="24"/>
          <w:szCs w:val="24"/>
        </w:rPr>
        <w:t xml:space="preserve"> </w:t>
      </w:r>
      <w:r w:rsidRPr="001D6161">
        <w:rPr>
          <w:rFonts w:ascii="Arial" w:hAnsi="Arial" w:cs="Arial"/>
          <w:b/>
          <w:sz w:val="24"/>
          <w:szCs w:val="24"/>
        </w:rPr>
        <w:t>to the following sectors</w:t>
      </w:r>
    </w:p>
    <w:p w14:paraId="144AF0C1" w14:textId="77777777" w:rsidR="001D6161" w:rsidRPr="001D6161" w:rsidRDefault="001D6161" w:rsidP="00142495">
      <w:pPr>
        <w:spacing w:after="240"/>
        <w:jc w:val="both"/>
        <w:rPr>
          <w:sz w:val="24"/>
          <w:szCs w:val="24"/>
        </w:rPr>
      </w:pPr>
      <w:r w:rsidRPr="001D6161">
        <w:rPr>
          <w:sz w:val="24"/>
          <w:szCs w:val="24"/>
        </w:rPr>
        <w:t>Categorise the direct equity investments of the reporting insurer into the 11 global sector indices as per the Global Industry Classification Standard (GICS), and the currencies (as represented by their current ISO 4217 codes) listed in the table. A mapping of the ASX industry sectors to the GICS sectors is provided below.</w:t>
      </w:r>
    </w:p>
    <w:p w14:paraId="1A02D762" w14:textId="77777777" w:rsidR="001D6161" w:rsidRPr="001D6161" w:rsidRDefault="001D6161" w:rsidP="00142495">
      <w:pPr>
        <w:spacing w:after="240"/>
        <w:jc w:val="both"/>
        <w:rPr>
          <w:sz w:val="24"/>
          <w:szCs w:val="24"/>
        </w:rPr>
      </w:pPr>
      <w:r w:rsidRPr="001D6161">
        <w:rPr>
          <w:sz w:val="24"/>
          <w:szCs w:val="24"/>
        </w:rPr>
        <w:t>This item is not applicable to Category C insurers.</w:t>
      </w:r>
    </w:p>
    <w:p w14:paraId="7A0D9813"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Energy</w:t>
      </w:r>
    </w:p>
    <w:p w14:paraId="76900A0F" w14:textId="77777777" w:rsidR="001D6161" w:rsidRPr="001D6161" w:rsidRDefault="001D6161" w:rsidP="00142495">
      <w:pPr>
        <w:spacing w:after="240"/>
        <w:jc w:val="both"/>
        <w:rPr>
          <w:sz w:val="24"/>
          <w:szCs w:val="24"/>
        </w:rPr>
      </w:pPr>
      <w:r w:rsidRPr="001D6161">
        <w:rPr>
          <w:sz w:val="24"/>
          <w:szCs w:val="24"/>
        </w:rPr>
        <w:t>Energy equipment and services; oil &amp; gas.</w:t>
      </w:r>
      <w:r w:rsidRPr="001D6161">
        <w:rPr>
          <w:sz w:val="24"/>
          <w:szCs w:val="24"/>
        </w:rPr>
        <w:tab/>
      </w:r>
    </w:p>
    <w:p w14:paraId="0EDED6B7"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Materials</w:t>
      </w:r>
    </w:p>
    <w:p w14:paraId="15DFE84D" w14:textId="1767FF97" w:rsidR="001D6161" w:rsidRPr="001D6161" w:rsidRDefault="001D6161" w:rsidP="00142495">
      <w:pPr>
        <w:spacing w:after="240"/>
        <w:jc w:val="both"/>
        <w:rPr>
          <w:sz w:val="24"/>
          <w:szCs w:val="24"/>
        </w:rPr>
      </w:pPr>
      <w:r w:rsidRPr="001D6161">
        <w:rPr>
          <w:sz w:val="24"/>
          <w:szCs w:val="24"/>
        </w:rPr>
        <w:t>Chemicals; construction materials; containers &amp; packaging; metals &amp; mining; paper &amp; forest products.</w:t>
      </w:r>
    </w:p>
    <w:p w14:paraId="49DF7FD4" w14:textId="25725053"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Industrials</w:t>
      </w:r>
    </w:p>
    <w:p w14:paraId="1E37C827" w14:textId="77777777" w:rsidR="001D6161" w:rsidRPr="001D6161" w:rsidRDefault="001D6161" w:rsidP="00142495">
      <w:pPr>
        <w:spacing w:after="240"/>
        <w:jc w:val="both"/>
        <w:rPr>
          <w:sz w:val="24"/>
          <w:szCs w:val="24"/>
        </w:rPr>
      </w:pPr>
      <w:r w:rsidRPr="001D6161">
        <w:rPr>
          <w:sz w:val="24"/>
          <w:szCs w:val="24"/>
        </w:rPr>
        <w:t>Aerospace &amp; defence; building products; construction &amp; engineering; electrical equipment; industrial conglomerates; machinery; trading companies &amp; distributors; commercial services &amp; supplies; transportation.</w:t>
      </w:r>
    </w:p>
    <w:p w14:paraId="5D06355E" w14:textId="723B29B4"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Consumer Discretionary</w:t>
      </w:r>
    </w:p>
    <w:p w14:paraId="523A2FA3" w14:textId="77777777" w:rsidR="001D6161" w:rsidRPr="001D6161" w:rsidRDefault="001D6161" w:rsidP="00142495">
      <w:pPr>
        <w:spacing w:after="240"/>
        <w:jc w:val="both"/>
        <w:rPr>
          <w:sz w:val="24"/>
          <w:szCs w:val="24"/>
        </w:rPr>
      </w:pPr>
      <w:r w:rsidRPr="001D6161">
        <w:rPr>
          <w:sz w:val="24"/>
          <w:szCs w:val="24"/>
        </w:rPr>
        <w:t>Automobiles &amp; components; consumer durables &amp; apparel; hotels; restaurants &amp; leisure; media; retailing.</w:t>
      </w:r>
    </w:p>
    <w:p w14:paraId="1D426DEA"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Consumer Staples</w:t>
      </w:r>
    </w:p>
    <w:p w14:paraId="187F5A7D" w14:textId="77777777" w:rsidR="001D6161" w:rsidRPr="001D6161" w:rsidRDefault="001D6161" w:rsidP="00142495">
      <w:pPr>
        <w:spacing w:after="240"/>
        <w:jc w:val="both"/>
        <w:rPr>
          <w:sz w:val="24"/>
          <w:szCs w:val="24"/>
        </w:rPr>
      </w:pPr>
      <w:r w:rsidRPr="001D6161">
        <w:rPr>
          <w:sz w:val="24"/>
          <w:szCs w:val="24"/>
        </w:rPr>
        <w:t>Food &amp; drug retailing; food beverage &amp; tobacco; household &amp; personal products.</w:t>
      </w:r>
    </w:p>
    <w:p w14:paraId="68BF34E4"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Health Care</w:t>
      </w:r>
    </w:p>
    <w:p w14:paraId="0A5CF39C" w14:textId="77777777" w:rsidR="001D6161" w:rsidRPr="001D6161" w:rsidRDefault="001D6161" w:rsidP="00142495">
      <w:pPr>
        <w:spacing w:after="240"/>
        <w:jc w:val="both"/>
        <w:rPr>
          <w:sz w:val="24"/>
          <w:szCs w:val="24"/>
        </w:rPr>
      </w:pPr>
      <w:r w:rsidRPr="001D6161">
        <w:rPr>
          <w:sz w:val="24"/>
          <w:szCs w:val="24"/>
        </w:rPr>
        <w:t>Health care equipment &amp; services; pharmaceuticals &amp; biotechnology.</w:t>
      </w:r>
      <w:r w:rsidRPr="001D6161">
        <w:rPr>
          <w:sz w:val="24"/>
          <w:szCs w:val="24"/>
        </w:rPr>
        <w:tab/>
      </w:r>
    </w:p>
    <w:p w14:paraId="2AFA66EA"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Financials Excluding Property Trusts</w:t>
      </w:r>
    </w:p>
    <w:p w14:paraId="634ADE2C" w14:textId="77777777" w:rsidR="001D6161" w:rsidRPr="001D6161" w:rsidRDefault="001D6161" w:rsidP="00142495">
      <w:pPr>
        <w:spacing w:after="240"/>
        <w:jc w:val="both"/>
        <w:rPr>
          <w:sz w:val="24"/>
          <w:szCs w:val="24"/>
        </w:rPr>
      </w:pPr>
      <w:r w:rsidRPr="001D6161">
        <w:rPr>
          <w:sz w:val="24"/>
          <w:szCs w:val="24"/>
        </w:rPr>
        <w:t xml:space="preserve">Financials </w:t>
      </w:r>
      <w:proofErr w:type="gramStart"/>
      <w:r w:rsidRPr="001D6161">
        <w:rPr>
          <w:sz w:val="24"/>
          <w:szCs w:val="24"/>
        </w:rPr>
        <w:t>include:</w:t>
      </w:r>
      <w:proofErr w:type="gramEnd"/>
      <w:r w:rsidRPr="001D6161">
        <w:rPr>
          <w:sz w:val="24"/>
          <w:szCs w:val="24"/>
        </w:rPr>
        <w:t xml:space="preserve"> banks; diversified financials; insurance; and real estate.</w:t>
      </w:r>
    </w:p>
    <w:p w14:paraId="4A3A1C8B"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Information Technology</w:t>
      </w:r>
    </w:p>
    <w:p w14:paraId="3265E32E" w14:textId="77777777" w:rsidR="001D6161" w:rsidRPr="001D6161" w:rsidRDefault="001D6161" w:rsidP="00142495">
      <w:pPr>
        <w:spacing w:after="240"/>
        <w:jc w:val="both"/>
        <w:rPr>
          <w:sz w:val="24"/>
          <w:szCs w:val="24"/>
        </w:rPr>
      </w:pPr>
      <w:r w:rsidRPr="001D6161">
        <w:rPr>
          <w:sz w:val="24"/>
          <w:szCs w:val="24"/>
        </w:rPr>
        <w:t>Software &amp; services; technology hardware &amp; equipment.</w:t>
      </w:r>
    </w:p>
    <w:p w14:paraId="09C917A8"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Telecommunication Services</w:t>
      </w:r>
    </w:p>
    <w:p w14:paraId="029D4780" w14:textId="77777777" w:rsidR="001D6161" w:rsidRPr="001D6161" w:rsidRDefault="001D6161" w:rsidP="00142495">
      <w:pPr>
        <w:spacing w:after="240"/>
        <w:jc w:val="both"/>
        <w:rPr>
          <w:sz w:val="24"/>
          <w:szCs w:val="24"/>
        </w:rPr>
      </w:pPr>
      <w:r w:rsidRPr="001D6161">
        <w:rPr>
          <w:sz w:val="24"/>
          <w:szCs w:val="24"/>
        </w:rPr>
        <w:t>Diversified telecommunication services; wireless telecommunication services.</w:t>
      </w:r>
    </w:p>
    <w:p w14:paraId="66CCA734"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Utilities</w:t>
      </w:r>
    </w:p>
    <w:p w14:paraId="54376E74" w14:textId="77777777" w:rsidR="001D6161" w:rsidRPr="001D6161" w:rsidRDefault="001D6161" w:rsidP="00142495">
      <w:pPr>
        <w:spacing w:after="240"/>
        <w:jc w:val="both"/>
        <w:rPr>
          <w:sz w:val="24"/>
          <w:szCs w:val="24"/>
        </w:rPr>
      </w:pPr>
      <w:r w:rsidRPr="001D6161">
        <w:rPr>
          <w:sz w:val="24"/>
          <w:szCs w:val="24"/>
        </w:rPr>
        <w:t>Electric utilities; gas utilities; multi-utilities; water utilities.</w:t>
      </w:r>
    </w:p>
    <w:p w14:paraId="6D952C95"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lastRenderedPageBreak/>
        <w:t>Property Trusts</w:t>
      </w:r>
    </w:p>
    <w:p w14:paraId="0EDC452C" w14:textId="77777777" w:rsidR="001D6161" w:rsidRPr="001D6161" w:rsidRDefault="001D6161" w:rsidP="00142495">
      <w:pPr>
        <w:spacing w:after="240"/>
        <w:jc w:val="both"/>
        <w:rPr>
          <w:sz w:val="24"/>
          <w:szCs w:val="24"/>
        </w:rPr>
      </w:pPr>
      <w:r w:rsidRPr="001D6161">
        <w:rPr>
          <w:sz w:val="24"/>
          <w:szCs w:val="24"/>
        </w:rPr>
        <w:t>Investments in real estate via a trust structure.</w:t>
      </w:r>
    </w:p>
    <w:p w14:paraId="335651F9"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Total exposure to all sectors</w:t>
      </w:r>
    </w:p>
    <w:p w14:paraId="11937EA6" w14:textId="04CF5E1B" w:rsidR="001D6161" w:rsidRPr="001D6161" w:rsidRDefault="001D6161" w:rsidP="00142495">
      <w:pPr>
        <w:spacing w:after="240"/>
        <w:jc w:val="both"/>
        <w:rPr>
          <w:sz w:val="24"/>
          <w:szCs w:val="24"/>
        </w:rPr>
      </w:pPr>
      <w:r w:rsidRPr="001D6161">
        <w:rPr>
          <w:sz w:val="24"/>
          <w:szCs w:val="24"/>
        </w:rPr>
        <w:t>This is automatically calculated as the sum of the 11 GICS sectors, and each currency.</w:t>
      </w:r>
    </w:p>
    <w:p w14:paraId="626E5AD4"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Section 3: Direct property holdings</w:t>
      </w:r>
    </w:p>
    <w:p w14:paraId="3E9F5D85" w14:textId="2259ECEE" w:rsidR="001D6161" w:rsidRPr="001D6161" w:rsidRDefault="001D6161" w:rsidP="00142495">
      <w:pPr>
        <w:keepNext/>
        <w:numPr>
          <w:ilvl w:val="0"/>
          <w:numId w:val="17"/>
        </w:numPr>
        <w:spacing w:after="240"/>
        <w:ind w:left="567" w:hanging="567"/>
        <w:jc w:val="both"/>
        <w:rPr>
          <w:rFonts w:ascii="Arial" w:hAnsi="Arial" w:cs="Arial"/>
          <w:b/>
          <w:sz w:val="24"/>
          <w:szCs w:val="24"/>
        </w:rPr>
      </w:pPr>
      <w:r w:rsidRPr="001D6161">
        <w:rPr>
          <w:rFonts w:ascii="Arial" w:hAnsi="Arial" w:cs="Arial"/>
          <w:b/>
          <w:sz w:val="24"/>
          <w:szCs w:val="24"/>
        </w:rPr>
        <w:t>Total direct property investments</w:t>
      </w:r>
    </w:p>
    <w:p w14:paraId="02D37D61" w14:textId="77777777" w:rsidR="001D6161" w:rsidRPr="001D6161" w:rsidRDefault="001D6161" w:rsidP="00142495">
      <w:pPr>
        <w:spacing w:after="240"/>
        <w:jc w:val="both"/>
        <w:rPr>
          <w:sz w:val="24"/>
          <w:szCs w:val="24"/>
        </w:rPr>
      </w:pPr>
      <w:r w:rsidRPr="001D6161">
        <w:rPr>
          <w:sz w:val="24"/>
          <w:szCs w:val="24"/>
        </w:rPr>
        <w:t>Property investments denominated in a currency other than Australian currency must also be reported in this section. Property investments are those where the investments (earnings and capital value) are dependent on cashflows generated by the property through sale or rental income. Holdings in listed and unlisted property trusts are to be reported in Section 5 of this form.</w:t>
      </w:r>
    </w:p>
    <w:p w14:paraId="067D9F59" w14:textId="5699E815" w:rsidR="001D6161" w:rsidRPr="001D6161" w:rsidRDefault="001D6161" w:rsidP="00142495">
      <w:pPr>
        <w:keepNext/>
        <w:numPr>
          <w:ilvl w:val="1"/>
          <w:numId w:val="29"/>
        </w:numPr>
        <w:spacing w:after="240"/>
        <w:ind w:left="851" w:hanging="851"/>
        <w:jc w:val="both"/>
        <w:rPr>
          <w:rFonts w:ascii="Arial" w:hAnsi="Arial" w:cs="Arial"/>
          <w:b/>
          <w:sz w:val="24"/>
          <w:szCs w:val="24"/>
        </w:rPr>
      </w:pPr>
      <w:r w:rsidRPr="001D6161">
        <w:rPr>
          <w:rFonts w:ascii="Arial" w:hAnsi="Arial" w:cs="Arial"/>
          <w:b/>
          <w:sz w:val="24"/>
          <w:szCs w:val="24"/>
        </w:rPr>
        <w:t>Office</w:t>
      </w:r>
    </w:p>
    <w:p w14:paraId="1C56DA26" w14:textId="77777777" w:rsidR="001D6161" w:rsidRPr="001D6161" w:rsidRDefault="001D6161" w:rsidP="00142495">
      <w:pPr>
        <w:spacing w:after="240"/>
        <w:jc w:val="both"/>
        <w:rPr>
          <w:sz w:val="24"/>
          <w:szCs w:val="24"/>
        </w:rPr>
      </w:pPr>
      <w:r w:rsidRPr="001D6161">
        <w:rPr>
          <w:sz w:val="24"/>
          <w:szCs w:val="24"/>
        </w:rPr>
        <w:t>Report the value of property investments that are used as offices.</w:t>
      </w:r>
    </w:p>
    <w:p w14:paraId="4AFBB2D8" w14:textId="69695C12" w:rsidR="001D6161" w:rsidRPr="001D6161" w:rsidRDefault="001D6161" w:rsidP="00142495">
      <w:pPr>
        <w:keepNext/>
        <w:numPr>
          <w:ilvl w:val="1"/>
          <w:numId w:val="30"/>
        </w:numPr>
        <w:spacing w:after="240"/>
        <w:ind w:left="851" w:hanging="851"/>
        <w:jc w:val="both"/>
        <w:rPr>
          <w:rFonts w:ascii="Arial" w:hAnsi="Arial" w:cs="Arial"/>
          <w:b/>
          <w:sz w:val="24"/>
          <w:szCs w:val="24"/>
        </w:rPr>
      </w:pPr>
      <w:r w:rsidRPr="001D6161">
        <w:rPr>
          <w:rFonts w:ascii="Arial" w:hAnsi="Arial" w:cs="Arial"/>
          <w:b/>
          <w:sz w:val="24"/>
          <w:szCs w:val="24"/>
        </w:rPr>
        <w:t>Retail</w:t>
      </w:r>
    </w:p>
    <w:p w14:paraId="3508EB43" w14:textId="77777777" w:rsidR="001D6161" w:rsidRPr="001D6161" w:rsidRDefault="001D6161" w:rsidP="00142495">
      <w:pPr>
        <w:spacing w:after="240"/>
        <w:jc w:val="both"/>
        <w:rPr>
          <w:sz w:val="24"/>
          <w:szCs w:val="24"/>
        </w:rPr>
      </w:pPr>
      <w:r w:rsidRPr="001D6161">
        <w:rPr>
          <w:sz w:val="24"/>
          <w:szCs w:val="24"/>
        </w:rPr>
        <w:t xml:space="preserve">Report the value of property investments that are used for retail purposes, including retail shops, </w:t>
      </w:r>
      <w:proofErr w:type="gramStart"/>
      <w:r w:rsidRPr="001D6161">
        <w:rPr>
          <w:sz w:val="24"/>
          <w:szCs w:val="24"/>
        </w:rPr>
        <w:t>restaurants</w:t>
      </w:r>
      <w:proofErr w:type="gramEnd"/>
      <w:r w:rsidRPr="001D6161">
        <w:rPr>
          <w:sz w:val="24"/>
          <w:szCs w:val="24"/>
        </w:rPr>
        <w:t xml:space="preserve"> and shopping centres.</w:t>
      </w:r>
    </w:p>
    <w:p w14:paraId="323642F5" w14:textId="77777777" w:rsidR="001D6161" w:rsidRPr="001D6161" w:rsidRDefault="001D6161" w:rsidP="00142495">
      <w:pPr>
        <w:keepNext/>
        <w:numPr>
          <w:ilvl w:val="1"/>
          <w:numId w:val="30"/>
        </w:numPr>
        <w:spacing w:after="240"/>
        <w:ind w:left="851" w:hanging="851"/>
        <w:jc w:val="both"/>
        <w:rPr>
          <w:rFonts w:ascii="Arial" w:hAnsi="Arial" w:cs="Arial"/>
          <w:b/>
          <w:sz w:val="24"/>
          <w:szCs w:val="24"/>
        </w:rPr>
      </w:pPr>
      <w:r w:rsidRPr="001D6161">
        <w:rPr>
          <w:rFonts w:ascii="Arial" w:hAnsi="Arial" w:cs="Arial"/>
          <w:b/>
          <w:sz w:val="24"/>
          <w:szCs w:val="24"/>
        </w:rPr>
        <w:t>Tourism and leisure</w:t>
      </w:r>
    </w:p>
    <w:p w14:paraId="66B36DC5" w14:textId="77777777" w:rsidR="001D6161" w:rsidRPr="001D6161" w:rsidRDefault="001D6161" w:rsidP="00142495">
      <w:pPr>
        <w:spacing w:after="240"/>
        <w:jc w:val="both"/>
        <w:rPr>
          <w:sz w:val="24"/>
          <w:szCs w:val="24"/>
        </w:rPr>
      </w:pPr>
      <w:r w:rsidRPr="001D6161">
        <w:rPr>
          <w:sz w:val="24"/>
          <w:szCs w:val="24"/>
        </w:rPr>
        <w:t>Report the value of property investments that are used for tourism and leisure purposes (</w:t>
      </w:r>
      <w:proofErr w:type="gramStart"/>
      <w:r w:rsidRPr="001D6161">
        <w:rPr>
          <w:sz w:val="24"/>
          <w:szCs w:val="24"/>
        </w:rPr>
        <w:t>e.g.</w:t>
      </w:r>
      <w:proofErr w:type="gramEnd"/>
      <w:r w:rsidRPr="001D6161">
        <w:rPr>
          <w:sz w:val="24"/>
          <w:szCs w:val="24"/>
        </w:rPr>
        <w:t xml:space="preserve"> hotels, motels and lodgings, recreational and sporting facilities, hotel developments, time-share developments and other hospitality industries).</w:t>
      </w:r>
    </w:p>
    <w:p w14:paraId="0C870453" w14:textId="77777777" w:rsidR="001D6161" w:rsidRPr="001D6161" w:rsidRDefault="001D6161" w:rsidP="00142495">
      <w:pPr>
        <w:keepNext/>
        <w:numPr>
          <w:ilvl w:val="1"/>
          <w:numId w:val="30"/>
        </w:numPr>
        <w:spacing w:after="240"/>
        <w:ind w:left="851" w:hanging="851"/>
        <w:jc w:val="both"/>
        <w:rPr>
          <w:rFonts w:ascii="Arial" w:hAnsi="Arial" w:cs="Arial"/>
          <w:b/>
          <w:sz w:val="24"/>
          <w:szCs w:val="24"/>
        </w:rPr>
      </w:pPr>
      <w:r w:rsidRPr="001D6161">
        <w:rPr>
          <w:rFonts w:ascii="Arial" w:hAnsi="Arial" w:cs="Arial"/>
          <w:b/>
          <w:sz w:val="24"/>
          <w:szCs w:val="24"/>
        </w:rPr>
        <w:t>Infrastructure</w:t>
      </w:r>
    </w:p>
    <w:p w14:paraId="32BD8AE4" w14:textId="77777777" w:rsidR="001D6161" w:rsidRPr="001D6161" w:rsidRDefault="001D6161" w:rsidP="00142495">
      <w:pPr>
        <w:spacing w:after="240"/>
        <w:jc w:val="both"/>
        <w:rPr>
          <w:sz w:val="24"/>
          <w:szCs w:val="24"/>
        </w:rPr>
      </w:pPr>
      <w:r w:rsidRPr="001D6161">
        <w:rPr>
          <w:sz w:val="24"/>
          <w:szCs w:val="24"/>
        </w:rPr>
        <w:t>Report the value of property investments that are classified as infrastructure (</w:t>
      </w:r>
      <w:proofErr w:type="gramStart"/>
      <w:r w:rsidRPr="001D6161">
        <w:rPr>
          <w:sz w:val="24"/>
          <w:szCs w:val="24"/>
        </w:rPr>
        <w:t>e.g.</w:t>
      </w:r>
      <w:proofErr w:type="gramEnd"/>
      <w:r w:rsidRPr="001D6161">
        <w:rPr>
          <w:sz w:val="24"/>
          <w:szCs w:val="24"/>
        </w:rPr>
        <w:t xml:space="preserve"> roads, bridges, power stations).</w:t>
      </w:r>
    </w:p>
    <w:p w14:paraId="2C862326" w14:textId="77777777" w:rsidR="001D6161" w:rsidRPr="001D6161" w:rsidRDefault="001D6161" w:rsidP="00142495">
      <w:pPr>
        <w:keepNext/>
        <w:numPr>
          <w:ilvl w:val="1"/>
          <w:numId w:val="30"/>
        </w:numPr>
        <w:spacing w:after="240"/>
        <w:ind w:left="851" w:hanging="851"/>
        <w:jc w:val="both"/>
        <w:rPr>
          <w:rFonts w:ascii="Arial" w:hAnsi="Arial" w:cs="Arial"/>
          <w:b/>
          <w:sz w:val="24"/>
          <w:szCs w:val="24"/>
        </w:rPr>
      </w:pPr>
      <w:r w:rsidRPr="001D6161">
        <w:rPr>
          <w:rFonts w:ascii="Arial" w:hAnsi="Arial" w:cs="Arial"/>
          <w:b/>
          <w:sz w:val="24"/>
          <w:szCs w:val="24"/>
        </w:rPr>
        <w:t>Other</w:t>
      </w:r>
    </w:p>
    <w:p w14:paraId="30FF25DF" w14:textId="77777777" w:rsidR="001D6161" w:rsidRPr="001D6161" w:rsidRDefault="001D6161" w:rsidP="00142495">
      <w:pPr>
        <w:spacing w:after="240"/>
        <w:jc w:val="both"/>
        <w:rPr>
          <w:sz w:val="24"/>
          <w:szCs w:val="24"/>
        </w:rPr>
      </w:pPr>
      <w:r w:rsidRPr="001D6161">
        <w:rPr>
          <w:sz w:val="24"/>
          <w:szCs w:val="24"/>
        </w:rPr>
        <w:t>This is a balancing item and is the value of property investments that are not included in one of the other classifications in Items 1.1 to 1.4 in Section 3.</w:t>
      </w:r>
    </w:p>
    <w:p w14:paraId="475CB746" w14:textId="77777777" w:rsidR="001D6161" w:rsidRPr="001D6161" w:rsidRDefault="001D6161" w:rsidP="00142495">
      <w:pPr>
        <w:spacing w:after="240"/>
        <w:jc w:val="both"/>
        <w:rPr>
          <w:sz w:val="24"/>
          <w:szCs w:val="24"/>
        </w:rPr>
      </w:pPr>
      <w:r w:rsidRPr="001D6161">
        <w:rPr>
          <w:sz w:val="24"/>
          <w:szCs w:val="24"/>
        </w:rPr>
        <w:t>It is automatically calculated as Item 1.6 less the sum of Items 1.1 to 1.4.</w:t>
      </w:r>
    </w:p>
    <w:p w14:paraId="4AEFDB69" w14:textId="0CB58C8B" w:rsidR="001D6161" w:rsidRPr="001D6161" w:rsidRDefault="001D6161" w:rsidP="00142495">
      <w:pPr>
        <w:keepNext/>
        <w:numPr>
          <w:ilvl w:val="1"/>
          <w:numId w:val="30"/>
        </w:numPr>
        <w:spacing w:after="240"/>
        <w:ind w:left="851" w:hanging="851"/>
        <w:jc w:val="both"/>
        <w:rPr>
          <w:rFonts w:ascii="Arial" w:hAnsi="Arial" w:cs="Arial"/>
          <w:b/>
          <w:sz w:val="24"/>
          <w:szCs w:val="24"/>
        </w:rPr>
      </w:pPr>
      <w:r w:rsidRPr="001D6161">
        <w:rPr>
          <w:rFonts w:ascii="Arial" w:hAnsi="Arial" w:cs="Arial"/>
          <w:b/>
          <w:sz w:val="24"/>
          <w:szCs w:val="24"/>
        </w:rPr>
        <w:t>Total direct property investments</w:t>
      </w:r>
    </w:p>
    <w:p w14:paraId="68F4C63F" w14:textId="034A9DEA" w:rsidR="00F572EA" w:rsidRPr="00672663" w:rsidRDefault="001D6161" w:rsidP="00672663">
      <w:pPr>
        <w:spacing w:after="240"/>
        <w:jc w:val="both"/>
        <w:rPr>
          <w:sz w:val="24"/>
          <w:szCs w:val="24"/>
        </w:rPr>
      </w:pPr>
      <w:r w:rsidRPr="001D6161">
        <w:rPr>
          <w:sz w:val="24"/>
          <w:szCs w:val="24"/>
        </w:rPr>
        <w:t>This is the value of property held by the reporting insurer as at the relevant date, in accordance with the classification and measurement basis under Australian Accounting Standards.</w:t>
      </w:r>
    </w:p>
    <w:p w14:paraId="7163D69A" w14:textId="01E14494" w:rsidR="00B057EB" w:rsidRDefault="00B057EB" w:rsidP="00B057EB">
      <w:pPr>
        <w:keepNext/>
        <w:spacing w:after="240"/>
        <w:ind w:left="993" w:hanging="993"/>
        <w:jc w:val="both"/>
        <w:rPr>
          <w:rFonts w:ascii="Arial" w:hAnsi="Arial" w:cs="Arial"/>
          <w:b/>
          <w:sz w:val="24"/>
          <w:szCs w:val="24"/>
        </w:rPr>
      </w:pPr>
      <w:r>
        <w:rPr>
          <w:rFonts w:ascii="Arial" w:hAnsi="Arial" w:cs="Arial"/>
          <w:b/>
          <w:sz w:val="24"/>
          <w:szCs w:val="24"/>
        </w:rPr>
        <w:lastRenderedPageBreak/>
        <w:t>1</w:t>
      </w:r>
      <w:r w:rsidRPr="001D6161">
        <w:rPr>
          <w:rFonts w:ascii="Arial" w:hAnsi="Arial" w:cs="Arial"/>
          <w:b/>
          <w:sz w:val="24"/>
          <w:szCs w:val="24"/>
        </w:rPr>
        <w:t>.</w:t>
      </w:r>
      <w:r>
        <w:rPr>
          <w:rFonts w:ascii="Arial" w:hAnsi="Arial" w:cs="Arial"/>
          <w:b/>
          <w:sz w:val="24"/>
          <w:szCs w:val="24"/>
        </w:rPr>
        <w:t>6</w:t>
      </w:r>
      <w:r w:rsidRPr="001D6161">
        <w:rPr>
          <w:rFonts w:ascii="Arial" w:hAnsi="Arial" w:cs="Arial"/>
          <w:b/>
          <w:sz w:val="24"/>
          <w:szCs w:val="24"/>
        </w:rPr>
        <w:t>.</w:t>
      </w:r>
      <w:r w:rsidR="00672663">
        <w:rPr>
          <w:rFonts w:ascii="Arial" w:hAnsi="Arial" w:cs="Arial"/>
          <w:b/>
          <w:sz w:val="24"/>
          <w:szCs w:val="24"/>
        </w:rPr>
        <w:t>1</w:t>
      </w:r>
      <w:r w:rsidRPr="001D6161">
        <w:rPr>
          <w:rFonts w:ascii="Arial" w:hAnsi="Arial" w:cs="Arial"/>
          <w:b/>
          <w:sz w:val="24"/>
          <w:szCs w:val="24"/>
        </w:rPr>
        <w:t>.</w:t>
      </w:r>
      <w:r w:rsidRPr="001D6161">
        <w:rPr>
          <w:rFonts w:ascii="Arial" w:hAnsi="Arial" w:cs="Arial"/>
          <w:b/>
          <w:sz w:val="24"/>
          <w:szCs w:val="24"/>
        </w:rPr>
        <w:tab/>
      </w:r>
      <w:r w:rsidRPr="00672663">
        <w:rPr>
          <w:rFonts w:ascii="Arial" w:hAnsi="Arial" w:cs="Arial"/>
          <w:b/>
          <w:i/>
          <w:sz w:val="24"/>
          <w:szCs w:val="24"/>
        </w:rPr>
        <w:t>Of which: denominated in a currency other than the Australian currency</w:t>
      </w:r>
    </w:p>
    <w:p w14:paraId="02670CB7" w14:textId="77777777" w:rsidR="001D6161" w:rsidRPr="001D6161" w:rsidRDefault="001D6161" w:rsidP="00B057EB">
      <w:pPr>
        <w:spacing w:after="240"/>
        <w:jc w:val="both"/>
        <w:rPr>
          <w:sz w:val="24"/>
          <w:szCs w:val="24"/>
        </w:rPr>
      </w:pPr>
      <w:r w:rsidRPr="001D6161">
        <w:rPr>
          <w:sz w:val="24"/>
          <w:szCs w:val="24"/>
        </w:rPr>
        <w:t>This is the value of direct property investments that are denominated in a currency other than the Australian currency.</w:t>
      </w:r>
    </w:p>
    <w:p w14:paraId="465F77C3"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Section 4: Loans and advances</w:t>
      </w:r>
    </w:p>
    <w:p w14:paraId="57823EEB" w14:textId="77777777"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(1)</w:t>
      </w:r>
      <w:r w:rsidRPr="001D6161">
        <w:rPr>
          <w:rFonts w:ascii="Arial" w:hAnsi="Arial" w:cs="Arial"/>
          <w:b/>
          <w:sz w:val="24"/>
          <w:szCs w:val="24"/>
        </w:rPr>
        <w:tab/>
        <w:t>Balance outstanding</w:t>
      </w:r>
    </w:p>
    <w:p w14:paraId="3AB4AE5D" w14:textId="77777777" w:rsidR="001D6161" w:rsidRPr="001D6161" w:rsidRDefault="001D6161" w:rsidP="00142495">
      <w:pPr>
        <w:spacing w:after="240"/>
        <w:jc w:val="both"/>
        <w:rPr>
          <w:sz w:val="24"/>
          <w:szCs w:val="24"/>
        </w:rPr>
      </w:pPr>
      <w:r w:rsidRPr="001D6161">
        <w:rPr>
          <w:sz w:val="24"/>
          <w:szCs w:val="24"/>
        </w:rPr>
        <w:t>Report the aggregate value of the outstanding loans provided by the reporting insurer gross of any provision for impairment.</w:t>
      </w:r>
    </w:p>
    <w:p w14:paraId="4091FC54" w14:textId="77777777"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 xml:space="preserve"> (2)</w:t>
      </w:r>
      <w:r w:rsidRPr="001D6161">
        <w:rPr>
          <w:rFonts w:ascii="Arial" w:hAnsi="Arial" w:cs="Arial"/>
          <w:b/>
          <w:sz w:val="24"/>
          <w:szCs w:val="24"/>
        </w:rPr>
        <w:tab/>
        <w:t>Value of security</w:t>
      </w:r>
    </w:p>
    <w:p w14:paraId="3B89F47D" w14:textId="77777777" w:rsidR="001D6161" w:rsidRPr="001D6161" w:rsidRDefault="001D6161" w:rsidP="00142495">
      <w:pPr>
        <w:spacing w:after="240"/>
        <w:jc w:val="both"/>
        <w:rPr>
          <w:sz w:val="24"/>
          <w:szCs w:val="24"/>
        </w:rPr>
      </w:pPr>
      <w:r w:rsidRPr="001D6161">
        <w:rPr>
          <w:sz w:val="24"/>
          <w:szCs w:val="24"/>
        </w:rPr>
        <w:t>Report the aggregate fair value of property or other assets that are taken as security for the loan provided by the reporting insurer.</w:t>
      </w:r>
    </w:p>
    <w:p w14:paraId="36752E50" w14:textId="206E5792"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 xml:space="preserve"> (3)</w:t>
      </w:r>
      <w:r w:rsidRPr="001D6161">
        <w:rPr>
          <w:rFonts w:ascii="Arial" w:hAnsi="Arial" w:cs="Arial"/>
          <w:b/>
          <w:sz w:val="24"/>
          <w:szCs w:val="24"/>
        </w:rPr>
        <w:tab/>
        <w:t>Provision for impairment</w:t>
      </w:r>
    </w:p>
    <w:p w14:paraId="487E70CE" w14:textId="77777777" w:rsidR="001D6161" w:rsidRPr="001D6161" w:rsidRDefault="001D6161" w:rsidP="00142495">
      <w:pPr>
        <w:spacing w:after="240"/>
        <w:jc w:val="both"/>
        <w:rPr>
          <w:sz w:val="24"/>
          <w:szCs w:val="24"/>
        </w:rPr>
      </w:pPr>
      <w:r w:rsidRPr="001D6161">
        <w:rPr>
          <w:sz w:val="24"/>
          <w:szCs w:val="24"/>
        </w:rPr>
        <w:t>Report the aggregate provision for impairment applying to the particular loan portfolio / classifications listed (</w:t>
      </w:r>
      <w:proofErr w:type="gramStart"/>
      <w:r w:rsidRPr="001D6161">
        <w:rPr>
          <w:sz w:val="24"/>
          <w:szCs w:val="24"/>
        </w:rPr>
        <w:t>e.g.</w:t>
      </w:r>
      <w:proofErr w:type="gramEnd"/>
      <w:r w:rsidRPr="001D6161">
        <w:rPr>
          <w:sz w:val="24"/>
          <w:szCs w:val="24"/>
        </w:rPr>
        <w:t xml:space="preserve"> households).</w:t>
      </w:r>
    </w:p>
    <w:p w14:paraId="35BA5C17" w14:textId="77777777" w:rsidR="001D6161" w:rsidRPr="001D6161" w:rsidRDefault="001D6161" w:rsidP="00142495">
      <w:pPr>
        <w:spacing w:after="240"/>
        <w:jc w:val="both"/>
        <w:rPr>
          <w:sz w:val="24"/>
          <w:szCs w:val="24"/>
        </w:rPr>
      </w:pPr>
      <w:r w:rsidRPr="001D6161">
        <w:rPr>
          <w:sz w:val="24"/>
          <w:szCs w:val="24"/>
        </w:rPr>
        <w:t>For the purposes of the APRA forms, impairment means that there exists reasonable doubt that amounts of principal (or fair value) and any associated amounts of accrued income (</w:t>
      </w:r>
      <w:proofErr w:type="gramStart"/>
      <w:r w:rsidRPr="001D6161">
        <w:rPr>
          <w:sz w:val="24"/>
          <w:szCs w:val="24"/>
        </w:rPr>
        <w:t>e.g.</w:t>
      </w:r>
      <w:proofErr w:type="gramEnd"/>
      <w:r w:rsidRPr="001D6161">
        <w:rPr>
          <w:sz w:val="24"/>
          <w:szCs w:val="24"/>
        </w:rPr>
        <w:t xml:space="preserve"> interest, dividends, distributions associated with the investment / asset) will be able to be collected by the Insurer.</w:t>
      </w:r>
    </w:p>
    <w:p w14:paraId="496B9C3F" w14:textId="77777777"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 xml:space="preserve"> (4)</w:t>
      </w:r>
      <w:r w:rsidRPr="001D6161">
        <w:rPr>
          <w:rFonts w:ascii="Arial" w:hAnsi="Arial" w:cs="Arial"/>
          <w:b/>
          <w:sz w:val="24"/>
          <w:szCs w:val="24"/>
        </w:rPr>
        <w:tab/>
        <w:t>Balance outstanding net of provision for impairment</w:t>
      </w:r>
    </w:p>
    <w:p w14:paraId="4055F813" w14:textId="77777777" w:rsidR="001D6161" w:rsidRPr="001D6161" w:rsidRDefault="001D6161" w:rsidP="00142495">
      <w:pPr>
        <w:spacing w:after="240"/>
        <w:jc w:val="both"/>
        <w:rPr>
          <w:sz w:val="24"/>
          <w:szCs w:val="24"/>
        </w:rPr>
      </w:pPr>
      <w:r w:rsidRPr="001D6161">
        <w:rPr>
          <w:sz w:val="24"/>
          <w:szCs w:val="24"/>
        </w:rPr>
        <w:t>This is automatically calculated as Column 1 less Column 3 in Section 4.</w:t>
      </w:r>
    </w:p>
    <w:p w14:paraId="3D1ACCEA" w14:textId="77777777" w:rsidR="001D6161" w:rsidRPr="001D6161" w:rsidRDefault="001D6161" w:rsidP="00142495">
      <w:pPr>
        <w:keepNext/>
        <w:numPr>
          <w:ilvl w:val="1"/>
          <w:numId w:val="31"/>
        </w:numPr>
        <w:spacing w:after="240"/>
        <w:ind w:left="851" w:hanging="851"/>
        <w:jc w:val="both"/>
        <w:rPr>
          <w:rFonts w:ascii="Arial" w:hAnsi="Arial" w:cs="Arial"/>
          <w:b/>
          <w:sz w:val="24"/>
          <w:szCs w:val="24"/>
        </w:rPr>
      </w:pPr>
      <w:r w:rsidRPr="001D6161">
        <w:rPr>
          <w:rFonts w:ascii="Arial" w:hAnsi="Arial" w:cs="Arial"/>
          <w:b/>
          <w:sz w:val="24"/>
          <w:szCs w:val="24"/>
        </w:rPr>
        <w:t>Households</w:t>
      </w:r>
    </w:p>
    <w:p w14:paraId="483408F2" w14:textId="2EA54B5D" w:rsidR="001D6161" w:rsidRPr="001D6161" w:rsidRDefault="001D6161" w:rsidP="00142495">
      <w:pPr>
        <w:spacing w:after="240"/>
        <w:jc w:val="both"/>
        <w:rPr>
          <w:sz w:val="24"/>
          <w:szCs w:val="24"/>
        </w:rPr>
      </w:pPr>
      <w:r w:rsidRPr="001D6161">
        <w:rPr>
          <w:sz w:val="24"/>
          <w:szCs w:val="24"/>
        </w:rPr>
        <w:t>The counterparty is an individual, or group of individuals, whose dealings with the reporting insurer are for personal or household purposes. This does not include circumstances in which the counterparty is dealing with the reporting insurer in relation to a business or enterprise, regardless of how that business or enterprise is structured.</w:t>
      </w:r>
    </w:p>
    <w:p w14:paraId="0F4800E3" w14:textId="77777777" w:rsidR="001D6161" w:rsidRPr="001D6161" w:rsidRDefault="001D6161" w:rsidP="00142495">
      <w:pPr>
        <w:keepNext/>
        <w:numPr>
          <w:ilvl w:val="1"/>
          <w:numId w:val="31"/>
        </w:numPr>
        <w:spacing w:after="240"/>
        <w:ind w:left="851" w:hanging="851"/>
        <w:jc w:val="both"/>
        <w:rPr>
          <w:rFonts w:ascii="Arial" w:hAnsi="Arial" w:cs="Arial"/>
          <w:b/>
          <w:sz w:val="24"/>
          <w:szCs w:val="24"/>
        </w:rPr>
      </w:pPr>
      <w:r w:rsidRPr="001D6161">
        <w:rPr>
          <w:rFonts w:ascii="Arial" w:hAnsi="Arial" w:cs="Arial"/>
          <w:b/>
          <w:sz w:val="24"/>
          <w:szCs w:val="24"/>
        </w:rPr>
        <w:t>Private unincorporated businesses</w:t>
      </w:r>
    </w:p>
    <w:p w14:paraId="5856B731" w14:textId="77777777" w:rsidR="001D6161" w:rsidRPr="001D6161" w:rsidRDefault="001D6161" w:rsidP="00142495">
      <w:pPr>
        <w:spacing w:after="240"/>
        <w:jc w:val="both"/>
        <w:rPr>
          <w:sz w:val="24"/>
          <w:szCs w:val="24"/>
        </w:rPr>
      </w:pPr>
      <w:r w:rsidRPr="001D6161">
        <w:rPr>
          <w:sz w:val="24"/>
          <w:szCs w:val="24"/>
        </w:rPr>
        <w:t xml:space="preserve">The counterparty is a Private Unincorporated Business, being any enterprise issued with an Australian Business Number that is not a body corporate, as defined in the </w:t>
      </w:r>
      <w:r w:rsidRPr="001D6161">
        <w:rPr>
          <w:i/>
          <w:sz w:val="24"/>
          <w:szCs w:val="24"/>
        </w:rPr>
        <w:t>Corporations Act 2001</w:t>
      </w:r>
      <w:r w:rsidRPr="001D6161">
        <w:rPr>
          <w:sz w:val="24"/>
          <w:szCs w:val="24"/>
        </w:rPr>
        <w:t>.</w:t>
      </w:r>
    </w:p>
    <w:p w14:paraId="11BEAB85" w14:textId="77777777" w:rsidR="001D6161" w:rsidRPr="001D6161" w:rsidRDefault="001D6161" w:rsidP="00142495">
      <w:pPr>
        <w:keepNext/>
        <w:numPr>
          <w:ilvl w:val="1"/>
          <w:numId w:val="31"/>
        </w:numPr>
        <w:spacing w:after="240"/>
        <w:ind w:left="851" w:hanging="851"/>
        <w:jc w:val="both"/>
        <w:rPr>
          <w:rFonts w:ascii="Arial" w:hAnsi="Arial" w:cs="Arial"/>
          <w:b/>
          <w:sz w:val="24"/>
          <w:szCs w:val="24"/>
        </w:rPr>
      </w:pPr>
      <w:r w:rsidRPr="001D6161">
        <w:rPr>
          <w:rFonts w:ascii="Arial" w:hAnsi="Arial" w:cs="Arial"/>
          <w:b/>
          <w:sz w:val="24"/>
          <w:szCs w:val="24"/>
        </w:rPr>
        <w:t>Private trading corporations</w:t>
      </w:r>
    </w:p>
    <w:p w14:paraId="5AC6C330" w14:textId="7F298ED8" w:rsidR="001D6161" w:rsidRPr="001D6161" w:rsidRDefault="001D6161" w:rsidP="00142495">
      <w:pPr>
        <w:spacing w:after="240"/>
        <w:jc w:val="both"/>
        <w:rPr>
          <w:sz w:val="24"/>
          <w:szCs w:val="24"/>
        </w:rPr>
      </w:pPr>
      <w:r w:rsidRPr="001D6161">
        <w:rPr>
          <w:sz w:val="24"/>
          <w:szCs w:val="24"/>
        </w:rPr>
        <w:t>Refer to the definition of Item 2.6 in Section 1.</w:t>
      </w:r>
    </w:p>
    <w:p w14:paraId="163AF948" w14:textId="77777777" w:rsidR="001D6161" w:rsidRPr="001D6161" w:rsidRDefault="001D6161" w:rsidP="00142495">
      <w:pPr>
        <w:keepNext/>
        <w:numPr>
          <w:ilvl w:val="1"/>
          <w:numId w:val="31"/>
        </w:numPr>
        <w:spacing w:after="240"/>
        <w:ind w:left="851" w:hanging="851"/>
        <w:jc w:val="both"/>
        <w:rPr>
          <w:rFonts w:ascii="Arial" w:hAnsi="Arial" w:cs="Arial"/>
          <w:b/>
          <w:sz w:val="24"/>
          <w:szCs w:val="24"/>
        </w:rPr>
      </w:pPr>
      <w:r w:rsidRPr="001D6161">
        <w:rPr>
          <w:rFonts w:ascii="Arial" w:hAnsi="Arial" w:cs="Arial"/>
          <w:b/>
          <w:sz w:val="24"/>
          <w:szCs w:val="24"/>
        </w:rPr>
        <w:t>Other</w:t>
      </w:r>
    </w:p>
    <w:p w14:paraId="6F7A07C2" w14:textId="77777777" w:rsidR="001D6161" w:rsidRPr="001D6161" w:rsidRDefault="001D6161" w:rsidP="00F10D79">
      <w:pPr>
        <w:spacing w:after="240"/>
        <w:jc w:val="both"/>
        <w:rPr>
          <w:sz w:val="24"/>
          <w:szCs w:val="24"/>
        </w:rPr>
      </w:pPr>
      <w:r w:rsidRPr="001D6161">
        <w:rPr>
          <w:sz w:val="24"/>
          <w:szCs w:val="24"/>
        </w:rPr>
        <w:t xml:space="preserve">The counterparty is any other counterparty not specifically listed in Item 1 in Section 4. </w:t>
      </w:r>
    </w:p>
    <w:p w14:paraId="37889E0E" w14:textId="77777777" w:rsidR="001D6161" w:rsidRPr="001D6161" w:rsidRDefault="001D6161" w:rsidP="00F10D79">
      <w:pPr>
        <w:spacing w:after="240"/>
        <w:jc w:val="both"/>
        <w:rPr>
          <w:sz w:val="24"/>
          <w:szCs w:val="24"/>
        </w:rPr>
      </w:pPr>
      <w:r w:rsidRPr="001D6161">
        <w:rPr>
          <w:sz w:val="24"/>
          <w:szCs w:val="24"/>
        </w:rPr>
        <w:lastRenderedPageBreak/>
        <w:t>It is automatically calculated as Item 1.5 less the sum of Items 1.1 to 1.3.</w:t>
      </w:r>
    </w:p>
    <w:p w14:paraId="0F244D3D" w14:textId="77777777" w:rsidR="001D6161" w:rsidRPr="001D6161" w:rsidRDefault="001D6161" w:rsidP="00142495">
      <w:pPr>
        <w:keepNext/>
        <w:numPr>
          <w:ilvl w:val="1"/>
          <w:numId w:val="31"/>
        </w:numPr>
        <w:spacing w:after="240"/>
        <w:ind w:left="851" w:hanging="851"/>
        <w:jc w:val="both"/>
        <w:rPr>
          <w:rFonts w:ascii="Arial" w:hAnsi="Arial" w:cs="Arial"/>
          <w:b/>
          <w:sz w:val="24"/>
          <w:szCs w:val="24"/>
        </w:rPr>
      </w:pPr>
      <w:r w:rsidRPr="001D6161">
        <w:rPr>
          <w:rFonts w:ascii="Arial" w:hAnsi="Arial" w:cs="Arial"/>
          <w:b/>
          <w:sz w:val="24"/>
          <w:szCs w:val="24"/>
        </w:rPr>
        <w:t>Total loans and advances</w:t>
      </w:r>
    </w:p>
    <w:p w14:paraId="7EB3E1F1" w14:textId="77777777" w:rsidR="001D6161" w:rsidRPr="001D6161" w:rsidRDefault="001D6161" w:rsidP="00F10D79">
      <w:pPr>
        <w:spacing w:after="240"/>
        <w:jc w:val="both"/>
        <w:rPr>
          <w:sz w:val="24"/>
          <w:szCs w:val="24"/>
        </w:rPr>
      </w:pPr>
      <w:r w:rsidRPr="001D6161">
        <w:rPr>
          <w:sz w:val="24"/>
          <w:szCs w:val="24"/>
        </w:rPr>
        <w:t xml:space="preserve">This is, as at the relevant date, the principal amount of loans and advances provided, including any accrued interest. Loans and advances are those financial assets categorised as ‘Loans and receivables’ in the Australian Accounting Standards other than ‘Trade </w:t>
      </w:r>
      <w:proofErr w:type="gramStart"/>
      <w:r w:rsidRPr="001D6161">
        <w:rPr>
          <w:sz w:val="24"/>
          <w:szCs w:val="24"/>
        </w:rPr>
        <w:t>receivables’</w:t>
      </w:r>
      <w:proofErr w:type="gramEnd"/>
      <w:r w:rsidRPr="001D6161">
        <w:rPr>
          <w:sz w:val="24"/>
          <w:szCs w:val="24"/>
        </w:rPr>
        <w:t xml:space="preserve"> and ‘Cash’.</w:t>
      </w:r>
    </w:p>
    <w:p w14:paraId="55EFD103" w14:textId="44C42791" w:rsidR="001D6161" w:rsidRPr="001D6161" w:rsidRDefault="001D6161" w:rsidP="00142495">
      <w:pPr>
        <w:keepNext/>
        <w:numPr>
          <w:ilvl w:val="0"/>
          <w:numId w:val="18"/>
        </w:numPr>
        <w:spacing w:after="240"/>
        <w:ind w:left="851" w:hanging="851"/>
        <w:jc w:val="both"/>
        <w:rPr>
          <w:rFonts w:ascii="Arial" w:hAnsi="Arial" w:cs="Arial"/>
          <w:b/>
          <w:sz w:val="24"/>
          <w:szCs w:val="24"/>
        </w:rPr>
      </w:pPr>
      <w:r w:rsidRPr="001D6161">
        <w:rPr>
          <w:rFonts w:ascii="Arial" w:hAnsi="Arial" w:cs="Arial"/>
          <w:b/>
          <w:sz w:val="24"/>
          <w:szCs w:val="24"/>
        </w:rPr>
        <w:t>Are contracted at fixed rates</w:t>
      </w:r>
    </w:p>
    <w:p w14:paraId="6C3240AC" w14:textId="77777777" w:rsidR="001D6161" w:rsidRPr="001D6161" w:rsidRDefault="001D6161" w:rsidP="00142495">
      <w:pPr>
        <w:spacing w:after="240"/>
        <w:jc w:val="both"/>
        <w:rPr>
          <w:sz w:val="24"/>
          <w:szCs w:val="24"/>
        </w:rPr>
      </w:pPr>
      <w:r w:rsidRPr="001D6161">
        <w:rPr>
          <w:sz w:val="24"/>
          <w:szCs w:val="24"/>
        </w:rPr>
        <w:t xml:space="preserve">This relates to loans and advances that have been funded at fixed interest rates, </w:t>
      </w:r>
      <w:proofErr w:type="gramStart"/>
      <w:r w:rsidRPr="001D6161">
        <w:rPr>
          <w:sz w:val="24"/>
          <w:szCs w:val="24"/>
        </w:rPr>
        <w:t>i.e.</w:t>
      </w:r>
      <w:proofErr w:type="gramEnd"/>
      <w:r w:rsidRPr="001D6161">
        <w:rPr>
          <w:sz w:val="24"/>
          <w:szCs w:val="24"/>
        </w:rPr>
        <w:t xml:space="preserve"> interest rates that do not fluctuate over the term, or life of the agreement.</w:t>
      </w:r>
    </w:p>
    <w:p w14:paraId="5EE7E57E"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Are contracted on a variable rate basis</w:t>
      </w:r>
    </w:p>
    <w:p w14:paraId="015BF8E8" w14:textId="77777777" w:rsidR="001D6161" w:rsidRPr="001D6161" w:rsidRDefault="001D6161" w:rsidP="00142495">
      <w:pPr>
        <w:spacing w:after="240"/>
        <w:jc w:val="both"/>
        <w:rPr>
          <w:sz w:val="24"/>
          <w:szCs w:val="24"/>
        </w:rPr>
      </w:pPr>
      <w:r w:rsidRPr="001D6161">
        <w:rPr>
          <w:sz w:val="24"/>
          <w:szCs w:val="24"/>
        </w:rPr>
        <w:t>This relates to loans and advances that have been funded on a variable rate basis. Variable rates are interest rates that fluctuate over the term, or life, of the agreement, causing changes in either the payments or length of the loan term.</w:t>
      </w:r>
    </w:p>
    <w:p w14:paraId="40687F7F"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Are contracted on an unsecured basis</w:t>
      </w:r>
    </w:p>
    <w:p w14:paraId="03F01338" w14:textId="77777777" w:rsidR="001D6161" w:rsidRPr="001D6161" w:rsidRDefault="001D6161" w:rsidP="00142495">
      <w:pPr>
        <w:spacing w:after="240"/>
        <w:jc w:val="both"/>
        <w:rPr>
          <w:sz w:val="24"/>
          <w:szCs w:val="24"/>
        </w:rPr>
      </w:pPr>
      <w:r w:rsidRPr="001D6161">
        <w:rPr>
          <w:sz w:val="24"/>
          <w:szCs w:val="24"/>
        </w:rPr>
        <w:t>This relates to loans and advances where assets have not been pledged to satisfy the repayment of a debt in the case of default by the borrower.</w:t>
      </w:r>
    </w:p>
    <w:p w14:paraId="2C1DEF63"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Repayment is past due date 90 days or more but &lt; 1 year</w:t>
      </w:r>
    </w:p>
    <w:p w14:paraId="13756A9B" w14:textId="77777777" w:rsidR="001D6161" w:rsidRPr="001D6161" w:rsidRDefault="001D6161" w:rsidP="00142495">
      <w:pPr>
        <w:spacing w:after="240"/>
        <w:jc w:val="both"/>
        <w:rPr>
          <w:sz w:val="24"/>
          <w:szCs w:val="24"/>
        </w:rPr>
      </w:pPr>
      <w:r w:rsidRPr="001D6161">
        <w:rPr>
          <w:sz w:val="24"/>
          <w:szCs w:val="24"/>
        </w:rPr>
        <w:t>This relates to loans and advances where the following criteria are met:</w:t>
      </w:r>
    </w:p>
    <w:p w14:paraId="1A877448" w14:textId="77777777" w:rsidR="001D6161" w:rsidRPr="001D6161" w:rsidRDefault="001D6161" w:rsidP="00142495">
      <w:pPr>
        <w:numPr>
          <w:ilvl w:val="0"/>
          <w:numId w:val="19"/>
        </w:numPr>
        <w:spacing w:after="240"/>
        <w:ind w:left="567" w:hanging="567"/>
        <w:jc w:val="both"/>
        <w:rPr>
          <w:sz w:val="24"/>
          <w:szCs w:val="24"/>
        </w:rPr>
      </w:pPr>
      <w:r w:rsidRPr="001D6161">
        <w:rPr>
          <w:sz w:val="24"/>
          <w:szCs w:val="24"/>
        </w:rPr>
        <w:t xml:space="preserve">the facility is not subject to a regular repayment schedule and has remained continuously outside contractual or approved arrangements for a period of 90 days or more but less than 1 </w:t>
      </w:r>
      <w:proofErr w:type="gramStart"/>
      <w:r w:rsidRPr="001D6161">
        <w:rPr>
          <w:sz w:val="24"/>
          <w:szCs w:val="24"/>
        </w:rPr>
        <w:t>year;</w:t>
      </w:r>
      <w:proofErr w:type="gramEnd"/>
      <w:r w:rsidRPr="001D6161">
        <w:rPr>
          <w:sz w:val="24"/>
          <w:szCs w:val="24"/>
        </w:rPr>
        <w:t xml:space="preserve"> or</w:t>
      </w:r>
    </w:p>
    <w:p w14:paraId="5984BBEE" w14:textId="77777777" w:rsidR="001D6161" w:rsidRPr="001D6161" w:rsidRDefault="001D6161" w:rsidP="00142495">
      <w:pPr>
        <w:numPr>
          <w:ilvl w:val="0"/>
          <w:numId w:val="19"/>
        </w:numPr>
        <w:spacing w:after="240"/>
        <w:ind w:left="567" w:hanging="567"/>
        <w:jc w:val="both"/>
        <w:rPr>
          <w:sz w:val="24"/>
          <w:szCs w:val="24"/>
        </w:rPr>
      </w:pPr>
      <w:r w:rsidRPr="001D6161">
        <w:rPr>
          <w:sz w:val="24"/>
          <w:szCs w:val="24"/>
        </w:rPr>
        <w:t>the facility is subject to a regular repayment schedule and:</w:t>
      </w:r>
    </w:p>
    <w:p w14:paraId="542A8821" w14:textId="77777777" w:rsidR="001D6161" w:rsidRPr="001D6161" w:rsidRDefault="001D6161" w:rsidP="00142495">
      <w:pPr>
        <w:numPr>
          <w:ilvl w:val="1"/>
          <w:numId w:val="19"/>
        </w:numPr>
        <w:spacing w:after="240"/>
        <w:ind w:left="1134" w:hanging="567"/>
        <w:jc w:val="both"/>
        <w:rPr>
          <w:sz w:val="24"/>
          <w:szCs w:val="24"/>
        </w:rPr>
      </w:pPr>
      <w:r w:rsidRPr="001D6161">
        <w:rPr>
          <w:sz w:val="24"/>
          <w:szCs w:val="24"/>
        </w:rPr>
        <w:t xml:space="preserve">at least 90 calendar days but not more than 1 year has elapsed since the due date of a contractual payment that has not been met in </w:t>
      </w:r>
      <w:proofErr w:type="gramStart"/>
      <w:r w:rsidRPr="001D6161">
        <w:rPr>
          <w:sz w:val="24"/>
          <w:szCs w:val="24"/>
        </w:rPr>
        <w:t>full;</w:t>
      </w:r>
      <w:proofErr w:type="gramEnd"/>
      <w:r w:rsidRPr="001D6161">
        <w:rPr>
          <w:sz w:val="24"/>
          <w:szCs w:val="24"/>
        </w:rPr>
        <w:t xml:space="preserve"> and</w:t>
      </w:r>
    </w:p>
    <w:p w14:paraId="7EB53EB0" w14:textId="77777777" w:rsidR="001D6161" w:rsidRPr="001D6161" w:rsidRDefault="001D6161" w:rsidP="00142495">
      <w:pPr>
        <w:numPr>
          <w:ilvl w:val="1"/>
          <w:numId w:val="19"/>
        </w:numPr>
        <w:spacing w:after="240"/>
        <w:ind w:left="1134" w:hanging="567"/>
        <w:jc w:val="both"/>
        <w:rPr>
          <w:sz w:val="24"/>
          <w:szCs w:val="24"/>
        </w:rPr>
      </w:pPr>
      <w:r w:rsidRPr="001D6161">
        <w:rPr>
          <w:sz w:val="24"/>
          <w:szCs w:val="24"/>
        </w:rPr>
        <w:t xml:space="preserve">the total amount outside contractual arrangements is equivalent to at least 90 days', but not more than 1 </w:t>
      </w:r>
      <w:proofErr w:type="spellStart"/>
      <w:r w:rsidRPr="001D6161">
        <w:rPr>
          <w:sz w:val="24"/>
          <w:szCs w:val="24"/>
        </w:rPr>
        <w:t>year's</w:t>
      </w:r>
      <w:proofErr w:type="spellEnd"/>
      <w:r w:rsidRPr="001D6161">
        <w:rPr>
          <w:sz w:val="24"/>
          <w:szCs w:val="24"/>
        </w:rPr>
        <w:t>, worth of contractual payments.</w:t>
      </w:r>
    </w:p>
    <w:p w14:paraId="0A32EAF0" w14:textId="7712FB5C"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Repayment is past due date 1 year or more</w:t>
      </w:r>
    </w:p>
    <w:p w14:paraId="5E6BBC8C" w14:textId="77777777" w:rsidR="001D6161" w:rsidRPr="001D6161" w:rsidRDefault="001D6161" w:rsidP="00142495">
      <w:pPr>
        <w:spacing w:after="240"/>
        <w:jc w:val="both"/>
        <w:rPr>
          <w:sz w:val="24"/>
          <w:szCs w:val="24"/>
        </w:rPr>
      </w:pPr>
      <w:r w:rsidRPr="001D6161">
        <w:rPr>
          <w:sz w:val="24"/>
          <w:szCs w:val="24"/>
        </w:rPr>
        <w:t>This relates to relates to loans and advances where the following criteria are met:</w:t>
      </w:r>
    </w:p>
    <w:p w14:paraId="662D2C03" w14:textId="77777777" w:rsidR="001D6161" w:rsidRPr="001D6161" w:rsidRDefault="001D6161" w:rsidP="00142495">
      <w:pPr>
        <w:numPr>
          <w:ilvl w:val="0"/>
          <w:numId w:val="20"/>
        </w:numPr>
        <w:spacing w:after="240"/>
        <w:ind w:left="567" w:hanging="567"/>
        <w:jc w:val="both"/>
        <w:rPr>
          <w:sz w:val="24"/>
          <w:szCs w:val="24"/>
        </w:rPr>
      </w:pPr>
      <w:r w:rsidRPr="001D6161">
        <w:rPr>
          <w:sz w:val="24"/>
          <w:szCs w:val="24"/>
        </w:rPr>
        <w:t xml:space="preserve">the facility is not subject to a regular repayment schedule and has remained continuously outside contractual or approved arrangements for a period of 365 days or </w:t>
      </w:r>
      <w:proofErr w:type="gramStart"/>
      <w:r w:rsidRPr="001D6161">
        <w:rPr>
          <w:sz w:val="24"/>
          <w:szCs w:val="24"/>
        </w:rPr>
        <w:t>more;</w:t>
      </w:r>
      <w:proofErr w:type="gramEnd"/>
      <w:r w:rsidRPr="001D6161">
        <w:rPr>
          <w:sz w:val="24"/>
          <w:szCs w:val="24"/>
        </w:rPr>
        <w:t xml:space="preserve"> or</w:t>
      </w:r>
    </w:p>
    <w:p w14:paraId="6DFE512B" w14:textId="77777777" w:rsidR="001D6161" w:rsidRPr="001D6161" w:rsidRDefault="001D6161" w:rsidP="00142495">
      <w:pPr>
        <w:numPr>
          <w:ilvl w:val="0"/>
          <w:numId w:val="20"/>
        </w:numPr>
        <w:spacing w:after="240"/>
        <w:ind w:left="567" w:hanging="567"/>
        <w:jc w:val="both"/>
        <w:rPr>
          <w:sz w:val="24"/>
          <w:szCs w:val="24"/>
        </w:rPr>
      </w:pPr>
      <w:r w:rsidRPr="001D6161">
        <w:rPr>
          <w:sz w:val="24"/>
          <w:szCs w:val="24"/>
        </w:rPr>
        <w:t>the facility is subject to a regular repayment schedule and:</w:t>
      </w:r>
    </w:p>
    <w:p w14:paraId="507CD5E8" w14:textId="77777777" w:rsidR="001D6161" w:rsidRPr="001D6161" w:rsidRDefault="001D6161" w:rsidP="00142495">
      <w:pPr>
        <w:numPr>
          <w:ilvl w:val="1"/>
          <w:numId w:val="20"/>
        </w:numPr>
        <w:spacing w:after="240"/>
        <w:ind w:left="1134" w:hanging="567"/>
        <w:jc w:val="both"/>
        <w:rPr>
          <w:sz w:val="24"/>
          <w:szCs w:val="24"/>
        </w:rPr>
      </w:pPr>
      <w:r w:rsidRPr="001D6161">
        <w:rPr>
          <w:sz w:val="24"/>
          <w:szCs w:val="24"/>
        </w:rPr>
        <w:t xml:space="preserve">at least 365 calendar days have elapsed since the due date of a contractual payment that has not been met in </w:t>
      </w:r>
      <w:proofErr w:type="gramStart"/>
      <w:r w:rsidRPr="001D6161">
        <w:rPr>
          <w:sz w:val="24"/>
          <w:szCs w:val="24"/>
        </w:rPr>
        <w:t>full;</w:t>
      </w:r>
      <w:proofErr w:type="gramEnd"/>
      <w:r w:rsidRPr="001D6161">
        <w:rPr>
          <w:sz w:val="24"/>
          <w:szCs w:val="24"/>
        </w:rPr>
        <w:t xml:space="preserve"> and</w:t>
      </w:r>
    </w:p>
    <w:p w14:paraId="602705B6" w14:textId="77777777" w:rsidR="001D6161" w:rsidRPr="001D6161" w:rsidRDefault="001D6161" w:rsidP="00142495">
      <w:pPr>
        <w:numPr>
          <w:ilvl w:val="1"/>
          <w:numId w:val="20"/>
        </w:numPr>
        <w:spacing w:after="240"/>
        <w:ind w:left="1134" w:hanging="567"/>
        <w:jc w:val="both"/>
        <w:rPr>
          <w:sz w:val="24"/>
          <w:szCs w:val="24"/>
        </w:rPr>
      </w:pPr>
      <w:r w:rsidRPr="001D6161">
        <w:rPr>
          <w:sz w:val="24"/>
          <w:szCs w:val="24"/>
        </w:rPr>
        <w:lastRenderedPageBreak/>
        <w:t>the total amount outside contractual arrangements is equivalent to at least 365 days' worth of contractual payments.</w:t>
      </w:r>
    </w:p>
    <w:p w14:paraId="54130E8D"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Constitute premium funding business</w:t>
      </w:r>
    </w:p>
    <w:p w14:paraId="7A222597" w14:textId="77777777" w:rsidR="001D6161" w:rsidRPr="001D6161" w:rsidRDefault="001D6161" w:rsidP="00142495">
      <w:pPr>
        <w:spacing w:after="240"/>
        <w:jc w:val="both"/>
        <w:rPr>
          <w:sz w:val="24"/>
          <w:szCs w:val="24"/>
        </w:rPr>
      </w:pPr>
      <w:r w:rsidRPr="001D6161">
        <w:rPr>
          <w:sz w:val="24"/>
          <w:szCs w:val="24"/>
        </w:rPr>
        <w:t xml:space="preserve">This relates to loans and advances provided to an insured for the purposes of funding their premium. </w:t>
      </w:r>
    </w:p>
    <w:p w14:paraId="0B09010D"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Parent or related party not on commercial terms</w:t>
      </w:r>
    </w:p>
    <w:p w14:paraId="737A187A" w14:textId="44222F97" w:rsidR="001D6161" w:rsidRPr="001D6161" w:rsidRDefault="001D6161" w:rsidP="00142495">
      <w:pPr>
        <w:spacing w:after="240"/>
        <w:jc w:val="both"/>
        <w:rPr>
          <w:sz w:val="24"/>
          <w:szCs w:val="24"/>
        </w:rPr>
      </w:pPr>
      <w:r w:rsidRPr="001D6161">
        <w:rPr>
          <w:sz w:val="24"/>
          <w:szCs w:val="24"/>
        </w:rPr>
        <w:t>This relates to loans and advances issued to the parent or a related party of the reporting insurer which have not been established on a commercial, arm's length basis. Arm's length is as per the Australian Accounting Standards.</w:t>
      </w:r>
    </w:p>
    <w:p w14:paraId="2E09E879"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Directors of the reporting insurer or related bodies corporate (or a director’s spouse)</w:t>
      </w:r>
    </w:p>
    <w:p w14:paraId="4D283004" w14:textId="0D4D539A" w:rsidR="001D6161" w:rsidRPr="001D6161" w:rsidRDefault="001D6161" w:rsidP="00142495">
      <w:pPr>
        <w:spacing w:after="240"/>
        <w:jc w:val="both"/>
        <w:rPr>
          <w:sz w:val="24"/>
          <w:szCs w:val="24"/>
        </w:rPr>
      </w:pPr>
      <w:r w:rsidRPr="001D6161">
        <w:rPr>
          <w:sz w:val="24"/>
          <w:szCs w:val="24"/>
        </w:rPr>
        <w:t>This relates to loans and advances issued to a director of the reporting insurer, a director of any party related to the reporting insurer, or a spouse of these directors. Related party is determined in accordance with Australian Accounting Standards.</w:t>
      </w:r>
    </w:p>
    <w:p w14:paraId="19C6DCED"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Insurance brokers</w:t>
      </w:r>
    </w:p>
    <w:p w14:paraId="7D1630E8" w14:textId="355864A9" w:rsidR="001D6161" w:rsidRPr="001D6161" w:rsidRDefault="001D6161" w:rsidP="00142495">
      <w:pPr>
        <w:spacing w:after="240"/>
        <w:jc w:val="both"/>
        <w:rPr>
          <w:sz w:val="24"/>
          <w:szCs w:val="24"/>
        </w:rPr>
      </w:pPr>
      <w:r w:rsidRPr="001D6161">
        <w:rPr>
          <w:sz w:val="24"/>
          <w:szCs w:val="24"/>
        </w:rPr>
        <w:t>This relates to loans and advances issued to insurance brokers.</w:t>
      </w:r>
    </w:p>
    <w:p w14:paraId="575F390E" w14:textId="05FB1BD3"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General insurance companies</w:t>
      </w:r>
    </w:p>
    <w:p w14:paraId="7B1CA2D4" w14:textId="767D11DE" w:rsidR="001D6161" w:rsidRPr="001D6161" w:rsidRDefault="001D6161" w:rsidP="00142495">
      <w:pPr>
        <w:spacing w:after="240"/>
        <w:jc w:val="both"/>
        <w:rPr>
          <w:sz w:val="24"/>
          <w:szCs w:val="24"/>
        </w:rPr>
      </w:pPr>
      <w:r w:rsidRPr="001D6161">
        <w:rPr>
          <w:sz w:val="24"/>
          <w:szCs w:val="24"/>
        </w:rPr>
        <w:t xml:space="preserve">This relates to loans and advances issued to a General Insurer, being a body corporate that is authorised under section 12 of the </w:t>
      </w:r>
      <w:r w:rsidRPr="001D6161">
        <w:rPr>
          <w:i/>
          <w:sz w:val="24"/>
          <w:szCs w:val="24"/>
        </w:rPr>
        <w:t>Insurance Act 1973</w:t>
      </w:r>
      <w:r w:rsidRPr="001D6161">
        <w:rPr>
          <w:sz w:val="24"/>
          <w:szCs w:val="24"/>
        </w:rPr>
        <w:t xml:space="preserve"> to carry on insurance business in Australia. This may include loans and advances to subsidiaries of the reporting insurer that are licensed general insurance entities.</w:t>
      </w:r>
    </w:p>
    <w:p w14:paraId="149F8991"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Unsecured loans to employees (&gt; $1,000 individually)</w:t>
      </w:r>
    </w:p>
    <w:p w14:paraId="476D3E8A" w14:textId="3DFC25D5" w:rsidR="001D6161" w:rsidRPr="001D6161" w:rsidRDefault="001D6161" w:rsidP="00142495">
      <w:pPr>
        <w:spacing w:after="240"/>
        <w:jc w:val="both"/>
        <w:rPr>
          <w:sz w:val="24"/>
          <w:szCs w:val="24"/>
        </w:rPr>
      </w:pPr>
      <w:r w:rsidRPr="001D6161">
        <w:rPr>
          <w:sz w:val="24"/>
          <w:szCs w:val="24"/>
        </w:rPr>
        <w:t>This relates to unsecured loans and advances issued to employees of the reporting insurer that are individually greater than $1,000.</w:t>
      </w:r>
    </w:p>
    <w:p w14:paraId="45051D2F"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Section 5: Holdings in indirect investment vehicles</w:t>
      </w:r>
    </w:p>
    <w:p w14:paraId="703D60E0" w14:textId="7EB6FBE6" w:rsidR="001D6161" w:rsidRPr="001D6161" w:rsidRDefault="001D6161" w:rsidP="00142495">
      <w:pPr>
        <w:keepNext/>
        <w:numPr>
          <w:ilvl w:val="0"/>
          <w:numId w:val="25"/>
        </w:numPr>
        <w:spacing w:after="240"/>
        <w:jc w:val="both"/>
        <w:rPr>
          <w:rFonts w:ascii="Arial" w:hAnsi="Arial" w:cs="Arial"/>
          <w:b/>
          <w:sz w:val="24"/>
          <w:szCs w:val="24"/>
        </w:rPr>
      </w:pPr>
      <w:r w:rsidRPr="001D6161">
        <w:rPr>
          <w:rFonts w:ascii="Arial" w:hAnsi="Arial" w:cs="Arial"/>
          <w:b/>
          <w:sz w:val="24"/>
          <w:szCs w:val="24"/>
        </w:rPr>
        <w:t>Total holdings in indirect investment vehicles</w:t>
      </w:r>
    </w:p>
    <w:p w14:paraId="7DBA522E" w14:textId="77777777" w:rsidR="001D6161" w:rsidRPr="001D6161" w:rsidRDefault="001D6161" w:rsidP="00142495">
      <w:pPr>
        <w:spacing w:after="240"/>
        <w:jc w:val="both"/>
        <w:rPr>
          <w:sz w:val="24"/>
          <w:szCs w:val="24"/>
        </w:rPr>
      </w:pPr>
      <w:r w:rsidRPr="001D6161">
        <w:rPr>
          <w:sz w:val="24"/>
          <w:szCs w:val="24"/>
        </w:rPr>
        <w:t>This is the value, as at the relevant date, of the net assets of unit trusts or managed investment schemes invested in by the reporting insurer, or mandates individually managed on behalf of the reporting insurer. Include holdings in the following: individually managed mandates; units in wholesale trusts; units in retail / public offer unit trusts; managed investment schemes; and cash management trusts.</w:t>
      </w:r>
    </w:p>
    <w:p w14:paraId="6FEFA29F" w14:textId="77777777" w:rsidR="001D6161" w:rsidRPr="001D6161" w:rsidRDefault="001D6161" w:rsidP="00142495">
      <w:pPr>
        <w:spacing w:after="240"/>
        <w:jc w:val="both"/>
        <w:rPr>
          <w:sz w:val="24"/>
          <w:szCs w:val="24"/>
        </w:rPr>
      </w:pPr>
      <w:r w:rsidRPr="001D6161">
        <w:rPr>
          <w:sz w:val="24"/>
          <w:szCs w:val="24"/>
        </w:rPr>
        <w:t>It is automatically calculated as the sum of Items 1.1 to 1.3 in Section 5.</w:t>
      </w:r>
    </w:p>
    <w:p w14:paraId="573EADF7" w14:textId="77777777"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lastRenderedPageBreak/>
        <w:t>Listed investment vehicles (excluding CMT)</w:t>
      </w:r>
    </w:p>
    <w:p w14:paraId="1AA4AE7B" w14:textId="77777777" w:rsidR="001D6161" w:rsidRPr="001D6161" w:rsidRDefault="001D6161" w:rsidP="00142495">
      <w:pPr>
        <w:spacing w:after="240"/>
        <w:jc w:val="both"/>
        <w:rPr>
          <w:sz w:val="24"/>
          <w:szCs w:val="24"/>
        </w:rPr>
      </w:pPr>
      <w:r w:rsidRPr="001D6161">
        <w:rPr>
          <w:sz w:val="24"/>
          <w:szCs w:val="24"/>
        </w:rPr>
        <w:t>The is the aggregate value of holdings that constitute investments in investment vehicles that are listed on a recognised exchange, not including holdings in cash management trusts.</w:t>
      </w:r>
    </w:p>
    <w:p w14:paraId="3AC65EAE" w14:textId="77777777"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t>Unlisted investment vehicles (excluding CMT)</w:t>
      </w:r>
    </w:p>
    <w:p w14:paraId="672B0350" w14:textId="77777777" w:rsidR="001D6161" w:rsidRPr="001D6161" w:rsidRDefault="001D6161" w:rsidP="00142495">
      <w:pPr>
        <w:spacing w:after="240"/>
        <w:jc w:val="both"/>
        <w:rPr>
          <w:sz w:val="24"/>
          <w:szCs w:val="24"/>
        </w:rPr>
      </w:pPr>
      <w:r w:rsidRPr="001D6161">
        <w:rPr>
          <w:sz w:val="24"/>
          <w:szCs w:val="24"/>
        </w:rPr>
        <w:t>The is the aggregate value of holdings that constitute investments in investment vehicles that are not listed on a recognised exchange, not including holdings in cash management trusts.</w:t>
      </w:r>
    </w:p>
    <w:p w14:paraId="782B068D" w14:textId="77777777"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t>Cash management trusts</w:t>
      </w:r>
    </w:p>
    <w:p w14:paraId="25A73E0B" w14:textId="77777777" w:rsidR="001D6161" w:rsidRPr="001D6161" w:rsidRDefault="001D6161" w:rsidP="00142495">
      <w:pPr>
        <w:spacing w:after="240"/>
        <w:jc w:val="both"/>
        <w:rPr>
          <w:sz w:val="24"/>
          <w:szCs w:val="24"/>
        </w:rPr>
      </w:pPr>
      <w:r w:rsidRPr="001D6161">
        <w:rPr>
          <w:sz w:val="24"/>
          <w:szCs w:val="24"/>
        </w:rPr>
        <w:t>A cash management trust is a type of collective investment that enables investors to purchase an interest in primarily short-dated securities (</w:t>
      </w:r>
      <w:proofErr w:type="gramStart"/>
      <w:r w:rsidRPr="001D6161">
        <w:rPr>
          <w:sz w:val="24"/>
          <w:szCs w:val="24"/>
        </w:rPr>
        <w:t>e.g.</w:t>
      </w:r>
      <w:proofErr w:type="gramEnd"/>
      <w:r w:rsidRPr="001D6161">
        <w:rPr>
          <w:sz w:val="24"/>
          <w:szCs w:val="24"/>
        </w:rPr>
        <w:t xml:space="preserve"> treasury notes and bank bills).</w:t>
      </w:r>
    </w:p>
    <w:p w14:paraId="1C03F85A" w14:textId="3B64449D"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t>Cash</w:t>
      </w:r>
    </w:p>
    <w:p w14:paraId="5F5B4BB1" w14:textId="38B6D744" w:rsidR="001D6161" w:rsidRPr="001D6161" w:rsidRDefault="001D6161" w:rsidP="00142495">
      <w:pPr>
        <w:spacing w:after="240"/>
        <w:jc w:val="both"/>
        <w:rPr>
          <w:sz w:val="24"/>
          <w:szCs w:val="24"/>
        </w:rPr>
      </w:pPr>
      <w:r w:rsidRPr="001D6161">
        <w:rPr>
          <w:sz w:val="24"/>
          <w:szCs w:val="24"/>
        </w:rPr>
        <w:t>This is the value of holdings in indirect investment vehicles where the underlying market exposure is to cash.</w:t>
      </w:r>
    </w:p>
    <w:p w14:paraId="4C73AB94" w14:textId="26F87D2D"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t>Fixed interest</w:t>
      </w:r>
    </w:p>
    <w:p w14:paraId="0C8A2449" w14:textId="77777777" w:rsidR="001D6161" w:rsidRPr="001D6161" w:rsidRDefault="001D6161" w:rsidP="00142495">
      <w:pPr>
        <w:spacing w:after="240"/>
        <w:jc w:val="both"/>
        <w:rPr>
          <w:sz w:val="24"/>
          <w:szCs w:val="24"/>
        </w:rPr>
      </w:pPr>
      <w:r w:rsidRPr="001D6161">
        <w:rPr>
          <w:sz w:val="24"/>
          <w:szCs w:val="24"/>
        </w:rPr>
        <w:t>This is the value of holdings in indirect investment vehicles where the underlying market exposure is to fixed interest assets.</w:t>
      </w:r>
    </w:p>
    <w:p w14:paraId="2A9EBDFE" w14:textId="77777777"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t>Equities</w:t>
      </w:r>
    </w:p>
    <w:p w14:paraId="26EB78F7" w14:textId="77777777" w:rsidR="001D6161" w:rsidRPr="001D6161" w:rsidRDefault="001D6161" w:rsidP="00142495">
      <w:pPr>
        <w:spacing w:after="240"/>
        <w:jc w:val="both"/>
        <w:rPr>
          <w:sz w:val="24"/>
          <w:szCs w:val="24"/>
        </w:rPr>
      </w:pPr>
      <w:r w:rsidRPr="001D6161">
        <w:rPr>
          <w:sz w:val="24"/>
          <w:szCs w:val="24"/>
        </w:rPr>
        <w:t>This is the value of holdings in indirect investment vehicles where the underlying market exposure is to equities.</w:t>
      </w:r>
    </w:p>
    <w:p w14:paraId="328C5E58" w14:textId="2CD23BDF"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t>Property</w:t>
      </w:r>
    </w:p>
    <w:p w14:paraId="4E0C1BCD" w14:textId="77777777" w:rsidR="001D6161" w:rsidRPr="001D6161" w:rsidRDefault="001D6161" w:rsidP="00142495">
      <w:pPr>
        <w:spacing w:after="240"/>
        <w:jc w:val="both"/>
        <w:rPr>
          <w:sz w:val="24"/>
          <w:szCs w:val="24"/>
        </w:rPr>
      </w:pPr>
      <w:r w:rsidRPr="001D6161">
        <w:rPr>
          <w:sz w:val="24"/>
          <w:szCs w:val="24"/>
        </w:rPr>
        <w:t>This is the value of holdings in indirect investment vehicles where the underlying market exposure is to property.</w:t>
      </w:r>
    </w:p>
    <w:p w14:paraId="41936C67" w14:textId="314239A5" w:rsidR="001D6161" w:rsidRPr="001D6161" w:rsidRDefault="001D6161" w:rsidP="00142495">
      <w:pPr>
        <w:keepNext/>
        <w:numPr>
          <w:ilvl w:val="1"/>
          <w:numId w:val="32"/>
        </w:numPr>
        <w:spacing w:after="240"/>
        <w:ind w:left="851" w:hanging="851"/>
        <w:jc w:val="both"/>
        <w:rPr>
          <w:rFonts w:ascii="Arial" w:hAnsi="Arial" w:cs="Arial"/>
          <w:b/>
          <w:sz w:val="24"/>
          <w:szCs w:val="24"/>
        </w:rPr>
      </w:pPr>
      <w:r w:rsidRPr="001D6161">
        <w:rPr>
          <w:rFonts w:ascii="Arial" w:hAnsi="Arial" w:cs="Arial"/>
          <w:b/>
          <w:sz w:val="24"/>
          <w:szCs w:val="24"/>
        </w:rPr>
        <w:t>Other</w:t>
      </w:r>
    </w:p>
    <w:p w14:paraId="4FB27898" w14:textId="6FDC1883" w:rsidR="001D6161" w:rsidRPr="001D6161" w:rsidRDefault="001D6161" w:rsidP="00142495">
      <w:pPr>
        <w:spacing w:after="240"/>
        <w:jc w:val="both"/>
        <w:rPr>
          <w:sz w:val="24"/>
          <w:szCs w:val="24"/>
        </w:rPr>
      </w:pPr>
      <w:r w:rsidRPr="001D6161">
        <w:rPr>
          <w:sz w:val="24"/>
          <w:szCs w:val="24"/>
        </w:rPr>
        <w:t xml:space="preserve">This is a balancing item and is the value of holdings in indirect investment vehicles where the underlying market exposure is to assets other than those classified as cash, fixed interest, </w:t>
      </w:r>
      <w:proofErr w:type="gramStart"/>
      <w:r w:rsidRPr="001D6161">
        <w:rPr>
          <w:sz w:val="24"/>
          <w:szCs w:val="24"/>
        </w:rPr>
        <w:t>equities</w:t>
      </w:r>
      <w:proofErr w:type="gramEnd"/>
      <w:r w:rsidRPr="001D6161">
        <w:rPr>
          <w:sz w:val="24"/>
          <w:szCs w:val="24"/>
        </w:rPr>
        <w:t xml:space="preserve"> and property.</w:t>
      </w:r>
    </w:p>
    <w:p w14:paraId="0CC93C82" w14:textId="77777777" w:rsidR="001D6161" w:rsidRPr="001D6161" w:rsidRDefault="001D6161" w:rsidP="00142495">
      <w:pPr>
        <w:keepNext/>
        <w:tabs>
          <w:tab w:val="left" w:pos="851"/>
        </w:tabs>
        <w:spacing w:after="240"/>
        <w:jc w:val="both"/>
        <w:rPr>
          <w:rFonts w:ascii="Arial" w:hAnsi="Arial" w:cs="Arial"/>
          <w:b/>
          <w:sz w:val="24"/>
          <w:szCs w:val="24"/>
        </w:rPr>
      </w:pPr>
      <w:r w:rsidRPr="001D6161">
        <w:rPr>
          <w:rFonts w:ascii="Arial" w:hAnsi="Arial" w:cs="Arial"/>
          <w:b/>
          <w:sz w:val="24"/>
          <w:szCs w:val="24"/>
        </w:rPr>
        <w:t xml:space="preserve">2. (1) </w:t>
      </w:r>
      <w:r w:rsidRPr="001D6161">
        <w:rPr>
          <w:rFonts w:ascii="Arial" w:hAnsi="Arial" w:cs="Arial"/>
          <w:b/>
          <w:sz w:val="24"/>
          <w:szCs w:val="24"/>
        </w:rPr>
        <w:tab/>
        <w:t>Name</w:t>
      </w:r>
    </w:p>
    <w:p w14:paraId="1F23002D" w14:textId="650E8205" w:rsidR="001D6161" w:rsidRPr="001D6161" w:rsidRDefault="001D6161" w:rsidP="00142495">
      <w:pPr>
        <w:spacing w:after="240"/>
        <w:jc w:val="both"/>
        <w:rPr>
          <w:sz w:val="24"/>
          <w:szCs w:val="24"/>
        </w:rPr>
      </w:pPr>
      <w:r w:rsidRPr="001D6161">
        <w:rPr>
          <w:sz w:val="24"/>
          <w:szCs w:val="24"/>
        </w:rPr>
        <w:t>This is the full name of the investment vehicle in which the reporting insurer is invested as identified in the investment deed.</w:t>
      </w:r>
    </w:p>
    <w:p w14:paraId="1CCA73A0" w14:textId="5538EC6A" w:rsidR="001D6161" w:rsidRPr="001D6161" w:rsidRDefault="001D6161" w:rsidP="00142495">
      <w:pPr>
        <w:keepNext/>
        <w:tabs>
          <w:tab w:val="left" w:pos="851"/>
        </w:tabs>
        <w:spacing w:after="240"/>
        <w:jc w:val="both"/>
        <w:rPr>
          <w:rFonts w:ascii="Arial" w:hAnsi="Arial" w:cs="Arial"/>
          <w:b/>
          <w:sz w:val="24"/>
          <w:szCs w:val="24"/>
        </w:rPr>
      </w:pPr>
      <w:r w:rsidRPr="001D6161">
        <w:rPr>
          <w:rFonts w:ascii="Arial" w:hAnsi="Arial" w:cs="Arial"/>
          <w:b/>
          <w:sz w:val="24"/>
          <w:szCs w:val="24"/>
        </w:rPr>
        <w:t xml:space="preserve">2. (2) </w:t>
      </w:r>
      <w:r w:rsidRPr="001D6161">
        <w:rPr>
          <w:rFonts w:ascii="Arial" w:hAnsi="Arial" w:cs="Arial"/>
          <w:b/>
          <w:sz w:val="24"/>
          <w:szCs w:val="24"/>
        </w:rPr>
        <w:tab/>
        <w:t>ACN/ABN</w:t>
      </w:r>
    </w:p>
    <w:p w14:paraId="1DC27A39" w14:textId="6EE7CB67" w:rsidR="001D6161" w:rsidRPr="001D6161" w:rsidRDefault="001D6161" w:rsidP="00F10D79">
      <w:pPr>
        <w:spacing w:after="240"/>
        <w:jc w:val="both"/>
        <w:rPr>
          <w:sz w:val="24"/>
          <w:szCs w:val="24"/>
        </w:rPr>
      </w:pPr>
      <w:r w:rsidRPr="001D6161">
        <w:rPr>
          <w:sz w:val="24"/>
          <w:szCs w:val="24"/>
        </w:rPr>
        <w:t xml:space="preserve">Where relevant, this column reports the Australian Company Number (ACN) of the investment vehicle.  In cases where an investment vehicle doesn’t have an </w:t>
      </w:r>
      <w:proofErr w:type="gramStart"/>
      <w:r w:rsidRPr="001D6161">
        <w:rPr>
          <w:sz w:val="24"/>
          <w:szCs w:val="24"/>
        </w:rPr>
        <w:t>ACN</w:t>
      </w:r>
      <w:proofErr w:type="gramEnd"/>
      <w:r w:rsidRPr="001D6161">
        <w:rPr>
          <w:sz w:val="24"/>
          <w:szCs w:val="24"/>
        </w:rPr>
        <w:t xml:space="preserve"> but it does have an Australian Business Number (ABN) or an Australian Registered Body Number (ARBN), the ABN or ARBN should be reported. If an investment vehicle does not have an ACN, ABN, or ARBN the column should be left blank. </w:t>
      </w:r>
    </w:p>
    <w:p w14:paraId="48D79FEB" w14:textId="77777777" w:rsidR="001D6161" w:rsidRPr="001D6161" w:rsidRDefault="001D6161" w:rsidP="00F10D79">
      <w:pPr>
        <w:spacing w:after="240"/>
        <w:jc w:val="both"/>
        <w:rPr>
          <w:sz w:val="24"/>
          <w:szCs w:val="24"/>
        </w:rPr>
      </w:pPr>
      <w:r w:rsidRPr="001D6161">
        <w:rPr>
          <w:sz w:val="24"/>
          <w:szCs w:val="24"/>
        </w:rPr>
        <w:lastRenderedPageBreak/>
        <w:t>Input the number without spaces.</w:t>
      </w:r>
    </w:p>
    <w:p w14:paraId="131ED197" w14:textId="77777777" w:rsidR="001D6161" w:rsidRPr="001D6161" w:rsidRDefault="001D6161" w:rsidP="00142495">
      <w:pPr>
        <w:keepNext/>
        <w:tabs>
          <w:tab w:val="left" w:pos="851"/>
        </w:tabs>
        <w:spacing w:after="240"/>
        <w:jc w:val="both"/>
        <w:rPr>
          <w:rFonts w:ascii="Arial" w:hAnsi="Arial" w:cs="Arial"/>
          <w:b/>
          <w:sz w:val="24"/>
          <w:szCs w:val="24"/>
        </w:rPr>
      </w:pPr>
      <w:r w:rsidRPr="001D6161">
        <w:rPr>
          <w:rFonts w:ascii="Arial" w:hAnsi="Arial" w:cs="Arial"/>
          <w:b/>
          <w:sz w:val="24"/>
          <w:szCs w:val="24"/>
        </w:rPr>
        <w:t>2. (3)</w:t>
      </w:r>
      <w:r w:rsidRPr="001D6161">
        <w:rPr>
          <w:rFonts w:ascii="Arial" w:hAnsi="Arial" w:cs="Arial"/>
          <w:b/>
          <w:sz w:val="24"/>
          <w:szCs w:val="24"/>
        </w:rPr>
        <w:tab/>
        <w:t>Related Party</w:t>
      </w:r>
    </w:p>
    <w:p w14:paraId="205B51D1" w14:textId="2D4E11B2" w:rsidR="001D6161" w:rsidRPr="001D6161" w:rsidRDefault="001D6161" w:rsidP="00142495">
      <w:pPr>
        <w:spacing w:after="240"/>
        <w:jc w:val="both"/>
        <w:rPr>
          <w:sz w:val="24"/>
          <w:szCs w:val="24"/>
        </w:rPr>
      </w:pPr>
      <w:r w:rsidRPr="001D6161">
        <w:rPr>
          <w:sz w:val="24"/>
          <w:szCs w:val="24"/>
        </w:rPr>
        <w:t>Disclose where the investment vehicle is a related party by selecting 'Y' or 'N' from the drop-down box.</w:t>
      </w:r>
    </w:p>
    <w:p w14:paraId="6A5E8F19" w14:textId="77777777" w:rsidR="001D6161" w:rsidRPr="001D6161" w:rsidRDefault="001D6161" w:rsidP="00142495">
      <w:pPr>
        <w:keepNext/>
        <w:tabs>
          <w:tab w:val="left" w:pos="851"/>
        </w:tabs>
        <w:spacing w:after="240"/>
        <w:jc w:val="both"/>
        <w:rPr>
          <w:rFonts w:ascii="Arial" w:hAnsi="Arial" w:cs="Arial"/>
          <w:b/>
          <w:sz w:val="24"/>
          <w:szCs w:val="24"/>
        </w:rPr>
      </w:pPr>
      <w:r w:rsidRPr="001D6161">
        <w:rPr>
          <w:rFonts w:ascii="Arial" w:hAnsi="Arial" w:cs="Arial"/>
          <w:b/>
          <w:sz w:val="24"/>
          <w:szCs w:val="24"/>
        </w:rPr>
        <w:t xml:space="preserve">2. (4) </w:t>
      </w:r>
      <w:r w:rsidRPr="001D6161">
        <w:rPr>
          <w:rFonts w:ascii="Arial" w:hAnsi="Arial" w:cs="Arial"/>
          <w:b/>
          <w:sz w:val="24"/>
          <w:szCs w:val="24"/>
        </w:rPr>
        <w:tab/>
        <w:t>Closing Value</w:t>
      </w:r>
    </w:p>
    <w:p w14:paraId="48A4998F" w14:textId="77B50788" w:rsidR="001D6161" w:rsidRPr="001D6161" w:rsidRDefault="001D6161" w:rsidP="00142495">
      <w:pPr>
        <w:spacing w:after="240"/>
        <w:jc w:val="both"/>
        <w:rPr>
          <w:sz w:val="24"/>
          <w:szCs w:val="24"/>
        </w:rPr>
      </w:pPr>
      <w:r w:rsidRPr="001D6161">
        <w:rPr>
          <w:sz w:val="24"/>
          <w:szCs w:val="24"/>
        </w:rPr>
        <w:t xml:space="preserve">This is the value, as at the end of the reporting date, of the net assets of the indirect investment vehicle. </w:t>
      </w:r>
    </w:p>
    <w:p w14:paraId="6DA3D6DE"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Section 6: Policyholders' / Shareholders' funds</w:t>
      </w:r>
    </w:p>
    <w:p w14:paraId="4176ED46" w14:textId="77777777" w:rsidR="001D6161" w:rsidRPr="001D6161" w:rsidRDefault="001D6161" w:rsidP="00142495">
      <w:pPr>
        <w:keepNext/>
        <w:tabs>
          <w:tab w:val="left" w:pos="567"/>
        </w:tabs>
        <w:spacing w:after="240"/>
        <w:jc w:val="both"/>
        <w:rPr>
          <w:rFonts w:ascii="Arial" w:hAnsi="Arial" w:cs="Arial"/>
          <w:b/>
          <w:sz w:val="24"/>
          <w:szCs w:val="24"/>
        </w:rPr>
      </w:pPr>
      <w:r w:rsidRPr="001D6161">
        <w:rPr>
          <w:rFonts w:ascii="Arial" w:hAnsi="Arial" w:cs="Arial"/>
          <w:b/>
          <w:sz w:val="24"/>
          <w:szCs w:val="24"/>
        </w:rPr>
        <w:t xml:space="preserve">(1) </w:t>
      </w:r>
      <w:r w:rsidRPr="001D6161">
        <w:rPr>
          <w:rFonts w:ascii="Arial" w:hAnsi="Arial" w:cs="Arial"/>
          <w:b/>
          <w:sz w:val="24"/>
          <w:szCs w:val="24"/>
        </w:rPr>
        <w:tab/>
        <w:t>Policyholders' funds</w:t>
      </w:r>
    </w:p>
    <w:p w14:paraId="0A795C31" w14:textId="77777777" w:rsidR="001D6161" w:rsidRPr="001D6161" w:rsidRDefault="001D6161" w:rsidP="00142495">
      <w:pPr>
        <w:spacing w:after="240"/>
        <w:jc w:val="both"/>
        <w:rPr>
          <w:sz w:val="24"/>
          <w:szCs w:val="24"/>
        </w:rPr>
      </w:pPr>
      <w:r w:rsidRPr="001D6161">
        <w:rPr>
          <w:sz w:val="24"/>
          <w:szCs w:val="24"/>
        </w:rPr>
        <w:t>This is the value of the investments of the reporting insurer that are designated as relating to policyholders' funds.</w:t>
      </w:r>
      <w:r w:rsidRPr="001D6161">
        <w:rPr>
          <w:sz w:val="24"/>
          <w:szCs w:val="24"/>
        </w:rPr>
        <w:tab/>
      </w:r>
    </w:p>
    <w:p w14:paraId="6CD27B65" w14:textId="77777777" w:rsidR="001D6161" w:rsidRPr="001D6161" w:rsidRDefault="001D6161" w:rsidP="00142495">
      <w:pPr>
        <w:keepNext/>
        <w:tabs>
          <w:tab w:val="left" w:pos="567"/>
        </w:tabs>
        <w:spacing w:after="240"/>
        <w:jc w:val="both"/>
        <w:rPr>
          <w:rFonts w:ascii="Arial" w:hAnsi="Arial" w:cs="Arial"/>
          <w:b/>
          <w:sz w:val="24"/>
          <w:szCs w:val="24"/>
        </w:rPr>
      </w:pPr>
      <w:r w:rsidRPr="001D6161">
        <w:rPr>
          <w:rFonts w:ascii="Arial" w:hAnsi="Arial" w:cs="Arial"/>
          <w:b/>
          <w:sz w:val="24"/>
          <w:szCs w:val="24"/>
        </w:rPr>
        <w:t xml:space="preserve">(2) </w:t>
      </w:r>
      <w:r w:rsidRPr="001D6161">
        <w:rPr>
          <w:rFonts w:ascii="Arial" w:hAnsi="Arial" w:cs="Arial"/>
          <w:b/>
          <w:sz w:val="24"/>
          <w:szCs w:val="24"/>
        </w:rPr>
        <w:tab/>
        <w:t>Shareholders' funds</w:t>
      </w:r>
    </w:p>
    <w:p w14:paraId="61D4C95A" w14:textId="77777777" w:rsidR="001D6161" w:rsidRPr="001D6161" w:rsidRDefault="001D6161" w:rsidP="00142495">
      <w:pPr>
        <w:spacing w:after="240"/>
        <w:jc w:val="both"/>
        <w:rPr>
          <w:sz w:val="24"/>
          <w:szCs w:val="24"/>
        </w:rPr>
      </w:pPr>
      <w:r w:rsidRPr="001D6161">
        <w:rPr>
          <w:sz w:val="24"/>
          <w:szCs w:val="24"/>
        </w:rPr>
        <w:t>This is the value of the investments of the reporting insurer that are related to shareholder's funds. These represent the remainder of funds which have not been classified by the reporting entity as being related to policyholders' funds.</w:t>
      </w:r>
    </w:p>
    <w:p w14:paraId="3B3D5EAF" w14:textId="77777777" w:rsidR="001D6161" w:rsidRPr="001D6161" w:rsidRDefault="001D6161" w:rsidP="00142495">
      <w:pPr>
        <w:keepNext/>
        <w:numPr>
          <w:ilvl w:val="0"/>
          <w:numId w:val="21"/>
        </w:numPr>
        <w:spacing w:after="240"/>
        <w:ind w:left="567" w:hanging="567"/>
        <w:jc w:val="both"/>
        <w:rPr>
          <w:rFonts w:ascii="Arial" w:hAnsi="Arial" w:cs="Arial"/>
          <w:b/>
          <w:sz w:val="24"/>
          <w:szCs w:val="24"/>
        </w:rPr>
      </w:pPr>
      <w:r w:rsidRPr="001D6161">
        <w:rPr>
          <w:rFonts w:ascii="Arial" w:hAnsi="Arial" w:cs="Arial"/>
          <w:b/>
          <w:sz w:val="24"/>
          <w:szCs w:val="24"/>
        </w:rPr>
        <w:t>Total direct interest rate investments</w:t>
      </w:r>
    </w:p>
    <w:p w14:paraId="3C662303" w14:textId="510B3E0E" w:rsidR="001D6161" w:rsidRPr="001D6161" w:rsidRDefault="001D6161" w:rsidP="00142495">
      <w:pPr>
        <w:spacing w:after="240"/>
        <w:jc w:val="both"/>
        <w:rPr>
          <w:sz w:val="24"/>
          <w:szCs w:val="24"/>
        </w:rPr>
      </w:pPr>
      <w:r w:rsidRPr="001D6161">
        <w:rPr>
          <w:sz w:val="24"/>
          <w:szCs w:val="24"/>
        </w:rPr>
        <w:t>Refer to instructions for Item 4 in Section 1.</w:t>
      </w:r>
    </w:p>
    <w:p w14:paraId="3559EFD9" w14:textId="77777777" w:rsidR="001D6161" w:rsidRPr="001D6161" w:rsidRDefault="001D6161" w:rsidP="00142495">
      <w:pPr>
        <w:keepNext/>
        <w:numPr>
          <w:ilvl w:val="0"/>
          <w:numId w:val="21"/>
        </w:numPr>
        <w:spacing w:after="240"/>
        <w:ind w:left="567" w:hanging="567"/>
        <w:jc w:val="both"/>
        <w:rPr>
          <w:rFonts w:ascii="Arial" w:hAnsi="Arial" w:cs="Arial"/>
          <w:b/>
          <w:sz w:val="24"/>
          <w:szCs w:val="24"/>
        </w:rPr>
      </w:pPr>
      <w:r w:rsidRPr="001D6161">
        <w:rPr>
          <w:rFonts w:ascii="Arial" w:hAnsi="Arial" w:cs="Arial"/>
          <w:b/>
          <w:sz w:val="24"/>
          <w:szCs w:val="24"/>
        </w:rPr>
        <w:t>Total direct equity investments</w:t>
      </w:r>
    </w:p>
    <w:p w14:paraId="565335CB" w14:textId="196FA414" w:rsidR="001D6161" w:rsidRPr="001D6161" w:rsidRDefault="001D6161" w:rsidP="00142495">
      <w:pPr>
        <w:spacing w:after="240"/>
        <w:jc w:val="both"/>
        <w:rPr>
          <w:sz w:val="24"/>
          <w:szCs w:val="24"/>
        </w:rPr>
      </w:pPr>
      <w:r w:rsidRPr="001D6161">
        <w:rPr>
          <w:sz w:val="24"/>
          <w:szCs w:val="24"/>
        </w:rPr>
        <w:t>Refer to instructions for Item 3 in Section 2.</w:t>
      </w:r>
    </w:p>
    <w:p w14:paraId="51437E0B" w14:textId="2BEDB8AA" w:rsidR="001D6161" w:rsidRPr="001D6161" w:rsidRDefault="001D6161" w:rsidP="00142495">
      <w:pPr>
        <w:keepNext/>
        <w:numPr>
          <w:ilvl w:val="0"/>
          <w:numId w:val="21"/>
        </w:numPr>
        <w:spacing w:after="240"/>
        <w:ind w:left="567" w:hanging="567"/>
        <w:jc w:val="both"/>
        <w:rPr>
          <w:rFonts w:ascii="Arial" w:hAnsi="Arial" w:cs="Arial"/>
          <w:b/>
          <w:sz w:val="24"/>
          <w:szCs w:val="24"/>
        </w:rPr>
      </w:pPr>
      <w:r w:rsidRPr="001D6161">
        <w:rPr>
          <w:rFonts w:ascii="Arial" w:hAnsi="Arial" w:cs="Arial"/>
          <w:b/>
          <w:sz w:val="24"/>
          <w:szCs w:val="24"/>
        </w:rPr>
        <w:t>Total direct property investments</w:t>
      </w:r>
    </w:p>
    <w:p w14:paraId="254748E9" w14:textId="36A6E536" w:rsidR="001D6161" w:rsidRPr="001D6161" w:rsidRDefault="001D6161" w:rsidP="00142495">
      <w:pPr>
        <w:spacing w:after="240"/>
        <w:jc w:val="both"/>
        <w:rPr>
          <w:sz w:val="24"/>
          <w:szCs w:val="24"/>
        </w:rPr>
      </w:pPr>
      <w:r w:rsidRPr="001D6161">
        <w:rPr>
          <w:sz w:val="24"/>
          <w:szCs w:val="24"/>
        </w:rPr>
        <w:t>Refer to instructions for Item 1 in Section 3.</w:t>
      </w:r>
    </w:p>
    <w:p w14:paraId="3AC4CF1D" w14:textId="77777777" w:rsidR="001D6161" w:rsidRPr="001D6161" w:rsidRDefault="001D6161" w:rsidP="00142495">
      <w:pPr>
        <w:keepNext/>
        <w:numPr>
          <w:ilvl w:val="0"/>
          <w:numId w:val="21"/>
        </w:numPr>
        <w:spacing w:after="240"/>
        <w:ind w:left="567" w:hanging="567"/>
        <w:jc w:val="both"/>
        <w:rPr>
          <w:rFonts w:ascii="Arial" w:hAnsi="Arial" w:cs="Arial"/>
          <w:b/>
          <w:sz w:val="24"/>
          <w:szCs w:val="24"/>
        </w:rPr>
      </w:pPr>
      <w:r w:rsidRPr="001D6161">
        <w:rPr>
          <w:rFonts w:ascii="Arial" w:hAnsi="Arial" w:cs="Arial"/>
          <w:b/>
          <w:sz w:val="24"/>
          <w:szCs w:val="24"/>
        </w:rPr>
        <w:t>Total net loans and advances</w:t>
      </w:r>
      <w:r w:rsidRPr="001D6161">
        <w:rPr>
          <w:rFonts w:ascii="Arial" w:hAnsi="Arial" w:cs="Arial"/>
          <w:b/>
          <w:sz w:val="24"/>
          <w:szCs w:val="24"/>
        </w:rPr>
        <w:tab/>
      </w:r>
    </w:p>
    <w:p w14:paraId="2B4A556B" w14:textId="4A211981" w:rsidR="001D6161" w:rsidRPr="001D6161" w:rsidRDefault="001D6161" w:rsidP="00142495">
      <w:pPr>
        <w:spacing w:after="240"/>
        <w:jc w:val="both"/>
        <w:rPr>
          <w:sz w:val="24"/>
          <w:szCs w:val="24"/>
        </w:rPr>
      </w:pPr>
      <w:r w:rsidRPr="001D6161">
        <w:rPr>
          <w:sz w:val="24"/>
          <w:szCs w:val="24"/>
        </w:rPr>
        <w:t>Refer to instructions for Item 1 and Column 4 in Section 4.</w:t>
      </w:r>
    </w:p>
    <w:p w14:paraId="5DBBA117" w14:textId="5416527F" w:rsidR="001D6161" w:rsidRPr="001D6161" w:rsidRDefault="001D6161" w:rsidP="00142495">
      <w:pPr>
        <w:keepNext/>
        <w:numPr>
          <w:ilvl w:val="0"/>
          <w:numId w:val="22"/>
        </w:numPr>
        <w:spacing w:after="240"/>
        <w:ind w:left="851" w:hanging="851"/>
        <w:jc w:val="both"/>
        <w:rPr>
          <w:rFonts w:ascii="Arial" w:hAnsi="Arial" w:cs="Arial"/>
          <w:b/>
          <w:sz w:val="24"/>
          <w:szCs w:val="24"/>
        </w:rPr>
      </w:pPr>
      <w:r w:rsidRPr="001D6161">
        <w:rPr>
          <w:rFonts w:ascii="Arial" w:hAnsi="Arial" w:cs="Arial"/>
          <w:b/>
          <w:sz w:val="24"/>
          <w:szCs w:val="24"/>
        </w:rPr>
        <w:t>Balance outstanding</w:t>
      </w:r>
    </w:p>
    <w:p w14:paraId="021FEA8B" w14:textId="4633359C" w:rsidR="001D6161" w:rsidRPr="001D6161" w:rsidRDefault="001D6161" w:rsidP="00142495">
      <w:pPr>
        <w:spacing w:after="240"/>
        <w:jc w:val="both"/>
        <w:rPr>
          <w:sz w:val="24"/>
          <w:szCs w:val="24"/>
        </w:rPr>
      </w:pPr>
      <w:r w:rsidRPr="001D6161">
        <w:rPr>
          <w:sz w:val="24"/>
          <w:szCs w:val="24"/>
        </w:rPr>
        <w:t>Refer to instructions for Item 1 and Column 1 in Section 4.</w:t>
      </w:r>
    </w:p>
    <w:p w14:paraId="1D757B4A" w14:textId="0644EA71"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Provision for impairment</w:t>
      </w:r>
    </w:p>
    <w:p w14:paraId="3F07807B" w14:textId="510E0740" w:rsidR="001D6161" w:rsidRPr="001D6161" w:rsidRDefault="001D6161" w:rsidP="00142495">
      <w:pPr>
        <w:spacing w:after="240"/>
        <w:jc w:val="both"/>
        <w:rPr>
          <w:sz w:val="24"/>
          <w:szCs w:val="24"/>
        </w:rPr>
      </w:pPr>
      <w:r w:rsidRPr="001D6161">
        <w:rPr>
          <w:sz w:val="24"/>
          <w:szCs w:val="24"/>
        </w:rPr>
        <w:t>Refer to instructions for Item 1 and Column 3 in Section 4.</w:t>
      </w:r>
    </w:p>
    <w:p w14:paraId="1DD8BAD0" w14:textId="53516EB3" w:rsidR="001D6161" w:rsidRPr="001D6161" w:rsidRDefault="001D6161" w:rsidP="00142495">
      <w:pPr>
        <w:keepNext/>
        <w:spacing w:after="240"/>
        <w:ind w:left="567" w:hanging="567"/>
        <w:jc w:val="both"/>
        <w:rPr>
          <w:rFonts w:ascii="Arial" w:hAnsi="Arial" w:cs="Arial"/>
          <w:b/>
          <w:sz w:val="24"/>
          <w:szCs w:val="24"/>
        </w:rPr>
      </w:pPr>
      <w:r w:rsidRPr="001D6161">
        <w:rPr>
          <w:rFonts w:ascii="Arial" w:hAnsi="Arial" w:cs="Arial"/>
          <w:b/>
          <w:sz w:val="24"/>
          <w:szCs w:val="24"/>
        </w:rPr>
        <w:t>Total holdings in indirect investment vehicles</w:t>
      </w:r>
    </w:p>
    <w:p w14:paraId="1E838605" w14:textId="3D6C85AF" w:rsidR="001D6161" w:rsidRPr="001D6161" w:rsidRDefault="001D6161" w:rsidP="00142495">
      <w:pPr>
        <w:spacing w:after="240"/>
        <w:jc w:val="both"/>
        <w:rPr>
          <w:sz w:val="24"/>
          <w:szCs w:val="24"/>
        </w:rPr>
      </w:pPr>
      <w:r w:rsidRPr="001D6161">
        <w:rPr>
          <w:sz w:val="24"/>
          <w:szCs w:val="24"/>
        </w:rPr>
        <w:t>Refer to instructions for Item 1 in Section 5.</w:t>
      </w:r>
    </w:p>
    <w:p w14:paraId="36B93A18"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lastRenderedPageBreak/>
        <w:t>Cash</w:t>
      </w:r>
    </w:p>
    <w:p w14:paraId="7AF6811C" w14:textId="1D8A4089" w:rsidR="001D6161" w:rsidRPr="001D6161" w:rsidRDefault="001D6161" w:rsidP="00142495">
      <w:pPr>
        <w:spacing w:after="240"/>
        <w:jc w:val="both"/>
        <w:rPr>
          <w:sz w:val="24"/>
          <w:szCs w:val="24"/>
        </w:rPr>
      </w:pPr>
      <w:r w:rsidRPr="001D6161">
        <w:rPr>
          <w:sz w:val="24"/>
          <w:szCs w:val="24"/>
        </w:rPr>
        <w:t>Refer to instructions for Item 1.4 in Section 5.</w:t>
      </w:r>
    </w:p>
    <w:p w14:paraId="5DC3F992" w14:textId="1621A563"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Fixed interest</w:t>
      </w:r>
    </w:p>
    <w:p w14:paraId="424A2D2E" w14:textId="675C2DE6" w:rsidR="001D6161" w:rsidRPr="001D6161" w:rsidRDefault="001D6161" w:rsidP="00142495">
      <w:pPr>
        <w:spacing w:after="240"/>
        <w:jc w:val="both"/>
        <w:rPr>
          <w:sz w:val="24"/>
          <w:szCs w:val="24"/>
        </w:rPr>
      </w:pPr>
      <w:r w:rsidRPr="001D6161">
        <w:rPr>
          <w:sz w:val="24"/>
          <w:szCs w:val="24"/>
        </w:rPr>
        <w:t>Refer to instructions for Item 1.5 in Section 5.</w:t>
      </w:r>
    </w:p>
    <w:p w14:paraId="32B42111"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Equities</w:t>
      </w:r>
    </w:p>
    <w:p w14:paraId="43655D78" w14:textId="2B375873" w:rsidR="001D6161" w:rsidRPr="001D6161" w:rsidRDefault="001D6161" w:rsidP="00142495">
      <w:pPr>
        <w:spacing w:after="240"/>
        <w:jc w:val="both"/>
        <w:rPr>
          <w:sz w:val="24"/>
          <w:szCs w:val="24"/>
        </w:rPr>
      </w:pPr>
      <w:r w:rsidRPr="001D6161">
        <w:rPr>
          <w:sz w:val="24"/>
          <w:szCs w:val="24"/>
        </w:rPr>
        <w:t>Refer to instructions for Item 1.6 in Section 5.</w:t>
      </w:r>
    </w:p>
    <w:p w14:paraId="22BFABB2" w14:textId="77777777"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Property</w:t>
      </w:r>
    </w:p>
    <w:p w14:paraId="2E2AA31B" w14:textId="4C96F9E4" w:rsidR="001D6161" w:rsidRPr="001D6161" w:rsidRDefault="001D6161" w:rsidP="00142495">
      <w:pPr>
        <w:spacing w:after="240"/>
        <w:jc w:val="both"/>
        <w:rPr>
          <w:sz w:val="24"/>
          <w:szCs w:val="24"/>
        </w:rPr>
      </w:pPr>
      <w:r w:rsidRPr="001D6161">
        <w:rPr>
          <w:sz w:val="24"/>
          <w:szCs w:val="24"/>
        </w:rPr>
        <w:t>Refer to instructions for Item 1.7 in Section 5.</w:t>
      </w:r>
    </w:p>
    <w:p w14:paraId="34C01BAD" w14:textId="0A5F1886" w:rsidR="001D6161" w:rsidRPr="001D6161" w:rsidRDefault="001D6161" w:rsidP="00142495">
      <w:pPr>
        <w:keepNext/>
        <w:spacing w:after="240"/>
        <w:ind w:left="851" w:hanging="851"/>
        <w:jc w:val="both"/>
        <w:rPr>
          <w:rFonts w:ascii="Arial" w:hAnsi="Arial" w:cs="Arial"/>
          <w:b/>
          <w:sz w:val="24"/>
          <w:szCs w:val="24"/>
        </w:rPr>
      </w:pPr>
      <w:r w:rsidRPr="001D6161">
        <w:rPr>
          <w:rFonts w:ascii="Arial" w:hAnsi="Arial" w:cs="Arial"/>
          <w:b/>
          <w:sz w:val="24"/>
          <w:szCs w:val="24"/>
        </w:rPr>
        <w:t>Other</w:t>
      </w:r>
    </w:p>
    <w:p w14:paraId="48F27FA8" w14:textId="1E79207F" w:rsidR="001D6161" w:rsidRPr="001D6161" w:rsidRDefault="001D6161" w:rsidP="00142495">
      <w:pPr>
        <w:spacing w:after="240"/>
        <w:jc w:val="both"/>
        <w:rPr>
          <w:sz w:val="24"/>
          <w:szCs w:val="24"/>
        </w:rPr>
      </w:pPr>
      <w:r w:rsidRPr="001D6161">
        <w:rPr>
          <w:sz w:val="24"/>
          <w:szCs w:val="24"/>
        </w:rPr>
        <w:t>Refer to instructions for Item 1.8 in Section 5.</w:t>
      </w:r>
    </w:p>
    <w:p w14:paraId="1A1838A2" w14:textId="77777777" w:rsidR="001D6161" w:rsidRPr="001D6161" w:rsidRDefault="001D6161" w:rsidP="00142495">
      <w:pPr>
        <w:keepNext/>
        <w:spacing w:after="240"/>
        <w:jc w:val="both"/>
        <w:rPr>
          <w:rFonts w:ascii="Arial" w:hAnsi="Arial" w:cs="Arial"/>
          <w:b/>
          <w:sz w:val="24"/>
          <w:szCs w:val="24"/>
        </w:rPr>
      </w:pPr>
      <w:r w:rsidRPr="001D6161">
        <w:rPr>
          <w:rFonts w:ascii="Arial" w:hAnsi="Arial" w:cs="Arial"/>
          <w:b/>
          <w:sz w:val="24"/>
          <w:szCs w:val="24"/>
        </w:rPr>
        <w:t>Section 7: Investments with related parties</w:t>
      </w:r>
    </w:p>
    <w:p w14:paraId="2E416835" w14:textId="77777777" w:rsidR="001D6161" w:rsidRPr="001D6161" w:rsidRDefault="001D6161" w:rsidP="00142495">
      <w:pPr>
        <w:keepNext/>
        <w:tabs>
          <w:tab w:val="left" w:pos="567"/>
        </w:tabs>
        <w:spacing w:after="240"/>
        <w:jc w:val="both"/>
        <w:rPr>
          <w:rFonts w:ascii="Arial" w:hAnsi="Arial" w:cs="Arial"/>
          <w:b/>
          <w:sz w:val="24"/>
          <w:szCs w:val="24"/>
        </w:rPr>
      </w:pPr>
      <w:r w:rsidRPr="001D6161">
        <w:rPr>
          <w:rFonts w:ascii="Arial" w:hAnsi="Arial" w:cs="Arial"/>
          <w:b/>
          <w:sz w:val="24"/>
          <w:szCs w:val="24"/>
        </w:rPr>
        <w:t xml:space="preserve">(1) </w:t>
      </w:r>
      <w:r w:rsidRPr="001D6161">
        <w:rPr>
          <w:rFonts w:ascii="Arial" w:hAnsi="Arial" w:cs="Arial"/>
          <w:b/>
          <w:sz w:val="24"/>
          <w:szCs w:val="24"/>
        </w:rPr>
        <w:tab/>
        <w:t>Parent entity</w:t>
      </w:r>
    </w:p>
    <w:p w14:paraId="1E478C6D" w14:textId="35E4ED1D" w:rsidR="001D6161" w:rsidRPr="001D6161" w:rsidRDefault="001D6161" w:rsidP="00142495">
      <w:pPr>
        <w:spacing w:after="240"/>
        <w:jc w:val="both"/>
        <w:rPr>
          <w:sz w:val="24"/>
          <w:szCs w:val="24"/>
        </w:rPr>
      </w:pPr>
      <w:r w:rsidRPr="001D6161">
        <w:rPr>
          <w:sz w:val="24"/>
          <w:szCs w:val="24"/>
        </w:rPr>
        <w:t>Report the amounts in each column that are with/from the parent entity of the reporting insurer.</w:t>
      </w:r>
    </w:p>
    <w:p w14:paraId="39E2FCE7" w14:textId="77777777" w:rsidR="001D6161" w:rsidRPr="001D6161" w:rsidRDefault="001D6161" w:rsidP="00142495">
      <w:pPr>
        <w:keepNext/>
        <w:tabs>
          <w:tab w:val="left" w:pos="567"/>
        </w:tabs>
        <w:spacing w:after="240"/>
        <w:jc w:val="both"/>
        <w:rPr>
          <w:rFonts w:ascii="Arial" w:hAnsi="Arial" w:cs="Arial"/>
          <w:b/>
          <w:sz w:val="24"/>
          <w:szCs w:val="24"/>
        </w:rPr>
      </w:pPr>
      <w:r w:rsidRPr="001D6161">
        <w:rPr>
          <w:rFonts w:ascii="Arial" w:hAnsi="Arial" w:cs="Arial"/>
          <w:b/>
          <w:sz w:val="24"/>
          <w:szCs w:val="24"/>
        </w:rPr>
        <w:t xml:space="preserve">(2) </w:t>
      </w:r>
      <w:r w:rsidRPr="001D6161">
        <w:rPr>
          <w:rFonts w:ascii="Arial" w:hAnsi="Arial" w:cs="Arial"/>
          <w:b/>
          <w:sz w:val="24"/>
          <w:szCs w:val="24"/>
        </w:rPr>
        <w:tab/>
        <w:t>Controlled entities / Controlled entities of the parent</w:t>
      </w:r>
    </w:p>
    <w:p w14:paraId="540CF273" w14:textId="6E888C7E" w:rsidR="001D6161" w:rsidRPr="001D6161" w:rsidRDefault="001D6161" w:rsidP="00142495">
      <w:pPr>
        <w:spacing w:after="240"/>
        <w:jc w:val="both"/>
        <w:rPr>
          <w:sz w:val="24"/>
          <w:szCs w:val="24"/>
        </w:rPr>
      </w:pPr>
      <w:r w:rsidRPr="001D6161">
        <w:rPr>
          <w:sz w:val="24"/>
          <w:szCs w:val="24"/>
        </w:rPr>
        <w:t>Report the amounts in each column that are with/from a subsidiary of the reporting insurer, or another branch of the parent entity for a Category C insurer.</w:t>
      </w:r>
    </w:p>
    <w:p w14:paraId="0FBDF907" w14:textId="606C92DF" w:rsidR="001D6161" w:rsidRPr="001D6161" w:rsidRDefault="001D6161" w:rsidP="00142495">
      <w:pPr>
        <w:keepNext/>
        <w:tabs>
          <w:tab w:val="left" w:pos="567"/>
        </w:tabs>
        <w:spacing w:after="240"/>
        <w:jc w:val="both"/>
        <w:rPr>
          <w:rFonts w:ascii="Arial" w:hAnsi="Arial" w:cs="Arial"/>
          <w:b/>
          <w:sz w:val="24"/>
          <w:szCs w:val="24"/>
        </w:rPr>
      </w:pPr>
      <w:r w:rsidRPr="001D6161">
        <w:rPr>
          <w:rFonts w:ascii="Arial" w:hAnsi="Arial" w:cs="Arial"/>
          <w:b/>
          <w:sz w:val="24"/>
          <w:szCs w:val="24"/>
        </w:rPr>
        <w:t xml:space="preserve">(3) </w:t>
      </w:r>
      <w:r w:rsidRPr="001D6161">
        <w:rPr>
          <w:rFonts w:ascii="Arial" w:hAnsi="Arial" w:cs="Arial"/>
          <w:b/>
          <w:sz w:val="24"/>
          <w:szCs w:val="24"/>
        </w:rPr>
        <w:tab/>
        <w:t>Associates</w:t>
      </w:r>
    </w:p>
    <w:p w14:paraId="06072D74" w14:textId="14E86F45" w:rsidR="001D6161" w:rsidRPr="001D6161" w:rsidRDefault="001D6161" w:rsidP="00142495">
      <w:pPr>
        <w:spacing w:after="240"/>
        <w:jc w:val="both"/>
        <w:rPr>
          <w:sz w:val="24"/>
          <w:szCs w:val="24"/>
        </w:rPr>
      </w:pPr>
      <w:r w:rsidRPr="001D6161">
        <w:rPr>
          <w:sz w:val="24"/>
          <w:szCs w:val="24"/>
        </w:rPr>
        <w:t>Report the amounts in each column that are with/from an associate of the reporting insurer.</w:t>
      </w:r>
    </w:p>
    <w:p w14:paraId="5C677F8C" w14:textId="52593F2E" w:rsidR="001D6161" w:rsidRPr="001D6161" w:rsidRDefault="001D6161" w:rsidP="00142495">
      <w:pPr>
        <w:keepNext/>
        <w:tabs>
          <w:tab w:val="left" w:pos="567"/>
        </w:tabs>
        <w:spacing w:after="240"/>
        <w:jc w:val="both"/>
        <w:rPr>
          <w:rFonts w:ascii="Arial" w:hAnsi="Arial" w:cs="Arial"/>
          <w:b/>
          <w:sz w:val="24"/>
          <w:szCs w:val="24"/>
        </w:rPr>
      </w:pPr>
      <w:r w:rsidRPr="001D6161">
        <w:rPr>
          <w:rFonts w:ascii="Arial" w:hAnsi="Arial" w:cs="Arial"/>
          <w:b/>
          <w:sz w:val="24"/>
          <w:szCs w:val="24"/>
        </w:rPr>
        <w:t xml:space="preserve"> (4) </w:t>
      </w:r>
      <w:r w:rsidRPr="001D6161">
        <w:rPr>
          <w:rFonts w:ascii="Arial" w:hAnsi="Arial" w:cs="Arial"/>
          <w:b/>
          <w:sz w:val="24"/>
          <w:szCs w:val="24"/>
        </w:rPr>
        <w:tab/>
        <w:t>Joint ventures</w:t>
      </w:r>
    </w:p>
    <w:p w14:paraId="099517D9" w14:textId="511F2880" w:rsidR="001D6161" w:rsidRPr="001D6161" w:rsidRDefault="001D6161" w:rsidP="00142495">
      <w:pPr>
        <w:spacing w:after="240"/>
        <w:jc w:val="both"/>
        <w:rPr>
          <w:sz w:val="24"/>
          <w:szCs w:val="24"/>
        </w:rPr>
      </w:pPr>
      <w:r w:rsidRPr="001D6161">
        <w:rPr>
          <w:sz w:val="24"/>
          <w:szCs w:val="24"/>
        </w:rPr>
        <w:t>Report the amounts in each column that are with/from a joint venture of the reporting insurer.</w:t>
      </w:r>
    </w:p>
    <w:p w14:paraId="37C08838" w14:textId="77777777" w:rsidR="001D6161" w:rsidRPr="001D6161" w:rsidRDefault="001D6161" w:rsidP="00142495">
      <w:pPr>
        <w:keepNext/>
        <w:tabs>
          <w:tab w:val="left" w:pos="567"/>
        </w:tabs>
        <w:spacing w:after="240"/>
        <w:jc w:val="both"/>
        <w:rPr>
          <w:rFonts w:ascii="Arial" w:hAnsi="Arial" w:cs="Arial"/>
          <w:b/>
          <w:sz w:val="24"/>
          <w:szCs w:val="24"/>
        </w:rPr>
      </w:pPr>
      <w:r w:rsidRPr="001D6161">
        <w:rPr>
          <w:rFonts w:ascii="Arial" w:hAnsi="Arial" w:cs="Arial"/>
          <w:b/>
          <w:sz w:val="24"/>
          <w:szCs w:val="24"/>
        </w:rPr>
        <w:t xml:space="preserve"> (5) </w:t>
      </w:r>
      <w:r w:rsidRPr="001D6161">
        <w:rPr>
          <w:rFonts w:ascii="Arial" w:hAnsi="Arial" w:cs="Arial"/>
          <w:b/>
          <w:sz w:val="24"/>
          <w:szCs w:val="24"/>
        </w:rPr>
        <w:tab/>
        <w:t>Other related parties</w:t>
      </w:r>
    </w:p>
    <w:p w14:paraId="55085A4D" w14:textId="183CABC9" w:rsidR="00F572EA" w:rsidRDefault="001D6161" w:rsidP="00142495">
      <w:pPr>
        <w:spacing w:after="240"/>
        <w:jc w:val="both"/>
        <w:rPr>
          <w:sz w:val="24"/>
          <w:szCs w:val="24"/>
        </w:rPr>
      </w:pPr>
      <w:r w:rsidRPr="001D6161">
        <w:rPr>
          <w:sz w:val="24"/>
          <w:szCs w:val="24"/>
        </w:rPr>
        <w:t xml:space="preserve">Report the amounts in each column that are with/from a related party of the reporting insurer that is not the parent entity, a subsidiary, an </w:t>
      </w:r>
      <w:proofErr w:type="gramStart"/>
      <w:r w:rsidRPr="001D6161">
        <w:rPr>
          <w:sz w:val="24"/>
          <w:szCs w:val="24"/>
        </w:rPr>
        <w:t>associate</w:t>
      </w:r>
      <w:proofErr w:type="gramEnd"/>
      <w:r w:rsidRPr="001D6161">
        <w:rPr>
          <w:sz w:val="24"/>
          <w:szCs w:val="24"/>
        </w:rPr>
        <w:t xml:space="preserve"> or a joint venture of the reporting insurer.</w:t>
      </w:r>
    </w:p>
    <w:p w14:paraId="7B055114" w14:textId="77777777" w:rsidR="001D6161" w:rsidRPr="001D6161" w:rsidRDefault="001D6161" w:rsidP="00F10D79">
      <w:pPr>
        <w:keepNext/>
        <w:numPr>
          <w:ilvl w:val="0"/>
          <w:numId w:val="27"/>
        </w:numPr>
        <w:spacing w:after="240"/>
        <w:ind w:left="567" w:hanging="567"/>
        <w:jc w:val="both"/>
        <w:rPr>
          <w:rFonts w:ascii="Arial" w:hAnsi="Arial" w:cs="Arial"/>
          <w:b/>
          <w:sz w:val="24"/>
          <w:szCs w:val="24"/>
        </w:rPr>
      </w:pPr>
      <w:r w:rsidRPr="001D6161">
        <w:rPr>
          <w:rFonts w:ascii="Arial" w:hAnsi="Arial" w:cs="Arial"/>
          <w:b/>
          <w:sz w:val="24"/>
          <w:szCs w:val="24"/>
        </w:rPr>
        <w:t>Total direct interest rate investments</w:t>
      </w:r>
    </w:p>
    <w:p w14:paraId="16047636" w14:textId="77777777" w:rsidR="001D6161" w:rsidRPr="001D6161" w:rsidRDefault="001D6161" w:rsidP="00142495">
      <w:pPr>
        <w:spacing w:after="240"/>
        <w:jc w:val="both"/>
        <w:rPr>
          <w:rFonts w:ascii="Arial" w:hAnsi="Arial" w:cs="Arial"/>
          <w:b/>
          <w:sz w:val="24"/>
          <w:szCs w:val="24"/>
        </w:rPr>
      </w:pPr>
      <w:r w:rsidRPr="001D6161">
        <w:rPr>
          <w:sz w:val="24"/>
          <w:szCs w:val="24"/>
        </w:rPr>
        <w:t>Refer to instructions for Item 4 in Section 1.</w:t>
      </w:r>
    </w:p>
    <w:p w14:paraId="4437B887" w14:textId="77777777" w:rsidR="001D6161" w:rsidRPr="001D6161" w:rsidRDefault="001D6161" w:rsidP="00F10D79">
      <w:pPr>
        <w:keepNext/>
        <w:numPr>
          <w:ilvl w:val="0"/>
          <w:numId w:val="27"/>
        </w:numPr>
        <w:spacing w:after="240"/>
        <w:ind w:left="567" w:hanging="567"/>
        <w:jc w:val="both"/>
        <w:rPr>
          <w:rFonts w:ascii="Arial" w:hAnsi="Arial" w:cs="Arial"/>
          <w:b/>
          <w:sz w:val="24"/>
          <w:szCs w:val="24"/>
        </w:rPr>
      </w:pPr>
      <w:r w:rsidRPr="001D6161">
        <w:rPr>
          <w:rFonts w:ascii="Arial" w:hAnsi="Arial" w:cs="Arial"/>
          <w:b/>
          <w:sz w:val="24"/>
          <w:szCs w:val="24"/>
        </w:rPr>
        <w:t>Total direct equity investments</w:t>
      </w:r>
    </w:p>
    <w:p w14:paraId="28AEF4C0" w14:textId="77777777" w:rsidR="001D6161" w:rsidRPr="001D6161" w:rsidRDefault="001D6161" w:rsidP="00142495">
      <w:pPr>
        <w:spacing w:after="240"/>
        <w:jc w:val="both"/>
        <w:rPr>
          <w:rFonts w:ascii="Arial" w:hAnsi="Arial" w:cs="Arial"/>
          <w:b/>
          <w:sz w:val="24"/>
          <w:szCs w:val="24"/>
        </w:rPr>
      </w:pPr>
      <w:r w:rsidRPr="001D6161">
        <w:rPr>
          <w:sz w:val="24"/>
          <w:szCs w:val="24"/>
        </w:rPr>
        <w:t>Refer to instructions for Item 1.6 in Section 5.</w:t>
      </w:r>
    </w:p>
    <w:p w14:paraId="5AF03E31" w14:textId="77777777" w:rsidR="001D6161" w:rsidRPr="001D6161" w:rsidRDefault="001D6161" w:rsidP="00F10D79">
      <w:pPr>
        <w:keepNext/>
        <w:numPr>
          <w:ilvl w:val="0"/>
          <w:numId w:val="27"/>
        </w:numPr>
        <w:spacing w:after="240"/>
        <w:ind w:left="567" w:hanging="567"/>
        <w:jc w:val="both"/>
        <w:rPr>
          <w:rFonts w:ascii="Arial" w:hAnsi="Arial" w:cs="Arial"/>
          <w:b/>
          <w:sz w:val="24"/>
          <w:szCs w:val="24"/>
        </w:rPr>
      </w:pPr>
      <w:r w:rsidRPr="001D6161">
        <w:rPr>
          <w:rFonts w:ascii="Arial" w:hAnsi="Arial" w:cs="Arial"/>
          <w:b/>
          <w:sz w:val="24"/>
          <w:szCs w:val="24"/>
        </w:rPr>
        <w:lastRenderedPageBreak/>
        <w:t>Total direct property investments</w:t>
      </w:r>
    </w:p>
    <w:p w14:paraId="4D8ED2D7" w14:textId="77777777" w:rsidR="001D6161" w:rsidRPr="001D6161" w:rsidRDefault="001D6161" w:rsidP="00142495">
      <w:pPr>
        <w:spacing w:after="240"/>
        <w:jc w:val="both"/>
        <w:rPr>
          <w:rFonts w:ascii="Arial" w:hAnsi="Arial" w:cs="Arial"/>
          <w:b/>
          <w:sz w:val="24"/>
          <w:szCs w:val="24"/>
        </w:rPr>
      </w:pPr>
      <w:r w:rsidRPr="001D6161">
        <w:rPr>
          <w:sz w:val="24"/>
          <w:szCs w:val="24"/>
        </w:rPr>
        <w:t>Refer to instructions for Item 1 in Section 3.</w:t>
      </w:r>
    </w:p>
    <w:p w14:paraId="7B3B514D" w14:textId="77777777" w:rsidR="001D6161" w:rsidRPr="001D6161" w:rsidRDefault="001D6161" w:rsidP="00F10D79">
      <w:pPr>
        <w:keepNext/>
        <w:numPr>
          <w:ilvl w:val="0"/>
          <w:numId w:val="27"/>
        </w:numPr>
        <w:spacing w:after="240"/>
        <w:ind w:left="567" w:hanging="567"/>
        <w:jc w:val="both"/>
        <w:rPr>
          <w:rFonts w:ascii="Arial" w:hAnsi="Arial" w:cs="Arial"/>
          <w:b/>
          <w:sz w:val="24"/>
          <w:szCs w:val="24"/>
        </w:rPr>
      </w:pPr>
      <w:r w:rsidRPr="001D6161">
        <w:rPr>
          <w:rFonts w:ascii="Arial" w:hAnsi="Arial" w:cs="Arial"/>
          <w:b/>
          <w:sz w:val="24"/>
          <w:szCs w:val="24"/>
        </w:rPr>
        <w:t>Total net loans and advances</w:t>
      </w:r>
    </w:p>
    <w:p w14:paraId="2DAAF6F4" w14:textId="77777777" w:rsidR="001D6161" w:rsidRPr="001D6161" w:rsidRDefault="001D6161" w:rsidP="00142495">
      <w:pPr>
        <w:spacing w:after="240"/>
        <w:jc w:val="both"/>
        <w:rPr>
          <w:sz w:val="24"/>
          <w:szCs w:val="24"/>
        </w:rPr>
      </w:pPr>
      <w:r w:rsidRPr="001D6161">
        <w:rPr>
          <w:sz w:val="24"/>
          <w:szCs w:val="24"/>
        </w:rPr>
        <w:t>Refer to instructions for Item 1 and Column 4 in Section 4.</w:t>
      </w:r>
    </w:p>
    <w:p w14:paraId="12D0AB69" w14:textId="77777777" w:rsidR="001D6161" w:rsidRPr="001D6161" w:rsidRDefault="001D6161" w:rsidP="00142495">
      <w:pPr>
        <w:numPr>
          <w:ilvl w:val="1"/>
          <w:numId w:val="27"/>
        </w:numPr>
        <w:spacing w:after="240"/>
        <w:ind w:left="851" w:hanging="851"/>
        <w:jc w:val="both"/>
        <w:rPr>
          <w:rFonts w:ascii="Arial" w:hAnsi="Arial" w:cs="Arial"/>
          <w:b/>
          <w:sz w:val="24"/>
          <w:szCs w:val="24"/>
        </w:rPr>
      </w:pPr>
      <w:r w:rsidRPr="001D6161">
        <w:rPr>
          <w:rFonts w:ascii="Arial" w:hAnsi="Arial" w:cs="Arial"/>
          <w:b/>
          <w:sz w:val="24"/>
          <w:szCs w:val="24"/>
        </w:rPr>
        <w:t>Balance outstanding</w:t>
      </w:r>
    </w:p>
    <w:p w14:paraId="6A4C9A88" w14:textId="77777777" w:rsidR="001D6161" w:rsidRPr="001D6161" w:rsidRDefault="001D6161" w:rsidP="00142495">
      <w:pPr>
        <w:spacing w:after="240"/>
        <w:ind w:left="851" w:hanging="851"/>
        <w:jc w:val="both"/>
        <w:rPr>
          <w:rFonts w:ascii="Arial" w:hAnsi="Arial" w:cs="Arial"/>
          <w:b/>
          <w:sz w:val="24"/>
          <w:szCs w:val="24"/>
        </w:rPr>
      </w:pPr>
      <w:r w:rsidRPr="001D6161">
        <w:rPr>
          <w:sz w:val="24"/>
          <w:szCs w:val="24"/>
        </w:rPr>
        <w:t>Refer to instructions for Item 1 and Column 1 in Section 4.</w:t>
      </w:r>
    </w:p>
    <w:p w14:paraId="17D146E0" w14:textId="77777777" w:rsidR="001D6161" w:rsidRPr="001D6161" w:rsidRDefault="001D6161" w:rsidP="00142495">
      <w:pPr>
        <w:numPr>
          <w:ilvl w:val="1"/>
          <w:numId w:val="27"/>
        </w:numPr>
        <w:spacing w:after="240"/>
        <w:ind w:left="851" w:hanging="851"/>
        <w:jc w:val="both"/>
        <w:rPr>
          <w:rFonts w:ascii="Arial" w:hAnsi="Arial" w:cs="Arial"/>
          <w:b/>
          <w:sz w:val="24"/>
          <w:szCs w:val="24"/>
        </w:rPr>
      </w:pPr>
      <w:r w:rsidRPr="001D6161">
        <w:rPr>
          <w:rFonts w:ascii="Arial" w:hAnsi="Arial" w:cs="Arial"/>
          <w:b/>
          <w:sz w:val="24"/>
          <w:szCs w:val="24"/>
        </w:rPr>
        <w:t>Value of security</w:t>
      </w:r>
    </w:p>
    <w:p w14:paraId="5298AF54" w14:textId="77777777" w:rsidR="001D6161" w:rsidRPr="001D6161" w:rsidRDefault="001D6161" w:rsidP="00142495">
      <w:pPr>
        <w:spacing w:after="240"/>
        <w:ind w:left="851" w:hanging="851"/>
        <w:jc w:val="both"/>
        <w:rPr>
          <w:rFonts w:ascii="Arial" w:hAnsi="Arial" w:cs="Arial"/>
          <w:b/>
          <w:sz w:val="24"/>
          <w:szCs w:val="24"/>
        </w:rPr>
      </w:pPr>
      <w:r w:rsidRPr="001D6161">
        <w:rPr>
          <w:sz w:val="24"/>
          <w:szCs w:val="24"/>
        </w:rPr>
        <w:t>Refer to instructions for Item 1 and Column 2 in Section 4.</w:t>
      </w:r>
    </w:p>
    <w:p w14:paraId="468B0CF2" w14:textId="77777777" w:rsidR="001D6161" w:rsidRPr="001D6161" w:rsidRDefault="001D6161" w:rsidP="00142495">
      <w:pPr>
        <w:numPr>
          <w:ilvl w:val="1"/>
          <w:numId w:val="27"/>
        </w:numPr>
        <w:spacing w:after="240"/>
        <w:ind w:left="851" w:hanging="851"/>
        <w:jc w:val="both"/>
        <w:rPr>
          <w:rFonts w:ascii="Arial" w:hAnsi="Arial" w:cs="Arial"/>
          <w:b/>
          <w:sz w:val="24"/>
          <w:szCs w:val="24"/>
        </w:rPr>
      </w:pPr>
      <w:r w:rsidRPr="001D6161">
        <w:rPr>
          <w:rFonts w:ascii="Arial" w:hAnsi="Arial" w:cs="Arial"/>
          <w:b/>
          <w:sz w:val="24"/>
          <w:szCs w:val="24"/>
        </w:rPr>
        <w:t>Provision for impairment</w:t>
      </w:r>
    </w:p>
    <w:p w14:paraId="5F7C7B2D" w14:textId="77777777" w:rsidR="001D6161" w:rsidRPr="001D6161" w:rsidRDefault="001D6161" w:rsidP="00142495">
      <w:pPr>
        <w:spacing w:after="240"/>
        <w:ind w:left="567" w:hanging="567"/>
        <w:jc w:val="both"/>
        <w:rPr>
          <w:rFonts w:ascii="Arial" w:hAnsi="Arial" w:cs="Arial"/>
          <w:b/>
          <w:sz w:val="24"/>
          <w:szCs w:val="24"/>
        </w:rPr>
      </w:pPr>
      <w:r w:rsidRPr="001D6161">
        <w:rPr>
          <w:sz w:val="24"/>
          <w:szCs w:val="24"/>
        </w:rPr>
        <w:t>Refer to instructions for Item 1 and Column 3 in Section 4.</w:t>
      </w:r>
    </w:p>
    <w:p w14:paraId="458E5054" w14:textId="77777777" w:rsidR="001D6161" w:rsidRPr="001D6161" w:rsidRDefault="001D6161" w:rsidP="00F10D79">
      <w:pPr>
        <w:keepNext/>
        <w:numPr>
          <w:ilvl w:val="0"/>
          <w:numId w:val="27"/>
        </w:numPr>
        <w:spacing w:after="240"/>
        <w:ind w:left="567" w:hanging="567"/>
        <w:jc w:val="both"/>
        <w:rPr>
          <w:rFonts w:ascii="Arial" w:hAnsi="Arial" w:cs="Arial"/>
          <w:b/>
          <w:sz w:val="24"/>
          <w:szCs w:val="24"/>
        </w:rPr>
      </w:pPr>
      <w:r w:rsidRPr="001D6161">
        <w:rPr>
          <w:rFonts w:ascii="Arial" w:hAnsi="Arial" w:cs="Arial"/>
          <w:b/>
          <w:sz w:val="24"/>
          <w:szCs w:val="24"/>
        </w:rPr>
        <w:t>Total holdings in indirect investment vehicles</w:t>
      </w:r>
    </w:p>
    <w:p w14:paraId="7FAC7E54" w14:textId="77777777" w:rsidR="00760AC5" w:rsidRPr="001D6161" w:rsidRDefault="001D6161" w:rsidP="00142495">
      <w:pPr>
        <w:spacing w:after="240"/>
        <w:jc w:val="both"/>
        <w:rPr>
          <w:rFonts w:ascii="Arial" w:hAnsi="Arial" w:cs="Arial"/>
          <w:b/>
          <w:sz w:val="24"/>
          <w:szCs w:val="24"/>
        </w:rPr>
      </w:pPr>
      <w:r w:rsidRPr="001D6161">
        <w:rPr>
          <w:sz w:val="24"/>
          <w:szCs w:val="24"/>
        </w:rPr>
        <w:t>Refer to instructions for Item 1 in Section 5.</w:t>
      </w:r>
    </w:p>
    <w:sectPr w:rsidR="00760AC5" w:rsidRPr="001D6161" w:rsidSect="00E47CB2">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E788" w14:textId="77777777" w:rsidR="004376B1" w:rsidRDefault="004376B1" w:rsidP="00CC70E3">
      <w:r>
        <w:separator/>
      </w:r>
    </w:p>
  </w:endnote>
  <w:endnote w:type="continuationSeparator" w:id="0">
    <w:p w14:paraId="7B3BC3E2" w14:textId="77777777" w:rsidR="004376B1" w:rsidRDefault="004376B1" w:rsidP="00CC70E3">
      <w:r>
        <w:continuationSeparator/>
      </w:r>
    </w:p>
  </w:endnote>
  <w:endnote w:type="continuationNotice" w:id="1">
    <w:p w14:paraId="034051FD" w14:textId="77777777" w:rsidR="003438AB" w:rsidRDefault="0034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F2E0" w14:textId="77777777" w:rsidR="001D6161" w:rsidRPr="00540965" w:rsidRDefault="001D6161"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F5ED" w14:textId="77777777" w:rsidR="00B52458" w:rsidRPr="00605308" w:rsidRDefault="00B52458" w:rsidP="005B7824">
    <w:pPr>
      <w:pStyle w:val="Footer"/>
      <w:framePr w:wrap="around" w:vAnchor="text" w:hAnchor="margin" w:xAlign="right" w:y="1"/>
      <w:jc w:val="right"/>
      <w:rPr>
        <w:b/>
        <w:sz w:val="24"/>
        <w:szCs w:val="24"/>
      </w:rPr>
    </w:pPr>
    <w:r w:rsidRPr="00605308">
      <w:rPr>
        <w:b/>
        <w:sz w:val="24"/>
        <w:szCs w:val="24"/>
      </w:rPr>
      <w:t xml:space="preserve">GRS 114.4 - </w:t>
    </w:r>
    <w:r w:rsidRPr="00605308">
      <w:rPr>
        <w:rStyle w:val="PageNumber"/>
        <w:b/>
        <w:sz w:val="24"/>
        <w:szCs w:val="24"/>
      </w:rPr>
      <w:fldChar w:fldCharType="begin"/>
    </w:r>
    <w:r w:rsidRPr="00605308">
      <w:rPr>
        <w:rStyle w:val="PageNumber"/>
        <w:b/>
        <w:sz w:val="24"/>
        <w:szCs w:val="24"/>
      </w:rPr>
      <w:instrText xml:space="preserve"> PAGE </w:instrText>
    </w:r>
    <w:r w:rsidRPr="00605308">
      <w:rPr>
        <w:rStyle w:val="PageNumber"/>
        <w:b/>
        <w:sz w:val="24"/>
        <w:szCs w:val="24"/>
      </w:rPr>
      <w:fldChar w:fldCharType="separate"/>
    </w:r>
    <w:r w:rsidRPr="00605308">
      <w:rPr>
        <w:rStyle w:val="PageNumber"/>
        <w:b/>
        <w:noProof/>
        <w:sz w:val="24"/>
        <w:szCs w:val="24"/>
      </w:rPr>
      <w:t>5</w:t>
    </w:r>
    <w:r w:rsidRPr="00605308">
      <w:rPr>
        <w:rStyle w:val="PageNumber"/>
        <w:b/>
        <w:sz w:val="24"/>
        <w:szCs w:val="24"/>
      </w:rPr>
      <w:fldChar w:fldCharType="end"/>
    </w:r>
  </w:p>
  <w:p w14:paraId="00447066" w14:textId="77777777" w:rsidR="00B52458" w:rsidRPr="009C0CA4" w:rsidRDefault="00B52458"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542C" w14:textId="77777777" w:rsidR="00B52458" w:rsidRPr="00605308" w:rsidRDefault="00B52458" w:rsidP="00E339E7">
    <w:pPr>
      <w:pStyle w:val="Footer"/>
      <w:framePr w:wrap="around" w:vAnchor="text" w:hAnchor="margin" w:xAlign="right" w:y="1"/>
      <w:jc w:val="right"/>
      <w:rPr>
        <w:b/>
        <w:sz w:val="24"/>
        <w:szCs w:val="24"/>
      </w:rPr>
    </w:pPr>
    <w:r w:rsidRPr="00605308">
      <w:rPr>
        <w:b/>
        <w:sz w:val="24"/>
        <w:szCs w:val="24"/>
      </w:rPr>
      <w:t xml:space="preserve">GRS 114.4 - </w:t>
    </w:r>
    <w:r w:rsidRPr="00605308">
      <w:rPr>
        <w:rStyle w:val="PageNumber"/>
        <w:b/>
        <w:sz w:val="24"/>
        <w:szCs w:val="24"/>
      </w:rPr>
      <w:fldChar w:fldCharType="begin"/>
    </w:r>
    <w:r w:rsidRPr="00605308">
      <w:rPr>
        <w:rStyle w:val="PageNumber"/>
        <w:b/>
        <w:sz w:val="24"/>
        <w:szCs w:val="24"/>
      </w:rPr>
      <w:instrText xml:space="preserve"> PAGE </w:instrText>
    </w:r>
    <w:r w:rsidRPr="00605308">
      <w:rPr>
        <w:rStyle w:val="PageNumber"/>
        <w:b/>
        <w:sz w:val="24"/>
        <w:szCs w:val="24"/>
      </w:rPr>
      <w:fldChar w:fldCharType="separate"/>
    </w:r>
    <w:r w:rsidRPr="00605308">
      <w:rPr>
        <w:rStyle w:val="PageNumber"/>
        <w:b/>
        <w:noProof/>
        <w:sz w:val="24"/>
        <w:szCs w:val="24"/>
      </w:rPr>
      <w:t>1</w:t>
    </w:r>
    <w:r w:rsidRPr="00605308">
      <w:rPr>
        <w:rStyle w:val="PageNumber"/>
        <w:b/>
        <w:sz w:val="24"/>
        <w:szCs w:val="24"/>
      </w:rPr>
      <w:fldChar w:fldCharType="end"/>
    </w:r>
  </w:p>
  <w:p w14:paraId="4D08F021" w14:textId="77777777" w:rsidR="00B52458" w:rsidRPr="00540965" w:rsidRDefault="00B52458"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FC75" w14:textId="77777777" w:rsidR="001D6161" w:rsidRPr="00605308" w:rsidRDefault="001D6161" w:rsidP="005B7824">
    <w:pPr>
      <w:pStyle w:val="Footer"/>
      <w:framePr w:wrap="around" w:vAnchor="text" w:hAnchor="margin" w:xAlign="right" w:y="1"/>
      <w:jc w:val="right"/>
      <w:rPr>
        <w:b/>
        <w:sz w:val="24"/>
        <w:szCs w:val="24"/>
      </w:rPr>
    </w:pPr>
    <w:r w:rsidRPr="00605308">
      <w:rPr>
        <w:b/>
        <w:sz w:val="24"/>
        <w:szCs w:val="24"/>
      </w:rPr>
      <w:t xml:space="preserve">GRF 114.4 Form - </w:t>
    </w:r>
    <w:r w:rsidRPr="00605308">
      <w:rPr>
        <w:rStyle w:val="PageNumber"/>
        <w:b/>
        <w:sz w:val="24"/>
        <w:szCs w:val="24"/>
      </w:rPr>
      <w:fldChar w:fldCharType="begin"/>
    </w:r>
    <w:r w:rsidRPr="00605308">
      <w:rPr>
        <w:rStyle w:val="PageNumber"/>
        <w:b/>
        <w:sz w:val="24"/>
        <w:szCs w:val="24"/>
      </w:rPr>
      <w:instrText xml:space="preserve"> PAGE </w:instrText>
    </w:r>
    <w:r w:rsidRPr="00605308">
      <w:rPr>
        <w:rStyle w:val="PageNumber"/>
        <w:b/>
        <w:sz w:val="24"/>
        <w:szCs w:val="24"/>
      </w:rPr>
      <w:fldChar w:fldCharType="separate"/>
    </w:r>
    <w:r w:rsidR="0031630A" w:rsidRPr="00605308">
      <w:rPr>
        <w:rStyle w:val="PageNumber"/>
        <w:b/>
        <w:noProof/>
        <w:sz w:val="24"/>
        <w:szCs w:val="24"/>
      </w:rPr>
      <w:t>5</w:t>
    </w:r>
    <w:r w:rsidRPr="00605308">
      <w:rPr>
        <w:rStyle w:val="PageNumber"/>
        <w:b/>
        <w:sz w:val="24"/>
        <w:szCs w:val="24"/>
      </w:rPr>
      <w:fldChar w:fldCharType="end"/>
    </w:r>
  </w:p>
  <w:p w14:paraId="5030F589" w14:textId="77777777" w:rsidR="001D6161" w:rsidRPr="009C0CA4" w:rsidRDefault="001D6161" w:rsidP="005B7824">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1B6D" w14:textId="77777777" w:rsidR="001D6161" w:rsidRPr="00540965" w:rsidRDefault="001D6161" w:rsidP="005B7824">
    <w:pPr>
      <w:pStyle w:val="Footer"/>
      <w:jc w:val="right"/>
      <w:rPr>
        <w:b/>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68AB" w14:textId="77777777" w:rsidR="001D6161" w:rsidRDefault="001D61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8406" w14:textId="77777777" w:rsidR="001D6161" w:rsidRPr="00605308" w:rsidRDefault="001D6161" w:rsidP="001D6161">
    <w:pPr>
      <w:pStyle w:val="Footer"/>
      <w:jc w:val="right"/>
      <w:rPr>
        <w:b/>
        <w:sz w:val="24"/>
        <w:szCs w:val="24"/>
      </w:rPr>
    </w:pPr>
    <w:r w:rsidRPr="00605308">
      <w:rPr>
        <w:b/>
        <w:sz w:val="24"/>
        <w:szCs w:val="24"/>
      </w:rPr>
      <w:t xml:space="preserve">GRF 114.4 Instructions - </w:t>
    </w:r>
    <w:r w:rsidRPr="00605308">
      <w:rPr>
        <w:rStyle w:val="PageNumber"/>
        <w:b/>
        <w:sz w:val="24"/>
        <w:szCs w:val="24"/>
      </w:rPr>
      <w:fldChar w:fldCharType="begin"/>
    </w:r>
    <w:r w:rsidRPr="00605308">
      <w:rPr>
        <w:rStyle w:val="PageNumber"/>
        <w:b/>
        <w:sz w:val="24"/>
        <w:szCs w:val="24"/>
      </w:rPr>
      <w:instrText xml:space="preserve"> PAGE </w:instrText>
    </w:r>
    <w:r w:rsidRPr="00605308">
      <w:rPr>
        <w:rStyle w:val="PageNumber"/>
        <w:b/>
        <w:sz w:val="24"/>
        <w:szCs w:val="24"/>
      </w:rPr>
      <w:fldChar w:fldCharType="separate"/>
    </w:r>
    <w:r w:rsidR="0031630A" w:rsidRPr="00605308">
      <w:rPr>
        <w:rStyle w:val="PageNumber"/>
        <w:b/>
        <w:noProof/>
        <w:sz w:val="24"/>
        <w:szCs w:val="24"/>
      </w:rPr>
      <w:t>16</w:t>
    </w:r>
    <w:r w:rsidRPr="00605308">
      <w:rPr>
        <w:rStyle w:val="PageNumber"/>
        <w:b/>
        <w:sz w:val="24"/>
        <w:szCs w:val="24"/>
      </w:rPr>
      <w:fldChar w:fldCharType="end"/>
    </w:r>
  </w:p>
  <w:p w14:paraId="05DD9A40" w14:textId="77777777" w:rsidR="001D6161" w:rsidRPr="003C6BD0" w:rsidRDefault="001D6161" w:rsidP="001D6161">
    <w:pPr>
      <w:pStyle w:val="Footer"/>
      <w:rPr>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1119" w14:textId="77777777" w:rsidR="001D6161" w:rsidRDefault="001D6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6DAF" w14:textId="77777777" w:rsidR="004376B1" w:rsidRDefault="004376B1" w:rsidP="00CC70E3">
      <w:r>
        <w:separator/>
      </w:r>
    </w:p>
  </w:footnote>
  <w:footnote w:type="continuationSeparator" w:id="0">
    <w:p w14:paraId="20438742" w14:textId="77777777" w:rsidR="004376B1" w:rsidRDefault="004376B1" w:rsidP="00CC70E3">
      <w:r>
        <w:continuationSeparator/>
      </w:r>
    </w:p>
  </w:footnote>
  <w:footnote w:type="continuationNotice" w:id="1">
    <w:p w14:paraId="6C37301C" w14:textId="77777777" w:rsidR="003438AB" w:rsidRDefault="0034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197F" w14:textId="5C98B0BA" w:rsidR="001D6161" w:rsidRPr="00605308" w:rsidRDefault="001D6161" w:rsidP="00FF0FE3">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D41A" w14:textId="68C0A7D6" w:rsidR="001D6161" w:rsidRPr="00605308" w:rsidRDefault="001D6161" w:rsidP="00605308">
    <w:pPr>
      <w:pStyle w:val="Header"/>
      <w:tabs>
        <w:tab w:val="clear" w:pos="8640"/>
        <w:tab w:val="right" w:pos="8364"/>
      </w:tabs>
      <w:jc w:val="right"/>
      <w:rPr>
        <w:b/>
        <w:sz w:val="24"/>
        <w:szCs w:val="24"/>
      </w:rPr>
    </w:pPr>
    <w:r>
      <w:tab/>
    </w:r>
    <w:r>
      <w:rPr>
        <w:sz w:val="24"/>
        <w:szCs w:val="24"/>
      </w:rPr>
      <w:tab/>
    </w:r>
  </w:p>
  <w:p w14:paraId="73C3CB13" w14:textId="77777777" w:rsidR="001D6161" w:rsidRPr="00D74779" w:rsidRDefault="001D6161"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162" w14:textId="77777777" w:rsidR="00B52458" w:rsidRPr="00605308" w:rsidRDefault="00B52458" w:rsidP="00FF0FE3">
    <w:pPr>
      <w:pStyle w:val="Header"/>
      <w:tabs>
        <w:tab w:val="clear" w:pos="8640"/>
        <w:tab w:val="right" w:pos="8364"/>
      </w:tabs>
      <w:jc w:val="right"/>
      <w:rPr>
        <w:b/>
        <w:sz w:val="24"/>
        <w:szCs w:val="24"/>
      </w:rPr>
    </w:pPr>
    <w:r>
      <w:rPr>
        <w:sz w:val="24"/>
        <w:szCs w:val="24"/>
      </w:rPr>
      <w:tab/>
    </w:r>
    <w:r>
      <w:rPr>
        <w:sz w:val="24"/>
        <w:szCs w:val="24"/>
      </w:rPr>
      <w:tab/>
    </w:r>
    <w:r w:rsidRPr="00605308">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C749" w14:textId="77777777" w:rsidR="00B52458" w:rsidRPr="00605308" w:rsidRDefault="00B52458" w:rsidP="00605308">
    <w:pPr>
      <w:pStyle w:val="Header"/>
      <w:tabs>
        <w:tab w:val="clear" w:pos="8640"/>
        <w:tab w:val="right" w:pos="8364"/>
      </w:tabs>
      <w:jc w:val="right"/>
      <w:rPr>
        <w:b/>
        <w:sz w:val="24"/>
        <w:szCs w:val="24"/>
      </w:rPr>
    </w:pPr>
    <w:r>
      <w:tab/>
    </w:r>
    <w:r>
      <w:rPr>
        <w:sz w:val="24"/>
        <w:szCs w:val="24"/>
      </w:rPr>
      <w:tab/>
    </w:r>
    <w:r w:rsidRPr="00605308">
      <w:rPr>
        <w:b/>
        <w:sz w:val="24"/>
        <w:szCs w:val="24"/>
      </w:rPr>
      <w:t>April 2023</w:t>
    </w:r>
  </w:p>
  <w:p w14:paraId="4F61FC7B" w14:textId="77777777" w:rsidR="00B52458" w:rsidRPr="00D74779" w:rsidRDefault="00B52458"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B16F" w14:textId="1F61E159" w:rsidR="001D6161" w:rsidRPr="00605308" w:rsidRDefault="001D6161" w:rsidP="00605308">
    <w:pPr>
      <w:pStyle w:val="Header"/>
      <w:tabs>
        <w:tab w:val="clear" w:pos="8640"/>
        <w:tab w:val="right" w:pos="8364"/>
      </w:tabs>
      <w:jc w:val="right"/>
      <w:rPr>
        <w:b/>
        <w:sz w:val="24"/>
        <w:szCs w:val="24"/>
      </w:rPr>
    </w:pPr>
    <w:r>
      <w:rPr>
        <w:sz w:val="24"/>
        <w:szCs w:val="24"/>
      </w:rPr>
      <w:tab/>
    </w:r>
    <w:r>
      <w:rPr>
        <w:sz w:val="24"/>
        <w:szCs w:val="24"/>
      </w:rPr>
      <w:tab/>
    </w:r>
    <w:r w:rsidR="00CB1E95" w:rsidRPr="00605308">
      <w:rPr>
        <w:b/>
        <w:sz w:val="24"/>
        <w:szCs w:val="24"/>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5D78" w14:textId="77777777" w:rsidR="001D6161" w:rsidRPr="00D74779" w:rsidRDefault="001D6161" w:rsidP="005B7824">
    <w:pPr>
      <w:pStyle w:val="Header"/>
      <w:tabs>
        <w:tab w:val="clear" w:pos="8640"/>
        <w:tab w:val="right" w:pos="8364"/>
      </w:tabs>
      <w:jc w:val="both"/>
      <w:rPr>
        <w:sz w:val="24"/>
        <w:szCs w:val="24"/>
      </w:rPr>
    </w:pPr>
    <w:r>
      <w:rPr>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2703" w14:textId="77777777" w:rsidR="001D6161" w:rsidRDefault="001D61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37B5" w14:textId="6A05CFF6" w:rsidR="001D6161" w:rsidRPr="00605308" w:rsidRDefault="001D6161" w:rsidP="00605308">
    <w:pPr>
      <w:pStyle w:val="Header"/>
      <w:tabs>
        <w:tab w:val="right" w:pos="8364"/>
      </w:tabs>
      <w:jc w:val="right"/>
      <w:rPr>
        <w:b/>
        <w:sz w:val="24"/>
        <w:szCs w:val="24"/>
      </w:rPr>
    </w:pPr>
    <w:r w:rsidRPr="001D6161">
      <w:rPr>
        <w:b/>
        <w:sz w:val="24"/>
        <w:szCs w:val="24"/>
      </w:rPr>
      <w:tab/>
    </w:r>
    <w:r w:rsidRPr="001D6161">
      <w:rPr>
        <w:sz w:val="24"/>
        <w:szCs w:val="24"/>
      </w:rPr>
      <w:tab/>
    </w:r>
    <w:r w:rsidR="00DF0C4B" w:rsidRPr="00605308">
      <w:rPr>
        <w:b/>
        <w:sz w:val="24"/>
        <w:szCs w:val="24"/>
      </w:rPr>
      <w:t>April 2023</w:t>
    </w:r>
  </w:p>
  <w:p w14:paraId="3625F02C" w14:textId="77777777" w:rsidR="001D6161" w:rsidRDefault="001D6161" w:rsidP="001D61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C3B5" w14:textId="77777777" w:rsidR="001D6161" w:rsidRDefault="001D6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632"/>
    <w:multiLevelType w:val="multilevel"/>
    <w:tmpl w:val="47B43326"/>
    <w:numStyleLink w:val="D2Aformnumbering"/>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B9577EB"/>
    <w:multiLevelType w:val="multilevel"/>
    <w:tmpl w:val="47B43326"/>
    <w:numStyleLink w:val="D2Aformnumbering"/>
  </w:abstractNum>
  <w:abstractNum w:abstractNumId="4" w15:restartNumberingAfterBreak="0">
    <w:nsid w:val="0F0F67F9"/>
    <w:multiLevelType w:val="multilevel"/>
    <w:tmpl w:val="F4AADE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DB6CCA"/>
    <w:multiLevelType w:val="multilevel"/>
    <w:tmpl w:val="47B43326"/>
    <w:numStyleLink w:val="D2Aformnumbering"/>
  </w:abstractNum>
  <w:abstractNum w:abstractNumId="6" w15:restartNumberingAfterBreak="0">
    <w:nsid w:val="10CB5DF8"/>
    <w:multiLevelType w:val="hybridMultilevel"/>
    <w:tmpl w:val="FDBE15CE"/>
    <w:lvl w:ilvl="0" w:tplc="0C09000F">
      <w:start w:val="1"/>
      <w:numFmt w:val="decimal"/>
      <w:lvlText w:val="%1."/>
      <w:lvlJc w:val="left"/>
      <w:pPr>
        <w:ind w:left="720" w:hanging="360"/>
      </w:pPr>
    </w:lvl>
    <w:lvl w:ilvl="1" w:tplc="CF4C21F8">
      <w:start w:val="1"/>
      <w:numFmt w:val="decimal"/>
      <w:lvlText w:val="4.%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75350D"/>
    <w:multiLevelType w:val="hybridMultilevel"/>
    <w:tmpl w:val="A596FCB4"/>
    <w:lvl w:ilvl="0" w:tplc="4FB43BB2">
      <w:start w:val="1"/>
      <w:numFmt w:val="decimal"/>
      <w:pStyle w:val="Style3"/>
      <w:lvlText w:val="2.%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195F67"/>
    <w:multiLevelType w:val="hybridMultilevel"/>
    <w:tmpl w:val="900CB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9B4503"/>
    <w:multiLevelType w:val="multilevel"/>
    <w:tmpl w:val="47B43326"/>
    <w:numStyleLink w:val="D2Aformnumbering"/>
  </w:abstractNum>
  <w:abstractNum w:abstractNumId="12" w15:restartNumberingAfterBreak="0">
    <w:nsid w:val="1F1B1011"/>
    <w:multiLevelType w:val="hybridMultilevel"/>
    <w:tmpl w:val="C07CE87A"/>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0B6BAB"/>
    <w:multiLevelType w:val="multilevel"/>
    <w:tmpl w:val="BB20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857F2"/>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5" w15:restartNumberingAfterBreak="0">
    <w:nsid w:val="2D4F69ED"/>
    <w:multiLevelType w:val="multilevel"/>
    <w:tmpl w:val="47B43326"/>
    <w:numStyleLink w:val="D2Aformnumbering"/>
  </w:abstractNum>
  <w:abstractNum w:abstractNumId="16" w15:restartNumberingAfterBreak="0">
    <w:nsid w:val="2D6C46EE"/>
    <w:multiLevelType w:val="hybridMultilevel"/>
    <w:tmpl w:val="BEF0AABA"/>
    <w:lvl w:ilvl="0" w:tplc="1D02183C">
      <w:start w:val="1"/>
      <w:numFmt w:val="decimal"/>
      <w:pStyle w:val="Style2"/>
      <w:lvlText w:val="%1."/>
      <w:lvlJc w:val="left"/>
      <w:pPr>
        <w:ind w:left="644" w:hanging="360"/>
      </w:pPr>
      <w:rPr>
        <w:rFonts w:hint="default"/>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AD5DFF"/>
    <w:multiLevelType w:val="multilevel"/>
    <w:tmpl w:val="817836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9A0957"/>
    <w:multiLevelType w:val="hybridMultilevel"/>
    <w:tmpl w:val="DD164CBA"/>
    <w:lvl w:ilvl="0" w:tplc="0C090005">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D22F53"/>
    <w:multiLevelType w:val="multilevel"/>
    <w:tmpl w:val="47B43326"/>
    <w:numStyleLink w:val="D2Aformnumbering"/>
  </w:abstractNum>
  <w:abstractNum w:abstractNumId="23" w15:restartNumberingAfterBreak="0">
    <w:nsid w:val="45410E0D"/>
    <w:multiLevelType w:val="hybridMultilevel"/>
    <w:tmpl w:val="0318EE4E"/>
    <w:lvl w:ilvl="0" w:tplc="AB8A4878">
      <w:start w:val="1"/>
      <w:numFmt w:val="decimal"/>
      <w:pStyle w:val="Style5"/>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477226"/>
    <w:multiLevelType w:val="hybridMultilevel"/>
    <w:tmpl w:val="722459EE"/>
    <w:lvl w:ilvl="0" w:tplc="CF4C21F8">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C9668E"/>
    <w:multiLevelType w:val="hybridMultilevel"/>
    <w:tmpl w:val="64D49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7" w15:restartNumberingAfterBreak="0">
    <w:nsid w:val="5A652D4C"/>
    <w:multiLevelType w:val="hybridMultilevel"/>
    <w:tmpl w:val="5B483426"/>
    <w:lvl w:ilvl="0" w:tplc="CCD46BDE">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9" w15:restartNumberingAfterBreak="0">
    <w:nsid w:val="5C5329BD"/>
    <w:multiLevelType w:val="multilevel"/>
    <w:tmpl w:val="7158BC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C62EF8"/>
    <w:multiLevelType w:val="multilevel"/>
    <w:tmpl w:val="47B43326"/>
    <w:numStyleLink w:val="D2Aformnumbering"/>
  </w:abstractNum>
  <w:abstractNum w:abstractNumId="31"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72A11D6"/>
    <w:multiLevelType w:val="multilevel"/>
    <w:tmpl w:val="7158BC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D90802"/>
    <w:multiLevelType w:val="multilevel"/>
    <w:tmpl w:val="47B43326"/>
    <w:numStyleLink w:val="D2Aformnumbering"/>
  </w:abstractNum>
  <w:abstractNum w:abstractNumId="35"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AC04C6"/>
    <w:multiLevelType w:val="multilevel"/>
    <w:tmpl w:val="7158BC0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F45558"/>
    <w:multiLevelType w:val="hybridMultilevel"/>
    <w:tmpl w:val="A190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292948">
    <w:abstractNumId w:val="28"/>
  </w:num>
  <w:num w:numId="2" w16cid:durableId="1255628370">
    <w:abstractNumId w:val="1"/>
  </w:num>
  <w:num w:numId="3" w16cid:durableId="1657757612">
    <w:abstractNumId w:val="20"/>
  </w:num>
  <w:num w:numId="4" w16cid:durableId="1964996405">
    <w:abstractNumId w:val="32"/>
  </w:num>
  <w:num w:numId="5" w16cid:durableId="805391069">
    <w:abstractNumId w:val="9"/>
  </w:num>
  <w:num w:numId="6" w16cid:durableId="923538100">
    <w:abstractNumId w:val="19"/>
  </w:num>
  <w:num w:numId="7" w16cid:durableId="1968048391">
    <w:abstractNumId w:val="2"/>
  </w:num>
  <w:num w:numId="8" w16cid:durableId="211159327">
    <w:abstractNumId w:val="10"/>
  </w:num>
  <w:num w:numId="9" w16cid:durableId="762144984">
    <w:abstractNumId w:val="21"/>
  </w:num>
  <w:num w:numId="10" w16cid:durableId="906957813">
    <w:abstractNumId w:val="31"/>
  </w:num>
  <w:num w:numId="11" w16cid:durableId="930427422">
    <w:abstractNumId w:val="16"/>
  </w:num>
  <w:num w:numId="12" w16cid:durableId="1844396709">
    <w:abstractNumId w:val="7"/>
  </w:num>
  <w:num w:numId="13" w16cid:durableId="2027101092">
    <w:abstractNumId w:val="37"/>
  </w:num>
  <w:num w:numId="14" w16cid:durableId="688602500">
    <w:abstractNumId w:val="24"/>
  </w:num>
  <w:num w:numId="15" w16cid:durableId="1150361351">
    <w:abstractNumId w:val="16"/>
    <w:lvlOverride w:ilvl="0">
      <w:startOverride w:val="1"/>
    </w:lvlOverride>
  </w:num>
  <w:num w:numId="16" w16cid:durableId="875779785">
    <w:abstractNumId w:val="23"/>
  </w:num>
  <w:num w:numId="17" w16cid:durableId="1828591897">
    <w:abstractNumId w:val="16"/>
    <w:lvlOverride w:ilvl="0">
      <w:startOverride w:val="1"/>
    </w:lvlOverride>
  </w:num>
  <w:num w:numId="18" w16cid:durableId="425420925">
    <w:abstractNumId w:val="7"/>
    <w:lvlOverride w:ilvl="0">
      <w:startOverride w:val="1"/>
    </w:lvlOverride>
  </w:num>
  <w:num w:numId="19" w16cid:durableId="378209085">
    <w:abstractNumId w:val="25"/>
  </w:num>
  <w:num w:numId="20" w16cid:durableId="835655460">
    <w:abstractNumId w:val="8"/>
  </w:num>
  <w:num w:numId="21" w16cid:durableId="217017984">
    <w:abstractNumId w:val="16"/>
    <w:lvlOverride w:ilvl="0">
      <w:startOverride w:val="1"/>
    </w:lvlOverride>
  </w:num>
  <w:num w:numId="22" w16cid:durableId="1796095127">
    <w:abstractNumId w:val="23"/>
    <w:lvlOverride w:ilvl="0">
      <w:startOverride w:val="1"/>
    </w:lvlOverride>
  </w:num>
  <w:num w:numId="23" w16cid:durableId="1277256150">
    <w:abstractNumId w:val="7"/>
    <w:lvlOverride w:ilvl="0">
      <w:startOverride w:val="12"/>
    </w:lvlOverride>
  </w:num>
  <w:num w:numId="24" w16cid:durableId="380640768">
    <w:abstractNumId w:val="13"/>
  </w:num>
  <w:num w:numId="25" w16cid:durableId="1698582305">
    <w:abstractNumId w:val="16"/>
    <w:lvlOverride w:ilvl="0">
      <w:startOverride w:val="1"/>
    </w:lvlOverride>
  </w:num>
  <w:num w:numId="26" w16cid:durableId="1400713560">
    <w:abstractNumId w:val="27"/>
  </w:num>
  <w:num w:numId="27" w16cid:durableId="1544170862">
    <w:abstractNumId w:val="6"/>
  </w:num>
  <w:num w:numId="28" w16cid:durableId="250702328">
    <w:abstractNumId w:val="4"/>
  </w:num>
  <w:num w:numId="29" w16cid:durableId="166288857">
    <w:abstractNumId w:val="17"/>
  </w:num>
  <w:num w:numId="30" w16cid:durableId="2086873998">
    <w:abstractNumId w:val="36"/>
  </w:num>
  <w:num w:numId="31" w16cid:durableId="749500258">
    <w:abstractNumId w:val="29"/>
  </w:num>
  <w:num w:numId="32" w16cid:durableId="141510008">
    <w:abstractNumId w:val="33"/>
  </w:num>
  <w:num w:numId="33" w16cid:durableId="846988333">
    <w:abstractNumId w:val="26"/>
  </w:num>
  <w:num w:numId="34" w16cid:durableId="698553888">
    <w:abstractNumId w:val="5"/>
  </w:num>
  <w:num w:numId="35" w16cid:durableId="56174568">
    <w:abstractNumId w:val="34"/>
  </w:num>
  <w:num w:numId="36" w16cid:durableId="1733577907">
    <w:abstractNumId w:val="30"/>
  </w:num>
  <w:num w:numId="37" w16cid:durableId="20054688">
    <w:abstractNumId w:val="3"/>
  </w:num>
  <w:num w:numId="38" w16cid:durableId="2143111574">
    <w:abstractNumId w:val="15"/>
    <w:lvlOverride w:ilvl="0">
      <w:lvl w:ilvl="0">
        <w:start w:val="1"/>
        <w:numFmt w:val="decimal"/>
        <w:suff w:val="space"/>
        <w:lvlText w:val="%1."/>
        <w:lvlJc w:val="left"/>
        <w:pPr>
          <w:ind w:left="0" w:firstLine="0"/>
        </w:pPr>
        <w:rPr>
          <w:rFonts w:hint="default"/>
          <w:b/>
        </w:rPr>
      </w:lvl>
    </w:lvlOverride>
  </w:num>
  <w:num w:numId="39" w16cid:durableId="1859005346">
    <w:abstractNumId w:val="22"/>
  </w:num>
  <w:num w:numId="40" w16cid:durableId="2083406241">
    <w:abstractNumId w:val="0"/>
  </w:num>
  <w:num w:numId="41" w16cid:durableId="1349868202">
    <w:abstractNumId w:val="11"/>
  </w:num>
  <w:num w:numId="42" w16cid:durableId="337512960">
    <w:abstractNumId w:val="14"/>
  </w:num>
  <w:num w:numId="43" w16cid:durableId="1234050486">
    <w:abstractNumId w:val="18"/>
  </w:num>
  <w:num w:numId="44" w16cid:durableId="1246308508">
    <w:abstractNumId w:val="35"/>
  </w:num>
  <w:num w:numId="45" w16cid:durableId="23266780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34FC"/>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61C"/>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6B6"/>
    <w:rsid w:val="00072B28"/>
    <w:rsid w:val="000737B7"/>
    <w:rsid w:val="00073D2B"/>
    <w:rsid w:val="0007450A"/>
    <w:rsid w:val="000762D3"/>
    <w:rsid w:val="000768A6"/>
    <w:rsid w:val="00077487"/>
    <w:rsid w:val="00077600"/>
    <w:rsid w:val="00082470"/>
    <w:rsid w:val="00083821"/>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2495"/>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0CD2"/>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161"/>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578"/>
    <w:rsid w:val="00217E36"/>
    <w:rsid w:val="0022034A"/>
    <w:rsid w:val="00220357"/>
    <w:rsid w:val="00220DEC"/>
    <w:rsid w:val="002210C3"/>
    <w:rsid w:val="00221473"/>
    <w:rsid w:val="00221D44"/>
    <w:rsid w:val="00223165"/>
    <w:rsid w:val="00223665"/>
    <w:rsid w:val="0022560D"/>
    <w:rsid w:val="00225A9B"/>
    <w:rsid w:val="00225D6F"/>
    <w:rsid w:val="00226A2D"/>
    <w:rsid w:val="00226ADC"/>
    <w:rsid w:val="00226B89"/>
    <w:rsid w:val="00230CDC"/>
    <w:rsid w:val="00232868"/>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56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2824"/>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C7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2382"/>
    <w:rsid w:val="002E54E2"/>
    <w:rsid w:val="002E56A2"/>
    <w:rsid w:val="002E5968"/>
    <w:rsid w:val="002E6B9D"/>
    <w:rsid w:val="002F04D9"/>
    <w:rsid w:val="002F1766"/>
    <w:rsid w:val="002F1CC9"/>
    <w:rsid w:val="002F459F"/>
    <w:rsid w:val="002F53FF"/>
    <w:rsid w:val="002F5C89"/>
    <w:rsid w:val="002F6E20"/>
    <w:rsid w:val="00300D7F"/>
    <w:rsid w:val="003020B3"/>
    <w:rsid w:val="003027A8"/>
    <w:rsid w:val="00303209"/>
    <w:rsid w:val="00306179"/>
    <w:rsid w:val="00306961"/>
    <w:rsid w:val="00307189"/>
    <w:rsid w:val="003134B8"/>
    <w:rsid w:val="00313B1C"/>
    <w:rsid w:val="00313C83"/>
    <w:rsid w:val="0031458D"/>
    <w:rsid w:val="00315589"/>
    <w:rsid w:val="0031620F"/>
    <w:rsid w:val="0031630A"/>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2439"/>
    <w:rsid w:val="00342D1D"/>
    <w:rsid w:val="003438AB"/>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602C"/>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4CA6"/>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375D"/>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23C5"/>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B1"/>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775"/>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71D"/>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063"/>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5490"/>
    <w:rsid w:val="005F77DB"/>
    <w:rsid w:val="005F7A1D"/>
    <w:rsid w:val="005F7B6A"/>
    <w:rsid w:val="00601AD6"/>
    <w:rsid w:val="00601D2B"/>
    <w:rsid w:val="006034AF"/>
    <w:rsid w:val="0060461D"/>
    <w:rsid w:val="006049BB"/>
    <w:rsid w:val="00604A69"/>
    <w:rsid w:val="00605308"/>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AF0"/>
    <w:rsid w:val="00655B76"/>
    <w:rsid w:val="00655B8E"/>
    <w:rsid w:val="0065618B"/>
    <w:rsid w:val="006573A8"/>
    <w:rsid w:val="00657AC6"/>
    <w:rsid w:val="00660D4A"/>
    <w:rsid w:val="00662ACB"/>
    <w:rsid w:val="00662E2E"/>
    <w:rsid w:val="00663354"/>
    <w:rsid w:val="00664BA7"/>
    <w:rsid w:val="00664BD3"/>
    <w:rsid w:val="0066680F"/>
    <w:rsid w:val="006678E5"/>
    <w:rsid w:val="00670259"/>
    <w:rsid w:val="00670741"/>
    <w:rsid w:val="006710B1"/>
    <w:rsid w:val="00671647"/>
    <w:rsid w:val="00672663"/>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B6D"/>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3FA2"/>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47"/>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637"/>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349"/>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3415"/>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A7F6F"/>
    <w:rsid w:val="008B1657"/>
    <w:rsid w:val="008B183C"/>
    <w:rsid w:val="008B1D97"/>
    <w:rsid w:val="008B1DC3"/>
    <w:rsid w:val="008B2979"/>
    <w:rsid w:val="008B2EE9"/>
    <w:rsid w:val="008B4469"/>
    <w:rsid w:val="008B57D8"/>
    <w:rsid w:val="008B58BC"/>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CC9"/>
    <w:rsid w:val="008D4F60"/>
    <w:rsid w:val="008D5543"/>
    <w:rsid w:val="008D584F"/>
    <w:rsid w:val="008E126B"/>
    <w:rsid w:val="008E254C"/>
    <w:rsid w:val="008E2F41"/>
    <w:rsid w:val="008E319D"/>
    <w:rsid w:val="008E324F"/>
    <w:rsid w:val="008E3B5D"/>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1D6E"/>
    <w:rsid w:val="009324F4"/>
    <w:rsid w:val="0093260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11A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40B"/>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41"/>
    <w:rsid w:val="00A40797"/>
    <w:rsid w:val="00A4132C"/>
    <w:rsid w:val="00A41874"/>
    <w:rsid w:val="00A42987"/>
    <w:rsid w:val="00A42ACB"/>
    <w:rsid w:val="00A42B85"/>
    <w:rsid w:val="00A42BEE"/>
    <w:rsid w:val="00A433AF"/>
    <w:rsid w:val="00A44F63"/>
    <w:rsid w:val="00A45566"/>
    <w:rsid w:val="00A457BF"/>
    <w:rsid w:val="00A45B37"/>
    <w:rsid w:val="00A464BD"/>
    <w:rsid w:val="00A46E53"/>
    <w:rsid w:val="00A47AF8"/>
    <w:rsid w:val="00A507EF"/>
    <w:rsid w:val="00A51BFC"/>
    <w:rsid w:val="00A51CF0"/>
    <w:rsid w:val="00A522D5"/>
    <w:rsid w:val="00A5373C"/>
    <w:rsid w:val="00A54083"/>
    <w:rsid w:val="00A54F53"/>
    <w:rsid w:val="00A551CE"/>
    <w:rsid w:val="00A554B1"/>
    <w:rsid w:val="00A56DDE"/>
    <w:rsid w:val="00A572F5"/>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2A35"/>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A702F"/>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2A0"/>
    <w:rsid w:val="00AD6984"/>
    <w:rsid w:val="00AD69B2"/>
    <w:rsid w:val="00AE0B59"/>
    <w:rsid w:val="00AE0F28"/>
    <w:rsid w:val="00AE1B6F"/>
    <w:rsid w:val="00AE2BFE"/>
    <w:rsid w:val="00AE2DEA"/>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7EB"/>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401"/>
    <w:rsid w:val="00B3676B"/>
    <w:rsid w:val="00B40340"/>
    <w:rsid w:val="00B410C2"/>
    <w:rsid w:val="00B4147B"/>
    <w:rsid w:val="00B42AC8"/>
    <w:rsid w:val="00B43E44"/>
    <w:rsid w:val="00B4421B"/>
    <w:rsid w:val="00B4480D"/>
    <w:rsid w:val="00B44B71"/>
    <w:rsid w:val="00B44ED8"/>
    <w:rsid w:val="00B45321"/>
    <w:rsid w:val="00B45608"/>
    <w:rsid w:val="00B474ED"/>
    <w:rsid w:val="00B479F1"/>
    <w:rsid w:val="00B47BA9"/>
    <w:rsid w:val="00B50EE4"/>
    <w:rsid w:val="00B5181E"/>
    <w:rsid w:val="00B520C1"/>
    <w:rsid w:val="00B52458"/>
    <w:rsid w:val="00B52900"/>
    <w:rsid w:val="00B54216"/>
    <w:rsid w:val="00B54244"/>
    <w:rsid w:val="00B543C5"/>
    <w:rsid w:val="00B55D10"/>
    <w:rsid w:val="00B56FBD"/>
    <w:rsid w:val="00B574F0"/>
    <w:rsid w:val="00B57530"/>
    <w:rsid w:val="00B57854"/>
    <w:rsid w:val="00B57911"/>
    <w:rsid w:val="00B6003D"/>
    <w:rsid w:val="00B601EF"/>
    <w:rsid w:val="00B617E8"/>
    <w:rsid w:val="00B61FB7"/>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2F84"/>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BF7026"/>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29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2F4F"/>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2C4"/>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1E95"/>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48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248"/>
    <w:rsid w:val="00D74353"/>
    <w:rsid w:val="00D74691"/>
    <w:rsid w:val="00D74E98"/>
    <w:rsid w:val="00D77268"/>
    <w:rsid w:val="00D80762"/>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6001"/>
    <w:rsid w:val="00DA729E"/>
    <w:rsid w:val="00DA73BB"/>
    <w:rsid w:val="00DA7AC1"/>
    <w:rsid w:val="00DB01AF"/>
    <w:rsid w:val="00DB0570"/>
    <w:rsid w:val="00DB1E0D"/>
    <w:rsid w:val="00DB38B4"/>
    <w:rsid w:val="00DB3E53"/>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0C4B"/>
    <w:rsid w:val="00DF162C"/>
    <w:rsid w:val="00DF1718"/>
    <w:rsid w:val="00DF1FE4"/>
    <w:rsid w:val="00DF2239"/>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47CB2"/>
    <w:rsid w:val="00E504C5"/>
    <w:rsid w:val="00E514D6"/>
    <w:rsid w:val="00E51A6C"/>
    <w:rsid w:val="00E51A8C"/>
    <w:rsid w:val="00E523A1"/>
    <w:rsid w:val="00E523F5"/>
    <w:rsid w:val="00E53238"/>
    <w:rsid w:val="00E556AE"/>
    <w:rsid w:val="00E55E97"/>
    <w:rsid w:val="00E56049"/>
    <w:rsid w:val="00E60227"/>
    <w:rsid w:val="00E61203"/>
    <w:rsid w:val="00E6166A"/>
    <w:rsid w:val="00E635C9"/>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983"/>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598"/>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4E9C"/>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0D79"/>
    <w:rsid w:val="00F11CAE"/>
    <w:rsid w:val="00F11D2A"/>
    <w:rsid w:val="00F12537"/>
    <w:rsid w:val="00F12813"/>
    <w:rsid w:val="00F14061"/>
    <w:rsid w:val="00F142A2"/>
    <w:rsid w:val="00F1474D"/>
    <w:rsid w:val="00F163B5"/>
    <w:rsid w:val="00F165C9"/>
    <w:rsid w:val="00F169CF"/>
    <w:rsid w:val="00F17E0B"/>
    <w:rsid w:val="00F200AE"/>
    <w:rsid w:val="00F20A27"/>
    <w:rsid w:val="00F20EC5"/>
    <w:rsid w:val="00F21157"/>
    <w:rsid w:val="00F22360"/>
    <w:rsid w:val="00F2394E"/>
    <w:rsid w:val="00F23F55"/>
    <w:rsid w:val="00F2571B"/>
    <w:rsid w:val="00F27B00"/>
    <w:rsid w:val="00F308ED"/>
    <w:rsid w:val="00F30E71"/>
    <w:rsid w:val="00F31BE9"/>
    <w:rsid w:val="00F3219A"/>
    <w:rsid w:val="00F34056"/>
    <w:rsid w:val="00F34565"/>
    <w:rsid w:val="00F35403"/>
    <w:rsid w:val="00F36110"/>
    <w:rsid w:val="00F40CBC"/>
    <w:rsid w:val="00F415E6"/>
    <w:rsid w:val="00F42853"/>
    <w:rsid w:val="00F42F14"/>
    <w:rsid w:val="00F4381E"/>
    <w:rsid w:val="00F44BC1"/>
    <w:rsid w:val="00F45D1F"/>
    <w:rsid w:val="00F51470"/>
    <w:rsid w:val="00F51FE2"/>
    <w:rsid w:val="00F549E8"/>
    <w:rsid w:val="00F54BE2"/>
    <w:rsid w:val="00F55038"/>
    <w:rsid w:val="00F55144"/>
    <w:rsid w:val="00F55416"/>
    <w:rsid w:val="00F55D10"/>
    <w:rsid w:val="00F56665"/>
    <w:rsid w:val="00F56B40"/>
    <w:rsid w:val="00F572EA"/>
    <w:rsid w:val="00F57407"/>
    <w:rsid w:val="00F57DC8"/>
    <w:rsid w:val="00F60690"/>
    <w:rsid w:val="00F6136C"/>
    <w:rsid w:val="00F62024"/>
    <w:rsid w:val="00F6292F"/>
    <w:rsid w:val="00F638D7"/>
    <w:rsid w:val="00F64BA6"/>
    <w:rsid w:val="00F64BB5"/>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1D1"/>
    <w:rsid w:val="00F7697A"/>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0FE3"/>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7889"/>
    <o:shapelayout v:ext="edit">
      <o:idmap v:ext="edit" data="1"/>
    </o:shapelayout>
  </w:shapeDefaults>
  <w:decimalSymbol w:val="."/>
  <w:listSeparator w:val=","/>
  <w14:docId w14:val="2611C883"/>
  <w15:chartTrackingRefBased/>
  <w15:docId w15:val="{79B28983-C770-4D08-B8AE-A9BBE07D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Style2">
    <w:name w:val="Style2"/>
    <w:basedOn w:val="Normal"/>
    <w:qFormat/>
    <w:rsid w:val="001D6161"/>
    <w:pPr>
      <w:keepNext/>
      <w:numPr>
        <w:numId w:val="11"/>
      </w:numPr>
      <w:spacing w:before="120" w:after="240"/>
      <w:jc w:val="both"/>
    </w:pPr>
    <w:rPr>
      <w:rFonts w:ascii="Arial" w:hAnsi="Arial" w:cs="Arial"/>
      <w:b/>
      <w:sz w:val="24"/>
      <w:szCs w:val="24"/>
    </w:rPr>
  </w:style>
  <w:style w:type="paragraph" w:customStyle="1" w:styleId="Style3">
    <w:name w:val="Style3"/>
    <w:basedOn w:val="Normal"/>
    <w:qFormat/>
    <w:rsid w:val="001D6161"/>
    <w:pPr>
      <w:keepNext/>
      <w:numPr>
        <w:numId w:val="12"/>
      </w:numPr>
      <w:spacing w:before="120" w:after="240"/>
      <w:jc w:val="both"/>
    </w:pPr>
    <w:rPr>
      <w:rFonts w:ascii="Arial" w:hAnsi="Arial" w:cs="Arial"/>
      <w:b/>
      <w:sz w:val="24"/>
      <w:szCs w:val="24"/>
    </w:rPr>
  </w:style>
  <w:style w:type="paragraph" w:customStyle="1" w:styleId="Style5">
    <w:name w:val="Style5"/>
    <w:basedOn w:val="Normal"/>
    <w:qFormat/>
    <w:rsid w:val="001D6161"/>
    <w:pPr>
      <w:keepNext/>
      <w:numPr>
        <w:numId w:val="16"/>
      </w:numPr>
      <w:spacing w:before="120" w:after="240"/>
      <w:ind w:left="567" w:hanging="567"/>
      <w:jc w:val="both"/>
    </w:pPr>
    <w:rPr>
      <w:rFonts w:ascii="Arial" w:hAnsi="Arial" w:cs="Arial"/>
      <w:b/>
      <w:sz w:val="24"/>
      <w:szCs w:val="24"/>
    </w:rPr>
  </w:style>
  <w:style w:type="numbering" w:customStyle="1" w:styleId="D2Aformnumbering">
    <w:name w:val="D2A form numbering"/>
    <w:uiPriority w:val="99"/>
    <w:rsid w:val="009C340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01678203">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30528811">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777368307">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5JENXJJSCC7A-445999044-12074</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https://im/teams/LEGAL/_layouts/15/DocIdRedir.aspx?ID=5JENXJJSCC7A-445999044-12074</Url>
      <Description>5JENXJJSCC7A-445999044-12074</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114.4 Details of Investment Assets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FE253-18FA-41C9-93B8-DA93C0E47B00}">
  <ds:schemaRefs>
    <ds:schemaRef ds:uri="Microsoft.SharePoint.Taxonomy.ContentTypeSync"/>
  </ds:schemaRefs>
</ds:datastoreItem>
</file>

<file path=customXml/itemProps2.xml><?xml version="1.0" encoding="utf-8"?>
<ds:datastoreItem xmlns:ds="http://schemas.openxmlformats.org/officeDocument/2006/customXml" ds:itemID="{E610D87F-9E27-417B-B44E-3C34D3DD807D}">
  <ds:schemaRef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814d62cb-2db6-4c25-ab62-b9075facbc11"/>
    <ds:schemaRef ds:uri="http://purl.org/dc/terms/"/>
  </ds:schemaRefs>
</ds:datastoreItem>
</file>

<file path=customXml/itemProps3.xml><?xml version="1.0" encoding="utf-8"?>
<ds:datastoreItem xmlns:ds="http://schemas.openxmlformats.org/officeDocument/2006/customXml" ds:itemID="{431CE815-BFF2-4ABF-9B55-085408361AF3}">
  <ds:schemaRefs>
    <ds:schemaRef ds:uri="http://schemas.microsoft.com/sharepoint/v3/contenttype/forms"/>
  </ds:schemaRefs>
</ds:datastoreItem>
</file>

<file path=customXml/itemProps4.xml><?xml version="1.0" encoding="utf-8"?>
<ds:datastoreItem xmlns:ds="http://schemas.openxmlformats.org/officeDocument/2006/customXml" ds:itemID="{A9E7D03C-854F-4BF5-9E0D-5F9CE35885BC}">
  <ds:schemaRefs>
    <ds:schemaRef ds:uri="http://schemas.openxmlformats.org/officeDocument/2006/bibliography"/>
  </ds:schemaRefs>
</ds:datastoreItem>
</file>

<file path=customXml/itemProps5.xml><?xml version="1.0" encoding="utf-8"?>
<ds:datastoreItem xmlns:ds="http://schemas.openxmlformats.org/officeDocument/2006/customXml" ds:itemID="{D38F95A6-0165-438B-BB00-3DC9DDDD2FD6}">
  <ds:schemaRefs>
    <ds:schemaRef ds:uri="http://schemas.microsoft.com/sharepoint/events"/>
  </ds:schemaRefs>
</ds:datastoreItem>
</file>

<file path=customXml/itemProps6.xml><?xml version="1.0" encoding="utf-8"?>
<ds:datastoreItem xmlns:ds="http://schemas.openxmlformats.org/officeDocument/2006/customXml" ds:itemID="{09130094-FD27-41B1-96A8-B6259181D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7127</Words>
  <Characters>38561</Characters>
  <Application>Microsoft Office Word</Application>
  <DocSecurity>0</DocSecurity>
  <Lines>1285</Lines>
  <Paragraphs>713</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2008-02-01T00:08:00Z</cp:lastPrinted>
  <dcterms:created xsi:type="dcterms:W3CDTF">2023-03-21T06:09:00Z</dcterms:created>
  <dcterms:modified xsi:type="dcterms:W3CDTF">2023-03-21T06:09:00Z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AD5052E9886341B9A76BA1B975658CD8</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2023-01-17T02:39:17Z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33A810A7506F6CB89FF045C4A59BBA05</vt:lpwstr>
  </property>
  <property fmtid="{D5CDD505-2E9C-101B-9397-08002B2CF9AE}" pid="22" name="PM_Hash_Salt">
    <vt:lpwstr>FDA79D99667FDF5276EE68D11A183FB1</vt:lpwstr>
  </property>
  <property fmtid="{D5CDD505-2E9C-101B-9397-08002B2CF9AE}" pid="23" name="PM_Hash_SHA1">
    <vt:lpwstr>DFD24C5D8F87788BC8332BCDC3C59FFF9C853959</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0x0101008CA7A4F8331B45C7B0D3158B4994D0CA0200577EC0F5A1FBFC498F9A8436B963F8A6</vt:lpwstr>
  </property>
  <property fmtid="{D5CDD505-2E9C-101B-9397-08002B2CF9AE}" pid="27" name="_dlc_DocIdItemGuid">
    <vt:lpwstr>cedde012-d27a-4043-bb48-8949b06a9ea0</vt:lpwstr>
  </property>
  <property fmtid="{D5CDD505-2E9C-101B-9397-08002B2CF9AE}" pid="28" name="APRAStatus">
    <vt:lpwstr>19;#Final|84d6b2d0-8498-4d62-bf46-bab38babbe9e</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2" name="IT system type">
    <vt:lpwstr/>
  </property>
  <property fmtid="{D5CDD505-2E9C-101B-9397-08002B2CF9AE}" pid="33" name="APRACategory">
    <vt:lpwstr/>
  </property>
  <property fmtid="{D5CDD505-2E9C-101B-9397-08002B2CF9AE}" pid="34" name="APRAPRSG">
    <vt:lpwstr/>
  </property>
  <property fmtid="{D5CDD505-2E9C-101B-9397-08002B2CF9AE}" pid="35" name="APRADocumentType">
    <vt:lpwstr>297;#Reporting standard|91896cd9-c8c4-4f0d-b59e-113a28881d1d;#58;#Legal instrument|71fd6ed3-d6d6-4975-ba99-bfe45802e734</vt:lpwstr>
  </property>
  <property fmtid="{D5CDD505-2E9C-101B-9397-08002B2CF9AE}" pid="36" name="APRAActivity">
    <vt:lpwstr>10;#Registration|390476ce-d76d-4e8d-905f-28e32d2df127;#109;#Statutory instrument|fe68928c-5a9c-4caf-bc8c-6c18cedcb17f</vt:lpwstr>
  </property>
  <property fmtid="{D5CDD505-2E9C-101B-9397-08002B2CF9AE}" pid="37" name="APRAEntityAdviceSupport">
    <vt:lpwstr/>
  </property>
  <property fmtid="{D5CDD505-2E9C-101B-9397-08002B2CF9AE}" pid="38" name="APRALegislation">
    <vt:lpwstr/>
  </property>
  <property fmtid="{D5CDD505-2E9C-101B-9397-08002B2CF9AE}" pid="39" name="APRAYear">
    <vt:lpwstr/>
  </property>
  <property fmtid="{D5CDD505-2E9C-101B-9397-08002B2CF9AE}" pid="40" name="APRAIndustry">
    <vt:lpwstr/>
  </property>
  <property fmtid="{D5CDD505-2E9C-101B-9397-08002B2CF9AE}" pid="41" name="APRAExternalOrganisation">
    <vt:lpwstr/>
  </property>
  <property fmtid="{D5CDD505-2E9C-101B-9397-08002B2CF9AE}" pid="42" name="APRAIRTR">
    <vt:lpwstr/>
  </property>
  <property fmtid="{D5CDD505-2E9C-101B-9397-08002B2CF9AE}" pid="43" name="APRAPeriod">
    <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{cedde012-d27a-4043-bb48-8949b06a9ea0}</vt:lpwstr>
  </property>
  <property fmtid="{D5CDD505-2E9C-101B-9397-08002B2CF9AE}" pid="48" name="RecordPoint_ActiveItemWebId">
    <vt:lpwstr>{75a71c27-8d66-4282-ae60-1bfc22a83be1}</vt:lpwstr>
  </property>
  <property fmtid="{D5CDD505-2E9C-101B-9397-08002B2CF9AE}" pid="49" name="RecordPoint_RecordNumberSubmitted">
    <vt:lpwstr/>
  </property>
  <property fmtid="{D5CDD505-2E9C-101B-9397-08002B2CF9AE}" pid="50" name="RecordPoint_SubmissionCompleted">
    <vt:lpwstr/>
  </property>
  <property fmtid="{D5CDD505-2E9C-101B-9397-08002B2CF9AE}" pid="51" name="MSIP_Label_c0129afb-6481-4f92-bc9f-5a4a6346364d_SetDate">
    <vt:lpwstr>2023-01-17T02:39:17Z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MSIP_Label_c0129afb-6481-4f92-bc9f-5a4a6346364d_Method">
    <vt:lpwstr>Privileged</vt:lpwstr>
  </property>
  <property fmtid="{D5CDD505-2E9C-101B-9397-08002B2CF9AE}" pid="56" name="PMHMAC">
    <vt:lpwstr>v=2022.1;a=SHA256;h=619A354F4345965CB9F7D06F3DF86BD2DD7357250A0A257775FBC42AEBACA9C0</vt:lpwstr>
  </property>
  <property fmtid="{D5CDD505-2E9C-101B-9397-08002B2CF9AE}" pid="57" name="MSIP_Label_c0129afb-6481-4f92-bc9f-5a4a6346364d_ContentBits">
    <vt:lpwstr>0</vt:lpwstr>
  </property>
  <property fmtid="{D5CDD505-2E9C-101B-9397-08002B2CF9AE}" pid="58" name="MSIP_Label_c0129afb-6481-4f92-bc9f-5a4a6346364d_ActionId">
    <vt:lpwstr>073afecd30ee40389258a488ee72a990</vt:lpwstr>
  </property>
  <property fmtid="{D5CDD505-2E9C-101B-9397-08002B2CF9AE}" pid="59" name="IsLocked">
    <vt:lpwstr>False</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