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EB7A" w14:textId="77777777" w:rsidR="0076528A" w:rsidRPr="003F21BB" w:rsidRDefault="0076528A" w:rsidP="0076528A">
      <w:pPr>
        <w:rPr>
          <w:color w:val="000000"/>
          <w:sz w:val="20"/>
          <w:szCs w:val="20"/>
          <w:lang w:val="en-US"/>
        </w:rPr>
      </w:pPr>
      <w:bookmarkStart w:id="0" w:name="_Toc168113228"/>
      <w:r>
        <w:rPr>
          <w:noProof/>
          <w:color w:val="000000"/>
          <w:sz w:val="20"/>
          <w:szCs w:val="20"/>
        </w:rPr>
        <w:drawing>
          <wp:inline distT="0" distB="0" distL="0" distR="0" wp14:anchorId="26102EDD" wp14:editId="55E2A1FC">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120964B" w14:textId="77777777" w:rsidR="0076528A" w:rsidRPr="003F21BB" w:rsidRDefault="0076528A" w:rsidP="0076528A">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33</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7A326F2B" w14:textId="77777777" w:rsidR="0076528A" w:rsidRPr="003F21BB" w:rsidRDefault="0076528A" w:rsidP="0076528A">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307C38">
        <w:rPr>
          <w:rFonts w:ascii="Arial" w:hAnsi="Arial" w:cs="Arial"/>
          <w:b/>
          <w:bCs/>
          <w:color w:val="000000"/>
          <w:sz w:val="28"/>
          <w:szCs w:val="28"/>
        </w:rPr>
        <w:t>LRS 310.0 Income Statement</w:t>
      </w:r>
    </w:p>
    <w:p w14:paraId="7BDFC019" w14:textId="77777777" w:rsidR="0076528A" w:rsidRPr="003F21BB" w:rsidRDefault="0076528A" w:rsidP="0076528A">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51D98C79" w14:textId="77777777" w:rsidR="0076528A" w:rsidRPr="003F21BB" w:rsidRDefault="0076528A" w:rsidP="0076528A">
      <w:pPr>
        <w:ind w:left="720" w:hanging="720"/>
        <w:rPr>
          <w:color w:val="000000"/>
          <w:szCs w:val="20"/>
        </w:rPr>
      </w:pPr>
    </w:p>
    <w:p w14:paraId="21EECE82" w14:textId="77777777" w:rsidR="0076528A" w:rsidRPr="007924D0" w:rsidRDefault="0076528A" w:rsidP="0076528A">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61750ED1" w14:textId="77777777" w:rsidR="0076528A" w:rsidRDefault="0076528A" w:rsidP="0076528A">
      <w:pPr>
        <w:jc w:val="both"/>
        <w:rPr>
          <w:color w:val="000000"/>
        </w:rPr>
      </w:pPr>
    </w:p>
    <w:p w14:paraId="62C64D9A" w14:textId="77777777" w:rsidR="0076528A" w:rsidRPr="004F7A0C" w:rsidRDefault="0076528A" w:rsidP="0076528A">
      <w:pPr>
        <w:pStyle w:val="ListParagraph"/>
        <w:numPr>
          <w:ilvl w:val="0"/>
          <w:numId w:val="25"/>
        </w:numPr>
        <w:jc w:val="both"/>
        <w:rPr>
          <w:sz w:val="24"/>
          <w:szCs w:val="24"/>
        </w:rPr>
      </w:pPr>
      <w:r w:rsidRPr="004F7A0C">
        <w:rPr>
          <w:sz w:val="24"/>
          <w:szCs w:val="24"/>
        </w:rPr>
        <w:t xml:space="preserve">REVOKE Financial Sector (Collection of Data) (reporting standard) determination No. </w:t>
      </w:r>
      <w:r>
        <w:rPr>
          <w:sz w:val="24"/>
          <w:szCs w:val="24"/>
        </w:rPr>
        <w:t>54</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 xml:space="preserve">LRS 310.0 Income Statement </w:t>
      </w:r>
      <w:r w:rsidRPr="004F7A0C">
        <w:rPr>
          <w:sz w:val="24"/>
          <w:szCs w:val="24"/>
        </w:rPr>
        <w:t xml:space="preserve">made under that </w:t>
      </w:r>
      <w:proofErr w:type="gramStart"/>
      <w:r w:rsidRPr="004F7A0C">
        <w:rPr>
          <w:sz w:val="24"/>
          <w:szCs w:val="24"/>
        </w:rPr>
        <w:t>Determination;</w:t>
      </w:r>
      <w:proofErr w:type="gramEnd"/>
      <w:r w:rsidRPr="004F7A0C">
        <w:rPr>
          <w:sz w:val="24"/>
          <w:szCs w:val="24"/>
        </w:rPr>
        <w:t xml:space="preserve"> and</w:t>
      </w:r>
    </w:p>
    <w:p w14:paraId="6C9BF970" w14:textId="77777777" w:rsidR="0076528A" w:rsidRPr="004F7A0C" w:rsidRDefault="0076528A" w:rsidP="0076528A">
      <w:pPr>
        <w:pStyle w:val="ListParagraph"/>
        <w:rPr>
          <w:sz w:val="24"/>
          <w:szCs w:val="24"/>
        </w:rPr>
      </w:pPr>
    </w:p>
    <w:p w14:paraId="36BD3E7D" w14:textId="77777777" w:rsidR="0076528A" w:rsidRDefault="0076528A" w:rsidP="0076528A">
      <w:pPr>
        <w:pStyle w:val="ListParagraph"/>
        <w:numPr>
          <w:ilvl w:val="0"/>
          <w:numId w:val="25"/>
        </w:numPr>
        <w:jc w:val="both"/>
        <w:rPr>
          <w:sz w:val="24"/>
          <w:szCs w:val="24"/>
        </w:rPr>
      </w:pPr>
      <w:r w:rsidRPr="007924D0">
        <w:rPr>
          <w:sz w:val="24"/>
          <w:szCs w:val="24"/>
        </w:rPr>
        <w:t>DETERMINE</w:t>
      </w:r>
      <w:r>
        <w:rPr>
          <w:i/>
          <w:sz w:val="24"/>
          <w:szCs w:val="24"/>
        </w:rPr>
        <w:t xml:space="preserve"> </w:t>
      </w:r>
      <w:r w:rsidRPr="002D3393">
        <w:rPr>
          <w:i/>
          <w:sz w:val="24"/>
          <w:szCs w:val="24"/>
        </w:rPr>
        <w:t>Reporting Standard</w:t>
      </w:r>
      <w:r w:rsidRPr="00307C38">
        <w:rPr>
          <w:i/>
          <w:sz w:val="24"/>
        </w:rPr>
        <w:t xml:space="preserve"> </w:t>
      </w:r>
      <w:r>
        <w:rPr>
          <w:i/>
          <w:sz w:val="24"/>
        </w:rPr>
        <w:t>LRS 310.0 Income Statement</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1513248B" w14:textId="77777777" w:rsidR="0076528A" w:rsidRPr="007924D0" w:rsidRDefault="0076528A" w:rsidP="0076528A">
      <w:pPr>
        <w:pStyle w:val="ListParagraph"/>
        <w:rPr>
          <w:sz w:val="24"/>
          <w:szCs w:val="24"/>
        </w:rPr>
      </w:pPr>
    </w:p>
    <w:p w14:paraId="1A6DA7E3" w14:textId="77777777" w:rsidR="0076528A" w:rsidRPr="007924D0" w:rsidRDefault="0076528A" w:rsidP="0076528A">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7BCE7C90" w14:textId="77777777" w:rsidR="0076528A" w:rsidRPr="007924D0" w:rsidRDefault="0076528A" w:rsidP="0076528A">
      <w:pPr>
        <w:jc w:val="both"/>
        <w:rPr>
          <w:lang w:val="en-US"/>
        </w:rPr>
      </w:pPr>
    </w:p>
    <w:p w14:paraId="3B8D9CFE" w14:textId="77777777" w:rsidR="0076528A" w:rsidRPr="007924D0" w:rsidRDefault="0076528A" w:rsidP="0076528A">
      <w:pPr>
        <w:jc w:val="both"/>
        <w:rPr>
          <w:lang w:val="en-US"/>
        </w:rPr>
      </w:pPr>
      <w:r w:rsidRPr="007924D0">
        <w:rPr>
          <w:lang w:val="en-US"/>
        </w:rPr>
        <w:t>This instrument commences on 1 April 202</w:t>
      </w:r>
      <w:r>
        <w:rPr>
          <w:lang w:val="en-US"/>
        </w:rPr>
        <w:t>3</w:t>
      </w:r>
      <w:r w:rsidRPr="007924D0">
        <w:rPr>
          <w:lang w:val="en-US"/>
        </w:rPr>
        <w:t>.</w:t>
      </w:r>
    </w:p>
    <w:p w14:paraId="42CC9FB4" w14:textId="77777777" w:rsidR="0076528A" w:rsidRPr="007924D0" w:rsidRDefault="0076528A" w:rsidP="0076528A">
      <w:pPr>
        <w:jc w:val="both"/>
        <w:rPr>
          <w:lang w:val="en-US"/>
        </w:rPr>
      </w:pPr>
    </w:p>
    <w:p w14:paraId="3F1797A7" w14:textId="3D6D5680" w:rsidR="0076528A" w:rsidRPr="003F21BB" w:rsidRDefault="0076528A" w:rsidP="0076528A">
      <w:pPr>
        <w:jc w:val="both"/>
        <w:rPr>
          <w:lang w:val="en-US"/>
        </w:rPr>
      </w:pPr>
      <w:r w:rsidRPr="007924D0">
        <w:rPr>
          <w:lang w:val="en-US"/>
        </w:rPr>
        <w:t xml:space="preserve">Dated: </w:t>
      </w:r>
      <w:r w:rsidR="00576844">
        <w:rPr>
          <w:lang w:val="en-US"/>
        </w:rPr>
        <w:t>16</w:t>
      </w:r>
      <w:r w:rsidRPr="007924D0">
        <w:rPr>
          <w:lang w:val="en-US"/>
        </w:rPr>
        <w:t xml:space="preserve"> March 202</w:t>
      </w:r>
      <w:r>
        <w:rPr>
          <w:lang w:val="en-US"/>
        </w:rPr>
        <w:t>3</w:t>
      </w:r>
    </w:p>
    <w:p w14:paraId="0721C4A7" w14:textId="77777777" w:rsidR="0076528A" w:rsidRPr="003F21BB" w:rsidRDefault="0076528A" w:rsidP="0076528A">
      <w:pPr>
        <w:jc w:val="both"/>
        <w:rPr>
          <w:i/>
          <w:lang w:val="en-US"/>
        </w:rPr>
      </w:pPr>
    </w:p>
    <w:p w14:paraId="7879211F" w14:textId="77777777" w:rsidR="002E4535" w:rsidRDefault="002E4535" w:rsidP="0076528A">
      <w:pPr>
        <w:jc w:val="both"/>
        <w:rPr>
          <w:lang w:val="en-US"/>
        </w:rPr>
      </w:pPr>
    </w:p>
    <w:p w14:paraId="0AD7ADE1" w14:textId="05C52DC2" w:rsidR="0076528A" w:rsidRPr="003F21BB" w:rsidRDefault="0076528A" w:rsidP="0076528A">
      <w:pPr>
        <w:jc w:val="both"/>
        <w:rPr>
          <w:lang w:val="en-US"/>
        </w:rPr>
      </w:pPr>
      <w:r>
        <w:rPr>
          <w:lang w:val="en-US"/>
        </w:rPr>
        <w:t>Michael Murphy</w:t>
      </w:r>
    </w:p>
    <w:p w14:paraId="0F3654DA" w14:textId="77777777" w:rsidR="0076528A" w:rsidRPr="003F21BB" w:rsidRDefault="0076528A" w:rsidP="0076528A">
      <w:pPr>
        <w:jc w:val="both"/>
        <w:rPr>
          <w:lang w:val="en-US"/>
        </w:rPr>
      </w:pPr>
      <w:r>
        <w:rPr>
          <w:lang w:val="en-US"/>
        </w:rPr>
        <w:t>General Manager – Chief Data Officer (Acting),</w:t>
      </w:r>
    </w:p>
    <w:p w14:paraId="3261E6F1" w14:textId="0875DEDB" w:rsidR="00576844" w:rsidRDefault="0076528A" w:rsidP="0076528A">
      <w:pPr>
        <w:jc w:val="both"/>
        <w:rPr>
          <w:lang w:val="en-US"/>
        </w:rPr>
      </w:pPr>
      <w:r>
        <w:rPr>
          <w:lang w:val="en-US"/>
        </w:rPr>
        <w:t>Technology and Data</w:t>
      </w:r>
      <w:r w:rsidRPr="003F21BB">
        <w:rPr>
          <w:lang w:val="en-US"/>
        </w:rPr>
        <w:t xml:space="preserve"> Division</w:t>
      </w:r>
    </w:p>
    <w:p w14:paraId="2CF32651" w14:textId="77777777" w:rsidR="00576844" w:rsidRDefault="00576844">
      <w:pPr>
        <w:rPr>
          <w:lang w:val="en-US"/>
        </w:rPr>
      </w:pPr>
      <w:r>
        <w:rPr>
          <w:lang w:val="en-US"/>
        </w:rPr>
        <w:br w:type="page"/>
      </w:r>
    </w:p>
    <w:p w14:paraId="3336DCA7" w14:textId="77777777" w:rsidR="0076528A" w:rsidRPr="003F21BB" w:rsidRDefault="0076528A" w:rsidP="0076528A">
      <w:pPr>
        <w:jc w:val="both"/>
        <w:rPr>
          <w:b/>
          <w:lang w:val="en-US"/>
        </w:rPr>
      </w:pPr>
      <w:r w:rsidRPr="003F21BB">
        <w:rPr>
          <w:b/>
          <w:color w:val="000000"/>
          <w:lang w:val="en-US"/>
        </w:rPr>
        <w:lastRenderedPageBreak/>
        <w:t>Interpretation</w:t>
      </w:r>
    </w:p>
    <w:p w14:paraId="5ABBC34A" w14:textId="77777777" w:rsidR="0076528A" w:rsidRPr="003F21BB" w:rsidRDefault="0076528A" w:rsidP="0076528A">
      <w:pPr>
        <w:keepNext/>
        <w:tabs>
          <w:tab w:val="right" w:pos="794"/>
        </w:tabs>
        <w:spacing w:before="240" w:line="260" w:lineRule="exact"/>
        <w:ind w:left="964" w:hanging="964"/>
        <w:jc w:val="both"/>
        <w:rPr>
          <w:color w:val="000000"/>
        </w:rPr>
      </w:pPr>
      <w:r w:rsidRPr="003F21BB">
        <w:rPr>
          <w:color w:val="000000"/>
        </w:rPr>
        <w:t>In this Determination:</w:t>
      </w:r>
    </w:p>
    <w:p w14:paraId="703FD8CE" w14:textId="77777777" w:rsidR="0076528A" w:rsidRPr="003F21BB" w:rsidRDefault="0076528A" w:rsidP="0076528A">
      <w:pPr>
        <w:spacing w:before="120"/>
        <w:jc w:val="both"/>
        <w:rPr>
          <w:color w:val="000000"/>
        </w:rPr>
      </w:pPr>
      <w:r w:rsidRPr="003F21BB">
        <w:rPr>
          <w:b/>
          <w:i/>
          <w:color w:val="000000"/>
        </w:rPr>
        <w:t>APRA</w:t>
      </w:r>
      <w:r w:rsidRPr="003F21BB">
        <w:rPr>
          <w:color w:val="000000"/>
        </w:rPr>
        <w:t xml:space="preserve"> means the Australian Prudential Regulation Authority.</w:t>
      </w:r>
    </w:p>
    <w:p w14:paraId="5C6D3864" w14:textId="77777777" w:rsidR="0076528A" w:rsidRPr="003F21BB" w:rsidRDefault="0076528A" w:rsidP="0076528A">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5D2E6FA5" w14:textId="77777777" w:rsidR="0076528A" w:rsidRPr="003F21BB" w:rsidRDefault="0076528A" w:rsidP="0076528A">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597DEE59" w14:textId="77777777" w:rsidR="0076528A" w:rsidRPr="003F21BB" w:rsidRDefault="0076528A" w:rsidP="0076528A">
      <w:pPr>
        <w:keepNext/>
        <w:autoSpaceDE w:val="0"/>
        <w:autoSpaceDN w:val="0"/>
        <w:spacing w:before="60" w:line="200" w:lineRule="exact"/>
        <w:rPr>
          <w:rFonts w:ascii="Arial" w:hAnsi="Arial" w:cs="Arial"/>
          <w:color w:val="000000"/>
          <w:sz w:val="18"/>
          <w:szCs w:val="18"/>
        </w:rPr>
      </w:pPr>
    </w:p>
    <w:p w14:paraId="4F2DAB44" w14:textId="77777777" w:rsidR="0076528A" w:rsidRPr="003F21BB" w:rsidRDefault="0076528A" w:rsidP="0076528A">
      <w:pPr>
        <w:tabs>
          <w:tab w:val="center" w:pos="4320"/>
          <w:tab w:val="right" w:pos="8640"/>
        </w:tabs>
        <w:jc w:val="both"/>
        <w:rPr>
          <w:bCs/>
          <w:lang w:val="en-US"/>
        </w:rPr>
      </w:pPr>
      <w:r w:rsidRPr="002D3393">
        <w:rPr>
          <w:i/>
          <w:color w:val="000000"/>
        </w:rPr>
        <w:t xml:space="preserve">Reporting Standard </w:t>
      </w:r>
      <w:r>
        <w:rPr>
          <w:i/>
        </w:rPr>
        <w:t xml:space="preserve">LRS 310.0 Income Statement </w:t>
      </w:r>
      <w:r w:rsidRPr="003F21BB">
        <w:rPr>
          <w:bCs/>
          <w:lang w:val="en-US"/>
        </w:rPr>
        <w:t>comprises the document commencing on the following page.</w:t>
      </w:r>
      <w:bookmarkEnd w:id="0"/>
    </w:p>
    <w:p w14:paraId="1D3D3619" w14:textId="77777777" w:rsidR="0076528A" w:rsidRDefault="0076528A" w:rsidP="000A5F23">
      <w:pPr>
        <w:spacing w:before="120" w:after="240"/>
        <w:jc w:val="both"/>
        <w:rPr>
          <w:rFonts w:cs="Arial"/>
          <w:sz w:val="40"/>
          <w:szCs w:val="40"/>
        </w:rPr>
      </w:pPr>
    </w:p>
    <w:p w14:paraId="51ADC8CC" w14:textId="77777777" w:rsidR="00576844" w:rsidRDefault="00576844">
      <w:pPr>
        <w:rPr>
          <w:rFonts w:cs="Arial"/>
          <w:sz w:val="40"/>
          <w:szCs w:val="40"/>
        </w:rPr>
        <w:sectPr w:rsidR="00576844" w:rsidSect="007D2071">
          <w:headerReference w:type="default" r:id="rId14"/>
          <w:footerReference w:type="default" r:id="rId15"/>
          <w:pgSz w:w="11906" w:h="16838"/>
          <w:pgMar w:top="1440" w:right="1440" w:bottom="1440" w:left="1440" w:header="708" w:footer="708" w:gutter="0"/>
          <w:pgNumType w:start="1"/>
          <w:cols w:space="708"/>
          <w:docGrid w:linePitch="360"/>
        </w:sectPr>
      </w:pPr>
    </w:p>
    <w:p w14:paraId="6FCAAC7D" w14:textId="50510CF6" w:rsidR="00E63AB5" w:rsidRPr="002A4120" w:rsidRDefault="00B72FF5" w:rsidP="000A5F23">
      <w:pPr>
        <w:spacing w:before="120" w:after="240"/>
        <w:jc w:val="both"/>
        <w:rPr>
          <w:rFonts w:cs="Arial"/>
          <w:sz w:val="40"/>
          <w:szCs w:val="40"/>
        </w:rPr>
      </w:pPr>
      <w:r w:rsidRPr="002A4120">
        <w:rPr>
          <w:noProof/>
        </w:rPr>
        <w:lastRenderedPageBreak/>
        <w:drawing>
          <wp:inline distT="0" distB="0" distL="0" distR="0" wp14:anchorId="1B5644C2" wp14:editId="4E07F28C">
            <wp:extent cx="1424305" cy="1104900"/>
            <wp:effectExtent l="0" t="0" r="0" b="0"/>
            <wp:docPr id="2" name="Picture 2" descr="Commonwealth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4D481E70" w14:textId="77777777" w:rsidR="00E63AB5" w:rsidRPr="007D2071" w:rsidRDefault="00E63AB5" w:rsidP="003C6BD0">
      <w:pPr>
        <w:pStyle w:val="Heading1"/>
        <w:spacing w:before="120"/>
        <w:jc w:val="both"/>
        <w:rPr>
          <w:szCs w:val="40"/>
        </w:rPr>
      </w:pPr>
      <w:r w:rsidRPr="002A4120">
        <w:rPr>
          <w:szCs w:val="40"/>
        </w:rPr>
        <w:t xml:space="preserve">Reporting Standard LRS </w:t>
      </w:r>
      <w:r w:rsidR="008775F6" w:rsidRPr="002A4120">
        <w:rPr>
          <w:noProof/>
          <w:szCs w:val="40"/>
        </w:rPr>
        <w:t>3</w:t>
      </w:r>
      <w:r w:rsidR="00295C25" w:rsidRPr="002A4120">
        <w:rPr>
          <w:noProof/>
          <w:szCs w:val="40"/>
        </w:rPr>
        <w:t>1</w:t>
      </w:r>
      <w:r w:rsidR="007E279C" w:rsidRPr="002A4120">
        <w:rPr>
          <w:noProof/>
          <w:szCs w:val="40"/>
        </w:rPr>
        <w:t>0</w:t>
      </w:r>
      <w:r w:rsidR="000A5F23" w:rsidRPr="002A4120">
        <w:rPr>
          <w:noProof/>
          <w:szCs w:val="40"/>
        </w:rPr>
        <w:t>.0</w:t>
      </w:r>
      <w:r w:rsidR="00AA46F0" w:rsidRPr="002A4120">
        <w:rPr>
          <w:noProof/>
          <w:szCs w:val="40"/>
        </w:rPr>
        <w:t xml:space="preserve"> </w:t>
      </w:r>
    </w:p>
    <w:p w14:paraId="62C47F3C" w14:textId="77777777" w:rsidR="00E63AB5" w:rsidRPr="002A4120" w:rsidRDefault="00295C25" w:rsidP="007E279C">
      <w:pPr>
        <w:pStyle w:val="Heading2"/>
        <w:spacing w:before="120"/>
        <w:jc w:val="left"/>
        <w:rPr>
          <w:rFonts w:cs="Arial"/>
          <w:sz w:val="40"/>
          <w:szCs w:val="40"/>
        </w:rPr>
      </w:pPr>
      <w:r w:rsidRPr="002A4120">
        <w:rPr>
          <w:rFonts w:cs="Arial"/>
          <w:sz w:val="40"/>
          <w:szCs w:val="40"/>
        </w:rPr>
        <w:t xml:space="preserve">Income </w:t>
      </w:r>
      <w:r w:rsidR="008775F6" w:rsidRPr="002A4120">
        <w:rPr>
          <w:rFonts w:cs="Arial"/>
          <w:sz w:val="40"/>
          <w:szCs w:val="40"/>
        </w:rPr>
        <w:t xml:space="preserve">Statement </w:t>
      </w:r>
    </w:p>
    <w:p w14:paraId="275204C1" w14:textId="77777777" w:rsidR="00E63AB5" w:rsidRPr="002A4120" w:rsidRDefault="00E63AB5" w:rsidP="003C6BD0">
      <w:pPr>
        <w:pStyle w:val="Heading3"/>
        <w:pBdr>
          <w:top w:val="single" w:sz="4" w:space="1" w:color="auto"/>
          <w:left w:val="single" w:sz="4" w:space="4" w:color="auto"/>
          <w:bottom w:val="single" w:sz="4" w:space="1" w:color="auto"/>
          <w:right w:val="single" w:sz="4" w:space="4" w:color="auto"/>
        </w:pBdr>
        <w:shd w:val="clear" w:color="auto" w:fill="E0E0E0"/>
        <w:tabs>
          <w:tab w:val="left" w:pos="6645"/>
        </w:tabs>
        <w:spacing w:before="120" w:after="360"/>
        <w:jc w:val="both"/>
        <w:rPr>
          <w:sz w:val="32"/>
          <w:szCs w:val="32"/>
        </w:rPr>
      </w:pPr>
      <w:r w:rsidRPr="002A4120">
        <w:rPr>
          <w:sz w:val="32"/>
          <w:szCs w:val="32"/>
        </w:rPr>
        <w:t xml:space="preserve">Objective of this </w:t>
      </w:r>
      <w:r w:rsidR="00A84C29" w:rsidRPr="002A4120">
        <w:rPr>
          <w:sz w:val="32"/>
          <w:szCs w:val="32"/>
        </w:rPr>
        <w:t>R</w:t>
      </w:r>
      <w:r w:rsidRPr="002A4120">
        <w:rPr>
          <w:sz w:val="32"/>
          <w:szCs w:val="32"/>
        </w:rPr>
        <w:t xml:space="preserve">eporting </w:t>
      </w:r>
      <w:r w:rsidR="00A84C29" w:rsidRPr="002A4120">
        <w:rPr>
          <w:sz w:val="32"/>
          <w:szCs w:val="32"/>
        </w:rPr>
        <w:t>S</w:t>
      </w:r>
      <w:r w:rsidRPr="002A4120">
        <w:rPr>
          <w:sz w:val="32"/>
          <w:szCs w:val="32"/>
        </w:rPr>
        <w:t>tandard</w:t>
      </w:r>
    </w:p>
    <w:p w14:paraId="108D1F6E" w14:textId="77777777" w:rsidR="003C6BD0" w:rsidRPr="002A4120"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rPr>
          <w:lang w:val="en-US"/>
        </w:rPr>
      </w:pPr>
      <w:r w:rsidRPr="002A4120">
        <w:rPr>
          <w:lang w:val="en-US"/>
        </w:rPr>
        <w:t xml:space="preserve">This </w:t>
      </w:r>
      <w:r w:rsidR="00A84C29" w:rsidRPr="002A4120">
        <w:rPr>
          <w:lang w:val="en-US"/>
        </w:rPr>
        <w:t>R</w:t>
      </w:r>
      <w:r w:rsidRPr="002A4120">
        <w:rPr>
          <w:lang w:val="en-US"/>
        </w:rPr>
        <w:t xml:space="preserve">eporting </w:t>
      </w:r>
      <w:r w:rsidR="00A84C29" w:rsidRPr="002A4120">
        <w:rPr>
          <w:lang w:val="en-US"/>
        </w:rPr>
        <w:t>S</w:t>
      </w:r>
      <w:r w:rsidRPr="002A4120">
        <w:rPr>
          <w:lang w:val="en-US"/>
        </w:rPr>
        <w:t xml:space="preserve">tandard sets out the requirements for </w:t>
      </w:r>
      <w:r w:rsidR="003E0659" w:rsidRPr="002A4120">
        <w:rPr>
          <w:lang w:val="en-US"/>
        </w:rPr>
        <w:t xml:space="preserve">the provision of </w:t>
      </w:r>
      <w:r w:rsidRPr="002A4120">
        <w:rPr>
          <w:lang w:val="en-US"/>
        </w:rPr>
        <w:t xml:space="preserve">information to APRA </w:t>
      </w:r>
      <w:r w:rsidR="00B25EC4" w:rsidRPr="002A4120">
        <w:rPr>
          <w:lang w:val="en-US"/>
        </w:rPr>
        <w:t xml:space="preserve">in relation to </w:t>
      </w:r>
      <w:r w:rsidR="000D5A55" w:rsidRPr="002A4120">
        <w:rPr>
          <w:lang w:val="en-US"/>
        </w:rPr>
        <w:t>a life company’s</w:t>
      </w:r>
      <w:r w:rsidR="00295C25" w:rsidRPr="002A4120">
        <w:rPr>
          <w:lang w:val="en-US"/>
        </w:rPr>
        <w:t xml:space="preserve"> financial performance.</w:t>
      </w:r>
      <w:r w:rsidR="00B25EC4" w:rsidRPr="002A4120">
        <w:rPr>
          <w:lang w:val="en-US"/>
        </w:rPr>
        <w:t xml:space="preserve"> </w:t>
      </w:r>
      <w:r w:rsidRPr="002A4120">
        <w:rPr>
          <w:lang w:val="en-US"/>
        </w:rPr>
        <w:t xml:space="preserve"> </w:t>
      </w:r>
    </w:p>
    <w:p w14:paraId="10FB8519" w14:textId="77777777" w:rsidR="0009622C" w:rsidRPr="002A4120" w:rsidRDefault="001E1DA7" w:rsidP="0009622C">
      <w:pPr>
        <w:pBdr>
          <w:top w:val="single" w:sz="4" w:space="1" w:color="auto"/>
          <w:left w:val="single" w:sz="4" w:space="4" w:color="auto"/>
          <w:bottom w:val="single" w:sz="4" w:space="1" w:color="auto"/>
          <w:right w:val="single" w:sz="4" w:space="4" w:color="auto"/>
        </w:pBdr>
        <w:shd w:val="clear" w:color="auto" w:fill="E0E0E0"/>
        <w:spacing w:after="240"/>
        <w:jc w:val="both"/>
      </w:pPr>
      <w:r w:rsidRPr="002A4120">
        <w:rPr>
          <w:lang w:val="en-US"/>
        </w:rPr>
        <w:t xml:space="preserve">It includes </w:t>
      </w:r>
      <w:r w:rsidR="00E94F5C" w:rsidRPr="002A4120">
        <w:rPr>
          <w:i/>
          <w:lang w:val="en-US"/>
        </w:rPr>
        <w:t xml:space="preserve">Form </w:t>
      </w:r>
      <w:r w:rsidR="00E94F5C" w:rsidRPr="002A4120">
        <w:rPr>
          <w:i/>
          <w:noProof/>
        </w:rPr>
        <w:t xml:space="preserve">LRF </w:t>
      </w:r>
      <w:r w:rsidR="00295C25" w:rsidRPr="002A4120">
        <w:rPr>
          <w:i/>
          <w:noProof/>
        </w:rPr>
        <w:t>3</w:t>
      </w:r>
      <w:r w:rsidR="000D5A55" w:rsidRPr="002A4120">
        <w:rPr>
          <w:i/>
          <w:noProof/>
        </w:rPr>
        <w:t>1</w:t>
      </w:r>
      <w:r w:rsidR="00295C25" w:rsidRPr="002A4120">
        <w:rPr>
          <w:i/>
          <w:noProof/>
        </w:rPr>
        <w:t>0.1</w:t>
      </w:r>
      <w:r w:rsidR="007E279C" w:rsidRPr="002A4120">
        <w:rPr>
          <w:i/>
          <w:noProof/>
        </w:rPr>
        <w:t xml:space="preserve"> </w:t>
      </w:r>
      <w:r w:rsidR="000D5A55" w:rsidRPr="002A4120">
        <w:rPr>
          <w:i/>
          <w:noProof/>
        </w:rPr>
        <w:t xml:space="preserve">Income </w:t>
      </w:r>
      <w:r w:rsidR="00295C25" w:rsidRPr="002A4120">
        <w:rPr>
          <w:i/>
          <w:noProof/>
        </w:rPr>
        <w:t>Statement (SF</w:t>
      </w:r>
      <w:r w:rsidR="000D5A55" w:rsidRPr="002A4120">
        <w:rPr>
          <w:i/>
          <w:noProof/>
        </w:rPr>
        <w:t xml:space="preserve"> </w:t>
      </w:r>
      <w:r w:rsidR="00295C25" w:rsidRPr="002A4120">
        <w:rPr>
          <w:i/>
          <w:noProof/>
        </w:rPr>
        <w:t>&amp; SF Eliminations)</w:t>
      </w:r>
      <w:r w:rsidR="00295C25" w:rsidRPr="002A4120">
        <w:rPr>
          <w:noProof/>
        </w:rPr>
        <w:t xml:space="preserve"> and </w:t>
      </w:r>
      <w:r w:rsidR="001F41F8" w:rsidRPr="002A4120">
        <w:rPr>
          <w:i/>
          <w:lang w:val="en-US"/>
        </w:rPr>
        <w:t>Form</w:t>
      </w:r>
      <w:r w:rsidR="001F41F8" w:rsidRPr="002A4120">
        <w:rPr>
          <w:i/>
          <w:noProof/>
        </w:rPr>
        <w:t xml:space="preserve"> </w:t>
      </w:r>
      <w:r w:rsidR="000D5A55" w:rsidRPr="002A4120">
        <w:rPr>
          <w:i/>
          <w:noProof/>
        </w:rPr>
        <w:t>LRF 31</w:t>
      </w:r>
      <w:r w:rsidR="00295C25" w:rsidRPr="002A4120">
        <w:rPr>
          <w:i/>
          <w:noProof/>
        </w:rPr>
        <w:t xml:space="preserve">0.2 </w:t>
      </w:r>
      <w:r w:rsidR="000D5A55" w:rsidRPr="002A4120">
        <w:rPr>
          <w:i/>
          <w:noProof/>
        </w:rPr>
        <w:t xml:space="preserve">Income </w:t>
      </w:r>
      <w:r w:rsidR="00295C25" w:rsidRPr="002A4120">
        <w:rPr>
          <w:i/>
          <w:noProof/>
        </w:rPr>
        <w:t>Statement (SF Total, GF, GF Elim, Entity)</w:t>
      </w:r>
      <w:r w:rsidR="00295C25" w:rsidRPr="002A4120">
        <w:rPr>
          <w:noProof/>
        </w:rPr>
        <w:t>,</w:t>
      </w:r>
      <w:r w:rsidR="003A2603" w:rsidRPr="002A4120">
        <w:rPr>
          <w:i/>
        </w:rPr>
        <w:t xml:space="preserve"> </w:t>
      </w:r>
      <w:r w:rsidR="003E0659" w:rsidRPr="002A4120">
        <w:rPr>
          <w:lang w:val="en-US"/>
        </w:rPr>
        <w:t xml:space="preserve">and associated </w:t>
      </w:r>
      <w:r w:rsidR="00CC3EEE" w:rsidRPr="002A4120">
        <w:rPr>
          <w:lang w:val="en-US"/>
        </w:rPr>
        <w:t xml:space="preserve">specific </w:t>
      </w:r>
      <w:r w:rsidR="00B25EC4" w:rsidRPr="002A4120">
        <w:rPr>
          <w:lang w:val="en-US"/>
        </w:rPr>
        <w:t>instructions</w:t>
      </w:r>
      <w:r w:rsidR="0009622C" w:rsidRPr="002A4120">
        <w:rPr>
          <w:lang w:val="en-US"/>
        </w:rPr>
        <w:t xml:space="preserve"> and must be read in conjunction with </w:t>
      </w:r>
      <w:r w:rsidR="006D4575" w:rsidRPr="002A4120">
        <w:rPr>
          <w:lang w:val="en-US"/>
        </w:rPr>
        <w:t>the general instruction guide</w:t>
      </w:r>
      <w:r w:rsidR="007E279C" w:rsidRPr="002A4120">
        <w:rPr>
          <w:lang w:val="en-US"/>
        </w:rPr>
        <w:t>.</w:t>
      </w:r>
    </w:p>
    <w:p w14:paraId="1C2DC429" w14:textId="77777777" w:rsidR="00E63AB5" w:rsidRPr="002A4120" w:rsidRDefault="00E63AB5" w:rsidP="003C6BD0">
      <w:pPr>
        <w:pStyle w:val="BodyText"/>
        <w:pBdr>
          <w:top w:val="single" w:sz="4" w:space="1" w:color="auto"/>
          <w:left w:val="single" w:sz="4" w:space="4" w:color="auto"/>
          <w:bottom w:val="single" w:sz="4" w:space="1" w:color="auto"/>
          <w:right w:val="single" w:sz="4" w:space="4" w:color="auto"/>
        </w:pBdr>
        <w:shd w:val="clear" w:color="auto" w:fill="E0E0E0"/>
        <w:spacing w:after="240"/>
        <w:rPr>
          <w:i w:val="0"/>
          <w:sz w:val="12"/>
          <w:szCs w:val="12"/>
        </w:rPr>
      </w:pPr>
    </w:p>
    <w:p w14:paraId="22CB1597" w14:textId="77777777" w:rsidR="00E63AB5" w:rsidRPr="002A4120" w:rsidRDefault="001E1DA7" w:rsidP="003168CB">
      <w:pPr>
        <w:keepNext/>
        <w:spacing w:after="240"/>
        <w:jc w:val="both"/>
        <w:rPr>
          <w:rFonts w:ascii="Arial" w:hAnsi="Arial" w:cs="Arial"/>
          <w:b/>
        </w:rPr>
      </w:pPr>
      <w:r w:rsidRPr="002A4120">
        <w:rPr>
          <w:rFonts w:ascii="Arial" w:hAnsi="Arial" w:cs="Arial"/>
          <w:b/>
        </w:rPr>
        <w:t>Authority</w:t>
      </w:r>
    </w:p>
    <w:p w14:paraId="6407FA46" w14:textId="77777777" w:rsidR="001E1DA7" w:rsidRPr="002A4120" w:rsidRDefault="001E1DA7" w:rsidP="003168CB">
      <w:pPr>
        <w:pStyle w:val="BodyText2"/>
        <w:numPr>
          <w:ilvl w:val="0"/>
          <w:numId w:val="2"/>
        </w:numPr>
        <w:spacing w:before="0" w:after="240"/>
        <w:ind w:left="567" w:hanging="567"/>
        <w:rPr>
          <w:rFonts w:ascii="Arial" w:hAnsi="Arial" w:cs="Arial"/>
          <w:szCs w:val="24"/>
          <w:lang w:val="en-AU"/>
        </w:rPr>
      </w:pPr>
      <w:r w:rsidRPr="002A4120">
        <w:t xml:space="preserve">This </w:t>
      </w:r>
      <w:r w:rsidR="00A84C29" w:rsidRPr="002A4120">
        <w:t>R</w:t>
      </w:r>
      <w:r w:rsidRPr="002A4120">
        <w:t xml:space="preserve">eporting </w:t>
      </w:r>
      <w:r w:rsidR="00A84C29" w:rsidRPr="002A4120">
        <w:t>S</w:t>
      </w:r>
      <w:r w:rsidRPr="002A4120">
        <w:t xml:space="preserve">tandard is made under section 13 of the </w:t>
      </w:r>
      <w:r w:rsidRPr="002A4120">
        <w:rPr>
          <w:i/>
        </w:rPr>
        <w:t>Financial Sector (Collection of Data) Act 2001</w:t>
      </w:r>
      <w:r w:rsidR="00A97E6C" w:rsidRPr="002A4120">
        <w:t xml:space="preserve"> (Collection of Data Act)</w:t>
      </w:r>
      <w:r w:rsidRPr="002A4120">
        <w:t>.</w:t>
      </w:r>
    </w:p>
    <w:p w14:paraId="21194704" w14:textId="77777777" w:rsidR="001E1DA7" w:rsidRPr="002A4120" w:rsidRDefault="001E1DA7" w:rsidP="003168CB">
      <w:pPr>
        <w:keepNext/>
        <w:spacing w:after="240"/>
        <w:jc w:val="both"/>
        <w:rPr>
          <w:rFonts w:ascii="Arial" w:hAnsi="Arial" w:cs="Arial"/>
          <w:b/>
        </w:rPr>
      </w:pPr>
      <w:r w:rsidRPr="002A4120">
        <w:rPr>
          <w:rFonts w:ascii="Arial" w:hAnsi="Arial" w:cs="Arial"/>
          <w:b/>
        </w:rPr>
        <w:t>Purpose</w:t>
      </w:r>
    </w:p>
    <w:p w14:paraId="61C63A65" w14:textId="77777777" w:rsidR="00E63AB5" w:rsidRPr="002A4120" w:rsidRDefault="003E0659" w:rsidP="003168CB">
      <w:pPr>
        <w:pStyle w:val="BodyText2"/>
        <w:numPr>
          <w:ilvl w:val="0"/>
          <w:numId w:val="2"/>
        </w:numPr>
        <w:spacing w:before="0" w:after="240"/>
        <w:ind w:left="567" w:hanging="567"/>
        <w:rPr>
          <w:rFonts w:ascii="Arial" w:hAnsi="Arial" w:cs="Arial"/>
          <w:b/>
          <w:szCs w:val="24"/>
          <w:lang w:val="en-AU"/>
        </w:rPr>
      </w:pPr>
      <w:r w:rsidRPr="002A4120">
        <w:rPr>
          <w:lang w:val="en-AU"/>
        </w:rPr>
        <w:t xml:space="preserve">Information </w:t>
      </w:r>
      <w:r w:rsidR="00E63AB5" w:rsidRPr="002A4120">
        <w:rPr>
          <w:lang w:val="en-AU"/>
        </w:rPr>
        <w:t>collected in</w:t>
      </w:r>
      <w:r w:rsidR="00736EA7" w:rsidRPr="002A4120">
        <w:rPr>
          <w:lang w:val="en-AU"/>
        </w:rPr>
        <w:t xml:space="preserve"> </w:t>
      </w:r>
      <w:r w:rsidR="001F41F8" w:rsidRPr="002A4120">
        <w:rPr>
          <w:i/>
        </w:rPr>
        <w:t>Form</w:t>
      </w:r>
      <w:r w:rsidR="001F41F8" w:rsidRPr="002A4120">
        <w:rPr>
          <w:i/>
          <w:noProof/>
        </w:rPr>
        <w:t xml:space="preserve"> </w:t>
      </w:r>
      <w:r w:rsidR="000D5A55" w:rsidRPr="002A4120">
        <w:rPr>
          <w:i/>
          <w:noProof/>
        </w:rPr>
        <w:t>LRF 310.1 Income Statement (SF &amp; SF Eliminations)</w:t>
      </w:r>
      <w:r w:rsidR="000D5A55" w:rsidRPr="002A4120">
        <w:rPr>
          <w:noProof/>
        </w:rPr>
        <w:t xml:space="preserve"> and </w:t>
      </w:r>
      <w:r w:rsidR="001F41F8" w:rsidRPr="002A4120">
        <w:rPr>
          <w:i/>
        </w:rPr>
        <w:t>Form</w:t>
      </w:r>
      <w:r w:rsidR="001F41F8" w:rsidRPr="002A4120">
        <w:rPr>
          <w:i/>
          <w:noProof/>
        </w:rPr>
        <w:t xml:space="preserve"> </w:t>
      </w:r>
      <w:r w:rsidR="000D5A55" w:rsidRPr="002A4120">
        <w:rPr>
          <w:i/>
          <w:noProof/>
        </w:rPr>
        <w:t>LRF 310.2 Income Statement (SF Total, GF, GF Elim, Entity)</w:t>
      </w:r>
      <w:r w:rsidR="00295C25" w:rsidRPr="002A4120">
        <w:rPr>
          <w:noProof/>
        </w:rPr>
        <w:t xml:space="preserve"> (</w:t>
      </w:r>
      <w:r w:rsidR="000D5A55" w:rsidRPr="002A4120">
        <w:rPr>
          <w:noProof/>
        </w:rPr>
        <w:t>the LRF 31</w:t>
      </w:r>
      <w:r w:rsidR="00295C25" w:rsidRPr="002A4120">
        <w:rPr>
          <w:noProof/>
        </w:rPr>
        <w:t>0 series)</w:t>
      </w:r>
      <w:r w:rsidR="00E63AB5" w:rsidRPr="002A4120">
        <w:rPr>
          <w:i/>
          <w:lang w:val="en-AU"/>
        </w:rPr>
        <w:t xml:space="preserve"> </w:t>
      </w:r>
      <w:r w:rsidR="00E63AB5" w:rsidRPr="002A4120">
        <w:rPr>
          <w:lang w:val="en-AU"/>
        </w:rPr>
        <w:t xml:space="preserve">is used by APRA for the purpose of prudential supervision including assessing compliance with </w:t>
      </w:r>
      <w:r w:rsidR="00CC3EEE" w:rsidRPr="002A4120">
        <w:rPr>
          <w:lang w:val="en-AU"/>
        </w:rPr>
        <w:t xml:space="preserve">capital </w:t>
      </w:r>
      <w:r w:rsidR="00E63AB5" w:rsidRPr="002A4120">
        <w:rPr>
          <w:lang w:val="en-AU"/>
        </w:rPr>
        <w:t xml:space="preserve">standards. </w:t>
      </w:r>
    </w:p>
    <w:p w14:paraId="0CBB1BA5" w14:textId="77777777" w:rsidR="00E63AB5" w:rsidRPr="002A4120" w:rsidRDefault="00E63AB5" w:rsidP="003168CB">
      <w:pPr>
        <w:keepNext/>
        <w:spacing w:after="240"/>
        <w:jc w:val="both"/>
        <w:rPr>
          <w:rFonts w:ascii="Arial" w:hAnsi="Arial" w:cs="Arial"/>
          <w:b/>
        </w:rPr>
      </w:pPr>
      <w:r w:rsidRPr="002A4120">
        <w:rPr>
          <w:rFonts w:ascii="Arial" w:hAnsi="Arial" w:cs="Arial"/>
          <w:b/>
        </w:rPr>
        <w:t>Application</w:t>
      </w:r>
      <w:r w:rsidR="00FD4D5C" w:rsidRPr="002A4120">
        <w:rPr>
          <w:rFonts w:ascii="Arial" w:hAnsi="Arial" w:cs="Arial"/>
          <w:b/>
        </w:rPr>
        <w:t xml:space="preserve"> </w:t>
      </w:r>
      <w:r w:rsidR="00316D34" w:rsidRPr="002A4120">
        <w:rPr>
          <w:rFonts w:ascii="Arial" w:hAnsi="Arial" w:cs="Arial"/>
          <w:b/>
        </w:rPr>
        <w:t>and commencement</w:t>
      </w:r>
    </w:p>
    <w:p w14:paraId="01205273" w14:textId="63D63866" w:rsidR="00E63AB5" w:rsidRPr="002A4120" w:rsidRDefault="00E63AB5" w:rsidP="003168CB">
      <w:pPr>
        <w:pStyle w:val="BodyText2"/>
        <w:numPr>
          <w:ilvl w:val="0"/>
          <w:numId w:val="2"/>
        </w:numPr>
        <w:spacing w:before="0" w:after="240"/>
        <w:ind w:left="567" w:hanging="567"/>
      </w:pPr>
      <w:r w:rsidRPr="002A4120">
        <w:t xml:space="preserve">This </w:t>
      </w:r>
      <w:r w:rsidR="00A84C29" w:rsidRPr="002A4120">
        <w:t>R</w:t>
      </w:r>
      <w:r w:rsidRPr="002A4120">
        <w:t xml:space="preserve">eporting </w:t>
      </w:r>
      <w:r w:rsidR="00A84C29" w:rsidRPr="002A4120">
        <w:t>S</w:t>
      </w:r>
      <w:r w:rsidRPr="002A4120">
        <w:t xml:space="preserve">tandard applies to all life insurance companies </w:t>
      </w:r>
      <w:r w:rsidRPr="002A4120">
        <w:rPr>
          <w:noProof/>
        </w:rPr>
        <w:t xml:space="preserve">including friendly societies (together referred to as </w:t>
      </w:r>
      <w:r w:rsidR="000511D1" w:rsidRPr="002A4120">
        <w:rPr>
          <w:noProof/>
        </w:rPr>
        <w:t>‘</w:t>
      </w:r>
      <w:r w:rsidRPr="002A4120">
        <w:rPr>
          <w:noProof/>
        </w:rPr>
        <w:t>life companies</w:t>
      </w:r>
      <w:r w:rsidR="000511D1" w:rsidRPr="002A4120">
        <w:rPr>
          <w:noProof/>
        </w:rPr>
        <w:t>’</w:t>
      </w:r>
      <w:r w:rsidRPr="002A4120">
        <w:rPr>
          <w:noProof/>
        </w:rPr>
        <w:t xml:space="preserve">) </w:t>
      </w:r>
      <w:r w:rsidRPr="002A4120">
        <w:t xml:space="preserve">registered under the </w:t>
      </w:r>
      <w:r w:rsidRPr="002A4120">
        <w:rPr>
          <w:i/>
        </w:rPr>
        <w:t>Life Insurance Act 1995</w:t>
      </w:r>
      <w:r w:rsidRPr="002A4120">
        <w:t xml:space="preserve"> (Life Insurance Act)</w:t>
      </w:r>
      <w:r w:rsidR="003E0659" w:rsidRPr="002A4120">
        <w:t>. This Reporting Standard applies</w:t>
      </w:r>
      <w:r w:rsidR="00FD4D5C" w:rsidRPr="002A4120">
        <w:t xml:space="preserve"> for reporting periods </w:t>
      </w:r>
      <w:r w:rsidR="00651F74" w:rsidRPr="002A4120">
        <w:t xml:space="preserve">ending </w:t>
      </w:r>
      <w:r w:rsidR="00FD4D5C" w:rsidRPr="002A4120">
        <w:t>on or after</w:t>
      </w:r>
      <w:r w:rsidR="00734CAE">
        <w:t xml:space="preserve"> </w:t>
      </w:r>
      <w:r w:rsidR="002D4FC5">
        <w:t>1 April 2023</w:t>
      </w:r>
      <w:r w:rsidR="00FD4D5C" w:rsidRPr="002A4120">
        <w:t>.</w:t>
      </w:r>
    </w:p>
    <w:p w14:paraId="5007C085" w14:textId="77777777" w:rsidR="00E63AB5" w:rsidRPr="002A4120" w:rsidRDefault="00E63AB5" w:rsidP="003168CB">
      <w:pPr>
        <w:keepNext/>
        <w:spacing w:after="240"/>
        <w:jc w:val="both"/>
        <w:rPr>
          <w:rFonts w:ascii="Arial" w:hAnsi="Arial" w:cs="Arial"/>
          <w:b/>
        </w:rPr>
      </w:pPr>
      <w:smartTag w:uri="urn:schemas-microsoft-com:office:smarttags" w:element="PersonName">
        <w:r w:rsidRPr="002A4120">
          <w:rPr>
            <w:rFonts w:ascii="Arial" w:hAnsi="Arial" w:cs="Arial"/>
            <w:b/>
          </w:rPr>
          <w:t>Info</w:t>
        </w:r>
      </w:smartTag>
      <w:r w:rsidRPr="002A4120">
        <w:rPr>
          <w:rFonts w:ascii="Arial" w:hAnsi="Arial" w:cs="Arial"/>
          <w:b/>
        </w:rPr>
        <w:t>rmation required</w:t>
      </w:r>
    </w:p>
    <w:p w14:paraId="547197BE" w14:textId="77777777" w:rsidR="00E63AB5" w:rsidRPr="002A4120" w:rsidRDefault="00E63AB5" w:rsidP="003168CB">
      <w:pPr>
        <w:pStyle w:val="BodyText2"/>
        <w:numPr>
          <w:ilvl w:val="0"/>
          <w:numId w:val="2"/>
        </w:numPr>
        <w:spacing w:before="0" w:after="240"/>
        <w:ind w:left="567" w:hanging="567"/>
      </w:pPr>
      <w:r w:rsidRPr="002A4120">
        <w:t xml:space="preserve">A life company must provide APRA with the information required by </w:t>
      </w:r>
      <w:r w:rsidR="000D5A55" w:rsidRPr="002A4120">
        <w:t>the LRF 31</w:t>
      </w:r>
      <w:r w:rsidR="00295C25" w:rsidRPr="002A4120">
        <w:t xml:space="preserve">0 series </w:t>
      </w:r>
      <w:r w:rsidRPr="002A4120">
        <w:t xml:space="preserve">for each reporting period. </w:t>
      </w:r>
    </w:p>
    <w:p w14:paraId="24D728C5" w14:textId="77777777" w:rsidR="00E63AB5" w:rsidRPr="002A4120" w:rsidRDefault="00E63AB5" w:rsidP="003168CB">
      <w:pPr>
        <w:pStyle w:val="BodyText2"/>
        <w:numPr>
          <w:ilvl w:val="0"/>
          <w:numId w:val="2"/>
        </w:numPr>
        <w:spacing w:before="0" w:after="240"/>
        <w:ind w:left="567" w:hanging="567"/>
      </w:pPr>
      <w:r w:rsidRPr="002A4120">
        <w:rPr>
          <w:noProof/>
        </w:rPr>
        <w:lastRenderedPageBreak/>
        <w:t xml:space="preserve">The information </w:t>
      </w:r>
      <w:r w:rsidR="00737AC5" w:rsidRPr="002A4120">
        <w:rPr>
          <w:noProof/>
        </w:rPr>
        <w:t>reported</w:t>
      </w:r>
      <w:r w:rsidRPr="002A4120">
        <w:rPr>
          <w:noProof/>
        </w:rPr>
        <w:t xml:space="preserve"> to APRA under this </w:t>
      </w:r>
      <w:r w:rsidR="00A84C29" w:rsidRPr="002A4120">
        <w:rPr>
          <w:noProof/>
        </w:rPr>
        <w:t>R</w:t>
      </w:r>
      <w:r w:rsidRPr="002A4120">
        <w:rPr>
          <w:noProof/>
        </w:rPr>
        <w:t xml:space="preserve">eporting </w:t>
      </w:r>
      <w:r w:rsidR="00A84C29" w:rsidRPr="002A4120">
        <w:rPr>
          <w:noProof/>
        </w:rPr>
        <w:t>S</w:t>
      </w:r>
      <w:r w:rsidRPr="002A4120">
        <w:rPr>
          <w:noProof/>
        </w:rPr>
        <w:t xml:space="preserve">tandard </w:t>
      </w:r>
      <w:r w:rsidR="00737AC5" w:rsidRPr="002A4120">
        <w:rPr>
          <w:noProof/>
        </w:rPr>
        <w:t xml:space="preserve">is not required to be given to policy owners pursuant to </w:t>
      </w:r>
      <w:r w:rsidR="00A3306D" w:rsidRPr="002A4120">
        <w:rPr>
          <w:noProof/>
        </w:rPr>
        <w:t>section 124 of the Life Insurance Act</w:t>
      </w:r>
      <w:r w:rsidR="003E0659" w:rsidRPr="002A4120">
        <w:rPr>
          <w:noProof/>
        </w:rPr>
        <w:t>.</w:t>
      </w:r>
      <w:r w:rsidR="006A6EFB" w:rsidRPr="002A4120">
        <w:rPr>
          <w:noProof/>
        </w:rPr>
        <w:t xml:space="preserve"> It does not const</w:t>
      </w:r>
      <w:r w:rsidR="00CA6FE5" w:rsidRPr="002A4120">
        <w:rPr>
          <w:noProof/>
        </w:rPr>
        <w:t>i</w:t>
      </w:r>
      <w:r w:rsidR="006A6EFB" w:rsidRPr="002A4120">
        <w:rPr>
          <w:noProof/>
        </w:rPr>
        <w:t>tute a reporting document for the purposes of section 124.</w:t>
      </w:r>
    </w:p>
    <w:p w14:paraId="6D43D1C0" w14:textId="7861624B" w:rsidR="00E63AB5" w:rsidRPr="002A4120" w:rsidRDefault="00EE0A41" w:rsidP="003168CB">
      <w:pPr>
        <w:keepNext/>
        <w:spacing w:after="240"/>
        <w:jc w:val="both"/>
        <w:rPr>
          <w:rFonts w:ascii="Arial" w:hAnsi="Arial" w:cs="Arial"/>
          <w:b/>
        </w:rPr>
      </w:pPr>
      <w:r>
        <w:rPr>
          <w:rFonts w:ascii="Arial" w:hAnsi="Arial" w:cs="Arial"/>
          <w:b/>
        </w:rPr>
        <w:t>M</w:t>
      </w:r>
      <w:r w:rsidR="00DF5370" w:rsidRPr="002A4120">
        <w:rPr>
          <w:rFonts w:ascii="Arial" w:hAnsi="Arial" w:cs="Arial"/>
          <w:b/>
        </w:rPr>
        <w:t xml:space="preserve">ethod </w:t>
      </w:r>
      <w:r w:rsidR="00E63AB5" w:rsidRPr="002A4120">
        <w:rPr>
          <w:rFonts w:ascii="Arial" w:hAnsi="Arial" w:cs="Arial"/>
          <w:b/>
        </w:rPr>
        <w:t>of submission</w:t>
      </w:r>
    </w:p>
    <w:p w14:paraId="541C0493" w14:textId="77777777" w:rsidR="00D5464A" w:rsidRDefault="00651F74" w:rsidP="003168CB">
      <w:pPr>
        <w:numPr>
          <w:ilvl w:val="0"/>
          <w:numId w:val="2"/>
        </w:numPr>
        <w:spacing w:after="240"/>
        <w:ind w:left="567" w:hanging="567"/>
        <w:jc w:val="both"/>
      </w:pPr>
      <w:r w:rsidRPr="002A4120">
        <w:t xml:space="preserve">The </w:t>
      </w:r>
      <w:r w:rsidR="00F97612">
        <w:t xml:space="preserve">information required by this Reporting Standard </w:t>
      </w:r>
      <w:r w:rsidR="00D5464A">
        <w:t>must be given to APRA:</w:t>
      </w:r>
    </w:p>
    <w:p w14:paraId="0934D2C9" w14:textId="6B51E65C" w:rsidR="008664DA" w:rsidRPr="00844758" w:rsidRDefault="008664DA" w:rsidP="003168CB">
      <w:pPr>
        <w:numPr>
          <w:ilvl w:val="1"/>
          <w:numId w:val="2"/>
        </w:numPr>
        <w:spacing w:after="240"/>
        <w:ind w:left="1134" w:hanging="566"/>
        <w:jc w:val="both"/>
      </w:pPr>
      <w:r>
        <w:t>i</w:t>
      </w:r>
      <w:r w:rsidR="00D5464A" w:rsidRPr="00844758">
        <w:t xml:space="preserve">n electronic format using an electronic method available </w:t>
      </w:r>
      <w:r w:rsidRPr="00844758">
        <w:t>on APRA’s website; or</w:t>
      </w:r>
    </w:p>
    <w:p w14:paraId="5DD297D4" w14:textId="3CB2A1D8" w:rsidR="00651F74" w:rsidRPr="00844758" w:rsidRDefault="008664DA" w:rsidP="003168CB">
      <w:pPr>
        <w:numPr>
          <w:ilvl w:val="1"/>
          <w:numId w:val="2"/>
        </w:numPr>
        <w:spacing w:after="240"/>
        <w:ind w:left="1134" w:hanging="566"/>
        <w:jc w:val="both"/>
      </w:pPr>
      <w:r>
        <w:t>b</w:t>
      </w:r>
      <w:r w:rsidRPr="00844758">
        <w:t xml:space="preserve">y a method notified by APRA prior to submission. </w:t>
      </w:r>
    </w:p>
    <w:p w14:paraId="66DE55E7" w14:textId="77777777" w:rsidR="00E63AB5" w:rsidRPr="002A4120" w:rsidRDefault="00E63AB5" w:rsidP="003168CB">
      <w:pPr>
        <w:keepNext/>
        <w:spacing w:after="240"/>
        <w:jc w:val="both"/>
        <w:rPr>
          <w:rFonts w:ascii="Arial" w:hAnsi="Arial" w:cs="Arial"/>
          <w:b/>
        </w:rPr>
      </w:pPr>
      <w:r w:rsidRPr="002A4120">
        <w:rPr>
          <w:rFonts w:ascii="Arial" w:hAnsi="Arial" w:cs="Arial"/>
          <w:b/>
        </w:rPr>
        <w:t>Reporting periods and due dates</w:t>
      </w:r>
    </w:p>
    <w:p w14:paraId="7A925ADA" w14:textId="77777777" w:rsidR="00AC19F5" w:rsidRPr="002A4120" w:rsidRDefault="00E63AB5" w:rsidP="003168CB">
      <w:pPr>
        <w:pStyle w:val="BodyText2"/>
        <w:numPr>
          <w:ilvl w:val="0"/>
          <w:numId w:val="2"/>
        </w:numPr>
        <w:spacing w:before="0" w:after="240"/>
        <w:ind w:left="567" w:hanging="567"/>
        <w:rPr>
          <w:sz w:val="20"/>
        </w:rPr>
      </w:pPr>
      <w:bookmarkStart w:id="1" w:name="_Ref339262674"/>
      <w:r w:rsidRPr="002A4120">
        <w:t xml:space="preserve">Subject to paragraph </w:t>
      </w:r>
      <w:r w:rsidR="00CC3EEE" w:rsidRPr="002A4120">
        <w:fldChar w:fldCharType="begin"/>
      </w:r>
      <w:r w:rsidR="00CC3EEE" w:rsidRPr="002A4120">
        <w:instrText xml:space="preserve"> REF _Ref339262226 \r \h </w:instrText>
      </w:r>
      <w:r w:rsidR="002A4120" w:rsidRPr="002A4120">
        <w:instrText xml:space="preserve"> \* MERGEFORMAT </w:instrText>
      </w:r>
      <w:r w:rsidR="00CC3EEE" w:rsidRPr="002A4120">
        <w:fldChar w:fldCharType="separate"/>
      </w:r>
      <w:r w:rsidR="00B50657" w:rsidRPr="002A4120">
        <w:t>8</w:t>
      </w:r>
      <w:r w:rsidR="00CC3EEE" w:rsidRPr="002A4120">
        <w:fldChar w:fldCharType="end"/>
      </w:r>
      <w:r w:rsidRPr="002A4120">
        <w:t xml:space="preserve">, a life company must provide the information required by this </w:t>
      </w:r>
      <w:r w:rsidR="00A84C29" w:rsidRPr="002A4120">
        <w:t>R</w:t>
      </w:r>
      <w:r w:rsidRPr="002A4120">
        <w:t xml:space="preserve">eporting </w:t>
      </w:r>
      <w:r w:rsidR="00A84C29" w:rsidRPr="002A4120">
        <w:t>S</w:t>
      </w:r>
      <w:r w:rsidRPr="002A4120">
        <w:t>tandard</w:t>
      </w:r>
      <w:r w:rsidRPr="002A4120">
        <w:rPr>
          <w:noProof/>
        </w:rPr>
        <w:t>:</w:t>
      </w:r>
      <w:bookmarkEnd w:id="1"/>
      <w:r w:rsidRPr="002A4120">
        <w:rPr>
          <w:noProof/>
        </w:rPr>
        <w:t xml:space="preserve"> </w:t>
      </w:r>
    </w:p>
    <w:p w14:paraId="5BB45887" w14:textId="77777777" w:rsidR="00AC19F5" w:rsidRPr="003168CB" w:rsidRDefault="00AC19F5" w:rsidP="003168CB">
      <w:pPr>
        <w:numPr>
          <w:ilvl w:val="1"/>
          <w:numId w:val="2"/>
        </w:numPr>
        <w:spacing w:after="240"/>
        <w:ind w:left="1134" w:hanging="566"/>
        <w:jc w:val="both"/>
      </w:pPr>
      <w:bookmarkStart w:id="2" w:name="_Ref339262675"/>
      <w:r w:rsidRPr="002A4120">
        <w:t>in respect of each quarter based on the financial year of the life company on an unaudited basis; and</w:t>
      </w:r>
      <w:bookmarkEnd w:id="2"/>
    </w:p>
    <w:p w14:paraId="30B50C49" w14:textId="77777777" w:rsidR="00AC19F5" w:rsidRPr="003168CB" w:rsidRDefault="00AC19F5" w:rsidP="003168CB">
      <w:pPr>
        <w:numPr>
          <w:ilvl w:val="1"/>
          <w:numId w:val="2"/>
        </w:numPr>
        <w:spacing w:after="240"/>
        <w:ind w:left="1134" w:hanging="566"/>
        <w:jc w:val="both"/>
      </w:pPr>
      <w:bookmarkStart w:id="3" w:name="_Ref339262677"/>
      <w:r w:rsidRPr="002A4120">
        <w:t>in respect of each financial year of the life company on an audited basis.</w:t>
      </w:r>
      <w:bookmarkEnd w:id="3"/>
    </w:p>
    <w:p w14:paraId="2CA50CCF" w14:textId="77777777" w:rsidR="00E63AB5" w:rsidRPr="002A4120" w:rsidRDefault="00E63AB5" w:rsidP="003168CB">
      <w:pPr>
        <w:pStyle w:val="BodyText2"/>
        <w:spacing w:before="0" w:after="240"/>
        <w:ind w:left="567"/>
        <w:rPr>
          <w:sz w:val="20"/>
        </w:rPr>
      </w:pPr>
      <w:r w:rsidRPr="002A4120">
        <w:rPr>
          <w:i/>
          <w:iCs/>
          <w:noProof/>
          <w:sz w:val="20"/>
        </w:rPr>
        <w:t>Note 1</w:t>
      </w:r>
      <w:r w:rsidRPr="002A4120">
        <w:rPr>
          <w:noProof/>
          <w:sz w:val="20"/>
        </w:rPr>
        <w:t xml:space="preserve">: </w:t>
      </w:r>
      <w:r w:rsidR="00FD4D5C" w:rsidRPr="002A4120">
        <w:rPr>
          <w:noProof/>
          <w:sz w:val="20"/>
        </w:rPr>
        <w:t>T</w:t>
      </w:r>
      <w:r w:rsidRPr="002A4120">
        <w:rPr>
          <w:noProof/>
          <w:sz w:val="20"/>
        </w:rPr>
        <w:t>his means that this form will be submitted five times for a full financial year.</w:t>
      </w:r>
      <w:r w:rsidRPr="002A4120">
        <w:rPr>
          <w:sz w:val="20"/>
        </w:rPr>
        <w:t xml:space="preserve"> </w:t>
      </w:r>
    </w:p>
    <w:p w14:paraId="52E93531" w14:textId="77777777" w:rsidR="00E63AB5" w:rsidRPr="002A4120" w:rsidRDefault="00E63AB5" w:rsidP="003168CB">
      <w:pPr>
        <w:spacing w:after="240"/>
        <w:ind w:left="567"/>
        <w:jc w:val="both"/>
        <w:rPr>
          <w:sz w:val="20"/>
          <w:szCs w:val="20"/>
        </w:rPr>
      </w:pPr>
      <w:r w:rsidRPr="002A4120">
        <w:rPr>
          <w:i/>
          <w:sz w:val="20"/>
          <w:szCs w:val="20"/>
        </w:rPr>
        <w:t>Note 2:</w:t>
      </w:r>
      <w:r w:rsidRPr="002A4120">
        <w:rPr>
          <w:sz w:val="20"/>
          <w:szCs w:val="20"/>
        </w:rPr>
        <w:t xml:space="preserve"> </w:t>
      </w:r>
      <w:r w:rsidR="00FD4D5C" w:rsidRPr="002A4120">
        <w:rPr>
          <w:sz w:val="20"/>
          <w:szCs w:val="20"/>
        </w:rPr>
        <w:t>T</w:t>
      </w:r>
      <w:r w:rsidRPr="002A4120">
        <w:rPr>
          <w:sz w:val="20"/>
          <w:szCs w:val="20"/>
        </w:rPr>
        <w:t xml:space="preserve">he annual audited form must be submitted in conjunction with the annual auditor’s report, as required under </w:t>
      </w:r>
      <w:r w:rsidR="00C611E9" w:rsidRPr="002A4120">
        <w:rPr>
          <w:i/>
          <w:sz w:val="20"/>
          <w:szCs w:val="20"/>
        </w:rPr>
        <w:t xml:space="preserve">Prudential Standard LPS 310 Audit and </w:t>
      </w:r>
      <w:r w:rsidR="00D715A1" w:rsidRPr="002A4120">
        <w:rPr>
          <w:i/>
          <w:sz w:val="20"/>
          <w:szCs w:val="20"/>
        </w:rPr>
        <w:t>Related Matters</w:t>
      </w:r>
      <w:r w:rsidR="00B84B07" w:rsidRPr="002A4120">
        <w:rPr>
          <w:i/>
          <w:sz w:val="20"/>
          <w:szCs w:val="20"/>
        </w:rPr>
        <w:t xml:space="preserve"> </w:t>
      </w:r>
      <w:r w:rsidR="00B84B07" w:rsidRPr="002A4120">
        <w:rPr>
          <w:sz w:val="20"/>
          <w:szCs w:val="20"/>
        </w:rPr>
        <w:t>(LPS 310)</w:t>
      </w:r>
      <w:r w:rsidRPr="002A4120">
        <w:rPr>
          <w:sz w:val="20"/>
          <w:szCs w:val="20"/>
        </w:rPr>
        <w:t>.</w:t>
      </w:r>
    </w:p>
    <w:p w14:paraId="57AA8A64" w14:textId="2F0C4B25" w:rsidR="00E63AB5" w:rsidRPr="002A4120" w:rsidRDefault="00CC3EEE" w:rsidP="003168CB">
      <w:pPr>
        <w:pStyle w:val="BodyText2"/>
        <w:numPr>
          <w:ilvl w:val="0"/>
          <w:numId w:val="2"/>
        </w:numPr>
        <w:spacing w:before="0" w:after="240"/>
        <w:ind w:left="567" w:hanging="567"/>
        <w:rPr>
          <w:szCs w:val="24"/>
        </w:rPr>
      </w:pPr>
      <w:bookmarkStart w:id="4" w:name="_Ref339262226"/>
      <w:bookmarkStart w:id="5" w:name="_Ref339285600"/>
      <w:r w:rsidRPr="002A4120">
        <w:t xml:space="preserve">If, having regard to the particular circumstances of a life company, </w:t>
      </w:r>
      <w:r w:rsidR="00E63AB5" w:rsidRPr="002A4120">
        <w:t>APRA</w:t>
      </w:r>
      <w:r w:rsidRPr="002A4120">
        <w:t xml:space="preserve"> considers it necessary or desirable to obtain information more or less frequently than as provided by subparagraph </w:t>
      </w:r>
      <w:r w:rsidR="00C0600E">
        <w:fldChar w:fldCharType="begin"/>
      </w:r>
      <w:r w:rsidR="00C0600E">
        <w:instrText xml:space="preserve"> REF _Ref339262675 \r \h </w:instrText>
      </w:r>
      <w:r w:rsidR="00C0600E">
        <w:fldChar w:fldCharType="separate"/>
      </w:r>
      <w:r w:rsidR="00C0600E">
        <w:t>7(a)</w:t>
      </w:r>
      <w:r w:rsidR="00C0600E">
        <w:fldChar w:fldCharType="end"/>
      </w:r>
      <w:r w:rsidRPr="002A4120">
        <w:t xml:space="preserve"> or </w:t>
      </w:r>
      <w:r w:rsidR="00C0600E">
        <w:fldChar w:fldCharType="begin"/>
      </w:r>
      <w:r w:rsidR="00C0600E">
        <w:instrText xml:space="preserve"> REF _Ref339262677 \r \h </w:instrText>
      </w:r>
      <w:r w:rsidR="00C0600E">
        <w:fldChar w:fldCharType="separate"/>
      </w:r>
      <w:r w:rsidR="00C0600E">
        <w:t>7(b)</w:t>
      </w:r>
      <w:r w:rsidR="00C0600E">
        <w:fldChar w:fldCharType="end"/>
      </w:r>
      <w:r w:rsidRPr="002A4120">
        <w:t xml:space="preserve">, APRA </w:t>
      </w:r>
      <w:r w:rsidR="00E63AB5" w:rsidRPr="002A4120">
        <w:t>may, by notice in writing, change the reporting periods, or specif</w:t>
      </w:r>
      <w:r w:rsidR="0026618D" w:rsidRPr="002A4120">
        <w:t>y</w:t>
      </w:r>
      <w:r w:rsidR="00E63AB5" w:rsidRPr="002A4120">
        <w:t xml:space="preserve"> reporting periods</w:t>
      </w:r>
      <w:r w:rsidR="0026618D" w:rsidRPr="002A4120">
        <w:t>,</w:t>
      </w:r>
      <w:r w:rsidR="00E63AB5" w:rsidRPr="002A4120">
        <w:t xml:space="preserve"> for </w:t>
      </w:r>
      <w:r w:rsidR="0026618D" w:rsidRPr="002A4120">
        <w:t>th</w:t>
      </w:r>
      <w:r w:rsidR="00693228" w:rsidRPr="002A4120">
        <w:t>e</w:t>
      </w:r>
      <w:r w:rsidR="00E63AB5" w:rsidRPr="002A4120">
        <w:t xml:space="preserve"> particular life company</w:t>
      </w:r>
      <w:bookmarkStart w:id="6" w:name="_Ref339263080"/>
      <w:bookmarkEnd w:id="4"/>
      <w:r w:rsidR="00700450" w:rsidRPr="002A4120">
        <w:t>.</w:t>
      </w:r>
      <w:bookmarkEnd w:id="5"/>
      <w:bookmarkEnd w:id="6"/>
    </w:p>
    <w:p w14:paraId="448C0641" w14:textId="77777777" w:rsidR="001E5464" w:rsidRPr="002A4120" w:rsidRDefault="00700450" w:rsidP="003168CB">
      <w:pPr>
        <w:numPr>
          <w:ilvl w:val="0"/>
          <w:numId w:val="2"/>
        </w:numPr>
        <w:spacing w:after="240"/>
        <w:ind w:left="567" w:hanging="567"/>
        <w:jc w:val="both"/>
      </w:pPr>
      <w:r w:rsidRPr="002A4120">
        <w:t xml:space="preserve">The information required by this </w:t>
      </w:r>
      <w:r w:rsidR="00A84C29" w:rsidRPr="002A4120">
        <w:t>R</w:t>
      </w:r>
      <w:r w:rsidRPr="002A4120">
        <w:t xml:space="preserve">eporting </w:t>
      </w:r>
      <w:r w:rsidR="00A84C29" w:rsidRPr="002A4120">
        <w:t>S</w:t>
      </w:r>
      <w:r w:rsidRPr="002A4120">
        <w:t>tandard in respect of a life company must be provided to APRA</w:t>
      </w:r>
      <w:r w:rsidR="001E5464" w:rsidRPr="002A4120">
        <w:t>:</w:t>
      </w:r>
    </w:p>
    <w:p w14:paraId="4AD8C2FB" w14:textId="77777777" w:rsidR="001E5464" w:rsidRPr="002A4120" w:rsidRDefault="001E5464" w:rsidP="003168CB">
      <w:pPr>
        <w:numPr>
          <w:ilvl w:val="1"/>
          <w:numId w:val="2"/>
        </w:numPr>
        <w:spacing w:after="240"/>
        <w:ind w:left="1134" w:hanging="566"/>
        <w:jc w:val="both"/>
      </w:pPr>
      <w:r w:rsidRPr="002A4120">
        <w:t>within</w:t>
      </w:r>
      <w:r w:rsidR="007F419C" w:rsidRPr="002A4120">
        <w:t xml:space="preserve"> the time stated in </w:t>
      </w:r>
      <w:r w:rsidR="007F419C" w:rsidRPr="002A4120">
        <w:rPr>
          <w:i/>
        </w:rPr>
        <w:t xml:space="preserve">Reporting Standard </w:t>
      </w:r>
      <w:r w:rsidR="0026618D" w:rsidRPr="002A4120">
        <w:rPr>
          <w:i/>
        </w:rPr>
        <w:t>L</w:t>
      </w:r>
      <w:r w:rsidR="007F419C" w:rsidRPr="002A4120">
        <w:rPr>
          <w:i/>
        </w:rPr>
        <w:t xml:space="preserve">RS 001 </w:t>
      </w:r>
      <w:r w:rsidR="00F0040B" w:rsidRPr="002A4120">
        <w:rPr>
          <w:i/>
        </w:rPr>
        <w:t>Reporting Requirements</w:t>
      </w:r>
      <w:r w:rsidR="00F0040B" w:rsidRPr="002A4120">
        <w:t xml:space="preserve"> (LRS 001)</w:t>
      </w:r>
      <w:r w:rsidRPr="002A4120">
        <w:t>; or</w:t>
      </w:r>
    </w:p>
    <w:p w14:paraId="78BCE914" w14:textId="77777777" w:rsidR="00700450" w:rsidRPr="002A4120" w:rsidRDefault="001E5464" w:rsidP="003168CB">
      <w:pPr>
        <w:numPr>
          <w:ilvl w:val="1"/>
          <w:numId w:val="2"/>
        </w:numPr>
        <w:spacing w:after="240"/>
        <w:ind w:left="1134" w:hanging="566"/>
        <w:jc w:val="both"/>
      </w:pPr>
      <w:r w:rsidRPr="002A4120">
        <w:t xml:space="preserve">in the case of information provided in accordance with paragraph </w:t>
      </w:r>
      <w:r w:rsidRPr="002A4120">
        <w:fldChar w:fldCharType="begin"/>
      </w:r>
      <w:r w:rsidRPr="002A4120">
        <w:instrText xml:space="preserve"> REF _Ref339285600 \r \h </w:instrText>
      </w:r>
      <w:r w:rsidR="002A4120" w:rsidRPr="002A4120">
        <w:instrText xml:space="preserve"> \* MERGEFORMAT </w:instrText>
      </w:r>
      <w:r w:rsidRPr="002A4120">
        <w:fldChar w:fldCharType="separate"/>
      </w:r>
      <w:r w:rsidR="00B50657" w:rsidRPr="002A4120">
        <w:t>8</w:t>
      </w:r>
      <w:r w:rsidRPr="002A4120">
        <w:fldChar w:fldCharType="end"/>
      </w:r>
      <w:r w:rsidRPr="002A4120">
        <w:t>, within the time specified by notice in writing</w:t>
      </w:r>
      <w:r w:rsidR="00E70D28" w:rsidRPr="002A4120">
        <w:t>.</w:t>
      </w:r>
    </w:p>
    <w:p w14:paraId="02469290" w14:textId="77777777" w:rsidR="00E63AB5" w:rsidRPr="002A4120" w:rsidRDefault="00E63AB5" w:rsidP="003168CB">
      <w:pPr>
        <w:keepNext/>
        <w:spacing w:after="240"/>
        <w:jc w:val="both"/>
        <w:rPr>
          <w:rFonts w:ascii="Arial" w:hAnsi="Arial" w:cs="Arial"/>
          <w:b/>
        </w:rPr>
      </w:pPr>
      <w:r w:rsidRPr="002A4120">
        <w:rPr>
          <w:rFonts w:ascii="Arial" w:hAnsi="Arial" w:cs="Arial"/>
          <w:b/>
        </w:rPr>
        <w:t>Quality control</w:t>
      </w:r>
    </w:p>
    <w:p w14:paraId="6871602C" w14:textId="77777777" w:rsidR="006558A6" w:rsidRPr="002A4120" w:rsidRDefault="00E63AB5" w:rsidP="003168CB">
      <w:pPr>
        <w:numPr>
          <w:ilvl w:val="0"/>
          <w:numId w:val="2"/>
        </w:numPr>
        <w:spacing w:after="240"/>
        <w:ind w:left="567" w:hanging="567"/>
        <w:jc w:val="both"/>
      </w:pPr>
      <w:r w:rsidRPr="002A4120">
        <w:t xml:space="preserve">The information provided by a life company under this </w:t>
      </w:r>
      <w:r w:rsidR="00A84C29" w:rsidRPr="002A4120">
        <w:t>R</w:t>
      </w:r>
      <w:r w:rsidRPr="002A4120">
        <w:t xml:space="preserve">eporting </w:t>
      </w:r>
      <w:r w:rsidR="00A84C29" w:rsidRPr="002A4120">
        <w:t>S</w:t>
      </w:r>
      <w:r w:rsidRPr="002A4120">
        <w:t xml:space="preserve">tandard must be the product of </w:t>
      </w:r>
      <w:r w:rsidR="00271EEE" w:rsidRPr="002A4120">
        <w:t xml:space="preserve">systems, </w:t>
      </w:r>
      <w:r w:rsidRPr="002A4120">
        <w:t xml:space="preserve">processes and controls that have been reviewed and tested by the </w:t>
      </w:r>
      <w:r w:rsidR="00700450" w:rsidRPr="002A4120">
        <w:t>A</w:t>
      </w:r>
      <w:r w:rsidRPr="002A4120">
        <w:t xml:space="preserve">uditor of the life company. </w:t>
      </w:r>
      <w:r w:rsidR="00700450" w:rsidRPr="002A4120">
        <w:t xml:space="preserve">This will require the Auditor to review and test the </w:t>
      </w:r>
      <w:r w:rsidR="00271EEE" w:rsidRPr="002A4120">
        <w:t xml:space="preserve">life company’s </w:t>
      </w:r>
      <w:r w:rsidR="00700450" w:rsidRPr="002A4120">
        <w:t xml:space="preserve">systems, processes and controls </w:t>
      </w:r>
      <w:r w:rsidR="002D6983" w:rsidRPr="002A4120">
        <w:t xml:space="preserve">supporting the reporting of the information to enable </w:t>
      </w:r>
      <w:r w:rsidR="00FE54A7" w:rsidRPr="002A4120">
        <w:t xml:space="preserve">the life company </w:t>
      </w:r>
      <w:r w:rsidR="002D6983" w:rsidRPr="002A4120">
        <w:t xml:space="preserve">to provide </w:t>
      </w:r>
      <w:r w:rsidR="006B56A6" w:rsidRPr="002A4120">
        <w:t>reliable</w:t>
      </w:r>
      <w:r w:rsidR="002D6983" w:rsidRPr="002A4120">
        <w:t xml:space="preserve"> financial information </w:t>
      </w:r>
      <w:r w:rsidR="006B56A6" w:rsidRPr="002A4120">
        <w:t>to APRA</w:t>
      </w:r>
      <w:r w:rsidR="00700450" w:rsidRPr="002A4120">
        <w:t>. This review and testing must be done</w:t>
      </w:r>
      <w:r w:rsidR="002D6983" w:rsidRPr="002A4120">
        <w:t xml:space="preserve"> </w:t>
      </w:r>
      <w:r w:rsidR="001E5464" w:rsidRPr="002A4120">
        <w:t>on:</w:t>
      </w:r>
    </w:p>
    <w:p w14:paraId="60836B3A" w14:textId="77777777" w:rsidR="006558A6" w:rsidRPr="002A4120" w:rsidRDefault="00700450" w:rsidP="003168CB">
      <w:pPr>
        <w:numPr>
          <w:ilvl w:val="1"/>
          <w:numId w:val="2"/>
        </w:numPr>
        <w:spacing w:after="240"/>
        <w:ind w:left="1134" w:hanging="566"/>
        <w:jc w:val="both"/>
      </w:pPr>
      <w:r w:rsidRPr="002A4120">
        <w:t xml:space="preserve">an annual basis </w:t>
      </w:r>
      <w:r w:rsidR="002D6983" w:rsidRPr="002A4120">
        <w:t>or more frequently if necessary to</w:t>
      </w:r>
      <w:r w:rsidRPr="002A4120">
        <w:t xml:space="preserve"> enable the Auditor to </w:t>
      </w:r>
      <w:r w:rsidR="002D6983" w:rsidRPr="002A4120">
        <w:t>form an opinion on the relia</w:t>
      </w:r>
      <w:r w:rsidR="006558A6" w:rsidRPr="002A4120">
        <w:t>bility and accuracy of data; and</w:t>
      </w:r>
    </w:p>
    <w:p w14:paraId="2CB5687D" w14:textId="77777777" w:rsidR="002D6983" w:rsidRPr="002A4120" w:rsidRDefault="006558A6" w:rsidP="003168CB">
      <w:pPr>
        <w:numPr>
          <w:ilvl w:val="1"/>
          <w:numId w:val="2"/>
        </w:numPr>
        <w:spacing w:after="240"/>
        <w:ind w:left="1134" w:hanging="566"/>
        <w:jc w:val="both"/>
      </w:pPr>
      <w:r w:rsidRPr="002A4120">
        <w:lastRenderedPageBreak/>
        <w:t xml:space="preserve">at least a limited assurance engagement consistent with professional standards and guidance notes issued by the Auditing and Assurance Standards Board (AUASB) as may be amended from time to time, to the extent that they are not inconsistent with the requirements of LPS 310. </w:t>
      </w:r>
    </w:p>
    <w:p w14:paraId="467643C6" w14:textId="77777777" w:rsidR="00E63AB5" w:rsidRPr="002A4120" w:rsidRDefault="003E0659" w:rsidP="003168CB">
      <w:pPr>
        <w:numPr>
          <w:ilvl w:val="0"/>
          <w:numId w:val="2"/>
        </w:numPr>
        <w:spacing w:after="240"/>
        <w:ind w:left="567" w:hanging="567"/>
        <w:jc w:val="both"/>
      </w:pPr>
      <w:r w:rsidRPr="002A4120">
        <w:t xml:space="preserve">All </w:t>
      </w:r>
      <w:r w:rsidR="00E63AB5" w:rsidRPr="002A4120">
        <w:t xml:space="preserve">information provided by a life company under this </w:t>
      </w:r>
      <w:r w:rsidR="00A84C29" w:rsidRPr="002A4120">
        <w:t>R</w:t>
      </w:r>
      <w:r w:rsidR="00E63AB5" w:rsidRPr="002A4120">
        <w:t xml:space="preserve">eporting </w:t>
      </w:r>
      <w:r w:rsidR="00A84C29" w:rsidRPr="002A4120">
        <w:t>S</w:t>
      </w:r>
      <w:r w:rsidR="00E63AB5" w:rsidRPr="002A4120">
        <w:t xml:space="preserve">tandard must be subject to </w:t>
      </w:r>
      <w:r w:rsidR="00271EEE" w:rsidRPr="002A4120">
        <w:t xml:space="preserve">systems, </w:t>
      </w:r>
      <w:r w:rsidR="00E63AB5" w:rsidRPr="002A4120">
        <w:t xml:space="preserve">processes and controls developed by the life company for the internal review and authorisation of that information. It is the responsibility of the </w:t>
      </w:r>
      <w:r w:rsidR="00271EEE" w:rsidRPr="002A4120">
        <w:t>B</w:t>
      </w:r>
      <w:r w:rsidR="00E63AB5" w:rsidRPr="002A4120">
        <w:t>oard and senior management of the life company to ensure that an appropriate set of policies and procedures for the authorisation of data submitted to APRA is in place.</w:t>
      </w:r>
    </w:p>
    <w:p w14:paraId="4212DDE5" w14:textId="77777777" w:rsidR="00E63AB5" w:rsidRPr="002A4120" w:rsidRDefault="00E63AB5" w:rsidP="003168CB">
      <w:pPr>
        <w:widowControl w:val="0"/>
        <w:numPr>
          <w:ilvl w:val="0"/>
          <w:numId w:val="2"/>
        </w:numPr>
        <w:spacing w:after="240"/>
        <w:ind w:left="567" w:hanging="567"/>
        <w:jc w:val="both"/>
        <w:rPr>
          <w:rFonts w:ascii="Arial" w:hAnsi="Arial" w:cs="Arial"/>
          <w:b/>
        </w:rPr>
      </w:pPr>
      <w:r w:rsidRPr="002A4120">
        <w:t xml:space="preserve">Actuarial valuations and calculations included in or used in the preparation of the information provided to APRA must be in accordance with the prudential standards in force for the reporting period. </w:t>
      </w:r>
      <w:r w:rsidRPr="002A4120">
        <w:rPr>
          <w:noProof/>
        </w:rPr>
        <w:t xml:space="preserve">However, life companies may use reasonable estimates when preparing information that will not be audited (i.e. for the first four submissions of information for a full financial year). </w:t>
      </w:r>
    </w:p>
    <w:p w14:paraId="68D7614C" w14:textId="77777777" w:rsidR="00E63AB5" w:rsidRPr="002A4120" w:rsidRDefault="00E63AB5" w:rsidP="003168CB">
      <w:pPr>
        <w:keepNext/>
        <w:spacing w:after="240"/>
        <w:jc w:val="both"/>
        <w:rPr>
          <w:rFonts w:ascii="Arial" w:hAnsi="Arial" w:cs="Arial"/>
          <w:b/>
        </w:rPr>
      </w:pPr>
      <w:r w:rsidRPr="002A4120">
        <w:rPr>
          <w:rFonts w:ascii="Arial" w:hAnsi="Arial" w:cs="Arial"/>
          <w:b/>
        </w:rPr>
        <w:t>Authorisation</w:t>
      </w:r>
    </w:p>
    <w:p w14:paraId="29BC88E9" w14:textId="705E6638" w:rsidR="00F1293A" w:rsidRPr="002A4120" w:rsidRDefault="00F1293A" w:rsidP="003168CB">
      <w:pPr>
        <w:numPr>
          <w:ilvl w:val="0"/>
          <w:numId w:val="2"/>
        </w:numPr>
        <w:spacing w:after="240"/>
        <w:ind w:left="567" w:hanging="567"/>
        <w:jc w:val="both"/>
      </w:pPr>
      <w:r w:rsidRPr="002A4120">
        <w:t xml:space="preserve">When an officer of a life company </w:t>
      </w:r>
      <w:r w:rsidR="0026618D" w:rsidRPr="002A4120">
        <w:t xml:space="preserve">provides the </w:t>
      </w:r>
      <w:r w:rsidRPr="002A4120">
        <w:t xml:space="preserve">information </w:t>
      </w:r>
      <w:r w:rsidR="0026618D" w:rsidRPr="002A4120">
        <w:t xml:space="preserve">required by </w:t>
      </w:r>
      <w:r w:rsidRPr="002A4120">
        <w:t>this Reporting Standard, it will be necessary for the officer to digitally sign the relevant information using a digital certificate acceptable to APRA.</w:t>
      </w:r>
    </w:p>
    <w:p w14:paraId="40DD267D" w14:textId="77777777" w:rsidR="00F1293A" w:rsidRPr="002A4120" w:rsidRDefault="00F1293A" w:rsidP="003168CB">
      <w:pPr>
        <w:numPr>
          <w:ilvl w:val="0"/>
          <w:numId w:val="2"/>
        </w:numPr>
        <w:spacing w:after="240"/>
        <w:ind w:left="567" w:hanging="567"/>
        <w:jc w:val="both"/>
      </w:pPr>
      <w:r w:rsidRPr="002A4120">
        <w:t>An officer of a</w:t>
      </w:r>
      <w:r w:rsidR="00630E53" w:rsidRPr="002A4120">
        <w:t xml:space="preserve"> life company</w:t>
      </w:r>
      <w:r w:rsidRPr="002A4120">
        <w:t xml:space="preserve"> submitting information under this Reporting Standard must be authorised by either:</w:t>
      </w:r>
    </w:p>
    <w:p w14:paraId="7F1A6D10" w14:textId="77777777" w:rsidR="00F1293A" w:rsidRPr="002A4120" w:rsidRDefault="00F1293A" w:rsidP="003168CB">
      <w:pPr>
        <w:numPr>
          <w:ilvl w:val="1"/>
          <w:numId w:val="1"/>
        </w:numPr>
        <w:spacing w:after="240"/>
        <w:jc w:val="both"/>
      </w:pPr>
      <w:r w:rsidRPr="002A4120">
        <w:t xml:space="preserve">the Principal Executive Officer of the </w:t>
      </w:r>
      <w:r w:rsidR="00EC6547" w:rsidRPr="002A4120">
        <w:t>life company</w:t>
      </w:r>
      <w:r w:rsidRPr="002A4120">
        <w:t>; or</w:t>
      </w:r>
    </w:p>
    <w:p w14:paraId="33D6EEFB" w14:textId="77777777" w:rsidR="00697B00" w:rsidRPr="002A4120" w:rsidRDefault="00F1293A" w:rsidP="003168CB">
      <w:pPr>
        <w:numPr>
          <w:ilvl w:val="1"/>
          <w:numId w:val="1"/>
        </w:numPr>
        <w:spacing w:after="240"/>
        <w:jc w:val="both"/>
      </w:pPr>
      <w:r w:rsidRPr="002A4120">
        <w:t>the Chief Financial Officer of the</w:t>
      </w:r>
      <w:r w:rsidR="00EC6547" w:rsidRPr="002A4120">
        <w:t xml:space="preserve"> life company</w:t>
      </w:r>
      <w:r w:rsidRPr="002A4120">
        <w:t>.</w:t>
      </w:r>
    </w:p>
    <w:p w14:paraId="579AE9E0" w14:textId="77777777" w:rsidR="00697B00" w:rsidRPr="002A4120" w:rsidRDefault="0026618D" w:rsidP="003168CB">
      <w:pPr>
        <w:pStyle w:val="Heading1"/>
        <w:jc w:val="both"/>
        <w:rPr>
          <w:sz w:val="24"/>
        </w:rPr>
      </w:pPr>
      <w:r w:rsidRPr="002A4120">
        <w:rPr>
          <w:sz w:val="24"/>
        </w:rPr>
        <w:t>Variations</w:t>
      </w:r>
    </w:p>
    <w:p w14:paraId="6D0B1648" w14:textId="77777777" w:rsidR="00697B00" w:rsidRPr="002A4120" w:rsidRDefault="00697B00" w:rsidP="003168CB">
      <w:pPr>
        <w:numPr>
          <w:ilvl w:val="0"/>
          <w:numId w:val="2"/>
        </w:numPr>
        <w:spacing w:after="240"/>
        <w:ind w:left="567" w:hanging="567"/>
        <w:jc w:val="both"/>
        <w:rPr>
          <w:rFonts w:ascii="Arial" w:hAnsi="Arial" w:cs="Arial"/>
          <w:b/>
        </w:rPr>
      </w:pPr>
      <w:r w:rsidRPr="002A4120">
        <w:t xml:space="preserve">APRA </w:t>
      </w:r>
      <w:r w:rsidR="0026618D" w:rsidRPr="002A4120">
        <w:t xml:space="preserve">may, by written notice to the life company, </w:t>
      </w:r>
      <w:r w:rsidRPr="002A4120">
        <w:t xml:space="preserve">vary the reporting requirements </w:t>
      </w:r>
      <w:r w:rsidR="0026618D" w:rsidRPr="002A4120">
        <w:t xml:space="preserve">of </w:t>
      </w:r>
      <w:r w:rsidR="00E94F5C" w:rsidRPr="002A4120">
        <w:t xml:space="preserve">the </w:t>
      </w:r>
      <w:r w:rsidR="000D5A55" w:rsidRPr="002A4120">
        <w:t>LRF 31</w:t>
      </w:r>
      <w:r w:rsidR="00295C25" w:rsidRPr="002A4120">
        <w:t>0 series</w:t>
      </w:r>
      <w:r w:rsidR="007E279C" w:rsidRPr="002A4120">
        <w:rPr>
          <w:i/>
        </w:rPr>
        <w:t xml:space="preserve"> </w:t>
      </w:r>
      <w:r w:rsidRPr="002A4120">
        <w:t xml:space="preserve">in relation to that life company. </w:t>
      </w:r>
    </w:p>
    <w:p w14:paraId="5D62B52D" w14:textId="77777777" w:rsidR="001377D5" w:rsidRPr="002A4120" w:rsidRDefault="00FD4D5C" w:rsidP="003168CB">
      <w:pPr>
        <w:keepNext/>
        <w:spacing w:after="240"/>
        <w:jc w:val="both"/>
      </w:pPr>
      <w:r w:rsidRPr="002A4120">
        <w:rPr>
          <w:rFonts w:ascii="Arial" w:hAnsi="Arial" w:cs="Arial"/>
          <w:b/>
        </w:rPr>
        <w:t>Transition</w:t>
      </w:r>
    </w:p>
    <w:p w14:paraId="2ECD6447" w14:textId="77777777" w:rsidR="003E0659" w:rsidRPr="002A4120" w:rsidRDefault="003E0659" w:rsidP="003168CB">
      <w:pPr>
        <w:numPr>
          <w:ilvl w:val="0"/>
          <w:numId w:val="2"/>
        </w:numPr>
        <w:spacing w:after="240"/>
        <w:ind w:left="567" w:hanging="567"/>
        <w:jc w:val="both"/>
      </w:pPr>
      <w:r w:rsidRPr="002A4120">
        <w:t>A life company must report under the old reporting standard in respect of a transitional reporting period. For these purposes:</w:t>
      </w:r>
    </w:p>
    <w:p w14:paraId="188CC4F9" w14:textId="708471B8" w:rsidR="003E0659" w:rsidRPr="002A4120" w:rsidRDefault="003E0659" w:rsidP="003168CB">
      <w:pPr>
        <w:spacing w:after="240"/>
        <w:ind w:left="567"/>
        <w:jc w:val="both"/>
      </w:pPr>
      <w:r w:rsidRPr="002A4120">
        <w:rPr>
          <w:b/>
          <w:i/>
        </w:rPr>
        <w:t xml:space="preserve">old reporting standard </w:t>
      </w:r>
      <w:r w:rsidRPr="002A4120">
        <w:t>means the reporting standard revoked in the determination making this Reporting Standard; and</w:t>
      </w:r>
    </w:p>
    <w:p w14:paraId="6B6D3B61" w14:textId="77777777" w:rsidR="003E0659" w:rsidRPr="002A4120" w:rsidRDefault="003E0659" w:rsidP="003168CB">
      <w:pPr>
        <w:spacing w:after="240"/>
        <w:ind w:left="567"/>
        <w:jc w:val="both"/>
      </w:pPr>
      <w:r w:rsidRPr="002A4120">
        <w:rPr>
          <w:b/>
          <w:i/>
        </w:rPr>
        <w:t xml:space="preserve">transitional reporting period </w:t>
      </w:r>
      <w:r w:rsidRPr="002A4120">
        <w:t>means a reporting period under the old reporting standard:</w:t>
      </w:r>
    </w:p>
    <w:p w14:paraId="588BD78C" w14:textId="77777777" w:rsidR="003E0659" w:rsidRPr="002A4120" w:rsidRDefault="003E0659" w:rsidP="003168CB">
      <w:pPr>
        <w:pStyle w:val="ListParagraph"/>
        <w:numPr>
          <w:ilvl w:val="0"/>
          <w:numId w:val="4"/>
        </w:numPr>
        <w:spacing w:after="240"/>
        <w:ind w:left="1134" w:hanging="567"/>
        <w:contextualSpacing w:val="0"/>
        <w:jc w:val="both"/>
        <w:rPr>
          <w:sz w:val="24"/>
          <w:szCs w:val="24"/>
        </w:rPr>
      </w:pPr>
      <w:r w:rsidRPr="002A4120">
        <w:rPr>
          <w:sz w:val="24"/>
          <w:szCs w:val="24"/>
        </w:rPr>
        <w:t>which ended before the date of revocation of the old reporting standard; and</w:t>
      </w:r>
    </w:p>
    <w:p w14:paraId="07D8F180" w14:textId="77777777" w:rsidR="003E0659" w:rsidRPr="002A4120" w:rsidRDefault="003E0659" w:rsidP="003168CB">
      <w:pPr>
        <w:pStyle w:val="ListParagraph"/>
        <w:numPr>
          <w:ilvl w:val="0"/>
          <w:numId w:val="4"/>
        </w:numPr>
        <w:spacing w:after="240"/>
        <w:ind w:left="1134" w:hanging="567"/>
        <w:jc w:val="both"/>
        <w:rPr>
          <w:sz w:val="22"/>
          <w:szCs w:val="22"/>
        </w:rPr>
      </w:pPr>
      <w:r w:rsidRPr="002A4120">
        <w:rPr>
          <w:sz w:val="24"/>
          <w:szCs w:val="24"/>
        </w:rPr>
        <w:t>in relation to which the life company was required, under the old reporting standard, to report by a date on or after the date of revocation of the old reporting standard.</w:t>
      </w:r>
    </w:p>
    <w:p w14:paraId="28B57499" w14:textId="77777777" w:rsidR="003E0659" w:rsidRPr="002A4120" w:rsidRDefault="003E0659" w:rsidP="003168CB">
      <w:pPr>
        <w:autoSpaceDE w:val="0"/>
        <w:autoSpaceDN w:val="0"/>
        <w:adjustRightInd w:val="0"/>
        <w:spacing w:after="240"/>
        <w:ind w:left="567"/>
        <w:jc w:val="both"/>
        <w:rPr>
          <w:sz w:val="20"/>
          <w:szCs w:val="20"/>
        </w:rPr>
      </w:pPr>
      <w:r w:rsidRPr="002A4120">
        <w:rPr>
          <w:i/>
          <w:iCs/>
          <w:sz w:val="20"/>
          <w:szCs w:val="20"/>
        </w:rPr>
        <w:lastRenderedPageBreak/>
        <w:t xml:space="preserve">Note: </w:t>
      </w:r>
      <w:r w:rsidRPr="002A4120">
        <w:rPr>
          <w:sz w:val="20"/>
          <w:szCs w:val="20"/>
        </w:rPr>
        <w:t>For the avoidance of doubt, if a life company was required to report under an old reporting standard, and the reporting documents were due before the date of revocation of the old reporting standard, the life company is still required to provide any overdue reporting documents in accordance with the old reporting standard.</w:t>
      </w:r>
    </w:p>
    <w:p w14:paraId="5446D4CB" w14:textId="77777777" w:rsidR="00E63AB5" w:rsidRPr="002A4120" w:rsidRDefault="00E63AB5" w:rsidP="003168CB">
      <w:pPr>
        <w:keepNext/>
        <w:spacing w:after="240"/>
        <w:jc w:val="both"/>
        <w:rPr>
          <w:rFonts w:ascii="Arial" w:hAnsi="Arial" w:cs="Arial"/>
          <w:b/>
        </w:rPr>
      </w:pPr>
      <w:r w:rsidRPr="002A4120">
        <w:rPr>
          <w:rFonts w:ascii="Arial" w:hAnsi="Arial" w:cs="Arial"/>
          <w:b/>
        </w:rPr>
        <w:t>Interpretation</w:t>
      </w:r>
    </w:p>
    <w:p w14:paraId="3C5E46F7" w14:textId="77777777" w:rsidR="00E63AB5" w:rsidRPr="002A4120" w:rsidRDefault="00E63AB5" w:rsidP="003168CB">
      <w:pPr>
        <w:numPr>
          <w:ilvl w:val="0"/>
          <w:numId w:val="2"/>
        </w:numPr>
        <w:spacing w:after="240"/>
        <w:ind w:left="567" w:hanging="567"/>
        <w:jc w:val="both"/>
      </w:pPr>
      <w:r w:rsidRPr="002A4120">
        <w:t xml:space="preserve">In this </w:t>
      </w:r>
      <w:r w:rsidR="00A84C29" w:rsidRPr="002A4120">
        <w:t>R</w:t>
      </w:r>
      <w:r w:rsidRPr="002A4120">
        <w:t xml:space="preserve">eporting </w:t>
      </w:r>
      <w:r w:rsidR="00A84C29" w:rsidRPr="002A4120">
        <w:t>S</w:t>
      </w:r>
      <w:r w:rsidRPr="002A4120">
        <w:t>tandard</w:t>
      </w:r>
      <w:r w:rsidR="00516AF3" w:rsidRPr="002A4120">
        <w:t xml:space="preserve"> (including the attachments)</w:t>
      </w:r>
      <w:r w:rsidRPr="002A4120">
        <w:t>:</w:t>
      </w:r>
    </w:p>
    <w:p w14:paraId="07D535B2" w14:textId="77777777" w:rsidR="001D27D0" w:rsidRPr="002A4120" w:rsidRDefault="0026618D" w:rsidP="003168CB">
      <w:pPr>
        <w:numPr>
          <w:ilvl w:val="0"/>
          <w:numId w:val="5"/>
        </w:numPr>
        <w:spacing w:after="240"/>
        <w:jc w:val="both"/>
      </w:pPr>
      <w:r w:rsidRPr="002A4120">
        <w:t>u</w:t>
      </w:r>
      <w:r w:rsidR="001D27D0" w:rsidRPr="002A4120">
        <w:t xml:space="preserve">nless the contrary intention appears, words and expressions have the meanings given to them in </w:t>
      </w:r>
      <w:r w:rsidR="00B84B07" w:rsidRPr="002A4120">
        <w:rPr>
          <w:i/>
        </w:rPr>
        <w:t xml:space="preserve">Prudential Standard LPS 001 Definitions </w:t>
      </w:r>
      <w:r w:rsidR="00B84B07" w:rsidRPr="002A4120">
        <w:t>(</w:t>
      </w:r>
      <w:r w:rsidR="001D27D0" w:rsidRPr="002A4120">
        <w:t>LPS 001</w:t>
      </w:r>
      <w:r w:rsidR="00B84B07" w:rsidRPr="002A4120">
        <w:t>)</w:t>
      </w:r>
      <w:r w:rsidR="001D27D0" w:rsidRPr="002A4120">
        <w:t>;</w:t>
      </w:r>
      <w:r w:rsidR="000511D1" w:rsidRPr="002A4120">
        <w:t xml:space="preserve"> and</w:t>
      </w:r>
    </w:p>
    <w:p w14:paraId="1979977A" w14:textId="77777777" w:rsidR="0026618D" w:rsidRPr="002A4120" w:rsidRDefault="0026618D" w:rsidP="003168CB">
      <w:pPr>
        <w:numPr>
          <w:ilvl w:val="0"/>
          <w:numId w:val="5"/>
        </w:numPr>
        <w:spacing w:after="240"/>
        <w:jc w:val="both"/>
      </w:pPr>
      <w:r w:rsidRPr="002A4120">
        <w:rPr>
          <w:b/>
          <w:i/>
        </w:rPr>
        <w:t>capital standards</w:t>
      </w:r>
      <w:r w:rsidRPr="002A4120">
        <w:t xml:space="preserve"> means the prudential standards which relate to capital adequacy as defined in LPS 001;</w:t>
      </w:r>
      <w:r w:rsidRPr="002A4120">
        <w:rPr>
          <w:b/>
          <w:i/>
        </w:rPr>
        <w:t xml:space="preserve"> </w:t>
      </w:r>
    </w:p>
    <w:p w14:paraId="68B4E46E" w14:textId="77777777" w:rsidR="00337337" w:rsidRPr="002A4120" w:rsidRDefault="0026618D" w:rsidP="003168CB">
      <w:pPr>
        <w:spacing w:after="240"/>
        <w:ind w:left="1135"/>
        <w:jc w:val="both"/>
      </w:pPr>
      <w:r w:rsidRPr="002A4120">
        <w:rPr>
          <w:b/>
          <w:i/>
        </w:rPr>
        <w:t>C</w:t>
      </w:r>
      <w:r w:rsidR="00337337" w:rsidRPr="002A4120">
        <w:rPr>
          <w:b/>
          <w:i/>
        </w:rPr>
        <w:t xml:space="preserve">hief </w:t>
      </w:r>
      <w:r w:rsidRPr="002A4120">
        <w:rPr>
          <w:b/>
          <w:i/>
        </w:rPr>
        <w:t>F</w:t>
      </w:r>
      <w:r w:rsidR="00337337" w:rsidRPr="002A4120">
        <w:rPr>
          <w:b/>
          <w:i/>
        </w:rPr>
        <w:t xml:space="preserve">inancial </w:t>
      </w:r>
      <w:r w:rsidRPr="002A4120">
        <w:rPr>
          <w:b/>
          <w:i/>
        </w:rPr>
        <w:t>O</w:t>
      </w:r>
      <w:r w:rsidR="00337337" w:rsidRPr="002A4120">
        <w:rPr>
          <w:b/>
          <w:i/>
        </w:rPr>
        <w:t>fficer</w:t>
      </w:r>
      <w:r w:rsidR="00337337" w:rsidRPr="002A4120">
        <w:t xml:space="preserve"> means the chief financial officer of the life company, by whatever name called; </w:t>
      </w:r>
    </w:p>
    <w:p w14:paraId="7EAC4A3E" w14:textId="4B7FB05C" w:rsidR="00F36940" w:rsidRPr="002A4120" w:rsidRDefault="00F36940" w:rsidP="003168CB">
      <w:pPr>
        <w:pStyle w:val="Default"/>
        <w:spacing w:after="240"/>
        <w:ind w:left="1134"/>
        <w:jc w:val="both"/>
        <w:rPr>
          <w:bCs/>
          <w:color w:val="auto"/>
        </w:rPr>
      </w:pPr>
      <w:r w:rsidRPr="002A4120">
        <w:rPr>
          <w:b/>
          <w:bCs/>
          <w:i/>
          <w:color w:val="auto"/>
        </w:rPr>
        <w:t xml:space="preserve">financial year </w:t>
      </w:r>
      <w:r w:rsidRPr="002A4120">
        <w:rPr>
          <w:bCs/>
          <w:color w:val="auto"/>
        </w:rPr>
        <w:t xml:space="preserve">has the meaning in the </w:t>
      </w:r>
      <w:r w:rsidRPr="002A4120">
        <w:rPr>
          <w:bCs/>
          <w:i/>
          <w:color w:val="auto"/>
        </w:rPr>
        <w:t>Corporations Act 2001</w:t>
      </w:r>
      <w:r w:rsidR="00734CAE" w:rsidRPr="00844758">
        <w:rPr>
          <w:bCs/>
          <w:color w:val="auto"/>
        </w:rPr>
        <w:t>;</w:t>
      </w:r>
    </w:p>
    <w:p w14:paraId="32A91726" w14:textId="77777777" w:rsidR="0026618D" w:rsidRPr="002A4120" w:rsidRDefault="0026618D" w:rsidP="003168CB">
      <w:pPr>
        <w:pStyle w:val="Default"/>
        <w:spacing w:after="240"/>
        <w:ind w:left="1134"/>
        <w:jc w:val="both"/>
        <w:rPr>
          <w:bCs/>
          <w:color w:val="auto"/>
        </w:rPr>
      </w:pPr>
      <w:r w:rsidRPr="002A4120">
        <w:rPr>
          <w:b/>
          <w:bCs/>
          <w:i/>
          <w:color w:val="auto"/>
        </w:rPr>
        <w:t>general instruction</w:t>
      </w:r>
      <w:r w:rsidR="00B46C3F" w:rsidRPr="002A4120">
        <w:rPr>
          <w:b/>
          <w:bCs/>
          <w:i/>
          <w:color w:val="auto"/>
        </w:rPr>
        <w:t xml:space="preserve"> guide</w:t>
      </w:r>
      <w:r w:rsidRPr="002A4120">
        <w:rPr>
          <w:b/>
          <w:bCs/>
          <w:i/>
          <w:color w:val="auto"/>
        </w:rPr>
        <w:t xml:space="preserve"> </w:t>
      </w:r>
      <w:r w:rsidRPr="002A4120">
        <w:rPr>
          <w:bCs/>
          <w:color w:val="auto"/>
        </w:rPr>
        <w:t xml:space="preserve">refers to the </w:t>
      </w:r>
      <w:r w:rsidR="001E5464" w:rsidRPr="002A4120">
        <w:rPr>
          <w:bCs/>
          <w:color w:val="auto"/>
        </w:rPr>
        <w:t>g</w:t>
      </w:r>
      <w:r w:rsidRPr="002A4120">
        <w:rPr>
          <w:bCs/>
          <w:color w:val="auto"/>
        </w:rPr>
        <w:t>eneral instruction</w:t>
      </w:r>
      <w:r w:rsidR="001E5464" w:rsidRPr="002A4120">
        <w:rPr>
          <w:bCs/>
          <w:color w:val="auto"/>
        </w:rPr>
        <w:t xml:space="preserve"> guide</w:t>
      </w:r>
      <w:r w:rsidRPr="002A4120">
        <w:rPr>
          <w:bCs/>
          <w:color w:val="auto"/>
        </w:rPr>
        <w:t xml:space="preserve"> </w:t>
      </w:r>
      <w:r w:rsidR="001E5464" w:rsidRPr="002A4120">
        <w:rPr>
          <w:bCs/>
          <w:color w:val="auto"/>
        </w:rPr>
        <w:t xml:space="preserve">set out </w:t>
      </w:r>
      <w:r w:rsidR="00F0040B" w:rsidRPr="002A4120">
        <w:rPr>
          <w:bCs/>
          <w:color w:val="auto"/>
        </w:rPr>
        <w:t xml:space="preserve">in </w:t>
      </w:r>
      <w:r w:rsidR="001E5464" w:rsidRPr="002A4120">
        <w:rPr>
          <w:bCs/>
          <w:color w:val="auto"/>
        </w:rPr>
        <w:t xml:space="preserve">Attachment A </w:t>
      </w:r>
      <w:r w:rsidR="00535D4C" w:rsidRPr="002A4120">
        <w:rPr>
          <w:bCs/>
          <w:color w:val="auto"/>
        </w:rPr>
        <w:t>of</w:t>
      </w:r>
      <w:r w:rsidR="001E5464" w:rsidRPr="002A4120">
        <w:rPr>
          <w:bCs/>
          <w:color w:val="auto"/>
        </w:rPr>
        <w:t xml:space="preserve"> </w:t>
      </w:r>
      <w:r w:rsidR="00F0040B" w:rsidRPr="002A4120">
        <w:rPr>
          <w:bCs/>
          <w:color w:val="auto"/>
        </w:rPr>
        <w:t>LRS 001</w:t>
      </w:r>
      <w:r w:rsidRPr="002A4120">
        <w:rPr>
          <w:bCs/>
          <w:color w:val="auto"/>
        </w:rPr>
        <w:t>;</w:t>
      </w:r>
    </w:p>
    <w:p w14:paraId="1BE9D291" w14:textId="1ABCDF60" w:rsidR="001D27D0" w:rsidRPr="002A4120" w:rsidRDefault="0026618D" w:rsidP="003168CB">
      <w:pPr>
        <w:pStyle w:val="Default"/>
        <w:spacing w:after="240"/>
        <w:ind w:left="1134"/>
        <w:jc w:val="both"/>
        <w:rPr>
          <w:color w:val="auto"/>
        </w:rPr>
      </w:pPr>
      <w:r w:rsidRPr="002A4120">
        <w:rPr>
          <w:b/>
          <w:bCs/>
          <w:i/>
          <w:color w:val="auto"/>
        </w:rPr>
        <w:t>P</w:t>
      </w:r>
      <w:r w:rsidR="001D27D0" w:rsidRPr="002A4120">
        <w:rPr>
          <w:b/>
          <w:bCs/>
          <w:i/>
          <w:color w:val="auto"/>
        </w:rPr>
        <w:t xml:space="preserve">rincipal </w:t>
      </w:r>
      <w:r w:rsidRPr="002A4120">
        <w:rPr>
          <w:b/>
          <w:bCs/>
          <w:i/>
          <w:color w:val="auto"/>
        </w:rPr>
        <w:t>E</w:t>
      </w:r>
      <w:r w:rsidR="001D27D0" w:rsidRPr="002A4120">
        <w:rPr>
          <w:b/>
          <w:bCs/>
          <w:i/>
          <w:color w:val="auto"/>
        </w:rPr>
        <w:t xml:space="preserve">xecutive </w:t>
      </w:r>
      <w:r w:rsidRPr="002A4120">
        <w:rPr>
          <w:b/>
          <w:bCs/>
          <w:i/>
          <w:color w:val="auto"/>
        </w:rPr>
        <w:t>O</w:t>
      </w:r>
      <w:r w:rsidR="001D27D0" w:rsidRPr="002A4120">
        <w:rPr>
          <w:b/>
          <w:bCs/>
          <w:i/>
          <w:color w:val="auto"/>
        </w:rPr>
        <w:t>fficer</w:t>
      </w:r>
      <w:r w:rsidR="001D27D0" w:rsidRPr="002A4120">
        <w:rPr>
          <w:b/>
          <w:bCs/>
          <w:color w:val="auto"/>
        </w:rPr>
        <w:t xml:space="preserve"> </w:t>
      </w:r>
      <w:r w:rsidR="001D27D0" w:rsidRPr="002A4120">
        <w:rPr>
          <w:color w:val="auto"/>
        </w:rPr>
        <w:t xml:space="preserve">means the principal executive officer of the life company, by whatever name called, and whether or not he or she is a member of the governing board of the entity; </w:t>
      </w:r>
      <w:r w:rsidR="00734CAE">
        <w:rPr>
          <w:color w:val="auto"/>
        </w:rPr>
        <w:t xml:space="preserve">and </w:t>
      </w:r>
    </w:p>
    <w:p w14:paraId="743FBC45" w14:textId="445AF6D5" w:rsidR="001D27D0" w:rsidRPr="002A4120" w:rsidRDefault="001D27D0" w:rsidP="003168CB">
      <w:pPr>
        <w:tabs>
          <w:tab w:val="left" w:pos="426"/>
        </w:tabs>
        <w:spacing w:after="240"/>
        <w:ind w:left="1134"/>
        <w:jc w:val="both"/>
      </w:pPr>
      <w:r w:rsidRPr="002A4120">
        <w:rPr>
          <w:b/>
          <w:i/>
        </w:rPr>
        <w:t xml:space="preserve">reporting period </w:t>
      </w:r>
      <w:r w:rsidRPr="002A4120">
        <w:t>means</w:t>
      </w:r>
      <w:r w:rsidRPr="002A4120">
        <w:rPr>
          <w:b/>
          <w:i/>
        </w:rPr>
        <w:t xml:space="preserve"> </w:t>
      </w:r>
      <w:r w:rsidRPr="002A4120">
        <w:t xml:space="preserve">a reporting period under </w:t>
      </w:r>
      <w:r w:rsidR="00331EA1" w:rsidRPr="002A4120">
        <w:t>sub</w:t>
      </w:r>
      <w:r w:rsidRPr="002A4120">
        <w:t xml:space="preserve">paragraph </w:t>
      </w:r>
      <w:r w:rsidR="00C0600E">
        <w:fldChar w:fldCharType="begin"/>
      </w:r>
      <w:r w:rsidR="00C0600E">
        <w:instrText xml:space="preserve"> REF _Ref339262675 \r \h </w:instrText>
      </w:r>
      <w:r w:rsidR="00C0600E">
        <w:fldChar w:fldCharType="separate"/>
      </w:r>
      <w:r w:rsidR="00C0600E">
        <w:t>7(a)</w:t>
      </w:r>
      <w:r w:rsidR="00C0600E">
        <w:fldChar w:fldCharType="end"/>
      </w:r>
      <w:r w:rsidR="0026618D" w:rsidRPr="002A4120">
        <w:t xml:space="preserve"> or </w:t>
      </w:r>
      <w:r w:rsidR="00C0600E">
        <w:fldChar w:fldCharType="begin"/>
      </w:r>
      <w:r w:rsidR="00C0600E">
        <w:instrText xml:space="preserve"> REF _Ref339262677 \r \h </w:instrText>
      </w:r>
      <w:r w:rsidR="00C0600E">
        <w:fldChar w:fldCharType="separate"/>
      </w:r>
      <w:r w:rsidR="00C0600E">
        <w:t>7(b)</w:t>
      </w:r>
      <w:r w:rsidR="00C0600E">
        <w:fldChar w:fldCharType="end"/>
      </w:r>
      <w:r w:rsidRPr="002A4120">
        <w:t xml:space="preserve"> or, if applicable, paragraph </w:t>
      </w:r>
      <w:r w:rsidR="0026618D" w:rsidRPr="002A4120">
        <w:fldChar w:fldCharType="begin"/>
      </w:r>
      <w:r w:rsidR="0026618D" w:rsidRPr="002A4120">
        <w:instrText xml:space="preserve"> REF _Ref339263080 \r \h </w:instrText>
      </w:r>
      <w:r w:rsidR="002A4120" w:rsidRPr="002A4120">
        <w:instrText xml:space="preserve"> \* MERGEFORMAT </w:instrText>
      </w:r>
      <w:r w:rsidR="0026618D" w:rsidRPr="002A4120">
        <w:fldChar w:fldCharType="separate"/>
      </w:r>
      <w:r w:rsidR="00B50657" w:rsidRPr="002A4120">
        <w:t>8</w:t>
      </w:r>
      <w:r w:rsidR="0026618D" w:rsidRPr="002A4120">
        <w:fldChar w:fldCharType="end"/>
      </w:r>
      <w:r w:rsidRPr="002A4120">
        <w:t>.</w:t>
      </w:r>
    </w:p>
    <w:p w14:paraId="4C269ABA" w14:textId="77777777" w:rsidR="00B84B07" w:rsidRPr="002A4120" w:rsidRDefault="00B84B07" w:rsidP="003C6BD0">
      <w:pPr>
        <w:keepNext/>
        <w:spacing w:before="120" w:after="240"/>
        <w:ind w:left="567"/>
        <w:jc w:val="both"/>
        <w:sectPr w:rsidR="00B84B07" w:rsidRPr="002A4120" w:rsidSect="007D2071">
          <w:headerReference w:type="default" r:id="rId16"/>
          <w:footerReference w:type="default" r:id="rId17"/>
          <w:pgSz w:w="11906" w:h="16838"/>
          <w:pgMar w:top="1440" w:right="1440" w:bottom="1440" w:left="1440" w:header="708" w:footer="708" w:gutter="0"/>
          <w:pgNumType w:start="1"/>
          <w:cols w:space="708"/>
          <w:docGrid w:linePitch="360"/>
        </w:sectPr>
      </w:pPr>
    </w:p>
    <w:tbl>
      <w:tblPr>
        <w:tblW w:w="13784" w:type="dxa"/>
        <w:tblInd w:w="108" w:type="dxa"/>
        <w:tblLook w:val="0400" w:firstRow="0" w:lastRow="0" w:firstColumn="0" w:lastColumn="0" w:noHBand="0" w:noVBand="1"/>
      </w:tblPr>
      <w:tblGrid>
        <w:gridCol w:w="13784"/>
      </w:tblGrid>
      <w:tr w:rsidR="0081746E" w:rsidRPr="00E77BD0" w14:paraId="23A1DBC0" w14:textId="77777777" w:rsidTr="008F525F">
        <w:trPr>
          <w:trHeight w:val="300"/>
        </w:trPr>
        <w:tc>
          <w:tcPr>
            <w:tcW w:w="13784" w:type="dxa"/>
            <w:shd w:val="clear" w:color="auto" w:fill="auto"/>
            <w:noWrap/>
            <w:vAlign w:val="bottom"/>
            <w:hideMark/>
          </w:tcPr>
          <w:p w14:paraId="10DDAF7C" w14:textId="77777777" w:rsidR="0081746E" w:rsidRPr="003168CB" w:rsidRDefault="0081746E" w:rsidP="0016598B">
            <w:pPr>
              <w:jc w:val="center"/>
              <w:rPr>
                <w:rFonts w:ascii="Arial" w:hAnsi="Arial" w:cs="Arial"/>
                <w:b/>
                <w:sz w:val="32"/>
                <w:szCs w:val="32"/>
              </w:rPr>
            </w:pPr>
            <w:r w:rsidRPr="003168CB">
              <w:rPr>
                <w:rFonts w:ascii="Arial" w:hAnsi="Arial" w:cs="Arial"/>
                <w:b/>
                <w:bCs/>
                <w:sz w:val="32"/>
                <w:szCs w:val="32"/>
              </w:rPr>
              <w:lastRenderedPageBreak/>
              <w:t>LRF_310_1: Income Statement (SF and SF Eliminations)</w:t>
            </w:r>
          </w:p>
        </w:tc>
      </w:tr>
    </w:tbl>
    <w:p w14:paraId="137814F7" w14:textId="77777777" w:rsidR="0081746E" w:rsidRPr="00EC29CA" w:rsidRDefault="0081746E" w:rsidP="0081746E">
      <w:pPr>
        <w:rPr>
          <w:rFonts w:ascii="Arial" w:hAnsi="Arial" w:cs="Arial"/>
        </w:rPr>
      </w:pPr>
    </w:p>
    <w:tbl>
      <w:tblPr>
        <w:tblW w:w="13784" w:type="dxa"/>
        <w:tblInd w:w="108" w:type="dxa"/>
        <w:tblLayout w:type="fixed"/>
        <w:tblLook w:val="04A0" w:firstRow="1" w:lastRow="0" w:firstColumn="1" w:lastColumn="0" w:noHBand="0" w:noVBand="1"/>
      </w:tblPr>
      <w:tblGrid>
        <w:gridCol w:w="6963"/>
        <w:gridCol w:w="6821"/>
      </w:tblGrid>
      <w:tr w:rsidR="0081746E" w:rsidRPr="00EC29CA" w14:paraId="2E6DF735" w14:textId="77777777" w:rsidTr="00703A5B">
        <w:trPr>
          <w:trHeight w:val="317"/>
        </w:trPr>
        <w:tc>
          <w:tcPr>
            <w:tcW w:w="6963" w:type="dxa"/>
            <w:tcBorders>
              <w:top w:val="nil"/>
              <w:left w:val="nil"/>
              <w:bottom w:val="single" w:sz="4" w:space="0" w:color="auto"/>
              <w:right w:val="nil"/>
            </w:tcBorders>
            <w:vAlign w:val="bottom"/>
            <w:hideMark/>
          </w:tcPr>
          <w:p w14:paraId="00C914C3" w14:textId="77777777" w:rsidR="0081746E" w:rsidRPr="00EC29CA" w:rsidRDefault="0081746E" w:rsidP="0016598B">
            <w:pPr>
              <w:rPr>
                <w:rFonts w:ascii="Arial" w:hAnsi="Arial" w:cs="Arial"/>
                <w:b/>
                <w:bCs/>
              </w:rPr>
            </w:pPr>
            <w:r w:rsidRPr="00EC29CA">
              <w:rPr>
                <w:rFonts w:ascii="Arial" w:hAnsi="Arial" w:cs="Arial"/>
                <w:b/>
                <w:bCs/>
              </w:rPr>
              <w:t>Australian Business Number</w:t>
            </w:r>
          </w:p>
        </w:tc>
        <w:tc>
          <w:tcPr>
            <w:tcW w:w="6821" w:type="dxa"/>
            <w:tcBorders>
              <w:top w:val="nil"/>
              <w:left w:val="nil"/>
              <w:bottom w:val="single" w:sz="4" w:space="0" w:color="auto"/>
              <w:right w:val="nil"/>
            </w:tcBorders>
            <w:vAlign w:val="bottom"/>
            <w:hideMark/>
          </w:tcPr>
          <w:p w14:paraId="3D2E25D3" w14:textId="77777777" w:rsidR="0081746E" w:rsidRPr="00EC29CA" w:rsidRDefault="0081746E" w:rsidP="0016598B">
            <w:pPr>
              <w:rPr>
                <w:rFonts w:ascii="Arial" w:hAnsi="Arial" w:cs="Arial"/>
                <w:b/>
                <w:bCs/>
              </w:rPr>
            </w:pPr>
            <w:r w:rsidRPr="00EC29CA">
              <w:rPr>
                <w:rFonts w:ascii="Arial" w:hAnsi="Arial" w:cs="Arial"/>
                <w:b/>
                <w:bCs/>
              </w:rPr>
              <w:t>Institution Name</w:t>
            </w:r>
          </w:p>
        </w:tc>
      </w:tr>
      <w:tr w:rsidR="0081746E" w:rsidRPr="00EC29CA" w14:paraId="3B39D970" w14:textId="77777777" w:rsidTr="00703A5B">
        <w:trPr>
          <w:trHeight w:val="317"/>
        </w:trPr>
        <w:tc>
          <w:tcPr>
            <w:tcW w:w="6963" w:type="dxa"/>
            <w:tcBorders>
              <w:top w:val="single" w:sz="4" w:space="0" w:color="auto"/>
              <w:left w:val="single" w:sz="4" w:space="0" w:color="auto"/>
              <w:bottom w:val="single" w:sz="4" w:space="0" w:color="auto"/>
              <w:right w:val="single" w:sz="4" w:space="0" w:color="auto"/>
            </w:tcBorders>
            <w:noWrap/>
            <w:vAlign w:val="bottom"/>
            <w:hideMark/>
          </w:tcPr>
          <w:p w14:paraId="4BB16C3E" w14:textId="77777777" w:rsidR="0081746E" w:rsidRPr="00EC29CA" w:rsidRDefault="0081746E" w:rsidP="0016598B">
            <w:pPr>
              <w:rPr>
                <w:rFonts w:ascii="Arial" w:hAnsi="Arial" w:cs="Arial"/>
              </w:rPr>
            </w:pPr>
          </w:p>
        </w:tc>
        <w:tc>
          <w:tcPr>
            <w:tcW w:w="6821" w:type="dxa"/>
            <w:tcBorders>
              <w:top w:val="single" w:sz="4" w:space="0" w:color="auto"/>
              <w:left w:val="single" w:sz="4" w:space="0" w:color="auto"/>
              <w:bottom w:val="single" w:sz="4" w:space="0" w:color="auto"/>
              <w:right w:val="single" w:sz="4" w:space="0" w:color="auto"/>
            </w:tcBorders>
            <w:noWrap/>
            <w:vAlign w:val="bottom"/>
            <w:hideMark/>
          </w:tcPr>
          <w:p w14:paraId="70926501" w14:textId="77777777" w:rsidR="0081746E" w:rsidRPr="00EC29CA" w:rsidRDefault="0081746E" w:rsidP="0016598B">
            <w:pPr>
              <w:rPr>
                <w:rFonts w:ascii="Arial" w:hAnsi="Arial" w:cs="Arial"/>
              </w:rPr>
            </w:pPr>
            <w:r w:rsidRPr="00EC29CA">
              <w:rPr>
                <w:rFonts w:ascii="Arial" w:hAnsi="Arial" w:cs="Arial"/>
              </w:rPr>
              <w:t>Life companies including friendly societies</w:t>
            </w:r>
          </w:p>
        </w:tc>
      </w:tr>
      <w:tr w:rsidR="0081746E" w:rsidRPr="00EC29CA" w14:paraId="79AE8E80" w14:textId="77777777" w:rsidTr="00703A5B">
        <w:trPr>
          <w:trHeight w:val="317"/>
        </w:trPr>
        <w:tc>
          <w:tcPr>
            <w:tcW w:w="6963" w:type="dxa"/>
            <w:tcBorders>
              <w:top w:val="single" w:sz="4" w:space="0" w:color="auto"/>
              <w:left w:val="nil"/>
              <w:bottom w:val="single" w:sz="4" w:space="0" w:color="auto"/>
              <w:right w:val="nil"/>
            </w:tcBorders>
            <w:noWrap/>
            <w:vAlign w:val="bottom"/>
            <w:hideMark/>
          </w:tcPr>
          <w:p w14:paraId="3557841E" w14:textId="77777777" w:rsidR="0081746E" w:rsidRPr="00EC29CA" w:rsidRDefault="0081746E" w:rsidP="0016598B">
            <w:pPr>
              <w:rPr>
                <w:rFonts w:ascii="Arial" w:hAnsi="Arial" w:cs="Arial"/>
                <w:b/>
              </w:rPr>
            </w:pPr>
            <w:r w:rsidRPr="00EC29CA">
              <w:rPr>
                <w:rFonts w:ascii="Arial" w:hAnsi="Arial" w:cs="Arial"/>
                <w:b/>
              </w:rPr>
              <w:t>Reporting Period</w:t>
            </w:r>
          </w:p>
        </w:tc>
        <w:tc>
          <w:tcPr>
            <w:tcW w:w="6821" w:type="dxa"/>
            <w:tcBorders>
              <w:top w:val="single" w:sz="4" w:space="0" w:color="auto"/>
              <w:left w:val="nil"/>
              <w:bottom w:val="single" w:sz="4" w:space="0" w:color="auto"/>
              <w:right w:val="nil"/>
            </w:tcBorders>
            <w:noWrap/>
            <w:vAlign w:val="bottom"/>
            <w:hideMark/>
          </w:tcPr>
          <w:p w14:paraId="797431FC" w14:textId="77777777" w:rsidR="0081746E" w:rsidRPr="00EC29CA" w:rsidRDefault="0081746E" w:rsidP="0016598B">
            <w:pPr>
              <w:rPr>
                <w:rFonts w:ascii="Arial" w:hAnsi="Arial" w:cs="Arial"/>
                <w:b/>
              </w:rPr>
            </w:pPr>
            <w:r w:rsidRPr="00EC29CA">
              <w:rPr>
                <w:rFonts w:ascii="Arial" w:hAnsi="Arial" w:cs="Arial"/>
                <w:b/>
              </w:rPr>
              <w:t xml:space="preserve">Scale Factor </w:t>
            </w:r>
          </w:p>
        </w:tc>
      </w:tr>
      <w:tr w:rsidR="0081746E" w:rsidRPr="00EC29CA" w14:paraId="7143F307" w14:textId="77777777" w:rsidTr="00703A5B">
        <w:trPr>
          <w:trHeight w:val="317"/>
        </w:trPr>
        <w:tc>
          <w:tcPr>
            <w:tcW w:w="6963" w:type="dxa"/>
            <w:tcBorders>
              <w:top w:val="single" w:sz="4" w:space="0" w:color="auto"/>
              <w:left w:val="single" w:sz="4" w:space="0" w:color="auto"/>
              <w:bottom w:val="single" w:sz="4" w:space="0" w:color="auto"/>
              <w:right w:val="single" w:sz="4" w:space="0" w:color="auto"/>
            </w:tcBorders>
            <w:noWrap/>
            <w:vAlign w:val="bottom"/>
            <w:hideMark/>
          </w:tcPr>
          <w:p w14:paraId="389DAB61" w14:textId="77777777" w:rsidR="0081746E" w:rsidRPr="00EC29CA" w:rsidRDefault="0081746E" w:rsidP="0016598B">
            <w:pPr>
              <w:rPr>
                <w:rFonts w:ascii="Arial" w:hAnsi="Arial" w:cs="Arial"/>
              </w:rPr>
            </w:pPr>
            <w:r>
              <w:rPr>
                <w:rFonts w:ascii="Arial" w:hAnsi="Arial" w:cs="Arial"/>
              </w:rPr>
              <w:t>Quarterly / Annual</w:t>
            </w:r>
          </w:p>
        </w:tc>
        <w:tc>
          <w:tcPr>
            <w:tcW w:w="6821" w:type="dxa"/>
            <w:tcBorders>
              <w:top w:val="single" w:sz="4" w:space="0" w:color="auto"/>
              <w:left w:val="single" w:sz="4" w:space="0" w:color="auto"/>
              <w:bottom w:val="single" w:sz="4" w:space="0" w:color="auto"/>
              <w:right w:val="single" w:sz="4" w:space="0" w:color="auto"/>
            </w:tcBorders>
            <w:noWrap/>
            <w:vAlign w:val="bottom"/>
            <w:hideMark/>
          </w:tcPr>
          <w:p w14:paraId="13C46ADA" w14:textId="77777777" w:rsidR="0081746E" w:rsidRPr="00EC29CA" w:rsidRDefault="0081746E" w:rsidP="0016598B">
            <w:pPr>
              <w:rPr>
                <w:rFonts w:ascii="Arial" w:hAnsi="Arial" w:cs="Arial"/>
              </w:rPr>
            </w:pPr>
            <w:r>
              <w:rPr>
                <w:rFonts w:ascii="Arial" w:hAnsi="Arial" w:cs="Arial"/>
              </w:rPr>
              <w:t>Thousands</w:t>
            </w:r>
          </w:p>
        </w:tc>
      </w:tr>
      <w:tr w:rsidR="0081746E" w:rsidRPr="00EC29CA" w14:paraId="79D6A081" w14:textId="77777777" w:rsidTr="00703A5B">
        <w:trPr>
          <w:trHeight w:val="317"/>
        </w:trPr>
        <w:tc>
          <w:tcPr>
            <w:tcW w:w="6963" w:type="dxa"/>
            <w:tcBorders>
              <w:top w:val="single" w:sz="4" w:space="0" w:color="auto"/>
              <w:bottom w:val="single" w:sz="4" w:space="0" w:color="auto"/>
            </w:tcBorders>
            <w:noWrap/>
            <w:vAlign w:val="bottom"/>
          </w:tcPr>
          <w:p w14:paraId="56CF3878" w14:textId="77777777" w:rsidR="0081746E" w:rsidRPr="00EC29CA" w:rsidRDefault="0081746E" w:rsidP="0016598B">
            <w:pPr>
              <w:rPr>
                <w:rFonts w:ascii="Arial" w:hAnsi="Arial" w:cs="Arial"/>
              </w:rPr>
            </w:pPr>
            <w:r w:rsidRPr="00EC29CA">
              <w:rPr>
                <w:rFonts w:ascii="Arial" w:hAnsi="Arial" w:cs="Arial"/>
                <w:b/>
              </w:rPr>
              <w:t>Reporting Consolidation</w:t>
            </w:r>
          </w:p>
        </w:tc>
        <w:tc>
          <w:tcPr>
            <w:tcW w:w="6821" w:type="dxa"/>
            <w:tcBorders>
              <w:top w:val="single" w:sz="4" w:space="0" w:color="auto"/>
            </w:tcBorders>
            <w:noWrap/>
            <w:vAlign w:val="bottom"/>
          </w:tcPr>
          <w:p w14:paraId="66B64735" w14:textId="77777777" w:rsidR="0081746E" w:rsidRPr="00EC29CA" w:rsidRDefault="0081746E" w:rsidP="0016598B">
            <w:pPr>
              <w:rPr>
                <w:rFonts w:ascii="Arial" w:hAnsi="Arial" w:cs="Arial"/>
              </w:rPr>
            </w:pPr>
          </w:p>
        </w:tc>
      </w:tr>
      <w:tr w:rsidR="0081746E" w:rsidRPr="00EC29CA" w14:paraId="7CDB561F" w14:textId="77777777" w:rsidTr="00703A5B">
        <w:trPr>
          <w:trHeight w:val="97"/>
        </w:trPr>
        <w:tc>
          <w:tcPr>
            <w:tcW w:w="6963" w:type="dxa"/>
            <w:tcBorders>
              <w:top w:val="single" w:sz="4" w:space="0" w:color="auto"/>
              <w:left w:val="single" w:sz="4" w:space="0" w:color="auto"/>
              <w:bottom w:val="single" w:sz="4" w:space="0" w:color="auto"/>
              <w:right w:val="single" w:sz="4" w:space="0" w:color="auto"/>
            </w:tcBorders>
            <w:noWrap/>
            <w:vAlign w:val="bottom"/>
          </w:tcPr>
          <w:p w14:paraId="39D8766A" w14:textId="77777777" w:rsidR="0081746E" w:rsidRPr="00EC29CA" w:rsidRDefault="0081746E" w:rsidP="0016598B">
            <w:pPr>
              <w:rPr>
                <w:rFonts w:ascii="Arial" w:hAnsi="Arial" w:cs="Arial"/>
              </w:rPr>
            </w:pPr>
            <w:r w:rsidRPr="00EC29CA">
              <w:rPr>
                <w:rFonts w:ascii="Arial" w:hAnsi="Arial" w:cs="Arial"/>
              </w:rPr>
              <w:t xml:space="preserve">Statutory </w:t>
            </w:r>
            <w:r>
              <w:rPr>
                <w:rFonts w:ascii="Arial" w:hAnsi="Arial" w:cs="Arial"/>
              </w:rPr>
              <w:t>f</w:t>
            </w:r>
            <w:r w:rsidRPr="00EC29CA">
              <w:rPr>
                <w:rFonts w:ascii="Arial" w:hAnsi="Arial" w:cs="Arial"/>
              </w:rPr>
              <w:t>und</w:t>
            </w:r>
          </w:p>
        </w:tc>
        <w:tc>
          <w:tcPr>
            <w:tcW w:w="6821" w:type="dxa"/>
            <w:tcBorders>
              <w:left w:val="single" w:sz="4" w:space="0" w:color="auto"/>
            </w:tcBorders>
            <w:noWrap/>
            <w:vAlign w:val="bottom"/>
          </w:tcPr>
          <w:p w14:paraId="40439C98" w14:textId="77777777" w:rsidR="0081746E" w:rsidRPr="00EC29CA" w:rsidRDefault="0081746E" w:rsidP="0016598B">
            <w:pPr>
              <w:rPr>
                <w:rFonts w:ascii="Arial" w:hAnsi="Arial" w:cs="Arial"/>
              </w:rPr>
            </w:pPr>
          </w:p>
        </w:tc>
      </w:tr>
    </w:tbl>
    <w:p w14:paraId="0583DA7A" w14:textId="77777777" w:rsidR="0081746E" w:rsidRPr="00EC29CA" w:rsidRDefault="0081746E" w:rsidP="0081746E">
      <w:pPr>
        <w:rPr>
          <w:rFonts w:ascii="Arial" w:hAnsi="Arial" w:cs="Arial"/>
        </w:rPr>
      </w:pPr>
    </w:p>
    <w:tbl>
      <w:tblPr>
        <w:tblW w:w="13926" w:type="dxa"/>
        <w:tblInd w:w="108" w:type="dxa"/>
        <w:tblLook w:val="04A0" w:firstRow="1" w:lastRow="0" w:firstColumn="1" w:lastColumn="0" w:noHBand="0" w:noVBand="1"/>
      </w:tblPr>
      <w:tblGrid>
        <w:gridCol w:w="9390"/>
        <w:gridCol w:w="1513"/>
        <w:gridCol w:w="1512"/>
        <w:gridCol w:w="1511"/>
      </w:tblGrid>
      <w:tr w:rsidR="0081746E" w:rsidRPr="00EC29CA" w14:paraId="76041F4F" w14:textId="77777777" w:rsidTr="008F525F">
        <w:trPr>
          <w:trHeight w:val="690"/>
        </w:trPr>
        <w:tc>
          <w:tcPr>
            <w:tcW w:w="9390" w:type="dxa"/>
            <w:tcBorders>
              <w:top w:val="nil"/>
              <w:left w:val="nil"/>
              <w:bottom w:val="nil"/>
              <w:right w:val="nil"/>
            </w:tcBorders>
            <w:shd w:val="clear" w:color="auto" w:fill="auto"/>
            <w:noWrap/>
            <w:vAlign w:val="bottom"/>
            <w:hideMark/>
          </w:tcPr>
          <w:p w14:paraId="611B3D4C" w14:textId="77777777" w:rsidR="0081746E" w:rsidRPr="00EC29CA" w:rsidRDefault="0081746E" w:rsidP="0016598B">
            <w:pPr>
              <w:rPr>
                <w:rFonts w:ascii="Arial" w:hAnsi="Arial" w:cs="Arial"/>
                <w:b/>
                <w:bCs/>
                <w:sz w:val="20"/>
                <w:szCs w:val="20"/>
              </w:rPr>
            </w:pP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B767B" w14:textId="77777777" w:rsidR="0081746E" w:rsidRPr="00EC29CA" w:rsidRDefault="0081746E" w:rsidP="0016598B">
            <w:pPr>
              <w:jc w:val="center"/>
              <w:rPr>
                <w:rFonts w:ascii="Arial" w:hAnsi="Arial" w:cs="Arial"/>
                <w:b/>
                <w:bCs/>
                <w:sz w:val="20"/>
                <w:szCs w:val="20"/>
              </w:rPr>
            </w:pPr>
            <w:r w:rsidRPr="00EC29CA">
              <w:rPr>
                <w:rFonts w:ascii="Arial" w:hAnsi="Arial" w:cs="Arial"/>
                <w:b/>
                <w:bCs/>
                <w:sz w:val="20"/>
                <w:szCs w:val="20"/>
              </w:rPr>
              <w:t>Australian business</w:t>
            </w:r>
          </w:p>
        </w:tc>
        <w:tc>
          <w:tcPr>
            <w:tcW w:w="1512" w:type="dxa"/>
            <w:tcBorders>
              <w:top w:val="single" w:sz="4" w:space="0" w:color="auto"/>
              <w:left w:val="nil"/>
              <w:bottom w:val="single" w:sz="4" w:space="0" w:color="auto"/>
              <w:right w:val="single" w:sz="4" w:space="0" w:color="auto"/>
            </w:tcBorders>
            <w:shd w:val="clear" w:color="auto" w:fill="auto"/>
            <w:vAlign w:val="bottom"/>
            <w:hideMark/>
          </w:tcPr>
          <w:p w14:paraId="6BCD3FC5" w14:textId="77777777" w:rsidR="0081746E" w:rsidRPr="00EC29CA" w:rsidRDefault="0081746E" w:rsidP="0016598B">
            <w:pPr>
              <w:jc w:val="center"/>
              <w:rPr>
                <w:rFonts w:ascii="Arial" w:hAnsi="Arial" w:cs="Arial"/>
                <w:b/>
                <w:bCs/>
                <w:sz w:val="20"/>
                <w:szCs w:val="20"/>
              </w:rPr>
            </w:pPr>
            <w:r w:rsidRPr="00EC29CA">
              <w:rPr>
                <w:rFonts w:ascii="Arial" w:hAnsi="Arial" w:cs="Arial"/>
                <w:b/>
                <w:bCs/>
                <w:sz w:val="20"/>
                <w:szCs w:val="20"/>
              </w:rPr>
              <w:t>Overseas business</w:t>
            </w:r>
          </w:p>
        </w:tc>
        <w:tc>
          <w:tcPr>
            <w:tcW w:w="1511" w:type="dxa"/>
            <w:tcBorders>
              <w:top w:val="single" w:sz="4" w:space="0" w:color="auto"/>
              <w:left w:val="nil"/>
              <w:bottom w:val="single" w:sz="4" w:space="0" w:color="auto"/>
              <w:right w:val="single" w:sz="4" w:space="0" w:color="auto"/>
            </w:tcBorders>
            <w:shd w:val="clear" w:color="auto" w:fill="auto"/>
            <w:vAlign w:val="bottom"/>
            <w:hideMark/>
          </w:tcPr>
          <w:p w14:paraId="3C1468C5" w14:textId="77777777" w:rsidR="0081746E" w:rsidRPr="00EC29CA" w:rsidRDefault="0081746E" w:rsidP="0016598B">
            <w:pPr>
              <w:jc w:val="center"/>
              <w:rPr>
                <w:rFonts w:ascii="Arial" w:hAnsi="Arial" w:cs="Arial"/>
                <w:b/>
                <w:bCs/>
                <w:sz w:val="20"/>
                <w:szCs w:val="20"/>
              </w:rPr>
            </w:pPr>
            <w:r w:rsidRPr="00EC29CA">
              <w:rPr>
                <w:rFonts w:ascii="Arial" w:hAnsi="Arial" w:cs="Arial"/>
                <w:b/>
                <w:bCs/>
                <w:sz w:val="20"/>
                <w:szCs w:val="20"/>
              </w:rPr>
              <w:t>Total business</w:t>
            </w:r>
          </w:p>
        </w:tc>
      </w:tr>
    </w:tbl>
    <w:p w14:paraId="1732206C" w14:textId="77777777" w:rsidR="0081746E" w:rsidRDefault="0081746E" w:rsidP="0081746E"/>
    <w:tbl>
      <w:tblPr>
        <w:tblW w:w="8789" w:type="dxa"/>
        <w:tblInd w:w="108" w:type="dxa"/>
        <w:tblLook w:val="04A0" w:firstRow="1" w:lastRow="0" w:firstColumn="1" w:lastColumn="0" w:noHBand="0" w:noVBand="1"/>
      </w:tblPr>
      <w:tblGrid>
        <w:gridCol w:w="8789"/>
      </w:tblGrid>
      <w:tr w:rsidR="0081746E" w:rsidRPr="000612C5" w14:paraId="59972A79" w14:textId="77777777" w:rsidTr="0016598B">
        <w:tc>
          <w:tcPr>
            <w:tcW w:w="8789" w:type="dxa"/>
          </w:tcPr>
          <w:p w14:paraId="7912997C" w14:textId="77777777" w:rsidR="0081746E" w:rsidRPr="000612C5" w:rsidRDefault="0081746E" w:rsidP="0016598B">
            <w:pPr>
              <w:rPr>
                <w:rFonts w:ascii="Arial" w:hAnsi="Arial" w:cs="Arial"/>
                <w:b/>
                <w:bCs/>
              </w:rPr>
            </w:pPr>
            <w:r w:rsidRPr="00EC29CA">
              <w:rPr>
                <w:rFonts w:ascii="Arial" w:hAnsi="Arial" w:cs="Arial"/>
                <w:b/>
                <w:bCs/>
              </w:rPr>
              <w:t>Revenue</w:t>
            </w:r>
          </w:p>
        </w:tc>
      </w:tr>
    </w:tbl>
    <w:p w14:paraId="17454AB0" w14:textId="77777777" w:rsidR="0081746E" w:rsidRDefault="0081746E" w:rsidP="0081746E"/>
    <w:tbl>
      <w:tblPr>
        <w:tblW w:w="13819" w:type="dxa"/>
        <w:tblInd w:w="108" w:type="dxa"/>
        <w:tblLook w:val="04A0" w:firstRow="1" w:lastRow="0" w:firstColumn="1" w:lastColumn="0" w:noHBand="0" w:noVBand="1"/>
      </w:tblPr>
      <w:tblGrid>
        <w:gridCol w:w="9248"/>
        <w:gridCol w:w="1523"/>
        <w:gridCol w:w="1524"/>
        <w:gridCol w:w="1524"/>
      </w:tblGrid>
      <w:tr w:rsidR="0081746E" w:rsidRPr="00844758" w14:paraId="3334EEC6" w14:textId="77777777" w:rsidTr="008F525F">
        <w:trPr>
          <w:trHeight w:val="315"/>
        </w:trPr>
        <w:tc>
          <w:tcPr>
            <w:tcW w:w="9248" w:type="dxa"/>
            <w:tcBorders>
              <w:top w:val="nil"/>
              <w:left w:val="nil"/>
              <w:bottom w:val="nil"/>
            </w:tcBorders>
            <w:shd w:val="clear" w:color="auto" w:fill="auto"/>
            <w:noWrap/>
            <w:vAlign w:val="bottom"/>
            <w:hideMark/>
          </w:tcPr>
          <w:p w14:paraId="584EF689" w14:textId="77777777" w:rsidR="0081746E" w:rsidRPr="00844758" w:rsidRDefault="0081746E" w:rsidP="0081746E">
            <w:pPr>
              <w:pStyle w:val="ListParagraph"/>
              <w:numPr>
                <w:ilvl w:val="0"/>
                <w:numId w:val="22"/>
              </w:numPr>
              <w:tabs>
                <w:tab w:val="left" w:pos="3328"/>
              </w:tabs>
              <w:contextualSpacing w:val="0"/>
              <w:rPr>
                <w:rFonts w:ascii="Arial" w:hAnsi="Arial" w:cs="Arial"/>
                <w:b/>
                <w:bCs/>
              </w:rPr>
            </w:pPr>
            <w:r w:rsidRPr="009C05CA">
              <w:rPr>
                <w:rFonts w:ascii="Arial" w:hAnsi="Arial" w:cs="Arial"/>
                <w:b/>
                <w:bCs/>
              </w:rPr>
              <w:t xml:space="preserve"> Insurance policy revenue</w:t>
            </w:r>
          </w:p>
        </w:tc>
        <w:tc>
          <w:tcPr>
            <w:tcW w:w="1523" w:type="dxa"/>
            <w:tcBorders>
              <w:bottom w:val="single" w:sz="4" w:space="0" w:color="auto"/>
            </w:tcBorders>
            <w:shd w:val="clear" w:color="auto" w:fill="auto"/>
            <w:noWrap/>
            <w:vAlign w:val="bottom"/>
          </w:tcPr>
          <w:p w14:paraId="6854D33D" w14:textId="77777777" w:rsidR="0081746E" w:rsidRPr="00844758" w:rsidRDefault="0081746E" w:rsidP="0016598B">
            <w:pPr>
              <w:jc w:val="center"/>
              <w:rPr>
                <w:rFonts w:ascii="Arial" w:hAnsi="Arial" w:cs="Arial"/>
                <w:sz w:val="20"/>
                <w:szCs w:val="20"/>
              </w:rPr>
            </w:pPr>
          </w:p>
        </w:tc>
        <w:tc>
          <w:tcPr>
            <w:tcW w:w="1524" w:type="dxa"/>
            <w:tcBorders>
              <w:bottom w:val="single" w:sz="4" w:space="0" w:color="auto"/>
            </w:tcBorders>
            <w:shd w:val="clear" w:color="auto" w:fill="auto"/>
            <w:noWrap/>
            <w:vAlign w:val="bottom"/>
          </w:tcPr>
          <w:p w14:paraId="1938B377" w14:textId="77777777" w:rsidR="0081746E" w:rsidRPr="00844758" w:rsidRDefault="0081746E" w:rsidP="0016598B">
            <w:pPr>
              <w:jc w:val="center"/>
              <w:rPr>
                <w:rFonts w:ascii="Arial" w:hAnsi="Arial" w:cs="Arial"/>
                <w:sz w:val="20"/>
                <w:szCs w:val="20"/>
              </w:rPr>
            </w:pPr>
          </w:p>
        </w:tc>
        <w:tc>
          <w:tcPr>
            <w:tcW w:w="1524" w:type="dxa"/>
            <w:tcBorders>
              <w:bottom w:val="single" w:sz="4" w:space="0" w:color="auto"/>
            </w:tcBorders>
            <w:shd w:val="clear" w:color="auto" w:fill="auto"/>
            <w:noWrap/>
            <w:vAlign w:val="bottom"/>
          </w:tcPr>
          <w:p w14:paraId="2F4989B7" w14:textId="77777777" w:rsidR="0081746E" w:rsidRPr="00844758" w:rsidRDefault="0081746E" w:rsidP="0016598B">
            <w:pPr>
              <w:jc w:val="center"/>
              <w:rPr>
                <w:rFonts w:ascii="Arial" w:hAnsi="Arial" w:cs="Arial"/>
                <w:bCs/>
                <w:sz w:val="20"/>
                <w:szCs w:val="20"/>
              </w:rPr>
            </w:pPr>
          </w:p>
        </w:tc>
      </w:tr>
      <w:tr w:rsidR="0081746E" w:rsidRPr="00844758" w14:paraId="7D521490" w14:textId="77777777" w:rsidTr="008F525F">
        <w:trPr>
          <w:trHeight w:val="315"/>
        </w:trPr>
        <w:tc>
          <w:tcPr>
            <w:tcW w:w="9248" w:type="dxa"/>
            <w:tcBorders>
              <w:top w:val="nil"/>
              <w:left w:val="nil"/>
              <w:bottom w:val="nil"/>
              <w:right w:val="nil"/>
            </w:tcBorders>
            <w:shd w:val="clear" w:color="auto" w:fill="auto"/>
            <w:noWrap/>
            <w:vAlign w:val="bottom"/>
            <w:hideMark/>
          </w:tcPr>
          <w:p w14:paraId="10B8EBBD" w14:textId="77777777" w:rsidR="0081746E" w:rsidRPr="00844758" w:rsidRDefault="0081746E" w:rsidP="0081746E">
            <w:pPr>
              <w:pStyle w:val="ListParagraph"/>
              <w:numPr>
                <w:ilvl w:val="1"/>
                <w:numId w:val="22"/>
              </w:numPr>
              <w:ind w:left="392"/>
              <w:contextualSpacing w:val="0"/>
              <w:rPr>
                <w:rFonts w:ascii="Arial" w:hAnsi="Arial" w:cs="Arial"/>
              </w:rPr>
            </w:pPr>
            <w:r w:rsidRPr="009C05CA">
              <w:rPr>
                <w:rFonts w:ascii="Arial" w:hAnsi="Arial" w:cs="Arial"/>
              </w:rPr>
              <w:t>Life insurance direct premiums</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213861EB"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0B1126F4"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2C10030F" w14:textId="77777777" w:rsidR="0081746E" w:rsidRPr="00844758" w:rsidRDefault="0081746E" w:rsidP="0016598B">
            <w:pPr>
              <w:jc w:val="center"/>
              <w:rPr>
                <w:rFonts w:ascii="Arial" w:hAnsi="Arial" w:cs="Arial"/>
                <w:bCs/>
                <w:sz w:val="20"/>
                <w:szCs w:val="20"/>
              </w:rPr>
            </w:pPr>
          </w:p>
        </w:tc>
      </w:tr>
      <w:tr w:rsidR="0081746E" w:rsidRPr="00844758" w14:paraId="366859BF" w14:textId="77777777" w:rsidTr="008F525F">
        <w:trPr>
          <w:trHeight w:val="315"/>
        </w:trPr>
        <w:tc>
          <w:tcPr>
            <w:tcW w:w="9248" w:type="dxa"/>
            <w:tcBorders>
              <w:top w:val="nil"/>
              <w:left w:val="nil"/>
              <w:bottom w:val="nil"/>
              <w:right w:val="nil"/>
            </w:tcBorders>
            <w:shd w:val="clear" w:color="auto" w:fill="auto"/>
            <w:noWrap/>
            <w:vAlign w:val="bottom"/>
            <w:hideMark/>
          </w:tcPr>
          <w:p w14:paraId="50EBC868" w14:textId="77777777" w:rsidR="0081746E" w:rsidRPr="00844758" w:rsidRDefault="0081746E" w:rsidP="0081746E">
            <w:pPr>
              <w:pStyle w:val="ListParagraph"/>
              <w:numPr>
                <w:ilvl w:val="1"/>
                <w:numId w:val="22"/>
              </w:numPr>
              <w:ind w:left="392"/>
              <w:contextualSpacing w:val="0"/>
              <w:rPr>
                <w:rFonts w:ascii="Arial" w:hAnsi="Arial" w:cs="Arial"/>
              </w:rPr>
            </w:pPr>
            <w:r w:rsidRPr="009C05CA">
              <w:rPr>
                <w:rFonts w:ascii="Arial" w:hAnsi="Arial" w:cs="Arial"/>
              </w:rPr>
              <w:t xml:space="preserve"> Policy conversions - inwards</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00740D6F"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7F341205"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0BA43A97" w14:textId="77777777" w:rsidR="0081746E" w:rsidRPr="00844758" w:rsidRDefault="0081746E" w:rsidP="0016598B">
            <w:pPr>
              <w:jc w:val="center"/>
              <w:rPr>
                <w:rFonts w:ascii="Arial" w:hAnsi="Arial" w:cs="Arial"/>
                <w:bCs/>
                <w:sz w:val="20"/>
                <w:szCs w:val="20"/>
              </w:rPr>
            </w:pPr>
          </w:p>
        </w:tc>
      </w:tr>
      <w:tr w:rsidR="0081746E" w:rsidRPr="00844758" w14:paraId="06D3356B" w14:textId="77777777" w:rsidTr="008F525F">
        <w:trPr>
          <w:trHeight w:val="315"/>
        </w:trPr>
        <w:tc>
          <w:tcPr>
            <w:tcW w:w="9248" w:type="dxa"/>
            <w:tcBorders>
              <w:top w:val="nil"/>
              <w:left w:val="nil"/>
              <w:bottom w:val="nil"/>
              <w:right w:val="nil"/>
            </w:tcBorders>
            <w:shd w:val="clear" w:color="auto" w:fill="auto"/>
            <w:noWrap/>
            <w:vAlign w:val="bottom"/>
          </w:tcPr>
          <w:p w14:paraId="5C47B247" w14:textId="77777777" w:rsidR="0081746E" w:rsidRPr="00844758" w:rsidRDefault="0081746E" w:rsidP="0081746E">
            <w:pPr>
              <w:pStyle w:val="ListParagraph"/>
              <w:numPr>
                <w:ilvl w:val="1"/>
                <w:numId w:val="22"/>
              </w:numPr>
              <w:ind w:left="392"/>
              <w:contextualSpacing w:val="0"/>
              <w:rPr>
                <w:rFonts w:ascii="Arial" w:hAnsi="Arial" w:cs="Arial"/>
              </w:rPr>
            </w:pPr>
            <w:r w:rsidRPr="009C05CA">
              <w:rPr>
                <w:rFonts w:ascii="Arial" w:hAnsi="Arial" w:cs="Arial"/>
              </w:rPr>
              <w:t xml:space="preserve"> Inwards life reinsurance premium revenue</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458F28FB"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20240133"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204EB71A" w14:textId="77777777" w:rsidR="0081746E" w:rsidRPr="00844758" w:rsidRDefault="0081746E" w:rsidP="0016598B">
            <w:pPr>
              <w:jc w:val="center"/>
              <w:rPr>
                <w:rFonts w:ascii="Arial" w:hAnsi="Arial" w:cs="Arial"/>
                <w:bCs/>
                <w:sz w:val="20"/>
                <w:szCs w:val="20"/>
              </w:rPr>
            </w:pPr>
          </w:p>
        </w:tc>
      </w:tr>
      <w:tr w:rsidR="0081746E" w:rsidRPr="00844758" w14:paraId="125D89AC" w14:textId="77777777" w:rsidTr="008F525F">
        <w:trPr>
          <w:trHeight w:val="315"/>
        </w:trPr>
        <w:tc>
          <w:tcPr>
            <w:tcW w:w="9248" w:type="dxa"/>
            <w:tcBorders>
              <w:top w:val="nil"/>
              <w:left w:val="nil"/>
              <w:bottom w:val="nil"/>
              <w:right w:val="nil"/>
            </w:tcBorders>
            <w:shd w:val="clear" w:color="auto" w:fill="auto"/>
            <w:noWrap/>
            <w:vAlign w:val="bottom"/>
          </w:tcPr>
          <w:p w14:paraId="6FB4FC98" w14:textId="77777777" w:rsidR="0081746E" w:rsidRPr="00844758" w:rsidRDefault="0081746E" w:rsidP="0081746E">
            <w:pPr>
              <w:pStyle w:val="ListParagraph"/>
              <w:numPr>
                <w:ilvl w:val="1"/>
                <w:numId w:val="22"/>
              </w:numPr>
              <w:ind w:left="392"/>
              <w:contextualSpacing w:val="0"/>
              <w:rPr>
                <w:rFonts w:ascii="Arial" w:hAnsi="Arial" w:cs="Arial"/>
              </w:rPr>
            </w:pPr>
            <w:r w:rsidRPr="009C05CA">
              <w:rPr>
                <w:rFonts w:ascii="Arial" w:hAnsi="Arial" w:cs="Arial"/>
              </w:rPr>
              <w:t>Total premiums from non-life insurance business</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0D4B524D"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1DA109D9"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46039450" w14:textId="77777777" w:rsidR="0081746E" w:rsidRPr="00844758" w:rsidRDefault="0081746E" w:rsidP="0016598B">
            <w:pPr>
              <w:jc w:val="center"/>
              <w:rPr>
                <w:rFonts w:ascii="Arial" w:hAnsi="Arial" w:cs="Arial"/>
                <w:bCs/>
                <w:sz w:val="20"/>
                <w:szCs w:val="20"/>
              </w:rPr>
            </w:pPr>
          </w:p>
        </w:tc>
      </w:tr>
      <w:tr w:rsidR="0081746E" w:rsidRPr="00844758" w14:paraId="7FE7E460" w14:textId="77777777" w:rsidTr="008F525F">
        <w:trPr>
          <w:trHeight w:val="315"/>
        </w:trPr>
        <w:tc>
          <w:tcPr>
            <w:tcW w:w="9248" w:type="dxa"/>
            <w:tcBorders>
              <w:top w:val="nil"/>
              <w:left w:val="nil"/>
              <w:bottom w:val="nil"/>
              <w:right w:val="nil"/>
            </w:tcBorders>
            <w:shd w:val="clear" w:color="auto" w:fill="auto"/>
            <w:noWrap/>
            <w:vAlign w:val="bottom"/>
          </w:tcPr>
          <w:p w14:paraId="29773F56" w14:textId="77777777" w:rsidR="0081746E" w:rsidRPr="00844758" w:rsidRDefault="0081746E" w:rsidP="0081746E">
            <w:pPr>
              <w:pStyle w:val="ListParagraph"/>
              <w:numPr>
                <w:ilvl w:val="1"/>
                <w:numId w:val="22"/>
              </w:numPr>
              <w:ind w:left="392"/>
              <w:contextualSpacing w:val="0"/>
              <w:rPr>
                <w:rFonts w:ascii="Arial" w:hAnsi="Arial" w:cs="Arial"/>
              </w:rPr>
            </w:pPr>
            <w:r w:rsidRPr="009C05CA">
              <w:rPr>
                <w:rFonts w:ascii="Arial" w:hAnsi="Arial" w:cs="Arial"/>
              </w:rPr>
              <w:t>Outward reinsurance premiums expense</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5EC59464"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5CDAAB79"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4BF1376B" w14:textId="77777777" w:rsidR="0081746E" w:rsidRPr="00844758" w:rsidRDefault="0081746E" w:rsidP="0016598B">
            <w:pPr>
              <w:jc w:val="center"/>
              <w:rPr>
                <w:rFonts w:ascii="Arial" w:hAnsi="Arial" w:cs="Arial"/>
                <w:bCs/>
                <w:sz w:val="20"/>
                <w:szCs w:val="20"/>
              </w:rPr>
            </w:pPr>
          </w:p>
        </w:tc>
      </w:tr>
      <w:tr w:rsidR="0081746E" w:rsidRPr="00844758" w14:paraId="12A9DB44" w14:textId="77777777" w:rsidTr="008F525F">
        <w:trPr>
          <w:trHeight w:val="315"/>
        </w:trPr>
        <w:tc>
          <w:tcPr>
            <w:tcW w:w="9248" w:type="dxa"/>
            <w:tcBorders>
              <w:top w:val="nil"/>
              <w:left w:val="nil"/>
              <w:bottom w:val="nil"/>
              <w:right w:val="nil"/>
            </w:tcBorders>
            <w:shd w:val="clear" w:color="auto" w:fill="auto"/>
            <w:noWrap/>
            <w:vAlign w:val="bottom"/>
          </w:tcPr>
          <w:p w14:paraId="7E313547" w14:textId="77777777" w:rsidR="0081746E" w:rsidRPr="00844758" w:rsidRDefault="0081746E" w:rsidP="0081746E">
            <w:pPr>
              <w:pStyle w:val="ListParagraph"/>
              <w:numPr>
                <w:ilvl w:val="1"/>
                <w:numId w:val="22"/>
              </w:numPr>
              <w:ind w:left="392"/>
              <w:contextualSpacing w:val="0"/>
              <w:rPr>
                <w:rFonts w:ascii="Arial" w:hAnsi="Arial" w:cs="Arial"/>
                <w:b/>
              </w:rPr>
            </w:pPr>
            <w:r w:rsidRPr="009C05CA">
              <w:rPr>
                <w:rFonts w:ascii="Arial" w:hAnsi="Arial" w:cs="Arial"/>
                <w:b/>
              </w:rPr>
              <w:t>Total insurance policy revenue, net of reinsurance</w:t>
            </w:r>
          </w:p>
        </w:tc>
        <w:tc>
          <w:tcPr>
            <w:tcW w:w="1523" w:type="dxa"/>
            <w:tcBorders>
              <w:top w:val="nil"/>
              <w:left w:val="single" w:sz="4" w:space="0" w:color="auto"/>
              <w:bottom w:val="single" w:sz="4" w:space="0" w:color="auto"/>
              <w:right w:val="single" w:sz="4" w:space="0" w:color="auto"/>
            </w:tcBorders>
            <w:shd w:val="clear" w:color="auto" w:fill="A6A6A6"/>
            <w:noWrap/>
            <w:vAlign w:val="bottom"/>
          </w:tcPr>
          <w:p w14:paraId="40D5CF1E" w14:textId="77777777" w:rsidR="0081746E" w:rsidRPr="00844758" w:rsidRDefault="0081746E" w:rsidP="0016598B">
            <w:pPr>
              <w:jc w:val="center"/>
              <w:rPr>
                <w:rFonts w:ascii="Arial" w:hAnsi="Arial" w:cs="Arial"/>
                <w:bCs/>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65778225" w14:textId="77777777" w:rsidR="0081746E" w:rsidRPr="00844758" w:rsidRDefault="0081746E" w:rsidP="0016598B">
            <w:pPr>
              <w:jc w:val="center"/>
              <w:rPr>
                <w:rFonts w:ascii="Arial" w:hAnsi="Arial" w:cs="Arial"/>
                <w:bCs/>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34C8B3E3" w14:textId="77777777" w:rsidR="0081746E" w:rsidRPr="00844758" w:rsidRDefault="0081746E" w:rsidP="0016598B">
            <w:pPr>
              <w:jc w:val="center"/>
              <w:rPr>
                <w:rFonts w:ascii="Arial" w:hAnsi="Arial" w:cs="Arial"/>
                <w:bCs/>
                <w:sz w:val="20"/>
                <w:szCs w:val="20"/>
              </w:rPr>
            </w:pPr>
          </w:p>
        </w:tc>
      </w:tr>
      <w:tr w:rsidR="0081746E" w:rsidRPr="00844758" w14:paraId="2C8780C1" w14:textId="77777777" w:rsidTr="008F525F">
        <w:trPr>
          <w:trHeight w:val="315"/>
        </w:trPr>
        <w:tc>
          <w:tcPr>
            <w:tcW w:w="9248" w:type="dxa"/>
            <w:tcBorders>
              <w:top w:val="nil"/>
              <w:left w:val="nil"/>
              <w:bottom w:val="nil"/>
            </w:tcBorders>
            <w:shd w:val="clear" w:color="auto" w:fill="auto"/>
            <w:noWrap/>
            <w:vAlign w:val="bottom"/>
          </w:tcPr>
          <w:p w14:paraId="194D8457" w14:textId="77777777" w:rsidR="0081746E" w:rsidRPr="009C05CA" w:rsidRDefault="0081746E" w:rsidP="0016598B">
            <w:pPr>
              <w:pStyle w:val="ListParagraph"/>
              <w:tabs>
                <w:tab w:val="left" w:pos="3328"/>
              </w:tabs>
              <w:ind w:left="0"/>
              <w:rPr>
                <w:rFonts w:ascii="Arial" w:hAnsi="Arial" w:cs="Arial"/>
                <w:b/>
                <w:bCs/>
              </w:rPr>
            </w:pPr>
          </w:p>
        </w:tc>
        <w:tc>
          <w:tcPr>
            <w:tcW w:w="1523" w:type="dxa"/>
            <w:tcBorders>
              <w:top w:val="single" w:sz="4" w:space="0" w:color="auto"/>
            </w:tcBorders>
            <w:shd w:val="clear" w:color="auto" w:fill="auto"/>
            <w:noWrap/>
            <w:vAlign w:val="bottom"/>
          </w:tcPr>
          <w:p w14:paraId="4DDABFC4" w14:textId="77777777" w:rsidR="0081746E" w:rsidRPr="00844758" w:rsidRDefault="0081746E" w:rsidP="0016598B">
            <w:pPr>
              <w:jc w:val="center"/>
              <w:rPr>
                <w:rFonts w:ascii="Arial" w:hAnsi="Arial" w:cs="Arial"/>
                <w:sz w:val="20"/>
                <w:szCs w:val="20"/>
              </w:rPr>
            </w:pPr>
          </w:p>
        </w:tc>
        <w:tc>
          <w:tcPr>
            <w:tcW w:w="1524" w:type="dxa"/>
            <w:tcBorders>
              <w:top w:val="single" w:sz="4" w:space="0" w:color="auto"/>
            </w:tcBorders>
            <w:shd w:val="clear" w:color="auto" w:fill="auto"/>
            <w:noWrap/>
            <w:vAlign w:val="bottom"/>
          </w:tcPr>
          <w:p w14:paraId="5BFBAAF4" w14:textId="77777777" w:rsidR="0081746E" w:rsidRPr="00844758" w:rsidRDefault="0081746E" w:rsidP="0016598B">
            <w:pPr>
              <w:jc w:val="center"/>
              <w:rPr>
                <w:rFonts w:ascii="Arial" w:hAnsi="Arial" w:cs="Arial"/>
                <w:sz w:val="20"/>
                <w:szCs w:val="20"/>
              </w:rPr>
            </w:pPr>
          </w:p>
        </w:tc>
        <w:tc>
          <w:tcPr>
            <w:tcW w:w="1524" w:type="dxa"/>
            <w:tcBorders>
              <w:top w:val="single" w:sz="4" w:space="0" w:color="auto"/>
            </w:tcBorders>
            <w:shd w:val="clear" w:color="auto" w:fill="auto"/>
            <w:noWrap/>
            <w:vAlign w:val="bottom"/>
          </w:tcPr>
          <w:p w14:paraId="60DA29EE" w14:textId="77777777" w:rsidR="0081746E" w:rsidRPr="00844758" w:rsidRDefault="0081746E" w:rsidP="0016598B">
            <w:pPr>
              <w:jc w:val="center"/>
              <w:rPr>
                <w:rFonts w:ascii="Arial" w:hAnsi="Arial" w:cs="Arial"/>
                <w:b/>
                <w:bCs/>
                <w:sz w:val="20"/>
                <w:szCs w:val="20"/>
              </w:rPr>
            </w:pPr>
          </w:p>
        </w:tc>
      </w:tr>
      <w:tr w:rsidR="0081746E" w:rsidRPr="00844758" w14:paraId="2C6ACB02" w14:textId="77777777" w:rsidTr="008F525F">
        <w:trPr>
          <w:trHeight w:val="315"/>
        </w:trPr>
        <w:tc>
          <w:tcPr>
            <w:tcW w:w="9248" w:type="dxa"/>
            <w:tcBorders>
              <w:top w:val="nil"/>
              <w:left w:val="nil"/>
              <w:bottom w:val="nil"/>
            </w:tcBorders>
            <w:shd w:val="clear" w:color="auto" w:fill="auto"/>
            <w:noWrap/>
            <w:vAlign w:val="bottom"/>
            <w:hideMark/>
          </w:tcPr>
          <w:p w14:paraId="6563382A" w14:textId="77777777" w:rsidR="0081746E" w:rsidRPr="00844758" w:rsidRDefault="0081746E" w:rsidP="0081746E">
            <w:pPr>
              <w:pStyle w:val="ListParagraph"/>
              <w:numPr>
                <w:ilvl w:val="0"/>
                <w:numId w:val="22"/>
              </w:numPr>
              <w:tabs>
                <w:tab w:val="left" w:pos="3328"/>
              </w:tabs>
              <w:contextualSpacing w:val="0"/>
              <w:rPr>
                <w:rFonts w:ascii="Arial" w:hAnsi="Arial" w:cs="Arial"/>
                <w:b/>
                <w:bCs/>
              </w:rPr>
            </w:pPr>
            <w:r w:rsidRPr="009C05CA">
              <w:rPr>
                <w:rFonts w:ascii="Arial" w:hAnsi="Arial" w:cs="Arial"/>
                <w:b/>
                <w:bCs/>
              </w:rPr>
              <w:t>Fees for management services rendered</w:t>
            </w:r>
          </w:p>
        </w:tc>
        <w:tc>
          <w:tcPr>
            <w:tcW w:w="1523" w:type="dxa"/>
            <w:tcBorders>
              <w:bottom w:val="single" w:sz="4" w:space="0" w:color="auto"/>
            </w:tcBorders>
            <w:shd w:val="clear" w:color="auto" w:fill="auto"/>
            <w:noWrap/>
            <w:vAlign w:val="bottom"/>
          </w:tcPr>
          <w:p w14:paraId="2A6E8B1C" w14:textId="77777777" w:rsidR="0081746E" w:rsidRPr="00844758" w:rsidRDefault="0081746E" w:rsidP="0016598B">
            <w:pPr>
              <w:jc w:val="center"/>
              <w:rPr>
                <w:rFonts w:ascii="Arial" w:hAnsi="Arial" w:cs="Arial"/>
                <w:sz w:val="20"/>
                <w:szCs w:val="20"/>
              </w:rPr>
            </w:pPr>
          </w:p>
        </w:tc>
        <w:tc>
          <w:tcPr>
            <w:tcW w:w="1524" w:type="dxa"/>
            <w:tcBorders>
              <w:bottom w:val="single" w:sz="4" w:space="0" w:color="auto"/>
            </w:tcBorders>
            <w:shd w:val="clear" w:color="auto" w:fill="auto"/>
            <w:noWrap/>
            <w:vAlign w:val="bottom"/>
          </w:tcPr>
          <w:p w14:paraId="6DDB8191" w14:textId="77777777" w:rsidR="0081746E" w:rsidRPr="00844758" w:rsidRDefault="0081746E" w:rsidP="0016598B">
            <w:pPr>
              <w:jc w:val="center"/>
              <w:rPr>
                <w:rFonts w:ascii="Arial" w:hAnsi="Arial" w:cs="Arial"/>
                <w:sz w:val="20"/>
                <w:szCs w:val="20"/>
              </w:rPr>
            </w:pPr>
          </w:p>
        </w:tc>
        <w:tc>
          <w:tcPr>
            <w:tcW w:w="1524" w:type="dxa"/>
            <w:tcBorders>
              <w:bottom w:val="single" w:sz="4" w:space="0" w:color="auto"/>
            </w:tcBorders>
            <w:shd w:val="clear" w:color="auto" w:fill="auto"/>
            <w:noWrap/>
            <w:vAlign w:val="bottom"/>
          </w:tcPr>
          <w:p w14:paraId="1906940F" w14:textId="77777777" w:rsidR="0081746E" w:rsidRPr="00844758" w:rsidRDefault="0081746E" w:rsidP="0016598B">
            <w:pPr>
              <w:jc w:val="center"/>
              <w:rPr>
                <w:rFonts w:ascii="Arial" w:hAnsi="Arial" w:cs="Arial"/>
                <w:bCs/>
                <w:sz w:val="20"/>
                <w:szCs w:val="20"/>
              </w:rPr>
            </w:pPr>
          </w:p>
        </w:tc>
      </w:tr>
      <w:tr w:rsidR="0081746E" w:rsidRPr="00844758" w14:paraId="27A16558" w14:textId="77777777" w:rsidTr="008F525F">
        <w:trPr>
          <w:trHeight w:val="315"/>
        </w:trPr>
        <w:tc>
          <w:tcPr>
            <w:tcW w:w="9248" w:type="dxa"/>
            <w:tcBorders>
              <w:top w:val="nil"/>
              <w:left w:val="nil"/>
              <w:bottom w:val="nil"/>
              <w:right w:val="nil"/>
            </w:tcBorders>
            <w:shd w:val="clear" w:color="auto" w:fill="auto"/>
            <w:noWrap/>
            <w:vAlign w:val="bottom"/>
            <w:hideMark/>
          </w:tcPr>
          <w:p w14:paraId="17FAD11D" w14:textId="77777777" w:rsidR="0081746E" w:rsidRPr="00844758" w:rsidRDefault="0081746E" w:rsidP="0081746E">
            <w:pPr>
              <w:pStyle w:val="ListParagraph"/>
              <w:numPr>
                <w:ilvl w:val="1"/>
                <w:numId w:val="22"/>
              </w:numPr>
              <w:ind w:left="392"/>
              <w:contextualSpacing w:val="0"/>
              <w:rPr>
                <w:rFonts w:ascii="Arial" w:hAnsi="Arial" w:cs="Arial"/>
              </w:rPr>
            </w:pPr>
            <w:r w:rsidRPr="009C05CA">
              <w:rPr>
                <w:rFonts w:ascii="Arial" w:hAnsi="Arial" w:cs="Arial"/>
              </w:rPr>
              <w:t>Premium-related fees revenue</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0C3500A8"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6866EC91"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4F8E7814" w14:textId="77777777" w:rsidR="0081746E" w:rsidRPr="00844758" w:rsidRDefault="0081746E" w:rsidP="0016598B">
            <w:pPr>
              <w:jc w:val="center"/>
              <w:rPr>
                <w:rFonts w:ascii="Arial" w:hAnsi="Arial" w:cs="Arial"/>
                <w:bCs/>
                <w:sz w:val="20"/>
                <w:szCs w:val="20"/>
              </w:rPr>
            </w:pPr>
          </w:p>
        </w:tc>
      </w:tr>
      <w:tr w:rsidR="0081746E" w:rsidRPr="00844758" w14:paraId="7187568F" w14:textId="77777777" w:rsidTr="008F525F">
        <w:trPr>
          <w:trHeight w:val="315"/>
        </w:trPr>
        <w:tc>
          <w:tcPr>
            <w:tcW w:w="9248" w:type="dxa"/>
            <w:tcBorders>
              <w:top w:val="nil"/>
              <w:left w:val="nil"/>
              <w:bottom w:val="nil"/>
              <w:right w:val="nil"/>
            </w:tcBorders>
            <w:shd w:val="clear" w:color="auto" w:fill="auto"/>
            <w:noWrap/>
            <w:vAlign w:val="bottom"/>
            <w:hideMark/>
          </w:tcPr>
          <w:p w14:paraId="75B99EC8" w14:textId="77777777" w:rsidR="0081746E" w:rsidRPr="00844758" w:rsidRDefault="0081746E" w:rsidP="0081746E">
            <w:pPr>
              <w:pStyle w:val="ListParagraph"/>
              <w:numPr>
                <w:ilvl w:val="1"/>
                <w:numId w:val="22"/>
              </w:numPr>
              <w:ind w:left="392"/>
              <w:contextualSpacing w:val="0"/>
              <w:rPr>
                <w:rFonts w:ascii="Arial" w:hAnsi="Arial" w:cs="Arial"/>
              </w:rPr>
            </w:pPr>
            <w:r w:rsidRPr="009C05CA">
              <w:rPr>
                <w:rFonts w:ascii="Arial" w:hAnsi="Arial" w:cs="Arial"/>
              </w:rPr>
              <w:t>Non-premium related fees</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6D0D593D"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3425594B"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17DF6DE3" w14:textId="77777777" w:rsidR="0081746E" w:rsidRPr="00844758" w:rsidRDefault="0081746E" w:rsidP="0016598B">
            <w:pPr>
              <w:jc w:val="center"/>
              <w:rPr>
                <w:rFonts w:ascii="Arial" w:hAnsi="Arial" w:cs="Arial"/>
                <w:bCs/>
                <w:sz w:val="20"/>
                <w:szCs w:val="20"/>
              </w:rPr>
            </w:pPr>
          </w:p>
        </w:tc>
      </w:tr>
      <w:tr w:rsidR="0081746E" w:rsidRPr="00844758" w14:paraId="33693432" w14:textId="77777777" w:rsidTr="008F525F">
        <w:trPr>
          <w:trHeight w:val="315"/>
        </w:trPr>
        <w:tc>
          <w:tcPr>
            <w:tcW w:w="9248" w:type="dxa"/>
            <w:tcBorders>
              <w:top w:val="nil"/>
              <w:left w:val="nil"/>
              <w:bottom w:val="nil"/>
              <w:right w:val="nil"/>
            </w:tcBorders>
            <w:shd w:val="clear" w:color="auto" w:fill="auto"/>
            <w:noWrap/>
            <w:vAlign w:val="bottom"/>
          </w:tcPr>
          <w:p w14:paraId="70109585" w14:textId="77777777" w:rsidR="0081746E" w:rsidRPr="00844758" w:rsidRDefault="0081746E" w:rsidP="0081746E">
            <w:pPr>
              <w:pStyle w:val="ListParagraph"/>
              <w:numPr>
                <w:ilvl w:val="1"/>
                <w:numId w:val="22"/>
              </w:numPr>
              <w:ind w:left="392"/>
              <w:contextualSpacing w:val="0"/>
              <w:rPr>
                <w:rFonts w:ascii="Arial" w:hAnsi="Arial" w:cs="Arial"/>
              </w:rPr>
            </w:pPr>
            <w:r w:rsidRPr="009C05CA">
              <w:rPr>
                <w:rFonts w:ascii="Arial" w:hAnsi="Arial" w:cs="Arial"/>
              </w:rPr>
              <w:t xml:space="preserve">Fees reported as movement in policy liability (Net movement in liability for </w:t>
            </w:r>
            <w:proofErr w:type="spellStart"/>
            <w:r w:rsidRPr="009C05CA">
              <w:rPr>
                <w:rFonts w:ascii="Arial" w:hAnsi="Arial" w:cs="Arial"/>
              </w:rPr>
              <w:t>defd</w:t>
            </w:r>
            <w:proofErr w:type="spellEnd"/>
            <w:r w:rsidRPr="009C05CA">
              <w:rPr>
                <w:rFonts w:ascii="Arial" w:hAnsi="Arial" w:cs="Arial"/>
              </w:rPr>
              <w:t xml:space="preserve"> fee rev)</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47450CF9"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3F0F7776"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4F66BCE3" w14:textId="77777777" w:rsidR="0081746E" w:rsidRPr="00844758" w:rsidRDefault="0081746E" w:rsidP="0016598B">
            <w:pPr>
              <w:jc w:val="center"/>
              <w:rPr>
                <w:rFonts w:ascii="Arial" w:hAnsi="Arial" w:cs="Arial"/>
                <w:bCs/>
                <w:sz w:val="20"/>
                <w:szCs w:val="20"/>
              </w:rPr>
            </w:pPr>
          </w:p>
        </w:tc>
      </w:tr>
      <w:tr w:rsidR="0081746E" w:rsidRPr="00844758" w14:paraId="1487E6DE" w14:textId="77777777" w:rsidTr="008F525F">
        <w:trPr>
          <w:trHeight w:val="315"/>
        </w:trPr>
        <w:tc>
          <w:tcPr>
            <w:tcW w:w="9248" w:type="dxa"/>
            <w:tcBorders>
              <w:top w:val="nil"/>
              <w:left w:val="nil"/>
              <w:bottom w:val="nil"/>
              <w:right w:val="nil"/>
            </w:tcBorders>
            <w:shd w:val="clear" w:color="auto" w:fill="auto"/>
            <w:noWrap/>
            <w:vAlign w:val="bottom"/>
          </w:tcPr>
          <w:p w14:paraId="660432EF" w14:textId="77777777" w:rsidR="0081746E" w:rsidRPr="00844758" w:rsidRDefault="0081746E" w:rsidP="0081746E">
            <w:pPr>
              <w:pStyle w:val="ListParagraph"/>
              <w:numPr>
                <w:ilvl w:val="1"/>
                <w:numId w:val="22"/>
              </w:numPr>
              <w:ind w:left="392"/>
              <w:contextualSpacing w:val="0"/>
              <w:rPr>
                <w:rFonts w:ascii="Arial" w:hAnsi="Arial" w:cs="Arial"/>
                <w:b/>
              </w:rPr>
            </w:pPr>
            <w:r w:rsidRPr="009C05CA">
              <w:rPr>
                <w:rFonts w:ascii="Arial" w:hAnsi="Arial" w:cs="Arial"/>
                <w:b/>
              </w:rPr>
              <w:t>Total fees for management services rendered</w:t>
            </w:r>
          </w:p>
        </w:tc>
        <w:tc>
          <w:tcPr>
            <w:tcW w:w="1523" w:type="dxa"/>
            <w:tcBorders>
              <w:top w:val="nil"/>
              <w:left w:val="single" w:sz="4" w:space="0" w:color="auto"/>
              <w:bottom w:val="single" w:sz="4" w:space="0" w:color="auto"/>
              <w:right w:val="single" w:sz="4" w:space="0" w:color="auto"/>
            </w:tcBorders>
            <w:shd w:val="clear" w:color="auto" w:fill="A6A6A6"/>
            <w:noWrap/>
            <w:vAlign w:val="bottom"/>
          </w:tcPr>
          <w:p w14:paraId="4A22F3AF" w14:textId="77777777" w:rsidR="0081746E" w:rsidRPr="00844758" w:rsidRDefault="0081746E" w:rsidP="0016598B">
            <w:pPr>
              <w:jc w:val="center"/>
              <w:rPr>
                <w:rFonts w:ascii="Arial" w:hAnsi="Arial" w:cs="Arial"/>
                <w:bCs/>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39EB59E4" w14:textId="77777777" w:rsidR="0081746E" w:rsidRPr="00844758" w:rsidRDefault="0081746E" w:rsidP="0016598B">
            <w:pPr>
              <w:jc w:val="center"/>
              <w:rPr>
                <w:rFonts w:ascii="Arial" w:hAnsi="Arial" w:cs="Arial"/>
                <w:bCs/>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14E44716" w14:textId="77777777" w:rsidR="0081746E" w:rsidRPr="00844758" w:rsidRDefault="0081746E" w:rsidP="0016598B">
            <w:pPr>
              <w:jc w:val="center"/>
              <w:rPr>
                <w:rFonts w:ascii="Arial" w:hAnsi="Arial" w:cs="Arial"/>
                <w:bCs/>
                <w:sz w:val="20"/>
                <w:szCs w:val="20"/>
              </w:rPr>
            </w:pPr>
          </w:p>
        </w:tc>
      </w:tr>
      <w:tr w:rsidR="0081746E" w:rsidRPr="00844758" w14:paraId="5CB793A3" w14:textId="77777777" w:rsidTr="008F525F">
        <w:trPr>
          <w:trHeight w:val="315"/>
        </w:trPr>
        <w:tc>
          <w:tcPr>
            <w:tcW w:w="9248" w:type="dxa"/>
            <w:tcBorders>
              <w:top w:val="nil"/>
              <w:left w:val="nil"/>
              <w:bottom w:val="nil"/>
            </w:tcBorders>
            <w:shd w:val="clear" w:color="auto" w:fill="auto"/>
            <w:noWrap/>
            <w:vAlign w:val="bottom"/>
          </w:tcPr>
          <w:p w14:paraId="3CB09E40" w14:textId="77777777" w:rsidR="0081746E" w:rsidRPr="009C05CA" w:rsidRDefault="0081746E" w:rsidP="0016598B">
            <w:pPr>
              <w:pStyle w:val="ListParagraph"/>
              <w:tabs>
                <w:tab w:val="left" w:pos="3328"/>
              </w:tabs>
              <w:ind w:left="0"/>
              <w:rPr>
                <w:rFonts w:ascii="Arial" w:hAnsi="Arial" w:cs="Arial"/>
                <w:b/>
                <w:bCs/>
              </w:rPr>
            </w:pPr>
          </w:p>
        </w:tc>
        <w:tc>
          <w:tcPr>
            <w:tcW w:w="1523" w:type="dxa"/>
            <w:tcBorders>
              <w:top w:val="single" w:sz="4" w:space="0" w:color="auto"/>
            </w:tcBorders>
            <w:shd w:val="clear" w:color="auto" w:fill="auto"/>
            <w:noWrap/>
            <w:vAlign w:val="bottom"/>
          </w:tcPr>
          <w:p w14:paraId="5EB3E1A7" w14:textId="77777777" w:rsidR="0081746E" w:rsidRPr="00844758" w:rsidRDefault="0081746E" w:rsidP="0016598B">
            <w:pPr>
              <w:jc w:val="center"/>
              <w:rPr>
                <w:rFonts w:ascii="Arial" w:hAnsi="Arial" w:cs="Arial"/>
                <w:sz w:val="20"/>
                <w:szCs w:val="20"/>
              </w:rPr>
            </w:pPr>
          </w:p>
        </w:tc>
        <w:tc>
          <w:tcPr>
            <w:tcW w:w="1524" w:type="dxa"/>
            <w:tcBorders>
              <w:top w:val="single" w:sz="4" w:space="0" w:color="auto"/>
            </w:tcBorders>
            <w:shd w:val="clear" w:color="auto" w:fill="auto"/>
            <w:noWrap/>
            <w:vAlign w:val="bottom"/>
          </w:tcPr>
          <w:p w14:paraId="35E4ACCB" w14:textId="77777777" w:rsidR="0081746E" w:rsidRPr="00844758" w:rsidRDefault="0081746E" w:rsidP="0016598B">
            <w:pPr>
              <w:jc w:val="center"/>
              <w:rPr>
                <w:rFonts w:ascii="Arial" w:hAnsi="Arial" w:cs="Arial"/>
                <w:sz w:val="20"/>
                <w:szCs w:val="20"/>
              </w:rPr>
            </w:pPr>
          </w:p>
        </w:tc>
        <w:tc>
          <w:tcPr>
            <w:tcW w:w="1524" w:type="dxa"/>
            <w:tcBorders>
              <w:top w:val="single" w:sz="4" w:space="0" w:color="auto"/>
            </w:tcBorders>
            <w:shd w:val="clear" w:color="auto" w:fill="auto"/>
            <w:noWrap/>
            <w:vAlign w:val="bottom"/>
          </w:tcPr>
          <w:p w14:paraId="20C5BB85" w14:textId="77777777" w:rsidR="0081746E" w:rsidRPr="00844758" w:rsidRDefault="0081746E" w:rsidP="0016598B">
            <w:pPr>
              <w:jc w:val="center"/>
              <w:rPr>
                <w:rFonts w:ascii="Arial" w:hAnsi="Arial" w:cs="Arial"/>
                <w:b/>
                <w:bCs/>
                <w:sz w:val="20"/>
                <w:szCs w:val="20"/>
              </w:rPr>
            </w:pPr>
          </w:p>
        </w:tc>
      </w:tr>
      <w:tr w:rsidR="0081746E" w:rsidRPr="00844758" w14:paraId="35CA0362" w14:textId="77777777" w:rsidTr="008F525F">
        <w:trPr>
          <w:trHeight w:val="315"/>
        </w:trPr>
        <w:tc>
          <w:tcPr>
            <w:tcW w:w="9248" w:type="dxa"/>
            <w:tcBorders>
              <w:top w:val="nil"/>
              <w:left w:val="nil"/>
              <w:bottom w:val="nil"/>
            </w:tcBorders>
            <w:shd w:val="clear" w:color="auto" w:fill="auto"/>
            <w:noWrap/>
            <w:vAlign w:val="bottom"/>
            <w:hideMark/>
          </w:tcPr>
          <w:p w14:paraId="09A7C882" w14:textId="77777777" w:rsidR="0081746E" w:rsidRPr="00844758" w:rsidRDefault="0081746E" w:rsidP="0081746E">
            <w:pPr>
              <w:pStyle w:val="ListParagraph"/>
              <w:numPr>
                <w:ilvl w:val="0"/>
                <w:numId w:val="22"/>
              </w:numPr>
              <w:tabs>
                <w:tab w:val="left" w:pos="3328"/>
              </w:tabs>
              <w:contextualSpacing w:val="0"/>
              <w:rPr>
                <w:rFonts w:ascii="Arial" w:hAnsi="Arial" w:cs="Arial"/>
                <w:b/>
                <w:bCs/>
              </w:rPr>
            </w:pPr>
            <w:r w:rsidRPr="009C05CA">
              <w:rPr>
                <w:rFonts w:ascii="Arial" w:hAnsi="Arial" w:cs="Arial"/>
                <w:b/>
                <w:bCs/>
              </w:rPr>
              <w:lastRenderedPageBreak/>
              <w:t>Investment revenue</w:t>
            </w:r>
          </w:p>
        </w:tc>
        <w:tc>
          <w:tcPr>
            <w:tcW w:w="1523" w:type="dxa"/>
            <w:shd w:val="clear" w:color="auto" w:fill="auto"/>
            <w:noWrap/>
            <w:vAlign w:val="bottom"/>
          </w:tcPr>
          <w:p w14:paraId="04C3D31C" w14:textId="77777777" w:rsidR="0081746E" w:rsidRPr="00844758" w:rsidRDefault="0081746E" w:rsidP="0016598B">
            <w:pPr>
              <w:jc w:val="center"/>
              <w:rPr>
                <w:rFonts w:ascii="Arial" w:hAnsi="Arial" w:cs="Arial"/>
                <w:sz w:val="20"/>
                <w:szCs w:val="20"/>
              </w:rPr>
            </w:pPr>
          </w:p>
        </w:tc>
        <w:tc>
          <w:tcPr>
            <w:tcW w:w="1524" w:type="dxa"/>
            <w:shd w:val="clear" w:color="auto" w:fill="auto"/>
            <w:noWrap/>
            <w:vAlign w:val="bottom"/>
          </w:tcPr>
          <w:p w14:paraId="67868F45" w14:textId="77777777" w:rsidR="0081746E" w:rsidRPr="00844758" w:rsidRDefault="0081746E" w:rsidP="0016598B">
            <w:pPr>
              <w:jc w:val="center"/>
              <w:rPr>
                <w:rFonts w:ascii="Arial" w:hAnsi="Arial" w:cs="Arial"/>
                <w:sz w:val="20"/>
                <w:szCs w:val="20"/>
              </w:rPr>
            </w:pPr>
          </w:p>
        </w:tc>
        <w:tc>
          <w:tcPr>
            <w:tcW w:w="1524" w:type="dxa"/>
            <w:shd w:val="clear" w:color="auto" w:fill="auto"/>
            <w:noWrap/>
            <w:vAlign w:val="bottom"/>
          </w:tcPr>
          <w:p w14:paraId="30332974" w14:textId="77777777" w:rsidR="0081746E" w:rsidRPr="00844758" w:rsidRDefault="0081746E" w:rsidP="0016598B">
            <w:pPr>
              <w:jc w:val="center"/>
              <w:rPr>
                <w:rFonts w:ascii="Arial" w:hAnsi="Arial" w:cs="Arial"/>
                <w:b/>
                <w:bCs/>
                <w:sz w:val="20"/>
                <w:szCs w:val="20"/>
              </w:rPr>
            </w:pPr>
          </w:p>
        </w:tc>
      </w:tr>
      <w:tr w:rsidR="0081746E" w:rsidRPr="00844758" w14:paraId="09859556" w14:textId="77777777" w:rsidTr="008F525F">
        <w:trPr>
          <w:trHeight w:val="315"/>
        </w:trPr>
        <w:tc>
          <w:tcPr>
            <w:tcW w:w="9248" w:type="dxa"/>
            <w:tcBorders>
              <w:top w:val="nil"/>
              <w:left w:val="nil"/>
              <w:bottom w:val="nil"/>
            </w:tcBorders>
            <w:shd w:val="clear" w:color="auto" w:fill="auto"/>
            <w:noWrap/>
            <w:vAlign w:val="bottom"/>
            <w:hideMark/>
          </w:tcPr>
          <w:p w14:paraId="21F0A1F1" w14:textId="77777777" w:rsidR="0081746E" w:rsidRPr="00844758" w:rsidRDefault="0081746E" w:rsidP="0081746E">
            <w:pPr>
              <w:pStyle w:val="ListParagraph"/>
              <w:numPr>
                <w:ilvl w:val="1"/>
                <w:numId w:val="22"/>
              </w:numPr>
              <w:ind w:left="392"/>
              <w:contextualSpacing w:val="0"/>
              <w:rPr>
                <w:rFonts w:ascii="Arial" w:hAnsi="Arial" w:cs="Arial"/>
                <w:b/>
              </w:rPr>
            </w:pPr>
            <w:r w:rsidRPr="009C05CA">
              <w:rPr>
                <w:rFonts w:ascii="Arial" w:hAnsi="Arial" w:cs="Arial"/>
                <w:b/>
              </w:rPr>
              <w:t>Investment income (excluding capital gains or losses) from</w:t>
            </w:r>
          </w:p>
        </w:tc>
        <w:tc>
          <w:tcPr>
            <w:tcW w:w="1523" w:type="dxa"/>
            <w:tcBorders>
              <w:bottom w:val="single" w:sz="4" w:space="0" w:color="auto"/>
            </w:tcBorders>
            <w:shd w:val="clear" w:color="auto" w:fill="auto"/>
            <w:noWrap/>
            <w:vAlign w:val="bottom"/>
          </w:tcPr>
          <w:p w14:paraId="27815E23" w14:textId="77777777" w:rsidR="0081746E" w:rsidRPr="00844758" w:rsidRDefault="0081746E" w:rsidP="0016598B">
            <w:pPr>
              <w:jc w:val="center"/>
              <w:rPr>
                <w:rFonts w:ascii="Arial" w:hAnsi="Arial" w:cs="Arial"/>
                <w:sz w:val="20"/>
                <w:szCs w:val="20"/>
              </w:rPr>
            </w:pPr>
          </w:p>
        </w:tc>
        <w:tc>
          <w:tcPr>
            <w:tcW w:w="1524" w:type="dxa"/>
            <w:tcBorders>
              <w:bottom w:val="single" w:sz="4" w:space="0" w:color="auto"/>
            </w:tcBorders>
            <w:shd w:val="clear" w:color="auto" w:fill="auto"/>
            <w:noWrap/>
            <w:vAlign w:val="bottom"/>
          </w:tcPr>
          <w:p w14:paraId="29053869" w14:textId="77777777" w:rsidR="0081746E" w:rsidRPr="00844758" w:rsidRDefault="0081746E" w:rsidP="0016598B">
            <w:pPr>
              <w:jc w:val="center"/>
              <w:rPr>
                <w:rFonts w:ascii="Arial" w:hAnsi="Arial" w:cs="Arial"/>
                <w:sz w:val="20"/>
                <w:szCs w:val="20"/>
              </w:rPr>
            </w:pPr>
          </w:p>
        </w:tc>
        <w:tc>
          <w:tcPr>
            <w:tcW w:w="1524" w:type="dxa"/>
            <w:tcBorders>
              <w:bottom w:val="single" w:sz="4" w:space="0" w:color="auto"/>
            </w:tcBorders>
            <w:shd w:val="clear" w:color="auto" w:fill="auto"/>
            <w:noWrap/>
            <w:vAlign w:val="bottom"/>
          </w:tcPr>
          <w:p w14:paraId="4851E9DD" w14:textId="77777777" w:rsidR="0081746E" w:rsidRPr="00844758" w:rsidRDefault="0081746E" w:rsidP="0016598B">
            <w:pPr>
              <w:jc w:val="center"/>
              <w:rPr>
                <w:rFonts w:ascii="Arial" w:hAnsi="Arial" w:cs="Arial"/>
                <w:b/>
                <w:bCs/>
                <w:sz w:val="20"/>
                <w:szCs w:val="20"/>
              </w:rPr>
            </w:pPr>
          </w:p>
        </w:tc>
      </w:tr>
      <w:tr w:rsidR="0081746E" w:rsidRPr="00844758" w14:paraId="4FA6D45D" w14:textId="77777777" w:rsidTr="008F525F">
        <w:trPr>
          <w:trHeight w:val="315"/>
        </w:trPr>
        <w:tc>
          <w:tcPr>
            <w:tcW w:w="9248" w:type="dxa"/>
            <w:tcBorders>
              <w:top w:val="nil"/>
              <w:left w:val="nil"/>
              <w:bottom w:val="nil"/>
              <w:right w:val="nil"/>
            </w:tcBorders>
            <w:shd w:val="clear" w:color="auto" w:fill="auto"/>
            <w:noWrap/>
            <w:vAlign w:val="bottom"/>
            <w:hideMark/>
          </w:tcPr>
          <w:p w14:paraId="64BEB3BF" w14:textId="77777777" w:rsidR="0081746E" w:rsidRPr="00844758" w:rsidRDefault="0081746E" w:rsidP="0081746E">
            <w:pPr>
              <w:pStyle w:val="ListParagraph"/>
              <w:numPr>
                <w:ilvl w:val="2"/>
                <w:numId w:val="22"/>
              </w:numPr>
              <w:contextualSpacing w:val="0"/>
              <w:rPr>
                <w:rFonts w:ascii="Arial" w:hAnsi="Arial" w:cs="Arial"/>
              </w:rPr>
            </w:pPr>
            <w:r w:rsidRPr="009C05CA">
              <w:rPr>
                <w:rFonts w:ascii="Arial" w:hAnsi="Arial" w:cs="Arial"/>
              </w:rPr>
              <w:t>Cash holdings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28660" w14:textId="77777777" w:rsidR="0081746E" w:rsidRPr="00844758" w:rsidRDefault="0081746E" w:rsidP="0016598B">
            <w:pPr>
              <w:jc w:val="center"/>
              <w:rPr>
                <w:rFonts w:ascii="Arial" w:hAnsi="Arial" w:cs="Arial"/>
                <w:sz w:val="20"/>
                <w:szCs w:val="20"/>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12E9B824" w14:textId="77777777" w:rsidR="0081746E" w:rsidRPr="00844758" w:rsidRDefault="0081746E" w:rsidP="0016598B">
            <w:pPr>
              <w:jc w:val="center"/>
              <w:rPr>
                <w:rFonts w:ascii="Arial" w:hAnsi="Arial" w:cs="Arial"/>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2B49F774" w14:textId="77777777" w:rsidR="0081746E" w:rsidRPr="00844758" w:rsidRDefault="0081746E" w:rsidP="0016598B">
            <w:pPr>
              <w:jc w:val="center"/>
              <w:rPr>
                <w:rFonts w:ascii="Arial" w:hAnsi="Arial" w:cs="Arial"/>
                <w:bCs/>
                <w:sz w:val="20"/>
                <w:szCs w:val="20"/>
              </w:rPr>
            </w:pPr>
          </w:p>
        </w:tc>
      </w:tr>
      <w:tr w:rsidR="0081746E" w:rsidRPr="00844758" w14:paraId="295C309A" w14:textId="77777777" w:rsidTr="008F525F">
        <w:trPr>
          <w:trHeight w:val="315"/>
        </w:trPr>
        <w:tc>
          <w:tcPr>
            <w:tcW w:w="9248" w:type="dxa"/>
            <w:tcBorders>
              <w:top w:val="nil"/>
              <w:left w:val="nil"/>
              <w:bottom w:val="nil"/>
              <w:right w:val="nil"/>
            </w:tcBorders>
            <w:shd w:val="clear" w:color="auto" w:fill="auto"/>
            <w:noWrap/>
            <w:vAlign w:val="bottom"/>
          </w:tcPr>
          <w:p w14:paraId="4E2DC89A" w14:textId="77777777" w:rsidR="0081746E" w:rsidRPr="00844758" w:rsidRDefault="0081746E" w:rsidP="0081746E">
            <w:pPr>
              <w:pStyle w:val="ListParagraph"/>
              <w:numPr>
                <w:ilvl w:val="2"/>
                <w:numId w:val="22"/>
              </w:numPr>
              <w:contextualSpacing w:val="0"/>
              <w:rPr>
                <w:rFonts w:ascii="Arial" w:hAnsi="Arial" w:cs="Arial"/>
              </w:rPr>
            </w:pPr>
            <w:r w:rsidRPr="009C05CA">
              <w:rPr>
                <w:rFonts w:ascii="Arial" w:hAnsi="Arial" w:cs="Arial"/>
              </w:rPr>
              <w:t>Investment property</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4D75AD76"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368C68D3"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439E4224" w14:textId="77777777" w:rsidR="0081746E" w:rsidRPr="00844758" w:rsidRDefault="0081746E" w:rsidP="0016598B">
            <w:pPr>
              <w:jc w:val="center"/>
              <w:rPr>
                <w:rFonts w:ascii="Arial" w:hAnsi="Arial" w:cs="Arial"/>
                <w:bCs/>
                <w:sz w:val="20"/>
                <w:szCs w:val="20"/>
              </w:rPr>
            </w:pPr>
          </w:p>
        </w:tc>
      </w:tr>
      <w:tr w:rsidR="0081746E" w:rsidRPr="00844758" w14:paraId="57EC37F2" w14:textId="77777777" w:rsidTr="008F525F">
        <w:trPr>
          <w:trHeight w:val="315"/>
        </w:trPr>
        <w:tc>
          <w:tcPr>
            <w:tcW w:w="9248" w:type="dxa"/>
            <w:tcBorders>
              <w:top w:val="nil"/>
              <w:left w:val="nil"/>
              <w:bottom w:val="nil"/>
              <w:right w:val="nil"/>
            </w:tcBorders>
            <w:shd w:val="clear" w:color="auto" w:fill="auto"/>
            <w:noWrap/>
            <w:vAlign w:val="bottom"/>
          </w:tcPr>
          <w:p w14:paraId="50C14F66" w14:textId="77777777" w:rsidR="0081746E" w:rsidRPr="00844758" w:rsidRDefault="0081746E" w:rsidP="0081746E">
            <w:pPr>
              <w:pStyle w:val="ListParagraph"/>
              <w:numPr>
                <w:ilvl w:val="2"/>
                <w:numId w:val="22"/>
              </w:numPr>
              <w:contextualSpacing w:val="0"/>
              <w:rPr>
                <w:rFonts w:ascii="Arial" w:hAnsi="Arial" w:cs="Arial"/>
              </w:rPr>
            </w:pPr>
            <w:r w:rsidRPr="009C05CA">
              <w:rPr>
                <w:rFonts w:ascii="Arial" w:hAnsi="Arial" w:cs="Arial"/>
              </w:rPr>
              <w:t>Equity securities</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230FD286"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310C29AF"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3AA7F198" w14:textId="77777777" w:rsidR="0081746E" w:rsidRPr="00844758" w:rsidRDefault="0081746E" w:rsidP="0016598B">
            <w:pPr>
              <w:jc w:val="center"/>
              <w:rPr>
                <w:rFonts w:ascii="Arial" w:hAnsi="Arial" w:cs="Arial"/>
                <w:bCs/>
                <w:sz w:val="20"/>
                <w:szCs w:val="20"/>
              </w:rPr>
            </w:pPr>
          </w:p>
        </w:tc>
      </w:tr>
      <w:tr w:rsidR="0081746E" w:rsidRPr="00844758" w14:paraId="26C21C9E" w14:textId="77777777" w:rsidTr="008F525F">
        <w:trPr>
          <w:trHeight w:val="315"/>
        </w:trPr>
        <w:tc>
          <w:tcPr>
            <w:tcW w:w="9248" w:type="dxa"/>
            <w:tcBorders>
              <w:top w:val="nil"/>
              <w:left w:val="nil"/>
              <w:bottom w:val="nil"/>
              <w:right w:val="nil"/>
            </w:tcBorders>
            <w:shd w:val="clear" w:color="auto" w:fill="auto"/>
            <w:noWrap/>
            <w:vAlign w:val="bottom"/>
          </w:tcPr>
          <w:p w14:paraId="1C2B360D" w14:textId="77777777" w:rsidR="0081746E" w:rsidRPr="00844758" w:rsidRDefault="0081746E" w:rsidP="0081746E">
            <w:pPr>
              <w:pStyle w:val="ListParagraph"/>
              <w:numPr>
                <w:ilvl w:val="2"/>
                <w:numId w:val="22"/>
              </w:numPr>
              <w:contextualSpacing w:val="0"/>
              <w:rPr>
                <w:rFonts w:ascii="Arial" w:hAnsi="Arial" w:cs="Arial"/>
              </w:rPr>
            </w:pPr>
            <w:r w:rsidRPr="009C05CA">
              <w:rPr>
                <w:rFonts w:ascii="Arial" w:hAnsi="Arial" w:cs="Arial"/>
              </w:rPr>
              <w:t>Debt securities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56338" w14:textId="77777777" w:rsidR="0081746E" w:rsidRPr="00844758" w:rsidRDefault="0081746E" w:rsidP="0016598B">
            <w:pPr>
              <w:jc w:val="center"/>
              <w:rPr>
                <w:rFonts w:ascii="Arial" w:hAnsi="Arial" w:cs="Arial"/>
                <w:sz w:val="20"/>
                <w:szCs w:val="20"/>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6F7C34A8" w14:textId="77777777" w:rsidR="0081746E" w:rsidRPr="00844758" w:rsidRDefault="0081746E" w:rsidP="0016598B">
            <w:pPr>
              <w:jc w:val="center"/>
              <w:rPr>
                <w:rFonts w:ascii="Arial" w:hAnsi="Arial" w:cs="Arial"/>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0AFCFEA8" w14:textId="77777777" w:rsidR="0081746E" w:rsidRPr="00844758" w:rsidRDefault="0081746E" w:rsidP="0016598B">
            <w:pPr>
              <w:jc w:val="center"/>
              <w:rPr>
                <w:rFonts w:ascii="Arial" w:hAnsi="Arial" w:cs="Arial"/>
                <w:bCs/>
                <w:sz w:val="20"/>
                <w:szCs w:val="20"/>
              </w:rPr>
            </w:pPr>
          </w:p>
        </w:tc>
      </w:tr>
      <w:tr w:rsidR="0081746E" w:rsidRPr="00844758" w14:paraId="1B48FD99" w14:textId="77777777" w:rsidTr="008F525F">
        <w:trPr>
          <w:trHeight w:val="315"/>
        </w:trPr>
        <w:tc>
          <w:tcPr>
            <w:tcW w:w="9248" w:type="dxa"/>
            <w:tcBorders>
              <w:top w:val="nil"/>
              <w:left w:val="nil"/>
              <w:bottom w:val="nil"/>
              <w:right w:val="single" w:sz="4" w:space="0" w:color="auto"/>
            </w:tcBorders>
            <w:shd w:val="clear" w:color="auto" w:fill="auto"/>
            <w:noWrap/>
            <w:vAlign w:val="bottom"/>
          </w:tcPr>
          <w:p w14:paraId="7FD0ABF7" w14:textId="77777777" w:rsidR="0081746E" w:rsidRPr="00844758" w:rsidRDefault="0081746E" w:rsidP="0081746E">
            <w:pPr>
              <w:pStyle w:val="ListParagraph"/>
              <w:numPr>
                <w:ilvl w:val="2"/>
                <w:numId w:val="22"/>
              </w:numPr>
              <w:contextualSpacing w:val="0"/>
              <w:rPr>
                <w:rFonts w:ascii="Arial" w:hAnsi="Arial" w:cs="Arial"/>
              </w:rPr>
            </w:pPr>
            <w:r w:rsidRPr="009C05CA">
              <w:rPr>
                <w:rFonts w:ascii="Arial" w:hAnsi="Arial" w:cs="Arial"/>
              </w:rPr>
              <w:t>Other investment assets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622961"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67DA3172"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38A7DFFF" w14:textId="77777777" w:rsidR="0081746E" w:rsidRPr="00844758" w:rsidRDefault="0081746E" w:rsidP="0016598B">
            <w:pPr>
              <w:jc w:val="center"/>
              <w:rPr>
                <w:rFonts w:ascii="Arial" w:hAnsi="Arial" w:cs="Arial"/>
                <w:bCs/>
                <w:sz w:val="20"/>
                <w:szCs w:val="20"/>
              </w:rPr>
            </w:pPr>
          </w:p>
        </w:tc>
      </w:tr>
      <w:tr w:rsidR="0081746E" w:rsidRPr="00844758" w14:paraId="6C984457" w14:textId="77777777" w:rsidTr="008F525F">
        <w:trPr>
          <w:trHeight w:val="315"/>
        </w:trPr>
        <w:tc>
          <w:tcPr>
            <w:tcW w:w="9248" w:type="dxa"/>
            <w:tcBorders>
              <w:top w:val="nil"/>
              <w:left w:val="nil"/>
              <w:bottom w:val="nil"/>
              <w:right w:val="single" w:sz="4" w:space="0" w:color="auto"/>
            </w:tcBorders>
            <w:shd w:val="clear" w:color="auto" w:fill="auto"/>
            <w:noWrap/>
            <w:vAlign w:val="bottom"/>
          </w:tcPr>
          <w:p w14:paraId="5A35A6C1" w14:textId="77777777" w:rsidR="0081746E" w:rsidRPr="00844758" w:rsidRDefault="0081746E" w:rsidP="0081746E">
            <w:pPr>
              <w:pStyle w:val="ListParagraph"/>
              <w:numPr>
                <w:ilvl w:val="2"/>
                <w:numId w:val="22"/>
              </w:numPr>
              <w:contextualSpacing w:val="0"/>
              <w:rPr>
                <w:rFonts w:ascii="Arial" w:hAnsi="Arial" w:cs="Arial"/>
                <w:b/>
              </w:rPr>
            </w:pPr>
            <w:r w:rsidRPr="009C05CA">
              <w:rPr>
                <w:rFonts w:ascii="Arial" w:hAnsi="Arial" w:cs="Arial"/>
                <w:b/>
              </w:rPr>
              <w:t>Total investment income (excluding capital gains or losses)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B2197" w14:textId="77777777" w:rsidR="0081746E" w:rsidRPr="00844758" w:rsidRDefault="0081746E" w:rsidP="0016598B">
            <w:pPr>
              <w:jc w:val="center"/>
              <w:rPr>
                <w:rFonts w:ascii="Arial" w:hAnsi="Arial" w:cs="Arial"/>
                <w:sz w:val="20"/>
                <w:szCs w:val="20"/>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785471C6" w14:textId="77777777" w:rsidR="0081746E" w:rsidRPr="00844758" w:rsidRDefault="0081746E" w:rsidP="0016598B">
            <w:pPr>
              <w:jc w:val="center"/>
              <w:rPr>
                <w:rFonts w:ascii="Arial" w:hAnsi="Arial" w:cs="Arial"/>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5A9DA38D" w14:textId="77777777" w:rsidR="0081746E" w:rsidRPr="00844758" w:rsidRDefault="0081746E" w:rsidP="0016598B">
            <w:pPr>
              <w:jc w:val="center"/>
              <w:rPr>
                <w:rFonts w:ascii="Arial" w:hAnsi="Arial" w:cs="Arial"/>
                <w:bCs/>
                <w:sz w:val="20"/>
                <w:szCs w:val="20"/>
              </w:rPr>
            </w:pPr>
          </w:p>
        </w:tc>
      </w:tr>
      <w:tr w:rsidR="0081746E" w:rsidRPr="00844758" w14:paraId="0EB5C03D" w14:textId="77777777" w:rsidTr="008F525F">
        <w:trPr>
          <w:trHeight w:val="315"/>
        </w:trPr>
        <w:tc>
          <w:tcPr>
            <w:tcW w:w="9248" w:type="dxa"/>
            <w:tcBorders>
              <w:top w:val="nil"/>
              <w:left w:val="nil"/>
              <w:bottom w:val="nil"/>
            </w:tcBorders>
            <w:shd w:val="clear" w:color="auto" w:fill="auto"/>
            <w:noWrap/>
            <w:vAlign w:val="bottom"/>
            <w:hideMark/>
          </w:tcPr>
          <w:p w14:paraId="2882C1EE" w14:textId="77777777" w:rsidR="0081746E" w:rsidRPr="009C05CA" w:rsidRDefault="0081746E" w:rsidP="0016598B">
            <w:pPr>
              <w:pStyle w:val="ListParagraph"/>
              <w:ind w:left="0"/>
              <w:rPr>
                <w:rFonts w:ascii="Arial" w:hAnsi="Arial" w:cs="Arial"/>
                <w:b/>
                <w:bCs/>
              </w:rPr>
            </w:pPr>
          </w:p>
          <w:p w14:paraId="3B5698E9" w14:textId="77777777" w:rsidR="0081746E" w:rsidRPr="00844758" w:rsidRDefault="0081746E" w:rsidP="0081746E">
            <w:pPr>
              <w:pStyle w:val="ListParagraph"/>
              <w:numPr>
                <w:ilvl w:val="1"/>
                <w:numId w:val="22"/>
              </w:numPr>
              <w:ind w:left="392"/>
              <w:contextualSpacing w:val="0"/>
              <w:rPr>
                <w:rFonts w:ascii="Arial" w:hAnsi="Arial" w:cs="Arial"/>
                <w:b/>
                <w:bCs/>
              </w:rPr>
            </w:pPr>
            <w:r w:rsidRPr="00844758">
              <w:rPr>
                <w:rFonts w:ascii="Arial" w:hAnsi="Arial" w:cs="Arial"/>
                <w:b/>
                <w:bCs/>
              </w:rPr>
              <w:t>Realised and unrealised capital gains (or losses) from</w:t>
            </w:r>
          </w:p>
        </w:tc>
        <w:tc>
          <w:tcPr>
            <w:tcW w:w="1523" w:type="dxa"/>
            <w:tcBorders>
              <w:top w:val="nil"/>
              <w:bottom w:val="single" w:sz="4" w:space="0" w:color="auto"/>
            </w:tcBorders>
            <w:shd w:val="clear" w:color="auto" w:fill="auto"/>
            <w:noWrap/>
            <w:vAlign w:val="bottom"/>
          </w:tcPr>
          <w:p w14:paraId="0434E722" w14:textId="77777777" w:rsidR="0081746E" w:rsidRPr="00844758" w:rsidRDefault="0081746E" w:rsidP="0016598B">
            <w:pPr>
              <w:jc w:val="center"/>
              <w:rPr>
                <w:rFonts w:ascii="Arial" w:hAnsi="Arial" w:cs="Arial"/>
                <w:sz w:val="20"/>
                <w:szCs w:val="20"/>
              </w:rPr>
            </w:pPr>
          </w:p>
        </w:tc>
        <w:tc>
          <w:tcPr>
            <w:tcW w:w="1524" w:type="dxa"/>
            <w:tcBorders>
              <w:top w:val="nil"/>
              <w:bottom w:val="single" w:sz="4" w:space="0" w:color="auto"/>
            </w:tcBorders>
            <w:shd w:val="clear" w:color="auto" w:fill="auto"/>
            <w:noWrap/>
            <w:vAlign w:val="bottom"/>
          </w:tcPr>
          <w:p w14:paraId="7C93B793" w14:textId="77777777" w:rsidR="0081746E" w:rsidRPr="00844758" w:rsidRDefault="0081746E" w:rsidP="0016598B">
            <w:pPr>
              <w:jc w:val="center"/>
              <w:rPr>
                <w:rFonts w:ascii="Arial" w:hAnsi="Arial" w:cs="Arial"/>
                <w:sz w:val="20"/>
                <w:szCs w:val="20"/>
              </w:rPr>
            </w:pPr>
          </w:p>
        </w:tc>
        <w:tc>
          <w:tcPr>
            <w:tcW w:w="1524" w:type="dxa"/>
            <w:tcBorders>
              <w:top w:val="nil"/>
              <w:bottom w:val="single" w:sz="4" w:space="0" w:color="auto"/>
            </w:tcBorders>
            <w:shd w:val="clear" w:color="auto" w:fill="auto"/>
            <w:noWrap/>
            <w:vAlign w:val="bottom"/>
          </w:tcPr>
          <w:p w14:paraId="49F67365" w14:textId="77777777" w:rsidR="0081746E" w:rsidRPr="00844758" w:rsidRDefault="0081746E" w:rsidP="0016598B">
            <w:pPr>
              <w:jc w:val="center"/>
              <w:rPr>
                <w:rFonts w:ascii="Arial" w:hAnsi="Arial" w:cs="Arial"/>
                <w:sz w:val="20"/>
                <w:szCs w:val="20"/>
              </w:rPr>
            </w:pPr>
          </w:p>
        </w:tc>
      </w:tr>
      <w:tr w:rsidR="0081746E" w:rsidRPr="00844758" w14:paraId="625CC3EB" w14:textId="77777777" w:rsidTr="008F525F">
        <w:trPr>
          <w:trHeight w:val="315"/>
        </w:trPr>
        <w:tc>
          <w:tcPr>
            <w:tcW w:w="9248" w:type="dxa"/>
            <w:tcBorders>
              <w:top w:val="nil"/>
              <w:left w:val="nil"/>
              <w:bottom w:val="nil"/>
              <w:right w:val="nil"/>
            </w:tcBorders>
            <w:shd w:val="clear" w:color="auto" w:fill="auto"/>
            <w:noWrap/>
            <w:vAlign w:val="bottom"/>
            <w:hideMark/>
          </w:tcPr>
          <w:p w14:paraId="6D9C8FC4" w14:textId="77777777" w:rsidR="0081746E" w:rsidRPr="00844758" w:rsidRDefault="0081746E" w:rsidP="0081746E">
            <w:pPr>
              <w:pStyle w:val="ListParagraph"/>
              <w:numPr>
                <w:ilvl w:val="2"/>
                <w:numId w:val="22"/>
              </w:numPr>
              <w:contextualSpacing w:val="0"/>
              <w:rPr>
                <w:rFonts w:ascii="Arial" w:hAnsi="Arial" w:cs="Arial"/>
                <w:bCs/>
              </w:rPr>
            </w:pPr>
            <w:r w:rsidRPr="009C05CA">
              <w:rPr>
                <w:rFonts w:ascii="Arial" w:hAnsi="Arial" w:cs="Arial"/>
                <w:bCs/>
              </w:rPr>
              <w:t>Investment property</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44778" w14:textId="77777777" w:rsidR="0081746E" w:rsidRPr="00844758" w:rsidRDefault="0081746E" w:rsidP="0016598B">
            <w:pPr>
              <w:jc w:val="center"/>
              <w:rPr>
                <w:rFonts w:ascii="Arial" w:hAnsi="Arial" w:cs="Arial"/>
                <w:sz w:val="20"/>
                <w:szCs w:val="20"/>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1876846A" w14:textId="77777777" w:rsidR="0081746E" w:rsidRPr="00844758" w:rsidRDefault="0081746E" w:rsidP="0016598B">
            <w:pPr>
              <w:jc w:val="center"/>
              <w:rPr>
                <w:rFonts w:ascii="Arial" w:hAnsi="Arial" w:cs="Arial"/>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15C2845E" w14:textId="77777777" w:rsidR="0081746E" w:rsidRPr="00844758" w:rsidRDefault="0081746E" w:rsidP="0016598B">
            <w:pPr>
              <w:jc w:val="center"/>
              <w:rPr>
                <w:rFonts w:ascii="Arial" w:hAnsi="Arial" w:cs="Arial"/>
                <w:bCs/>
                <w:sz w:val="20"/>
                <w:szCs w:val="20"/>
              </w:rPr>
            </w:pPr>
          </w:p>
        </w:tc>
      </w:tr>
      <w:tr w:rsidR="0081746E" w:rsidRPr="00844758" w14:paraId="4CC6F645" w14:textId="77777777" w:rsidTr="008F525F">
        <w:trPr>
          <w:trHeight w:val="315"/>
        </w:trPr>
        <w:tc>
          <w:tcPr>
            <w:tcW w:w="9248" w:type="dxa"/>
            <w:tcBorders>
              <w:top w:val="nil"/>
              <w:left w:val="nil"/>
              <w:bottom w:val="nil"/>
              <w:right w:val="nil"/>
            </w:tcBorders>
            <w:shd w:val="clear" w:color="auto" w:fill="auto"/>
            <w:noWrap/>
            <w:vAlign w:val="bottom"/>
          </w:tcPr>
          <w:p w14:paraId="1BD4E9F0" w14:textId="77777777" w:rsidR="0081746E" w:rsidRPr="00844758" w:rsidRDefault="0081746E" w:rsidP="0081746E">
            <w:pPr>
              <w:pStyle w:val="ListParagraph"/>
              <w:numPr>
                <w:ilvl w:val="2"/>
                <w:numId w:val="22"/>
              </w:numPr>
              <w:contextualSpacing w:val="0"/>
              <w:rPr>
                <w:rFonts w:ascii="Arial" w:hAnsi="Arial" w:cs="Arial"/>
                <w:bCs/>
              </w:rPr>
            </w:pPr>
            <w:r w:rsidRPr="009C05CA">
              <w:rPr>
                <w:rFonts w:ascii="Arial" w:hAnsi="Arial" w:cs="Arial"/>
                <w:bCs/>
              </w:rPr>
              <w:t xml:space="preserve">Equity </w:t>
            </w:r>
            <w:r w:rsidRPr="00844758">
              <w:rPr>
                <w:rFonts w:ascii="Arial" w:hAnsi="Arial" w:cs="Arial"/>
                <w:bCs/>
              </w:rPr>
              <w:t>securities</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521F4E50"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160C40C3"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6F1D2951" w14:textId="77777777" w:rsidR="0081746E" w:rsidRPr="00844758" w:rsidRDefault="0081746E" w:rsidP="0016598B">
            <w:pPr>
              <w:jc w:val="center"/>
              <w:rPr>
                <w:rFonts w:ascii="Arial" w:hAnsi="Arial" w:cs="Arial"/>
                <w:bCs/>
                <w:sz w:val="20"/>
                <w:szCs w:val="20"/>
              </w:rPr>
            </w:pPr>
          </w:p>
        </w:tc>
      </w:tr>
      <w:tr w:rsidR="0081746E" w:rsidRPr="00844758" w14:paraId="1DC6D4B8" w14:textId="77777777" w:rsidTr="008F525F">
        <w:trPr>
          <w:trHeight w:val="315"/>
        </w:trPr>
        <w:tc>
          <w:tcPr>
            <w:tcW w:w="9248" w:type="dxa"/>
            <w:tcBorders>
              <w:top w:val="nil"/>
              <w:left w:val="nil"/>
              <w:bottom w:val="nil"/>
              <w:right w:val="nil"/>
            </w:tcBorders>
            <w:shd w:val="clear" w:color="auto" w:fill="auto"/>
            <w:noWrap/>
            <w:vAlign w:val="bottom"/>
          </w:tcPr>
          <w:p w14:paraId="07E29A00" w14:textId="77777777" w:rsidR="0081746E" w:rsidRPr="00844758" w:rsidRDefault="0081746E" w:rsidP="0081746E">
            <w:pPr>
              <w:pStyle w:val="ListParagraph"/>
              <w:numPr>
                <w:ilvl w:val="2"/>
                <w:numId w:val="22"/>
              </w:numPr>
              <w:contextualSpacing w:val="0"/>
              <w:rPr>
                <w:rFonts w:ascii="Arial" w:hAnsi="Arial" w:cs="Arial"/>
                <w:bCs/>
              </w:rPr>
            </w:pPr>
            <w:r w:rsidRPr="009C05CA">
              <w:rPr>
                <w:rFonts w:ascii="Arial" w:hAnsi="Arial" w:cs="Arial"/>
                <w:bCs/>
              </w:rPr>
              <w:t>Debt securities</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1B3A98D1"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320540D9" w14:textId="77777777" w:rsidR="0081746E" w:rsidRPr="00844758" w:rsidRDefault="0081746E" w:rsidP="0016598B">
            <w:pPr>
              <w:jc w:val="center"/>
              <w:rPr>
                <w:rFonts w:ascii="Arial" w:hAnsi="Arial" w:cs="Arial"/>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0E95A425" w14:textId="77777777" w:rsidR="0081746E" w:rsidRPr="00844758" w:rsidRDefault="0081746E" w:rsidP="0016598B">
            <w:pPr>
              <w:jc w:val="center"/>
              <w:rPr>
                <w:rFonts w:ascii="Arial" w:hAnsi="Arial" w:cs="Arial"/>
                <w:bCs/>
                <w:sz w:val="20"/>
                <w:szCs w:val="20"/>
              </w:rPr>
            </w:pPr>
          </w:p>
        </w:tc>
      </w:tr>
      <w:tr w:rsidR="0081746E" w:rsidRPr="00844758" w14:paraId="2FE87C36" w14:textId="77777777" w:rsidTr="008F525F">
        <w:trPr>
          <w:trHeight w:val="315"/>
        </w:trPr>
        <w:tc>
          <w:tcPr>
            <w:tcW w:w="9248" w:type="dxa"/>
            <w:tcBorders>
              <w:top w:val="nil"/>
              <w:left w:val="nil"/>
              <w:bottom w:val="nil"/>
              <w:right w:val="nil"/>
            </w:tcBorders>
            <w:shd w:val="clear" w:color="auto" w:fill="auto"/>
            <w:noWrap/>
            <w:vAlign w:val="bottom"/>
          </w:tcPr>
          <w:p w14:paraId="6FDB4FF0" w14:textId="77777777" w:rsidR="0081746E" w:rsidRPr="00844758" w:rsidRDefault="0081746E" w:rsidP="0081746E">
            <w:pPr>
              <w:pStyle w:val="ListParagraph"/>
              <w:numPr>
                <w:ilvl w:val="2"/>
                <w:numId w:val="22"/>
              </w:numPr>
              <w:contextualSpacing w:val="0"/>
              <w:rPr>
                <w:rFonts w:ascii="Arial" w:hAnsi="Arial" w:cs="Arial"/>
                <w:bCs/>
              </w:rPr>
            </w:pPr>
            <w:r w:rsidRPr="009C05CA">
              <w:rPr>
                <w:rFonts w:ascii="Arial" w:hAnsi="Arial" w:cs="Arial"/>
                <w:bCs/>
              </w:rPr>
              <w:t>Other investment assets</w:t>
            </w:r>
          </w:p>
        </w:tc>
        <w:tc>
          <w:tcPr>
            <w:tcW w:w="1523" w:type="dxa"/>
            <w:tcBorders>
              <w:top w:val="nil"/>
              <w:left w:val="single" w:sz="4" w:space="0" w:color="auto"/>
              <w:bottom w:val="single" w:sz="4" w:space="0" w:color="auto"/>
              <w:right w:val="single" w:sz="4" w:space="0" w:color="auto"/>
            </w:tcBorders>
            <w:shd w:val="clear" w:color="auto" w:fill="A6A6A6"/>
            <w:noWrap/>
            <w:vAlign w:val="bottom"/>
          </w:tcPr>
          <w:p w14:paraId="4B9693C3" w14:textId="77777777" w:rsidR="0081746E" w:rsidRPr="00844758" w:rsidRDefault="0081746E" w:rsidP="0016598B">
            <w:pPr>
              <w:jc w:val="center"/>
              <w:rPr>
                <w:rFonts w:ascii="Arial" w:hAnsi="Arial" w:cs="Arial"/>
                <w:bCs/>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6AAF7721" w14:textId="77777777" w:rsidR="0081746E" w:rsidRPr="00844758" w:rsidRDefault="0081746E" w:rsidP="0016598B">
            <w:pPr>
              <w:jc w:val="center"/>
              <w:rPr>
                <w:rFonts w:ascii="Arial" w:hAnsi="Arial" w:cs="Arial"/>
                <w:bCs/>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687A1E47" w14:textId="77777777" w:rsidR="0081746E" w:rsidRPr="00844758" w:rsidRDefault="0081746E" w:rsidP="0016598B">
            <w:pPr>
              <w:jc w:val="center"/>
              <w:rPr>
                <w:rFonts w:ascii="Arial" w:hAnsi="Arial" w:cs="Arial"/>
                <w:bCs/>
                <w:sz w:val="20"/>
                <w:szCs w:val="20"/>
              </w:rPr>
            </w:pPr>
          </w:p>
        </w:tc>
      </w:tr>
      <w:tr w:rsidR="0081746E" w:rsidRPr="00844758" w14:paraId="7DCCE34A" w14:textId="77777777" w:rsidTr="008F525F">
        <w:trPr>
          <w:trHeight w:val="315"/>
        </w:trPr>
        <w:tc>
          <w:tcPr>
            <w:tcW w:w="9248" w:type="dxa"/>
            <w:tcBorders>
              <w:top w:val="nil"/>
              <w:left w:val="nil"/>
              <w:bottom w:val="nil"/>
              <w:right w:val="nil"/>
            </w:tcBorders>
            <w:shd w:val="clear" w:color="auto" w:fill="auto"/>
            <w:noWrap/>
            <w:vAlign w:val="bottom"/>
          </w:tcPr>
          <w:p w14:paraId="04F1E51C" w14:textId="77777777" w:rsidR="0081746E" w:rsidRPr="00844758" w:rsidRDefault="0081746E" w:rsidP="0081746E">
            <w:pPr>
              <w:pStyle w:val="ListParagraph"/>
              <w:numPr>
                <w:ilvl w:val="2"/>
                <w:numId w:val="22"/>
              </w:numPr>
              <w:contextualSpacing w:val="0"/>
              <w:rPr>
                <w:rFonts w:ascii="Arial" w:hAnsi="Arial" w:cs="Arial"/>
                <w:b/>
                <w:bCs/>
              </w:rPr>
            </w:pPr>
            <w:r w:rsidRPr="009C05CA">
              <w:rPr>
                <w:rFonts w:ascii="Arial" w:hAnsi="Arial" w:cs="Arial"/>
                <w:b/>
                <w:bCs/>
              </w:rPr>
              <w:t>Total realised and unrealised capital gains (or losses)</w:t>
            </w:r>
          </w:p>
        </w:tc>
        <w:tc>
          <w:tcPr>
            <w:tcW w:w="1523" w:type="dxa"/>
            <w:tcBorders>
              <w:top w:val="nil"/>
              <w:left w:val="single" w:sz="4" w:space="0" w:color="auto"/>
              <w:bottom w:val="single" w:sz="4" w:space="0" w:color="auto"/>
              <w:right w:val="single" w:sz="4" w:space="0" w:color="auto"/>
            </w:tcBorders>
            <w:shd w:val="clear" w:color="auto" w:fill="auto"/>
            <w:noWrap/>
            <w:vAlign w:val="bottom"/>
          </w:tcPr>
          <w:p w14:paraId="4EEF0D35" w14:textId="77777777" w:rsidR="0081746E" w:rsidRPr="00844758" w:rsidRDefault="0081746E" w:rsidP="0016598B">
            <w:pPr>
              <w:jc w:val="center"/>
              <w:rPr>
                <w:rFonts w:ascii="Arial" w:hAnsi="Arial" w:cs="Arial"/>
                <w:bCs/>
                <w:sz w:val="20"/>
                <w:szCs w:val="20"/>
              </w:rPr>
            </w:pPr>
          </w:p>
        </w:tc>
        <w:tc>
          <w:tcPr>
            <w:tcW w:w="1524" w:type="dxa"/>
            <w:tcBorders>
              <w:top w:val="nil"/>
              <w:left w:val="nil"/>
              <w:bottom w:val="single" w:sz="4" w:space="0" w:color="auto"/>
              <w:right w:val="single" w:sz="4" w:space="0" w:color="auto"/>
            </w:tcBorders>
            <w:shd w:val="clear" w:color="auto" w:fill="auto"/>
            <w:noWrap/>
            <w:vAlign w:val="bottom"/>
          </w:tcPr>
          <w:p w14:paraId="43DA8046" w14:textId="77777777" w:rsidR="0081746E" w:rsidRPr="00844758" w:rsidRDefault="0081746E" w:rsidP="0016598B">
            <w:pPr>
              <w:jc w:val="center"/>
              <w:rPr>
                <w:rFonts w:ascii="Arial" w:hAnsi="Arial" w:cs="Arial"/>
                <w:bCs/>
                <w:sz w:val="20"/>
                <w:szCs w:val="20"/>
              </w:rPr>
            </w:pPr>
          </w:p>
        </w:tc>
        <w:tc>
          <w:tcPr>
            <w:tcW w:w="1524" w:type="dxa"/>
            <w:tcBorders>
              <w:top w:val="nil"/>
              <w:left w:val="nil"/>
              <w:bottom w:val="single" w:sz="4" w:space="0" w:color="auto"/>
              <w:right w:val="single" w:sz="4" w:space="0" w:color="auto"/>
            </w:tcBorders>
            <w:shd w:val="clear" w:color="auto" w:fill="A6A6A6"/>
            <w:noWrap/>
            <w:vAlign w:val="bottom"/>
          </w:tcPr>
          <w:p w14:paraId="3077C4FD" w14:textId="77777777" w:rsidR="0081746E" w:rsidRPr="00844758" w:rsidRDefault="0081746E" w:rsidP="0016598B">
            <w:pPr>
              <w:jc w:val="center"/>
              <w:rPr>
                <w:rFonts w:ascii="Arial" w:hAnsi="Arial" w:cs="Arial"/>
                <w:bCs/>
                <w:sz w:val="20"/>
                <w:szCs w:val="20"/>
              </w:rPr>
            </w:pPr>
          </w:p>
        </w:tc>
      </w:tr>
      <w:tr w:rsidR="0081746E" w:rsidRPr="00844758" w14:paraId="4CCD4880" w14:textId="77777777" w:rsidTr="008F525F">
        <w:trPr>
          <w:trHeight w:val="315"/>
        </w:trPr>
        <w:tc>
          <w:tcPr>
            <w:tcW w:w="9248" w:type="dxa"/>
            <w:tcBorders>
              <w:top w:val="nil"/>
              <w:left w:val="nil"/>
              <w:bottom w:val="nil"/>
            </w:tcBorders>
            <w:shd w:val="clear" w:color="auto" w:fill="auto"/>
            <w:noWrap/>
            <w:vAlign w:val="bottom"/>
          </w:tcPr>
          <w:p w14:paraId="383895BB" w14:textId="77777777" w:rsidR="0081746E" w:rsidRPr="009C05CA" w:rsidRDefault="0081746E" w:rsidP="0016598B">
            <w:pPr>
              <w:pStyle w:val="ListParagraph"/>
              <w:ind w:left="392"/>
              <w:rPr>
                <w:rFonts w:ascii="Arial" w:hAnsi="Arial" w:cs="Arial"/>
                <w:b/>
                <w:bCs/>
              </w:rPr>
            </w:pPr>
          </w:p>
        </w:tc>
        <w:tc>
          <w:tcPr>
            <w:tcW w:w="1523" w:type="dxa"/>
            <w:tcBorders>
              <w:top w:val="single" w:sz="4" w:space="0" w:color="auto"/>
              <w:bottom w:val="single" w:sz="4" w:space="0" w:color="auto"/>
            </w:tcBorders>
            <w:shd w:val="clear" w:color="auto" w:fill="auto"/>
            <w:noWrap/>
            <w:vAlign w:val="bottom"/>
          </w:tcPr>
          <w:p w14:paraId="6DD4E68C"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bottom w:val="single" w:sz="4" w:space="0" w:color="auto"/>
            </w:tcBorders>
            <w:shd w:val="clear" w:color="auto" w:fill="auto"/>
            <w:noWrap/>
            <w:vAlign w:val="bottom"/>
          </w:tcPr>
          <w:p w14:paraId="1B9D6ADE"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bottom w:val="single" w:sz="4" w:space="0" w:color="auto"/>
            </w:tcBorders>
            <w:shd w:val="clear" w:color="auto" w:fill="auto"/>
            <w:noWrap/>
            <w:vAlign w:val="bottom"/>
          </w:tcPr>
          <w:p w14:paraId="0119909B" w14:textId="77777777" w:rsidR="0081746E" w:rsidRPr="00844758" w:rsidRDefault="0081746E" w:rsidP="0016598B">
            <w:pPr>
              <w:jc w:val="center"/>
              <w:rPr>
                <w:rFonts w:ascii="Arial" w:hAnsi="Arial" w:cs="Arial"/>
                <w:bCs/>
                <w:sz w:val="20"/>
                <w:szCs w:val="20"/>
              </w:rPr>
            </w:pPr>
          </w:p>
        </w:tc>
      </w:tr>
      <w:tr w:rsidR="0081746E" w:rsidRPr="00844758" w14:paraId="105D7CA0" w14:textId="77777777" w:rsidTr="008F525F">
        <w:trPr>
          <w:trHeight w:val="315"/>
        </w:trPr>
        <w:tc>
          <w:tcPr>
            <w:tcW w:w="9248" w:type="dxa"/>
            <w:tcBorders>
              <w:top w:val="nil"/>
              <w:left w:val="nil"/>
              <w:bottom w:val="nil"/>
              <w:right w:val="nil"/>
            </w:tcBorders>
            <w:shd w:val="clear" w:color="auto" w:fill="auto"/>
            <w:noWrap/>
            <w:vAlign w:val="bottom"/>
            <w:hideMark/>
          </w:tcPr>
          <w:p w14:paraId="7A632732" w14:textId="77777777" w:rsidR="0081746E" w:rsidRPr="00844758" w:rsidRDefault="0081746E" w:rsidP="0081746E">
            <w:pPr>
              <w:pStyle w:val="ListParagraph"/>
              <w:numPr>
                <w:ilvl w:val="1"/>
                <w:numId w:val="22"/>
              </w:numPr>
              <w:ind w:left="392"/>
              <w:contextualSpacing w:val="0"/>
              <w:rPr>
                <w:rFonts w:ascii="Arial" w:hAnsi="Arial" w:cs="Arial"/>
                <w:b/>
                <w:bCs/>
              </w:rPr>
            </w:pPr>
            <w:r w:rsidRPr="009C05CA">
              <w:rPr>
                <w:rFonts w:ascii="Arial" w:hAnsi="Arial" w:cs="Arial"/>
                <w:b/>
                <w:bCs/>
              </w:rPr>
              <w:t>Total investment revenue</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E3A685"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607811CF"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795015B3" w14:textId="77777777" w:rsidR="0081746E" w:rsidRPr="00844758" w:rsidRDefault="0081746E" w:rsidP="0016598B">
            <w:pPr>
              <w:jc w:val="center"/>
              <w:rPr>
                <w:rFonts w:ascii="Arial" w:hAnsi="Arial" w:cs="Arial"/>
                <w:bCs/>
                <w:sz w:val="20"/>
                <w:szCs w:val="20"/>
              </w:rPr>
            </w:pPr>
          </w:p>
        </w:tc>
      </w:tr>
      <w:tr w:rsidR="0081746E" w:rsidRPr="00844758" w14:paraId="3040D44C" w14:textId="77777777" w:rsidTr="008F525F">
        <w:trPr>
          <w:trHeight w:val="315"/>
        </w:trPr>
        <w:tc>
          <w:tcPr>
            <w:tcW w:w="9248" w:type="dxa"/>
            <w:tcBorders>
              <w:top w:val="nil"/>
              <w:left w:val="nil"/>
              <w:bottom w:val="nil"/>
            </w:tcBorders>
            <w:shd w:val="clear" w:color="auto" w:fill="auto"/>
            <w:noWrap/>
            <w:vAlign w:val="bottom"/>
          </w:tcPr>
          <w:p w14:paraId="6D82BEB2" w14:textId="77777777" w:rsidR="0081746E" w:rsidRPr="009C05CA" w:rsidRDefault="0081746E" w:rsidP="0016598B">
            <w:pPr>
              <w:pStyle w:val="ListParagraph"/>
              <w:ind w:left="0"/>
              <w:rPr>
                <w:rFonts w:ascii="Arial" w:hAnsi="Arial" w:cs="Arial"/>
                <w:b/>
                <w:bCs/>
              </w:rPr>
            </w:pPr>
          </w:p>
        </w:tc>
        <w:tc>
          <w:tcPr>
            <w:tcW w:w="1523" w:type="dxa"/>
            <w:tcBorders>
              <w:top w:val="single" w:sz="4" w:space="0" w:color="auto"/>
              <w:bottom w:val="single" w:sz="4" w:space="0" w:color="auto"/>
            </w:tcBorders>
            <w:shd w:val="clear" w:color="auto" w:fill="auto"/>
            <w:noWrap/>
            <w:vAlign w:val="bottom"/>
          </w:tcPr>
          <w:p w14:paraId="4BDA91D3"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bottom w:val="single" w:sz="4" w:space="0" w:color="auto"/>
            </w:tcBorders>
            <w:shd w:val="clear" w:color="auto" w:fill="auto"/>
            <w:noWrap/>
            <w:vAlign w:val="bottom"/>
          </w:tcPr>
          <w:p w14:paraId="1B191981"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bottom w:val="single" w:sz="4" w:space="0" w:color="auto"/>
            </w:tcBorders>
            <w:shd w:val="clear" w:color="auto" w:fill="auto"/>
            <w:noWrap/>
            <w:vAlign w:val="bottom"/>
          </w:tcPr>
          <w:p w14:paraId="2CF43924" w14:textId="77777777" w:rsidR="0081746E" w:rsidRPr="00844758" w:rsidRDefault="0081746E" w:rsidP="0016598B">
            <w:pPr>
              <w:jc w:val="center"/>
              <w:rPr>
                <w:rFonts w:ascii="Arial" w:hAnsi="Arial" w:cs="Arial"/>
                <w:bCs/>
                <w:sz w:val="20"/>
                <w:szCs w:val="20"/>
              </w:rPr>
            </w:pPr>
          </w:p>
        </w:tc>
      </w:tr>
      <w:tr w:rsidR="0081746E" w:rsidRPr="00844758" w14:paraId="58CBCEC9" w14:textId="77777777" w:rsidTr="008F525F">
        <w:trPr>
          <w:trHeight w:val="315"/>
        </w:trPr>
        <w:tc>
          <w:tcPr>
            <w:tcW w:w="9248" w:type="dxa"/>
            <w:tcBorders>
              <w:top w:val="nil"/>
              <w:left w:val="nil"/>
              <w:bottom w:val="nil"/>
              <w:right w:val="nil"/>
            </w:tcBorders>
            <w:shd w:val="clear" w:color="auto" w:fill="auto"/>
            <w:noWrap/>
            <w:vAlign w:val="bottom"/>
          </w:tcPr>
          <w:p w14:paraId="421D469E" w14:textId="77777777" w:rsidR="0081746E" w:rsidRPr="00844758" w:rsidRDefault="0081746E" w:rsidP="0081746E">
            <w:pPr>
              <w:pStyle w:val="ListParagraph"/>
              <w:numPr>
                <w:ilvl w:val="0"/>
                <w:numId w:val="22"/>
              </w:numPr>
              <w:contextualSpacing w:val="0"/>
              <w:rPr>
                <w:rFonts w:ascii="Arial" w:hAnsi="Arial" w:cs="Arial"/>
                <w:b/>
                <w:bCs/>
              </w:rPr>
            </w:pPr>
            <w:r w:rsidRPr="009C05CA">
              <w:rPr>
                <w:rFonts w:ascii="Arial" w:hAnsi="Arial" w:cs="Arial"/>
                <w:b/>
                <w:bCs/>
              </w:rPr>
              <w:t>Other revenue</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2B0186"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24E661A0"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353BF8FD" w14:textId="77777777" w:rsidR="0081746E" w:rsidRPr="00844758" w:rsidRDefault="0081746E" w:rsidP="0016598B">
            <w:pPr>
              <w:jc w:val="center"/>
              <w:rPr>
                <w:rFonts w:ascii="Arial" w:hAnsi="Arial" w:cs="Arial"/>
                <w:bCs/>
                <w:sz w:val="20"/>
                <w:szCs w:val="20"/>
              </w:rPr>
            </w:pPr>
          </w:p>
        </w:tc>
      </w:tr>
      <w:tr w:rsidR="0081746E" w:rsidRPr="00844758" w14:paraId="76DC2EF0" w14:textId="77777777" w:rsidTr="008F525F">
        <w:trPr>
          <w:trHeight w:val="315"/>
        </w:trPr>
        <w:tc>
          <w:tcPr>
            <w:tcW w:w="9248" w:type="dxa"/>
            <w:tcBorders>
              <w:top w:val="nil"/>
              <w:left w:val="nil"/>
              <w:bottom w:val="nil"/>
            </w:tcBorders>
            <w:shd w:val="clear" w:color="auto" w:fill="auto"/>
            <w:noWrap/>
            <w:vAlign w:val="bottom"/>
          </w:tcPr>
          <w:p w14:paraId="1DC8DCCC" w14:textId="77777777" w:rsidR="0081746E" w:rsidRPr="009C05CA" w:rsidRDefault="0081746E" w:rsidP="0016598B">
            <w:pPr>
              <w:pStyle w:val="ListParagraph"/>
              <w:ind w:left="0"/>
              <w:rPr>
                <w:rFonts w:ascii="Arial" w:hAnsi="Arial" w:cs="Arial"/>
                <w:b/>
                <w:bCs/>
              </w:rPr>
            </w:pPr>
          </w:p>
        </w:tc>
        <w:tc>
          <w:tcPr>
            <w:tcW w:w="1523" w:type="dxa"/>
            <w:tcBorders>
              <w:top w:val="single" w:sz="4" w:space="0" w:color="auto"/>
              <w:bottom w:val="single" w:sz="4" w:space="0" w:color="auto"/>
            </w:tcBorders>
            <w:shd w:val="clear" w:color="auto" w:fill="auto"/>
            <w:noWrap/>
            <w:vAlign w:val="bottom"/>
          </w:tcPr>
          <w:p w14:paraId="3DCB478A"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bottom w:val="single" w:sz="4" w:space="0" w:color="auto"/>
            </w:tcBorders>
            <w:shd w:val="clear" w:color="auto" w:fill="auto"/>
            <w:noWrap/>
            <w:vAlign w:val="bottom"/>
          </w:tcPr>
          <w:p w14:paraId="3A845346"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bottom w:val="single" w:sz="4" w:space="0" w:color="auto"/>
            </w:tcBorders>
            <w:shd w:val="clear" w:color="auto" w:fill="auto"/>
            <w:noWrap/>
            <w:vAlign w:val="bottom"/>
          </w:tcPr>
          <w:p w14:paraId="017B6B9E" w14:textId="77777777" w:rsidR="0081746E" w:rsidRPr="00844758" w:rsidRDefault="0081746E" w:rsidP="0016598B">
            <w:pPr>
              <w:jc w:val="center"/>
              <w:rPr>
                <w:rFonts w:ascii="Arial" w:hAnsi="Arial" w:cs="Arial"/>
                <w:bCs/>
                <w:sz w:val="20"/>
                <w:szCs w:val="20"/>
              </w:rPr>
            </w:pPr>
          </w:p>
        </w:tc>
      </w:tr>
      <w:tr w:rsidR="0081746E" w:rsidRPr="00844758" w14:paraId="70560F95" w14:textId="77777777" w:rsidTr="008F525F">
        <w:trPr>
          <w:trHeight w:val="315"/>
        </w:trPr>
        <w:tc>
          <w:tcPr>
            <w:tcW w:w="9248" w:type="dxa"/>
            <w:tcBorders>
              <w:top w:val="nil"/>
              <w:left w:val="nil"/>
              <w:bottom w:val="nil"/>
              <w:right w:val="nil"/>
            </w:tcBorders>
            <w:shd w:val="clear" w:color="auto" w:fill="auto"/>
            <w:noWrap/>
            <w:vAlign w:val="bottom"/>
          </w:tcPr>
          <w:p w14:paraId="7801A346" w14:textId="77777777" w:rsidR="0081746E" w:rsidRPr="00844758" w:rsidRDefault="0081746E" w:rsidP="0081746E">
            <w:pPr>
              <w:pStyle w:val="ListParagraph"/>
              <w:numPr>
                <w:ilvl w:val="0"/>
                <w:numId w:val="22"/>
              </w:numPr>
              <w:contextualSpacing w:val="0"/>
              <w:rPr>
                <w:rFonts w:ascii="Arial" w:hAnsi="Arial" w:cs="Arial"/>
                <w:b/>
                <w:bCs/>
              </w:rPr>
            </w:pPr>
            <w:r w:rsidRPr="009C05CA">
              <w:rPr>
                <w:rFonts w:ascii="Arial" w:hAnsi="Arial" w:cs="Arial"/>
                <w:b/>
                <w:bCs/>
              </w:rPr>
              <w:t>Total revenue</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1A3FF"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785D594E" w14:textId="77777777" w:rsidR="0081746E" w:rsidRPr="00844758" w:rsidRDefault="0081746E" w:rsidP="0016598B">
            <w:pPr>
              <w:jc w:val="center"/>
              <w:rPr>
                <w:rFonts w:ascii="Arial" w:hAnsi="Arial" w:cs="Arial"/>
                <w:bCs/>
                <w:sz w:val="20"/>
                <w:szCs w:val="20"/>
              </w:rPr>
            </w:pPr>
          </w:p>
        </w:tc>
        <w:tc>
          <w:tcPr>
            <w:tcW w:w="1524" w:type="dxa"/>
            <w:tcBorders>
              <w:top w:val="single" w:sz="4" w:space="0" w:color="auto"/>
              <w:left w:val="nil"/>
              <w:bottom w:val="single" w:sz="4" w:space="0" w:color="auto"/>
              <w:right w:val="single" w:sz="4" w:space="0" w:color="auto"/>
            </w:tcBorders>
            <w:shd w:val="clear" w:color="auto" w:fill="A6A6A6"/>
            <w:noWrap/>
            <w:vAlign w:val="bottom"/>
          </w:tcPr>
          <w:p w14:paraId="3038064A" w14:textId="77777777" w:rsidR="0081746E" w:rsidRPr="00844758" w:rsidRDefault="0081746E" w:rsidP="0016598B">
            <w:pPr>
              <w:jc w:val="center"/>
              <w:rPr>
                <w:rFonts w:ascii="Arial" w:hAnsi="Arial" w:cs="Arial"/>
                <w:bCs/>
                <w:sz w:val="20"/>
                <w:szCs w:val="20"/>
              </w:rPr>
            </w:pPr>
          </w:p>
        </w:tc>
      </w:tr>
    </w:tbl>
    <w:p w14:paraId="30A0CB01" w14:textId="77777777" w:rsidR="0081746E" w:rsidRPr="00EC29CA" w:rsidRDefault="0081746E" w:rsidP="0081746E">
      <w:pPr>
        <w:rPr>
          <w:rFonts w:ascii="Arial" w:hAnsi="Arial" w:cs="Arial"/>
        </w:rPr>
      </w:pPr>
    </w:p>
    <w:tbl>
      <w:tblPr>
        <w:tblW w:w="8789" w:type="dxa"/>
        <w:tblInd w:w="108" w:type="dxa"/>
        <w:tblLook w:val="04A0" w:firstRow="1" w:lastRow="0" w:firstColumn="1" w:lastColumn="0" w:noHBand="0" w:noVBand="1"/>
      </w:tblPr>
      <w:tblGrid>
        <w:gridCol w:w="8789"/>
      </w:tblGrid>
      <w:tr w:rsidR="0081746E" w:rsidRPr="00EC29CA" w14:paraId="34201441" w14:textId="77777777" w:rsidTr="0016598B">
        <w:tc>
          <w:tcPr>
            <w:tcW w:w="8789" w:type="dxa"/>
          </w:tcPr>
          <w:p w14:paraId="2398B337" w14:textId="77777777" w:rsidR="0081746E" w:rsidRPr="00EC29CA" w:rsidRDefault="0081746E" w:rsidP="0016598B">
            <w:pPr>
              <w:rPr>
                <w:rFonts w:ascii="Arial" w:hAnsi="Arial" w:cs="Arial"/>
              </w:rPr>
            </w:pPr>
            <w:r w:rsidRPr="00EC29CA">
              <w:rPr>
                <w:rFonts w:ascii="Arial" w:hAnsi="Arial" w:cs="Arial"/>
                <w:b/>
                <w:bCs/>
              </w:rPr>
              <w:t>Expenses</w:t>
            </w:r>
          </w:p>
        </w:tc>
      </w:tr>
    </w:tbl>
    <w:p w14:paraId="4DB5E232" w14:textId="77777777" w:rsidR="0081746E" w:rsidRDefault="0081746E" w:rsidP="0081746E"/>
    <w:tbl>
      <w:tblPr>
        <w:tblW w:w="13642" w:type="dxa"/>
        <w:tblInd w:w="108" w:type="dxa"/>
        <w:tblLook w:val="04A0" w:firstRow="1" w:lastRow="0" w:firstColumn="1" w:lastColumn="0" w:noHBand="0" w:noVBand="1"/>
      </w:tblPr>
      <w:tblGrid>
        <w:gridCol w:w="8824"/>
        <w:gridCol w:w="1523"/>
        <w:gridCol w:w="1524"/>
        <w:gridCol w:w="1771"/>
      </w:tblGrid>
      <w:tr w:rsidR="0081746E" w:rsidRPr="00EC29CA" w14:paraId="6CACD4F9" w14:textId="77777777" w:rsidTr="008F525F">
        <w:trPr>
          <w:trHeight w:val="315"/>
        </w:trPr>
        <w:tc>
          <w:tcPr>
            <w:tcW w:w="8824" w:type="dxa"/>
            <w:tcBorders>
              <w:top w:val="nil"/>
              <w:left w:val="nil"/>
              <w:bottom w:val="nil"/>
            </w:tcBorders>
            <w:shd w:val="clear" w:color="auto" w:fill="auto"/>
            <w:noWrap/>
            <w:vAlign w:val="bottom"/>
          </w:tcPr>
          <w:p w14:paraId="55B3772C" w14:textId="77777777" w:rsidR="0081746E" w:rsidRPr="00EC29CA" w:rsidRDefault="0081746E" w:rsidP="0081746E">
            <w:pPr>
              <w:pStyle w:val="ListParagraph"/>
              <w:numPr>
                <w:ilvl w:val="0"/>
                <w:numId w:val="22"/>
              </w:numPr>
              <w:tabs>
                <w:tab w:val="left" w:pos="3328"/>
              </w:tabs>
              <w:contextualSpacing w:val="0"/>
              <w:rPr>
                <w:rFonts w:ascii="Arial" w:hAnsi="Arial" w:cs="Arial"/>
                <w:b/>
                <w:bCs/>
              </w:rPr>
            </w:pPr>
            <w:r>
              <w:rPr>
                <w:rFonts w:ascii="Arial" w:hAnsi="Arial" w:cs="Arial"/>
                <w:b/>
                <w:bCs/>
              </w:rPr>
              <w:t xml:space="preserve"> </w:t>
            </w:r>
            <w:r w:rsidRPr="00EC29CA">
              <w:rPr>
                <w:rFonts w:ascii="Arial" w:hAnsi="Arial" w:cs="Arial"/>
                <w:b/>
                <w:bCs/>
              </w:rPr>
              <w:t xml:space="preserve"> Insurance policy expense</w:t>
            </w:r>
          </w:p>
        </w:tc>
        <w:tc>
          <w:tcPr>
            <w:tcW w:w="1523" w:type="dxa"/>
            <w:tcBorders>
              <w:bottom w:val="single" w:sz="4" w:space="0" w:color="auto"/>
            </w:tcBorders>
            <w:shd w:val="clear" w:color="auto" w:fill="auto"/>
            <w:noWrap/>
            <w:vAlign w:val="bottom"/>
          </w:tcPr>
          <w:p w14:paraId="60EFB91C" w14:textId="77777777" w:rsidR="0081746E" w:rsidRPr="00FA1EF9" w:rsidRDefault="0081746E" w:rsidP="0016598B">
            <w:pPr>
              <w:jc w:val="center"/>
              <w:rPr>
                <w:rFonts w:ascii="Arial" w:hAnsi="Arial" w:cs="Arial"/>
              </w:rPr>
            </w:pPr>
          </w:p>
        </w:tc>
        <w:tc>
          <w:tcPr>
            <w:tcW w:w="1524" w:type="dxa"/>
            <w:tcBorders>
              <w:bottom w:val="single" w:sz="4" w:space="0" w:color="auto"/>
            </w:tcBorders>
            <w:shd w:val="clear" w:color="auto" w:fill="auto"/>
            <w:noWrap/>
            <w:vAlign w:val="bottom"/>
          </w:tcPr>
          <w:p w14:paraId="679D571D" w14:textId="77777777" w:rsidR="0081746E" w:rsidRPr="00FA1EF9" w:rsidRDefault="0081746E" w:rsidP="0016598B">
            <w:pPr>
              <w:jc w:val="center"/>
              <w:rPr>
                <w:rFonts w:ascii="Arial" w:hAnsi="Arial" w:cs="Arial"/>
              </w:rPr>
            </w:pPr>
          </w:p>
        </w:tc>
        <w:tc>
          <w:tcPr>
            <w:tcW w:w="1771" w:type="dxa"/>
            <w:tcBorders>
              <w:bottom w:val="single" w:sz="4" w:space="0" w:color="auto"/>
            </w:tcBorders>
            <w:shd w:val="clear" w:color="auto" w:fill="auto"/>
            <w:noWrap/>
            <w:vAlign w:val="bottom"/>
          </w:tcPr>
          <w:p w14:paraId="1A23DB9D" w14:textId="77777777" w:rsidR="0081746E" w:rsidRPr="00FA1EF9" w:rsidRDefault="0081746E" w:rsidP="0016598B">
            <w:pPr>
              <w:jc w:val="center"/>
              <w:rPr>
                <w:rFonts w:ascii="Arial" w:hAnsi="Arial" w:cs="Arial"/>
                <w:bCs/>
              </w:rPr>
            </w:pPr>
          </w:p>
        </w:tc>
      </w:tr>
      <w:tr w:rsidR="0081746E" w:rsidRPr="00EC29CA" w14:paraId="5FC3042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3D73447A" w14:textId="77777777" w:rsidR="0081746E" w:rsidRPr="00EC29CA" w:rsidRDefault="0081746E" w:rsidP="0081746E">
            <w:pPr>
              <w:pStyle w:val="ListParagraph"/>
              <w:numPr>
                <w:ilvl w:val="1"/>
                <w:numId w:val="22"/>
              </w:numPr>
              <w:ind w:left="392"/>
              <w:contextualSpacing w:val="0"/>
              <w:rPr>
                <w:rFonts w:ascii="Arial" w:hAnsi="Arial" w:cs="Arial"/>
              </w:rPr>
            </w:pPr>
            <w:r w:rsidRPr="00EC29CA">
              <w:rPr>
                <w:rFonts w:ascii="Arial" w:hAnsi="Arial" w:cs="Arial"/>
              </w:rPr>
              <w:t>Death and disability claims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6C514"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3520E"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BFA8FE" w14:textId="77777777" w:rsidR="0081746E" w:rsidRPr="00FA1EF9" w:rsidRDefault="0081746E" w:rsidP="0016598B">
            <w:pPr>
              <w:jc w:val="center"/>
              <w:rPr>
                <w:rFonts w:ascii="Arial" w:hAnsi="Arial" w:cs="Arial"/>
                <w:bCs/>
              </w:rPr>
            </w:pPr>
          </w:p>
        </w:tc>
      </w:tr>
      <w:tr w:rsidR="0081746E" w:rsidRPr="00EC29CA" w14:paraId="43A1422D"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5783D50A" w14:textId="77777777" w:rsidR="0081746E" w:rsidRPr="00EC29CA" w:rsidRDefault="0081746E" w:rsidP="0081746E">
            <w:pPr>
              <w:pStyle w:val="ListParagraph"/>
              <w:numPr>
                <w:ilvl w:val="1"/>
                <w:numId w:val="22"/>
              </w:numPr>
              <w:ind w:left="392"/>
              <w:contextualSpacing w:val="0"/>
              <w:rPr>
                <w:rFonts w:ascii="Arial" w:hAnsi="Arial" w:cs="Arial"/>
              </w:rPr>
            </w:pPr>
            <w:r w:rsidRPr="00EC29CA">
              <w:rPr>
                <w:rFonts w:ascii="Arial" w:hAnsi="Arial" w:cs="Arial"/>
              </w:rPr>
              <w:t>Maturities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0BE4A"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11F09"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706361" w14:textId="77777777" w:rsidR="0081746E" w:rsidRPr="00FA1EF9" w:rsidRDefault="0081746E" w:rsidP="0016598B">
            <w:pPr>
              <w:jc w:val="center"/>
              <w:rPr>
                <w:rFonts w:ascii="Arial" w:hAnsi="Arial" w:cs="Arial"/>
                <w:bCs/>
              </w:rPr>
            </w:pPr>
          </w:p>
        </w:tc>
      </w:tr>
      <w:tr w:rsidR="0081746E" w:rsidRPr="00EC29CA" w14:paraId="0E0DAA5E"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C748C32" w14:textId="77777777" w:rsidR="0081746E" w:rsidRPr="00EC29CA" w:rsidRDefault="0081746E" w:rsidP="0081746E">
            <w:pPr>
              <w:pStyle w:val="ListParagraph"/>
              <w:numPr>
                <w:ilvl w:val="1"/>
                <w:numId w:val="22"/>
              </w:numPr>
              <w:ind w:left="392"/>
              <w:contextualSpacing w:val="0"/>
              <w:rPr>
                <w:rFonts w:ascii="Arial" w:hAnsi="Arial" w:cs="Arial"/>
              </w:rPr>
            </w:pPr>
            <w:r w:rsidRPr="00EC29CA">
              <w:rPr>
                <w:rFonts w:ascii="Arial" w:hAnsi="Arial" w:cs="Arial"/>
              </w:rPr>
              <w:t>Annuities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31775"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7AD4F"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C608651" w14:textId="77777777" w:rsidR="0081746E" w:rsidRPr="00FA1EF9" w:rsidRDefault="0081746E" w:rsidP="0016598B">
            <w:pPr>
              <w:jc w:val="center"/>
              <w:rPr>
                <w:rFonts w:ascii="Arial" w:hAnsi="Arial" w:cs="Arial"/>
                <w:bCs/>
              </w:rPr>
            </w:pPr>
          </w:p>
        </w:tc>
      </w:tr>
      <w:tr w:rsidR="0081746E" w:rsidRPr="00EC29CA" w14:paraId="31365028"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3D4DA2ED" w14:textId="77777777" w:rsidR="0081746E" w:rsidRPr="00EC29CA" w:rsidRDefault="0081746E" w:rsidP="0081746E">
            <w:pPr>
              <w:pStyle w:val="ListParagraph"/>
              <w:numPr>
                <w:ilvl w:val="1"/>
                <w:numId w:val="22"/>
              </w:numPr>
              <w:ind w:left="392"/>
              <w:contextualSpacing w:val="0"/>
              <w:rPr>
                <w:rFonts w:ascii="Arial" w:hAnsi="Arial" w:cs="Arial"/>
              </w:rPr>
            </w:pPr>
            <w:r w:rsidRPr="00EC29CA">
              <w:rPr>
                <w:rFonts w:ascii="Arial" w:hAnsi="Arial" w:cs="Arial"/>
              </w:rPr>
              <w:lastRenderedPageBreak/>
              <w:t>Surrenders and terminations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04293"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6F17E"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5B64C9" w14:textId="77777777" w:rsidR="0081746E" w:rsidRPr="00FA1EF9" w:rsidRDefault="0081746E" w:rsidP="0016598B">
            <w:pPr>
              <w:jc w:val="center"/>
              <w:rPr>
                <w:rFonts w:ascii="Arial" w:hAnsi="Arial" w:cs="Arial"/>
                <w:bCs/>
              </w:rPr>
            </w:pPr>
          </w:p>
        </w:tc>
      </w:tr>
      <w:tr w:rsidR="0081746E" w:rsidRPr="00EC29CA" w14:paraId="582E2CA2"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0BADDFE8" w14:textId="77777777" w:rsidR="0081746E" w:rsidRPr="00EC29CA" w:rsidRDefault="0081746E" w:rsidP="0081746E">
            <w:pPr>
              <w:pStyle w:val="ListParagraph"/>
              <w:numPr>
                <w:ilvl w:val="1"/>
                <w:numId w:val="22"/>
              </w:numPr>
              <w:ind w:left="392"/>
              <w:contextualSpacing w:val="0"/>
              <w:rPr>
                <w:rFonts w:ascii="Arial" w:hAnsi="Arial" w:cs="Arial"/>
              </w:rPr>
            </w:pPr>
            <w:r w:rsidRPr="00EC29CA">
              <w:rPr>
                <w:rFonts w:ascii="Arial" w:hAnsi="Arial" w:cs="Arial"/>
              </w:rPr>
              <w:t>Policy conversions - outwards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384CD"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A64D1"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BA968A" w14:textId="77777777" w:rsidR="0081746E" w:rsidRPr="00FA1EF9" w:rsidRDefault="0081746E" w:rsidP="0016598B">
            <w:pPr>
              <w:jc w:val="center"/>
              <w:rPr>
                <w:rFonts w:ascii="Arial" w:hAnsi="Arial" w:cs="Arial"/>
                <w:bCs/>
              </w:rPr>
            </w:pPr>
          </w:p>
        </w:tc>
      </w:tr>
      <w:tr w:rsidR="0081746E" w:rsidRPr="00EC29CA" w14:paraId="65E4DF65"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E733078"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Other claims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1761D5"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10F422"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728855" w14:textId="77777777" w:rsidR="0081746E" w:rsidRPr="00FA1EF9" w:rsidRDefault="0081746E" w:rsidP="0016598B">
            <w:pPr>
              <w:jc w:val="center"/>
              <w:rPr>
                <w:rFonts w:ascii="Arial" w:hAnsi="Arial" w:cs="Arial"/>
                <w:bCs/>
              </w:rPr>
            </w:pPr>
          </w:p>
        </w:tc>
      </w:tr>
      <w:tr w:rsidR="0081746E" w:rsidRPr="00EC29CA" w14:paraId="7F876632"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85B2094"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Inwards reinsurance claims expense (including current year bonus)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D7D0B"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3006F"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24A2D4" w14:textId="77777777" w:rsidR="0081746E" w:rsidRPr="00FA1EF9" w:rsidRDefault="0081746E" w:rsidP="0016598B">
            <w:pPr>
              <w:jc w:val="center"/>
              <w:rPr>
                <w:rFonts w:ascii="Arial" w:hAnsi="Arial" w:cs="Arial"/>
                <w:bCs/>
              </w:rPr>
            </w:pPr>
          </w:p>
        </w:tc>
      </w:tr>
      <w:tr w:rsidR="0081746E" w:rsidRPr="00EC29CA" w14:paraId="4236E840"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08687B70"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Total non-life policy expense</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42120"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78D42"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430580" w14:textId="77777777" w:rsidR="0081746E" w:rsidRPr="00FA1EF9" w:rsidRDefault="0081746E" w:rsidP="0016598B">
            <w:pPr>
              <w:jc w:val="center"/>
              <w:rPr>
                <w:rFonts w:ascii="Arial" w:hAnsi="Arial" w:cs="Arial"/>
                <w:bCs/>
              </w:rPr>
            </w:pPr>
          </w:p>
        </w:tc>
      </w:tr>
      <w:tr w:rsidR="0081746E" w:rsidRPr="00EC29CA" w14:paraId="095F10EF"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F78B68A"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Outward reinsurance claims revenue</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FBD6C"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2CAA6"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F52A27" w14:textId="77777777" w:rsidR="0081746E" w:rsidRPr="00FA1EF9" w:rsidRDefault="0081746E" w:rsidP="0016598B">
            <w:pPr>
              <w:jc w:val="center"/>
              <w:rPr>
                <w:rFonts w:ascii="Arial" w:hAnsi="Arial" w:cs="Arial"/>
                <w:bCs/>
              </w:rPr>
            </w:pPr>
          </w:p>
        </w:tc>
      </w:tr>
      <w:tr w:rsidR="0081746E" w:rsidRPr="00EC29CA" w14:paraId="4B0234BE"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F19507B" w14:textId="77777777" w:rsidR="0081746E" w:rsidRPr="00F52ACE" w:rsidRDefault="0081746E" w:rsidP="0081746E">
            <w:pPr>
              <w:pStyle w:val="ListParagraph"/>
              <w:numPr>
                <w:ilvl w:val="1"/>
                <w:numId w:val="22"/>
              </w:numPr>
              <w:ind w:left="392"/>
              <w:contextualSpacing w:val="0"/>
              <w:rPr>
                <w:rFonts w:ascii="Arial" w:hAnsi="Arial" w:cs="Arial"/>
                <w:b/>
              </w:rPr>
            </w:pPr>
            <w:r w:rsidRPr="00F52ACE">
              <w:rPr>
                <w:rFonts w:ascii="Arial" w:hAnsi="Arial" w:cs="Arial"/>
                <w:b/>
              </w:rPr>
              <w:t>Total insurance policy expense, net of reinsurance</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1463E"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07DE8"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CB0EC4" w14:textId="77777777" w:rsidR="0081746E" w:rsidRPr="00FA1EF9" w:rsidRDefault="0081746E" w:rsidP="0016598B">
            <w:pPr>
              <w:jc w:val="center"/>
              <w:rPr>
                <w:rFonts w:ascii="Arial" w:hAnsi="Arial" w:cs="Arial"/>
                <w:bCs/>
              </w:rPr>
            </w:pPr>
          </w:p>
        </w:tc>
      </w:tr>
      <w:tr w:rsidR="0081746E" w:rsidRPr="00EC29CA" w14:paraId="40D259E6" w14:textId="77777777" w:rsidTr="008F525F">
        <w:trPr>
          <w:trHeight w:val="315"/>
        </w:trPr>
        <w:tc>
          <w:tcPr>
            <w:tcW w:w="8824" w:type="dxa"/>
            <w:tcBorders>
              <w:top w:val="nil"/>
              <w:left w:val="nil"/>
              <w:bottom w:val="nil"/>
            </w:tcBorders>
            <w:shd w:val="clear" w:color="auto" w:fill="auto"/>
            <w:noWrap/>
            <w:vAlign w:val="bottom"/>
          </w:tcPr>
          <w:p w14:paraId="2EAE3810" w14:textId="77777777" w:rsidR="0081746E" w:rsidRPr="00EC29CA" w:rsidRDefault="0081746E" w:rsidP="0016598B">
            <w:pPr>
              <w:pStyle w:val="ListParagraph"/>
              <w:tabs>
                <w:tab w:val="left" w:pos="3328"/>
              </w:tabs>
              <w:ind w:left="0"/>
              <w:rPr>
                <w:rFonts w:ascii="Arial" w:hAnsi="Arial" w:cs="Arial"/>
                <w:b/>
                <w:bCs/>
              </w:rPr>
            </w:pPr>
          </w:p>
        </w:tc>
        <w:tc>
          <w:tcPr>
            <w:tcW w:w="1523" w:type="dxa"/>
            <w:tcBorders>
              <w:top w:val="single" w:sz="4" w:space="0" w:color="auto"/>
            </w:tcBorders>
            <w:shd w:val="clear" w:color="auto" w:fill="auto"/>
            <w:noWrap/>
            <w:vAlign w:val="bottom"/>
          </w:tcPr>
          <w:p w14:paraId="6CA98BE3" w14:textId="77777777" w:rsidR="0081746E" w:rsidRPr="00FA1EF9" w:rsidRDefault="0081746E" w:rsidP="0016598B">
            <w:pPr>
              <w:jc w:val="center"/>
              <w:rPr>
                <w:rFonts w:ascii="Arial" w:hAnsi="Arial" w:cs="Arial"/>
              </w:rPr>
            </w:pPr>
          </w:p>
        </w:tc>
        <w:tc>
          <w:tcPr>
            <w:tcW w:w="1524" w:type="dxa"/>
            <w:tcBorders>
              <w:top w:val="single" w:sz="4" w:space="0" w:color="auto"/>
            </w:tcBorders>
            <w:shd w:val="clear" w:color="auto" w:fill="auto"/>
            <w:noWrap/>
            <w:vAlign w:val="bottom"/>
          </w:tcPr>
          <w:p w14:paraId="3F6867A5" w14:textId="77777777" w:rsidR="0081746E" w:rsidRPr="00FA1EF9" w:rsidRDefault="0081746E" w:rsidP="0016598B">
            <w:pPr>
              <w:jc w:val="center"/>
              <w:rPr>
                <w:rFonts w:ascii="Arial" w:hAnsi="Arial" w:cs="Arial"/>
              </w:rPr>
            </w:pPr>
          </w:p>
        </w:tc>
        <w:tc>
          <w:tcPr>
            <w:tcW w:w="1771" w:type="dxa"/>
            <w:tcBorders>
              <w:top w:val="single" w:sz="4" w:space="0" w:color="auto"/>
            </w:tcBorders>
            <w:shd w:val="clear" w:color="auto" w:fill="auto"/>
            <w:noWrap/>
            <w:vAlign w:val="bottom"/>
          </w:tcPr>
          <w:p w14:paraId="235CF93D" w14:textId="77777777" w:rsidR="0081746E" w:rsidRPr="00FA1EF9" w:rsidRDefault="0081746E" w:rsidP="0016598B">
            <w:pPr>
              <w:jc w:val="center"/>
              <w:rPr>
                <w:rFonts w:ascii="Arial" w:hAnsi="Arial" w:cs="Arial"/>
                <w:b/>
                <w:bCs/>
              </w:rPr>
            </w:pPr>
          </w:p>
        </w:tc>
      </w:tr>
      <w:tr w:rsidR="0081746E" w:rsidRPr="00EC29CA" w14:paraId="58D2DE59" w14:textId="77777777" w:rsidTr="008F525F">
        <w:trPr>
          <w:trHeight w:val="315"/>
        </w:trPr>
        <w:tc>
          <w:tcPr>
            <w:tcW w:w="8824" w:type="dxa"/>
            <w:tcBorders>
              <w:top w:val="nil"/>
              <w:left w:val="nil"/>
              <w:bottom w:val="nil"/>
            </w:tcBorders>
            <w:shd w:val="clear" w:color="auto" w:fill="auto"/>
            <w:noWrap/>
            <w:vAlign w:val="bottom"/>
          </w:tcPr>
          <w:p w14:paraId="60CFA3FF" w14:textId="77777777" w:rsidR="0081746E" w:rsidRPr="00F52ACE" w:rsidRDefault="0081746E" w:rsidP="0081746E">
            <w:pPr>
              <w:pStyle w:val="ListParagraph"/>
              <w:numPr>
                <w:ilvl w:val="0"/>
                <w:numId w:val="22"/>
              </w:numPr>
              <w:tabs>
                <w:tab w:val="left" w:pos="3328"/>
              </w:tabs>
              <w:contextualSpacing w:val="0"/>
              <w:rPr>
                <w:rFonts w:ascii="Arial" w:hAnsi="Arial" w:cs="Arial"/>
                <w:b/>
                <w:bCs/>
              </w:rPr>
            </w:pPr>
            <w:r w:rsidRPr="00F52ACE">
              <w:rPr>
                <w:rFonts w:ascii="Arial" w:hAnsi="Arial" w:cs="Arial"/>
                <w:b/>
                <w:bCs/>
              </w:rPr>
              <w:t>Operating expenses</w:t>
            </w:r>
          </w:p>
        </w:tc>
        <w:tc>
          <w:tcPr>
            <w:tcW w:w="1523" w:type="dxa"/>
            <w:tcBorders>
              <w:bottom w:val="single" w:sz="4" w:space="0" w:color="auto"/>
            </w:tcBorders>
            <w:shd w:val="clear" w:color="auto" w:fill="auto"/>
            <w:noWrap/>
            <w:vAlign w:val="bottom"/>
          </w:tcPr>
          <w:p w14:paraId="18D34681" w14:textId="77777777" w:rsidR="0081746E" w:rsidRPr="00FA1EF9" w:rsidRDefault="0081746E" w:rsidP="0016598B">
            <w:pPr>
              <w:jc w:val="center"/>
              <w:rPr>
                <w:rFonts w:ascii="Arial" w:hAnsi="Arial" w:cs="Arial"/>
              </w:rPr>
            </w:pPr>
          </w:p>
        </w:tc>
        <w:tc>
          <w:tcPr>
            <w:tcW w:w="1524" w:type="dxa"/>
            <w:tcBorders>
              <w:bottom w:val="single" w:sz="4" w:space="0" w:color="auto"/>
            </w:tcBorders>
            <w:shd w:val="clear" w:color="auto" w:fill="auto"/>
            <w:noWrap/>
            <w:vAlign w:val="bottom"/>
          </w:tcPr>
          <w:p w14:paraId="7C4486AC" w14:textId="77777777" w:rsidR="0081746E" w:rsidRPr="00FA1EF9" w:rsidRDefault="0081746E" w:rsidP="0016598B">
            <w:pPr>
              <w:jc w:val="center"/>
              <w:rPr>
                <w:rFonts w:ascii="Arial" w:hAnsi="Arial" w:cs="Arial"/>
              </w:rPr>
            </w:pPr>
          </w:p>
        </w:tc>
        <w:tc>
          <w:tcPr>
            <w:tcW w:w="1771" w:type="dxa"/>
            <w:tcBorders>
              <w:bottom w:val="single" w:sz="4" w:space="0" w:color="auto"/>
            </w:tcBorders>
            <w:shd w:val="clear" w:color="auto" w:fill="auto"/>
            <w:noWrap/>
            <w:vAlign w:val="bottom"/>
          </w:tcPr>
          <w:p w14:paraId="6BEF5D15" w14:textId="77777777" w:rsidR="0081746E" w:rsidRPr="00FA1EF9" w:rsidRDefault="0081746E" w:rsidP="0016598B">
            <w:pPr>
              <w:jc w:val="center"/>
              <w:rPr>
                <w:rFonts w:ascii="Arial" w:hAnsi="Arial" w:cs="Arial"/>
                <w:bCs/>
              </w:rPr>
            </w:pPr>
          </w:p>
        </w:tc>
      </w:tr>
      <w:tr w:rsidR="0081746E" w:rsidRPr="00EC29CA" w14:paraId="388CD426"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2CA8CF94"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Policy acquisition - commission and other incremental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03309"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2CB0B"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D4389F" w14:textId="77777777" w:rsidR="0081746E" w:rsidRPr="00FA1EF9" w:rsidRDefault="0081746E" w:rsidP="0016598B">
            <w:pPr>
              <w:jc w:val="center"/>
              <w:rPr>
                <w:rFonts w:ascii="Arial" w:hAnsi="Arial" w:cs="Arial"/>
                <w:bCs/>
              </w:rPr>
            </w:pPr>
          </w:p>
        </w:tc>
      </w:tr>
      <w:tr w:rsidR="0081746E" w:rsidRPr="00EC29CA" w14:paraId="090EBE67"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0DB38BFA"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Policy acquisition - other expenses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0DA4F3"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7DE1C8"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4B97E3" w14:textId="77777777" w:rsidR="0081746E" w:rsidRPr="00FA1EF9" w:rsidRDefault="0081746E" w:rsidP="0016598B">
            <w:pPr>
              <w:jc w:val="center"/>
              <w:rPr>
                <w:rFonts w:ascii="Arial" w:hAnsi="Arial" w:cs="Arial"/>
                <w:bCs/>
              </w:rPr>
            </w:pPr>
          </w:p>
        </w:tc>
      </w:tr>
      <w:tr w:rsidR="0081746E" w:rsidRPr="00EC29CA" w14:paraId="0C408FD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5AB2E37"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Total policy acquisition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8C1AE"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B17E9"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612E78" w14:textId="77777777" w:rsidR="0081746E" w:rsidRPr="00FA1EF9" w:rsidRDefault="0081746E" w:rsidP="0016598B">
            <w:pPr>
              <w:jc w:val="center"/>
              <w:rPr>
                <w:rFonts w:ascii="Arial" w:hAnsi="Arial" w:cs="Arial"/>
                <w:bCs/>
              </w:rPr>
            </w:pPr>
          </w:p>
        </w:tc>
      </w:tr>
      <w:tr w:rsidR="0081746E" w:rsidRPr="00EC29CA" w14:paraId="3F85FA3F"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23DB8B5E"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Policy maintenance - commission and other incremental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E6193"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228BB"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917017" w14:textId="77777777" w:rsidR="0081746E" w:rsidRPr="00FA1EF9" w:rsidRDefault="0081746E" w:rsidP="0016598B">
            <w:pPr>
              <w:jc w:val="center"/>
              <w:rPr>
                <w:rFonts w:ascii="Arial" w:hAnsi="Arial" w:cs="Arial"/>
                <w:bCs/>
              </w:rPr>
            </w:pPr>
          </w:p>
        </w:tc>
      </w:tr>
      <w:tr w:rsidR="0081746E" w:rsidRPr="00EC29CA" w14:paraId="53345BBA"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1DE1F34"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Policy maintenance - other expenses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5FB8FA"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48134F"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1971EE" w14:textId="77777777" w:rsidR="0081746E" w:rsidRPr="00FA1EF9" w:rsidRDefault="0081746E" w:rsidP="0016598B">
            <w:pPr>
              <w:jc w:val="center"/>
              <w:rPr>
                <w:rFonts w:ascii="Arial" w:hAnsi="Arial" w:cs="Arial"/>
                <w:bCs/>
              </w:rPr>
            </w:pPr>
          </w:p>
        </w:tc>
      </w:tr>
      <w:tr w:rsidR="0081746E" w:rsidRPr="00EC29CA" w14:paraId="19742730"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AAFC51D"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Total policy maintenance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9BB81"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B3921"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9B64BB" w14:textId="77777777" w:rsidR="0081746E" w:rsidRPr="00FA1EF9" w:rsidRDefault="0081746E" w:rsidP="0016598B">
            <w:pPr>
              <w:jc w:val="center"/>
              <w:rPr>
                <w:rFonts w:ascii="Arial" w:hAnsi="Arial" w:cs="Arial"/>
                <w:bCs/>
              </w:rPr>
            </w:pPr>
          </w:p>
        </w:tc>
      </w:tr>
      <w:tr w:rsidR="0081746E" w:rsidRPr="00EC29CA" w14:paraId="376D6307"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8101A55"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Investment management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EE3B4"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24C67"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39E75B" w14:textId="77777777" w:rsidR="0081746E" w:rsidRPr="00FA1EF9" w:rsidRDefault="0081746E" w:rsidP="0016598B">
            <w:pPr>
              <w:jc w:val="center"/>
              <w:rPr>
                <w:rFonts w:ascii="Arial" w:hAnsi="Arial" w:cs="Arial"/>
                <w:bCs/>
              </w:rPr>
            </w:pPr>
          </w:p>
        </w:tc>
      </w:tr>
      <w:tr w:rsidR="0081746E" w:rsidRPr="00EC29CA" w14:paraId="284F102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A7CDCA1"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Acquisition expenses reported as movement in policy liability (Net movement in DAC)</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90B92"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D95E9"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5CFC7D" w14:textId="77777777" w:rsidR="0081746E" w:rsidRPr="00FA1EF9" w:rsidRDefault="0081746E" w:rsidP="0016598B">
            <w:pPr>
              <w:jc w:val="center"/>
              <w:rPr>
                <w:rFonts w:ascii="Arial" w:hAnsi="Arial" w:cs="Arial"/>
                <w:bCs/>
              </w:rPr>
            </w:pPr>
          </w:p>
        </w:tc>
      </w:tr>
      <w:tr w:rsidR="0081746E" w:rsidRPr="00EC29CA" w14:paraId="17BB907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C2C0368"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Other administration expenses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8B990E"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7B73B1"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1243B0" w14:textId="77777777" w:rsidR="0081746E" w:rsidRPr="00FA1EF9" w:rsidRDefault="0081746E" w:rsidP="0016598B">
            <w:pPr>
              <w:jc w:val="center"/>
              <w:rPr>
                <w:rFonts w:ascii="Arial" w:hAnsi="Arial" w:cs="Arial"/>
                <w:bCs/>
              </w:rPr>
            </w:pPr>
          </w:p>
        </w:tc>
      </w:tr>
      <w:tr w:rsidR="0081746E" w:rsidRPr="00EC29CA" w14:paraId="60FC15AF"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1A2747C"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Interest expense on subordinated debt</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B7C8F"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646AC"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9234B1" w14:textId="77777777" w:rsidR="0081746E" w:rsidRPr="00FA1EF9" w:rsidRDefault="0081746E" w:rsidP="0016598B">
            <w:pPr>
              <w:jc w:val="center"/>
              <w:rPr>
                <w:rFonts w:ascii="Arial" w:hAnsi="Arial" w:cs="Arial"/>
                <w:bCs/>
              </w:rPr>
            </w:pPr>
          </w:p>
        </w:tc>
      </w:tr>
      <w:tr w:rsidR="0081746E" w:rsidRPr="00EC29CA" w14:paraId="7E5B5F5C"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1D8BAEF"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Interest expense on other borrowings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83865"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83ECD"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BE1C96" w14:textId="77777777" w:rsidR="0081746E" w:rsidRPr="00FA1EF9" w:rsidRDefault="0081746E" w:rsidP="0016598B">
            <w:pPr>
              <w:jc w:val="center"/>
              <w:rPr>
                <w:rFonts w:ascii="Arial" w:hAnsi="Arial" w:cs="Arial"/>
                <w:bCs/>
              </w:rPr>
            </w:pPr>
          </w:p>
        </w:tc>
      </w:tr>
      <w:tr w:rsidR="0081746E" w:rsidRPr="00EC29CA" w14:paraId="6FF19102"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2664775"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Total non-life operating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010DE"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40BC8"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E4F0AA" w14:textId="77777777" w:rsidR="0081746E" w:rsidRPr="00FA1EF9" w:rsidRDefault="0081746E" w:rsidP="0016598B">
            <w:pPr>
              <w:jc w:val="center"/>
              <w:rPr>
                <w:rFonts w:ascii="Arial" w:hAnsi="Arial" w:cs="Arial"/>
                <w:bCs/>
              </w:rPr>
            </w:pPr>
          </w:p>
        </w:tc>
      </w:tr>
      <w:tr w:rsidR="0081746E" w:rsidRPr="00EC29CA" w14:paraId="4A623E1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2154DF1B" w14:textId="77777777" w:rsidR="0081746E" w:rsidRPr="00F52ACE" w:rsidRDefault="0081746E" w:rsidP="0081746E">
            <w:pPr>
              <w:pStyle w:val="ListParagraph"/>
              <w:numPr>
                <w:ilvl w:val="1"/>
                <w:numId w:val="22"/>
              </w:numPr>
              <w:ind w:left="392"/>
              <w:contextualSpacing w:val="0"/>
              <w:rPr>
                <w:rFonts w:ascii="Arial" w:hAnsi="Arial" w:cs="Arial"/>
                <w:b/>
              </w:rPr>
            </w:pPr>
            <w:r w:rsidRPr="00F52ACE">
              <w:rPr>
                <w:rFonts w:ascii="Arial" w:hAnsi="Arial" w:cs="Arial"/>
                <w:b/>
              </w:rPr>
              <w:t>Total operating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FDF81"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E49C2"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D04E8C" w14:textId="77777777" w:rsidR="0081746E" w:rsidRPr="00FA1EF9" w:rsidRDefault="0081746E" w:rsidP="0016598B">
            <w:pPr>
              <w:jc w:val="center"/>
              <w:rPr>
                <w:rFonts w:ascii="Arial" w:hAnsi="Arial" w:cs="Arial"/>
                <w:bCs/>
              </w:rPr>
            </w:pPr>
          </w:p>
        </w:tc>
      </w:tr>
      <w:tr w:rsidR="0081746E" w:rsidRPr="00EC29CA" w14:paraId="09B8A17E" w14:textId="77777777" w:rsidTr="008F525F">
        <w:trPr>
          <w:trHeight w:val="315"/>
        </w:trPr>
        <w:tc>
          <w:tcPr>
            <w:tcW w:w="8824" w:type="dxa"/>
            <w:tcBorders>
              <w:top w:val="nil"/>
              <w:left w:val="nil"/>
              <w:bottom w:val="nil"/>
            </w:tcBorders>
            <w:shd w:val="clear" w:color="auto" w:fill="auto"/>
            <w:noWrap/>
            <w:vAlign w:val="bottom"/>
          </w:tcPr>
          <w:p w14:paraId="35F56534" w14:textId="77777777" w:rsidR="0081746E" w:rsidRPr="00EC29CA" w:rsidRDefault="0081746E" w:rsidP="0016598B">
            <w:pPr>
              <w:pStyle w:val="ListParagraph"/>
              <w:tabs>
                <w:tab w:val="left" w:pos="3328"/>
              </w:tabs>
              <w:ind w:left="0"/>
              <w:rPr>
                <w:rFonts w:ascii="Arial" w:hAnsi="Arial" w:cs="Arial"/>
                <w:b/>
                <w:bCs/>
              </w:rPr>
            </w:pPr>
          </w:p>
        </w:tc>
        <w:tc>
          <w:tcPr>
            <w:tcW w:w="1523" w:type="dxa"/>
            <w:tcBorders>
              <w:top w:val="single" w:sz="4" w:space="0" w:color="auto"/>
            </w:tcBorders>
            <w:shd w:val="clear" w:color="auto" w:fill="auto"/>
            <w:noWrap/>
            <w:vAlign w:val="bottom"/>
          </w:tcPr>
          <w:p w14:paraId="22385C1A" w14:textId="77777777" w:rsidR="0081746E" w:rsidRPr="00FA1EF9" w:rsidRDefault="0081746E" w:rsidP="0016598B">
            <w:pPr>
              <w:jc w:val="center"/>
              <w:rPr>
                <w:rFonts w:ascii="Arial" w:hAnsi="Arial" w:cs="Arial"/>
              </w:rPr>
            </w:pPr>
          </w:p>
        </w:tc>
        <w:tc>
          <w:tcPr>
            <w:tcW w:w="1524" w:type="dxa"/>
            <w:tcBorders>
              <w:top w:val="single" w:sz="4" w:space="0" w:color="auto"/>
            </w:tcBorders>
            <w:shd w:val="clear" w:color="auto" w:fill="auto"/>
            <w:noWrap/>
            <w:vAlign w:val="bottom"/>
          </w:tcPr>
          <w:p w14:paraId="67320D9C" w14:textId="77777777" w:rsidR="0081746E" w:rsidRPr="00FA1EF9" w:rsidRDefault="0081746E" w:rsidP="0016598B">
            <w:pPr>
              <w:jc w:val="center"/>
              <w:rPr>
                <w:rFonts w:ascii="Arial" w:hAnsi="Arial" w:cs="Arial"/>
              </w:rPr>
            </w:pPr>
          </w:p>
        </w:tc>
        <w:tc>
          <w:tcPr>
            <w:tcW w:w="1771" w:type="dxa"/>
            <w:tcBorders>
              <w:top w:val="single" w:sz="4" w:space="0" w:color="auto"/>
            </w:tcBorders>
            <w:shd w:val="clear" w:color="auto" w:fill="auto"/>
            <w:noWrap/>
            <w:vAlign w:val="bottom"/>
          </w:tcPr>
          <w:p w14:paraId="06411469" w14:textId="77777777" w:rsidR="0081746E" w:rsidRPr="00FA1EF9" w:rsidRDefault="0081746E" w:rsidP="0016598B">
            <w:pPr>
              <w:jc w:val="center"/>
              <w:rPr>
                <w:rFonts w:ascii="Arial" w:hAnsi="Arial" w:cs="Arial"/>
                <w:b/>
                <w:bCs/>
              </w:rPr>
            </w:pPr>
          </w:p>
        </w:tc>
      </w:tr>
      <w:tr w:rsidR="0081746E" w:rsidRPr="00EC29CA" w14:paraId="05A9C3D9" w14:textId="77777777" w:rsidTr="008F525F">
        <w:trPr>
          <w:trHeight w:val="315"/>
        </w:trPr>
        <w:tc>
          <w:tcPr>
            <w:tcW w:w="8824" w:type="dxa"/>
            <w:tcBorders>
              <w:top w:val="nil"/>
              <w:left w:val="nil"/>
              <w:bottom w:val="nil"/>
            </w:tcBorders>
            <w:shd w:val="clear" w:color="auto" w:fill="auto"/>
            <w:noWrap/>
            <w:vAlign w:val="bottom"/>
          </w:tcPr>
          <w:p w14:paraId="0B180BBC" w14:textId="77777777" w:rsidR="0081746E" w:rsidRPr="00F52ACE" w:rsidRDefault="0081746E" w:rsidP="0081746E">
            <w:pPr>
              <w:pStyle w:val="ListParagraph"/>
              <w:numPr>
                <w:ilvl w:val="0"/>
                <w:numId w:val="22"/>
              </w:numPr>
              <w:tabs>
                <w:tab w:val="left" w:pos="3328"/>
              </w:tabs>
              <w:contextualSpacing w:val="0"/>
              <w:rPr>
                <w:rFonts w:ascii="Arial" w:hAnsi="Arial" w:cs="Arial"/>
                <w:b/>
                <w:bCs/>
              </w:rPr>
            </w:pPr>
            <w:r w:rsidRPr="00F52ACE">
              <w:rPr>
                <w:rFonts w:ascii="Arial" w:hAnsi="Arial" w:cs="Arial"/>
                <w:b/>
                <w:bCs/>
              </w:rPr>
              <w:t>Movement in net policy liabilities</w:t>
            </w:r>
          </w:p>
        </w:tc>
        <w:tc>
          <w:tcPr>
            <w:tcW w:w="1523" w:type="dxa"/>
            <w:tcBorders>
              <w:bottom w:val="single" w:sz="4" w:space="0" w:color="auto"/>
            </w:tcBorders>
            <w:shd w:val="clear" w:color="auto" w:fill="auto"/>
            <w:noWrap/>
            <w:vAlign w:val="bottom"/>
          </w:tcPr>
          <w:p w14:paraId="3486DE2D" w14:textId="77777777" w:rsidR="0081746E" w:rsidRPr="00FA1EF9" w:rsidRDefault="0081746E" w:rsidP="0016598B">
            <w:pPr>
              <w:jc w:val="center"/>
              <w:rPr>
                <w:rFonts w:ascii="Arial" w:hAnsi="Arial" w:cs="Arial"/>
              </w:rPr>
            </w:pPr>
          </w:p>
        </w:tc>
        <w:tc>
          <w:tcPr>
            <w:tcW w:w="1524" w:type="dxa"/>
            <w:tcBorders>
              <w:bottom w:val="single" w:sz="4" w:space="0" w:color="auto"/>
            </w:tcBorders>
            <w:shd w:val="clear" w:color="auto" w:fill="auto"/>
            <w:noWrap/>
            <w:vAlign w:val="bottom"/>
          </w:tcPr>
          <w:p w14:paraId="350624A3" w14:textId="77777777" w:rsidR="0081746E" w:rsidRPr="00FA1EF9" w:rsidRDefault="0081746E" w:rsidP="0016598B">
            <w:pPr>
              <w:jc w:val="center"/>
              <w:rPr>
                <w:rFonts w:ascii="Arial" w:hAnsi="Arial" w:cs="Arial"/>
              </w:rPr>
            </w:pPr>
          </w:p>
        </w:tc>
        <w:tc>
          <w:tcPr>
            <w:tcW w:w="1771" w:type="dxa"/>
            <w:tcBorders>
              <w:bottom w:val="single" w:sz="4" w:space="0" w:color="auto"/>
            </w:tcBorders>
            <w:shd w:val="clear" w:color="auto" w:fill="auto"/>
            <w:noWrap/>
            <w:vAlign w:val="bottom"/>
          </w:tcPr>
          <w:p w14:paraId="47B85536" w14:textId="77777777" w:rsidR="0081746E" w:rsidRPr="00FA1EF9" w:rsidRDefault="0081746E" w:rsidP="0016598B">
            <w:pPr>
              <w:jc w:val="center"/>
              <w:rPr>
                <w:rFonts w:ascii="Arial" w:hAnsi="Arial" w:cs="Arial"/>
                <w:b/>
                <w:bCs/>
              </w:rPr>
            </w:pPr>
          </w:p>
        </w:tc>
      </w:tr>
      <w:tr w:rsidR="0081746E" w:rsidRPr="00EC29CA" w14:paraId="6CC5A06F"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5CCB1D65"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Increase/(decrease) in net policy liabilities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3830E"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7A859"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422658" w14:textId="77777777" w:rsidR="0081746E" w:rsidRPr="00FA1EF9" w:rsidRDefault="0081746E" w:rsidP="0016598B">
            <w:pPr>
              <w:jc w:val="center"/>
              <w:rPr>
                <w:rFonts w:ascii="Arial" w:hAnsi="Arial" w:cs="Arial"/>
                <w:bCs/>
              </w:rPr>
            </w:pPr>
          </w:p>
        </w:tc>
      </w:tr>
      <w:tr w:rsidR="0081746E" w:rsidRPr="00EC29CA" w14:paraId="0B1259E1"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4A8B171" w14:textId="77777777" w:rsidR="0081746E" w:rsidRPr="001775D9" w:rsidRDefault="0081746E" w:rsidP="0081746E">
            <w:pPr>
              <w:pStyle w:val="ListParagraph"/>
              <w:numPr>
                <w:ilvl w:val="2"/>
                <w:numId w:val="22"/>
              </w:numPr>
              <w:contextualSpacing w:val="0"/>
              <w:rPr>
                <w:rFonts w:ascii="Arial" w:hAnsi="Arial" w:cs="Arial"/>
                <w:i/>
              </w:rPr>
            </w:pPr>
            <w:r w:rsidRPr="001775D9">
              <w:rPr>
                <w:rFonts w:ascii="Arial" w:hAnsi="Arial" w:cs="Arial"/>
                <w:i/>
              </w:rPr>
              <w:t>Of which: Surplus distributed to benefit fund members (friendly society only)</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C2448"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884BF"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095BC5" w14:textId="77777777" w:rsidR="0081746E" w:rsidRPr="00FA1EF9" w:rsidRDefault="0081746E" w:rsidP="0016598B">
            <w:pPr>
              <w:jc w:val="center"/>
              <w:rPr>
                <w:rFonts w:ascii="Arial" w:hAnsi="Arial" w:cs="Arial"/>
                <w:bCs/>
              </w:rPr>
            </w:pPr>
          </w:p>
        </w:tc>
      </w:tr>
      <w:tr w:rsidR="0081746E" w:rsidRPr="00EC29CA" w14:paraId="1BBD05ED"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5A0EC0E3" w14:textId="77777777" w:rsidR="0081746E" w:rsidRPr="001775D9" w:rsidRDefault="0081746E" w:rsidP="0081746E">
            <w:pPr>
              <w:pStyle w:val="ListParagraph"/>
              <w:numPr>
                <w:ilvl w:val="2"/>
                <w:numId w:val="22"/>
              </w:numPr>
              <w:contextualSpacing w:val="0"/>
              <w:rPr>
                <w:rFonts w:ascii="Arial" w:hAnsi="Arial" w:cs="Arial"/>
                <w:i/>
              </w:rPr>
            </w:pPr>
            <w:r w:rsidRPr="001775D9">
              <w:rPr>
                <w:rFonts w:ascii="Arial" w:hAnsi="Arial" w:cs="Arial"/>
                <w:i/>
              </w:rPr>
              <w:t>Of which: Increase/(decrease) in unallocated surplus (friendly society only)</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AAE7E"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4CC13"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A5C681" w14:textId="77777777" w:rsidR="0081746E" w:rsidRPr="00FA1EF9" w:rsidRDefault="0081746E" w:rsidP="0016598B">
            <w:pPr>
              <w:jc w:val="center"/>
              <w:rPr>
                <w:rFonts w:ascii="Arial" w:hAnsi="Arial" w:cs="Arial"/>
                <w:bCs/>
              </w:rPr>
            </w:pPr>
          </w:p>
        </w:tc>
      </w:tr>
      <w:tr w:rsidR="0081746E" w:rsidRPr="00EC29CA" w14:paraId="296C4417" w14:textId="77777777" w:rsidTr="008F525F">
        <w:trPr>
          <w:trHeight w:val="315"/>
        </w:trPr>
        <w:tc>
          <w:tcPr>
            <w:tcW w:w="8824" w:type="dxa"/>
            <w:tcBorders>
              <w:top w:val="nil"/>
              <w:left w:val="nil"/>
              <w:bottom w:val="nil"/>
            </w:tcBorders>
            <w:shd w:val="clear" w:color="auto" w:fill="auto"/>
            <w:noWrap/>
            <w:vAlign w:val="bottom"/>
          </w:tcPr>
          <w:p w14:paraId="3D991E61" w14:textId="77777777" w:rsidR="0081746E" w:rsidRPr="00EC29CA" w:rsidRDefault="0081746E" w:rsidP="0016598B">
            <w:pPr>
              <w:pStyle w:val="ListParagraph"/>
              <w:tabs>
                <w:tab w:val="left" w:pos="3328"/>
              </w:tabs>
              <w:ind w:left="0"/>
              <w:rPr>
                <w:rFonts w:ascii="Arial" w:hAnsi="Arial" w:cs="Arial"/>
                <w:b/>
                <w:bCs/>
              </w:rPr>
            </w:pPr>
          </w:p>
        </w:tc>
        <w:tc>
          <w:tcPr>
            <w:tcW w:w="1523" w:type="dxa"/>
            <w:tcBorders>
              <w:top w:val="single" w:sz="4" w:space="0" w:color="auto"/>
            </w:tcBorders>
            <w:shd w:val="clear" w:color="auto" w:fill="auto"/>
            <w:noWrap/>
            <w:vAlign w:val="bottom"/>
          </w:tcPr>
          <w:p w14:paraId="362F3B71" w14:textId="77777777" w:rsidR="0081746E" w:rsidRPr="00FA1EF9" w:rsidRDefault="0081746E" w:rsidP="0016598B">
            <w:pPr>
              <w:jc w:val="center"/>
              <w:rPr>
                <w:rFonts w:ascii="Arial" w:hAnsi="Arial" w:cs="Arial"/>
              </w:rPr>
            </w:pPr>
          </w:p>
        </w:tc>
        <w:tc>
          <w:tcPr>
            <w:tcW w:w="1524" w:type="dxa"/>
            <w:tcBorders>
              <w:top w:val="single" w:sz="4" w:space="0" w:color="auto"/>
            </w:tcBorders>
            <w:shd w:val="clear" w:color="auto" w:fill="auto"/>
            <w:noWrap/>
            <w:vAlign w:val="bottom"/>
          </w:tcPr>
          <w:p w14:paraId="4D082D79" w14:textId="77777777" w:rsidR="0081746E" w:rsidRPr="00FA1EF9" w:rsidRDefault="0081746E" w:rsidP="0016598B">
            <w:pPr>
              <w:jc w:val="center"/>
              <w:rPr>
                <w:rFonts w:ascii="Arial" w:hAnsi="Arial" w:cs="Arial"/>
              </w:rPr>
            </w:pPr>
          </w:p>
        </w:tc>
        <w:tc>
          <w:tcPr>
            <w:tcW w:w="1771" w:type="dxa"/>
            <w:tcBorders>
              <w:top w:val="single" w:sz="4" w:space="0" w:color="auto"/>
            </w:tcBorders>
            <w:shd w:val="clear" w:color="auto" w:fill="auto"/>
            <w:noWrap/>
            <w:vAlign w:val="bottom"/>
          </w:tcPr>
          <w:p w14:paraId="4DC5697A" w14:textId="77777777" w:rsidR="0081746E" w:rsidRPr="00FA1EF9" w:rsidRDefault="0081746E" w:rsidP="0016598B">
            <w:pPr>
              <w:jc w:val="center"/>
              <w:rPr>
                <w:rFonts w:ascii="Arial" w:hAnsi="Arial" w:cs="Arial"/>
                <w:b/>
                <w:bCs/>
              </w:rPr>
            </w:pPr>
          </w:p>
        </w:tc>
      </w:tr>
      <w:tr w:rsidR="0081746E" w:rsidRPr="00EC29CA" w14:paraId="1F3184EB" w14:textId="77777777" w:rsidTr="008F525F">
        <w:trPr>
          <w:trHeight w:val="315"/>
        </w:trPr>
        <w:tc>
          <w:tcPr>
            <w:tcW w:w="8824" w:type="dxa"/>
            <w:tcBorders>
              <w:top w:val="nil"/>
              <w:left w:val="nil"/>
              <w:bottom w:val="nil"/>
            </w:tcBorders>
            <w:shd w:val="clear" w:color="auto" w:fill="auto"/>
            <w:noWrap/>
            <w:vAlign w:val="bottom"/>
          </w:tcPr>
          <w:p w14:paraId="397CE6DF" w14:textId="77777777" w:rsidR="0081746E" w:rsidRDefault="0081746E" w:rsidP="0081746E">
            <w:pPr>
              <w:pStyle w:val="ListParagraph"/>
              <w:numPr>
                <w:ilvl w:val="0"/>
                <w:numId w:val="22"/>
              </w:numPr>
              <w:tabs>
                <w:tab w:val="left" w:pos="3328"/>
              </w:tabs>
              <w:contextualSpacing w:val="0"/>
              <w:rPr>
                <w:rFonts w:ascii="Arial" w:hAnsi="Arial" w:cs="Arial"/>
                <w:b/>
                <w:bCs/>
              </w:rPr>
            </w:pPr>
            <w:r w:rsidRPr="00F52ACE">
              <w:rPr>
                <w:rFonts w:ascii="Arial" w:hAnsi="Arial" w:cs="Arial"/>
                <w:b/>
                <w:bCs/>
              </w:rPr>
              <w:t xml:space="preserve"> Adjustment to movement in net policy liabilities - policy revenue</w:t>
            </w:r>
          </w:p>
          <w:p w14:paraId="07B1BB8D" w14:textId="77777777" w:rsidR="0081746E" w:rsidRPr="00F52ACE" w:rsidRDefault="0081746E" w:rsidP="0016598B">
            <w:pPr>
              <w:pStyle w:val="ListParagraph"/>
              <w:tabs>
                <w:tab w:val="left" w:pos="3328"/>
              </w:tabs>
              <w:ind w:left="0"/>
              <w:rPr>
                <w:rFonts w:ascii="Arial" w:hAnsi="Arial" w:cs="Arial"/>
                <w:b/>
                <w:bCs/>
              </w:rPr>
            </w:pPr>
            <w:r w:rsidRPr="00F52ACE">
              <w:rPr>
                <w:rFonts w:ascii="Arial" w:hAnsi="Arial" w:cs="Arial"/>
                <w:b/>
                <w:bCs/>
              </w:rPr>
              <w:t>Policy revenue recognised as a deposit or as a change in policy liability</w:t>
            </w:r>
          </w:p>
        </w:tc>
        <w:tc>
          <w:tcPr>
            <w:tcW w:w="1523" w:type="dxa"/>
            <w:tcBorders>
              <w:bottom w:val="single" w:sz="4" w:space="0" w:color="auto"/>
            </w:tcBorders>
            <w:shd w:val="clear" w:color="auto" w:fill="auto"/>
            <w:noWrap/>
            <w:vAlign w:val="bottom"/>
          </w:tcPr>
          <w:p w14:paraId="4874CF16" w14:textId="77777777" w:rsidR="0081746E" w:rsidRPr="00FA1EF9" w:rsidRDefault="0081746E" w:rsidP="0016598B">
            <w:pPr>
              <w:jc w:val="center"/>
              <w:rPr>
                <w:rFonts w:ascii="Arial" w:hAnsi="Arial" w:cs="Arial"/>
              </w:rPr>
            </w:pPr>
          </w:p>
        </w:tc>
        <w:tc>
          <w:tcPr>
            <w:tcW w:w="1524" w:type="dxa"/>
            <w:tcBorders>
              <w:bottom w:val="single" w:sz="4" w:space="0" w:color="auto"/>
            </w:tcBorders>
            <w:shd w:val="clear" w:color="auto" w:fill="auto"/>
            <w:noWrap/>
            <w:vAlign w:val="bottom"/>
          </w:tcPr>
          <w:p w14:paraId="4439680B" w14:textId="77777777" w:rsidR="0081746E" w:rsidRPr="00FA1EF9" w:rsidRDefault="0081746E" w:rsidP="0016598B">
            <w:pPr>
              <w:jc w:val="center"/>
              <w:rPr>
                <w:rFonts w:ascii="Arial" w:hAnsi="Arial" w:cs="Arial"/>
              </w:rPr>
            </w:pPr>
          </w:p>
        </w:tc>
        <w:tc>
          <w:tcPr>
            <w:tcW w:w="1771" w:type="dxa"/>
            <w:tcBorders>
              <w:bottom w:val="single" w:sz="4" w:space="0" w:color="auto"/>
            </w:tcBorders>
            <w:shd w:val="clear" w:color="auto" w:fill="auto"/>
            <w:noWrap/>
            <w:vAlign w:val="bottom"/>
          </w:tcPr>
          <w:p w14:paraId="69593ACC" w14:textId="77777777" w:rsidR="0081746E" w:rsidRPr="00FA1EF9" w:rsidRDefault="0081746E" w:rsidP="0016598B">
            <w:pPr>
              <w:jc w:val="center"/>
              <w:rPr>
                <w:rFonts w:ascii="Arial" w:hAnsi="Arial" w:cs="Arial"/>
                <w:b/>
                <w:bCs/>
              </w:rPr>
            </w:pPr>
          </w:p>
        </w:tc>
      </w:tr>
      <w:tr w:rsidR="0081746E" w:rsidRPr="00EC29CA" w14:paraId="31FC5146"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9C4F8EC"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Contractual direct premiums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E4F80"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CAC35"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B72466" w14:textId="77777777" w:rsidR="0081746E" w:rsidRPr="00FA1EF9" w:rsidRDefault="0081746E" w:rsidP="0016598B">
            <w:pPr>
              <w:jc w:val="center"/>
              <w:rPr>
                <w:rFonts w:ascii="Arial" w:hAnsi="Arial" w:cs="Arial"/>
                <w:bCs/>
              </w:rPr>
            </w:pPr>
          </w:p>
        </w:tc>
      </w:tr>
      <w:tr w:rsidR="0081746E" w:rsidRPr="00EC29CA" w14:paraId="504F385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37C6AA58"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Policy conversions - inwards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1C97C"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B79E2"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1F92CA" w14:textId="77777777" w:rsidR="0081746E" w:rsidRPr="00FA1EF9" w:rsidRDefault="0081746E" w:rsidP="0016598B">
            <w:pPr>
              <w:jc w:val="center"/>
              <w:rPr>
                <w:rFonts w:ascii="Arial" w:hAnsi="Arial" w:cs="Arial"/>
                <w:bCs/>
              </w:rPr>
            </w:pPr>
          </w:p>
        </w:tc>
      </w:tr>
      <w:tr w:rsidR="0081746E" w:rsidRPr="00EC29CA" w14:paraId="7759C5E0"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0A31E742"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Inwards reinsurance premium revenue</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18D8B"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FDAAD"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114D5C5" w14:textId="77777777" w:rsidR="0081746E" w:rsidRPr="00FA1EF9" w:rsidRDefault="0081746E" w:rsidP="0016598B">
            <w:pPr>
              <w:jc w:val="center"/>
              <w:rPr>
                <w:rFonts w:ascii="Arial" w:hAnsi="Arial" w:cs="Arial"/>
                <w:bCs/>
              </w:rPr>
            </w:pPr>
          </w:p>
        </w:tc>
      </w:tr>
      <w:tr w:rsidR="0081746E" w:rsidRPr="00EC29CA" w14:paraId="14866082"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A090C66"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Total non-life insurance premiums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D7FCB"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C674F"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64365C" w14:textId="77777777" w:rsidR="0081746E" w:rsidRPr="00FA1EF9" w:rsidRDefault="0081746E" w:rsidP="0016598B">
            <w:pPr>
              <w:jc w:val="center"/>
              <w:rPr>
                <w:rFonts w:ascii="Arial" w:hAnsi="Arial" w:cs="Arial"/>
                <w:bCs/>
              </w:rPr>
            </w:pPr>
          </w:p>
        </w:tc>
      </w:tr>
      <w:tr w:rsidR="0081746E" w:rsidRPr="00EC29CA" w14:paraId="46230864"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02312316" w14:textId="77777777" w:rsidR="0081746E" w:rsidRPr="00F52ACE" w:rsidRDefault="0081746E" w:rsidP="0081746E">
            <w:pPr>
              <w:pStyle w:val="ListParagraph"/>
              <w:numPr>
                <w:ilvl w:val="1"/>
                <w:numId w:val="22"/>
              </w:numPr>
              <w:ind w:left="392"/>
              <w:contextualSpacing w:val="0"/>
              <w:rPr>
                <w:rFonts w:ascii="Arial" w:hAnsi="Arial" w:cs="Arial"/>
              </w:rPr>
            </w:pPr>
            <w:r w:rsidRPr="00F52ACE">
              <w:rPr>
                <w:rFonts w:ascii="Arial" w:hAnsi="Arial" w:cs="Arial"/>
              </w:rPr>
              <w:t>Outward reinsurance premiums expense</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BBDE3"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07E76"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107345" w14:textId="77777777" w:rsidR="0081746E" w:rsidRPr="00FA1EF9" w:rsidRDefault="0081746E" w:rsidP="0016598B">
            <w:pPr>
              <w:jc w:val="center"/>
              <w:rPr>
                <w:rFonts w:ascii="Arial" w:hAnsi="Arial" w:cs="Arial"/>
                <w:bCs/>
              </w:rPr>
            </w:pPr>
          </w:p>
        </w:tc>
      </w:tr>
      <w:tr w:rsidR="0081746E" w:rsidRPr="00EC29CA" w14:paraId="195B5635"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905B480" w14:textId="77777777" w:rsidR="0081746E" w:rsidRPr="00F52ACE" w:rsidRDefault="0081746E" w:rsidP="0081746E">
            <w:pPr>
              <w:pStyle w:val="ListParagraph"/>
              <w:numPr>
                <w:ilvl w:val="1"/>
                <w:numId w:val="22"/>
              </w:numPr>
              <w:ind w:left="392"/>
              <w:contextualSpacing w:val="0"/>
              <w:rPr>
                <w:rFonts w:ascii="Arial" w:hAnsi="Arial" w:cs="Arial"/>
                <w:b/>
              </w:rPr>
            </w:pPr>
            <w:r w:rsidRPr="00F52ACE">
              <w:rPr>
                <w:rFonts w:ascii="Arial" w:hAnsi="Arial" w:cs="Arial"/>
                <w:b/>
              </w:rPr>
              <w:t>Total policy revenue, net of reinsurance</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EA79F9"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563FBE"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D82048" w14:textId="77777777" w:rsidR="0081746E" w:rsidRPr="00FA1EF9" w:rsidRDefault="0081746E" w:rsidP="0016598B">
            <w:pPr>
              <w:jc w:val="center"/>
              <w:rPr>
                <w:rFonts w:ascii="Arial" w:hAnsi="Arial" w:cs="Arial"/>
                <w:bCs/>
              </w:rPr>
            </w:pPr>
          </w:p>
        </w:tc>
      </w:tr>
      <w:tr w:rsidR="0081746E" w:rsidRPr="00EC29CA" w14:paraId="0C2CC55A" w14:textId="77777777" w:rsidTr="008F525F">
        <w:trPr>
          <w:trHeight w:val="315"/>
        </w:trPr>
        <w:tc>
          <w:tcPr>
            <w:tcW w:w="8824" w:type="dxa"/>
            <w:tcBorders>
              <w:top w:val="nil"/>
              <w:left w:val="nil"/>
              <w:bottom w:val="nil"/>
            </w:tcBorders>
            <w:shd w:val="clear" w:color="auto" w:fill="auto"/>
            <w:noWrap/>
            <w:vAlign w:val="bottom"/>
          </w:tcPr>
          <w:p w14:paraId="6006DFE1" w14:textId="77777777" w:rsidR="0081746E" w:rsidRPr="00EC29CA" w:rsidRDefault="0081746E" w:rsidP="0016598B">
            <w:pPr>
              <w:pStyle w:val="ListParagraph"/>
              <w:tabs>
                <w:tab w:val="left" w:pos="3328"/>
              </w:tabs>
              <w:ind w:left="0"/>
              <w:rPr>
                <w:rFonts w:ascii="Arial" w:hAnsi="Arial" w:cs="Arial"/>
                <w:b/>
                <w:bCs/>
              </w:rPr>
            </w:pPr>
          </w:p>
        </w:tc>
        <w:tc>
          <w:tcPr>
            <w:tcW w:w="1523" w:type="dxa"/>
            <w:tcBorders>
              <w:top w:val="single" w:sz="4" w:space="0" w:color="auto"/>
            </w:tcBorders>
            <w:shd w:val="clear" w:color="auto" w:fill="auto"/>
            <w:noWrap/>
            <w:vAlign w:val="bottom"/>
          </w:tcPr>
          <w:p w14:paraId="02C7B686" w14:textId="77777777" w:rsidR="0081746E" w:rsidRPr="00FA1EF9" w:rsidRDefault="0081746E" w:rsidP="0016598B">
            <w:pPr>
              <w:jc w:val="center"/>
              <w:rPr>
                <w:rFonts w:ascii="Arial" w:hAnsi="Arial" w:cs="Arial"/>
              </w:rPr>
            </w:pPr>
          </w:p>
        </w:tc>
        <w:tc>
          <w:tcPr>
            <w:tcW w:w="1524" w:type="dxa"/>
            <w:tcBorders>
              <w:top w:val="single" w:sz="4" w:space="0" w:color="auto"/>
            </w:tcBorders>
            <w:shd w:val="clear" w:color="auto" w:fill="auto"/>
            <w:noWrap/>
            <w:vAlign w:val="bottom"/>
          </w:tcPr>
          <w:p w14:paraId="42B1E8DA" w14:textId="77777777" w:rsidR="0081746E" w:rsidRPr="00FA1EF9" w:rsidRDefault="0081746E" w:rsidP="0016598B">
            <w:pPr>
              <w:jc w:val="center"/>
              <w:rPr>
                <w:rFonts w:ascii="Arial" w:hAnsi="Arial" w:cs="Arial"/>
              </w:rPr>
            </w:pPr>
          </w:p>
        </w:tc>
        <w:tc>
          <w:tcPr>
            <w:tcW w:w="1771" w:type="dxa"/>
            <w:tcBorders>
              <w:top w:val="single" w:sz="4" w:space="0" w:color="auto"/>
            </w:tcBorders>
            <w:shd w:val="clear" w:color="auto" w:fill="auto"/>
            <w:noWrap/>
            <w:vAlign w:val="bottom"/>
          </w:tcPr>
          <w:p w14:paraId="3E3ED98D" w14:textId="77777777" w:rsidR="0081746E" w:rsidRPr="00FA1EF9" w:rsidRDefault="0081746E" w:rsidP="0016598B">
            <w:pPr>
              <w:jc w:val="center"/>
              <w:rPr>
                <w:rFonts w:ascii="Arial" w:hAnsi="Arial" w:cs="Arial"/>
                <w:b/>
                <w:bCs/>
              </w:rPr>
            </w:pPr>
          </w:p>
        </w:tc>
      </w:tr>
      <w:tr w:rsidR="0081746E" w:rsidRPr="00EC29CA" w14:paraId="4B424D8E" w14:textId="77777777" w:rsidTr="008F525F">
        <w:trPr>
          <w:trHeight w:val="315"/>
        </w:trPr>
        <w:tc>
          <w:tcPr>
            <w:tcW w:w="8824" w:type="dxa"/>
            <w:tcBorders>
              <w:top w:val="nil"/>
              <w:left w:val="nil"/>
              <w:bottom w:val="nil"/>
            </w:tcBorders>
            <w:shd w:val="clear" w:color="auto" w:fill="auto"/>
            <w:noWrap/>
            <w:vAlign w:val="bottom"/>
          </w:tcPr>
          <w:p w14:paraId="2C9BB9FB" w14:textId="77777777" w:rsidR="0081746E" w:rsidRDefault="0081746E" w:rsidP="0081746E">
            <w:pPr>
              <w:pStyle w:val="ListParagraph"/>
              <w:numPr>
                <w:ilvl w:val="0"/>
                <w:numId w:val="22"/>
              </w:numPr>
              <w:contextualSpacing w:val="0"/>
              <w:rPr>
                <w:rFonts w:ascii="Arial" w:hAnsi="Arial" w:cs="Arial"/>
                <w:b/>
              </w:rPr>
            </w:pPr>
            <w:r w:rsidRPr="00DC6A43">
              <w:rPr>
                <w:rFonts w:ascii="Arial" w:hAnsi="Arial" w:cs="Arial"/>
                <w:b/>
              </w:rPr>
              <w:t>Adjustment to movement in net policy liabilities - policy expense</w:t>
            </w:r>
          </w:p>
          <w:p w14:paraId="6D3A9312" w14:textId="77777777" w:rsidR="0081746E" w:rsidRPr="00DC6A43" w:rsidRDefault="0081746E" w:rsidP="0016598B">
            <w:pPr>
              <w:pStyle w:val="ListParagraph"/>
              <w:ind w:left="0"/>
              <w:rPr>
                <w:rFonts w:ascii="Arial" w:hAnsi="Arial" w:cs="Arial"/>
                <w:b/>
              </w:rPr>
            </w:pPr>
            <w:r w:rsidRPr="00DC6A43">
              <w:rPr>
                <w:rFonts w:ascii="Arial" w:hAnsi="Arial" w:cs="Arial"/>
                <w:b/>
              </w:rPr>
              <w:t>Policy expense recognised as withdrawal of deposit or change in policy liability</w:t>
            </w:r>
          </w:p>
        </w:tc>
        <w:tc>
          <w:tcPr>
            <w:tcW w:w="1523" w:type="dxa"/>
            <w:tcBorders>
              <w:bottom w:val="single" w:sz="4" w:space="0" w:color="auto"/>
            </w:tcBorders>
            <w:shd w:val="clear" w:color="auto" w:fill="auto"/>
            <w:noWrap/>
            <w:vAlign w:val="bottom"/>
          </w:tcPr>
          <w:p w14:paraId="7B28FEEA" w14:textId="77777777" w:rsidR="0081746E" w:rsidRPr="00FA1EF9" w:rsidRDefault="0081746E" w:rsidP="0016598B">
            <w:pPr>
              <w:jc w:val="center"/>
              <w:rPr>
                <w:rFonts w:ascii="Arial" w:hAnsi="Arial" w:cs="Arial"/>
              </w:rPr>
            </w:pPr>
          </w:p>
        </w:tc>
        <w:tc>
          <w:tcPr>
            <w:tcW w:w="1524" w:type="dxa"/>
            <w:tcBorders>
              <w:bottom w:val="single" w:sz="4" w:space="0" w:color="auto"/>
            </w:tcBorders>
            <w:shd w:val="clear" w:color="auto" w:fill="auto"/>
            <w:noWrap/>
            <w:vAlign w:val="bottom"/>
          </w:tcPr>
          <w:p w14:paraId="6EC84E11" w14:textId="77777777" w:rsidR="0081746E" w:rsidRPr="00FA1EF9" w:rsidRDefault="0081746E" w:rsidP="0016598B">
            <w:pPr>
              <w:jc w:val="center"/>
              <w:rPr>
                <w:rFonts w:ascii="Arial" w:hAnsi="Arial" w:cs="Arial"/>
              </w:rPr>
            </w:pPr>
          </w:p>
        </w:tc>
        <w:tc>
          <w:tcPr>
            <w:tcW w:w="1771" w:type="dxa"/>
            <w:tcBorders>
              <w:bottom w:val="single" w:sz="4" w:space="0" w:color="auto"/>
            </w:tcBorders>
            <w:shd w:val="clear" w:color="auto" w:fill="auto"/>
            <w:noWrap/>
            <w:vAlign w:val="bottom"/>
          </w:tcPr>
          <w:p w14:paraId="1567D425" w14:textId="77777777" w:rsidR="0081746E" w:rsidRPr="00FA1EF9" w:rsidRDefault="0081746E" w:rsidP="0016598B">
            <w:pPr>
              <w:jc w:val="center"/>
              <w:rPr>
                <w:rFonts w:ascii="Arial" w:hAnsi="Arial" w:cs="Arial"/>
                <w:b/>
                <w:bCs/>
              </w:rPr>
            </w:pPr>
          </w:p>
        </w:tc>
      </w:tr>
      <w:tr w:rsidR="0081746E" w:rsidRPr="00EC29CA" w14:paraId="024B9948"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9A630AE"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Death and disability claims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652DD"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59EFC"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70F3F3" w14:textId="77777777" w:rsidR="0081746E" w:rsidRPr="00FA1EF9" w:rsidRDefault="0081746E" w:rsidP="0016598B">
            <w:pPr>
              <w:jc w:val="center"/>
              <w:rPr>
                <w:rFonts w:ascii="Arial" w:hAnsi="Arial" w:cs="Arial"/>
                <w:bCs/>
              </w:rPr>
            </w:pPr>
          </w:p>
        </w:tc>
      </w:tr>
      <w:tr w:rsidR="0081746E" w:rsidRPr="00EC29CA" w14:paraId="55CA2987"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29441721"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Maturities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81AC4"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7B083"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EB6D3B" w14:textId="77777777" w:rsidR="0081746E" w:rsidRPr="00FA1EF9" w:rsidRDefault="0081746E" w:rsidP="0016598B">
            <w:pPr>
              <w:jc w:val="center"/>
              <w:rPr>
                <w:rFonts w:ascii="Arial" w:hAnsi="Arial" w:cs="Arial"/>
                <w:bCs/>
              </w:rPr>
            </w:pPr>
          </w:p>
        </w:tc>
      </w:tr>
      <w:tr w:rsidR="0081746E" w:rsidRPr="00EC29CA" w14:paraId="0331E9D9"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7A8099E"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Annuities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5C99E"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4765B"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8D7799" w14:textId="77777777" w:rsidR="0081746E" w:rsidRPr="00FA1EF9" w:rsidRDefault="0081746E" w:rsidP="0016598B">
            <w:pPr>
              <w:jc w:val="center"/>
              <w:rPr>
                <w:rFonts w:ascii="Arial" w:hAnsi="Arial" w:cs="Arial"/>
                <w:bCs/>
              </w:rPr>
            </w:pPr>
          </w:p>
        </w:tc>
      </w:tr>
      <w:tr w:rsidR="0081746E" w:rsidRPr="00EC29CA" w14:paraId="1942C61D"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2CE4E554"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Surrenders and terminations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E8389"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8FC34"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004424" w14:textId="77777777" w:rsidR="0081746E" w:rsidRPr="00FA1EF9" w:rsidRDefault="0081746E" w:rsidP="0016598B">
            <w:pPr>
              <w:jc w:val="center"/>
              <w:rPr>
                <w:rFonts w:ascii="Arial" w:hAnsi="Arial" w:cs="Arial"/>
                <w:bCs/>
              </w:rPr>
            </w:pPr>
          </w:p>
        </w:tc>
      </w:tr>
      <w:tr w:rsidR="0081746E" w:rsidRPr="00EC29CA" w14:paraId="12952284"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31B70062"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Policy conversions - outwards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66BC5"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138F0"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E216E6" w14:textId="77777777" w:rsidR="0081746E" w:rsidRPr="00FA1EF9" w:rsidRDefault="0081746E" w:rsidP="0016598B">
            <w:pPr>
              <w:jc w:val="center"/>
              <w:rPr>
                <w:rFonts w:ascii="Arial" w:hAnsi="Arial" w:cs="Arial"/>
                <w:bCs/>
              </w:rPr>
            </w:pPr>
          </w:p>
        </w:tc>
      </w:tr>
      <w:tr w:rsidR="0081746E" w:rsidRPr="00EC29CA" w14:paraId="48D0E855"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E59D4D3"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Other Claims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46AFAB"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CE0744"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F994DD" w14:textId="77777777" w:rsidR="0081746E" w:rsidRPr="00FA1EF9" w:rsidRDefault="0081746E" w:rsidP="0016598B">
            <w:pPr>
              <w:jc w:val="center"/>
              <w:rPr>
                <w:rFonts w:ascii="Arial" w:hAnsi="Arial" w:cs="Arial"/>
                <w:bCs/>
              </w:rPr>
            </w:pPr>
          </w:p>
        </w:tc>
      </w:tr>
      <w:tr w:rsidR="0081746E" w:rsidRPr="00EC29CA" w14:paraId="70D0A8F2"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116DDD13"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Total Claims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6CD5C"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129BF"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6B70BB" w14:textId="77777777" w:rsidR="0081746E" w:rsidRPr="00FA1EF9" w:rsidRDefault="0081746E" w:rsidP="0016598B">
            <w:pPr>
              <w:jc w:val="center"/>
              <w:rPr>
                <w:rFonts w:ascii="Arial" w:hAnsi="Arial" w:cs="Arial"/>
                <w:bCs/>
              </w:rPr>
            </w:pPr>
          </w:p>
        </w:tc>
      </w:tr>
      <w:tr w:rsidR="0081746E" w:rsidRPr="00EC29CA" w14:paraId="06BF6F73"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0FEE453A"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 xml:space="preserve"> Inwards reinsurance claims expense (including current year bonus)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2788B"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7485D"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DFBF6C" w14:textId="77777777" w:rsidR="0081746E" w:rsidRPr="00FA1EF9" w:rsidRDefault="0081746E" w:rsidP="0016598B">
            <w:pPr>
              <w:jc w:val="center"/>
              <w:rPr>
                <w:rFonts w:ascii="Arial" w:hAnsi="Arial" w:cs="Arial"/>
                <w:bCs/>
              </w:rPr>
            </w:pPr>
          </w:p>
        </w:tc>
      </w:tr>
      <w:tr w:rsidR="0081746E" w:rsidRPr="00EC29CA" w14:paraId="0E618D2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92340C0"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Total non-life policy expense</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80BDF"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C4940"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42CA8F" w14:textId="77777777" w:rsidR="0081746E" w:rsidRPr="00FA1EF9" w:rsidRDefault="0081746E" w:rsidP="0016598B">
            <w:pPr>
              <w:jc w:val="center"/>
              <w:rPr>
                <w:rFonts w:ascii="Arial" w:hAnsi="Arial" w:cs="Arial"/>
                <w:bCs/>
              </w:rPr>
            </w:pPr>
          </w:p>
        </w:tc>
      </w:tr>
      <w:tr w:rsidR="0081746E" w:rsidRPr="00EC29CA" w14:paraId="0F2AA6C1"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F716D75"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Outward reinsurance claims revenue</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0FC3E"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9AF16"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9ED3A8" w14:textId="77777777" w:rsidR="0081746E" w:rsidRPr="00FA1EF9" w:rsidRDefault="0081746E" w:rsidP="0016598B">
            <w:pPr>
              <w:jc w:val="center"/>
              <w:rPr>
                <w:rFonts w:ascii="Arial" w:hAnsi="Arial" w:cs="Arial"/>
                <w:bCs/>
              </w:rPr>
            </w:pPr>
          </w:p>
        </w:tc>
      </w:tr>
      <w:tr w:rsidR="0081746E" w:rsidRPr="00EC29CA" w14:paraId="0ABAB021"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24C01F7"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 xml:space="preserve"> Policy acquisition - commission and other incremental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46859"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415D9"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D6CE71" w14:textId="77777777" w:rsidR="0081746E" w:rsidRPr="00FA1EF9" w:rsidRDefault="0081746E" w:rsidP="0016598B">
            <w:pPr>
              <w:jc w:val="center"/>
              <w:rPr>
                <w:rFonts w:ascii="Arial" w:hAnsi="Arial" w:cs="Arial"/>
                <w:bCs/>
              </w:rPr>
            </w:pPr>
          </w:p>
        </w:tc>
      </w:tr>
      <w:tr w:rsidR="0081746E" w:rsidRPr="00EC29CA" w14:paraId="3A8AE0D9"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37039BC2"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Policy acquisition - other expenses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7B3D0B"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E18120"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236FF6" w14:textId="77777777" w:rsidR="0081746E" w:rsidRPr="00FA1EF9" w:rsidRDefault="0081746E" w:rsidP="0016598B">
            <w:pPr>
              <w:jc w:val="center"/>
              <w:rPr>
                <w:rFonts w:ascii="Arial" w:hAnsi="Arial" w:cs="Arial"/>
                <w:bCs/>
              </w:rPr>
            </w:pPr>
          </w:p>
        </w:tc>
      </w:tr>
      <w:tr w:rsidR="0081746E" w:rsidRPr="00EC29CA" w14:paraId="625F799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CE0AC4F" w14:textId="77777777" w:rsidR="0081746E" w:rsidRPr="00C1498A" w:rsidRDefault="0081746E" w:rsidP="0081746E">
            <w:pPr>
              <w:pStyle w:val="ListParagraph"/>
              <w:numPr>
                <w:ilvl w:val="1"/>
                <w:numId w:val="22"/>
              </w:numPr>
              <w:ind w:left="392"/>
              <w:contextualSpacing w:val="0"/>
              <w:rPr>
                <w:rFonts w:ascii="Arial" w:hAnsi="Arial" w:cs="Arial"/>
              </w:rPr>
            </w:pPr>
            <w:r w:rsidRPr="00C1498A">
              <w:rPr>
                <w:rFonts w:ascii="Arial" w:hAnsi="Arial" w:cs="Arial"/>
              </w:rPr>
              <w:t>Total policy acquisition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F5DD7"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FE6C8"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457326" w14:textId="77777777" w:rsidR="0081746E" w:rsidRPr="00FA1EF9" w:rsidRDefault="0081746E" w:rsidP="0016598B">
            <w:pPr>
              <w:jc w:val="center"/>
              <w:rPr>
                <w:rFonts w:ascii="Arial" w:hAnsi="Arial" w:cs="Arial"/>
                <w:bCs/>
              </w:rPr>
            </w:pPr>
          </w:p>
        </w:tc>
      </w:tr>
      <w:tr w:rsidR="0081746E" w:rsidRPr="00EC29CA" w14:paraId="17CB627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03C91271" w14:textId="77777777" w:rsidR="0081746E" w:rsidRPr="00D939B5" w:rsidRDefault="0081746E" w:rsidP="0081746E">
            <w:pPr>
              <w:pStyle w:val="ListParagraph"/>
              <w:numPr>
                <w:ilvl w:val="1"/>
                <w:numId w:val="22"/>
              </w:numPr>
              <w:ind w:left="392"/>
              <w:contextualSpacing w:val="0"/>
              <w:rPr>
                <w:rFonts w:ascii="Arial" w:hAnsi="Arial" w:cs="Arial"/>
                <w:b/>
              </w:rPr>
            </w:pPr>
            <w:r w:rsidRPr="00D939B5">
              <w:rPr>
                <w:rFonts w:ascii="Arial" w:hAnsi="Arial" w:cs="Arial"/>
                <w:b/>
              </w:rPr>
              <w:t>Total policy expense, net of reinsurance</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D53870"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E31427"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88F27C" w14:textId="77777777" w:rsidR="0081746E" w:rsidRPr="00FA1EF9" w:rsidRDefault="0081746E" w:rsidP="0016598B">
            <w:pPr>
              <w:jc w:val="center"/>
              <w:rPr>
                <w:rFonts w:ascii="Arial" w:hAnsi="Arial" w:cs="Arial"/>
                <w:bCs/>
              </w:rPr>
            </w:pPr>
          </w:p>
        </w:tc>
      </w:tr>
      <w:tr w:rsidR="0081746E" w:rsidRPr="00EC29CA" w14:paraId="6895D112" w14:textId="77777777" w:rsidTr="008F525F">
        <w:trPr>
          <w:trHeight w:val="315"/>
        </w:trPr>
        <w:tc>
          <w:tcPr>
            <w:tcW w:w="8824" w:type="dxa"/>
            <w:tcBorders>
              <w:top w:val="nil"/>
              <w:left w:val="nil"/>
              <w:bottom w:val="nil"/>
            </w:tcBorders>
            <w:shd w:val="clear" w:color="auto" w:fill="auto"/>
            <w:noWrap/>
            <w:vAlign w:val="bottom"/>
          </w:tcPr>
          <w:p w14:paraId="708DBD95" w14:textId="77777777" w:rsidR="0081746E" w:rsidRPr="00EC29CA" w:rsidRDefault="0081746E" w:rsidP="0016598B">
            <w:pPr>
              <w:pStyle w:val="ListParagraph"/>
              <w:tabs>
                <w:tab w:val="left" w:pos="3328"/>
              </w:tabs>
              <w:ind w:left="0"/>
              <w:rPr>
                <w:rFonts w:ascii="Arial" w:hAnsi="Arial" w:cs="Arial"/>
                <w:b/>
                <w:bCs/>
              </w:rPr>
            </w:pPr>
          </w:p>
        </w:tc>
        <w:tc>
          <w:tcPr>
            <w:tcW w:w="1523" w:type="dxa"/>
            <w:tcBorders>
              <w:top w:val="single" w:sz="4" w:space="0" w:color="auto"/>
              <w:bottom w:val="single" w:sz="4" w:space="0" w:color="auto"/>
            </w:tcBorders>
            <w:shd w:val="clear" w:color="auto" w:fill="auto"/>
            <w:noWrap/>
            <w:vAlign w:val="bottom"/>
          </w:tcPr>
          <w:p w14:paraId="08AEE01D" w14:textId="77777777" w:rsidR="0081746E" w:rsidRPr="00FA1EF9" w:rsidRDefault="0081746E" w:rsidP="0016598B">
            <w:pPr>
              <w:jc w:val="center"/>
              <w:rPr>
                <w:rFonts w:ascii="Arial" w:hAnsi="Arial" w:cs="Arial"/>
              </w:rPr>
            </w:pPr>
          </w:p>
        </w:tc>
        <w:tc>
          <w:tcPr>
            <w:tcW w:w="1524" w:type="dxa"/>
            <w:tcBorders>
              <w:top w:val="single" w:sz="4" w:space="0" w:color="auto"/>
              <w:bottom w:val="single" w:sz="4" w:space="0" w:color="auto"/>
            </w:tcBorders>
            <w:shd w:val="clear" w:color="auto" w:fill="auto"/>
            <w:noWrap/>
            <w:vAlign w:val="bottom"/>
          </w:tcPr>
          <w:p w14:paraId="37D86A10" w14:textId="77777777" w:rsidR="0081746E" w:rsidRPr="00FA1EF9" w:rsidRDefault="0081746E" w:rsidP="0016598B">
            <w:pPr>
              <w:jc w:val="center"/>
              <w:rPr>
                <w:rFonts w:ascii="Arial" w:hAnsi="Arial" w:cs="Arial"/>
              </w:rPr>
            </w:pPr>
          </w:p>
        </w:tc>
        <w:tc>
          <w:tcPr>
            <w:tcW w:w="1771" w:type="dxa"/>
            <w:tcBorders>
              <w:top w:val="single" w:sz="4" w:space="0" w:color="auto"/>
              <w:bottom w:val="single" w:sz="4" w:space="0" w:color="auto"/>
            </w:tcBorders>
            <w:shd w:val="clear" w:color="auto" w:fill="auto"/>
            <w:noWrap/>
            <w:vAlign w:val="bottom"/>
          </w:tcPr>
          <w:p w14:paraId="0469C421" w14:textId="77777777" w:rsidR="0081746E" w:rsidRPr="00FA1EF9" w:rsidRDefault="0081746E" w:rsidP="0016598B">
            <w:pPr>
              <w:jc w:val="center"/>
              <w:rPr>
                <w:rFonts w:ascii="Arial" w:hAnsi="Arial" w:cs="Arial"/>
                <w:b/>
                <w:bCs/>
              </w:rPr>
            </w:pPr>
          </w:p>
        </w:tc>
      </w:tr>
      <w:tr w:rsidR="0081746E" w:rsidRPr="00EC29CA" w14:paraId="14EE66A7"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56828A63" w14:textId="77777777" w:rsidR="0081746E" w:rsidRPr="00EC29CA" w:rsidRDefault="0081746E" w:rsidP="0081746E">
            <w:pPr>
              <w:pStyle w:val="ListParagraph"/>
              <w:numPr>
                <w:ilvl w:val="0"/>
                <w:numId w:val="22"/>
              </w:numPr>
              <w:contextualSpacing w:val="0"/>
              <w:rPr>
                <w:rFonts w:ascii="Arial" w:hAnsi="Arial" w:cs="Arial"/>
                <w:b/>
                <w:bCs/>
              </w:rPr>
            </w:pPr>
            <w:r w:rsidRPr="0060170A">
              <w:rPr>
                <w:rFonts w:ascii="Arial" w:hAnsi="Arial" w:cs="Arial"/>
                <w:b/>
                <w:bCs/>
              </w:rPr>
              <w:t>Effective movement in net policy liabilities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03D28D"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B15C37"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2B8085" w14:textId="77777777" w:rsidR="0081746E" w:rsidRPr="00FA1EF9" w:rsidRDefault="0081746E" w:rsidP="0016598B">
            <w:pPr>
              <w:jc w:val="center"/>
              <w:rPr>
                <w:rFonts w:ascii="Arial" w:hAnsi="Arial" w:cs="Arial"/>
                <w:bCs/>
              </w:rPr>
            </w:pPr>
          </w:p>
        </w:tc>
      </w:tr>
      <w:tr w:rsidR="0081746E" w:rsidRPr="00EC29CA" w14:paraId="15F82FB3" w14:textId="77777777" w:rsidTr="008F525F">
        <w:trPr>
          <w:trHeight w:val="315"/>
        </w:trPr>
        <w:tc>
          <w:tcPr>
            <w:tcW w:w="8824" w:type="dxa"/>
            <w:tcBorders>
              <w:top w:val="nil"/>
              <w:left w:val="nil"/>
              <w:bottom w:val="nil"/>
            </w:tcBorders>
            <w:shd w:val="clear" w:color="auto" w:fill="auto"/>
            <w:noWrap/>
            <w:vAlign w:val="bottom"/>
          </w:tcPr>
          <w:p w14:paraId="18E4E3B8" w14:textId="77777777" w:rsidR="0081746E" w:rsidRPr="0060170A" w:rsidRDefault="0081746E" w:rsidP="0016598B">
            <w:pPr>
              <w:pStyle w:val="ListParagraph"/>
              <w:ind w:left="0"/>
              <w:rPr>
                <w:rFonts w:ascii="Arial" w:hAnsi="Arial" w:cs="Arial"/>
                <w:b/>
                <w:bCs/>
              </w:rPr>
            </w:pPr>
          </w:p>
        </w:tc>
        <w:tc>
          <w:tcPr>
            <w:tcW w:w="1523" w:type="dxa"/>
            <w:tcBorders>
              <w:top w:val="single" w:sz="4" w:space="0" w:color="auto"/>
            </w:tcBorders>
            <w:shd w:val="clear" w:color="auto" w:fill="auto"/>
            <w:noWrap/>
            <w:vAlign w:val="bottom"/>
          </w:tcPr>
          <w:p w14:paraId="2000D586" w14:textId="77777777" w:rsidR="0081746E" w:rsidRPr="00FA1EF9" w:rsidRDefault="0081746E" w:rsidP="0016598B">
            <w:pPr>
              <w:jc w:val="center"/>
              <w:rPr>
                <w:rFonts w:ascii="Arial" w:hAnsi="Arial" w:cs="Arial"/>
                <w:bCs/>
              </w:rPr>
            </w:pPr>
          </w:p>
        </w:tc>
        <w:tc>
          <w:tcPr>
            <w:tcW w:w="1524" w:type="dxa"/>
            <w:tcBorders>
              <w:top w:val="single" w:sz="4" w:space="0" w:color="auto"/>
            </w:tcBorders>
            <w:shd w:val="clear" w:color="auto" w:fill="auto"/>
            <w:noWrap/>
            <w:vAlign w:val="bottom"/>
          </w:tcPr>
          <w:p w14:paraId="5B0C3AB0" w14:textId="77777777" w:rsidR="0081746E" w:rsidRPr="00FA1EF9" w:rsidRDefault="0081746E" w:rsidP="0016598B">
            <w:pPr>
              <w:jc w:val="center"/>
              <w:rPr>
                <w:rFonts w:ascii="Arial" w:hAnsi="Arial" w:cs="Arial"/>
                <w:bCs/>
              </w:rPr>
            </w:pPr>
          </w:p>
        </w:tc>
        <w:tc>
          <w:tcPr>
            <w:tcW w:w="1771" w:type="dxa"/>
            <w:tcBorders>
              <w:top w:val="single" w:sz="4" w:space="0" w:color="auto"/>
            </w:tcBorders>
            <w:shd w:val="clear" w:color="auto" w:fill="auto"/>
            <w:noWrap/>
            <w:vAlign w:val="bottom"/>
          </w:tcPr>
          <w:p w14:paraId="7F3456F0" w14:textId="77777777" w:rsidR="0081746E" w:rsidRPr="00FA1EF9" w:rsidRDefault="0081746E" w:rsidP="0016598B">
            <w:pPr>
              <w:jc w:val="center"/>
              <w:rPr>
                <w:rFonts w:ascii="Arial" w:hAnsi="Arial" w:cs="Arial"/>
                <w:bCs/>
              </w:rPr>
            </w:pPr>
          </w:p>
        </w:tc>
      </w:tr>
      <w:tr w:rsidR="0081746E" w:rsidRPr="00EC29CA" w14:paraId="0E24A0D9" w14:textId="77777777" w:rsidTr="008F525F">
        <w:trPr>
          <w:trHeight w:val="315"/>
        </w:trPr>
        <w:tc>
          <w:tcPr>
            <w:tcW w:w="8824" w:type="dxa"/>
            <w:tcBorders>
              <w:top w:val="nil"/>
              <w:left w:val="nil"/>
              <w:bottom w:val="nil"/>
            </w:tcBorders>
            <w:shd w:val="clear" w:color="auto" w:fill="auto"/>
            <w:noWrap/>
            <w:vAlign w:val="bottom"/>
          </w:tcPr>
          <w:p w14:paraId="6D4A98E7" w14:textId="77777777" w:rsidR="0081746E" w:rsidRPr="0060170A" w:rsidRDefault="0081746E" w:rsidP="0081746E">
            <w:pPr>
              <w:pStyle w:val="ListParagraph"/>
              <w:numPr>
                <w:ilvl w:val="0"/>
                <w:numId w:val="22"/>
              </w:numPr>
              <w:contextualSpacing w:val="0"/>
              <w:rPr>
                <w:rFonts w:ascii="Arial" w:hAnsi="Arial" w:cs="Arial"/>
                <w:b/>
                <w:bCs/>
              </w:rPr>
            </w:pPr>
            <w:r w:rsidRPr="00A42479">
              <w:rPr>
                <w:rFonts w:ascii="Arial" w:hAnsi="Arial" w:cs="Arial"/>
                <w:b/>
                <w:bCs/>
              </w:rPr>
              <w:t>Change in policy owner retained profits</w:t>
            </w:r>
          </w:p>
        </w:tc>
        <w:tc>
          <w:tcPr>
            <w:tcW w:w="1523" w:type="dxa"/>
            <w:tcBorders>
              <w:bottom w:val="single" w:sz="4" w:space="0" w:color="auto"/>
            </w:tcBorders>
            <w:shd w:val="clear" w:color="auto" w:fill="auto"/>
            <w:noWrap/>
            <w:vAlign w:val="bottom"/>
          </w:tcPr>
          <w:p w14:paraId="61D8BC91" w14:textId="77777777" w:rsidR="0081746E" w:rsidRPr="00FA1EF9" w:rsidRDefault="0081746E" w:rsidP="0016598B">
            <w:pPr>
              <w:jc w:val="center"/>
              <w:rPr>
                <w:rFonts w:ascii="Arial" w:hAnsi="Arial" w:cs="Arial"/>
                <w:bCs/>
              </w:rPr>
            </w:pPr>
          </w:p>
        </w:tc>
        <w:tc>
          <w:tcPr>
            <w:tcW w:w="1524" w:type="dxa"/>
            <w:tcBorders>
              <w:bottom w:val="single" w:sz="4" w:space="0" w:color="auto"/>
            </w:tcBorders>
            <w:shd w:val="clear" w:color="auto" w:fill="auto"/>
            <w:noWrap/>
            <w:vAlign w:val="bottom"/>
          </w:tcPr>
          <w:p w14:paraId="52C7012F" w14:textId="77777777" w:rsidR="0081746E" w:rsidRPr="00FA1EF9" w:rsidRDefault="0081746E" w:rsidP="0016598B">
            <w:pPr>
              <w:jc w:val="center"/>
              <w:rPr>
                <w:rFonts w:ascii="Arial" w:hAnsi="Arial" w:cs="Arial"/>
                <w:bCs/>
              </w:rPr>
            </w:pPr>
          </w:p>
        </w:tc>
        <w:tc>
          <w:tcPr>
            <w:tcW w:w="1771" w:type="dxa"/>
            <w:tcBorders>
              <w:bottom w:val="single" w:sz="4" w:space="0" w:color="auto"/>
            </w:tcBorders>
            <w:shd w:val="clear" w:color="auto" w:fill="auto"/>
            <w:noWrap/>
            <w:vAlign w:val="bottom"/>
          </w:tcPr>
          <w:p w14:paraId="3785413D" w14:textId="77777777" w:rsidR="0081746E" w:rsidRPr="00FA1EF9" w:rsidRDefault="0081746E" w:rsidP="0016598B">
            <w:pPr>
              <w:jc w:val="center"/>
              <w:rPr>
                <w:rFonts w:ascii="Arial" w:hAnsi="Arial" w:cs="Arial"/>
                <w:bCs/>
              </w:rPr>
            </w:pPr>
          </w:p>
        </w:tc>
      </w:tr>
      <w:tr w:rsidR="0081746E" w:rsidRPr="00EC29CA" w14:paraId="403BD6C8"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2E3B5696" w14:textId="77777777" w:rsidR="0081746E" w:rsidRPr="00C1498A" w:rsidRDefault="0081746E" w:rsidP="0081746E">
            <w:pPr>
              <w:pStyle w:val="ListParagraph"/>
              <w:numPr>
                <w:ilvl w:val="1"/>
                <w:numId w:val="22"/>
              </w:numPr>
              <w:ind w:left="392"/>
              <w:contextualSpacing w:val="0"/>
              <w:rPr>
                <w:rFonts w:ascii="Arial" w:hAnsi="Arial" w:cs="Arial"/>
                <w:bCs/>
              </w:rPr>
            </w:pPr>
            <w:r w:rsidRPr="00BB6F92">
              <w:rPr>
                <w:rFonts w:ascii="Arial" w:hAnsi="Arial" w:cs="Arial"/>
              </w:rPr>
              <w:t>Increase/(decrease) in policy owner retained profits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58359"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CB26A"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95787B" w14:textId="77777777" w:rsidR="0081746E" w:rsidRPr="00FA1EF9" w:rsidRDefault="0081746E" w:rsidP="0016598B">
            <w:pPr>
              <w:jc w:val="center"/>
              <w:rPr>
                <w:rFonts w:ascii="Arial" w:hAnsi="Arial" w:cs="Arial"/>
                <w:bCs/>
              </w:rPr>
            </w:pPr>
          </w:p>
        </w:tc>
      </w:tr>
      <w:tr w:rsidR="0081746E" w:rsidRPr="00EC29CA" w14:paraId="2AD33F39" w14:textId="77777777" w:rsidTr="008F525F">
        <w:trPr>
          <w:trHeight w:val="315"/>
        </w:trPr>
        <w:tc>
          <w:tcPr>
            <w:tcW w:w="8824" w:type="dxa"/>
            <w:tcBorders>
              <w:top w:val="nil"/>
              <w:left w:val="nil"/>
              <w:bottom w:val="nil"/>
            </w:tcBorders>
            <w:shd w:val="clear" w:color="auto" w:fill="auto"/>
            <w:noWrap/>
            <w:vAlign w:val="bottom"/>
          </w:tcPr>
          <w:p w14:paraId="52AB972A" w14:textId="77777777" w:rsidR="0081746E" w:rsidRPr="00EC29CA" w:rsidRDefault="0081746E" w:rsidP="0016598B">
            <w:pPr>
              <w:pStyle w:val="ListParagraph"/>
              <w:tabs>
                <w:tab w:val="left" w:pos="3328"/>
              </w:tabs>
              <w:ind w:left="0"/>
              <w:rPr>
                <w:rFonts w:ascii="Arial" w:hAnsi="Arial" w:cs="Arial"/>
                <w:b/>
                <w:bCs/>
              </w:rPr>
            </w:pPr>
          </w:p>
        </w:tc>
        <w:tc>
          <w:tcPr>
            <w:tcW w:w="1523" w:type="dxa"/>
            <w:tcBorders>
              <w:top w:val="single" w:sz="4" w:space="0" w:color="auto"/>
              <w:bottom w:val="single" w:sz="4" w:space="0" w:color="auto"/>
            </w:tcBorders>
            <w:shd w:val="clear" w:color="auto" w:fill="auto"/>
            <w:noWrap/>
            <w:vAlign w:val="bottom"/>
          </w:tcPr>
          <w:p w14:paraId="1BD2FE4D" w14:textId="77777777" w:rsidR="0081746E" w:rsidRPr="00FA1EF9" w:rsidRDefault="0081746E" w:rsidP="0016598B">
            <w:pPr>
              <w:jc w:val="center"/>
              <w:rPr>
                <w:rFonts w:ascii="Arial" w:hAnsi="Arial" w:cs="Arial"/>
              </w:rPr>
            </w:pPr>
          </w:p>
        </w:tc>
        <w:tc>
          <w:tcPr>
            <w:tcW w:w="1524" w:type="dxa"/>
            <w:tcBorders>
              <w:top w:val="single" w:sz="4" w:space="0" w:color="auto"/>
              <w:bottom w:val="single" w:sz="4" w:space="0" w:color="auto"/>
            </w:tcBorders>
            <w:shd w:val="clear" w:color="auto" w:fill="auto"/>
            <w:noWrap/>
            <w:vAlign w:val="bottom"/>
          </w:tcPr>
          <w:p w14:paraId="087293DD" w14:textId="77777777" w:rsidR="0081746E" w:rsidRPr="00FA1EF9" w:rsidRDefault="0081746E" w:rsidP="0016598B">
            <w:pPr>
              <w:jc w:val="center"/>
              <w:rPr>
                <w:rFonts w:ascii="Arial" w:hAnsi="Arial" w:cs="Arial"/>
              </w:rPr>
            </w:pPr>
          </w:p>
        </w:tc>
        <w:tc>
          <w:tcPr>
            <w:tcW w:w="1771" w:type="dxa"/>
            <w:tcBorders>
              <w:top w:val="single" w:sz="4" w:space="0" w:color="auto"/>
              <w:bottom w:val="single" w:sz="4" w:space="0" w:color="auto"/>
            </w:tcBorders>
            <w:shd w:val="clear" w:color="auto" w:fill="auto"/>
            <w:noWrap/>
            <w:vAlign w:val="bottom"/>
          </w:tcPr>
          <w:p w14:paraId="2E9F2821" w14:textId="77777777" w:rsidR="0081746E" w:rsidRPr="00FA1EF9" w:rsidRDefault="0081746E" w:rsidP="0016598B">
            <w:pPr>
              <w:jc w:val="center"/>
              <w:rPr>
                <w:rFonts w:ascii="Arial" w:hAnsi="Arial" w:cs="Arial"/>
                <w:b/>
                <w:bCs/>
              </w:rPr>
            </w:pPr>
          </w:p>
        </w:tc>
      </w:tr>
      <w:tr w:rsidR="0081746E" w:rsidRPr="00EC29CA" w14:paraId="3CCE6100"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052D4142" w14:textId="77777777" w:rsidR="0081746E" w:rsidRPr="00EC29CA" w:rsidRDefault="0081746E" w:rsidP="0081746E">
            <w:pPr>
              <w:pStyle w:val="ListParagraph"/>
              <w:numPr>
                <w:ilvl w:val="0"/>
                <w:numId w:val="22"/>
              </w:numPr>
              <w:contextualSpacing w:val="0"/>
              <w:rPr>
                <w:rFonts w:ascii="Arial" w:hAnsi="Arial" w:cs="Arial"/>
                <w:b/>
                <w:bCs/>
              </w:rPr>
            </w:pPr>
            <w:r w:rsidRPr="002763BF">
              <w:rPr>
                <w:rFonts w:ascii="Arial" w:hAnsi="Arial" w:cs="Arial"/>
                <w:b/>
                <w:bCs/>
              </w:rPr>
              <w:t>Other expenses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2D2265"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8D56FB"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4EB04D" w14:textId="77777777" w:rsidR="0081746E" w:rsidRPr="00FA1EF9" w:rsidRDefault="0081746E" w:rsidP="0016598B">
            <w:pPr>
              <w:jc w:val="center"/>
              <w:rPr>
                <w:rFonts w:ascii="Arial" w:hAnsi="Arial" w:cs="Arial"/>
                <w:bCs/>
              </w:rPr>
            </w:pPr>
          </w:p>
        </w:tc>
      </w:tr>
      <w:tr w:rsidR="0081746E" w:rsidRPr="00EC29CA" w14:paraId="3B9A4C1A" w14:textId="77777777" w:rsidTr="008F525F">
        <w:trPr>
          <w:trHeight w:val="315"/>
        </w:trPr>
        <w:tc>
          <w:tcPr>
            <w:tcW w:w="8824" w:type="dxa"/>
            <w:tcBorders>
              <w:top w:val="nil"/>
              <w:left w:val="nil"/>
              <w:bottom w:val="nil"/>
            </w:tcBorders>
            <w:shd w:val="clear" w:color="auto" w:fill="auto"/>
            <w:noWrap/>
            <w:vAlign w:val="bottom"/>
          </w:tcPr>
          <w:p w14:paraId="546C0D79" w14:textId="77777777" w:rsidR="0081746E" w:rsidRPr="00054B3B" w:rsidRDefault="0081746E" w:rsidP="0016598B">
            <w:pPr>
              <w:pStyle w:val="ListParagraph"/>
              <w:ind w:left="0"/>
              <w:rPr>
                <w:rFonts w:ascii="Arial" w:hAnsi="Arial" w:cs="Arial"/>
                <w:b/>
              </w:rPr>
            </w:pPr>
          </w:p>
        </w:tc>
        <w:tc>
          <w:tcPr>
            <w:tcW w:w="1523" w:type="dxa"/>
            <w:tcBorders>
              <w:top w:val="single" w:sz="4" w:space="0" w:color="auto"/>
              <w:bottom w:val="single" w:sz="4" w:space="0" w:color="auto"/>
            </w:tcBorders>
            <w:shd w:val="clear" w:color="auto" w:fill="auto"/>
            <w:noWrap/>
            <w:vAlign w:val="bottom"/>
          </w:tcPr>
          <w:p w14:paraId="504DB7F1" w14:textId="77777777" w:rsidR="0081746E" w:rsidRPr="00FA1EF9" w:rsidRDefault="0081746E" w:rsidP="0016598B">
            <w:pPr>
              <w:jc w:val="center"/>
              <w:rPr>
                <w:rFonts w:ascii="Arial" w:hAnsi="Arial" w:cs="Arial"/>
              </w:rPr>
            </w:pPr>
          </w:p>
        </w:tc>
        <w:tc>
          <w:tcPr>
            <w:tcW w:w="1524" w:type="dxa"/>
            <w:tcBorders>
              <w:top w:val="single" w:sz="4" w:space="0" w:color="auto"/>
              <w:bottom w:val="single" w:sz="4" w:space="0" w:color="auto"/>
            </w:tcBorders>
            <w:shd w:val="clear" w:color="auto" w:fill="auto"/>
            <w:noWrap/>
            <w:vAlign w:val="bottom"/>
          </w:tcPr>
          <w:p w14:paraId="50968259" w14:textId="77777777" w:rsidR="0081746E" w:rsidRPr="00FA1EF9" w:rsidRDefault="0081746E" w:rsidP="0016598B">
            <w:pPr>
              <w:jc w:val="center"/>
              <w:rPr>
                <w:rFonts w:ascii="Arial" w:hAnsi="Arial" w:cs="Arial"/>
              </w:rPr>
            </w:pPr>
          </w:p>
        </w:tc>
        <w:tc>
          <w:tcPr>
            <w:tcW w:w="1771" w:type="dxa"/>
            <w:tcBorders>
              <w:top w:val="single" w:sz="4" w:space="0" w:color="auto"/>
              <w:bottom w:val="single" w:sz="4" w:space="0" w:color="auto"/>
            </w:tcBorders>
            <w:shd w:val="clear" w:color="auto" w:fill="auto"/>
            <w:noWrap/>
            <w:vAlign w:val="bottom"/>
          </w:tcPr>
          <w:p w14:paraId="39137C74" w14:textId="77777777" w:rsidR="0081746E" w:rsidRPr="00FA1EF9" w:rsidRDefault="0081746E" w:rsidP="0016598B">
            <w:pPr>
              <w:jc w:val="center"/>
              <w:rPr>
                <w:rFonts w:ascii="Arial" w:hAnsi="Arial" w:cs="Arial"/>
                <w:b/>
                <w:bCs/>
              </w:rPr>
            </w:pPr>
          </w:p>
        </w:tc>
      </w:tr>
      <w:tr w:rsidR="0081746E" w:rsidRPr="00EC29CA" w14:paraId="0D9F4C3C"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296652BF" w14:textId="77777777" w:rsidR="0081746E" w:rsidRPr="00EC29CA" w:rsidRDefault="0081746E" w:rsidP="0081746E">
            <w:pPr>
              <w:pStyle w:val="ListParagraph"/>
              <w:numPr>
                <w:ilvl w:val="0"/>
                <w:numId w:val="22"/>
              </w:numPr>
              <w:contextualSpacing w:val="0"/>
              <w:rPr>
                <w:rFonts w:ascii="Arial" w:hAnsi="Arial" w:cs="Arial"/>
                <w:b/>
                <w:bCs/>
              </w:rPr>
            </w:pPr>
            <w:r w:rsidRPr="002763BF">
              <w:rPr>
                <w:rFonts w:ascii="Arial" w:hAnsi="Arial" w:cs="Arial"/>
                <w:b/>
                <w:bCs/>
              </w:rPr>
              <w:t>Total expenses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11FEF"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2F6A7"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AD54E9" w14:textId="77777777" w:rsidR="0081746E" w:rsidRPr="00FA1EF9" w:rsidRDefault="0081746E" w:rsidP="0016598B">
            <w:pPr>
              <w:jc w:val="center"/>
              <w:rPr>
                <w:rFonts w:ascii="Arial" w:hAnsi="Arial" w:cs="Arial"/>
                <w:bCs/>
              </w:rPr>
            </w:pPr>
          </w:p>
        </w:tc>
      </w:tr>
      <w:tr w:rsidR="0081746E" w:rsidRPr="00EC29CA" w14:paraId="574E311F" w14:textId="77777777" w:rsidTr="008F525F">
        <w:trPr>
          <w:trHeight w:val="315"/>
        </w:trPr>
        <w:tc>
          <w:tcPr>
            <w:tcW w:w="8824" w:type="dxa"/>
            <w:tcBorders>
              <w:top w:val="nil"/>
              <w:left w:val="nil"/>
              <w:bottom w:val="nil"/>
            </w:tcBorders>
            <w:shd w:val="clear" w:color="auto" w:fill="auto"/>
            <w:noWrap/>
            <w:vAlign w:val="bottom"/>
          </w:tcPr>
          <w:p w14:paraId="333C4841" w14:textId="77777777" w:rsidR="0081746E" w:rsidRPr="00054B3B" w:rsidRDefault="0081746E" w:rsidP="0016598B">
            <w:pPr>
              <w:pStyle w:val="ListParagraph"/>
              <w:ind w:left="0"/>
              <w:rPr>
                <w:rFonts w:ascii="Arial" w:hAnsi="Arial" w:cs="Arial"/>
                <w:b/>
              </w:rPr>
            </w:pPr>
          </w:p>
        </w:tc>
        <w:tc>
          <w:tcPr>
            <w:tcW w:w="1523" w:type="dxa"/>
            <w:tcBorders>
              <w:top w:val="single" w:sz="4" w:space="0" w:color="auto"/>
              <w:bottom w:val="single" w:sz="4" w:space="0" w:color="auto"/>
            </w:tcBorders>
            <w:shd w:val="clear" w:color="auto" w:fill="auto"/>
            <w:noWrap/>
            <w:vAlign w:val="bottom"/>
          </w:tcPr>
          <w:p w14:paraId="2AACB0C5" w14:textId="77777777" w:rsidR="0081746E" w:rsidRPr="00FA1EF9" w:rsidRDefault="0081746E" w:rsidP="0016598B">
            <w:pPr>
              <w:jc w:val="center"/>
              <w:rPr>
                <w:rFonts w:ascii="Arial" w:hAnsi="Arial" w:cs="Arial"/>
              </w:rPr>
            </w:pPr>
          </w:p>
        </w:tc>
        <w:tc>
          <w:tcPr>
            <w:tcW w:w="1524" w:type="dxa"/>
            <w:tcBorders>
              <w:top w:val="single" w:sz="4" w:space="0" w:color="auto"/>
              <w:bottom w:val="single" w:sz="4" w:space="0" w:color="auto"/>
            </w:tcBorders>
            <w:shd w:val="clear" w:color="auto" w:fill="auto"/>
            <w:noWrap/>
            <w:vAlign w:val="bottom"/>
          </w:tcPr>
          <w:p w14:paraId="3E063029" w14:textId="77777777" w:rsidR="0081746E" w:rsidRPr="00FA1EF9" w:rsidRDefault="0081746E" w:rsidP="0016598B">
            <w:pPr>
              <w:jc w:val="center"/>
              <w:rPr>
                <w:rFonts w:ascii="Arial" w:hAnsi="Arial" w:cs="Arial"/>
              </w:rPr>
            </w:pPr>
          </w:p>
        </w:tc>
        <w:tc>
          <w:tcPr>
            <w:tcW w:w="1771" w:type="dxa"/>
            <w:tcBorders>
              <w:top w:val="single" w:sz="4" w:space="0" w:color="auto"/>
              <w:bottom w:val="single" w:sz="4" w:space="0" w:color="auto"/>
            </w:tcBorders>
            <w:shd w:val="clear" w:color="auto" w:fill="auto"/>
            <w:noWrap/>
            <w:vAlign w:val="bottom"/>
          </w:tcPr>
          <w:p w14:paraId="0E727063" w14:textId="77777777" w:rsidR="0081746E" w:rsidRPr="00FA1EF9" w:rsidRDefault="0081746E" w:rsidP="0016598B">
            <w:pPr>
              <w:jc w:val="center"/>
              <w:rPr>
                <w:rFonts w:ascii="Arial" w:hAnsi="Arial" w:cs="Arial"/>
                <w:b/>
                <w:bCs/>
              </w:rPr>
            </w:pPr>
          </w:p>
        </w:tc>
      </w:tr>
      <w:tr w:rsidR="0081746E" w:rsidRPr="00EC29CA" w14:paraId="56F9EFC9"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6DBF6413" w14:textId="77777777" w:rsidR="0081746E" w:rsidRPr="00EC29CA" w:rsidRDefault="0081746E" w:rsidP="0081746E">
            <w:pPr>
              <w:pStyle w:val="ListParagraph"/>
              <w:numPr>
                <w:ilvl w:val="0"/>
                <w:numId w:val="22"/>
              </w:numPr>
              <w:contextualSpacing w:val="0"/>
              <w:rPr>
                <w:rFonts w:ascii="Arial" w:hAnsi="Arial" w:cs="Arial"/>
                <w:b/>
                <w:bCs/>
              </w:rPr>
            </w:pPr>
            <w:r w:rsidRPr="00C1498A">
              <w:rPr>
                <w:rFonts w:ascii="Arial" w:hAnsi="Arial" w:cs="Arial"/>
                <w:b/>
                <w:bCs/>
              </w:rPr>
              <w:t>Profit/(loss) before income tax</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6F29BB"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A0DC73"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3608BB" w14:textId="77777777" w:rsidR="0081746E" w:rsidRPr="00FA1EF9" w:rsidRDefault="0081746E" w:rsidP="0016598B">
            <w:pPr>
              <w:jc w:val="center"/>
              <w:rPr>
                <w:rFonts w:ascii="Arial" w:hAnsi="Arial" w:cs="Arial"/>
                <w:bCs/>
              </w:rPr>
            </w:pPr>
          </w:p>
        </w:tc>
      </w:tr>
      <w:tr w:rsidR="0081746E" w:rsidRPr="00EC29CA" w14:paraId="6BD696A9" w14:textId="77777777" w:rsidTr="008F525F">
        <w:trPr>
          <w:trHeight w:val="315"/>
        </w:trPr>
        <w:tc>
          <w:tcPr>
            <w:tcW w:w="8824" w:type="dxa"/>
            <w:tcBorders>
              <w:top w:val="nil"/>
              <w:left w:val="nil"/>
              <w:bottom w:val="nil"/>
            </w:tcBorders>
            <w:shd w:val="clear" w:color="auto" w:fill="auto"/>
            <w:noWrap/>
            <w:vAlign w:val="bottom"/>
          </w:tcPr>
          <w:p w14:paraId="4D70C39E" w14:textId="77777777" w:rsidR="0081746E" w:rsidRPr="00EC29CA" w:rsidRDefault="0081746E" w:rsidP="0016598B">
            <w:pPr>
              <w:pStyle w:val="ListParagraph"/>
              <w:tabs>
                <w:tab w:val="left" w:pos="3328"/>
              </w:tabs>
              <w:ind w:left="0"/>
              <w:rPr>
                <w:rFonts w:ascii="Arial" w:hAnsi="Arial" w:cs="Arial"/>
                <w:b/>
                <w:bCs/>
              </w:rPr>
            </w:pPr>
          </w:p>
        </w:tc>
        <w:tc>
          <w:tcPr>
            <w:tcW w:w="1523" w:type="dxa"/>
            <w:tcBorders>
              <w:top w:val="single" w:sz="4" w:space="0" w:color="auto"/>
            </w:tcBorders>
            <w:shd w:val="clear" w:color="auto" w:fill="auto"/>
            <w:noWrap/>
            <w:vAlign w:val="bottom"/>
          </w:tcPr>
          <w:p w14:paraId="7A0D56D1" w14:textId="77777777" w:rsidR="0081746E" w:rsidRPr="00FA1EF9" w:rsidRDefault="0081746E" w:rsidP="0016598B">
            <w:pPr>
              <w:jc w:val="center"/>
              <w:rPr>
                <w:rFonts w:ascii="Arial" w:hAnsi="Arial" w:cs="Arial"/>
              </w:rPr>
            </w:pPr>
          </w:p>
        </w:tc>
        <w:tc>
          <w:tcPr>
            <w:tcW w:w="1524" w:type="dxa"/>
            <w:tcBorders>
              <w:top w:val="single" w:sz="4" w:space="0" w:color="auto"/>
            </w:tcBorders>
            <w:shd w:val="clear" w:color="auto" w:fill="auto"/>
            <w:noWrap/>
            <w:vAlign w:val="bottom"/>
          </w:tcPr>
          <w:p w14:paraId="6CC888A2" w14:textId="77777777" w:rsidR="0081746E" w:rsidRPr="00FA1EF9" w:rsidRDefault="0081746E" w:rsidP="0016598B">
            <w:pPr>
              <w:jc w:val="center"/>
              <w:rPr>
                <w:rFonts w:ascii="Arial" w:hAnsi="Arial" w:cs="Arial"/>
              </w:rPr>
            </w:pPr>
          </w:p>
        </w:tc>
        <w:tc>
          <w:tcPr>
            <w:tcW w:w="1771" w:type="dxa"/>
            <w:tcBorders>
              <w:top w:val="single" w:sz="4" w:space="0" w:color="auto"/>
            </w:tcBorders>
            <w:shd w:val="clear" w:color="auto" w:fill="auto"/>
            <w:noWrap/>
            <w:vAlign w:val="bottom"/>
          </w:tcPr>
          <w:p w14:paraId="642EA0AA" w14:textId="77777777" w:rsidR="0081746E" w:rsidRPr="00FA1EF9" w:rsidRDefault="0081746E" w:rsidP="0016598B">
            <w:pPr>
              <w:jc w:val="center"/>
              <w:rPr>
                <w:rFonts w:ascii="Arial" w:hAnsi="Arial" w:cs="Arial"/>
                <w:b/>
                <w:bCs/>
              </w:rPr>
            </w:pPr>
          </w:p>
        </w:tc>
      </w:tr>
      <w:tr w:rsidR="0081746E" w:rsidRPr="00EC29CA" w14:paraId="7C524657" w14:textId="77777777" w:rsidTr="008F525F">
        <w:trPr>
          <w:trHeight w:val="315"/>
        </w:trPr>
        <w:tc>
          <w:tcPr>
            <w:tcW w:w="8824" w:type="dxa"/>
            <w:tcBorders>
              <w:top w:val="nil"/>
              <w:left w:val="nil"/>
              <w:bottom w:val="nil"/>
            </w:tcBorders>
            <w:shd w:val="clear" w:color="auto" w:fill="auto"/>
            <w:noWrap/>
            <w:vAlign w:val="bottom"/>
          </w:tcPr>
          <w:p w14:paraId="225EC9BB" w14:textId="77777777" w:rsidR="0081746E" w:rsidRPr="00054B3B" w:rsidRDefault="0081746E" w:rsidP="0081746E">
            <w:pPr>
              <w:pStyle w:val="ListParagraph"/>
              <w:numPr>
                <w:ilvl w:val="0"/>
                <w:numId w:val="22"/>
              </w:numPr>
              <w:contextualSpacing w:val="0"/>
              <w:rPr>
                <w:rFonts w:ascii="Arial" w:hAnsi="Arial" w:cs="Arial"/>
                <w:b/>
                <w:bCs/>
              </w:rPr>
            </w:pPr>
            <w:r w:rsidRPr="00054B3B">
              <w:rPr>
                <w:rFonts w:ascii="Arial" w:hAnsi="Arial" w:cs="Arial"/>
                <w:b/>
              </w:rPr>
              <w:t>Tax</w:t>
            </w:r>
          </w:p>
        </w:tc>
        <w:tc>
          <w:tcPr>
            <w:tcW w:w="1523" w:type="dxa"/>
            <w:tcBorders>
              <w:bottom w:val="single" w:sz="4" w:space="0" w:color="auto"/>
            </w:tcBorders>
            <w:shd w:val="clear" w:color="auto" w:fill="auto"/>
            <w:noWrap/>
            <w:vAlign w:val="bottom"/>
          </w:tcPr>
          <w:p w14:paraId="296DD9FC" w14:textId="77777777" w:rsidR="0081746E" w:rsidRPr="00FA1EF9" w:rsidRDefault="0081746E" w:rsidP="0016598B">
            <w:pPr>
              <w:jc w:val="center"/>
              <w:rPr>
                <w:rFonts w:ascii="Arial" w:hAnsi="Arial" w:cs="Arial"/>
              </w:rPr>
            </w:pPr>
          </w:p>
        </w:tc>
        <w:tc>
          <w:tcPr>
            <w:tcW w:w="1524" w:type="dxa"/>
            <w:tcBorders>
              <w:bottom w:val="single" w:sz="4" w:space="0" w:color="auto"/>
            </w:tcBorders>
            <w:shd w:val="clear" w:color="auto" w:fill="auto"/>
            <w:noWrap/>
            <w:vAlign w:val="bottom"/>
          </w:tcPr>
          <w:p w14:paraId="76506439" w14:textId="77777777" w:rsidR="0081746E" w:rsidRPr="00FA1EF9" w:rsidRDefault="0081746E" w:rsidP="0016598B">
            <w:pPr>
              <w:jc w:val="center"/>
              <w:rPr>
                <w:rFonts w:ascii="Arial" w:hAnsi="Arial" w:cs="Arial"/>
              </w:rPr>
            </w:pPr>
          </w:p>
        </w:tc>
        <w:tc>
          <w:tcPr>
            <w:tcW w:w="1771" w:type="dxa"/>
            <w:tcBorders>
              <w:bottom w:val="single" w:sz="4" w:space="0" w:color="auto"/>
            </w:tcBorders>
            <w:shd w:val="clear" w:color="auto" w:fill="auto"/>
            <w:noWrap/>
            <w:vAlign w:val="bottom"/>
          </w:tcPr>
          <w:p w14:paraId="0521CA15" w14:textId="77777777" w:rsidR="0081746E" w:rsidRPr="00FA1EF9" w:rsidRDefault="0081746E" w:rsidP="0016598B">
            <w:pPr>
              <w:jc w:val="center"/>
              <w:rPr>
                <w:rFonts w:ascii="Arial" w:hAnsi="Arial" w:cs="Arial"/>
                <w:b/>
                <w:bCs/>
              </w:rPr>
            </w:pPr>
          </w:p>
        </w:tc>
      </w:tr>
      <w:tr w:rsidR="0081746E" w:rsidRPr="00EC29CA" w14:paraId="3A701F02"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B617914" w14:textId="77777777" w:rsidR="0081746E" w:rsidRPr="00C1498A" w:rsidRDefault="0081746E" w:rsidP="0081746E">
            <w:pPr>
              <w:pStyle w:val="ListParagraph"/>
              <w:numPr>
                <w:ilvl w:val="1"/>
                <w:numId w:val="22"/>
              </w:numPr>
              <w:ind w:left="392"/>
              <w:contextualSpacing w:val="0"/>
              <w:rPr>
                <w:rFonts w:ascii="Arial" w:hAnsi="Arial" w:cs="Arial"/>
                <w:bCs/>
              </w:rPr>
            </w:pPr>
            <w:r w:rsidRPr="00C1498A">
              <w:rPr>
                <w:rFonts w:ascii="Arial" w:hAnsi="Arial" w:cs="Arial"/>
                <w:bCs/>
              </w:rPr>
              <w:t>Income tax attributable to profit/(loss) - shareholders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EEFAC"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D799D"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5F7DF7" w14:textId="77777777" w:rsidR="0081746E" w:rsidRPr="00FA1EF9" w:rsidRDefault="0081746E" w:rsidP="0016598B">
            <w:pPr>
              <w:jc w:val="center"/>
              <w:rPr>
                <w:rFonts w:ascii="Arial" w:hAnsi="Arial" w:cs="Arial"/>
                <w:bCs/>
              </w:rPr>
            </w:pPr>
          </w:p>
        </w:tc>
      </w:tr>
      <w:tr w:rsidR="0081746E" w:rsidRPr="00EC29CA" w14:paraId="0FB8ED76"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7A6264FE" w14:textId="77777777" w:rsidR="0081746E" w:rsidRPr="00C1498A" w:rsidRDefault="0081746E" w:rsidP="0081746E">
            <w:pPr>
              <w:pStyle w:val="ListParagraph"/>
              <w:numPr>
                <w:ilvl w:val="1"/>
                <w:numId w:val="22"/>
              </w:numPr>
              <w:ind w:left="392"/>
              <w:contextualSpacing w:val="0"/>
              <w:rPr>
                <w:rFonts w:ascii="Arial" w:hAnsi="Arial" w:cs="Arial"/>
                <w:bCs/>
              </w:rPr>
            </w:pPr>
            <w:r w:rsidRPr="00C1498A">
              <w:rPr>
                <w:rFonts w:ascii="Arial" w:hAnsi="Arial" w:cs="Arial"/>
                <w:bCs/>
              </w:rPr>
              <w:t>Income tax attributable to profit/(loss) - policy owners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9593D"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14177"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E956F0" w14:textId="77777777" w:rsidR="0081746E" w:rsidRPr="00FA1EF9" w:rsidRDefault="0081746E" w:rsidP="0016598B">
            <w:pPr>
              <w:jc w:val="center"/>
              <w:rPr>
                <w:rFonts w:ascii="Arial" w:hAnsi="Arial" w:cs="Arial"/>
                <w:bCs/>
              </w:rPr>
            </w:pPr>
          </w:p>
        </w:tc>
      </w:tr>
      <w:tr w:rsidR="0081746E" w:rsidRPr="00EC29CA" w14:paraId="1D84EC67"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47A8B27" w14:textId="77777777" w:rsidR="0081746E" w:rsidRPr="00C1498A" w:rsidRDefault="0081746E" w:rsidP="0081746E">
            <w:pPr>
              <w:pStyle w:val="ListParagraph"/>
              <w:numPr>
                <w:ilvl w:val="1"/>
                <w:numId w:val="22"/>
              </w:numPr>
              <w:ind w:left="392"/>
              <w:contextualSpacing w:val="0"/>
              <w:rPr>
                <w:rFonts w:ascii="Arial" w:hAnsi="Arial" w:cs="Arial"/>
                <w:b/>
                <w:bCs/>
              </w:rPr>
            </w:pPr>
            <w:r w:rsidRPr="00C1498A">
              <w:rPr>
                <w:rFonts w:ascii="Arial" w:hAnsi="Arial" w:cs="Arial"/>
                <w:b/>
                <w:bCs/>
              </w:rPr>
              <w:t>Total tax</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C39355B"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C0A3E6"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5C7F1A" w14:textId="77777777" w:rsidR="0081746E" w:rsidRPr="00FA1EF9" w:rsidRDefault="0081746E" w:rsidP="0016598B">
            <w:pPr>
              <w:jc w:val="center"/>
              <w:rPr>
                <w:rFonts w:ascii="Arial" w:hAnsi="Arial" w:cs="Arial"/>
                <w:bCs/>
              </w:rPr>
            </w:pPr>
          </w:p>
        </w:tc>
      </w:tr>
      <w:tr w:rsidR="0081746E" w:rsidRPr="00EC29CA" w14:paraId="4C1A56F5" w14:textId="77777777" w:rsidTr="008F525F">
        <w:trPr>
          <w:trHeight w:val="315"/>
        </w:trPr>
        <w:tc>
          <w:tcPr>
            <w:tcW w:w="8824" w:type="dxa"/>
            <w:tcBorders>
              <w:top w:val="nil"/>
              <w:left w:val="nil"/>
              <w:bottom w:val="nil"/>
            </w:tcBorders>
            <w:shd w:val="clear" w:color="auto" w:fill="auto"/>
            <w:noWrap/>
            <w:vAlign w:val="bottom"/>
          </w:tcPr>
          <w:p w14:paraId="0F6DEABC" w14:textId="77777777" w:rsidR="0081746E" w:rsidRPr="00EC29CA" w:rsidRDefault="0081746E" w:rsidP="0016598B">
            <w:pPr>
              <w:pStyle w:val="ListParagraph"/>
              <w:tabs>
                <w:tab w:val="left" w:pos="3328"/>
              </w:tabs>
              <w:ind w:left="0"/>
              <w:rPr>
                <w:rFonts w:ascii="Arial" w:hAnsi="Arial" w:cs="Arial"/>
                <w:b/>
                <w:bCs/>
              </w:rPr>
            </w:pPr>
          </w:p>
        </w:tc>
        <w:tc>
          <w:tcPr>
            <w:tcW w:w="1523" w:type="dxa"/>
            <w:tcBorders>
              <w:top w:val="single" w:sz="4" w:space="0" w:color="auto"/>
              <w:bottom w:val="single" w:sz="4" w:space="0" w:color="auto"/>
            </w:tcBorders>
            <w:shd w:val="clear" w:color="auto" w:fill="auto"/>
            <w:noWrap/>
            <w:vAlign w:val="bottom"/>
          </w:tcPr>
          <w:p w14:paraId="06D2F46F" w14:textId="77777777" w:rsidR="0081746E" w:rsidRPr="00FA1EF9" w:rsidRDefault="0081746E" w:rsidP="0016598B">
            <w:pPr>
              <w:jc w:val="center"/>
              <w:rPr>
                <w:rFonts w:ascii="Arial" w:hAnsi="Arial" w:cs="Arial"/>
              </w:rPr>
            </w:pPr>
          </w:p>
        </w:tc>
        <w:tc>
          <w:tcPr>
            <w:tcW w:w="1524" w:type="dxa"/>
            <w:tcBorders>
              <w:top w:val="single" w:sz="4" w:space="0" w:color="auto"/>
              <w:bottom w:val="single" w:sz="4" w:space="0" w:color="auto"/>
            </w:tcBorders>
            <w:shd w:val="clear" w:color="auto" w:fill="auto"/>
            <w:noWrap/>
            <w:vAlign w:val="bottom"/>
          </w:tcPr>
          <w:p w14:paraId="65F7FA66" w14:textId="77777777" w:rsidR="0081746E" w:rsidRPr="00FA1EF9" w:rsidRDefault="0081746E" w:rsidP="0016598B">
            <w:pPr>
              <w:jc w:val="center"/>
              <w:rPr>
                <w:rFonts w:ascii="Arial" w:hAnsi="Arial" w:cs="Arial"/>
              </w:rPr>
            </w:pPr>
          </w:p>
        </w:tc>
        <w:tc>
          <w:tcPr>
            <w:tcW w:w="1771" w:type="dxa"/>
            <w:tcBorders>
              <w:top w:val="single" w:sz="4" w:space="0" w:color="auto"/>
              <w:bottom w:val="single" w:sz="4" w:space="0" w:color="auto"/>
            </w:tcBorders>
            <w:shd w:val="clear" w:color="auto" w:fill="auto"/>
            <w:noWrap/>
            <w:vAlign w:val="bottom"/>
          </w:tcPr>
          <w:p w14:paraId="754DFE1B" w14:textId="77777777" w:rsidR="0081746E" w:rsidRPr="00FA1EF9" w:rsidRDefault="0081746E" w:rsidP="0016598B">
            <w:pPr>
              <w:jc w:val="center"/>
              <w:rPr>
                <w:rFonts w:ascii="Arial" w:hAnsi="Arial" w:cs="Arial"/>
                <w:b/>
                <w:bCs/>
              </w:rPr>
            </w:pPr>
          </w:p>
        </w:tc>
      </w:tr>
      <w:tr w:rsidR="0081746E" w:rsidRPr="00EC29CA" w14:paraId="57FC2CFA"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2986C64E" w14:textId="77777777" w:rsidR="0081746E" w:rsidRPr="00C1498A" w:rsidRDefault="0081746E" w:rsidP="0081746E">
            <w:pPr>
              <w:pStyle w:val="ListParagraph"/>
              <w:numPr>
                <w:ilvl w:val="0"/>
                <w:numId w:val="22"/>
              </w:numPr>
              <w:contextualSpacing w:val="0"/>
              <w:rPr>
                <w:rFonts w:ascii="Arial" w:hAnsi="Arial" w:cs="Arial"/>
                <w:b/>
                <w:bCs/>
              </w:rPr>
            </w:pPr>
            <w:r w:rsidRPr="009441EA">
              <w:rPr>
                <w:rFonts w:ascii="Arial" w:hAnsi="Arial" w:cs="Arial"/>
                <w:b/>
                <w:bCs/>
              </w:rPr>
              <w:t>Profit/(loss) after income tax</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7254E3"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2F44EE"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744EB5" w14:textId="77777777" w:rsidR="0081746E" w:rsidRPr="00FA1EF9" w:rsidRDefault="0081746E" w:rsidP="0016598B">
            <w:pPr>
              <w:jc w:val="center"/>
              <w:rPr>
                <w:rFonts w:ascii="Arial" w:hAnsi="Arial" w:cs="Arial"/>
                <w:bCs/>
              </w:rPr>
            </w:pPr>
          </w:p>
        </w:tc>
      </w:tr>
      <w:tr w:rsidR="0081746E" w:rsidRPr="00EC29CA" w14:paraId="2750112F" w14:textId="77777777" w:rsidTr="008F525F">
        <w:trPr>
          <w:trHeight w:val="315"/>
        </w:trPr>
        <w:tc>
          <w:tcPr>
            <w:tcW w:w="8824" w:type="dxa"/>
            <w:tcBorders>
              <w:top w:val="nil"/>
              <w:left w:val="nil"/>
              <w:bottom w:val="nil"/>
            </w:tcBorders>
            <w:shd w:val="clear" w:color="auto" w:fill="auto"/>
            <w:noWrap/>
            <w:vAlign w:val="bottom"/>
          </w:tcPr>
          <w:p w14:paraId="005647A5" w14:textId="77777777" w:rsidR="0081746E" w:rsidRPr="009441EA" w:rsidRDefault="0081746E" w:rsidP="0016598B">
            <w:pPr>
              <w:pStyle w:val="ListParagraph"/>
              <w:ind w:left="0"/>
              <w:rPr>
                <w:rFonts w:ascii="Arial" w:hAnsi="Arial" w:cs="Arial"/>
                <w:b/>
                <w:bCs/>
              </w:rPr>
            </w:pPr>
          </w:p>
        </w:tc>
        <w:tc>
          <w:tcPr>
            <w:tcW w:w="1523" w:type="dxa"/>
            <w:tcBorders>
              <w:top w:val="single" w:sz="4" w:space="0" w:color="auto"/>
              <w:bottom w:val="single" w:sz="4" w:space="0" w:color="auto"/>
            </w:tcBorders>
            <w:shd w:val="clear" w:color="auto" w:fill="auto"/>
            <w:noWrap/>
            <w:vAlign w:val="bottom"/>
          </w:tcPr>
          <w:p w14:paraId="090729BC" w14:textId="77777777" w:rsidR="0081746E" w:rsidRPr="00FA1EF9" w:rsidRDefault="0081746E" w:rsidP="0016598B">
            <w:pPr>
              <w:jc w:val="center"/>
              <w:rPr>
                <w:rFonts w:ascii="Arial" w:hAnsi="Arial" w:cs="Arial"/>
                <w:bCs/>
              </w:rPr>
            </w:pPr>
          </w:p>
        </w:tc>
        <w:tc>
          <w:tcPr>
            <w:tcW w:w="1524" w:type="dxa"/>
            <w:tcBorders>
              <w:top w:val="single" w:sz="4" w:space="0" w:color="auto"/>
              <w:bottom w:val="single" w:sz="4" w:space="0" w:color="auto"/>
            </w:tcBorders>
            <w:shd w:val="clear" w:color="auto" w:fill="auto"/>
            <w:noWrap/>
            <w:vAlign w:val="bottom"/>
          </w:tcPr>
          <w:p w14:paraId="72D8CBE4" w14:textId="77777777" w:rsidR="0081746E" w:rsidRPr="00FA1EF9" w:rsidRDefault="0081746E" w:rsidP="0016598B">
            <w:pPr>
              <w:jc w:val="center"/>
              <w:rPr>
                <w:rFonts w:ascii="Arial" w:hAnsi="Arial" w:cs="Arial"/>
                <w:bCs/>
              </w:rPr>
            </w:pPr>
          </w:p>
        </w:tc>
        <w:tc>
          <w:tcPr>
            <w:tcW w:w="1771" w:type="dxa"/>
            <w:tcBorders>
              <w:top w:val="single" w:sz="4" w:space="0" w:color="auto"/>
              <w:bottom w:val="single" w:sz="4" w:space="0" w:color="auto"/>
            </w:tcBorders>
            <w:shd w:val="clear" w:color="auto" w:fill="auto"/>
            <w:noWrap/>
            <w:vAlign w:val="bottom"/>
          </w:tcPr>
          <w:p w14:paraId="0212D3B2" w14:textId="77777777" w:rsidR="0081746E" w:rsidRPr="00FA1EF9" w:rsidRDefault="0081746E" w:rsidP="0016598B">
            <w:pPr>
              <w:jc w:val="center"/>
              <w:rPr>
                <w:rFonts w:ascii="Arial" w:hAnsi="Arial" w:cs="Arial"/>
                <w:bCs/>
              </w:rPr>
            </w:pPr>
          </w:p>
        </w:tc>
      </w:tr>
      <w:tr w:rsidR="0081746E" w:rsidRPr="00EC29CA" w14:paraId="6034350B"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45AFF06C" w14:textId="77777777" w:rsidR="0081746E" w:rsidRPr="009441EA" w:rsidRDefault="0081746E" w:rsidP="0081746E">
            <w:pPr>
              <w:pStyle w:val="ListParagraph"/>
              <w:numPr>
                <w:ilvl w:val="0"/>
                <w:numId w:val="22"/>
              </w:numPr>
              <w:contextualSpacing w:val="0"/>
              <w:rPr>
                <w:rFonts w:ascii="Arial" w:hAnsi="Arial" w:cs="Arial"/>
                <w:b/>
                <w:bCs/>
              </w:rPr>
            </w:pPr>
            <w:r w:rsidRPr="00BB6F92">
              <w:rPr>
                <w:rFonts w:ascii="Arial" w:hAnsi="Arial" w:cs="Arial"/>
                <w:b/>
                <w:bCs/>
              </w:rPr>
              <w:t>Increase/(decrease) in unallocated benefit fund reserves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7407F" w14:textId="77777777" w:rsidR="0081746E" w:rsidRPr="00FA1EF9" w:rsidRDefault="0081746E" w:rsidP="0016598B">
            <w:pPr>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1F2C5" w14:textId="77777777" w:rsidR="0081746E" w:rsidRPr="00FA1EF9" w:rsidRDefault="0081746E" w:rsidP="0016598B">
            <w:pPr>
              <w:jc w:val="center"/>
              <w:rPr>
                <w:rFonts w:ascii="Arial" w:hAnsi="Arial" w:cs="Arial"/>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AB56F7" w14:textId="77777777" w:rsidR="0081746E" w:rsidRPr="00FA1EF9" w:rsidRDefault="0081746E" w:rsidP="0016598B">
            <w:pPr>
              <w:jc w:val="center"/>
              <w:rPr>
                <w:rFonts w:ascii="Arial" w:hAnsi="Arial" w:cs="Arial"/>
                <w:bCs/>
              </w:rPr>
            </w:pPr>
          </w:p>
        </w:tc>
      </w:tr>
      <w:tr w:rsidR="0081746E" w:rsidRPr="00EC29CA" w14:paraId="2F8666BB" w14:textId="77777777" w:rsidTr="008F525F">
        <w:trPr>
          <w:trHeight w:val="315"/>
        </w:trPr>
        <w:tc>
          <w:tcPr>
            <w:tcW w:w="8824" w:type="dxa"/>
            <w:tcBorders>
              <w:top w:val="nil"/>
              <w:left w:val="nil"/>
              <w:bottom w:val="nil"/>
            </w:tcBorders>
            <w:shd w:val="clear" w:color="auto" w:fill="auto"/>
            <w:noWrap/>
            <w:vAlign w:val="bottom"/>
          </w:tcPr>
          <w:p w14:paraId="4DE3D5D1" w14:textId="77777777" w:rsidR="0081746E" w:rsidRPr="00BB6F92" w:rsidRDefault="0081746E" w:rsidP="0016598B">
            <w:pPr>
              <w:pStyle w:val="ListParagraph"/>
              <w:ind w:left="0"/>
              <w:rPr>
                <w:rFonts w:ascii="Arial" w:hAnsi="Arial" w:cs="Arial"/>
                <w:b/>
                <w:bCs/>
              </w:rPr>
            </w:pPr>
          </w:p>
        </w:tc>
        <w:tc>
          <w:tcPr>
            <w:tcW w:w="1523" w:type="dxa"/>
            <w:tcBorders>
              <w:top w:val="single" w:sz="4" w:space="0" w:color="auto"/>
              <w:bottom w:val="single" w:sz="4" w:space="0" w:color="auto"/>
            </w:tcBorders>
            <w:shd w:val="clear" w:color="auto" w:fill="auto"/>
            <w:noWrap/>
            <w:vAlign w:val="bottom"/>
          </w:tcPr>
          <w:p w14:paraId="388E7F34" w14:textId="77777777" w:rsidR="0081746E" w:rsidRPr="00FA1EF9" w:rsidRDefault="0081746E" w:rsidP="0016598B">
            <w:pPr>
              <w:jc w:val="center"/>
              <w:rPr>
                <w:rFonts w:ascii="Arial" w:hAnsi="Arial" w:cs="Arial"/>
              </w:rPr>
            </w:pPr>
          </w:p>
        </w:tc>
        <w:tc>
          <w:tcPr>
            <w:tcW w:w="1524" w:type="dxa"/>
            <w:tcBorders>
              <w:top w:val="single" w:sz="4" w:space="0" w:color="auto"/>
              <w:bottom w:val="single" w:sz="4" w:space="0" w:color="auto"/>
            </w:tcBorders>
            <w:shd w:val="clear" w:color="auto" w:fill="auto"/>
            <w:noWrap/>
            <w:vAlign w:val="bottom"/>
          </w:tcPr>
          <w:p w14:paraId="4DB2C448" w14:textId="77777777" w:rsidR="0081746E" w:rsidRPr="00FA1EF9" w:rsidRDefault="0081746E" w:rsidP="0016598B">
            <w:pPr>
              <w:jc w:val="center"/>
              <w:rPr>
                <w:rFonts w:ascii="Arial" w:hAnsi="Arial" w:cs="Arial"/>
              </w:rPr>
            </w:pPr>
          </w:p>
        </w:tc>
        <w:tc>
          <w:tcPr>
            <w:tcW w:w="1771" w:type="dxa"/>
            <w:tcBorders>
              <w:top w:val="single" w:sz="4" w:space="0" w:color="auto"/>
              <w:bottom w:val="single" w:sz="4" w:space="0" w:color="auto"/>
            </w:tcBorders>
            <w:shd w:val="clear" w:color="auto" w:fill="auto"/>
            <w:noWrap/>
            <w:vAlign w:val="bottom"/>
          </w:tcPr>
          <w:p w14:paraId="5E20E88E" w14:textId="77777777" w:rsidR="0081746E" w:rsidRPr="00FA1EF9" w:rsidRDefault="0081746E" w:rsidP="0016598B">
            <w:pPr>
              <w:jc w:val="center"/>
              <w:rPr>
                <w:rFonts w:ascii="Arial" w:hAnsi="Arial" w:cs="Arial"/>
                <w:bCs/>
              </w:rPr>
            </w:pPr>
          </w:p>
        </w:tc>
      </w:tr>
      <w:tr w:rsidR="0081746E" w:rsidRPr="00EC29CA" w14:paraId="38EC3249" w14:textId="77777777" w:rsidTr="008F525F">
        <w:trPr>
          <w:trHeight w:val="315"/>
        </w:trPr>
        <w:tc>
          <w:tcPr>
            <w:tcW w:w="8824" w:type="dxa"/>
            <w:tcBorders>
              <w:top w:val="nil"/>
              <w:left w:val="nil"/>
              <w:bottom w:val="nil"/>
              <w:right w:val="single" w:sz="4" w:space="0" w:color="auto"/>
            </w:tcBorders>
            <w:shd w:val="clear" w:color="auto" w:fill="auto"/>
            <w:noWrap/>
            <w:vAlign w:val="bottom"/>
          </w:tcPr>
          <w:p w14:paraId="521FD0ED" w14:textId="77777777" w:rsidR="0081746E" w:rsidRPr="00BB6F92" w:rsidRDefault="0081746E" w:rsidP="0081746E">
            <w:pPr>
              <w:pStyle w:val="ListParagraph"/>
              <w:numPr>
                <w:ilvl w:val="0"/>
                <w:numId w:val="22"/>
              </w:numPr>
              <w:contextualSpacing w:val="0"/>
              <w:rPr>
                <w:rFonts w:ascii="Arial" w:hAnsi="Arial" w:cs="Arial"/>
                <w:b/>
                <w:bCs/>
              </w:rPr>
            </w:pPr>
            <w:r w:rsidRPr="00BB6F92">
              <w:rPr>
                <w:rFonts w:ascii="Arial" w:hAnsi="Arial" w:cs="Arial"/>
                <w:b/>
                <w:bCs/>
              </w:rPr>
              <w:t>Profit/(loss) after income tax attributable to shareholders</w:t>
            </w:r>
          </w:p>
        </w:tc>
        <w:tc>
          <w:tcPr>
            <w:tcW w:w="152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9EE865" w14:textId="77777777" w:rsidR="0081746E" w:rsidRPr="00FA1EF9" w:rsidRDefault="0081746E" w:rsidP="0016598B">
            <w:pPr>
              <w:jc w:val="center"/>
              <w:rPr>
                <w:rFonts w:ascii="Arial" w:hAnsi="Arial" w:cs="Arial"/>
                <w:bCs/>
              </w:rPr>
            </w:pPr>
          </w:p>
        </w:tc>
        <w:tc>
          <w:tcPr>
            <w:tcW w:w="152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462B6E" w14:textId="77777777" w:rsidR="0081746E" w:rsidRPr="00FA1EF9" w:rsidRDefault="0081746E" w:rsidP="0016598B">
            <w:pPr>
              <w:jc w:val="center"/>
              <w:rPr>
                <w:rFonts w:ascii="Arial" w:hAnsi="Arial" w:cs="Arial"/>
                <w:bCs/>
              </w:rPr>
            </w:pPr>
          </w:p>
        </w:tc>
        <w:tc>
          <w:tcPr>
            <w:tcW w:w="177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FCF267" w14:textId="77777777" w:rsidR="0081746E" w:rsidRPr="00FA1EF9" w:rsidRDefault="0081746E" w:rsidP="0016598B">
            <w:pPr>
              <w:jc w:val="center"/>
              <w:rPr>
                <w:rFonts w:ascii="Arial" w:hAnsi="Arial" w:cs="Arial"/>
                <w:bCs/>
              </w:rPr>
            </w:pPr>
          </w:p>
        </w:tc>
      </w:tr>
    </w:tbl>
    <w:p w14:paraId="5851DE54" w14:textId="24AC737C" w:rsidR="0081746E" w:rsidRDefault="0081746E" w:rsidP="0081746E"/>
    <w:tbl>
      <w:tblPr>
        <w:tblW w:w="8789" w:type="dxa"/>
        <w:tblInd w:w="108" w:type="dxa"/>
        <w:tblLook w:val="04A0" w:firstRow="1" w:lastRow="0" w:firstColumn="1" w:lastColumn="0" w:noHBand="0" w:noVBand="1"/>
      </w:tblPr>
      <w:tblGrid>
        <w:gridCol w:w="8789"/>
      </w:tblGrid>
      <w:tr w:rsidR="0081746E" w:rsidRPr="000612C5" w14:paraId="275BB941" w14:textId="77777777" w:rsidTr="0016598B">
        <w:tc>
          <w:tcPr>
            <w:tcW w:w="8789" w:type="dxa"/>
          </w:tcPr>
          <w:p w14:paraId="57CB251D" w14:textId="77777777" w:rsidR="0081746E" w:rsidRPr="00C40769" w:rsidRDefault="0081746E" w:rsidP="0016598B">
            <w:pPr>
              <w:pStyle w:val="ListParagraph"/>
              <w:ind w:left="0"/>
              <w:rPr>
                <w:rFonts w:ascii="Arial" w:hAnsi="Arial" w:cs="Arial"/>
                <w:b/>
                <w:bCs/>
                <w:sz w:val="24"/>
                <w:szCs w:val="24"/>
              </w:rPr>
            </w:pPr>
            <w:r w:rsidRPr="00C40769">
              <w:rPr>
                <w:rFonts w:ascii="Arial" w:hAnsi="Arial" w:cs="Arial"/>
                <w:b/>
                <w:bCs/>
                <w:sz w:val="24"/>
                <w:szCs w:val="24"/>
              </w:rPr>
              <w:t>Annual return reconciliations</w:t>
            </w:r>
          </w:p>
        </w:tc>
      </w:tr>
      <w:tr w:rsidR="0081746E" w:rsidRPr="000612C5" w14:paraId="71567B52" w14:textId="77777777" w:rsidTr="0016598B">
        <w:tc>
          <w:tcPr>
            <w:tcW w:w="8789" w:type="dxa"/>
          </w:tcPr>
          <w:p w14:paraId="04DEC5CA" w14:textId="77777777" w:rsidR="0081746E" w:rsidRPr="00C40769" w:rsidRDefault="0081746E" w:rsidP="0016598B">
            <w:pPr>
              <w:pStyle w:val="ListParagraph"/>
              <w:ind w:left="0"/>
              <w:rPr>
                <w:rFonts w:ascii="Arial" w:hAnsi="Arial" w:cs="Arial"/>
                <w:b/>
                <w:bCs/>
                <w:sz w:val="24"/>
                <w:szCs w:val="24"/>
              </w:rPr>
            </w:pPr>
            <w:r w:rsidRPr="00C40769">
              <w:rPr>
                <w:rFonts w:ascii="Arial" w:hAnsi="Arial" w:cs="Arial"/>
                <w:b/>
                <w:bCs/>
                <w:sz w:val="24"/>
                <w:szCs w:val="24"/>
              </w:rPr>
              <w:t>(Only complete for annual returns)</w:t>
            </w:r>
          </w:p>
        </w:tc>
      </w:tr>
    </w:tbl>
    <w:p w14:paraId="1DC5E7AF" w14:textId="77777777" w:rsidR="0081746E" w:rsidRDefault="0081746E" w:rsidP="0081746E"/>
    <w:tbl>
      <w:tblPr>
        <w:tblW w:w="13642" w:type="dxa"/>
        <w:tblInd w:w="108" w:type="dxa"/>
        <w:tblLayout w:type="fixed"/>
        <w:tblLook w:val="04A0" w:firstRow="1" w:lastRow="0" w:firstColumn="1" w:lastColumn="0" w:noHBand="0" w:noVBand="1"/>
      </w:tblPr>
      <w:tblGrid>
        <w:gridCol w:w="8823"/>
        <w:gridCol w:w="1517"/>
        <w:gridCol w:w="1518"/>
        <w:gridCol w:w="1784"/>
      </w:tblGrid>
      <w:tr w:rsidR="0081746E" w:rsidRPr="00EC29CA" w14:paraId="36DBA0C4" w14:textId="77777777" w:rsidTr="00703A5B">
        <w:trPr>
          <w:trHeight w:val="315"/>
        </w:trPr>
        <w:tc>
          <w:tcPr>
            <w:tcW w:w="8823" w:type="dxa"/>
            <w:tcBorders>
              <w:top w:val="nil"/>
              <w:left w:val="nil"/>
              <w:bottom w:val="nil"/>
              <w:right w:val="nil"/>
            </w:tcBorders>
            <w:shd w:val="clear" w:color="auto" w:fill="auto"/>
            <w:noWrap/>
            <w:vAlign w:val="bottom"/>
          </w:tcPr>
          <w:p w14:paraId="4C55F7D2" w14:textId="77777777" w:rsidR="0081746E" w:rsidRPr="00EC29CA" w:rsidRDefault="0081746E" w:rsidP="0081746E">
            <w:pPr>
              <w:pStyle w:val="ListParagraph"/>
              <w:numPr>
                <w:ilvl w:val="0"/>
                <w:numId w:val="22"/>
              </w:numPr>
              <w:contextualSpacing w:val="0"/>
              <w:rPr>
                <w:rFonts w:ascii="Arial" w:hAnsi="Arial" w:cs="Arial"/>
                <w:b/>
                <w:bCs/>
              </w:rPr>
            </w:pPr>
            <w:r w:rsidRPr="00CD09CA">
              <w:rPr>
                <w:rFonts w:ascii="Arial" w:hAnsi="Arial" w:cs="Arial"/>
                <w:b/>
                <w:bCs/>
              </w:rPr>
              <w:t>Reconciliation adjustments</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10590" w14:textId="77777777" w:rsidR="0081746E" w:rsidRPr="00FA1EF9" w:rsidRDefault="0081746E" w:rsidP="0016598B">
            <w:pPr>
              <w:jc w:val="center"/>
              <w:rPr>
                <w:rFonts w:ascii="Arial" w:hAnsi="Arial" w:cs="Arial"/>
              </w:rPr>
            </w:pPr>
          </w:p>
        </w:tc>
        <w:tc>
          <w:tcPr>
            <w:tcW w:w="1518" w:type="dxa"/>
            <w:tcBorders>
              <w:top w:val="single" w:sz="4" w:space="0" w:color="auto"/>
              <w:left w:val="nil"/>
              <w:bottom w:val="single" w:sz="4" w:space="0" w:color="auto"/>
              <w:right w:val="single" w:sz="4" w:space="0" w:color="auto"/>
            </w:tcBorders>
            <w:shd w:val="clear" w:color="auto" w:fill="auto"/>
            <w:noWrap/>
            <w:vAlign w:val="bottom"/>
          </w:tcPr>
          <w:p w14:paraId="3D0F29B9" w14:textId="77777777" w:rsidR="0081746E" w:rsidRPr="00FA1EF9" w:rsidRDefault="0081746E" w:rsidP="0016598B">
            <w:pPr>
              <w:jc w:val="center"/>
              <w:rPr>
                <w:rFonts w:ascii="Arial" w:hAnsi="Arial" w:cs="Arial"/>
              </w:rPr>
            </w:pPr>
          </w:p>
        </w:tc>
        <w:tc>
          <w:tcPr>
            <w:tcW w:w="1784" w:type="dxa"/>
            <w:tcBorders>
              <w:top w:val="single" w:sz="4" w:space="0" w:color="auto"/>
              <w:left w:val="nil"/>
              <w:bottom w:val="single" w:sz="4" w:space="0" w:color="auto"/>
              <w:right w:val="single" w:sz="4" w:space="0" w:color="auto"/>
            </w:tcBorders>
            <w:shd w:val="clear" w:color="auto" w:fill="A6A6A6"/>
            <w:noWrap/>
            <w:vAlign w:val="bottom"/>
          </w:tcPr>
          <w:p w14:paraId="09C071D5" w14:textId="77777777" w:rsidR="0081746E" w:rsidRPr="00FA1EF9" w:rsidRDefault="0081746E" w:rsidP="0016598B">
            <w:pPr>
              <w:jc w:val="center"/>
              <w:rPr>
                <w:rFonts w:ascii="Arial" w:hAnsi="Arial" w:cs="Arial"/>
                <w:bCs/>
              </w:rPr>
            </w:pPr>
          </w:p>
        </w:tc>
      </w:tr>
      <w:tr w:rsidR="0081746E" w:rsidRPr="00EC29CA" w14:paraId="07AA349A" w14:textId="77777777" w:rsidTr="00703A5B">
        <w:trPr>
          <w:trHeight w:val="315"/>
        </w:trPr>
        <w:tc>
          <w:tcPr>
            <w:tcW w:w="8823" w:type="dxa"/>
            <w:tcBorders>
              <w:top w:val="nil"/>
              <w:left w:val="nil"/>
              <w:bottom w:val="nil"/>
            </w:tcBorders>
            <w:shd w:val="clear" w:color="auto" w:fill="auto"/>
            <w:noWrap/>
            <w:vAlign w:val="bottom"/>
          </w:tcPr>
          <w:p w14:paraId="22B3555F" w14:textId="77777777" w:rsidR="0081746E" w:rsidRPr="00CD09CA" w:rsidRDefault="0081746E" w:rsidP="0016598B">
            <w:pPr>
              <w:pStyle w:val="ListParagraph"/>
              <w:ind w:left="0"/>
              <w:rPr>
                <w:rFonts w:ascii="Arial" w:hAnsi="Arial" w:cs="Arial"/>
                <w:b/>
                <w:bCs/>
              </w:rPr>
            </w:pPr>
          </w:p>
        </w:tc>
        <w:tc>
          <w:tcPr>
            <w:tcW w:w="1517" w:type="dxa"/>
            <w:tcBorders>
              <w:top w:val="single" w:sz="4" w:space="0" w:color="auto"/>
              <w:bottom w:val="single" w:sz="4" w:space="0" w:color="auto"/>
            </w:tcBorders>
            <w:shd w:val="clear" w:color="auto" w:fill="auto"/>
            <w:noWrap/>
            <w:vAlign w:val="bottom"/>
          </w:tcPr>
          <w:p w14:paraId="54DEF301" w14:textId="77777777" w:rsidR="0081746E" w:rsidRPr="00FA1EF9" w:rsidRDefault="0081746E" w:rsidP="0016598B">
            <w:pPr>
              <w:jc w:val="center"/>
              <w:rPr>
                <w:rFonts w:ascii="Arial" w:hAnsi="Arial" w:cs="Arial"/>
              </w:rPr>
            </w:pPr>
          </w:p>
        </w:tc>
        <w:tc>
          <w:tcPr>
            <w:tcW w:w="1518" w:type="dxa"/>
            <w:tcBorders>
              <w:top w:val="single" w:sz="4" w:space="0" w:color="auto"/>
              <w:bottom w:val="single" w:sz="4" w:space="0" w:color="auto"/>
            </w:tcBorders>
            <w:shd w:val="clear" w:color="auto" w:fill="auto"/>
            <w:noWrap/>
            <w:vAlign w:val="bottom"/>
          </w:tcPr>
          <w:p w14:paraId="081D50DF" w14:textId="77777777" w:rsidR="0081746E" w:rsidRPr="00FA1EF9" w:rsidRDefault="0081746E" w:rsidP="0016598B">
            <w:pPr>
              <w:jc w:val="center"/>
              <w:rPr>
                <w:rFonts w:ascii="Arial" w:hAnsi="Arial" w:cs="Arial"/>
              </w:rPr>
            </w:pPr>
          </w:p>
        </w:tc>
        <w:tc>
          <w:tcPr>
            <w:tcW w:w="1784" w:type="dxa"/>
            <w:tcBorders>
              <w:top w:val="single" w:sz="4" w:space="0" w:color="auto"/>
              <w:bottom w:val="single" w:sz="4" w:space="0" w:color="auto"/>
            </w:tcBorders>
            <w:shd w:val="clear" w:color="auto" w:fill="auto"/>
            <w:noWrap/>
            <w:vAlign w:val="bottom"/>
          </w:tcPr>
          <w:p w14:paraId="67B436E1" w14:textId="77777777" w:rsidR="0081746E" w:rsidRPr="00FA1EF9" w:rsidRDefault="0081746E" w:rsidP="0016598B">
            <w:pPr>
              <w:jc w:val="center"/>
              <w:rPr>
                <w:rFonts w:ascii="Arial" w:hAnsi="Arial" w:cs="Arial"/>
                <w:bCs/>
              </w:rPr>
            </w:pPr>
          </w:p>
        </w:tc>
      </w:tr>
      <w:tr w:rsidR="0081746E" w:rsidRPr="009441EA" w14:paraId="4E3633E7" w14:textId="77777777" w:rsidTr="00703A5B">
        <w:trPr>
          <w:trHeight w:val="315"/>
        </w:trPr>
        <w:tc>
          <w:tcPr>
            <w:tcW w:w="8823" w:type="dxa"/>
            <w:tcBorders>
              <w:top w:val="nil"/>
              <w:left w:val="nil"/>
              <w:bottom w:val="nil"/>
              <w:right w:val="nil"/>
            </w:tcBorders>
            <w:shd w:val="clear" w:color="auto" w:fill="auto"/>
            <w:noWrap/>
            <w:vAlign w:val="bottom"/>
          </w:tcPr>
          <w:p w14:paraId="27B0A9C6" w14:textId="77777777" w:rsidR="0081746E" w:rsidRPr="00EC29CA" w:rsidRDefault="0081746E" w:rsidP="0081746E">
            <w:pPr>
              <w:pStyle w:val="ListParagraph"/>
              <w:numPr>
                <w:ilvl w:val="0"/>
                <w:numId w:val="22"/>
              </w:numPr>
              <w:contextualSpacing w:val="0"/>
              <w:rPr>
                <w:rFonts w:ascii="Arial" w:hAnsi="Arial" w:cs="Arial"/>
                <w:b/>
                <w:bCs/>
              </w:rPr>
            </w:pPr>
            <w:r w:rsidRPr="00CD09CA">
              <w:rPr>
                <w:rFonts w:ascii="Arial" w:hAnsi="Arial" w:cs="Arial"/>
                <w:b/>
                <w:bCs/>
              </w:rPr>
              <w:t>Operating profit/(loss) after tax, per general purpose accounts - statement of profit or loss</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DE2C0" w14:textId="77777777" w:rsidR="0081746E" w:rsidRPr="00FA1EF9" w:rsidRDefault="0081746E" w:rsidP="0016598B">
            <w:pPr>
              <w:jc w:val="center"/>
              <w:rPr>
                <w:rFonts w:ascii="Arial" w:hAnsi="Arial" w:cs="Arial"/>
              </w:rPr>
            </w:pPr>
          </w:p>
        </w:tc>
        <w:tc>
          <w:tcPr>
            <w:tcW w:w="1518" w:type="dxa"/>
            <w:tcBorders>
              <w:top w:val="single" w:sz="4" w:space="0" w:color="auto"/>
              <w:left w:val="nil"/>
              <w:bottom w:val="single" w:sz="4" w:space="0" w:color="auto"/>
              <w:right w:val="single" w:sz="4" w:space="0" w:color="auto"/>
            </w:tcBorders>
            <w:shd w:val="clear" w:color="auto" w:fill="auto"/>
            <w:noWrap/>
            <w:vAlign w:val="bottom"/>
          </w:tcPr>
          <w:p w14:paraId="75A0C713" w14:textId="77777777" w:rsidR="0081746E" w:rsidRPr="00FA1EF9" w:rsidRDefault="0081746E" w:rsidP="0016598B">
            <w:pPr>
              <w:jc w:val="center"/>
              <w:rPr>
                <w:rFonts w:ascii="Arial" w:hAnsi="Arial" w:cs="Arial"/>
              </w:rPr>
            </w:pPr>
          </w:p>
        </w:tc>
        <w:tc>
          <w:tcPr>
            <w:tcW w:w="1784" w:type="dxa"/>
            <w:tcBorders>
              <w:top w:val="single" w:sz="4" w:space="0" w:color="auto"/>
              <w:left w:val="nil"/>
              <w:bottom w:val="single" w:sz="4" w:space="0" w:color="auto"/>
              <w:right w:val="single" w:sz="4" w:space="0" w:color="auto"/>
            </w:tcBorders>
            <w:shd w:val="clear" w:color="auto" w:fill="A6A6A6"/>
            <w:noWrap/>
            <w:vAlign w:val="bottom"/>
          </w:tcPr>
          <w:p w14:paraId="34021040" w14:textId="77777777" w:rsidR="0081746E" w:rsidRPr="00FA1EF9" w:rsidRDefault="0081746E" w:rsidP="0016598B">
            <w:pPr>
              <w:jc w:val="center"/>
              <w:rPr>
                <w:rFonts w:ascii="Arial" w:hAnsi="Arial" w:cs="Arial"/>
                <w:bCs/>
              </w:rPr>
            </w:pPr>
          </w:p>
        </w:tc>
      </w:tr>
    </w:tbl>
    <w:p w14:paraId="000AAE90" w14:textId="2E52F0BA" w:rsidR="00E54887" w:rsidRPr="002A4120" w:rsidRDefault="00E54887" w:rsidP="00E54887">
      <w:pPr>
        <w:keepNext/>
        <w:spacing w:before="120" w:after="240"/>
        <w:jc w:val="both"/>
        <w:sectPr w:rsidR="00E54887" w:rsidRPr="002A4120" w:rsidSect="009C47AA">
          <w:headerReference w:type="default" r:id="rId18"/>
          <w:footerReference w:type="default" r:id="rId19"/>
          <w:pgSz w:w="16838" w:h="11906" w:orient="landscape"/>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813412" w:rsidRPr="00FC3309" w14:paraId="6A86E258" w14:textId="77777777" w:rsidTr="0016598B">
        <w:trPr>
          <w:trHeight w:val="300"/>
        </w:trPr>
        <w:tc>
          <w:tcPr>
            <w:tcW w:w="8806" w:type="dxa"/>
            <w:shd w:val="clear" w:color="auto" w:fill="auto"/>
            <w:noWrap/>
            <w:vAlign w:val="bottom"/>
            <w:hideMark/>
          </w:tcPr>
          <w:p w14:paraId="75AF8B7B" w14:textId="77777777" w:rsidR="00813412" w:rsidRPr="003168CB" w:rsidRDefault="00813412" w:rsidP="0016598B">
            <w:pPr>
              <w:jc w:val="center"/>
              <w:rPr>
                <w:rFonts w:ascii="Arial" w:hAnsi="Arial" w:cs="Arial"/>
                <w:sz w:val="32"/>
                <w:szCs w:val="32"/>
              </w:rPr>
            </w:pPr>
            <w:r w:rsidRPr="003168CB">
              <w:rPr>
                <w:rFonts w:ascii="Arial" w:hAnsi="Arial" w:cs="Arial"/>
                <w:b/>
                <w:bCs/>
                <w:sz w:val="32"/>
                <w:szCs w:val="32"/>
              </w:rPr>
              <w:lastRenderedPageBreak/>
              <w:t>LRF_310_2: Income Statement (SF Total, GF, GF Elim, Entity)</w:t>
            </w:r>
          </w:p>
        </w:tc>
      </w:tr>
    </w:tbl>
    <w:p w14:paraId="53A64320" w14:textId="77777777" w:rsidR="00813412" w:rsidRPr="00FC3309" w:rsidRDefault="00813412" w:rsidP="00813412">
      <w:pPr>
        <w:rPr>
          <w:rFonts w:ascii="Arial" w:hAnsi="Arial" w:cs="Arial"/>
        </w:rPr>
      </w:pPr>
    </w:p>
    <w:tbl>
      <w:tblPr>
        <w:tblW w:w="13892" w:type="dxa"/>
        <w:tblInd w:w="108" w:type="dxa"/>
        <w:tblLayout w:type="fixed"/>
        <w:tblLook w:val="04A0" w:firstRow="1" w:lastRow="0" w:firstColumn="1" w:lastColumn="0" w:noHBand="0" w:noVBand="1"/>
      </w:tblPr>
      <w:tblGrid>
        <w:gridCol w:w="6946"/>
        <w:gridCol w:w="6946"/>
      </w:tblGrid>
      <w:tr w:rsidR="00813412" w:rsidRPr="00FC3309" w14:paraId="5E9D9B66" w14:textId="77777777" w:rsidTr="0016598B">
        <w:trPr>
          <w:trHeight w:val="317"/>
        </w:trPr>
        <w:tc>
          <w:tcPr>
            <w:tcW w:w="6946" w:type="dxa"/>
            <w:tcBorders>
              <w:top w:val="nil"/>
              <w:left w:val="nil"/>
              <w:bottom w:val="single" w:sz="4" w:space="0" w:color="auto"/>
              <w:right w:val="nil"/>
            </w:tcBorders>
            <w:vAlign w:val="bottom"/>
            <w:hideMark/>
          </w:tcPr>
          <w:p w14:paraId="2C6A17D0" w14:textId="77777777" w:rsidR="00813412" w:rsidRPr="00FC3309" w:rsidRDefault="00813412" w:rsidP="0016598B">
            <w:pPr>
              <w:rPr>
                <w:rFonts w:ascii="Arial" w:hAnsi="Arial" w:cs="Arial"/>
                <w:b/>
                <w:bCs/>
              </w:rPr>
            </w:pPr>
            <w:r w:rsidRPr="00FC3309">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7D2063B2" w14:textId="77777777" w:rsidR="00813412" w:rsidRPr="00FC3309" w:rsidRDefault="00813412" w:rsidP="0016598B">
            <w:pPr>
              <w:rPr>
                <w:rFonts w:ascii="Arial" w:hAnsi="Arial" w:cs="Arial"/>
                <w:b/>
                <w:bCs/>
              </w:rPr>
            </w:pPr>
            <w:r w:rsidRPr="00FC3309">
              <w:rPr>
                <w:rFonts w:ascii="Arial" w:hAnsi="Arial" w:cs="Arial"/>
                <w:b/>
                <w:bCs/>
              </w:rPr>
              <w:t>Institution Name</w:t>
            </w:r>
          </w:p>
        </w:tc>
      </w:tr>
      <w:tr w:rsidR="00813412" w:rsidRPr="00FC3309" w14:paraId="371E4BCE" w14:textId="77777777" w:rsidTr="0016598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5F5F7C15" w14:textId="77777777" w:rsidR="00813412" w:rsidRPr="00FC3309" w:rsidRDefault="00813412" w:rsidP="0016598B">
            <w:pPr>
              <w:rPr>
                <w:rFonts w:ascii="Arial" w:hAnsi="Arial" w:cs="Arial"/>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D281E46" w14:textId="77777777" w:rsidR="00813412" w:rsidRPr="00FC3309" w:rsidRDefault="00813412" w:rsidP="0016598B">
            <w:pPr>
              <w:rPr>
                <w:rFonts w:ascii="Arial" w:hAnsi="Arial" w:cs="Arial"/>
              </w:rPr>
            </w:pPr>
            <w:r w:rsidRPr="00471DA5">
              <w:rPr>
                <w:rFonts w:ascii="Arial" w:hAnsi="Arial" w:cs="Arial"/>
              </w:rPr>
              <w:t>Life companies including friendly societies</w:t>
            </w:r>
          </w:p>
        </w:tc>
      </w:tr>
      <w:tr w:rsidR="00813412" w:rsidRPr="00FC3309" w14:paraId="339C872D" w14:textId="77777777" w:rsidTr="0016598B">
        <w:trPr>
          <w:trHeight w:val="317"/>
        </w:trPr>
        <w:tc>
          <w:tcPr>
            <w:tcW w:w="6946" w:type="dxa"/>
            <w:tcBorders>
              <w:top w:val="single" w:sz="4" w:space="0" w:color="auto"/>
              <w:left w:val="nil"/>
              <w:bottom w:val="single" w:sz="4" w:space="0" w:color="auto"/>
              <w:right w:val="nil"/>
            </w:tcBorders>
            <w:noWrap/>
            <w:vAlign w:val="bottom"/>
            <w:hideMark/>
          </w:tcPr>
          <w:p w14:paraId="204EF8BA" w14:textId="77777777" w:rsidR="00813412" w:rsidRPr="00FC3309" w:rsidRDefault="00813412" w:rsidP="0016598B">
            <w:pPr>
              <w:rPr>
                <w:rFonts w:ascii="Arial" w:hAnsi="Arial" w:cs="Arial"/>
                <w:b/>
              </w:rPr>
            </w:pPr>
            <w:r w:rsidRPr="00FC3309">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10A8B7B6" w14:textId="77777777" w:rsidR="00813412" w:rsidRPr="00FC3309" w:rsidRDefault="00813412" w:rsidP="0016598B">
            <w:pPr>
              <w:rPr>
                <w:rFonts w:ascii="Arial" w:hAnsi="Arial" w:cs="Arial"/>
                <w:b/>
              </w:rPr>
            </w:pPr>
            <w:r w:rsidRPr="00FC3309">
              <w:rPr>
                <w:rFonts w:ascii="Arial" w:hAnsi="Arial" w:cs="Arial"/>
                <w:b/>
              </w:rPr>
              <w:t xml:space="preserve">Scale Factor </w:t>
            </w:r>
          </w:p>
        </w:tc>
      </w:tr>
      <w:tr w:rsidR="00813412" w:rsidRPr="00FC3309" w14:paraId="7E87F4DA" w14:textId="77777777" w:rsidTr="0016598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16FA9CD2" w14:textId="77777777" w:rsidR="00813412" w:rsidRPr="00FC3309" w:rsidRDefault="00813412" w:rsidP="0016598B">
            <w:pPr>
              <w:rPr>
                <w:rFonts w:ascii="Arial" w:hAnsi="Arial" w:cs="Arial"/>
              </w:rPr>
            </w:pPr>
            <w:r>
              <w:rPr>
                <w:rFonts w:ascii="Arial" w:hAnsi="Arial" w:cs="Arial"/>
              </w:rPr>
              <w:t>Quarterly / 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75EE51B" w14:textId="77777777" w:rsidR="00813412" w:rsidRPr="00FC3309" w:rsidRDefault="00813412" w:rsidP="0016598B">
            <w:pPr>
              <w:rPr>
                <w:rFonts w:ascii="Arial" w:hAnsi="Arial" w:cs="Arial"/>
              </w:rPr>
            </w:pPr>
            <w:r>
              <w:rPr>
                <w:rFonts w:ascii="Arial" w:hAnsi="Arial" w:cs="Arial"/>
              </w:rPr>
              <w:t>Thousands</w:t>
            </w:r>
          </w:p>
        </w:tc>
      </w:tr>
      <w:tr w:rsidR="00813412" w:rsidRPr="00FC3309" w14:paraId="43EAF144" w14:textId="77777777" w:rsidTr="0016598B">
        <w:trPr>
          <w:trHeight w:val="317"/>
        </w:trPr>
        <w:tc>
          <w:tcPr>
            <w:tcW w:w="6946" w:type="dxa"/>
            <w:tcBorders>
              <w:top w:val="single" w:sz="4" w:space="0" w:color="auto"/>
              <w:bottom w:val="single" w:sz="4" w:space="0" w:color="auto"/>
            </w:tcBorders>
            <w:noWrap/>
            <w:vAlign w:val="bottom"/>
          </w:tcPr>
          <w:p w14:paraId="40C94A4E" w14:textId="77777777" w:rsidR="00813412" w:rsidRPr="00FC3309" w:rsidRDefault="00813412" w:rsidP="0016598B">
            <w:pPr>
              <w:rPr>
                <w:rFonts w:ascii="Arial" w:hAnsi="Arial" w:cs="Arial"/>
              </w:rPr>
            </w:pPr>
            <w:r w:rsidRPr="00FC3309">
              <w:rPr>
                <w:rFonts w:ascii="Arial" w:hAnsi="Arial" w:cs="Arial"/>
                <w:b/>
              </w:rPr>
              <w:t>Reporting Consolidation</w:t>
            </w:r>
          </w:p>
        </w:tc>
        <w:tc>
          <w:tcPr>
            <w:tcW w:w="6946" w:type="dxa"/>
            <w:tcBorders>
              <w:top w:val="single" w:sz="4" w:space="0" w:color="auto"/>
            </w:tcBorders>
            <w:noWrap/>
            <w:vAlign w:val="bottom"/>
          </w:tcPr>
          <w:p w14:paraId="05345699" w14:textId="77777777" w:rsidR="00813412" w:rsidRPr="00FC3309" w:rsidRDefault="00813412" w:rsidP="0016598B">
            <w:pPr>
              <w:rPr>
                <w:rFonts w:ascii="Arial" w:hAnsi="Arial" w:cs="Arial"/>
              </w:rPr>
            </w:pPr>
          </w:p>
        </w:tc>
      </w:tr>
      <w:tr w:rsidR="00813412" w:rsidRPr="00FC3309" w14:paraId="56D4702A" w14:textId="77777777" w:rsidTr="0016598B">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273694B2" w14:textId="77777777" w:rsidR="00813412" w:rsidRPr="00FC3309" w:rsidRDefault="00813412" w:rsidP="0016598B">
            <w:pPr>
              <w:rPr>
                <w:rFonts w:ascii="Arial" w:hAnsi="Arial" w:cs="Arial"/>
              </w:rPr>
            </w:pPr>
            <w:r>
              <w:rPr>
                <w:rFonts w:ascii="Arial" w:hAnsi="Arial" w:cs="Arial"/>
              </w:rPr>
              <w:t>Licensed insurer</w:t>
            </w:r>
          </w:p>
        </w:tc>
        <w:tc>
          <w:tcPr>
            <w:tcW w:w="6946" w:type="dxa"/>
            <w:tcBorders>
              <w:left w:val="single" w:sz="4" w:space="0" w:color="auto"/>
            </w:tcBorders>
            <w:noWrap/>
            <w:vAlign w:val="bottom"/>
          </w:tcPr>
          <w:p w14:paraId="73F34614" w14:textId="77777777" w:rsidR="00813412" w:rsidRPr="00FC3309" w:rsidRDefault="00813412" w:rsidP="0016598B">
            <w:pPr>
              <w:rPr>
                <w:rFonts w:ascii="Arial" w:hAnsi="Arial" w:cs="Arial"/>
              </w:rPr>
            </w:pPr>
          </w:p>
        </w:tc>
      </w:tr>
    </w:tbl>
    <w:p w14:paraId="2EDFE1B0" w14:textId="77777777" w:rsidR="00813412" w:rsidRPr="00FC3309" w:rsidRDefault="00813412" w:rsidP="00813412">
      <w:pPr>
        <w:rPr>
          <w:rFonts w:ascii="Arial" w:hAnsi="Arial" w:cs="Arial"/>
        </w:rPr>
      </w:pPr>
    </w:p>
    <w:tbl>
      <w:tblPr>
        <w:tblW w:w="13892" w:type="dxa"/>
        <w:tblInd w:w="108" w:type="dxa"/>
        <w:tblLook w:val="04A0" w:firstRow="1" w:lastRow="0" w:firstColumn="1" w:lastColumn="0" w:noHBand="0" w:noVBand="1"/>
      </w:tblPr>
      <w:tblGrid>
        <w:gridCol w:w="13892"/>
      </w:tblGrid>
      <w:tr w:rsidR="00813412" w:rsidRPr="00FC3309" w14:paraId="3CC2D022" w14:textId="77777777" w:rsidTr="0016598B">
        <w:tc>
          <w:tcPr>
            <w:tcW w:w="13892" w:type="dxa"/>
          </w:tcPr>
          <w:p w14:paraId="5DE1DC07" w14:textId="77777777" w:rsidR="00813412" w:rsidRPr="00FC3309" w:rsidRDefault="00813412" w:rsidP="0016598B">
            <w:pPr>
              <w:rPr>
                <w:rFonts w:ascii="Arial" w:hAnsi="Arial" w:cs="Arial"/>
              </w:rPr>
            </w:pPr>
            <w:r w:rsidRPr="00EC29CA">
              <w:rPr>
                <w:rFonts w:ascii="Arial" w:hAnsi="Arial" w:cs="Arial"/>
                <w:b/>
                <w:bCs/>
              </w:rPr>
              <w:t>Revenue</w:t>
            </w:r>
          </w:p>
        </w:tc>
      </w:tr>
    </w:tbl>
    <w:p w14:paraId="18B78F28" w14:textId="77777777" w:rsidR="00813412" w:rsidRPr="00FC3309" w:rsidRDefault="00813412" w:rsidP="00813412">
      <w:pPr>
        <w:rPr>
          <w:rFonts w:ascii="Arial" w:hAnsi="Arial" w:cs="Arial"/>
        </w:rPr>
      </w:pPr>
    </w:p>
    <w:tbl>
      <w:tblPr>
        <w:tblW w:w="13892" w:type="dxa"/>
        <w:tblInd w:w="108" w:type="dxa"/>
        <w:tblLayout w:type="fixed"/>
        <w:tblLook w:val="04A0" w:firstRow="1" w:lastRow="0" w:firstColumn="1" w:lastColumn="0" w:noHBand="0" w:noVBand="1"/>
      </w:tblPr>
      <w:tblGrid>
        <w:gridCol w:w="5290"/>
        <w:gridCol w:w="1433"/>
        <w:gridCol w:w="1434"/>
        <w:gridCol w:w="1434"/>
        <w:gridCol w:w="1433"/>
        <w:gridCol w:w="1434"/>
        <w:gridCol w:w="1434"/>
      </w:tblGrid>
      <w:tr w:rsidR="00813412" w:rsidRPr="00FC3309" w14:paraId="0C0169C1" w14:textId="77777777" w:rsidTr="0016598B">
        <w:trPr>
          <w:trHeight w:val="321"/>
        </w:trPr>
        <w:tc>
          <w:tcPr>
            <w:tcW w:w="5290" w:type="dxa"/>
            <w:tcBorders>
              <w:top w:val="nil"/>
              <w:left w:val="nil"/>
              <w:bottom w:val="nil"/>
              <w:right w:val="nil"/>
            </w:tcBorders>
            <w:shd w:val="clear" w:color="auto" w:fill="auto"/>
            <w:noWrap/>
            <w:vAlign w:val="bottom"/>
            <w:hideMark/>
          </w:tcPr>
          <w:p w14:paraId="54FBAD19" w14:textId="77777777" w:rsidR="00813412" w:rsidRPr="00FC3309" w:rsidRDefault="00813412" w:rsidP="0016598B">
            <w:pPr>
              <w:rPr>
                <w:rFonts w:ascii="Arial" w:hAnsi="Arial" w:cs="Arial"/>
                <w:b/>
                <w:bCs/>
                <w:sz w:val="20"/>
                <w:szCs w:val="20"/>
              </w:rPr>
            </w:pPr>
          </w:p>
        </w:tc>
        <w:tc>
          <w:tcPr>
            <w:tcW w:w="4301" w:type="dxa"/>
            <w:gridSpan w:val="3"/>
            <w:tcBorders>
              <w:top w:val="single" w:sz="4" w:space="0" w:color="auto"/>
              <w:left w:val="single" w:sz="4" w:space="0" w:color="auto"/>
              <w:bottom w:val="nil"/>
              <w:right w:val="single" w:sz="4" w:space="0" w:color="auto"/>
            </w:tcBorders>
            <w:shd w:val="clear" w:color="auto" w:fill="auto"/>
            <w:vAlign w:val="bottom"/>
            <w:hideMark/>
          </w:tcPr>
          <w:p w14:paraId="562C816E" w14:textId="77777777" w:rsidR="00813412" w:rsidRPr="00FC3309" w:rsidRDefault="00813412" w:rsidP="0016598B">
            <w:pPr>
              <w:jc w:val="center"/>
              <w:rPr>
                <w:rFonts w:ascii="Arial" w:hAnsi="Arial" w:cs="Arial"/>
                <w:b/>
                <w:bCs/>
                <w:sz w:val="20"/>
                <w:szCs w:val="20"/>
              </w:rPr>
            </w:pPr>
            <w:r w:rsidRPr="009A2CB8">
              <w:rPr>
                <w:rFonts w:ascii="Arial" w:hAnsi="Arial" w:cs="Arial"/>
                <w:b/>
                <w:bCs/>
                <w:sz w:val="20"/>
                <w:szCs w:val="20"/>
              </w:rPr>
              <w:t>Total statutory funds</w:t>
            </w:r>
          </w:p>
        </w:tc>
        <w:tc>
          <w:tcPr>
            <w:tcW w:w="1433" w:type="dxa"/>
            <w:vMerge w:val="restart"/>
            <w:tcBorders>
              <w:top w:val="single" w:sz="4" w:space="0" w:color="auto"/>
              <w:left w:val="nil"/>
              <w:right w:val="single" w:sz="4" w:space="0" w:color="auto"/>
            </w:tcBorders>
            <w:shd w:val="clear" w:color="auto" w:fill="auto"/>
            <w:vAlign w:val="bottom"/>
            <w:hideMark/>
          </w:tcPr>
          <w:p w14:paraId="046E41A4" w14:textId="77777777" w:rsidR="00813412" w:rsidRPr="00FC3309" w:rsidRDefault="00813412" w:rsidP="0016598B">
            <w:pPr>
              <w:jc w:val="center"/>
              <w:rPr>
                <w:rFonts w:ascii="Arial" w:hAnsi="Arial" w:cs="Arial"/>
                <w:b/>
                <w:bCs/>
                <w:sz w:val="20"/>
                <w:szCs w:val="20"/>
              </w:rPr>
            </w:pPr>
            <w:r>
              <w:rPr>
                <w:rFonts w:ascii="Arial" w:hAnsi="Arial" w:cs="Arial"/>
                <w:b/>
                <w:bCs/>
                <w:sz w:val="20"/>
                <w:szCs w:val="20"/>
              </w:rPr>
              <w:t>General fund</w:t>
            </w:r>
          </w:p>
        </w:tc>
        <w:tc>
          <w:tcPr>
            <w:tcW w:w="1434" w:type="dxa"/>
            <w:vMerge w:val="restart"/>
            <w:tcBorders>
              <w:top w:val="single" w:sz="4" w:space="0" w:color="auto"/>
              <w:left w:val="nil"/>
              <w:right w:val="single" w:sz="4" w:space="0" w:color="auto"/>
            </w:tcBorders>
            <w:vAlign w:val="bottom"/>
          </w:tcPr>
          <w:p w14:paraId="14D8DA8A" w14:textId="77777777" w:rsidR="00813412" w:rsidRPr="00FC3309" w:rsidRDefault="00813412" w:rsidP="0016598B">
            <w:pPr>
              <w:jc w:val="center"/>
              <w:rPr>
                <w:rFonts w:ascii="Arial" w:hAnsi="Arial" w:cs="Arial"/>
                <w:b/>
                <w:bCs/>
                <w:sz w:val="20"/>
                <w:szCs w:val="20"/>
              </w:rPr>
            </w:pPr>
            <w:r>
              <w:rPr>
                <w:rFonts w:ascii="Arial" w:hAnsi="Arial" w:cs="Arial"/>
                <w:b/>
                <w:bCs/>
                <w:sz w:val="20"/>
                <w:szCs w:val="20"/>
              </w:rPr>
              <w:t>General fund elimination</w:t>
            </w:r>
          </w:p>
        </w:tc>
        <w:tc>
          <w:tcPr>
            <w:tcW w:w="1434" w:type="dxa"/>
            <w:vMerge w:val="restart"/>
            <w:tcBorders>
              <w:top w:val="single" w:sz="4" w:space="0" w:color="auto"/>
              <w:left w:val="nil"/>
              <w:right w:val="single" w:sz="4" w:space="0" w:color="auto"/>
            </w:tcBorders>
            <w:vAlign w:val="bottom"/>
          </w:tcPr>
          <w:p w14:paraId="5E44AF2E" w14:textId="77777777" w:rsidR="00813412" w:rsidRPr="00FC3309" w:rsidRDefault="00813412" w:rsidP="0016598B">
            <w:pPr>
              <w:jc w:val="center"/>
              <w:rPr>
                <w:rFonts w:ascii="Arial" w:hAnsi="Arial" w:cs="Arial"/>
                <w:b/>
                <w:bCs/>
                <w:sz w:val="20"/>
                <w:szCs w:val="20"/>
              </w:rPr>
            </w:pPr>
            <w:r>
              <w:rPr>
                <w:rFonts w:ascii="Arial" w:hAnsi="Arial" w:cs="Arial"/>
                <w:b/>
                <w:bCs/>
                <w:sz w:val="20"/>
                <w:szCs w:val="20"/>
              </w:rPr>
              <w:t>Total entity</w:t>
            </w:r>
          </w:p>
        </w:tc>
      </w:tr>
      <w:tr w:rsidR="00813412" w:rsidRPr="00FC3309" w14:paraId="4BFBEA74" w14:textId="77777777" w:rsidTr="0016598B">
        <w:trPr>
          <w:trHeight w:val="315"/>
        </w:trPr>
        <w:tc>
          <w:tcPr>
            <w:tcW w:w="5290" w:type="dxa"/>
            <w:tcBorders>
              <w:top w:val="nil"/>
              <w:left w:val="nil"/>
              <w:bottom w:val="nil"/>
              <w:right w:val="nil"/>
            </w:tcBorders>
            <w:shd w:val="clear" w:color="auto" w:fill="auto"/>
            <w:noWrap/>
            <w:vAlign w:val="bottom"/>
            <w:hideMark/>
          </w:tcPr>
          <w:p w14:paraId="2D42D620" w14:textId="77777777" w:rsidR="00813412" w:rsidRPr="00FC3309" w:rsidRDefault="00813412" w:rsidP="0016598B">
            <w:pPr>
              <w:rPr>
                <w:rFonts w:ascii="Arial" w:hAnsi="Arial" w:cs="Arial"/>
                <w:b/>
                <w:bCs/>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14:paraId="781D4843" w14:textId="77777777" w:rsidR="00813412" w:rsidRPr="00EC29CA" w:rsidRDefault="00813412" w:rsidP="0016598B">
            <w:pPr>
              <w:jc w:val="center"/>
              <w:rPr>
                <w:rFonts w:ascii="Arial" w:hAnsi="Arial" w:cs="Arial"/>
                <w:b/>
                <w:bCs/>
                <w:sz w:val="20"/>
                <w:szCs w:val="20"/>
              </w:rPr>
            </w:pPr>
            <w:r w:rsidRPr="00EC29CA">
              <w:rPr>
                <w:rFonts w:ascii="Arial" w:hAnsi="Arial" w:cs="Arial"/>
                <w:b/>
                <w:bCs/>
                <w:sz w:val="20"/>
                <w:szCs w:val="20"/>
              </w:rPr>
              <w:t>Australian business</w:t>
            </w:r>
          </w:p>
        </w:tc>
        <w:tc>
          <w:tcPr>
            <w:tcW w:w="1434" w:type="dxa"/>
            <w:tcBorders>
              <w:top w:val="single" w:sz="4" w:space="0" w:color="auto"/>
              <w:left w:val="nil"/>
              <w:bottom w:val="single" w:sz="4" w:space="0" w:color="auto"/>
              <w:right w:val="single" w:sz="4" w:space="0" w:color="auto"/>
            </w:tcBorders>
            <w:shd w:val="clear" w:color="auto" w:fill="auto"/>
            <w:vAlign w:val="bottom"/>
          </w:tcPr>
          <w:p w14:paraId="166A2CDA" w14:textId="77777777" w:rsidR="00813412" w:rsidRPr="00EC29CA" w:rsidRDefault="00813412" w:rsidP="0016598B">
            <w:pPr>
              <w:jc w:val="center"/>
              <w:rPr>
                <w:rFonts w:ascii="Arial" w:hAnsi="Arial" w:cs="Arial"/>
                <w:b/>
                <w:bCs/>
                <w:sz w:val="20"/>
                <w:szCs w:val="20"/>
              </w:rPr>
            </w:pPr>
            <w:r w:rsidRPr="00EC29CA">
              <w:rPr>
                <w:rFonts w:ascii="Arial" w:hAnsi="Arial" w:cs="Arial"/>
                <w:b/>
                <w:bCs/>
                <w:sz w:val="20"/>
                <w:szCs w:val="20"/>
              </w:rPr>
              <w:t>Overseas business</w:t>
            </w:r>
          </w:p>
        </w:tc>
        <w:tc>
          <w:tcPr>
            <w:tcW w:w="1434" w:type="dxa"/>
            <w:tcBorders>
              <w:top w:val="single" w:sz="4" w:space="0" w:color="auto"/>
              <w:left w:val="nil"/>
              <w:bottom w:val="single" w:sz="4" w:space="0" w:color="auto"/>
              <w:right w:val="single" w:sz="4" w:space="0" w:color="auto"/>
            </w:tcBorders>
            <w:shd w:val="clear" w:color="auto" w:fill="auto"/>
            <w:vAlign w:val="bottom"/>
          </w:tcPr>
          <w:p w14:paraId="02475A13" w14:textId="77777777" w:rsidR="00813412" w:rsidRPr="00EC29CA" w:rsidRDefault="00813412" w:rsidP="0016598B">
            <w:pPr>
              <w:jc w:val="center"/>
              <w:rPr>
                <w:rFonts w:ascii="Arial" w:hAnsi="Arial" w:cs="Arial"/>
                <w:b/>
                <w:bCs/>
                <w:sz w:val="20"/>
                <w:szCs w:val="20"/>
              </w:rPr>
            </w:pPr>
            <w:r w:rsidRPr="00EC29CA">
              <w:rPr>
                <w:rFonts w:ascii="Arial" w:hAnsi="Arial" w:cs="Arial"/>
                <w:b/>
                <w:bCs/>
                <w:sz w:val="20"/>
                <w:szCs w:val="20"/>
              </w:rPr>
              <w:t>Total business</w:t>
            </w:r>
          </w:p>
        </w:tc>
        <w:tc>
          <w:tcPr>
            <w:tcW w:w="1433" w:type="dxa"/>
            <w:vMerge/>
            <w:tcBorders>
              <w:left w:val="nil"/>
              <w:bottom w:val="single" w:sz="4" w:space="0" w:color="auto"/>
              <w:right w:val="single" w:sz="4" w:space="0" w:color="auto"/>
            </w:tcBorders>
            <w:shd w:val="clear" w:color="auto" w:fill="auto"/>
            <w:vAlign w:val="bottom"/>
          </w:tcPr>
          <w:p w14:paraId="06574B32" w14:textId="77777777" w:rsidR="00813412" w:rsidRPr="00FC3309" w:rsidRDefault="00813412" w:rsidP="0016598B">
            <w:pPr>
              <w:jc w:val="center"/>
              <w:rPr>
                <w:rFonts w:ascii="Arial" w:hAnsi="Arial" w:cs="Arial"/>
                <w:b/>
                <w:bCs/>
                <w:sz w:val="20"/>
                <w:szCs w:val="20"/>
              </w:rPr>
            </w:pPr>
          </w:p>
        </w:tc>
        <w:tc>
          <w:tcPr>
            <w:tcW w:w="1434" w:type="dxa"/>
            <w:vMerge/>
            <w:tcBorders>
              <w:left w:val="nil"/>
              <w:bottom w:val="single" w:sz="4" w:space="0" w:color="auto"/>
              <w:right w:val="single" w:sz="4" w:space="0" w:color="auto"/>
            </w:tcBorders>
            <w:vAlign w:val="bottom"/>
          </w:tcPr>
          <w:p w14:paraId="5DEC6ACC" w14:textId="77777777" w:rsidR="00813412" w:rsidRPr="00FC3309" w:rsidRDefault="00813412" w:rsidP="0016598B">
            <w:pPr>
              <w:jc w:val="center"/>
              <w:rPr>
                <w:rFonts w:ascii="Arial" w:hAnsi="Arial" w:cs="Arial"/>
                <w:b/>
                <w:bCs/>
                <w:sz w:val="20"/>
                <w:szCs w:val="20"/>
              </w:rPr>
            </w:pPr>
          </w:p>
        </w:tc>
        <w:tc>
          <w:tcPr>
            <w:tcW w:w="1434" w:type="dxa"/>
            <w:vMerge/>
            <w:tcBorders>
              <w:left w:val="nil"/>
              <w:bottom w:val="single" w:sz="4" w:space="0" w:color="auto"/>
              <w:right w:val="single" w:sz="4" w:space="0" w:color="auto"/>
            </w:tcBorders>
            <w:vAlign w:val="bottom"/>
          </w:tcPr>
          <w:p w14:paraId="51C9F655" w14:textId="77777777" w:rsidR="00813412" w:rsidRPr="00FC3309" w:rsidRDefault="00813412" w:rsidP="0016598B">
            <w:pPr>
              <w:jc w:val="center"/>
              <w:rPr>
                <w:rFonts w:ascii="Arial" w:hAnsi="Arial" w:cs="Arial"/>
                <w:b/>
                <w:bCs/>
                <w:sz w:val="20"/>
                <w:szCs w:val="20"/>
              </w:rPr>
            </w:pPr>
          </w:p>
        </w:tc>
      </w:tr>
      <w:tr w:rsidR="00813412" w:rsidRPr="00FC3309" w14:paraId="203BF1D8" w14:textId="77777777" w:rsidTr="0016598B">
        <w:trPr>
          <w:trHeight w:val="315"/>
        </w:trPr>
        <w:tc>
          <w:tcPr>
            <w:tcW w:w="5290" w:type="dxa"/>
            <w:tcBorders>
              <w:top w:val="nil"/>
              <w:left w:val="nil"/>
              <w:bottom w:val="nil"/>
            </w:tcBorders>
            <w:shd w:val="clear" w:color="auto" w:fill="auto"/>
            <w:noWrap/>
            <w:vAlign w:val="bottom"/>
            <w:hideMark/>
          </w:tcPr>
          <w:p w14:paraId="1A5E3A3C" w14:textId="77777777" w:rsidR="00813412" w:rsidRPr="00EC29CA" w:rsidRDefault="00813412" w:rsidP="00844758">
            <w:pPr>
              <w:pStyle w:val="ListParagraph"/>
              <w:numPr>
                <w:ilvl w:val="0"/>
                <w:numId w:val="23"/>
              </w:numPr>
              <w:tabs>
                <w:tab w:val="left" w:pos="3328"/>
              </w:tabs>
              <w:contextualSpacing w:val="0"/>
              <w:rPr>
                <w:rFonts w:ascii="Arial" w:hAnsi="Arial" w:cs="Arial"/>
                <w:b/>
                <w:bCs/>
              </w:rPr>
            </w:pPr>
            <w:r w:rsidRPr="00EC29CA">
              <w:rPr>
                <w:rFonts w:ascii="Arial" w:hAnsi="Arial" w:cs="Arial"/>
                <w:b/>
                <w:bCs/>
              </w:rPr>
              <w:t xml:space="preserve"> Insurance policy revenue</w:t>
            </w:r>
          </w:p>
        </w:tc>
        <w:tc>
          <w:tcPr>
            <w:tcW w:w="1433" w:type="dxa"/>
            <w:tcBorders>
              <w:top w:val="single" w:sz="4" w:space="0" w:color="auto"/>
              <w:bottom w:val="single" w:sz="4" w:space="0" w:color="auto"/>
            </w:tcBorders>
            <w:shd w:val="clear" w:color="auto" w:fill="auto"/>
            <w:noWrap/>
            <w:vAlign w:val="bottom"/>
          </w:tcPr>
          <w:p w14:paraId="2BECDE53"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3919D76A"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2F69DF5E" w14:textId="77777777" w:rsidR="00813412" w:rsidRPr="00185019" w:rsidRDefault="00813412" w:rsidP="0016598B">
            <w:pPr>
              <w:jc w:val="center"/>
              <w:rPr>
                <w:rFonts w:ascii="Arial" w:hAnsi="Arial" w:cs="Arial"/>
              </w:rPr>
            </w:pPr>
          </w:p>
        </w:tc>
        <w:tc>
          <w:tcPr>
            <w:tcW w:w="1433" w:type="dxa"/>
            <w:tcBorders>
              <w:top w:val="single" w:sz="4" w:space="0" w:color="auto"/>
            </w:tcBorders>
            <w:shd w:val="clear" w:color="auto" w:fill="auto"/>
            <w:noWrap/>
            <w:vAlign w:val="bottom"/>
          </w:tcPr>
          <w:p w14:paraId="0BAAD52B" w14:textId="77777777" w:rsidR="00813412" w:rsidRPr="00185019" w:rsidRDefault="00813412" w:rsidP="0016598B">
            <w:pPr>
              <w:jc w:val="center"/>
              <w:rPr>
                <w:rFonts w:ascii="Arial" w:hAnsi="Arial" w:cs="Arial"/>
              </w:rPr>
            </w:pPr>
          </w:p>
        </w:tc>
        <w:tc>
          <w:tcPr>
            <w:tcW w:w="1434" w:type="dxa"/>
            <w:tcBorders>
              <w:top w:val="single" w:sz="4" w:space="0" w:color="auto"/>
            </w:tcBorders>
            <w:shd w:val="clear" w:color="auto" w:fill="auto"/>
            <w:vAlign w:val="bottom"/>
          </w:tcPr>
          <w:p w14:paraId="33C0990E"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vAlign w:val="bottom"/>
          </w:tcPr>
          <w:p w14:paraId="7EBC7E08" w14:textId="77777777" w:rsidR="00813412" w:rsidRPr="00185019" w:rsidRDefault="00813412" w:rsidP="0016598B">
            <w:pPr>
              <w:jc w:val="center"/>
              <w:rPr>
                <w:rFonts w:ascii="Arial" w:hAnsi="Arial" w:cs="Arial"/>
              </w:rPr>
            </w:pPr>
          </w:p>
        </w:tc>
      </w:tr>
      <w:tr w:rsidR="00813412" w:rsidRPr="00FC3309" w14:paraId="279A567E" w14:textId="77777777" w:rsidTr="0016598B">
        <w:trPr>
          <w:trHeight w:val="315"/>
        </w:trPr>
        <w:tc>
          <w:tcPr>
            <w:tcW w:w="5290" w:type="dxa"/>
            <w:tcBorders>
              <w:top w:val="nil"/>
              <w:left w:val="nil"/>
              <w:bottom w:val="nil"/>
              <w:right w:val="nil"/>
            </w:tcBorders>
            <w:shd w:val="clear" w:color="auto" w:fill="auto"/>
            <w:noWrap/>
            <w:vAlign w:val="bottom"/>
            <w:hideMark/>
          </w:tcPr>
          <w:p w14:paraId="36B9A58A"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Life insurance direct premiums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0B107035"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10AD6943"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67ABF82B" w14:textId="77777777" w:rsidR="00813412" w:rsidRPr="00185019" w:rsidRDefault="00813412" w:rsidP="0016598B">
            <w:pPr>
              <w:jc w:val="center"/>
              <w:rPr>
                <w:rFonts w:ascii="Arial" w:hAnsi="Arial" w:cs="Arial"/>
                <w:bCs/>
              </w:rPr>
            </w:pPr>
          </w:p>
        </w:tc>
        <w:tc>
          <w:tcPr>
            <w:tcW w:w="1433" w:type="dxa"/>
            <w:tcBorders>
              <w:top w:val="nil"/>
              <w:left w:val="nil"/>
            </w:tcBorders>
            <w:shd w:val="clear" w:color="auto" w:fill="auto"/>
            <w:noWrap/>
            <w:vAlign w:val="bottom"/>
          </w:tcPr>
          <w:p w14:paraId="4B5C78BD" w14:textId="77777777" w:rsidR="00813412" w:rsidRPr="00185019" w:rsidRDefault="00813412" w:rsidP="0016598B">
            <w:pPr>
              <w:jc w:val="center"/>
              <w:rPr>
                <w:rFonts w:ascii="Arial" w:hAnsi="Arial" w:cs="Arial"/>
              </w:rPr>
            </w:pPr>
          </w:p>
        </w:tc>
        <w:tc>
          <w:tcPr>
            <w:tcW w:w="1434" w:type="dxa"/>
            <w:tcBorders>
              <w:top w:val="nil"/>
              <w:right w:val="single" w:sz="4" w:space="0" w:color="auto"/>
            </w:tcBorders>
            <w:vAlign w:val="bottom"/>
          </w:tcPr>
          <w:p w14:paraId="3590D2D0"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0FF43B79" w14:textId="77777777" w:rsidR="00813412" w:rsidRPr="00185019" w:rsidRDefault="00813412" w:rsidP="0016598B">
            <w:pPr>
              <w:jc w:val="center"/>
              <w:rPr>
                <w:rFonts w:ascii="Arial" w:hAnsi="Arial" w:cs="Arial"/>
                <w:bCs/>
              </w:rPr>
            </w:pPr>
          </w:p>
        </w:tc>
      </w:tr>
      <w:tr w:rsidR="00813412" w:rsidRPr="00FC3309" w14:paraId="191F3567" w14:textId="77777777" w:rsidTr="0016598B">
        <w:trPr>
          <w:trHeight w:val="315"/>
        </w:trPr>
        <w:tc>
          <w:tcPr>
            <w:tcW w:w="5290" w:type="dxa"/>
            <w:tcBorders>
              <w:top w:val="nil"/>
              <w:left w:val="nil"/>
              <w:bottom w:val="nil"/>
              <w:right w:val="nil"/>
            </w:tcBorders>
            <w:shd w:val="clear" w:color="auto" w:fill="auto"/>
            <w:noWrap/>
            <w:vAlign w:val="bottom"/>
            <w:hideMark/>
          </w:tcPr>
          <w:p w14:paraId="66F4E8D4"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 xml:space="preserve"> Policy conversions - inwards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5C94EAAD"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57FBCAA2"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7199963F" w14:textId="77777777" w:rsidR="00813412" w:rsidRPr="00185019" w:rsidRDefault="00813412" w:rsidP="0016598B">
            <w:pPr>
              <w:jc w:val="center"/>
              <w:rPr>
                <w:rFonts w:ascii="Arial" w:hAnsi="Arial" w:cs="Arial"/>
                <w:bCs/>
              </w:rPr>
            </w:pPr>
          </w:p>
        </w:tc>
        <w:tc>
          <w:tcPr>
            <w:tcW w:w="1433" w:type="dxa"/>
            <w:tcBorders>
              <w:left w:val="nil"/>
            </w:tcBorders>
            <w:shd w:val="clear" w:color="auto" w:fill="auto"/>
            <w:noWrap/>
            <w:vAlign w:val="bottom"/>
          </w:tcPr>
          <w:p w14:paraId="2C25D038"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41B1CC62"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5CFAB5D9" w14:textId="77777777" w:rsidR="00813412" w:rsidRPr="00185019" w:rsidRDefault="00813412" w:rsidP="0016598B">
            <w:pPr>
              <w:jc w:val="center"/>
              <w:rPr>
                <w:rFonts w:ascii="Arial" w:hAnsi="Arial" w:cs="Arial"/>
                <w:bCs/>
              </w:rPr>
            </w:pPr>
          </w:p>
        </w:tc>
      </w:tr>
      <w:tr w:rsidR="00813412" w:rsidRPr="00FC3309" w14:paraId="7AA0CFB4" w14:textId="77777777" w:rsidTr="0016598B">
        <w:trPr>
          <w:trHeight w:val="315"/>
        </w:trPr>
        <w:tc>
          <w:tcPr>
            <w:tcW w:w="5290" w:type="dxa"/>
            <w:tcBorders>
              <w:top w:val="nil"/>
              <w:left w:val="nil"/>
              <w:bottom w:val="nil"/>
              <w:right w:val="nil"/>
            </w:tcBorders>
            <w:shd w:val="clear" w:color="auto" w:fill="auto"/>
            <w:noWrap/>
            <w:vAlign w:val="bottom"/>
          </w:tcPr>
          <w:p w14:paraId="5D5075A6"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 xml:space="preserve"> Inwards life reinsurance premium revenue</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72BE5B36"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0BBE14C4"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162F5748" w14:textId="77777777" w:rsidR="00813412" w:rsidRPr="00185019" w:rsidRDefault="00813412" w:rsidP="0016598B">
            <w:pPr>
              <w:jc w:val="center"/>
              <w:rPr>
                <w:rFonts w:ascii="Arial" w:hAnsi="Arial" w:cs="Arial"/>
                <w:bCs/>
              </w:rPr>
            </w:pPr>
          </w:p>
        </w:tc>
        <w:tc>
          <w:tcPr>
            <w:tcW w:w="1433" w:type="dxa"/>
            <w:tcBorders>
              <w:left w:val="nil"/>
            </w:tcBorders>
            <w:shd w:val="clear" w:color="auto" w:fill="auto"/>
            <w:noWrap/>
            <w:vAlign w:val="bottom"/>
          </w:tcPr>
          <w:p w14:paraId="313421D9"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3803609E"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749E5E9E" w14:textId="77777777" w:rsidR="00813412" w:rsidRPr="00185019" w:rsidRDefault="00813412" w:rsidP="0016598B">
            <w:pPr>
              <w:jc w:val="center"/>
              <w:rPr>
                <w:rFonts w:ascii="Arial" w:hAnsi="Arial" w:cs="Arial"/>
                <w:bCs/>
              </w:rPr>
            </w:pPr>
          </w:p>
        </w:tc>
      </w:tr>
      <w:tr w:rsidR="00813412" w:rsidRPr="00FC3309" w14:paraId="498987DE" w14:textId="77777777" w:rsidTr="0016598B">
        <w:trPr>
          <w:trHeight w:val="315"/>
        </w:trPr>
        <w:tc>
          <w:tcPr>
            <w:tcW w:w="5290" w:type="dxa"/>
            <w:tcBorders>
              <w:top w:val="nil"/>
              <w:left w:val="nil"/>
              <w:bottom w:val="nil"/>
              <w:right w:val="nil"/>
            </w:tcBorders>
            <w:shd w:val="clear" w:color="auto" w:fill="auto"/>
            <w:noWrap/>
            <w:vAlign w:val="bottom"/>
          </w:tcPr>
          <w:p w14:paraId="064D136C"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Total premiums from non-life insurance business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55EEC06B"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4358ACD3"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3BEB0055" w14:textId="77777777" w:rsidR="00813412" w:rsidRPr="00185019" w:rsidRDefault="00813412" w:rsidP="0016598B">
            <w:pPr>
              <w:jc w:val="center"/>
              <w:rPr>
                <w:rFonts w:ascii="Arial" w:hAnsi="Arial" w:cs="Arial"/>
                <w:bCs/>
              </w:rPr>
            </w:pPr>
          </w:p>
        </w:tc>
        <w:tc>
          <w:tcPr>
            <w:tcW w:w="1433" w:type="dxa"/>
            <w:tcBorders>
              <w:left w:val="nil"/>
            </w:tcBorders>
            <w:shd w:val="clear" w:color="auto" w:fill="auto"/>
            <w:noWrap/>
            <w:vAlign w:val="bottom"/>
          </w:tcPr>
          <w:p w14:paraId="41788303"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4746E48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05B9F21A" w14:textId="77777777" w:rsidR="00813412" w:rsidRPr="00185019" w:rsidRDefault="00813412" w:rsidP="0016598B">
            <w:pPr>
              <w:jc w:val="center"/>
              <w:rPr>
                <w:rFonts w:ascii="Arial" w:hAnsi="Arial" w:cs="Arial"/>
                <w:bCs/>
              </w:rPr>
            </w:pPr>
          </w:p>
        </w:tc>
      </w:tr>
      <w:tr w:rsidR="00813412" w:rsidRPr="00FC3309" w14:paraId="13FC84F8" w14:textId="77777777" w:rsidTr="0016598B">
        <w:trPr>
          <w:trHeight w:val="315"/>
        </w:trPr>
        <w:tc>
          <w:tcPr>
            <w:tcW w:w="5290" w:type="dxa"/>
            <w:tcBorders>
              <w:top w:val="nil"/>
              <w:left w:val="nil"/>
              <w:bottom w:val="nil"/>
              <w:right w:val="nil"/>
            </w:tcBorders>
            <w:shd w:val="clear" w:color="auto" w:fill="auto"/>
            <w:noWrap/>
            <w:vAlign w:val="bottom"/>
          </w:tcPr>
          <w:p w14:paraId="3C2E20DF"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Outward reinsurance premiums expense</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50AFE0F4"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0655D799"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263CABBA" w14:textId="77777777" w:rsidR="00813412" w:rsidRPr="00185019" w:rsidRDefault="00813412" w:rsidP="0016598B">
            <w:pPr>
              <w:jc w:val="center"/>
              <w:rPr>
                <w:rFonts w:ascii="Arial" w:hAnsi="Arial" w:cs="Arial"/>
                <w:bCs/>
              </w:rPr>
            </w:pPr>
          </w:p>
        </w:tc>
        <w:tc>
          <w:tcPr>
            <w:tcW w:w="1433" w:type="dxa"/>
            <w:tcBorders>
              <w:left w:val="nil"/>
            </w:tcBorders>
            <w:shd w:val="clear" w:color="auto" w:fill="auto"/>
            <w:noWrap/>
            <w:vAlign w:val="bottom"/>
          </w:tcPr>
          <w:p w14:paraId="0094B951"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64961B7C"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6DA953B0" w14:textId="77777777" w:rsidR="00813412" w:rsidRPr="00185019" w:rsidRDefault="00813412" w:rsidP="0016598B">
            <w:pPr>
              <w:jc w:val="center"/>
              <w:rPr>
                <w:rFonts w:ascii="Arial" w:hAnsi="Arial" w:cs="Arial"/>
                <w:bCs/>
              </w:rPr>
            </w:pPr>
          </w:p>
        </w:tc>
      </w:tr>
      <w:tr w:rsidR="00813412" w:rsidRPr="00FC3309" w14:paraId="77418AEF" w14:textId="77777777" w:rsidTr="0016598B">
        <w:trPr>
          <w:trHeight w:val="315"/>
        </w:trPr>
        <w:tc>
          <w:tcPr>
            <w:tcW w:w="5290" w:type="dxa"/>
            <w:tcBorders>
              <w:top w:val="nil"/>
              <w:left w:val="nil"/>
              <w:bottom w:val="nil"/>
              <w:right w:val="nil"/>
            </w:tcBorders>
            <w:shd w:val="clear" w:color="auto" w:fill="auto"/>
            <w:noWrap/>
            <w:vAlign w:val="bottom"/>
          </w:tcPr>
          <w:p w14:paraId="5985E5A6" w14:textId="77777777" w:rsidR="00813412" w:rsidRPr="00345A7D" w:rsidRDefault="00813412" w:rsidP="00844758">
            <w:pPr>
              <w:pStyle w:val="ListParagraph"/>
              <w:numPr>
                <w:ilvl w:val="1"/>
                <w:numId w:val="23"/>
              </w:numPr>
              <w:ind w:left="392"/>
              <w:contextualSpacing w:val="0"/>
              <w:rPr>
                <w:rFonts w:ascii="Arial" w:hAnsi="Arial" w:cs="Arial"/>
                <w:b/>
              </w:rPr>
            </w:pPr>
            <w:r w:rsidRPr="00345A7D">
              <w:rPr>
                <w:rFonts w:ascii="Arial" w:hAnsi="Arial" w:cs="Arial"/>
                <w:b/>
              </w:rPr>
              <w:t>Total insurance policy revenue, net of reinsurance</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00C7FD0E"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1343BD35"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28BE59CC" w14:textId="77777777" w:rsidR="00813412" w:rsidRPr="00185019" w:rsidRDefault="00813412" w:rsidP="0016598B">
            <w:pPr>
              <w:jc w:val="center"/>
              <w:rPr>
                <w:rFonts w:ascii="Arial" w:hAnsi="Arial" w:cs="Arial"/>
                <w:bCs/>
              </w:rPr>
            </w:pPr>
          </w:p>
        </w:tc>
        <w:tc>
          <w:tcPr>
            <w:tcW w:w="1433" w:type="dxa"/>
            <w:tcBorders>
              <w:left w:val="nil"/>
            </w:tcBorders>
            <w:shd w:val="clear" w:color="auto" w:fill="auto"/>
            <w:noWrap/>
            <w:vAlign w:val="bottom"/>
          </w:tcPr>
          <w:p w14:paraId="2987A74A"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5429783E"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55F6C71D" w14:textId="77777777" w:rsidR="00813412" w:rsidRPr="00185019" w:rsidRDefault="00813412" w:rsidP="0016598B">
            <w:pPr>
              <w:jc w:val="center"/>
              <w:rPr>
                <w:rFonts w:ascii="Arial" w:hAnsi="Arial" w:cs="Arial"/>
                <w:bCs/>
              </w:rPr>
            </w:pPr>
          </w:p>
        </w:tc>
      </w:tr>
      <w:tr w:rsidR="00813412" w:rsidRPr="00FC3309" w14:paraId="1E732791" w14:textId="77777777" w:rsidTr="0016598B">
        <w:trPr>
          <w:trHeight w:val="315"/>
        </w:trPr>
        <w:tc>
          <w:tcPr>
            <w:tcW w:w="5290" w:type="dxa"/>
            <w:tcBorders>
              <w:top w:val="nil"/>
              <w:left w:val="nil"/>
              <w:bottom w:val="nil"/>
            </w:tcBorders>
            <w:shd w:val="clear" w:color="auto" w:fill="auto"/>
            <w:noWrap/>
            <w:vAlign w:val="bottom"/>
          </w:tcPr>
          <w:p w14:paraId="287BE624" w14:textId="77777777" w:rsidR="00813412" w:rsidRPr="00EC29CA" w:rsidRDefault="00813412" w:rsidP="0016598B">
            <w:pPr>
              <w:pStyle w:val="ListParagraph"/>
              <w:ind w:left="567"/>
              <w:rPr>
                <w:rFonts w:ascii="Arial" w:hAnsi="Arial" w:cs="Arial"/>
                <w:b/>
                <w:bCs/>
              </w:rPr>
            </w:pPr>
          </w:p>
        </w:tc>
        <w:tc>
          <w:tcPr>
            <w:tcW w:w="1433" w:type="dxa"/>
            <w:tcBorders>
              <w:top w:val="single" w:sz="4" w:space="0" w:color="auto"/>
            </w:tcBorders>
            <w:shd w:val="clear" w:color="auto" w:fill="auto"/>
            <w:noWrap/>
            <w:vAlign w:val="bottom"/>
          </w:tcPr>
          <w:p w14:paraId="3438BB89"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noWrap/>
            <w:vAlign w:val="bottom"/>
          </w:tcPr>
          <w:p w14:paraId="7F7F430B"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noWrap/>
            <w:vAlign w:val="bottom"/>
          </w:tcPr>
          <w:p w14:paraId="503BF9C0" w14:textId="77777777" w:rsidR="00813412" w:rsidRPr="00185019" w:rsidRDefault="00813412" w:rsidP="0016598B">
            <w:pPr>
              <w:jc w:val="center"/>
              <w:rPr>
                <w:rFonts w:ascii="Arial" w:hAnsi="Arial" w:cs="Arial"/>
                <w:bCs/>
              </w:rPr>
            </w:pPr>
          </w:p>
        </w:tc>
        <w:tc>
          <w:tcPr>
            <w:tcW w:w="1433" w:type="dxa"/>
            <w:shd w:val="clear" w:color="auto" w:fill="auto"/>
            <w:noWrap/>
            <w:vAlign w:val="bottom"/>
          </w:tcPr>
          <w:p w14:paraId="27E9253A" w14:textId="77777777" w:rsidR="00813412" w:rsidRPr="00185019" w:rsidRDefault="00813412" w:rsidP="0016598B">
            <w:pPr>
              <w:jc w:val="center"/>
              <w:rPr>
                <w:rFonts w:ascii="Arial" w:hAnsi="Arial" w:cs="Arial"/>
                <w:bCs/>
              </w:rPr>
            </w:pPr>
          </w:p>
        </w:tc>
        <w:tc>
          <w:tcPr>
            <w:tcW w:w="1434" w:type="dxa"/>
            <w:shd w:val="clear" w:color="auto" w:fill="auto"/>
            <w:vAlign w:val="bottom"/>
          </w:tcPr>
          <w:p w14:paraId="3645D9D1"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vAlign w:val="bottom"/>
          </w:tcPr>
          <w:p w14:paraId="30C20629" w14:textId="77777777" w:rsidR="00813412" w:rsidRPr="00185019" w:rsidRDefault="00813412" w:rsidP="0016598B">
            <w:pPr>
              <w:jc w:val="center"/>
              <w:rPr>
                <w:rFonts w:ascii="Arial" w:hAnsi="Arial" w:cs="Arial"/>
                <w:bCs/>
              </w:rPr>
            </w:pPr>
          </w:p>
        </w:tc>
      </w:tr>
      <w:tr w:rsidR="00813412" w:rsidRPr="00FC3309" w14:paraId="028A969D" w14:textId="77777777" w:rsidTr="0016598B">
        <w:trPr>
          <w:trHeight w:val="315"/>
        </w:trPr>
        <w:tc>
          <w:tcPr>
            <w:tcW w:w="5290" w:type="dxa"/>
            <w:tcBorders>
              <w:top w:val="nil"/>
              <w:left w:val="nil"/>
              <w:bottom w:val="nil"/>
            </w:tcBorders>
            <w:shd w:val="clear" w:color="auto" w:fill="auto"/>
            <w:noWrap/>
            <w:vAlign w:val="bottom"/>
          </w:tcPr>
          <w:p w14:paraId="42C1A2E4" w14:textId="77777777" w:rsidR="00813412" w:rsidRPr="00EC29CA" w:rsidRDefault="00813412" w:rsidP="00844758">
            <w:pPr>
              <w:pStyle w:val="ListParagraph"/>
              <w:numPr>
                <w:ilvl w:val="0"/>
                <w:numId w:val="23"/>
              </w:numPr>
              <w:tabs>
                <w:tab w:val="left" w:pos="3328"/>
              </w:tabs>
              <w:contextualSpacing w:val="0"/>
              <w:rPr>
                <w:rFonts w:ascii="Arial" w:hAnsi="Arial" w:cs="Arial"/>
                <w:b/>
                <w:bCs/>
              </w:rPr>
            </w:pPr>
            <w:r w:rsidRPr="00EC29CA">
              <w:rPr>
                <w:rFonts w:ascii="Arial" w:hAnsi="Arial" w:cs="Arial"/>
                <w:b/>
                <w:bCs/>
              </w:rPr>
              <w:t>Fees for management services rendered</w:t>
            </w:r>
          </w:p>
        </w:tc>
        <w:tc>
          <w:tcPr>
            <w:tcW w:w="1433" w:type="dxa"/>
            <w:tcBorders>
              <w:bottom w:val="single" w:sz="4" w:space="0" w:color="auto"/>
            </w:tcBorders>
            <w:shd w:val="clear" w:color="auto" w:fill="auto"/>
            <w:noWrap/>
            <w:vAlign w:val="bottom"/>
          </w:tcPr>
          <w:p w14:paraId="1992EE08" w14:textId="77777777" w:rsidR="00813412" w:rsidRPr="00185019" w:rsidRDefault="00813412" w:rsidP="0016598B">
            <w:pPr>
              <w:jc w:val="center"/>
              <w:rPr>
                <w:rFonts w:ascii="Arial" w:hAnsi="Arial" w:cs="Arial"/>
              </w:rPr>
            </w:pPr>
          </w:p>
        </w:tc>
        <w:tc>
          <w:tcPr>
            <w:tcW w:w="1434" w:type="dxa"/>
            <w:tcBorders>
              <w:bottom w:val="single" w:sz="4" w:space="0" w:color="auto"/>
            </w:tcBorders>
            <w:shd w:val="clear" w:color="auto" w:fill="auto"/>
            <w:noWrap/>
            <w:vAlign w:val="bottom"/>
          </w:tcPr>
          <w:p w14:paraId="34C25D48" w14:textId="77777777" w:rsidR="00813412" w:rsidRPr="00185019" w:rsidRDefault="00813412" w:rsidP="0016598B">
            <w:pPr>
              <w:jc w:val="center"/>
              <w:rPr>
                <w:rFonts w:ascii="Arial" w:hAnsi="Arial" w:cs="Arial"/>
              </w:rPr>
            </w:pPr>
          </w:p>
        </w:tc>
        <w:tc>
          <w:tcPr>
            <w:tcW w:w="1434" w:type="dxa"/>
            <w:tcBorders>
              <w:left w:val="nil"/>
              <w:bottom w:val="single" w:sz="4" w:space="0" w:color="auto"/>
            </w:tcBorders>
            <w:shd w:val="clear" w:color="auto" w:fill="auto"/>
            <w:noWrap/>
            <w:vAlign w:val="bottom"/>
          </w:tcPr>
          <w:p w14:paraId="1F816BB9" w14:textId="77777777" w:rsidR="00813412" w:rsidRPr="00185019" w:rsidRDefault="00813412" w:rsidP="0016598B">
            <w:pPr>
              <w:jc w:val="center"/>
              <w:rPr>
                <w:rFonts w:ascii="Arial" w:hAnsi="Arial" w:cs="Arial"/>
              </w:rPr>
            </w:pPr>
          </w:p>
        </w:tc>
        <w:tc>
          <w:tcPr>
            <w:tcW w:w="1433" w:type="dxa"/>
            <w:tcBorders>
              <w:bottom w:val="single" w:sz="4" w:space="0" w:color="auto"/>
            </w:tcBorders>
            <w:shd w:val="clear" w:color="auto" w:fill="auto"/>
            <w:noWrap/>
            <w:vAlign w:val="bottom"/>
          </w:tcPr>
          <w:p w14:paraId="430E6682" w14:textId="77777777" w:rsidR="00813412" w:rsidRPr="00185019" w:rsidRDefault="00813412" w:rsidP="0016598B">
            <w:pPr>
              <w:jc w:val="center"/>
              <w:rPr>
                <w:rFonts w:ascii="Arial" w:hAnsi="Arial" w:cs="Arial"/>
              </w:rPr>
            </w:pPr>
          </w:p>
        </w:tc>
        <w:tc>
          <w:tcPr>
            <w:tcW w:w="1434" w:type="dxa"/>
            <w:tcBorders>
              <w:bottom w:val="single" w:sz="4" w:space="0" w:color="auto"/>
            </w:tcBorders>
            <w:shd w:val="clear" w:color="auto" w:fill="auto"/>
            <w:vAlign w:val="bottom"/>
          </w:tcPr>
          <w:p w14:paraId="1A7F5BF3" w14:textId="77777777" w:rsidR="00813412" w:rsidRPr="00185019" w:rsidRDefault="00813412" w:rsidP="0016598B">
            <w:pPr>
              <w:jc w:val="center"/>
              <w:rPr>
                <w:rFonts w:ascii="Arial" w:hAnsi="Arial" w:cs="Arial"/>
              </w:rPr>
            </w:pPr>
          </w:p>
        </w:tc>
        <w:tc>
          <w:tcPr>
            <w:tcW w:w="1434" w:type="dxa"/>
            <w:tcBorders>
              <w:bottom w:val="single" w:sz="4" w:space="0" w:color="auto"/>
            </w:tcBorders>
            <w:shd w:val="clear" w:color="auto" w:fill="auto"/>
            <w:vAlign w:val="bottom"/>
          </w:tcPr>
          <w:p w14:paraId="22F74123" w14:textId="77777777" w:rsidR="00813412" w:rsidRPr="00185019" w:rsidRDefault="00813412" w:rsidP="0016598B">
            <w:pPr>
              <w:jc w:val="center"/>
              <w:rPr>
                <w:rFonts w:ascii="Arial" w:hAnsi="Arial" w:cs="Arial"/>
              </w:rPr>
            </w:pPr>
          </w:p>
        </w:tc>
      </w:tr>
      <w:tr w:rsidR="00813412" w:rsidRPr="00FC3309" w14:paraId="659B2472" w14:textId="77777777" w:rsidTr="0016598B">
        <w:trPr>
          <w:trHeight w:val="315"/>
        </w:trPr>
        <w:tc>
          <w:tcPr>
            <w:tcW w:w="5290" w:type="dxa"/>
            <w:tcBorders>
              <w:top w:val="nil"/>
              <w:left w:val="nil"/>
              <w:bottom w:val="nil"/>
              <w:right w:val="nil"/>
            </w:tcBorders>
            <w:shd w:val="clear" w:color="auto" w:fill="auto"/>
            <w:noWrap/>
            <w:vAlign w:val="bottom"/>
          </w:tcPr>
          <w:p w14:paraId="19C0AFAC"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Premium-related fees revenue</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10201A87"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3AA66AA2"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1D55AE88"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uto"/>
            <w:noWrap/>
            <w:vAlign w:val="bottom"/>
          </w:tcPr>
          <w:p w14:paraId="7B155D89"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vAlign w:val="bottom"/>
          </w:tcPr>
          <w:p w14:paraId="7DB25191"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3CF0312B" w14:textId="77777777" w:rsidR="00813412" w:rsidRPr="00185019" w:rsidRDefault="00813412" w:rsidP="0016598B">
            <w:pPr>
              <w:jc w:val="center"/>
              <w:rPr>
                <w:rFonts w:ascii="Arial" w:hAnsi="Arial" w:cs="Arial"/>
                <w:bCs/>
              </w:rPr>
            </w:pPr>
          </w:p>
        </w:tc>
      </w:tr>
      <w:tr w:rsidR="00813412" w:rsidRPr="00FC3309" w14:paraId="12DB2A12" w14:textId="77777777" w:rsidTr="0016598B">
        <w:trPr>
          <w:trHeight w:val="315"/>
        </w:trPr>
        <w:tc>
          <w:tcPr>
            <w:tcW w:w="5290" w:type="dxa"/>
            <w:tcBorders>
              <w:top w:val="nil"/>
              <w:left w:val="nil"/>
              <w:bottom w:val="nil"/>
              <w:right w:val="nil"/>
            </w:tcBorders>
            <w:shd w:val="clear" w:color="auto" w:fill="auto"/>
            <w:noWrap/>
            <w:vAlign w:val="bottom"/>
          </w:tcPr>
          <w:p w14:paraId="0BD223DA"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Non-premium related fees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17B60E08"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3E450659"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79115C12"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uto"/>
            <w:noWrap/>
            <w:vAlign w:val="bottom"/>
          </w:tcPr>
          <w:p w14:paraId="2A06134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vAlign w:val="bottom"/>
          </w:tcPr>
          <w:p w14:paraId="461E64A2"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17076C87" w14:textId="77777777" w:rsidR="00813412" w:rsidRPr="00185019" w:rsidRDefault="00813412" w:rsidP="0016598B">
            <w:pPr>
              <w:jc w:val="center"/>
              <w:rPr>
                <w:rFonts w:ascii="Arial" w:hAnsi="Arial" w:cs="Arial"/>
                <w:bCs/>
              </w:rPr>
            </w:pPr>
          </w:p>
        </w:tc>
      </w:tr>
      <w:tr w:rsidR="00813412" w:rsidRPr="00FC3309" w14:paraId="4F369A30" w14:textId="77777777" w:rsidTr="0016598B">
        <w:trPr>
          <w:trHeight w:val="315"/>
        </w:trPr>
        <w:tc>
          <w:tcPr>
            <w:tcW w:w="5290" w:type="dxa"/>
            <w:tcBorders>
              <w:top w:val="nil"/>
              <w:left w:val="nil"/>
              <w:bottom w:val="nil"/>
              <w:right w:val="nil"/>
            </w:tcBorders>
            <w:shd w:val="clear" w:color="auto" w:fill="auto"/>
            <w:noWrap/>
            <w:vAlign w:val="bottom"/>
          </w:tcPr>
          <w:p w14:paraId="7CE9C2C3"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 xml:space="preserve">Fees reported as movement in policy liability (Net movement in liability for </w:t>
            </w:r>
            <w:r w:rsidRPr="00404147">
              <w:rPr>
                <w:rFonts w:ascii="Arial" w:hAnsi="Arial" w:cs="Arial"/>
              </w:rPr>
              <w:t>deferred</w:t>
            </w:r>
            <w:r>
              <w:rPr>
                <w:rFonts w:ascii="Arial" w:hAnsi="Arial" w:cs="Arial"/>
              </w:rPr>
              <w:t xml:space="preserve"> </w:t>
            </w:r>
            <w:r w:rsidRPr="00EC29CA">
              <w:rPr>
                <w:rFonts w:ascii="Arial" w:hAnsi="Arial" w:cs="Arial"/>
              </w:rPr>
              <w:t xml:space="preserve">fee </w:t>
            </w:r>
            <w:r w:rsidRPr="00404147">
              <w:rPr>
                <w:rFonts w:ascii="Arial" w:hAnsi="Arial" w:cs="Arial"/>
              </w:rPr>
              <w:t>revenue</w:t>
            </w:r>
            <w:r w:rsidRPr="00EC29CA">
              <w:rPr>
                <w:rFonts w:ascii="Arial" w:hAnsi="Arial" w:cs="Arial"/>
              </w:rPr>
              <w:t>)</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2EE1A4F5"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2182170F"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16BB5BF0" w14:textId="77777777" w:rsidR="00813412" w:rsidRPr="00185019" w:rsidRDefault="00813412" w:rsidP="0016598B">
            <w:pPr>
              <w:jc w:val="center"/>
              <w:rPr>
                <w:rFonts w:ascii="Arial" w:hAnsi="Arial" w:cs="Arial"/>
                <w:bCs/>
              </w:rPr>
            </w:pPr>
          </w:p>
        </w:tc>
        <w:tc>
          <w:tcPr>
            <w:tcW w:w="1433" w:type="dxa"/>
            <w:tcBorders>
              <w:top w:val="single" w:sz="4" w:space="0" w:color="auto"/>
              <w:left w:val="nil"/>
              <w:bottom w:val="single" w:sz="4" w:space="0" w:color="auto"/>
            </w:tcBorders>
            <w:shd w:val="clear" w:color="auto" w:fill="auto"/>
            <w:noWrap/>
            <w:vAlign w:val="bottom"/>
          </w:tcPr>
          <w:p w14:paraId="2CC2D696"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right w:val="single" w:sz="4" w:space="0" w:color="auto"/>
            </w:tcBorders>
            <w:vAlign w:val="bottom"/>
          </w:tcPr>
          <w:p w14:paraId="49AF0E82"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5BCC7F25" w14:textId="77777777" w:rsidR="00813412" w:rsidRPr="00185019" w:rsidRDefault="00813412" w:rsidP="0016598B">
            <w:pPr>
              <w:jc w:val="center"/>
              <w:rPr>
                <w:rFonts w:ascii="Arial" w:hAnsi="Arial" w:cs="Arial"/>
                <w:bCs/>
              </w:rPr>
            </w:pPr>
          </w:p>
        </w:tc>
      </w:tr>
      <w:tr w:rsidR="00813412" w:rsidRPr="00FC3309" w14:paraId="1A15C364" w14:textId="77777777" w:rsidTr="0016598B">
        <w:trPr>
          <w:trHeight w:val="315"/>
        </w:trPr>
        <w:tc>
          <w:tcPr>
            <w:tcW w:w="5290" w:type="dxa"/>
            <w:tcBorders>
              <w:top w:val="nil"/>
              <w:left w:val="nil"/>
              <w:bottom w:val="nil"/>
              <w:right w:val="nil"/>
            </w:tcBorders>
            <w:shd w:val="clear" w:color="auto" w:fill="auto"/>
            <w:noWrap/>
            <w:vAlign w:val="bottom"/>
          </w:tcPr>
          <w:p w14:paraId="7CC604EA" w14:textId="77777777" w:rsidR="00813412" w:rsidRPr="00345A7D" w:rsidRDefault="00813412" w:rsidP="00844758">
            <w:pPr>
              <w:pStyle w:val="ListParagraph"/>
              <w:numPr>
                <w:ilvl w:val="1"/>
                <w:numId w:val="23"/>
              </w:numPr>
              <w:ind w:left="392"/>
              <w:contextualSpacing w:val="0"/>
              <w:rPr>
                <w:rFonts w:ascii="Arial" w:hAnsi="Arial" w:cs="Arial"/>
                <w:b/>
              </w:rPr>
            </w:pPr>
            <w:r w:rsidRPr="00345A7D">
              <w:rPr>
                <w:rFonts w:ascii="Arial" w:hAnsi="Arial" w:cs="Arial"/>
                <w:b/>
              </w:rPr>
              <w:lastRenderedPageBreak/>
              <w:t>Total fees for management services rendered</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53B79146"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444D0578"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59D79AAB"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6A6A6"/>
            <w:noWrap/>
            <w:vAlign w:val="bottom"/>
          </w:tcPr>
          <w:p w14:paraId="3F55764D"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vAlign w:val="bottom"/>
          </w:tcPr>
          <w:p w14:paraId="4CA83C31"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vAlign w:val="bottom"/>
          </w:tcPr>
          <w:p w14:paraId="6D1A03EE" w14:textId="77777777" w:rsidR="00813412" w:rsidRPr="00185019" w:rsidRDefault="00813412" w:rsidP="0016598B">
            <w:pPr>
              <w:jc w:val="center"/>
              <w:rPr>
                <w:rFonts w:ascii="Arial" w:hAnsi="Arial" w:cs="Arial"/>
                <w:bCs/>
              </w:rPr>
            </w:pPr>
          </w:p>
        </w:tc>
      </w:tr>
      <w:tr w:rsidR="00813412" w:rsidRPr="00FC3309" w14:paraId="61B2FF88" w14:textId="77777777" w:rsidTr="0016598B">
        <w:trPr>
          <w:trHeight w:val="315"/>
        </w:trPr>
        <w:tc>
          <w:tcPr>
            <w:tcW w:w="5290" w:type="dxa"/>
            <w:tcBorders>
              <w:top w:val="nil"/>
              <w:left w:val="nil"/>
              <w:bottom w:val="nil"/>
            </w:tcBorders>
            <w:shd w:val="clear" w:color="auto" w:fill="auto"/>
            <w:noWrap/>
            <w:vAlign w:val="bottom"/>
          </w:tcPr>
          <w:p w14:paraId="4FF5859B" w14:textId="77777777" w:rsidR="00813412" w:rsidRPr="00EC29CA" w:rsidRDefault="00813412" w:rsidP="0016598B">
            <w:pPr>
              <w:pStyle w:val="ListParagraph"/>
              <w:ind w:left="567"/>
              <w:rPr>
                <w:rFonts w:ascii="Arial" w:hAnsi="Arial" w:cs="Arial"/>
                <w:b/>
                <w:bCs/>
              </w:rPr>
            </w:pPr>
          </w:p>
        </w:tc>
        <w:tc>
          <w:tcPr>
            <w:tcW w:w="1433" w:type="dxa"/>
            <w:tcBorders>
              <w:top w:val="single" w:sz="4" w:space="0" w:color="auto"/>
            </w:tcBorders>
            <w:shd w:val="clear" w:color="auto" w:fill="auto"/>
            <w:noWrap/>
            <w:vAlign w:val="bottom"/>
          </w:tcPr>
          <w:p w14:paraId="19136094"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noWrap/>
            <w:vAlign w:val="bottom"/>
          </w:tcPr>
          <w:p w14:paraId="176CDC5E"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noWrap/>
            <w:vAlign w:val="bottom"/>
          </w:tcPr>
          <w:p w14:paraId="464ECA61" w14:textId="77777777" w:rsidR="00813412" w:rsidRPr="00185019" w:rsidRDefault="00813412" w:rsidP="0016598B">
            <w:pPr>
              <w:jc w:val="center"/>
              <w:rPr>
                <w:rFonts w:ascii="Arial" w:hAnsi="Arial" w:cs="Arial"/>
                <w:bCs/>
              </w:rPr>
            </w:pPr>
          </w:p>
        </w:tc>
        <w:tc>
          <w:tcPr>
            <w:tcW w:w="1433" w:type="dxa"/>
            <w:tcBorders>
              <w:top w:val="single" w:sz="4" w:space="0" w:color="auto"/>
            </w:tcBorders>
            <w:shd w:val="clear" w:color="auto" w:fill="auto"/>
            <w:noWrap/>
            <w:vAlign w:val="bottom"/>
          </w:tcPr>
          <w:p w14:paraId="57B6C8F9"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vAlign w:val="bottom"/>
          </w:tcPr>
          <w:p w14:paraId="1A48DB37"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vAlign w:val="bottom"/>
          </w:tcPr>
          <w:p w14:paraId="780E8FE3" w14:textId="77777777" w:rsidR="00813412" w:rsidRPr="00185019" w:rsidRDefault="00813412" w:rsidP="0016598B">
            <w:pPr>
              <w:jc w:val="center"/>
              <w:rPr>
                <w:rFonts w:ascii="Arial" w:hAnsi="Arial" w:cs="Arial"/>
                <w:bCs/>
              </w:rPr>
            </w:pPr>
          </w:p>
        </w:tc>
      </w:tr>
      <w:tr w:rsidR="00813412" w:rsidRPr="00FC3309" w14:paraId="1C6479A2" w14:textId="77777777" w:rsidTr="0016598B">
        <w:trPr>
          <w:trHeight w:val="315"/>
        </w:trPr>
        <w:tc>
          <w:tcPr>
            <w:tcW w:w="5290" w:type="dxa"/>
            <w:tcBorders>
              <w:top w:val="nil"/>
              <w:left w:val="nil"/>
              <w:bottom w:val="nil"/>
            </w:tcBorders>
            <w:shd w:val="clear" w:color="auto" w:fill="auto"/>
            <w:noWrap/>
            <w:vAlign w:val="bottom"/>
          </w:tcPr>
          <w:p w14:paraId="2B01FF37" w14:textId="77777777" w:rsidR="00813412" w:rsidRPr="00EC29CA" w:rsidRDefault="00813412" w:rsidP="00844758">
            <w:pPr>
              <w:pStyle w:val="ListParagraph"/>
              <w:numPr>
                <w:ilvl w:val="0"/>
                <w:numId w:val="23"/>
              </w:numPr>
              <w:tabs>
                <w:tab w:val="left" w:pos="3328"/>
              </w:tabs>
              <w:contextualSpacing w:val="0"/>
              <w:rPr>
                <w:rFonts w:ascii="Arial" w:hAnsi="Arial" w:cs="Arial"/>
                <w:b/>
                <w:bCs/>
              </w:rPr>
            </w:pPr>
            <w:r w:rsidRPr="00EC29CA">
              <w:rPr>
                <w:rFonts w:ascii="Arial" w:hAnsi="Arial" w:cs="Arial"/>
                <w:b/>
                <w:bCs/>
              </w:rPr>
              <w:t>Investment revenue</w:t>
            </w:r>
          </w:p>
        </w:tc>
        <w:tc>
          <w:tcPr>
            <w:tcW w:w="1433" w:type="dxa"/>
            <w:shd w:val="clear" w:color="auto" w:fill="auto"/>
            <w:noWrap/>
            <w:vAlign w:val="bottom"/>
          </w:tcPr>
          <w:p w14:paraId="06A8AFA9" w14:textId="77777777" w:rsidR="00813412" w:rsidRPr="00185019" w:rsidRDefault="00813412" w:rsidP="0016598B">
            <w:pPr>
              <w:jc w:val="center"/>
              <w:rPr>
                <w:rFonts w:ascii="Arial" w:hAnsi="Arial" w:cs="Arial"/>
              </w:rPr>
            </w:pPr>
          </w:p>
        </w:tc>
        <w:tc>
          <w:tcPr>
            <w:tcW w:w="1434" w:type="dxa"/>
            <w:shd w:val="clear" w:color="auto" w:fill="auto"/>
            <w:noWrap/>
            <w:vAlign w:val="bottom"/>
          </w:tcPr>
          <w:p w14:paraId="10678F3C" w14:textId="77777777" w:rsidR="00813412" w:rsidRPr="00185019" w:rsidRDefault="00813412" w:rsidP="0016598B">
            <w:pPr>
              <w:jc w:val="center"/>
              <w:rPr>
                <w:rFonts w:ascii="Arial" w:hAnsi="Arial" w:cs="Arial"/>
              </w:rPr>
            </w:pPr>
          </w:p>
        </w:tc>
        <w:tc>
          <w:tcPr>
            <w:tcW w:w="1434" w:type="dxa"/>
            <w:shd w:val="clear" w:color="auto" w:fill="auto"/>
            <w:noWrap/>
            <w:vAlign w:val="bottom"/>
          </w:tcPr>
          <w:p w14:paraId="6FEEA40C" w14:textId="77777777" w:rsidR="00813412" w:rsidRPr="00185019" w:rsidRDefault="00813412" w:rsidP="0016598B">
            <w:pPr>
              <w:jc w:val="center"/>
              <w:rPr>
                <w:rFonts w:ascii="Arial" w:hAnsi="Arial" w:cs="Arial"/>
              </w:rPr>
            </w:pPr>
          </w:p>
        </w:tc>
        <w:tc>
          <w:tcPr>
            <w:tcW w:w="1433" w:type="dxa"/>
            <w:tcBorders>
              <w:left w:val="nil"/>
            </w:tcBorders>
            <w:shd w:val="clear" w:color="auto" w:fill="auto"/>
            <w:noWrap/>
            <w:vAlign w:val="bottom"/>
          </w:tcPr>
          <w:p w14:paraId="3118437E" w14:textId="77777777" w:rsidR="00813412" w:rsidRPr="00185019" w:rsidRDefault="00813412" w:rsidP="0016598B">
            <w:pPr>
              <w:jc w:val="center"/>
              <w:rPr>
                <w:rFonts w:ascii="Arial" w:hAnsi="Arial" w:cs="Arial"/>
              </w:rPr>
            </w:pPr>
          </w:p>
        </w:tc>
        <w:tc>
          <w:tcPr>
            <w:tcW w:w="1434" w:type="dxa"/>
            <w:vAlign w:val="bottom"/>
          </w:tcPr>
          <w:p w14:paraId="0AE1F83E" w14:textId="77777777" w:rsidR="00813412" w:rsidRPr="00185019" w:rsidRDefault="00813412" w:rsidP="0016598B">
            <w:pPr>
              <w:jc w:val="center"/>
              <w:rPr>
                <w:rFonts w:ascii="Arial" w:hAnsi="Arial" w:cs="Arial"/>
              </w:rPr>
            </w:pPr>
          </w:p>
        </w:tc>
        <w:tc>
          <w:tcPr>
            <w:tcW w:w="1434" w:type="dxa"/>
            <w:vAlign w:val="bottom"/>
          </w:tcPr>
          <w:p w14:paraId="19FD103B" w14:textId="77777777" w:rsidR="00813412" w:rsidRPr="00185019" w:rsidRDefault="00813412" w:rsidP="0016598B">
            <w:pPr>
              <w:jc w:val="center"/>
              <w:rPr>
                <w:rFonts w:ascii="Arial" w:hAnsi="Arial" w:cs="Arial"/>
              </w:rPr>
            </w:pPr>
          </w:p>
        </w:tc>
      </w:tr>
      <w:tr w:rsidR="00813412" w:rsidRPr="00FC3309" w14:paraId="3E384C2A" w14:textId="77777777" w:rsidTr="0016598B">
        <w:trPr>
          <w:trHeight w:val="315"/>
        </w:trPr>
        <w:tc>
          <w:tcPr>
            <w:tcW w:w="5290" w:type="dxa"/>
            <w:tcBorders>
              <w:top w:val="nil"/>
              <w:left w:val="nil"/>
              <w:bottom w:val="nil"/>
            </w:tcBorders>
            <w:shd w:val="clear" w:color="auto" w:fill="auto"/>
            <w:noWrap/>
            <w:vAlign w:val="bottom"/>
          </w:tcPr>
          <w:p w14:paraId="559AF94B" w14:textId="77777777" w:rsidR="00813412" w:rsidRPr="00EC29CA" w:rsidRDefault="00813412" w:rsidP="00844758">
            <w:pPr>
              <w:pStyle w:val="ListParagraph"/>
              <w:numPr>
                <w:ilvl w:val="1"/>
                <w:numId w:val="23"/>
              </w:numPr>
              <w:ind w:left="392"/>
              <w:contextualSpacing w:val="0"/>
              <w:rPr>
                <w:rFonts w:ascii="Arial" w:hAnsi="Arial" w:cs="Arial"/>
                <w:b/>
              </w:rPr>
            </w:pPr>
            <w:r w:rsidRPr="00EC29CA">
              <w:rPr>
                <w:rFonts w:ascii="Arial" w:hAnsi="Arial" w:cs="Arial"/>
                <w:b/>
              </w:rPr>
              <w:t>Investment income (excluding capital gains or losses) from</w:t>
            </w:r>
          </w:p>
        </w:tc>
        <w:tc>
          <w:tcPr>
            <w:tcW w:w="1433" w:type="dxa"/>
            <w:tcBorders>
              <w:top w:val="nil"/>
              <w:bottom w:val="single" w:sz="4" w:space="0" w:color="auto"/>
            </w:tcBorders>
            <w:shd w:val="clear" w:color="auto" w:fill="auto"/>
            <w:noWrap/>
            <w:vAlign w:val="bottom"/>
          </w:tcPr>
          <w:p w14:paraId="355A89FD"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noWrap/>
            <w:vAlign w:val="bottom"/>
          </w:tcPr>
          <w:p w14:paraId="6D6C7D48"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noWrap/>
            <w:vAlign w:val="bottom"/>
          </w:tcPr>
          <w:p w14:paraId="760F3335" w14:textId="77777777" w:rsidR="00813412" w:rsidRPr="00185019" w:rsidRDefault="00813412" w:rsidP="0016598B">
            <w:pPr>
              <w:jc w:val="center"/>
              <w:rPr>
                <w:rFonts w:ascii="Arial" w:hAnsi="Arial" w:cs="Arial"/>
              </w:rPr>
            </w:pPr>
          </w:p>
        </w:tc>
        <w:tc>
          <w:tcPr>
            <w:tcW w:w="1433" w:type="dxa"/>
            <w:tcBorders>
              <w:top w:val="nil"/>
              <w:bottom w:val="single" w:sz="4" w:space="0" w:color="auto"/>
            </w:tcBorders>
            <w:shd w:val="clear" w:color="auto" w:fill="auto"/>
            <w:noWrap/>
            <w:vAlign w:val="bottom"/>
          </w:tcPr>
          <w:p w14:paraId="402C626D"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vAlign w:val="bottom"/>
          </w:tcPr>
          <w:p w14:paraId="01C8D847"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vAlign w:val="bottom"/>
          </w:tcPr>
          <w:p w14:paraId="111DC5C2" w14:textId="77777777" w:rsidR="00813412" w:rsidRPr="00185019" w:rsidRDefault="00813412" w:rsidP="0016598B">
            <w:pPr>
              <w:jc w:val="center"/>
              <w:rPr>
                <w:rFonts w:ascii="Arial" w:hAnsi="Arial" w:cs="Arial"/>
              </w:rPr>
            </w:pPr>
          </w:p>
        </w:tc>
      </w:tr>
      <w:tr w:rsidR="00813412" w:rsidRPr="00FC3309" w14:paraId="2F367062" w14:textId="77777777" w:rsidTr="0016598B">
        <w:trPr>
          <w:trHeight w:val="315"/>
        </w:trPr>
        <w:tc>
          <w:tcPr>
            <w:tcW w:w="5290" w:type="dxa"/>
            <w:tcBorders>
              <w:top w:val="nil"/>
              <w:left w:val="nil"/>
              <w:bottom w:val="nil"/>
              <w:right w:val="nil"/>
            </w:tcBorders>
            <w:shd w:val="clear" w:color="auto" w:fill="auto"/>
            <w:noWrap/>
            <w:vAlign w:val="bottom"/>
          </w:tcPr>
          <w:p w14:paraId="10CEC9F1" w14:textId="77777777" w:rsidR="00813412" w:rsidRPr="00EC29CA" w:rsidRDefault="00813412" w:rsidP="00844758">
            <w:pPr>
              <w:pStyle w:val="ListParagraph"/>
              <w:numPr>
                <w:ilvl w:val="2"/>
                <w:numId w:val="23"/>
              </w:numPr>
              <w:contextualSpacing w:val="0"/>
              <w:rPr>
                <w:rFonts w:ascii="Arial" w:hAnsi="Arial" w:cs="Arial"/>
              </w:rPr>
            </w:pPr>
            <w:r w:rsidRPr="00EC29CA">
              <w:rPr>
                <w:rFonts w:ascii="Arial" w:hAnsi="Arial" w:cs="Arial"/>
              </w:rPr>
              <w:t>Cash holdings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25DE7E"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0FD56D9B"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09DA8105" w14:textId="77777777" w:rsidR="00813412" w:rsidRPr="00185019" w:rsidRDefault="00813412" w:rsidP="0016598B">
            <w:pPr>
              <w:jc w:val="center"/>
              <w:rPr>
                <w:rFonts w:ascii="Arial" w:hAnsi="Arial" w:cs="Arial"/>
                <w:bCs/>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1E9448A7"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single" w:sz="4" w:space="0" w:color="auto"/>
            </w:tcBorders>
            <w:vAlign w:val="bottom"/>
          </w:tcPr>
          <w:p w14:paraId="39B3EC1C"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4675C5EA" w14:textId="77777777" w:rsidR="00813412" w:rsidRPr="00185019" w:rsidRDefault="00813412" w:rsidP="0016598B">
            <w:pPr>
              <w:jc w:val="center"/>
              <w:rPr>
                <w:rFonts w:ascii="Arial" w:hAnsi="Arial" w:cs="Arial"/>
                <w:bCs/>
              </w:rPr>
            </w:pPr>
          </w:p>
        </w:tc>
      </w:tr>
      <w:tr w:rsidR="00813412" w:rsidRPr="00FC3309" w14:paraId="5DB968D4" w14:textId="77777777" w:rsidTr="0016598B">
        <w:trPr>
          <w:trHeight w:val="315"/>
        </w:trPr>
        <w:tc>
          <w:tcPr>
            <w:tcW w:w="5290" w:type="dxa"/>
            <w:tcBorders>
              <w:top w:val="nil"/>
              <w:left w:val="nil"/>
              <w:bottom w:val="nil"/>
              <w:right w:val="nil"/>
            </w:tcBorders>
            <w:shd w:val="clear" w:color="auto" w:fill="auto"/>
            <w:noWrap/>
            <w:vAlign w:val="bottom"/>
          </w:tcPr>
          <w:p w14:paraId="5682394A" w14:textId="77777777" w:rsidR="00813412" w:rsidRPr="00EC29CA" w:rsidRDefault="00813412" w:rsidP="00844758">
            <w:pPr>
              <w:pStyle w:val="ListParagraph"/>
              <w:numPr>
                <w:ilvl w:val="2"/>
                <w:numId w:val="23"/>
              </w:numPr>
              <w:contextualSpacing w:val="0"/>
              <w:rPr>
                <w:rFonts w:ascii="Arial" w:hAnsi="Arial" w:cs="Arial"/>
              </w:rPr>
            </w:pPr>
            <w:r w:rsidRPr="00EC29CA">
              <w:rPr>
                <w:rFonts w:ascii="Arial" w:hAnsi="Arial" w:cs="Arial"/>
              </w:rPr>
              <w:t>Investment property</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5CDCB5FB"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1A3E3FD1"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61230266"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uto"/>
            <w:noWrap/>
            <w:vAlign w:val="bottom"/>
          </w:tcPr>
          <w:p w14:paraId="171FFC3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vAlign w:val="bottom"/>
          </w:tcPr>
          <w:p w14:paraId="411B98CE"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5AC1F3F8" w14:textId="77777777" w:rsidR="00813412" w:rsidRPr="00185019" w:rsidRDefault="00813412" w:rsidP="0016598B">
            <w:pPr>
              <w:jc w:val="center"/>
              <w:rPr>
                <w:rFonts w:ascii="Arial" w:hAnsi="Arial" w:cs="Arial"/>
                <w:bCs/>
              </w:rPr>
            </w:pPr>
          </w:p>
        </w:tc>
      </w:tr>
      <w:tr w:rsidR="00813412" w:rsidRPr="00FC3309" w14:paraId="2DADB611" w14:textId="77777777" w:rsidTr="0016598B">
        <w:trPr>
          <w:trHeight w:val="315"/>
        </w:trPr>
        <w:tc>
          <w:tcPr>
            <w:tcW w:w="5290" w:type="dxa"/>
            <w:tcBorders>
              <w:top w:val="nil"/>
              <w:left w:val="nil"/>
              <w:bottom w:val="nil"/>
              <w:right w:val="nil"/>
            </w:tcBorders>
            <w:shd w:val="clear" w:color="auto" w:fill="auto"/>
            <w:noWrap/>
            <w:vAlign w:val="bottom"/>
          </w:tcPr>
          <w:p w14:paraId="2CF770E6" w14:textId="77777777" w:rsidR="00813412" w:rsidRPr="00EC29CA" w:rsidRDefault="00813412" w:rsidP="00844758">
            <w:pPr>
              <w:pStyle w:val="ListParagraph"/>
              <w:numPr>
                <w:ilvl w:val="2"/>
                <w:numId w:val="23"/>
              </w:numPr>
              <w:contextualSpacing w:val="0"/>
              <w:rPr>
                <w:rFonts w:ascii="Arial" w:hAnsi="Arial" w:cs="Arial"/>
              </w:rPr>
            </w:pPr>
            <w:r w:rsidRPr="00EC29CA">
              <w:rPr>
                <w:rFonts w:ascii="Arial" w:hAnsi="Arial" w:cs="Arial"/>
              </w:rPr>
              <w:t>Equity securities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2BB2DFE7"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08446B2D"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43D0510C"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uto"/>
            <w:noWrap/>
            <w:vAlign w:val="bottom"/>
          </w:tcPr>
          <w:p w14:paraId="29C21FF0"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vAlign w:val="bottom"/>
          </w:tcPr>
          <w:p w14:paraId="1750073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74319854" w14:textId="77777777" w:rsidR="00813412" w:rsidRPr="00185019" w:rsidRDefault="00813412" w:rsidP="0016598B">
            <w:pPr>
              <w:jc w:val="center"/>
              <w:rPr>
                <w:rFonts w:ascii="Arial" w:hAnsi="Arial" w:cs="Arial"/>
                <w:bCs/>
              </w:rPr>
            </w:pPr>
          </w:p>
        </w:tc>
      </w:tr>
      <w:tr w:rsidR="00813412" w:rsidRPr="00FC3309" w14:paraId="4C459251" w14:textId="77777777" w:rsidTr="0016598B">
        <w:trPr>
          <w:trHeight w:val="315"/>
        </w:trPr>
        <w:tc>
          <w:tcPr>
            <w:tcW w:w="5290" w:type="dxa"/>
            <w:tcBorders>
              <w:top w:val="nil"/>
              <w:left w:val="nil"/>
              <w:bottom w:val="nil"/>
              <w:right w:val="nil"/>
            </w:tcBorders>
            <w:shd w:val="clear" w:color="auto" w:fill="auto"/>
            <w:noWrap/>
            <w:vAlign w:val="bottom"/>
          </w:tcPr>
          <w:p w14:paraId="7C2E8536" w14:textId="77777777" w:rsidR="00813412" w:rsidRPr="00EC29CA" w:rsidRDefault="00813412" w:rsidP="00844758">
            <w:pPr>
              <w:pStyle w:val="ListParagraph"/>
              <w:numPr>
                <w:ilvl w:val="2"/>
                <w:numId w:val="23"/>
              </w:numPr>
              <w:contextualSpacing w:val="0"/>
              <w:rPr>
                <w:rFonts w:ascii="Arial" w:hAnsi="Arial" w:cs="Arial"/>
              </w:rPr>
            </w:pPr>
            <w:r w:rsidRPr="00EC29CA">
              <w:rPr>
                <w:rFonts w:ascii="Arial" w:hAnsi="Arial" w:cs="Arial"/>
              </w:rPr>
              <w:t>Debt securities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1FB95D0F"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2533C66B"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4E4FB2AA"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uto"/>
            <w:noWrap/>
            <w:vAlign w:val="bottom"/>
          </w:tcPr>
          <w:p w14:paraId="6285FBA6"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vAlign w:val="bottom"/>
          </w:tcPr>
          <w:p w14:paraId="4913EB9E"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1C42DDD9" w14:textId="77777777" w:rsidR="00813412" w:rsidRPr="00185019" w:rsidRDefault="00813412" w:rsidP="0016598B">
            <w:pPr>
              <w:jc w:val="center"/>
              <w:rPr>
                <w:rFonts w:ascii="Arial" w:hAnsi="Arial" w:cs="Arial"/>
                <w:bCs/>
              </w:rPr>
            </w:pPr>
          </w:p>
        </w:tc>
      </w:tr>
      <w:tr w:rsidR="00813412" w:rsidRPr="00FC3309" w14:paraId="18F8ED1C" w14:textId="77777777" w:rsidTr="0016598B">
        <w:trPr>
          <w:trHeight w:val="315"/>
        </w:trPr>
        <w:tc>
          <w:tcPr>
            <w:tcW w:w="5290" w:type="dxa"/>
            <w:tcBorders>
              <w:top w:val="nil"/>
              <w:left w:val="nil"/>
              <w:bottom w:val="nil"/>
              <w:right w:val="nil"/>
            </w:tcBorders>
            <w:shd w:val="clear" w:color="auto" w:fill="auto"/>
            <w:noWrap/>
            <w:vAlign w:val="bottom"/>
          </w:tcPr>
          <w:p w14:paraId="240B0804" w14:textId="77777777" w:rsidR="00813412" w:rsidRPr="00EC29CA" w:rsidRDefault="00813412" w:rsidP="00844758">
            <w:pPr>
              <w:pStyle w:val="ListParagraph"/>
              <w:numPr>
                <w:ilvl w:val="2"/>
                <w:numId w:val="23"/>
              </w:numPr>
              <w:contextualSpacing w:val="0"/>
              <w:rPr>
                <w:rFonts w:ascii="Arial" w:hAnsi="Arial" w:cs="Arial"/>
              </w:rPr>
            </w:pPr>
            <w:r w:rsidRPr="00EC29CA">
              <w:rPr>
                <w:rFonts w:ascii="Arial" w:hAnsi="Arial" w:cs="Arial"/>
              </w:rPr>
              <w:t>Other investment assets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563F4C15"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5556982C"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7618A1F4"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6A6A6"/>
            <w:noWrap/>
            <w:vAlign w:val="bottom"/>
          </w:tcPr>
          <w:p w14:paraId="2A0A02E8"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5D1E3C18"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6BF45F4D" w14:textId="77777777" w:rsidR="00813412" w:rsidRPr="00185019" w:rsidRDefault="00813412" w:rsidP="0016598B">
            <w:pPr>
              <w:jc w:val="center"/>
              <w:rPr>
                <w:rFonts w:ascii="Arial" w:hAnsi="Arial" w:cs="Arial"/>
                <w:bCs/>
              </w:rPr>
            </w:pPr>
          </w:p>
        </w:tc>
      </w:tr>
      <w:tr w:rsidR="00813412" w:rsidRPr="00FC3309" w14:paraId="5D2E812D" w14:textId="77777777" w:rsidTr="0016598B">
        <w:trPr>
          <w:trHeight w:val="315"/>
        </w:trPr>
        <w:tc>
          <w:tcPr>
            <w:tcW w:w="5290" w:type="dxa"/>
            <w:tcBorders>
              <w:top w:val="nil"/>
              <w:left w:val="nil"/>
              <w:bottom w:val="nil"/>
              <w:right w:val="nil"/>
            </w:tcBorders>
            <w:shd w:val="clear" w:color="auto" w:fill="auto"/>
            <w:noWrap/>
            <w:vAlign w:val="bottom"/>
          </w:tcPr>
          <w:p w14:paraId="20AD0073" w14:textId="77777777" w:rsidR="00813412" w:rsidRPr="00345A7D" w:rsidRDefault="00813412" w:rsidP="00844758">
            <w:pPr>
              <w:pStyle w:val="ListParagraph"/>
              <w:numPr>
                <w:ilvl w:val="2"/>
                <w:numId w:val="23"/>
              </w:numPr>
              <w:contextualSpacing w:val="0"/>
              <w:rPr>
                <w:rFonts w:ascii="Arial" w:hAnsi="Arial" w:cs="Arial"/>
                <w:b/>
              </w:rPr>
            </w:pPr>
            <w:r w:rsidRPr="00345A7D">
              <w:rPr>
                <w:rFonts w:ascii="Arial" w:hAnsi="Arial" w:cs="Arial"/>
                <w:b/>
              </w:rPr>
              <w:t>Total investment income (excluding capital gains or losses)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F6F4E0"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481CF896"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1A7969B6" w14:textId="77777777" w:rsidR="00813412" w:rsidRPr="00185019" w:rsidRDefault="00813412" w:rsidP="0016598B">
            <w:pPr>
              <w:jc w:val="center"/>
              <w:rPr>
                <w:rFonts w:ascii="Arial" w:hAnsi="Arial" w:cs="Arial"/>
                <w:bCs/>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3ED92F14"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vAlign w:val="bottom"/>
          </w:tcPr>
          <w:p w14:paraId="2CEFE271"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09CECA2B" w14:textId="77777777" w:rsidR="00813412" w:rsidRPr="00185019" w:rsidRDefault="00813412" w:rsidP="0016598B">
            <w:pPr>
              <w:jc w:val="center"/>
              <w:rPr>
                <w:rFonts w:ascii="Arial" w:hAnsi="Arial" w:cs="Arial"/>
                <w:bCs/>
              </w:rPr>
            </w:pPr>
          </w:p>
        </w:tc>
      </w:tr>
      <w:tr w:rsidR="00813412" w:rsidRPr="00FC3309" w14:paraId="02C1E58E" w14:textId="77777777" w:rsidTr="0016598B">
        <w:trPr>
          <w:trHeight w:val="315"/>
        </w:trPr>
        <w:tc>
          <w:tcPr>
            <w:tcW w:w="5290" w:type="dxa"/>
            <w:tcBorders>
              <w:top w:val="nil"/>
              <w:left w:val="nil"/>
              <w:bottom w:val="nil"/>
            </w:tcBorders>
            <w:shd w:val="clear" w:color="auto" w:fill="auto"/>
            <w:noWrap/>
            <w:vAlign w:val="bottom"/>
          </w:tcPr>
          <w:p w14:paraId="5C1E85F8" w14:textId="77777777" w:rsidR="00813412" w:rsidRPr="00EC29CA" w:rsidRDefault="00813412" w:rsidP="0016598B">
            <w:pPr>
              <w:pStyle w:val="ListParagraph"/>
              <w:ind w:left="567"/>
              <w:rPr>
                <w:rFonts w:ascii="Arial" w:hAnsi="Arial" w:cs="Arial"/>
                <w:b/>
                <w:bCs/>
              </w:rPr>
            </w:pPr>
          </w:p>
        </w:tc>
        <w:tc>
          <w:tcPr>
            <w:tcW w:w="1433" w:type="dxa"/>
            <w:tcBorders>
              <w:top w:val="single" w:sz="4" w:space="0" w:color="auto"/>
            </w:tcBorders>
            <w:shd w:val="clear" w:color="auto" w:fill="auto"/>
            <w:noWrap/>
            <w:vAlign w:val="bottom"/>
          </w:tcPr>
          <w:p w14:paraId="1A066725"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noWrap/>
            <w:vAlign w:val="bottom"/>
          </w:tcPr>
          <w:p w14:paraId="02AFA713"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noWrap/>
            <w:vAlign w:val="bottom"/>
          </w:tcPr>
          <w:p w14:paraId="27A932F6" w14:textId="77777777" w:rsidR="00813412" w:rsidRPr="00185019" w:rsidRDefault="00813412" w:rsidP="0016598B">
            <w:pPr>
              <w:jc w:val="center"/>
              <w:rPr>
                <w:rFonts w:ascii="Arial" w:hAnsi="Arial" w:cs="Arial"/>
                <w:bCs/>
              </w:rPr>
            </w:pPr>
          </w:p>
        </w:tc>
        <w:tc>
          <w:tcPr>
            <w:tcW w:w="1433" w:type="dxa"/>
            <w:tcBorders>
              <w:top w:val="single" w:sz="4" w:space="0" w:color="auto"/>
            </w:tcBorders>
            <w:shd w:val="clear" w:color="auto" w:fill="auto"/>
            <w:noWrap/>
            <w:vAlign w:val="bottom"/>
          </w:tcPr>
          <w:p w14:paraId="2114BD8B"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vAlign w:val="bottom"/>
          </w:tcPr>
          <w:p w14:paraId="33B8547D"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vAlign w:val="bottom"/>
          </w:tcPr>
          <w:p w14:paraId="418E14D4" w14:textId="77777777" w:rsidR="00813412" w:rsidRPr="00185019" w:rsidRDefault="00813412" w:rsidP="0016598B">
            <w:pPr>
              <w:jc w:val="center"/>
              <w:rPr>
                <w:rFonts w:ascii="Arial" w:hAnsi="Arial" w:cs="Arial"/>
                <w:bCs/>
              </w:rPr>
            </w:pPr>
          </w:p>
        </w:tc>
      </w:tr>
      <w:tr w:rsidR="00813412" w:rsidRPr="00FC3309" w14:paraId="6438C527" w14:textId="77777777" w:rsidTr="0016598B">
        <w:trPr>
          <w:trHeight w:val="315"/>
        </w:trPr>
        <w:tc>
          <w:tcPr>
            <w:tcW w:w="5290" w:type="dxa"/>
            <w:tcBorders>
              <w:top w:val="nil"/>
              <w:left w:val="nil"/>
              <w:bottom w:val="nil"/>
            </w:tcBorders>
            <w:shd w:val="clear" w:color="auto" w:fill="auto"/>
            <w:noWrap/>
            <w:vAlign w:val="bottom"/>
          </w:tcPr>
          <w:p w14:paraId="63903893" w14:textId="77777777" w:rsidR="00813412" w:rsidRPr="00324145" w:rsidRDefault="00813412" w:rsidP="00844758">
            <w:pPr>
              <w:pStyle w:val="ListParagraph"/>
              <w:numPr>
                <w:ilvl w:val="1"/>
                <w:numId w:val="23"/>
              </w:numPr>
              <w:ind w:left="392"/>
              <w:contextualSpacing w:val="0"/>
              <w:rPr>
                <w:rFonts w:ascii="Arial" w:hAnsi="Arial" w:cs="Arial"/>
                <w:b/>
                <w:bCs/>
              </w:rPr>
            </w:pPr>
            <w:r w:rsidRPr="00324145">
              <w:rPr>
                <w:rFonts w:ascii="Arial" w:hAnsi="Arial" w:cs="Arial"/>
                <w:b/>
                <w:bCs/>
              </w:rPr>
              <w:t>Realised and unrealised capital gains (or losses) from</w:t>
            </w:r>
          </w:p>
        </w:tc>
        <w:tc>
          <w:tcPr>
            <w:tcW w:w="1433" w:type="dxa"/>
            <w:tcBorders>
              <w:bottom w:val="single" w:sz="4" w:space="0" w:color="auto"/>
            </w:tcBorders>
            <w:shd w:val="clear" w:color="auto" w:fill="auto"/>
            <w:noWrap/>
            <w:vAlign w:val="bottom"/>
          </w:tcPr>
          <w:p w14:paraId="2ED73DE4" w14:textId="77777777" w:rsidR="00813412" w:rsidRPr="00185019" w:rsidRDefault="00813412" w:rsidP="0016598B">
            <w:pPr>
              <w:jc w:val="center"/>
              <w:rPr>
                <w:rFonts w:ascii="Arial" w:hAnsi="Arial" w:cs="Arial"/>
              </w:rPr>
            </w:pPr>
          </w:p>
        </w:tc>
        <w:tc>
          <w:tcPr>
            <w:tcW w:w="1434" w:type="dxa"/>
            <w:tcBorders>
              <w:bottom w:val="single" w:sz="4" w:space="0" w:color="auto"/>
            </w:tcBorders>
            <w:shd w:val="clear" w:color="auto" w:fill="auto"/>
            <w:noWrap/>
            <w:vAlign w:val="bottom"/>
          </w:tcPr>
          <w:p w14:paraId="126E202F" w14:textId="77777777" w:rsidR="00813412" w:rsidRPr="00185019" w:rsidRDefault="00813412" w:rsidP="0016598B">
            <w:pPr>
              <w:jc w:val="center"/>
              <w:rPr>
                <w:rFonts w:ascii="Arial" w:hAnsi="Arial" w:cs="Arial"/>
              </w:rPr>
            </w:pPr>
          </w:p>
        </w:tc>
        <w:tc>
          <w:tcPr>
            <w:tcW w:w="1434" w:type="dxa"/>
            <w:tcBorders>
              <w:bottom w:val="single" w:sz="4" w:space="0" w:color="auto"/>
            </w:tcBorders>
            <w:shd w:val="clear" w:color="auto" w:fill="auto"/>
            <w:noWrap/>
            <w:vAlign w:val="bottom"/>
          </w:tcPr>
          <w:p w14:paraId="25D56213" w14:textId="77777777" w:rsidR="00813412" w:rsidRPr="00185019" w:rsidRDefault="00813412" w:rsidP="0016598B">
            <w:pPr>
              <w:jc w:val="center"/>
              <w:rPr>
                <w:rFonts w:ascii="Arial" w:hAnsi="Arial" w:cs="Arial"/>
              </w:rPr>
            </w:pPr>
          </w:p>
        </w:tc>
        <w:tc>
          <w:tcPr>
            <w:tcW w:w="1433" w:type="dxa"/>
            <w:tcBorders>
              <w:bottom w:val="single" w:sz="4" w:space="0" w:color="auto"/>
            </w:tcBorders>
            <w:shd w:val="clear" w:color="auto" w:fill="auto"/>
            <w:noWrap/>
            <w:vAlign w:val="bottom"/>
          </w:tcPr>
          <w:p w14:paraId="062032D2" w14:textId="77777777" w:rsidR="00813412" w:rsidRPr="00185019" w:rsidRDefault="00813412" w:rsidP="0016598B">
            <w:pPr>
              <w:jc w:val="center"/>
              <w:rPr>
                <w:rFonts w:ascii="Arial" w:hAnsi="Arial" w:cs="Arial"/>
              </w:rPr>
            </w:pPr>
          </w:p>
        </w:tc>
        <w:tc>
          <w:tcPr>
            <w:tcW w:w="1434" w:type="dxa"/>
            <w:tcBorders>
              <w:bottom w:val="single" w:sz="4" w:space="0" w:color="auto"/>
            </w:tcBorders>
            <w:shd w:val="clear" w:color="auto" w:fill="auto"/>
            <w:vAlign w:val="bottom"/>
          </w:tcPr>
          <w:p w14:paraId="1C4A5372" w14:textId="77777777" w:rsidR="00813412" w:rsidRPr="00185019" w:rsidRDefault="00813412" w:rsidP="0016598B">
            <w:pPr>
              <w:jc w:val="center"/>
              <w:rPr>
                <w:rFonts w:ascii="Arial" w:hAnsi="Arial" w:cs="Arial"/>
              </w:rPr>
            </w:pPr>
          </w:p>
        </w:tc>
        <w:tc>
          <w:tcPr>
            <w:tcW w:w="1434" w:type="dxa"/>
            <w:tcBorders>
              <w:bottom w:val="single" w:sz="4" w:space="0" w:color="auto"/>
            </w:tcBorders>
            <w:shd w:val="clear" w:color="auto" w:fill="auto"/>
            <w:vAlign w:val="bottom"/>
          </w:tcPr>
          <w:p w14:paraId="6A6FF5E2" w14:textId="77777777" w:rsidR="00813412" w:rsidRPr="00185019" w:rsidRDefault="00813412" w:rsidP="0016598B">
            <w:pPr>
              <w:jc w:val="center"/>
              <w:rPr>
                <w:rFonts w:ascii="Arial" w:hAnsi="Arial" w:cs="Arial"/>
              </w:rPr>
            </w:pPr>
          </w:p>
        </w:tc>
      </w:tr>
      <w:tr w:rsidR="00813412" w:rsidRPr="00FC3309" w14:paraId="564A5D71" w14:textId="77777777" w:rsidTr="0016598B">
        <w:trPr>
          <w:trHeight w:val="315"/>
        </w:trPr>
        <w:tc>
          <w:tcPr>
            <w:tcW w:w="5290" w:type="dxa"/>
            <w:tcBorders>
              <w:top w:val="nil"/>
              <w:left w:val="nil"/>
              <w:bottom w:val="nil"/>
              <w:right w:val="nil"/>
            </w:tcBorders>
            <w:shd w:val="clear" w:color="auto" w:fill="auto"/>
            <w:noWrap/>
            <w:vAlign w:val="bottom"/>
          </w:tcPr>
          <w:p w14:paraId="70F05224" w14:textId="77777777" w:rsidR="00813412" w:rsidRPr="00EC29CA" w:rsidRDefault="00813412" w:rsidP="00844758">
            <w:pPr>
              <w:pStyle w:val="ListParagraph"/>
              <w:numPr>
                <w:ilvl w:val="2"/>
                <w:numId w:val="23"/>
              </w:numPr>
              <w:contextualSpacing w:val="0"/>
              <w:rPr>
                <w:rFonts w:ascii="Arial" w:hAnsi="Arial" w:cs="Arial"/>
                <w:bCs/>
              </w:rPr>
            </w:pPr>
            <w:r w:rsidRPr="00EC29CA">
              <w:rPr>
                <w:rFonts w:ascii="Arial" w:hAnsi="Arial" w:cs="Arial"/>
                <w:bCs/>
              </w:rPr>
              <w:t>Investment property</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8C1B46"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6FFF315B"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2C156399" w14:textId="77777777" w:rsidR="00813412" w:rsidRPr="00185019" w:rsidRDefault="00813412" w:rsidP="0016598B">
            <w:pPr>
              <w:jc w:val="center"/>
              <w:rPr>
                <w:rFonts w:ascii="Arial" w:hAnsi="Arial" w:cs="Arial"/>
                <w:bCs/>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4B9AC204"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single" w:sz="4" w:space="0" w:color="auto"/>
            </w:tcBorders>
            <w:vAlign w:val="bottom"/>
          </w:tcPr>
          <w:p w14:paraId="0B1200B4"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4CB1A66C" w14:textId="77777777" w:rsidR="00813412" w:rsidRPr="00185019" w:rsidRDefault="00813412" w:rsidP="0016598B">
            <w:pPr>
              <w:jc w:val="center"/>
              <w:rPr>
                <w:rFonts w:ascii="Arial" w:hAnsi="Arial" w:cs="Arial"/>
                <w:bCs/>
              </w:rPr>
            </w:pPr>
          </w:p>
        </w:tc>
      </w:tr>
      <w:tr w:rsidR="00813412" w:rsidRPr="00FC3309" w14:paraId="2D24395F" w14:textId="77777777" w:rsidTr="0016598B">
        <w:trPr>
          <w:trHeight w:val="315"/>
        </w:trPr>
        <w:tc>
          <w:tcPr>
            <w:tcW w:w="5290" w:type="dxa"/>
            <w:tcBorders>
              <w:top w:val="nil"/>
              <w:left w:val="nil"/>
              <w:bottom w:val="nil"/>
              <w:right w:val="nil"/>
            </w:tcBorders>
            <w:shd w:val="clear" w:color="auto" w:fill="auto"/>
            <w:noWrap/>
            <w:vAlign w:val="bottom"/>
          </w:tcPr>
          <w:p w14:paraId="7DEF9A94" w14:textId="77777777" w:rsidR="00813412" w:rsidRPr="00EC29CA" w:rsidRDefault="00813412" w:rsidP="00844758">
            <w:pPr>
              <w:pStyle w:val="ListParagraph"/>
              <w:numPr>
                <w:ilvl w:val="2"/>
                <w:numId w:val="23"/>
              </w:numPr>
              <w:contextualSpacing w:val="0"/>
              <w:rPr>
                <w:rFonts w:ascii="Arial" w:hAnsi="Arial" w:cs="Arial"/>
                <w:bCs/>
              </w:rPr>
            </w:pPr>
            <w:r w:rsidRPr="00EC29CA">
              <w:rPr>
                <w:rFonts w:ascii="Arial" w:hAnsi="Arial" w:cs="Arial"/>
                <w:bCs/>
              </w:rPr>
              <w:t>Equity securities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6C0A1A7F"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5AA7685B"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635B4C63"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uto"/>
            <w:noWrap/>
            <w:vAlign w:val="bottom"/>
          </w:tcPr>
          <w:p w14:paraId="408E704B"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vAlign w:val="bottom"/>
          </w:tcPr>
          <w:p w14:paraId="3376D08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702A985E" w14:textId="77777777" w:rsidR="00813412" w:rsidRPr="00185019" w:rsidRDefault="00813412" w:rsidP="0016598B">
            <w:pPr>
              <w:jc w:val="center"/>
              <w:rPr>
                <w:rFonts w:ascii="Arial" w:hAnsi="Arial" w:cs="Arial"/>
                <w:bCs/>
              </w:rPr>
            </w:pPr>
          </w:p>
        </w:tc>
      </w:tr>
      <w:tr w:rsidR="00813412" w:rsidRPr="00FC3309" w14:paraId="3CBA508F" w14:textId="77777777" w:rsidTr="0016598B">
        <w:trPr>
          <w:trHeight w:val="315"/>
        </w:trPr>
        <w:tc>
          <w:tcPr>
            <w:tcW w:w="5290" w:type="dxa"/>
            <w:tcBorders>
              <w:top w:val="nil"/>
              <w:left w:val="nil"/>
              <w:bottom w:val="nil"/>
              <w:right w:val="nil"/>
            </w:tcBorders>
            <w:shd w:val="clear" w:color="auto" w:fill="auto"/>
            <w:noWrap/>
            <w:vAlign w:val="bottom"/>
          </w:tcPr>
          <w:p w14:paraId="61B9C8A7" w14:textId="77777777" w:rsidR="00813412" w:rsidRPr="00EC29CA" w:rsidRDefault="00813412" w:rsidP="00844758">
            <w:pPr>
              <w:pStyle w:val="ListParagraph"/>
              <w:numPr>
                <w:ilvl w:val="2"/>
                <w:numId w:val="23"/>
              </w:numPr>
              <w:contextualSpacing w:val="0"/>
              <w:rPr>
                <w:rFonts w:ascii="Arial" w:hAnsi="Arial" w:cs="Arial"/>
                <w:bCs/>
              </w:rPr>
            </w:pPr>
            <w:r w:rsidRPr="00EC29CA">
              <w:rPr>
                <w:rFonts w:ascii="Arial" w:hAnsi="Arial" w:cs="Arial"/>
                <w:bCs/>
              </w:rPr>
              <w:t>Debt securities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2F539206"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3415C47A"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421F3D0F"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uto"/>
            <w:noWrap/>
            <w:vAlign w:val="bottom"/>
          </w:tcPr>
          <w:p w14:paraId="43763FE4"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vAlign w:val="bottom"/>
          </w:tcPr>
          <w:p w14:paraId="2A7DE6B2"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3B07FE7A" w14:textId="77777777" w:rsidR="00813412" w:rsidRPr="00185019" w:rsidRDefault="00813412" w:rsidP="0016598B">
            <w:pPr>
              <w:jc w:val="center"/>
              <w:rPr>
                <w:rFonts w:ascii="Arial" w:hAnsi="Arial" w:cs="Arial"/>
                <w:bCs/>
              </w:rPr>
            </w:pPr>
          </w:p>
        </w:tc>
      </w:tr>
      <w:tr w:rsidR="00813412" w:rsidRPr="00FC3309" w14:paraId="20BBF344" w14:textId="77777777" w:rsidTr="0016598B">
        <w:trPr>
          <w:trHeight w:val="315"/>
        </w:trPr>
        <w:tc>
          <w:tcPr>
            <w:tcW w:w="5290" w:type="dxa"/>
            <w:tcBorders>
              <w:top w:val="nil"/>
              <w:left w:val="nil"/>
              <w:bottom w:val="nil"/>
              <w:right w:val="nil"/>
            </w:tcBorders>
            <w:shd w:val="clear" w:color="auto" w:fill="auto"/>
            <w:noWrap/>
            <w:vAlign w:val="bottom"/>
          </w:tcPr>
          <w:p w14:paraId="52B1474E" w14:textId="77777777" w:rsidR="00813412" w:rsidRPr="00EC29CA" w:rsidRDefault="00813412" w:rsidP="00844758">
            <w:pPr>
              <w:pStyle w:val="ListParagraph"/>
              <w:numPr>
                <w:ilvl w:val="2"/>
                <w:numId w:val="23"/>
              </w:numPr>
              <w:contextualSpacing w:val="0"/>
              <w:rPr>
                <w:rFonts w:ascii="Arial" w:hAnsi="Arial" w:cs="Arial"/>
                <w:bCs/>
              </w:rPr>
            </w:pPr>
            <w:r w:rsidRPr="00EC29CA">
              <w:rPr>
                <w:rFonts w:ascii="Arial" w:hAnsi="Arial" w:cs="Arial"/>
                <w:bCs/>
              </w:rPr>
              <w:t>Other investment assets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76094E81"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5E159C87"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7E22D602" w14:textId="77777777" w:rsidR="00813412" w:rsidRPr="00185019" w:rsidRDefault="00813412" w:rsidP="0016598B">
            <w:pPr>
              <w:jc w:val="center"/>
              <w:rPr>
                <w:rFonts w:ascii="Arial" w:hAnsi="Arial" w:cs="Arial"/>
                <w:bCs/>
              </w:rPr>
            </w:pPr>
          </w:p>
        </w:tc>
        <w:tc>
          <w:tcPr>
            <w:tcW w:w="1433" w:type="dxa"/>
            <w:tcBorders>
              <w:top w:val="nil"/>
              <w:left w:val="nil"/>
              <w:bottom w:val="single" w:sz="4" w:space="0" w:color="auto"/>
              <w:right w:val="single" w:sz="4" w:space="0" w:color="auto"/>
            </w:tcBorders>
            <w:shd w:val="clear" w:color="auto" w:fill="A6A6A6"/>
            <w:noWrap/>
            <w:vAlign w:val="bottom"/>
          </w:tcPr>
          <w:p w14:paraId="19790B4E"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53B37D7C"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27E1E932" w14:textId="77777777" w:rsidR="00813412" w:rsidRPr="00185019" w:rsidRDefault="00813412" w:rsidP="0016598B">
            <w:pPr>
              <w:jc w:val="center"/>
              <w:rPr>
                <w:rFonts w:ascii="Arial" w:hAnsi="Arial" w:cs="Arial"/>
                <w:bCs/>
              </w:rPr>
            </w:pPr>
          </w:p>
        </w:tc>
      </w:tr>
      <w:tr w:rsidR="00813412" w:rsidRPr="00FC3309" w14:paraId="56EA0856" w14:textId="77777777" w:rsidTr="0016598B">
        <w:trPr>
          <w:trHeight w:val="315"/>
        </w:trPr>
        <w:tc>
          <w:tcPr>
            <w:tcW w:w="5290" w:type="dxa"/>
            <w:tcBorders>
              <w:top w:val="nil"/>
              <w:left w:val="nil"/>
              <w:bottom w:val="nil"/>
              <w:right w:val="nil"/>
            </w:tcBorders>
            <w:shd w:val="clear" w:color="auto" w:fill="auto"/>
            <w:noWrap/>
            <w:vAlign w:val="bottom"/>
          </w:tcPr>
          <w:p w14:paraId="657031D8" w14:textId="77777777" w:rsidR="00813412" w:rsidRPr="00EC29CA" w:rsidRDefault="00813412" w:rsidP="00844758">
            <w:pPr>
              <w:pStyle w:val="ListParagraph"/>
              <w:numPr>
                <w:ilvl w:val="2"/>
                <w:numId w:val="23"/>
              </w:numPr>
              <w:contextualSpacing w:val="0"/>
              <w:rPr>
                <w:rFonts w:ascii="Arial" w:hAnsi="Arial" w:cs="Arial"/>
                <w:b/>
                <w:bCs/>
              </w:rPr>
            </w:pPr>
            <w:r w:rsidRPr="00EC29CA">
              <w:rPr>
                <w:rFonts w:ascii="Arial" w:hAnsi="Arial" w:cs="Arial"/>
                <w:b/>
                <w:bCs/>
              </w:rPr>
              <w:t>Total realised and unrealised capital gains (or losses)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3529E0"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3E943A43"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578BE58B" w14:textId="77777777" w:rsidR="00813412" w:rsidRPr="00185019" w:rsidRDefault="00813412" w:rsidP="0016598B">
            <w:pPr>
              <w:jc w:val="center"/>
              <w:rPr>
                <w:rFonts w:ascii="Arial" w:hAnsi="Arial" w:cs="Arial"/>
                <w:bCs/>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2CF1F118"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vAlign w:val="bottom"/>
          </w:tcPr>
          <w:p w14:paraId="58BAF943"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17F96D7D" w14:textId="77777777" w:rsidR="00813412" w:rsidRPr="00185019" w:rsidRDefault="00813412" w:rsidP="0016598B">
            <w:pPr>
              <w:jc w:val="center"/>
              <w:rPr>
                <w:rFonts w:ascii="Arial" w:hAnsi="Arial" w:cs="Arial"/>
                <w:bCs/>
              </w:rPr>
            </w:pPr>
          </w:p>
        </w:tc>
      </w:tr>
      <w:tr w:rsidR="00813412" w:rsidRPr="00FC3309" w14:paraId="235FE7E2" w14:textId="77777777" w:rsidTr="0016598B">
        <w:trPr>
          <w:trHeight w:val="315"/>
        </w:trPr>
        <w:tc>
          <w:tcPr>
            <w:tcW w:w="5290" w:type="dxa"/>
            <w:tcBorders>
              <w:top w:val="nil"/>
              <w:left w:val="nil"/>
              <w:bottom w:val="nil"/>
            </w:tcBorders>
            <w:shd w:val="clear" w:color="auto" w:fill="auto"/>
            <w:noWrap/>
            <w:vAlign w:val="bottom"/>
          </w:tcPr>
          <w:p w14:paraId="6B4EA05C" w14:textId="77777777" w:rsidR="00813412" w:rsidRPr="00EC29CA" w:rsidRDefault="00813412" w:rsidP="0016598B">
            <w:pPr>
              <w:pStyle w:val="ListParagraph"/>
              <w:ind w:left="567"/>
              <w:rPr>
                <w:rFonts w:ascii="Arial" w:hAnsi="Arial" w:cs="Arial"/>
                <w:b/>
                <w:bCs/>
              </w:rPr>
            </w:pPr>
          </w:p>
        </w:tc>
        <w:tc>
          <w:tcPr>
            <w:tcW w:w="1433" w:type="dxa"/>
            <w:tcBorders>
              <w:top w:val="single" w:sz="4" w:space="0" w:color="auto"/>
              <w:bottom w:val="single" w:sz="4" w:space="0" w:color="auto"/>
            </w:tcBorders>
            <w:shd w:val="clear" w:color="auto" w:fill="auto"/>
            <w:noWrap/>
            <w:vAlign w:val="bottom"/>
          </w:tcPr>
          <w:p w14:paraId="426AD073" w14:textId="77777777" w:rsidR="00813412" w:rsidRPr="00185019" w:rsidRDefault="00813412" w:rsidP="0016598B">
            <w:pPr>
              <w:jc w:val="center"/>
              <w:rPr>
                <w:rFonts w:ascii="Arial" w:hAnsi="Arial" w:cs="Arial"/>
                <w:bCs/>
              </w:rPr>
            </w:pPr>
          </w:p>
        </w:tc>
        <w:tc>
          <w:tcPr>
            <w:tcW w:w="1434" w:type="dxa"/>
            <w:tcBorders>
              <w:top w:val="single" w:sz="4" w:space="0" w:color="auto"/>
              <w:bottom w:val="single" w:sz="4" w:space="0" w:color="auto"/>
            </w:tcBorders>
            <w:shd w:val="clear" w:color="auto" w:fill="auto"/>
            <w:noWrap/>
            <w:vAlign w:val="bottom"/>
          </w:tcPr>
          <w:p w14:paraId="16CB9C54" w14:textId="77777777" w:rsidR="00813412" w:rsidRPr="00185019" w:rsidRDefault="00813412" w:rsidP="0016598B">
            <w:pPr>
              <w:jc w:val="center"/>
              <w:rPr>
                <w:rFonts w:ascii="Arial" w:hAnsi="Arial" w:cs="Arial"/>
                <w:bCs/>
              </w:rPr>
            </w:pPr>
          </w:p>
        </w:tc>
        <w:tc>
          <w:tcPr>
            <w:tcW w:w="1434" w:type="dxa"/>
            <w:tcBorders>
              <w:top w:val="single" w:sz="4" w:space="0" w:color="auto"/>
              <w:bottom w:val="single" w:sz="4" w:space="0" w:color="auto"/>
            </w:tcBorders>
            <w:shd w:val="clear" w:color="auto" w:fill="auto"/>
            <w:noWrap/>
            <w:vAlign w:val="bottom"/>
          </w:tcPr>
          <w:p w14:paraId="1C39001C" w14:textId="77777777" w:rsidR="00813412" w:rsidRPr="00185019" w:rsidRDefault="00813412" w:rsidP="0016598B">
            <w:pPr>
              <w:jc w:val="center"/>
              <w:rPr>
                <w:rFonts w:ascii="Arial" w:hAnsi="Arial" w:cs="Arial"/>
                <w:bCs/>
              </w:rPr>
            </w:pPr>
          </w:p>
        </w:tc>
        <w:tc>
          <w:tcPr>
            <w:tcW w:w="1433" w:type="dxa"/>
            <w:tcBorders>
              <w:top w:val="single" w:sz="4" w:space="0" w:color="auto"/>
              <w:bottom w:val="single" w:sz="4" w:space="0" w:color="auto"/>
            </w:tcBorders>
            <w:shd w:val="clear" w:color="auto" w:fill="auto"/>
            <w:noWrap/>
            <w:vAlign w:val="bottom"/>
          </w:tcPr>
          <w:p w14:paraId="51C5F17C" w14:textId="77777777" w:rsidR="00813412" w:rsidRPr="00185019" w:rsidRDefault="00813412" w:rsidP="0016598B">
            <w:pPr>
              <w:jc w:val="center"/>
              <w:rPr>
                <w:rFonts w:ascii="Arial" w:hAnsi="Arial" w:cs="Arial"/>
                <w:bCs/>
              </w:rPr>
            </w:pPr>
          </w:p>
        </w:tc>
        <w:tc>
          <w:tcPr>
            <w:tcW w:w="1434" w:type="dxa"/>
            <w:tcBorders>
              <w:top w:val="single" w:sz="4" w:space="0" w:color="auto"/>
              <w:bottom w:val="single" w:sz="4" w:space="0" w:color="auto"/>
            </w:tcBorders>
            <w:shd w:val="clear" w:color="auto" w:fill="auto"/>
            <w:vAlign w:val="bottom"/>
          </w:tcPr>
          <w:p w14:paraId="31CE0E8B" w14:textId="77777777" w:rsidR="00813412" w:rsidRPr="00185019" w:rsidRDefault="00813412" w:rsidP="0016598B">
            <w:pPr>
              <w:jc w:val="center"/>
              <w:rPr>
                <w:rFonts w:ascii="Arial" w:hAnsi="Arial" w:cs="Arial"/>
                <w:bCs/>
              </w:rPr>
            </w:pPr>
          </w:p>
        </w:tc>
        <w:tc>
          <w:tcPr>
            <w:tcW w:w="1434" w:type="dxa"/>
            <w:tcBorders>
              <w:top w:val="single" w:sz="4" w:space="0" w:color="auto"/>
              <w:bottom w:val="single" w:sz="4" w:space="0" w:color="auto"/>
            </w:tcBorders>
            <w:shd w:val="clear" w:color="auto" w:fill="auto"/>
            <w:vAlign w:val="bottom"/>
          </w:tcPr>
          <w:p w14:paraId="4910C4EF" w14:textId="77777777" w:rsidR="00813412" w:rsidRPr="00185019" w:rsidRDefault="00813412" w:rsidP="0016598B">
            <w:pPr>
              <w:jc w:val="center"/>
              <w:rPr>
                <w:rFonts w:ascii="Arial" w:hAnsi="Arial" w:cs="Arial"/>
                <w:bCs/>
              </w:rPr>
            </w:pPr>
          </w:p>
        </w:tc>
      </w:tr>
      <w:tr w:rsidR="00813412" w:rsidRPr="00FC3309" w14:paraId="2D06EFBF" w14:textId="77777777" w:rsidTr="0016598B">
        <w:trPr>
          <w:trHeight w:val="315"/>
        </w:trPr>
        <w:tc>
          <w:tcPr>
            <w:tcW w:w="5290" w:type="dxa"/>
            <w:tcBorders>
              <w:top w:val="nil"/>
              <w:left w:val="nil"/>
              <w:bottom w:val="nil"/>
              <w:right w:val="single" w:sz="4" w:space="0" w:color="auto"/>
            </w:tcBorders>
            <w:shd w:val="clear" w:color="auto" w:fill="auto"/>
            <w:noWrap/>
            <w:vAlign w:val="bottom"/>
          </w:tcPr>
          <w:p w14:paraId="314F8186" w14:textId="77777777" w:rsidR="00813412" w:rsidRPr="00324145" w:rsidRDefault="00813412" w:rsidP="00844758">
            <w:pPr>
              <w:pStyle w:val="ListParagraph"/>
              <w:numPr>
                <w:ilvl w:val="1"/>
                <w:numId w:val="23"/>
              </w:numPr>
              <w:ind w:left="392"/>
              <w:contextualSpacing w:val="0"/>
              <w:rPr>
                <w:rFonts w:ascii="Arial" w:hAnsi="Arial" w:cs="Arial"/>
                <w:b/>
                <w:bCs/>
              </w:rPr>
            </w:pPr>
            <w:r w:rsidRPr="00EC29CA">
              <w:rPr>
                <w:rFonts w:ascii="Arial" w:hAnsi="Arial" w:cs="Arial"/>
                <w:b/>
                <w:bCs/>
              </w:rPr>
              <w:t>Total investment revenue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28C2E7"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C9EDDD"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B6F7DF"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5015E1"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E64454F"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77C3C91A" w14:textId="77777777" w:rsidR="00813412" w:rsidRPr="00185019" w:rsidRDefault="00813412" w:rsidP="0016598B">
            <w:pPr>
              <w:jc w:val="center"/>
              <w:rPr>
                <w:rFonts w:ascii="Arial" w:hAnsi="Arial" w:cs="Arial"/>
                <w:bCs/>
              </w:rPr>
            </w:pPr>
          </w:p>
        </w:tc>
      </w:tr>
      <w:tr w:rsidR="00813412" w:rsidRPr="00FC3309" w14:paraId="179FA3D0" w14:textId="77777777" w:rsidTr="0016598B">
        <w:trPr>
          <w:trHeight w:val="315"/>
        </w:trPr>
        <w:tc>
          <w:tcPr>
            <w:tcW w:w="5290" w:type="dxa"/>
            <w:tcBorders>
              <w:top w:val="nil"/>
              <w:left w:val="nil"/>
              <w:bottom w:val="nil"/>
            </w:tcBorders>
            <w:shd w:val="clear" w:color="auto" w:fill="auto"/>
            <w:noWrap/>
            <w:vAlign w:val="bottom"/>
          </w:tcPr>
          <w:p w14:paraId="7E282B41" w14:textId="77777777" w:rsidR="00813412" w:rsidRPr="00324145" w:rsidRDefault="00813412" w:rsidP="0016598B">
            <w:pPr>
              <w:pStyle w:val="ListParagraph"/>
              <w:ind w:left="0"/>
              <w:rPr>
                <w:rFonts w:ascii="Arial" w:hAnsi="Arial" w:cs="Arial"/>
                <w:b/>
                <w:bCs/>
              </w:rPr>
            </w:pPr>
          </w:p>
        </w:tc>
        <w:tc>
          <w:tcPr>
            <w:tcW w:w="1433" w:type="dxa"/>
            <w:tcBorders>
              <w:top w:val="single" w:sz="4" w:space="0" w:color="auto"/>
              <w:bottom w:val="single" w:sz="4" w:space="0" w:color="auto"/>
            </w:tcBorders>
            <w:shd w:val="clear" w:color="auto" w:fill="auto"/>
            <w:noWrap/>
            <w:vAlign w:val="bottom"/>
          </w:tcPr>
          <w:p w14:paraId="661057A5"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1BFF38AC"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292DEF42" w14:textId="77777777" w:rsidR="00813412" w:rsidRPr="00185019" w:rsidRDefault="00813412" w:rsidP="0016598B">
            <w:pPr>
              <w:jc w:val="center"/>
              <w:rPr>
                <w:rFonts w:ascii="Arial" w:hAnsi="Arial" w:cs="Arial"/>
              </w:rPr>
            </w:pPr>
          </w:p>
        </w:tc>
        <w:tc>
          <w:tcPr>
            <w:tcW w:w="1433" w:type="dxa"/>
            <w:tcBorders>
              <w:top w:val="single" w:sz="4" w:space="0" w:color="auto"/>
              <w:bottom w:val="single" w:sz="4" w:space="0" w:color="auto"/>
            </w:tcBorders>
            <w:shd w:val="clear" w:color="auto" w:fill="auto"/>
            <w:noWrap/>
            <w:vAlign w:val="bottom"/>
          </w:tcPr>
          <w:p w14:paraId="62408979"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vAlign w:val="bottom"/>
          </w:tcPr>
          <w:p w14:paraId="60E6C045"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vAlign w:val="bottom"/>
          </w:tcPr>
          <w:p w14:paraId="0F6B04B1" w14:textId="77777777" w:rsidR="00813412" w:rsidRPr="00185019" w:rsidRDefault="00813412" w:rsidP="0016598B">
            <w:pPr>
              <w:jc w:val="center"/>
              <w:rPr>
                <w:rFonts w:ascii="Arial" w:hAnsi="Arial" w:cs="Arial"/>
              </w:rPr>
            </w:pPr>
          </w:p>
        </w:tc>
      </w:tr>
      <w:tr w:rsidR="00813412" w:rsidRPr="00FC3309" w14:paraId="4D48FD5B" w14:textId="77777777" w:rsidTr="0016598B">
        <w:trPr>
          <w:trHeight w:val="315"/>
        </w:trPr>
        <w:tc>
          <w:tcPr>
            <w:tcW w:w="5290" w:type="dxa"/>
            <w:tcBorders>
              <w:top w:val="nil"/>
              <w:left w:val="nil"/>
              <w:bottom w:val="nil"/>
              <w:right w:val="nil"/>
            </w:tcBorders>
            <w:shd w:val="clear" w:color="auto" w:fill="auto"/>
            <w:noWrap/>
            <w:vAlign w:val="bottom"/>
          </w:tcPr>
          <w:p w14:paraId="625C2E2A" w14:textId="77777777" w:rsidR="00813412" w:rsidRPr="00FC3309" w:rsidRDefault="00813412" w:rsidP="00844758">
            <w:pPr>
              <w:pStyle w:val="ListParagraph"/>
              <w:numPr>
                <w:ilvl w:val="0"/>
                <w:numId w:val="23"/>
              </w:numPr>
              <w:contextualSpacing w:val="0"/>
              <w:rPr>
                <w:rFonts w:ascii="Arial" w:hAnsi="Arial" w:cs="Arial"/>
                <w:b/>
                <w:bCs/>
              </w:rPr>
            </w:pPr>
            <w:r w:rsidRPr="00EC29CA">
              <w:rPr>
                <w:rFonts w:ascii="Arial" w:hAnsi="Arial" w:cs="Arial"/>
                <w:b/>
                <w:bCs/>
              </w:rPr>
              <w:t>Other revenue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63E5AA"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646E6D84"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7B6C5B15" w14:textId="77777777" w:rsidR="00813412" w:rsidRPr="00185019" w:rsidRDefault="00813412" w:rsidP="0016598B">
            <w:pPr>
              <w:jc w:val="center"/>
              <w:rPr>
                <w:rFonts w:ascii="Arial" w:hAnsi="Arial" w:cs="Arial"/>
                <w:bCs/>
              </w:rPr>
            </w:pPr>
          </w:p>
        </w:tc>
        <w:tc>
          <w:tcPr>
            <w:tcW w:w="1433" w:type="dxa"/>
            <w:tcBorders>
              <w:top w:val="single" w:sz="4" w:space="0" w:color="auto"/>
              <w:left w:val="nil"/>
              <w:bottom w:val="single" w:sz="4" w:space="0" w:color="auto"/>
              <w:right w:val="single" w:sz="4" w:space="0" w:color="auto"/>
            </w:tcBorders>
            <w:shd w:val="clear" w:color="auto" w:fill="A6A6A6"/>
            <w:noWrap/>
            <w:vAlign w:val="bottom"/>
          </w:tcPr>
          <w:p w14:paraId="06EF37AF"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2237DC37"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5407E0D4" w14:textId="77777777" w:rsidR="00813412" w:rsidRPr="00185019" w:rsidRDefault="00813412" w:rsidP="0016598B">
            <w:pPr>
              <w:jc w:val="center"/>
              <w:rPr>
                <w:rFonts w:ascii="Arial" w:hAnsi="Arial" w:cs="Arial"/>
                <w:bCs/>
              </w:rPr>
            </w:pPr>
          </w:p>
        </w:tc>
      </w:tr>
      <w:tr w:rsidR="00813412" w:rsidRPr="00FC3309" w14:paraId="5B293066" w14:textId="77777777" w:rsidTr="0016598B">
        <w:trPr>
          <w:trHeight w:val="315"/>
        </w:trPr>
        <w:tc>
          <w:tcPr>
            <w:tcW w:w="5290" w:type="dxa"/>
            <w:tcBorders>
              <w:top w:val="nil"/>
              <w:left w:val="nil"/>
              <w:bottom w:val="nil"/>
            </w:tcBorders>
            <w:shd w:val="clear" w:color="auto" w:fill="auto"/>
            <w:noWrap/>
            <w:vAlign w:val="bottom"/>
          </w:tcPr>
          <w:p w14:paraId="042C6BD2" w14:textId="77777777" w:rsidR="00813412" w:rsidRPr="00EC29CA" w:rsidRDefault="00813412" w:rsidP="0016598B">
            <w:pPr>
              <w:pStyle w:val="ListParagraph"/>
              <w:ind w:left="0"/>
              <w:rPr>
                <w:rFonts w:ascii="Arial" w:hAnsi="Arial" w:cs="Arial"/>
                <w:b/>
                <w:bCs/>
              </w:rPr>
            </w:pPr>
          </w:p>
        </w:tc>
        <w:tc>
          <w:tcPr>
            <w:tcW w:w="1433" w:type="dxa"/>
            <w:tcBorders>
              <w:top w:val="single" w:sz="4" w:space="0" w:color="auto"/>
              <w:bottom w:val="single" w:sz="4" w:space="0" w:color="auto"/>
            </w:tcBorders>
            <w:shd w:val="clear" w:color="auto" w:fill="auto"/>
            <w:noWrap/>
            <w:vAlign w:val="bottom"/>
          </w:tcPr>
          <w:p w14:paraId="37311003"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704009D2"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63C5A91C" w14:textId="77777777" w:rsidR="00813412" w:rsidRPr="00185019" w:rsidRDefault="00813412" w:rsidP="0016598B">
            <w:pPr>
              <w:jc w:val="center"/>
              <w:rPr>
                <w:rFonts w:ascii="Arial" w:hAnsi="Arial" w:cs="Arial"/>
              </w:rPr>
            </w:pPr>
          </w:p>
        </w:tc>
        <w:tc>
          <w:tcPr>
            <w:tcW w:w="1433" w:type="dxa"/>
            <w:tcBorders>
              <w:top w:val="single" w:sz="4" w:space="0" w:color="auto"/>
              <w:bottom w:val="single" w:sz="4" w:space="0" w:color="auto"/>
            </w:tcBorders>
            <w:shd w:val="clear" w:color="auto" w:fill="auto"/>
            <w:noWrap/>
            <w:vAlign w:val="bottom"/>
          </w:tcPr>
          <w:p w14:paraId="30F57FB3"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vAlign w:val="bottom"/>
          </w:tcPr>
          <w:p w14:paraId="5530B86A"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vAlign w:val="bottom"/>
          </w:tcPr>
          <w:p w14:paraId="491F91CD" w14:textId="77777777" w:rsidR="00813412" w:rsidRPr="00185019" w:rsidRDefault="00813412" w:rsidP="0016598B">
            <w:pPr>
              <w:jc w:val="center"/>
              <w:rPr>
                <w:rFonts w:ascii="Arial" w:hAnsi="Arial" w:cs="Arial"/>
              </w:rPr>
            </w:pPr>
          </w:p>
        </w:tc>
      </w:tr>
      <w:tr w:rsidR="00813412" w:rsidRPr="00FC3309" w14:paraId="59A14B7D" w14:textId="77777777" w:rsidTr="0016598B">
        <w:trPr>
          <w:trHeight w:val="315"/>
        </w:trPr>
        <w:tc>
          <w:tcPr>
            <w:tcW w:w="5290" w:type="dxa"/>
            <w:tcBorders>
              <w:top w:val="nil"/>
              <w:left w:val="nil"/>
              <w:bottom w:val="nil"/>
              <w:right w:val="nil"/>
            </w:tcBorders>
            <w:shd w:val="clear" w:color="auto" w:fill="auto"/>
            <w:noWrap/>
            <w:vAlign w:val="bottom"/>
          </w:tcPr>
          <w:p w14:paraId="5632AB78" w14:textId="77777777" w:rsidR="00813412" w:rsidRPr="00FC3309" w:rsidRDefault="00813412" w:rsidP="00844758">
            <w:pPr>
              <w:pStyle w:val="ListParagraph"/>
              <w:numPr>
                <w:ilvl w:val="0"/>
                <w:numId w:val="23"/>
              </w:numPr>
              <w:contextualSpacing w:val="0"/>
              <w:rPr>
                <w:rFonts w:ascii="Arial" w:hAnsi="Arial" w:cs="Arial"/>
                <w:b/>
                <w:bCs/>
              </w:rPr>
            </w:pPr>
            <w:r w:rsidRPr="00EC29CA">
              <w:rPr>
                <w:rFonts w:ascii="Arial" w:hAnsi="Arial" w:cs="Arial"/>
                <w:b/>
                <w:bCs/>
              </w:rPr>
              <w:t>Total revenue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E90271"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360F9FD0"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1072C4A9" w14:textId="77777777" w:rsidR="00813412" w:rsidRPr="00185019" w:rsidRDefault="00813412" w:rsidP="0016598B">
            <w:pPr>
              <w:jc w:val="center"/>
              <w:rPr>
                <w:rFonts w:ascii="Arial" w:hAnsi="Arial" w:cs="Arial"/>
                <w:bCs/>
              </w:rPr>
            </w:pPr>
          </w:p>
        </w:tc>
        <w:tc>
          <w:tcPr>
            <w:tcW w:w="1433" w:type="dxa"/>
            <w:tcBorders>
              <w:top w:val="single" w:sz="4" w:space="0" w:color="auto"/>
              <w:left w:val="nil"/>
              <w:bottom w:val="single" w:sz="4" w:space="0" w:color="auto"/>
              <w:right w:val="single" w:sz="4" w:space="0" w:color="auto"/>
            </w:tcBorders>
            <w:shd w:val="clear" w:color="auto" w:fill="auto"/>
            <w:noWrap/>
            <w:vAlign w:val="bottom"/>
          </w:tcPr>
          <w:p w14:paraId="1DEF2F8F"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uto"/>
            <w:vAlign w:val="bottom"/>
          </w:tcPr>
          <w:p w14:paraId="7C004235"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vAlign w:val="bottom"/>
          </w:tcPr>
          <w:p w14:paraId="30F8F37A" w14:textId="77777777" w:rsidR="00813412" w:rsidRPr="00185019" w:rsidRDefault="00813412" w:rsidP="0016598B">
            <w:pPr>
              <w:jc w:val="center"/>
              <w:rPr>
                <w:rFonts w:ascii="Arial" w:hAnsi="Arial" w:cs="Arial"/>
                <w:bCs/>
              </w:rPr>
            </w:pPr>
          </w:p>
        </w:tc>
      </w:tr>
    </w:tbl>
    <w:p w14:paraId="1BD9CEC8" w14:textId="79FA1446" w:rsidR="00813412" w:rsidRDefault="00813412" w:rsidP="00813412"/>
    <w:tbl>
      <w:tblPr>
        <w:tblW w:w="13892" w:type="dxa"/>
        <w:tblInd w:w="108" w:type="dxa"/>
        <w:tblLook w:val="04A0" w:firstRow="1" w:lastRow="0" w:firstColumn="1" w:lastColumn="0" w:noHBand="0" w:noVBand="1"/>
      </w:tblPr>
      <w:tblGrid>
        <w:gridCol w:w="13892"/>
      </w:tblGrid>
      <w:tr w:rsidR="00813412" w:rsidRPr="00703A5B" w14:paraId="2F3B411B" w14:textId="77777777" w:rsidTr="0016598B">
        <w:tc>
          <w:tcPr>
            <w:tcW w:w="13892" w:type="dxa"/>
          </w:tcPr>
          <w:p w14:paraId="0DDE965E" w14:textId="77777777" w:rsidR="00813412" w:rsidRPr="00703A5B" w:rsidRDefault="00813412" w:rsidP="00703A5B">
            <w:pPr>
              <w:keepNext/>
              <w:rPr>
                <w:rFonts w:ascii="Arial" w:hAnsi="Arial" w:cs="Arial"/>
                <w:b/>
              </w:rPr>
            </w:pPr>
            <w:r w:rsidRPr="00703A5B">
              <w:rPr>
                <w:rFonts w:ascii="Arial" w:hAnsi="Arial" w:cs="Arial"/>
                <w:b/>
                <w:bCs/>
              </w:rPr>
              <w:lastRenderedPageBreak/>
              <w:t>Expenses</w:t>
            </w:r>
          </w:p>
        </w:tc>
      </w:tr>
    </w:tbl>
    <w:p w14:paraId="0F3D820D" w14:textId="77777777" w:rsidR="00813412" w:rsidRPr="00703A5B" w:rsidRDefault="00813412" w:rsidP="00703A5B">
      <w:pPr>
        <w:keepNext/>
        <w:rPr>
          <w:b/>
        </w:rPr>
      </w:pPr>
    </w:p>
    <w:tbl>
      <w:tblPr>
        <w:tblW w:w="13892" w:type="dxa"/>
        <w:tblInd w:w="108" w:type="dxa"/>
        <w:tblLayout w:type="fixed"/>
        <w:tblLook w:val="04A0" w:firstRow="1" w:lastRow="0" w:firstColumn="1" w:lastColumn="0" w:noHBand="0" w:noVBand="1"/>
      </w:tblPr>
      <w:tblGrid>
        <w:gridCol w:w="5290"/>
        <w:gridCol w:w="1433"/>
        <w:gridCol w:w="1434"/>
        <w:gridCol w:w="1434"/>
        <w:gridCol w:w="1433"/>
        <w:gridCol w:w="1434"/>
        <w:gridCol w:w="1434"/>
      </w:tblGrid>
      <w:tr w:rsidR="00813412" w:rsidRPr="00FC3309" w14:paraId="2CC4D071" w14:textId="77777777" w:rsidTr="0016598B">
        <w:trPr>
          <w:trHeight w:val="315"/>
        </w:trPr>
        <w:tc>
          <w:tcPr>
            <w:tcW w:w="5290" w:type="dxa"/>
            <w:tcBorders>
              <w:top w:val="nil"/>
              <w:left w:val="nil"/>
              <w:bottom w:val="nil"/>
            </w:tcBorders>
            <w:shd w:val="clear" w:color="auto" w:fill="auto"/>
            <w:noWrap/>
            <w:vAlign w:val="bottom"/>
          </w:tcPr>
          <w:p w14:paraId="45B2ED03" w14:textId="77777777" w:rsidR="00813412" w:rsidRPr="00FC3309" w:rsidRDefault="00813412" w:rsidP="00844758">
            <w:pPr>
              <w:pStyle w:val="ListParagraph"/>
              <w:numPr>
                <w:ilvl w:val="0"/>
                <w:numId w:val="23"/>
              </w:numPr>
              <w:contextualSpacing w:val="0"/>
              <w:rPr>
                <w:rFonts w:ascii="Arial" w:hAnsi="Arial" w:cs="Arial"/>
                <w:b/>
                <w:bCs/>
              </w:rPr>
            </w:pPr>
            <w:r>
              <w:rPr>
                <w:rFonts w:ascii="Arial" w:hAnsi="Arial" w:cs="Arial"/>
                <w:b/>
                <w:bCs/>
              </w:rPr>
              <w:t xml:space="preserve"> </w:t>
            </w:r>
            <w:r w:rsidRPr="00EC29CA">
              <w:rPr>
                <w:rFonts w:ascii="Arial" w:hAnsi="Arial" w:cs="Arial"/>
                <w:b/>
                <w:bCs/>
              </w:rPr>
              <w:t xml:space="preserve"> Insurance policy expense</w:t>
            </w:r>
          </w:p>
        </w:tc>
        <w:tc>
          <w:tcPr>
            <w:tcW w:w="1433" w:type="dxa"/>
            <w:tcBorders>
              <w:top w:val="nil"/>
              <w:bottom w:val="single" w:sz="4" w:space="0" w:color="auto"/>
            </w:tcBorders>
            <w:shd w:val="clear" w:color="auto" w:fill="auto"/>
            <w:noWrap/>
            <w:vAlign w:val="bottom"/>
          </w:tcPr>
          <w:p w14:paraId="7C3B6015"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noWrap/>
            <w:vAlign w:val="bottom"/>
          </w:tcPr>
          <w:p w14:paraId="0CE1F739"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noWrap/>
            <w:vAlign w:val="bottom"/>
          </w:tcPr>
          <w:p w14:paraId="53D60745" w14:textId="77777777" w:rsidR="00813412" w:rsidRPr="00185019" w:rsidRDefault="00813412" w:rsidP="0016598B">
            <w:pPr>
              <w:jc w:val="center"/>
              <w:rPr>
                <w:rFonts w:ascii="Arial" w:hAnsi="Arial" w:cs="Arial"/>
              </w:rPr>
            </w:pPr>
          </w:p>
        </w:tc>
        <w:tc>
          <w:tcPr>
            <w:tcW w:w="1433" w:type="dxa"/>
            <w:tcBorders>
              <w:top w:val="nil"/>
            </w:tcBorders>
            <w:shd w:val="clear" w:color="auto" w:fill="auto"/>
            <w:noWrap/>
            <w:vAlign w:val="bottom"/>
          </w:tcPr>
          <w:p w14:paraId="54E1B96F" w14:textId="77777777" w:rsidR="00813412" w:rsidRPr="00185019" w:rsidRDefault="00813412" w:rsidP="0016598B">
            <w:pPr>
              <w:jc w:val="center"/>
              <w:rPr>
                <w:rFonts w:ascii="Arial" w:hAnsi="Arial" w:cs="Arial"/>
              </w:rPr>
            </w:pPr>
          </w:p>
        </w:tc>
        <w:tc>
          <w:tcPr>
            <w:tcW w:w="1434" w:type="dxa"/>
            <w:tcBorders>
              <w:top w:val="nil"/>
            </w:tcBorders>
            <w:shd w:val="clear" w:color="auto" w:fill="auto"/>
            <w:vAlign w:val="bottom"/>
          </w:tcPr>
          <w:p w14:paraId="7293A938"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vAlign w:val="bottom"/>
          </w:tcPr>
          <w:p w14:paraId="25CFB7A4" w14:textId="77777777" w:rsidR="00813412" w:rsidRPr="00185019" w:rsidRDefault="00813412" w:rsidP="0016598B">
            <w:pPr>
              <w:jc w:val="center"/>
              <w:rPr>
                <w:rFonts w:ascii="Arial" w:hAnsi="Arial" w:cs="Arial"/>
              </w:rPr>
            </w:pPr>
          </w:p>
        </w:tc>
      </w:tr>
      <w:tr w:rsidR="00813412" w:rsidRPr="00FC3309" w14:paraId="760F9C5D" w14:textId="77777777" w:rsidTr="0016598B">
        <w:trPr>
          <w:trHeight w:val="315"/>
        </w:trPr>
        <w:tc>
          <w:tcPr>
            <w:tcW w:w="5290" w:type="dxa"/>
            <w:tcBorders>
              <w:top w:val="nil"/>
              <w:left w:val="nil"/>
              <w:bottom w:val="nil"/>
              <w:right w:val="nil"/>
            </w:tcBorders>
            <w:shd w:val="clear" w:color="auto" w:fill="auto"/>
            <w:noWrap/>
            <w:vAlign w:val="bottom"/>
          </w:tcPr>
          <w:p w14:paraId="157D4BEE"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Death and disability claims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02D6AAE1"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00661CCF"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686BE4FA" w14:textId="77777777" w:rsidR="00813412" w:rsidRPr="00185019" w:rsidRDefault="00813412" w:rsidP="0016598B">
            <w:pPr>
              <w:jc w:val="center"/>
              <w:rPr>
                <w:rFonts w:ascii="Arial" w:hAnsi="Arial" w:cs="Arial"/>
                <w:bCs/>
              </w:rPr>
            </w:pPr>
          </w:p>
        </w:tc>
        <w:tc>
          <w:tcPr>
            <w:tcW w:w="1433" w:type="dxa"/>
            <w:tcBorders>
              <w:left w:val="nil"/>
            </w:tcBorders>
            <w:shd w:val="clear" w:color="auto" w:fill="auto"/>
            <w:noWrap/>
            <w:vAlign w:val="bottom"/>
          </w:tcPr>
          <w:p w14:paraId="0E3C2901"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34FDBAF2"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04F99682" w14:textId="77777777" w:rsidR="00813412" w:rsidRPr="00185019" w:rsidRDefault="00813412" w:rsidP="0016598B">
            <w:pPr>
              <w:jc w:val="center"/>
              <w:rPr>
                <w:rFonts w:ascii="Arial" w:hAnsi="Arial" w:cs="Arial"/>
                <w:bCs/>
              </w:rPr>
            </w:pPr>
          </w:p>
        </w:tc>
      </w:tr>
      <w:tr w:rsidR="00813412" w:rsidRPr="00FC3309" w14:paraId="7F1691B2" w14:textId="77777777" w:rsidTr="0016598B">
        <w:trPr>
          <w:trHeight w:val="315"/>
        </w:trPr>
        <w:tc>
          <w:tcPr>
            <w:tcW w:w="5290" w:type="dxa"/>
            <w:tcBorders>
              <w:top w:val="nil"/>
              <w:left w:val="nil"/>
              <w:bottom w:val="nil"/>
              <w:right w:val="nil"/>
            </w:tcBorders>
            <w:shd w:val="clear" w:color="auto" w:fill="auto"/>
            <w:noWrap/>
            <w:vAlign w:val="bottom"/>
          </w:tcPr>
          <w:p w14:paraId="4FEEA341"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Maturities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10F9DE0A"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5CC7EEE9"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7D255335" w14:textId="77777777" w:rsidR="00813412" w:rsidRPr="00185019" w:rsidRDefault="00813412" w:rsidP="0016598B">
            <w:pPr>
              <w:jc w:val="center"/>
              <w:rPr>
                <w:rFonts w:ascii="Arial" w:hAnsi="Arial" w:cs="Arial"/>
                <w:bCs/>
              </w:rPr>
            </w:pPr>
          </w:p>
        </w:tc>
        <w:tc>
          <w:tcPr>
            <w:tcW w:w="1433" w:type="dxa"/>
            <w:tcBorders>
              <w:top w:val="nil"/>
              <w:left w:val="nil"/>
            </w:tcBorders>
            <w:shd w:val="clear" w:color="auto" w:fill="auto"/>
            <w:noWrap/>
            <w:vAlign w:val="bottom"/>
          </w:tcPr>
          <w:p w14:paraId="1BF60E0B" w14:textId="77777777" w:rsidR="00813412" w:rsidRPr="00185019" w:rsidRDefault="00813412" w:rsidP="0016598B">
            <w:pPr>
              <w:jc w:val="center"/>
              <w:rPr>
                <w:rFonts w:ascii="Arial" w:hAnsi="Arial" w:cs="Arial"/>
              </w:rPr>
            </w:pPr>
          </w:p>
        </w:tc>
        <w:tc>
          <w:tcPr>
            <w:tcW w:w="1434" w:type="dxa"/>
            <w:tcBorders>
              <w:top w:val="nil"/>
              <w:right w:val="single" w:sz="4" w:space="0" w:color="auto"/>
            </w:tcBorders>
            <w:vAlign w:val="bottom"/>
          </w:tcPr>
          <w:p w14:paraId="4985842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222BA2F0" w14:textId="77777777" w:rsidR="00813412" w:rsidRPr="00185019" w:rsidRDefault="00813412" w:rsidP="0016598B">
            <w:pPr>
              <w:jc w:val="center"/>
              <w:rPr>
                <w:rFonts w:ascii="Arial" w:hAnsi="Arial" w:cs="Arial"/>
                <w:bCs/>
              </w:rPr>
            </w:pPr>
          </w:p>
        </w:tc>
      </w:tr>
      <w:tr w:rsidR="00813412" w:rsidRPr="00FC3309" w14:paraId="2FEFD31A" w14:textId="77777777" w:rsidTr="0016598B">
        <w:trPr>
          <w:trHeight w:val="315"/>
        </w:trPr>
        <w:tc>
          <w:tcPr>
            <w:tcW w:w="5290" w:type="dxa"/>
            <w:tcBorders>
              <w:top w:val="nil"/>
              <w:left w:val="nil"/>
              <w:bottom w:val="nil"/>
              <w:right w:val="nil"/>
            </w:tcBorders>
            <w:shd w:val="clear" w:color="auto" w:fill="auto"/>
            <w:noWrap/>
            <w:vAlign w:val="bottom"/>
          </w:tcPr>
          <w:p w14:paraId="1FE068EE"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Annuities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7F263152"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773F2633"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4CA965D7" w14:textId="77777777" w:rsidR="00813412" w:rsidRPr="00185019" w:rsidRDefault="00813412" w:rsidP="0016598B">
            <w:pPr>
              <w:jc w:val="center"/>
              <w:rPr>
                <w:rFonts w:ascii="Arial" w:hAnsi="Arial" w:cs="Arial"/>
                <w:bCs/>
              </w:rPr>
            </w:pPr>
          </w:p>
        </w:tc>
        <w:tc>
          <w:tcPr>
            <w:tcW w:w="1433" w:type="dxa"/>
            <w:tcBorders>
              <w:top w:val="nil"/>
              <w:left w:val="nil"/>
            </w:tcBorders>
            <w:shd w:val="clear" w:color="auto" w:fill="auto"/>
            <w:noWrap/>
            <w:vAlign w:val="bottom"/>
          </w:tcPr>
          <w:p w14:paraId="19B4D7ED" w14:textId="77777777" w:rsidR="00813412" w:rsidRPr="00185019" w:rsidRDefault="00813412" w:rsidP="0016598B">
            <w:pPr>
              <w:jc w:val="center"/>
              <w:rPr>
                <w:rFonts w:ascii="Arial" w:hAnsi="Arial" w:cs="Arial"/>
              </w:rPr>
            </w:pPr>
          </w:p>
        </w:tc>
        <w:tc>
          <w:tcPr>
            <w:tcW w:w="1434" w:type="dxa"/>
            <w:tcBorders>
              <w:top w:val="nil"/>
              <w:right w:val="single" w:sz="4" w:space="0" w:color="auto"/>
            </w:tcBorders>
            <w:vAlign w:val="bottom"/>
          </w:tcPr>
          <w:p w14:paraId="49CC6B60"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42401844" w14:textId="77777777" w:rsidR="00813412" w:rsidRPr="00185019" w:rsidRDefault="00813412" w:rsidP="0016598B">
            <w:pPr>
              <w:jc w:val="center"/>
              <w:rPr>
                <w:rFonts w:ascii="Arial" w:hAnsi="Arial" w:cs="Arial"/>
                <w:bCs/>
              </w:rPr>
            </w:pPr>
          </w:p>
        </w:tc>
      </w:tr>
      <w:tr w:rsidR="00813412" w:rsidRPr="00FC3309" w14:paraId="5F7EC729" w14:textId="77777777" w:rsidTr="0016598B">
        <w:trPr>
          <w:trHeight w:val="315"/>
        </w:trPr>
        <w:tc>
          <w:tcPr>
            <w:tcW w:w="5290" w:type="dxa"/>
            <w:tcBorders>
              <w:top w:val="nil"/>
              <w:left w:val="nil"/>
              <w:bottom w:val="nil"/>
              <w:right w:val="nil"/>
            </w:tcBorders>
            <w:shd w:val="clear" w:color="auto" w:fill="auto"/>
            <w:noWrap/>
            <w:vAlign w:val="bottom"/>
          </w:tcPr>
          <w:p w14:paraId="1E826397"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Surrenders and terminations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0B3354DA"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4B4ADD20"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1211FBBB" w14:textId="77777777" w:rsidR="00813412" w:rsidRPr="00185019" w:rsidRDefault="00813412" w:rsidP="0016598B">
            <w:pPr>
              <w:jc w:val="center"/>
              <w:rPr>
                <w:rFonts w:ascii="Arial" w:hAnsi="Arial" w:cs="Arial"/>
                <w:bCs/>
              </w:rPr>
            </w:pPr>
          </w:p>
        </w:tc>
        <w:tc>
          <w:tcPr>
            <w:tcW w:w="1433" w:type="dxa"/>
            <w:tcBorders>
              <w:top w:val="nil"/>
              <w:left w:val="nil"/>
            </w:tcBorders>
            <w:shd w:val="clear" w:color="auto" w:fill="auto"/>
            <w:noWrap/>
            <w:vAlign w:val="bottom"/>
          </w:tcPr>
          <w:p w14:paraId="56F2E603" w14:textId="77777777" w:rsidR="00813412" w:rsidRPr="00185019" w:rsidRDefault="00813412" w:rsidP="0016598B">
            <w:pPr>
              <w:jc w:val="center"/>
              <w:rPr>
                <w:rFonts w:ascii="Arial" w:hAnsi="Arial" w:cs="Arial"/>
              </w:rPr>
            </w:pPr>
          </w:p>
        </w:tc>
        <w:tc>
          <w:tcPr>
            <w:tcW w:w="1434" w:type="dxa"/>
            <w:tcBorders>
              <w:top w:val="nil"/>
              <w:right w:val="single" w:sz="4" w:space="0" w:color="auto"/>
            </w:tcBorders>
            <w:vAlign w:val="bottom"/>
          </w:tcPr>
          <w:p w14:paraId="3F6ED9F5"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1AAC4FD1" w14:textId="77777777" w:rsidR="00813412" w:rsidRPr="00185019" w:rsidRDefault="00813412" w:rsidP="0016598B">
            <w:pPr>
              <w:jc w:val="center"/>
              <w:rPr>
                <w:rFonts w:ascii="Arial" w:hAnsi="Arial" w:cs="Arial"/>
                <w:bCs/>
              </w:rPr>
            </w:pPr>
          </w:p>
        </w:tc>
      </w:tr>
      <w:tr w:rsidR="00813412" w:rsidRPr="00FC3309" w14:paraId="3C9F7B60" w14:textId="77777777" w:rsidTr="0016598B">
        <w:trPr>
          <w:trHeight w:val="315"/>
        </w:trPr>
        <w:tc>
          <w:tcPr>
            <w:tcW w:w="5290" w:type="dxa"/>
            <w:tcBorders>
              <w:top w:val="nil"/>
              <w:left w:val="nil"/>
              <w:bottom w:val="nil"/>
              <w:right w:val="nil"/>
            </w:tcBorders>
            <w:shd w:val="clear" w:color="auto" w:fill="auto"/>
            <w:noWrap/>
            <w:vAlign w:val="bottom"/>
          </w:tcPr>
          <w:p w14:paraId="1DAB5F9D" w14:textId="77777777" w:rsidR="00813412" w:rsidRPr="00EC29CA" w:rsidRDefault="00813412" w:rsidP="00844758">
            <w:pPr>
              <w:pStyle w:val="ListParagraph"/>
              <w:numPr>
                <w:ilvl w:val="1"/>
                <w:numId w:val="23"/>
              </w:numPr>
              <w:ind w:left="392"/>
              <w:contextualSpacing w:val="0"/>
              <w:rPr>
                <w:rFonts w:ascii="Arial" w:hAnsi="Arial" w:cs="Arial"/>
              </w:rPr>
            </w:pPr>
            <w:r w:rsidRPr="00EC29CA">
              <w:rPr>
                <w:rFonts w:ascii="Arial" w:hAnsi="Arial" w:cs="Arial"/>
              </w:rPr>
              <w:t>Policy conversions - outwards</w:t>
            </w:r>
          </w:p>
        </w:tc>
        <w:tc>
          <w:tcPr>
            <w:tcW w:w="1433" w:type="dxa"/>
            <w:tcBorders>
              <w:top w:val="nil"/>
              <w:left w:val="single" w:sz="4" w:space="0" w:color="auto"/>
              <w:bottom w:val="single" w:sz="4" w:space="0" w:color="auto"/>
              <w:right w:val="single" w:sz="4" w:space="0" w:color="auto"/>
            </w:tcBorders>
            <w:shd w:val="clear" w:color="auto" w:fill="A6A6A6"/>
            <w:noWrap/>
            <w:vAlign w:val="bottom"/>
          </w:tcPr>
          <w:p w14:paraId="527FDD34"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0E56058F" w14:textId="77777777" w:rsidR="00813412" w:rsidRPr="00185019" w:rsidRDefault="00813412" w:rsidP="0016598B">
            <w:pPr>
              <w:jc w:val="center"/>
              <w:rPr>
                <w:rFonts w:ascii="Arial" w:hAnsi="Arial" w:cs="Arial"/>
                <w:bCs/>
              </w:rPr>
            </w:pPr>
          </w:p>
        </w:tc>
        <w:tc>
          <w:tcPr>
            <w:tcW w:w="1434" w:type="dxa"/>
            <w:tcBorders>
              <w:top w:val="nil"/>
              <w:left w:val="nil"/>
              <w:bottom w:val="single" w:sz="4" w:space="0" w:color="auto"/>
              <w:right w:val="single" w:sz="4" w:space="0" w:color="auto"/>
            </w:tcBorders>
            <w:shd w:val="clear" w:color="auto" w:fill="A6A6A6"/>
            <w:noWrap/>
            <w:vAlign w:val="bottom"/>
          </w:tcPr>
          <w:p w14:paraId="1520077C" w14:textId="77777777" w:rsidR="00813412" w:rsidRPr="00185019" w:rsidRDefault="00813412" w:rsidP="0016598B">
            <w:pPr>
              <w:jc w:val="center"/>
              <w:rPr>
                <w:rFonts w:ascii="Arial" w:hAnsi="Arial" w:cs="Arial"/>
                <w:bCs/>
              </w:rPr>
            </w:pPr>
          </w:p>
        </w:tc>
        <w:tc>
          <w:tcPr>
            <w:tcW w:w="1433" w:type="dxa"/>
            <w:tcBorders>
              <w:top w:val="nil"/>
              <w:left w:val="nil"/>
            </w:tcBorders>
            <w:shd w:val="clear" w:color="auto" w:fill="auto"/>
            <w:noWrap/>
            <w:vAlign w:val="bottom"/>
          </w:tcPr>
          <w:p w14:paraId="08CBCCEF" w14:textId="77777777" w:rsidR="00813412" w:rsidRPr="00185019" w:rsidRDefault="00813412" w:rsidP="0016598B">
            <w:pPr>
              <w:jc w:val="center"/>
              <w:rPr>
                <w:rFonts w:ascii="Arial" w:hAnsi="Arial" w:cs="Arial"/>
              </w:rPr>
            </w:pPr>
          </w:p>
        </w:tc>
        <w:tc>
          <w:tcPr>
            <w:tcW w:w="1434" w:type="dxa"/>
            <w:tcBorders>
              <w:top w:val="nil"/>
              <w:right w:val="single" w:sz="4" w:space="0" w:color="auto"/>
            </w:tcBorders>
            <w:vAlign w:val="bottom"/>
          </w:tcPr>
          <w:p w14:paraId="0D8198BC"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single" w:sz="4" w:space="0" w:color="auto"/>
            </w:tcBorders>
            <w:shd w:val="clear" w:color="auto" w:fill="A6A6A6"/>
            <w:vAlign w:val="bottom"/>
          </w:tcPr>
          <w:p w14:paraId="3FCD28B5" w14:textId="77777777" w:rsidR="00813412" w:rsidRPr="00185019" w:rsidRDefault="00813412" w:rsidP="0016598B">
            <w:pPr>
              <w:jc w:val="center"/>
              <w:rPr>
                <w:rFonts w:ascii="Arial" w:hAnsi="Arial" w:cs="Arial"/>
                <w:bCs/>
              </w:rPr>
            </w:pPr>
          </w:p>
        </w:tc>
      </w:tr>
      <w:tr w:rsidR="00813412" w:rsidRPr="00FC3309" w14:paraId="1B824D13" w14:textId="77777777" w:rsidTr="0016598B">
        <w:trPr>
          <w:trHeight w:val="315"/>
        </w:trPr>
        <w:tc>
          <w:tcPr>
            <w:tcW w:w="5290" w:type="dxa"/>
            <w:tcBorders>
              <w:top w:val="nil"/>
              <w:left w:val="nil"/>
              <w:bottom w:val="nil"/>
              <w:right w:val="nil"/>
            </w:tcBorders>
            <w:shd w:val="clear" w:color="auto" w:fill="auto"/>
            <w:noWrap/>
            <w:vAlign w:val="bottom"/>
            <w:hideMark/>
          </w:tcPr>
          <w:p w14:paraId="4D4CE0A0"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Other claims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52304C"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011382B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8B702A"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545ADD7D"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3CEFEEBC" w14:textId="77777777" w:rsidR="00813412" w:rsidRPr="00185019" w:rsidRDefault="00813412" w:rsidP="0016598B">
            <w:pPr>
              <w:jc w:val="center"/>
              <w:rPr>
                <w:rFonts w:ascii="Arial" w:hAnsi="Arial" w:cs="Arial"/>
              </w:rPr>
            </w:pPr>
          </w:p>
        </w:tc>
        <w:tc>
          <w:tcPr>
            <w:tcW w:w="1434" w:type="dxa"/>
            <w:tcBorders>
              <w:top w:val="nil"/>
              <w:left w:val="single" w:sz="4" w:space="0" w:color="auto"/>
              <w:bottom w:val="single" w:sz="4" w:space="0" w:color="auto"/>
              <w:right w:val="nil"/>
            </w:tcBorders>
            <w:shd w:val="clear" w:color="auto" w:fill="A6A6A6"/>
            <w:vAlign w:val="bottom"/>
          </w:tcPr>
          <w:p w14:paraId="5BA67278" w14:textId="77777777" w:rsidR="00813412" w:rsidRPr="00185019" w:rsidRDefault="00813412" w:rsidP="0016598B">
            <w:pPr>
              <w:jc w:val="center"/>
              <w:rPr>
                <w:rFonts w:ascii="Arial" w:hAnsi="Arial" w:cs="Arial"/>
                <w:bCs/>
              </w:rPr>
            </w:pPr>
          </w:p>
        </w:tc>
      </w:tr>
      <w:tr w:rsidR="00813412" w:rsidRPr="00FC3309" w14:paraId="43701AEB" w14:textId="77777777" w:rsidTr="0016598B">
        <w:trPr>
          <w:trHeight w:val="315"/>
        </w:trPr>
        <w:tc>
          <w:tcPr>
            <w:tcW w:w="5290" w:type="dxa"/>
            <w:tcBorders>
              <w:top w:val="nil"/>
              <w:left w:val="nil"/>
              <w:bottom w:val="nil"/>
              <w:right w:val="nil"/>
            </w:tcBorders>
            <w:shd w:val="clear" w:color="auto" w:fill="auto"/>
            <w:noWrap/>
            <w:vAlign w:val="bottom"/>
          </w:tcPr>
          <w:p w14:paraId="70D37F75"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Inwards reinsurance claims expense (including current year bonus)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CD9620"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760535B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EBBE6C"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2EF50D94"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0A16A02A"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210B23FB" w14:textId="77777777" w:rsidR="00813412" w:rsidRPr="00185019" w:rsidRDefault="00813412" w:rsidP="0016598B">
            <w:pPr>
              <w:jc w:val="center"/>
              <w:rPr>
                <w:rFonts w:ascii="Arial" w:hAnsi="Arial" w:cs="Arial"/>
                <w:bCs/>
              </w:rPr>
            </w:pPr>
          </w:p>
        </w:tc>
      </w:tr>
      <w:tr w:rsidR="00813412" w:rsidRPr="00FC3309" w14:paraId="73F9DFD3" w14:textId="77777777" w:rsidTr="0016598B">
        <w:trPr>
          <w:trHeight w:val="315"/>
        </w:trPr>
        <w:tc>
          <w:tcPr>
            <w:tcW w:w="5290" w:type="dxa"/>
            <w:tcBorders>
              <w:top w:val="nil"/>
              <w:left w:val="nil"/>
              <w:bottom w:val="nil"/>
              <w:right w:val="nil"/>
            </w:tcBorders>
            <w:shd w:val="clear" w:color="auto" w:fill="auto"/>
            <w:noWrap/>
            <w:vAlign w:val="bottom"/>
          </w:tcPr>
          <w:p w14:paraId="3EC56ED4"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Total non-life policy expense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39A377"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3940EE03"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F7C482"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5E3A536A"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7E9EFF71"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34BA8E82" w14:textId="77777777" w:rsidR="00813412" w:rsidRPr="00185019" w:rsidRDefault="00813412" w:rsidP="0016598B">
            <w:pPr>
              <w:jc w:val="center"/>
              <w:rPr>
                <w:rFonts w:ascii="Arial" w:hAnsi="Arial" w:cs="Arial"/>
                <w:bCs/>
              </w:rPr>
            </w:pPr>
          </w:p>
        </w:tc>
      </w:tr>
      <w:tr w:rsidR="00813412" w:rsidRPr="00FC3309" w14:paraId="2B8625A2" w14:textId="77777777" w:rsidTr="0016598B">
        <w:trPr>
          <w:trHeight w:val="315"/>
        </w:trPr>
        <w:tc>
          <w:tcPr>
            <w:tcW w:w="5290" w:type="dxa"/>
            <w:tcBorders>
              <w:top w:val="nil"/>
              <w:left w:val="nil"/>
              <w:bottom w:val="nil"/>
              <w:right w:val="nil"/>
            </w:tcBorders>
            <w:shd w:val="clear" w:color="auto" w:fill="auto"/>
            <w:noWrap/>
            <w:vAlign w:val="bottom"/>
          </w:tcPr>
          <w:p w14:paraId="540C903F"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Outward reinsurance claims revenue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069EA0"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76001C84"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52DD3A"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6EFDE763"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1DA2C1C5"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07F05F56" w14:textId="77777777" w:rsidR="00813412" w:rsidRPr="00185019" w:rsidRDefault="00813412" w:rsidP="0016598B">
            <w:pPr>
              <w:jc w:val="center"/>
              <w:rPr>
                <w:rFonts w:ascii="Arial" w:hAnsi="Arial" w:cs="Arial"/>
                <w:bCs/>
              </w:rPr>
            </w:pPr>
          </w:p>
        </w:tc>
      </w:tr>
      <w:tr w:rsidR="00813412" w:rsidRPr="00FC3309" w14:paraId="4DBEEAFF" w14:textId="77777777" w:rsidTr="0016598B">
        <w:trPr>
          <w:trHeight w:val="315"/>
        </w:trPr>
        <w:tc>
          <w:tcPr>
            <w:tcW w:w="5290" w:type="dxa"/>
            <w:tcBorders>
              <w:top w:val="nil"/>
              <w:left w:val="nil"/>
              <w:bottom w:val="nil"/>
              <w:right w:val="nil"/>
            </w:tcBorders>
            <w:shd w:val="clear" w:color="auto" w:fill="auto"/>
            <w:noWrap/>
            <w:vAlign w:val="bottom"/>
          </w:tcPr>
          <w:p w14:paraId="545E84F4" w14:textId="77777777" w:rsidR="00813412" w:rsidRPr="00F52ACE" w:rsidRDefault="00813412" w:rsidP="00844758">
            <w:pPr>
              <w:pStyle w:val="ListParagraph"/>
              <w:numPr>
                <w:ilvl w:val="1"/>
                <w:numId w:val="23"/>
              </w:numPr>
              <w:ind w:left="392"/>
              <w:contextualSpacing w:val="0"/>
              <w:rPr>
                <w:rFonts w:ascii="Arial" w:hAnsi="Arial" w:cs="Arial"/>
                <w:b/>
              </w:rPr>
            </w:pPr>
            <w:r w:rsidRPr="00F52ACE">
              <w:rPr>
                <w:rFonts w:ascii="Arial" w:hAnsi="Arial" w:cs="Arial"/>
                <w:b/>
              </w:rPr>
              <w:t>Total insurance policy expense, net of reinsurance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1F5AF5"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52F14C6F"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0E1997"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4DF87279"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4F4C63C6"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09C7846" w14:textId="77777777" w:rsidR="00813412" w:rsidRPr="00185019" w:rsidRDefault="00813412" w:rsidP="0016598B">
            <w:pPr>
              <w:jc w:val="center"/>
              <w:rPr>
                <w:rFonts w:ascii="Arial" w:hAnsi="Arial" w:cs="Arial"/>
                <w:bCs/>
              </w:rPr>
            </w:pPr>
          </w:p>
        </w:tc>
      </w:tr>
      <w:tr w:rsidR="00813412" w:rsidRPr="00FC3309" w14:paraId="7895B63B" w14:textId="77777777" w:rsidTr="0016598B">
        <w:trPr>
          <w:trHeight w:val="315"/>
        </w:trPr>
        <w:tc>
          <w:tcPr>
            <w:tcW w:w="5290" w:type="dxa"/>
            <w:tcBorders>
              <w:top w:val="nil"/>
              <w:left w:val="nil"/>
              <w:bottom w:val="nil"/>
            </w:tcBorders>
            <w:shd w:val="clear" w:color="auto" w:fill="auto"/>
            <w:noWrap/>
            <w:vAlign w:val="bottom"/>
          </w:tcPr>
          <w:p w14:paraId="304A231C" w14:textId="77777777" w:rsidR="00813412" w:rsidRPr="00EC29CA" w:rsidRDefault="00813412" w:rsidP="0016598B">
            <w:pPr>
              <w:pStyle w:val="ListParagraph"/>
              <w:ind w:left="392"/>
              <w:rPr>
                <w:rFonts w:ascii="Arial" w:hAnsi="Arial" w:cs="Arial"/>
              </w:rPr>
            </w:pPr>
          </w:p>
        </w:tc>
        <w:tc>
          <w:tcPr>
            <w:tcW w:w="1433" w:type="dxa"/>
            <w:tcBorders>
              <w:top w:val="single" w:sz="4" w:space="0" w:color="auto"/>
            </w:tcBorders>
            <w:shd w:val="clear" w:color="auto" w:fill="auto"/>
            <w:noWrap/>
            <w:vAlign w:val="bottom"/>
          </w:tcPr>
          <w:p w14:paraId="2731C749"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right w:val="nil"/>
            </w:tcBorders>
            <w:shd w:val="clear" w:color="auto" w:fill="auto"/>
            <w:noWrap/>
            <w:vAlign w:val="bottom"/>
          </w:tcPr>
          <w:p w14:paraId="3BB6F464" w14:textId="77777777" w:rsidR="00813412" w:rsidRPr="00185019" w:rsidRDefault="00813412" w:rsidP="0016598B">
            <w:pPr>
              <w:jc w:val="center"/>
              <w:rPr>
                <w:rFonts w:ascii="Arial" w:hAnsi="Arial" w:cs="Arial"/>
              </w:rPr>
            </w:pPr>
          </w:p>
        </w:tc>
        <w:tc>
          <w:tcPr>
            <w:tcW w:w="1434" w:type="dxa"/>
            <w:tcBorders>
              <w:top w:val="single" w:sz="4" w:space="0" w:color="auto"/>
              <w:left w:val="nil"/>
            </w:tcBorders>
            <w:shd w:val="clear" w:color="auto" w:fill="auto"/>
            <w:noWrap/>
            <w:vAlign w:val="bottom"/>
          </w:tcPr>
          <w:p w14:paraId="74CA74FF" w14:textId="77777777" w:rsidR="00813412" w:rsidRPr="00185019" w:rsidRDefault="00813412" w:rsidP="0016598B">
            <w:pPr>
              <w:jc w:val="center"/>
              <w:rPr>
                <w:rFonts w:ascii="Arial" w:hAnsi="Arial" w:cs="Arial"/>
              </w:rPr>
            </w:pPr>
          </w:p>
        </w:tc>
        <w:tc>
          <w:tcPr>
            <w:tcW w:w="1433" w:type="dxa"/>
            <w:tcBorders>
              <w:top w:val="nil"/>
              <w:left w:val="nil"/>
              <w:right w:val="nil"/>
            </w:tcBorders>
            <w:shd w:val="clear" w:color="auto" w:fill="auto"/>
            <w:noWrap/>
            <w:vAlign w:val="bottom"/>
          </w:tcPr>
          <w:p w14:paraId="15F73E38" w14:textId="77777777" w:rsidR="00813412" w:rsidRPr="00185019" w:rsidRDefault="00813412" w:rsidP="0016598B">
            <w:pPr>
              <w:jc w:val="center"/>
              <w:rPr>
                <w:rFonts w:ascii="Arial" w:hAnsi="Arial" w:cs="Arial"/>
              </w:rPr>
            </w:pPr>
          </w:p>
        </w:tc>
        <w:tc>
          <w:tcPr>
            <w:tcW w:w="1434" w:type="dxa"/>
            <w:tcBorders>
              <w:top w:val="nil"/>
              <w:left w:val="nil"/>
              <w:bottom w:val="nil"/>
              <w:right w:val="nil"/>
            </w:tcBorders>
            <w:vAlign w:val="bottom"/>
          </w:tcPr>
          <w:p w14:paraId="491AAD41"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right w:val="nil"/>
            </w:tcBorders>
            <w:vAlign w:val="bottom"/>
          </w:tcPr>
          <w:p w14:paraId="1F757852" w14:textId="77777777" w:rsidR="00813412" w:rsidRPr="00185019" w:rsidRDefault="00813412" w:rsidP="0016598B">
            <w:pPr>
              <w:jc w:val="center"/>
              <w:rPr>
                <w:rFonts w:ascii="Arial" w:hAnsi="Arial" w:cs="Arial"/>
              </w:rPr>
            </w:pPr>
          </w:p>
        </w:tc>
      </w:tr>
      <w:tr w:rsidR="00813412" w:rsidRPr="00FC3309" w14:paraId="73D3CBBE" w14:textId="77777777" w:rsidTr="0016598B">
        <w:trPr>
          <w:trHeight w:val="315"/>
        </w:trPr>
        <w:tc>
          <w:tcPr>
            <w:tcW w:w="5290" w:type="dxa"/>
            <w:tcBorders>
              <w:top w:val="nil"/>
              <w:left w:val="nil"/>
              <w:bottom w:val="nil"/>
            </w:tcBorders>
            <w:shd w:val="clear" w:color="auto" w:fill="auto"/>
            <w:noWrap/>
            <w:vAlign w:val="bottom"/>
          </w:tcPr>
          <w:p w14:paraId="227CEA79" w14:textId="77777777" w:rsidR="00813412" w:rsidRPr="00FC3309" w:rsidRDefault="00813412" w:rsidP="00844758">
            <w:pPr>
              <w:pStyle w:val="ListParagraph"/>
              <w:numPr>
                <w:ilvl w:val="0"/>
                <w:numId w:val="23"/>
              </w:numPr>
              <w:contextualSpacing w:val="0"/>
              <w:rPr>
                <w:rFonts w:ascii="Arial" w:hAnsi="Arial" w:cs="Arial"/>
                <w:b/>
                <w:bCs/>
              </w:rPr>
            </w:pPr>
            <w:r w:rsidRPr="00F52ACE">
              <w:rPr>
                <w:rFonts w:ascii="Arial" w:hAnsi="Arial" w:cs="Arial"/>
                <w:b/>
                <w:bCs/>
              </w:rPr>
              <w:t>Operating expenses</w:t>
            </w:r>
          </w:p>
        </w:tc>
        <w:tc>
          <w:tcPr>
            <w:tcW w:w="1433" w:type="dxa"/>
            <w:tcBorders>
              <w:top w:val="nil"/>
              <w:bottom w:val="single" w:sz="4" w:space="0" w:color="auto"/>
            </w:tcBorders>
            <w:shd w:val="clear" w:color="auto" w:fill="auto"/>
            <w:noWrap/>
            <w:vAlign w:val="bottom"/>
          </w:tcPr>
          <w:p w14:paraId="2D3BF34F"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nil"/>
            </w:tcBorders>
            <w:shd w:val="clear" w:color="auto" w:fill="auto"/>
            <w:noWrap/>
            <w:vAlign w:val="bottom"/>
          </w:tcPr>
          <w:p w14:paraId="6FF1DEE2"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tcBorders>
            <w:shd w:val="clear" w:color="auto" w:fill="auto"/>
            <w:noWrap/>
            <w:vAlign w:val="bottom"/>
          </w:tcPr>
          <w:p w14:paraId="2D00855B" w14:textId="77777777" w:rsidR="00813412" w:rsidRPr="00185019" w:rsidRDefault="00813412" w:rsidP="0016598B">
            <w:pPr>
              <w:jc w:val="center"/>
              <w:rPr>
                <w:rFonts w:ascii="Arial" w:hAnsi="Arial" w:cs="Arial"/>
              </w:rPr>
            </w:pPr>
          </w:p>
        </w:tc>
        <w:tc>
          <w:tcPr>
            <w:tcW w:w="1433" w:type="dxa"/>
            <w:tcBorders>
              <w:top w:val="nil"/>
              <w:bottom w:val="single" w:sz="4" w:space="0" w:color="auto"/>
              <w:right w:val="nil"/>
            </w:tcBorders>
            <w:shd w:val="clear" w:color="auto" w:fill="auto"/>
            <w:noWrap/>
            <w:vAlign w:val="bottom"/>
          </w:tcPr>
          <w:p w14:paraId="0808B44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nil"/>
            </w:tcBorders>
            <w:vAlign w:val="bottom"/>
          </w:tcPr>
          <w:p w14:paraId="50F8AE75"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nil"/>
            </w:tcBorders>
            <w:vAlign w:val="bottom"/>
          </w:tcPr>
          <w:p w14:paraId="6F498DDA" w14:textId="77777777" w:rsidR="00813412" w:rsidRPr="00185019" w:rsidRDefault="00813412" w:rsidP="0016598B">
            <w:pPr>
              <w:jc w:val="center"/>
              <w:rPr>
                <w:rFonts w:ascii="Arial" w:hAnsi="Arial" w:cs="Arial"/>
              </w:rPr>
            </w:pPr>
          </w:p>
        </w:tc>
      </w:tr>
      <w:tr w:rsidR="00813412" w:rsidRPr="00FC3309" w14:paraId="124A3F3E" w14:textId="77777777" w:rsidTr="0016598B">
        <w:trPr>
          <w:trHeight w:val="315"/>
        </w:trPr>
        <w:tc>
          <w:tcPr>
            <w:tcW w:w="5290" w:type="dxa"/>
            <w:tcBorders>
              <w:top w:val="nil"/>
              <w:left w:val="nil"/>
              <w:bottom w:val="nil"/>
              <w:right w:val="nil"/>
            </w:tcBorders>
            <w:shd w:val="clear" w:color="auto" w:fill="auto"/>
            <w:noWrap/>
            <w:vAlign w:val="bottom"/>
          </w:tcPr>
          <w:p w14:paraId="1F3C396D"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Policy acquisition - commission and other incremental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73D8BF"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4F0289"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2111DE"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75228"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7FD7A092"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0E37EB4A" w14:textId="77777777" w:rsidR="00813412" w:rsidRPr="00185019" w:rsidRDefault="00813412" w:rsidP="0016598B">
            <w:pPr>
              <w:jc w:val="center"/>
              <w:rPr>
                <w:rFonts w:ascii="Arial" w:hAnsi="Arial" w:cs="Arial"/>
                <w:bCs/>
              </w:rPr>
            </w:pPr>
          </w:p>
        </w:tc>
      </w:tr>
      <w:tr w:rsidR="00813412" w:rsidRPr="00FC3309" w14:paraId="2D135808" w14:textId="77777777" w:rsidTr="0016598B">
        <w:trPr>
          <w:trHeight w:val="315"/>
        </w:trPr>
        <w:tc>
          <w:tcPr>
            <w:tcW w:w="5290" w:type="dxa"/>
            <w:tcBorders>
              <w:top w:val="nil"/>
              <w:left w:val="nil"/>
              <w:bottom w:val="nil"/>
              <w:right w:val="nil"/>
            </w:tcBorders>
            <w:shd w:val="clear" w:color="auto" w:fill="auto"/>
            <w:noWrap/>
            <w:vAlign w:val="bottom"/>
          </w:tcPr>
          <w:p w14:paraId="4568DA55"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Policy acquisition - other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8CBA2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CF659B"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79BE8D"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901FDB"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6722FF7B"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4AFF33E" w14:textId="77777777" w:rsidR="00813412" w:rsidRPr="00185019" w:rsidRDefault="00813412" w:rsidP="0016598B">
            <w:pPr>
              <w:jc w:val="center"/>
              <w:rPr>
                <w:rFonts w:ascii="Arial" w:hAnsi="Arial" w:cs="Arial"/>
                <w:bCs/>
              </w:rPr>
            </w:pPr>
          </w:p>
        </w:tc>
      </w:tr>
      <w:tr w:rsidR="00813412" w:rsidRPr="00FC3309" w14:paraId="329009F2" w14:textId="77777777" w:rsidTr="0016598B">
        <w:trPr>
          <w:trHeight w:val="315"/>
        </w:trPr>
        <w:tc>
          <w:tcPr>
            <w:tcW w:w="5290" w:type="dxa"/>
            <w:tcBorders>
              <w:top w:val="nil"/>
              <w:left w:val="nil"/>
              <w:bottom w:val="nil"/>
              <w:right w:val="nil"/>
            </w:tcBorders>
            <w:shd w:val="clear" w:color="auto" w:fill="auto"/>
            <w:noWrap/>
            <w:vAlign w:val="bottom"/>
          </w:tcPr>
          <w:p w14:paraId="5A2501D2" w14:textId="77777777" w:rsidR="00813412" w:rsidRPr="00F52ACE" w:rsidRDefault="00813412" w:rsidP="00844758">
            <w:pPr>
              <w:pStyle w:val="ListParagraph"/>
              <w:numPr>
                <w:ilvl w:val="1"/>
                <w:numId w:val="23"/>
              </w:numPr>
              <w:ind w:left="392"/>
              <w:contextualSpacing w:val="0"/>
              <w:rPr>
                <w:rFonts w:ascii="Arial" w:hAnsi="Arial" w:cs="Arial"/>
              </w:rPr>
            </w:pPr>
            <w:r w:rsidRPr="00404147">
              <w:rPr>
                <w:rFonts w:ascii="Arial" w:hAnsi="Arial" w:cs="Arial"/>
              </w:rPr>
              <w:t>Policy acquisition - total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C3CA1A"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2D281A"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168536C"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5383D"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325B6C7B"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785D68F2" w14:textId="77777777" w:rsidR="00813412" w:rsidRPr="00185019" w:rsidRDefault="00813412" w:rsidP="0016598B">
            <w:pPr>
              <w:jc w:val="center"/>
              <w:rPr>
                <w:rFonts w:ascii="Arial" w:hAnsi="Arial" w:cs="Arial"/>
                <w:bCs/>
              </w:rPr>
            </w:pPr>
          </w:p>
        </w:tc>
      </w:tr>
      <w:tr w:rsidR="00813412" w:rsidRPr="00FC3309" w14:paraId="70E30513" w14:textId="77777777" w:rsidTr="0016598B">
        <w:trPr>
          <w:trHeight w:val="315"/>
        </w:trPr>
        <w:tc>
          <w:tcPr>
            <w:tcW w:w="5290" w:type="dxa"/>
            <w:tcBorders>
              <w:top w:val="nil"/>
              <w:left w:val="nil"/>
              <w:bottom w:val="nil"/>
              <w:right w:val="nil"/>
            </w:tcBorders>
            <w:shd w:val="clear" w:color="auto" w:fill="auto"/>
            <w:noWrap/>
            <w:vAlign w:val="bottom"/>
          </w:tcPr>
          <w:p w14:paraId="5ADA5078"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Policy maintenance - commission and other incremental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4DF758"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16A616"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EE7FE6"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D4F3B"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78C55881"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5E15768" w14:textId="77777777" w:rsidR="00813412" w:rsidRPr="00185019" w:rsidRDefault="00813412" w:rsidP="0016598B">
            <w:pPr>
              <w:jc w:val="center"/>
              <w:rPr>
                <w:rFonts w:ascii="Arial" w:hAnsi="Arial" w:cs="Arial"/>
                <w:bCs/>
              </w:rPr>
            </w:pPr>
          </w:p>
        </w:tc>
      </w:tr>
      <w:tr w:rsidR="00813412" w:rsidRPr="00FC3309" w14:paraId="65372D61" w14:textId="77777777" w:rsidTr="0016598B">
        <w:trPr>
          <w:trHeight w:val="315"/>
        </w:trPr>
        <w:tc>
          <w:tcPr>
            <w:tcW w:w="5290" w:type="dxa"/>
            <w:tcBorders>
              <w:top w:val="nil"/>
              <w:left w:val="nil"/>
              <w:bottom w:val="nil"/>
              <w:right w:val="nil"/>
            </w:tcBorders>
            <w:shd w:val="clear" w:color="auto" w:fill="auto"/>
            <w:noWrap/>
            <w:vAlign w:val="bottom"/>
          </w:tcPr>
          <w:p w14:paraId="50469101"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Policy maintenance - other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35AAC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E679B4"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D7B233"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DC3721"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F3BB658"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0CF2124" w14:textId="77777777" w:rsidR="00813412" w:rsidRPr="00185019" w:rsidRDefault="00813412" w:rsidP="0016598B">
            <w:pPr>
              <w:jc w:val="center"/>
              <w:rPr>
                <w:rFonts w:ascii="Arial" w:hAnsi="Arial" w:cs="Arial"/>
                <w:bCs/>
              </w:rPr>
            </w:pPr>
          </w:p>
        </w:tc>
      </w:tr>
      <w:tr w:rsidR="00813412" w:rsidRPr="00FC3309" w14:paraId="03A29671" w14:textId="77777777" w:rsidTr="0016598B">
        <w:trPr>
          <w:trHeight w:val="315"/>
        </w:trPr>
        <w:tc>
          <w:tcPr>
            <w:tcW w:w="5290" w:type="dxa"/>
            <w:tcBorders>
              <w:top w:val="nil"/>
              <w:left w:val="nil"/>
              <w:bottom w:val="nil"/>
              <w:right w:val="nil"/>
            </w:tcBorders>
            <w:shd w:val="clear" w:color="auto" w:fill="auto"/>
            <w:noWrap/>
            <w:vAlign w:val="bottom"/>
          </w:tcPr>
          <w:p w14:paraId="10D4D123" w14:textId="77777777" w:rsidR="00813412" w:rsidRPr="00F52ACE" w:rsidRDefault="00813412" w:rsidP="00844758">
            <w:pPr>
              <w:pStyle w:val="ListParagraph"/>
              <w:numPr>
                <w:ilvl w:val="1"/>
                <w:numId w:val="23"/>
              </w:numPr>
              <w:ind w:left="392"/>
              <w:contextualSpacing w:val="0"/>
              <w:rPr>
                <w:rFonts w:ascii="Arial" w:hAnsi="Arial" w:cs="Arial"/>
              </w:rPr>
            </w:pPr>
            <w:r w:rsidRPr="00404147">
              <w:rPr>
                <w:rFonts w:ascii="Arial" w:hAnsi="Arial" w:cs="Arial"/>
              </w:rPr>
              <w:t>Policy maintenance - total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67D899"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ED37DA"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8490F7"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A4DB7"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0E44343C"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69949199" w14:textId="77777777" w:rsidR="00813412" w:rsidRPr="00185019" w:rsidRDefault="00813412" w:rsidP="0016598B">
            <w:pPr>
              <w:jc w:val="center"/>
              <w:rPr>
                <w:rFonts w:ascii="Arial" w:hAnsi="Arial" w:cs="Arial"/>
                <w:bCs/>
              </w:rPr>
            </w:pPr>
          </w:p>
        </w:tc>
      </w:tr>
      <w:tr w:rsidR="00813412" w:rsidRPr="00FC3309" w14:paraId="0BBF846F" w14:textId="77777777" w:rsidTr="0016598B">
        <w:trPr>
          <w:trHeight w:val="315"/>
        </w:trPr>
        <w:tc>
          <w:tcPr>
            <w:tcW w:w="5290" w:type="dxa"/>
            <w:tcBorders>
              <w:top w:val="nil"/>
              <w:left w:val="nil"/>
              <w:bottom w:val="nil"/>
              <w:right w:val="nil"/>
            </w:tcBorders>
            <w:shd w:val="clear" w:color="auto" w:fill="auto"/>
            <w:noWrap/>
            <w:vAlign w:val="bottom"/>
          </w:tcPr>
          <w:p w14:paraId="0F722A32"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Investment management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C97C09"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A81DC4"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8AC065"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3B483"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5830ECEA"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67FDB96D" w14:textId="77777777" w:rsidR="00813412" w:rsidRPr="00185019" w:rsidRDefault="00813412" w:rsidP="0016598B">
            <w:pPr>
              <w:jc w:val="center"/>
              <w:rPr>
                <w:rFonts w:ascii="Arial" w:hAnsi="Arial" w:cs="Arial"/>
                <w:bCs/>
              </w:rPr>
            </w:pPr>
          </w:p>
        </w:tc>
      </w:tr>
      <w:tr w:rsidR="00813412" w:rsidRPr="00FC3309" w14:paraId="72AB91E7" w14:textId="77777777" w:rsidTr="0016598B">
        <w:trPr>
          <w:trHeight w:val="315"/>
        </w:trPr>
        <w:tc>
          <w:tcPr>
            <w:tcW w:w="5290" w:type="dxa"/>
            <w:tcBorders>
              <w:top w:val="nil"/>
              <w:left w:val="nil"/>
              <w:bottom w:val="nil"/>
              <w:right w:val="nil"/>
            </w:tcBorders>
            <w:shd w:val="clear" w:color="auto" w:fill="auto"/>
            <w:noWrap/>
            <w:vAlign w:val="bottom"/>
          </w:tcPr>
          <w:p w14:paraId="4D485723"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Acquisition expenses reported as movement in policy liability (Net movement in DAC)</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43B81F"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FB785F"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D4598C6"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2A99D"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7B31C306"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3F13B8F6" w14:textId="77777777" w:rsidR="00813412" w:rsidRPr="00185019" w:rsidRDefault="00813412" w:rsidP="0016598B">
            <w:pPr>
              <w:jc w:val="center"/>
              <w:rPr>
                <w:rFonts w:ascii="Arial" w:hAnsi="Arial" w:cs="Arial"/>
                <w:bCs/>
              </w:rPr>
            </w:pPr>
          </w:p>
        </w:tc>
      </w:tr>
      <w:tr w:rsidR="00813412" w:rsidRPr="00FC3309" w14:paraId="646B5DC9" w14:textId="77777777" w:rsidTr="0016598B">
        <w:trPr>
          <w:trHeight w:val="315"/>
        </w:trPr>
        <w:tc>
          <w:tcPr>
            <w:tcW w:w="5290" w:type="dxa"/>
            <w:tcBorders>
              <w:top w:val="nil"/>
              <w:left w:val="nil"/>
              <w:bottom w:val="nil"/>
              <w:right w:val="nil"/>
            </w:tcBorders>
            <w:shd w:val="clear" w:color="auto" w:fill="auto"/>
            <w:noWrap/>
            <w:vAlign w:val="bottom"/>
          </w:tcPr>
          <w:p w14:paraId="3B093145"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Other administration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B402B3"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D876A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4DA909"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5A7E1D"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1A4C8B8"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69B51ECC" w14:textId="77777777" w:rsidR="00813412" w:rsidRPr="00185019" w:rsidRDefault="00813412" w:rsidP="0016598B">
            <w:pPr>
              <w:jc w:val="center"/>
              <w:rPr>
                <w:rFonts w:ascii="Arial" w:hAnsi="Arial" w:cs="Arial"/>
                <w:bCs/>
              </w:rPr>
            </w:pPr>
          </w:p>
        </w:tc>
      </w:tr>
      <w:tr w:rsidR="00813412" w:rsidRPr="00FC3309" w14:paraId="167F2A4F" w14:textId="77777777" w:rsidTr="0016598B">
        <w:trPr>
          <w:trHeight w:val="315"/>
        </w:trPr>
        <w:tc>
          <w:tcPr>
            <w:tcW w:w="5290" w:type="dxa"/>
            <w:tcBorders>
              <w:top w:val="nil"/>
              <w:left w:val="nil"/>
              <w:bottom w:val="nil"/>
              <w:right w:val="nil"/>
            </w:tcBorders>
            <w:shd w:val="clear" w:color="auto" w:fill="auto"/>
            <w:noWrap/>
            <w:vAlign w:val="bottom"/>
          </w:tcPr>
          <w:p w14:paraId="05F9D485"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Interest expense on subordinated debt</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5AA664"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AE2D63"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10FE762"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C9230"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5AF11161"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6D349D30" w14:textId="77777777" w:rsidR="00813412" w:rsidRPr="00185019" w:rsidRDefault="00813412" w:rsidP="0016598B">
            <w:pPr>
              <w:jc w:val="center"/>
              <w:rPr>
                <w:rFonts w:ascii="Arial" w:hAnsi="Arial" w:cs="Arial"/>
                <w:bCs/>
              </w:rPr>
            </w:pPr>
          </w:p>
        </w:tc>
      </w:tr>
      <w:tr w:rsidR="00813412" w:rsidRPr="00FC3309" w14:paraId="3F24B9CD" w14:textId="77777777" w:rsidTr="0016598B">
        <w:trPr>
          <w:trHeight w:val="315"/>
        </w:trPr>
        <w:tc>
          <w:tcPr>
            <w:tcW w:w="5290" w:type="dxa"/>
            <w:tcBorders>
              <w:top w:val="nil"/>
              <w:left w:val="nil"/>
              <w:bottom w:val="nil"/>
              <w:right w:val="nil"/>
            </w:tcBorders>
            <w:shd w:val="clear" w:color="auto" w:fill="auto"/>
            <w:noWrap/>
            <w:vAlign w:val="bottom"/>
          </w:tcPr>
          <w:p w14:paraId="2786D385"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lastRenderedPageBreak/>
              <w:t>Interest expense on other borrowings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6D5F58"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EF9E7D"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A0146E"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C6C77"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4C1A0D63"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1E80680F" w14:textId="77777777" w:rsidR="00813412" w:rsidRPr="00185019" w:rsidRDefault="00813412" w:rsidP="0016598B">
            <w:pPr>
              <w:jc w:val="center"/>
              <w:rPr>
                <w:rFonts w:ascii="Arial" w:hAnsi="Arial" w:cs="Arial"/>
                <w:bCs/>
              </w:rPr>
            </w:pPr>
          </w:p>
        </w:tc>
      </w:tr>
      <w:tr w:rsidR="00813412" w:rsidRPr="00FC3309" w14:paraId="749C5A64" w14:textId="77777777" w:rsidTr="0016598B">
        <w:trPr>
          <w:trHeight w:val="315"/>
        </w:trPr>
        <w:tc>
          <w:tcPr>
            <w:tcW w:w="5290" w:type="dxa"/>
            <w:tcBorders>
              <w:top w:val="nil"/>
              <w:left w:val="nil"/>
              <w:bottom w:val="nil"/>
              <w:right w:val="nil"/>
            </w:tcBorders>
            <w:shd w:val="clear" w:color="auto" w:fill="auto"/>
            <w:noWrap/>
            <w:vAlign w:val="bottom"/>
          </w:tcPr>
          <w:p w14:paraId="7EF8C9B5"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Total non-life operating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5F1599"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CC5756"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3F6665"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7F69A"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77CC377A"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707932BC" w14:textId="77777777" w:rsidR="00813412" w:rsidRPr="00185019" w:rsidRDefault="00813412" w:rsidP="0016598B">
            <w:pPr>
              <w:jc w:val="center"/>
              <w:rPr>
                <w:rFonts w:ascii="Arial" w:hAnsi="Arial" w:cs="Arial"/>
                <w:bCs/>
              </w:rPr>
            </w:pPr>
          </w:p>
        </w:tc>
      </w:tr>
      <w:tr w:rsidR="00813412" w:rsidRPr="00FC3309" w14:paraId="78DC457C" w14:textId="77777777" w:rsidTr="0016598B">
        <w:trPr>
          <w:trHeight w:val="315"/>
        </w:trPr>
        <w:tc>
          <w:tcPr>
            <w:tcW w:w="5290" w:type="dxa"/>
            <w:tcBorders>
              <w:top w:val="nil"/>
              <w:left w:val="nil"/>
              <w:bottom w:val="nil"/>
              <w:right w:val="nil"/>
            </w:tcBorders>
            <w:shd w:val="clear" w:color="auto" w:fill="auto"/>
            <w:noWrap/>
            <w:vAlign w:val="bottom"/>
          </w:tcPr>
          <w:p w14:paraId="2D44B786" w14:textId="77777777" w:rsidR="00813412" w:rsidRPr="00F52ACE" w:rsidRDefault="00813412" w:rsidP="00844758">
            <w:pPr>
              <w:pStyle w:val="ListParagraph"/>
              <w:numPr>
                <w:ilvl w:val="1"/>
                <w:numId w:val="23"/>
              </w:numPr>
              <w:ind w:left="392"/>
              <w:contextualSpacing w:val="0"/>
              <w:rPr>
                <w:rFonts w:ascii="Arial" w:hAnsi="Arial" w:cs="Arial"/>
                <w:b/>
              </w:rPr>
            </w:pPr>
            <w:r w:rsidRPr="00F52ACE">
              <w:rPr>
                <w:rFonts w:ascii="Arial" w:hAnsi="Arial" w:cs="Arial"/>
                <w:b/>
              </w:rPr>
              <w:t>Total operating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4159A2"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188068"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02E67B"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0C837"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vAlign w:val="bottom"/>
          </w:tcPr>
          <w:p w14:paraId="551D9D0D"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6C1EE8F7" w14:textId="77777777" w:rsidR="00813412" w:rsidRPr="00185019" w:rsidRDefault="00813412" w:rsidP="0016598B">
            <w:pPr>
              <w:jc w:val="center"/>
              <w:rPr>
                <w:rFonts w:ascii="Arial" w:hAnsi="Arial" w:cs="Arial"/>
                <w:bCs/>
              </w:rPr>
            </w:pPr>
          </w:p>
        </w:tc>
      </w:tr>
      <w:tr w:rsidR="00813412" w:rsidRPr="00FC3309" w14:paraId="3EAE6833" w14:textId="77777777" w:rsidTr="0016598B">
        <w:trPr>
          <w:trHeight w:val="315"/>
        </w:trPr>
        <w:tc>
          <w:tcPr>
            <w:tcW w:w="5290" w:type="dxa"/>
            <w:tcBorders>
              <w:top w:val="nil"/>
              <w:left w:val="nil"/>
              <w:bottom w:val="nil"/>
            </w:tcBorders>
            <w:shd w:val="clear" w:color="auto" w:fill="auto"/>
            <w:noWrap/>
            <w:vAlign w:val="bottom"/>
          </w:tcPr>
          <w:p w14:paraId="3562ACB2" w14:textId="77777777" w:rsidR="00813412" w:rsidRPr="00F52ACE" w:rsidRDefault="00813412" w:rsidP="0016598B">
            <w:pPr>
              <w:pStyle w:val="ListParagraph"/>
              <w:ind w:left="392"/>
              <w:rPr>
                <w:rFonts w:ascii="Arial" w:hAnsi="Arial" w:cs="Arial"/>
              </w:rPr>
            </w:pPr>
          </w:p>
        </w:tc>
        <w:tc>
          <w:tcPr>
            <w:tcW w:w="1433" w:type="dxa"/>
            <w:tcBorders>
              <w:top w:val="single" w:sz="4" w:space="0" w:color="auto"/>
              <w:bottom w:val="nil"/>
            </w:tcBorders>
            <w:shd w:val="clear" w:color="auto" w:fill="auto"/>
            <w:noWrap/>
            <w:vAlign w:val="bottom"/>
          </w:tcPr>
          <w:p w14:paraId="2587EBE0" w14:textId="77777777" w:rsidR="00813412" w:rsidRPr="00185019" w:rsidRDefault="00813412" w:rsidP="0016598B">
            <w:pPr>
              <w:jc w:val="center"/>
              <w:rPr>
                <w:rFonts w:ascii="Arial" w:hAnsi="Arial" w:cs="Arial"/>
              </w:rPr>
            </w:pPr>
          </w:p>
        </w:tc>
        <w:tc>
          <w:tcPr>
            <w:tcW w:w="1434" w:type="dxa"/>
            <w:tcBorders>
              <w:top w:val="single" w:sz="4" w:space="0" w:color="auto"/>
              <w:bottom w:val="nil"/>
              <w:right w:val="nil"/>
            </w:tcBorders>
            <w:shd w:val="clear" w:color="auto" w:fill="auto"/>
            <w:noWrap/>
            <w:vAlign w:val="bottom"/>
          </w:tcPr>
          <w:p w14:paraId="6A70C797"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tcBorders>
            <w:shd w:val="clear" w:color="auto" w:fill="auto"/>
            <w:noWrap/>
            <w:vAlign w:val="bottom"/>
          </w:tcPr>
          <w:p w14:paraId="03A5D62F" w14:textId="77777777" w:rsidR="00813412" w:rsidRPr="00185019" w:rsidRDefault="00813412" w:rsidP="0016598B">
            <w:pPr>
              <w:jc w:val="center"/>
              <w:rPr>
                <w:rFonts w:ascii="Arial" w:hAnsi="Arial" w:cs="Arial"/>
              </w:rPr>
            </w:pPr>
          </w:p>
        </w:tc>
        <w:tc>
          <w:tcPr>
            <w:tcW w:w="1433" w:type="dxa"/>
            <w:tcBorders>
              <w:top w:val="single" w:sz="4" w:space="0" w:color="auto"/>
              <w:bottom w:val="nil"/>
              <w:right w:val="nil"/>
            </w:tcBorders>
            <w:shd w:val="clear" w:color="auto" w:fill="auto"/>
            <w:noWrap/>
            <w:vAlign w:val="bottom"/>
          </w:tcPr>
          <w:p w14:paraId="0C1672E3"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right w:val="nil"/>
            </w:tcBorders>
            <w:vAlign w:val="bottom"/>
          </w:tcPr>
          <w:p w14:paraId="54422F94"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right w:val="nil"/>
            </w:tcBorders>
            <w:vAlign w:val="bottom"/>
          </w:tcPr>
          <w:p w14:paraId="0A2814B0" w14:textId="77777777" w:rsidR="00813412" w:rsidRPr="00185019" w:rsidRDefault="00813412" w:rsidP="0016598B">
            <w:pPr>
              <w:jc w:val="center"/>
              <w:rPr>
                <w:rFonts w:ascii="Arial" w:hAnsi="Arial" w:cs="Arial"/>
              </w:rPr>
            </w:pPr>
          </w:p>
        </w:tc>
      </w:tr>
      <w:tr w:rsidR="00813412" w:rsidRPr="00FC3309" w14:paraId="7E9440CC" w14:textId="77777777" w:rsidTr="0016598B">
        <w:trPr>
          <w:trHeight w:val="315"/>
        </w:trPr>
        <w:tc>
          <w:tcPr>
            <w:tcW w:w="5290" w:type="dxa"/>
            <w:tcBorders>
              <w:top w:val="nil"/>
              <w:left w:val="nil"/>
              <w:bottom w:val="nil"/>
            </w:tcBorders>
            <w:shd w:val="clear" w:color="auto" w:fill="auto"/>
            <w:noWrap/>
            <w:vAlign w:val="bottom"/>
          </w:tcPr>
          <w:p w14:paraId="43E03236" w14:textId="77777777" w:rsidR="00813412" w:rsidRPr="00FC3309" w:rsidRDefault="00813412" w:rsidP="00844758">
            <w:pPr>
              <w:pStyle w:val="ListParagraph"/>
              <w:numPr>
                <w:ilvl w:val="0"/>
                <w:numId w:val="23"/>
              </w:numPr>
              <w:contextualSpacing w:val="0"/>
              <w:rPr>
                <w:rFonts w:ascii="Arial" w:hAnsi="Arial" w:cs="Arial"/>
                <w:b/>
                <w:bCs/>
              </w:rPr>
            </w:pPr>
            <w:r w:rsidRPr="00F52ACE">
              <w:rPr>
                <w:rFonts w:ascii="Arial" w:hAnsi="Arial" w:cs="Arial"/>
                <w:b/>
                <w:bCs/>
              </w:rPr>
              <w:t>Movement in net policy liabilities</w:t>
            </w:r>
          </w:p>
        </w:tc>
        <w:tc>
          <w:tcPr>
            <w:tcW w:w="1433" w:type="dxa"/>
            <w:tcBorders>
              <w:top w:val="nil"/>
              <w:bottom w:val="single" w:sz="4" w:space="0" w:color="auto"/>
            </w:tcBorders>
            <w:shd w:val="clear" w:color="auto" w:fill="auto"/>
            <w:noWrap/>
            <w:vAlign w:val="bottom"/>
          </w:tcPr>
          <w:p w14:paraId="0AF3189D" w14:textId="77777777" w:rsidR="00813412" w:rsidRPr="00185019" w:rsidRDefault="00813412" w:rsidP="0016598B">
            <w:pPr>
              <w:jc w:val="center"/>
              <w:rPr>
                <w:rFonts w:ascii="Arial" w:hAnsi="Arial" w:cs="Arial"/>
              </w:rPr>
            </w:pPr>
          </w:p>
        </w:tc>
        <w:tc>
          <w:tcPr>
            <w:tcW w:w="1434" w:type="dxa"/>
            <w:tcBorders>
              <w:top w:val="nil"/>
              <w:bottom w:val="single" w:sz="4" w:space="0" w:color="auto"/>
              <w:right w:val="nil"/>
            </w:tcBorders>
            <w:shd w:val="clear" w:color="auto" w:fill="auto"/>
            <w:noWrap/>
            <w:vAlign w:val="bottom"/>
          </w:tcPr>
          <w:p w14:paraId="2B03EE1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tcBorders>
            <w:shd w:val="clear" w:color="auto" w:fill="auto"/>
            <w:noWrap/>
            <w:vAlign w:val="bottom"/>
          </w:tcPr>
          <w:p w14:paraId="50D1C4E4" w14:textId="77777777" w:rsidR="00813412" w:rsidRPr="00185019" w:rsidRDefault="00813412" w:rsidP="0016598B">
            <w:pPr>
              <w:jc w:val="center"/>
              <w:rPr>
                <w:rFonts w:ascii="Arial" w:hAnsi="Arial" w:cs="Arial"/>
              </w:rPr>
            </w:pPr>
          </w:p>
        </w:tc>
        <w:tc>
          <w:tcPr>
            <w:tcW w:w="1433" w:type="dxa"/>
            <w:tcBorders>
              <w:top w:val="nil"/>
              <w:right w:val="nil"/>
            </w:tcBorders>
            <w:shd w:val="clear" w:color="auto" w:fill="auto"/>
            <w:noWrap/>
            <w:vAlign w:val="bottom"/>
          </w:tcPr>
          <w:p w14:paraId="1A7B452F" w14:textId="77777777" w:rsidR="00813412" w:rsidRPr="00185019" w:rsidRDefault="00813412" w:rsidP="0016598B">
            <w:pPr>
              <w:jc w:val="center"/>
              <w:rPr>
                <w:rFonts w:ascii="Arial" w:hAnsi="Arial" w:cs="Arial"/>
              </w:rPr>
            </w:pPr>
          </w:p>
        </w:tc>
        <w:tc>
          <w:tcPr>
            <w:tcW w:w="1434" w:type="dxa"/>
            <w:tcBorders>
              <w:top w:val="nil"/>
              <w:left w:val="nil"/>
              <w:right w:val="nil"/>
            </w:tcBorders>
            <w:vAlign w:val="bottom"/>
          </w:tcPr>
          <w:p w14:paraId="0619D433"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nil"/>
            </w:tcBorders>
            <w:vAlign w:val="bottom"/>
          </w:tcPr>
          <w:p w14:paraId="27EE5DE1" w14:textId="77777777" w:rsidR="00813412" w:rsidRPr="00185019" w:rsidRDefault="00813412" w:rsidP="0016598B">
            <w:pPr>
              <w:jc w:val="center"/>
              <w:rPr>
                <w:rFonts w:ascii="Arial" w:hAnsi="Arial" w:cs="Arial"/>
              </w:rPr>
            </w:pPr>
          </w:p>
        </w:tc>
      </w:tr>
      <w:tr w:rsidR="00813412" w:rsidRPr="00FC3309" w14:paraId="588D515B" w14:textId="77777777" w:rsidTr="0016598B">
        <w:trPr>
          <w:trHeight w:val="315"/>
        </w:trPr>
        <w:tc>
          <w:tcPr>
            <w:tcW w:w="5290" w:type="dxa"/>
            <w:tcBorders>
              <w:top w:val="nil"/>
              <w:left w:val="nil"/>
              <w:bottom w:val="nil"/>
              <w:right w:val="single" w:sz="4" w:space="0" w:color="auto"/>
            </w:tcBorders>
            <w:shd w:val="clear" w:color="auto" w:fill="auto"/>
            <w:noWrap/>
            <w:vAlign w:val="bottom"/>
          </w:tcPr>
          <w:p w14:paraId="1886DDEE"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Increase/(decrease) in net policy liabilities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FCA4D8"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4C9A7B"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CF3A60" w14:textId="77777777" w:rsidR="00813412" w:rsidRPr="00185019" w:rsidRDefault="00813412" w:rsidP="0016598B">
            <w:pPr>
              <w:jc w:val="center"/>
              <w:rPr>
                <w:rFonts w:ascii="Arial" w:hAnsi="Arial" w:cs="Arial"/>
                <w:bCs/>
              </w:rPr>
            </w:pPr>
          </w:p>
        </w:tc>
        <w:tc>
          <w:tcPr>
            <w:tcW w:w="1433" w:type="dxa"/>
            <w:tcBorders>
              <w:left w:val="single" w:sz="4" w:space="0" w:color="auto"/>
            </w:tcBorders>
            <w:shd w:val="clear" w:color="auto" w:fill="auto"/>
            <w:noWrap/>
            <w:vAlign w:val="bottom"/>
          </w:tcPr>
          <w:p w14:paraId="60FF389C"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3A2B9A4E"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35CB6FD0" w14:textId="77777777" w:rsidR="00813412" w:rsidRPr="00185019" w:rsidRDefault="00813412" w:rsidP="0016598B">
            <w:pPr>
              <w:jc w:val="center"/>
              <w:rPr>
                <w:rFonts w:ascii="Arial" w:hAnsi="Arial" w:cs="Arial"/>
                <w:bCs/>
              </w:rPr>
            </w:pPr>
          </w:p>
        </w:tc>
      </w:tr>
      <w:tr w:rsidR="00813412" w:rsidRPr="00FC3309" w14:paraId="2785347C" w14:textId="77777777" w:rsidTr="0016598B">
        <w:trPr>
          <w:trHeight w:val="315"/>
        </w:trPr>
        <w:tc>
          <w:tcPr>
            <w:tcW w:w="5290" w:type="dxa"/>
            <w:tcBorders>
              <w:top w:val="nil"/>
              <w:left w:val="nil"/>
              <w:bottom w:val="nil"/>
              <w:right w:val="nil"/>
            </w:tcBorders>
            <w:shd w:val="clear" w:color="auto" w:fill="auto"/>
            <w:noWrap/>
            <w:vAlign w:val="bottom"/>
          </w:tcPr>
          <w:p w14:paraId="4077053F" w14:textId="77777777" w:rsidR="00813412" w:rsidRPr="00A84840" w:rsidRDefault="00813412" w:rsidP="00844758">
            <w:pPr>
              <w:pStyle w:val="ListParagraph"/>
              <w:numPr>
                <w:ilvl w:val="2"/>
                <w:numId w:val="23"/>
              </w:numPr>
              <w:contextualSpacing w:val="0"/>
              <w:rPr>
                <w:rFonts w:ascii="Arial" w:hAnsi="Arial" w:cs="Arial"/>
                <w:i/>
              </w:rPr>
            </w:pPr>
            <w:r w:rsidRPr="00A84840">
              <w:rPr>
                <w:rFonts w:ascii="Arial" w:hAnsi="Arial" w:cs="Arial"/>
                <w:i/>
              </w:rPr>
              <w:t>Of which: Surplus distributed to benefit fund members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111F06"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DFFA8C"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9BD71A" w14:textId="77777777" w:rsidR="00813412" w:rsidRPr="00185019" w:rsidRDefault="00813412" w:rsidP="0016598B">
            <w:pPr>
              <w:jc w:val="center"/>
              <w:rPr>
                <w:rFonts w:ascii="Arial" w:hAnsi="Arial" w:cs="Arial"/>
                <w:bCs/>
              </w:rPr>
            </w:pPr>
          </w:p>
        </w:tc>
        <w:tc>
          <w:tcPr>
            <w:tcW w:w="1433" w:type="dxa"/>
            <w:tcBorders>
              <w:left w:val="single" w:sz="4" w:space="0" w:color="auto"/>
            </w:tcBorders>
            <w:shd w:val="clear" w:color="auto" w:fill="auto"/>
            <w:noWrap/>
            <w:vAlign w:val="bottom"/>
          </w:tcPr>
          <w:p w14:paraId="4C97DF3B"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795BABA7"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CD521F9" w14:textId="77777777" w:rsidR="00813412" w:rsidRPr="00185019" w:rsidRDefault="00813412" w:rsidP="0016598B">
            <w:pPr>
              <w:jc w:val="center"/>
              <w:rPr>
                <w:rFonts w:ascii="Arial" w:hAnsi="Arial" w:cs="Arial"/>
                <w:bCs/>
              </w:rPr>
            </w:pPr>
          </w:p>
        </w:tc>
      </w:tr>
      <w:tr w:rsidR="00813412" w:rsidRPr="00FC3309" w14:paraId="3F3A97A4" w14:textId="77777777" w:rsidTr="0016598B">
        <w:trPr>
          <w:trHeight w:val="315"/>
        </w:trPr>
        <w:tc>
          <w:tcPr>
            <w:tcW w:w="5290" w:type="dxa"/>
            <w:tcBorders>
              <w:top w:val="nil"/>
              <w:left w:val="nil"/>
              <w:right w:val="nil"/>
            </w:tcBorders>
            <w:shd w:val="clear" w:color="auto" w:fill="auto"/>
            <w:noWrap/>
            <w:vAlign w:val="bottom"/>
          </w:tcPr>
          <w:p w14:paraId="3C3B4985" w14:textId="77777777" w:rsidR="00813412" w:rsidRPr="00A84840" w:rsidRDefault="00813412" w:rsidP="00844758">
            <w:pPr>
              <w:pStyle w:val="ListParagraph"/>
              <w:numPr>
                <w:ilvl w:val="2"/>
                <w:numId w:val="23"/>
              </w:numPr>
              <w:contextualSpacing w:val="0"/>
              <w:rPr>
                <w:rFonts w:ascii="Arial" w:hAnsi="Arial" w:cs="Arial"/>
                <w:i/>
              </w:rPr>
            </w:pPr>
            <w:r w:rsidRPr="00A84840">
              <w:rPr>
                <w:rFonts w:ascii="Arial" w:hAnsi="Arial" w:cs="Arial"/>
                <w:i/>
              </w:rPr>
              <w:t>Of which: Increase/decrease in unallocated surplus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80504D"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9583C5"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ED08B0" w14:textId="77777777" w:rsidR="00813412" w:rsidRPr="00185019" w:rsidRDefault="00813412" w:rsidP="0016598B">
            <w:pPr>
              <w:jc w:val="center"/>
              <w:rPr>
                <w:rFonts w:ascii="Arial" w:hAnsi="Arial" w:cs="Arial"/>
                <w:bCs/>
              </w:rPr>
            </w:pPr>
          </w:p>
        </w:tc>
        <w:tc>
          <w:tcPr>
            <w:tcW w:w="1433" w:type="dxa"/>
            <w:tcBorders>
              <w:left w:val="single" w:sz="4" w:space="0" w:color="auto"/>
            </w:tcBorders>
            <w:shd w:val="clear" w:color="auto" w:fill="auto"/>
            <w:noWrap/>
            <w:vAlign w:val="bottom"/>
          </w:tcPr>
          <w:p w14:paraId="047325E7"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5081B9DA"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1BC3BD1C" w14:textId="77777777" w:rsidR="00813412" w:rsidRPr="00185019" w:rsidRDefault="00813412" w:rsidP="0016598B">
            <w:pPr>
              <w:jc w:val="center"/>
              <w:rPr>
                <w:rFonts w:ascii="Arial" w:hAnsi="Arial" w:cs="Arial"/>
                <w:bCs/>
              </w:rPr>
            </w:pPr>
          </w:p>
        </w:tc>
      </w:tr>
      <w:tr w:rsidR="00813412" w:rsidRPr="00FC3309" w14:paraId="377F2270" w14:textId="77777777" w:rsidTr="0016598B">
        <w:trPr>
          <w:trHeight w:val="315"/>
        </w:trPr>
        <w:tc>
          <w:tcPr>
            <w:tcW w:w="5290" w:type="dxa"/>
            <w:tcBorders>
              <w:top w:val="nil"/>
              <w:left w:val="nil"/>
              <w:bottom w:val="nil"/>
            </w:tcBorders>
            <w:shd w:val="clear" w:color="auto" w:fill="auto"/>
            <w:noWrap/>
            <w:vAlign w:val="bottom"/>
          </w:tcPr>
          <w:p w14:paraId="45D83875" w14:textId="77777777" w:rsidR="00813412" w:rsidRPr="00F52ACE" w:rsidRDefault="00813412" w:rsidP="0016598B">
            <w:pPr>
              <w:pStyle w:val="ListParagraph"/>
              <w:ind w:left="392"/>
              <w:rPr>
                <w:rFonts w:ascii="Arial" w:hAnsi="Arial" w:cs="Arial"/>
              </w:rPr>
            </w:pPr>
          </w:p>
        </w:tc>
        <w:tc>
          <w:tcPr>
            <w:tcW w:w="1433" w:type="dxa"/>
            <w:tcBorders>
              <w:top w:val="single" w:sz="4" w:space="0" w:color="auto"/>
              <w:bottom w:val="nil"/>
            </w:tcBorders>
            <w:shd w:val="clear" w:color="auto" w:fill="auto"/>
            <w:noWrap/>
            <w:vAlign w:val="bottom"/>
          </w:tcPr>
          <w:p w14:paraId="12FABE18" w14:textId="77777777" w:rsidR="00813412" w:rsidRPr="00185019" w:rsidRDefault="00813412" w:rsidP="0016598B">
            <w:pPr>
              <w:jc w:val="center"/>
              <w:rPr>
                <w:rFonts w:ascii="Arial" w:hAnsi="Arial" w:cs="Arial"/>
              </w:rPr>
            </w:pPr>
          </w:p>
        </w:tc>
        <w:tc>
          <w:tcPr>
            <w:tcW w:w="1434" w:type="dxa"/>
            <w:tcBorders>
              <w:top w:val="single" w:sz="4" w:space="0" w:color="auto"/>
              <w:bottom w:val="nil"/>
            </w:tcBorders>
            <w:shd w:val="clear" w:color="auto" w:fill="auto"/>
            <w:noWrap/>
            <w:vAlign w:val="bottom"/>
          </w:tcPr>
          <w:p w14:paraId="385B4D2D" w14:textId="77777777" w:rsidR="00813412" w:rsidRPr="00185019" w:rsidRDefault="00813412" w:rsidP="0016598B">
            <w:pPr>
              <w:jc w:val="center"/>
              <w:rPr>
                <w:rFonts w:ascii="Arial" w:hAnsi="Arial" w:cs="Arial"/>
              </w:rPr>
            </w:pPr>
          </w:p>
        </w:tc>
        <w:tc>
          <w:tcPr>
            <w:tcW w:w="1434" w:type="dxa"/>
            <w:tcBorders>
              <w:top w:val="single" w:sz="4" w:space="0" w:color="auto"/>
              <w:bottom w:val="nil"/>
            </w:tcBorders>
            <w:shd w:val="clear" w:color="auto" w:fill="auto"/>
            <w:noWrap/>
            <w:vAlign w:val="bottom"/>
          </w:tcPr>
          <w:p w14:paraId="21AC8281" w14:textId="77777777" w:rsidR="00813412" w:rsidRPr="00185019" w:rsidRDefault="00813412" w:rsidP="0016598B">
            <w:pPr>
              <w:jc w:val="center"/>
              <w:rPr>
                <w:rFonts w:ascii="Arial" w:hAnsi="Arial" w:cs="Arial"/>
              </w:rPr>
            </w:pPr>
          </w:p>
        </w:tc>
        <w:tc>
          <w:tcPr>
            <w:tcW w:w="1433" w:type="dxa"/>
            <w:tcBorders>
              <w:right w:val="nil"/>
            </w:tcBorders>
            <w:shd w:val="clear" w:color="auto" w:fill="auto"/>
            <w:noWrap/>
            <w:vAlign w:val="bottom"/>
          </w:tcPr>
          <w:p w14:paraId="72174974" w14:textId="77777777" w:rsidR="00813412" w:rsidRPr="00185019" w:rsidRDefault="00813412" w:rsidP="0016598B">
            <w:pPr>
              <w:jc w:val="center"/>
              <w:rPr>
                <w:rFonts w:ascii="Arial" w:hAnsi="Arial" w:cs="Arial"/>
              </w:rPr>
            </w:pPr>
          </w:p>
        </w:tc>
        <w:tc>
          <w:tcPr>
            <w:tcW w:w="1434" w:type="dxa"/>
            <w:tcBorders>
              <w:left w:val="nil"/>
              <w:right w:val="nil"/>
            </w:tcBorders>
            <w:vAlign w:val="bottom"/>
          </w:tcPr>
          <w:p w14:paraId="0269E8FF" w14:textId="77777777" w:rsidR="00813412" w:rsidRPr="00185019" w:rsidRDefault="00813412" w:rsidP="0016598B">
            <w:pPr>
              <w:jc w:val="center"/>
              <w:rPr>
                <w:rFonts w:ascii="Arial" w:hAnsi="Arial" w:cs="Arial"/>
              </w:rPr>
            </w:pPr>
          </w:p>
        </w:tc>
        <w:tc>
          <w:tcPr>
            <w:tcW w:w="1434" w:type="dxa"/>
            <w:tcBorders>
              <w:top w:val="single" w:sz="4" w:space="0" w:color="auto"/>
              <w:left w:val="nil"/>
              <w:right w:val="nil"/>
            </w:tcBorders>
            <w:vAlign w:val="bottom"/>
          </w:tcPr>
          <w:p w14:paraId="341C29DF" w14:textId="77777777" w:rsidR="00813412" w:rsidRPr="00185019" w:rsidRDefault="00813412" w:rsidP="0016598B">
            <w:pPr>
              <w:jc w:val="center"/>
              <w:rPr>
                <w:rFonts w:ascii="Arial" w:hAnsi="Arial" w:cs="Arial"/>
              </w:rPr>
            </w:pPr>
          </w:p>
        </w:tc>
      </w:tr>
      <w:tr w:rsidR="00813412" w:rsidRPr="00FC3309" w14:paraId="61F58C5B" w14:textId="77777777" w:rsidTr="0016598B">
        <w:trPr>
          <w:trHeight w:val="315"/>
        </w:trPr>
        <w:tc>
          <w:tcPr>
            <w:tcW w:w="5290" w:type="dxa"/>
            <w:tcBorders>
              <w:top w:val="nil"/>
              <w:left w:val="nil"/>
              <w:bottom w:val="nil"/>
            </w:tcBorders>
            <w:shd w:val="clear" w:color="auto" w:fill="auto"/>
            <w:noWrap/>
            <w:vAlign w:val="bottom"/>
          </w:tcPr>
          <w:p w14:paraId="2358E5AD" w14:textId="77777777" w:rsidR="00813412" w:rsidRDefault="00813412" w:rsidP="00844758">
            <w:pPr>
              <w:pStyle w:val="ListParagraph"/>
              <w:numPr>
                <w:ilvl w:val="0"/>
                <w:numId w:val="23"/>
              </w:numPr>
              <w:tabs>
                <w:tab w:val="left" w:pos="3328"/>
              </w:tabs>
              <w:contextualSpacing w:val="0"/>
              <w:rPr>
                <w:rFonts w:ascii="Arial" w:hAnsi="Arial" w:cs="Arial"/>
                <w:b/>
                <w:bCs/>
              </w:rPr>
            </w:pPr>
            <w:r w:rsidRPr="00F52ACE">
              <w:rPr>
                <w:rFonts w:ascii="Arial" w:hAnsi="Arial" w:cs="Arial"/>
                <w:b/>
                <w:bCs/>
              </w:rPr>
              <w:t>Adjustment to movement in net policy liabilities - policy revenue</w:t>
            </w:r>
          </w:p>
          <w:p w14:paraId="246FE029" w14:textId="77777777" w:rsidR="00813412" w:rsidRPr="00FC3309" w:rsidRDefault="00813412" w:rsidP="0016598B">
            <w:pPr>
              <w:pStyle w:val="ListParagraph"/>
              <w:ind w:left="0"/>
              <w:rPr>
                <w:rFonts w:ascii="Arial" w:hAnsi="Arial" w:cs="Arial"/>
                <w:b/>
                <w:bCs/>
              </w:rPr>
            </w:pPr>
            <w:r w:rsidRPr="00F52ACE">
              <w:rPr>
                <w:rFonts w:ascii="Arial" w:hAnsi="Arial" w:cs="Arial"/>
                <w:b/>
                <w:bCs/>
              </w:rPr>
              <w:t>Policy revenue recognised as a deposit or as a change in policy liability</w:t>
            </w:r>
          </w:p>
        </w:tc>
        <w:tc>
          <w:tcPr>
            <w:tcW w:w="1433" w:type="dxa"/>
            <w:tcBorders>
              <w:top w:val="nil"/>
              <w:bottom w:val="single" w:sz="4" w:space="0" w:color="auto"/>
            </w:tcBorders>
            <w:shd w:val="clear" w:color="auto" w:fill="auto"/>
            <w:noWrap/>
            <w:vAlign w:val="bottom"/>
          </w:tcPr>
          <w:p w14:paraId="72F75537"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noWrap/>
            <w:vAlign w:val="bottom"/>
          </w:tcPr>
          <w:p w14:paraId="158D1465"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noWrap/>
            <w:vAlign w:val="bottom"/>
          </w:tcPr>
          <w:p w14:paraId="60543271" w14:textId="77777777" w:rsidR="00813412" w:rsidRPr="00185019" w:rsidRDefault="00813412" w:rsidP="0016598B">
            <w:pPr>
              <w:jc w:val="center"/>
              <w:rPr>
                <w:rFonts w:ascii="Arial" w:hAnsi="Arial" w:cs="Arial"/>
              </w:rPr>
            </w:pPr>
          </w:p>
        </w:tc>
        <w:tc>
          <w:tcPr>
            <w:tcW w:w="1433" w:type="dxa"/>
            <w:tcBorders>
              <w:top w:val="nil"/>
              <w:right w:val="nil"/>
            </w:tcBorders>
            <w:shd w:val="clear" w:color="auto" w:fill="auto"/>
            <w:noWrap/>
            <w:vAlign w:val="bottom"/>
          </w:tcPr>
          <w:p w14:paraId="19200B65" w14:textId="77777777" w:rsidR="00813412" w:rsidRPr="00185019" w:rsidRDefault="00813412" w:rsidP="0016598B">
            <w:pPr>
              <w:jc w:val="center"/>
              <w:rPr>
                <w:rFonts w:ascii="Arial" w:hAnsi="Arial" w:cs="Arial"/>
              </w:rPr>
            </w:pPr>
          </w:p>
        </w:tc>
        <w:tc>
          <w:tcPr>
            <w:tcW w:w="1434" w:type="dxa"/>
            <w:tcBorders>
              <w:top w:val="nil"/>
              <w:left w:val="nil"/>
            </w:tcBorders>
            <w:vAlign w:val="bottom"/>
          </w:tcPr>
          <w:p w14:paraId="7D61DC35" w14:textId="77777777" w:rsidR="00813412" w:rsidRPr="00185019" w:rsidRDefault="00813412" w:rsidP="0016598B">
            <w:pPr>
              <w:jc w:val="center"/>
              <w:rPr>
                <w:rFonts w:ascii="Arial" w:hAnsi="Arial" w:cs="Arial"/>
              </w:rPr>
            </w:pPr>
          </w:p>
        </w:tc>
        <w:tc>
          <w:tcPr>
            <w:tcW w:w="1434" w:type="dxa"/>
            <w:tcBorders>
              <w:top w:val="nil"/>
              <w:bottom w:val="single" w:sz="4" w:space="0" w:color="auto"/>
              <w:right w:val="nil"/>
            </w:tcBorders>
            <w:vAlign w:val="bottom"/>
          </w:tcPr>
          <w:p w14:paraId="2E49D823" w14:textId="77777777" w:rsidR="00813412" w:rsidRPr="00185019" w:rsidRDefault="00813412" w:rsidP="0016598B">
            <w:pPr>
              <w:jc w:val="center"/>
              <w:rPr>
                <w:rFonts w:ascii="Arial" w:hAnsi="Arial" w:cs="Arial"/>
              </w:rPr>
            </w:pPr>
          </w:p>
        </w:tc>
      </w:tr>
      <w:tr w:rsidR="00813412" w:rsidRPr="00FC3309" w14:paraId="5A7E390D" w14:textId="77777777" w:rsidTr="0016598B">
        <w:trPr>
          <w:trHeight w:val="315"/>
        </w:trPr>
        <w:tc>
          <w:tcPr>
            <w:tcW w:w="5290" w:type="dxa"/>
            <w:tcBorders>
              <w:top w:val="nil"/>
              <w:left w:val="nil"/>
              <w:bottom w:val="nil"/>
              <w:right w:val="nil"/>
            </w:tcBorders>
            <w:shd w:val="clear" w:color="auto" w:fill="auto"/>
            <w:noWrap/>
            <w:vAlign w:val="bottom"/>
          </w:tcPr>
          <w:p w14:paraId="24167081"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Contractual direct premiums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E6B87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407305"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8957F7" w14:textId="77777777" w:rsidR="00813412" w:rsidRPr="00185019" w:rsidRDefault="00813412" w:rsidP="0016598B">
            <w:pPr>
              <w:jc w:val="center"/>
              <w:rPr>
                <w:rFonts w:ascii="Arial" w:hAnsi="Arial" w:cs="Arial"/>
                <w:bCs/>
              </w:rPr>
            </w:pPr>
          </w:p>
        </w:tc>
        <w:tc>
          <w:tcPr>
            <w:tcW w:w="1433" w:type="dxa"/>
            <w:tcBorders>
              <w:left w:val="single" w:sz="4" w:space="0" w:color="auto"/>
            </w:tcBorders>
            <w:shd w:val="clear" w:color="auto" w:fill="auto"/>
            <w:noWrap/>
            <w:vAlign w:val="bottom"/>
          </w:tcPr>
          <w:p w14:paraId="5C006DB4"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177D7D77"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443075C" w14:textId="77777777" w:rsidR="00813412" w:rsidRPr="00185019" w:rsidRDefault="00813412" w:rsidP="0016598B">
            <w:pPr>
              <w:jc w:val="center"/>
              <w:rPr>
                <w:rFonts w:ascii="Arial" w:hAnsi="Arial" w:cs="Arial"/>
                <w:bCs/>
              </w:rPr>
            </w:pPr>
          </w:p>
        </w:tc>
      </w:tr>
      <w:tr w:rsidR="00813412" w:rsidRPr="00FC3309" w14:paraId="34FD8752" w14:textId="77777777" w:rsidTr="0016598B">
        <w:trPr>
          <w:trHeight w:val="315"/>
        </w:trPr>
        <w:tc>
          <w:tcPr>
            <w:tcW w:w="5290" w:type="dxa"/>
            <w:tcBorders>
              <w:top w:val="nil"/>
              <w:left w:val="nil"/>
              <w:bottom w:val="nil"/>
              <w:right w:val="nil"/>
            </w:tcBorders>
            <w:shd w:val="clear" w:color="auto" w:fill="auto"/>
            <w:noWrap/>
            <w:vAlign w:val="bottom"/>
          </w:tcPr>
          <w:p w14:paraId="375F7F64"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Policy conversions - inwards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A6E6BC"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EE981B"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4E2D89" w14:textId="77777777" w:rsidR="00813412" w:rsidRPr="00185019" w:rsidRDefault="00813412" w:rsidP="0016598B">
            <w:pPr>
              <w:jc w:val="center"/>
              <w:rPr>
                <w:rFonts w:ascii="Arial" w:hAnsi="Arial" w:cs="Arial"/>
                <w:bCs/>
              </w:rPr>
            </w:pPr>
          </w:p>
        </w:tc>
        <w:tc>
          <w:tcPr>
            <w:tcW w:w="1433" w:type="dxa"/>
            <w:tcBorders>
              <w:left w:val="single" w:sz="4" w:space="0" w:color="auto"/>
            </w:tcBorders>
            <w:shd w:val="clear" w:color="auto" w:fill="auto"/>
            <w:noWrap/>
            <w:vAlign w:val="bottom"/>
          </w:tcPr>
          <w:p w14:paraId="7C359F8E"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30371308"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BE1EAE7" w14:textId="77777777" w:rsidR="00813412" w:rsidRPr="00185019" w:rsidRDefault="00813412" w:rsidP="0016598B">
            <w:pPr>
              <w:jc w:val="center"/>
              <w:rPr>
                <w:rFonts w:ascii="Arial" w:hAnsi="Arial" w:cs="Arial"/>
                <w:bCs/>
              </w:rPr>
            </w:pPr>
          </w:p>
        </w:tc>
      </w:tr>
      <w:tr w:rsidR="00813412" w:rsidRPr="00FC3309" w14:paraId="3D1D06A7" w14:textId="77777777" w:rsidTr="0016598B">
        <w:trPr>
          <w:trHeight w:val="315"/>
        </w:trPr>
        <w:tc>
          <w:tcPr>
            <w:tcW w:w="5290" w:type="dxa"/>
            <w:tcBorders>
              <w:top w:val="nil"/>
              <w:left w:val="nil"/>
              <w:bottom w:val="nil"/>
              <w:right w:val="nil"/>
            </w:tcBorders>
            <w:shd w:val="clear" w:color="auto" w:fill="auto"/>
            <w:noWrap/>
            <w:vAlign w:val="bottom"/>
          </w:tcPr>
          <w:p w14:paraId="7D3D21BD"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Inwards reinsurance premium revenue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443E68"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1AE13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3FC99C" w14:textId="77777777" w:rsidR="00813412" w:rsidRPr="00185019" w:rsidRDefault="00813412" w:rsidP="0016598B">
            <w:pPr>
              <w:jc w:val="center"/>
              <w:rPr>
                <w:rFonts w:ascii="Arial" w:hAnsi="Arial" w:cs="Arial"/>
                <w:bCs/>
              </w:rPr>
            </w:pPr>
          </w:p>
        </w:tc>
        <w:tc>
          <w:tcPr>
            <w:tcW w:w="1433" w:type="dxa"/>
            <w:tcBorders>
              <w:left w:val="single" w:sz="4" w:space="0" w:color="auto"/>
            </w:tcBorders>
            <w:shd w:val="clear" w:color="auto" w:fill="auto"/>
            <w:noWrap/>
            <w:vAlign w:val="bottom"/>
          </w:tcPr>
          <w:p w14:paraId="22264775"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3190088E"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7DA4FA23" w14:textId="77777777" w:rsidR="00813412" w:rsidRPr="00185019" w:rsidRDefault="00813412" w:rsidP="0016598B">
            <w:pPr>
              <w:jc w:val="center"/>
              <w:rPr>
                <w:rFonts w:ascii="Arial" w:hAnsi="Arial" w:cs="Arial"/>
                <w:bCs/>
              </w:rPr>
            </w:pPr>
          </w:p>
        </w:tc>
      </w:tr>
      <w:tr w:rsidR="00813412" w:rsidRPr="00FC3309" w14:paraId="4D54E748" w14:textId="77777777" w:rsidTr="0016598B">
        <w:trPr>
          <w:trHeight w:val="315"/>
        </w:trPr>
        <w:tc>
          <w:tcPr>
            <w:tcW w:w="5290" w:type="dxa"/>
            <w:tcBorders>
              <w:top w:val="nil"/>
              <w:left w:val="nil"/>
              <w:bottom w:val="nil"/>
              <w:right w:val="nil"/>
            </w:tcBorders>
            <w:shd w:val="clear" w:color="auto" w:fill="auto"/>
            <w:noWrap/>
            <w:vAlign w:val="bottom"/>
          </w:tcPr>
          <w:p w14:paraId="1D950AEA"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Total non-life insurance premiums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D0691A"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5D1031"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430A7B" w14:textId="77777777" w:rsidR="00813412" w:rsidRPr="00185019" w:rsidRDefault="00813412" w:rsidP="0016598B">
            <w:pPr>
              <w:jc w:val="center"/>
              <w:rPr>
                <w:rFonts w:ascii="Arial" w:hAnsi="Arial" w:cs="Arial"/>
                <w:bCs/>
              </w:rPr>
            </w:pPr>
          </w:p>
        </w:tc>
        <w:tc>
          <w:tcPr>
            <w:tcW w:w="1433" w:type="dxa"/>
            <w:tcBorders>
              <w:left w:val="single" w:sz="4" w:space="0" w:color="auto"/>
            </w:tcBorders>
            <w:shd w:val="clear" w:color="auto" w:fill="auto"/>
            <w:noWrap/>
            <w:vAlign w:val="bottom"/>
          </w:tcPr>
          <w:p w14:paraId="42F5F2FD"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7077B9BC"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3C1D5BBB" w14:textId="77777777" w:rsidR="00813412" w:rsidRPr="00185019" w:rsidRDefault="00813412" w:rsidP="0016598B">
            <w:pPr>
              <w:jc w:val="center"/>
              <w:rPr>
                <w:rFonts w:ascii="Arial" w:hAnsi="Arial" w:cs="Arial"/>
                <w:bCs/>
              </w:rPr>
            </w:pPr>
          </w:p>
        </w:tc>
      </w:tr>
      <w:tr w:rsidR="00813412" w:rsidRPr="00FC3309" w14:paraId="35C48B72" w14:textId="77777777" w:rsidTr="0016598B">
        <w:trPr>
          <w:trHeight w:val="315"/>
        </w:trPr>
        <w:tc>
          <w:tcPr>
            <w:tcW w:w="5290" w:type="dxa"/>
            <w:tcBorders>
              <w:top w:val="nil"/>
              <w:left w:val="nil"/>
              <w:bottom w:val="nil"/>
              <w:right w:val="nil"/>
            </w:tcBorders>
            <w:shd w:val="clear" w:color="auto" w:fill="auto"/>
            <w:noWrap/>
            <w:vAlign w:val="bottom"/>
          </w:tcPr>
          <w:p w14:paraId="4D398089" w14:textId="77777777" w:rsidR="00813412" w:rsidRPr="00F52ACE" w:rsidRDefault="00813412" w:rsidP="00844758">
            <w:pPr>
              <w:pStyle w:val="ListParagraph"/>
              <w:numPr>
                <w:ilvl w:val="1"/>
                <w:numId w:val="23"/>
              </w:numPr>
              <w:ind w:left="392"/>
              <w:contextualSpacing w:val="0"/>
              <w:rPr>
                <w:rFonts w:ascii="Arial" w:hAnsi="Arial" w:cs="Arial"/>
              </w:rPr>
            </w:pPr>
            <w:r w:rsidRPr="00F52ACE">
              <w:rPr>
                <w:rFonts w:ascii="Arial" w:hAnsi="Arial" w:cs="Arial"/>
              </w:rPr>
              <w:t>Outward reinsurance premiums expense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04D745"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C34130"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A8C773" w14:textId="77777777" w:rsidR="00813412" w:rsidRPr="00185019" w:rsidRDefault="00813412" w:rsidP="0016598B">
            <w:pPr>
              <w:jc w:val="center"/>
              <w:rPr>
                <w:rFonts w:ascii="Arial" w:hAnsi="Arial" w:cs="Arial"/>
                <w:bCs/>
              </w:rPr>
            </w:pPr>
          </w:p>
        </w:tc>
        <w:tc>
          <w:tcPr>
            <w:tcW w:w="1433" w:type="dxa"/>
            <w:tcBorders>
              <w:left w:val="single" w:sz="4" w:space="0" w:color="auto"/>
            </w:tcBorders>
            <w:shd w:val="clear" w:color="auto" w:fill="auto"/>
            <w:noWrap/>
            <w:vAlign w:val="bottom"/>
          </w:tcPr>
          <w:p w14:paraId="1CF847BE" w14:textId="77777777" w:rsidR="00813412" w:rsidRPr="00185019" w:rsidRDefault="00813412" w:rsidP="0016598B">
            <w:pPr>
              <w:jc w:val="center"/>
              <w:rPr>
                <w:rFonts w:ascii="Arial" w:hAnsi="Arial" w:cs="Arial"/>
              </w:rPr>
            </w:pPr>
          </w:p>
        </w:tc>
        <w:tc>
          <w:tcPr>
            <w:tcW w:w="1434" w:type="dxa"/>
            <w:tcBorders>
              <w:right w:val="single" w:sz="4" w:space="0" w:color="auto"/>
            </w:tcBorders>
            <w:vAlign w:val="bottom"/>
          </w:tcPr>
          <w:p w14:paraId="7BE50A01"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1CBDBB3B" w14:textId="77777777" w:rsidR="00813412" w:rsidRPr="00185019" w:rsidRDefault="00813412" w:rsidP="0016598B">
            <w:pPr>
              <w:jc w:val="center"/>
              <w:rPr>
                <w:rFonts w:ascii="Arial" w:hAnsi="Arial" w:cs="Arial"/>
                <w:bCs/>
              </w:rPr>
            </w:pPr>
          </w:p>
        </w:tc>
      </w:tr>
      <w:tr w:rsidR="00813412" w:rsidRPr="00FC3309" w14:paraId="636314A6" w14:textId="77777777" w:rsidTr="0016598B">
        <w:trPr>
          <w:trHeight w:val="315"/>
        </w:trPr>
        <w:tc>
          <w:tcPr>
            <w:tcW w:w="5290" w:type="dxa"/>
            <w:tcBorders>
              <w:top w:val="nil"/>
              <w:left w:val="nil"/>
              <w:bottom w:val="nil"/>
              <w:right w:val="single" w:sz="4" w:space="0" w:color="auto"/>
            </w:tcBorders>
            <w:shd w:val="clear" w:color="auto" w:fill="auto"/>
            <w:noWrap/>
            <w:vAlign w:val="bottom"/>
          </w:tcPr>
          <w:p w14:paraId="5026530E" w14:textId="77777777" w:rsidR="00813412" w:rsidRPr="00F52ACE" w:rsidRDefault="00813412" w:rsidP="00844758">
            <w:pPr>
              <w:pStyle w:val="ListParagraph"/>
              <w:numPr>
                <w:ilvl w:val="1"/>
                <w:numId w:val="23"/>
              </w:numPr>
              <w:ind w:left="392"/>
              <w:contextualSpacing w:val="0"/>
              <w:rPr>
                <w:rFonts w:ascii="Arial" w:hAnsi="Arial" w:cs="Arial"/>
                <w:b/>
              </w:rPr>
            </w:pPr>
            <w:r w:rsidRPr="00F52ACE">
              <w:rPr>
                <w:rFonts w:ascii="Arial" w:hAnsi="Arial" w:cs="Arial"/>
                <w:b/>
              </w:rPr>
              <w:t>Total policy revenue, net of reinsurance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4D143A"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0DF499"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6D7144" w14:textId="77777777" w:rsidR="00813412" w:rsidRPr="00185019" w:rsidRDefault="00813412" w:rsidP="0016598B">
            <w:pPr>
              <w:jc w:val="center"/>
              <w:rPr>
                <w:rFonts w:ascii="Arial" w:hAnsi="Arial" w:cs="Arial"/>
                <w:bCs/>
              </w:rPr>
            </w:pPr>
          </w:p>
        </w:tc>
        <w:tc>
          <w:tcPr>
            <w:tcW w:w="1433" w:type="dxa"/>
            <w:tcBorders>
              <w:left w:val="single" w:sz="4" w:space="0" w:color="auto"/>
              <w:right w:val="nil"/>
            </w:tcBorders>
            <w:shd w:val="clear" w:color="auto" w:fill="auto"/>
            <w:noWrap/>
            <w:vAlign w:val="bottom"/>
          </w:tcPr>
          <w:p w14:paraId="209F15D2" w14:textId="77777777" w:rsidR="00813412" w:rsidRPr="00185019" w:rsidRDefault="00813412" w:rsidP="0016598B">
            <w:pPr>
              <w:jc w:val="center"/>
              <w:rPr>
                <w:rFonts w:ascii="Arial" w:hAnsi="Arial" w:cs="Arial"/>
              </w:rPr>
            </w:pPr>
          </w:p>
        </w:tc>
        <w:tc>
          <w:tcPr>
            <w:tcW w:w="1434" w:type="dxa"/>
            <w:tcBorders>
              <w:left w:val="nil"/>
              <w:bottom w:val="nil"/>
              <w:right w:val="single" w:sz="4" w:space="0" w:color="auto"/>
            </w:tcBorders>
            <w:vAlign w:val="bottom"/>
          </w:tcPr>
          <w:p w14:paraId="1214E425"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6812486" w14:textId="77777777" w:rsidR="00813412" w:rsidRPr="00185019" w:rsidRDefault="00813412" w:rsidP="0016598B">
            <w:pPr>
              <w:jc w:val="center"/>
              <w:rPr>
                <w:rFonts w:ascii="Arial" w:hAnsi="Arial" w:cs="Arial"/>
                <w:bCs/>
              </w:rPr>
            </w:pPr>
          </w:p>
        </w:tc>
      </w:tr>
      <w:tr w:rsidR="00813412" w:rsidRPr="00FC3309" w14:paraId="44E41020" w14:textId="77777777" w:rsidTr="0016598B">
        <w:trPr>
          <w:trHeight w:val="315"/>
        </w:trPr>
        <w:tc>
          <w:tcPr>
            <w:tcW w:w="5290" w:type="dxa"/>
            <w:tcBorders>
              <w:top w:val="nil"/>
              <w:left w:val="nil"/>
              <w:bottom w:val="nil"/>
            </w:tcBorders>
            <w:shd w:val="clear" w:color="auto" w:fill="auto"/>
            <w:noWrap/>
            <w:vAlign w:val="bottom"/>
          </w:tcPr>
          <w:p w14:paraId="6B1C1AB0" w14:textId="77777777" w:rsidR="00813412" w:rsidRPr="00F52ACE" w:rsidRDefault="00813412" w:rsidP="0016598B">
            <w:pPr>
              <w:pStyle w:val="ListParagraph"/>
              <w:ind w:left="392"/>
              <w:rPr>
                <w:rFonts w:ascii="Arial" w:hAnsi="Arial" w:cs="Arial"/>
                <w:b/>
              </w:rPr>
            </w:pPr>
          </w:p>
        </w:tc>
        <w:tc>
          <w:tcPr>
            <w:tcW w:w="1433" w:type="dxa"/>
            <w:tcBorders>
              <w:top w:val="single" w:sz="4" w:space="0" w:color="auto"/>
            </w:tcBorders>
            <w:shd w:val="clear" w:color="auto" w:fill="auto"/>
            <w:noWrap/>
            <w:vAlign w:val="bottom"/>
          </w:tcPr>
          <w:p w14:paraId="3038D1D7"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noWrap/>
            <w:vAlign w:val="bottom"/>
          </w:tcPr>
          <w:p w14:paraId="0ED70158" w14:textId="77777777" w:rsidR="00813412" w:rsidRPr="00185019" w:rsidRDefault="00813412" w:rsidP="0016598B">
            <w:pPr>
              <w:jc w:val="center"/>
              <w:rPr>
                <w:rFonts w:ascii="Arial" w:hAnsi="Arial" w:cs="Arial"/>
                <w:bCs/>
              </w:rPr>
            </w:pPr>
          </w:p>
        </w:tc>
        <w:tc>
          <w:tcPr>
            <w:tcW w:w="1434" w:type="dxa"/>
            <w:tcBorders>
              <w:top w:val="single" w:sz="4" w:space="0" w:color="auto"/>
            </w:tcBorders>
            <w:shd w:val="clear" w:color="auto" w:fill="auto"/>
            <w:noWrap/>
            <w:vAlign w:val="bottom"/>
          </w:tcPr>
          <w:p w14:paraId="695B5772" w14:textId="77777777" w:rsidR="00813412" w:rsidRPr="00185019" w:rsidRDefault="00813412" w:rsidP="0016598B">
            <w:pPr>
              <w:jc w:val="center"/>
              <w:rPr>
                <w:rFonts w:ascii="Arial" w:hAnsi="Arial" w:cs="Arial"/>
                <w:bCs/>
              </w:rPr>
            </w:pPr>
          </w:p>
        </w:tc>
        <w:tc>
          <w:tcPr>
            <w:tcW w:w="1433" w:type="dxa"/>
            <w:shd w:val="clear" w:color="auto" w:fill="auto"/>
            <w:noWrap/>
            <w:vAlign w:val="bottom"/>
          </w:tcPr>
          <w:p w14:paraId="70369F61" w14:textId="77777777" w:rsidR="00813412" w:rsidRPr="00185019" w:rsidRDefault="00813412" w:rsidP="0016598B">
            <w:pPr>
              <w:jc w:val="center"/>
              <w:rPr>
                <w:rFonts w:ascii="Arial" w:hAnsi="Arial" w:cs="Arial"/>
              </w:rPr>
            </w:pPr>
          </w:p>
        </w:tc>
        <w:tc>
          <w:tcPr>
            <w:tcW w:w="1434" w:type="dxa"/>
            <w:shd w:val="clear" w:color="auto" w:fill="auto"/>
            <w:vAlign w:val="bottom"/>
          </w:tcPr>
          <w:p w14:paraId="7A8D4CD0" w14:textId="77777777" w:rsidR="00813412" w:rsidRPr="00185019" w:rsidRDefault="00813412" w:rsidP="0016598B">
            <w:pPr>
              <w:jc w:val="center"/>
              <w:rPr>
                <w:rFonts w:ascii="Arial" w:hAnsi="Arial" w:cs="Arial"/>
              </w:rPr>
            </w:pPr>
          </w:p>
        </w:tc>
        <w:tc>
          <w:tcPr>
            <w:tcW w:w="1434" w:type="dxa"/>
            <w:tcBorders>
              <w:top w:val="single" w:sz="4" w:space="0" w:color="auto"/>
            </w:tcBorders>
            <w:shd w:val="clear" w:color="auto" w:fill="auto"/>
            <w:vAlign w:val="bottom"/>
          </w:tcPr>
          <w:p w14:paraId="19C8BC14" w14:textId="77777777" w:rsidR="00813412" w:rsidRPr="00185019" w:rsidRDefault="00813412" w:rsidP="0016598B">
            <w:pPr>
              <w:jc w:val="center"/>
              <w:rPr>
                <w:rFonts w:ascii="Arial" w:hAnsi="Arial" w:cs="Arial"/>
                <w:bCs/>
              </w:rPr>
            </w:pPr>
          </w:p>
        </w:tc>
      </w:tr>
      <w:tr w:rsidR="00813412" w:rsidRPr="00FC3309" w14:paraId="43C0A505" w14:textId="77777777" w:rsidTr="0016598B">
        <w:trPr>
          <w:trHeight w:val="315"/>
        </w:trPr>
        <w:tc>
          <w:tcPr>
            <w:tcW w:w="5290" w:type="dxa"/>
            <w:tcBorders>
              <w:top w:val="nil"/>
              <w:left w:val="nil"/>
              <w:bottom w:val="nil"/>
            </w:tcBorders>
            <w:shd w:val="clear" w:color="auto" w:fill="auto"/>
            <w:noWrap/>
            <w:vAlign w:val="bottom"/>
          </w:tcPr>
          <w:p w14:paraId="7C4B72B0" w14:textId="77777777" w:rsidR="00813412" w:rsidRDefault="00813412" w:rsidP="00844758">
            <w:pPr>
              <w:pStyle w:val="ListParagraph"/>
              <w:numPr>
                <w:ilvl w:val="0"/>
                <w:numId w:val="23"/>
              </w:numPr>
              <w:contextualSpacing w:val="0"/>
              <w:rPr>
                <w:rFonts w:ascii="Arial" w:hAnsi="Arial" w:cs="Arial"/>
                <w:b/>
              </w:rPr>
            </w:pPr>
            <w:r w:rsidRPr="00DC6A43">
              <w:rPr>
                <w:rFonts w:ascii="Arial" w:hAnsi="Arial" w:cs="Arial"/>
                <w:b/>
              </w:rPr>
              <w:t>Adjustment to movement in net policy liabilities - policy expense</w:t>
            </w:r>
          </w:p>
          <w:p w14:paraId="757BCCAF" w14:textId="77777777" w:rsidR="00813412" w:rsidRPr="00FC3309" w:rsidRDefault="00813412" w:rsidP="0016598B">
            <w:pPr>
              <w:pStyle w:val="ListParagraph"/>
              <w:ind w:left="0"/>
              <w:rPr>
                <w:rFonts w:ascii="Arial" w:hAnsi="Arial" w:cs="Arial"/>
                <w:b/>
                <w:bCs/>
              </w:rPr>
            </w:pPr>
            <w:r w:rsidRPr="00DC6A43">
              <w:rPr>
                <w:rFonts w:ascii="Arial" w:hAnsi="Arial" w:cs="Arial"/>
                <w:b/>
              </w:rPr>
              <w:t>Policy expense recognised as withdrawal of deposit or change in policy liability</w:t>
            </w:r>
          </w:p>
        </w:tc>
        <w:tc>
          <w:tcPr>
            <w:tcW w:w="1433" w:type="dxa"/>
            <w:tcBorders>
              <w:bottom w:val="single" w:sz="4" w:space="0" w:color="auto"/>
            </w:tcBorders>
            <w:shd w:val="clear" w:color="auto" w:fill="auto"/>
            <w:noWrap/>
            <w:vAlign w:val="bottom"/>
          </w:tcPr>
          <w:p w14:paraId="2968546E" w14:textId="77777777" w:rsidR="00813412" w:rsidRPr="00185019" w:rsidRDefault="00813412" w:rsidP="0016598B">
            <w:pPr>
              <w:jc w:val="center"/>
              <w:rPr>
                <w:rFonts w:ascii="Arial" w:hAnsi="Arial" w:cs="Arial"/>
              </w:rPr>
            </w:pPr>
          </w:p>
        </w:tc>
        <w:tc>
          <w:tcPr>
            <w:tcW w:w="1434" w:type="dxa"/>
            <w:tcBorders>
              <w:left w:val="nil"/>
              <w:bottom w:val="single" w:sz="4" w:space="0" w:color="auto"/>
              <w:right w:val="nil"/>
            </w:tcBorders>
            <w:shd w:val="clear" w:color="auto" w:fill="auto"/>
            <w:noWrap/>
            <w:vAlign w:val="bottom"/>
          </w:tcPr>
          <w:p w14:paraId="227BC75F" w14:textId="77777777" w:rsidR="00813412" w:rsidRPr="00185019" w:rsidRDefault="00813412" w:rsidP="0016598B">
            <w:pPr>
              <w:jc w:val="center"/>
              <w:rPr>
                <w:rFonts w:ascii="Arial" w:hAnsi="Arial" w:cs="Arial"/>
              </w:rPr>
            </w:pPr>
          </w:p>
        </w:tc>
        <w:tc>
          <w:tcPr>
            <w:tcW w:w="1434" w:type="dxa"/>
            <w:tcBorders>
              <w:left w:val="nil"/>
              <w:bottom w:val="single" w:sz="4" w:space="0" w:color="auto"/>
            </w:tcBorders>
            <w:shd w:val="clear" w:color="auto" w:fill="auto"/>
            <w:noWrap/>
            <w:vAlign w:val="bottom"/>
          </w:tcPr>
          <w:p w14:paraId="019C3EF6" w14:textId="77777777" w:rsidR="00813412" w:rsidRPr="00185019" w:rsidRDefault="00813412" w:rsidP="0016598B">
            <w:pPr>
              <w:jc w:val="center"/>
              <w:rPr>
                <w:rFonts w:ascii="Arial" w:hAnsi="Arial" w:cs="Arial"/>
              </w:rPr>
            </w:pPr>
          </w:p>
        </w:tc>
        <w:tc>
          <w:tcPr>
            <w:tcW w:w="1433" w:type="dxa"/>
            <w:tcBorders>
              <w:bottom w:val="nil"/>
              <w:right w:val="nil"/>
            </w:tcBorders>
            <w:shd w:val="clear" w:color="auto" w:fill="auto"/>
            <w:noWrap/>
            <w:vAlign w:val="bottom"/>
          </w:tcPr>
          <w:p w14:paraId="622826BA" w14:textId="77777777" w:rsidR="00813412" w:rsidRPr="00185019" w:rsidRDefault="00813412" w:rsidP="0016598B">
            <w:pPr>
              <w:jc w:val="center"/>
              <w:rPr>
                <w:rFonts w:ascii="Arial" w:hAnsi="Arial" w:cs="Arial"/>
              </w:rPr>
            </w:pPr>
          </w:p>
        </w:tc>
        <w:tc>
          <w:tcPr>
            <w:tcW w:w="1434" w:type="dxa"/>
            <w:tcBorders>
              <w:left w:val="nil"/>
              <w:bottom w:val="nil"/>
              <w:right w:val="nil"/>
            </w:tcBorders>
            <w:vAlign w:val="bottom"/>
          </w:tcPr>
          <w:p w14:paraId="396292BA" w14:textId="77777777" w:rsidR="00813412" w:rsidRPr="00185019" w:rsidRDefault="00813412" w:rsidP="0016598B">
            <w:pPr>
              <w:jc w:val="center"/>
              <w:rPr>
                <w:rFonts w:ascii="Arial" w:hAnsi="Arial" w:cs="Arial"/>
              </w:rPr>
            </w:pPr>
          </w:p>
        </w:tc>
        <w:tc>
          <w:tcPr>
            <w:tcW w:w="1434" w:type="dxa"/>
            <w:tcBorders>
              <w:left w:val="nil"/>
              <w:bottom w:val="single" w:sz="4" w:space="0" w:color="auto"/>
              <w:right w:val="nil"/>
            </w:tcBorders>
            <w:vAlign w:val="bottom"/>
          </w:tcPr>
          <w:p w14:paraId="15A3B0C1" w14:textId="77777777" w:rsidR="00813412" w:rsidRPr="00185019" w:rsidRDefault="00813412" w:rsidP="0016598B">
            <w:pPr>
              <w:jc w:val="center"/>
              <w:rPr>
                <w:rFonts w:ascii="Arial" w:hAnsi="Arial" w:cs="Arial"/>
              </w:rPr>
            </w:pPr>
          </w:p>
        </w:tc>
      </w:tr>
      <w:tr w:rsidR="00813412" w:rsidRPr="00FC3309" w14:paraId="7CD5E34E" w14:textId="77777777" w:rsidTr="0016598B">
        <w:trPr>
          <w:trHeight w:val="315"/>
        </w:trPr>
        <w:tc>
          <w:tcPr>
            <w:tcW w:w="5290" w:type="dxa"/>
            <w:tcBorders>
              <w:top w:val="nil"/>
              <w:left w:val="nil"/>
              <w:bottom w:val="nil"/>
              <w:right w:val="nil"/>
            </w:tcBorders>
            <w:shd w:val="clear" w:color="auto" w:fill="auto"/>
            <w:noWrap/>
            <w:vAlign w:val="bottom"/>
          </w:tcPr>
          <w:p w14:paraId="5087808A"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Death and disability claims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5B1229"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D49B8B"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5FE5A9"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51FA46C8"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097A3DF4"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31A75E35" w14:textId="77777777" w:rsidR="00813412" w:rsidRPr="00185019" w:rsidRDefault="00813412" w:rsidP="0016598B">
            <w:pPr>
              <w:jc w:val="center"/>
              <w:rPr>
                <w:rFonts w:ascii="Arial" w:hAnsi="Arial" w:cs="Arial"/>
                <w:bCs/>
              </w:rPr>
            </w:pPr>
          </w:p>
        </w:tc>
      </w:tr>
      <w:tr w:rsidR="00813412" w:rsidRPr="00FC3309" w14:paraId="20C2D9E6" w14:textId="77777777" w:rsidTr="0016598B">
        <w:trPr>
          <w:trHeight w:val="315"/>
        </w:trPr>
        <w:tc>
          <w:tcPr>
            <w:tcW w:w="5290" w:type="dxa"/>
            <w:tcBorders>
              <w:top w:val="nil"/>
              <w:left w:val="nil"/>
              <w:bottom w:val="nil"/>
              <w:right w:val="nil"/>
            </w:tcBorders>
            <w:shd w:val="clear" w:color="auto" w:fill="auto"/>
            <w:noWrap/>
            <w:vAlign w:val="bottom"/>
          </w:tcPr>
          <w:p w14:paraId="347E0F30"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Maturities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1974FC"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A9CB80"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F0D32E"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7FE251D7"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286AA5E9"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1E6B986A" w14:textId="77777777" w:rsidR="00813412" w:rsidRPr="00185019" w:rsidRDefault="00813412" w:rsidP="0016598B">
            <w:pPr>
              <w:jc w:val="center"/>
              <w:rPr>
                <w:rFonts w:ascii="Arial" w:hAnsi="Arial" w:cs="Arial"/>
                <w:bCs/>
              </w:rPr>
            </w:pPr>
          </w:p>
        </w:tc>
      </w:tr>
      <w:tr w:rsidR="00813412" w:rsidRPr="00FC3309" w14:paraId="2F4A8122" w14:textId="77777777" w:rsidTr="0016598B">
        <w:trPr>
          <w:trHeight w:val="315"/>
        </w:trPr>
        <w:tc>
          <w:tcPr>
            <w:tcW w:w="5290" w:type="dxa"/>
            <w:tcBorders>
              <w:top w:val="nil"/>
              <w:left w:val="nil"/>
              <w:bottom w:val="nil"/>
              <w:right w:val="nil"/>
            </w:tcBorders>
            <w:shd w:val="clear" w:color="auto" w:fill="auto"/>
            <w:noWrap/>
            <w:vAlign w:val="bottom"/>
          </w:tcPr>
          <w:p w14:paraId="6E2E19A7"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Annuities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9B1858"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01F1C3"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A4A12E"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35C8254C"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5A4BA84E"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23848E0E" w14:textId="77777777" w:rsidR="00813412" w:rsidRPr="00185019" w:rsidRDefault="00813412" w:rsidP="0016598B">
            <w:pPr>
              <w:jc w:val="center"/>
              <w:rPr>
                <w:rFonts w:ascii="Arial" w:hAnsi="Arial" w:cs="Arial"/>
                <w:bCs/>
              </w:rPr>
            </w:pPr>
          </w:p>
        </w:tc>
      </w:tr>
      <w:tr w:rsidR="00813412" w:rsidRPr="00FC3309" w14:paraId="771A7E7F" w14:textId="77777777" w:rsidTr="0016598B">
        <w:trPr>
          <w:trHeight w:val="315"/>
        </w:trPr>
        <w:tc>
          <w:tcPr>
            <w:tcW w:w="5290" w:type="dxa"/>
            <w:tcBorders>
              <w:top w:val="nil"/>
              <w:left w:val="nil"/>
              <w:bottom w:val="nil"/>
              <w:right w:val="nil"/>
            </w:tcBorders>
            <w:shd w:val="clear" w:color="auto" w:fill="auto"/>
            <w:noWrap/>
            <w:vAlign w:val="bottom"/>
          </w:tcPr>
          <w:p w14:paraId="5848CB38"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Surrenders and terminations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A90353"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F17B25"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0DF4CF"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36759625"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580DE753"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28704BD9" w14:textId="77777777" w:rsidR="00813412" w:rsidRPr="00185019" w:rsidRDefault="00813412" w:rsidP="0016598B">
            <w:pPr>
              <w:jc w:val="center"/>
              <w:rPr>
                <w:rFonts w:ascii="Arial" w:hAnsi="Arial" w:cs="Arial"/>
                <w:bCs/>
              </w:rPr>
            </w:pPr>
          </w:p>
        </w:tc>
      </w:tr>
      <w:tr w:rsidR="00813412" w:rsidRPr="00FC3309" w14:paraId="4ED12228" w14:textId="77777777" w:rsidTr="0016598B">
        <w:trPr>
          <w:trHeight w:val="315"/>
        </w:trPr>
        <w:tc>
          <w:tcPr>
            <w:tcW w:w="5290" w:type="dxa"/>
            <w:tcBorders>
              <w:top w:val="nil"/>
              <w:left w:val="nil"/>
              <w:bottom w:val="nil"/>
              <w:right w:val="nil"/>
            </w:tcBorders>
            <w:shd w:val="clear" w:color="auto" w:fill="auto"/>
            <w:noWrap/>
            <w:vAlign w:val="bottom"/>
          </w:tcPr>
          <w:p w14:paraId="4E73D6F5"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Policy conversions - outwards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0A428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A81B5A"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2E1666"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641E2490"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736D9C86"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F1AB651" w14:textId="77777777" w:rsidR="00813412" w:rsidRPr="00185019" w:rsidRDefault="00813412" w:rsidP="0016598B">
            <w:pPr>
              <w:jc w:val="center"/>
              <w:rPr>
                <w:rFonts w:ascii="Arial" w:hAnsi="Arial" w:cs="Arial"/>
                <w:bCs/>
              </w:rPr>
            </w:pPr>
          </w:p>
        </w:tc>
      </w:tr>
      <w:tr w:rsidR="00813412" w:rsidRPr="00FC3309" w14:paraId="6694DF97" w14:textId="77777777" w:rsidTr="0016598B">
        <w:trPr>
          <w:trHeight w:val="315"/>
        </w:trPr>
        <w:tc>
          <w:tcPr>
            <w:tcW w:w="5290" w:type="dxa"/>
            <w:tcBorders>
              <w:top w:val="nil"/>
              <w:left w:val="nil"/>
              <w:bottom w:val="nil"/>
              <w:right w:val="nil"/>
            </w:tcBorders>
            <w:shd w:val="clear" w:color="auto" w:fill="auto"/>
            <w:noWrap/>
            <w:vAlign w:val="bottom"/>
          </w:tcPr>
          <w:p w14:paraId="4818457A" w14:textId="77777777" w:rsidR="00813412" w:rsidRPr="00C1498A" w:rsidRDefault="00813412" w:rsidP="00844758">
            <w:pPr>
              <w:pStyle w:val="ListParagraph"/>
              <w:numPr>
                <w:ilvl w:val="1"/>
                <w:numId w:val="23"/>
              </w:numPr>
              <w:ind w:left="392"/>
              <w:contextualSpacing w:val="0"/>
              <w:rPr>
                <w:rFonts w:ascii="Arial" w:hAnsi="Arial" w:cs="Arial"/>
              </w:rPr>
            </w:pPr>
            <w:r>
              <w:rPr>
                <w:rFonts w:ascii="Arial" w:hAnsi="Arial" w:cs="Arial"/>
              </w:rPr>
              <w:lastRenderedPageBreak/>
              <w:t>Other c</w:t>
            </w:r>
            <w:r w:rsidRPr="00C1498A">
              <w:rPr>
                <w:rFonts w:ascii="Arial" w:hAnsi="Arial" w:cs="Arial"/>
              </w:rPr>
              <w:t>laims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2E3734"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08B696"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515329"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35F02E5A"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5A2F0018"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58238AE9" w14:textId="77777777" w:rsidR="00813412" w:rsidRPr="00185019" w:rsidRDefault="00813412" w:rsidP="0016598B">
            <w:pPr>
              <w:jc w:val="center"/>
              <w:rPr>
                <w:rFonts w:ascii="Arial" w:hAnsi="Arial" w:cs="Arial"/>
                <w:bCs/>
              </w:rPr>
            </w:pPr>
          </w:p>
        </w:tc>
      </w:tr>
      <w:tr w:rsidR="00813412" w:rsidRPr="00FC3309" w14:paraId="404805EB" w14:textId="77777777" w:rsidTr="0016598B">
        <w:trPr>
          <w:trHeight w:val="315"/>
        </w:trPr>
        <w:tc>
          <w:tcPr>
            <w:tcW w:w="5290" w:type="dxa"/>
            <w:tcBorders>
              <w:top w:val="nil"/>
              <w:left w:val="nil"/>
              <w:bottom w:val="nil"/>
              <w:right w:val="nil"/>
            </w:tcBorders>
            <w:shd w:val="clear" w:color="auto" w:fill="auto"/>
            <w:noWrap/>
            <w:vAlign w:val="bottom"/>
          </w:tcPr>
          <w:p w14:paraId="7852809D" w14:textId="77777777" w:rsidR="00813412" w:rsidRPr="00C1498A" w:rsidRDefault="00813412" w:rsidP="00844758">
            <w:pPr>
              <w:pStyle w:val="ListParagraph"/>
              <w:numPr>
                <w:ilvl w:val="1"/>
                <w:numId w:val="23"/>
              </w:numPr>
              <w:ind w:left="392"/>
              <w:contextualSpacing w:val="0"/>
              <w:rPr>
                <w:rFonts w:ascii="Arial" w:hAnsi="Arial" w:cs="Arial"/>
              </w:rPr>
            </w:pPr>
            <w:r>
              <w:rPr>
                <w:rFonts w:ascii="Arial" w:hAnsi="Arial" w:cs="Arial"/>
              </w:rPr>
              <w:t>Total c</w:t>
            </w:r>
            <w:r w:rsidRPr="00C1498A">
              <w:rPr>
                <w:rFonts w:ascii="Arial" w:hAnsi="Arial" w:cs="Arial"/>
              </w:rPr>
              <w:t>laims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1D024C"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EDC971"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55D7DC"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3C46C44D"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01E58C5A"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5E460C05" w14:textId="77777777" w:rsidR="00813412" w:rsidRPr="00185019" w:rsidRDefault="00813412" w:rsidP="0016598B">
            <w:pPr>
              <w:jc w:val="center"/>
              <w:rPr>
                <w:rFonts w:ascii="Arial" w:hAnsi="Arial" w:cs="Arial"/>
                <w:bCs/>
              </w:rPr>
            </w:pPr>
          </w:p>
        </w:tc>
      </w:tr>
      <w:tr w:rsidR="00813412" w:rsidRPr="00FC3309" w14:paraId="59120062" w14:textId="77777777" w:rsidTr="0016598B">
        <w:trPr>
          <w:trHeight w:val="315"/>
        </w:trPr>
        <w:tc>
          <w:tcPr>
            <w:tcW w:w="5290" w:type="dxa"/>
            <w:tcBorders>
              <w:top w:val="nil"/>
              <w:left w:val="nil"/>
              <w:bottom w:val="nil"/>
              <w:right w:val="nil"/>
            </w:tcBorders>
            <w:shd w:val="clear" w:color="auto" w:fill="auto"/>
            <w:noWrap/>
            <w:vAlign w:val="bottom"/>
          </w:tcPr>
          <w:p w14:paraId="2617DAA5"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 xml:space="preserve"> Inwards reinsurance claims expense (including current year bonus)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2BB059"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194051"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C5322C"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2A22BE84"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11F3A399"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AD7EFA9" w14:textId="77777777" w:rsidR="00813412" w:rsidRPr="00185019" w:rsidRDefault="00813412" w:rsidP="0016598B">
            <w:pPr>
              <w:jc w:val="center"/>
              <w:rPr>
                <w:rFonts w:ascii="Arial" w:hAnsi="Arial" w:cs="Arial"/>
                <w:bCs/>
              </w:rPr>
            </w:pPr>
          </w:p>
        </w:tc>
      </w:tr>
      <w:tr w:rsidR="00813412" w:rsidRPr="00FC3309" w14:paraId="2C256138" w14:textId="77777777" w:rsidTr="0016598B">
        <w:trPr>
          <w:trHeight w:val="315"/>
        </w:trPr>
        <w:tc>
          <w:tcPr>
            <w:tcW w:w="5290" w:type="dxa"/>
            <w:tcBorders>
              <w:top w:val="nil"/>
              <w:left w:val="nil"/>
              <w:bottom w:val="nil"/>
              <w:right w:val="nil"/>
            </w:tcBorders>
            <w:shd w:val="clear" w:color="auto" w:fill="auto"/>
            <w:noWrap/>
            <w:vAlign w:val="bottom"/>
          </w:tcPr>
          <w:p w14:paraId="22A58F36"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Total non-life policy expense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73DBC4"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C2BD2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E0526B"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00C6C25E"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641B4E69"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069C102E" w14:textId="77777777" w:rsidR="00813412" w:rsidRPr="00185019" w:rsidRDefault="00813412" w:rsidP="0016598B">
            <w:pPr>
              <w:jc w:val="center"/>
              <w:rPr>
                <w:rFonts w:ascii="Arial" w:hAnsi="Arial" w:cs="Arial"/>
                <w:bCs/>
              </w:rPr>
            </w:pPr>
          </w:p>
        </w:tc>
      </w:tr>
      <w:tr w:rsidR="00813412" w:rsidRPr="00FC3309" w14:paraId="5EB0B94E" w14:textId="77777777" w:rsidTr="0016598B">
        <w:trPr>
          <w:trHeight w:val="315"/>
        </w:trPr>
        <w:tc>
          <w:tcPr>
            <w:tcW w:w="5290" w:type="dxa"/>
            <w:tcBorders>
              <w:top w:val="nil"/>
              <w:left w:val="nil"/>
              <w:bottom w:val="nil"/>
              <w:right w:val="nil"/>
            </w:tcBorders>
            <w:shd w:val="clear" w:color="auto" w:fill="auto"/>
            <w:noWrap/>
            <w:vAlign w:val="bottom"/>
          </w:tcPr>
          <w:p w14:paraId="310F7723"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Outward reinsurance claims revenue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5A52BB"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24A1A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D5B7091"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67FA5B24"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0A8766A6"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0779975F" w14:textId="77777777" w:rsidR="00813412" w:rsidRPr="00185019" w:rsidRDefault="00813412" w:rsidP="0016598B">
            <w:pPr>
              <w:jc w:val="center"/>
              <w:rPr>
                <w:rFonts w:ascii="Arial" w:hAnsi="Arial" w:cs="Arial"/>
                <w:bCs/>
              </w:rPr>
            </w:pPr>
          </w:p>
        </w:tc>
      </w:tr>
      <w:tr w:rsidR="00813412" w:rsidRPr="00FC3309" w14:paraId="691D5D73" w14:textId="77777777" w:rsidTr="0016598B">
        <w:trPr>
          <w:trHeight w:val="315"/>
        </w:trPr>
        <w:tc>
          <w:tcPr>
            <w:tcW w:w="5290" w:type="dxa"/>
            <w:tcBorders>
              <w:top w:val="nil"/>
              <w:left w:val="nil"/>
              <w:bottom w:val="nil"/>
              <w:right w:val="nil"/>
            </w:tcBorders>
            <w:shd w:val="clear" w:color="auto" w:fill="auto"/>
            <w:noWrap/>
            <w:vAlign w:val="bottom"/>
          </w:tcPr>
          <w:p w14:paraId="3CC1BC1A"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 xml:space="preserve"> Policy acquisition - commission and other incremental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5A1852"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63EAB0"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2F472B"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52C9FF62"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2A57265F"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6C67E732" w14:textId="77777777" w:rsidR="00813412" w:rsidRPr="00185019" w:rsidRDefault="00813412" w:rsidP="0016598B">
            <w:pPr>
              <w:jc w:val="center"/>
              <w:rPr>
                <w:rFonts w:ascii="Arial" w:hAnsi="Arial" w:cs="Arial"/>
                <w:bCs/>
              </w:rPr>
            </w:pPr>
          </w:p>
        </w:tc>
      </w:tr>
      <w:tr w:rsidR="00813412" w:rsidRPr="00FC3309" w14:paraId="3C6C9EB0" w14:textId="77777777" w:rsidTr="0016598B">
        <w:trPr>
          <w:trHeight w:val="315"/>
        </w:trPr>
        <w:tc>
          <w:tcPr>
            <w:tcW w:w="5290" w:type="dxa"/>
            <w:tcBorders>
              <w:top w:val="nil"/>
              <w:left w:val="nil"/>
              <w:bottom w:val="nil"/>
              <w:right w:val="nil"/>
            </w:tcBorders>
            <w:shd w:val="clear" w:color="auto" w:fill="auto"/>
            <w:noWrap/>
            <w:vAlign w:val="bottom"/>
          </w:tcPr>
          <w:p w14:paraId="26970163" w14:textId="77777777" w:rsidR="00813412" w:rsidRPr="00C1498A" w:rsidRDefault="00813412" w:rsidP="00844758">
            <w:pPr>
              <w:pStyle w:val="ListParagraph"/>
              <w:numPr>
                <w:ilvl w:val="1"/>
                <w:numId w:val="23"/>
              </w:numPr>
              <w:ind w:left="392"/>
              <w:contextualSpacing w:val="0"/>
              <w:rPr>
                <w:rFonts w:ascii="Arial" w:hAnsi="Arial" w:cs="Arial"/>
              </w:rPr>
            </w:pPr>
            <w:r w:rsidRPr="00C1498A">
              <w:rPr>
                <w:rFonts w:ascii="Arial" w:hAnsi="Arial" w:cs="Arial"/>
              </w:rPr>
              <w:t>Policy acquisition - other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1CE911"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25EA33"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9662C5"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4B57FAE7"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094159DF"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2B216D58" w14:textId="77777777" w:rsidR="00813412" w:rsidRPr="00185019" w:rsidRDefault="00813412" w:rsidP="0016598B">
            <w:pPr>
              <w:jc w:val="center"/>
              <w:rPr>
                <w:rFonts w:ascii="Arial" w:hAnsi="Arial" w:cs="Arial"/>
                <w:bCs/>
              </w:rPr>
            </w:pPr>
          </w:p>
        </w:tc>
      </w:tr>
      <w:tr w:rsidR="00813412" w:rsidRPr="00FC3309" w14:paraId="06BD71CE" w14:textId="77777777" w:rsidTr="0016598B">
        <w:trPr>
          <w:trHeight w:val="315"/>
        </w:trPr>
        <w:tc>
          <w:tcPr>
            <w:tcW w:w="5290" w:type="dxa"/>
            <w:tcBorders>
              <w:top w:val="nil"/>
              <w:left w:val="nil"/>
              <w:bottom w:val="nil"/>
              <w:right w:val="nil"/>
            </w:tcBorders>
            <w:shd w:val="clear" w:color="auto" w:fill="auto"/>
            <w:noWrap/>
            <w:vAlign w:val="bottom"/>
          </w:tcPr>
          <w:p w14:paraId="2E1097FC" w14:textId="77777777" w:rsidR="00813412" w:rsidRPr="00C1498A" w:rsidRDefault="00813412" w:rsidP="00844758">
            <w:pPr>
              <w:pStyle w:val="ListParagraph"/>
              <w:numPr>
                <w:ilvl w:val="1"/>
                <w:numId w:val="23"/>
              </w:numPr>
              <w:ind w:left="392"/>
              <w:contextualSpacing w:val="0"/>
              <w:rPr>
                <w:rFonts w:ascii="Arial" w:hAnsi="Arial" w:cs="Arial"/>
              </w:rPr>
            </w:pPr>
            <w:r w:rsidRPr="007B6C17">
              <w:rPr>
                <w:rFonts w:ascii="Arial" w:hAnsi="Arial" w:cs="Arial"/>
              </w:rPr>
              <w:t>Policy acquisition - total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A3746A"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B5E67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583D66"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3F3852CA"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6ECCD5F6"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339429E" w14:textId="77777777" w:rsidR="00813412" w:rsidRPr="00185019" w:rsidRDefault="00813412" w:rsidP="0016598B">
            <w:pPr>
              <w:jc w:val="center"/>
              <w:rPr>
                <w:rFonts w:ascii="Arial" w:hAnsi="Arial" w:cs="Arial"/>
                <w:bCs/>
              </w:rPr>
            </w:pPr>
          </w:p>
        </w:tc>
      </w:tr>
      <w:tr w:rsidR="00813412" w:rsidRPr="00FC3309" w14:paraId="46B89970" w14:textId="77777777" w:rsidTr="0016598B">
        <w:trPr>
          <w:trHeight w:val="315"/>
        </w:trPr>
        <w:tc>
          <w:tcPr>
            <w:tcW w:w="5290" w:type="dxa"/>
            <w:tcBorders>
              <w:top w:val="nil"/>
              <w:left w:val="nil"/>
              <w:bottom w:val="nil"/>
              <w:right w:val="nil"/>
            </w:tcBorders>
            <w:shd w:val="clear" w:color="auto" w:fill="auto"/>
            <w:noWrap/>
            <w:vAlign w:val="bottom"/>
          </w:tcPr>
          <w:p w14:paraId="2CC3AD7A" w14:textId="77777777" w:rsidR="00813412" w:rsidRPr="00B54656" w:rsidRDefault="00813412" w:rsidP="00844758">
            <w:pPr>
              <w:pStyle w:val="ListParagraph"/>
              <w:numPr>
                <w:ilvl w:val="1"/>
                <w:numId w:val="23"/>
              </w:numPr>
              <w:ind w:left="392"/>
              <w:contextualSpacing w:val="0"/>
              <w:rPr>
                <w:rFonts w:ascii="Arial" w:hAnsi="Arial" w:cs="Arial"/>
                <w:b/>
              </w:rPr>
            </w:pPr>
            <w:r w:rsidRPr="00B54656">
              <w:rPr>
                <w:rFonts w:ascii="Arial" w:hAnsi="Arial" w:cs="Arial"/>
                <w:b/>
              </w:rPr>
              <w:t>Total policy expense, net of reinsurance</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E2D94A"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B6E006"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BD0E7D"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57E18FC0"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03549763"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5F407440" w14:textId="77777777" w:rsidR="00813412" w:rsidRPr="00185019" w:rsidRDefault="00813412" w:rsidP="0016598B">
            <w:pPr>
              <w:jc w:val="center"/>
              <w:rPr>
                <w:rFonts w:ascii="Arial" w:hAnsi="Arial" w:cs="Arial"/>
                <w:bCs/>
              </w:rPr>
            </w:pPr>
          </w:p>
        </w:tc>
      </w:tr>
      <w:tr w:rsidR="00813412" w:rsidRPr="00FC3309" w14:paraId="3B09C972" w14:textId="77777777" w:rsidTr="0016598B">
        <w:trPr>
          <w:trHeight w:val="315"/>
        </w:trPr>
        <w:tc>
          <w:tcPr>
            <w:tcW w:w="5290" w:type="dxa"/>
            <w:tcBorders>
              <w:top w:val="nil"/>
              <w:left w:val="nil"/>
              <w:bottom w:val="nil"/>
            </w:tcBorders>
            <w:shd w:val="clear" w:color="auto" w:fill="auto"/>
            <w:noWrap/>
            <w:vAlign w:val="bottom"/>
          </w:tcPr>
          <w:p w14:paraId="32E33488" w14:textId="77777777" w:rsidR="00813412" w:rsidRPr="00C1498A" w:rsidRDefault="00813412" w:rsidP="0016598B">
            <w:pPr>
              <w:pStyle w:val="ListParagraph"/>
              <w:ind w:left="0"/>
              <w:rPr>
                <w:rFonts w:ascii="Arial" w:hAnsi="Arial" w:cs="Arial"/>
              </w:rPr>
            </w:pPr>
          </w:p>
        </w:tc>
        <w:tc>
          <w:tcPr>
            <w:tcW w:w="1433" w:type="dxa"/>
            <w:tcBorders>
              <w:top w:val="single" w:sz="4" w:space="0" w:color="auto"/>
              <w:bottom w:val="single" w:sz="4" w:space="0" w:color="auto"/>
            </w:tcBorders>
            <w:shd w:val="clear" w:color="auto" w:fill="auto"/>
            <w:noWrap/>
            <w:vAlign w:val="bottom"/>
          </w:tcPr>
          <w:p w14:paraId="51630CE3" w14:textId="77777777" w:rsidR="00813412" w:rsidRPr="00185019" w:rsidRDefault="00813412" w:rsidP="0016598B">
            <w:pPr>
              <w:jc w:val="center"/>
              <w:rPr>
                <w:rFonts w:ascii="Arial" w:hAnsi="Arial" w:cs="Arial"/>
                <w:bCs/>
              </w:rPr>
            </w:pPr>
          </w:p>
        </w:tc>
        <w:tc>
          <w:tcPr>
            <w:tcW w:w="1434" w:type="dxa"/>
            <w:tcBorders>
              <w:top w:val="single" w:sz="4" w:space="0" w:color="auto"/>
              <w:bottom w:val="single" w:sz="4" w:space="0" w:color="auto"/>
            </w:tcBorders>
            <w:shd w:val="clear" w:color="auto" w:fill="auto"/>
            <w:noWrap/>
            <w:vAlign w:val="bottom"/>
          </w:tcPr>
          <w:p w14:paraId="5FF2453E" w14:textId="77777777" w:rsidR="00813412" w:rsidRPr="00185019" w:rsidRDefault="00813412" w:rsidP="0016598B">
            <w:pPr>
              <w:jc w:val="center"/>
              <w:rPr>
                <w:rFonts w:ascii="Arial" w:hAnsi="Arial" w:cs="Arial"/>
                <w:bCs/>
              </w:rPr>
            </w:pPr>
          </w:p>
        </w:tc>
        <w:tc>
          <w:tcPr>
            <w:tcW w:w="1434" w:type="dxa"/>
            <w:tcBorders>
              <w:top w:val="single" w:sz="4" w:space="0" w:color="auto"/>
              <w:bottom w:val="single" w:sz="4" w:space="0" w:color="auto"/>
            </w:tcBorders>
            <w:shd w:val="clear" w:color="auto" w:fill="auto"/>
            <w:noWrap/>
            <w:vAlign w:val="bottom"/>
          </w:tcPr>
          <w:p w14:paraId="6C574120" w14:textId="77777777" w:rsidR="00813412" w:rsidRPr="00185019" w:rsidRDefault="00813412" w:rsidP="0016598B">
            <w:pPr>
              <w:jc w:val="center"/>
              <w:rPr>
                <w:rFonts w:ascii="Arial" w:hAnsi="Arial" w:cs="Arial"/>
                <w:bCs/>
              </w:rPr>
            </w:pPr>
          </w:p>
        </w:tc>
        <w:tc>
          <w:tcPr>
            <w:tcW w:w="1433" w:type="dxa"/>
            <w:shd w:val="clear" w:color="auto" w:fill="auto"/>
            <w:noWrap/>
            <w:vAlign w:val="bottom"/>
          </w:tcPr>
          <w:p w14:paraId="6A6A4E27" w14:textId="77777777" w:rsidR="00813412" w:rsidRPr="00185019" w:rsidRDefault="00813412" w:rsidP="0016598B">
            <w:pPr>
              <w:jc w:val="center"/>
              <w:rPr>
                <w:rFonts w:ascii="Arial" w:hAnsi="Arial" w:cs="Arial"/>
              </w:rPr>
            </w:pPr>
          </w:p>
        </w:tc>
        <w:tc>
          <w:tcPr>
            <w:tcW w:w="1434" w:type="dxa"/>
            <w:shd w:val="clear" w:color="auto" w:fill="auto"/>
            <w:vAlign w:val="bottom"/>
          </w:tcPr>
          <w:p w14:paraId="0B450CCE"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vAlign w:val="bottom"/>
          </w:tcPr>
          <w:p w14:paraId="7308FE1E" w14:textId="77777777" w:rsidR="00813412" w:rsidRPr="00185019" w:rsidRDefault="00813412" w:rsidP="0016598B">
            <w:pPr>
              <w:jc w:val="center"/>
              <w:rPr>
                <w:rFonts w:ascii="Arial" w:hAnsi="Arial" w:cs="Arial"/>
                <w:bCs/>
              </w:rPr>
            </w:pPr>
          </w:p>
        </w:tc>
      </w:tr>
      <w:tr w:rsidR="00813412" w:rsidRPr="004E174D" w14:paraId="50521D72" w14:textId="77777777" w:rsidTr="0016598B">
        <w:trPr>
          <w:trHeight w:val="315"/>
        </w:trPr>
        <w:tc>
          <w:tcPr>
            <w:tcW w:w="5290" w:type="dxa"/>
            <w:tcBorders>
              <w:top w:val="nil"/>
              <w:left w:val="nil"/>
              <w:bottom w:val="nil"/>
              <w:right w:val="single" w:sz="4" w:space="0" w:color="auto"/>
            </w:tcBorders>
            <w:shd w:val="clear" w:color="auto" w:fill="auto"/>
            <w:noWrap/>
            <w:vAlign w:val="bottom"/>
          </w:tcPr>
          <w:p w14:paraId="018200B2" w14:textId="77777777" w:rsidR="00813412" w:rsidRPr="00FC3309" w:rsidRDefault="00813412" w:rsidP="00844758">
            <w:pPr>
              <w:pStyle w:val="ListParagraph"/>
              <w:numPr>
                <w:ilvl w:val="0"/>
                <w:numId w:val="23"/>
              </w:numPr>
              <w:contextualSpacing w:val="0"/>
              <w:rPr>
                <w:rFonts w:ascii="Arial" w:hAnsi="Arial" w:cs="Arial"/>
                <w:b/>
                <w:bCs/>
              </w:rPr>
            </w:pPr>
            <w:r w:rsidRPr="0060170A">
              <w:rPr>
                <w:rFonts w:ascii="Arial" w:hAnsi="Arial" w:cs="Arial"/>
                <w:b/>
                <w:bCs/>
              </w:rPr>
              <w:t>Effective movement in net policy liabilities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615DD0"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58FAC2"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98D624" w14:textId="77777777" w:rsidR="00813412" w:rsidRPr="00185019" w:rsidRDefault="00813412" w:rsidP="0016598B">
            <w:pPr>
              <w:jc w:val="center"/>
              <w:rPr>
                <w:rFonts w:ascii="Arial" w:hAnsi="Arial" w:cs="Arial"/>
                <w:bCs/>
              </w:rPr>
            </w:pPr>
          </w:p>
        </w:tc>
        <w:tc>
          <w:tcPr>
            <w:tcW w:w="1433" w:type="dxa"/>
            <w:tcBorders>
              <w:left w:val="single" w:sz="4" w:space="0" w:color="auto"/>
              <w:bottom w:val="nil"/>
            </w:tcBorders>
            <w:shd w:val="clear" w:color="auto" w:fill="auto"/>
            <w:noWrap/>
            <w:vAlign w:val="bottom"/>
          </w:tcPr>
          <w:p w14:paraId="335C120C" w14:textId="77777777" w:rsidR="00813412" w:rsidRPr="00185019" w:rsidRDefault="00813412" w:rsidP="0016598B">
            <w:pPr>
              <w:jc w:val="center"/>
              <w:rPr>
                <w:rFonts w:ascii="Arial" w:hAnsi="Arial" w:cs="Arial"/>
              </w:rPr>
            </w:pPr>
          </w:p>
        </w:tc>
        <w:tc>
          <w:tcPr>
            <w:tcW w:w="1434" w:type="dxa"/>
            <w:tcBorders>
              <w:bottom w:val="nil"/>
              <w:right w:val="single" w:sz="4" w:space="0" w:color="auto"/>
            </w:tcBorders>
            <w:shd w:val="clear" w:color="auto" w:fill="auto"/>
            <w:vAlign w:val="bottom"/>
          </w:tcPr>
          <w:p w14:paraId="6E2D3092"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56AD458D" w14:textId="77777777" w:rsidR="00813412" w:rsidRPr="00185019" w:rsidRDefault="00813412" w:rsidP="0016598B">
            <w:pPr>
              <w:jc w:val="center"/>
              <w:rPr>
                <w:rFonts w:ascii="Arial" w:hAnsi="Arial" w:cs="Arial"/>
                <w:bCs/>
              </w:rPr>
            </w:pPr>
          </w:p>
        </w:tc>
      </w:tr>
      <w:tr w:rsidR="00813412" w:rsidRPr="00FC3309" w14:paraId="29F85E7E" w14:textId="77777777" w:rsidTr="0016598B">
        <w:trPr>
          <w:trHeight w:val="315"/>
        </w:trPr>
        <w:tc>
          <w:tcPr>
            <w:tcW w:w="5290" w:type="dxa"/>
            <w:tcBorders>
              <w:top w:val="nil"/>
              <w:left w:val="nil"/>
              <w:bottom w:val="nil"/>
            </w:tcBorders>
            <w:shd w:val="clear" w:color="auto" w:fill="auto"/>
            <w:noWrap/>
            <w:vAlign w:val="bottom"/>
          </w:tcPr>
          <w:p w14:paraId="7940757A" w14:textId="77777777" w:rsidR="00813412" w:rsidRPr="0060170A" w:rsidRDefault="00813412" w:rsidP="0016598B">
            <w:pPr>
              <w:pStyle w:val="ListParagraph"/>
              <w:ind w:left="0"/>
              <w:rPr>
                <w:rFonts w:ascii="Arial" w:hAnsi="Arial" w:cs="Arial"/>
                <w:b/>
                <w:bCs/>
              </w:rPr>
            </w:pPr>
          </w:p>
        </w:tc>
        <w:tc>
          <w:tcPr>
            <w:tcW w:w="1433" w:type="dxa"/>
            <w:tcBorders>
              <w:top w:val="single" w:sz="4" w:space="0" w:color="auto"/>
              <w:bottom w:val="nil"/>
            </w:tcBorders>
            <w:shd w:val="clear" w:color="auto" w:fill="auto"/>
            <w:noWrap/>
            <w:vAlign w:val="bottom"/>
          </w:tcPr>
          <w:p w14:paraId="38E7CC12" w14:textId="77777777" w:rsidR="00813412" w:rsidRPr="00185019" w:rsidRDefault="00813412" w:rsidP="0016598B">
            <w:pPr>
              <w:jc w:val="center"/>
              <w:rPr>
                <w:rFonts w:ascii="Arial" w:hAnsi="Arial" w:cs="Arial"/>
              </w:rPr>
            </w:pPr>
          </w:p>
        </w:tc>
        <w:tc>
          <w:tcPr>
            <w:tcW w:w="1434" w:type="dxa"/>
            <w:tcBorders>
              <w:top w:val="single" w:sz="4" w:space="0" w:color="auto"/>
              <w:bottom w:val="nil"/>
              <w:right w:val="nil"/>
            </w:tcBorders>
            <w:shd w:val="clear" w:color="auto" w:fill="auto"/>
            <w:noWrap/>
            <w:vAlign w:val="bottom"/>
          </w:tcPr>
          <w:p w14:paraId="2F8CA708"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tcBorders>
            <w:shd w:val="clear" w:color="auto" w:fill="auto"/>
            <w:noWrap/>
            <w:vAlign w:val="bottom"/>
          </w:tcPr>
          <w:p w14:paraId="41F0A53D" w14:textId="77777777" w:rsidR="00813412" w:rsidRPr="00185019" w:rsidRDefault="00813412" w:rsidP="0016598B">
            <w:pPr>
              <w:jc w:val="center"/>
              <w:rPr>
                <w:rFonts w:ascii="Arial" w:hAnsi="Arial" w:cs="Arial"/>
              </w:rPr>
            </w:pPr>
          </w:p>
        </w:tc>
        <w:tc>
          <w:tcPr>
            <w:tcW w:w="1433" w:type="dxa"/>
            <w:tcBorders>
              <w:top w:val="nil"/>
              <w:bottom w:val="nil"/>
              <w:right w:val="nil"/>
            </w:tcBorders>
            <w:shd w:val="clear" w:color="auto" w:fill="auto"/>
            <w:noWrap/>
            <w:vAlign w:val="bottom"/>
          </w:tcPr>
          <w:p w14:paraId="47FFEC00" w14:textId="77777777" w:rsidR="00813412" w:rsidRPr="00185019" w:rsidRDefault="00813412" w:rsidP="0016598B">
            <w:pPr>
              <w:jc w:val="center"/>
              <w:rPr>
                <w:rFonts w:ascii="Arial" w:hAnsi="Arial" w:cs="Arial"/>
              </w:rPr>
            </w:pPr>
          </w:p>
        </w:tc>
        <w:tc>
          <w:tcPr>
            <w:tcW w:w="1434" w:type="dxa"/>
            <w:tcBorders>
              <w:top w:val="nil"/>
              <w:left w:val="nil"/>
              <w:bottom w:val="nil"/>
              <w:right w:val="nil"/>
            </w:tcBorders>
            <w:vAlign w:val="bottom"/>
          </w:tcPr>
          <w:p w14:paraId="400DA9D8"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right w:val="nil"/>
            </w:tcBorders>
            <w:vAlign w:val="bottom"/>
          </w:tcPr>
          <w:p w14:paraId="6739A83F" w14:textId="77777777" w:rsidR="00813412" w:rsidRPr="00185019" w:rsidRDefault="00813412" w:rsidP="0016598B">
            <w:pPr>
              <w:jc w:val="center"/>
              <w:rPr>
                <w:rFonts w:ascii="Arial" w:hAnsi="Arial" w:cs="Arial"/>
              </w:rPr>
            </w:pPr>
          </w:p>
        </w:tc>
      </w:tr>
      <w:tr w:rsidR="00813412" w:rsidRPr="00FC3309" w14:paraId="161C01D5" w14:textId="77777777" w:rsidTr="0016598B">
        <w:trPr>
          <w:trHeight w:val="315"/>
        </w:trPr>
        <w:tc>
          <w:tcPr>
            <w:tcW w:w="5290" w:type="dxa"/>
            <w:tcBorders>
              <w:top w:val="nil"/>
              <w:left w:val="nil"/>
              <w:bottom w:val="nil"/>
            </w:tcBorders>
            <w:shd w:val="clear" w:color="auto" w:fill="auto"/>
            <w:noWrap/>
            <w:vAlign w:val="bottom"/>
          </w:tcPr>
          <w:p w14:paraId="384DC6F0" w14:textId="77777777" w:rsidR="00813412" w:rsidRPr="0060170A" w:rsidRDefault="00813412" w:rsidP="00844758">
            <w:pPr>
              <w:pStyle w:val="ListParagraph"/>
              <w:numPr>
                <w:ilvl w:val="0"/>
                <w:numId w:val="23"/>
              </w:numPr>
              <w:contextualSpacing w:val="0"/>
              <w:rPr>
                <w:rFonts w:ascii="Arial" w:hAnsi="Arial" w:cs="Arial"/>
                <w:b/>
                <w:bCs/>
              </w:rPr>
            </w:pPr>
            <w:r w:rsidRPr="00A42479">
              <w:rPr>
                <w:rFonts w:ascii="Arial" w:hAnsi="Arial" w:cs="Arial"/>
                <w:b/>
                <w:bCs/>
              </w:rPr>
              <w:t>Change in policy owner retained profits</w:t>
            </w:r>
          </w:p>
        </w:tc>
        <w:tc>
          <w:tcPr>
            <w:tcW w:w="1433" w:type="dxa"/>
            <w:tcBorders>
              <w:top w:val="nil"/>
              <w:bottom w:val="single" w:sz="4" w:space="0" w:color="auto"/>
            </w:tcBorders>
            <w:shd w:val="clear" w:color="auto" w:fill="auto"/>
            <w:noWrap/>
            <w:vAlign w:val="bottom"/>
          </w:tcPr>
          <w:p w14:paraId="1AD5C3C0" w14:textId="77777777" w:rsidR="00813412" w:rsidRPr="00185019" w:rsidRDefault="00813412" w:rsidP="0016598B">
            <w:pPr>
              <w:jc w:val="center"/>
              <w:rPr>
                <w:rFonts w:ascii="Arial" w:hAnsi="Arial" w:cs="Arial"/>
              </w:rPr>
            </w:pPr>
          </w:p>
        </w:tc>
        <w:tc>
          <w:tcPr>
            <w:tcW w:w="1434" w:type="dxa"/>
            <w:tcBorders>
              <w:top w:val="nil"/>
              <w:bottom w:val="single" w:sz="4" w:space="0" w:color="auto"/>
              <w:right w:val="nil"/>
            </w:tcBorders>
            <w:shd w:val="clear" w:color="auto" w:fill="auto"/>
            <w:noWrap/>
            <w:vAlign w:val="bottom"/>
          </w:tcPr>
          <w:p w14:paraId="15C35912"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tcBorders>
            <w:shd w:val="clear" w:color="auto" w:fill="auto"/>
            <w:noWrap/>
            <w:vAlign w:val="bottom"/>
          </w:tcPr>
          <w:p w14:paraId="023CC37C" w14:textId="77777777" w:rsidR="00813412" w:rsidRPr="00185019" w:rsidRDefault="00813412" w:rsidP="0016598B">
            <w:pPr>
              <w:jc w:val="center"/>
              <w:rPr>
                <w:rFonts w:ascii="Arial" w:hAnsi="Arial" w:cs="Arial"/>
              </w:rPr>
            </w:pPr>
          </w:p>
        </w:tc>
        <w:tc>
          <w:tcPr>
            <w:tcW w:w="1433" w:type="dxa"/>
            <w:tcBorders>
              <w:top w:val="nil"/>
              <w:bottom w:val="nil"/>
              <w:right w:val="nil"/>
            </w:tcBorders>
            <w:shd w:val="clear" w:color="auto" w:fill="auto"/>
            <w:noWrap/>
            <w:vAlign w:val="bottom"/>
          </w:tcPr>
          <w:p w14:paraId="70242B82" w14:textId="77777777" w:rsidR="00813412" w:rsidRPr="00185019" w:rsidRDefault="00813412" w:rsidP="0016598B">
            <w:pPr>
              <w:jc w:val="center"/>
              <w:rPr>
                <w:rFonts w:ascii="Arial" w:hAnsi="Arial" w:cs="Arial"/>
              </w:rPr>
            </w:pPr>
          </w:p>
        </w:tc>
        <w:tc>
          <w:tcPr>
            <w:tcW w:w="1434" w:type="dxa"/>
            <w:tcBorders>
              <w:top w:val="nil"/>
              <w:left w:val="nil"/>
              <w:bottom w:val="nil"/>
              <w:right w:val="nil"/>
            </w:tcBorders>
            <w:vAlign w:val="bottom"/>
          </w:tcPr>
          <w:p w14:paraId="36A614AA"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nil"/>
            </w:tcBorders>
            <w:vAlign w:val="bottom"/>
          </w:tcPr>
          <w:p w14:paraId="1C7380AC" w14:textId="77777777" w:rsidR="00813412" w:rsidRPr="00185019" w:rsidRDefault="00813412" w:rsidP="0016598B">
            <w:pPr>
              <w:jc w:val="center"/>
              <w:rPr>
                <w:rFonts w:ascii="Arial" w:hAnsi="Arial" w:cs="Arial"/>
              </w:rPr>
            </w:pPr>
          </w:p>
        </w:tc>
      </w:tr>
      <w:tr w:rsidR="00813412" w:rsidRPr="00FC3309" w14:paraId="0D7412BF" w14:textId="77777777" w:rsidTr="0016598B">
        <w:trPr>
          <w:trHeight w:val="315"/>
        </w:trPr>
        <w:tc>
          <w:tcPr>
            <w:tcW w:w="5290" w:type="dxa"/>
            <w:tcBorders>
              <w:top w:val="nil"/>
              <w:left w:val="nil"/>
              <w:bottom w:val="nil"/>
              <w:right w:val="nil"/>
            </w:tcBorders>
            <w:shd w:val="clear" w:color="auto" w:fill="auto"/>
            <w:noWrap/>
            <w:vAlign w:val="bottom"/>
          </w:tcPr>
          <w:p w14:paraId="4B7EF676" w14:textId="77777777" w:rsidR="00813412" w:rsidRPr="00C1498A" w:rsidRDefault="00813412" w:rsidP="00844758">
            <w:pPr>
              <w:pStyle w:val="ListParagraph"/>
              <w:numPr>
                <w:ilvl w:val="1"/>
                <w:numId w:val="23"/>
              </w:numPr>
              <w:ind w:left="426"/>
              <w:contextualSpacing w:val="0"/>
              <w:rPr>
                <w:rFonts w:ascii="Arial" w:hAnsi="Arial" w:cs="Arial"/>
                <w:bCs/>
              </w:rPr>
            </w:pPr>
            <w:r w:rsidRPr="00BB6F92">
              <w:rPr>
                <w:rFonts w:ascii="Arial" w:hAnsi="Arial" w:cs="Arial"/>
              </w:rPr>
              <w:t>Increase/(decrease) in policy owner retained profits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C1DB8A"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081032B3"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75B047"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6DF876EC"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vAlign w:val="bottom"/>
          </w:tcPr>
          <w:p w14:paraId="6FF7218F"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76CF6574" w14:textId="77777777" w:rsidR="00813412" w:rsidRPr="00185019" w:rsidRDefault="00813412" w:rsidP="0016598B">
            <w:pPr>
              <w:jc w:val="center"/>
              <w:rPr>
                <w:rFonts w:ascii="Arial" w:hAnsi="Arial" w:cs="Arial"/>
              </w:rPr>
            </w:pPr>
          </w:p>
        </w:tc>
      </w:tr>
      <w:tr w:rsidR="00813412" w:rsidRPr="00FC3309" w14:paraId="2C641733" w14:textId="77777777" w:rsidTr="0016598B">
        <w:trPr>
          <w:trHeight w:val="315"/>
        </w:trPr>
        <w:tc>
          <w:tcPr>
            <w:tcW w:w="5290" w:type="dxa"/>
            <w:tcBorders>
              <w:top w:val="nil"/>
              <w:left w:val="nil"/>
              <w:bottom w:val="nil"/>
            </w:tcBorders>
            <w:shd w:val="clear" w:color="auto" w:fill="auto"/>
            <w:noWrap/>
            <w:vAlign w:val="bottom"/>
          </w:tcPr>
          <w:p w14:paraId="38FFE9C0" w14:textId="77777777" w:rsidR="00813412" w:rsidRPr="00BB6F92" w:rsidRDefault="00813412" w:rsidP="0016598B">
            <w:pPr>
              <w:pStyle w:val="ListParagraph"/>
              <w:ind w:left="426"/>
              <w:rPr>
                <w:rFonts w:ascii="Arial" w:hAnsi="Arial" w:cs="Arial"/>
              </w:rPr>
            </w:pPr>
          </w:p>
        </w:tc>
        <w:tc>
          <w:tcPr>
            <w:tcW w:w="1433" w:type="dxa"/>
            <w:tcBorders>
              <w:top w:val="single" w:sz="4" w:space="0" w:color="auto"/>
              <w:bottom w:val="single" w:sz="4" w:space="0" w:color="auto"/>
            </w:tcBorders>
            <w:shd w:val="clear" w:color="auto" w:fill="auto"/>
            <w:noWrap/>
            <w:vAlign w:val="bottom"/>
          </w:tcPr>
          <w:p w14:paraId="4CB745B6"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2DFA4497"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752616CA" w14:textId="77777777" w:rsidR="00813412" w:rsidRPr="00185019" w:rsidRDefault="00813412" w:rsidP="0016598B">
            <w:pPr>
              <w:jc w:val="center"/>
              <w:rPr>
                <w:rFonts w:ascii="Arial" w:hAnsi="Arial" w:cs="Arial"/>
              </w:rPr>
            </w:pPr>
          </w:p>
        </w:tc>
        <w:tc>
          <w:tcPr>
            <w:tcW w:w="1433" w:type="dxa"/>
            <w:tcBorders>
              <w:top w:val="nil"/>
              <w:left w:val="nil"/>
              <w:bottom w:val="single" w:sz="4" w:space="0" w:color="auto"/>
              <w:right w:val="nil"/>
            </w:tcBorders>
            <w:shd w:val="clear" w:color="auto" w:fill="auto"/>
            <w:noWrap/>
            <w:vAlign w:val="bottom"/>
          </w:tcPr>
          <w:p w14:paraId="51453D9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nil"/>
            </w:tcBorders>
            <w:vAlign w:val="bottom"/>
          </w:tcPr>
          <w:p w14:paraId="6858AD95"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nil"/>
            </w:tcBorders>
            <w:vAlign w:val="bottom"/>
          </w:tcPr>
          <w:p w14:paraId="2D082444" w14:textId="77777777" w:rsidR="00813412" w:rsidRPr="00185019" w:rsidRDefault="00813412" w:rsidP="0016598B">
            <w:pPr>
              <w:jc w:val="center"/>
              <w:rPr>
                <w:rFonts w:ascii="Arial" w:hAnsi="Arial" w:cs="Arial"/>
              </w:rPr>
            </w:pPr>
          </w:p>
        </w:tc>
      </w:tr>
      <w:tr w:rsidR="00813412" w:rsidRPr="00FC3309" w14:paraId="728A49A7" w14:textId="77777777" w:rsidTr="0016598B">
        <w:trPr>
          <w:trHeight w:val="315"/>
        </w:trPr>
        <w:tc>
          <w:tcPr>
            <w:tcW w:w="5290" w:type="dxa"/>
            <w:tcBorders>
              <w:top w:val="nil"/>
              <w:left w:val="nil"/>
              <w:bottom w:val="nil"/>
              <w:right w:val="nil"/>
            </w:tcBorders>
            <w:shd w:val="clear" w:color="auto" w:fill="auto"/>
            <w:noWrap/>
            <w:vAlign w:val="bottom"/>
          </w:tcPr>
          <w:p w14:paraId="16DAD8D8" w14:textId="77777777" w:rsidR="00813412" w:rsidRPr="00FC3309" w:rsidRDefault="00813412" w:rsidP="00844758">
            <w:pPr>
              <w:pStyle w:val="ListParagraph"/>
              <w:numPr>
                <w:ilvl w:val="0"/>
                <w:numId w:val="23"/>
              </w:numPr>
              <w:contextualSpacing w:val="0"/>
              <w:rPr>
                <w:rFonts w:ascii="Arial" w:hAnsi="Arial" w:cs="Arial"/>
                <w:b/>
                <w:bCs/>
              </w:rPr>
            </w:pPr>
            <w:r w:rsidRPr="002763BF">
              <w:rPr>
                <w:rFonts w:ascii="Arial" w:hAnsi="Arial" w:cs="Arial"/>
                <w:b/>
                <w:bCs/>
              </w:rPr>
              <w:t>Other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BD9DB9"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5958B871"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A8B904"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CEB2DB"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5EB064AE"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30136158" w14:textId="77777777" w:rsidR="00813412" w:rsidRPr="00185019" w:rsidRDefault="00813412" w:rsidP="0016598B">
            <w:pPr>
              <w:jc w:val="center"/>
              <w:rPr>
                <w:rFonts w:ascii="Arial" w:hAnsi="Arial" w:cs="Arial"/>
                <w:bCs/>
              </w:rPr>
            </w:pPr>
          </w:p>
        </w:tc>
      </w:tr>
      <w:tr w:rsidR="00813412" w:rsidRPr="00FC3309" w14:paraId="6F8110EC" w14:textId="77777777" w:rsidTr="0016598B">
        <w:trPr>
          <w:trHeight w:val="315"/>
        </w:trPr>
        <w:tc>
          <w:tcPr>
            <w:tcW w:w="5290" w:type="dxa"/>
            <w:tcBorders>
              <w:top w:val="nil"/>
              <w:left w:val="nil"/>
              <w:bottom w:val="nil"/>
            </w:tcBorders>
            <w:shd w:val="clear" w:color="auto" w:fill="auto"/>
            <w:noWrap/>
            <w:vAlign w:val="bottom"/>
          </w:tcPr>
          <w:p w14:paraId="3E387FF5" w14:textId="77777777" w:rsidR="00813412" w:rsidRPr="002763BF" w:rsidRDefault="00813412" w:rsidP="0016598B">
            <w:pPr>
              <w:pStyle w:val="ListParagraph"/>
              <w:ind w:left="0"/>
              <w:rPr>
                <w:rFonts w:ascii="Arial" w:hAnsi="Arial" w:cs="Arial"/>
                <w:b/>
                <w:bCs/>
              </w:rPr>
            </w:pPr>
          </w:p>
        </w:tc>
        <w:tc>
          <w:tcPr>
            <w:tcW w:w="1433" w:type="dxa"/>
            <w:tcBorders>
              <w:top w:val="single" w:sz="4" w:space="0" w:color="auto"/>
              <w:bottom w:val="single" w:sz="4" w:space="0" w:color="auto"/>
            </w:tcBorders>
            <w:shd w:val="clear" w:color="auto" w:fill="auto"/>
            <w:noWrap/>
            <w:vAlign w:val="bottom"/>
          </w:tcPr>
          <w:p w14:paraId="1891B040"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28233D5A"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6AF55EB7" w14:textId="77777777" w:rsidR="00813412" w:rsidRPr="00185019" w:rsidRDefault="00813412" w:rsidP="0016598B">
            <w:pPr>
              <w:jc w:val="center"/>
              <w:rPr>
                <w:rFonts w:ascii="Arial" w:hAnsi="Arial" w:cs="Arial"/>
              </w:rPr>
            </w:pPr>
          </w:p>
        </w:tc>
        <w:tc>
          <w:tcPr>
            <w:tcW w:w="1433" w:type="dxa"/>
            <w:tcBorders>
              <w:top w:val="single" w:sz="4" w:space="0" w:color="auto"/>
              <w:bottom w:val="single" w:sz="4" w:space="0" w:color="auto"/>
              <w:right w:val="nil"/>
            </w:tcBorders>
            <w:shd w:val="clear" w:color="auto" w:fill="auto"/>
            <w:noWrap/>
            <w:vAlign w:val="bottom"/>
          </w:tcPr>
          <w:p w14:paraId="623F7516"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nil"/>
            </w:tcBorders>
            <w:vAlign w:val="bottom"/>
          </w:tcPr>
          <w:p w14:paraId="377BA855"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nil"/>
            </w:tcBorders>
            <w:vAlign w:val="bottom"/>
          </w:tcPr>
          <w:p w14:paraId="1DF58877" w14:textId="77777777" w:rsidR="00813412" w:rsidRPr="00185019" w:rsidRDefault="00813412" w:rsidP="0016598B">
            <w:pPr>
              <w:jc w:val="center"/>
              <w:rPr>
                <w:rFonts w:ascii="Arial" w:hAnsi="Arial" w:cs="Arial"/>
              </w:rPr>
            </w:pPr>
          </w:p>
        </w:tc>
      </w:tr>
      <w:tr w:rsidR="00813412" w:rsidRPr="00FC3309" w14:paraId="6C7669EE" w14:textId="77777777" w:rsidTr="0016598B">
        <w:trPr>
          <w:trHeight w:val="315"/>
        </w:trPr>
        <w:tc>
          <w:tcPr>
            <w:tcW w:w="5290" w:type="dxa"/>
            <w:tcBorders>
              <w:top w:val="nil"/>
              <w:left w:val="nil"/>
              <w:bottom w:val="nil"/>
              <w:right w:val="nil"/>
            </w:tcBorders>
            <w:shd w:val="clear" w:color="auto" w:fill="auto"/>
            <w:noWrap/>
            <w:vAlign w:val="bottom"/>
          </w:tcPr>
          <w:p w14:paraId="457329D1" w14:textId="77777777" w:rsidR="00813412" w:rsidRPr="00FC3309" w:rsidRDefault="00813412" w:rsidP="00844758">
            <w:pPr>
              <w:pStyle w:val="ListParagraph"/>
              <w:numPr>
                <w:ilvl w:val="0"/>
                <w:numId w:val="23"/>
              </w:numPr>
              <w:contextualSpacing w:val="0"/>
              <w:rPr>
                <w:rFonts w:ascii="Arial" w:hAnsi="Arial" w:cs="Arial"/>
                <w:b/>
                <w:bCs/>
              </w:rPr>
            </w:pPr>
            <w:r w:rsidRPr="002763BF">
              <w:rPr>
                <w:rFonts w:ascii="Arial" w:hAnsi="Arial" w:cs="Arial"/>
                <w:b/>
                <w:bCs/>
              </w:rPr>
              <w:t>Total expenses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1808F8"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2B1D0E54"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BB664A"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FDA14"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vAlign w:val="bottom"/>
          </w:tcPr>
          <w:p w14:paraId="366E301F"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3C38DCAB" w14:textId="77777777" w:rsidR="00813412" w:rsidRPr="00185019" w:rsidRDefault="00813412" w:rsidP="0016598B">
            <w:pPr>
              <w:jc w:val="center"/>
              <w:rPr>
                <w:rFonts w:ascii="Arial" w:hAnsi="Arial" w:cs="Arial"/>
                <w:bCs/>
              </w:rPr>
            </w:pPr>
          </w:p>
        </w:tc>
      </w:tr>
      <w:tr w:rsidR="00813412" w:rsidRPr="00FC3309" w14:paraId="4D61A785" w14:textId="77777777" w:rsidTr="0016598B">
        <w:trPr>
          <w:trHeight w:val="315"/>
        </w:trPr>
        <w:tc>
          <w:tcPr>
            <w:tcW w:w="5290" w:type="dxa"/>
            <w:tcBorders>
              <w:top w:val="nil"/>
              <w:left w:val="nil"/>
              <w:bottom w:val="nil"/>
            </w:tcBorders>
            <w:shd w:val="clear" w:color="auto" w:fill="auto"/>
            <w:noWrap/>
            <w:vAlign w:val="bottom"/>
          </w:tcPr>
          <w:p w14:paraId="15CAB930" w14:textId="77777777" w:rsidR="00813412" w:rsidRPr="002763BF" w:rsidRDefault="00813412" w:rsidP="0016598B">
            <w:pPr>
              <w:pStyle w:val="ListParagraph"/>
              <w:ind w:left="0"/>
              <w:rPr>
                <w:rFonts w:ascii="Arial" w:hAnsi="Arial" w:cs="Arial"/>
                <w:b/>
                <w:bCs/>
              </w:rPr>
            </w:pPr>
          </w:p>
        </w:tc>
        <w:tc>
          <w:tcPr>
            <w:tcW w:w="1433" w:type="dxa"/>
            <w:tcBorders>
              <w:top w:val="single" w:sz="4" w:space="0" w:color="auto"/>
              <w:bottom w:val="single" w:sz="4" w:space="0" w:color="auto"/>
            </w:tcBorders>
            <w:shd w:val="clear" w:color="auto" w:fill="auto"/>
            <w:noWrap/>
            <w:vAlign w:val="bottom"/>
          </w:tcPr>
          <w:p w14:paraId="1D2F254E"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right w:val="nil"/>
            </w:tcBorders>
            <w:shd w:val="clear" w:color="auto" w:fill="auto"/>
            <w:noWrap/>
            <w:vAlign w:val="bottom"/>
          </w:tcPr>
          <w:p w14:paraId="34B6E406"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tcBorders>
            <w:shd w:val="clear" w:color="auto" w:fill="auto"/>
            <w:noWrap/>
            <w:vAlign w:val="bottom"/>
          </w:tcPr>
          <w:p w14:paraId="675686FB" w14:textId="77777777" w:rsidR="00813412" w:rsidRPr="00185019" w:rsidRDefault="00813412" w:rsidP="0016598B">
            <w:pPr>
              <w:jc w:val="center"/>
              <w:rPr>
                <w:rFonts w:ascii="Arial" w:hAnsi="Arial" w:cs="Arial"/>
              </w:rPr>
            </w:pPr>
          </w:p>
        </w:tc>
        <w:tc>
          <w:tcPr>
            <w:tcW w:w="1433" w:type="dxa"/>
            <w:tcBorders>
              <w:top w:val="single" w:sz="4" w:space="0" w:color="auto"/>
              <w:bottom w:val="single" w:sz="4" w:space="0" w:color="auto"/>
              <w:right w:val="nil"/>
            </w:tcBorders>
            <w:shd w:val="clear" w:color="auto" w:fill="auto"/>
            <w:noWrap/>
            <w:vAlign w:val="bottom"/>
          </w:tcPr>
          <w:p w14:paraId="7D852BFD"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nil"/>
            </w:tcBorders>
            <w:vAlign w:val="bottom"/>
          </w:tcPr>
          <w:p w14:paraId="78F57CD2"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nil"/>
            </w:tcBorders>
            <w:vAlign w:val="bottom"/>
          </w:tcPr>
          <w:p w14:paraId="7CC2847D" w14:textId="77777777" w:rsidR="00813412" w:rsidRPr="00185019" w:rsidRDefault="00813412" w:rsidP="0016598B">
            <w:pPr>
              <w:jc w:val="center"/>
              <w:rPr>
                <w:rFonts w:ascii="Arial" w:hAnsi="Arial" w:cs="Arial"/>
              </w:rPr>
            </w:pPr>
          </w:p>
        </w:tc>
      </w:tr>
      <w:tr w:rsidR="00813412" w:rsidRPr="00FC3309" w14:paraId="192028AA" w14:textId="77777777" w:rsidTr="0016598B">
        <w:trPr>
          <w:trHeight w:val="315"/>
        </w:trPr>
        <w:tc>
          <w:tcPr>
            <w:tcW w:w="5290" w:type="dxa"/>
            <w:tcBorders>
              <w:top w:val="nil"/>
              <w:left w:val="nil"/>
              <w:bottom w:val="nil"/>
              <w:right w:val="nil"/>
            </w:tcBorders>
            <w:shd w:val="clear" w:color="auto" w:fill="auto"/>
            <w:noWrap/>
            <w:vAlign w:val="bottom"/>
          </w:tcPr>
          <w:p w14:paraId="366479C0" w14:textId="77777777" w:rsidR="00813412" w:rsidRPr="00FC3309" w:rsidRDefault="00813412" w:rsidP="00844758">
            <w:pPr>
              <w:pStyle w:val="ListParagraph"/>
              <w:numPr>
                <w:ilvl w:val="0"/>
                <w:numId w:val="23"/>
              </w:numPr>
              <w:contextualSpacing w:val="0"/>
              <w:rPr>
                <w:rFonts w:ascii="Arial" w:hAnsi="Arial" w:cs="Arial"/>
                <w:b/>
                <w:bCs/>
              </w:rPr>
            </w:pPr>
            <w:r w:rsidRPr="00C1498A">
              <w:rPr>
                <w:rFonts w:ascii="Arial" w:hAnsi="Arial" w:cs="Arial"/>
                <w:b/>
                <w:bCs/>
              </w:rPr>
              <w:t>Profit/(loss) before income tax</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79F8BD3"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C3E5A8"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4E4D39"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F572D3"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D42F0CD"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1C1CD4E5" w14:textId="77777777" w:rsidR="00813412" w:rsidRPr="00185019" w:rsidRDefault="00813412" w:rsidP="0016598B">
            <w:pPr>
              <w:jc w:val="center"/>
              <w:rPr>
                <w:rFonts w:ascii="Arial" w:hAnsi="Arial" w:cs="Arial"/>
                <w:bCs/>
              </w:rPr>
            </w:pPr>
          </w:p>
        </w:tc>
      </w:tr>
      <w:tr w:rsidR="00813412" w:rsidRPr="00FC3309" w14:paraId="10C91213" w14:textId="77777777" w:rsidTr="0016598B">
        <w:trPr>
          <w:trHeight w:val="315"/>
        </w:trPr>
        <w:tc>
          <w:tcPr>
            <w:tcW w:w="5290" w:type="dxa"/>
            <w:tcBorders>
              <w:top w:val="nil"/>
              <w:left w:val="nil"/>
              <w:bottom w:val="nil"/>
            </w:tcBorders>
            <w:shd w:val="clear" w:color="auto" w:fill="auto"/>
            <w:noWrap/>
            <w:vAlign w:val="bottom"/>
          </w:tcPr>
          <w:p w14:paraId="01C4C293" w14:textId="77777777" w:rsidR="00813412" w:rsidRPr="00C1498A" w:rsidRDefault="00813412" w:rsidP="0016598B">
            <w:pPr>
              <w:pStyle w:val="ListParagraph"/>
              <w:ind w:left="0"/>
              <w:rPr>
                <w:rFonts w:ascii="Arial" w:hAnsi="Arial" w:cs="Arial"/>
                <w:b/>
                <w:bCs/>
              </w:rPr>
            </w:pPr>
          </w:p>
        </w:tc>
        <w:tc>
          <w:tcPr>
            <w:tcW w:w="1433" w:type="dxa"/>
            <w:tcBorders>
              <w:top w:val="single" w:sz="4" w:space="0" w:color="auto"/>
              <w:bottom w:val="nil"/>
            </w:tcBorders>
            <w:shd w:val="clear" w:color="auto" w:fill="auto"/>
            <w:noWrap/>
            <w:vAlign w:val="bottom"/>
          </w:tcPr>
          <w:p w14:paraId="74693972" w14:textId="77777777" w:rsidR="00813412" w:rsidRPr="00185019" w:rsidRDefault="00813412" w:rsidP="0016598B">
            <w:pPr>
              <w:jc w:val="center"/>
              <w:rPr>
                <w:rFonts w:ascii="Arial" w:hAnsi="Arial" w:cs="Arial"/>
              </w:rPr>
            </w:pPr>
          </w:p>
        </w:tc>
        <w:tc>
          <w:tcPr>
            <w:tcW w:w="1434" w:type="dxa"/>
            <w:tcBorders>
              <w:top w:val="single" w:sz="4" w:space="0" w:color="auto"/>
              <w:bottom w:val="nil"/>
            </w:tcBorders>
            <w:shd w:val="clear" w:color="auto" w:fill="auto"/>
            <w:noWrap/>
            <w:vAlign w:val="bottom"/>
          </w:tcPr>
          <w:p w14:paraId="03CDC587" w14:textId="77777777" w:rsidR="00813412" w:rsidRPr="00185019" w:rsidRDefault="00813412" w:rsidP="0016598B">
            <w:pPr>
              <w:jc w:val="center"/>
              <w:rPr>
                <w:rFonts w:ascii="Arial" w:hAnsi="Arial" w:cs="Arial"/>
              </w:rPr>
            </w:pPr>
          </w:p>
        </w:tc>
        <w:tc>
          <w:tcPr>
            <w:tcW w:w="1434" w:type="dxa"/>
            <w:tcBorders>
              <w:top w:val="single" w:sz="4" w:space="0" w:color="auto"/>
              <w:bottom w:val="nil"/>
            </w:tcBorders>
            <w:shd w:val="clear" w:color="auto" w:fill="auto"/>
            <w:noWrap/>
            <w:vAlign w:val="bottom"/>
          </w:tcPr>
          <w:p w14:paraId="081F80DF" w14:textId="77777777" w:rsidR="00813412" w:rsidRPr="00185019" w:rsidRDefault="00813412" w:rsidP="0016598B">
            <w:pPr>
              <w:jc w:val="center"/>
              <w:rPr>
                <w:rFonts w:ascii="Arial" w:hAnsi="Arial" w:cs="Arial"/>
              </w:rPr>
            </w:pPr>
          </w:p>
        </w:tc>
        <w:tc>
          <w:tcPr>
            <w:tcW w:w="1433" w:type="dxa"/>
            <w:tcBorders>
              <w:top w:val="single" w:sz="4" w:space="0" w:color="auto"/>
              <w:left w:val="nil"/>
              <w:bottom w:val="nil"/>
              <w:right w:val="nil"/>
            </w:tcBorders>
            <w:shd w:val="clear" w:color="auto" w:fill="auto"/>
            <w:noWrap/>
            <w:vAlign w:val="bottom"/>
          </w:tcPr>
          <w:p w14:paraId="3B9FA0A9"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right w:val="nil"/>
            </w:tcBorders>
            <w:vAlign w:val="bottom"/>
          </w:tcPr>
          <w:p w14:paraId="75E34F54"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right w:val="nil"/>
            </w:tcBorders>
            <w:vAlign w:val="bottom"/>
          </w:tcPr>
          <w:p w14:paraId="2C6744D9" w14:textId="77777777" w:rsidR="00813412" w:rsidRPr="00185019" w:rsidRDefault="00813412" w:rsidP="0016598B">
            <w:pPr>
              <w:jc w:val="center"/>
              <w:rPr>
                <w:rFonts w:ascii="Arial" w:hAnsi="Arial" w:cs="Arial"/>
              </w:rPr>
            </w:pPr>
          </w:p>
        </w:tc>
      </w:tr>
      <w:tr w:rsidR="00813412" w:rsidRPr="00FC3309" w14:paraId="33257437" w14:textId="77777777" w:rsidTr="0016598B">
        <w:trPr>
          <w:trHeight w:val="315"/>
        </w:trPr>
        <w:tc>
          <w:tcPr>
            <w:tcW w:w="5290" w:type="dxa"/>
            <w:tcBorders>
              <w:top w:val="nil"/>
              <w:left w:val="nil"/>
              <w:bottom w:val="nil"/>
            </w:tcBorders>
            <w:shd w:val="clear" w:color="auto" w:fill="auto"/>
            <w:noWrap/>
            <w:vAlign w:val="bottom"/>
          </w:tcPr>
          <w:p w14:paraId="0CC72332" w14:textId="77777777" w:rsidR="00813412" w:rsidRPr="00FC3309" w:rsidRDefault="00813412" w:rsidP="00844758">
            <w:pPr>
              <w:pStyle w:val="ListParagraph"/>
              <w:numPr>
                <w:ilvl w:val="0"/>
                <w:numId w:val="23"/>
              </w:numPr>
              <w:contextualSpacing w:val="0"/>
              <w:rPr>
                <w:rFonts w:ascii="Arial" w:hAnsi="Arial" w:cs="Arial"/>
                <w:b/>
                <w:bCs/>
              </w:rPr>
            </w:pPr>
            <w:r w:rsidRPr="00054B3B">
              <w:rPr>
                <w:rFonts w:ascii="Arial" w:hAnsi="Arial" w:cs="Arial"/>
                <w:b/>
              </w:rPr>
              <w:t>Tax</w:t>
            </w:r>
          </w:p>
        </w:tc>
        <w:tc>
          <w:tcPr>
            <w:tcW w:w="1433" w:type="dxa"/>
            <w:tcBorders>
              <w:top w:val="nil"/>
              <w:bottom w:val="single" w:sz="4" w:space="0" w:color="auto"/>
            </w:tcBorders>
            <w:shd w:val="clear" w:color="auto" w:fill="auto"/>
            <w:noWrap/>
            <w:vAlign w:val="bottom"/>
          </w:tcPr>
          <w:p w14:paraId="4E9DE2CB"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noWrap/>
            <w:vAlign w:val="bottom"/>
          </w:tcPr>
          <w:p w14:paraId="1A127757" w14:textId="77777777" w:rsidR="00813412" w:rsidRPr="00185019" w:rsidRDefault="00813412" w:rsidP="0016598B">
            <w:pPr>
              <w:jc w:val="center"/>
              <w:rPr>
                <w:rFonts w:ascii="Arial" w:hAnsi="Arial" w:cs="Arial"/>
              </w:rPr>
            </w:pPr>
          </w:p>
        </w:tc>
        <w:tc>
          <w:tcPr>
            <w:tcW w:w="1434" w:type="dxa"/>
            <w:tcBorders>
              <w:top w:val="nil"/>
              <w:bottom w:val="single" w:sz="4" w:space="0" w:color="auto"/>
            </w:tcBorders>
            <w:shd w:val="clear" w:color="auto" w:fill="auto"/>
            <w:noWrap/>
            <w:vAlign w:val="bottom"/>
          </w:tcPr>
          <w:p w14:paraId="5179062B" w14:textId="77777777" w:rsidR="00813412" w:rsidRPr="00185019" w:rsidRDefault="00813412" w:rsidP="0016598B">
            <w:pPr>
              <w:jc w:val="center"/>
              <w:rPr>
                <w:rFonts w:ascii="Arial" w:hAnsi="Arial" w:cs="Arial"/>
              </w:rPr>
            </w:pPr>
          </w:p>
        </w:tc>
        <w:tc>
          <w:tcPr>
            <w:tcW w:w="1433" w:type="dxa"/>
            <w:tcBorders>
              <w:top w:val="nil"/>
              <w:left w:val="nil"/>
              <w:bottom w:val="single" w:sz="4" w:space="0" w:color="auto"/>
              <w:right w:val="nil"/>
            </w:tcBorders>
            <w:shd w:val="clear" w:color="auto" w:fill="auto"/>
            <w:noWrap/>
            <w:vAlign w:val="bottom"/>
          </w:tcPr>
          <w:p w14:paraId="2AEE76FD"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nil"/>
            </w:tcBorders>
            <w:vAlign w:val="bottom"/>
          </w:tcPr>
          <w:p w14:paraId="195799CF"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nil"/>
            </w:tcBorders>
            <w:vAlign w:val="bottom"/>
          </w:tcPr>
          <w:p w14:paraId="50B46221" w14:textId="77777777" w:rsidR="00813412" w:rsidRPr="00185019" w:rsidRDefault="00813412" w:rsidP="0016598B">
            <w:pPr>
              <w:jc w:val="center"/>
              <w:rPr>
                <w:rFonts w:ascii="Arial" w:hAnsi="Arial" w:cs="Arial"/>
              </w:rPr>
            </w:pPr>
          </w:p>
        </w:tc>
      </w:tr>
      <w:tr w:rsidR="00813412" w:rsidRPr="00FC3309" w14:paraId="5B67DBB7" w14:textId="77777777" w:rsidTr="0016598B">
        <w:trPr>
          <w:trHeight w:val="315"/>
        </w:trPr>
        <w:tc>
          <w:tcPr>
            <w:tcW w:w="5290" w:type="dxa"/>
            <w:tcBorders>
              <w:top w:val="nil"/>
              <w:left w:val="nil"/>
              <w:bottom w:val="nil"/>
              <w:right w:val="nil"/>
            </w:tcBorders>
            <w:shd w:val="clear" w:color="auto" w:fill="auto"/>
            <w:noWrap/>
            <w:vAlign w:val="bottom"/>
          </w:tcPr>
          <w:p w14:paraId="3EE82EDB" w14:textId="77777777" w:rsidR="00813412" w:rsidRPr="00C1498A" w:rsidRDefault="00813412" w:rsidP="00844758">
            <w:pPr>
              <w:pStyle w:val="ListParagraph"/>
              <w:numPr>
                <w:ilvl w:val="1"/>
                <w:numId w:val="23"/>
              </w:numPr>
              <w:ind w:left="426"/>
              <w:contextualSpacing w:val="0"/>
              <w:rPr>
                <w:rFonts w:ascii="Arial" w:hAnsi="Arial" w:cs="Arial"/>
                <w:bCs/>
              </w:rPr>
            </w:pPr>
            <w:r w:rsidRPr="00C1498A">
              <w:rPr>
                <w:rFonts w:ascii="Arial" w:hAnsi="Arial" w:cs="Arial"/>
                <w:bCs/>
              </w:rPr>
              <w:t>Income tax attributable to profit/(loss) - shareholders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5A6F55"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6DFFAC"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F6439F"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D1850"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33EA57C1"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03564C6" w14:textId="77777777" w:rsidR="00813412" w:rsidRPr="00185019" w:rsidRDefault="00813412" w:rsidP="0016598B">
            <w:pPr>
              <w:jc w:val="center"/>
              <w:rPr>
                <w:rFonts w:ascii="Arial" w:hAnsi="Arial" w:cs="Arial"/>
                <w:bCs/>
              </w:rPr>
            </w:pPr>
          </w:p>
        </w:tc>
      </w:tr>
      <w:tr w:rsidR="00813412" w:rsidRPr="00FC3309" w14:paraId="14054811" w14:textId="77777777" w:rsidTr="0016598B">
        <w:trPr>
          <w:trHeight w:val="315"/>
        </w:trPr>
        <w:tc>
          <w:tcPr>
            <w:tcW w:w="5290" w:type="dxa"/>
            <w:tcBorders>
              <w:top w:val="nil"/>
              <w:left w:val="nil"/>
              <w:bottom w:val="nil"/>
              <w:right w:val="nil"/>
            </w:tcBorders>
            <w:shd w:val="clear" w:color="auto" w:fill="auto"/>
            <w:noWrap/>
            <w:vAlign w:val="bottom"/>
          </w:tcPr>
          <w:p w14:paraId="3A64E8E0" w14:textId="77777777" w:rsidR="00813412" w:rsidRPr="00C1498A" w:rsidRDefault="00813412" w:rsidP="00844758">
            <w:pPr>
              <w:pStyle w:val="ListParagraph"/>
              <w:numPr>
                <w:ilvl w:val="1"/>
                <w:numId w:val="23"/>
              </w:numPr>
              <w:ind w:left="426"/>
              <w:contextualSpacing w:val="0"/>
              <w:rPr>
                <w:rFonts w:ascii="Arial" w:hAnsi="Arial" w:cs="Arial"/>
                <w:bCs/>
              </w:rPr>
            </w:pPr>
            <w:r w:rsidRPr="00C1498A">
              <w:rPr>
                <w:rFonts w:ascii="Arial" w:hAnsi="Arial" w:cs="Arial"/>
                <w:bCs/>
              </w:rPr>
              <w:t>Income tax attributable to profit/(loss) - policy owners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46BAB5"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7589B8"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313B20"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nil"/>
            </w:tcBorders>
            <w:shd w:val="clear" w:color="auto" w:fill="auto"/>
            <w:noWrap/>
            <w:vAlign w:val="bottom"/>
          </w:tcPr>
          <w:p w14:paraId="23B607F4"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single" w:sz="4" w:space="0" w:color="auto"/>
            </w:tcBorders>
            <w:vAlign w:val="bottom"/>
          </w:tcPr>
          <w:p w14:paraId="195BE081"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74C06590" w14:textId="77777777" w:rsidR="00813412" w:rsidRPr="00185019" w:rsidRDefault="00813412" w:rsidP="0016598B">
            <w:pPr>
              <w:jc w:val="center"/>
              <w:rPr>
                <w:rFonts w:ascii="Arial" w:hAnsi="Arial" w:cs="Arial"/>
                <w:bCs/>
              </w:rPr>
            </w:pPr>
          </w:p>
        </w:tc>
      </w:tr>
      <w:tr w:rsidR="00813412" w:rsidRPr="00FC3309" w14:paraId="264D0E7E" w14:textId="77777777" w:rsidTr="0016598B">
        <w:trPr>
          <w:trHeight w:val="315"/>
        </w:trPr>
        <w:tc>
          <w:tcPr>
            <w:tcW w:w="5290" w:type="dxa"/>
            <w:tcBorders>
              <w:top w:val="nil"/>
              <w:left w:val="nil"/>
              <w:bottom w:val="nil"/>
              <w:right w:val="nil"/>
            </w:tcBorders>
            <w:shd w:val="clear" w:color="auto" w:fill="auto"/>
            <w:noWrap/>
            <w:vAlign w:val="bottom"/>
          </w:tcPr>
          <w:p w14:paraId="29AA664E" w14:textId="77777777" w:rsidR="00813412" w:rsidRPr="00C1498A" w:rsidRDefault="00813412" w:rsidP="00844758">
            <w:pPr>
              <w:pStyle w:val="ListParagraph"/>
              <w:numPr>
                <w:ilvl w:val="1"/>
                <w:numId w:val="23"/>
              </w:numPr>
              <w:ind w:left="426"/>
              <w:contextualSpacing w:val="0"/>
              <w:rPr>
                <w:rFonts w:ascii="Arial" w:hAnsi="Arial" w:cs="Arial"/>
                <w:b/>
                <w:bCs/>
              </w:rPr>
            </w:pPr>
            <w:r w:rsidRPr="00C1498A">
              <w:rPr>
                <w:rFonts w:ascii="Arial" w:hAnsi="Arial" w:cs="Arial"/>
                <w:b/>
                <w:bCs/>
              </w:rPr>
              <w:t>Total tax</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2385AC"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CBC7F7"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C31636"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37FA66"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578DDA4B"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77FC54C5" w14:textId="77777777" w:rsidR="00813412" w:rsidRPr="00185019" w:rsidRDefault="00813412" w:rsidP="0016598B">
            <w:pPr>
              <w:jc w:val="center"/>
              <w:rPr>
                <w:rFonts w:ascii="Arial" w:hAnsi="Arial" w:cs="Arial"/>
                <w:bCs/>
              </w:rPr>
            </w:pPr>
          </w:p>
        </w:tc>
      </w:tr>
      <w:tr w:rsidR="00813412" w:rsidRPr="00FC3309" w14:paraId="6B018E50" w14:textId="77777777" w:rsidTr="0016598B">
        <w:trPr>
          <w:trHeight w:val="315"/>
        </w:trPr>
        <w:tc>
          <w:tcPr>
            <w:tcW w:w="5290" w:type="dxa"/>
            <w:tcBorders>
              <w:top w:val="nil"/>
              <w:left w:val="nil"/>
              <w:bottom w:val="nil"/>
            </w:tcBorders>
            <w:shd w:val="clear" w:color="auto" w:fill="auto"/>
            <w:noWrap/>
            <w:vAlign w:val="bottom"/>
          </w:tcPr>
          <w:p w14:paraId="7531B43D" w14:textId="77777777" w:rsidR="00813412" w:rsidRPr="00C1498A" w:rsidRDefault="00813412" w:rsidP="0016598B">
            <w:pPr>
              <w:pStyle w:val="ListParagraph"/>
              <w:ind w:left="426"/>
              <w:rPr>
                <w:rFonts w:ascii="Arial" w:hAnsi="Arial" w:cs="Arial"/>
                <w:b/>
                <w:bCs/>
              </w:rPr>
            </w:pPr>
          </w:p>
        </w:tc>
        <w:tc>
          <w:tcPr>
            <w:tcW w:w="1433" w:type="dxa"/>
            <w:tcBorders>
              <w:top w:val="single" w:sz="4" w:space="0" w:color="auto"/>
              <w:bottom w:val="single" w:sz="4" w:space="0" w:color="auto"/>
            </w:tcBorders>
            <w:shd w:val="clear" w:color="auto" w:fill="auto"/>
            <w:noWrap/>
            <w:vAlign w:val="bottom"/>
          </w:tcPr>
          <w:p w14:paraId="0EDC7868"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3B03E527"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1F7AEBED" w14:textId="77777777" w:rsidR="00813412" w:rsidRPr="00185019" w:rsidRDefault="00813412" w:rsidP="0016598B">
            <w:pPr>
              <w:jc w:val="center"/>
              <w:rPr>
                <w:rFonts w:ascii="Arial" w:hAnsi="Arial" w:cs="Arial"/>
              </w:rPr>
            </w:pPr>
          </w:p>
        </w:tc>
        <w:tc>
          <w:tcPr>
            <w:tcW w:w="1433" w:type="dxa"/>
            <w:tcBorders>
              <w:top w:val="single" w:sz="4" w:space="0" w:color="auto"/>
              <w:bottom w:val="single" w:sz="4" w:space="0" w:color="auto"/>
              <w:right w:val="nil"/>
            </w:tcBorders>
            <w:shd w:val="clear" w:color="auto" w:fill="auto"/>
            <w:noWrap/>
            <w:vAlign w:val="bottom"/>
          </w:tcPr>
          <w:p w14:paraId="49B9A602"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nil"/>
            </w:tcBorders>
            <w:vAlign w:val="bottom"/>
          </w:tcPr>
          <w:p w14:paraId="72227C6E"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nil"/>
            </w:tcBorders>
            <w:vAlign w:val="bottom"/>
          </w:tcPr>
          <w:p w14:paraId="300C82C5" w14:textId="77777777" w:rsidR="00813412" w:rsidRPr="00185019" w:rsidRDefault="00813412" w:rsidP="0016598B">
            <w:pPr>
              <w:jc w:val="center"/>
              <w:rPr>
                <w:rFonts w:ascii="Arial" w:hAnsi="Arial" w:cs="Arial"/>
              </w:rPr>
            </w:pPr>
          </w:p>
        </w:tc>
      </w:tr>
      <w:tr w:rsidR="00813412" w:rsidRPr="00FC3309" w14:paraId="611B84EE" w14:textId="77777777" w:rsidTr="0016598B">
        <w:trPr>
          <w:trHeight w:val="315"/>
        </w:trPr>
        <w:tc>
          <w:tcPr>
            <w:tcW w:w="5290" w:type="dxa"/>
            <w:tcBorders>
              <w:top w:val="nil"/>
              <w:left w:val="nil"/>
              <w:bottom w:val="nil"/>
              <w:right w:val="nil"/>
            </w:tcBorders>
            <w:shd w:val="clear" w:color="auto" w:fill="auto"/>
            <w:noWrap/>
            <w:vAlign w:val="bottom"/>
          </w:tcPr>
          <w:p w14:paraId="35BD8F98" w14:textId="77777777" w:rsidR="00813412" w:rsidRPr="00FC3309" w:rsidRDefault="00813412" w:rsidP="00844758">
            <w:pPr>
              <w:pStyle w:val="ListParagraph"/>
              <w:numPr>
                <w:ilvl w:val="0"/>
                <w:numId w:val="23"/>
              </w:numPr>
              <w:contextualSpacing w:val="0"/>
              <w:rPr>
                <w:rFonts w:ascii="Arial" w:hAnsi="Arial" w:cs="Arial"/>
                <w:b/>
                <w:bCs/>
              </w:rPr>
            </w:pPr>
            <w:r w:rsidRPr="009441EA">
              <w:rPr>
                <w:rFonts w:ascii="Arial" w:hAnsi="Arial" w:cs="Arial"/>
                <w:b/>
                <w:bCs/>
              </w:rPr>
              <w:t>Profit/(loss) after income tax</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3A8FDD"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15ADDC5E"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EBB5C6"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A94C89"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63EA1B47"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27256835" w14:textId="77777777" w:rsidR="00813412" w:rsidRPr="00185019" w:rsidRDefault="00813412" w:rsidP="0016598B">
            <w:pPr>
              <w:jc w:val="center"/>
              <w:rPr>
                <w:rFonts w:ascii="Arial" w:hAnsi="Arial" w:cs="Arial"/>
                <w:bCs/>
              </w:rPr>
            </w:pPr>
          </w:p>
        </w:tc>
      </w:tr>
      <w:tr w:rsidR="00813412" w:rsidRPr="00FC3309" w14:paraId="5340DEBA" w14:textId="77777777" w:rsidTr="0016598B">
        <w:trPr>
          <w:trHeight w:val="315"/>
        </w:trPr>
        <w:tc>
          <w:tcPr>
            <w:tcW w:w="5290" w:type="dxa"/>
            <w:tcBorders>
              <w:top w:val="nil"/>
              <w:left w:val="nil"/>
              <w:bottom w:val="nil"/>
            </w:tcBorders>
            <w:shd w:val="clear" w:color="auto" w:fill="auto"/>
            <w:noWrap/>
            <w:vAlign w:val="bottom"/>
          </w:tcPr>
          <w:p w14:paraId="77C789D5" w14:textId="77777777" w:rsidR="00813412" w:rsidRPr="009441EA" w:rsidRDefault="00813412" w:rsidP="0016598B">
            <w:pPr>
              <w:pStyle w:val="ListParagraph"/>
              <w:ind w:left="0"/>
              <w:rPr>
                <w:rFonts w:ascii="Arial" w:hAnsi="Arial" w:cs="Arial"/>
                <w:b/>
                <w:bCs/>
              </w:rPr>
            </w:pPr>
          </w:p>
        </w:tc>
        <w:tc>
          <w:tcPr>
            <w:tcW w:w="1433" w:type="dxa"/>
            <w:tcBorders>
              <w:top w:val="single" w:sz="4" w:space="0" w:color="auto"/>
              <w:bottom w:val="single" w:sz="4" w:space="0" w:color="auto"/>
            </w:tcBorders>
            <w:shd w:val="clear" w:color="auto" w:fill="auto"/>
            <w:noWrap/>
            <w:vAlign w:val="bottom"/>
          </w:tcPr>
          <w:p w14:paraId="3CFF9562"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3412A4BF"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4A470C8D" w14:textId="77777777" w:rsidR="00813412" w:rsidRPr="00185019" w:rsidRDefault="00813412" w:rsidP="0016598B">
            <w:pPr>
              <w:jc w:val="center"/>
              <w:rPr>
                <w:rFonts w:ascii="Arial" w:hAnsi="Arial" w:cs="Arial"/>
              </w:rPr>
            </w:pPr>
          </w:p>
        </w:tc>
        <w:tc>
          <w:tcPr>
            <w:tcW w:w="1433" w:type="dxa"/>
            <w:tcBorders>
              <w:top w:val="single" w:sz="4" w:space="0" w:color="auto"/>
              <w:left w:val="nil"/>
              <w:bottom w:val="nil"/>
              <w:right w:val="nil"/>
            </w:tcBorders>
            <w:shd w:val="clear" w:color="auto" w:fill="auto"/>
            <w:noWrap/>
            <w:vAlign w:val="bottom"/>
          </w:tcPr>
          <w:p w14:paraId="22B95CE8" w14:textId="77777777" w:rsidR="00813412" w:rsidRPr="00185019" w:rsidRDefault="00813412" w:rsidP="0016598B">
            <w:pPr>
              <w:jc w:val="center"/>
              <w:rPr>
                <w:rFonts w:ascii="Arial" w:hAnsi="Arial" w:cs="Arial"/>
              </w:rPr>
            </w:pPr>
          </w:p>
        </w:tc>
        <w:tc>
          <w:tcPr>
            <w:tcW w:w="1434" w:type="dxa"/>
            <w:tcBorders>
              <w:top w:val="single" w:sz="4" w:space="0" w:color="auto"/>
              <w:left w:val="nil"/>
              <w:bottom w:val="nil"/>
              <w:right w:val="nil"/>
            </w:tcBorders>
            <w:vAlign w:val="bottom"/>
          </w:tcPr>
          <w:p w14:paraId="3C2E0866"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nil"/>
            </w:tcBorders>
            <w:vAlign w:val="bottom"/>
          </w:tcPr>
          <w:p w14:paraId="4D04FBE8" w14:textId="77777777" w:rsidR="00813412" w:rsidRPr="00185019" w:rsidRDefault="00813412" w:rsidP="0016598B">
            <w:pPr>
              <w:jc w:val="center"/>
              <w:rPr>
                <w:rFonts w:ascii="Arial" w:hAnsi="Arial" w:cs="Arial"/>
              </w:rPr>
            </w:pPr>
          </w:p>
        </w:tc>
      </w:tr>
      <w:tr w:rsidR="00813412" w:rsidRPr="00FC3309" w14:paraId="6B8CB6C7" w14:textId="77777777" w:rsidTr="0016598B">
        <w:trPr>
          <w:trHeight w:val="315"/>
        </w:trPr>
        <w:tc>
          <w:tcPr>
            <w:tcW w:w="5290" w:type="dxa"/>
            <w:tcBorders>
              <w:top w:val="nil"/>
              <w:left w:val="nil"/>
              <w:bottom w:val="nil"/>
              <w:right w:val="nil"/>
            </w:tcBorders>
            <w:shd w:val="clear" w:color="auto" w:fill="auto"/>
            <w:noWrap/>
            <w:vAlign w:val="bottom"/>
          </w:tcPr>
          <w:p w14:paraId="7AAD718A" w14:textId="77777777" w:rsidR="00813412" w:rsidRPr="00FC3309" w:rsidRDefault="00813412" w:rsidP="00844758">
            <w:pPr>
              <w:pStyle w:val="ListParagraph"/>
              <w:numPr>
                <w:ilvl w:val="0"/>
                <w:numId w:val="23"/>
              </w:numPr>
              <w:contextualSpacing w:val="0"/>
              <w:rPr>
                <w:rFonts w:ascii="Arial" w:hAnsi="Arial" w:cs="Arial"/>
                <w:b/>
                <w:bCs/>
              </w:rPr>
            </w:pPr>
            <w:r w:rsidRPr="00BB6F92">
              <w:rPr>
                <w:rFonts w:ascii="Arial" w:hAnsi="Arial" w:cs="Arial"/>
                <w:b/>
                <w:bCs/>
              </w:rPr>
              <w:t>Increase/(decrease) in unallocated benefit fund reserves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E9B184" w14:textId="77777777" w:rsidR="00813412" w:rsidRPr="00185019" w:rsidRDefault="00813412" w:rsidP="0016598B">
            <w:pPr>
              <w:jc w:val="center"/>
              <w:rPr>
                <w:rFonts w:ascii="Arial" w:hAnsi="Arial" w:cs="Arial"/>
                <w:bCs/>
              </w:rPr>
            </w:pPr>
          </w:p>
        </w:tc>
        <w:tc>
          <w:tcPr>
            <w:tcW w:w="1434" w:type="dxa"/>
            <w:tcBorders>
              <w:top w:val="single" w:sz="4" w:space="0" w:color="auto"/>
              <w:left w:val="nil"/>
              <w:bottom w:val="single" w:sz="4" w:space="0" w:color="auto"/>
              <w:right w:val="single" w:sz="4" w:space="0" w:color="auto"/>
            </w:tcBorders>
            <w:shd w:val="clear" w:color="auto" w:fill="A6A6A6"/>
            <w:noWrap/>
            <w:vAlign w:val="bottom"/>
          </w:tcPr>
          <w:p w14:paraId="224C14DC"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C8F1CB" w14:textId="77777777" w:rsidR="00813412" w:rsidRPr="00185019" w:rsidRDefault="00813412" w:rsidP="0016598B">
            <w:pPr>
              <w:jc w:val="center"/>
              <w:rPr>
                <w:rFonts w:ascii="Arial" w:hAnsi="Arial" w:cs="Arial"/>
                <w:bCs/>
              </w:rPr>
            </w:pPr>
          </w:p>
        </w:tc>
        <w:tc>
          <w:tcPr>
            <w:tcW w:w="1433" w:type="dxa"/>
            <w:tcBorders>
              <w:top w:val="nil"/>
              <w:left w:val="single" w:sz="4" w:space="0" w:color="auto"/>
              <w:bottom w:val="nil"/>
              <w:right w:val="nil"/>
            </w:tcBorders>
            <w:shd w:val="clear" w:color="auto" w:fill="auto"/>
            <w:noWrap/>
            <w:vAlign w:val="bottom"/>
          </w:tcPr>
          <w:p w14:paraId="46F0E997" w14:textId="77777777" w:rsidR="00813412" w:rsidRPr="00185019" w:rsidRDefault="00813412" w:rsidP="0016598B">
            <w:pPr>
              <w:jc w:val="center"/>
              <w:rPr>
                <w:rFonts w:ascii="Arial" w:hAnsi="Arial" w:cs="Arial"/>
              </w:rPr>
            </w:pPr>
          </w:p>
        </w:tc>
        <w:tc>
          <w:tcPr>
            <w:tcW w:w="1434" w:type="dxa"/>
            <w:tcBorders>
              <w:top w:val="nil"/>
              <w:left w:val="nil"/>
              <w:bottom w:val="nil"/>
              <w:right w:val="single" w:sz="4" w:space="0" w:color="auto"/>
            </w:tcBorders>
            <w:shd w:val="clear" w:color="auto" w:fill="auto"/>
            <w:vAlign w:val="bottom"/>
          </w:tcPr>
          <w:p w14:paraId="233E0E77" w14:textId="77777777" w:rsidR="00813412" w:rsidRPr="00185019"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1EBD9F15" w14:textId="77777777" w:rsidR="00813412" w:rsidRPr="00185019" w:rsidRDefault="00813412" w:rsidP="0016598B">
            <w:pPr>
              <w:jc w:val="center"/>
              <w:rPr>
                <w:rFonts w:ascii="Arial" w:hAnsi="Arial" w:cs="Arial"/>
                <w:bCs/>
              </w:rPr>
            </w:pPr>
          </w:p>
        </w:tc>
      </w:tr>
      <w:tr w:rsidR="00813412" w:rsidRPr="00FC3309" w14:paraId="242D787B" w14:textId="77777777" w:rsidTr="0016598B">
        <w:trPr>
          <w:trHeight w:val="315"/>
        </w:trPr>
        <w:tc>
          <w:tcPr>
            <w:tcW w:w="5290" w:type="dxa"/>
            <w:tcBorders>
              <w:top w:val="nil"/>
              <w:left w:val="nil"/>
              <w:bottom w:val="nil"/>
            </w:tcBorders>
            <w:shd w:val="clear" w:color="auto" w:fill="auto"/>
            <w:noWrap/>
            <w:vAlign w:val="bottom"/>
          </w:tcPr>
          <w:p w14:paraId="104CDB72" w14:textId="77777777" w:rsidR="00813412" w:rsidRPr="00BB6F92" w:rsidRDefault="00813412" w:rsidP="0016598B">
            <w:pPr>
              <w:pStyle w:val="ListParagraph"/>
              <w:ind w:left="0"/>
              <w:rPr>
                <w:rFonts w:ascii="Arial" w:hAnsi="Arial" w:cs="Arial"/>
                <w:b/>
                <w:bCs/>
              </w:rPr>
            </w:pPr>
          </w:p>
        </w:tc>
        <w:tc>
          <w:tcPr>
            <w:tcW w:w="1433" w:type="dxa"/>
            <w:tcBorders>
              <w:top w:val="single" w:sz="4" w:space="0" w:color="auto"/>
              <w:bottom w:val="single" w:sz="4" w:space="0" w:color="auto"/>
            </w:tcBorders>
            <w:shd w:val="clear" w:color="auto" w:fill="auto"/>
            <w:noWrap/>
            <w:vAlign w:val="bottom"/>
          </w:tcPr>
          <w:p w14:paraId="6F8B4E4C"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4E47A80E" w14:textId="77777777" w:rsidR="00813412" w:rsidRPr="00185019"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2E06F109" w14:textId="77777777" w:rsidR="00813412" w:rsidRPr="00185019" w:rsidRDefault="00813412" w:rsidP="0016598B">
            <w:pPr>
              <w:jc w:val="center"/>
              <w:rPr>
                <w:rFonts w:ascii="Arial" w:hAnsi="Arial" w:cs="Arial"/>
              </w:rPr>
            </w:pPr>
          </w:p>
        </w:tc>
        <w:tc>
          <w:tcPr>
            <w:tcW w:w="1433" w:type="dxa"/>
            <w:tcBorders>
              <w:top w:val="nil"/>
              <w:left w:val="nil"/>
              <w:bottom w:val="single" w:sz="4" w:space="0" w:color="auto"/>
              <w:right w:val="nil"/>
            </w:tcBorders>
            <w:shd w:val="clear" w:color="auto" w:fill="auto"/>
            <w:noWrap/>
            <w:vAlign w:val="bottom"/>
          </w:tcPr>
          <w:p w14:paraId="5B59B8D7" w14:textId="77777777" w:rsidR="00813412" w:rsidRPr="00185019" w:rsidRDefault="00813412" w:rsidP="0016598B">
            <w:pPr>
              <w:jc w:val="center"/>
              <w:rPr>
                <w:rFonts w:ascii="Arial" w:hAnsi="Arial" w:cs="Arial"/>
              </w:rPr>
            </w:pPr>
          </w:p>
        </w:tc>
        <w:tc>
          <w:tcPr>
            <w:tcW w:w="1434" w:type="dxa"/>
            <w:tcBorders>
              <w:top w:val="nil"/>
              <w:left w:val="nil"/>
              <w:bottom w:val="single" w:sz="4" w:space="0" w:color="auto"/>
              <w:right w:val="nil"/>
            </w:tcBorders>
            <w:vAlign w:val="bottom"/>
          </w:tcPr>
          <w:p w14:paraId="1C14F064" w14:textId="77777777" w:rsidR="00813412" w:rsidRPr="00185019" w:rsidRDefault="00813412" w:rsidP="0016598B">
            <w:pPr>
              <w:jc w:val="center"/>
              <w:rPr>
                <w:rFonts w:ascii="Arial" w:hAnsi="Arial" w:cs="Arial"/>
              </w:rPr>
            </w:pPr>
          </w:p>
        </w:tc>
        <w:tc>
          <w:tcPr>
            <w:tcW w:w="1434" w:type="dxa"/>
            <w:tcBorders>
              <w:top w:val="single" w:sz="4" w:space="0" w:color="auto"/>
              <w:left w:val="nil"/>
              <w:bottom w:val="single" w:sz="4" w:space="0" w:color="auto"/>
              <w:right w:val="nil"/>
            </w:tcBorders>
            <w:vAlign w:val="bottom"/>
          </w:tcPr>
          <w:p w14:paraId="6A56EF76" w14:textId="77777777" w:rsidR="00813412" w:rsidRPr="00185019" w:rsidRDefault="00813412" w:rsidP="0016598B">
            <w:pPr>
              <w:jc w:val="center"/>
              <w:rPr>
                <w:rFonts w:ascii="Arial" w:hAnsi="Arial" w:cs="Arial"/>
              </w:rPr>
            </w:pPr>
          </w:p>
        </w:tc>
      </w:tr>
      <w:tr w:rsidR="00813412" w:rsidRPr="00FC3309" w14:paraId="14A3DE46" w14:textId="77777777" w:rsidTr="0016598B">
        <w:trPr>
          <w:trHeight w:val="315"/>
        </w:trPr>
        <w:tc>
          <w:tcPr>
            <w:tcW w:w="5290" w:type="dxa"/>
            <w:tcBorders>
              <w:top w:val="nil"/>
              <w:left w:val="nil"/>
              <w:bottom w:val="nil"/>
              <w:right w:val="nil"/>
            </w:tcBorders>
            <w:shd w:val="clear" w:color="auto" w:fill="auto"/>
            <w:noWrap/>
            <w:vAlign w:val="bottom"/>
          </w:tcPr>
          <w:p w14:paraId="7F73CEC3" w14:textId="77777777" w:rsidR="00813412" w:rsidRPr="00FC3309" w:rsidRDefault="00813412" w:rsidP="00844758">
            <w:pPr>
              <w:pStyle w:val="ListParagraph"/>
              <w:numPr>
                <w:ilvl w:val="0"/>
                <w:numId w:val="23"/>
              </w:numPr>
              <w:contextualSpacing w:val="0"/>
              <w:rPr>
                <w:rFonts w:ascii="Arial" w:hAnsi="Arial" w:cs="Arial"/>
                <w:b/>
                <w:bCs/>
              </w:rPr>
            </w:pPr>
            <w:r w:rsidRPr="00BB6F92">
              <w:rPr>
                <w:rFonts w:ascii="Arial" w:hAnsi="Arial" w:cs="Arial"/>
                <w:b/>
                <w:bCs/>
              </w:rPr>
              <w:t>Profit/(loss) after income tax attributable to shareholders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D00501"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5CBC12"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A7EE09" w14:textId="77777777" w:rsidR="00813412" w:rsidRPr="00185019"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638D88"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12399870" w14:textId="77777777" w:rsidR="00813412" w:rsidRPr="00185019"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4699C83E" w14:textId="77777777" w:rsidR="00813412" w:rsidRPr="00185019" w:rsidRDefault="00813412" w:rsidP="0016598B">
            <w:pPr>
              <w:jc w:val="center"/>
              <w:rPr>
                <w:rFonts w:ascii="Arial" w:hAnsi="Arial" w:cs="Arial"/>
                <w:bCs/>
              </w:rPr>
            </w:pPr>
          </w:p>
        </w:tc>
      </w:tr>
    </w:tbl>
    <w:p w14:paraId="6D92DE8C" w14:textId="77777777" w:rsidR="00813412" w:rsidRDefault="00813412" w:rsidP="00813412"/>
    <w:tbl>
      <w:tblPr>
        <w:tblW w:w="13892" w:type="dxa"/>
        <w:tblInd w:w="108" w:type="dxa"/>
        <w:tblLook w:val="04A0" w:firstRow="1" w:lastRow="0" w:firstColumn="1" w:lastColumn="0" w:noHBand="0" w:noVBand="1"/>
      </w:tblPr>
      <w:tblGrid>
        <w:gridCol w:w="13892"/>
      </w:tblGrid>
      <w:tr w:rsidR="00813412" w:rsidRPr="00FC3309" w14:paraId="15EEC1E1" w14:textId="77777777" w:rsidTr="0016598B">
        <w:trPr>
          <w:trHeight w:val="98"/>
        </w:trPr>
        <w:tc>
          <w:tcPr>
            <w:tcW w:w="13892" w:type="dxa"/>
          </w:tcPr>
          <w:p w14:paraId="367086C3" w14:textId="77777777" w:rsidR="00813412" w:rsidRPr="00C40769" w:rsidRDefault="00813412" w:rsidP="0016598B">
            <w:pPr>
              <w:pStyle w:val="ListParagraph"/>
              <w:ind w:left="0"/>
              <w:rPr>
                <w:rFonts w:ascii="Arial" w:hAnsi="Arial" w:cs="Arial"/>
                <w:b/>
                <w:bCs/>
                <w:sz w:val="24"/>
                <w:szCs w:val="24"/>
              </w:rPr>
            </w:pPr>
            <w:r w:rsidRPr="00C40769">
              <w:rPr>
                <w:rFonts w:ascii="Arial" w:hAnsi="Arial" w:cs="Arial"/>
                <w:b/>
                <w:bCs/>
                <w:sz w:val="24"/>
                <w:szCs w:val="24"/>
              </w:rPr>
              <w:t>Annual return reconciliations</w:t>
            </w:r>
          </w:p>
        </w:tc>
      </w:tr>
      <w:tr w:rsidR="00813412" w:rsidRPr="00FC3309" w14:paraId="5EC2E9BD" w14:textId="77777777" w:rsidTr="0016598B">
        <w:trPr>
          <w:trHeight w:val="98"/>
        </w:trPr>
        <w:tc>
          <w:tcPr>
            <w:tcW w:w="13892" w:type="dxa"/>
          </w:tcPr>
          <w:p w14:paraId="0390A2D1" w14:textId="77777777" w:rsidR="00813412" w:rsidRPr="00C40769" w:rsidRDefault="00813412" w:rsidP="0016598B">
            <w:pPr>
              <w:pStyle w:val="ListParagraph"/>
              <w:ind w:left="0"/>
              <w:rPr>
                <w:rFonts w:ascii="Arial" w:hAnsi="Arial" w:cs="Arial"/>
                <w:b/>
                <w:bCs/>
                <w:sz w:val="24"/>
                <w:szCs w:val="24"/>
              </w:rPr>
            </w:pPr>
            <w:r w:rsidRPr="00C40769">
              <w:rPr>
                <w:rFonts w:ascii="Arial" w:hAnsi="Arial" w:cs="Arial"/>
                <w:b/>
                <w:bCs/>
                <w:sz w:val="24"/>
                <w:szCs w:val="24"/>
              </w:rPr>
              <w:t>(Only complete for annual returns)</w:t>
            </w:r>
          </w:p>
        </w:tc>
      </w:tr>
    </w:tbl>
    <w:p w14:paraId="768DF23D" w14:textId="77777777" w:rsidR="00813412" w:rsidRDefault="00813412" w:rsidP="00813412"/>
    <w:tbl>
      <w:tblPr>
        <w:tblW w:w="13892" w:type="dxa"/>
        <w:tblInd w:w="108" w:type="dxa"/>
        <w:tblLayout w:type="fixed"/>
        <w:tblLook w:val="04A0" w:firstRow="1" w:lastRow="0" w:firstColumn="1" w:lastColumn="0" w:noHBand="0" w:noVBand="1"/>
      </w:tblPr>
      <w:tblGrid>
        <w:gridCol w:w="5290"/>
        <w:gridCol w:w="1433"/>
        <w:gridCol w:w="1434"/>
        <w:gridCol w:w="1434"/>
        <w:gridCol w:w="1433"/>
        <w:gridCol w:w="1434"/>
        <w:gridCol w:w="1434"/>
      </w:tblGrid>
      <w:tr w:rsidR="00813412" w:rsidRPr="00FC3309" w14:paraId="0D288BE2" w14:textId="77777777" w:rsidTr="0016598B">
        <w:trPr>
          <w:trHeight w:val="315"/>
        </w:trPr>
        <w:tc>
          <w:tcPr>
            <w:tcW w:w="5290" w:type="dxa"/>
            <w:tcBorders>
              <w:top w:val="nil"/>
              <w:left w:val="nil"/>
              <w:bottom w:val="nil"/>
              <w:right w:val="nil"/>
            </w:tcBorders>
            <w:shd w:val="clear" w:color="auto" w:fill="auto"/>
            <w:noWrap/>
            <w:vAlign w:val="bottom"/>
          </w:tcPr>
          <w:p w14:paraId="3E9314A8" w14:textId="77777777" w:rsidR="00813412" w:rsidRPr="00FC3309" w:rsidRDefault="00813412" w:rsidP="00844758">
            <w:pPr>
              <w:pStyle w:val="ListParagraph"/>
              <w:numPr>
                <w:ilvl w:val="0"/>
                <w:numId w:val="23"/>
              </w:numPr>
              <w:contextualSpacing w:val="0"/>
              <w:rPr>
                <w:rFonts w:ascii="Arial" w:hAnsi="Arial" w:cs="Arial"/>
                <w:b/>
                <w:bCs/>
              </w:rPr>
            </w:pPr>
            <w:r w:rsidRPr="00CD09CA">
              <w:rPr>
                <w:rFonts w:ascii="Arial" w:hAnsi="Arial" w:cs="Arial"/>
                <w:b/>
                <w:bCs/>
              </w:rPr>
              <w:t>Reconciliation adjustments</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8C4CAC" w14:textId="77777777" w:rsidR="00813412" w:rsidRPr="00627471"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661B94" w14:textId="77777777" w:rsidR="00813412" w:rsidRPr="00627471"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3CE657" w14:textId="77777777" w:rsidR="00813412" w:rsidRPr="00627471"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D6ED2" w14:textId="77777777" w:rsidR="00813412" w:rsidRPr="00627471"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7271589C" w14:textId="77777777" w:rsidR="00813412" w:rsidRPr="00627471"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01614F36" w14:textId="77777777" w:rsidR="00813412" w:rsidRPr="00627471" w:rsidRDefault="00813412" w:rsidP="0016598B">
            <w:pPr>
              <w:jc w:val="center"/>
              <w:rPr>
                <w:rFonts w:ascii="Arial" w:hAnsi="Arial" w:cs="Arial"/>
                <w:bCs/>
              </w:rPr>
            </w:pPr>
          </w:p>
        </w:tc>
      </w:tr>
      <w:tr w:rsidR="00813412" w:rsidRPr="00FC3309" w14:paraId="1127D57C" w14:textId="77777777" w:rsidTr="0016598B">
        <w:trPr>
          <w:trHeight w:val="315"/>
        </w:trPr>
        <w:tc>
          <w:tcPr>
            <w:tcW w:w="5290" w:type="dxa"/>
            <w:tcBorders>
              <w:top w:val="nil"/>
              <w:left w:val="nil"/>
              <w:bottom w:val="nil"/>
            </w:tcBorders>
            <w:shd w:val="clear" w:color="auto" w:fill="auto"/>
            <w:noWrap/>
            <w:vAlign w:val="bottom"/>
          </w:tcPr>
          <w:p w14:paraId="678B1898" w14:textId="77777777" w:rsidR="00813412" w:rsidRPr="00CD09CA" w:rsidRDefault="00813412" w:rsidP="0016598B">
            <w:pPr>
              <w:pStyle w:val="ListParagraph"/>
              <w:ind w:left="0"/>
              <w:rPr>
                <w:rFonts w:ascii="Arial" w:hAnsi="Arial" w:cs="Arial"/>
                <w:b/>
                <w:bCs/>
              </w:rPr>
            </w:pPr>
          </w:p>
        </w:tc>
        <w:tc>
          <w:tcPr>
            <w:tcW w:w="1433" w:type="dxa"/>
            <w:tcBorders>
              <w:top w:val="single" w:sz="4" w:space="0" w:color="auto"/>
              <w:bottom w:val="single" w:sz="4" w:space="0" w:color="auto"/>
            </w:tcBorders>
            <w:shd w:val="clear" w:color="auto" w:fill="auto"/>
            <w:noWrap/>
            <w:vAlign w:val="bottom"/>
          </w:tcPr>
          <w:p w14:paraId="5E3B6D19" w14:textId="77777777" w:rsidR="00813412" w:rsidRPr="00627471"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28D55391" w14:textId="77777777" w:rsidR="00813412" w:rsidRPr="00627471" w:rsidRDefault="00813412" w:rsidP="0016598B">
            <w:pPr>
              <w:jc w:val="center"/>
              <w:rPr>
                <w:rFonts w:ascii="Arial" w:hAnsi="Arial" w:cs="Arial"/>
              </w:rPr>
            </w:pPr>
          </w:p>
        </w:tc>
        <w:tc>
          <w:tcPr>
            <w:tcW w:w="1434" w:type="dxa"/>
            <w:tcBorders>
              <w:top w:val="single" w:sz="4" w:space="0" w:color="auto"/>
              <w:bottom w:val="single" w:sz="4" w:space="0" w:color="auto"/>
            </w:tcBorders>
            <w:shd w:val="clear" w:color="auto" w:fill="auto"/>
            <w:noWrap/>
            <w:vAlign w:val="bottom"/>
          </w:tcPr>
          <w:p w14:paraId="1AF3A257" w14:textId="77777777" w:rsidR="00813412" w:rsidRPr="00627471" w:rsidRDefault="00813412" w:rsidP="0016598B">
            <w:pPr>
              <w:jc w:val="center"/>
              <w:rPr>
                <w:rFonts w:ascii="Arial" w:hAnsi="Arial" w:cs="Arial"/>
              </w:rPr>
            </w:pPr>
          </w:p>
        </w:tc>
        <w:tc>
          <w:tcPr>
            <w:tcW w:w="1433" w:type="dxa"/>
            <w:tcBorders>
              <w:top w:val="single" w:sz="4" w:space="0" w:color="auto"/>
              <w:bottom w:val="single" w:sz="4" w:space="0" w:color="auto"/>
            </w:tcBorders>
            <w:shd w:val="clear" w:color="auto" w:fill="auto"/>
            <w:noWrap/>
            <w:vAlign w:val="bottom"/>
          </w:tcPr>
          <w:p w14:paraId="0FA7B415" w14:textId="77777777" w:rsidR="00813412" w:rsidRPr="00627471" w:rsidRDefault="00813412" w:rsidP="0016598B">
            <w:pPr>
              <w:jc w:val="center"/>
              <w:rPr>
                <w:rFonts w:ascii="Arial" w:hAnsi="Arial" w:cs="Arial"/>
              </w:rPr>
            </w:pPr>
          </w:p>
        </w:tc>
        <w:tc>
          <w:tcPr>
            <w:tcW w:w="1434" w:type="dxa"/>
            <w:tcBorders>
              <w:top w:val="single" w:sz="4" w:space="0" w:color="auto"/>
              <w:bottom w:val="single" w:sz="4" w:space="0" w:color="auto"/>
            </w:tcBorders>
            <w:vAlign w:val="bottom"/>
          </w:tcPr>
          <w:p w14:paraId="2FB44041" w14:textId="77777777" w:rsidR="00813412" w:rsidRPr="00627471" w:rsidRDefault="00813412" w:rsidP="0016598B">
            <w:pPr>
              <w:jc w:val="center"/>
              <w:rPr>
                <w:rFonts w:ascii="Arial" w:hAnsi="Arial" w:cs="Arial"/>
              </w:rPr>
            </w:pPr>
          </w:p>
        </w:tc>
        <w:tc>
          <w:tcPr>
            <w:tcW w:w="1434" w:type="dxa"/>
            <w:tcBorders>
              <w:top w:val="single" w:sz="4" w:space="0" w:color="auto"/>
              <w:bottom w:val="single" w:sz="4" w:space="0" w:color="auto"/>
              <w:right w:val="nil"/>
            </w:tcBorders>
            <w:vAlign w:val="bottom"/>
          </w:tcPr>
          <w:p w14:paraId="3111C10D" w14:textId="77777777" w:rsidR="00813412" w:rsidRPr="00627471" w:rsidRDefault="00813412" w:rsidP="0016598B">
            <w:pPr>
              <w:jc w:val="center"/>
              <w:rPr>
                <w:rFonts w:ascii="Arial" w:hAnsi="Arial" w:cs="Arial"/>
              </w:rPr>
            </w:pPr>
          </w:p>
        </w:tc>
      </w:tr>
      <w:tr w:rsidR="00813412" w:rsidRPr="00FC3309" w14:paraId="0705962C" w14:textId="77777777" w:rsidTr="0016598B">
        <w:trPr>
          <w:trHeight w:val="315"/>
        </w:trPr>
        <w:tc>
          <w:tcPr>
            <w:tcW w:w="5290" w:type="dxa"/>
            <w:tcBorders>
              <w:top w:val="nil"/>
              <w:left w:val="nil"/>
              <w:bottom w:val="nil"/>
              <w:right w:val="nil"/>
            </w:tcBorders>
            <w:shd w:val="clear" w:color="auto" w:fill="auto"/>
            <w:noWrap/>
            <w:vAlign w:val="bottom"/>
          </w:tcPr>
          <w:p w14:paraId="4035ADA5" w14:textId="77777777" w:rsidR="00813412" w:rsidRPr="00FC3309" w:rsidRDefault="00813412" w:rsidP="00844758">
            <w:pPr>
              <w:pStyle w:val="ListParagraph"/>
              <w:numPr>
                <w:ilvl w:val="0"/>
                <w:numId w:val="23"/>
              </w:numPr>
              <w:contextualSpacing w:val="0"/>
              <w:rPr>
                <w:rFonts w:ascii="Arial" w:hAnsi="Arial" w:cs="Arial"/>
                <w:b/>
                <w:bCs/>
              </w:rPr>
            </w:pPr>
            <w:r w:rsidRPr="00CD09CA">
              <w:rPr>
                <w:rFonts w:ascii="Arial" w:hAnsi="Arial" w:cs="Arial"/>
                <w:b/>
                <w:bCs/>
              </w:rPr>
              <w:t xml:space="preserve">Operating profit/(loss) after tax, per general purpose accounts - </w:t>
            </w:r>
            <w:r>
              <w:rPr>
                <w:rFonts w:ascii="Arial" w:hAnsi="Arial" w:cs="Arial"/>
                <w:b/>
                <w:bCs/>
              </w:rPr>
              <w:t>profit &amp; loss account</w:t>
            </w:r>
          </w:p>
        </w:tc>
        <w:tc>
          <w:tcPr>
            <w:tcW w:w="143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53643D" w14:textId="77777777" w:rsidR="00813412" w:rsidRPr="00627471"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395513" w14:textId="77777777" w:rsidR="00813412" w:rsidRPr="00627471" w:rsidRDefault="00813412" w:rsidP="0016598B">
            <w:pPr>
              <w:jc w:val="center"/>
              <w:rPr>
                <w:rFonts w:ascii="Arial" w:hAnsi="Arial" w:cs="Arial"/>
                <w:bCs/>
              </w:rPr>
            </w:pPr>
          </w:p>
        </w:tc>
        <w:tc>
          <w:tcPr>
            <w:tcW w:w="143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81765F" w14:textId="77777777" w:rsidR="00813412" w:rsidRPr="00627471" w:rsidRDefault="00813412" w:rsidP="0016598B">
            <w:pPr>
              <w:jc w:val="center"/>
              <w:rPr>
                <w:rFonts w:ascii="Arial" w:hAnsi="Arial" w:cs="Arial"/>
                <w:bCs/>
              </w:rPr>
            </w:pP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6E465" w14:textId="77777777" w:rsidR="00813412" w:rsidRPr="00627471"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vAlign w:val="bottom"/>
          </w:tcPr>
          <w:p w14:paraId="0494ADEB" w14:textId="77777777" w:rsidR="00813412" w:rsidRPr="00627471" w:rsidRDefault="00813412" w:rsidP="0016598B">
            <w:pPr>
              <w:jc w:val="center"/>
              <w:rPr>
                <w:rFonts w:ascii="Arial" w:hAnsi="Arial" w:cs="Arial"/>
              </w:rPr>
            </w:pPr>
          </w:p>
        </w:tc>
        <w:tc>
          <w:tcPr>
            <w:tcW w:w="1434" w:type="dxa"/>
            <w:tcBorders>
              <w:top w:val="single" w:sz="4" w:space="0" w:color="auto"/>
              <w:left w:val="single" w:sz="4" w:space="0" w:color="auto"/>
              <w:bottom w:val="single" w:sz="4" w:space="0" w:color="auto"/>
              <w:right w:val="single" w:sz="4" w:space="0" w:color="auto"/>
            </w:tcBorders>
            <w:shd w:val="clear" w:color="auto" w:fill="A6A6A6"/>
            <w:vAlign w:val="bottom"/>
          </w:tcPr>
          <w:p w14:paraId="56E0BED3" w14:textId="77777777" w:rsidR="00813412" w:rsidRPr="00627471" w:rsidRDefault="00813412" w:rsidP="0016598B">
            <w:pPr>
              <w:jc w:val="center"/>
              <w:rPr>
                <w:rFonts w:ascii="Arial" w:hAnsi="Arial" w:cs="Arial"/>
                <w:bCs/>
              </w:rPr>
            </w:pPr>
          </w:p>
        </w:tc>
      </w:tr>
    </w:tbl>
    <w:p w14:paraId="34D76763" w14:textId="4EE3A61A" w:rsidR="00E54887" w:rsidRPr="002A4120" w:rsidRDefault="00E54887" w:rsidP="00E54887">
      <w:pPr>
        <w:keepNext/>
        <w:spacing w:before="120" w:after="240"/>
        <w:jc w:val="both"/>
        <w:sectPr w:rsidR="00E54887" w:rsidRPr="002A4120" w:rsidSect="00844758">
          <w:footerReference w:type="default" r:id="rId20"/>
          <w:pgSz w:w="16838" w:h="11906" w:orient="landscape"/>
          <w:pgMar w:top="1440" w:right="1440" w:bottom="1440" w:left="1440" w:header="708" w:footer="708" w:gutter="0"/>
          <w:pgNumType w:start="1"/>
          <w:cols w:space="708"/>
          <w:docGrid w:linePitch="360"/>
        </w:sectPr>
      </w:pPr>
    </w:p>
    <w:p w14:paraId="46A606B9" w14:textId="77777777" w:rsidR="00E54887" w:rsidRPr="002A4120" w:rsidRDefault="00E54887" w:rsidP="00E54887">
      <w:pPr>
        <w:spacing w:before="120" w:after="240"/>
        <w:jc w:val="center"/>
      </w:pPr>
      <w:r w:rsidRPr="002A4120">
        <w:rPr>
          <w:rFonts w:ascii="Arial" w:hAnsi="Arial" w:cs="Arial"/>
          <w:b/>
          <w:bCs/>
          <w:sz w:val="32"/>
          <w:szCs w:val="32"/>
        </w:rPr>
        <w:lastRenderedPageBreak/>
        <w:t xml:space="preserve">LRF_310_1 and LRF_310_2 Income Statement </w:t>
      </w:r>
    </w:p>
    <w:p w14:paraId="6A5CD2CD" w14:textId="77777777" w:rsidR="00E54887" w:rsidRPr="002A4120" w:rsidRDefault="00E54887" w:rsidP="003168CB">
      <w:pPr>
        <w:keepNext/>
        <w:spacing w:after="240"/>
        <w:jc w:val="both"/>
        <w:rPr>
          <w:rFonts w:ascii="Arial" w:hAnsi="Arial" w:cs="Arial"/>
          <w:b/>
          <w:sz w:val="32"/>
          <w:szCs w:val="32"/>
        </w:rPr>
      </w:pPr>
      <w:r w:rsidRPr="002A4120">
        <w:t>These instructions must be read in conjunction with the general instruction guide.</w:t>
      </w:r>
    </w:p>
    <w:p w14:paraId="060FFC63" w14:textId="77777777" w:rsidR="00E54887" w:rsidRPr="002A4120" w:rsidRDefault="00E54887" w:rsidP="003168CB">
      <w:pPr>
        <w:keepNext/>
        <w:spacing w:after="240"/>
        <w:jc w:val="both"/>
        <w:rPr>
          <w:rFonts w:ascii="Arial" w:hAnsi="Arial" w:cs="Arial"/>
          <w:b/>
          <w:sz w:val="32"/>
          <w:szCs w:val="32"/>
        </w:rPr>
      </w:pPr>
      <w:r w:rsidRPr="002A4120">
        <w:rPr>
          <w:rFonts w:ascii="Arial" w:hAnsi="Arial" w:cs="Arial"/>
          <w:b/>
          <w:sz w:val="32"/>
          <w:szCs w:val="32"/>
        </w:rPr>
        <w:t>Explanatory notes</w:t>
      </w:r>
    </w:p>
    <w:p w14:paraId="2E520362" w14:textId="77777777" w:rsidR="00E54887" w:rsidRPr="002A4120" w:rsidRDefault="00E54887" w:rsidP="003168CB">
      <w:pPr>
        <w:keepNext/>
        <w:spacing w:after="240"/>
        <w:jc w:val="both"/>
        <w:rPr>
          <w:rFonts w:ascii="Arial" w:hAnsi="Arial" w:cs="Arial"/>
          <w:b/>
        </w:rPr>
      </w:pPr>
      <w:r w:rsidRPr="002A4120">
        <w:rPr>
          <w:rFonts w:ascii="Arial" w:hAnsi="Arial" w:cs="Arial"/>
          <w:b/>
        </w:rPr>
        <w:t>Application of reporting items</w:t>
      </w:r>
    </w:p>
    <w:p w14:paraId="1B58A0E5" w14:textId="77777777" w:rsidR="00E54887" w:rsidRPr="002A4120" w:rsidRDefault="00E54887" w:rsidP="003168CB">
      <w:pPr>
        <w:spacing w:after="240"/>
        <w:jc w:val="both"/>
      </w:pPr>
      <w:r w:rsidRPr="002A4120">
        <w:t>While these instructions apply to all life companies, including friendly societies, not all items may be applicable to both. Some items may not be applicable to friendly societies while others may not be applicable to life insurers.</w:t>
      </w:r>
    </w:p>
    <w:p w14:paraId="32211FF3" w14:textId="77777777" w:rsidR="00E54887" w:rsidRPr="002A4120" w:rsidRDefault="00E54887" w:rsidP="003168CB">
      <w:pPr>
        <w:keepNext/>
        <w:spacing w:after="240"/>
        <w:jc w:val="both"/>
        <w:rPr>
          <w:rFonts w:ascii="Arial" w:hAnsi="Arial" w:cs="Arial"/>
          <w:b/>
        </w:rPr>
      </w:pPr>
      <w:r w:rsidRPr="002A4120">
        <w:rPr>
          <w:rFonts w:ascii="Arial" w:hAnsi="Arial" w:cs="Arial"/>
          <w:b/>
        </w:rPr>
        <w:t>Classes of business</w:t>
      </w:r>
    </w:p>
    <w:p w14:paraId="3BD36DF1" w14:textId="77777777" w:rsidR="00E54887" w:rsidRPr="002A4120" w:rsidRDefault="00E54887" w:rsidP="003168CB">
      <w:pPr>
        <w:spacing w:after="240"/>
        <w:jc w:val="both"/>
      </w:pPr>
      <w:r w:rsidRPr="002A4120">
        <w:t>This form is to be completed in respect of each class of business. This includes:</w:t>
      </w:r>
    </w:p>
    <w:p w14:paraId="392D8706" w14:textId="77777777" w:rsidR="00E54887" w:rsidRPr="002A4120" w:rsidRDefault="00E54887" w:rsidP="003168CB">
      <w:pPr>
        <w:pStyle w:val="ListParagraph"/>
        <w:numPr>
          <w:ilvl w:val="0"/>
          <w:numId w:val="7"/>
        </w:numPr>
        <w:tabs>
          <w:tab w:val="left" w:pos="426"/>
        </w:tabs>
        <w:spacing w:after="240"/>
        <w:contextualSpacing w:val="0"/>
        <w:jc w:val="both"/>
        <w:rPr>
          <w:sz w:val="24"/>
          <w:szCs w:val="24"/>
        </w:rPr>
      </w:pPr>
      <w:r w:rsidRPr="002A4120">
        <w:rPr>
          <w:sz w:val="24"/>
          <w:szCs w:val="24"/>
        </w:rPr>
        <w:t>Australian business;</w:t>
      </w:r>
    </w:p>
    <w:p w14:paraId="22A1CE2B" w14:textId="77777777" w:rsidR="00E54887" w:rsidRPr="002A4120" w:rsidRDefault="00E54887" w:rsidP="003168CB">
      <w:pPr>
        <w:pStyle w:val="ListParagraph"/>
        <w:numPr>
          <w:ilvl w:val="0"/>
          <w:numId w:val="7"/>
        </w:numPr>
        <w:tabs>
          <w:tab w:val="left" w:pos="426"/>
        </w:tabs>
        <w:spacing w:after="240"/>
        <w:contextualSpacing w:val="0"/>
        <w:jc w:val="both"/>
        <w:rPr>
          <w:sz w:val="24"/>
          <w:szCs w:val="24"/>
        </w:rPr>
      </w:pPr>
      <w:r w:rsidRPr="002A4120">
        <w:rPr>
          <w:sz w:val="24"/>
          <w:szCs w:val="24"/>
        </w:rPr>
        <w:t>Overseas business; and</w:t>
      </w:r>
    </w:p>
    <w:p w14:paraId="346F0B0F" w14:textId="77777777" w:rsidR="00E54887" w:rsidRPr="002A4120" w:rsidRDefault="00E54887" w:rsidP="003168CB">
      <w:pPr>
        <w:pStyle w:val="ListParagraph"/>
        <w:numPr>
          <w:ilvl w:val="0"/>
          <w:numId w:val="7"/>
        </w:numPr>
        <w:tabs>
          <w:tab w:val="left" w:pos="426"/>
        </w:tabs>
        <w:spacing w:after="240"/>
        <w:contextualSpacing w:val="0"/>
        <w:jc w:val="both"/>
        <w:rPr>
          <w:sz w:val="24"/>
          <w:szCs w:val="24"/>
        </w:rPr>
      </w:pPr>
      <w:r w:rsidRPr="002A4120">
        <w:rPr>
          <w:sz w:val="24"/>
          <w:szCs w:val="24"/>
        </w:rPr>
        <w:t>Total business.</w:t>
      </w:r>
    </w:p>
    <w:p w14:paraId="23080436" w14:textId="77777777" w:rsidR="00E54887" w:rsidRPr="002A4120" w:rsidRDefault="00E54887" w:rsidP="003168CB">
      <w:pPr>
        <w:spacing w:after="240"/>
        <w:jc w:val="both"/>
        <w:rPr>
          <w:rFonts w:ascii="Arial" w:hAnsi="Arial" w:cs="Arial"/>
          <w:b/>
        </w:rPr>
      </w:pPr>
      <w:r w:rsidRPr="002A4120">
        <w:t xml:space="preserve">This refers to the territory where the life insurance business is carried on, as defined in the </w:t>
      </w:r>
      <w:r w:rsidRPr="002A4120">
        <w:rPr>
          <w:i/>
        </w:rPr>
        <w:t>Life Insurance Act 1995</w:t>
      </w:r>
      <w:r w:rsidRPr="002A4120">
        <w:t xml:space="preserve"> (the Act). All “Total business” values are derived items.</w:t>
      </w:r>
    </w:p>
    <w:p w14:paraId="05964338" w14:textId="77777777" w:rsidR="00E54887" w:rsidRPr="002A4120" w:rsidRDefault="00E54887" w:rsidP="003168CB">
      <w:pPr>
        <w:keepNext/>
        <w:spacing w:after="240"/>
        <w:jc w:val="both"/>
        <w:rPr>
          <w:rFonts w:ascii="Arial" w:hAnsi="Arial" w:cs="Arial"/>
          <w:b/>
          <w:sz w:val="32"/>
          <w:szCs w:val="32"/>
        </w:rPr>
      </w:pPr>
      <w:r w:rsidRPr="002A4120">
        <w:rPr>
          <w:rFonts w:ascii="Arial" w:hAnsi="Arial" w:cs="Arial"/>
          <w:b/>
          <w:sz w:val="32"/>
          <w:szCs w:val="32"/>
        </w:rPr>
        <w:t>Instructions for specific items</w:t>
      </w:r>
    </w:p>
    <w:p w14:paraId="709D6646" w14:textId="77777777" w:rsidR="00E54887" w:rsidRPr="002A4120" w:rsidRDefault="00E54887" w:rsidP="003168CB">
      <w:pPr>
        <w:keepNext/>
        <w:spacing w:after="240"/>
        <w:jc w:val="both"/>
        <w:rPr>
          <w:rFonts w:ascii="Arial" w:hAnsi="Arial" w:cs="Arial"/>
          <w:b/>
        </w:rPr>
      </w:pPr>
      <w:r w:rsidRPr="002A4120">
        <w:rPr>
          <w:rFonts w:ascii="Arial" w:hAnsi="Arial" w:cs="Arial"/>
          <w:b/>
        </w:rPr>
        <w:t>Revenue</w:t>
      </w:r>
    </w:p>
    <w:p w14:paraId="61698EB4" w14:textId="77777777" w:rsidR="00E54887" w:rsidRPr="002A4120" w:rsidRDefault="00E54887" w:rsidP="003168CB">
      <w:pPr>
        <w:pStyle w:val="ListParagraph"/>
        <w:keepNext/>
        <w:numPr>
          <w:ilvl w:val="0"/>
          <w:numId w:val="8"/>
        </w:numPr>
        <w:spacing w:after="240"/>
        <w:ind w:left="567" w:hanging="567"/>
        <w:contextualSpacing w:val="0"/>
        <w:rPr>
          <w:rFonts w:ascii="Arial" w:hAnsi="Arial" w:cs="Arial"/>
          <w:b/>
          <w:sz w:val="24"/>
          <w:szCs w:val="24"/>
        </w:rPr>
      </w:pPr>
      <w:r w:rsidRPr="002A4120">
        <w:rPr>
          <w:rFonts w:ascii="Arial" w:hAnsi="Arial" w:cs="Arial"/>
          <w:b/>
          <w:sz w:val="24"/>
          <w:szCs w:val="24"/>
        </w:rPr>
        <w:t>Insurance policy revenue</w:t>
      </w:r>
    </w:p>
    <w:p w14:paraId="29947239" w14:textId="77777777" w:rsidR="00E54887" w:rsidRPr="002A4120" w:rsidRDefault="00E54887" w:rsidP="003168CB">
      <w:pPr>
        <w:spacing w:after="240"/>
        <w:jc w:val="both"/>
      </w:pPr>
      <w:r w:rsidRPr="002A4120">
        <w:t>With the exception of item 1.4, only premiums received from life insurance policies are accounted for as insurance policy revenue. Premiums for life investment business are recognised as deposits, and adjusted for as changes in policy liabilities.</w:t>
      </w:r>
    </w:p>
    <w:p w14:paraId="3EEEBE96" w14:textId="77777777" w:rsidR="00E54887" w:rsidRPr="002A4120" w:rsidRDefault="00E54887" w:rsidP="003168CB">
      <w:pPr>
        <w:spacing w:after="240"/>
        <w:jc w:val="both"/>
      </w:pPr>
      <w:r w:rsidRPr="002A4120">
        <w:t>The revenue components of amounts contractually received or receivable for insurance policies should be shown gross of reinsurance, with outwards reinsurance components to be shown separately.</w:t>
      </w:r>
    </w:p>
    <w:p w14:paraId="68125E13" w14:textId="77777777" w:rsidR="00E54887" w:rsidRPr="002A4120" w:rsidRDefault="00E54887" w:rsidP="003168CB">
      <w:pPr>
        <w:spacing w:after="240"/>
        <w:jc w:val="both"/>
      </w:pPr>
      <w:r w:rsidRPr="002A4120">
        <w:t>Direct insurance premiums, policy conversions (inwards) and inwards life reinsurance premiums should be shown separately.</w:t>
      </w:r>
    </w:p>
    <w:p w14:paraId="23AFFA16" w14:textId="77777777" w:rsidR="00E54887" w:rsidRPr="002A4120" w:rsidRDefault="00E54887" w:rsidP="003168CB">
      <w:pPr>
        <w:pStyle w:val="ListParagraph"/>
        <w:keepNext/>
        <w:numPr>
          <w:ilvl w:val="1"/>
          <w:numId w:val="10"/>
        </w:numPr>
        <w:spacing w:after="240"/>
        <w:ind w:left="567" w:hanging="567"/>
        <w:contextualSpacing w:val="0"/>
        <w:rPr>
          <w:rFonts w:ascii="Arial" w:hAnsi="Arial" w:cs="Arial"/>
          <w:b/>
          <w:sz w:val="24"/>
          <w:szCs w:val="24"/>
        </w:rPr>
      </w:pPr>
      <w:r w:rsidRPr="002A4120">
        <w:rPr>
          <w:rFonts w:ascii="Arial" w:hAnsi="Arial" w:cs="Arial"/>
          <w:b/>
          <w:sz w:val="24"/>
          <w:szCs w:val="24"/>
        </w:rPr>
        <w:t>Life insurance direct premiums</w:t>
      </w:r>
    </w:p>
    <w:p w14:paraId="3119E926" w14:textId="77777777" w:rsidR="00E54887" w:rsidRPr="002A4120" w:rsidRDefault="00E54887" w:rsidP="003168CB">
      <w:pPr>
        <w:spacing w:after="240"/>
        <w:jc w:val="both"/>
      </w:pPr>
      <w:r w:rsidRPr="002A4120">
        <w:t>Report regular and single premiums received or receivable for life insurance business written directly. Show amounts gross of outwards reinsurance, but exclude amounts for inwards reinsurance (see item 1.3 below).</w:t>
      </w:r>
    </w:p>
    <w:p w14:paraId="4A121166" w14:textId="77777777" w:rsidR="00E54887" w:rsidRPr="002A4120" w:rsidRDefault="00E54887" w:rsidP="003168CB">
      <w:pPr>
        <w:spacing w:after="240"/>
        <w:jc w:val="both"/>
      </w:pPr>
      <w:r w:rsidRPr="002A4120">
        <w:t>Include only revenue components of life insurance contracts, and exclude any deposit components. Include premiums in respect of deferred and immediate annuities that are life insurance business.</w:t>
      </w:r>
    </w:p>
    <w:p w14:paraId="3232518B" w14:textId="77777777" w:rsidR="00E54887" w:rsidRPr="002A4120" w:rsidRDefault="00E54887" w:rsidP="003168CB">
      <w:pPr>
        <w:pStyle w:val="ListParagraph"/>
        <w:keepNext/>
        <w:numPr>
          <w:ilvl w:val="1"/>
          <w:numId w:val="10"/>
        </w:numPr>
        <w:spacing w:after="240"/>
        <w:ind w:left="567" w:hanging="567"/>
        <w:contextualSpacing w:val="0"/>
        <w:rPr>
          <w:rFonts w:ascii="Arial" w:hAnsi="Arial" w:cs="Arial"/>
          <w:b/>
          <w:sz w:val="24"/>
          <w:szCs w:val="24"/>
        </w:rPr>
      </w:pPr>
      <w:r w:rsidRPr="002A4120">
        <w:rPr>
          <w:rFonts w:ascii="Arial" w:hAnsi="Arial" w:cs="Arial"/>
          <w:b/>
          <w:sz w:val="24"/>
          <w:szCs w:val="24"/>
        </w:rPr>
        <w:lastRenderedPageBreak/>
        <w:t>Policy conversions – inwards</w:t>
      </w:r>
    </w:p>
    <w:p w14:paraId="4F6F1304" w14:textId="77777777" w:rsidR="00E54887" w:rsidRPr="002A4120" w:rsidRDefault="00E54887" w:rsidP="003168CB">
      <w:pPr>
        <w:spacing w:after="240"/>
        <w:jc w:val="both"/>
      </w:pPr>
      <w:r w:rsidRPr="002A4120">
        <w:t>Report the premium elements of conversions between statutory funds. The inward (premium) side of the conversion is shown here, while the outward (claim) side is shown at item 6.5 (policy conversions – outwards); any deposit components are to be taken into account in items 9.2 and/or 10.5.</w:t>
      </w:r>
    </w:p>
    <w:p w14:paraId="73397244" w14:textId="77777777" w:rsidR="00E54887" w:rsidRPr="002A4120" w:rsidRDefault="00E54887" w:rsidP="003168CB">
      <w:pPr>
        <w:spacing w:after="240"/>
        <w:jc w:val="both"/>
      </w:pPr>
      <w:r w:rsidRPr="002A4120">
        <w:t xml:space="preserve">Premium and claim elements of policy conversions are not expected to apply for life investment contracts, due to section 5 of </w:t>
      </w:r>
      <w:r w:rsidRPr="002A4120">
        <w:rPr>
          <w:i/>
        </w:rPr>
        <w:t>Australian Accounting Standard AASB 1038 Life Insurance Contracts</w:t>
      </w:r>
      <w:r w:rsidRPr="002A4120">
        <w:t xml:space="preserve"> (AASB 1038). In those cases, only deposit components are expected to apply.</w:t>
      </w:r>
    </w:p>
    <w:p w14:paraId="7DE19788" w14:textId="77777777" w:rsidR="00E54887" w:rsidRPr="002A4120" w:rsidRDefault="00E54887" w:rsidP="003168CB">
      <w:pPr>
        <w:pStyle w:val="ListParagraph"/>
        <w:keepNext/>
        <w:numPr>
          <w:ilvl w:val="1"/>
          <w:numId w:val="10"/>
        </w:numPr>
        <w:spacing w:after="240"/>
        <w:ind w:left="567" w:hanging="567"/>
        <w:contextualSpacing w:val="0"/>
        <w:rPr>
          <w:rFonts w:ascii="Arial" w:hAnsi="Arial" w:cs="Arial"/>
          <w:b/>
          <w:sz w:val="24"/>
          <w:szCs w:val="24"/>
        </w:rPr>
      </w:pPr>
      <w:r w:rsidRPr="002A4120">
        <w:rPr>
          <w:rFonts w:ascii="Arial" w:hAnsi="Arial" w:cs="Arial"/>
          <w:b/>
          <w:sz w:val="24"/>
          <w:szCs w:val="24"/>
        </w:rPr>
        <w:t>Inwards life reinsurance premium revenue</w:t>
      </w:r>
    </w:p>
    <w:p w14:paraId="527F2DEC" w14:textId="77777777" w:rsidR="00E54887" w:rsidRPr="002A4120" w:rsidRDefault="00E54887" w:rsidP="003168CB">
      <w:pPr>
        <w:spacing w:after="240"/>
        <w:jc w:val="both"/>
      </w:pPr>
      <w:r w:rsidRPr="002A4120">
        <w:t>Report premiums for life insurance business written as inwards reinsurance. Show amounts gross of outwards (retrocession) reinsurance.</w:t>
      </w:r>
    </w:p>
    <w:p w14:paraId="741197C3" w14:textId="77777777" w:rsidR="00E54887" w:rsidRPr="002A4120" w:rsidRDefault="00E54887" w:rsidP="003168CB">
      <w:pPr>
        <w:spacing w:after="240"/>
        <w:jc w:val="both"/>
      </w:pPr>
      <w:r w:rsidRPr="002A4120">
        <w:t>Include only revenue components, and exclude any deposit components. Include premiums in respect of deferred and immediate annuities that are life insurance business written as inwards reinsurance.</w:t>
      </w:r>
    </w:p>
    <w:p w14:paraId="61F81CA8" w14:textId="77777777" w:rsidR="00E54887" w:rsidRPr="002A4120" w:rsidRDefault="00E54887" w:rsidP="003168CB">
      <w:pPr>
        <w:pStyle w:val="ListParagraph"/>
        <w:keepNext/>
        <w:numPr>
          <w:ilvl w:val="1"/>
          <w:numId w:val="10"/>
        </w:numPr>
        <w:spacing w:after="240"/>
        <w:ind w:left="567" w:hanging="567"/>
        <w:contextualSpacing w:val="0"/>
        <w:rPr>
          <w:rFonts w:ascii="Arial" w:hAnsi="Arial" w:cs="Arial"/>
          <w:b/>
          <w:sz w:val="24"/>
          <w:szCs w:val="24"/>
        </w:rPr>
      </w:pPr>
      <w:r w:rsidRPr="002A4120">
        <w:rPr>
          <w:rFonts w:ascii="Arial" w:hAnsi="Arial" w:cs="Arial"/>
          <w:b/>
          <w:sz w:val="24"/>
          <w:szCs w:val="24"/>
        </w:rPr>
        <w:t>Total premiums from non-life insurance business</w:t>
      </w:r>
    </w:p>
    <w:p w14:paraId="06704CF3" w14:textId="77777777" w:rsidR="00E54887" w:rsidRPr="002A4120" w:rsidRDefault="00E54887" w:rsidP="003168CB">
      <w:pPr>
        <w:spacing w:after="240"/>
        <w:jc w:val="both"/>
      </w:pPr>
      <w:r w:rsidRPr="002A4120">
        <w:t>This is generally only expected to apply if the life company is permitted to write general insurance business under section 234 of the Act.</w:t>
      </w:r>
    </w:p>
    <w:p w14:paraId="1D44B9AE" w14:textId="77777777" w:rsidR="00E54887" w:rsidRPr="002A4120" w:rsidRDefault="00E54887" w:rsidP="003168CB">
      <w:pPr>
        <w:pStyle w:val="ListParagraph"/>
        <w:keepNext/>
        <w:numPr>
          <w:ilvl w:val="1"/>
          <w:numId w:val="10"/>
        </w:numPr>
        <w:spacing w:after="240"/>
        <w:ind w:left="567" w:hanging="567"/>
        <w:contextualSpacing w:val="0"/>
        <w:rPr>
          <w:rFonts w:ascii="Arial" w:hAnsi="Arial" w:cs="Arial"/>
          <w:b/>
          <w:sz w:val="24"/>
          <w:szCs w:val="24"/>
        </w:rPr>
      </w:pPr>
      <w:r w:rsidRPr="002A4120">
        <w:rPr>
          <w:rFonts w:ascii="Arial" w:hAnsi="Arial" w:cs="Arial"/>
          <w:b/>
          <w:sz w:val="24"/>
          <w:szCs w:val="24"/>
        </w:rPr>
        <w:t>Outward reinsurance premiums expense</w:t>
      </w:r>
    </w:p>
    <w:p w14:paraId="709412E9" w14:textId="77777777" w:rsidR="00E54887" w:rsidRPr="002A4120" w:rsidRDefault="00E54887" w:rsidP="003168CB">
      <w:pPr>
        <w:spacing w:after="240"/>
        <w:jc w:val="both"/>
      </w:pPr>
      <w:r w:rsidRPr="002A4120">
        <w:t>Outwards reinsurance premiums expense is to be entered as expense amounts (i.e. as negative amounts).</w:t>
      </w:r>
    </w:p>
    <w:p w14:paraId="7BA67884" w14:textId="77777777" w:rsidR="00E54887" w:rsidRPr="002A4120" w:rsidRDefault="00E54887" w:rsidP="003168CB">
      <w:pPr>
        <w:spacing w:after="240"/>
        <w:jc w:val="both"/>
      </w:pPr>
      <w:r w:rsidRPr="002A4120">
        <w:t>Include only revenue components, and exclude any deposit components. Include premiums in respect of deferred and immediate annuities that are life insurance business.</w:t>
      </w:r>
    </w:p>
    <w:p w14:paraId="3C6A542B" w14:textId="77777777" w:rsidR="00E54887" w:rsidRPr="002A4120" w:rsidRDefault="00E54887" w:rsidP="003168CB">
      <w:pPr>
        <w:pStyle w:val="ListParagraph"/>
        <w:keepNext/>
        <w:numPr>
          <w:ilvl w:val="1"/>
          <w:numId w:val="10"/>
        </w:numPr>
        <w:spacing w:after="240"/>
        <w:ind w:left="567" w:hanging="567"/>
        <w:contextualSpacing w:val="0"/>
        <w:rPr>
          <w:rFonts w:ascii="Arial" w:hAnsi="Arial" w:cs="Arial"/>
          <w:b/>
          <w:sz w:val="24"/>
          <w:szCs w:val="24"/>
        </w:rPr>
      </w:pPr>
      <w:r w:rsidRPr="002A4120">
        <w:rPr>
          <w:rFonts w:ascii="Arial" w:hAnsi="Arial" w:cs="Arial"/>
          <w:b/>
          <w:sz w:val="24"/>
          <w:szCs w:val="24"/>
        </w:rPr>
        <w:t>Total insurance policy revenue, net of reinsurance</w:t>
      </w:r>
    </w:p>
    <w:p w14:paraId="562BC4F8" w14:textId="77777777" w:rsidR="00E54887" w:rsidRPr="002A4120" w:rsidRDefault="00E54887" w:rsidP="003168CB">
      <w:pPr>
        <w:spacing w:after="240"/>
        <w:jc w:val="both"/>
      </w:pPr>
      <w:r w:rsidRPr="002A4120">
        <w:t>This item represents total insurance premium revenue net of outwards reinsurance, and is the sum of the reporting items 1.1 to 1.5.</w:t>
      </w:r>
    </w:p>
    <w:p w14:paraId="683045A4" w14:textId="77777777" w:rsidR="00E54887" w:rsidRPr="002A4120" w:rsidRDefault="00E54887" w:rsidP="003168CB">
      <w:pPr>
        <w:pStyle w:val="ListParagraph"/>
        <w:keepNext/>
        <w:numPr>
          <w:ilvl w:val="0"/>
          <w:numId w:val="10"/>
        </w:numPr>
        <w:spacing w:after="240"/>
        <w:ind w:left="567" w:hanging="567"/>
        <w:contextualSpacing w:val="0"/>
        <w:rPr>
          <w:rFonts w:ascii="Arial" w:hAnsi="Arial" w:cs="Arial"/>
          <w:b/>
          <w:sz w:val="24"/>
          <w:szCs w:val="24"/>
        </w:rPr>
      </w:pPr>
      <w:r w:rsidRPr="002A4120">
        <w:rPr>
          <w:rFonts w:ascii="Arial" w:hAnsi="Arial" w:cs="Arial"/>
          <w:b/>
          <w:sz w:val="24"/>
          <w:szCs w:val="24"/>
        </w:rPr>
        <w:t>Fees for management services rendered</w:t>
      </w:r>
    </w:p>
    <w:p w14:paraId="1EECA5D5" w14:textId="77777777" w:rsidR="00E54887" w:rsidRPr="002A4120" w:rsidRDefault="00E54887" w:rsidP="003168CB">
      <w:pPr>
        <w:spacing w:after="240"/>
        <w:jc w:val="both"/>
      </w:pPr>
      <w:r w:rsidRPr="002A4120">
        <w:t>Fees for management services rendered include premium-related fees received for life investment contracts, non-premium related fees (e.g. those related to funds under management), and net movement in liability for deferred fee revenue.</w:t>
      </w:r>
    </w:p>
    <w:p w14:paraId="77A29C84" w14:textId="77777777" w:rsidR="00E54887" w:rsidRPr="002A4120" w:rsidRDefault="00E54887" w:rsidP="003168CB">
      <w:pPr>
        <w:spacing w:after="240"/>
        <w:jc w:val="both"/>
      </w:pPr>
      <w:r w:rsidRPr="002A4120">
        <w:t>It should be entered gross of any reinsurance.</w:t>
      </w:r>
    </w:p>
    <w:p w14:paraId="345B6060" w14:textId="77777777" w:rsidR="00E54887" w:rsidRPr="002A4120" w:rsidRDefault="00E54887" w:rsidP="003168CB">
      <w:pPr>
        <w:pStyle w:val="ListParagraph"/>
        <w:keepNext/>
        <w:numPr>
          <w:ilvl w:val="1"/>
          <w:numId w:val="9"/>
        </w:numPr>
        <w:spacing w:after="240"/>
        <w:ind w:left="567" w:hanging="567"/>
        <w:contextualSpacing w:val="0"/>
        <w:rPr>
          <w:rFonts w:ascii="Arial" w:hAnsi="Arial" w:cs="Arial"/>
          <w:b/>
          <w:sz w:val="24"/>
          <w:szCs w:val="24"/>
        </w:rPr>
      </w:pPr>
      <w:r w:rsidRPr="002A4120">
        <w:rPr>
          <w:rFonts w:ascii="Arial" w:hAnsi="Arial" w:cs="Arial"/>
          <w:b/>
          <w:sz w:val="24"/>
          <w:szCs w:val="24"/>
        </w:rPr>
        <w:t>Premium-related fees revenue</w:t>
      </w:r>
    </w:p>
    <w:p w14:paraId="308D166C" w14:textId="77777777" w:rsidR="00E54887" w:rsidRPr="002A4120" w:rsidRDefault="00E54887" w:rsidP="003168CB">
      <w:pPr>
        <w:spacing w:after="240"/>
        <w:jc w:val="both"/>
      </w:pPr>
      <w:r w:rsidRPr="002A4120">
        <w:t>This includes fees received or receivables that are directly related to premiums received or receivable.</w:t>
      </w:r>
    </w:p>
    <w:p w14:paraId="2FA1F504" w14:textId="77777777" w:rsidR="00E54887" w:rsidRPr="002A4120" w:rsidRDefault="00E54887" w:rsidP="003168CB">
      <w:pPr>
        <w:pStyle w:val="ListParagraph"/>
        <w:keepNext/>
        <w:numPr>
          <w:ilvl w:val="1"/>
          <w:numId w:val="9"/>
        </w:numPr>
        <w:spacing w:after="240"/>
        <w:ind w:left="567" w:hanging="567"/>
        <w:contextualSpacing w:val="0"/>
        <w:rPr>
          <w:rFonts w:ascii="Arial" w:hAnsi="Arial" w:cs="Arial"/>
          <w:b/>
          <w:sz w:val="24"/>
          <w:szCs w:val="24"/>
        </w:rPr>
      </w:pPr>
      <w:r w:rsidRPr="002A4120">
        <w:rPr>
          <w:rFonts w:ascii="Arial" w:hAnsi="Arial" w:cs="Arial"/>
          <w:b/>
          <w:sz w:val="24"/>
          <w:szCs w:val="24"/>
        </w:rPr>
        <w:lastRenderedPageBreak/>
        <w:t>Non-premium related fees</w:t>
      </w:r>
    </w:p>
    <w:p w14:paraId="734174BD" w14:textId="77777777" w:rsidR="00E54887" w:rsidRPr="002A4120" w:rsidRDefault="00E54887" w:rsidP="003168CB">
      <w:pPr>
        <w:spacing w:after="240"/>
        <w:jc w:val="both"/>
      </w:pPr>
      <w:r w:rsidRPr="002A4120">
        <w:t>This includes fees received or receivables that are unrelated to premiums received or receivable, such as policy fees and those related to funds under management.</w:t>
      </w:r>
    </w:p>
    <w:p w14:paraId="31287225" w14:textId="77777777" w:rsidR="00E54887" w:rsidRPr="002A4120" w:rsidRDefault="00E54887" w:rsidP="003168CB">
      <w:pPr>
        <w:pStyle w:val="ListParagraph"/>
        <w:keepNext/>
        <w:numPr>
          <w:ilvl w:val="1"/>
          <w:numId w:val="9"/>
        </w:numPr>
        <w:spacing w:after="240"/>
        <w:ind w:left="567" w:hanging="567"/>
        <w:contextualSpacing w:val="0"/>
        <w:jc w:val="both"/>
        <w:rPr>
          <w:rFonts w:ascii="Arial" w:hAnsi="Arial" w:cs="Arial"/>
          <w:b/>
          <w:sz w:val="24"/>
          <w:szCs w:val="24"/>
        </w:rPr>
      </w:pPr>
      <w:r w:rsidRPr="002A4120">
        <w:rPr>
          <w:rFonts w:ascii="Arial" w:hAnsi="Arial" w:cs="Arial"/>
          <w:b/>
          <w:sz w:val="24"/>
          <w:szCs w:val="24"/>
        </w:rPr>
        <w:t>Fees reported as movement in policy liability (Net movement in liability for deferred fee revenue)</w:t>
      </w:r>
    </w:p>
    <w:p w14:paraId="77AFB61A" w14:textId="77777777" w:rsidR="00E54887" w:rsidRPr="002A4120" w:rsidRDefault="00E54887" w:rsidP="003168CB">
      <w:pPr>
        <w:spacing w:after="240"/>
        <w:jc w:val="both"/>
      </w:pPr>
      <w:r w:rsidRPr="002A4120">
        <w:t>Include amortisation of liability for deferred fee revenue in respect of life investment contracts, less additional deferral of fees during the reporting period.</w:t>
      </w:r>
    </w:p>
    <w:p w14:paraId="2AE9FA49" w14:textId="77777777" w:rsidR="00E54887" w:rsidRPr="002A4120" w:rsidRDefault="00E54887" w:rsidP="003168CB">
      <w:pPr>
        <w:spacing w:after="240"/>
        <w:jc w:val="both"/>
      </w:pPr>
      <w:r w:rsidRPr="002A4120">
        <w:t>Adjustments for items 2.2 and 2.3 are automatically calculated by the form when determining Item 11 ‘Effective movement in net policy liabilities’.</w:t>
      </w:r>
    </w:p>
    <w:p w14:paraId="6D33794A" w14:textId="77777777" w:rsidR="00E54887" w:rsidRPr="002A4120" w:rsidRDefault="00E54887" w:rsidP="003168CB">
      <w:pPr>
        <w:pStyle w:val="ListParagraph"/>
        <w:keepNext/>
        <w:numPr>
          <w:ilvl w:val="1"/>
          <w:numId w:val="9"/>
        </w:numPr>
        <w:spacing w:after="240"/>
        <w:ind w:left="567" w:hanging="567"/>
        <w:contextualSpacing w:val="0"/>
        <w:rPr>
          <w:rFonts w:ascii="Arial" w:hAnsi="Arial" w:cs="Arial"/>
          <w:b/>
          <w:sz w:val="24"/>
          <w:szCs w:val="24"/>
        </w:rPr>
      </w:pPr>
      <w:r w:rsidRPr="002A4120">
        <w:rPr>
          <w:rFonts w:ascii="Arial" w:hAnsi="Arial" w:cs="Arial"/>
          <w:b/>
          <w:sz w:val="24"/>
          <w:szCs w:val="24"/>
        </w:rPr>
        <w:t>Total fees for management services rendered</w:t>
      </w:r>
    </w:p>
    <w:p w14:paraId="6AC1039E" w14:textId="77777777" w:rsidR="00E54887" w:rsidRPr="002A4120" w:rsidRDefault="00E54887" w:rsidP="003168CB">
      <w:pPr>
        <w:spacing w:after="240"/>
        <w:jc w:val="both"/>
      </w:pPr>
      <w:r w:rsidRPr="002A4120">
        <w:t>This item represents total fee revenue for life investment contracts, and is the sum of items 2.1 to 2.3.</w:t>
      </w:r>
    </w:p>
    <w:p w14:paraId="09B4A86E" w14:textId="77777777" w:rsidR="00E54887" w:rsidRPr="002A4120" w:rsidRDefault="00E54887" w:rsidP="003168CB">
      <w:pPr>
        <w:pStyle w:val="ListParagraph"/>
        <w:keepNext/>
        <w:numPr>
          <w:ilvl w:val="0"/>
          <w:numId w:val="10"/>
        </w:numPr>
        <w:spacing w:after="240"/>
        <w:ind w:left="567" w:hanging="567"/>
        <w:contextualSpacing w:val="0"/>
        <w:rPr>
          <w:rFonts w:ascii="Arial" w:hAnsi="Arial" w:cs="Arial"/>
          <w:b/>
          <w:sz w:val="24"/>
          <w:szCs w:val="24"/>
        </w:rPr>
      </w:pPr>
      <w:r w:rsidRPr="002A4120">
        <w:rPr>
          <w:rFonts w:ascii="Arial" w:hAnsi="Arial" w:cs="Arial"/>
          <w:b/>
          <w:sz w:val="24"/>
          <w:szCs w:val="24"/>
        </w:rPr>
        <w:t>Investment revenue</w:t>
      </w:r>
    </w:p>
    <w:p w14:paraId="458F5127" w14:textId="09B52CAF" w:rsidR="00EE0A41" w:rsidRPr="00EE0A41" w:rsidRDefault="00E54887" w:rsidP="003168CB">
      <w:pPr>
        <w:spacing w:after="240"/>
        <w:jc w:val="both"/>
      </w:pPr>
      <w:r w:rsidRPr="002A4120">
        <w:t>Include interest, dividends, net rents, net realised gains and net unrealised gains. Amounts should be gross of investment management expenses.</w:t>
      </w:r>
    </w:p>
    <w:p w14:paraId="0DDC3E93" w14:textId="2236C707" w:rsidR="00EE0A41" w:rsidRPr="00C239EC" w:rsidRDefault="00EE0A41" w:rsidP="003168CB">
      <w:pPr>
        <w:pStyle w:val="ListParagraph"/>
        <w:keepNext/>
        <w:numPr>
          <w:ilvl w:val="1"/>
          <w:numId w:val="10"/>
        </w:numPr>
        <w:spacing w:after="240"/>
        <w:ind w:left="567" w:hanging="567"/>
        <w:contextualSpacing w:val="0"/>
        <w:rPr>
          <w:rFonts w:ascii="Arial" w:hAnsi="Arial" w:cs="Arial"/>
          <w:b/>
          <w:sz w:val="24"/>
          <w:szCs w:val="24"/>
        </w:rPr>
      </w:pPr>
      <w:r w:rsidRPr="002A4120">
        <w:rPr>
          <w:rFonts w:ascii="Arial" w:hAnsi="Arial" w:cs="Arial"/>
          <w:b/>
          <w:sz w:val="24"/>
          <w:szCs w:val="24"/>
        </w:rPr>
        <w:t>Investment income (excluding capital gains or losses) from</w:t>
      </w:r>
    </w:p>
    <w:p w14:paraId="2B259672" w14:textId="77777777" w:rsidR="00E54887" w:rsidRPr="002A4120" w:rsidRDefault="00E54887" w:rsidP="003168CB">
      <w:pPr>
        <w:pStyle w:val="ListParagraph"/>
        <w:numPr>
          <w:ilvl w:val="2"/>
          <w:numId w:val="13"/>
        </w:numPr>
        <w:spacing w:after="240"/>
        <w:ind w:left="567" w:hanging="567"/>
        <w:contextualSpacing w:val="0"/>
        <w:rPr>
          <w:rFonts w:ascii="Arial" w:hAnsi="Arial" w:cs="Arial"/>
          <w:b/>
          <w:sz w:val="24"/>
          <w:szCs w:val="24"/>
        </w:rPr>
      </w:pPr>
      <w:r w:rsidRPr="002A4120">
        <w:rPr>
          <w:rFonts w:ascii="Arial" w:hAnsi="Arial" w:cs="Arial"/>
          <w:b/>
          <w:sz w:val="24"/>
          <w:szCs w:val="24"/>
        </w:rPr>
        <w:t>Cash holdings</w:t>
      </w:r>
    </w:p>
    <w:p w14:paraId="5C09538D" w14:textId="77777777" w:rsidR="00E54887" w:rsidRPr="002A4120" w:rsidRDefault="00E54887" w:rsidP="003168CB">
      <w:pPr>
        <w:spacing w:after="240"/>
      </w:pPr>
      <w:r w:rsidRPr="002A4120">
        <w:t>The amount of interest income derived from investment in cash and liquid assets recognised as income under the Australian Accounting Standards.</w:t>
      </w:r>
    </w:p>
    <w:p w14:paraId="6CD734A4" w14:textId="77777777" w:rsidR="00E54887" w:rsidRPr="002A4120" w:rsidRDefault="00E54887" w:rsidP="003168CB">
      <w:pPr>
        <w:pStyle w:val="ListParagraph"/>
        <w:keepNext/>
        <w:numPr>
          <w:ilvl w:val="2"/>
          <w:numId w:val="13"/>
        </w:numPr>
        <w:spacing w:after="240"/>
        <w:ind w:left="0" w:firstLine="0"/>
        <w:contextualSpacing w:val="0"/>
        <w:rPr>
          <w:rFonts w:ascii="Arial" w:hAnsi="Arial" w:cs="Arial"/>
          <w:b/>
          <w:sz w:val="24"/>
          <w:szCs w:val="24"/>
        </w:rPr>
      </w:pPr>
      <w:r w:rsidRPr="002A4120">
        <w:rPr>
          <w:rFonts w:ascii="Arial" w:hAnsi="Arial" w:cs="Arial"/>
          <w:b/>
          <w:sz w:val="24"/>
          <w:szCs w:val="24"/>
        </w:rPr>
        <w:t>Investment property</w:t>
      </w:r>
    </w:p>
    <w:p w14:paraId="170B716A" w14:textId="77777777" w:rsidR="00E54887" w:rsidRPr="002A4120" w:rsidRDefault="00E54887" w:rsidP="003168CB">
      <w:pPr>
        <w:spacing w:after="240"/>
      </w:pPr>
      <w:r w:rsidRPr="002A4120">
        <w:t>The net rent (rental income plus other rental related income) recognised as income under the Australian Accounting Standards.</w:t>
      </w:r>
    </w:p>
    <w:p w14:paraId="2D0AB079" w14:textId="77777777" w:rsidR="00E54887" w:rsidRPr="002A4120" w:rsidRDefault="00E54887" w:rsidP="003168CB">
      <w:pPr>
        <w:pStyle w:val="ListParagraph"/>
        <w:keepNext/>
        <w:numPr>
          <w:ilvl w:val="2"/>
          <w:numId w:val="13"/>
        </w:numPr>
        <w:spacing w:after="240"/>
        <w:ind w:left="0" w:firstLine="0"/>
        <w:contextualSpacing w:val="0"/>
        <w:rPr>
          <w:rFonts w:ascii="Arial" w:hAnsi="Arial" w:cs="Arial"/>
          <w:b/>
          <w:sz w:val="24"/>
          <w:szCs w:val="24"/>
        </w:rPr>
      </w:pPr>
      <w:r w:rsidRPr="002A4120">
        <w:rPr>
          <w:rFonts w:ascii="Arial" w:hAnsi="Arial" w:cs="Arial"/>
          <w:b/>
          <w:sz w:val="24"/>
          <w:szCs w:val="24"/>
        </w:rPr>
        <w:t>Equity securities</w:t>
      </w:r>
    </w:p>
    <w:p w14:paraId="0E20D7F2" w14:textId="77777777" w:rsidR="00E54887" w:rsidRPr="002A4120" w:rsidRDefault="00E54887" w:rsidP="003168CB">
      <w:pPr>
        <w:spacing w:after="240"/>
        <w:jc w:val="both"/>
      </w:pPr>
      <w:r w:rsidRPr="002A4120">
        <w:t>This item includes unit trust distributions.</w:t>
      </w:r>
    </w:p>
    <w:p w14:paraId="1D09050E" w14:textId="77777777" w:rsidR="00E54887" w:rsidRPr="002A4120" w:rsidRDefault="00E54887" w:rsidP="003168CB">
      <w:pPr>
        <w:pStyle w:val="ListParagraph"/>
        <w:keepNext/>
        <w:numPr>
          <w:ilvl w:val="2"/>
          <w:numId w:val="13"/>
        </w:numPr>
        <w:spacing w:after="240"/>
        <w:ind w:left="0" w:firstLine="0"/>
        <w:contextualSpacing w:val="0"/>
        <w:rPr>
          <w:rFonts w:ascii="Arial" w:hAnsi="Arial" w:cs="Arial"/>
          <w:b/>
          <w:sz w:val="24"/>
          <w:szCs w:val="24"/>
        </w:rPr>
      </w:pPr>
      <w:r w:rsidRPr="002A4120">
        <w:rPr>
          <w:rFonts w:ascii="Arial" w:hAnsi="Arial" w:cs="Arial"/>
          <w:b/>
          <w:sz w:val="24"/>
          <w:szCs w:val="24"/>
        </w:rPr>
        <w:t>Debt securities</w:t>
      </w:r>
    </w:p>
    <w:p w14:paraId="7E13AF04" w14:textId="77777777" w:rsidR="00E54887" w:rsidRPr="002A4120" w:rsidRDefault="00E54887" w:rsidP="003168CB">
      <w:pPr>
        <w:spacing w:after="240"/>
        <w:jc w:val="both"/>
      </w:pPr>
      <w:r w:rsidRPr="002A4120">
        <w:t>Debt securities comprise interest bearing securities (IBS) (both indexed IBS and non-indexed IBS) and loans.</w:t>
      </w:r>
    </w:p>
    <w:p w14:paraId="542E30DA" w14:textId="77777777" w:rsidR="00E54887" w:rsidRPr="002A4120" w:rsidRDefault="00E54887" w:rsidP="003168CB">
      <w:pPr>
        <w:pStyle w:val="ListParagraph"/>
        <w:keepNext/>
        <w:numPr>
          <w:ilvl w:val="2"/>
          <w:numId w:val="13"/>
        </w:numPr>
        <w:spacing w:after="240"/>
        <w:ind w:left="0" w:firstLine="0"/>
        <w:contextualSpacing w:val="0"/>
        <w:rPr>
          <w:rFonts w:ascii="Arial" w:hAnsi="Arial" w:cs="Arial"/>
          <w:b/>
          <w:sz w:val="24"/>
          <w:szCs w:val="24"/>
        </w:rPr>
      </w:pPr>
      <w:r w:rsidRPr="002A4120">
        <w:rPr>
          <w:rFonts w:ascii="Arial" w:hAnsi="Arial" w:cs="Arial"/>
          <w:b/>
          <w:sz w:val="24"/>
          <w:szCs w:val="24"/>
        </w:rPr>
        <w:t>Other investment assets</w:t>
      </w:r>
    </w:p>
    <w:p w14:paraId="0B14F38A" w14:textId="77777777" w:rsidR="00E54887" w:rsidRPr="002A4120" w:rsidRDefault="00E54887" w:rsidP="003168CB">
      <w:pPr>
        <w:spacing w:after="240"/>
        <w:jc w:val="both"/>
      </w:pPr>
      <w:r w:rsidRPr="002A4120">
        <w:t xml:space="preserve">All other securities that are not cash, property, equity, or debt securities as categorised above. </w:t>
      </w:r>
      <w:r w:rsidRPr="002A4120" w:rsidDel="00EA7BF5">
        <w:t>This is calculated automatically as item 3.1.6 less the sum of items 3.1.1 to 3.1.4.</w:t>
      </w:r>
    </w:p>
    <w:p w14:paraId="3DCFAE87" w14:textId="77777777" w:rsidR="00E54887" w:rsidRPr="002A4120" w:rsidRDefault="00E54887" w:rsidP="003168CB">
      <w:pPr>
        <w:pStyle w:val="ListParagraph"/>
        <w:keepNext/>
        <w:numPr>
          <w:ilvl w:val="2"/>
          <w:numId w:val="13"/>
        </w:numPr>
        <w:spacing w:after="240"/>
        <w:ind w:left="0" w:firstLine="0"/>
        <w:contextualSpacing w:val="0"/>
        <w:rPr>
          <w:rFonts w:ascii="Arial" w:hAnsi="Arial" w:cs="Arial"/>
          <w:b/>
          <w:sz w:val="24"/>
          <w:szCs w:val="24"/>
        </w:rPr>
      </w:pPr>
      <w:r w:rsidRPr="002A4120">
        <w:rPr>
          <w:rFonts w:ascii="Arial" w:hAnsi="Arial" w:cs="Arial"/>
          <w:b/>
          <w:sz w:val="24"/>
          <w:szCs w:val="24"/>
        </w:rPr>
        <w:t>Total investment income (excluding capital gains or losses)</w:t>
      </w:r>
    </w:p>
    <w:p w14:paraId="63675020" w14:textId="77777777" w:rsidR="00E54887" w:rsidRPr="002A4120" w:rsidRDefault="00E54887" w:rsidP="003168CB">
      <w:pPr>
        <w:spacing w:after="240"/>
        <w:jc w:val="both"/>
      </w:pPr>
      <w:r w:rsidRPr="002A4120">
        <w:t>This is the value of investment income after doubtful debts expense.</w:t>
      </w:r>
    </w:p>
    <w:p w14:paraId="0D79C8B9" w14:textId="77777777" w:rsidR="00E54887" w:rsidRPr="002A4120" w:rsidRDefault="00E54887" w:rsidP="003168CB">
      <w:pPr>
        <w:pStyle w:val="ListParagraph"/>
        <w:keepNext/>
        <w:numPr>
          <w:ilvl w:val="1"/>
          <w:numId w:val="13"/>
        </w:numPr>
        <w:spacing w:after="240"/>
        <w:ind w:left="567" w:hanging="567"/>
        <w:contextualSpacing w:val="0"/>
        <w:jc w:val="both"/>
        <w:rPr>
          <w:rFonts w:ascii="Arial" w:hAnsi="Arial" w:cs="Arial"/>
          <w:b/>
          <w:sz w:val="24"/>
          <w:szCs w:val="24"/>
        </w:rPr>
      </w:pPr>
      <w:r w:rsidRPr="002A4120">
        <w:rPr>
          <w:rFonts w:ascii="Arial" w:hAnsi="Arial" w:cs="Arial"/>
          <w:b/>
          <w:sz w:val="24"/>
          <w:szCs w:val="24"/>
        </w:rPr>
        <w:lastRenderedPageBreak/>
        <w:t>Realised and unrealised capital gains (or losses) from</w:t>
      </w:r>
    </w:p>
    <w:p w14:paraId="141626AB" w14:textId="77777777" w:rsidR="00E54887" w:rsidRPr="002A4120" w:rsidRDefault="00E54887" w:rsidP="003168CB">
      <w:pPr>
        <w:pStyle w:val="ListParagraph"/>
        <w:keepNext/>
        <w:numPr>
          <w:ilvl w:val="2"/>
          <w:numId w:val="13"/>
        </w:numPr>
        <w:tabs>
          <w:tab w:val="left" w:pos="0"/>
        </w:tabs>
        <w:spacing w:after="240"/>
        <w:ind w:left="0" w:firstLine="0"/>
        <w:contextualSpacing w:val="0"/>
        <w:jc w:val="both"/>
        <w:rPr>
          <w:rFonts w:ascii="Arial" w:hAnsi="Arial" w:cs="Arial"/>
          <w:b/>
          <w:sz w:val="24"/>
          <w:szCs w:val="24"/>
        </w:rPr>
      </w:pPr>
      <w:r w:rsidRPr="002A4120">
        <w:rPr>
          <w:rFonts w:ascii="Arial" w:hAnsi="Arial" w:cs="Arial"/>
          <w:b/>
          <w:sz w:val="24"/>
          <w:szCs w:val="24"/>
        </w:rPr>
        <w:t>Investment property</w:t>
      </w:r>
    </w:p>
    <w:p w14:paraId="30D63036" w14:textId="77777777" w:rsidR="00E54887" w:rsidRPr="002A4120" w:rsidRDefault="00E54887" w:rsidP="003168CB">
      <w:pPr>
        <w:tabs>
          <w:tab w:val="left" w:pos="0"/>
        </w:tabs>
        <w:spacing w:after="240"/>
        <w:jc w:val="both"/>
      </w:pPr>
      <w:r w:rsidRPr="002A4120">
        <w:t xml:space="preserve">This is the value of capital gains or losses from investment properties. </w:t>
      </w:r>
    </w:p>
    <w:p w14:paraId="2404430A" w14:textId="77777777" w:rsidR="00E54887" w:rsidRPr="002A4120" w:rsidRDefault="00E54887" w:rsidP="003168CB">
      <w:pPr>
        <w:pStyle w:val="ListParagraph"/>
        <w:keepNext/>
        <w:numPr>
          <w:ilvl w:val="2"/>
          <w:numId w:val="13"/>
        </w:numPr>
        <w:tabs>
          <w:tab w:val="left" w:pos="0"/>
        </w:tabs>
        <w:spacing w:after="240"/>
        <w:ind w:left="0" w:firstLine="0"/>
        <w:contextualSpacing w:val="0"/>
        <w:jc w:val="both"/>
        <w:rPr>
          <w:rFonts w:ascii="Arial" w:hAnsi="Arial" w:cs="Arial"/>
          <w:b/>
          <w:sz w:val="24"/>
          <w:szCs w:val="24"/>
        </w:rPr>
      </w:pPr>
      <w:r w:rsidRPr="002A4120">
        <w:rPr>
          <w:rFonts w:ascii="Arial" w:hAnsi="Arial" w:cs="Arial"/>
          <w:b/>
          <w:sz w:val="24"/>
          <w:szCs w:val="24"/>
        </w:rPr>
        <w:t>Equity securities</w:t>
      </w:r>
    </w:p>
    <w:p w14:paraId="528C8BAE" w14:textId="77777777" w:rsidR="00E54887" w:rsidRPr="002A4120" w:rsidRDefault="00E54887" w:rsidP="003168CB">
      <w:pPr>
        <w:tabs>
          <w:tab w:val="left" w:pos="0"/>
        </w:tabs>
        <w:spacing w:after="240"/>
      </w:pPr>
      <w:r w:rsidRPr="002A4120">
        <w:t>This is the value of capital gains or losses from equity securities.</w:t>
      </w:r>
    </w:p>
    <w:p w14:paraId="0ACE5891" w14:textId="77777777" w:rsidR="00E54887" w:rsidRPr="002A4120" w:rsidRDefault="00E54887" w:rsidP="003168CB">
      <w:pPr>
        <w:pStyle w:val="ListParagraph"/>
        <w:keepNext/>
        <w:numPr>
          <w:ilvl w:val="2"/>
          <w:numId w:val="13"/>
        </w:numPr>
        <w:tabs>
          <w:tab w:val="left" w:pos="0"/>
        </w:tabs>
        <w:spacing w:after="240"/>
        <w:ind w:left="0" w:firstLine="0"/>
        <w:contextualSpacing w:val="0"/>
        <w:jc w:val="both"/>
        <w:rPr>
          <w:rFonts w:ascii="Arial" w:hAnsi="Arial" w:cs="Arial"/>
          <w:b/>
          <w:sz w:val="24"/>
          <w:szCs w:val="24"/>
        </w:rPr>
      </w:pPr>
      <w:r w:rsidRPr="002A4120">
        <w:rPr>
          <w:rFonts w:ascii="Arial" w:hAnsi="Arial" w:cs="Arial"/>
          <w:b/>
          <w:sz w:val="24"/>
          <w:szCs w:val="24"/>
        </w:rPr>
        <w:t>Debt securities</w:t>
      </w:r>
    </w:p>
    <w:p w14:paraId="2928628F" w14:textId="77777777" w:rsidR="00E54887" w:rsidRPr="002A4120" w:rsidRDefault="00E54887" w:rsidP="003168CB">
      <w:pPr>
        <w:tabs>
          <w:tab w:val="left" w:pos="0"/>
        </w:tabs>
        <w:spacing w:after="240"/>
      </w:pPr>
      <w:r w:rsidRPr="002A4120">
        <w:t>This is the value of capital gains or losses from debt securities.</w:t>
      </w:r>
    </w:p>
    <w:p w14:paraId="46DCB1BE" w14:textId="77777777" w:rsidR="00E54887" w:rsidRPr="002A4120" w:rsidRDefault="00E54887" w:rsidP="003168CB">
      <w:pPr>
        <w:pStyle w:val="ListParagraph"/>
        <w:keepNext/>
        <w:numPr>
          <w:ilvl w:val="2"/>
          <w:numId w:val="13"/>
        </w:numPr>
        <w:tabs>
          <w:tab w:val="left" w:pos="0"/>
        </w:tabs>
        <w:spacing w:after="240"/>
        <w:ind w:left="0" w:firstLine="0"/>
        <w:contextualSpacing w:val="0"/>
        <w:jc w:val="both"/>
        <w:rPr>
          <w:rFonts w:ascii="Arial" w:hAnsi="Arial" w:cs="Arial"/>
          <w:b/>
          <w:sz w:val="24"/>
          <w:szCs w:val="24"/>
        </w:rPr>
      </w:pPr>
      <w:r w:rsidRPr="002A4120">
        <w:rPr>
          <w:rFonts w:ascii="Arial" w:hAnsi="Arial" w:cs="Arial"/>
          <w:b/>
          <w:sz w:val="24"/>
          <w:szCs w:val="24"/>
        </w:rPr>
        <w:t>Other investment assets</w:t>
      </w:r>
    </w:p>
    <w:p w14:paraId="1B9BA8A2" w14:textId="77777777" w:rsidR="00E54887" w:rsidRPr="002A4120" w:rsidRDefault="00E54887" w:rsidP="003168CB">
      <w:pPr>
        <w:tabs>
          <w:tab w:val="left" w:pos="0"/>
        </w:tabs>
        <w:spacing w:after="240"/>
        <w:jc w:val="both"/>
      </w:pPr>
      <w:r w:rsidRPr="002A4120">
        <w:t>This is the value of capital gains or losses from other investment assets that are not property, equity, or debt securities. This is calculated automatically as item 3.2.5 less the sum of items 3.2.1 to 3.2.3.</w:t>
      </w:r>
    </w:p>
    <w:p w14:paraId="3DA103D4" w14:textId="77777777" w:rsidR="00E54887" w:rsidRPr="002A4120" w:rsidRDefault="00E54887" w:rsidP="003168CB">
      <w:pPr>
        <w:pStyle w:val="ListParagraph"/>
        <w:keepNext/>
        <w:numPr>
          <w:ilvl w:val="2"/>
          <w:numId w:val="13"/>
        </w:numPr>
        <w:tabs>
          <w:tab w:val="left" w:pos="0"/>
        </w:tabs>
        <w:spacing w:after="240"/>
        <w:ind w:left="0" w:firstLine="0"/>
        <w:contextualSpacing w:val="0"/>
        <w:jc w:val="both"/>
        <w:rPr>
          <w:rFonts w:ascii="Arial" w:hAnsi="Arial" w:cs="Arial"/>
          <w:b/>
          <w:sz w:val="24"/>
          <w:szCs w:val="24"/>
        </w:rPr>
      </w:pPr>
      <w:r w:rsidRPr="002A4120">
        <w:rPr>
          <w:rFonts w:ascii="Arial" w:hAnsi="Arial" w:cs="Arial"/>
          <w:b/>
          <w:sz w:val="24"/>
          <w:szCs w:val="24"/>
        </w:rPr>
        <w:t>Total realised and unrealised capital gains (or losses)</w:t>
      </w:r>
    </w:p>
    <w:p w14:paraId="651C9F99" w14:textId="77777777" w:rsidR="00E54887" w:rsidRPr="002A4120" w:rsidRDefault="00E54887" w:rsidP="003168CB">
      <w:pPr>
        <w:tabs>
          <w:tab w:val="left" w:pos="0"/>
        </w:tabs>
        <w:spacing w:after="240"/>
        <w:jc w:val="both"/>
      </w:pPr>
      <w:r w:rsidRPr="002A4120">
        <w:t>This is the value of capital gains or losses.</w:t>
      </w:r>
    </w:p>
    <w:p w14:paraId="1623AAA5" w14:textId="77777777" w:rsidR="00E54887" w:rsidRPr="002A4120" w:rsidRDefault="00E54887" w:rsidP="003168CB">
      <w:pPr>
        <w:pStyle w:val="ListParagraph"/>
        <w:keepNext/>
        <w:numPr>
          <w:ilvl w:val="1"/>
          <w:numId w:val="13"/>
        </w:numPr>
        <w:spacing w:after="240"/>
        <w:ind w:left="567" w:hanging="567"/>
        <w:contextualSpacing w:val="0"/>
        <w:jc w:val="both"/>
        <w:rPr>
          <w:rFonts w:ascii="Arial" w:hAnsi="Arial" w:cs="Arial"/>
          <w:b/>
          <w:sz w:val="24"/>
          <w:szCs w:val="24"/>
        </w:rPr>
      </w:pPr>
      <w:r w:rsidRPr="002A4120">
        <w:rPr>
          <w:rFonts w:ascii="Arial" w:hAnsi="Arial" w:cs="Arial"/>
          <w:b/>
          <w:sz w:val="24"/>
          <w:szCs w:val="24"/>
        </w:rPr>
        <w:t>Total investment revenue</w:t>
      </w:r>
    </w:p>
    <w:p w14:paraId="71562B4B" w14:textId="77777777" w:rsidR="00E54887" w:rsidRPr="002A4120" w:rsidRDefault="00E54887" w:rsidP="003168CB">
      <w:pPr>
        <w:spacing w:after="240"/>
        <w:jc w:val="both"/>
      </w:pPr>
      <w:r w:rsidRPr="002A4120">
        <w:t>This item represents total investment revenue, and is the sum of the reporting items 3.1.6 and 3.2.5.</w:t>
      </w:r>
    </w:p>
    <w:p w14:paraId="11C7D4A9" w14:textId="77777777" w:rsidR="00E54887" w:rsidRPr="002A4120" w:rsidRDefault="00E54887" w:rsidP="003168CB">
      <w:pPr>
        <w:pStyle w:val="ListParagraph"/>
        <w:keepNext/>
        <w:numPr>
          <w:ilvl w:val="0"/>
          <w:numId w:val="13"/>
        </w:numPr>
        <w:spacing w:after="240"/>
        <w:ind w:left="567" w:hanging="567"/>
        <w:contextualSpacing w:val="0"/>
        <w:jc w:val="both"/>
        <w:rPr>
          <w:rFonts w:ascii="Arial" w:hAnsi="Arial" w:cs="Arial"/>
          <w:b/>
          <w:sz w:val="24"/>
          <w:szCs w:val="24"/>
        </w:rPr>
      </w:pPr>
      <w:r w:rsidRPr="002A4120">
        <w:rPr>
          <w:rFonts w:ascii="Arial" w:hAnsi="Arial" w:cs="Arial"/>
          <w:b/>
          <w:sz w:val="24"/>
          <w:szCs w:val="24"/>
        </w:rPr>
        <w:t>Other revenue</w:t>
      </w:r>
    </w:p>
    <w:p w14:paraId="3A3606FA" w14:textId="77777777" w:rsidR="00E54887" w:rsidRPr="002A4120" w:rsidRDefault="00E54887" w:rsidP="003168CB">
      <w:pPr>
        <w:spacing w:after="240"/>
        <w:jc w:val="both"/>
      </w:pPr>
      <w:r w:rsidRPr="002A4120">
        <w:t>This includes all other revenue items not specifically categorised above. It is calculated automatically as item 5 less the sum of items 1.6, 2.4 and 3.3.</w:t>
      </w:r>
    </w:p>
    <w:p w14:paraId="45B66569" w14:textId="77777777" w:rsidR="00E54887" w:rsidRPr="002A4120" w:rsidRDefault="00E54887" w:rsidP="003168CB">
      <w:pPr>
        <w:pStyle w:val="ListParagraph"/>
        <w:keepNext/>
        <w:numPr>
          <w:ilvl w:val="0"/>
          <w:numId w:val="13"/>
        </w:numPr>
        <w:spacing w:after="240"/>
        <w:ind w:left="567" w:hanging="567"/>
        <w:contextualSpacing w:val="0"/>
        <w:jc w:val="both"/>
        <w:rPr>
          <w:rFonts w:ascii="Arial" w:hAnsi="Arial" w:cs="Arial"/>
          <w:b/>
          <w:sz w:val="24"/>
          <w:szCs w:val="24"/>
        </w:rPr>
      </w:pPr>
      <w:r w:rsidRPr="002A4120">
        <w:rPr>
          <w:rFonts w:ascii="Arial" w:hAnsi="Arial" w:cs="Arial"/>
          <w:b/>
          <w:sz w:val="24"/>
          <w:szCs w:val="24"/>
        </w:rPr>
        <w:t>Total revenue</w:t>
      </w:r>
    </w:p>
    <w:p w14:paraId="015D36A7" w14:textId="77777777" w:rsidR="00E54887" w:rsidRPr="002A4120" w:rsidRDefault="00E54887" w:rsidP="003168CB">
      <w:pPr>
        <w:spacing w:after="240"/>
        <w:jc w:val="both"/>
      </w:pPr>
      <w:r w:rsidRPr="002A4120">
        <w:t>This is the total revenue of the fund.</w:t>
      </w:r>
    </w:p>
    <w:p w14:paraId="70065F69" w14:textId="77777777" w:rsidR="00E54887" w:rsidRPr="002A4120" w:rsidRDefault="00E54887" w:rsidP="003168CB">
      <w:pPr>
        <w:keepNext/>
        <w:spacing w:after="240"/>
        <w:rPr>
          <w:rFonts w:ascii="Arial" w:hAnsi="Arial" w:cs="Arial"/>
          <w:b/>
        </w:rPr>
      </w:pPr>
      <w:r w:rsidRPr="002A4120">
        <w:rPr>
          <w:rFonts w:ascii="Arial" w:hAnsi="Arial" w:cs="Arial"/>
          <w:b/>
        </w:rPr>
        <w:t>Expenses</w:t>
      </w:r>
    </w:p>
    <w:p w14:paraId="3F872892" w14:textId="77777777" w:rsidR="00E54887" w:rsidRPr="002A4120" w:rsidRDefault="00E54887" w:rsidP="003168CB">
      <w:pPr>
        <w:pStyle w:val="ListParagraph"/>
        <w:keepNext/>
        <w:numPr>
          <w:ilvl w:val="0"/>
          <w:numId w:val="11"/>
        </w:numPr>
        <w:spacing w:after="240"/>
        <w:ind w:left="567" w:hanging="567"/>
        <w:contextualSpacing w:val="0"/>
        <w:rPr>
          <w:rFonts w:ascii="Arial" w:hAnsi="Arial" w:cs="Arial"/>
          <w:b/>
          <w:sz w:val="24"/>
          <w:szCs w:val="24"/>
        </w:rPr>
      </w:pPr>
      <w:r w:rsidRPr="002A4120">
        <w:rPr>
          <w:rFonts w:ascii="Arial" w:hAnsi="Arial" w:cs="Arial"/>
          <w:b/>
          <w:sz w:val="24"/>
          <w:szCs w:val="24"/>
        </w:rPr>
        <w:t>Insurance policy expense</w:t>
      </w:r>
    </w:p>
    <w:p w14:paraId="3F2C3DEF" w14:textId="77777777" w:rsidR="00E54887" w:rsidRPr="002A4120" w:rsidRDefault="00E54887" w:rsidP="003168CB">
      <w:pPr>
        <w:pStyle w:val="ListParagraph"/>
        <w:keepNext/>
        <w:numPr>
          <w:ilvl w:val="1"/>
          <w:numId w:val="12"/>
        </w:numPr>
        <w:spacing w:after="240"/>
        <w:ind w:left="567" w:hanging="567"/>
        <w:contextualSpacing w:val="0"/>
        <w:rPr>
          <w:rFonts w:ascii="Arial" w:hAnsi="Arial" w:cs="Arial"/>
          <w:b/>
          <w:sz w:val="24"/>
          <w:szCs w:val="24"/>
        </w:rPr>
      </w:pPr>
      <w:r w:rsidRPr="002A4120">
        <w:rPr>
          <w:rFonts w:ascii="Arial" w:hAnsi="Arial" w:cs="Arial"/>
          <w:b/>
          <w:sz w:val="24"/>
          <w:szCs w:val="24"/>
        </w:rPr>
        <w:t>Death and disability claims</w:t>
      </w:r>
    </w:p>
    <w:p w14:paraId="1F50CBF3" w14:textId="77777777" w:rsidR="00E54887" w:rsidRPr="002A4120" w:rsidRDefault="00E54887" w:rsidP="003168CB">
      <w:pPr>
        <w:spacing w:after="240"/>
        <w:jc w:val="both"/>
        <w:rPr>
          <w:rFonts w:ascii="Arial" w:hAnsi="Arial" w:cs="Arial"/>
          <w:b/>
        </w:rPr>
      </w:pPr>
      <w:r w:rsidRPr="002A4120">
        <w:t>Report benefits paid or payable for death and/or disability claims on life insurance business, including current period bonus and any interim or terminal bonuses included in claims amounts.</w:t>
      </w:r>
    </w:p>
    <w:p w14:paraId="79ACDFBF" w14:textId="77777777" w:rsidR="00E54887" w:rsidRPr="002A4120" w:rsidRDefault="00E54887" w:rsidP="003168CB">
      <w:pPr>
        <w:pStyle w:val="ListParagraph"/>
        <w:keepNext/>
        <w:numPr>
          <w:ilvl w:val="1"/>
          <w:numId w:val="12"/>
        </w:numPr>
        <w:spacing w:after="240"/>
        <w:ind w:left="567" w:hanging="567"/>
        <w:contextualSpacing w:val="0"/>
        <w:jc w:val="both"/>
        <w:rPr>
          <w:rFonts w:ascii="Arial" w:hAnsi="Arial" w:cs="Arial"/>
          <w:b/>
          <w:sz w:val="24"/>
          <w:szCs w:val="24"/>
        </w:rPr>
      </w:pPr>
      <w:r w:rsidRPr="002A4120">
        <w:rPr>
          <w:rFonts w:ascii="Arial" w:hAnsi="Arial" w:cs="Arial"/>
          <w:b/>
          <w:sz w:val="24"/>
          <w:szCs w:val="24"/>
        </w:rPr>
        <w:t>Maturities</w:t>
      </w:r>
    </w:p>
    <w:p w14:paraId="7810A49C" w14:textId="77777777" w:rsidR="00E54887" w:rsidRPr="002A4120" w:rsidRDefault="00E54887" w:rsidP="003168CB">
      <w:pPr>
        <w:spacing w:after="240"/>
        <w:jc w:val="both"/>
      </w:pPr>
      <w:r w:rsidRPr="002A4120">
        <w:t>Report benefits paid or payable for claims due to maturity of policy. Policy maturity is where the agreed end date of the contract has been reached.</w:t>
      </w:r>
    </w:p>
    <w:p w14:paraId="3187E930" w14:textId="77777777" w:rsidR="00E54887" w:rsidRPr="002A4120" w:rsidRDefault="00E54887" w:rsidP="003168CB">
      <w:pPr>
        <w:pStyle w:val="ListParagraph"/>
        <w:keepNext/>
        <w:numPr>
          <w:ilvl w:val="1"/>
          <w:numId w:val="12"/>
        </w:numPr>
        <w:spacing w:after="240"/>
        <w:ind w:left="567" w:hanging="567"/>
        <w:contextualSpacing w:val="0"/>
        <w:jc w:val="both"/>
        <w:rPr>
          <w:rFonts w:ascii="Arial" w:hAnsi="Arial" w:cs="Arial"/>
          <w:b/>
          <w:sz w:val="24"/>
          <w:szCs w:val="24"/>
        </w:rPr>
      </w:pPr>
      <w:r w:rsidRPr="002A4120">
        <w:rPr>
          <w:rFonts w:ascii="Arial" w:hAnsi="Arial" w:cs="Arial"/>
          <w:b/>
          <w:sz w:val="24"/>
          <w:szCs w:val="24"/>
        </w:rPr>
        <w:lastRenderedPageBreak/>
        <w:t>Annuities</w:t>
      </w:r>
    </w:p>
    <w:p w14:paraId="46099B4C" w14:textId="77777777" w:rsidR="00E54887" w:rsidRPr="002A4120" w:rsidRDefault="00E54887" w:rsidP="00316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pPr>
      <w:r w:rsidRPr="002A4120">
        <w:t xml:space="preserve">This is the value, during the relevant period, for the total value of benefits paid to members in the form of a pension. Includes complying pension, allocated pension and annuity payments. Do not include amounts resulting from the commutation of pension benefits. </w:t>
      </w:r>
    </w:p>
    <w:p w14:paraId="799789AC" w14:textId="77777777" w:rsidR="00E54887" w:rsidRPr="002A4120" w:rsidRDefault="00E54887" w:rsidP="003168CB">
      <w:pPr>
        <w:pStyle w:val="ListParagraph"/>
        <w:keepNext/>
        <w:numPr>
          <w:ilvl w:val="1"/>
          <w:numId w:val="14"/>
        </w:numPr>
        <w:spacing w:after="240"/>
        <w:ind w:left="567" w:hanging="567"/>
        <w:contextualSpacing w:val="0"/>
        <w:jc w:val="both"/>
        <w:rPr>
          <w:rFonts w:ascii="Arial" w:hAnsi="Arial" w:cs="Arial"/>
          <w:b/>
          <w:sz w:val="24"/>
          <w:szCs w:val="24"/>
        </w:rPr>
      </w:pPr>
      <w:r w:rsidRPr="002A4120">
        <w:rPr>
          <w:rFonts w:ascii="Arial" w:hAnsi="Arial" w:cs="Arial"/>
          <w:b/>
          <w:sz w:val="24"/>
          <w:szCs w:val="24"/>
        </w:rPr>
        <w:t>Surrenders and terminations</w:t>
      </w:r>
    </w:p>
    <w:p w14:paraId="45898E3C" w14:textId="77777777" w:rsidR="00E54887" w:rsidRPr="002A4120" w:rsidRDefault="00E54887" w:rsidP="003168CB">
      <w:pPr>
        <w:spacing w:after="240"/>
        <w:jc w:val="both"/>
        <w:rPr>
          <w:b/>
        </w:rPr>
      </w:pPr>
      <w:r w:rsidRPr="002A4120">
        <w:t>Report benefits paid or payable in relation to the surrender or early termination of a policy, i.e. where the policy is ended by either party prior to the maturity date. Where no amount would be paid, the value to be reported is the discounted present value of the unexpired risks, future payments and/or contractual premium refunds.</w:t>
      </w:r>
    </w:p>
    <w:p w14:paraId="49226C49" w14:textId="77777777" w:rsidR="00E54887" w:rsidRPr="002A4120" w:rsidRDefault="00E54887" w:rsidP="003168CB">
      <w:pPr>
        <w:pStyle w:val="ListParagraph"/>
        <w:keepNext/>
        <w:numPr>
          <w:ilvl w:val="1"/>
          <w:numId w:val="14"/>
        </w:numPr>
        <w:spacing w:after="240"/>
        <w:ind w:left="567" w:hanging="567"/>
        <w:contextualSpacing w:val="0"/>
        <w:jc w:val="both"/>
        <w:rPr>
          <w:rFonts w:ascii="Arial" w:hAnsi="Arial" w:cs="Arial"/>
          <w:b/>
          <w:sz w:val="24"/>
          <w:szCs w:val="24"/>
        </w:rPr>
      </w:pPr>
      <w:r w:rsidRPr="002A4120">
        <w:rPr>
          <w:rFonts w:ascii="Arial" w:hAnsi="Arial" w:cs="Arial"/>
          <w:b/>
          <w:sz w:val="24"/>
          <w:szCs w:val="24"/>
        </w:rPr>
        <w:t>Policy conversions – outwards</w:t>
      </w:r>
    </w:p>
    <w:p w14:paraId="48A11A37" w14:textId="77777777" w:rsidR="00E54887" w:rsidRPr="002A4120" w:rsidRDefault="00E54887" w:rsidP="003168CB">
      <w:pPr>
        <w:spacing w:after="240"/>
        <w:jc w:val="both"/>
      </w:pPr>
      <w:r w:rsidRPr="002A4120">
        <w:t>Report the claim elements of conversions between statutory funds. The outward (claim) side of the conversion is shown here, while the inward (premium) side is shown at item 1.2 (policy conversions – inwards); any deposit components are to be taken into account in items 9.2 and/or 10.5.</w:t>
      </w:r>
    </w:p>
    <w:p w14:paraId="677786D2" w14:textId="77777777" w:rsidR="00E54887" w:rsidRPr="002A4120" w:rsidRDefault="00E54887" w:rsidP="003168CB">
      <w:pPr>
        <w:spacing w:after="240"/>
        <w:jc w:val="both"/>
      </w:pPr>
      <w:r w:rsidRPr="002A4120">
        <w:t>Premium and claim elements of policy conversions are not expected to apply for life investment contracts, due to section 5 of AASB 1038. In those cases, only deposit components are expected to apply.</w:t>
      </w:r>
    </w:p>
    <w:p w14:paraId="6F7C1422" w14:textId="77777777" w:rsidR="00E54887" w:rsidRPr="002A4120" w:rsidRDefault="00E54887" w:rsidP="003168CB">
      <w:pPr>
        <w:pStyle w:val="ListParagraph"/>
        <w:keepNext/>
        <w:numPr>
          <w:ilvl w:val="1"/>
          <w:numId w:val="14"/>
        </w:numPr>
        <w:spacing w:after="240"/>
        <w:ind w:left="567" w:hanging="567"/>
        <w:contextualSpacing w:val="0"/>
        <w:rPr>
          <w:rFonts w:ascii="Arial" w:hAnsi="Arial" w:cs="Arial"/>
          <w:b/>
          <w:sz w:val="24"/>
          <w:szCs w:val="24"/>
        </w:rPr>
      </w:pPr>
      <w:r w:rsidRPr="002A4120">
        <w:rPr>
          <w:rFonts w:ascii="Arial" w:hAnsi="Arial" w:cs="Arial"/>
          <w:b/>
          <w:sz w:val="24"/>
          <w:szCs w:val="24"/>
        </w:rPr>
        <w:t>Other claims</w:t>
      </w:r>
    </w:p>
    <w:p w14:paraId="061D4122" w14:textId="77777777" w:rsidR="00E54887" w:rsidRPr="002A4120" w:rsidRDefault="00E54887" w:rsidP="003168CB">
      <w:pPr>
        <w:spacing w:after="240"/>
        <w:jc w:val="both"/>
      </w:pPr>
      <w:r w:rsidRPr="002A4120">
        <w:t>This includes all other claims expense items not specifically categorised above. It is automatically calculated as item 6.10 less the sum of items 6.1 to 6.5 and 6.7 to 6.9.</w:t>
      </w:r>
    </w:p>
    <w:p w14:paraId="2B5874AB" w14:textId="77777777" w:rsidR="00E54887" w:rsidRPr="002A4120" w:rsidRDefault="00E54887" w:rsidP="003168CB">
      <w:pPr>
        <w:pStyle w:val="ListParagraph"/>
        <w:keepNext/>
        <w:numPr>
          <w:ilvl w:val="1"/>
          <w:numId w:val="14"/>
        </w:numPr>
        <w:spacing w:after="240"/>
        <w:ind w:left="567" w:hanging="567"/>
        <w:contextualSpacing w:val="0"/>
        <w:rPr>
          <w:rFonts w:ascii="Arial" w:hAnsi="Arial" w:cs="Arial"/>
          <w:b/>
          <w:sz w:val="24"/>
          <w:szCs w:val="24"/>
        </w:rPr>
      </w:pPr>
      <w:r w:rsidRPr="002A4120">
        <w:rPr>
          <w:rFonts w:ascii="Arial" w:hAnsi="Arial" w:cs="Arial"/>
          <w:b/>
          <w:sz w:val="24"/>
          <w:szCs w:val="24"/>
        </w:rPr>
        <w:t>Inwards reinsurance claims expense (including current year bonus)</w:t>
      </w:r>
    </w:p>
    <w:p w14:paraId="7B808A40" w14:textId="77777777" w:rsidR="00E54887" w:rsidRPr="002A4120" w:rsidRDefault="00E54887" w:rsidP="003168CB">
      <w:pPr>
        <w:spacing w:after="240"/>
        <w:jc w:val="both"/>
      </w:pPr>
      <w:r w:rsidRPr="002A4120">
        <w:t>Inwards reinsurance claims expense should be gross of retrocession recoveries.</w:t>
      </w:r>
    </w:p>
    <w:p w14:paraId="0D44BA0E" w14:textId="77777777" w:rsidR="00E54887" w:rsidRPr="002A4120" w:rsidRDefault="00E54887" w:rsidP="003168CB">
      <w:pPr>
        <w:spacing w:after="240"/>
        <w:jc w:val="both"/>
      </w:pPr>
      <w:r w:rsidRPr="002A4120">
        <w:t>Include bonuses paid as a distribution of current year profit.</w:t>
      </w:r>
    </w:p>
    <w:p w14:paraId="20A267DB" w14:textId="77777777" w:rsidR="00E54887" w:rsidRPr="002A4120" w:rsidRDefault="00E54887" w:rsidP="003168CB">
      <w:pPr>
        <w:pStyle w:val="ListParagraph"/>
        <w:keepNext/>
        <w:numPr>
          <w:ilvl w:val="1"/>
          <w:numId w:val="14"/>
        </w:numPr>
        <w:spacing w:after="240"/>
        <w:ind w:left="567" w:hanging="567"/>
        <w:contextualSpacing w:val="0"/>
        <w:rPr>
          <w:rFonts w:ascii="Arial" w:hAnsi="Arial" w:cs="Arial"/>
          <w:b/>
          <w:sz w:val="24"/>
          <w:szCs w:val="24"/>
        </w:rPr>
      </w:pPr>
      <w:r w:rsidRPr="002A4120">
        <w:rPr>
          <w:rFonts w:ascii="Arial" w:hAnsi="Arial" w:cs="Arial"/>
          <w:b/>
          <w:sz w:val="24"/>
          <w:szCs w:val="24"/>
        </w:rPr>
        <w:t>Total non-life policy expense</w:t>
      </w:r>
    </w:p>
    <w:p w14:paraId="1176FBF3" w14:textId="77777777" w:rsidR="00E54887" w:rsidRPr="002A4120" w:rsidRDefault="00E54887" w:rsidP="003168CB">
      <w:pPr>
        <w:spacing w:after="240"/>
        <w:jc w:val="both"/>
      </w:pPr>
      <w:r w:rsidRPr="002A4120">
        <w:t>This is generally only expected to apply if permitted to write general insurance business under section 234 of the Act.</w:t>
      </w:r>
    </w:p>
    <w:p w14:paraId="1CAC6662" w14:textId="77777777" w:rsidR="00E54887" w:rsidRPr="002A4120" w:rsidRDefault="00E54887" w:rsidP="003168CB">
      <w:pPr>
        <w:pStyle w:val="ListParagraph"/>
        <w:keepNext/>
        <w:numPr>
          <w:ilvl w:val="1"/>
          <w:numId w:val="14"/>
        </w:numPr>
        <w:spacing w:after="240"/>
        <w:ind w:left="567" w:hanging="567"/>
        <w:contextualSpacing w:val="0"/>
        <w:rPr>
          <w:rFonts w:ascii="Arial" w:hAnsi="Arial" w:cs="Arial"/>
          <w:b/>
          <w:sz w:val="24"/>
          <w:szCs w:val="24"/>
        </w:rPr>
      </w:pPr>
      <w:r w:rsidRPr="002A4120">
        <w:rPr>
          <w:rFonts w:ascii="Arial" w:hAnsi="Arial" w:cs="Arial"/>
          <w:b/>
          <w:sz w:val="24"/>
          <w:szCs w:val="24"/>
        </w:rPr>
        <w:t>Outward reinsurance claims revenue</w:t>
      </w:r>
    </w:p>
    <w:p w14:paraId="1CE06D8F" w14:textId="77777777" w:rsidR="00E54887" w:rsidRPr="002A4120" w:rsidRDefault="00E54887" w:rsidP="003168CB">
      <w:pPr>
        <w:spacing w:after="240"/>
        <w:jc w:val="both"/>
      </w:pPr>
      <w:r w:rsidRPr="002A4120">
        <w:t>Outward reinsurance claims revenue should be entered as revenue amounts, i.e. enter as negative amounts.</w:t>
      </w:r>
    </w:p>
    <w:p w14:paraId="68D7C403" w14:textId="77777777" w:rsidR="00E54887" w:rsidRPr="002A4120" w:rsidRDefault="00E54887" w:rsidP="003168CB">
      <w:pPr>
        <w:pStyle w:val="ListParagraph"/>
        <w:keepNext/>
        <w:numPr>
          <w:ilvl w:val="1"/>
          <w:numId w:val="14"/>
        </w:numPr>
        <w:spacing w:after="240"/>
        <w:ind w:left="567" w:hanging="567"/>
        <w:contextualSpacing w:val="0"/>
        <w:rPr>
          <w:rFonts w:ascii="Arial" w:hAnsi="Arial" w:cs="Arial"/>
          <w:b/>
          <w:sz w:val="24"/>
          <w:szCs w:val="24"/>
        </w:rPr>
      </w:pPr>
      <w:r w:rsidRPr="002A4120">
        <w:rPr>
          <w:rFonts w:ascii="Arial" w:hAnsi="Arial" w:cs="Arial"/>
          <w:b/>
          <w:sz w:val="24"/>
          <w:szCs w:val="24"/>
        </w:rPr>
        <w:t>Total insurance policy expense, net of reinsurance</w:t>
      </w:r>
    </w:p>
    <w:p w14:paraId="3887A8B7" w14:textId="77777777" w:rsidR="00E54887" w:rsidRPr="002A4120" w:rsidRDefault="00E54887" w:rsidP="003168CB">
      <w:pPr>
        <w:spacing w:after="240"/>
        <w:jc w:val="both"/>
      </w:pPr>
      <w:r w:rsidRPr="002A4120">
        <w:t>This item represents total insurance policy expenses net of outwards reinsurance.</w:t>
      </w:r>
    </w:p>
    <w:p w14:paraId="47605776" w14:textId="77777777" w:rsidR="00E54887" w:rsidRPr="002A4120" w:rsidRDefault="00E54887" w:rsidP="003168CB">
      <w:pPr>
        <w:pStyle w:val="ListParagraph"/>
        <w:keepNext/>
        <w:numPr>
          <w:ilvl w:val="0"/>
          <w:numId w:val="14"/>
        </w:numPr>
        <w:spacing w:after="240"/>
        <w:ind w:left="567" w:hanging="567"/>
        <w:contextualSpacing w:val="0"/>
        <w:rPr>
          <w:rFonts w:ascii="Arial" w:hAnsi="Arial" w:cs="Arial"/>
          <w:b/>
          <w:sz w:val="24"/>
          <w:szCs w:val="24"/>
        </w:rPr>
      </w:pPr>
      <w:r w:rsidRPr="002A4120">
        <w:rPr>
          <w:rFonts w:ascii="Arial" w:hAnsi="Arial" w:cs="Arial"/>
          <w:b/>
          <w:sz w:val="24"/>
          <w:szCs w:val="24"/>
        </w:rPr>
        <w:t>Operating expenses</w:t>
      </w:r>
    </w:p>
    <w:p w14:paraId="560821AF" w14:textId="77777777" w:rsidR="00E54887" w:rsidRPr="002A4120" w:rsidRDefault="00E54887" w:rsidP="003168CB">
      <w:pPr>
        <w:spacing w:after="240"/>
        <w:jc w:val="both"/>
      </w:pPr>
      <w:r w:rsidRPr="002A4120">
        <w:t>Abnormal operating expenses are not to be excluded or shown separately, but included in the relevant category. In total, all expenses are to be included.</w:t>
      </w:r>
    </w:p>
    <w:p w14:paraId="11010BEC" w14:textId="77777777" w:rsidR="00E54887" w:rsidRPr="002A4120" w:rsidRDefault="00E54887" w:rsidP="003168CB">
      <w:pPr>
        <w:spacing w:after="240"/>
        <w:jc w:val="both"/>
      </w:pPr>
      <w:r w:rsidRPr="002A4120">
        <w:lastRenderedPageBreak/>
        <w:t>Policy acquisition items are prior to any component deferred to either policy liabilities or a deferred acquisition cost asset.</w:t>
      </w:r>
    </w:p>
    <w:p w14:paraId="70330BF0" w14:textId="77777777" w:rsidR="00E54887" w:rsidRPr="002A4120" w:rsidRDefault="00E54887" w:rsidP="003168CB">
      <w:pPr>
        <w:pStyle w:val="ListParagraph"/>
        <w:keepNext/>
        <w:numPr>
          <w:ilvl w:val="1"/>
          <w:numId w:val="15"/>
        </w:numPr>
        <w:spacing w:after="240"/>
        <w:ind w:left="567" w:hanging="567"/>
        <w:contextualSpacing w:val="0"/>
        <w:rPr>
          <w:rFonts w:ascii="Arial" w:hAnsi="Arial" w:cs="Arial"/>
          <w:b/>
          <w:sz w:val="24"/>
          <w:szCs w:val="24"/>
        </w:rPr>
      </w:pPr>
      <w:r w:rsidRPr="002A4120">
        <w:rPr>
          <w:rFonts w:ascii="Arial" w:hAnsi="Arial" w:cs="Arial"/>
          <w:b/>
          <w:sz w:val="24"/>
          <w:szCs w:val="24"/>
        </w:rPr>
        <w:t>Policy acquisition - commission and other incremental expenses</w:t>
      </w:r>
    </w:p>
    <w:p w14:paraId="715DE0A8" w14:textId="77777777" w:rsidR="00E54887" w:rsidRPr="002A4120" w:rsidRDefault="00E54887" w:rsidP="003168CB">
      <w:pPr>
        <w:spacing w:after="240"/>
        <w:jc w:val="both"/>
      </w:pPr>
      <w:r w:rsidRPr="002A4120">
        <w:t>This includes all incremental costs of acquiring new insurance business.</w:t>
      </w:r>
    </w:p>
    <w:p w14:paraId="39809195" w14:textId="77777777" w:rsidR="00E54887" w:rsidRPr="002A4120" w:rsidRDefault="00E54887" w:rsidP="003168CB">
      <w:pPr>
        <w:pStyle w:val="ListParagraph"/>
        <w:keepNext/>
        <w:numPr>
          <w:ilvl w:val="1"/>
          <w:numId w:val="15"/>
        </w:numPr>
        <w:spacing w:after="240"/>
        <w:ind w:left="567" w:hanging="567"/>
        <w:contextualSpacing w:val="0"/>
        <w:rPr>
          <w:rFonts w:ascii="Arial" w:hAnsi="Arial" w:cs="Arial"/>
          <w:b/>
          <w:sz w:val="24"/>
          <w:szCs w:val="24"/>
        </w:rPr>
      </w:pPr>
      <w:r w:rsidRPr="002A4120">
        <w:rPr>
          <w:rFonts w:ascii="Arial" w:hAnsi="Arial" w:cs="Arial"/>
          <w:b/>
          <w:sz w:val="24"/>
          <w:szCs w:val="24"/>
        </w:rPr>
        <w:t>Policy acquisition - other expenses</w:t>
      </w:r>
    </w:p>
    <w:p w14:paraId="145DC10C" w14:textId="77777777" w:rsidR="00E54887" w:rsidRPr="002A4120" w:rsidRDefault="00E54887" w:rsidP="003168CB">
      <w:pPr>
        <w:spacing w:after="240"/>
        <w:jc w:val="both"/>
      </w:pPr>
      <w:r w:rsidRPr="002A4120">
        <w:t>This</w:t>
      </w:r>
      <w:r w:rsidRPr="002A4120" w:rsidDel="00EA7BF5">
        <w:t xml:space="preserve"> is calculated automatically as item 7.3 less item 7.1.</w:t>
      </w:r>
    </w:p>
    <w:p w14:paraId="6BC39A83" w14:textId="77777777" w:rsidR="00E54887" w:rsidRPr="002A4120" w:rsidRDefault="00E54887" w:rsidP="003168CB">
      <w:pPr>
        <w:pStyle w:val="ListParagraph"/>
        <w:keepNext/>
        <w:numPr>
          <w:ilvl w:val="1"/>
          <w:numId w:val="15"/>
        </w:numPr>
        <w:spacing w:after="240"/>
        <w:ind w:left="567" w:hanging="567"/>
        <w:contextualSpacing w:val="0"/>
        <w:rPr>
          <w:rFonts w:ascii="Arial" w:hAnsi="Arial" w:cs="Arial"/>
          <w:b/>
          <w:sz w:val="24"/>
          <w:szCs w:val="24"/>
        </w:rPr>
      </w:pPr>
      <w:r w:rsidRPr="002A4120">
        <w:rPr>
          <w:rFonts w:ascii="Arial" w:hAnsi="Arial" w:cs="Arial"/>
          <w:b/>
          <w:sz w:val="24"/>
          <w:szCs w:val="24"/>
        </w:rPr>
        <w:t>Total policy acquisition expenses</w:t>
      </w:r>
    </w:p>
    <w:p w14:paraId="4A0B736C" w14:textId="77777777" w:rsidR="00E54887" w:rsidRPr="002A4120" w:rsidRDefault="00E54887" w:rsidP="003168CB">
      <w:pPr>
        <w:spacing w:after="240"/>
        <w:jc w:val="both"/>
      </w:pPr>
      <w:r w:rsidRPr="002A4120">
        <w:t>This is all the fixed and variable costs incurred when acquiring new business.</w:t>
      </w:r>
    </w:p>
    <w:p w14:paraId="3457DC5D" w14:textId="77777777" w:rsidR="00E54887" w:rsidRPr="002A4120" w:rsidRDefault="00E54887" w:rsidP="003168CB">
      <w:pPr>
        <w:pStyle w:val="ListParagraph"/>
        <w:keepNext/>
        <w:numPr>
          <w:ilvl w:val="1"/>
          <w:numId w:val="17"/>
        </w:numPr>
        <w:spacing w:after="240"/>
        <w:ind w:left="567" w:hanging="567"/>
        <w:contextualSpacing w:val="0"/>
        <w:rPr>
          <w:rFonts w:ascii="Arial" w:hAnsi="Arial" w:cs="Arial"/>
          <w:b/>
          <w:sz w:val="24"/>
          <w:szCs w:val="24"/>
        </w:rPr>
      </w:pPr>
      <w:r w:rsidRPr="002A4120">
        <w:rPr>
          <w:rFonts w:ascii="Arial" w:hAnsi="Arial" w:cs="Arial"/>
          <w:b/>
          <w:sz w:val="24"/>
          <w:szCs w:val="24"/>
        </w:rPr>
        <w:t>Policy maintenance - commission and other incremental expenses</w:t>
      </w:r>
    </w:p>
    <w:p w14:paraId="29ADA55E" w14:textId="77777777" w:rsidR="00E54887" w:rsidRPr="002A4120" w:rsidRDefault="00E54887" w:rsidP="003168CB">
      <w:pPr>
        <w:spacing w:after="240"/>
        <w:jc w:val="both"/>
      </w:pPr>
      <w:r w:rsidRPr="002A4120">
        <w:t>Variable costs of:</w:t>
      </w:r>
    </w:p>
    <w:p w14:paraId="05ADC8DD" w14:textId="77777777" w:rsidR="00E54887" w:rsidRPr="002A4120" w:rsidRDefault="00E54887" w:rsidP="003168CB">
      <w:pPr>
        <w:pStyle w:val="ListParagraph"/>
        <w:numPr>
          <w:ilvl w:val="0"/>
          <w:numId w:val="16"/>
        </w:numPr>
        <w:tabs>
          <w:tab w:val="left" w:pos="426"/>
        </w:tabs>
        <w:spacing w:after="240"/>
        <w:contextualSpacing w:val="0"/>
        <w:jc w:val="both"/>
        <w:rPr>
          <w:sz w:val="24"/>
          <w:szCs w:val="24"/>
        </w:rPr>
      </w:pPr>
      <w:r w:rsidRPr="002A4120">
        <w:rPr>
          <w:sz w:val="24"/>
          <w:szCs w:val="24"/>
        </w:rPr>
        <w:t>administering policies subsequent to their sale; and</w:t>
      </w:r>
    </w:p>
    <w:p w14:paraId="76FF8539" w14:textId="77777777" w:rsidR="00E54887" w:rsidRPr="002A4120" w:rsidRDefault="00E54887" w:rsidP="003168CB">
      <w:pPr>
        <w:pStyle w:val="ListParagraph"/>
        <w:numPr>
          <w:ilvl w:val="0"/>
          <w:numId w:val="16"/>
        </w:numPr>
        <w:tabs>
          <w:tab w:val="left" w:pos="426"/>
        </w:tabs>
        <w:spacing w:after="240"/>
        <w:contextualSpacing w:val="0"/>
        <w:jc w:val="both"/>
        <w:rPr>
          <w:sz w:val="24"/>
          <w:szCs w:val="24"/>
        </w:rPr>
      </w:pPr>
      <w:r w:rsidRPr="002A4120">
        <w:rPr>
          <w:sz w:val="24"/>
          <w:szCs w:val="24"/>
        </w:rPr>
        <w:t>administering the general operations of the life company.</w:t>
      </w:r>
    </w:p>
    <w:p w14:paraId="43A6CBBA" w14:textId="77777777" w:rsidR="00E54887" w:rsidRPr="002A4120" w:rsidRDefault="00E54887" w:rsidP="003168CB">
      <w:pPr>
        <w:spacing w:after="240"/>
        <w:rPr>
          <w:rFonts w:ascii="Arial" w:hAnsi="Arial" w:cs="Arial"/>
          <w:b/>
        </w:rPr>
      </w:pPr>
      <w:r w:rsidRPr="002A4120">
        <w:t>Include all normal operating costs and expenses other than acquisition and investment management expenses.</w:t>
      </w:r>
    </w:p>
    <w:p w14:paraId="70E26753" w14:textId="77777777" w:rsidR="00E54887" w:rsidRPr="002A4120" w:rsidRDefault="00E54887" w:rsidP="003168CB">
      <w:pPr>
        <w:pStyle w:val="ListParagraph"/>
        <w:numPr>
          <w:ilvl w:val="1"/>
          <w:numId w:val="17"/>
        </w:numPr>
        <w:spacing w:after="240"/>
        <w:ind w:left="567" w:hanging="567"/>
        <w:contextualSpacing w:val="0"/>
        <w:rPr>
          <w:rFonts w:ascii="Arial" w:hAnsi="Arial" w:cs="Arial"/>
          <w:b/>
          <w:sz w:val="24"/>
          <w:szCs w:val="24"/>
        </w:rPr>
      </w:pPr>
      <w:r w:rsidRPr="002A4120">
        <w:rPr>
          <w:rFonts w:ascii="Arial" w:hAnsi="Arial" w:cs="Arial"/>
          <w:b/>
          <w:sz w:val="24"/>
          <w:szCs w:val="24"/>
        </w:rPr>
        <w:t>Policy maintenance – other expenses</w:t>
      </w:r>
    </w:p>
    <w:p w14:paraId="38A2C34E" w14:textId="77777777" w:rsidR="00E54887" w:rsidRPr="002A4120" w:rsidRDefault="00E54887" w:rsidP="003168CB">
      <w:pPr>
        <w:spacing w:after="240"/>
        <w:jc w:val="both"/>
      </w:pPr>
      <w:r w:rsidRPr="002A4120">
        <w:t>This is calculated automatically as item 7.6 less item 7.4.</w:t>
      </w:r>
    </w:p>
    <w:p w14:paraId="572B4D65" w14:textId="77777777" w:rsidR="00E54887" w:rsidRPr="002A4120" w:rsidRDefault="00E54887" w:rsidP="003168CB">
      <w:pPr>
        <w:pStyle w:val="ListParagraph"/>
        <w:numPr>
          <w:ilvl w:val="1"/>
          <w:numId w:val="17"/>
        </w:numPr>
        <w:spacing w:after="240"/>
        <w:ind w:left="567" w:hanging="567"/>
        <w:contextualSpacing w:val="0"/>
        <w:jc w:val="both"/>
        <w:rPr>
          <w:rFonts w:ascii="Arial" w:hAnsi="Arial" w:cs="Arial"/>
          <w:b/>
          <w:sz w:val="24"/>
          <w:szCs w:val="24"/>
        </w:rPr>
      </w:pPr>
      <w:r w:rsidRPr="002A4120">
        <w:rPr>
          <w:rFonts w:ascii="Arial" w:hAnsi="Arial" w:cs="Arial"/>
          <w:b/>
          <w:sz w:val="24"/>
          <w:szCs w:val="24"/>
        </w:rPr>
        <w:t>Total policy maintenance expenses</w:t>
      </w:r>
    </w:p>
    <w:p w14:paraId="3344EF2A" w14:textId="77777777" w:rsidR="00E54887" w:rsidRPr="002A4120" w:rsidRDefault="00E54887" w:rsidP="003168CB">
      <w:pPr>
        <w:spacing w:after="240"/>
        <w:jc w:val="both"/>
        <w:rPr>
          <w:rFonts w:ascii="Arial" w:hAnsi="Arial" w:cs="Arial"/>
          <w:b/>
        </w:rPr>
      </w:pPr>
      <w:r w:rsidRPr="002A4120">
        <w:t>This is all the fixed and variable costs incurred in relation to activities described in instructions to item 7.4.</w:t>
      </w:r>
    </w:p>
    <w:p w14:paraId="7697DF11" w14:textId="77777777" w:rsidR="00E54887" w:rsidRPr="002A4120" w:rsidRDefault="00E54887" w:rsidP="003168CB">
      <w:pPr>
        <w:pStyle w:val="ListParagraph"/>
        <w:keepNext/>
        <w:numPr>
          <w:ilvl w:val="1"/>
          <w:numId w:val="17"/>
        </w:numPr>
        <w:spacing w:after="240"/>
        <w:ind w:left="567" w:hanging="567"/>
        <w:contextualSpacing w:val="0"/>
        <w:jc w:val="both"/>
        <w:rPr>
          <w:rFonts w:ascii="Arial" w:hAnsi="Arial" w:cs="Arial"/>
          <w:b/>
          <w:sz w:val="24"/>
          <w:szCs w:val="24"/>
        </w:rPr>
      </w:pPr>
      <w:r w:rsidRPr="002A4120">
        <w:rPr>
          <w:rFonts w:ascii="Arial" w:hAnsi="Arial" w:cs="Arial"/>
          <w:b/>
          <w:sz w:val="24"/>
          <w:szCs w:val="24"/>
        </w:rPr>
        <w:t>Investment management expenses</w:t>
      </w:r>
    </w:p>
    <w:p w14:paraId="3B5593F3" w14:textId="77777777" w:rsidR="00E54887" w:rsidRPr="002A4120" w:rsidRDefault="00E54887" w:rsidP="003168CB">
      <w:pPr>
        <w:spacing w:after="240"/>
        <w:jc w:val="both"/>
      </w:pPr>
      <w:r w:rsidRPr="002A4120">
        <w:t>These are the fixed and variable costs of managing the investment portfolio.</w:t>
      </w:r>
    </w:p>
    <w:p w14:paraId="5D19A605" w14:textId="77777777" w:rsidR="00E54887" w:rsidRPr="002A4120" w:rsidRDefault="00E54887" w:rsidP="003168CB">
      <w:pPr>
        <w:pStyle w:val="ListParagraph"/>
        <w:keepNext/>
        <w:numPr>
          <w:ilvl w:val="1"/>
          <w:numId w:val="17"/>
        </w:numPr>
        <w:spacing w:after="240"/>
        <w:ind w:left="567" w:hanging="567"/>
        <w:contextualSpacing w:val="0"/>
        <w:jc w:val="both"/>
        <w:rPr>
          <w:rFonts w:ascii="Arial" w:hAnsi="Arial" w:cs="Arial"/>
          <w:b/>
          <w:sz w:val="24"/>
          <w:szCs w:val="24"/>
        </w:rPr>
      </w:pPr>
      <w:r w:rsidRPr="002A4120">
        <w:rPr>
          <w:rFonts w:ascii="Arial" w:hAnsi="Arial" w:cs="Arial"/>
          <w:b/>
          <w:sz w:val="24"/>
          <w:szCs w:val="24"/>
        </w:rPr>
        <w:t>Acquisition expenses reported as movement in policy liability (Net movement in DAC)</w:t>
      </w:r>
    </w:p>
    <w:p w14:paraId="3C02F85D" w14:textId="77777777" w:rsidR="00E54887" w:rsidRPr="002A4120" w:rsidRDefault="00E54887" w:rsidP="003168CB">
      <w:pPr>
        <w:spacing w:after="240"/>
        <w:jc w:val="both"/>
      </w:pPr>
      <w:r w:rsidRPr="002A4120">
        <w:t>Include amortisation and impairment of existing deferred acquisition costs (DAC) less additional deferrals of acquisition expenses during the reporting period.</w:t>
      </w:r>
    </w:p>
    <w:p w14:paraId="58FEECDD" w14:textId="77777777" w:rsidR="00E54887" w:rsidRPr="002A4120" w:rsidRDefault="00E54887" w:rsidP="003168CB">
      <w:pPr>
        <w:spacing w:after="240"/>
        <w:jc w:val="both"/>
      </w:pPr>
      <w:r w:rsidRPr="002A4120">
        <w:t>Note that amounts are as per AASB 1038, and not offset by any initial fee revenue.</w:t>
      </w:r>
    </w:p>
    <w:p w14:paraId="46D1B566" w14:textId="77777777" w:rsidR="00E54887" w:rsidRPr="002A4120" w:rsidRDefault="00E54887" w:rsidP="003168CB">
      <w:pPr>
        <w:spacing w:after="240"/>
        <w:jc w:val="both"/>
      </w:pPr>
      <w:r w:rsidRPr="002A4120">
        <w:t>An adjustment for this amount is automatically calculated by the form when determining Item 11 ‘Effective movement in net policy liabilities’.</w:t>
      </w:r>
    </w:p>
    <w:p w14:paraId="7628DF18" w14:textId="77777777" w:rsidR="00E54887" w:rsidRPr="002A4120" w:rsidRDefault="00E54887" w:rsidP="003168CB">
      <w:pPr>
        <w:pStyle w:val="ListParagraph"/>
        <w:keepNext/>
        <w:numPr>
          <w:ilvl w:val="1"/>
          <w:numId w:val="17"/>
        </w:numPr>
        <w:spacing w:after="240"/>
        <w:ind w:left="567" w:hanging="567"/>
        <w:contextualSpacing w:val="0"/>
        <w:rPr>
          <w:rFonts w:ascii="Arial" w:hAnsi="Arial" w:cs="Arial"/>
          <w:b/>
          <w:sz w:val="24"/>
          <w:szCs w:val="24"/>
        </w:rPr>
      </w:pPr>
      <w:r w:rsidRPr="002A4120">
        <w:rPr>
          <w:rFonts w:ascii="Arial" w:hAnsi="Arial" w:cs="Arial"/>
          <w:b/>
          <w:sz w:val="24"/>
          <w:szCs w:val="24"/>
        </w:rPr>
        <w:lastRenderedPageBreak/>
        <w:t>Other administration expenses</w:t>
      </w:r>
    </w:p>
    <w:p w14:paraId="1903A225" w14:textId="77777777" w:rsidR="00E54887" w:rsidRPr="002A4120" w:rsidRDefault="00E54887" w:rsidP="003168CB">
      <w:pPr>
        <w:spacing w:after="240"/>
        <w:jc w:val="both"/>
      </w:pPr>
      <w:r w:rsidRPr="002A4120">
        <w:t>This includes all other general administration expenses not specifically categorised above. It is automatically calculated by the form.</w:t>
      </w:r>
    </w:p>
    <w:p w14:paraId="3B7013D3" w14:textId="77777777" w:rsidR="00E54887" w:rsidRPr="002A4120" w:rsidRDefault="00E54887" w:rsidP="003168CB">
      <w:pPr>
        <w:pStyle w:val="ListParagraph"/>
        <w:keepNext/>
        <w:numPr>
          <w:ilvl w:val="1"/>
          <w:numId w:val="18"/>
        </w:numPr>
        <w:spacing w:after="240"/>
        <w:ind w:left="567" w:hanging="567"/>
        <w:contextualSpacing w:val="0"/>
        <w:jc w:val="both"/>
        <w:rPr>
          <w:rFonts w:ascii="Arial" w:hAnsi="Arial" w:cs="Arial"/>
          <w:b/>
          <w:sz w:val="24"/>
          <w:szCs w:val="24"/>
        </w:rPr>
      </w:pPr>
      <w:r w:rsidRPr="002A4120">
        <w:rPr>
          <w:rFonts w:ascii="Arial" w:hAnsi="Arial" w:cs="Arial"/>
          <w:b/>
          <w:sz w:val="24"/>
          <w:szCs w:val="24"/>
        </w:rPr>
        <w:t>Interest expense on subordinated debt</w:t>
      </w:r>
    </w:p>
    <w:p w14:paraId="55B549D6" w14:textId="77777777" w:rsidR="00E54887" w:rsidRPr="002A4120" w:rsidRDefault="00E54887" w:rsidP="003168CB">
      <w:pPr>
        <w:pStyle w:val="HTMLPreformatted"/>
        <w:spacing w:after="240"/>
        <w:jc w:val="both"/>
        <w:rPr>
          <w:rFonts w:ascii="Times New Roman" w:hAnsi="Times New Roman" w:cs="Times New Roman"/>
          <w:sz w:val="24"/>
          <w:szCs w:val="24"/>
        </w:rPr>
      </w:pPr>
      <w:r w:rsidRPr="002A4120">
        <w:rPr>
          <w:rFonts w:ascii="Times New Roman" w:hAnsi="Times New Roman" w:cs="Times New Roman"/>
          <w:sz w:val="24"/>
          <w:szCs w:val="24"/>
        </w:rPr>
        <w:t xml:space="preserve">Report the value of interest expense as determined in accordance with accounting standards that relates to subordinated debt.     </w:t>
      </w:r>
    </w:p>
    <w:p w14:paraId="26DE7BD3" w14:textId="77777777" w:rsidR="00E54887" w:rsidRPr="002A4120" w:rsidRDefault="00E54887" w:rsidP="008F525F">
      <w:pPr>
        <w:spacing w:after="240"/>
        <w:jc w:val="both"/>
      </w:pPr>
      <w:r w:rsidRPr="002A4120">
        <w:t>Subordinated debt is a debt where the claim to repayment ranks lower in priority to other claims.</w:t>
      </w:r>
    </w:p>
    <w:p w14:paraId="40410267" w14:textId="77777777" w:rsidR="00E54887" w:rsidRPr="002A4120" w:rsidRDefault="00E54887" w:rsidP="003168CB">
      <w:pPr>
        <w:pStyle w:val="ListParagraph"/>
        <w:keepNext/>
        <w:numPr>
          <w:ilvl w:val="1"/>
          <w:numId w:val="18"/>
        </w:numPr>
        <w:spacing w:after="240"/>
        <w:ind w:left="567" w:hanging="567"/>
        <w:contextualSpacing w:val="0"/>
        <w:jc w:val="both"/>
        <w:rPr>
          <w:rFonts w:ascii="Arial" w:hAnsi="Arial" w:cs="Arial"/>
          <w:b/>
          <w:sz w:val="24"/>
          <w:szCs w:val="24"/>
        </w:rPr>
      </w:pPr>
      <w:r w:rsidRPr="002A4120">
        <w:rPr>
          <w:rFonts w:ascii="Arial" w:hAnsi="Arial" w:cs="Arial"/>
          <w:b/>
          <w:sz w:val="24"/>
          <w:szCs w:val="24"/>
        </w:rPr>
        <w:t>Interest expense on other borrowings</w:t>
      </w:r>
    </w:p>
    <w:p w14:paraId="1905FE77" w14:textId="77777777" w:rsidR="00E54887" w:rsidRPr="002A4120" w:rsidRDefault="00E54887" w:rsidP="008F525F">
      <w:pPr>
        <w:spacing w:after="240"/>
        <w:jc w:val="both"/>
      </w:pPr>
      <w:r w:rsidRPr="002A4120">
        <w:t>Report the value of interest expense as determined in accordance with accounting standards that does not relate to subordinated debt.</w:t>
      </w:r>
    </w:p>
    <w:p w14:paraId="15FFD4EE" w14:textId="77777777" w:rsidR="00E54887" w:rsidRPr="002A4120" w:rsidRDefault="00E54887" w:rsidP="003168CB">
      <w:pPr>
        <w:pStyle w:val="ListParagraph"/>
        <w:keepNext/>
        <w:numPr>
          <w:ilvl w:val="1"/>
          <w:numId w:val="18"/>
        </w:numPr>
        <w:spacing w:after="240"/>
        <w:ind w:left="567" w:hanging="567"/>
        <w:contextualSpacing w:val="0"/>
        <w:rPr>
          <w:rFonts w:ascii="Arial" w:hAnsi="Arial" w:cs="Arial"/>
          <w:b/>
          <w:sz w:val="24"/>
          <w:szCs w:val="24"/>
        </w:rPr>
      </w:pPr>
      <w:r w:rsidRPr="002A4120">
        <w:rPr>
          <w:rFonts w:ascii="Arial" w:hAnsi="Arial" w:cs="Arial"/>
          <w:b/>
          <w:sz w:val="24"/>
          <w:szCs w:val="24"/>
        </w:rPr>
        <w:t>Total non-life operating expenses</w:t>
      </w:r>
    </w:p>
    <w:p w14:paraId="12985CB2" w14:textId="77777777" w:rsidR="00E54887" w:rsidRPr="002A4120" w:rsidRDefault="00E54887" w:rsidP="003168CB">
      <w:pPr>
        <w:spacing w:after="240"/>
        <w:jc w:val="both"/>
      </w:pPr>
      <w:r w:rsidRPr="002A4120">
        <w:t>This is generally only expected to apply if permitted to write general insurance business under section 234 of the Act.</w:t>
      </w:r>
    </w:p>
    <w:p w14:paraId="7A28CEE9" w14:textId="77777777" w:rsidR="00E54887" w:rsidRPr="002A4120" w:rsidRDefault="00E54887" w:rsidP="003168CB">
      <w:pPr>
        <w:pStyle w:val="ListParagraph"/>
        <w:keepNext/>
        <w:numPr>
          <w:ilvl w:val="1"/>
          <w:numId w:val="18"/>
        </w:numPr>
        <w:spacing w:after="240"/>
        <w:ind w:left="567" w:hanging="567"/>
        <w:contextualSpacing w:val="0"/>
        <w:rPr>
          <w:rFonts w:ascii="Arial" w:hAnsi="Arial" w:cs="Arial"/>
          <w:b/>
          <w:sz w:val="24"/>
          <w:szCs w:val="24"/>
        </w:rPr>
      </w:pPr>
      <w:r w:rsidRPr="002A4120">
        <w:rPr>
          <w:rFonts w:ascii="Arial" w:hAnsi="Arial" w:cs="Arial"/>
          <w:b/>
          <w:sz w:val="24"/>
          <w:szCs w:val="24"/>
        </w:rPr>
        <w:t>Total operating expenses</w:t>
      </w:r>
    </w:p>
    <w:p w14:paraId="0A96ADF8" w14:textId="77777777" w:rsidR="00E54887" w:rsidRPr="002A4120" w:rsidRDefault="00E54887" w:rsidP="003168CB">
      <w:pPr>
        <w:spacing w:after="240"/>
        <w:jc w:val="both"/>
      </w:pPr>
      <w:r w:rsidRPr="002A4120">
        <w:t>This item represents total operating expenses.</w:t>
      </w:r>
    </w:p>
    <w:p w14:paraId="519CB72B" w14:textId="77777777" w:rsidR="00E54887" w:rsidRPr="002A4120" w:rsidRDefault="00E54887" w:rsidP="003168CB">
      <w:pPr>
        <w:pStyle w:val="ListParagraph"/>
        <w:keepNext/>
        <w:numPr>
          <w:ilvl w:val="0"/>
          <w:numId w:val="18"/>
        </w:numPr>
        <w:spacing w:after="240"/>
        <w:ind w:left="567" w:hanging="567"/>
        <w:contextualSpacing w:val="0"/>
        <w:rPr>
          <w:rFonts w:ascii="Arial" w:hAnsi="Arial" w:cs="Arial"/>
          <w:b/>
          <w:sz w:val="24"/>
          <w:szCs w:val="24"/>
        </w:rPr>
      </w:pPr>
      <w:r w:rsidRPr="002A4120">
        <w:rPr>
          <w:rFonts w:ascii="Arial" w:hAnsi="Arial" w:cs="Arial"/>
          <w:b/>
          <w:sz w:val="24"/>
          <w:szCs w:val="24"/>
        </w:rPr>
        <w:t>Movement in net policy liabilities</w:t>
      </w:r>
    </w:p>
    <w:p w14:paraId="042BCFAE"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Increase/(decrease) in net policy liabilities</w:t>
      </w:r>
    </w:p>
    <w:p w14:paraId="1FCAFEA2" w14:textId="77777777" w:rsidR="00E54887" w:rsidRPr="002A4120" w:rsidRDefault="00E54887" w:rsidP="003168CB">
      <w:pPr>
        <w:spacing w:after="240"/>
        <w:jc w:val="both"/>
      </w:pPr>
      <w:r w:rsidRPr="002A4120">
        <w:t>This item is to be reported as the numerical result: net policy liabilities at end of reporting period, less net policy liabilities at beginning of reporting period; thus if net policy liabilities increased the result is an expense, while if they decreased the result is a negative expense. It is to be reported inclusive of inwards reinsurance and net of outwards reinsurance at beginning and end of reporting period.  Note that for friendly societies this item also includes movements in unallocated surplus classified as liability and current year surplus distributions to benefit fund members.</w:t>
      </w:r>
    </w:p>
    <w:p w14:paraId="49975E13" w14:textId="77777777" w:rsidR="00E54887" w:rsidRPr="002A4120" w:rsidRDefault="00E54887" w:rsidP="003168CB">
      <w:pPr>
        <w:spacing w:after="240"/>
        <w:jc w:val="both"/>
      </w:pPr>
      <w:r w:rsidRPr="002A4120">
        <w:t>A number of adjustments to movement in net policy liabilities are required in order to obtain the relevant measure of profit or loss for the reporting period. The adjustments involve deposits/withdrawals, non-premium related fees for management services, and movements in the liabilities for deferred fee revenue and deferred acquisition cost.  The end result of these adjustments is Effective movement in net policy liabilities (Item 11).</w:t>
      </w:r>
    </w:p>
    <w:p w14:paraId="4F00D4D8" w14:textId="77777777" w:rsidR="00E54887" w:rsidRPr="002A4120" w:rsidRDefault="00E54887" w:rsidP="003168CB">
      <w:pPr>
        <w:spacing w:after="240"/>
        <w:jc w:val="both"/>
      </w:pPr>
      <w:r w:rsidRPr="002A4120">
        <w:t>Items 9 and 10 are two of these adjustments and represent the deposit/withdrawal components of both life insurance and life investment contracts (which are recorded directly to policy liabilities).</w:t>
      </w:r>
    </w:p>
    <w:p w14:paraId="6DF2496B" w14:textId="77777777" w:rsidR="00E54887" w:rsidRPr="002A4120" w:rsidRDefault="00E54887" w:rsidP="003168CB">
      <w:pPr>
        <w:pStyle w:val="ListParagraph"/>
        <w:keepNext/>
        <w:numPr>
          <w:ilvl w:val="2"/>
          <w:numId w:val="19"/>
        </w:numPr>
        <w:spacing w:after="240"/>
        <w:ind w:left="0" w:firstLine="0"/>
        <w:contextualSpacing w:val="0"/>
        <w:rPr>
          <w:rFonts w:ascii="Arial" w:hAnsi="Arial" w:cs="Arial"/>
          <w:b/>
          <w:sz w:val="24"/>
          <w:szCs w:val="24"/>
        </w:rPr>
      </w:pPr>
      <w:r w:rsidRPr="002A4120">
        <w:rPr>
          <w:rFonts w:ascii="Arial" w:hAnsi="Arial" w:cs="Arial"/>
          <w:b/>
          <w:sz w:val="24"/>
          <w:szCs w:val="24"/>
        </w:rPr>
        <w:lastRenderedPageBreak/>
        <w:t>Of which: Surplus distributed to benefit fund members (friendly society only)</w:t>
      </w:r>
    </w:p>
    <w:p w14:paraId="02F77DBE" w14:textId="77777777" w:rsidR="00E54887" w:rsidRPr="002A4120" w:rsidRDefault="00E54887" w:rsidP="003168CB">
      <w:pPr>
        <w:spacing w:after="240"/>
        <w:jc w:val="both"/>
      </w:pPr>
      <w:r w:rsidRPr="002A4120">
        <w:t>This item is the value of the surplus distributed to benefit fund members in the current reporting period.</w:t>
      </w:r>
    </w:p>
    <w:p w14:paraId="6B9F9CD7" w14:textId="77777777" w:rsidR="00E54887" w:rsidRPr="002A4120" w:rsidRDefault="00E54887" w:rsidP="003168CB">
      <w:pPr>
        <w:spacing w:after="240"/>
        <w:jc w:val="both"/>
      </w:pPr>
      <w:r w:rsidRPr="002A4120">
        <w:t>This item is applicable for friendly societies only.</w:t>
      </w:r>
    </w:p>
    <w:p w14:paraId="6550D480" w14:textId="77777777" w:rsidR="00E54887" w:rsidRPr="002A4120" w:rsidRDefault="00E54887" w:rsidP="003168CB">
      <w:pPr>
        <w:pStyle w:val="ListParagraph"/>
        <w:keepNext/>
        <w:numPr>
          <w:ilvl w:val="2"/>
          <w:numId w:val="19"/>
        </w:numPr>
        <w:spacing w:after="240"/>
        <w:ind w:left="0" w:firstLine="0"/>
        <w:contextualSpacing w:val="0"/>
        <w:rPr>
          <w:rFonts w:ascii="Arial" w:hAnsi="Arial" w:cs="Arial"/>
          <w:b/>
          <w:sz w:val="24"/>
          <w:szCs w:val="24"/>
        </w:rPr>
      </w:pPr>
      <w:r w:rsidRPr="002A4120">
        <w:rPr>
          <w:rFonts w:ascii="Arial" w:hAnsi="Arial" w:cs="Arial"/>
          <w:b/>
          <w:sz w:val="24"/>
          <w:szCs w:val="24"/>
        </w:rPr>
        <w:t>Of which: Increase/(decrease) in unallocated surplus (friendly society only)</w:t>
      </w:r>
    </w:p>
    <w:p w14:paraId="68F50EBC" w14:textId="77777777" w:rsidR="00E54887" w:rsidRPr="002A4120" w:rsidRDefault="00E54887" w:rsidP="003168CB">
      <w:pPr>
        <w:spacing w:after="240"/>
        <w:jc w:val="both"/>
      </w:pPr>
      <w:r w:rsidRPr="002A4120">
        <w:t>This item is the increase in the unallocated surplus classified as liabilities in the current reporting period after distributions have been made to benefit fund members.  Unallocated surplus classified as liabilities relates to all other unallocated surpluses that have not been included in item 25.1 of LRF 300.1.</w:t>
      </w:r>
    </w:p>
    <w:p w14:paraId="1C433324" w14:textId="77777777" w:rsidR="00E54887" w:rsidRPr="002A4120" w:rsidRDefault="00E54887" w:rsidP="003168CB">
      <w:pPr>
        <w:spacing w:after="240"/>
        <w:jc w:val="both"/>
      </w:pPr>
      <w:r w:rsidRPr="002A4120">
        <w:t>This item is applicable for friendly societies only.</w:t>
      </w:r>
    </w:p>
    <w:p w14:paraId="590DB4AF"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Adjustment to movement in net policy liabilities - policy revenue</w:t>
      </w:r>
      <w:r w:rsidRPr="002A4120">
        <w:rPr>
          <w:rFonts w:ascii="Arial" w:hAnsi="Arial" w:cs="Arial"/>
          <w:b/>
          <w:sz w:val="24"/>
          <w:szCs w:val="24"/>
        </w:rPr>
        <w:br/>
        <w:t>Policy revenue recognised as a deposit or as a change in policy liability</w:t>
      </w:r>
    </w:p>
    <w:p w14:paraId="7DD977C9"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Contractual direct premiums</w:t>
      </w:r>
    </w:p>
    <w:p w14:paraId="1AD54E89" w14:textId="77777777" w:rsidR="00E54887" w:rsidRPr="002A4120" w:rsidRDefault="00E54887" w:rsidP="003168CB">
      <w:pPr>
        <w:spacing w:after="240"/>
        <w:jc w:val="both"/>
      </w:pPr>
      <w:r w:rsidRPr="002A4120">
        <w:t>Report the deposit components of regular and single premiums received or receivable for life investment and life insurance investment account business written directly – i.e. exclude any revenue components. Show amounts gross of outwards reinsurance, but exclude amounts for inwards reinsurance (see item 9.3, below). Include the deposit component of premiums in respect of deferred or immediate annuities that are life investment business.</w:t>
      </w:r>
    </w:p>
    <w:p w14:paraId="0432A2A2"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Policy conversions – inwards</w:t>
      </w:r>
    </w:p>
    <w:p w14:paraId="2595D18F" w14:textId="77777777" w:rsidR="00E54887" w:rsidRPr="002A4120" w:rsidRDefault="00E54887" w:rsidP="003168CB">
      <w:pPr>
        <w:spacing w:after="240"/>
        <w:jc w:val="both"/>
      </w:pPr>
      <w:r w:rsidRPr="002A4120">
        <w:t>Report the deposit elements of conversions between statutory funds. The inward side of the conversion is shown here, while the outward side is shown at item 10.5 (policy conversions – outwards); any revenue or expense components are to be taken into account in items 1.2 and/or 6.5.</w:t>
      </w:r>
    </w:p>
    <w:p w14:paraId="7F9510F8" w14:textId="77777777" w:rsidR="00E54887" w:rsidRPr="002A4120" w:rsidRDefault="00E54887" w:rsidP="003168CB">
      <w:pPr>
        <w:spacing w:after="240"/>
        <w:jc w:val="both"/>
      </w:pPr>
      <w:r w:rsidRPr="002A4120">
        <w:t>As revenue and expense elements of policy conversions are not expected to apply for life investment contracts due to section 5 of AASB 1038, the full conversion is expected to be treated as a deposit.</w:t>
      </w:r>
    </w:p>
    <w:p w14:paraId="14B8F8E0"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Inwards reinsurance premium revenue</w:t>
      </w:r>
    </w:p>
    <w:p w14:paraId="173069BE" w14:textId="77777777" w:rsidR="00E54887" w:rsidRPr="002A4120" w:rsidRDefault="00E54887" w:rsidP="003168CB">
      <w:pPr>
        <w:spacing w:after="240"/>
        <w:jc w:val="both"/>
      </w:pPr>
      <w:r w:rsidRPr="002A4120">
        <w:t>Report deposit elements for life investment and life insurance investment account business written as inwards reinsurance – i.e. exclude any revenue components. Show amounts gross of outwards (retrocession) reinsurance. Include the deposit component of premiums in respect of deferred or immediate annuities that are life investment business written as inwards reinsurance.</w:t>
      </w:r>
      <w:r w:rsidRPr="002A4120">
        <w:tab/>
      </w:r>
    </w:p>
    <w:p w14:paraId="375552A0"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Total non-life insurance premiums</w:t>
      </w:r>
    </w:p>
    <w:p w14:paraId="5F4F8B3B" w14:textId="77777777" w:rsidR="00E54887" w:rsidRPr="002A4120" w:rsidRDefault="00E54887" w:rsidP="003168CB">
      <w:pPr>
        <w:spacing w:after="240"/>
        <w:jc w:val="both"/>
      </w:pPr>
      <w:r w:rsidRPr="002A4120">
        <w:t>Report any deposit elements corresponding to Item 1.4.</w:t>
      </w:r>
    </w:p>
    <w:p w14:paraId="099D3EBD"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lastRenderedPageBreak/>
        <w:t>Outward reinsurance premiums expense</w:t>
      </w:r>
    </w:p>
    <w:p w14:paraId="707C8624" w14:textId="77777777" w:rsidR="00E54887" w:rsidRPr="002A4120" w:rsidRDefault="00E54887" w:rsidP="008F525F">
      <w:pPr>
        <w:spacing w:after="240"/>
        <w:jc w:val="both"/>
        <w:rPr>
          <w:rFonts w:ascii="Arial" w:hAnsi="Arial" w:cs="Arial"/>
          <w:b/>
        </w:rPr>
      </w:pPr>
      <w:r w:rsidRPr="002A4120">
        <w:t>Report any deposit elements corresponding to Item 1.5.</w:t>
      </w:r>
    </w:p>
    <w:p w14:paraId="7432F6BB"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Total policy revenue, net of reinsurance</w:t>
      </w:r>
    </w:p>
    <w:p w14:paraId="62305440" w14:textId="77777777" w:rsidR="00E54887" w:rsidRPr="002A4120" w:rsidRDefault="00E54887" w:rsidP="003168CB">
      <w:pPr>
        <w:spacing w:after="240"/>
        <w:jc w:val="both"/>
      </w:pPr>
      <w:r w:rsidRPr="002A4120">
        <w:t>This is calculated automatically as the sum of items 9.1 to 9.5.</w:t>
      </w:r>
    </w:p>
    <w:p w14:paraId="731CFFE0"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Adjustment to movement in net policy liabilities - policy expense</w:t>
      </w:r>
      <w:r w:rsidRPr="002A4120">
        <w:rPr>
          <w:rFonts w:ascii="Arial" w:hAnsi="Arial" w:cs="Arial"/>
          <w:b/>
          <w:sz w:val="24"/>
          <w:szCs w:val="24"/>
        </w:rPr>
        <w:br/>
        <w:t>Policy expense recognised as withdrawal of deposit or change in policy liability</w:t>
      </w:r>
    </w:p>
    <w:p w14:paraId="3A913268"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Death and disability claims</w:t>
      </w:r>
    </w:p>
    <w:p w14:paraId="6F478756" w14:textId="77777777" w:rsidR="00E54887" w:rsidRPr="002A4120" w:rsidRDefault="00E54887" w:rsidP="003168CB">
      <w:pPr>
        <w:spacing w:after="240"/>
        <w:jc w:val="both"/>
      </w:pPr>
      <w:r w:rsidRPr="002A4120">
        <w:t>Report benefits paid or payable as withdrawal of any deposit elements for death and/or disability claims on life investment business.</w:t>
      </w:r>
    </w:p>
    <w:p w14:paraId="261FD9FE"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Maturities</w:t>
      </w:r>
    </w:p>
    <w:p w14:paraId="2EFAA08B" w14:textId="77777777" w:rsidR="00E54887" w:rsidRPr="002A4120" w:rsidRDefault="00E54887" w:rsidP="003168CB">
      <w:pPr>
        <w:spacing w:after="240"/>
        <w:jc w:val="both"/>
      </w:pPr>
      <w:r w:rsidRPr="002A4120">
        <w:t>Report benefits paid or payable as withdrawal of any deposit elements for maturity claims on life investment business.</w:t>
      </w:r>
    </w:p>
    <w:p w14:paraId="5FEDC1F8"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Annuities</w:t>
      </w:r>
    </w:p>
    <w:p w14:paraId="3F374041" w14:textId="77777777" w:rsidR="00E54887" w:rsidRPr="002A4120" w:rsidRDefault="00E54887" w:rsidP="003168CB">
      <w:pPr>
        <w:spacing w:after="240"/>
        <w:jc w:val="both"/>
      </w:pPr>
      <w:r w:rsidRPr="002A4120">
        <w:t>Report benefits paid or payable as withdrawal of any deposit elements for annuity benefits on life investment business.</w:t>
      </w:r>
    </w:p>
    <w:p w14:paraId="45A8CC70"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Surrenders and terminations</w:t>
      </w:r>
    </w:p>
    <w:p w14:paraId="77B7C1D2" w14:textId="77777777" w:rsidR="00E54887" w:rsidRPr="002A4120" w:rsidRDefault="00E54887" w:rsidP="003168CB">
      <w:pPr>
        <w:spacing w:after="240"/>
        <w:jc w:val="both"/>
      </w:pPr>
      <w:r w:rsidRPr="002A4120">
        <w:t>Report benefits paid or payable as withdrawal of any deposit elements for surrender and/or termination benefits on life investment business.</w:t>
      </w:r>
    </w:p>
    <w:p w14:paraId="5F938D06"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Policy conversions – outwards</w:t>
      </w:r>
    </w:p>
    <w:p w14:paraId="3A960336" w14:textId="77777777" w:rsidR="00E54887" w:rsidRPr="002A4120" w:rsidRDefault="00E54887" w:rsidP="003168CB">
      <w:pPr>
        <w:spacing w:after="240"/>
        <w:jc w:val="both"/>
      </w:pPr>
      <w:r w:rsidRPr="002A4120">
        <w:t>Report the withdrawal of deposit elements on conversions between statutory funds. The outward side of the conversion is shown here, while the inward side is shown at item 9.2 (policy conversions – inwards); any revenue or expense components are to be taken into account in items 1.2 and/or 6.5.</w:t>
      </w:r>
    </w:p>
    <w:p w14:paraId="2805F4E7" w14:textId="77777777" w:rsidR="00E54887" w:rsidRPr="002A4120" w:rsidRDefault="00E54887" w:rsidP="003168CB">
      <w:pPr>
        <w:spacing w:after="240"/>
        <w:jc w:val="both"/>
      </w:pPr>
      <w:r w:rsidRPr="002A4120">
        <w:t>As revenue and expense elements of policy conversions are not expected to apply for life investment contracts due to section 5 of AASB 1038, the full conversion is expected to be treated as a withdrawal.</w:t>
      </w:r>
    </w:p>
    <w:p w14:paraId="079103EF"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Other claims</w:t>
      </w:r>
    </w:p>
    <w:p w14:paraId="61509C46" w14:textId="77777777" w:rsidR="00E54887" w:rsidRPr="002A4120" w:rsidRDefault="00E54887" w:rsidP="003168CB">
      <w:pPr>
        <w:spacing w:after="240"/>
        <w:jc w:val="both"/>
      </w:pPr>
      <w:r w:rsidRPr="002A4120">
        <w:t>Report benefits paid or payable as withdrawal of any deposit elements for other claims on life investment business. This is automatically calculated as item 10.7 less the sum of items 10.1 to 10.6.</w:t>
      </w:r>
    </w:p>
    <w:p w14:paraId="6C8808F6"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Total claims</w:t>
      </w:r>
    </w:p>
    <w:p w14:paraId="39CCB5E9" w14:textId="77777777" w:rsidR="00E54887" w:rsidRPr="002A4120" w:rsidRDefault="00E54887" w:rsidP="008F525F">
      <w:pPr>
        <w:spacing w:after="240"/>
        <w:jc w:val="both"/>
      </w:pPr>
      <w:r w:rsidRPr="002A4120">
        <w:t>This is the total of benefits paid or payable as withdrawal of deposit elements for claims on life investment business.</w:t>
      </w:r>
    </w:p>
    <w:p w14:paraId="7D6B7EE3"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lastRenderedPageBreak/>
        <w:t>Inwards reinsurance claims expense (including current year bonus)</w:t>
      </w:r>
    </w:p>
    <w:p w14:paraId="1FEFC31A" w14:textId="77777777" w:rsidR="00E54887" w:rsidRPr="002A4120" w:rsidRDefault="00E54887" w:rsidP="003168CB">
      <w:pPr>
        <w:spacing w:after="240"/>
        <w:jc w:val="both"/>
      </w:pPr>
      <w:r w:rsidRPr="002A4120">
        <w:t>Report benefits paid or payable as withdrawal of any deposit elements for inwards reinsurance claims, gross of any retrocession recoveries. (While field names for Items 10.1 to 10.9 correspond exactly to those for items 6.1 to 6.9, it is not expected that reference to “current year bonus” would be applicable.)</w:t>
      </w:r>
    </w:p>
    <w:p w14:paraId="4C1C8101"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Total non-life policy expense</w:t>
      </w:r>
    </w:p>
    <w:p w14:paraId="7C8DE4EB" w14:textId="77777777" w:rsidR="00E54887" w:rsidRPr="002A4120" w:rsidRDefault="00E54887" w:rsidP="003168CB">
      <w:pPr>
        <w:spacing w:after="240"/>
        <w:jc w:val="both"/>
      </w:pPr>
      <w:r w:rsidRPr="002A4120">
        <w:t>Report any withdrawal of deposit elements corresponding to item 6.8.</w:t>
      </w:r>
    </w:p>
    <w:p w14:paraId="6A93F83D" w14:textId="77777777" w:rsidR="00E54887" w:rsidRPr="002A4120" w:rsidRDefault="00E54887" w:rsidP="00703A5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Outward reinsurance claims revenue</w:t>
      </w:r>
    </w:p>
    <w:p w14:paraId="49A73984" w14:textId="77777777" w:rsidR="00E54887" w:rsidRPr="002A4120" w:rsidRDefault="00E54887" w:rsidP="003168CB">
      <w:pPr>
        <w:spacing w:after="240"/>
        <w:rPr>
          <w:rFonts w:ascii="Arial" w:hAnsi="Arial" w:cs="Arial"/>
          <w:b/>
        </w:rPr>
      </w:pPr>
      <w:r w:rsidRPr="002A4120">
        <w:t>Outward reinsurance claims revenue as withdrawal of any deposit elements should be entered as negative amounts.</w:t>
      </w:r>
    </w:p>
    <w:p w14:paraId="2F56525F" w14:textId="77777777" w:rsidR="00E54887" w:rsidRPr="002A4120" w:rsidRDefault="00E54887" w:rsidP="00703A5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Policy acquisition – commission and other incremental expenses</w:t>
      </w:r>
    </w:p>
    <w:p w14:paraId="1DA2E30D" w14:textId="77777777" w:rsidR="00E54887" w:rsidRPr="002A4120" w:rsidRDefault="00E54887" w:rsidP="003168CB">
      <w:pPr>
        <w:spacing w:after="240"/>
      </w:pPr>
      <w:r w:rsidRPr="002A4120">
        <w:t xml:space="preserve">This includes all incremental costs of acquiring new investment business. </w:t>
      </w:r>
    </w:p>
    <w:p w14:paraId="0CED29B7" w14:textId="77777777" w:rsidR="00E54887" w:rsidRPr="007F40CD"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7F40CD">
        <w:rPr>
          <w:rFonts w:ascii="Arial" w:hAnsi="Arial" w:cs="Arial"/>
          <w:b/>
          <w:sz w:val="24"/>
          <w:szCs w:val="24"/>
        </w:rPr>
        <w:t>Policy acquisition – other expenses</w:t>
      </w:r>
    </w:p>
    <w:p w14:paraId="0166099B" w14:textId="77777777" w:rsidR="00E54887" w:rsidRPr="002A4120" w:rsidRDefault="00E54887" w:rsidP="008F525F">
      <w:pPr>
        <w:spacing w:after="240"/>
        <w:jc w:val="both"/>
      </w:pPr>
      <w:r w:rsidRPr="002A4120">
        <w:t>This is calculated automatically as item 10.13 less item 10.11.</w:t>
      </w:r>
    </w:p>
    <w:p w14:paraId="428B34A8"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Total policy acquisition expenses</w:t>
      </w:r>
    </w:p>
    <w:p w14:paraId="716FF775" w14:textId="77777777" w:rsidR="00E54887" w:rsidRPr="002A4120" w:rsidRDefault="00E54887" w:rsidP="008F525F">
      <w:pPr>
        <w:spacing w:after="240"/>
        <w:jc w:val="both"/>
      </w:pPr>
      <w:r w:rsidRPr="002A4120">
        <w:t>This is the value of all fixed costs and variable costs incurred in relation to the acquisition of new insurance business.</w:t>
      </w:r>
    </w:p>
    <w:p w14:paraId="6F75346B"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Total policy expense, net of reinsurance</w:t>
      </w:r>
    </w:p>
    <w:p w14:paraId="7E68E2E1" w14:textId="77777777" w:rsidR="00E54887" w:rsidRPr="002A4120" w:rsidRDefault="00E54887" w:rsidP="003168CB">
      <w:pPr>
        <w:spacing w:after="240"/>
        <w:jc w:val="both"/>
      </w:pPr>
      <w:r w:rsidRPr="002A4120">
        <w:t>This is the sum of items 10.7, 10.8, 10.9, 10.10 and 10.13.</w:t>
      </w:r>
    </w:p>
    <w:p w14:paraId="18D4D53D"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Effective movement in net policy liabilities</w:t>
      </w:r>
    </w:p>
    <w:p w14:paraId="3805569C" w14:textId="77777777" w:rsidR="00E54887" w:rsidRPr="002A4120" w:rsidRDefault="00E54887" w:rsidP="008F525F">
      <w:pPr>
        <w:spacing w:after="240"/>
        <w:jc w:val="both"/>
      </w:pPr>
      <w:r w:rsidRPr="002A4120">
        <w:t>The effective movement in net policy liabilities is calculated as:</w:t>
      </w:r>
    </w:p>
    <w:p w14:paraId="3FD86328" w14:textId="77777777" w:rsidR="00E54887" w:rsidRPr="002A4120" w:rsidRDefault="00E54887" w:rsidP="008F525F">
      <w:pPr>
        <w:pStyle w:val="ListParagraph"/>
        <w:numPr>
          <w:ilvl w:val="0"/>
          <w:numId w:val="16"/>
        </w:numPr>
        <w:tabs>
          <w:tab w:val="left" w:pos="426"/>
        </w:tabs>
        <w:spacing w:after="240"/>
        <w:ind w:left="0" w:firstLine="0"/>
        <w:contextualSpacing w:val="0"/>
        <w:jc w:val="both"/>
        <w:rPr>
          <w:sz w:val="24"/>
          <w:szCs w:val="24"/>
        </w:rPr>
      </w:pPr>
      <w:r w:rsidRPr="002A4120">
        <w:rPr>
          <w:sz w:val="24"/>
          <w:szCs w:val="24"/>
        </w:rPr>
        <w:t>increase/(decrease) in net policy liabilities (per item 8.1);</w:t>
      </w:r>
    </w:p>
    <w:p w14:paraId="6B60D01E" w14:textId="77777777" w:rsidR="00E54887" w:rsidRPr="002A4120" w:rsidRDefault="00E54887" w:rsidP="003168CB">
      <w:pPr>
        <w:pStyle w:val="ListParagraph"/>
        <w:numPr>
          <w:ilvl w:val="0"/>
          <w:numId w:val="16"/>
        </w:numPr>
        <w:tabs>
          <w:tab w:val="left" w:pos="426"/>
        </w:tabs>
        <w:spacing w:after="240"/>
        <w:contextualSpacing w:val="0"/>
        <w:jc w:val="both"/>
        <w:rPr>
          <w:sz w:val="24"/>
          <w:szCs w:val="24"/>
        </w:rPr>
      </w:pPr>
      <w:r w:rsidRPr="002A4120">
        <w:rPr>
          <w:sz w:val="24"/>
          <w:szCs w:val="24"/>
        </w:rPr>
        <w:t>less deposits received (per item 9.6);</w:t>
      </w:r>
    </w:p>
    <w:p w14:paraId="7C1CFFE3" w14:textId="77777777" w:rsidR="00E54887" w:rsidRPr="002A4120" w:rsidRDefault="00E54887" w:rsidP="003168CB">
      <w:pPr>
        <w:pStyle w:val="ListParagraph"/>
        <w:numPr>
          <w:ilvl w:val="0"/>
          <w:numId w:val="16"/>
        </w:numPr>
        <w:tabs>
          <w:tab w:val="left" w:pos="426"/>
        </w:tabs>
        <w:spacing w:after="240"/>
        <w:contextualSpacing w:val="0"/>
        <w:jc w:val="both"/>
        <w:rPr>
          <w:sz w:val="24"/>
          <w:szCs w:val="24"/>
        </w:rPr>
      </w:pPr>
      <w:r w:rsidRPr="002A4120">
        <w:rPr>
          <w:sz w:val="24"/>
          <w:szCs w:val="24"/>
        </w:rPr>
        <w:t>plus withdrawals of deposits (per item 10.14);</w:t>
      </w:r>
    </w:p>
    <w:p w14:paraId="7F91A45E" w14:textId="77777777" w:rsidR="00E54887" w:rsidRPr="002A4120" w:rsidRDefault="00E54887" w:rsidP="003168CB">
      <w:pPr>
        <w:pStyle w:val="ListParagraph"/>
        <w:numPr>
          <w:ilvl w:val="0"/>
          <w:numId w:val="16"/>
        </w:numPr>
        <w:tabs>
          <w:tab w:val="left" w:pos="426"/>
        </w:tabs>
        <w:spacing w:after="240"/>
        <w:contextualSpacing w:val="0"/>
        <w:jc w:val="both"/>
        <w:rPr>
          <w:sz w:val="24"/>
          <w:szCs w:val="24"/>
        </w:rPr>
      </w:pPr>
      <w:r w:rsidRPr="002A4120">
        <w:rPr>
          <w:sz w:val="24"/>
          <w:szCs w:val="24"/>
        </w:rPr>
        <w:t>plus non-premium related fees for management services (which would otherwise be recognised as a reduction in policy liabilities, per item 2.2);</w:t>
      </w:r>
    </w:p>
    <w:p w14:paraId="115BA290" w14:textId="77777777" w:rsidR="00E54887" w:rsidRPr="002A4120" w:rsidRDefault="00E54887" w:rsidP="003168CB">
      <w:pPr>
        <w:pStyle w:val="ListParagraph"/>
        <w:numPr>
          <w:ilvl w:val="0"/>
          <w:numId w:val="16"/>
        </w:numPr>
        <w:tabs>
          <w:tab w:val="left" w:pos="426"/>
        </w:tabs>
        <w:spacing w:after="240"/>
        <w:contextualSpacing w:val="0"/>
        <w:jc w:val="both"/>
        <w:rPr>
          <w:sz w:val="24"/>
          <w:szCs w:val="24"/>
        </w:rPr>
      </w:pPr>
      <w:r w:rsidRPr="002A4120">
        <w:rPr>
          <w:sz w:val="24"/>
          <w:szCs w:val="24"/>
        </w:rPr>
        <w:t>plus movements in the liability for deferred fee revenue (which are reported as part of fees for management services rendered but would otherwise result in a change in policy liabilities for life investment contracts, per item 2.3); and</w:t>
      </w:r>
    </w:p>
    <w:p w14:paraId="03781DE5" w14:textId="77777777" w:rsidR="00E54887" w:rsidRPr="002A4120" w:rsidRDefault="00E54887" w:rsidP="003168CB">
      <w:pPr>
        <w:pStyle w:val="ListParagraph"/>
        <w:numPr>
          <w:ilvl w:val="0"/>
          <w:numId w:val="16"/>
        </w:numPr>
        <w:tabs>
          <w:tab w:val="left" w:pos="426"/>
        </w:tabs>
        <w:spacing w:after="240"/>
        <w:contextualSpacing w:val="0"/>
        <w:jc w:val="both"/>
        <w:rPr>
          <w:sz w:val="24"/>
          <w:szCs w:val="24"/>
        </w:rPr>
      </w:pPr>
      <w:r w:rsidRPr="002A4120">
        <w:rPr>
          <w:sz w:val="24"/>
          <w:szCs w:val="24"/>
        </w:rPr>
        <w:lastRenderedPageBreak/>
        <w:t>less movements in the liability for deferred acquisition costs (which are reported as part of operating expenses but would otherwise result in a change in policy liabilities for life investment contracts, per item 7.8).</w:t>
      </w:r>
    </w:p>
    <w:p w14:paraId="321F9AC8"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Change in policy owner retained profits</w:t>
      </w:r>
    </w:p>
    <w:p w14:paraId="0181B42A"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Increase/(decrease) in policy owner retained profits</w:t>
      </w:r>
    </w:p>
    <w:p w14:paraId="67E96A00" w14:textId="77777777" w:rsidR="00E54887" w:rsidRPr="002A4120" w:rsidRDefault="00E54887" w:rsidP="003168CB">
      <w:pPr>
        <w:spacing w:after="240"/>
        <w:jc w:val="both"/>
      </w:pPr>
      <w:r w:rsidRPr="002A4120">
        <w:t>Policy owner retained profits represent the value of statutory fund profits allocated to participating policy owners generally, but not yet vested as specific amounts to particular policies. This item is included under expenses in these forms for the purpose of ultimately deriving the profit that is attributable to shareholders.</w:t>
      </w:r>
    </w:p>
    <w:p w14:paraId="00946B6E"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Other expenses</w:t>
      </w:r>
    </w:p>
    <w:p w14:paraId="58EA0957" w14:textId="77777777" w:rsidR="00E54887" w:rsidRPr="002A4120" w:rsidRDefault="00E54887" w:rsidP="003168CB">
      <w:pPr>
        <w:spacing w:after="240"/>
        <w:jc w:val="both"/>
      </w:pPr>
      <w:r w:rsidRPr="002A4120">
        <w:t xml:space="preserve">Include all other expense items not specifically categorised above. </w:t>
      </w:r>
      <w:r w:rsidRPr="002A4120" w:rsidDel="00937B62">
        <w:t>It is calculated automatically as item 14 less the sum of items 6.10, 7.13, 11 and 12.1.</w:t>
      </w:r>
    </w:p>
    <w:p w14:paraId="25753928"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Total expenses</w:t>
      </w:r>
    </w:p>
    <w:p w14:paraId="1D1E7DB6" w14:textId="77777777" w:rsidR="00E54887" w:rsidRPr="002A4120" w:rsidRDefault="00E54887" w:rsidP="003168CB">
      <w:pPr>
        <w:spacing w:after="240"/>
        <w:jc w:val="both"/>
      </w:pPr>
      <w:r w:rsidRPr="002A4120">
        <w:t>This is the total expenses of the fund.</w:t>
      </w:r>
    </w:p>
    <w:p w14:paraId="35C98237"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Profit/(loss) before income tax</w:t>
      </w:r>
    </w:p>
    <w:p w14:paraId="0E953C52" w14:textId="77777777" w:rsidR="00E54887" w:rsidRPr="002A4120" w:rsidRDefault="00E54887" w:rsidP="003168CB">
      <w:pPr>
        <w:spacing w:after="240"/>
        <w:jc w:val="both"/>
      </w:pPr>
      <w:r w:rsidRPr="002A4120">
        <w:t>This is item 5 total revenue less item 14 total expenses.</w:t>
      </w:r>
    </w:p>
    <w:p w14:paraId="0E37BC15"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Tax</w:t>
      </w:r>
    </w:p>
    <w:p w14:paraId="0B371E24" w14:textId="77777777" w:rsidR="00E54887" w:rsidRPr="002A4120" w:rsidRDefault="00E54887" w:rsidP="003168CB">
      <w:pPr>
        <w:spacing w:after="240"/>
        <w:jc w:val="both"/>
      </w:pPr>
      <w:r w:rsidRPr="002A4120">
        <w:t>As a life insurance company is liable for tax partly on behalf of its policy owners and partly on behalf of its shareholders, this item has two components.</w:t>
      </w:r>
    </w:p>
    <w:p w14:paraId="5C8BFA82"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Income tax attributable to profit/(loss) – shareholders</w:t>
      </w:r>
    </w:p>
    <w:p w14:paraId="0116263F" w14:textId="77777777" w:rsidR="00E54887" w:rsidRPr="002A4120" w:rsidRDefault="00E54887" w:rsidP="003168CB">
      <w:pPr>
        <w:spacing w:after="240"/>
        <w:jc w:val="both"/>
      </w:pPr>
      <w:r w:rsidRPr="002A4120">
        <w:t>This component relates to that part of the total tax liability arising in the reporting period that is incurred on behalf of shareholders.</w:t>
      </w:r>
    </w:p>
    <w:p w14:paraId="49C5EA45"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Income tax attributable to profit/(loss) - policy owners</w:t>
      </w:r>
    </w:p>
    <w:p w14:paraId="48B9396D" w14:textId="77777777" w:rsidR="00E54887" w:rsidRPr="002A4120" w:rsidRDefault="00E54887" w:rsidP="003168CB">
      <w:pPr>
        <w:spacing w:after="240"/>
        <w:jc w:val="both"/>
      </w:pPr>
      <w:r w:rsidRPr="002A4120">
        <w:t>This component relates to that part of the total tax liability arising in the reporting period that is incurred on behalf of policy owners.</w:t>
      </w:r>
    </w:p>
    <w:p w14:paraId="04DCE02B" w14:textId="77777777" w:rsidR="00E54887" w:rsidRPr="002A4120" w:rsidRDefault="00E54887" w:rsidP="003168CB">
      <w:pPr>
        <w:pStyle w:val="ListParagraph"/>
        <w:keepNext/>
        <w:numPr>
          <w:ilvl w:val="1"/>
          <w:numId w:val="19"/>
        </w:numPr>
        <w:spacing w:after="240"/>
        <w:ind w:left="567" w:hanging="567"/>
        <w:contextualSpacing w:val="0"/>
        <w:rPr>
          <w:rFonts w:ascii="Arial" w:hAnsi="Arial" w:cs="Arial"/>
          <w:b/>
          <w:sz w:val="24"/>
          <w:szCs w:val="24"/>
        </w:rPr>
      </w:pPr>
      <w:r w:rsidRPr="002A4120">
        <w:rPr>
          <w:rFonts w:ascii="Arial" w:hAnsi="Arial" w:cs="Arial"/>
          <w:b/>
          <w:sz w:val="24"/>
          <w:szCs w:val="24"/>
        </w:rPr>
        <w:t>Total tax</w:t>
      </w:r>
    </w:p>
    <w:p w14:paraId="289095BC" w14:textId="77777777" w:rsidR="00E54887" w:rsidRPr="002A4120" w:rsidRDefault="00E54887" w:rsidP="003168CB">
      <w:pPr>
        <w:spacing w:after="240"/>
        <w:jc w:val="both"/>
      </w:pPr>
      <w:r w:rsidRPr="002A4120">
        <w:t>This item represents total tax liability arising in the reporting period, and is the sum of items 16.1 and 16.2.</w:t>
      </w:r>
    </w:p>
    <w:p w14:paraId="4DCD050B"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Profit/(loss) after income tax</w:t>
      </w:r>
    </w:p>
    <w:p w14:paraId="4D47563B" w14:textId="77777777" w:rsidR="00E54887" w:rsidRPr="002A4120" w:rsidRDefault="00E54887" w:rsidP="003168CB">
      <w:pPr>
        <w:spacing w:after="240"/>
        <w:jc w:val="both"/>
      </w:pPr>
      <w:r w:rsidRPr="002A4120">
        <w:t>This is item 15 less item 16.3.</w:t>
      </w:r>
    </w:p>
    <w:p w14:paraId="44C3EA1A" w14:textId="77777777" w:rsidR="00E54887" w:rsidRPr="002A4120" w:rsidRDefault="00E54887" w:rsidP="003168CB">
      <w:pPr>
        <w:spacing w:after="240"/>
        <w:jc w:val="both"/>
      </w:pPr>
      <w:r w:rsidRPr="002A4120">
        <w:t>This item represents the profit (or loss) result, after tax. Where there is no further data applicable to enter on these forms (i.e. Item 18 does not apply), the result will represent the ‘profit (or loss) after tax’ that is attributable to shareholders.</w:t>
      </w:r>
    </w:p>
    <w:p w14:paraId="2AF8CB07"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lastRenderedPageBreak/>
        <w:t>Increase/(decrease) in unallocated benefit fund reserves</w:t>
      </w:r>
    </w:p>
    <w:p w14:paraId="25918E62" w14:textId="77777777" w:rsidR="00E54887" w:rsidRPr="002A4120" w:rsidRDefault="00E54887" w:rsidP="003168CB">
      <w:pPr>
        <w:spacing w:after="240"/>
        <w:jc w:val="both"/>
      </w:pPr>
      <w:r w:rsidRPr="002A4120">
        <w:t>Unallocated benefit fund reserves represent the value of benefit funds which has not been allocated to either the benefit fund members or to the management fund. This item is only expected to be applicable to friendly societies. This item is included in this section for the purpose of deriving the profit that is attributable to shareholders.</w:t>
      </w:r>
    </w:p>
    <w:p w14:paraId="5C0FF9FA" w14:textId="77777777" w:rsidR="00E54887" w:rsidRPr="002A4120" w:rsidRDefault="00E54887" w:rsidP="003168CB">
      <w:pPr>
        <w:spacing w:after="240"/>
        <w:jc w:val="both"/>
      </w:pPr>
      <w:r w:rsidRPr="002A4120">
        <w:t>For life companies other than friendly societies, enter zero under this item.</w:t>
      </w:r>
    </w:p>
    <w:p w14:paraId="6BF5C462" w14:textId="77777777" w:rsidR="00E54887" w:rsidRPr="002A4120" w:rsidRDefault="00E54887" w:rsidP="003168CB">
      <w:pPr>
        <w:pStyle w:val="ListParagraph"/>
        <w:keepNext/>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Profit/(loss) after income tax attributable to shareholders</w:t>
      </w:r>
    </w:p>
    <w:p w14:paraId="4E7BD844" w14:textId="77777777" w:rsidR="00E54887" w:rsidRPr="002A4120" w:rsidRDefault="00E54887" w:rsidP="003168CB">
      <w:pPr>
        <w:spacing w:after="240"/>
        <w:jc w:val="both"/>
      </w:pPr>
      <w:r w:rsidRPr="002A4120">
        <w:t>A derived item that equals profit/(loss) after income tax (item 17) less increase/(decrease) in unallocated benefit fund reserves (item 18).</w:t>
      </w:r>
    </w:p>
    <w:p w14:paraId="00D0976D" w14:textId="77777777" w:rsidR="00703A5B" w:rsidRDefault="00E54887" w:rsidP="00703A5B">
      <w:pPr>
        <w:spacing w:line="276" w:lineRule="auto"/>
        <w:rPr>
          <w:rFonts w:ascii="Arial" w:hAnsi="Arial" w:cs="Arial"/>
          <w:b/>
        </w:rPr>
      </w:pPr>
      <w:r w:rsidRPr="002A4120">
        <w:rPr>
          <w:rFonts w:ascii="Arial" w:hAnsi="Arial" w:cs="Arial"/>
          <w:b/>
        </w:rPr>
        <w:t>Annual return reconciliations</w:t>
      </w:r>
    </w:p>
    <w:p w14:paraId="12A2AC54" w14:textId="14183C5E" w:rsidR="00E54887" w:rsidRPr="002A4120" w:rsidRDefault="00E54887" w:rsidP="003168CB">
      <w:pPr>
        <w:spacing w:after="240" w:line="276" w:lineRule="auto"/>
        <w:rPr>
          <w:rFonts w:ascii="Arial" w:hAnsi="Arial" w:cs="Arial"/>
          <w:b/>
        </w:rPr>
      </w:pPr>
      <w:r w:rsidRPr="002A4120">
        <w:rPr>
          <w:rFonts w:ascii="Arial" w:hAnsi="Arial" w:cs="Arial"/>
          <w:b/>
        </w:rPr>
        <w:t>(Only complete for annual returns)</w:t>
      </w:r>
    </w:p>
    <w:p w14:paraId="05B9C94B" w14:textId="77777777" w:rsidR="00E54887" w:rsidRPr="002A4120" w:rsidRDefault="00E54887" w:rsidP="003168CB">
      <w:pPr>
        <w:spacing w:after="240"/>
        <w:jc w:val="both"/>
      </w:pPr>
      <w:r w:rsidRPr="002A4120">
        <w:t>Reconciliation to operating profit/(loss) after tax at the end of the period in the general purpose financial statements is only required to be completed as part of the annual returns.</w:t>
      </w:r>
    </w:p>
    <w:p w14:paraId="436BFB9F" w14:textId="77777777" w:rsidR="00E54887" w:rsidRPr="002A4120" w:rsidRDefault="00E54887" w:rsidP="003168CB">
      <w:pPr>
        <w:pStyle w:val="ListParagraph"/>
        <w:numPr>
          <w:ilvl w:val="0"/>
          <w:numId w:val="19"/>
        </w:numPr>
        <w:spacing w:after="240"/>
        <w:ind w:left="567" w:hanging="567"/>
        <w:contextualSpacing w:val="0"/>
        <w:rPr>
          <w:rFonts w:ascii="Arial" w:hAnsi="Arial" w:cs="Arial"/>
          <w:b/>
          <w:sz w:val="24"/>
          <w:szCs w:val="24"/>
        </w:rPr>
      </w:pPr>
      <w:r w:rsidRPr="002A4120">
        <w:rPr>
          <w:rFonts w:ascii="Arial" w:hAnsi="Arial" w:cs="Arial"/>
          <w:b/>
          <w:sz w:val="24"/>
          <w:szCs w:val="24"/>
        </w:rPr>
        <w:t>Reconciliation adjustments</w:t>
      </w:r>
    </w:p>
    <w:p w14:paraId="20A0E9B2" w14:textId="77777777" w:rsidR="00E54887" w:rsidRPr="002A4120" w:rsidRDefault="00E54887" w:rsidP="003168CB">
      <w:pPr>
        <w:spacing w:after="240"/>
        <w:jc w:val="both"/>
      </w:pPr>
      <w:r w:rsidRPr="002A4120">
        <w:t>This is the adjustment necessary to reconcile the profit/(loss) after income tax attributable to shareholders (item 19) to the operating profit/(loss) after tax, per general purpose accounts – profit &amp; loss account (item 21). APRA does not propose to routinely collect the components of the reconciliation. Additional information may, however, be sought from the life companies where this figure is significant.</w:t>
      </w:r>
    </w:p>
    <w:p w14:paraId="58322309" w14:textId="77777777" w:rsidR="00E54887" w:rsidRPr="002A4120" w:rsidRDefault="00E54887" w:rsidP="003168CB">
      <w:pPr>
        <w:pStyle w:val="ListParagraph"/>
        <w:keepNext/>
        <w:numPr>
          <w:ilvl w:val="0"/>
          <w:numId w:val="19"/>
        </w:numPr>
        <w:spacing w:after="240"/>
        <w:ind w:left="567" w:hanging="567"/>
        <w:contextualSpacing w:val="0"/>
        <w:jc w:val="both"/>
        <w:rPr>
          <w:rFonts w:ascii="Arial" w:hAnsi="Arial" w:cs="Arial"/>
          <w:b/>
          <w:sz w:val="24"/>
          <w:szCs w:val="24"/>
        </w:rPr>
      </w:pPr>
      <w:r w:rsidRPr="002A4120">
        <w:rPr>
          <w:rFonts w:ascii="Arial" w:hAnsi="Arial" w:cs="Arial"/>
          <w:b/>
          <w:sz w:val="24"/>
          <w:szCs w:val="24"/>
        </w:rPr>
        <w:t>Operating profit/(loss) after tax, per general purpose accounts - profit &amp; loss account</w:t>
      </w:r>
    </w:p>
    <w:p w14:paraId="1676F427" w14:textId="77777777" w:rsidR="009521E6" w:rsidRPr="002A4120" w:rsidRDefault="00E54887" w:rsidP="003168CB">
      <w:pPr>
        <w:spacing w:after="240"/>
      </w:pPr>
      <w:r w:rsidRPr="002A4120">
        <w:t>This is the corresponding figure to the ‘profit/(loss) after income tax attributable to shareholders’ (item 19), except that it is taken from the general purpose accounts of the entity.</w:t>
      </w:r>
    </w:p>
    <w:sectPr w:rsidR="009521E6" w:rsidRPr="002A4120" w:rsidSect="005B66DB">
      <w:headerReference w:type="default" r:id="rId21"/>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B049" w14:textId="77777777" w:rsidR="00FE55B0" w:rsidRDefault="00FE55B0" w:rsidP="0090207E">
      <w:r>
        <w:separator/>
      </w:r>
    </w:p>
  </w:endnote>
  <w:endnote w:type="continuationSeparator" w:id="0">
    <w:p w14:paraId="3EC560C5" w14:textId="77777777" w:rsidR="00FE55B0" w:rsidRDefault="00FE55B0" w:rsidP="0090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925F" w14:textId="394A3EB1" w:rsidR="00E54887" w:rsidRPr="00C239EC" w:rsidRDefault="00E54887" w:rsidP="003C6BD0">
    <w:pPr>
      <w:pStyle w:val="Footer"/>
      <w:jc w:val="right"/>
      <w:rPr>
        <w:b/>
      </w:rPr>
    </w:pPr>
  </w:p>
  <w:p w14:paraId="62A145E3" w14:textId="77777777" w:rsidR="00E54887" w:rsidRPr="003C6BD0" w:rsidRDefault="00E54887" w:rsidP="003C6BD0">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0577" w14:textId="77777777" w:rsidR="002E4535" w:rsidRPr="00C239EC" w:rsidRDefault="002E4535" w:rsidP="003C6BD0">
    <w:pPr>
      <w:pStyle w:val="Footer"/>
      <w:jc w:val="right"/>
      <w:rPr>
        <w:b/>
      </w:rPr>
    </w:pPr>
    <w:r w:rsidRPr="00C239EC">
      <w:rPr>
        <w:b/>
      </w:rPr>
      <w:t xml:space="preserve">LRS 310.0 - </w:t>
    </w:r>
    <w:r w:rsidRPr="00C239EC">
      <w:rPr>
        <w:rStyle w:val="PageNumber"/>
        <w:b/>
      </w:rPr>
      <w:fldChar w:fldCharType="begin"/>
    </w:r>
    <w:r w:rsidRPr="00C239EC">
      <w:rPr>
        <w:rStyle w:val="PageNumber"/>
        <w:b/>
      </w:rPr>
      <w:instrText xml:space="preserve"> PAGE </w:instrText>
    </w:r>
    <w:r w:rsidRPr="00C239EC">
      <w:rPr>
        <w:rStyle w:val="PageNumber"/>
        <w:b/>
      </w:rPr>
      <w:fldChar w:fldCharType="separate"/>
    </w:r>
    <w:r w:rsidRPr="00C239EC">
      <w:rPr>
        <w:rStyle w:val="PageNumber"/>
        <w:b/>
        <w:noProof/>
      </w:rPr>
      <w:t>4</w:t>
    </w:r>
    <w:r w:rsidRPr="00C239EC">
      <w:rPr>
        <w:rStyle w:val="PageNumber"/>
        <w:b/>
      </w:rPr>
      <w:fldChar w:fldCharType="end"/>
    </w:r>
  </w:p>
  <w:p w14:paraId="06B99474" w14:textId="77777777" w:rsidR="002E4535" w:rsidRPr="003C6BD0" w:rsidRDefault="002E4535"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6A1E" w14:textId="77777777" w:rsidR="0095403D" w:rsidRPr="00C239EC" w:rsidRDefault="0095403D">
    <w:pPr>
      <w:pStyle w:val="Footer"/>
      <w:jc w:val="right"/>
      <w:rPr>
        <w:b/>
      </w:rPr>
    </w:pPr>
    <w:r w:rsidRPr="00C239EC">
      <w:rPr>
        <w:b/>
      </w:rPr>
      <w:t xml:space="preserve">LRF 310.1 Form - </w:t>
    </w:r>
    <w:r w:rsidRPr="00C239EC">
      <w:rPr>
        <w:b/>
      </w:rPr>
      <w:fldChar w:fldCharType="begin"/>
    </w:r>
    <w:r w:rsidRPr="00C239EC">
      <w:rPr>
        <w:b/>
      </w:rPr>
      <w:instrText xml:space="preserve"> PAGE   \* MERGEFORMAT </w:instrText>
    </w:r>
    <w:r w:rsidRPr="00C239EC">
      <w:rPr>
        <w:b/>
      </w:rPr>
      <w:fldChar w:fldCharType="separate"/>
    </w:r>
    <w:r w:rsidR="002A4120" w:rsidRPr="00C239EC">
      <w:rPr>
        <w:b/>
        <w:noProof/>
      </w:rPr>
      <w:t>3</w:t>
    </w:r>
    <w:r w:rsidRPr="00C239EC">
      <w:rPr>
        <w:b/>
      </w:rPr>
      <w:fldChar w:fldCharType="end"/>
    </w:r>
  </w:p>
  <w:p w14:paraId="0798D067" w14:textId="77777777" w:rsidR="00E54887" w:rsidRPr="005B66DB" w:rsidRDefault="00E54887" w:rsidP="003C6BD0">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BF5C" w14:textId="77777777" w:rsidR="0095403D" w:rsidRPr="00C239EC" w:rsidRDefault="0095403D">
    <w:pPr>
      <w:pStyle w:val="Footer"/>
      <w:jc w:val="right"/>
      <w:rPr>
        <w:b/>
      </w:rPr>
    </w:pPr>
    <w:r w:rsidRPr="00C239EC">
      <w:rPr>
        <w:b/>
      </w:rPr>
      <w:t xml:space="preserve">LRF 310.2 Form - </w:t>
    </w:r>
    <w:r w:rsidRPr="00C239EC">
      <w:rPr>
        <w:b/>
      </w:rPr>
      <w:fldChar w:fldCharType="begin"/>
    </w:r>
    <w:r w:rsidRPr="00C239EC">
      <w:rPr>
        <w:b/>
      </w:rPr>
      <w:instrText xml:space="preserve"> PAGE   \* MERGEFORMAT </w:instrText>
    </w:r>
    <w:r w:rsidRPr="00C239EC">
      <w:rPr>
        <w:b/>
      </w:rPr>
      <w:fldChar w:fldCharType="separate"/>
    </w:r>
    <w:r w:rsidR="002A4120" w:rsidRPr="00C239EC">
      <w:rPr>
        <w:b/>
        <w:noProof/>
      </w:rPr>
      <w:t>3</w:t>
    </w:r>
    <w:r w:rsidRPr="00C239EC">
      <w:rPr>
        <w:b/>
      </w:rPr>
      <w:fldChar w:fldCharType="end"/>
    </w:r>
  </w:p>
  <w:p w14:paraId="45B0ED4F" w14:textId="77777777" w:rsidR="0095403D" w:rsidRPr="005B66DB" w:rsidRDefault="0095403D" w:rsidP="003C6BD0">
    <w:pPr>
      <w:pStyle w:val="Footer"/>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3A85" w14:textId="77777777" w:rsidR="0095403D" w:rsidRPr="00C239EC" w:rsidRDefault="0095403D">
    <w:pPr>
      <w:pStyle w:val="Footer"/>
      <w:jc w:val="right"/>
      <w:rPr>
        <w:b/>
      </w:rPr>
    </w:pPr>
    <w:r w:rsidRPr="00C239EC">
      <w:rPr>
        <w:b/>
      </w:rPr>
      <w:t xml:space="preserve">LRF 310.1 and LRF 310.2 Instructions - </w:t>
    </w:r>
    <w:r w:rsidRPr="00C239EC">
      <w:rPr>
        <w:b/>
      </w:rPr>
      <w:fldChar w:fldCharType="begin"/>
    </w:r>
    <w:r w:rsidRPr="00C239EC">
      <w:rPr>
        <w:b/>
      </w:rPr>
      <w:instrText xml:space="preserve"> PAGE   \* MERGEFORMAT </w:instrText>
    </w:r>
    <w:r w:rsidRPr="00C239EC">
      <w:rPr>
        <w:b/>
      </w:rPr>
      <w:fldChar w:fldCharType="separate"/>
    </w:r>
    <w:r w:rsidR="002A4120" w:rsidRPr="00C239EC">
      <w:rPr>
        <w:b/>
        <w:noProof/>
      </w:rPr>
      <w:t>14</w:t>
    </w:r>
    <w:r w:rsidRPr="00C239EC">
      <w:rPr>
        <w:b/>
      </w:rPr>
      <w:fldChar w:fldCharType="end"/>
    </w:r>
  </w:p>
  <w:p w14:paraId="7A5CED30" w14:textId="77777777" w:rsidR="0095403D" w:rsidRPr="005B66DB" w:rsidRDefault="0095403D" w:rsidP="003C6BD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3483" w14:textId="77777777" w:rsidR="00FE55B0" w:rsidRDefault="00FE55B0" w:rsidP="0090207E">
      <w:r>
        <w:separator/>
      </w:r>
    </w:p>
  </w:footnote>
  <w:footnote w:type="continuationSeparator" w:id="0">
    <w:p w14:paraId="2C6BA965" w14:textId="77777777" w:rsidR="00FE55B0" w:rsidRDefault="00FE55B0" w:rsidP="0090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2C01" w14:textId="428879E4" w:rsidR="00E54887" w:rsidRPr="00C239EC" w:rsidRDefault="00E54887" w:rsidP="00077295">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E806" w14:textId="77777777" w:rsidR="002E4535" w:rsidRPr="00C239EC" w:rsidRDefault="002E4535" w:rsidP="00077295">
    <w:pPr>
      <w:pStyle w:val="Header"/>
      <w:jc w:val="right"/>
      <w:rPr>
        <w:b/>
      </w:rPr>
    </w:pPr>
    <w:r w:rsidRPr="00C239EC">
      <w:rPr>
        <w:b/>
      </w:rPr>
      <w:t>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A0C2" w14:textId="412DC8A3" w:rsidR="00E54887" w:rsidRPr="00C239EC" w:rsidRDefault="00A27F8F" w:rsidP="00C239EC">
    <w:pPr>
      <w:pStyle w:val="Header"/>
      <w:jc w:val="right"/>
      <w:rPr>
        <w:b/>
      </w:rPr>
    </w:pPr>
    <w:r>
      <w:rPr>
        <w:b/>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30E3" w14:textId="38363D39" w:rsidR="0095403D" w:rsidRPr="00C239EC" w:rsidRDefault="005B66DB" w:rsidP="0095403D">
    <w:pPr>
      <w:pStyle w:val="Header"/>
      <w:jc w:val="right"/>
      <w:rPr>
        <w:b/>
      </w:rPr>
    </w:pPr>
    <w:r w:rsidRPr="00C239EC">
      <w:rPr>
        <w:b/>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CAD"/>
    <w:multiLevelType w:val="hybridMultilevel"/>
    <w:tmpl w:val="C1462DD6"/>
    <w:lvl w:ilvl="0" w:tplc="ACEC76DE">
      <w:start w:val="1"/>
      <w:numFmt w:val="lowerLetter"/>
      <w:lvlText w:val="(%1)"/>
      <w:lvlJc w:val="left"/>
      <w:pPr>
        <w:ind w:left="36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D842E3B"/>
    <w:multiLevelType w:val="multilevel"/>
    <w:tmpl w:val="18780ED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96129"/>
    <w:multiLevelType w:val="multilevel"/>
    <w:tmpl w:val="FB9C5C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DB6CCA"/>
    <w:multiLevelType w:val="multilevel"/>
    <w:tmpl w:val="47B43326"/>
    <w:numStyleLink w:val="D2Aformnumbering"/>
  </w:abstractNum>
  <w:abstractNum w:abstractNumId="5" w15:restartNumberingAfterBreak="0">
    <w:nsid w:val="11617257"/>
    <w:multiLevelType w:val="multilevel"/>
    <w:tmpl w:val="47B4332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5977788"/>
    <w:multiLevelType w:val="multilevel"/>
    <w:tmpl w:val="6FA20DC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FD32B33"/>
    <w:multiLevelType w:val="multilevel"/>
    <w:tmpl w:val="B42A3D0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DC71C0"/>
    <w:multiLevelType w:val="hybridMultilevel"/>
    <w:tmpl w:val="264C8DDA"/>
    <w:lvl w:ilvl="0" w:tplc="19623C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007803"/>
    <w:multiLevelType w:val="multilevel"/>
    <w:tmpl w:val="AD120E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2433B4"/>
    <w:multiLevelType w:val="multilevel"/>
    <w:tmpl w:val="8B76BB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B73E66"/>
    <w:multiLevelType w:val="multilevel"/>
    <w:tmpl w:val="6F78E99E"/>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A27316A"/>
    <w:multiLevelType w:val="multilevel"/>
    <w:tmpl w:val="50649DE2"/>
    <w:lvl w:ilvl="0">
      <w:start w:val="7"/>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9E6354"/>
    <w:multiLevelType w:val="multilevel"/>
    <w:tmpl w:val="0FA8F2D6"/>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8359F4"/>
    <w:multiLevelType w:val="multilevel"/>
    <w:tmpl w:val="3FB463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610744"/>
    <w:multiLevelType w:val="multilevel"/>
    <w:tmpl w:val="B344AC1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0" w15:restartNumberingAfterBreak="0">
    <w:nsid w:val="59BC463F"/>
    <w:multiLevelType w:val="hybridMultilevel"/>
    <w:tmpl w:val="6434AFE8"/>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3B3805"/>
    <w:multiLevelType w:val="multilevel"/>
    <w:tmpl w:val="2A76770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135437"/>
    <w:multiLevelType w:val="multilevel"/>
    <w:tmpl w:val="7F9C2152"/>
    <w:lvl w:ilvl="0">
      <w:start w:val="7"/>
      <w:numFmt w:val="decimal"/>
      <w:lvlText w:val="%1."/>
      <w:lvlJc w:val="left"/>
      <w:pPr>
        <w:ind w:left="360" w:hanging="360"/>
      </w:pPr>
      <w:rPr>
        <w:rFonts w:hint="default"/>
      </w:rPr>
    </w:lvl>
    <w:lvl w:ilvl="1">
      <w:start w:val="4"/>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7418555">
    <w:abstractNumId w:val="14"/>
  </w:num>
  <w:num w:numId="2" w16cid:durableId="597368605">
    <w:abstractNumId w:val="8"/>
  </w:num>
  <w:num w:numId="3" w16cid:durableId="1393886458">
    <w:abstractNumId w:val="6"/>
  </w:num>
  <w:num w:numId="4" w16cid:durableId="1620064835">
    <w:abstractNumId w:val="1"/>
  </w:num>
  <w:num w:numId="5" w16cid:durableId="893009381">
    <w:abstractNumId w:val="22"/>
  </w:num>
  <w:num w:numId="6" w16cid:durableId="11339834">
    <w:abstractNumId w:val="20"/>
  </w:num>
  <w:num w:numId="7" w16cid:durableId="964970053">
    <w:abstractNumId w:val="12"/>
  </w:num>
  <w:num w:numId="8" w16cid:durableId="694581697">
    <w:abstractNumId w:val="18"/>
  </w:num>
  <w:num w:numId="9" w16cid:durableId="1019552674">
    <w:abstractNumId w:val="9"/>
  </w:num>
  <w:num w:numId="10" w16cid:durableId="434710613">
    <w:abstractNumId w:val="3"/>
  </w:num>
  <w:num w:numId="11" w16cid:durableId="1451784022">
    <w:abstractNumId w:val="16"/>
  </w:num>
  <w:num w:numId="12" w16cid:durableId="2134639762">
    <w:abstractNumId w:val="2"/>
  </w:num>
  <w:num w:numId="13" w16cid:durableId="1082606406">
    <w:abstractNumId w:val="17"/>
  </w:num>
  <w:num w:numId="14" w16cid:durableId="113257355">
    <w:abstractNumId w:val="13"/>
  </w:num>
  <w:num w:numId="15" w16cid:durableId="445659766">
    <w:abstractNumId w:val="23"/>
  </w:num>
  <w:num w:numId="16" w16cid:durableId="134685272">
    <w:abstractNumId w:val="11"/>
  </w:num>
  <w:num w:numId="17" w16cid:durableId="2363208">
    <w:abstractNumId w:val="24"/>
  </w:num>
  <w:num w:numId="18" w16cid:durableId="13961519">
    <w:abstractNumId w:val="15"/>
  </w:num>
  <w:num w:numId="19" w16cid:durableId="1306814411">
    <w:abstractNumId w:val="7"/>
  </w:num>
  <w:num w:numId="20" w16cid:durableId="1739862747">
    <w:abstractNumId w:val="0"/>
  </w:num>
  <w:num w:numId="21" w16cid:durableId="791366384">
    <w:abstractNumId w:val="19"/>
  </w:num>
  <w:num w:numId="22" w16cid:durableId="2027361854">
    <w:abstractNumId w:val="4"/>
  </w:num>
  <w:num w:numId="23" w16cid:durableId="1770542802">
    <w:abstractNumId w:val="5"/>
  </w:num>
  <w:num w:numId="24" w16cid:durableId="486242438">
    <w:abstractNumId w:val="10"/>
  </w:num>
  <w:num w:numId="25" w16cid:durableId="109898952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152CE"/>
    <w:rsid w:val="00020AFE"/>
    <w:rsid w:val="00024E8B"/>
    <w:rsid w:val="000312F6"/>
    <w:rsid w:val="0003199E"/>
    <w:rsid w:val="00042D79"/>
    <w:rsid w:val="000511D1"/>
    <w:rsid w:val="00063C9C"/>
    <w:rsid w:val="00064CD5"/>
    <w:rsid w:val="00067989"/>
    <w:rsid w:val="00077295"/>
    <w:rsid w:val="000867C7"/>
    <w:rsid w:val="0009622C"/>
    <w:rsid w:val="000A5F23"/>
    <w:rsid w:val="000D5A55"/>
    <w:rsid w:val="000E1425"/>
    <w:rsid w:val="000F2096"/>
    <w:rsid w:val="000F2CA0"/>
    <w:rsid w:val="000F345F"/>
    <w:rsid w:val="000F3F02"/>
    <w:rsid w:val="00115A68"/>
    <w:rsid w:val="00121A1B"/>
    <w:rsid w:val="00126634"/>
    <w:rsid w:val="001377D5"/>
    <w:rsid w:val="0015165F"/>
    <w:rsid w:val="00184511"/>
    <w:rsid w:val="00186F73"/>
    <w:rsid w:val="00192E50"/>
    <w:rsid w:val="00194461"/>
    <w:rsid w:val="001A10F2"/>
    <w:rsid w:val="001B031A"/>
    <w:rsid w:val="001C53B5"/>
    <w:rsid w:val="001D27D0"/>
    <w:rsid w:val="001D4A3B"/>
    <w:rsid w:val="001D4BED"/>
    <w:rsid w:val="001E1DA7"/>
    <w:rsid w:val="001E5464"/>
    <w:rsid w:val="001E7546"/>
    <w:rsid w:val="001F241F"/>
    <w:rsid w:val="001F41F8"/>
    <w:rsid w:val="001F6160"/>
    <w:rsid w:val="002141EE"/>
    <w:rsid w:val="00215F2B"/>
    <w:rsid w:val="00226B5E"/>
    <w:rsid w:val="00235826"/>
    <w:rsid w:val="00240721"/>
    <w:rsid w:val="002451F2"/>
    <w:rsid w:val="00247444"/>
    <w:rsid w:val="0026618D"/>
    <w:rsid w:val="00271EEE"/>
    <w:rsid w:val="002766E5"/>
    <w:rsid w:val="00295C25"/>
    <w:rsid w:val="002A1873"/>
    <w:rsid w:val="002A4120"/>
    <w:rsid w:val="002B084E"/>
    <w:rsid w:val="002B4361"/>
    <w:rsid w:val="002B56C8"/>
    <w:rsid w:val="002D4FC5"/>
    <w:rsid w:val="002D6983"/>
    <w:rsid w:val="002E1411"/>
    <w:rsid w:val="002E4535"/>
    <w:rsid w:val="002F6EF6"/>
    <w:rsid w:val="002F7E2D"/>
    <w:rsid w:val="003001F8"/>
    <w:rsid w:val="003168CB"/>
    <w:rsid w:val="00316D34"/>
    <w:rsid w:val="00325263"/>
    <w:rsid w:val="00327079"/>
    <w:rsid w:val="003304E6"/>
    <w:rsid w:val="00330A55"/>
    <w:rsid w:val="00331EA1"/>
    <w:rsid w:val="00333202"/>
    <w:rsid w:val="00337337"/>
    <w:rsid w:val="00342BAF"/>
    <w:rsid w:val="00343FE3"/>
    <w:rsid w:val="00355916"/>
    <w:rsid w:val="00356617"/>
    <w:rsid w:val="0035692D"/>
    <w:rsid w:val="00376E4B"/>
    <w:rsid w:val="0039500C"/>
    <w:rsid w:val="00396B5C"/>
    <w:rsid w:val="003A171B"/>
    <w:rsid w:val="003A2603"/>
    <w:rsid w:val="003A47D2"/>
    <w:rsid w:val="003A4A92"/>
    <w:rsid w:val="003B37D7"/>
    <w:rsid w:val="003B4B56"/>
    <w:rsid w:val="003C3322"/>
    <w:rsid w:val="003C3FAD"/>
    <w:rsid w:val="003C6BD0"/>
    <w:rsid w:val="003D2ADF"/>
    <w:rsid w:val="003D6DEE"/>
    <w:rsid w:val="003E0659"/>
    <w:rsid w:val="003E39FC"/>
    <w:rsid w:val="003E7D98"/>
    <w:rsid w:val="003F3CCA"/>
    <w:rsid w:val="003F7649"/>
    <w:rsid w:val="00402B24"/>
    <w:rsid w:val="004256EB"/>
    <w:rsid w:val="004276BB"/>
    <w:rsid w:val="00444EC8"/>
    <w:rsid w:val="00447CFF"/>
    <w:rsid w:val="00453DD5"/>
    <w:rsid w:val="0045422F"/>
    <w:rsid w:val="00454920"/>
    <w:rsid w:val="00484235"/>
    <w:rsid w:val="00484F36"/>
    <w:rsid w:val="004931EC"/>
    <w:rsid w:val="004934BA"/>
    <w:rsid w:val="00493CAF"/>
    <w:rsid w:val="004945DA"/>
    <w:rsid w:val="00495B00"/>
    <w:rsid w:val="004975F2"/>
    <w:rsid w:val="00497C51"/>
    <w:rsid w:val="004C2124"/>
    <w:rsid w:val="004C76D4"/>
    <w:rsid w:val="004D1C22"/>
    <w:rsid w:val="00506564"/>
    <w:rsid w:val="00507E86"/>
    <w:rsid w:val="00516AF3"/>
    <w:rsid w:val="00517597"/>
    <w:rsid w:val="00524F2F"/>
    <w:rsid w:val="00525129"/>
    <w:rsid w:val="00526464"/>
    <w:rsid w:val="0053032F"/>
    <w:rsid w:val="00530969"/>
    <w:rsid w:val="00535D4C"/>
    <w:rsid w:val="005414B5"/>
    <w:rsid w:val="00543FFF"/>
    <w:rsid w:val="00561A0D"/>
    <w:rsid w:val="005624AB"/>
    <w:rsid w:val="00562A94"/>
    <w:rsid w:val="00567B6D"/>
    <w:rsid w:val="00573B95"/>
    <w:rsid w:val="00575189"/>
    <w:rsid w:val="00576844"/>
    <w:rsid w:val="00584739"/>
    <w:rsid w:val="005872B8"/>
    <w:rsid w:val="0059395A"/>
    <w:rsid w:val="00593967"/>
    <w:rsid w:val="005A0832"/>
    <w:rsid w:val="005A6A51"/>
    <w:rsid w:val="005B0CDA"/>
    <w:rsid w:val="005B3F82"/>
    <w:rsid w:val="005B66DB"/>
    <w:rsid w:val="005C5132"/>
    <w:rsid w:val="005C54D4"/>
    <w:rsid w:val="005C7973"/>
    <w:rsid w:val="005D65A5"/>
    <w:rsid w:val="005E6F95"/>
    <w:rsid w:val="005F7538"/>
    <w:rsid w:val="005F7C77"/>
    <w:rsid w:val="00607DD0"/>
    <w:rsid w:val="0061766C"/>
    <w:rsid w:val="00621D00"/>
    <w:rsid w:val="0062706D"/>
    <w:rsid w:val="00630E53"/>
    <w:rsid w:val="006322E7"/>
    <w:rsid w:val="006325FB"/>
    <w:rsid w:val="006353F8"/>
    <w:rsid w:val="00640523"/>
    <w:rsid w:val="00643CFE"/>
    <w:rsid w:val="00651F74"/>
    <w:rsid w:val="006558A6"/>
    <w:rsid w:val="00681203"/>
    <w:rsid w:val="00682CD9"/>
    <w:rsid w:val="00684B76"/>
    <w:rsid w:val="0068712F"/>
    <w:rsid w:val="00693228"/>
    <w:rsid w:val="00694E18"/>
    <w:rsid w:val="00697B00"/>
    <w:rsid w:val="006A3919"/>
    <w:rsid w:val="006A6EFB"/>
    <w:rsid w:val="006B0D35"/>
    <w:rsid w:val="006B56A6"/>
    <w:rsid w:val="006B7496"/>
    <w:rsid w:val="006B7FAF"/>
    <w:rsid w:val="006C1A98"/>
    <w:rsid w:val="006C2D8D"/>
    <w:rsid w:val="006C5616"/>
    <w:rsid w:val="006D4575"/>
    <w:rsid w:val="006E4E69"/>
    <w:rsid w:val="006E4F31"/>
    <w:rsid w:val="006F2CED"/>
    <w:rsid w:val="006F449B"/>
    <w:rsid w:val="0070032E"/>
    <w:rsid w:val="00700450"/>
    <w:rsid w:val="0070332B"/>
    <w:rsid w:val="0070337A"/>
    <w:rsid w:val="00703A5B"/>
    <w:rsid w:val="00705127"/>
    <w:rsid w:val="0071429E"/>
    <w:rsid w:val="00721965"/>
    <w:rsid w:val="00721C51"/>
    <w:rsid w:val="00723AF4"/>
    <w:rsid w:val="00724C19"/>
    <w:rsid w:val="007254F5"/>
    <w:rsid w:val="00734CAE"/>
    <w:rsid w:val="00736EA7"/>
    <w:rsid w:val="00737AC5"/>
    <w:rsid w:val="00746304"/>
    <w:rsid w:val="00750475"/>
    <w:rsid w:val="0076528A"/>
    <w:rsid w:val="00770966"/>
    <w:rsid w:val="0077251D"/>
    <w:rsid w:val="00772714"/>
    <w:rsid w:val="00775580"/>
    <w:rsid w:val="007766F9"/>
    <w:rsid w:val="00777CE8"/>
    <w:rsid w:val="00781B65"/>
    <w:rsid w:val="007874DC"/>
    <w:rsid w:val="00787DF7"/>
    <w:rsid w:val="00790DBA"/>
    <w:rsid w:val="007A25C6"/>
    <w:rsid w:val="007A2660"/>
    <w:rsid w:val="007A7703"/>
    <w:rsid w:val="007A7767"/>
    <w:rsid w:val="007B0036"/>
    <w:rsid w:val="007B0877"/>
    <w:rsid w:val="007B11E4"/>
    <w:rsid w:val="007D2071"/>
    <w:rsid w:val="007D3B00"/>
    <w:rsid w:val="007D5660"/>
    <w:rsid w:val="007E279C"/>
    <w:rsid w:val="007E7BBC"/>
    <w:rsid w:val="007F40CD"/>
    <w:rsid w:val="007F419C"/>
    <w:rsid w:val="00813412"/>
    <w:rsid w:val="0081746E"/>
    <w:rsid w:val="00835768"/>
    <w:rsid w:val="0084158B"/>
    <w:rsid w:val="00842D80"/>
    <w:rsid w:val="00844758"/>
    <w:rsid w:val="00846C4D"/>
    <w:rsid w:val="00861E54"/>
    <w:rsid w:val="008664DA"/>
    <w:rsid w:val="008676C0"/>
    <w:rsid w:val="0087026D"/>
    <w:rsid w:val="008718D0"/>
    <w:rsid w:val="00875CA5"/>
    <w:rsid w:val="008775F6"/>
    <w:rsid w:val="00890288"/>
    <w:rsid w:val="00892B6B"/>
    <w:rsid w:val="00894FF9"/>
    <w:rsid w:val="00896CD8"/>
    <w:rsid w:val="00896FB1"/>
    <w:rsid w:val="008B1B02"/>
    <w:rsid w:val="008B3721"/>
    <w:rsid w:val="008C0427"/>
    <w:rsid w:val="008D201B"/>
    <w:rsid w:val="008D3C4C"/>
    <w:rsid w:val="008F16E5"/>
    <w:rsid w:val="008F2560"/>
    <w:rsid w:val="008F4038"/>
    <w:rsid w:val="008F525F"/>
    <w:rsid w:val="00901A46"/>
    <w:rsid w:val="0090207E"/>
    <w:rsid w:val="00903E50"/>
    <w:rsid w:val="00904786"/>
    <w:rsid w:val="00905084"/>
    <w:rsid w:val="00906813"/>
    <w:rsid w:val="00910025"/>
    <w:rsid w:val="00910E20"/>
    <w:rsid w:val="00912316"/>
    <w:rsid w:val="00916182"/>
    <w:rsid w:val="0092079E"/>
    <w:rsid w:val="00925C71"/>
    <w:rsid w:val="0093479D"/>
    <w:rsid w:val="009423EF"/>
    <w:rsid w:val="009521E6"/>
    <w:rsid w:val="0095403D"/>
    <w:rsid w:val="0096185C"/>
    <w:rsid w:val="00961900"/>
    <w:rsid w:val="00967AFF"/>
    <w:rsid w:val="00980C33"/>
    <w:rsid w:val="00980CD1"/>
    <w:rsid w:val="00985078"/>
    <w:rsid w:val="0099253D"/>
    <w:rsid w:val="00996062"/>
    <w:rsid w:val="009A027F"/>
    <w:rsid w:val="009A5F57"/>
    <w:rsid w:val="009B6C08"/>
    <w:rsid w:val="009C05CA"/>
    <w:rsid w:val="009C1E6D"/>
    <w:rsid w:val="009C47AA"/>
    <w:rsid w:val="009C4C29"/>
    <w:rsid w:val="009C5155"/>
    <w:rsid w:val="009C724D"/>
    <w:rsid w:val="009E2C99"/>
    <w:rsid w:val="009E48C7"/>
    <w:rsid w:val="009F7C9C"/>
    <w:rsid w:val="00A004A2"/>
    <w:rsid w:val="00A02BFF"/>
    <w:rsid w:val="00A02C7A"/>
    <w:rsid w:val="00A14EDC"/>
    <w:rsid w:val="00A21FD8"/>
    <w:rsid w:val="00A27F8F"/>
    <w:rsid w:val="00A3306D"/>
    <w:rsid w:val="00A352F2"/>
    <w:rsid w:val="00A4179D"/>
    <w:rsid w:val="00A43974"/>
    <w:rsid w:val="00A43CA7"/>
    <w:rsid w:val="00A46DD5"/>
    <w:rsid w:val="00A51988"/>
    <w:rsid w:val="00A56E9D"/>
    <w:rsid w:val="00A66DEE"/>
    <w:rsid w:val="00A730F2"/>
    <w:rsid w:val="00A77904"/>
    <w:rsid w:val="00A84C29"/>
    <w:rsid w:val="00A904CC"/>
    <w:rsid w:val="00A9334B"/>
    <w:rsid w:val="00A97E6C"/>
    <w:rsid w:val="00AA2268"/>
    <w:rsid w:val="00AA2550"/>
    <w:rsid w:val="00AA2C56"/>
    <w:rsid w:val="00AA431C"/>
    <w:rsid w:val="00AA46F0"/>
    <w:rsid w:val="00AA4E8A"/>
    <w:rsid w:val="00AA6E69"/>
    <w:rsid w:val="00AB40E3"/>
    <w:rsid w:val="00AB50C2"/>
    <w:rsid w:val="00AC19F5"/>
    <w:rsid w:val="00AC4DD1"/>
    <w:rsid w:val="00AD62C5"/>
    <w:rsid w:val="00AE41A6"/>
    <w:rsid w:val="00AE4629"/>
    <w:rsid w:val="00AF4B3A"/>
    <w:rsid w:val="00AF5089"/>
    <w:rsid w:val="00B028DD"/>
    <w:rsid w:val="00B15CE7"/>
    <w:rsid w:val="00B2468C"/>
    <w:rsid w:val="00B25EC4"/>
    <w:rsid w:val="00B312BB"/>
    <w:rsid w:val="00B40D59"/>
    <w:rsid w:val="00B41DE4"/>
    <w:rsid w:val="00B42DC2"/>
    <w:rsid w:val="00B44398"/>
    <w:rsid w:val="00B46C3F"/>
    <w:rsid w:val="00B50657"/>
    <w:rsid w:val="00B52964"/>
    <w:rsid w:val="00B70368"/>
    <w:rsid w:val="00B72FF5"/>
    <w:rsid w:val="00B73D32"/>
    <w:rsid w:val="00B82936"/>
    <w:rsid w:val="00B84B07"/>
    <w:rsid w:val="00B91606"/>
    <w:rsid w:val="00B9589C"/>
    <w:rsid w:val="00B96206"/>
    <w:rsid w:val="00BB0250"/>
    <w:rsid w:val="00BC4F7B"/>
    <w:rsid w:val="00BD0DDE"/>
    <w:rsid w:val="00BD4BF0"/>
    <w:rsid w:val="00BE09F1"/>
    <w:rsid w:val="00BE3B55"/>
    <w:rsid w:val="00BE7784"/>
    <w:rsid w:val="00BF26E6"/>
    <w:rsid w:val="00BF2A07"/>
    <w:rsid w:val="00C0600E"/>
    <w:rsid w:val="00C064CB"/>
    <w:rsid w:val="00C22794"/>
    <w:rsid w:val="00C239EC"/>
    <w:rsid w:val="00C25421"/>
    <w:rsid w:val="00C30A03"/>
    <w:rsid w:val="00C35BF8"/>
    <w:rsid w:val="00C35FE6"/>
    <w:rsid w:val="00C40769"/>
    <w:rsid w:val="00C611E9"/>
    <w:rsid w:val="00C70D64"/>
    <w:rsid w:val="00C71D7E"/>
    <w:rsid w:val="00C73B80"/>
    <w:rsid w:val="00C76128"/>
    <w:rsid w:val="00CA016B"/>
    <w:rsid w:val="00CA6FE5"/>
    <w:rsid w:val="00CB17F7"/>
    <w:rsid w:val="00CB3127"/>
    <w:rsid w:val="00CC1073"/>
    <w:rsid w:val="00CC3EEE"/>
    <w:rsid w:val="00CC51A2"/>
    <w:rsid w:val="00CC6735"/>
    <w:rsid w:val="00CD0A0D"/>
    <w:rsid w:val="00CD2DC6"/>
    <w:rsid w:val="00CE3550"/>
    <w:rsid w:val="00CE7910"/>
    <w:rsid w:val="00CF0F75"/>
    <w:rsid w:val="00CF17A1"/>
    <w:rsid w:val="00CF57AA"/>
    <w:rsid w:val="00D01408"/>
    <w:rsid w:val="00D12C09"/>
    <w:rsid w:val="00D226B7"/>
    <w:rsid w:val="00D250DA"/>
    <w:rsid w:val="00D54202"/>
    <w:rsid w:val="00D5464A"/>
    <w:rsid w:val="00D61A44"/>
    <w:rsid w:val="00D63CF6"/>
    <w:rsid w:val="00D715A1"/>
    <w:rsid w:val="00D77EA6"/>
    <w:rsid w:val="00D83C67"/>
    <w:rsid w:val="00D85CA2"/>
    <w:rsid w:val="00DA33E0"/>
    <w:rsid w:val="00DB2515"/>
    <w:rsid w:val="00DD54A2"/>
    <w:rsid w:val="00DE0DB4"/>
    <w:rsid w:val="00DE327C"/>
    <w:rsid w:val="00DE71BD"/>
    <w:rsid w:val="00DF02A8"/>
    <w:rsid w:val="00DF2DD8"/>
    <w:rsid w:val="00DF321F"/>
    <w:rsid w:val="00DF5370"/>
    <w:rsid w:val="00E14E58"/>
    <w:rsid w:val="00E22A96"/>
    <w:rsid w:val="00E35F03"/>
    <w:rsid w:val="00E42F10"/>
    <w:rsid w:val="00E43683"/>
    <w:rsid w:val="00E44295"/>
    <w:rsid w:val="00E54887"/>
    <w:rsid w:val="00E60E08"/>
    <w:rsid w:val="00E63AB5"/>
    <w:rsid w:val="00E64E29"/>
    <w:rsid w:val="00E70D28"/>
    <w:rsid w:val="00E74A0F"/>
    <w:rsid w:val="00E7542B"/>
    <w:rsid w:val="00E75509"/>
    <w:rsid w:val="00E838B6"/>
    <w:rsid w:val="00E842B6"/>
    <w:rsid w:val="00E84353"/>
    <w:rsid w:val="00E87B75"/>
    <w:rsid w:val="00E94F5C"/>
    <w:rsid w:val="00EA2010"/>
    <w:rsid w:val="00EA2565"/>
    <w:rsid w:val="00EA32D0"/>
    <w:rsid w:val="00EB7D85"/>
    <w:rsid w:val="00EC1FED"/>
    <w:rsid w:val="00EC4955"/>
    <w:rsid w:val="00EC6547"/>
    <w:rsid w:val="00ED2BB7"/>
    <w:rsid w:val="00EE0A41"/>
    <w:rsid w:val="00EE1562"/>
    <w:rsid w:val="00EE1956"/>
    <w:rsid w:val="00EF5BF4"/>
    <w:rsid w:val="00F0040B"/>
    <w:rsid w:val="00F004F0"/>
    <w:rsid w:val="00F017F6"/>
    <w:rsid w:val="00F04FD5"/>
    <w:rsid w:val="00F0795F"/>
    <w:rsid w:val="00F10210"/>
    <w:rsid w:val="00F1293A"/>
    <w:rsid w:val="00F25F0E"/>
    <w:rsid w:val="00F26297"/>
    <w:rsid w:val="00F36940"/>
    <w:rsid w:val="00F45C26"/>
    <w:rsid w:val="00F4642E"/>
    <w:rsid w:val="00F55713"/>
    <w:rsid w:val="00F559E0"/>
    <w:rsid w:val="00F56FD1"/>
    <w:rsid w:val="00F72B62"/>
    <w:rsid w:val="00F76111"/>
    <w:rsid w:val="00F902D1"/>
    <w:rsid w:val="00F9085C"/>
    <w:rsid w:val="00F920B6"/>
    <w:rsid w:val="00F97612"/>
    <w:rsid w:val="00F976BA"/>
    <w:rsid w:val="00FA50F6"/>
    <w:rsid w:val="00FA7586"/>
    <w:rsid w:val="00FB1365"/>
    <w:rsid w:val="00FB7AD6"/>
    <w:rsid w:val="00FC00FD"/>
    <w:rsid w:val="00FC0E24"/>
    <w:rsid w:val="00FC2669"/>
    <w:rsid w:val="00FC7AEB"/>
    <w:rsid w:val="00FD2276"/>
    <w:rsid w:val="00FD4D5C"/>
    <w:rsid w:val="00FD5993"/>
    <w:rsid w:val="00FE54A7"/>
    <w:rsid w:val="00FE55B0"/>
    <w:rsid w:val="00FE5D9E"/>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7105"/>
    <o:shapelayout v:ext="edit">
      <o:idmap v:ext="edit" data="1"/>
    </o:shapelayout>
  </w:shapeDefaults>
  <w:decimalSymbol w:val="."/>
  <w:listSeparator w:val=","/>
  <w14:docId w14:val="7148C95E"/>
  <w15:chartTrackingRefBased/>
  <w15:docId w15:val="{DDE5D2C5-5097-4D90-9CB7-CBCD4FD4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basedOn w:val="DefaultParagraphFont"/>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character" w:styleId="Hyperlink">
    <w:name w:val="Hyperlink"/>
    <w:basedOn w:val="DefaultParagraphFont"/>
    <w:uiPriority w:val="99"/>
    <w:unhideWhenUsed/>
    <w:rsid w:val="009521E6"/>
    <w:rPr>
      <w:color w:val="0000FF"/>
      <w:u w:val="single"/>
    </w:rPr>
  </w:style>
  <w:style w:type="paragraph" w:styleId="HTMLPreformatted">
    <w:name w:val="HTML Preformatted"/>
    <w:basedOn w:val="Normal"/>
    <w:link w:val="HTMLPreformattedChar"/>
    <w:uiPriority w:val="99"/>
    <w:unhideWhenUsed/>
    <w:rsid w:val="00E5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54887"/>
    <w:rPr>
      <w:rFonts w:ascii="Courier New" w:hAnsi="Courier New" w:cs="Courier New"/>
    </w:rPr>
  </w:style>
  <w:style w:type="numbering" w:customStyle="1" w:styleId="D2Aformnumbering">
    <w:name w:val="D2A form numbering"/>
    <w:uiPriority w:val="99"/>
    <w:rsid w:val="0081746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07696">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5JENXJJSCC7A-445999044-12029</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https://im/teams/LEGAL/_layouts/15/DocIdRedir.aspx?ID=5JENXJJSCC7A-445999044-12029</Url>
      <Description>5JENXJJSCC7A-445999044-12029</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LRS 310.0 Income Statement</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56F97-C5E0-475C-857F-94DF0AF416BB}">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814d62cb-2db6-4c25-ab62-b9075facbc11"/>
    <ds:schemaRef ds:uri="http://purl.org/dc/dcmitype/"/>
  </ds:schemaRefs>
</ds:datastoreItem>
</file>

<file path=customXml/itemProps2.xml><?xml version="1.0" encoding="utf-8"?>
<ds:datastoreItem xmlns:ds="http://schemas.openxmlformats.org/officeDocument/2006/customXml" ds:itemID="{66F9CE29-6C29-4372-91F7-FB8ABA91C8F3}">
  <ds:schemaRefs>
    <ds:schemaRef ds:uri="Microsoft.SharePoint.Taxonomy.ContentTypeSync"/>
  </ds:schemaRefs>
</ds:datastoreItem>
</file>

<file path=customXml/itemProps3.xml><?xml version="1.0" encoding="utf-8"?>
<ds:datastoreItem xmlns:ds="http://schemas.openxmlformats.org/officeDocument/2006/customXml" ds:itemID="{4F594264-DA5C-4739-862B-4CB2443DBC2F}">
  <ds:schemaRefs>
    <ds:schemaRef ds:uri="http://schemas.openxmlformats.org/officeDocument/2006/bibliography"/>
  </ds:schemaRefs>
</ds:datastoreItem>
</file>

<file path=customXml/itemProps4.xml><?xml version="1.0" encoding="utf-8"?>
<ds:datastoreItem xmlns:ds="http://schemas.openxmlformats.org/officeDocument/2006/customXml" ds:itemID="{2B6173B3-C2F1-4B82-B664-B7BCBEBF6730}">
  <ds:schemaRefs>
    <ds:schemaRef ds:uri="http://schemas.microsoft.com/sharepoint/events"/>
  </ds:schemaRefs>
</ds:datastoreItem>
</file>

<file path=customXml/itemProps5.xml><?xml version="1.0" encoding="utf-8"?>
<ds:datastoreItem xmlns:ds="http://schemas.openxmlformats.org/officeDocument/2006/customXml" ds:itemID="{2CD569B9-771B-4B57-9A88-4419DB91C7DB}">
  <ds:schemaRefs>
    <ds:schemaRef ds:uri="http://schemas.microsoft.com/sharepoint/v3/contenttype/forms"/>
  </ds:schemaRefs>
</ds:datastoreItem>
</file>

<file path=customXml/itemProps6.xml><?xml version="1.0" encoding="utf-8"?>
<ds:datastoreItem xmlns:ds="http://schemas.openxmlformats.org/officeDocument/2006/customXml" ds:itemID="{6B892548-C6E6-4DE6-B5FF-E986DFDC0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6095</Words>
  <Characters>34626</Characters>
  <Application>Microsoft Office Word</Application>
  <DocSecurity>0</DocSecurity>
  <Lines>1923</Lines>
  <Paragraphs>626</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
  <LinksUpToDate>false</LinksUpToDate>
  <CharactersWithSpaces>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Toni Michalis</dc:creator>
  <cp:keywords>[SEC=OFFICIAL]</cp:keywords>
  <cp:lastModifiedBy>Toni Michalis</cp:lastModifiedBy>
  <cp:revision>2</cp:revision>
  <cp:lastPrinted>2009-07-22T03:35:00Z</cp:lastPrinted>
  <dcterms:created xsi:type="dcterms:W3CDTF">2023-03-22T00:51:00Z</dcterms:created>
  <dcterms:modified xsi:type="dcterms:W3CDTF">2023-03-22T00:51:00Z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329301541B3D402DAC0CC1A1511DCA2D</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2023-01-17T00:05:13Z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A7A42F759F3C1AFA193E6A7618214A1F</vt:lpwstr>
  </property>
  <property fmtid="{D5CDD505-2E9C-101B-9397-08002B2CF9AE}" pid="22" name="PM_Hash_Salt">
    <vt:lpwstr>5D8DF588E9FDA17D17672F89EAF41D71</vt:lpwstr>
  </property>
  <property fmtid="{D5CDD505-2E9C-101B-9397-08002B2CF9AE}" pid="23" name="PM_Hash_SHA1">
    <vt:lpwstr>9CD342CD93690F41E393DCC534BEFE8CC2D3F84A</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6b12f892-5f34-4a65-9683-c7a90b4f4b04</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IT system type">
    <vt:lpwstr/>
  </property>
  <property fmtid="{D5CDD505-2E9C-101B-9397-08002B2CF9AE}" pid="34" name="APRACategory">
    <vt:lpwstr/>
  </property>
  <property fmtid="{D5CDD505-2E9C-101B-9397-08002B2CF9AE}" pid="35" name="APRAPRSG">
    <vt:lpwstr/>
  </property>
  <property fmtid="{D5CDD505-2E9C-101B-9397-08002B2CF9AE}" pid="36" name="APRADocumentType">
    <vt:lpwstr>297;#Reporting standard|91896cd9-c8c4-4f0d-b59e-113a28881d1d;#58;#Legal instrument|71fd6ed3-d6d6-4975-ba99-bfe45802e734</vt:lpwstr>
  </property>
  <property fmtid="{D5CDD505-2E9C-101B-9397-08002B2CF9AE}" pid="37" name="APRAActivity">
    <vt:lpwstr>10;#Registration|390476ce-d76d-4e8d-905f-28e32d2df127;#109;#Statutory instrument|fe68928c-5a9c-4caf-bc8c-6c18cedcb17f</vt:lpwstr>
  </property>
  <property fmtid="{D5CDD505-2E9C-101B-9397-08002B2CF9AE}" pid="38" name="APRAEntityAdviceSupport">
    <vt:lpwstr/>
  </property>
  <property fmtid="{D5CDD505-2E9C-101B-9397-08002B2CF9AE}" pid="39" name="APRALegislation">
    <vt:lpwstr/>
  </property>
  <property fmtid="{D5CDD505-2E9C-101B-9397-08002B2CF9AE}" pid="40" name="APRAYear">
    <vt:lpwstr/>
  </property>
  <property fmtid="{D5CDD505-2E9C-101B-9397-08002B2CF9AE}" pid="41" name="APRAIndustry">
    <vt:lpwstr/>
  </property>
  <property fmtid="{D5CDD505-2E9C-101B-9397-08002B2CF9AE}" pid="42" name="APRAExternalOrganisation">
    <vt:lpwstr/>
  </property>
  <property fmtid="{D5CDD505-2E9C-101B-9397-08002B2CF9AE}" pid="43" name="APRAIRTR">
    <vt:lpwstr/>
  </property>
  <property fmtid="{D5CDD505-2E9C-101B-9397-08002B2CF9AE}" pid="44" name="APRAPeriod">
    <vt:lpwstr/>
  </property>
  <property fmtid="{D5CDD505-2E9C-101B-9397-08002B2CF9AE}" pid="45" name="RecordPoint_WorkflowType">
    <vt:lpwstr>ActiveSubmitStub</vt:lpwstr>
  </property>
  <property fmtid="{D5CDD505-2E9C-101B-9397-08002B2CF9AE}" pid="46" name="RecordPoint_ActiveItemSiteId">
    <vt:lpwstr>{88691c01-5bbb-4215-adc0-66cb7065b0af}</vt:lpwstr>
  </property>
  <property fmtid="{D5CDD505-2E9C-101B-9397-08002B2CF9AE}" pid="47" name="RecordPoint_ActiveItemListId">
    <vt:lpwstr>{0e59e171-09d8-4401-800a-327154450cb3}</vt:lpwstr>
  </property>
  <property fmtid="{D5CDD505-2E9C-101B-9397-08002B2CF9AE}" pid="48" name="RecordPoint_ActiveItemUniqueId">
    <vt:lpwstr>{6b12f892-5f34-4a65-9683-c7a90b4f4b04}</vt:lpwstr>
  </property>
  <property fmtid="{D5CDD505-2E9C-101B-9397-08002B2CF9AE}" pid="49" name="RecordPoint_ActiveItemWebId">
    <vt:lpwstr>{75a71c27-8d66-4282-ae60-1bfc22a83be1}</vt:lpwstr>
  </property>
  <property fmtid="{D5CDD505-2E9C-101B-9397-08002B2CF9AE}" pid="50" name="RecordPoint_RecordNumberSubmitted">
    <vt:lpwstr/>
  </property>
  <property fmtid="{D5CDD505-2E9C-101B-9397-08002B2CF9AE}" pid="51" name="RecordPoint_SubmissionCompleted">
    <vt:lpwstr/>
  </property>
  <property fmtid="{D5CDD505-2E9C-101B-9397-08002B2CF9AE}" pid="52" name="MSIP_Label_c0129afb-6481-4f92-bc9f-5a4a6346364d_SetDate">
    <vt:lpwstr>2023-01-17T00:05:13Z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Enabled">
    <vt:lpwstr>true</vt:lpwstr>
  </property>
  <property fmtid="{D5CDD505-2E9C-101B-9397-08002B2CF9AE}" pid="56" name="MSIP_Label_c0129afb-6481-4f92-bc9f-5a4a6346364d_Method">
    <vt:lpwstr>Privileged</vt:lpwstr>
  </property>
  <property fmtid="{D5CDD505-2E9C-101B-9397-08002B2CF9AE}" pid="57" name="PMHMAC">
    <vt:lpwstr>v=2022.1;a=SHA256;h=A6A51D6CEE51E03D7247963F47735C8B9022DB2501E0B6D626D66F793EA9F015</vt:lpwstr>
  </property>
  <property fmtid="{D5CDD505-2E9C-101B-9397-08002B2CF9AE}" pid="58" name="MSIP_Label_c0129afb-6481-4f92-bc9f-5a4a6346364d_ContentBits">
    <vt:lpwstr>0</vt:lpwstr>
  </property>
  <property fmtid="{D5CDD505-2E9C-101B-9397-08002B2CF9AE}" pid="59" name="MSIP_Label_c0129afb-6481-4f92-bc9f-5a4a6346364d_ActionId">
    <vt:lpwstr>7a47de9e4cf2455cb2b2abb2137755ac</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