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58761" w14:textId="77777777" w:rsidR="00F56B0A" w:rsidRPr="003F21BB" w:rsidRDefault="00F56B0A" w:rsidP="00F56B0A">
      <w:pPr>
        <w:rPr>
          <w:color w:val="000000"/>
          <w:sz w:val="20"/>
          <w:szCs w:val="20"/>
          <w:lang w:val="en-US"/>
        </w:rPr>
      </w:pPr>
      <w:bookmarkStart w:id="0" w:name="_Toc168113228"/>
      <w:r>
        <w:rPr>
          <w:noProof/>
          <w:color w:val="000000"/>
          <w:sz w:val="20"/>
          <w:szCs w:val="20"/>
        </w:rPr>
        <w:drawing>
          <wp:inline distT="0" distB="0" distL="0" distR="0" wp14:anchorId="7D2D73B7" wp14:editId="53BD2958">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5974C95" w14:textId="77777777" w:rsidR="00F56B0A" w:rsidRPr="003F21BB" w:rsidRDefault="00F56B0A" w:rsidP="00F56B0A">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31</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7861E0BE" w14:textId="77777777" w:rsidR="00F56B0A" w:rsidRPr="00F55927" w:rsidRDefault="00F56B0A" w:rsidP="00F56B0A">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F55927">
        <w:rPr>
          <w:rFonts w:ascii="Arial" w:hAnsi="Arial" w:cs="Arial"/>
          <w:b/>
          <w:bCs/>
          <w:color w:val="000000"/>
          <w:sz w:val="28"/>
          <w:szCs w:val="28"/>
        </w:rPr>
        <w:t>LRS 200.0 Capital Adequacy Supplementary Information</w:t>
      </w:r>
    </w:p>
    <w:p w14:paraId="5DF7D973" w14:textId="77777777" w:rsidR="00F56B0A" w:rsidRPr="003F21BB" w:rsidRDefault="00F56B0A" w:rsidP="00F56B0A">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085DF782" w14:textId="77777777" w:rsidR="00F56B0A" w:rsidRPr="003F21BB" w:rsidRDefault="00F56B0A" w:rsidP="00F56B0A">
      <w:pPr>
        <w:ind w:left="720" w:hanging="720"/>
        <w:rPr>
          <w:color w:val="000000"/>
          <w:szCs w:val="20"/>
        </w:rPr>
      </w:pPr>
    </w:p>
    <w:p w14:paraId="17ECEAD4" w14:textId="77777777" w:rsidR="00F56B0A" w:rsidRPr="007924D0" w:rsidRDefault="00F56B0A" w:rsidP="00F56B0A">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76F98E1F" w14:textId="77777777" w:rsidR="00F56B0A" w:rsidRDefault="00F56B0A" w:rsidP="00F56B0A">
      <w:pPr>
        <w:jc w:val="both"/>
        <w:rPr>
          <w:color w:val="000000"/>
        </w:rPr>
      </w:pPr>
    </w:p>
    <w:p w14:paraId="5ECE238F" w14:textId="77777777" w:rsidR="00F56B0A" w:rsidRPr="004F7A0C" w:rsidRDefault="00F56B0A" w:rsidP="00F56B0A">
      <w:pPr>
        <w:pStyle w:val="ListParagraph"/>
        <w:numPr>
          <w:ilvl w:val="0"/>
          <w:numId w:val="15"/>
        </w:numPr>
        <w:jc w:val="both"/>
        <w:rPr>
          <w:sz w:val="24"/>
          <w:szCs w:val="24"/>
        </w:rPr>
      </w:pPr>
      <w:r w:rsidRPr="004F7A0C">
        <w:rPr>
          <w:sz w:val="24"/>
          <w:szCs w:val="24"/>
        </w:rPr>
        <w:t xml:space="preserve">REVOKE Financial Sector (Collection of Data) (reporting standard) determination No. </w:t>
      </w:r>
      <w:r>
        <w:rPr>
          <w:sz w:val="24"/>
          <w:szCs w:val="24"/>
        </w:rPr>
        <w:t>52</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LRS 200.0 Capital Adequacy Supplementary Information</w:t>
      </w:r>
      <w:r w:rsidRPr="004F7A0C">
        <w:rPr>
          <w:sz w:val="24"/>
          <w:szCs w:val="24"/>
        </w:rPr>
        <w:t xml:space="preserve"> made under that Determination; and</w:t>
      </w:r>
    </w:p>
    <w:p w14:paraId="25371F29" w14:textId="77777777" w:rsidR="00F56B0A" w:rsidRPr="004F7A0C" w:rsidRDefault="00F56B0A" w:rsidP="00F56B0A">
      <w:pPr>
        <w:pStyle w:val="ListParagraph"/>
        <w:rPr>
          <w:sz w:val="24"/>
          <w:szCs w:val="24"/>
        </w:rPr>
      </w:pPr>
    </w:p>
    <w:p w14:paraId="4EB3252F" w14:textId="77777777" w:rsidR="00F56B0A" w:rsidRDefault="00F56B0A" w:rsidP="00F56B0A">
      <w:pPr>
        <w:pStyle w:val="ListParagraph"/>
        <w:numPr>
          <w:ilvl w:val="0"/>
          <w:numId w:val="15"/>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F55927">
        <w:rPr>
          <w:i/>
          <w:sz w:val="24"/>
        </w:rPr>
        <w:t xml:space="preserve"> </w:t>
      </w:r>
      <w:r>
        <w:rPr>
          <w:i/>
          <w:sz w:val="24"/>
        </w:rPr>
        <w:t>LRS 200.0 Capital Adequacy Supplementary Information</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49A66C3E" w14:textId="77777777" w:rsidR="00F56B0A" w:rsidRPr="007924D0" w:rsidRDefault="00F56B0A" w:rsidP="00F56B0A">
      <w:pPr>
        <w:pStyle w:val="ListParagraph"/>
        <w:rPr>
          <w:sz w:val="24"/>
          <w:szCs w:val="24"/>
        </w:rPr>
      </w:pPr>
    </w:p>
    <w:p w14:paraId="10935D25" w14:textId="77777777" w:rsidR="00F56B0A" w:rsidRPr="007924D0" w:rsidRDefault="00F56B0A" w:rsidP="00F56B0A">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00690706" w14:textId="77777777" w:rsidR="00F56B0A" w:rsidRPr="007924D0" w:rsidRDefault="00F56B0A" w:rsidP="00F56B0A">
      <w:pPr>
        <w:jc w:val="both"/>
        <w:rPr>
          <w:lang w:val="en-US"/>
        </w:rPr>
      </w:pPr>
    </w:p>
    <w:p w14:paraId="583F1598" w14:textId="77777777" w:rsidR="00F56B0A" w:rsidRPr="007924D0" w:rsidRDefault="00F56B0A" w:rsidP="00F56B0A">
      <w:pPr>
        <w:jc w:val="both"/>
        <w:rPr>
          <w:lang w:val="en-US"/>
        </w:rPr>
      </w:pPr>
      <w:r w:rsidRPr="007924D0">
        <w:rPr>
          <w:lang w:val="en-US"/>
        </w:rPr>
        <w:t>This instrument commences on 1 April 202</w:t>
      </w:r>
      <w:r>
        <w:rPr>
          <w:lang w:val="en-US"/>
        </w:rPr>
        <w:t>3</w:t>
      </w:r>
      <w:r w:rsidRPr="007924D0">
        <w:rPr>
          <w:lang w:val="en-US"/>
        </w:rPr>
        <w:t>.</w:t>
      </w:r>
    </w:p>
    <w:p w14:paraId="072C4CB4" w14:textId="77777777" w:rsidR="00F56B0A" w:rsidRPr="007924D0" w:rsidRDefault="00F56B0A" w:rsidP="00F56B0A">
      <w:pPr>
        <w:jc w:val="both"/>
        <w:rPr>
          <w:lang w:val="en-US"/>
        </w:rPr>
      </w:pPr>
    </w:p>
    <w:p w14:paraId="49874725" w14:textId="64C53C3C" w:rsidR="00F56B0A" w:rsidRPr="003F21BB" w:rsidRDefault="00F56B0A" w:rsidP="00F56B0A">
      <w:pPr>
        <w:jc w:val="both"/>
        <w:rPr>
          <w:lang w:val="en-US"/>
        </w:rPr>
      </w:pPr>
      <w:r w:rsidRPr="007924D0">
        <w:rPr>
          <w:lang w:val="en-US"/>
        </w:rPr>
        <w:t xml:space="preserve">Dated: </w:t>
      </w:r>
      <w:r w:rsidR="000E4580">
        <w:rPr>
          <w:lang w:val="en-US"/>
        </w:rPr>
        <w:t>16</w:t>
      </w:r>
      <w:r w:rsidRPr="007924D0">
        <w:rPr>
          <w:lang w:val="en-US"/>
        </w:rPr>
        <w:t xml:space="preserve"> March 202</w:t>
      </w:r>
      <w:r>
        <w:rPr>
          <w:lang w:val="en-US"/>
        </w:rPr>
        <w:t>3</w:t>
      </w:r>
    </w:p>
    <w:p w14:paraId="65C1214B" w14:textId="77777777" w:rsidR="00F56B0A" w:rsidRPr="00841E07" w:rsidRDefault="00F56B0A" w:rsidP="00F56B0A">
      <w:pPr>
        <w:jc w:val="both"/>
        <w:rPr>
          <w:lang w:val="en-US"/>
        </w:rPr>
      </w:pPr>
    </w:p>
    <w:p w14:paraId="3D2725B2" w14:textId="77777777" w:rsidR="00F56B0A" w:rsidRPr="003F21BB" w:rsidRDefault="00F56B0A" w:rsidP="00F56B0A">
      <w:pPr>
        <w:jc w:val="both"/>
        <w:rPr>
          <w:color w:val="000000"/>
          <w:lang w:val="en-US"/>
        </w:rPr>
      </w:pPr>
    </w:p>
    <w:p w14:paraId="5864C474" w14:textId="77777777" w:rsidR="00F56B0A" w:rsidRPr="003F21BB" w:rsidRDefault="00F56B0A" w:rsidP="00F56B0A">
      <w:pPr>
        <w:jc w:val="both"/>
        <w:rPr>
          <w:lang w:val="en-US"/>
        </w:rPr>
      </w:pPr>
      <w:r>
        <w:rPr>
          <w:lang w:val="en-US"/>
        </w:rPr>
        <w:t>Michael Murphy</w:t>
      </w:r>
    </w:p>
    <w:p w14:paraId="2CD16FAE" w14:textId="77777777" w:rsidR="00F56B0A" w:rsidRPr="003F21BB" w:rsidRDefault="00F56B0A" w:rsidP="00F56B0A">
      <w:pPr>
        <w:jc w:val="both"/>
        <w:rPr>
          <w:lang w:val="en-US"/>
        </w:rPr>
      </w:pPr>
      <w:r>
        <w:rPr>
          <w:lang w:val="en-US"/>
        </w:rPr>
        <w:t>General Manager – Chief Data Officer (Acting),</w:t>
      </w:r>
    </w:p>
    <w:p w14:paraId="79B6425F" w14:textId="1F1CA44E" w:rsidR="000E4580" w:rsidRDefault="00F56B0A" w:rsidP="00F56B0A">
      <w:pPr>
        <w:jc w:val="both"/>
        <w:rPr>
          <w:lang w:val="en-US"/>
        </w:rPr>
      </w:pPr>
      <w:r>
        <w:rPr>
          <w:lang w:val="en-US"/>
        </w:rPr>
        <w:t>Technology and Data</w:t>
      </w:r>
      <w:r w:rsidRPr="003F21BB">
        <w:rPr>
          <w:lang w:val="en-US"/>
        </w:rPr>
        <w:t xml:space="preserve"> Division</w:t>
      </w:r>
    </w:p>
    <w:p w14:paraId="28D7FB43" w14:textId="77777777" w:rsidR="000E4580" w:rsidRDefault="000E4580">
      <w:pPr>
        <w:rPr>
          <w:lang w:val="en-US"/>
        </w:rPr>
      </w:pPr>
      <w:r>
        <w:rPr>
          <w:lang w:val="en-US"/>
        </w:rPr>
        <w:br w:type="page"/>
      </w:r>
    </w:p>
    <w:p w14:paraId="338EF5AC" w14:textId="77777777" w:rsidR="00F56B0A" w:rsidRPr="003F21BB" w:rsidRDefault="00F56B0A" w:rsidP="00F56B0A">
      <w:pPr>
        <w:jc w:val="both"/>
        <w:rPr>
          <w:b/>
          <w:lang w:val="en-US"/>
        </w:rPr>
      </w:pPr>
      <w:r w:rsidRPr="003F21BB">
        <w:rPr>
          <w:b/>
          <w:color w:val="000000"/>
          <w:lang w:val="en-US"/>
        </w:rPr>
        <w:lastRenderedPageBreak/>
        <w:t>Interpretation</w:t>
      </w:r>
    </w:p>
    <w:p w14:paraId="0E73A513" w14:textId="77777777" w:rsidR="00F56B0A" w:rsidRPr="003F21BB" w:rsidRDefault="00F56B0A" w:rsidP="00F56B0A">
      <w:pPr>
        <w:keepNext/>
        <w:tabs>
          <w:tab w:val="right" w:pos="794"/>
        </w:tabs>
        <w:spacing w:before="240" w:line="260" w:lineRule="exact"/>
        <w:ind w:left="964" w:hanging="964"/>
        <w:jc w:val="both"/>
        <w:rPr>
          <w:color w:val="000000"/>
        </w:rPr>
      </w:pPr>
      <w:r w:rsidRPr="003F21BB">
        <w:rPr>
          <w:color w:val="000000"/>
        </w:rPr>
        <w:t>In this Determination:</w:t>
      </w:r>
    </w:p>
    <w:p w14:paraId="0590785D" w14:textId="77777777" w:rsidR="00F56B0A" w:rsidRPr="003F21BB" w:rsidRDefault="00F56B0A" w:rsidP="00F56B0A">
      <w:pPr>
        <w:spacing w:before="120"/>
        <w:jc w:val="both"/>
        <w:rPr>
          <w:color w:val="000000"/>
        </w:rPr>
      </w:pPr>
      <w:r w:rsidRPr="003F21BB">
        <w:rPr>
          <w:b/>
          <w:i/>
          <w:color w:val="000000"/>
        </w:rPr>
        <w:t>APRA</w:t>
      </w:r>
      <w:r w:rsidRPr="003F21BB">
        <w:rPr>
          <w:color w:val="000000"/>
        </w:rPr>
        <w:t xml:space="preserve"> means the Australian Prudential Regulation Authority.</w:t>
      </w:r>
    </w:p>
    <w:p w14:paraId="12662C94" w14:textId="77777777" w:rsidR="00F56B0A" w:rsidRPr="003F21BB" w:rsidRDefault="00F56B0A" w:rsidP="00F56B0A">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0644543F" w14:textId="77777777" w:rsidR="00F56B0A" w:rsidRPr="003F21BB" w:rsidRDefault="00F56B0A" w:rsidP="00F56B0A">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0660A0F3" w14:textId="77777777" w:rsidR="00F56B0A" w:rsidRPr="003F21BB" w:rsidRDefault="00F56B0A" w:rsidP="00F56B0A">
      <w:pPr>
        <w:keepNext/>
        <w:autoSpaceDE w:val="0"/>
        <w:autoSpaceDN w:val="0"/>
        <w:spacing w:before="60" w:line="200" w:lineRule="exact"/>
        <w:rPr>
          <w:rFonts w:ascii="Arial" w:hAnsi="Arial" w:cs="Arial"/>
          <w:color w:val="000000"/>
          <w:sz w:val="18"/>
          <w:szCs w:val="18"/>
        </w:rPr>
      </w:pPr>
    </w:p>
    <w:p w14:paraId="440B3643" w14:textId="77777777" w:rsidR="00F56B0A" w:rsidRPr="003F21BB" w:rsidRDefault="00F56B0A" w:rsidP="00F56B0A">
      <w:pPr>
        <w:tabs>
          <w:tab w:val="center" w:pos="4320"/>
          <w:tab w:val="right" w:pos="8640"/>
        </w:tabs>
        <w:jc w:val="both"/>
        <w:rPr>
          <w:bCs/>
          <w:lang w:val="en-US"/>
        </w:rPr>
      </w:pPr>
      <w:r w:rsidRPr="002D3393">
        <w:rPr>
          <w:i/>
          <w:color w:val="000000"/>
        </w:rPr>
        <w:t xml:space="preserve">Reporting Standard </w:t>
      </w:r>
      <w:r>
        <w:rPr>
          <w:i/>
        </w:rPr>
        <w:t>LRS 200.0 Capital Adequacy Supplementary Information</w:t>
      </w:r>
      <w:r w:rsidRPr="003F21BB">
        <w:rPr>
          <w:bCs/>
          <w:lang w:val="en-US"/>
        </w:rPr>
        <w:t xml:space="preserve"> comprises the document commencing on the following page.</w:t>
      </w:r>
      <w:bookmarkEnd w:id="0"/>
    </w:p>
    <w:p w14:paraId="38FCF249" w14:textId="77777777" w:rsidR="000E4580" w:rsidRDefault="000E4580">
      <w:pPr>
        <w:rPr>
          <w:rFonts w:cs="Arial"/>
          <w:sz w:val="40"/>
          <w:szCs w:val="40"/>
        </w:rPr>
        <w:sectPr w:rsidR="000E4580" w:rsidSect="00BB544A">
          <w:headerReference w:type="default" r:id="rId14"/>
          <w:footerReference w:type="default" r:id="rId15"/>
          <w:pgSz w:w="11906" w:h="16838"/>
          <w:pgMar w:top="1440" w:right="1440" w:bottom="1440" w:left="1440" w:header="708" w:footer="708" w:gutter="0"/>
          <w:pgNumType w:start="1"/>
          <w:cols w:space="708"/>
          <w:docGrid w:linePitch="360"/>
        </w:sectPr>
      </w:pPr>
    </w:p>
    <w:p w14:paraId="336441A4" w14:textId="59FD577C" w:rsidR="00E63AB5" w:rsidRPr="003F62B4" w:rsidRDefault="00087700" w:rsidP="000A5F23">
      <w:pPr>
        <w:spacing w:before="120" w:after="240"/>
        <w:jc w:val="both"/>
        <w:rPr>
          <w:rFonts w:cs="Arial"/>
          <w:sz w:val="40"/>
          <w:szCs w:val="40"/>
        </w:rPr>
      </w:pPr>
      <w:r w:rsidRPr="003F62B4">
        <w:rPr>
          <w:noProof/>
        </w:rPr>
        <w:lastRenderedPageBreak/>
        <w:drawing>
          <wp:inline distT="0" distB="0" distL="0" distR="0" wp14:anchorId="0BDB48EF" wp14:editId="6BAF3522">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2836FCEF" w14:textId="77777777" w:rsidR="00E63AB5" w:rsidRPr="006658A3" w:rsidRDefault="00E63AB5" w:rsidP="003C6BD0">
      <w:pPr>
        <w:pStyle w:val="Heading1"/>
        <w:spacing w:before="120"/>
        <w:jc w:val="both"/>
        <w:rPr>
          <w:szCs w:val="40"/>
        </w:rPr>
      </w:pPr>
      <w:r w:rsidRPr="006658A3">
        <w:rPr>
          <w:szCs w:val="40"/>
        </w:rPr>
        <w:t xml:space="preserve">Reporting Standard LRS </w:t>
      </w:r>
      <w:r w:rsidR="007E279C" w:rsidRPr="006658A3">
        <w:rPr>
          <w:noProof/>
          <w:szCs w:val="40"/>
        </w:rPr>
        <w:t>200</w:t>
      </w:r>
      <w:r w:rsidR="000A5F23" w:rsidRPr="006658A3">
        <w:rPr>
          <w:noProof/>
          <w:szCs w:val="40"/>
        </w:rPr>
        <w:t>.0</w:t>
      </w:r>
    </w:p>
    <w:p w14:paraId="609213D2" w14:textId="77777777" w:rsidR="00E63AB5" w:rsidRPr="006658A3" w:rsidRDefault="007E279C" w:rsidP="007E279C">
      <w:pPr>
        <w:pStyle w:val="Heading2"/>
        <w:spacing w:before="120"/>
        <w:jc w:val="left"/>
        <w:rPr>
          <w:rFonts w:cs="Arial"/>
          <w:sz w:val="40"/>
          <w:szCs w:val="40"/>
        </w:rPr>
      </w:pPr>
      <w:r w:rsidRPr="006658A3">
        <w:rPr>
          <w:rFonts w:cs="Arial"/>
          <w:sz w:val="40"/>
          <w:szCs w:val="40"/>
        </w:rPr>
        <w:t>Capital Adequacy Supplementary Information</w:t>
      </w:r>
    </w:p>
    <w:p w14:paraId="5F0F4591"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67ECA331"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DA7DFE">
        <w:rPr>
          <w:lang w:val="en-US"/>
        </w:rPr>
        <w:t>the supplementary information used to calculate a life company’s capital adequacy.</w:t>
      </w:r>
      <w:r w:rsidR="00B25EC4">
        <w:rPr>
          <w:lang w:val="en-US"/>
        </w:rPr>
        <w:t xml:space="preserve"> </w:t>
      </w:r>
      <w:r w:rsidRPr="001E1DA7">
        <w:rPr>
          <w:lang w:val="en-US"/>
        </w:rPr>
        <w:t xml:space="preserve"> </w:t>
      </w:r>
    </w:p>
    <w:p w14:paraId="7C3D6EA1"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CF3159">
        <w:rPr>
          <w:i/>
          <w:lang w:val="en-US"/>
        </w:rPr>
        <w:t>Form</w:t>
      </w:r>
      <w:r w:rsidR="00E94F5C">
        <w:rPr>
          <w:i/>
          <w:lang w:val="en-US"/>
        </w:rPr>
        <w:t xml:space="preserve"> </w:t>
      </w:r>
      <w:r w:rsidR="00E94F5C">
        <w:rPr>
          <w:i/>
          <w:noProof/>
        </w:rPr>
        <w:t xml:space="preserve">LRF </w:t>
      </w:r>
      <w:r w:rsidR="007E279C">
        <w:rPr>
          <w:i/>
          <w:noProof/>
        </w:rPr>
        <w:t>200.0 Capital Adequacy Supplementary Information</w:t>
      </w:r>
      <w:r w:rsidR="003A2603" w:rsidRPr="00FF748D">
        <w:rPr>
          <w:i/>
        </w:rPr>
        <w:t xml:space="preserve"> </w:t>
      </w:r>
      <w:r w:rsidR="003E0659">
        <w:rPr>
          <w:lang w:val="en-US"/>
        </w:rPr>
        <w:t xml:space="preserve">and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6D4575">
        <w:rPr>
          <w:lang w:val="en-US"/>
        </w:rPr>
        <w:t>the general instruction guide</w:t>
      </w:r>
      <w:r w:rsidR="007E279C">
        <w:rPr>
          <w:lang w:val="en-US"/>
        </w:rPr>
        <w:t>.</w:t>
      </w:r>
    </w:p>
    <w:p w14:paraId="5BCA22E7"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74A9E10A" w14:textId="77777777" w:rsidR="00E63AB5" w:rsidRPr="006658A3" w:rsidRDefault="001E1DA7" w:rsidP="006658A3">
      <w:pPr>
        <w:keepNext/>
        <w:spacing w:after="240"/>
        <w:jc w:val="both"/>
        <w:rPr>
          <w:rFonts w:ascii="Arial" w:hAnsi="Arial" w:cs="Arial"/>
          <w:b/>
        </w:rPr>
      </w:pPr>
      <w:r w:rsidRPr="006658A3">
        <w:rPr>
          <w:rFonts w:ascii="Arial" w:hAnsi="Arial" w:cs="Arial"/>
          <w:b/>
        </w:rPr>
        <w:t>Authority</w:t>
      </w:r>
    </w:p>
    <w:p w14:paraId="342B36C4" w14:textId="77777777" w:rsidR="001E1DA7" w:rsidRPr="000511D1" w:rsidRDefault="001E1DA7" w:rsidP="006658A3">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78E0DA09" w14:textId="77777777" w:rsidR="001E1DA7" w:rsidRPr="001E1DA7" w:rsidRDefault="001E1DA7" w:rsidP="006658A3">
      <w:pPr>
        <w:keepNext/>
        <w:spacing w:after="240"/>
        <w:jc w:val="both"/>
        <w:rPr>
          <w:rFonts w:ascii="Arial" w:hAnsi="Arial" w:cs="Arial"/>
          <w:b/>
        </w:rPr>
      </w:pPr>
      <w:r>
        <w:rPr>
          <w:rFonts w:ascii="Arial" w:hAnsi="Arial" w:cs="Arial"/>
          <w:b/>
        </w:rPr>
        <w:t>Purpose</w:t>
      </w:r>
    </w:p>
    <w:p w14:paraId="65198D7E" w14:textId="77777777" w:rsidR="00E63AB5" w:rsidRPr="00F25F0E" w:rsidRDefault="003E0659" w:rsidP="006658A3">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CF3159" w:rsidRPr="00CF3159">
        <w:rPr>
          <w:i/>
        </w:rPr>
        <w:t>Form</w:t>
      </w:r>
      <w:r w:rsidR="00CF3159">
        <w:rPr>
          <w:i/>
        </w:rPr>
        <w:t xml:space="preserve"> </w:t>
      </w:r>
      <w:r w:rsidR="00F4642E">
        <w:rPr>
          <w:i/>
          <w:noProof/>
          <w:lang w:val="en-AU"/>
        </w:rPr>
        <w:t xml:space="preserve">LRF </w:t>
      </w:r>
      <w:r w:rsidR="007E279C">
        <w:rPr>
          <w:i/>
          <w:noProof/>
          <w:lang w:val="en-AU"/>
        </w:rPr>
        <w:t>200.0 Capital Adequacy Supplementary Information</w:t>
      </w:r>
      <w:r w:rsidR="00DA7DFE">
        <w:rPr>
          <w:i/>
          <w:noProof/>
          <w:lang w:val="en-AU"/>
        </w:rPr>
        <w:t xml:space="preserve"> </w:t>
      </w:r>
      <w:r w:rsidR="00DA7DFE">
        <w:rPr>
          <w:noProof/>
          <w:lang w:val="en-AU"/>
        </w:rPr>
        <w:t>(LRF 200.0)</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20560F4A" w14:textId="77777777" w:rsidR="00E63AB5" w:rsidRPr="00BB0250" w:rsidRDefault="00E63AB5" w:rsidP="006658A3">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20954EAB" w14:textId="77F759A7" w:rsidR="00E63AB5" w:rsidRPr="00E51713" w:rsidRDefault="00E63AB5" w:rsidP="006658A3">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on or after</w:t>
      </w:r>
      <w:r w:rsidR="00431A7F">
        <w:t xml:space="preserve"> </w:t>
      </w:r>
      <w:r w:rsidR="00F16734">
        <w:t>1 April 2023</w:t>
      </w:r>
      <w:r w:rsidR="00FD4D5C" w:rsidRPr="003304E6">
        <w:t>.</w:t>
      </w:r>
    </w:p>
    <w:p w14:paraId="1AF7C639" w14:textId="77777777" w:rsidR="00E63AB5" w:rsidRPr="0080247C" w:rsidRDefault="00E63AB5" w:rsidP="006658A3">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2E7C32DA" w14:textId="77777777" w:rsidR="00E63AB5" w:rsidRPr="001E6318" w:rsidRDefault="00E63AB5" w:rsidP="006658A3">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B25EC4">
        <w:t xml:space="preserve">Form </w:t>
      </w:r>
      <w:r w:rsidR="00E94F5C" w:rsidRPr="00DA7DFE">
        <w:t xml:space="preserve">LRF </w:t>
      </w:r>
      <w:r w:rsidR="007E279C" w:rsidRPr="00DA7DFE">
        <w:rPr>
          <w:noProof/>
          <w:lang w:val="en-AU"/>
        </w:rPr>
        <w:t>200.0</w:t>
      </w:r>
      <w:r w:rsidR="007E279C">
        <w:rPr>
          <w:i/>
          <w:noProof/>
          <w:lang w:val="en-AU"/>
        </w:rPr>
        <w:t xml:space="preserve"> </w:t>
      </w:r>
      <w:r w:rsidRPr="00726659">
        <w:t xml:space="preserve">for each reporting period. </w:t>
      </w:r>
    </w:p>
    <w:p w14:paraId="6DB7AD3C" w14:textId="77777777" w:rsidR="00E63AB5" w:rsidRPr="008354E5" w:rsidRDefault="00E63AB5" w:rsidP="006658A3">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3A7DC10C" w14:textId="4F53E836" w:rsidR="00E63AB5" w:rsidRPr="003E1694" w:rsidRDefault="00AD0EF5" w:rsidP="006658A3">
      <w:pPr>
        <w:keepNext/>
        <w:spacing w:after="24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5518BB1A" w14:textId="77777777" w:rsidR="000E715B" w:rsidRDefault="00651F74" w:rsidP="006658A3">
      <w:pPr>
        <w:numPr>
          <w:ilvl w:val="0"/>
          <w:numId w:val="2"/>
        </w:numPr>
        <w:spacing w:after="240"/>
        <w:ind w:left="567" w:hanging="567"/>
        <w:jc w:val="both"/>
      </w:pPr>
      <w:r>
        <w:t xml:space="preserve">The </w:t>
      </w:r>
      <w:r w:rsidR="000E715B">
        <w:t>information required by this Reporting Standard must be given to APRA:</w:t>
      </w:r>
    </w:p>
    <w:p w14:paraId="67740D9F" w14:textId="3CF6BAC4" w:rsidR="000E715B" w:rsidRPr="008012FF" w:rsidRDefault="000E715B" w:rsidP="00C8520A">
      <w:pPr>
        <w:numPr>
          <w:ilvl w:val="1"/>
          <w:numId w:val="2"/>
        </w:numPr>
        <w:spacing w:after="240"/>
        <w:ind w:left="1134" w:hanging="566"/>
        <w:jc w:val="both"/>
      </w:pPr>
      <w:r>
        <w:t>i</w:t>
      </w:r>
      <w:r w:rsidRPr="008012FF">
        <w:t>n electronic format using and electronic method available on APRA’s website; or</w:t>
      </w:r>
    </w:p>
    <w:p w14:paraId="23F79A40" w14:textId="3A810576" w:rsidR="000E715B" w:rsidRPr="008012FF" w:rsidRDefault="000E715B" w:rsidP="00C8520A">
      <w:pPr>
        <w:numPr>
          <w:ilvl w:val="1"/>
          <w:numId w:val="2"/>
        </w:numPr>
        <w:spacing w:after="240"/>
        <w:ind w:left="1134" w:hanging="566"/>
        <w:jc w:val="both"/>
      </w:pPr>
      <w:r>
        <w:t>b</w:t>
      </w:r>
      <w:r w:rsidRPr="008012FF">
        <w:t>y a method notified by APRA prior to submission.</w:t>
      </w:r>
    </w:p>
    <w:p w14:paraId="15CF76F9" w14:textId="41F7339D" w:rsidR="00E63AB5" w:rsidRPr="003E1694" w:rsidRDefault="000E715B" w:rsidP="006658A3">
      <w:pPr>
        <w:keepNext/>
        <w:spacing w:after="240"/>
        <w:jc w:val="both"/>
        <w:rPr>
          <w:rFonts w:ascii="Arial" w:hAnsi="Arial" w:cs="Arial"/>
          <w:b/>
        </w:rPr>
      </w:pPr>
      <w:r>
        <w:t xml:space="preserve"> </w:t>
      </w:r>
      <w:r w:rsidR="00E63AB5" w:rsidRPr="003E1694">
        <w:rPr>
          <w:rFonts w:ascii="Arial" w:hAnsi="Arial" w:cs="Arial"/>
          <w:b/>
        </w:rPr>
        <w:t>Reporting periods and due dates</w:t>
      </w:r>
    </w:p>
    <w:p w14:paraId="5313F6FD" w14:textId="0DDC73F7" w:rsidR="00AC19F5" w:rsidRDefault="00E63AB5" w:rsidP="006658A3">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5B5226">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3FF71B28" w14:textId="77777777" w:rsidR="00AC19F5" w:rsidRPr="00C8520A" w:rsidRDefault="00AC19F5" w:rsidP="00C8520A">
      <w:pPr>
        <w:numPr>
          <w:ilvl w:val="1"/>
          <w:numId w:val="2"/>
        </w:numPr>
        <w:spacing w:after="240"/>
        <w:ind w:left="1134" w:hanging="566"/>
        <w:jc w:val="both"/>
      </w:pPr>
      <w:bookmarkStart w:id="2" w:name="_Ref339262675"/>
      <w:r>
        <w:t xml:space="preserve">in respect of each </w:t>
      </w:r>
      <w:r w:rsidRPr="004F30BC">
        <w:t>quarter</w:t>
      </w:r>
      <w:r>
        <w:t xml:space="preserve"> based on the financial year of the life company on an unaudited basis; and</w:t>
      </w:r>
      <w:bookmarkEnd w:id="2"/>
    </w:p>
    <w:p w14:paraId="05D99FCE" w14:textId="77777777" w:rsidR="00AC19F5" w:rsidRPr="00C8520A" w:rsidRDefault="00AC19F5" w:rsidP="00C8520A">
      <w:pPr>
        <w:numPr>
          <w:ilvl w:val="1"/>
          <w:numId w:val="2"/>
        </w:numPr>
        <w:spacing w:after="240"/>
        <w:ind w:left="1134" w:hanging="566"/>
        <w:jc w:val="both"/>
      </w:pPr>
      <w:bookmarkStart w:id="3" w:name="_Ref339262677"/>
      <w:r>
        <w:t>in respect of each financial year of the life company on an audited basis.</w:t>
      </w:r>
      <w:bookmarkEnd w:id="3"/>
    </w:p>
    <w:p w14:paraId="08D46640" w14:textId="77777777" w:rsidR="00E63AB5" w:rsidRPr="00AC19F5" w:rsidRDefault="00E63AB5" w:rsidP="006658A3">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57635281" w14:textId="77777777" w:rsidR="00E63AB5" w:rsidRPr="00E63AB5" w:rsidRDefault="00E63AB5" w:rsidP="006658A3">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DA7DFE">
        <w:rPr>
          <w:i/>
          <w:sz w:val="20"/>
          <w:szCs w:val="20"/>
        </w:rPr>
        <w:t xml:space="preserve"> </w:t>
      </w:r>
      <w:r w:rsidR="00DA7DFE">
        <w:rPr>
          <w:sz w:val="20"/>
          <w:szCs w:val="20"/>
        </w:rPr>
        <w:t>(LPS 310)</w:t>
      </w:r>
      <w:r w:rsidRPr="00E63AB5">
        <w:rPr>
          <w:sz w:val="20"/>
          <w:szCs w:val="20"/>
        </w:rPr>
        <w:t>.</w:t>
      </w:r>
    </w:p>
    <w:p w14:paraId="186113FB" w14:textId="6F00DE92" w:rsidR="00E63AB5" w:rsidRPr="003F62B4" w:rsidRDefault="00CC3EEE" w:rsidP="006658A3">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rsidR="00161D6F">
        <w:fldChar w:fldCharType="begin"/>
      </w:r>
      <w:r w:rsidR="00161D6F">
        <w:instrText xml:space="preserve"> REF _Ref339262675 \r \h </w:instrText>
      </w:r>
      <w:r w:rsidR="00161D6F">
        <w:fldChar w:fldCharType="separate"/>
      </w:r>
      <w:r w:rsidR="005B5226">
        <w:t>7(a)</w:t>
      </w:r>
      <w:r w:rsidR="00161D6F">
        <w:fldChar w:fldCharType="end"/>
      </w:r>
      <w:bookmarkStart w:id="6" w:name="_GoBack"/>
      <w:bookmarkEnd w:id="6"/>
      <w:r>
        <w:t xml:space="preserve"> or </w:t>
      </w:r>
      <w:r w:rsidR="00161D6F">
        <w:fldChar w:fldCharType="begin"/>
      </w:r>
      <w:r w:rsidR="00161D6F">
        <w:instrText xml:space="preserve"> REF _Ref339262677 \r \h </w:instrText>
      </w:r>
      <w:r w:rsidR="00161D6F">
        <w:fldChar w:fldCharType="separate"/>
      </w:r>
      <w:r w:rsidR="005B5226">
        <w:t>7(b)</w:t>
      </w:r>
      <w:r w:rsidR="00161D6F">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7" w:name="_Ref339263080"/>
      <w:bookmarkEnd w:id="4"/>
      <w:r w:rsidR="00700450" w:rsidRPr="00CE0A57">
        <w:t>.</w:t>
      </w:r>
      <w:bookmarkEnd w:id="5"/>
      <w:bookmarkEnd w:id="7"/>
    </w:p>
    <w:p w14:paraId="5F4833FC" w14:textId="77777777" w:rsidR="001E5464" w:rsidRDefault="00700450" w:rsidP="006658A3">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6FFF4667" w14:textId="77777777" w:rsidR="001E5464" w:rsidRDefault="001E5464" w:rsidP="006658A3">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2F3CC0ED" w14:textId="6B33DD54" w:rsidR="00700450" w:rsidRPr="00516AF3" w:rsidRDefault="001E5464" w:rsidP="006658A3">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5B5226">
        <w:t>8</w:t>
      </w:r>
      <w:r>
        <w:fldChar w:fldCharType="end"/>
      </w:r>
      <w:r>
        <w:t>, within the time specified by notice in writing</w:t>
      </w:r>
      <w:r w:rsidR="00E70D28">
        <w:t>.</w:t>
      </w:r>
    </w:p>
    <w:p w14:paraId="48C1FFF7" w14:textId="77777777" w:rsidR="00E63AB5" w:rsidRPr="003E1694" w:rsidRDefault="00E63AB5" w:rsidP="006658A3">
      <w:pPr>
        <w:keepNext/>
        <w:spacing w:after="240"/>
        <w:jc w:val="both"/>
        <w:rPr>
          <w:rFonts w:ascii="Arial" w:hAnsi="Arial" w:cs="Arial"/>
          <w:b/>
        </w:rPr>
      </w:pPr>
      <w:r w:rsidRPr="003E1694">
        <w:rPr>
          <w:rFonts w:ascii="Arial" w:hAnsi="Arial" w:cs="Arial"/>
          <w:b/>
        </w:rPr>
        <w:t>Quality control</w:t>
      </w:r>
    </w:p>
    <w:p w14:paraId="55858597" w14:textId="77777777" w:rsidR="006558A6" w:rsidRDefault="00E63AB5" w:rsidP="006658A3">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7E62CA0B" w14:textId="77777777" w:rsidR="006558A6" w:rsidRDefault="00700450" w:rsidP="006658A3">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2EEE002F" w14:textId="77777777" w:rsidR="002D6983" w:rsidRDefault="006558A6" w:rsidP="006658A3">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7B89CC09" w14:textId="77777777" w:rsidR="00E63AB5" w:rsidRDefault="003E0659" w:rsidP="006658A3">
      <w:pPr>
        <w:numPr>
          <w:ilvl w:val="0"/>
          <w:numId w:val="2"/>
        </w:numPr>
        <w:spacing w:after="24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7065619D" w14:textId="77777777" w:rsidR="00E63AB5" w:rsidRPr="000A1DF3" w:rsidRDefault="00E63AB5" w:rsidP="006658A3">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7C5EB70C" w14:textId="77777777" w:rsidR="00E63AB5" w:rsidRPr="003D49DC" w:rsidRDefault="00E63AB5" w:rsidP="006658A3">
      <w:pPr>
        <w:keepNext/>
        <w:spacing w:after="240"/>
        <w:jc w:val="both"/>
        <w:rPr>
          <w:rFonts w:ascii="Arial" w:hAnsi="Arial" w:cs="Arial"/>
          <w:b/>
        </w:rPr>
      </w:pPr>
      <w:r w:rsidRPr="003D49DC">
        <w:rPr>
          <w:rFonts w:ascii="Arial" w:hAnsi="Arial" w:cs="Arial"/>
          <w:b/>
        </w:rPr>
        <w:t>Authorisation</w:t>
      </w:r>
    </w:p>
    <w:p w14:paraId="58A140AB" w14:textId="1EDD9A9C" w:rsidR="00F1293A" w:rsidRDefault="00F1293A" w:rsidP="006658A3">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3D3ABCF5" w14:textId="77777777" w:rsidR="00F1293A" w:rsidRDefault="00F1293A" w:rsidP="006658A3">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116FDEDF" w14:textId="77777777" w:rsidR="00F1293A" w:rsidRDefault="00F1293A" w:rsidP="006658A3">
      <w:pPr>
        <w:numPr>
          <w:ilvl w:val="1"/>
          <w:numId w:val="1"/>
        </w:numPr>
        <w:spacing w:after="240"/>
        <w:jc w:val="both"/>
      </w:pPr>
      <w:r>
        <w:t xml:space="preserve">the Principal Executive Officer of the </w:t>
      </w:r>
      <w:r w:rsidR="00EC6547">
        <w:t>life company</w:t>
      </w:r>
      <w:r>
        <w:t>; or</w:t>
      </w:r>
    </w:p>
    <w:p w14:paraId="0BC5B8A7" w14:textId="77777777" w:rsidR="00697B00" w:rsidRPr="00CE0A57" w:rsidRDefault="00F1293A" w:rsidP="006658A3">
      <w:pPr>
        <w:numPr>
          <w:ilvl w:val="1"/>
          <w:numId w:val="1"/>
        </w:numPr>
        <w:spacing w:after="240"/>
        <w:jc w:val="both"/>
      </w:pPr>
      <w:r>
        <w:t>the Chief Financial Officer of the</w:t>
      </w:r>
      <w:r w:rsidR="00EC6547">
        <w:t xml:space="preserve"> life company</w:t>
      </w:r>
      <w:r>
        <w:t>.</w:t>
      </w:r>
    </w:p>
    <w:p w14:paraId="3B499584" w14:textId="77777777" w:rsidR="00697B00" w:rsidRPr="00CE0A57" w:rsidRDefault="0026618D" w:rsidP="006658A3">
      <w:pPr>
        <w:pStyle w:val="Heading1"/>
        <w:jc w:val="both"/>
        <w:rPr>
          <w:sz w:val="24"/>
        </w:rPr>
      </w:pPr>
      <w:r>
        <w:rPr>
          <w:sz w:val="24"/>
        </w:rPr>
        <w:t>Variations</w:t>
      </w:r>
    </w:p>
    <w:p w14:paraId="10F9C14C" w14:textId="77777777" w:rsidR="00697B00" w:rsidRDefault="00697B00" w:rsidP="006658A3">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 xml:space="preserve">the </w:t>
      </w:r>
      <w:r w:rsidR="00B25EC4">
        <w:t xml:space="preserve">Form </w:t>
      </w:r>
      <w:r w:rsidR="00E94F5C" w:rsidRPr="00DA7DFE">
        <w:t xml:space="preserve">LRF </w:t>
      </w:r>
      <w:r w:rsidR="007E279C" w:rsidRPr="00DA7DFE">
        <w:rPr>
          <w:noProof/>
        </w:rPr>
        <w:t>200.0</w:t>
      </w:r>
      <w:r w:rsidR="007E279C">
        <w:rPr>
          <w:i/>
          <w:noProof/>
        </w:rPr>
        <w:t xml:space="preserve"> </w:t>
      </w:r>
      <w:r w:rsidRPr="008B2820">
        <w:t xml:space="preserve">in relation to that </w:t>
      </w:r>
      <w:r>
        <w:t>life company</w:t>
      </w:r>
      <w:r w:rsidRPr="008B2820">
        <w:t xml:space="preserve">. </w:t>
      </w:r>
    </w:p>
    <w:p w14:paraId="58793A01" w14:textId="77777777" w:rsidR="00E63AB5" w:rsidRPr="00BB0250" w:rsidRDefault="00E63AB5" w:rsidP="006658A3">
      <w:pPr>
        <w:keepNext/>
        <w:spacing w:after="240"/>
        <w:jc w:val="both"/>
        <w:rPr>
          <w:rFonts w:ascii="Arial" w:hAnsi="Arial" w:cs="Arial"/>
          <w:b/>
        </w:rPr>
      </w:pPr>
      <w:r>
        <w:rPr>
          <w:rFonts w:ascii="Arial" w:hAnsi="Arial" w:cs="Arial"/>
          <w:b/>
        </w:rPr>
        <w:t>Interpretation</w:t>
      </w:r>
    </w:p>
    <w:p w14:paraId="3DB31773" w14:textId="77777777" w:rsidR="00E63AB5" w:rsidRDefault="00E63AB5" w:rsidP="00277815">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1A975D83" w14:textId="77777777" w:rsidR="001D27D0" w:rsidRDefault="0026618D" w:rsidP="006658A3">
      <w:pPr>
        <w:numPr>
          <w:ilvl w:val="0"/>
          <w:numId w:val="5"/>
        </w:numPr>
        <w:spacing w:after="240"/>
        <w:jc w:val="both"/>
      </w:pPr>
      <w:r>
        <w:t>u</w:t>
      </w:r>
      <w:r w:rsidR="001D27D0">
        <w:t xml:space="preserve">nless the contrary intention appears, words and expressions have the meanings given to them in </w:t>
      </w:r>
      <w:r w:rsidR="00DA7DFE" w:rsidRPr="00DA7DFE">
        <w:rPr>
          <w:i/>
        </w:rPr>
        <w:t xml:space="preserve">Prudential Standard </w:t>
      </w:r>
      <w:r w:rsidR="001D27D0" w:rsidRPr="00DA7DFE">
        <w:rPr>
          <w:i/>
        </w:rPr>
        <w:t>LPS 001</w:t>
      </w:r>
      <w:r w:rsidR="00DA7DFE" w:rsidRPr="00DA7DFE">
        <w:rPr>
          <w:i/>
        </w:rPr>
        <w:t xml:space="preserve"> Definitions</w:t>
      </w:r>
      <w:r w:rsidR="00DA7DFE">
        <w:t xml:space="preserve"> (LPS 001)</w:t>
      </w:r>
      <w:r w:rsidR="001D27D0">
        <w:t>;</w:t>
      </w:r>
      <w:r w:rsidR="000511D1">
        <w:t xml:space="preserve"> and</w:t>
      </w:r>
    </w:p>
    <w:p w14:paraId="3BEB300D" w14:textId="77777777" w:rsidR="0026618D" w:rsidRPr="0026618D" w:rsidRDefault="0026618D" w:rsidP="00C8520A">
      <w:pPr>
        <w:numPr>
          <w:ilvl w:val="0"/>
          <w:numId w:val="5"/>
        </w:numPr>
        <w:spacing w:after="240"/>
        <w:ind w:left="1134"/>
        <w:jc w:val="both"/>
      </w:pPr>
      <w:r>
        <w:rPr>
          <w:b/>
          <w:i/>
        </w:rPr>
        <w:t>capital standards</w:t>
      </w:r>
      <w:r>
        <w:t xml:space="preserve"> means the prudential standards which relate to capital adequacy as defined in LPS 001;</w:t>
      </w:r>
      <w:r>
        <w:rPr>
          <w:b/>
          <w:i/>
        </w:rPr>
        <w:t xml:space="preserve"> </w:t>
      </w:r>
    </w:p>
    <w:p w14:paraId="489F24CF" w14:textId="77777777" w:rsidR="00337337" w:rsidRDefault="0026618D" w:rsidP="00C8520A">
      <w:pPr>
        <w:spacing w:after="240"/>
        <w:ind w:left="1134"/>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1C53FAFC" w14:textId="58CE7EBF" w:rsidR="00F36940" w:rsidRPr="00F36940" w:rsidRDefault="00F36940" w:rsidP="006658A3">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431A7F" w:rsidRPr="008012FF">
        <w:rPr>
          <w:bCs/>
        </w:rPr>
        <w:t>;</w:t>
      </w:r>
    </w:p>
    <w:p w14:paraId="5CD04A98" w14:textId="77777777" w:rsidR="0026618D" w:rsidRPr="0026618D" w:rsidRDefault="0026618D" w:rsidP="006658A3">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3DCA9A23" w14:textId="73FBFC71" w:rsidR="001D27D0" w:rsidRPr="001D27D0" w:rsidRDefault="0026618D" w:rsidP="006658A3">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431A7F">
        <w:t>and</w:t>
      </w:r>
    </w:p>
    <w:p w14:paraId="2088004A" w14:textId="735D75F4" w:rsidR="001D27D0" w:rsidRPr="001D27D0" w:rsidRDefault="001D27D0" w:rsidP="006658A3">
      <w:pPr>
        <w:tabs>
          <w:tab w:val="left" w:pos="426"/>
        </w:tabs>
        <w:spacing w:after="240"/>
        <w:ind w:left="1134"/>
        <w:jc w:val="both"/>
      </w:pPr>
      <w:r w:rsidRPr="001D27D0">
        <w:rPr>
          <w:b/>
          <w:i/>
        </w:rPr>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161D6F">
        <w:fldChar w:fldCharType="begin"/>
      </w:r>
      <w:r w:rsidR="00161D6F">
        <w:instrText xml:space="preserve"> REF _Ref339262675 \r \h </w:instrText>
      </w:r>
      <w:r w:rsidR="00161D6F">
        <w:fldChar w:fldCharType="separate"/>
      </w:r>
      <w:r w:rsidR="005B5226">
        <w:t>7(a)</w:t>
      </w:r>
      <w:r w:rsidR="00161D6F">
        <w:fldChar w:fldCharType="end"/>
      </w:r>
      <w:r w:rsidR="0026618D">
        <w:t xml:space="preserve"> or </w:t>
      </w:r>
      <w:r w:rsidR="00161D6F">
        <w:fldChar w:fldCharType="begin"/>
      </w:r>
      <w:r w:rsidR="00161D6F">
        <w:instrText xml:space="preserve"> REF _Ref339262677 \r \h </w:instrText>
      </w:r>
      <w:r w:rsidR="00161D6F">
        <w:fldChar w:fldCharType="separate"/>
      </w:r>
      <w:r w:rsidR="005B5226">
        <w:t>7(b)</w:t>
      </w:r>
      <w:r w:rsidR="00161D6F">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5B5226">
        <w:t>8</w:t>
      </w:r>
      <w:r w:rsidR="0026618D">
        <w:fldChar w:fldCharType="end"/>
      </w:r>
      <w:r w:rsidRPr="001D27D0">
        <w:t>.</w:t>
      </w:r>
    </w:p>
    <w:p w14:paraId="1C7FECFA" w14:textId="77777777" w:rsidR="00DA7DFE" w:rsidRDefault="00DA7DFE" w:rsidP="003C6BD0">
      <w:pPr>
        <w:keepNext/>
        <w:spacing w:before="120" w:after="240"/>
        <w:ind w:left="567"/>
        <w:jc w:val="both"/>
        <w:sectPr w:rsidR="00DA7DFE" w:rsidSect="00BB544A">
          <w:headerReference w:type="default" r:id="rId16"/>
          <w:footerReference w:type="default" r:id="rId17"/>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1E3B01" w:rsidRPr="00493A37" w14:paraId="433137D8" w14:textId="77777777" w:rsidTr="005B5226">
        <w:trPr>
          <w:trHeight w:val="300"/>
        </w:trPr>
        <w:tc>
          <w:tcPr>
            <w:tcW w:w="8806" w:type="dxa"/>
            <w:shd w:val="clear" w:color="auto" w:fill="auto"/>
            <w:noWrap/>
            <w:vAlign w:val="bottom"/>
            <w:hideMark/>
          </w:tcPr>
          <w:p w14:paraId="00EDF088" w14:textId="77777777" w:rsidR="001E3B01" w:rsidRPr="00277815" w:rsidRDefault="001E3B01" w:rsidP="005B5226">
            <w:pPr>
              <w:jc w:val="center"/>
              <w:rPr>
                <w:rFonts w:ascii="Arial" w:hAnsi="Arial" w:cs="Arial"/>
                <w:b/>
                <w:color w:val="000000"/>
                <w:sz w:val="32"/>
                <w:szCs w:val="32"/>
              </w:rPr>
            </w:pPr>
            <w:r w:rsidRPr="00277815">
              <w:rPr>
                <w:rFonts w:ascii="Arial" w:hAnsi="Arial" w:cs="Arial"/>
                <w:b/>
                <w:bCs/>
                <w:color w:val="000000"/>
                <w:sz w:val="32"/>
                <w:szCs w:val="32"/>
              </w:rPr>
              <w:t>LRF_200_0: Capital Adequacy Supplementary Information</w:t>
            </w:r>
          </w:p>
        </w:tc>
      </w:tr>
    </w:tbl>
    <w:p w14:paraId="52383A47" w14:textId="77777777" w:rsidR="001E3B01" w:rsidRPr="00493A37" w:rsidRDefault="001E3B01" w:rsidP="001E3B01">
      <w:pPr>
        <w:rPr>
          <w:rFonts w:ascii="Arial" w:hAnsi="Arial" w:cs="Arial"/>
          <w:color w:val="000000"/>
        </w:rPr>
      </w:pPr>
    </w:p>
    <w:tbl>
      <w:tblPr>
        <w:tblW w:w="13892" w:type="dxa"/>
        <w:tblInd w:w="108" w:type="dxa"/>
        <w:tblLayout w:type="fixed"/>
        <w:tblLook w:val="04A0" w:firstRow="1" w:lastRow="0" w:firstColumn="1" w:lastColumn="0" w:noHBand="0" w:noVBand="1"/>
      </w:tblPr>
      <w:tblGrid>
        <w:gridCol w:w="6946"/>
        <w:gridCol w:w="6946"/>
      </w:tblGrid>
      <w:tr w:rsidR="001E3B01" w:rsidRPr="00493A37" w14:paraId="72476045" w14:textId="77777777" w:rsidTr="005B5226">
        <w:trPr>
          <w:trHeight w:val="317"/>
        </w:trPr>
        <w:tc>
          <w:tcPr>
            <w:tcW w:w="6946" w:type="dxa"/>
            <w:tcBorders>
              <w:top w:val="nil"/>
              <w:left w:val="nil"/>
              <w:bottom w:val="single" w:sz="4" w:space="0" w:color="auto"/>
              <w:right w:val="nil"/>
            </w:tcBorders>
            <w:vAlign w:val="bottom"/>
            <w:hideMark/>
          </w:tcPr>
          <w:p w14:paraId="52208ECF" w14:textId="77777777" w:rsidR="001E3B01" w:rsidRPr="00493A37" w:rsidRDefault="001E3B01" w:rsidP="005B5226">
            <w:pPr>
              <w:rPr>
                <w:rFonts w:ascii="Arial" w:hAnsi="Arial" w:cs="Arial"/>
                <w:b/>
                <w:bCs/>
                <w:color w:val="000000"/>
              </w:rPr>
            </w:pPr>
            <w:r w:rsidRPr="00493A37">
              <w:rPr>
                <w:rFonts w:ascii="Arial" w:hAnsi="Arial" w:cs="Arial"/>
                <w:b/>
                <w:bCs/>
                <w:color w:val="000000"/>
              </w:rPr>
              <w:t>Australian Business Number</w:t>
            </w:r>
          </w:p>
        </w:tc>
        <w:tc>
          <w:tcPr>
            <w:tcW w:w="6946" w:type="dxa"/>
            <w:tcBorders>
              <w:top w:val="nil"/>
              <w:left w:val="nil"/>
              <w:bottom w:val="single" w:sz="4" w:space="0" w:color="auto"/>
              <w:right w:val="nil"/>
            </w:tcBorders>
            <w:vAlign w:val="bottom"/>
            <w:hideMark/>
          </w:tcPr>
          <w:p w14:paraId="46136CF2" w14:textId="77777777" w:rsidR="001E3B01" w:rsidRPr="00493A37" w:rsidRDefault="001E3B01" w:rsidP="005B5226">
            <w:pPr>
              <w:rPr>
                <w:rFonts w:ascii="Arial" w:hAnsi="Arial" w:cs="Arial"/>
                <w:b/>
                <w:bCs/>
                <w:color w:val="000000"/>
              </w:rPr>
            </w:pPr>
            <w:r w:rsidRPr="00493A37">
              <w:rPr>
                <w:rFonts w:ascii="Arial" w:hAnsi="Arial" w:cs="Arial"/>
                <w:b/>
                <w:bCs/>
                <w:color w:val="000000"/>
              </w:rPr>
              <w:t>Institution Name</w:t>
            </w:r>
          </w:p>
        </w:tc>
      </w:tr>
      <w:tr w:rsidR="001E3B01" w:rsidRPr="00493A37" w14:paraId="74B5E5E1" w14:textId="77777777" w:rsidTr="005B5226">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7452789" w14:textId="77777777" w:rsidR="001E3B01" w:rsidRPr="00493A37" w:rsidRDefault="001E3B01" w:rsidP="005B5226">
            <w:pPr>
              <w:rPr>
                <w:rFonts w:ascii="Arial" w:hAnsi="Arial" w:cs="Arial"/>
                <w:color w:val="000000"/>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30A7EF8" w14:textId="77777777" w:rsidR="001E3B01" w:rsidRPr="00493A37" w:rsidRDefault="001E3B01" w:rsidP="005B5226">
            <w:pPr>
              <w:rPr>
                <w:rFonts w:ascii="Arial" w:hAnsi="Arial" w:cs="Arial"/>
                <w:color w:val="000000"/>
              </w:rPr>
            </w:pPr>
            <w:r w:rsidRPr="00493A37">
              <w:rPr>
                <w:rFonts w:ascii="Arial" w:hAnsi="Arial" w:cs="Arial"/>
                <w:color w:val="000000"/>
              </w:rPr>
              <w:t>Life insurers</w:t>
            </w:r>
          </w:p>
        </w:tc>
      </w:tr>
      <w:tr w:rsidR="001E3B01" w:rsidRPr="00493A37" w14:paraId="15ADA0C6" w14:textId="77777777" w:rsidTr="005B5226">
        <w:trPr>
          <w:trHeight w:val="317"/>
        </w:trPr>
        <w:tc>
          <w:tcPr>
            <w:tcW w:w="6946" w:type="dxa"/>
            <w:tcBorders>
              <w:top w:val="single" w:sz="4" w:space="0" w:color="auto"/>
              <w:left w:val="nil"/>
              <w:bottom w:val="single" w:sz="4" w:space="0" w:color="auto"/>
              <w:right w:val="nil"/>
            </w:tcBorders>
            <w:noWrap/>
            <w:vAlign w:val="bottom"/>
            <w:hideMark/>
          </w:tcPr>
          <w:p w14:paraId="0140D743" w14:textId="77777777" w:rsidR="001E3B01" w:rsidRPr="00493A37" w:rsidRDefault="001E3B01" w:rsidP="005B5226">
            <w:pPr>
              <w:rPr>
                <w:rFonts w:ascii="Arial" w:hAnsi="Arial" w:cs="Arial"/>
                <w:b/>
                <w:color w:val="000000"/>
              </w:rPr>
            </w:pPr>
            <w:r w:rsidRPr="00493A37">
              <w:rPr>
                <w:rFonts w:ascii="Arial" w:hAnsi="Arial" w:cs="Arial"/>
                <w:b/>
                <w:color w:val="000000"/>
              </w:rPr>
              <w:t>Reporting Period</w:t>
            </w:r>
          </w:p>
        </w:tc>
        <w:tc>
          <w:tcPr>
            <w:tcW w:w="6946" w:type="dxa"/>
            <w:tcBorders>
              <w:top w:val="single" w:sz="4" w:space="0" w:color="auto"/>
              <w:left w:val="nil"/>
              <w:bottom w:val="single" w:sz="4" w:space="0" w:color="auto"/>
              <w:right w:val="nil"/>
            </w:tcBorders>
            <w:noWrap/>
            <w:vAlign w:val="bottom"/>
            <w:hideMark/>
          </w:tcPr>
          <w:p w14:paraId="2F8ED5D2" w14:textId="77777777" w:rsidR="001E3B01" w:rsidRPr="00493A37" w:rsidRDefault="001E3B01" w:rsidP="005B5226">
            <w:pPr>
              <w:rPr>
                <w:rFonts w:ascii="Arial" w:hAnsi="Arial" w:cs="Arial"/>
                <w:b/>
                <w:color w:val="000000"/>
              </w:rPr>
            </w:pPr>
            <w:r w:rsidRPr="00493A37">
              <w:rPr>
                <w:rFonts w:ascii="Arial" w:hAnsi="Arial" w:cs="Arial"/>
                <w:b/>
                <w:color w:val="000000"/>
              </w:rPr>
              <w:t>Scale Factor</w:t>
            </w:r>
          </w:p>
        </w:tc>
      </w:tr>
      <w:tr w:rsidR="001E3B01" w:rsidRPr="00493A37" w14:paraId="1DE63FC0" w14:textId="77777777" w:rsidTr="005B5226">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0FD95D9" w14:textId="77777777" w:rsidR="001E3B01" w:rsidRPr="00493A37" w:rsidRDefault="001E3B01" w:rsidP="005B5226">
            <w:pPr>
              <w:rPr>
                <w:rFonts w:ascii="Arial" w:hAnsi="Arial" w:cs="Arial"/>
                <w:color w:val="000000"/>
              </w:rPr>
            </w:pPr>
            <w:r>
              <w:rPr>
                <w:rFonts w:ascii="Arial" w:hAnsi="Arial" w:cs="Arial"/>
                <w:color w:val="000000"/>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B6A73B8" w14:textId="77777777" w:rsidR="001E3B01" w:rsidRPr="00493A37" w:rsidRDefault="001E3B01" w:rsidP="005B5226">
            <w:pPr>
              <w:rPr>
                <w:rFonts w:ascii="Arial" w:hAnsi="Arial" w:cs="Arial"/>
                <w:color w:val="000000"/>
              </w:rPr>
            </w:pPr>
            <w:r>
              <w:rPr>
                <w:rFonts w:ascii="Arial" w:hAnsi="Arial" w:cs="Arial"/>
                <w:color w:val="000000"/>
              </w:rPr>
              <w:t>Thousands</w:t>
            </w:r>
          </w:p>
        </w:tc>
      </w:tr>
      <w:tr w:rsidR="001E3B01" w:rsidRPr="00493A37" w14:paraId="244866AA" w14:textId="77777777" w:rsidTr="005B5226">
        <w:trPr>
          <w:trHeight w:val="317"/>
        </w:trPr>
        <w:tc>
          <w:tcPr>
            <w:tcW w:w="6946" w:type="dxa"/>
            <w:tcBorders>
              <w:top w:val="single" w:sz="4" w:space="0" w:color="auto"/>
              <w:bottom w:val="single" w:sz="4" w:space="0" w:color="auto"/>
            </w:tcBorders>
            <w:noWrap/>
            <w:vAlign w:val="bottom"/>
          </w:tcPr>
          <w:p w14:paraId="25285D6D" w14:textId="77777777" w:rsidR="001E3B01" w:rsidRPr="00493A37" w:rsidRDefault="001E3B01" w:rsidP="005B5226">
            <w:pPr>
              <w:rPr>
                <w:rFonts w:ascii="Arial" w:hAnsi="Arial" w:cs="Arial"/>
                <w:color w:val="000000"/>
              </w:rPr>
            </w:pPr>
            <w:r w:rsidRPr="00493A37">
              <w:rPr>
                <w:rFonts w:ascii="Arial" w:hAnsi="Arial" w:cs="Arial"/>
                <w:b/>
                <w:color w:val="000000"/>
              </w:rPr>
              <w:t>Reporting Consolidation</w:t>
            </w:r>
          </w:p>
        </w:tc>
        <w:tc>
          <w:tcPr>
            <w:tcW w:w="6946" w:type="dxa"/>
            <w:tcBorders>
              <w:top w:val="single" w:sz="4" w:space="0" w:color="auto"/>
            </w:tcBorders>
            <w:noWrap/>
            <w:vAlign w:val="bottom"/>
          </w:tcPr>
          <w:p w14:paraId="1894ECAD" w14:textId="77777777" w:rsidR="001E3B01" w:rsidRPr="00493A37" w:rsidRDefault="001E3B01" w:rsidP="005B5226">
            <w:pPr>
              <w:rPr>
                <w:rFonts w:ascii="Arial" w:hAnsi="Arial" w:cs="Arial"/>
                <w:color w:val="000000"/>
              </w:rPr>
            </w:pPr>
          </w:p>
        </w:tc>
      </w:tr>
      <w:tr w:rsidR="001E3B01" w:rsidRPr="00493A37" w14:paraId="57441D34" w14:textId="77777777" w:rsidTr="005B5226">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08975BFB" w14:textId="77777777" w:rsidR="001E3B01" w:rsidRPr="00493A37" w:rsidRDefault="001E3B01" w:rsidP="005B5226">
            <w:pPr>
              <w:rPr>
                <w:rFonts w:ascii="Arial" w:hAnsi="Arial" w:cs="Arial"/>
                <w:color w:val="000000"/>
              </w:rPr>
            </w:pPr>
            <w:r>
              <w:rPr>
                <w:rFonts w:ascii="Arial" w:hAnsi="Arial" w:cs="Arial"/>
                <w:color w:val="000000"/>
              </w:rPr>
              <w:t>S</w:t>
            </w:r>
            <w:r w:rsidRPr="00493A37">
              <w:rPr>
                <w:rFonts w:ascii="Arial" w:hAnsi="Arial" w:cs="Arial"/>
                <w:color w:val="000000"/>
              </w:rPr>
              <w:t>tatutory fund</w:t>
            </w:r>
          </w:p>
        </w:tc>
        <w:tc>
          <w:tcPr>
            <w:tcW w:w="6946" w:type="dxa"/>
            <w:tcBorders>
              <w:left w:val="single" w:sz="4" w:space="0" w:color="auto"/>
            </w:tcBorders>
            <w:noWrap/>
            <w:vAlign w:val="bottom"/>
          </w:tcPr>
          <w:p w14:paraId="31B065F4" w14:textId="77777777" w:rsidR="001E3B01" w:rsidRPr="00493A37" w:rsidRDefault="001E3B01" w:rsidP="005B5226">
            <w:pPr>
              <w:rPr>
                <w:rFonts w:ascii="Arial" w:hAnsi="Arial" w:cs="Arial"/>
                <w:color w:val="000000"/>
              </w:rPr>
            </w:pPr>
          </w:p>
        </w:tc>
      </w:tr>
    </w:tbl>
    <w:p w14:paraId="6B212C61" w14:textId="77777777" w:rsidR="001E3B01" w:rsidRPr="00493A37" w:rsidRDefault="001E3B01"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763611AA" w14:textId="77777777" w:rsidTr="005B5226">
        <w:tc>
          <w:tcPr>
            <w:tcW w:w="8789" w:type="dxa"/>
          </w:tcPr>
          <w:p w14:paraId="72B072EE" w14:textId="77777777" w:rsidR="001E3B01" w:rsidRPr="00493A37" w:rsidRDefault="001E3B01" w:rsidP="005B5226">
            <w:pPr>
              <w:rPr>
                <w:rFonts w:ascii="Arial" w:hAnsi="Arial" w:cs="Arial"/>
                <w:b/>
                <w:bCs/>
                <w:color w:val="000000"/>
              </w:rPr>
            </w:pPr>
            <w:r w:rsidRPr="00493A37">
              <w:rPr>
                <w:rFonts w:ascii="Arial" w:hAnsi="Arial" w:cs="Arial"/>
                <w:b/>
                <w:bCs/>
                <w:color w:val="000000"/>
              </w:rPr>
              <w:t>Section 1: Capital base - Liability adjustments</w:t>
            </w:r>
          </w:p>
        </w:tc>
      </w:tr>
    </w:tbl>
    <w:p w14:paraId="135094AE" w14:textId="77777777" w:rsidR="001E3B01" w:rsidRPr="00493A37" w:rsidRDefault="001E3B01"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4FDB3492" w14:textId="77777777" w:rsidTr="005B5226">
        <w:tc>
          <w:tcPr>
            <w:tcW w:w="8789" w:type="dxa"/>
          </w:tcPr>
          <w:p w14:paraId="15649CAC" w14:textId="77777777" w:rsidR="001E3B01" w:rsidRPr="00493A37" w:rsidRDefault="001E3B01" w:rsidP="001E3B01">
            <w:pPr>
              <w:pStyle w:val="ListParagraph"/>
              <w:numPr>
                <w:ilvl w:val="0"/>
                <w:numId w:val="11"/>
              </w:numPr>
              <w:contextualSpacing w:val="0"/>
              <w:rPr>
                <w:rFonts w:ascii="Arial" w:hAnsi="Arial" w:cs="Arial"/>
                <w:b/>
                <w:bCs/>
                <w:color w:val="000000"/>
              </w:rPr>
            </w:pPr>
            <w:r w:rsidRPr="00493A37">
              <w:rPr>
                <w:rFonts w:ascii="Arial" w:hAnsi="Arial" w:cs="Arial"/>
                <w:b/>
                <w:bCs/>
                <w:color w:val="000000"/>
              </w:rPr>
              <w:t>Past premium liabilities</w:t>
            </w:r>
          </w:p>
        </w:tc>
      </w:tr>
    </w:tbl>
    <w:p w14:paraId="277CA6D3" w14:textId="77777777" w:rsidR="001E3B01" w:rsidRPr="00493A37" w:rsidRDefault="001E3B01" w:rsidP="001E3B01">
      <w:pPr>
        <w:rPr>
          <w:rFonts w:ascii="Arial" w:hAnsi="Arial" w:cs="Arial"/>
          <w:color w:val="000000"/>
        </w:rPr>
      </w:pPr>
    </w:p>
    <w:tbl>
      <w:tblPr>
        <w:tblW w:w="13907" w:type="dxa"/>
        <w:tblInd w:w="93" w:type="dxa"/>
        <w:tblLayout w:type="fixed"/>
        <w:tblLook w:val="04A0" w:firstRow="1" w:lastRow="0" w:firstColumn="1" w:lastColumn="0" w:noHBand="0" w:noVBand="1"/>
      </w:tblPr>
      <w:tblGrid>
        <w:gridCol w:w="3559"/>
        <w:gridCol w:w="1724"/>
        <w:gridCol w:w="1725"/>
        <w:gridCol w:w="1725"/>
        <w:gridCol w:w="1724"/>
        <w:gridCol w:w="1725"/>
        <w:gridCol w:w="1725"/>
      </w:tblGrid>
      <w:tr w:rsidR="001E3B01" w:rsidRPr="000B233E" w14:paraId="54C85390" w14:textId="77777777" w:rsidTr="005B5226">
        <w:trPr>
          <w:trHeight w:val="317"/>
        </w:trPr>
        <w:tc>
          <w:tcPr>
            <w:tcW w:w="3559" w:type="dxa"/>
            <w:tcBorders>
              <w:bottom w:val="single" w:sz="4" w:space="0" w:color="auto"/>
              <w:right w:val="single" w:sz="4" w:space="0" w:color="auto"/>
            </w:tcBorders>
            <w:shd w:val="clear" w:color="auto" w:fill="auto"/>
            <w:vAlign w:val="bottom"/>
          </w:tcPr>
          <w:p w14:paraId="7418A1B3" w14:textId="77777777" w:rsidR="001E3B01" w:rsidRPr="00626AA6" w:rsidRDefault="001E3B01" w:rsidP="005B5226">
            <w:pPr>
              <w:jc w:val="center"/>
              <w:rPr>
                <w:rFonts w:ascii="Arial" w:hAnsi="Arial" w:cs="Arial"/>
                <w:b/>
                <w:bCs/>
                <w:color w:val="000000"/>
                <w:sz w:val="20"/>
                <w:szCs w:val="20"/>
              </w:rPr>
            </w:pPr>
          </w:p>
        </w:tc>
        <w:tc>
          <w:tcPr>
            <w:tcW w:w="10348" w:type="dxa"/>
            <w:gridSpan w:val="6"/>
            <w:tcBorders>
              <w:top w:val="single" w:sz="4" w:space="0" w:color="000000"/>
              <w:left w:val="nil"/>
              <w:bottom w:val="single" w:sz="4" w:space="0" w:color="000000"/>
              <w:right w:val="single" w:sz="4" w:space="0" w:color="000000"/>
            </w:tcBorders>
            <w:shd w:val="clear" w:color="auto" w:fill="auto"/>
            <w:vAlign w:val="bottom"/>
          </w:tcPr>
          <w:p w14:paraId="700040F1"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Pre-insurance stress</w:t>
            </w:r>
          </w:p>
        </w:tc>
      </w:tr>
      <w:tr w:rsidR="001E3B01" w:rsidRPr="000B233E" w14:paraId="26980298" w14:textId="77777777" w:rsidTr="005B5226">
        <w:trPr>
          <w:trHeight w:val="317"/>
        </w:trPr>
        <w:tc>
          <w:tcPr>
            <w:tcW w:w="3559" w:type="dxa"/>
            <w:tcBorders>
              <w:top w:val="single" w:sz="4" w:space="0" w:color="auto"/>
              <w:left w:val="single" w:sz="4" w:space="0" w:color="auto"/>
              <w:bottom w:val="nil"/>
              <w:right w:val="single" w:sz="4" w:space="0" w:color="auto"/>
            </w:tcBorders>
            <w:shd w:val="clear" w:color="auto" w:fill="auto"/>
            <w:vAlign w:val="bottom"/>
            <w:hideMark/>
          </w:tcPr>
          <w:p w14:paraId="243A9873" w14:textId="77777777" w:rsidR="001E3B01" w:rsidRPr="00626AA6" w:rsidRDefault="001E3B01" w:rsidP="005B5226">
            <w:pPr>
              <w:jc w:val="center"/>
              <w:rPr>
                <w:rFonts w:ascii="Arial" w:hAnsi="Arial" w:cs="Arial"/>
                <w:b/>
                <w:color w:val="000000"/>
                <w:sz w:val="20"/>
                <w:szCs w:val="20"/>
              </w:rPr>
            </w:pPr>
            <w:r w:rsidRPr="00626AA6">
              <w:rPr>
                <w:rFonts w:ascii="Arial" w:hAnsi="Arial" w:cs="Arial"/>
                <w:b/>
                <w:color w:val="000000"/>
                <w:sz w:val="20"/>
                <w:szCs w:val="20"/>
              </w:rPr>
              <w:t>Product group</w:t>
            </w:r>
          </w:p>
        </w:tc>
        <w:tc>
          <w:tcPr>
            <w:tcW w:w="1724" w:type="dxa"/>
            <w:tcBorders>
              <w:top w:val="single" w:sz="4" w:space="0" w:color="000000"/>
              <w:left w:val="nil"/>
              <w:bottom w:val="nil"/>
              <w:right w:val="single" w:sz="4" w:space="0" w:color="auto"/>
            </w:tcBorders>
            <w:shd w:val="clear" w:color="auto" w:fill="auto"/>
            <w:vAlign w:val="bottom"/>
            <w:hideMark/>
          </w:tcPr>
          <w:p w14:paraId="76F74525"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Annuity and investment liability value</w:t>
            </w:r>
          </w:p>
        </w:tc>
        <w:tc>
          <w:tcPr>
            <w:tcW w:w="1725" w:type="dxa"/>
            <w:tcBorders>
              <w:top w:val="single" w:sz="4" w:space="0" w:color="000000"/>
              <w:left w:val="nil"/>
              <w:bottom w:val="nil"/>
              <w:right w:val="single" w:sz="4" w:space="0" w:color="auto"/>
            </w:tcBorders>
            <w:shd w:val="clear" w:color="auto" w:fill="auto"/>
            <w:vAlign w:val="bottom"/>
            <w:hideMark/>
          </w:tcPr>
          <w:p w14:paraId="0724A6B0"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CICP Reserve</w:t>
            </w:r>
          </w:p>
        </w:tc>
        <w:tc>
          <w:tcPr>
            <w:tcW w:w="1725" w:type="dxa"/>
            <w:tcBorders>
              <w:top w:val="single" w:sz="4" w:space="0" w:color="000000"/>
              <w:left w:val="nil"/>
              <w:bottom w:val="nil"/>
              <w:right w:val="single" w:sz="4" w:space="0" w:color="000000"/>
            </w:tcBorders>
            <w:shd w:val="clear" w:color="auto" w:fill="auto"/>
            <w:vAlign w:val="bottom"/>
            <w:hideMark/>
          </w:tcPr>
          <w:p w14:paraId="241B665C"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RBNA Reserve</w:t>
            </w:r>
          </w:p>
        </w:tc>
        <w:tc>
          <w:tcPr>
            <w:tcW w:w="1724" w:type="dxa"/>
            <w:tcBorders>
              <w:top w:val="single" w:sz="4" w:space="0" w:color="000000"/>
              <w:left w:val="nil"/>
              <w:bottom w:val="nil"/>
              <w:right w:val="single" w:sz="4" w:space="0" w:color="000000"/>
            </w:tcBorders>
            <w:vAlign w:val="bottom"/>
          </w:tcPr>
          <w:p w14:paraId="4A32A8A5"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IBNR Reserve</w:t>
            </w:r>
          </w:p>
        </w:tc>
        <w:tc>
          <w:tcPr>
            <w:tcW w:w="1725" w:type="dxa"/>
            <w:tcBorders>
              <w:top w:val="single" w:sz="4" w:space="0" w:color="000000"/>
              <w:left w:val="nil"/>
              <w:bottom w:val="nil"/>
              <w:right w:val="single" w:sz="4" w:space="0" w:color="000000"/>
            </w:tcBorders>
            <w:vAlign w:val="bottom"/>
          </w:tcPr>
          <w:p w14:paraId="147C97E3"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Unearned premium reserve</w:t>
            </w:r>
          </w:p>
        </w:tc>
        <w:tc>
          <w:tcPr>
            <w:tcW w:w="1725" w:type="dxa"/>
            <w:tcBorders>
              <w:top w:val="single" w:sz="4" w:space="0" w:color="000000"/>
              <w:left w:val="nil"/>
              <w:bottom w:val="nil"/>
              <w:right w:val="single" w:sz="4" w:space="0" w:color="000000"/>
            </w:tcBorders>
            <w:vAlign w:val="bottom"/>
          </w:tcPr>
          <w:p w14:paraId="0ADBA00E"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 xml:space="preserve">Total past premium liabilities </w:t>
            </w:r>
          </w:p>
        </w:tc>
      </w:tr>
      <w:tr w:rsidR="001E3B01" w:rsidRPr="000B233E" w14:paraId="0BEFF38D" w14:textId="77777777" w:rsidTr="005B5226">
        <w:trPr>
          <w:trHeight w:val="317"/>
        </w:trPr>
        <w:tc>
          <w:tcPr>
            <w:tcW w:w="3559" w:type="dxa"/>
            <w:tcBorders>
              <w:top w:val="nil"/>
              <w:left w:val="single" w:sz="4" w:space="0" w:color="auto"/>
              <w:bottom w:val="single" w:sz="4" w:space="0" w:color="auto"/>
              <w:right w:val="single" w:sz="4" w:space="0" w:color="auto"/>
            </w:tcBorders>
            <w:shd w:val="clear" w:color="auto" w:fill="auto"/>
            <w:vAlign w:val="bottom"/>
            <w:hideMark/>
          </w:tcPr>
          <w:p w14:paraId="30A83BF7" w14:textId="77777777" w:rsidR="001E3B01" w:rsidRPr="00626AA6" w:rsidRDefault="001E3B01" w:rsidP="005B5226">
            <w:pPr>
              <w:jc w:val="center"/>
              <w:rPr>
                <w:rFonts w:ascii="Arial" w:hAnsi="Arial" w:cs="Arial"/>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bottom"/>
            <w:hideMark/>
          </w:tcPr>
          <w:p w14:paraId="411135CB"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w:t>
            </w:r>
          </w:p>
        </w:tc>
        <w:tc>
          <w:tcPr>
            <w:tcW w:w="1725" w:type="dxa"/>
            <w:tcBorders>
              <w:top w:val="nil"/>
              <w:left w:val="nil"/>
              <w:bottom w:val="single" w:sz="4" w:space="0" w:color="auto"/>
              <w:right w:val="single" w:sz="4" w:space="0" w:color="auto"/>
            </w:tcBorders>
            <w:shd w:val="clear" w:color="auto" w:fill="auto"/>
            <w:vAlign w:val="bottom"/>
            <w:hideMark/>
          </w:tcPr>
          <w:p w14:paraId="4C497607"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(2)</w:t>
            </w:r>
          </w:p>
        </w:tc>
        <w:tc>
          <w:tcPr>
            <w:tcW w:w="1725" w:type="dxa"/>
            <w:tcBorders>
              <w:top w:val="nil"/>
              <w:left w:val="nil"/>
              <w:bottom w:val="single" w:sz="4" w:space="0" w:color="auto"/>
              <w:right w:val="single" w:sz="4" w:space="0" w:color="000000"/>
            </w:tcBorders>
            <w:shd w:val="clear" w:color="auto" w:fill="auto"/>
            <w:vAlign w:val="bottom"/>
            <w:hideMark/>
          </w:tcPr>
          <w:p w14:paraId="3941B6BF"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(3)</w:t>
            </w:r>
          </w:p>
        </w:tc>
        <w:tc>
          <w:tcPr>
            <w:tcW w:w="1724" w:type="dxa"/>
            <w:tcBorders>
              <w:top w:val="nil"/>
              <w:left w:val="nil"/>
              <w:bottom w:val="single" w:sz="4" w:space="0" w:color="auto"/>
              <w:right w:val="single" w:sz="4" w:space="0" w:color="000000"/>
            </w:tcBorders>
            <w:vAlign w:val="bottom"/>
          </w:tcPr>
          <w:p w14:paraId="290C8CD0"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(4)</w:t>
            </w:r>
          </w:p>
        </w:tc>
        <w:tc>
          <w:tcPr>
            <w:tcW w:w="1725" w:type="dxa"/>
            <w:tcBorders>
              <w:top w:val="nil"/>
              <w:left w:val="nil"/>
              <w:bottom w:val="single" w:sz="4" w:space="0" w:color="auto"/>
              <w:right w:val="single" w:sz="4" w:space="0" w:color="000000"/>
            </w:tcBorders>
            <w:vAlign w:val="bottom"/>
          </w:tcPr>
          <w:p w14:paraId="6182CFB7"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(5)</w:t>
            </w:r>
          </w:p>
        </w:tc>
        <w:tc>
          <w:tcPr>
            <w:tcW w:w="1725" w:type="dxa"/>
            <w:tcBorders>
              <w:top w:val="nil"/>
              <w:left w:val="nil"/>
              <w:bottom w:val="single" w:sz="4" w:space="0" w:color="auto"/>
              <w:right w:val="single" w:sz="4" w:space="0" w:color="000000"/>
            </w:tcBorders>
            <w:vAlign w:val="bottom"/>
          </w:tcPr>
          <w:p w14:paraId="72679C9C"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(6)</w:t>
            </w:r>
          </w:p>
        </w:tc>
      </w:tr>
      <w:tr w:rsidR="001E3B01" w:rsidRPr="000B233E" w14:paraId="3528228F" w14:textId="77777777" w:rsidTr="005B5226">
        <w:trPr>
          <w:trHeight w:val="31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F2AD6"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50FB1993"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uto"/>
            <w:noWrap/>
            <w:vAlign w:val="bottom"/>
          </w:tcPr>
          <w:p w14:paraId="4C110155"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bottom"/>
          </w:tcPr>
          <w:p w14:paraId="436CE70E"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left w:val="nil"/>
              <w:bottom w:val="single" w:sz="4" w:space="0" w:color="auto"/>
              <w:right w:val="single" w:sz="4" w:space="0" w:color="auto"/>
            </w:tcBorders>
            <w:vAlign w:val="bottom"/>
          </w:tcPr>
          <w:p w14:paraId="43E8E15F"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vAlign w:val="bottom"/>
          </w:tcPr>
          <w:p w14:paraId="581AD8D2"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6A6A6"/>
            <w:vAlign w:val="bottom"/>
          </w:tcPr>
          <w:p w14:paraId="18FCCBEE" w14:textId="77777777" w:rsidR="001E3B01" w:rsidRPr="008012FF" w:rsidRDefault="001E3B01" w:rsidP="005B5226">
            <w:pPr>
              <w:jc w:val="center"/>
              <w:rPr>
                <w:rFonts w:ascii="Arial" w:hAnsi="Arial" w:cs="Arial"/>
                <w:bCs/>
                <w:color w:val="000000"/>
                <w:sz w:val="20"/>
                <w:szCs w:val="20"/>
              </w:rPr>
            </w:pPr>
          </w:p>
        </w:tc>
      </w:tr>
      <w:tr w:rsidR="001E3B01" w:rsidRPr="000B233E" w14:paraId="7756CA32" w14:textId="77777777" w:rsidTr="005B5226">
        <w:trPr>
          <w:trHeight w:val="317"/>
        </w:trPr>
        <w:tc>
          <w:tcPr>
            <w:tcW w:w="3559"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5FC28B29" w14:textId="74CD81B9" w:rsidR="001E3B01" w:rsidRPr="00626AA6" w:rsidRDefault="001E3B01" w:rsidP="005B5226">
            <w:pPr>
              <w:jc w:val="center"/>
              <w:rPr>
                <w:rFonts w:ascii="Arial" w:hAnsi="Arial" w:cs="Arial"/>
                <w:color w:val="000000"/>
                <w:sz w:val="20"/>
                <w:szCs w:val="20"/>
              </w:rPr>
            </w:pPr>
          </w:p>
        </w:tc>
        <w:tc>
          <w:tcPr>
            <w:tcW w:w="1724" w:type="dxa"/>
            <w:tcBorders>
              <w:top w:val="single" w:sz="4" w:space="0" w:color="auto"/>
              <w:left w:val="dotDash" w:sz="4" w:space="0" w:color="auto"/>
            </w:tcBorders>
            <w:shd w:val="clear" w:color="auto" w:fill="auto"/>
            <w:noWrap/>
            <w:vAlign w:val="bottom"/>
          </w:tcPr>
          <w:p w14:paraId="45617B1C"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shd w:val="clear" w:color="auto" w:fill="auto"/>
            <w:noWrap/>
            <w:vAlign w:val="bottom"/>
          </w:tcPr>
          <w:p w14:paraId="47BCCB7F"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shd w:val="clear" w:color="auto" w:fill="auto"/>
            <w:vAlign w:val="bottom"/>
          </w:tcPr>
          <w:p w14:paraId="30D79750"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tcBorders>
            <w:vAlign w:val="bottom"/>
          </w:tcPr>
          <w:p w14:paraId="59D4992D"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vAlign w:val="bottom"/>
          </w:tcPr>
          <w:p w14:paraId="4C052744"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vAlign w:val="bottom"/>
          </w:tcPr>
          <w:p w14:paraId="7CC04653" w14:textId="77777777" w:rsidR="001E3B01" w:rsidRPr="008012FF" w:rsidRDefault="001E3B01" w:rsidP="005B5226">
            <w:pPr>
              <w:jc w:val="center"/>
              <w:rPr>
                <w:rFonts w:ascii="Arial" w:hAnsi="Arial" w:cs="Arial"/>
                <w:bCs/>
                <w:color w:val="000000"/>
                <w:sz w:val="20"/>
                <w:szCs w:val="20"/>
              </w:rPr>
            </w:pPr>
          </w:p>
        </w:tc>
      </w:tr>
    </w:tbl>
    <w:p w14:paraId="4B2C6BAE" w14:textId="77777777" w:rsidR="001E3B01" w:rsidRDefault="001E3B01" w:rsidP="001E3B01"/>
    <w:tbl>
      <w:tblPr>
        <w:tblW w:w="13907" w:type="dxa"/>
        <w:tblInd w:w="93" w:type="dxa"/>
        <w:tblLayout w:type="fixed"/>
        <w:tblLook w:val="04A0" w:firstRow="1" w:lastRow="0" w:firstColumn="1" w:lastColumn="0" w:noHBand="0" w:noVBand="1"/>
      </w:tblPr>
      <w:tblGrid>
        <w:gridCol w:w="3559"/>
        <w:gridCol w:w="1724"/>
        <w:gridCol w:w="1725"/>
        <w:gridCol w:w="1725"/>
        <w:gridCol w:w="1724"/>
        <w:gridCol w:w="1725"/>
        <w:gridCol w:w="1725"/>
      </w:tblGrid>
      <w:tr w:rsidR="001E3B01" w:rsidRPr="000B233E" w14:paraId="69DA975B" w14:textId="77777777" w:rsidTr="005B5226">
        <w:trPr>
          <w:trHeight w:val="317"/>
        </w:trPr>
        <w:tc>
          <w:tcPr>
            <w:tcW w:w="3559" w:type="dxa"/>
            <w:tcBorders>
              <w:bottom w:val="single" w:sz="4" w:space="0" w:color="auto"/>
              <w:right w:val="single" w:sz="4" w:space="0" w:color="auto"/>
            </w:tcBorders>
            <w:shd w:val="clear" w:color="auto" w:fill="auto"/>
            <w:vAlign w:val="bottom"/>
          </w:tcPr>
          <w:p w14:paraId="022BE11C" w14:textId="77777777" w:rsidR="001E3B01" w:rsidRPr="00626AA6" w:rsidRDefault="001E3B01" w:rsidP="005B5226">
            <w:pPr>
              <w:jc w:val="center"/>
              <w:rPr>
                <w:rFonts w:ascii="Arial" w:hAnsi="Arial" w:cs="Arial"/>
                <w:b/>
                <w:bCs/>
                <w:color w:val="000000"/>
                <w:sz w:val="20"/>
                <w:szCs w:val="20"/>
              </w:rPr>
            </w:pPr>
          </w:p>
        </w:tc>
        <w:tc>
          <w:tcPr>
            <w:tcW w:w="10348" w:type="dxa"/>
            <w:gridSpan w:val="6"/>
            <w:tcBorders>
              <w:top w:val="single" w:sz="4" w:space="0" w:color="000000"/>
              <w:left w:val="nil"/>
              <w:bottom w:val="single" w:sz="4" w:space="0" w:color="000000"/>
              <w:right w:val="single" w:sz="4" w:space="0" w:color="000000"/>
            </w:tcBorders>
            <w:shd w:val="clear" w:color="auto" w:fill="auto"/>
            <w:vAlign w:val="bottom"/>
          </w:tcPr>
          <w:p w14:paraId="68679C0D"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Post-insurance stress</w:t>
            </w:r>
          </w:p>
        </w:tc>
      </w:tr>
      <w:tr w:rsidR="001E3B01" w:rsidRPr="000B233E" w14:paraId="440DB712" w14:textId="77777777" w:rsidTr="005B5226">
        <w:trPr>
          <w:trHeight w:val="317"/>
        </w:trPr>
        <w:tc>
          <w:tcPr>
            <w:tcW w:w="3559" w:type="dxa"/>
            <w:tcBorders>
              <w:top w:val="single" w:sz="4" w:space="0" w:color="auto"/>
              <w:left w:val="single" w:sz="4" w:space="0" w:color="auto"/>
              <w:bottom w:val="nil"/>
              <w:right w:val="single" w:sz="4" w:space="0" w:color="auto"/>
            </w:tcBorders>
            <w:shd w:val="clear" w:color="auto" w:fill="auto"/>
            <w:vAlign w:val="bottom"/>
            <w:hideMark/>
          </w:tcPr>
          <w:p w14:paraId="01ED7FD7" w14:textId="77777777" w:rsidR="001E3B01" w:rsidRPr="00626AA6" w:rsidRDefault="001E3B01" w:rsidP="005B5226">
            <w:pPr>
              <w:jc w:val="center"/>
              <w:rPr>
                <w:rFonts w:ascii="Arial" w:hAnsi="Arial" w:cs="Arial"/>
                <w:b/>
                <w:color w:val="000000"/>
                <w:sz w:val="20"/>
                <w:szCs w:val="20"/>
              </w:rPr>
            </w:pPr>
            <w:r w:rsidRPr="00626AA6">
              <w:rPr>
                <w:rFonts w:ascii="Arial" w:hAnsi="Arial" w:cs="Arial"/>
                <w:b/>
                <w:color w:val="000000"/>
                <w:sz w:val="20"/>
                <w:szCs w:val="20"/>
              </w:rPr>
              <w:t>Product group</w:t>
            </w:r>
          </w:p>
        </w:tc>
        <w:tc>
          <w:tcPr>
            <w:tcW w:w="1724" w:type="dxa"/>
            <w:tcBorders>
              <w:top w:val="single" w:sz="4" w:space="0" w:color="000000"/>
              <w:left w:val="nil"/>
              <w:bottom w:val="nil"/>
              <w:right w:val="single" w:sz="4" w:space="0" w:color="auto"/>
            </w:tcBorders>
            <w:shd w:val="clear" w:color="auto" w:fill="auto"/>
            <w:vAlign w:val="bottom"/>
            <w:hideMark/>
          </w:tcPr>
          <w:p w14:paraId="0F4DFF4D"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Annuity and investment liability value</w:t>
            </w:r>
          </w:p>
        </w:tc>
        <w:tc>
          <w:tcPr>
            <w:tcW w:w="1725" w:type="dxa"/>
            <w:tcBorders>
              <w:top w:val="single" w:sz="4" w:space="0" w:color="000000"/>
              <w:left w:val="nil"/>
              <w:bottom w:val="nil"/>
              <w:right w:val="single" w:sz="4" w:space="0" w:color="auto"/>
            </w:tcBorders>
            <w:shd w:val="clear" w:color="auto" w:fill="auto"/>
            <w:vAlign w:val="bottom"/>
            <w:hideMark/>
          </w:tcPr>
          <w:p w14:paraId="3E47D630"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CICP Reserve</w:t>
            </w:r>
          </w:p>
        </w:tc>
        <w:tc>
          <w:tcPr>
            <w:tcW w:w="1725" w:type="dxa"/>
            <w:tcBorders>
              <w:top w:val="single" w:sz="4" w:space="0" w:color="000000"/>
              <w:left w:val="nil"/>
              <w:bottom w:val="nil"/>
              <w:right w:val="single" w:sz="4" w:space="0" w:color="000000"/>
            </w:tcBorders>
            <w:shd w:val="clear" w:color="auto" w:fill="auto"/>
            <w:vAlign w:val="bottom"/>
            <w:hideMark/>
          </w:tcPr>
          <w:p w14:paraId="64F0B62B"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RBNA Reserve</w:t>
            </w:r>
          </w:p>
        </w:tc>
        <w:tc>
          <w:tcPr>
            <w:tcW w:w="1724" w:type="dxa"/>
            <w:tcBorders>
              <w:top w:val="single" w:sz="4" w:space="0" w:color="000000"/>
              <w:left w:val="nil"/>
              <w:bottom w:val="nil"/>
              <w:right w:val="single" w:sz="4" w:space="0" w:color="000000"/>
            </w:tcBorders>
            <w:vAlign w:val="bottom"/>
          </w:tcPr>
          <w:p w14:paraId="01897B72"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IBNR Reserve</w:t>
            </w:r>
          </w:p>
        </w:tc>
        <w:tc>
          <w:tcPr>
            <w:tcW w:w="1725" w:type="dxa"/>
            <w:tcBorders>
              <w:top w:val="single" w:sz="4" w:space="0" w:color="000000"/>
              <w:left w:val="nil"/>
              <w:bottom w:val="nil"/>
              <w:right w:val="single" w:sz="4" w:space="0" w:color="000000"/>
            </w:tcBorders>
            <w:vAlign w:val="bottom"/>
          </w:tcPr>
          <w:p w14:paraId="12518681"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Unearned premium reserve</w:t>
            </w:r>
          </w:p>
        </w:tc>
        <w:tc>
          <w:tcPr>
            <w:tcW w:w="1725" w:type="dxa"/>
            <w:tcBorders>
              <w:top w:val="single" w:sz="4" w:space="0" w:color="000000"/>
              <w:left w:val="nil"/>
              <w:bottom w:val="nil"/>
              <w:right w:val="single" w:sz="4" w:space="0" w:color="000000"/>
            </w:tcBorders>
            <w:vAlign w:val="bottom"/>
          </w:tcPr>
          <w:p w14:paraId="5CA1BE48"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Stressed past premium liabilities</w:t>
            </w:r>
          </w:p>
        </w:tc>
      </w:tr>
      <w:tr w:rsidR="001E3B01" w:rsidRPr="000B233E" w14:paraId="7283A30D" w14:textId="77777777" w:rsidTr="005B5226">
        <w:trPr>
          <w:trHeight w:val="317"/>
        </w:trPr>
        <w:tc>
          <w:tcPr>
            <w:tcW w:w="3559" w:type="dxa"/>
            <w:tcBorders>
              <w:top w:val="nil"/>
              <w:left w:val="single" w:sz="4" w:space="0" w:color="auto"/>
              <w:bottom w:val="single" w:sz="4" w:space="0" w:color="auto"/>
              <w:right w:val="single" w:sz="4" w:space="0" w:color="auto"/>
            </w:tcBorders>
            <w:shd w:val="clear" w:color="auto" w:fill="auto"/>
            <w:vAlign w:val="bottom"/>
            <w:hideMark/>
          </w:tcPr>
          <w:p w14:paraId="5D3506B4" w14:textId="77777777" w:rsidR="001E3B01" w:rsidRPr="00626AA6" w:rsidRDefault="001E3B01" w:rsidP="005B5226">
            <w:pPr>
              <w:jc w:val="center"/>
              <w:rPr>
                <w:rFonts w:ascii="Arial" w:hAnsi="Arial" w:cs="Arial"/>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bottom"/>
            <w:hideMark/>
          </w:tcPr>
          <w:p w14:paraId="564F0713"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(7)</w:t>
            </w:r>
          </w:p>
        </w:tc>
        <w:tc>
          <w:tcPr>
            <w:tcW w:w="1725" w:type="dxa"/>
            <w:tcBorders>
              <w:top w:val="nil"/>
              <w:left w:val="nil"/>
              <w:bottom w:val="single" w:sz="4" w:space="0" w:color="auto"/>
              <w:right w:val="single" w:sz="4" w:space="0" w:color="auto"/>
            </w:tcBorders>
            <w:shd w:val="clear" w:color="auto" w:fill="auto"/>
            <w:vAlign w:val="bottom"/>
            <w:hideMark/>
          </w:tcPr>
          <w:p w14:paraId="30CF3C05"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(8)</w:t>
            </w:r>
          </w:p>
        </w:tc>
        <w:tc>
          <w:tcPr>
            <w:tcW w:w="1725" w:type="dxa"/>
            <w:tcBorders>
              <w:top w:val="nil"/>
              <w:left w:val="nil"/>
              <w:bottom w:val="single" w:sz="4" w:space="0" w:color="auto"/>
              <w:right w:val="single" w:sz="4" w:space="0" w:color="000000"/>
            </w:tcBorders>
            <w:shd w:val="clear" w:color="auto" w:fill="auto"/>
            <w:vAlign w:val="bottom"/>
            <w:hideMark/>
          </w:tcPr>
          <w:p w14:paraId="193E56AC"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(9)</w:t>
            </w:r>
          </w:p>
        </w:tc>
        <w:tc>
          <w:tcPr>
            <w:tcW w:w="1724" w:type="dxa"/>
            <w:tcBorders>
              <w:top w:val="nil"/>
              <w:left w:val="nil"/>
              <w:bottom w:val="single" w:sz="4" w:space="0" w:color="auto"/>
              <w:right w:val="single" w:sz="4" w:space="0" w:color="000000"/>
            </w:tcBorders>
            <w:vAlign w:val="bottom"/>
          </w:tcPr>
          <w:p w14:paraId="078FC992"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(10)</w:t>
            </w:r>
          </w:p>
        </w:tc>
        <w:tc>
          <w:tcPr>
            <w:tcW w:w="1725" w:type="dxa"/>
            <w:tcBorders>
              <w:top w:val="nil"/>
              <w:left w:val="nil"/>
              <w:bottom w:val="single" w:sz="4" w:space="0" w:color="auto"/>
              <w:right w:val="single" w:sz="4" w:space="0" w:color="000000"/>
            </w:tcBorders>
            <w:vAlign w:val="bottom"/>
          </w:tcPr>
          <w:p w14:paraId="3234ABA6"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(11)</w:t>
            </w:r>
          </w:p>
        </w:tc>
        <w:tc>
          <w:tcPr>
            <w:tcW w:w="1725" w:type="dxa"/>
            <w:tcBorders>
              <w:top w:val="nil"/>
              <w:left w:val="nil"/>
              <w:bottom w:val="single" w:sz="4" w:space="0" w:color="auto"/>
              <w:right w:val="single" w:sz="4" w:space="0" w:color="000000"/>
            </w:tcBorders>
            <w:vAlign w:val="bottom"/>
          </w:tcPr>
          <w:p w14:paraId="29A9CF54"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(12)</w:t>
            </w:r>
          </w:p>
        </w:tc>
      </w:tr>
      <w:tr w:rsidR="001E3B01" w:rsidRPr="000B233E" w14:paraId="690231C5" w14:textId="77777777" w:rsidTr="005B5226">
        <w:trPr>
          <w:trHeight w:val="31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32C40"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5D9556E9"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uto"/>
            <w:noWrap/>
            <w:vAlign w:val="bottom"/>
          </w:tcPr>
          <w:p w14:paraId="4534034F"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bottom"/>
          </w:tcPr>
          <w:p w14:paraId="776FBF4B"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left w:val="nil"/>
              <w:bottom w:val="single" w:sz="4" w:space="0" w:color="auto"/>
              <w:right w:val="single" w:sz="4" w:space="0" w:color="auto"/>
            </w:tcBorders>
            <w:vAlign w:val="bottom"/>
          </w:tcPr>
          <w:p w14:paraId="150A9909"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vAlign w:val="bottom"/>
          </w:tcPr>
          <w:p w14:paraId="529D9A40"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left w:val="nil"/>
              <w:bottom w:val="single" w:sz="4" w:space="0" w:color="auto"/>
              <w:right w:val="single" w:sz="4" w:space="0" w:color="auto"/>
            </w:tcBorders>
            <w:shd w:val="clear" w:color="auto" w:fill="A6A6A6"/>
            <w:vAlign w:val="bottom"/>
          </w:tcPr>
          <w:p w14:paraId="03337AFF" w14:textId="77777777" w:rsidR="001E3B01" w:rsidRPr="008012FF" w:rsidRDefault="001E3B01" w:rsidP="005B5226">
            <w:pPr>
              <w:jc w:val="center"/>
              <w:rPr>
                <w:rFonts w:ascii="Arial" w:hAnsi="Arial" w:cs="Arial"/>
                <w:bCs/>
                <w:color w:val="000000"/>
                <w:sz w:val="20"/>
                <w:szCs w:val="20"/>
              </w:rPr>
            </w:pPr>
          </w:p>
        </w:tc>
      </w:tr>
      <w:tr w:rsidR="001E3B01" w:rsidRPr="000B233E" w14:paraId="3C0E99FB" w14:textId="77777777" w:rsidTr="005B5226">
        <w:trPr>
          <w:trHeight w:val="317"/>
        </w:trPr>
        <w:tc>
          <w:tcPr>
            <w:tcW w:w="3559"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43C480F" w14:textId="700F8AC2" w:rsidR="001E3B01" w:rsidRPr="00626AA6" w:rsidRDefault="001E3B01" w:rsidP="005B5226">
            <w:pPr>
              <w:jc w:val="center"/>
              <w:rPr>
                <w:rFonts w:ascii="Arial" w:hAnsi="Arial" w:cs="Arial"/>
                <w:color w:val="000000"/>
                <w:sz w:val="20"/>
                <w:szCs w:val="20"/>
              </w:rPr>
            </w:pPr>
          </w:p>
        </w:tc>
        <w:tc>
          <w:tcPr>
            <w:tcW w:w="1724" w:type="dxa"/>
            <w:tcBorders>
              <w:top w:val="single" w:sz="4" w:space="0" w:color="auto"/>
              <w:left w:val="dotDash" w:sz="4" w:space="0" w:color="auto"/>
            </w:tcBorders>
            <w:shd w:val="clear" w:color="auto" w:fill="auto"/>
            <w:noWrap/>
            <w:vAlign w:val="bottom"/>
          </w:tcPr>
          <w:p w14:paraId="67A52ABC"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shd w:val="clear" w:color="auto" w:fill="auto"/>
            <w:noWrap/>
            <w:vAlign w:val="bottom"/>
          </w:tcPr>
          <w:p w14:paraId="46654C7B"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shd w:val="clear" w:color="auto" w:fill="auto"/>
            <w:vAlign w:val="bottom"/>
          </w:tcPr>
          <w:p w14:paraId="3733F0E3" w14:textId="77777777" w:rsidR="001E3B01" w:rsidRPr="008012FF" w:rsidRDefault="001E3B01" w:rsidP="005B5226">
            <w:pPr>
              <w:jc w:val="center"/>
              <w:rPr>
                <w:rFonts w:ascii="Arial" w:hAnsi="Arial" w:cs="Arial"/>
                <w:color w:val="000000"/>
                <w:sz w:val="20"/>
                <w:szCs w:val="20"/>
              </w:rPr>
            </w:pPr>
          </w:p>
        </w:tc>
        <w:tc>
          <w:tcPr>
            <w:tcW w:w="1724" w:type="dxa"/>
            <w:tcBorders>
              <w:top w:val="single" w:sz="4" w:space="0" w:color="auto"/>
            </w:tcBorders>
            <w:vAlign w:val="bottom"/>
          </w:tcPr>
          <w:p w14:paraId="5EAD0503"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vAlign w:val="bottom"/>
          </w:tcPr>
          <w:p w14:paraId="2EA6280C" w14:textId="77777777" w:rsidR="001E3B01" w:rsidRPr="008012FF" w:rsidRDefault="001E3B01" w:rsidP="005B5226">
            <w:pPr>
              <w:jc w:val="center"/>
              <w:rPr>
                <w:rFonts w:ascii="Arial" w:hAnsi="Arial" w:cs="Arial"/>
                <w:color w:val="000000"/>
                <w:sz w:val="20"/>
                <w:szCs w:val="20"/>
              </w:rPr>
            </w:pPr>
          </w:p>
        </w:tc>
        <w:tc>
          <w:tcPr>
            <w:tcW w:w="1725" w:type="dxa"/>
            <w:tcBorders>
              <w:top w:val="single" w:sz="4" w:space="0" w:color="auto"/>
            </w:tcBorders>
            <w:vAlign w:val="bottom"/>
          </w:tcPr>
          <w:p w14:paraId="375B13AD" w14:textId="77777777" w:rsidR="001E3B01" w:rsidRPr="008012FF" w:rsidRDefault="001E3B01" w:rsidP="005B5226">
            <w:pPr>
              <w:jc w:val="center"/>
              <w:rPr>
                <w:rFonts w:ascii="Arial" w:hAnsi="Arial" w:cs="Arial"/>
                <w:bCs/>
                <w:color w:val="000000"/>
                <w:sz w:val="20"/>
                <w:szCs w:val="20"/>
              </w:rPr>
            </w:pPr>
          </w:p>
        </w:tc>
      </w:tr>
    </w:tbl>
    <w:p w14:paraId="75E73803" w14:textId="0EE1818D" w:rsidR="001E3B01" w:rsidRDefault="001E3B01"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2C12F1" w14:paraId="795237A2" w14:textId="77777777" w:rsidTr="00277815">
        <w:tc>
          <w:tcPr>
            <w:tcW w:w="13892" w:type="dxa"/>
          </w:tcPr>
          <w:p w14:paraId="425CB32A" w14:textId="77777777" w:rsidR="001E3B01" w:rsidRPr="002C12F1" w:rsidRDefault="001E3B01" w:rsidP="002C12F1">
            <w:pPr>
              <w:pStyle w:val="ListParagraph"/>
              <w:keepNext/>
              <w:numPr>
                <w:ilvl w:val="0"/>
                <w:numId w:val="11"/>
              </w:numPr>
              <w:contextualSpacing w:val="0"/>
              <w:rPr>
                <w:rFonts w:ascii="Arial" w:hAnsi="Arial" w:cs="Arial"/>
                <w:b/>
                <w:bCs/>
                <w:color w:val="000000"/>
              </w:rPr>
            </w:pPr>
            <w:r w:rsidRPr="002C12F1">
              <w:rPr>
                <w:rFonts w:ascii="Arial" w:hAnsi="Arial" w:cs="Arial"/>
                <w:b/>
                <w:bCs/>
                <w:color w:val="000000"/>
              </w:rPr>
              <w:t>Future premium liabilities</w:t>
            </w:r>
          </w:p>
        </w:tc>
      </w:tr>
    </w:tbl>
    <w:p w14:paraId="622D38D6" w14:textId="77777777" w:rsidR="001E3B01" w:rsidRPr="002C12F1" w:rsidRDefault="001E3B01" w:rsidP="002C12F1">
      <w:pPr>
        <w:keepNext/>
        <w:rPr>
          <w:rFonts w:ascii="Arial" w:hAnsi="Arial" w:cs="Arial"/>
          <w:b/>
          <w:color w:val="000000"/>
        </w:rPr>
      </w:pPr>
    </w:p>
    <w:tbl>
      <w:tblPr>
        <w:tblW w:w="13907" w:type="dxa"/>
        <w:tblInd w:w="93" w:type="dxa"/>
        <w:tblLayout w:type="fixed"/>
        <w:tblLook w:val="04A0" w:firstRow="1" w:lastRow="0" w:firstColumn="1" w:lastColumn="0" w:noHBand="0" w:noVBand="1"/>
      </w:tblPr>
      <w:tblGrid>
        <w:gridCol w:w="2567"/>
        <w:gridCol w:w="945"/>
        <w:gridCol w:w="945"/>
        <w:gridCol w:w="945"/>
        <w:gridCol w:w="945"/>
        <w:gridCol w:w="945"/>
        <w:gridCol w:w="945"/>
        <w:gridCol w:w="945"/>
        <w:gridCol w:w="945"/>
        <w:gridCol w:w="945"/>
        <w:gridCol w:w="945"/>
        <w:gridCol w:w="945"/>
        <w:gridCol w:w="945"/>
      </w:tblGrid>
      <w:tr w:rsidR="001E3B01" w:rsidRPr="000B233E" w14:paraId="2089ED16" w14:textId="77777777" w:rsidTr="005B5226">
        <w:trPr>
          <w:trHeight w:val="317"/>
        </w:trPr>
        <w:tc>
          <w:tcPr>
            <w:tcW w:w="2567" w:type="dxa"/>
            <w:tcBorders>
              <w:bottom w:val="nil"/>
              <w:right w:val="single" w:sz="4" w:space="0" w:color="auto"/>
            </w:tcBorders>
            <w:shd w:val="clear" w:color="auto" w:fill="auto"/>
            <w:vAlign w:val="bottom"/>
          </w:tcPr>
          <w:p w14:paraId="7BEA54A9" w14:textId="77777777" w:rsidR="001E3B01" w:rsidRPr="00626AA6" w:rsidRDefault="001E3B01" w:rsidP="005B5226">
            <w:pPr>
              <w:jc w:val="center"/>
              <w:rPr>
                <w:rFonts w:ascii="Arial" w:hAnsi="Arial" w:cs="Arial"/>
                <w:b/>
                <w:color w:val="000000"/>
                <w:sz w:val="20"/>
                <w:szCs w:val="20"/>
              </w:rPr>
            </w:pPr>
          </w:p>
        </w:tc>
        <w:tc>
          <w:tcPr>
            <w:tcW w:w="11340" w:type="dxa"/>
            <w:gridSpan w:val="12"/>
            <w:tcBorders>
              <w:top w:val="single" w:sz="4" w:space="0" w:color="000000"/>
              <w:left w:val="nil"/>
              <w:bottom w:val="single" w:sz="4" w:space="0" w:color="000000"/>
              <w:right w:val="single" w:sz="4" w:space="0" w:color="000000"/>
            </w:tcBorders>
            <w:shd w:val="clear" w:color="auto" w:fill="auto"/>
            <w:vAlign w:val="bottom"/>
          </w:tcPr>
          <w:p w14:paraId="67BEDF50"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Pre-insurance stress</w:t>
            </w:r>
          </w:p>
        </w:tc>
      </w:tr>
      <w:tr w:rsidR="001E3B01" w:rsidRPr="000B233E" w14:paraId="20C283C1" w14:textId="77777777" w:rsidTr="005B5226">
        <w:trPr>
          <w:trHeight w:val="317"/>
        </w:trPr>
        <w:tc>
          <w:tcPr>
            <w:tcW w:w="2567" w:type="dxa"/>
            <w:tcBorders>
              <w:bottom w:val="single" w:sz="4" w:space="0" w:color="auto"/>
              <w:right w:val="single" w:sz="4" w:space="0" w:color="auto"/>
            </w:tcBorders>
            <w:shd w:val="clear" w:color="auto" w:fill="auto"/>
            <w:vAlign w:val="bottom"/>
          </w:tcPr>
          <w:p w14:paraId="6659237B" w14:textId="77777777" w:rsidR="001E3B01" w:rsidRPr="00626AA6" w:rsidRDefault="001E3B01" w:rsidP="005B5226">
            <w:pPr>
              <w:jc w:val="center"/>
              <w:rPr>
                <w:rFonts w:ascii="Arial" w:hAnsi="Arial" w:cs="Arial"/>
                <w:b/>
                <w:color w:val="000000"/>
                <w:sz w:val="20"/>
                <w:szCs w:val="20"/>
              </w:rPr>
            </w:pPr>
          </w:p>
        </w:tc>
        <w:tc>
          <w:tcPr>
            <w:tcW w:w="6615" w:type="dxa"/>
            <w:gridSpan w:val="7"/>
            <w:tcBorders>
              <w:top w:val="single" w:sz="4" w:space="0" w:color="000000"/>
              <w:left w:val="nil"/>
              <w:bottom w:val="single" w:sz="4" w:space="0" w:color="000000"/>
              <w:right w:val="single" w:sz="4" w:space="0" w:color="000000"/>
            </w:tcBorders>
            <w:shd w:val="clear" w:color="auto" w:fill="auto"/>
            <w:vAlign w:val="bottom"/>
          </w:tcPr>
          <w:p w14:paraId="04B31242"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As at reporting date</w:t>
            </w:r>
            <w:r w:rsidRPr="000B233E">
              <w:rPr>
                <w:rFonts w:ascii="Arial" w:hAnsi="Arial" w:cs="Arial"/>
                <w:b/>
                <w:color w:val="000000"/>
                <w:sz w:val="20"/>
                <w:szCs w:val="20"/>
              </w:rPr>
              <w:br/>
              <w:t>(Discounted to reporting date)</w:t>
            </w:r>
          </w:p>
        </w:tc>
        <w:tc>
          <w:tcPr>
            <w:tcW w:w="4725" w:type="dxa"/>
            <w:gridSpan w:val="5"/>
            <w:tcBorders>
              <w:top w:val="single" w:sz="4" w:space="0" w:color="000000"/>
              <w:left w:val="nil"/>
              <w:bottom w:val="single" w:sz="4" w:space="0" w:color="000000"/>
              <w:right w:val="single" w:sz="4" w:space="0" w:color="000000"/>
            </w:tcBorders>
            <w:vAlign w:val="bottom"/>
          </w:tcPr>
          <w:p w14:paraId="64D02905"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As at 12 months after reporting date</w:t>
            </w:r>
            <w:r w:rsidRPr="000B233E">
              <w:rPr>
                <w:rFonts w:ascii="Arial" w:hAnsi="Arial" w:cs="Arial"/>
                <w:b/>
                <w:color w:val="000000"/>
                <w:sz w:val="20"/>
                <w:szCs w:val="20"/>
              </w:rPr>
              <w:br/>
              <w:t>(Discounted to reporting date)</w:t>
            </w:r>
          </w:p>
        </w:tc>
      </w:tr>
      <w:tr w:rsidR="001E3B01" w:rsidRPr="000B233E" w14:paraId="2EBBBA89" w14:textId="77777777" w:rsidTr="005B5226">
        <w:trPr>
          <w:trHeight w:val="317"/>
        </w:trPr>
        <w:tc>
          <w:tcPr>
            <w:tcW w:w="2567" w:type="dxa"/>
            <w:tcBorders>
              <w:top w:val="single" w:sz="4" w:space="0" w:color="auto"/>
              <w:left w:val="single" w:sz="4" w:space="0" w:color="auto"/>
              <w:bottom w:val="nil"/>
              <w:right w:val="single" w:sz="4" w:space="0" w:color="auto"/>
            </w:tcBorders>
            <w:shd w:val="clear" w:color="auto" w:fill="auto"/>
            <w:vAlign w:val="bottom"/>
            <w:hideMark/>
          </w:tcPr>
          <w:p w14:paraId="61453BE8" w14:textId="77777777" w:rsidR="001E3B01" w:rsidRPr="00626AA6" w:rsidRDefault="001E3B01" w:rsidP="005B5226">
            <w:pPr>
              <w:jc w:val="center"/>
              <w:rPr>
                <w:rFonts w:ascii="Arial" w:hAnsi="Arial" w:cs="Arial"/>
                <w:b/>
                <w:color w:val="000000"/>
                <w:sz w:val="20"/>
                <w:szCs w:val="20"/>
              </w:rPr>
            </w:pPr>
            <w:r w:rsidRPr="00626AA6">
              <w:rPr>
                <w:rFonts w:ascii="Arial" w:hAnsi="Arial" w:cs="Arial"/>
                <w:b/>
                <w:color w:val="000000"/>
                <w:sz w:val="20"/>
                <w:szCs w:val="20"/>
              </w:rPr>
              <w:t>Product group</w:t>
            </w:r>
          </w:p>
        </w:tc>
        <w:tc>
          <w:tcPr>
            <w:tcW w:w="945" w:type="dxa"/>
            <w:tcBorders>
              <w:top w:val="single" w:sz="4" w:space="0" w:color="000000"/>
              <w:left w:val="nil"/>
              <w:bottom w:val="nil"/>
              <w:right w:val="single" w:sz="4" w:space="0" w:color="auto"/>
            </w:tcBorders>
            <w:shd w:val="clear" w:color="auto" w:fill="auto"/>
            <w:vAlign w:val="bottom"/>
            <w:hideMark/>
          </w:tcPr>
          <w:p w14:paraId="38182759"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claims</w:t>
            </w:r>
          </w:p>
        </w:tc>
        <w:tc>
          <w:tcPr>
            <w:tcW w:w="945" w:type="dxa"/>
            <w:tcBorders>
              <w:top w:val="single" w:sz="4" w:space="0" w:color="000000"/>
              <w:left w:val="nil"/>
              <w:bottom w:val="nil"/>
              <w:right w:val="single" w:sz="4" w:space="0" w:color="auto"/>
            </w:tcBorders>
            <w:shd w:val="clear" w:color="auto" w:fill="auto"/>
            <w:vAlign w:val="bottom"/>
            <w:hideMark/>
          </w:tcPr>
          <w:p w14:paraId="11AA42AC"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expenses</w:t>
            </w:r>
          </w:p>
        </w:tc>
        <w:tc>
          <w:tcPr>
            <w:tcW w:w="945" w:type="dxa"/>
            <w:tcBorders>
              <w:top w:val="single" w:sz="4" w:space="0" w:color="000000"/>
              <w:left w:val="nil"/>
              <w:bottom w:val="nil"/>
              <w:right w:val="single" w:sz="4" w:space="0" w:color="000000"/>
            </w:tcBorders>
            <w:shd w:val="clear" w:color="auto" w:fill="auto"/>
            <w:vAlign w:val="bottom"/>
            <w:hideMark/>
          </w:tcPr>
          <w:p w14:paraId="4BCC82F2"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premiums</w:t>
            </w:r>
          </w:p>
        </w:tc>
        <w:tc>
          <w:tcPr>
            <w:tcW w:w="945" w:type="dxa"/>
            <w:tcBorders>
              <w:top w:val="single" w:sz="4" w:space="0" w:color="000000"/>
              <w:left w:val="nil"/>
              <w:bottom w:val="nil"/>
              <w:right w:val="single" w:sz="4" w:space="0" w:color="000000"/>
            </w:tcBorders>
            <w:vAlign w:val="bottom"/>
          </w:tcPr>
          <w:p w14:paraId="7FC85C2C"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other liability components</w:t>
            </w:r>
          </w:p>
        </w:tc>
        <w:tc>
          <w:tcPr>
            <w:tcW w:w="945" w:type="dxa"/>
            <w:tcBorders>
              <w:top w:val="single" w:sz="4" w:space="0" w:color="000000"/>
              <w:left w:val="nil"/>
              <w:bottom w:val="nil"/>
              <w:right w:val="single" w:sz="4" w:space="0" w:color="000000"/>
            </w:tcBorders>
            <w:vAlign w:val="bottom"/>
          </w:tcPr>
          <w:p w14:paraId="4484F128"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Total future premium liabilities</w:t>
            </w:r>
          </w:p>
        </w:tc>
        <w:tc>
          <w:tcPr>
            <w:tcW w:w="945" w:type="dxa"/>
            <w:tcBorders>
              <w:top w:val="single" w:sz="4" w:space="0" w:color="000000"/>
              <w:left w:val="nil"/>
              <w:bottom w:val="nil"/>
              <w:right w:val="single" w:sz="4" w:space="0" w:color="000000"/>
            </w:tcBorders>
            <w:vAlign w:val="bottom"/>
          </w:tcPr>
          <w:p w14:paraId="3B245809"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tax expenses</w:t>
            </w:r>
          </w:p>
        </w:tc>
        <w:tc>
          <w:tcPr>
            <w:tcW w:w="945" w:type="dxa"/>
            <w:tcBorders>
              <w:top w:val="single" w:sz="4" w:space="0" w:color="000000"/>
              <w:left w:val="nil"/>
              <w:bottom w:val="nil"/>
              <w:right w:val="single" w:sz="4" w:space="0" w:color="000000"/>
            </w:tcBorders>
            <w:vAlign w:val="bottom"/>
          </w:tcPr>
          <w:p w14:paraId="7C521633"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 xml:space="preserve">Risk-free present value of net profit </w:t>
            </w:r>
          </w:p>
        </w:tc>
        <w:tc>
          <w:tcPr>
            <w:tcW w:w="945" w:type="dxa"/>
            <w:tcBorders>
              <w:top w:val="single" w:sz="4" w:space="0" w:color="000000"/>
              <w:left w:val="nil"/>
              <w:bottom w:val="nil"/>
              <w:right w:val="single" w:sz="4" w:space="0" w:color="000000"/>
            </w:tcBorders>
            <w:vAlign w:val="bottom"/>
          </w:tcPr>
          <w:p w14:paraId="742AA6EC"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claims</w:t>
            </w:r>
          </w:p>
        </w:tc>
        <w:tc>
          <w:tcPr>
            <w:tcW w:w="945" w:type="dxa"/>
            <w:tcBorders>
              <w:top w:val="single" w:sz="4" w:space="0" w:color="000000"/>
              <w:left w:val="nil"/>
              <w:bottom w:val="nil"/>
              <w:right w:val="single" w:sz="4" w:space="0" w:color="000000"/>
            </w:tcBorders>
            <w:vAlign w:val="bottom"/>
          </w:tcPr>
          <w:p w14:paraId="2352AA71"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expenses</w:t>
            </w:r>
          </w:p>
        </w:tc>
        <w:tc>
          <w:tcPr>
            <w:tcW w:w="945" w:type="dxa"/>
            <w:tcBorders>
              <w:top w:val="single" w:sz="4" w:space="0" w:color="000000"/>
              <w:left w:val="nil"/>
              <w:bottom w:val="nil"/>
              <w:right w:val="single" w:sz="4" w:space="0" w:color="000000"/>
            </w:tcBorders>
            <w:vAlign w:val="bottom"/>
          </w:tcPr>
          <w:p w14:paraId="35616A86"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Risk-free present value of future premiums</w:t>
            </w:r>
          </w:p>
        </w:tc>
        <w:tc>
          <w:tcPr>
            <w:tcW w:w="945" w:type="dxa"/>
            <w:tcBorders>
              <w:top w:val="single" w:sz="4" w:space="0" w:color="000000"/>
              <w:left w:val="nil"/>
              <w:bottom w:val="nil"/>
              <w:right w:val="single" w:sz="4" w:space="0" w:color="000000"/>
            </w:tcBorders>
            <w:vAlign w:val="bottom"/>
          </w:tcPr>
          <w:p w14:paraId="7540565E"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 xml:space="preserve">Risk-free present value of other liability components </w:t>
            </w:r>
          </w:p>
        </w:tc>
        <w:tc>
          <w:tcPr>
            <w:tcW w:w="945" w:type="dxa"/>
            <w:tcBorders>
              <w:top w:val="single" w:sz="4" w:space="0" w:color="000000"/>
              <w:left w:val="nil"/>
              <w:bottom w:val="nil"/>
              <w:right w:val="single" w:sz="4" w:space="0" w:color="000000"/>
            </w:tcBorders>
            <w:vAlign w:val="bottom"/>
          </w:tcPr>
          <w:p w14:paraId="403E3D20" w14:textId="77777777" w:rsidR="001E3B01" w:rsidRPr="000B233E" w:rsidRDefault="001E3B01" w:rsidP="005B5226">
            <w:pPr>
              <w:jc w:val="center"/>
              <w:rPr>
                <w:rFonts w:ascii="Arial" w:hAnsi="Arial" w:cs="Arial"/>
                <w:b/>
                <w:color w:val="000000"/>
                <w:sz w:val="20"/>
                <w:szCs w:val="20"/>
              </w:rPr>
            </w:pPr>
            <w:r w:rsidRPr="000B233E">
              <w:rPr>
                <w:rFonts w:ascii="Arial" w:hAnsi="Arial" w:cs="Arial"/>
                <w:b/>
                <w:color w:val="000000"/>
                <w:sz w:val="20"/>
                <w:szCs w:val="20"/>
              </w:rPr>
              <w:t>Total future premium liabilities</w:t>
            </w:r>
          </w:p>
        </w:tc>
      </w:tr>
      <w:tr w:rsidR="001E3B01" w:rsidRPr="000B233E" w14:paraId="5956D020" w14:textId="77777777" w:rsidTr="005B5226">
        <w:trPr>
          <w:trHeight w:val="317"/>
        </w:trPr>
        <w:tc>
          <w:tcPr>
            <w:tcW w:w="2567" w:type="dxa"/>
            <w:tcBorders>
              <w:top w:val="nil"/>
              <w:left w:val="single" w:sz="4" w:space="0" w:color="auto"/>
              <w:bottom w:val="single" w:sz="4" w:space="0" w:color="auto"/>
              <w:right w:val="single" w:sz="4" w:space="0" w:color="auto"/>
            </w:tcBorders>
            <w:shd w:val="clear" w:color="auto" w:fill="auto"/>
            <w:vAlign w:val="bottom"/>
            <w:hideMark/>
          </w:tcPr>
          <w:p w14:paraId="72EFDF4D" w14:textId="77777777" w:rsidR="001E3B01" w:rsidRPr="00626AA6" w:rsidRDefault="001E3B01" w:rsidP="005B5226">
            <w:pPr>
              <w:jc w:val="center"/>
              <w:rPr>
                <w:rFonts w:ascii="Arial" w:hAnsi="Arial" w:cs="Arial"/>
                <w:b/>
                <w:bCs/>
                <w:color w:val="000000"/>
                <w:sz w:val="20"/>
                <w:szCs w:val="20"/>
              </w:rPr>
            </w:pPr>
          </w:p>
        </w:tc>
        <w:tc>
          <w:tcPr>
            <w:tcW w:w="945" w:type="dxa"/>
            <w:tcBorders>
              <w:top w:val="nil"/>
              <w:left w:val="nil"/>
              <w:bottom w:val="single" w:sz="4" w:space="0" w:color="auto"/>
              <w:right w:val="single" w:sz="4" w:space="0" w:color="auto"/>
            </w:tcBorders>
            <w:shd w:val="clear" w:color="auto" w:fill="auto"/>
            <w:vAlign w:val="bottom"/>
            <w:hideMark/>
          </w:tcPr>
          <w:p w14:paraId="77567C63"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w:t>
            </w:r>
          </w:p>
        </w:tc>
        <w:tc>
          <w:tcPr>
            <w:tcW w:w="945" w:type="dxa"/>
            <w:tcBorders>
              <w:top w:val="nil"/>
              <w:left w:val="nil"/>
              <w:bottom w:val="single" w:sz="4" w:space="0" w:color="auto"/>
              <w:right w:val="single" w:sz="4" w:space="0" w:color="auto"/>
            </w:tcBorders>
            <w:shd w:val="clear" w:color="auto" w:fill="auto"/>
            <w:vAlign w:val="bottom"/>
            <w:hideMark/>
          </w:tcPr>
          <w:p w14:paraId="4BEEE610"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(2)</w:t>
            </w:r>
          </w:p>
        </w:tc>
        <w:tc>
          <w:tcPr>
            <w:tcW w:w="945" w:type="dxa"/>
            <w:tcBorders>
              <w:top w:val="nil"/>
              <w:left w:val="nil"/>
              <w:bottom w:val="single" w:sz="4" w:space="0" w:color="auto"/>
              <w:right w:val="single" w:sz="4" w:space="0" w:color="000000"/>
            </w:tcBorders>
            <w:shd w:val="clear" w:color="auto" w:fill="auto"/>
            <w:vAlign w:val="bottom"/>
            <w:hideMark/>
          </w:tcPr>
          <w:p w14:paraId="26FCD6A5"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(3)</w:t>
            </w:r>
          </w:p>
        </w:tc>
        <w:tc>
          <w:tcPr>
            <w:tcW w:w="945" w:type="dxa"/>
            <w:tcBorders>
              <w:top w:val="nil"/>
              <w:left w:val="nil"/>
              <w:bottom w:val="single" w:sz="4" w:space="0" w:color="auto"/>
              <w:right w:val="single" w:sz="4" w:space="0" w:color="000000"/>
            </w:tcBorders>
            <w:vAlign w:val="bottom"/>
          </w:tcPr>
          <w:p w14:paraId="4CC341D2"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(4)</w:t>
            </w:r>
          </w:p>
        </w:tc>
        <w:tc>
          <w:tcPr>
            <w:tcW w:w="945" w:type="dxa"/>
            <w:tcBorders>
              <w:top w:val="nil"/>
              <w:left w:val="nil"/>
              <w:bottom w:val="single" w:sz="4" w:space="0" w:color="auto"/>
              <w:right w:val="single" w:sz="4" w:space="0" w:color="000000"/>
            </w:tcBorders>
            <w:vAlign w:val="bottom"/>
          </w:tcPr>
          <w:p w14:paraId="79C0F2DF"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(5)</w:t>
            </w:r>
          </w:p>
        </w:tc>
        <w:tc>
          <w:tcPr>
            <w:tcW w:w="945" w:type="dxa"/>
            <w:tcBorders>
              <w:top w:val="nil"/>
              <w:left w:val="nil"/>
              <w:bottom w:val="single" w:sz="4" w:space="0" w:color="auto"/>
              <w:right w:val="single" w:sz="4" w:space="0" w:color="000000"/>
            </w:tcBorders>
            <w:vAlign w:val="bottom"/>
          </w:tcPr>
          <w:p w14:paraId="7A325031"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(6)</w:t>
            </w:r>
          </w:p>
        </w:tc>
        <w:tc>
          <w:tcPr>
            <w:tcW w:w="945" w:type="dxa"/>
            <w:tcBorders>
              <w:top w:val="nil"/>
              <w:left w:val="nil"/>
              <w:bottom w:val="single" w:sz="4" w:space="0" w:color="auto"/>
              <w:right w:val="single" w:sz="4" w:space="0" w:color="000000"/>
            </w:tcBorders>
            <w:vAlign w:val="bottom"/>
          </w:tcPr>
          <w:p w14:paraId="773B5950"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(7)</w:t>
            </w:r>
          </w:p>
        </w:tc>
        <w:tc>
          <w:tcPr>
            <w:tcW w:w="945" w:type="dxa"/>
            <w:tcBorders>
              <w:top w:val="nil"/>
              <w:left w:val="nil"/>
              <w:bottom w:val="single" w:sz="4" w:space="0" w:color="auto"/>
              <w:right w:val="single" w:sz="4" w:space="0" w:color="000000"/>
            </w:tcBorders>
            <w:vAlign w:val="bottom"/>
          </w:tcPr>
          <w:p w14:paraId="3ADE5975"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(8)</w:t>
            </w:r>
          </w:p>
        </w:tc>
        <w:tc>
          <w:tcPr>
            <w:tcW w:w="945" w:type="dxa"/>
            <w:tcBorders>
              <w:top w:val="nil"/>
              <w:left w:val="nil"/>
              <w:bottom w:val="single" w:sz="4" w:space="0" w:color="auto"/>
              <w:right w:val="single" w:sz="4" w:space="0" w:color="000000"/>
            </w:tcBorders>
            <w:vAlign w:val="bottom"/>
          </w:tcPr>
          <w:p w14:paraId="7F1AC008"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(9)</w:t>
            </w:r>
          </w:p>
        </w:tc>
        <w:tc>
          <w:tcPr>
            <w:tcW w:w="945" w:type="dxa"/>
            <w:tcBorders>
              <w:top w:val="nil"/>
              <w:left w:val="nil"/>
              <w:bottom w:val="single" w:sz="4" w:space="0" w:color="auto"/>
              <w:right w:val="single" w:sz="4" w:space="0" w:color="000000"/>
            </w:tcBorders>
            <w:vAlign w:val="bottom"/>
          </w:tcPr>
          <w:p w14:paraId="4045EDA4"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(10)</w:t>
            </w:r>
          </w:p>
        </w:tc>
        <w:tc>
          <w:tcPr>
            <w:tcW w:w="945" w:type="dxa"/>
            <w:tcBorders>
              <w:top w:val="nil"/>
              <w:left w:val="nil"/>
              <w:bottom w:val="single" w:sz="4" w:space="0" w:color="auto"/>
              <w:right w:val="single" w:sz="4" w:space="0" w:color="000000"/>
            </w:tcBorders>
            <w:vAlign w:val="bottom"/>
          </w:tcPr>
          <w:p w14:paraId="55BA746F"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(11)</w:t>
            </w:r>
          </w:p>
        </w:tc>
        <w:tc>
          <w:tcPr>
            <w:tcW w:w="945" w:type="dxa"/>
            <w:tcBorders>
              <w:top w:val="nil"/>
              <w:left w:val="nil"/>
              <w:bottom w:val="single" w:sz="4" w:space="0" w:color="auto"/>
              <w:right w:val="single" w:sz="4" w:space="0" w:color="000000"/>
            </w:tcBorders>
            <w:vAlign w:val="bottom"/>
          </w:tcPr>
          <w:p w14:paraId="6D11A794" w14:textId="77777777" w:rsidR="001E3B01" w:rsidRPr="000B233E" w:rsidRDefault="001E3B01" w:rsidP="005B5226">
            <w:pPr>
              <w:jc w:val="center"/>
              <w:rPr>
                <w:rFonts w:ascii="Arial" w:hAnsi="Arial" w:cs="Arial"/>
                <w:b/>
                <w:bCs/>
                <w:color w:val="000000"/>
                <w:sz w:val="20"/>
                <w:szCs w:val="20"/>
              </w:rPr>
            </w:pPr>
            <w:r w:rsidRPr="000B233E">
              <w:rPr>
                <w:rFonts w:ascii="Arial" w:hAnsi="Arial" w:cs="Arial"/>
                <w:b/>
                <w:bCs/>
                <w:color w:val="000000"/>
                <w:sz w:val="20"/>
                <w:szCs w:val="20"/>
              </w:rPr>
              <w:t>(12)</w:t>
            </w:r>
          </w:p>
        </w:tc>
      </w:tr>
      <w:tr w:rsidR="001E3B01" w:rsidRPr="000B233E" w14:paraId="6B0AEBD7" w14:textId="77777777" w:rsidTr="005B5226">
        <w:trPr>
          <w:trHeight w:val="31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B4319"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noWrap/>
            <w:vAlign w:val="bottom"/>
          </w:tcPr>
          <w:p w14:paraId="7DCA105D"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noWrap/>
            <w:vAlign w:val="bottom"/>
          </w:tcPr>
          <w:p w14:paraId="4BE2AA68"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51B043E7"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6A6A6"/>
            <w:vAlign w:val="bottom"/>
          </w:tcPr>
          <w:p w14:paraId="7229D2E0"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left w:val="nil"/>
              <w:bottom w:val="single" w:sz="4" w:space="0" w:color="auto"/>
              <w:right w:val="single" w:sz="4" w:space="0" w:color="auto"/>
            </w:tcBorders>
            <w:vAlign w:val="bottom"/>
          </w:tcPr>
          <w:p w14:paraId="498BD309"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142BDD42"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71D3F069"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6ABAD844"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1D0786BE"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44C8D8ED"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6A6A6"/>
            <w:vAlign w:val="bottom"/>
          </w:tcPr>
          <w:p w14:paraId="6836D4E3"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tcPr>
          <w:p w14:paraId="1A91EBAC" w14:textId="77777777" w:rsidR="001E3B01" w:rsidRPr="008012FF" w:rsidRDefault="001E3B01" w:rsidP="005B5226">
            <w:pPr>
              <w:jc w:val="center"/>
              <w:rPr>
                <w:rFonts w:ascii="Arial" w:hAnsi="Arial" w:cs="Arial"/>
                <w:bCs/>
                <w:color w:val="000000"/>
                <w:sz w:val="20"/>
                <w:szCs w:val="20"/>
              </w:rPr>
            </w:pPr>
          </w:p>
        </w:tc>
      </w:tr>
      <w:tr w:rsidR="001E3B01" w:rsidRPr="000B233E" w14:paraId="571789E9" w14:textId="77777777" w:rsidTr="005B5226">
        <w:trPr>
          <w:trHeight w:val="317"/>
        </w:trPr>
        <w:tc>
          <w:tcPr>
            <w:tcW w:w="256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D068674" w14:textId="2E8C8252" w:rsidR="001E3B01" w:rsidRPr="000B233E" w:rsidRDefault="001E3B01" w:rsidP="005B5226">
            <w:pPr>
              <w:jc w:val="center"/>
              <w:rPr>
                <w:rFonts w:ascii="Arial" w:hAnsi="Arial" w:cs="Arial"/>
                <w:color w:val="000000"/>
                <w:sz w:val="20"/>
                <w:szCs w:val="20"/>
              </w:rPr>
            </w:pPr>
          </w:p>
        </w:tc>
        <w:tc>
          <w:tcPr>
            <w:tcW w:w="945" w:type="dxa"/>
            <w:tcBorders>
              <w:top w:val="single" w:sz="4" w:space="0" w:color="auto"/>
              <w:left w:val="dotDash" w:sz="4" w:space="0" w:color="auto"/>
            </w:tcBorders>
            <w:shd w:val="clear" w:color="auto" w:fill="auto"/>
            <w:noWrap/>
            <w:vAlign w:val="bottom"/>
          </w:tcPr>
          <w:p w14:paraId="1E60C09F"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tcBorders>
            <w:shd w:val="clear" w:color="auto" w:fill="auto"/>
            <w:noWrap/>
            <w:vAlign w:val="bottom"/>
          </w:tcPr>
          <w:p w14:paraId="00CA5B3F"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tcBorders>
            <w:shd w:val="clear" w:color="auto" w:fill="auto"/>
            <w:vAlign w:val="bottom"/>
          </w:tcPr>
          <w:p w14:paraId="6E1B3E4D"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tcBorders>
            <w:vAlign w:val="bottom"/>
          </w:tcPr>
          <w:p w14:paraId="2631F594"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tcBorders>
            <w:vAlign w:val="bottom"/>
          </w:tcPr>
          <w:p w14:paraId="65A6F978" w14:textId="77777777" w:rsidR="001E3B01" w:rsidRPr="008012FF" w:rsidRDefault="001E3B01" w:rsidP="005B5226">
            <w:pPr>
              <w:jc w:val="center"/>
              <w:rPr>
                <w:rFonts w:ascii="Arial" w:hAnsi="Arial" w:cs="Arial"/>
                <w:color w:val="000000"/>
                <w:sz w:val="20"/>
                <w:szCs w:val="20"/>
              </w:rPr>
            </w:pPr>
          </w:p>
        </w:tc>
        <w:tc>
          <w:tcPr>
            <w:tcW w:w="945" w:type="dxa"/>
            <w:tcBorders>
              <w:top w:val="single" w:sz="4" w:space="0" w:color="auto"/>
            </w:tcBorders>
            <w:vAlign w:val="bottom"/>
          </w:tcPr>
          <w:p w14:paraId="51BD4E1A"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666A2FA8"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12B335AC"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001EC1B5"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36F9F567"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2E48302F" w14:textId="77777777" w:rsidR="001E3B01" w:rsidRPr="008012FF" w:rsidRDefault="001E3B01" w:rsidP="005B5226">
            <w:pPr>
              <w:jc w:val="center"/>
              <w:rPr>
                <w:rFonts w:ascii="Arial" w:hAnsi="Arial" w:cs="Arial"/>
                <w:bCs/>
                <w:color w:val="000000"/>
                <w:sz w:val="20"/>
                <w:szCs w:val="20"/>
              </w:rPr>
            </w:pPr>
          </w:p>
        </w:tc>
        <w:tc>
          <w:tcPr>
            <w:tcW w:w="945" w:type="dxa"/>
            <w:tcBorders>
              <w:top w:val="single" w:sz="4" w:space="0" w:color="auto"/>
            </w:tcBorders>
          </w:tcPr>
          <w:p w14:paraId="226D530B" w14:textId="77777777" w:rsidR="001E3B01" w:rsidRPr="008012FF" w:rsidRDefault="001E3B01" w:rsidP="005B5226">
            <w:pPr>
              <w:jc w:val="center"/>
              <w:rPr>
                <w:rFonts w:ascii="Arial" w:hAnsi="Arial" w:cs="Arial"/>
                <w:bCs/>
                <w:color w:val="000000"/>
                <w:sz w:val="20"/>
                <w:szCs w:val="20"/>
              </w:rPr>
            </w:pPr>
          </w:p>
        </w:tc>
      </w:tr>
      <w:tr w:rsidR="001E3B01" w:rsidRPr="000B233E" w14:paraId="70C6D920" w14:textId="77777777" w:rsidTr="005B5226">
        <w:trPr>
          <w:trHeight w:val="317"/>
        </w:trPr>
        <w:tc>
          <w:tcPr>
            <w:tcW w:w="256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D12A356" w14:textId="5F705875" w:rsidR="001E3B01" w:rsidRPr="000B233E" w:rsidRDefault="001E3B01" w:rsidP="005B5226">
            <w:pPr>
              <w:jc w:val="center"/>
              <w:rPr>
                <w:rFonts w:ascii="Arial" w:hAnsi="Arial" w:cs="Arial"/>
                <w:color w:val="000000"/>
                <w:sz w:val="20"/>
                <w:szCs w:val="20"/>
              </w:rPr>
            </w:pPr>
          </w:p>
        </w:tc>
        <w:tc>
          <w:tcPr>
            <w:tcW w:w="945" w:type="dxa"/>
            <w:tcBorders>
              <w:left w:val="dotDash" w:sz="4" w:space="0" w:color="auto"/>
            </w:tcBorders>
            <w:shd w:val="clear" w:color="auto" w:fill="auto"/>
            <w:noWrap/>
            <w:vAlign w:val="bottom"/>
          </w:tcPr>
          <w:p w14:paraId="0F10DF1B" w14:textId="77777777" w:rsidR="001E3B01" w:rsidRPr="008012FF" w:rsidRDefault="001E3B01" w:rsidP="005B5226">
            <w:pPr>
              <w:jc w:val="center"/>
              <w:rPr>
                <w:rFonts w:ascii="Arial" w:hAnsi="Arial" w:cs="Arial"/>
                <w:color w:val="000000"/>
                <w:sz w:val="20"/>
                <w:szCs w:val="20"/>
              </w:rPr>
            </w:pPr>
          </w:p>
        </w:tc>
        <w:tc>
          <w:tcPr>
            <w:tcW w:w="945" w:type="dxa"/>
            <w:shd w:val="clear" w:color="auto" w:fill="auto"/>
            <w:noWrap/>
            <w:vAlign w:val="bottom"/>
          </w:tcPr>
          <w:p w14:paraId="154BBF84" w14:textId="77777777" w:rsidR="001E3B01" w:rsidRPr="008012FF" w:rsidRDefault="001E3B01" w:rsidP="005B5226">
            <w:pPr>
              <w:jc w:val="center"/>
              <w:rPr>
                <w:rFonts w:ascii="Arial" w:hAnsi="Arial" w:cs="Arial"/>
                <w:color w:val="000000"/>
                <w:sz w:val="20"/>
                <w:szCs w:val="20"/>
              </w:rPr>
            </w:pPr>
          </w:p>
        </w:tc>
        <w:tc>
          <w:tcPr>
            <w:tcW w:w="945" w:type="dxa"/>
            <w:shd w:val="clear" w:color="auto" w:fill="auto"/>
            <w:vAlign w:val="bottom"/>
          </w:tcPr>
          <w:p w14:paraId="15FEE0FB" w14:textId="77777777" w:rsidR="001E3B01" w:rsidRPr="008012FF" w:rsidRDefault="001E3B01" w:rsidP="005B5226">
            <w:pPr>
              <w:jc w:val="center"/>
              <w:rPr>
                <w:rFonts w:ascii="Arial" w:hAnsi="Arial" w:cs="Arial"/>
                <w:color w:val="000000"/>
                <w:sz w:val="20"/>
                <w:szCs w:val="20"/>
              </w:rPr>
            </w:pPr>
          </w:p>
        </w:tc>
        <w:tc>
          <w:tcPr>
            <w:tcW w:w="945" w:type="dxa"/>
            <w:vAlign w:val="bottom"/>
          </w:tcPr>
          <w:p w14:paraId="6E09AF3C" w14:textId="77777777" w:rsidR="001E3B01" w:rsidRPr="008012FF" w:rsidRDefault="001E3B01" w:rsidP="005B5226">
            <w:pPr>
              <w:jc w:val="center"/>
              <w:rPr>
                <w:rFonts w:ascii="Arial" w:hAnsi="Arial" w:cs="Arial"/>
                <w:color w:val="000000"/>
                <w:sz w:val="20"/>
                <w:szCs w:val="20"/>
              </w:rPr>
            </w:pPr>
          </w:p>
        </w:tc>
        <w:tc>
          <w:tcPr>
            <w:tcW w:w="945" w:type="dxa"/>
            <w:vAlign w:val="bottom"/>
          </w:tcPr>
          <w:p w14:paraId="04947787" w14:textId="77777777" w:rsidR="001E3B01" w:rsidRPr="008012FF" w:rsidRDefault="001E3B01" w:rsidP="005B5226">
            <w:pPr>
              <w:jc w:val="center"/>
              <w:rPr>
                <w:rFonts w:ascii="Arial" w:hAnsi="Arial" w:cs="Arial"/>
                <w:color w:val="000000"/>
                <w:sz w:val="20"/>
                <w:szCs w:val="20"/>
              </w:rPr>
            </w:pPr>
          </w:p>
        </w:tc>
        <w:tc>
          <w:tcPr>
            <w:tcW w:w="945" w:type="dxa"/>
            <w:vAlign w:val="bottom"/>
          </w:tcPr>
          <w:p w14:paraId="4EBA2AB8" w14:textId="77777777" w:rsidR="001E3B01" w:rsidRPr="008012FF" w:rsidRDefault="001E3B01" w:rsidP="005B5226">
            <w:pPr>
              <w:jc w:val="center"/>
              <w:rPr>
                <w:rFonts w:ascii="Arial" w:hAnsi="Arial" w:cs="Arial"/>
                <w:bCs/>
                <w:color w:val="000000"/>
                <w:sz w:val="20"/>
                <w:szCs w:val="20"/>
              </w:rPr>
            </w:pPr>
          </w:p>
        </w:tc>
        <w:tc>
          <w:tcPr>
            <w:tcW w:w="945" w:type="dxa"/>
          </w:tcPr>
          <w:p w14:paraId="5705A2EB" w14:textId="77777777" w:rsidR="001E3B01" w:rsidRPr="008012FF" w:rsidRDefault="001E3B01" w:rsidP="005B5226">
            <w:pPr>
              <w:jc w:val="center"/>
              <w:rPr>
                <w:rFonts w:ascii="Arial" w:hAnsi="Arial" w:cs="Arial"/>
                <w:bCs/>
                <w:color w:val="000000"/>
                <w:sz w:val="20"/>
                <w:szCs w:val="20"/>
              </w:rPr>
            </w:pPr>
          </w:p>
        </w:tc>
        <w:tc>
          <w:tcPr>
            <w:tcW w:w="945" w:type="dxa"/>
          </w:tcPr>
          <w:p w14:paraId="0E47F58E" w14:textId="77777777" w:rsidR="001E3B01" w:rsidRPr="008012FF" w:rsidRDefault="001E3B01" w:rsidP="005B5226">
            <w:pPr>
              <w:jc w:val="center"/>
              <w:rPr>
                <w:rFonts w:ascii="Arial" w:hAnsi="Arial" w:cs="Arial"/>
                <w:bCs/>
                <w:color w:val="000000"/>
                <w:sz w:val="20"/>
                <w:szCs w:val="20"/>
              </w:rPr>
            </w:pPr>
          </w:p>
        </w:tc>
        <w:tc>
          <w:tcPr>
            <w:tcW w:w="945" w:type="dxa"/>
          </w:tcPr>
          <w:p w14:paraId="79A3F670" w14:textId="77777777" w:rsidR="001E3B01" w:rsidRPr="008012FF" w:rsidRDefault="001E3B01" w:rsidP="005B5226">
            <w:pPr>
              <w:jc w:val="center"/>
              <w:rPr>
                <w:rFonts w:ascii="Arial" w:hAnsi="Arial" w:cs="Arial"/>
                <w:bCs/>
                <w:color w:val="000000"/>
                <w:sz w:val="20"/>
                <w:szCs w:val="20"/>
              </w:rPr>
            </w:pPr>
          </w:p>
        </w:tc>
        <w:tc>
          <w:tcPr>
            <w:tcW w:w="945" w:type="dxa"/>
          </w:tcPr>
          <w:p w14:paraId="22322D30" w14:textId="77777777" w:rsidR="001E3B01" w:rsidRPr="008012FF" w:rsidRDefault="001E3B01" w:rsidP="005B5226">
            <w:pPr>
              <w:jc w:val="center"/>
              <w:rPr>
                <w:rFonts w:ascii="Arial" w:hAnsi="Arial" w:cs="Arial"/>
                <w:bCs/>
                <w:color w:val="000000"/>
                <w:sz w:val="20"/>
                <w:szCs w:val="20"/>
              </w:rPr>
            </w:pPr>
          </w:p>
        </w:tc>
        <w:tc>
          <w:tcPr>
            <w:tcW w:w="945" w:type="dxa"/>
          </w:tcPr>
          <w:p w14:paraId="79FC3FB5" w14:textId="77777777" w:rsidR="001E3B01" w:rsidRPr="008012FF" w:rsidRDefault="001E3B01" w:rsidP="005B5226">
            <w:pPr>
              <w:jc w:val="center"/>
              <w:rPr>
                <w:rFonts w:ascii="Arial" w:hAnsi="Arial" w:cs="Arial"/>
                <w:bCs/>
                <w:color w:val="000000"/>
                <w:sz w:val="20"/>
                <w:szCs w:val="20"/>
              </w:rPr>
            </w:pPr>
          </w:p>
        </w:tc>
        <w:tc>
          <w:tcPr>
            <w:tcW w:w="945" w:type="dxa"/>
          </w:tcPr>
          <w:p w14:paraId="5D250893" w14:textId="77777777" w:rsidR="001E3B01" w:rsidRPr="008012FF" w:rsidRDefault="001E3B01" w:rsidP="005B5226">
            <w:pPr>
              <w:jc w:val="center"/>
              <w:rPr>
                <w:rFonts w:ascii="Arial" w:hAnsi="Arial" w:cs="Arial"/>
                <w:bCs/>
                <w:color w:val="000000"/>
                <w:sz w:val="20"/>
                <w:szCs w:val="20"/>
              </w:rPr>
            </w:pPr>
          </w:p>
        </w:tc>
      </w:tr>
    </w:tbl>
    <w:p w14:paraId="0F2EDDBF" w14:textId="77777777" w:rsidR="001E3B01" w:rsidRPr="00493A37" w:rsidRDefault="001E3B01" w:rsidP="001E3B01">
      <w:pPr>
        <w:rPr>
          <w:rFonts w:ascii="Arial" w:hAnsi="Arial" w:cs="Arial"/>
          <w:color w:val="000000"/>
        </w:rPr>
      </w:pPr>
    </w:p>
    <w:tbl>
      <w:tblPr>
        <w:tblW w:w="13907" w:type="dxa"/>
        <w:tblInd w:w="93" w:type="dxa"/>
        <w:tblLayout w:type="fixed"/>
        <w:tblLook w:val="04A0" w:firstRow="1" w:lastRow="0" w:firstColumn="1" w:lastColumn="0" w:noHBand="0" w:noVBand="1"/>
      </w:tblPr>
      <w:tblGrid>
        <w:gridCol w:w="2567"/>
        <w:gridCol w:w="1134"/>
        <w:gridCol w:w="1134"/>
        <w:gridCol w:w="1134"/>
        <w:gridCol w:w="1134"/>
        <w:gridCol w:w="1134"/>
        <w:gridCol w:w="1134"/>
        <w:gridCol w:w="1134"/>
        <w:gridCol w:w="1134"/>
        <w:gridCol w:w="1134"/>
        <w:gridCol w:w="1134"/>
      </w:tblGrid>
      <w:tr w:rsidR="001E3B01" w:rsidRPr="00493A37" w14:paraId="412A965E" w14:textId="77777777" w:rsidTr="005B5226">
        <w:trPr>
          <w:trHeight w:val="317"/>
        </w:trPr>
        <w:tc>
          <w:tcPr>
            <w:tcW w:w="2567" w:type="dxa"/>
            <w:tcBorders>
              <w:bottom w:val="nil"/>
              <w:right w:val="single" w:sz="4" w:space="0" w:color="auto"/>
            </w:tcBorders>
            <w:shd w:val="clear" w:color="auto" w:fill="auto"/>
            <w:vAlign w:val="bottom"/>
          </w:tcPr>
          <w:p w14:paraId="13FDA41C" w14:textId="77777777" w:rsidR="001E3B01" w:rsidRPr="00493A37" w:rsidRDefault="001E3B01" w:rsidP="005B5226">
            <w:pPr>
              <w:jc w:val="center"/>
              <w:rPr>
                <w:rFonts w:ascii="Arial" w:hAnsi="Arial" w:cs="Arial"/>
                <w:b/>
                <w:color w:val="000000"/>
                <w:sz w:val="20"/>
                <w:szCs w:val="20"/>
              </w:rPr>
            </w:pPr>
          </w:p>
        </w:tc>
        <w:tc>
          <w:tcPr>
            <w:tcW w:w="11340" w:type="dxa"/>
            <w:gridSpan w:val="10"/>
            <w:tcBorders>
              <w:top w:val="single" w:sz="4" w:space="0" w:color="000000"/>
              <w:left w:val="nil"/>
              <w:bottom w:val="single" w:sz="4" w:space="0" w:color="000000"/>
              <w:right w:val="single" w:sz="4" w:space="0" w:color="000000"/>
            </w:tcBorders>
            <w:shd w:val="clear" w:color="auto" w:fill="auto"/>
            <w:vAlign w:val="bottom"/>
          </w:tcPr>
          <w:p w14:paraId="048D70BC"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Post-insurance stress</w:t>
            </w:r>
          </w:p>
        </w:tc>
      </w:tr>
      <w:tr w:rsidR="001E3B01" w:rsidRPr="00493A37" w14:paraId="26F661D2" w14:textId="77777777" w:rsidTr="005B5226">
        <w:trPr>
          <w:trHeight w:val="317"/>
        </w:trPr>
        <w:tc>
          <w:tcPr>
            <w:tcW w:w="2567" w:type="dxa"/>
            <w:tcBorders>
              <w:bottom w:val="single" w:sz="4" w:space="0" w:color="auto"/>
              <w:right w:val="single" w:sz="4" w:space="0" w:color="auto"/>
            </w:tcBorders>
            <w:shd w:val="clear" w:color="auto" w:fill="auto"/>
            <w:vAlign w:val="bottom"/>
          </w:tcPr>
          <w:p w14:paraId="19D76539" w14:textId="77777777" w:rsidR="001E3B01" w:rsidRPr="00493A37" w:rsidRDefault="001E3B01" w:rsidP="005B5226">
            <w:pPr>
              <w:jc w:val="center"/>
              <w:rPr>
                <w:rFonts w:ascii="Arial" w:hAnsi="Arial" w:cs="Arial"/>
                <w:b/>
                <w:color w:val="000000"/>
                <w:sz w:val="20"/>
                <w:szCs w:val="20"/>
              </w:rPr>
            </w:pPr>
          </w:p>
        </w:tc>
        <w:tc>
          <w:tcPr>
            <w:tcW w:w="5670" w:type="dxa"/>
            <w:gridSpan w:val="5"/>
            <w:tcBorders>
              <w:top w:val="single" w:sz="4" w:space="0" w:color="000000"/>
              <w:left w:val="nil"/>
              <w:bottom w:val="single" w:sz="4" w:space="0" w:color="000000"/>
              <w:right w:val="single" w:sz="4" w:space="0" w:color="000000"/>
            </w:tcBorders>
            <w:shd w:val="clear" w:color="auto" w:fill="auto"/>
            <w:vAlign w:val="bottom"/>
          </w:tcPr>
          <w:p w14:paraId="775303B6"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As at reporting date</w:t>
            </w:r>
            <w:r>
              <w:rPr>
                <w:rFonts w:ascii="Arial" w:hAnsi="Arial" w:cs="Arial"/>
                <w:b/>
                <w:color w:val="000000"/>
                <w:sz w:val="20"/>
                <w:szCs w:val="20"/>
              </w:rPr>
              <w:br/>
            </w:r>
            <w:r w:rsidRPr="00493A37">
              <w:rPr>
                <w:rFonts w:ascii="Arial" w:hAnsi="Arial" w:cs="Arial"/>
                <w:b/>
                <w:color w:val="000000"/>
                <w:sz w:val="20"/>
                <w:szCs w:val="20"/>
              </w:rPr>
              <w:t>(Discounted to reporting date)</w:t>
            </w:r>
          </w:p>
        </w:tc>
        <w:tc>
          <w:tcPr>
            <w:tcW w:w="5670" w:type="dxa"/>
            <w:gridSpan w:val="5"/>
            <w:tcBorders>
              <w:top w:val="single" w:sz="4" w:space="0" w:color="000000"/>
              <w:left w:val="nil"/>
              <w:bottom w:val="single" w:sz="4" w:space="0" w:color="000000"/>
              <w:right w:val="single" w:sz="4" w:space="0" w:color="000000"/>
            </w:tcBorders>
            <w:vAlign w:val="bottom"/>
          </w:tcPr>
          <w:p w14:paraId="46C24C50"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As at 12 months after reporting date</w:t>
            </w:r>
            <w:r>
              <w:rPr>
                <w:rFonts w:ascii="Arial" w:hAnsi="Arial" w:cs="Arial"/>
                <w:b/>
                <w:color w:val="000000"/>
                <w:sz w:val="20"/>
                <w:szCs w:val="20"/>
              </w:rPr>
              <w:br/>
            </w:r>
            <w:r w:rsidRPr="00493A37">
              <w:rPr>
                <w:rFonts w:ascii="Arial" w:hAnsi="Arial" w:cs="Arial"/>
                <w:b/>
                <w:color w:val="000000"/>
                <w:sz w:val="20"/>
                <w:szCs w:val="20"/>
              </w:rPr>
              <w:t>(Discounted to reporting date)</w:t>
            </w:r>
          </w:p>
        </w:tc>
      </w:tr>
      <w:tr w:rsidR="001E3B01" w:rsidRPr="00493A37" w14:paraId="3F1AAF47" w14:textId="77777777" w:rsidTr="005B5226">
        <w:trPr>
          <w:trHeight w:val="317"/>
        </w:trPr>
        <w:tc>
          <w:tcPr>
            <w:tcW w:w="2567" w:type="dxa"/>
            <w:tcBorders>
              <w:top w:val="single" w:sz="4" w:space="0" w:color="auto"/>
              <w:left w:val="single" w:sz="4" w:space="0" w:color="auto"/>
              <w:bottom w:val="nil"/>
              <w:right w:val="single" w:sz="4" w:space="0" w:color="auto"/>
            </w:tcBorders>
            <w:shd w:val="clear" w:color="auto" w:fill="auto"/>
            <w:vAlign w:val="bottom"/>
            <w:hideMark/>
          </w:tcPr>
          <w:p w14:paraId="55137713"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Product group</w:t>
            </w:r>
          </w:p>
        </w:tc>
        <w:tc>
          <w:tcPr>
            <w:tcW w:w="1134" w:type="dxa"/>
            <w:tcBorders>
              <w:top w:val="single" w:sz="4" w:space="0" w:color="000000"/>
              <w:left w:val="nil"/>
              <w:bottom w:val="nil"/>
              <w:right w:val="single" w:sz="4" w:space="0" w:color="auto"/>
            </w:tcBorders>
            <w:shd w:val="clear" w:color="auto" w:fill="auto"/>
            <w:vAlign w:val="bottom"/>
            <w:hideMark/>
          </w:tcPr>
          <w:p w14:paraId="66CC002C"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claims</w:t>
            </w:r>
          </w:p>
        </w:tc>
        <w:tc>
          <w:tcPr>
            <w:tcW w:w="1134" w:type="dxa"/>
            <w:tcBorders>
              <w:top w:val="single" w:sz="4" w:space="0" w:color="000000"/>
              <w:left w:val="nil"/>
              <w:bottom w:val="nil"/>
              <w:right w:val="single" w:sz="4" w:space="0" w:color="auto"/>
            </w:tcBorders>
            <w:shd w:val="clear" w:color="auto" w:fill="auto"/>
            <w:vAlign w:val="bottom"/>
            <w:hideMark/>
          </w:tcPr>
          <w:p w14:paraId="3B2F83E2"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expenses</w:t>
            </w:r>
          </w:p>
        </w:tc>
        <w:tc>
          <w:tcPr>
            <w:tcW w:w="1134" w:type="dxa"/>
            <w:tcBorders>
              <w:top w:val="single" w:sz="4" w:space="0" w:color="000000"/>
              <w:left w:val="nil"/>
              <w:bottom w:val="nil"/>
              <w:right w:val="single" w:sz="4" w:space="0" w:color="000000"/>
            </w:tcBorders>
            <w:shd w:val="clear" w:color="auto" w:fill="auto"/>
            <w:vAlign w:val="bottom"/>
            <w:hideMark/>
          </w:tcPr>
          <w:p w14:paraId="28E33E2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premiums</w:t>
            </w:r>
          </w:p>
        </w:tc>
        <w:tc>
          <w:tcPr>
            <w:tcW w:w="1134" w:type="dxa"/>
            <w:tcBorders>
              <w:top w:val="single" w:sz="4" w:space="0" w:color="000000"/>
              <w:left w:val="nil"/>
              <w:bottom w:val="nil"/>
              <w:right w:val="single" w:sz="4" w:space="0" w:color="000000"/>
            </w:tcBorders>
            <w:vAlign w:val="bottom"/>
          </w:tcPr>
          <w:p w14:paraId="30D46231"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other liability components</w:t>
            </w:r>
          </w:p>
        </w:tc>
        <w:tc>
          <w:tcPr>
            <w:tcW w:w="1134" w:type="dxa"/>
            <w:tcBorders>
              <w:top w:val="single" w:sz="4" w:space="0" w:color="000000"/>
              <w:left w:val="nil"/>
              <w:bottom w:val="nil"/>
              <w:right w:val="single" w:sz="4" w:space="0" w:color="000000"/>
            </w:tcBorders>
            <w:vAlign w:val="bottom"/>
          </w:tcPr>
          <w:p w14:paraId="5EC7CD96"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Stressed future premium liabilities</w:t>
            </w:r>
          </w:p>
        </w:tc>
        <w:tc>
          <w:tcPr>
            <w:tcW w:w="1134" w:type="dxa"/>
            <w:tcBorders>
              <w:top w:val="single" w:sz="4" w:space="0" w:color="000000"/>
              <w:left w:val="nil"/>
              <w:bottom w:val="nil"/>
              <w:right w:val="single" w:sz="4" w:space="0" w:color="000000"/>
            </w:tcBorders>
            <w:vAlign w:val="bottom"/>
          </w:tcPr>
          <w:p w14:paraId="3226E0E3"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claims</w:t>
            </w:r>
          </w:p>
        </w:tc>
        <w:tc>
          <w:tcPr>
            <w:tcW w:w="1134" w:type="dxa"/>
            <w:tcBorders>
              <w:top w:val="single" w:sz="4" w:space="0" w:color="000000"/>
              <w:left w:val="nil"/>
              <w:bottom w:val="nil"/>
              <w:right w:val="single" w:sz="4" w:space="0" w:color="000000"/>
            </w:tcBorders>
            <w:vAlign w:val="bottom"/>
          </w:tcPr>
          <w:p w14:paraId="188E45C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expenses</w:t>
            </w:r>
          </w:p>
        </w:tc>
        <w:tc>
          <w:tcPr>
            <w:tcW w:w="1134" w:type="dxa"/>
            <w:tcBorders>
              <w:top w:val="single" w:sz="4" w:space="0" w:color="000000"/>
              <w:left w:val="nil"/>
              <w:bottom w:val="nil"/>
              <w:right w:val="single" w:sz="4" w:space="0" w:color="000000"/>
            </w:tcBorders>
            <w:vAlign w:val="bottom"/>
          </w:tcPr>
          <w:p w14:paraId="25187B14"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future premiums</w:t>
            </w:r>
          </w:p>
        </w:tc>
        <w:tc>
          <w:tcPr>
            <w:tcW w:w="1134" w:type="dxa"/>
            <w:tcBorders>
              <w:top w:val="single" w:sz="4" w:space="0" w:color="000000"/>
              <w:left w:val="nil"/>
              <w:bottom w:val="nil"/>
              <w:right w:val="single" w:sz="4" w:space="0" w:color="000000"/>
            </w:tcBorders>
            <w:vAlign w:val="bottom"/>
          </w:tcPr>
          <w:p w14:paraId="37366B2F"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present value of other liability components</w:t>
            </w:r>
          </w:p>
        </w:tc>
        <w:tc>
          <w:tcPr>
            <w:tcW w:w="1134" w:type="dxa"/>
            <w:tcBorders>
              <w:top w:val="single" w:sz="4" w:space="0" w:color="000000"/>
              <w:left w:val="nil"/>
              <w:bottom w:val="nil"/>
              <w:right w:val="single" w:sz="4" w:space="0" w:color="000000"/>
            </w:tcBorders>
            <w:vAlign w:val="bottom"/>
          </w:tcPr>
          <w:p w14:paraId="3DBAB767"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Stressed future premium liabilities</w:t>
            </w:r>
          </w:p>
        </w:tc>
      </w:tr>
      <w:tr w:rsidR="001E3B01" w:rsidRPr="00493A37" w14:paraId="4A5DAC3E" w14:textId="77777777" w:rsidTr="005B5226">
        <w:trPr>
          <w:trHeight w:val="317"/>
        </w:trPr>
        <w:tc>
          <w:tcPr>
            <w:tcW w:w="2567" w:type="dxa"/>
            <w:tcBorders>
              <w:top w:val="nil"/>
              <w:left w:val="single" w:sz="4" w:space="0" w:color="auto"/>
              <w:bottom w:val="single" w:sz="4" w:space="0" w:color="auto"/>
              <w:right w:val="single" w:sz="4" w:space="0" w:color="auto"/>
            </w:tcBorders>
            <w:shd w:val="clear" w:color="auto" w:fill="auto"/>
            <w:vAlign w:val="bottom"/>
            <w:hideMark/>
          </w:tcPr>
          <w:p w14:paraId="7DC30DDB" w14:textId="77777777" w:rsidR="001E3B01" w:rsidRPr="00493A37" w:rsidRDefault="001E3B01" w:rsidP="005B5226">
            <w:pPr>
              <w:jc w:val="center"/>
              <w:rPr>
                <w:rFonts w:ascii="Arial" w:hAnsi="Arial" w:cs="Arial"/>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14:paraId="3EF78D4F"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(13)</w:t>
            </w:r>
          </w:p>
        </w:tc>
        <w:tc>
          <w:tcPr>
            <w:tcW w:w="1134" w:type="dxa"/>
            <w:tcBorders>
              <w:top w:val="nil"/>
              <w:left w:val="nil"/>
              <w:bottom w:val="single" w:sz="4" w:space="0" w:color="auto"/>
              <w:right w:val="single" w:sz="4" w:space="0" w:color="auto"/>
            </w:tcBorders>
            <w:shd w:val="clear" w:color="auto" w:fill="auto"/>
            <w:vAlign w:val="bottom"/>
            <w:hideMark/>
          </w:tcPr>
          <w:p w14:paraId="39F4E831"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(14)</w:t>
            </w:r>
          </w:p>
        </w:tc>
        <w:tc>
          <w:tcPr>
            <w:tcW w:w="1134" w:type="dxa"/>
            <w:tcBorders>
              <w:top w:val="nil"/>
              <w:left w:val="nil"/>
              <w:bottom w:val="single" w:sz="4" w:space="0" w:color="auto"/>
              <w:right w:val="single" w:sz="4" w:space="0" w:color="000000"/>
            </w:tcBorders>
            <w:shd w:val="clear" w:color="auto" w:fill="auto"/>
            <w:vAlign w:val="bottom"/>
            <w:hideMark/>
          </w:tcPr>
          <w:p w14:paraId="037C6723"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(15)</w:t>
            </w:r>
          </w:p>
        </w:tc>
        <w:tc>
          <w:tcPr>
            <w:tcW w:w="1134" w:type="dxa"/>
            <w:tcBorders>
              <w:top w:val="nil"/>
              <w:left w:val="nil"/>
              <w:bottom w:val="single" w:sz="4" w:space="0" w:color="auto"/>
              <w:right w:val="single" w:sz="4" w:space="0" w:color="000000"/>
            </w:tcBorders>
            <w:vAlign w:val="bottom"/>
          </w:tcPr>
          <w:p w14:paraId="568D5A31"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(16)</w:t>
            </w:r>
          </w:p>
        </w:tc>
        <w:tc>
          <w:tcPr>
            <w:tcW w:w="1134" w:type="dxa"/>
            <w:tcBorders>
              <w:top w:val="nil"/>
              <w:left w:val="nil"/>
              <w:bottom w:val="single" w:sz="4" w:space="0" w:color="auto"/>
              <w:right w:val="single" w:sz="4" w:space="0" w:color="000000"/>
            </w:tcBorders>
            <w:vAlign w:val="bottom"/>
          </w:tcPr>
          <w:p w14:paraId="07C9F7A6"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(17)</w:t>
            </w:r>
          </w:p>
        </w:tc>
        <w:tc>
          <w:tcPr>
            <w:tcW w:w="1134" w:type="dxa"/>
            <w:tcBorders>
              <w:top w:val="nil"/>
              <w:left w:val="nil"/>
              <w:bottom w:val="single" w:sz="4" w:space="0" w:color="auto"/>
              <w:right w:val="single" w:sz="4" w:space="0" w:color="000000"/>
            </w:tcBorders>
            <w:vAlign w:val="bottom"/>
          </w:tcPr>
          <w:p w14:paraId="6A2E59B8"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(18)</w:t>
            </w:r>
          </w:p>
        </w:tc>
        <w:tc>
          <w:tcPr>
            <w:tcW w:w="1134" w:type="dxa"/>
            <w:tcBorders>
              <w:top w:val="nil"/>
              <w:left w:val="nil"/>
              <w:bottom w:val="single" w:sz="4" w:space="0" w:color="auto"/>
              <w:right w:val="single" w:sz="4" w:space="0" w:color="000000"/>
            </w:tcBorders>
            <w:vAlign w:val="bottom"/>
          </w:tcPr>
          <w:p w14:paraId="0F34CD73"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(19)</w:t>
            </w:r>
          </w:p>
        </w:tc>
        <w:tc>
          <w:tcPr>
            <w:tcW w:w="1134" w:type="dxa"/>
            <w:tcBorders>
              <w:top w:val="nil"/>
              <w:left w:val="nil"/>
              <w:bottom w:val="single" w:sz="4" w:space="0" w:color="auto"/>
              <w:right w:val="single" w:sz="4" w:space="0" w:color="000000"/>
            </w:tcBorders>
            <w:vAlign w:val="bottom"/>
          </w:tcPr>
          <w:p w14:paraId="77BA73F0"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(20)</w:t>
            </w:r>
          </w:p>
        </w:tc>
        <w:tc>
          <w:tcPr>
            <w:tcW w:w="1134" w:type="dxa"/>
            <w:tcBorders>
              <w:top w:val="nil"/>
              <w:left w:val="nil"/>
              <w:bottom w:val="single" w:sz="4" w:space="0" w:color="auto"/>
              <w:right w:val="single" w:sz="4" w:space="0" w:color="000000"/>
            </w:tcBorders>
            <w:vAlign w:val="bottom"/>
          </w:tcPr>
          <w:p w14:paraId="46FEC31C"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(21)</w:t>
            </w:r>
          </w:p>
        </w:tc>
        <w:tc>
          <w:tcPr>
            <w:tcW w:w="1134" w:type="dxa"/>
            <w:tcBorders>
              <w:top w:val="nil"/>
              <w:left w:val="nil"/>
              <w:bottom w:val="single" w:sz="4" w:space="0" w:color="auto"/>
              <w:right w:val="single" w:sz="4" w:space="0" w:color="000000"/>
            </w:tcBorders>
            <w:vAlign w:val="bottom"/>
          </w:tcPr>
          <w:p w14:paraId="368FEC01"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(22)</w:t>
            </w:r>
          </w:p>
        </w:tc>
      </w:tr>
      <w:tr w:rsidR="001E3B01" w:rsidRPr="00493A37" w14:paraId="183C79A9" w14:textId="77777777" w:rsidTr="005B5226">
        <w:trPr>
          <w:trHeight w:val="31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5A41D"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B959AFE"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567CD6D"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A40AF8F"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6A6A6"/>
            <w:vAlign w:val="bottom"/>
          </w:tcPr>
          <w:p w14:paraId="6E9BB612" w14:textId="77777777" w:rsidR="001E3B01" w:rsidRPr="00493A37" w:rsidRDefault="001E3B01" w:rsidP="005B5226">
            <w:pPr>
              <w:jc w:val="center"/>
              <w:rPr>
                <w:rFonts w:ascii="Arial" w:hAnsi="Arial" w:cs="Arial"/>
                <w:bCs/>
                <w:color w:val="000000"/>
              </w:rPr>
            </w:pPr>
          </w:p>
        </w:tc>
        <w:tc>
          <w:tcPr>
            <w:tcW w:w="1134" w:type="dxa"/>
            <w:tcBorders>
              <w:top w:val="single" w:sz="4" w:space="0" w:color="auto"/>
              <w:left w:val="nil"/>
              <w:bottom w:val="single" w:sz="4" w:space="0" w:color="auto"/>
              <w:right w:val="single" w:sz="4" w:space="0" w:color="auto"/>
            </w:tcBorders>
            <w:vAlign w:val="bottom"/>
          </w:tcPr>
          <w:p w14:paraId="66A4C86C" w14:textId="77777777" w:rsidR="001E3B01" w:rsidRPr="00493A37" w:rsidRDefault="001E3B01" w:rsidP="005B5226">
            <w:pPr>
              <w:jc w:val="center"/>
              <w:rPr>
                <w:rFonts w:ascii="Arial" w:hAnsi="Arial" w:cs="Arial"/>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5AA9C90D"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E92CE31"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0FCF8CE" w14:textId="77777777" w:rsidR="001E3B01" w:rsidRPr="00493A37" w:rsidRDefault="001E3B01" w:rsidP="005B5226">
            <w:pPr>
              <w:jc w:val="cente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6A6A6"/>
            <w:vAlign w:val="bottom"/>
          </w:tcPr>
          <w:p w14:paraId="23E1C9DC" w14:textId="77777777" w:rsidR="001E3B01" w:rsidRPr="00493A37" w:rsidRDefault="001E3B01" w:rsidP="005B5226">
            <w:pPr>
              <w:jc w:val="center"/>
              <w:rPr>
                <w:rFonts w:ascii="Arial" w:hAnsi="Arial" w:cs="Arial"/>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809BA4A" w14:textId="77777777" w:rsidR="001E3B01" w:rsidRPr="00493A37" w:rsidRDefault="001E3B01" w:rsidP="005B5226">
            <w:pPr>
              <w:jc w:val="center"/>
              <w:rPr>
                <w:rFonts w:ascii="Arial" w:hAnsi="Arial" w:cs="Arial"/>
                <w:bCs/>
                <w:color w:val="000000"/>
              </w:rPr>
            </w:pPr>
          </w:p>
        </w:tc>
      </w:tr>
      <w:tr w:rsidR="001E3B01" w:rsidRPr="00493A37" w14:paraId="11AD9057" w14:textId="77777777" w:rsidTr="005B5226">
        <w:trPr>
          <w:trHeight w:val="317"/>
        </w:trPr>
        <w:tc>
          <w:tcPr>
            <w:tcW w:w="256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313F487" w14:textId="63213EF1" w:rsidR="001E3B01" w:rsidRPr="00493A37" w:rsidRDefault="001E3B01" w:rsidP="005B5226">
            <w:pPr>
              <w:jc w:val="center"/>
              <w:rPr>
                <w:rFonts w:ascii="Arial" w:hAnsi="Arial" w:cs="Arial"/>
                <w:color w:val="000000"/>
                <w:sz w:val="20"/>
                <w:szCs w:val="20"/>
              </w:rPr>
            </w:pPr>
          </w:p>
        </w:tc>
        <w:tc>
          <w:tcPr>
            <w:tcW w:w="1134" w:type="dxa"/>
            <w:tcBorders>
              <w:top w:val="single" w:sz="4" w:space="0" w:color="auto"/>
              <w:left w:val="dotDash" w:sz="4" w:space="0" w:color="auto"/>
            </w:tcBorders>
            <w:shd w:val="clear" w:color="auto" w:fill="auto"/>
            <w:noWrap/>
            <w:vAlign w:val="bottom"/>
          </w:tcPr>
          <w:p w14:paraId="0F98B85C" w14:textId="77777777" w:rsidR="001E3B01" w:rsidRPr="00493A37" w:rsidRDefault="001E3B01" w:rsidP="005B5226">
            <w:pPr>
              <w:jc w:val="center"/>
              <w:rPr>
                <w:rFonts w:ascii="Arial" w:hAnsi="Arial" w:cs="Arial"/>
                <w:color w:val="000000"/>
              </w:rPr>
            </w:pPr>
          </w:p>
        </w:tc>
        <w:tc>
          <w:tcPr>
            <w:tcW w:w="1134" w:type="dxa"/>
            <w:tcBorders>
              <w:top w:val="single" w:sz="4" w:space="0" w:color="auto"/>
            </w:tcBorders>
            <w:shd w:val="clear" w:color="auto" w:fill="auto"/>
            <w:noWrap/>
            <w:vAlign w:val="bottom"/>
          </w:tcPr>
          <w:p w14:paraId="70E568AD" w14:textId="77777777" w:rsidR="001E3B01" w:rsidRPr="00493A37" w:rsidRDefault="001E3B01" w:rsidP="005B5226">
            <w:pPr>
              <w:jc w:val="center"/>
              <w:rPr>
                <w:rFonts w:ascii="Arial" w:hAnsi="Arial" w:cs="Arial"/>
                <w:color w:val="000000"/>
              </w:rPr>
            </w:pPr>
          </w:p>
        </w:tc>
        <w:tc>
          <w:tcPr>
            <w:tcW w:w="1134" w:type="dxa"/>
            <w:tcBorders>
              <w:top w:val="single" w:sz="4" w:space="0" w:color="auto"/>
            </w:tcBorders>
            <w:shd w:val="clear" w:color="auto" w:fill="auto"/>
            <w:vAlign w:val="bottom"/>
          </w:tcPr>
          <w:p w14:paraId="2BEDAB16" w14:textId="77777777" w:rsidR="001E3B01" w:rsidRPr="00493A37" w:rsidRDefault="001E3B01" w:rsidP="005B5226">
            <w:pPr>
              <w:jc w:val="center"/>
              <w:rPr>
                <w:rFonts w:ascii="Arial" w:hAnsi="Arial" w:cs="Arial"/>
                <w:color w:val="000000"/>
              </w:rPr>
            </w:pPr>
          </w:p>
        </w:tc>
        <w:tc>
          <w:tcPr>
            <w:tcW w:w="1134" w:type="dxa"/>
            <w:tcBorders>
              <w:top w:val="single" w:sz="4" w:space="0" w:color="auto"/>
            </w:tcBorders>
            <w:vAlign w:val="bottom"/>
          </w:tcPr>
          <w:p w14:paraId="57C936BE" w14:textId="77777777" w:rsidR="001E3B01" w:rsidRPr="00493A37" w:rsidRDefault="001E3B01" w:rsidP="005B5226">
            <w:pPr>
              <w:jc w:val="center"/>
              <w:rPr>
                <w:rFonts w:ascii="Arial" w:hAnsi="Arial" w:cs="Arial"/>
                <w:color w:val="000000"/>
              </w:rPr>
            </w:pPr>
          </w:p>
        </w:tc>
        <w:tc>
          <w:tcPr>
            <w:tcW w:w="1134" w:type="dxa"/>
            <w:tcBorders>
              <w:top w:val="single" w:sz="4" w:space="0" w:color="auto"/>
            </w:tcBorders>
            <w:vAlign w:val="bottom"/>
          </w:tcPr>
          <w:p w14:paraId="5D46095D" w14:textId="77777777" w:rsidR="001E3B01" w:rsidRPr="00493A37" w:rsidRDefault="001E3B01" w:rsidP="005B5226">
            <w:pPr>
              <w:jc w:val="center"/>
              <w:rPr>
                <w:rFonts w:ascii="Arial" w:hAnsi="Arial" w:cs="Arial"/>
                <w:color w:val="000000"/>
              </w:rPr>
            </w:pPr>
          </w:p>
        </w:tc>
        <w:tc>
          <w:tcPr>
            <w:tcW w:w="1134" w:type="dxa"/>
            <w:tcBorders>
              <w:top w:val="single" w:sz="4" w:space="0" w:color="auto"/>
            </w:tcBorders>
            <w:vAlign w:val="bottom"/>
          </w:tcPr>
          <w:p w14:paraId="62E215AA" w14:textId="77777777" w:rsidR="001E3B01" w:rsidRPr="00493A37" w:rsidRDefault="001E3B01" w:rsidP="005B5226">
            <w:pPr>
              <w:jc w:val="center"/>
              <w:rPr>
                <w:rFonts w:ascii="Arial" w:hAnsi="Arial" w:cs="Arial"/>
                <w:bCs/>
                <w:color w:val="000000"/>
              </w:rPr>
            </w:pPr>
          </w:p>
        </w:tc>
        <w:tc>
          <w:tcPr>
            <w:tcW w:w="1134" w:type="dxa"/>
            <w:tcBorders>
              <w:top w:val="single" w:sz="4" w:space="0" w:color="auto"/>
            </w:tcBorders>
          </w:tcPr>
          <w:p w14:paraId="166615A5" w14:textId="77777777" w:rsidR="001E3B01" w:rsidRPr="00493A37" w:rsidRDefault="001E3B01" w:rsidP="005B5226">
            <w:pPr>
              <w:jc w:val="center"/>
              <w:rPr>
                <w:rFonts w:ascii="Arial" w:hAnsi="Arial" w:cs="Arial"/>
                <w:bCs/>
                <w:color w:val="000000"/>
              </w:rPr>
            </w:pPr>
          </w:p>
        </w:tc>
        <w:tc>
          <w:tcPr>
            <w:tcW w:w="1134" w:type="dxa"/>
            <w:tcBorders>
              <w:top w:val="single" w:sz="4" w:space="0" w:color="auto"/>
            </w:tcBorders>
          </w:tcPr>
          <w:p w14:paraId="65590A38" w14:textId="77777777" w:rsidR="001E3B01" w:rsidRPr="00493A37" w:rsidRDefault="001E3B01" w:rsidP="005B5226">
            <w:pPr>
              <w:jc w:val="center"/>
              <w:rPr>
                <w:rFonts w:ascii="Arial" w:hAnsi="Arial" w:cs="Arial"/>
                <w:bCs/>
                <w:color w:val="000000"/>
              </w:rPr>
            </w:pPr>
          </w:p>
        </w:tc>
        <w:tc>
          <w:tcPr>
            <w:tcW w:w="1134" w:type="dxa"/>
            <w:tcBorders>
              <w:top w:val="single" w:sz="4" w:space="0" w:color="auto"/>
            </w:tcBorders>
          </w:tcPr>
          <w:p w14:paraId="23E9F7CA" w14:textId="77777777" w:rsidR="001E3B01" w:rsidRPr="00493A37" w:rsidRDefault="001E3B01" w:rsidP="005B5226">
            <w:pPr>
              <w:jc w:val="center"/>
              <w:rPr>
                <w:rFonts w:ascii="Arial" w:hAnsi="Arial" w:cs="Arial"/>
                <w:bCs/>
                <w:color w:val="000000"/>
              </w:rPr>
            </w:pPr>
          </w:p>
        </w:tc>
        <w:tc>
          <w:tcPr>
            <w:tcW w:w="1134" w:type="dxa"/>
            <w:tcBorders>
              <w:top w:val="single" w:sz="4" w:space="0" w:color="auto"/>
            </w:tcBorders>
          </w:tcPr>
          <w:p w14:paraId="61D3B402" w14:textId="77777777" w:rsidR="001E3B01" w:rsidRPr="00493A37" w:rsidRDefault="001E3B01" w:rsidP="005B5226">
            <w:pPr>
              <w:jc w:val="center"/>
              <w:rPr>
                <w:rFonts w:ascii="Arial" w:hAnsi="Arial" w:cs="Arial"/>
                <w:bCs/>
                <w:color w:val="000000"/>
              </w:rPr>
            </w:pPr>
          </w:p>
        </w:tc>
      </w:tr>
      <w:tr w:rsidR="001E3B01" w:rsidRPr="00493A37" w14:paraId="5714CAF7" w14:textId="77777777" w:rsidTr="005B5226">
        <w:trPr>
          <w:trHeight w:val="317"/>
        </w:trPr>
        <w:tc>
          <w:tcPr>
            <w:tcW w:w="256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870464" w14:textId="0D788423" w:rsidR="001E3B01" w:rsidRPr="00493A37" w:rsidRDefault="001E3B01" w:rsidP="005B5226">
            <w:pPr>
              <w:jc w:val="center"/>
              <w:rPr>
                <w:rFonts w:ascii="Arial" w:hAnsi="Arial" w:cs="Arial"/>
                <w:color w:val="000000"/>
                <w:sz w:val="20"/>
                <w:szCs w:val="20"/>
              </w:rPr>
            </w:pPr>
          </w:p>
        </w:tc>
        <w:tc>
          <w:tcPr>
            <w:tcW w:w="1134" w:type="dxa"/>
            <w:tcBorders>
              <w:left w:val="dotDash" w:sz="4" w:space="0" w:color="auto"/>
            </w:tcBorders>
            <w:shd w:val="clear" w:color="auto" w:fill="auto"/>
            <w:noWrap/>
            <w:vAlign w:val="bottom"/>
          </w:tcPr>
          <w:p w14:paraId="38C03F4E" w14:textId="77777777" w:rsidR="001E3B01" w:rsidRPr="00493A37" w:rsidRDefault="001E3B01" w:rsidP="005B5226">
            <w:pPr>
              <w:jc w:val="center"/>
              <w:rPr>
                <w:rFonts w:ascii="Arial" w:hAnsi="Arial" w:cs="Arial"/>
                <w:color w:val="000000"/>
              </w:rPr>
            </w:pPr>
          </w:p>
        </w:tc>
        <w:tc>
          <w:tcPr>
            <w:tcW w:w="1134" w:type="dxa"/>
            <w:shd w:val="clear" w:color="auto" w:fill="auto"/>
            <w:noWrap/>
            <w:vAlign w:val="bottom"/>
          </w:tcPr>
          <w:p w14:paraId="4249580C" w14:textId="77777777" w:rsidR="001E3B01" w:rsidRPr="00493A37" w:rsidRDefault="001E3B01" w:rsidP="005B5226">
            <w:pPr>
              <w:jc w:val="center"/>
              <w:rPr>
                <w:rFonts w:ascii="Arial" w:hAnsi="Arial" w:cs="Arial"/>
                <w:color w:val="000000"/>
              </w:rPr>
            </w:pPr>
          </w:p>
        </w:tc>
        <w:tc>
          <w:tcPr>
            <w:tcW w:w="1134" w:type="dxa"/>
            <w:shd w:val="clear" w:color="auto" w:fill="auto"/>
            <w:vAlign w:val="bottom"/>
          </w:tcPr>
          <w:p w14:paraId="12C38D7E" w14:textId="77777777" w:rsidR="001E3B01" w:rsidRPr="00493A37" w:rsidRDefault="001E3B01" w:rsidP="005B5226">
            <w:pPr>
              <w:jc w:val="center"/>
              <w:rPr>
                <w:rFonts w:ascii="Arial" w:hAnsi="Arial" w:cs="Arial"/>
                <w:color w:val="000000"/>
              </w:rPr>
            </w:pPr>
          </w:p>
        </w:tc>
        <w:tc>
          <w:tcPr>
            <w:tcW w:w="1134" w:type="dxa"/>
            <w:vAlign w:val="bottom"/>
          </w:tcPr>
          <w:p w14:paraId="7317D909" w14:textId="77777777" w:rsidR="001E3B01" w:rsidRPr="00493A37" w:rsidRDefault="001E3B01" w:rsidP="005B5226">
            <w:pPr>
              <w:jc w:val="center"/>
              <w:rPr>
                <w:rFonts w:ascii="Arial" w:hAnsi="Arial" w:cs="Arial"/>
                <w:color w:val="000000"/>
              </w:rPr>
            </w:pPr>
          </w:p>
        </w:tc>
        <w:tc>
          <w:tcPr>
            <w:tcW w:w="1134" w:type="dxa"/>
            <w:vAlign w:val="bottom"/>
          </w:tcPr>
          <w:p w14:paraId="74EE2C4C" w14:textId="77777777" w:rsidR="001E3B01" w:rsidRPr="00493A37" w:rsidRDefault="001E3B01" w:rsidP="005B5226">
            <w:pPr>
              <w:jc w:val="center"/>
              <w:rPr>
                <w:rFonts w:ascii="Arial" w:hAnsi="Arial" w:cs="Arial"/>
                <w:color w:val="000000"/>
              </w:rPr>
            </w:pPr>
          </w:p>
        </w:tc>
        <w:tc>
          <w:tcPr>
            <w:tcW w:w="1134" w:type="dxa"/>
            <w:vAlign w:val="bottom"/>
          </w:tcPr>
          <w:p w14:paraId="70264D87" w14:textId="77777777" w:rsidR="001E3B01" w:rsidRPr="00493A37" w:rsidRDefault="001E3B01" w:rsidP="005B5226">
            <w:pPr>
              <w:jc w:val="center"/>
              <w:rPr>
                <w:rFonts w:ascii="Arial" w:hAnsi="Arial" w:cs="Arial"/>
                <w:bCs/>
                <w:color w:val="000000"/>
              </w:rPr>
            </w:pPr>
          </w:p>
        </w:tc>
        <w:tc>
          <w:tcPr>
            <w:tcW w:w="1134" w:type="dxa"/>
          </w:tcPr>
          <w:p w14:paraId="08791FDE" w14:textId="77777777" w:rsidR="001E3B01" w:rsidRPr="00493A37" w:rsidRDefault="001E3B01" w:rsidP="005B5226">
            <w:pPr>
              <w:jc w:val="center"/>
              <w:rPr>
                <w:rFonts w:ascii="Arial" w:hAnsi="Arial" w:cs="Arial"/>
                <w:bCs/>
                <w:color w:val="000000"/>
              </w:rPr>
            </w:pPr>
          </w:p>
        </w:tc>
        <w:tc>
          <w:tcPr>
            <w:tcW w:w="1134" w:type="dxa"/>
          </w:tcPr>
          <w:p w14:paraId="29C849D0" w14:textId="77777777" w:rsidR="001E3B01" w:rsidRPr="00493A37" w:rsidRDefault="001E3B01" w:rsidP="005B5226">
            <w:pPr>
              <w:jc w:val="center"/>
              <w:rPr>
                <w:rFonts w:ascii="Arial" w:hAnsi="Arial" w:cs="Arial"/>
                <w:bCs/>
                <w:color w:val="000000"/>
              </w:rPr>
            </w:pPr>
          </w:p>
        </w:tc>
        <w:tc>
          <w:tcPr>
            <w:tcW w:w="1134" w:type="dxa"/>
          </w:tcPr>
          <w:p w14:paraId="03C472F4" w14:textId="77777777" w:rsidR="001E3B01" w:rsidRPr="00493A37" w:rsidRDefault="001E3B01" w:rsidP="005B5226">
            <w:pPr>
              <w:jc w:val="center"/>
              <w:rPr>
                <w:rFonts w:ascii="Arial" w:hAnsi="Arial" w:cs="Arial"/>
                <w:bCs/>
                <w:color w:val="000000"/>
              </w:rPr>
            </w:pPr>
          </w:p>
        </w:tc>
        <w:tc>
          <w:tcPr>
            <w:tcW w:w="1134" w:type="dxa"/>
          </w:tcPr>
          <w:p w14:paraId="227AAB92" w14:textId="77777777" w:rsidR="001E3B01" w:rsidRPr="00493A37" w:rsidRDefault="001E3B01" w:rsidP="005B5226">
            <w:pPr>
              <w:jc w:val="center"/>
              <w:rPr>
                <w:rFonts w:ascii="Arial" w:hAnsi="Arial" w:cs="Arial"/>
                <w:bCs/>
                <w:color w:val="000000"/>
              </w:rPr>
            </w:pPr>
          </w:p>
        </w:tc>
      </w:tr>
    </w:tbl>
    <w:p w14:paraId="2BEC0225" w14:textId="77777777" w:rsidR="001E3B01" w:rsidRPr="00493A37" w:rsidRDefault="001E3B01" w:rsidP="001E3B01">
      <w:pPr>
        <w:rPr>
          <w:rFonts w:ascii="Arial" w:hAnsi="Arial" w:cs="Arial"/>
          <w:color w:val="000000"/>
        </w:rPr>
      </w:pPr>
    </w:p>
    <w:tbl>
      <w:tblPr>
        <w:tblW w:w="13907" w:type="dxa"/>
        <w:tblInd w:w="93" w:type="dxa"/>
        <w:tblLayout w:type="fixed"/>
        <w:tblLook w:val="04A0" w:firstRow="1" w:lastRow="0" w:firstColumn="1" w:lastColumn="0" w:noHBand="0" w:noVBand="1"/>
      </w:tblPr>
      <w:tblGrid>
        <w:gridCol w:w="13907"/>
      </w:tblGrid>
      <w:tr w:rsidR="001E3B01" w:rsidRPr="00493A37" w14:paraId="6097E0D7" w14:textId="77777777" w:rsidTr="005B5226">
        <w:trPr>
          <w:trHeight w:val="317"/>
        </w:trPr>
        <w:tc>
          <w:tcPr>
            <w:tcW w:w="13907" w:type="dxa"/>
            <w:tcBorders>
              <w:bottom w:val="nil"/>
            </w:tcBorders>
            <w:shd w:val="clear" w:color="auto" w:fill="auto"/>
            <w:vAlign w:val="bottom"/>
          </w:tcPr>
          <w:p w14:paraId="181B0B94" w14:textId="77777777" w:rsidR="001E3B01" w:rsidRPr="00493A37" w:rsidRDefault="001E3B01" w:rsidP="001E3B01">
            <w:pPr>
              <w:pStyle w:val="ListParagraph"/>
              <w:numPr>
                <w:ilvl w:val="0"/>
                <w:numId w:val="11"/>
              </w:numPr>
              <w:contextualSpacing w:val="0"/>
              <w:rPr>
                <w:rFonts w:ascii="Arial" w:hAnsi="Arial" w:cs="Arial"/>
                <w:b/>
                <w:color w:val="000000"/>
              </w:rPr>
            </w:pPr>
            <w:r w:rsidRPr="00493A37">
              <w:rPr>
                <w:rFonts w:ascii="Arial" w:hAnsi="Arial" w:cs="Arial"/>
                <w:b/>
                <w:bCs/>
                <w:color w:val="000000"/>
              </w:rPr>
              <w:t>Components of adjusted policy liabilities</w:t>
            </w:r>
          </w:p>
        </w:tc>
      </w:tr>
    </w:tbl>
    <w:p w14:paraId="3D997B29" w14:textId="77777777" w:rsidR="001E3B01" w:rsidRDefault="001E3B01" w:rsidP="001E3B01"/>
    <w:tbl>
      <w:tblPr>
        <w:tblW w:w="13907" w:type="dxa"/>
        <w:tblInd w:w="93" w:type="dxa"/>
        <w:tblLayout w:type="fixed"/>
        <w:tblLook w:val="04A0" w:firstRow="1" w:lastRow="0" w:firstColumn="1" w:lastColumn="0" w:noHBand="0" w:noVBand="1"/>
      </w:tblPr>
      <w:tblGrid>
        <w:gridCol w:w="3559"/>
        <w:gridCol w:w="1724"/>
        <w:gridCol w:w="1725"/>
        <w:gridCol w:w="1725"/>
        <w:gridCol w:w="1724"/>
        <w:gridCol w:w="1725"/>
        <w:gridCol w:w="1725"/>
      </w:tblGrid>
      <w:tr w:rsidR="001E3B01" w:rsidRPr="00493A37" w14:paraId="437406C1" w14:textId="77777777" w:rsidTr="005B5226">
        <w:trPr>
          <w:trHeight w:val="317"/>
        </w:trPr>
        <w:tc>
          <w:tcPr>
            <w:tcW w:w="3559" w:type="dxa"/>
            <w:tcBorders>
              <w:top w:val="single" w:sz="4" w:space="0" w:color="000000"/>
              <w:left w:val="single" w:sz="4" w:space="0" w:color="auto"/>
              <w:bottom w:val="nil"/>
              <w:right w:val="single" w:sz="4" w:space="0" w:color="auto"/>
            </w:tcBorders>
            <w:shd w:val="clear" w:color="auto" w:fill="auto"/>
            <w:vAlign w:val="bottom"/>
            <w:hideMark/>
          </w:tcPr>
          <w:p w14:paraId="4416B2AE"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Product group</w:t>
            </w:r>
          </w:p>
        </w:tc>
        <w:tc>
          <w:tcPr>
            <w:tcW w:w="1724" w:type="dxa"/>
            <w:tcBorders>
              <w:top w:val="single" w:sz="4" w:space="0" w:color="000000"/>
              <w:left w:val="nil"/>
              <w:bottom w:val="nil"/>
              <w:right w:val="single" w:sz="4" w:space="0" w:color="auto"/>
            </w:tcBorders>
            <w:shd w:val="clear" w:color="auto" w:fill="auto"/>
            <w:vAlign w:val="bottom"/>
            <w:hideMark/>
          </w:tcPr>
          <w:p w14:paraId="35D18E6F"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past premium liabilities</w:t>
            </w:r>
          </w:p>
        </w:tc>
        <w:tc>
          <w:tcPr>
            <w:tcW w:w="1725" w:type="dxa"/>
            <w:tcBorders>
              <w:top w:val="single" w:sz="4" w:space="0" w:color="000000"/>
              <w:left w:val="nil"/>
              <w:bottom w:val="nil"/>
              <w:right w:val="single" w:sz="4" w:space="0" w:color="auto"/>
            </w:tcBorders>
            <w:shd w:val="clear" w:color="auto" w:fill="auto"/>
            <w:vAlign w:val="bottom"/>
            <w:hideMark/>
          </w:tcPr>
          <w:p w14:paraId="43520E44"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Premium refund in excess of UPR</w:t>
            </w:r>
          </w:p>
        </w:tc>
        <w:tc>
          <w:tcPr>
            <w:tcW w:w="1725" w:type="dxa"/>
            <w:tcBorders>
              <w:top w:val="single" w:sz="4" w:space="0" w:color="000000"/>
              <w:left w:val="nil"/>
              <w:bottom w:val="nil"/>
              <w:right w:val="single" w:sz="4" w:space="0" w:color="000000"/>
            </w:tcBorders>
            <w:shd w:val="clear" w:color="auto" w:fill="auto"/>
            <w:vAlign w:val="bottom"/>
            <w:hideMark/>
          </w:tcPr>
          <w:p w14:paraId="3DFA2DA8"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Other components of termination value</w:t>
            </w:r>
          </w:p>
        </w:tc>
        <w:tc>
          <w:tcPr>
            <w:tcW w:w="1724" w:type="dxa"/>
            <w:tcBorders>
              <w:top w:val="single" w:sz="4" w:space="0" w:color="000000"/>
              <w:left w:val="nil"/>
              <w:bottom w:val="nil"/>
              <w:right w:val="single" w:sz="4" w:space="0" w:color="000000"/>
            </w:tcBorders>
            <w:vAlign w:val="bottom"/>
          </w:tcPr>
          <w:p w14:paraId="41B64F8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termination value</w:t>
            </w:r>
          </w:p>
        </w:tc>
        <w:tc>
          <w:tcPr>
            <w:tcW w:w="1725" w:type="dxa"/>
            <w:tcBorders>
              <w:top w:val="single" w:sz="4" w:space="0" w:color="000000"/>
              <w:left w:val="nil"/>
              <w:bottom w:val="nil"/>
              <w:right w:val="single" w:sz="4" w:space="0" w:color="000000"/>
            </w:tcBorders>
            <w:vAlign w:val="bottom"/>
          </w:tcPr>
          <w:p w14:paraId="0A161BE1"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future premium liabilities</w:t>
            </w:r>
          </w:p>
        </w:tc>
        <w:tc>
          <w:tcPr>
            <w:tcW w:w="1725" w:type="dxa"/>
            <w:tcBorders>
              <w:top w:val="single" w:sz="4" w:space="0" w:color="000000"/>
              <w:left w:val="nil"/>
              <w:bottom w:val="nil"/>
              <w:right w:val="single" w:sz="4" w:space="0" w:color="000000"/>
            </w:tcBorders>
            <w:vAlign w:val="bottom"/>
          </w:tcPr>
          <w:p w14:paraId="0D3849C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Risk-free best estimate of liabilities</w:t>
            </w:r>
          </w:p>
        </w:tc>
      </w:tr>
      <w:tr w:rsidR="001E3B01" w:rsidRPr="00493A37" w14:paraId="16EF2CD3" w14:textId="77777777" w:rsidTr="005B5226">
        <w:trPr>
          <w:trHeight w:val="317"/>
        </w:trPr>
        <w:tc>
          <w:tcPr>
            <w:tcW w:w="3559" w:type="dxa"/>
            <w:tcBorders>
              <w:top w:val="nil"/>
              <w:left w:val="single" w:sz="4" w:space="0" w:color="auto"/>
              <w:bottom w:val="single" w:sz="4" w:space="0" w:color="auto"/>
              <w:right w:val="single" w:sz="4" w:space="0" w:color="auto"/>
            </w:tcBorders>
            <w:shd w:val="clear" w:color="auto" w:fill="auto"/>
            <w:vAlign w:val="bottom"/>
            <w:hideMark/>
          </w:tcPr>
          <w:p w14:paraId="5533E650" w14:textId="77777777" w:rsidR="001E3B01" w:rsidRPr="00493A37" w:rsidRDefault="001E3B01" w:rsidP="005B5226">
            <w:pPr>
              <w:jc w:val="center"/>
              <w:rPr>
                <w:rFonts w:ascii="Arial" w:hAnsi="Arial" w:cs="Arial"/>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bottom"/>
            <w:hideMark/>
          </w:tcPr>
          <w:p w14:paraId="431780DA"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w:t>
            </w:r>
          </w:p>
        </w:tc>
        <w:tc>
          <w:tcPr>
            <w:tcW w:w="1725" w:type="dxa"/>
            <w:tcBorders>
              <w:top w:val="nil"/>
              <w:left w:val="nil"/>
              <w:bottom w:val="single" w:sz="4" w:space="0" w:color="auto"/>
              <w:right w:val="single" w:sz="4" w:space="0" w:color="auto"/>
            </w:tcBorders>
            <w:shd w:val="clear" w:color="auto" w:fill="auto"/>
            <w:vAlign w:val="bottom"/>
            <w:hideMark/>
          </w:tcPr>
          <w:p w14:paraId="77B6F359"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w:t>
            </w:r>
          </w:p>
        </w:tc>
        <w:tc>
          <w:tcPr>
            <w:tcW w:w="1725" w:type="dxa"/>
            <w:tcBorders>
              <w:top w:val="nil"/>
              <w:left w:val="nil"/>
              <w:bottom w:val="single" w:sz="4" w:space="0" w:color="auto"/>
              <w:right w:val="single" w:sz="4" w:space="0" w:color="000000"/>
            </w:tcBorders>
            <w:shd w:val="clear" w:color="auto" w:fill="auto"/>
            <w:vAlign w:val="bottom"/>
            <w:hideMark/>
          </w:tcPr>
          <w:p w14:paraId="40A29A76"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(3)</w:t>
            </w:r>
          </w:p>
        </w:tc>
        <w:tc>
          <w:tcPr>
            <w:tcW w:w="1724" w:type="dxa"/>
            <w:tcBorders>
              <w:top w:val="nil"/>
              <w:left w:val="nil"/>
              <w:bottom w:val="single" w:sz="4" w:space="0" w:color="auto"/>
              <w:right w:val="single" w:sz="4" w:space="0" w:color="000000"/>
            </w:tcBorders>
            <w:vAlign w:val="bottom"/>
          </w:tcPr>
          <w:p w14:paraId="390C87E5"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(4)</w:t>
            </w:r>
          </w:p>
        </w:tc>
        <w:tc>
          <w:tcPr>
            <w:tcW w:w="1725" w:type="dxa"/>
            <w:tcBorders>
              <w:top w:val="nil"/>
              <w:left w:val="nil"/>
              <w:bottom w:val="single" w:sz="4" w:space="0" w:color="auto"/>
              <w:right w:val="single" w:sz="4" w:space="0" w:color="000000"/>
            </w:tcBorders>
            <w:vAlign w:val="bottom"/>
          </w:tcPr>
          <w:p w14:paraId="30C62CAA"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(5)</w:t>
            </w:r>
          </w:p>
        </w:tc>
        <w:tc>
          <w:tcPr>
            <w:tcW w:w="1725" w:type="dxa"/>
            <w:tcBorders>
              <w:top w:val="nil"/>
              <w:left w:val="nil"/>
              <w:bottom w:val="single" w:sz="4" w:space="0" w:color="auto"/>
              <w:right w:val="single" w:sz="4" w:space="0" w:color="000000"/>
            </w:tcBorders>
            <w:vAlign w:val="bottom"/>
          </w:tcPr>
          <w:p w14:paraId="3DAC52BF"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(6)</w:t>
            </w:r>
          </w:p>
        </w:tc>
      </w:tr>
      <w:tr w:rsidR="001E3B01" w:rsidRPr="00493A37" w14:paraId="46A043BC" w14:textId="77777777" w:rsidTr="005B5226">
        <w:trPr>
          <w:trHeight w:val="31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76068" w14:textId="77777777" w:rsidR="001E3B01" w:rsidRPr="00493A37" w:rsidRDefault="001E3B01" w:rsidP="005B5226">
            <w:pPr>
              <w:jc w:val="center"/>
              <w:rPr>
                <w:rFonts w:ascii="Arial" w:hAnsi="Arial" w:cs="Arial"/>
                <w:color w:val="000000"/>
              </w:rPr>
            </w:pPr>
          </w:p>
        </w:tc>
        <w:tc>
          <w:tcPr>
            <w:tcW w:w="1724" w:type="dxa"/>
            <w:tcBorders>
              <w:top w:val="single" w:sz="4" w:space="0" w:color="auto"/>
              <w:left w:val="nil"/>
              <w:bottom w:val="single" w:sz="4" w:space="0" w:color="auto"/>
              <w:right w:val="single" w:sz="4" w:space="0" w:color="auto"/>
            </w:tcBorders>
            <w:shd w:val="clear" w:color="auto" w:fill="A6A6A6"/>
            <w:noWrap/>
            <w:vAlign w:val="bottom"/>
          </w:tcPr>
          <w:p w14:paraId="7A5A7A1A" w14:textId="77777777" w:rsidR="001E3B01" w:rsidRPr="00493A37" w:rsidRDefault="001E3B01" w:rsidP="005B5226">
            <w:pPr>
              <w:jc w:val="center"/>
              <w:rPr>
                <w:rFonts w:ascii="Arial" w:hAnsi="Arial" w:cs="Arial"/>
                <w:bCs/>
                <w:color w:val="000000"/>
              </w:rPr>
            </w:pPr>
          </w:p>
        </w:tc>
        <w:tc>
          <w:tcPr>
            <w:tcW w:w="1725" w:type="dxa"/>
            <w:tcBorders>
              <w:top w:val="single" w:sz="4" w:space="0" w:color="auto"/>
              <w:left w:val="nil"/>
              <w:bottom w:val="single" w:sz="4" w:space="0" w:color="auto"/>
              <w:right w:val="single" w:sz="4" w:space="0" w:color="auto"/>
            </w:tcBorders>
            <w:shd w:val="clear" w:color="auto" w:fill="auto"/>
            <w:noWrap/>
            <w:vAlign w:val="bottom"/>
          </w:tcPr>
          <w:p w14:paraId="7C0B2F41" w14:textId="77777777" w:rsidR="001E3B01" w:rsidRPr="00493A37" w:rsidRDefault="001E3B01" w:rsidP="005B5226">
            <w:pPr>
              <w:jc w:val="center"/>
              <w:rPr>
                <w:rFonts w:ascii="Arial" w:hAnsi="Arial" w:cs="Arial"/>
                <w:color w:val="000000"/>
              </w:rPr>
            </w:pPr>
          </w:p>
        </w:tc>
        <w:tc>
          <w:tcPr>
            <w:tcW w:w="1725" w:type="dxa"/>
            <w:tcBorders>
              <w:top w:val="single" w:sz="4" w:space="0" w:color="auto"/>
              <w:left w:val="nil"/>
              <w:bottom w:val="single" w:sz="4" w:space="0" w:color="auto"/>
              <w:right w:val="single" w:sz="4" w:space="0" w:color="auto"/>
            </w:tcBorders>
            <w:shd w:val="clear" w:color="auto" w:fill="A6A6A6"/>
            <w:vAlign w:val="bottom"/>
          </w:tcPr>
          <w:p w14:paraId="5420BB89" w14:textId="77777777" w:rsidR="001E3B01" w:rsidRPr="00493A37" w:rsidRDefault="001E3B01" w:rsidP="005B5226">
            <w:pPr>
              <w:jc w:val="center"/>
              <w:rPr>
                <w:rFonts w:ascii="Arial" w:hAnsi="Arial" w:cs="Arial"/>
                <w:color w:val="000000"/>
              </w:rPr>
            </w:pPr>
          </w:p>
        </w:tc>
        <w:tc>
          <w:tcPr>
            <w:tcW w:w="1724" w:type="dxa"/>
            <w:tcBorders>
              <w:top w:val="single" w:sz="4" w:space="0" w:color="auto"/>
              <w:left w:val="nil"/>
              <w:bottom w:val="single" w:sz="4" w:space="0" w:color="auto"/>
              <w:right w:val="single" w:sz="4" w:space="0" w:color="auto"/>
            </w:tcBorders>
            <w:vAlign w:val="bottom"/>
          </w:tcPr>
          <w:p w14:paraId="06C75868" w14:textId="77777777" w:rsidR="001E3B01" w:rsidRPr="00493A37" w:rsidRDefault="001E3B01" w:rsidP="005B5226">
            <w:pPr>
              <w:jc w:val="center"/>
              <w:rPr>
                <w:rFonts w:ascii="Arial" w:hAnsi="Arial" w:cs="Arial"/>
                <w:bCs/>
                <w:color w:val="000000"/>
              </w:rPr>
            </w:pPr>
          </w:p>
        </w:tc>
        <w:tc>
          <w:tcPr>
            <w:tcW w:w="1725" w:type="dxa"/>
            <w:tcBorders>
              <w:top w:val="single" w:sz="4" w:space="0" w:color="auto"/>
              <w:left w:val="nil"/>
              <w:bottom w:val="single" w:sz="4" w:space="0" w:color="auto"/>
              <w:right w:val="single" w:sz="4" w:space="0" w:color="auto"/>
            </w:tcBorders>
            <w:shd w:val="clear" w:color="auto" w:fill="A6A6A6"/>
            <w:vAlign w:val="bottom"/>
          </w:tcPr>
          <w:p w14:paraId="289734E5" w14:textId="77777777" w:rsidR="001E3B01" w:rsidRPr="00493A37" w:rsidRDefault="001E3B01" w:rsidP="005B5226">
            <w:pPr>
              <w:jc w:val="center"/>
              <w:rPr>
                <w:rFonts w:ascii="Arial" w:hAnsi="Arial" w:cs="Arial"/>
                <w:bCs/>
                <w:color w:val="000000"/>
              </w:rPr>
            </w:pPr>
          </w:p>
        </w:tc>
        <w:tc>
          <w:tcPr>
            <w:tcW w:w="1725" w:type="dxa"/>
            <w:tcBorders>
              <w:top w:val="single" w:sz="4" w:space="0" w:color="auto"/>
              <w:left w:val="nil"/>
              <w:bottom w:val="single" w:sz="4" w:space="0" w:color="auto"/>
              <w:right w:val="single" w:sz="4" w:space="0" w:color="auto"/>
            </w:tcBorders>
            <w:shd w:val="clear" w:color="auto" w:fill="A6A6A6"/>
            <w:vAlign w:val="bottom"/>
          </w:tcPr>
          <w:p w14:paraId="4BD507FD" w14:textId="77777777" w:rsidR="001E3B01" w:rsidRPr="00493A37" w:rsidRDefault="001E3B01" w:rsidP="005B5226">
            <w:pPr>
              <w:jc w:val="center"/>
              <w:rPr>
                <w:rFonts w:ascii="Arial" w:hAnsi="Arial" w:cs="Arial"/>
                <w:bCs/>
                <w:color w:val="000000"/>
              </w:rPr>
            </w:pPr>
          </w:p>
        </w:tc>
      </w:tr>
      <w:tr w:rsidR="001E3B01" w:rsidRPr="00493A37" w14:paraId="3EB656E5" w14:textId="77777777" w:rsidTr="005B5226">
        <w:trPr>
          <w:trHeight w:val="317"/>
        </w:trPr>
        <w:tc>
          <w:tcPr>
            <w:tcW w:w="3559"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0D536070" w14:textId="302E9C34" w:rsidR="001E3B01" w:rsidRPr="00493A37" w:rsidRDefault="001E3B01" w:rsidP="005B5226">
            <w:pPr>
              <w:jc w:val="center"/>
              <w:rPr>
                <w:rFonts w:ascii="Arial" w:hAnsi="Arial" w:cs="Arial"/>
                <w:color w:val="000000"/>
                <w:sz w:val="20"/>
                <w:szCs w:val="20"/>
              </w:rPr>
            </w:pPr>
          </w:p>
        </w:tc>
        <w:tc>
          <w:tcPr>
            <w:tcW w:w="1724" w:type="dxa"/>
            <w:tcBorders>
              <w:top w:val="single" w:sz="4" w:space="0" w:color="auto"/>
              <w:left w:val="dotDash" w:sz="4" w:space="0" w:color="auto"/>
            </w:tcBorders>
            <w:shd w:val="clear" w:color="auto" w:fill="auto"/>
            <w:noWrap/>
            <w:vAlign w:val="bottom"/>
          </w:tcPr>
          <w:p w14:paraId="52A753B2" w14:textId="77777777" w:rsidR="001E3B01" w:rsidRPr="00493A37" w:rsidRDefault="001E3B01" w:rsidP="005B5226">
            <w:pPr>
              <w:jc w:val="center"/>
              <w:rPr>
                <w:rFonts w:ascii="Arial" w:hAnsi="Arial" w:cs="Arial"/>
                <w:color w:val="000000"/>
              </w:rPr>
            </w:pPr>
          </w:p>
        </w:tc>
        <w:tc>
          <w:tcPr>
            <w:tcW w:w="1725" w:type="dxa"/>
            <w:tcBorders>
              <w:top w:val="single" w:sz="4" w:space="0" w:color="auto"/>
            </w:tcBorders>
            <w:shd w:val="clear" w:color="auto" w:fill="auto"/>
            <w:noWrap/>
            <w:vAlign w:val="bottom"/>
          </w:tcPr>
          <w:p w14:paraId="7842B78A" w14:textId="77777777" w:rsidR="001E3B01" w:rsidRPr="00493A37" w:rsidRDefault="001E3B01" w:rsidP="005B5226">
            <w:pPr>
              <w:jc w:val="center"/>
              <w:rPr>
                <w:rFonts w:ascii="Arial" w:hAnsi="Arial" w:cs="Arial"/>
                <w:color w:val="000000"/>
              </w:rPr>
            </w:pPr>
          </w:p>
        </w:tc>
        <w:tc>
          <w:tcPr>
            <w:tcW w:w="1725" w:type="dxa"/>
            <w:tcBorders>
              <w:top w:val="single" w:sz="4" w:space="0" w:color="auto"/>
            </w:tcBorders>
            <w:shd w:val="clear" w:color="auto" w:fill="auto"/>
            <w:vAlign w:val="bottom"/>
          </w:tcPr>
          <w:p w14:paraId="32882E35" w14:textId="77777777" w:rsidR="001E3B01" w:rsidRPr="00493A37" w:rsidRDefault="001E3B01" w:rsidP="005B5226">
            <w:pPr>
              <w:jc w:val="center"/>
              <w:rPr>
                <w:rFonts w:ascii="Arial" w:hAnsi="Arial" w:cs="Arial"/>
                <w:color w:val="000000"/>
              </w:rPr>
            </w:pPr>
          </w:p>
        </w:tc>
        <w:tc>
          <w:tcPr>
            <w:tcW w:w="1724" w:type="dxa"/>
            <w:tcBorders>
              <w:top w:val="single" w:sz="4" w:space="0" w:color="auto"/>
            </w:tcBorders>
            <w:vAlign w:val="bottom"/>
          </w:tcPr>
          <w:p w14:paraId="2D617182" w14:textId="77777777" w:rsidR="001E3B01" w:rsidRPr="00493A37" w:rsidRDefault="001E3B01" w:rsidP="005B5226">
            <w:pPr>
              <w:jc w:val="center"/>
              <w:rPr>
                <w:rFonts w:ascii="Arial" w:hAnsi="Arial" w:cs="Arial"/>
                <w:color w:val="000000"/>
              </w:rPr>
            </w:pPr>
          </w:p>
        </w:tc>
        <w:tc>
          <w:tcPr>
            <w:tcW w:w="1725" w:type="dxa"/>
            <w:tcBorders>
              <w:top w:val="single" w:sz="4" w:space="0" w:color="auto"/>
            </w:tcBorders>
            <w:vAlign w:val="bottom"/>
          </w:tcPr>
          <w:p w14:paraId="0E4C624B" w14:textId="77777777" w:rsidR="001E3B01" w:rsidRPr="00493A37" w:rsidRDefault="001E3B01" w:rsidP="005B5226">
            <w:pPr>
              <w:jc w:val="center"/>
              <w:rPr>
                <w:rFonts w:ascii="Arial" w:hAnsi="Arial" w:cs="Arial"/>
                <w:color w:val="000000"/>
              </w:rPr>
            </w:pPr>
          </w:p>
        </w:tc>
        <w:tc>
          <w:tcPr>
            <w:tcW w:w="1725" w:type="dxa"/>
            <w:tcBorders>
              <w:top w:val="single" w:sz="4" w:space="0" w:color="auto"/>
            </w:tcBorders>
            <w:vAlign w:val="bottom"/>
          </w:tcPr>
          <w:p w14:paraId="23639776" w14:textId="77777777" w:rsidR="001E3B01" w:rsidRPr="00493A37" w:rsidRDefault="001E3B01" w:rsidP="005B5226">
            <w:pPr>
              <w:jc w:val="center"/>
              <w:rPr>
                <w:rFonts w:ascii="Arial" w:hAnsi="Arial" w:cs="Arial"/>
                <w:bCs/>
                <w:color w:val="000000"/>
              </w:rPr>
            </w:pPr>
          </w:p>
        </w:tc>
      </w:tr>
      <w:tr w:rsidR="001E3B01" w:rsidRPr="00493A37" w14:paraId="292D0F03" w14:textId="77777777" w:rsidTr="005B5226">
        <w:trPr>
          <w:trHeight w:val="317"/>
        </w:trPr>
        <w:tc>
          <w:tcPr>
            <w:tcW w:w="3559"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4305E8A" w14:textId="072B45B8" w:rsidR="001E3B01" w:rsidRPr="00493A37" w:rsidRDefault="001E3B01" w:rsidP="005B5226">
            <w:pPr>
              <w:jc w:val="center"/>
              <w:rPr>
                <w:rFonts w:ascii="Arial" w:hAnsi="Arial" w:cs="Arial"/>
                <w:color w:val="000000"/>
                <w:sz w:val="20"/>
                <w:szCs w:val="20"/>
              </w:rPr>
            </w:pPr>
          </w:p>
        </w:tc>
        <w:tc>
          <w:tcPr>
            <w:tcW w:w="1724" w:type="dxa"/>
            <w:tcBorders>
              <w:left w:val="dotDash" w:sz="4" w:space="0" w:color="auto"/>
            </w:tcBorders>
            <w:shd w:val="clear" w:color="auto" w:fill="auto"/>
            <w:noWrap/>
            <w:vAlign w:val="bottom"/>
          </w:tcPr>
          <w:p w14:paraId="7EA7BBAE" w14:textId="77777777" w:rsidR="001E3B01" w:rsidRPr="00493A37" w:rsidRDefault="001E3B01" w:rsidP="005B5226">
            <w:pPr>
              <w:jc w:val="center"/>
              <w:rPr>
                <w:rFonts w:ascii="Arial" w:hAnsi="Arial" w:cs="Arial"/>
                <w:color w:val="000000"/>
              </w:rPr>
            </w:pPr>
          </w:p>
        </w:tc>
        <w:tc>
          <w:tcPr>
            <w:tcW w:w="1725" w:type="dxa"/>
            <w:shd w:val="clear" w:color="auto" w:fill="auto"/>
            <w:noWrap/>
            <w:vAlign w:val="bottom"/>
          </w:tcPr>
          <w:p w14:paraId="03D8039E" w14:textId="77777777" w:rsidR="001E3B01" w:rsidRPr="00493A37" w:rsidRDefault="001E3B01" w:rsidP="005B5226">
            <w:pPr>
              <w:jc w:val="center"/>
              <w:rPr>
                <w:rFonts w:ascii="Arial" w:hAnsi="Arial" w:cs="Arial"/>
                <w:color w:val="000000"/>
              </w:rPr>
            </w:pPr>
          </w:p>
        </w:tc>
        <w:tc>
          <w:tcPr>
            <w:tcW w:w="1725" w:type="dxa"/>
            <w:shd w:val="clear" w:color="auto" w:fill="auto"/>
            <w:vAlign w:val="bottom"/>
          </w:tcPr>
          <w:p w14:paraId="110F6C30" w14:textId="77777777" w:rsidR="001E3B01" w:rsidRPr="00493A37" w:rsidRDefault="001E3B01" w:rsidP="005B5226">
            <w:pPr>
              <w:jc w:val="center"/>
              <w:rPr>
                <w:rFonts w:ascii="Arial" w:hAnsi="Arial" w:cs="Arial"/>
                <w:color w:val="000000"/>
              </w:rPr>
            </w:pPr>
          </w:p>
        </w:tc>
        <w:tc>
          <w:tcPr>
            <w:tcW w:w="1724" w:type="dxa"/>
            <w:vAlign w:val="bottom"/>
          </w:tcPr>
          <w:p w14:paraId="17B63239" w14:textId="77777777" w:rsidR="001E3B01" w:rsidRPr="00493A37" w:rsidRDefault="001E3B01" w:rsidP="005B5226">
            <w:pPr>
              <w:jc w:val="center"/>
              <w:rPr>
                <w:rFonts w:ascii="Arial" w:hAnsi="Arial" w:cs="Arial"/>
                <w:color w:val="000000"/>
              </w:rPr>
            </w:pPr>
          </w:p>
        </w:tc>
        <w:tc>
          <w:tcPr>
            <w:tcW w:w="1725" w:type="dxa"/>
            <w:vAlign w:val="bottom"/>
          </w:tcPr>
          <w:p w14:paraId="43B184CE" w14:textId="77777777" w:rsidR="001E3B01" w:rsidRPr="00493A37" w:rsidRDefault="001E3B01" w:rsidP="005B5226">
            <w:pPr>
              <w:jc w:val="center"/>
              <w:rPr>
                <w:rFonts w:ascii="Arial" w:hAnsi="Arial" w:cs="Arial"/>
                <w:color w:val="000000"/>
              </w:rPr>
            </w:pPr>
          </w:p>
        </w:tc>
        <w:tc>
          <w:tcPr>
            <w:tcW w:w="1725" w:type="dxa"/>
            <w:vAlign w:val="bottom"/>
          </w:tcPr>
          <w:p w14:paraId="0C40B359" w14:textId="77777777" w:rsidR="001E3B01" w:rsidRPr="00493A37" w:rsidRDefault="001E3B01" w:rsidP="005B5226">
            <w:pPr>
              <w:jc w:val="center"/>
              <w:rPr>
                <w:rFonts w:ascii="Arial" w:hAnsi="Arial" w:cs="Arial"/>
                <w:bCs/>
                <w:color w:val="000000"/>
              </w:rPr>
            </w:pPr>
          </w:p>
        </w:tc>
      </w:tr>
    </w:tbl>
    <w:p w14:paraId="07B48F54" w14:textId="77777777" w:rsidR="001E3B01" w:rsidRPr="00493A37" w:rsidRDefault="001E3B01" w:rsidP="001E3B01">
      <w:pPr>
        <w:pStyle w:val="ListParagraph"/>
        <w:ind w:left="0"/>
        <w:rPr>
          <w:rFonts w:ascii="Arial" w:hAnsi="Arial" w:cs="Arial"/>
          <w:bCs/>
          <w:color w:val="000000"/>
          <w:sz w:val="24"/>
          <w:szCs w:val="24"/>
        </w:rPr>
      </w:pPr>
    </w:p>
    <w:tbl>
      <w:tblPr>
        <w:tblW w:w="13892" w:type="dxa"/>
        <w:tblInd w:w="108" w:type="dxa"/>
        <w:tblLook w:val="04A0" w:firstRow="1" w:lastRow="0" w:firstColumn="1" w:lastColumn="0" w:noHBand="0" w:noVBand="1"/>
      </w:tblPr>
      <w:tblGrid>
        <w:gridCol w:w="13892"/>
      </w:tblGrid>
      <w:tr w:rsidR="001E3B01" w:rsidRPr="00493A37" w14:paraId="3F648FE3" w14:textId="77777777" w:rsidTr="005B5226">
        <w:trPr>
          <w:trHeight w:val="80"/>
        </w:trPr>
        <w:tc>
          <w:tcPr>
            <w:tcW w:w="8789" w:type="dxa"/>
          </w:tcPr>
          <w:p w14:paraId="34EB3BDE" w14:textId="77777777" w:rsidR="001E3B01" w:rsidRPr="00493A37" w:rsidRDefault="001E3B01" w:rsidP="005B5226">
            <w:pPr>
              <w:pStyle w:val="ListParagraph"/>
              <w:ind w:left="0"/>
              <w:rPr>
                <w:rFonts w:ascii="Arial" w:hAnsi="Arial" w:cs="Arial"/>
                <w:b/>
                <w:bCs/>
                <w:color w:val="000000"/>
                <w:sz w:val="24"/>
              </w:rPr>
            </w:pPr>
            <w:r w:rsidRPr="00493A37">
              <w:rPr>
                <w:rFonts w:ascii="Arial" w:hAnsi="Arial" w:cs="Arial"/>
                <w:b/>
                <w:bCs/>
                <w:color w:val="000000"/>
                <w:sz w:val="24"/>
                <w:szCs w:val="24"/>
              </w:rPr>
              <w:t>Section 2: Insurance risk charge</w:t>
            </w:r>
          </w:p>
        </w:tc>
      </w:tr>
    </w:tbl>
    <w:p w14:paraId="0FF0C1F2" w14:textId="77777777" w:rsidR="001E3B01" w:rsidRPr="00493A37" w:rsidRDefault="001E3B01"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053EAD89" w14:textId="77777777" w:rsidTr="005B5226">
        <w:tc>
          <w:tcPr>
            <w:tcW w:w="13892" w:type="dxa"/>
          </w:tcPr>
          <w:p w14:paraId="224D2986" w14:textId="77777777" w:rsidR="001E3B01" w:rsidRPr="00493A37" w:rsidRDefault="001E3B01" w:rsidP="001E3B01">
            <w:pPr>
              <w:pStyle w:val="ListParagraph"/>
              <w:numPr>
                <w:ilvl w:val="0"/>
                <w:numId w:val="12"/>
              </w:numPr>
              <w:contextualSpacing w:val="0"/>
              <w:rPr>
                <w:rFonts w:ascii="Arial" w:hAnsi="Arial" w:cs="Arial"/>
                <w:b/>
                <w:bCs/>
                <w:color w:val="000000"/>
              </w:rPr>
            </w:pPr>
            <w:r w:rsidRPr="00493A37">
              <w:rPr>
                <w:rFonts w:ascii="Arial" w:hAnsi="Arial" w:cs="Arial"/>
                <w:b/>
                <w:bCs/>
                <w:color w:val="000000"/>
              </w:rPr>
              <w:t>Impact of stress margins - participating benefits business</w:t>
            </w:r>
          </w:p>
        </w:tc>
      </w:tr>
    </w:tbl>
    <w:p w14:paraId="5094088E" w14:textId="77777777" w:rsidR="001E3B01" w:rsidRDefault="001E3B01" w:rsidP="001E3B01"/>
    <w:tbl>
      <w:tblPr>
        <w:tblW w:w="13892" w:type="dxa"/>
        <w:tblInd w:w="93" w:type="dxa"/>
        <w:tblLook w:val="04A0" w:firstRow="1" w:lastRow="0" w:firstColumn="1" w:lastColumn="0" w:noHBand="0" w:noVBand="1"/>
      </w:tblPr>
      <w:tblGrid>
        <w:gridCol w:w="12206"/>
        <w:gridCol w:w="1686"/>
      </w:tblGrid>
      <w:tr w:rsidR="001E3B01" w:rsidRPr="00493A37" w14:paraId="3A4EF933" w14:textId="77777777" w:rsidTr="005B5226">
        <w:trPr>
          <w:trHeight w:val="317"/>
        </w:trPr>
        <w:tc>
          <w:tcPr>
            <w:tcW w:w="12206" w:type="dxa"/>
            <w:tcBorders>
              <w:top w:val="nil"/>
              <w:left w:val="nil"/>
              <w:bottom w:val="nil"/>
              <w:right w:val="nil"/>
            </w:tcBorders>
            <w:shd w:val="clear" w:color="auto" w:fill="auto"/>
            <w:noWrap/>
            <w:vAlign w:val="bottom"/>
            <w:hideMark/>
          </w:tcPr>
          <w:p w14:paraId="5A191ABB" w14:textId="77777777" w:rsidR="001E3B01" w:rsidRPr="00493A37" w:rsidRDefault="001E3B01" w:rsidP="005B5226">
            <w:pPr>
              <w:pStyle w:val="ListParagraph"/>
              <w:ind w:left="284"/>
              <w:rPr>
                <w:rFonts w:ascii="Arial" w:hAnsi="Arial" w:cs="Arial"/>
                <w:color w:val="000000"/>
              </w:rPr>
            </w:pPr>
            <w:r w:rsidRPr="00493A37">
              <w:rPr>
                <w:rFonts w:ascii="Arial" w:hAnsi="Arial" w:cs="Arial"/>
                <w:color w:val="000000"/>
              </w:rPr>
              <w:t>Valuation date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36E66" w14:textId="77777777" w:rsidR="001E3B01" w:rsidRPr="00493A37" w:rsidRDefault="001E3B01" w:rsidP="005B5226">
            <w:pPr>
              <w:jc w:val="center"/>
              <w:rPr>
                <w:rFonts w:ascii="Arial" w:hAnsi="Arial" w:cs="Arial"/>
                <w:color w:val="000000"/>
              </w:rPr>
            </w:pPr>
          </w:p>
        </w:tc>
      </w:tr>
    </w:tbl>
    <w:p w14:paraId="02BAF192" w14:textId="77777777" w:rsidR="001E3B01" w:rsidRPr="00493A37" w:rsidRDefault="001E3B01" w:rsidP="001E3B01">
      <w:pPr>
        <w:rPr>
          <w:rFonts w:ascii="Arial" w:hAnsi="Arial" w:cs="Arial"/>
          <w:color w:val="000000"/>
        </w:rPr>
      </w:pPr>
    </w:p>
    <w:tbl>
      <w:tblPr>
        <w:tblW w:w="13907" w:type="dxa"/>
        <w:tblInd w:w="93" w:type="dxa"/>
        <w:tblLayout w:type="fixed"/>
        <w:tblLook w:val="04A0" w:firstRow="1" w:lastRow="0" w:firstColumn="1" w:lastColumn="0" w:noHBand="0" w:noVBand="1"/>
      </w:tblPr>
      <w:tblGrid>
        <w:gridCol w:w="2567"/>
        <w:gridCol w:w="1417"/>
        <w:gridCol w:w="1418"/>
        <w:gridCol w:w="1417"/>
        <w:gridCol w:w="1418"/>
        <w:gridCol w:w="1417"/>
        <w:gridCol w:w="1418"/>
        <w:gridCol w:w="1417"/>
        <w:gridCol w:w="1418"/>
      </w:tblGrid>
      <w:tr w:rsidR="001E3B01" w:rsidRPr="00493A37" w14:paraId="61FE17E1" w14:textId="77777777" w:rsidTr="005B5226">
        <w:trPr>
          <w:trHeight w:val="317"/>
        </w:trPr>
        <w:tc>
          <w:tcPr>
            <w:tcW w:w="2567" w:type="dxa"/>
            <w:tcBorders>
              <w:right w:val="single" w:sz="4" w:space="0" w:color="000000"/>
            </w:tcBorders>
            <w:shd w:val="clear" w:color="auto" w:fill="auto"/>
            <w:vAlign w:val="bottom"/>
          </w:tcPr>
          <w:p w14:paraId="58D231EC" w14:textId="77777777" w:rsidR="001E3B01" w:rsidRPr="00493A37" w:rsidRDefault="001E3B01" w:rsidP="005B5226">
            <w:pPr>
              <w:jc w:val="center"/>
              <w:rPr>
                <w:rFonts w:ascii="Arial" w:hAnsi="Arial" w:cs="Arial"/>
                <w:b/>
                <w:color w:val="000000"/>
                <w:sz w:val="20"/>
                <w:szCs w:val="20"/>
              </w:rPr>
            </w:pPr>
          </w:p>
        </w:tc>
        <w:tc>
          <w:tcPr>
            <w:tcW w:w="9922"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12D21A4F"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Pre-diversification</w:t>
            </w:r>
          </w:p>
        </w:tc>
        <w:tc>
          <w:tcPr>
            <w:tcW w:w="1418" w:type="dxa"/>
            <w:tcBorders>
              <w:top w:val="single" w:sz="4" w:space="0" w:color="000000"/>
              <w:left w:val="nil"/>
              <w:bottom w:val="nil"/>
              <w:right w:val="single" w:sz="4" w:space="0" w:color="000000"/>
            </w:tcBorders>
            <w:vAlign w:val="bottom"/>
          </w:tcPr>
          <w:p w14:paraId="2147FE93" w14:textId="77777777" w:rsidR="001E3B01" w:rsidRPr="00493A37" w:rsidRDefault="001E3B01" w:rsidP="005B5226">
            <w:pPr>
              <w:jc w:val="center"/>
              <w:rPr>
                <w:rFonts w:ascii="Arial" w:hAnsi="Arial" w:cs="Arial"/>
                <w:b/>
                <w:color w:val="000000"/>
                <w:sz w:val="20"/>
                <w:szCs w:val="20"/>
              </w:rPr>
            </w:pPr>
          </w:p>
        </w:tc>
      </w:tr>
      <w:tr w:rsidR="001E3B01" w:rsidRPr="00493A37" w14:paraId="2AC05E58" w14:textId="77777777" w:rsidTr="005B5226">
        <w:trPr>
          <w:trHeight w:val="317"/>
        </w:trPr>
        <w:tc>
          <w:tcPr>
            <w:tcW w:w="2567" w:type="dxa"/>
            <w:tcBorders>
              <w:bottom w:val="single" w:sz="4" w:space="0" w:color="000000"/>
              <w:right w:val="single" w:sz="4" w:space="0" w:color="000000"/>
            </w:tcBorders>
            <w:shd w:val="clear" w:color="auto" w:fill="auto"/>
            <w:vAlign w:val="bottom"/>
          </w:tcPr>
          <w:p w14:paraId="6BE701B4" w14:textId="77777777" w:rsidR="001E3B01" w:rsidRPr="00493A37" w:rsidRDefault="001E3B01" w:rsidP="005B5226">
            <w:pPr>
              <w:jc w:val="center"/>
              <w:rPr>
                <w:rFonts w:ascii="Arial" w:hAnsi="Arial" w:cs="Arial"/>
                <w:b/>
                <w:color w:val="000000"/>
                <w:sz w:val="20"/>
                <w:szCs w:val="20"/>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auto"/>
            <w:vAlign w:val="bottom"/>
          </w:tcPr>
          <w:p w14:paraId="183956F8"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Mortality</w:t>
            </w:r>
          </w:p>
        </w:tc>
        <w:tc>
          <w:tcPr>
            <w:tcW w:w="2835" w:type="dxa"/>
            <w:gridSpan w:val="2"/>
            <w:tcBorders>
              <w:top w:val="single" w:sz="4" w:space="0" w:color="000000"/>
              <w:left w:val="nil"/>
              <w:bottom w:val="single" w:sz="4" w:space="0" w:color="000000"/>
              <w:right w:val="single" w:sz="4" w:space="0" w:color="000000"/>
            </w:tcBorders>
            <w:shd w:val="clear" w:color="auto" w:fill="auto"/>
            <w:vAlign w:val="bottom"/>
          </w:tcPr>
          <w:p w14:paraId="6ACA363E"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Morbidity</w:t>
            </w:r>
          </w:p>
        </w:tc>
        <w:tc>
          <w:tcPr>
            <w:tcW w:w="1417" w:type="dxa"/>
            <w:tcBorders>
              <w:top w:val="single" w:sz="4" w:space="0" w:color="000000"/>
              <w:left w:val="nil"/>
              <w:right w:val="single" w:sz="4" w:space="0" w:color="000000"/>
            </w:tcBorders>
            <w:vAlign w:val="bottom"/>
          </w:tcPr>
          <w:p w14:paraId="6A8FD3AB" w14:textId="77777777" w:rsidR="001E3B01" w:rsidRPr="00493A37" w:rsidRDefault="001E3B01" w:rsidP="005B5226">
            <w:pPr>
              <w:jc w:val="center"/>
              <w:rPr>
                <w:rFonts w:ascii="Arial" w:hAnsi="Arial" w:cs="Arial"/>
                <w:b/>
                <w:color w:val="000000"/>
                <w:sz w:val="20"/>
                <w:szCs w:val="20"/>
              </w:rPr>
            </w:pPr>
          </w:p>
        </w:tc>
        <w:tc>
          <w:tcPr>
            <w:tcW w:w="1418" w:type="dxa"/>
            <w:tcBorders>
              <w:top w:val="single" w:sz="4" w:space="0" w:color="000000"/>
              <w:left w:val="nil"/>
              <w:right w:val="single" w:sz="4" w:space="0" w:color="000000"/>
            </w:tcBorders>
            <w:vAlign w:val="bottom"/>
          </w:tcPr>
          <w:p w14:paraId="2AB83DBC" w14:textId="77777777" w:rsidR="001E3B01" w:rsidRPr="00493A37" w:rsidRDefault="001E3B01" w:rsidP="005B5226">
            <w:pPr>
              <w:jc w:val="center"/>
              <w:rPr>
                <w:rFonts w:ascii="Arial" w:hAnsi="Arial" w:cs="Arial"/>
                <w:b/>
                <w:color w:val="000000"/>
                <w:sz w:val="20"/>
                <w:szCs w:val="20"/>
              </w:rPr>
            </w:pPr>
          </w:p>
        </w:tc>
        <w:tc>
          <w:tcPr>
            <w:tcW w:w="1417" w:type="dxa"/>
            <w:tcBorders>
              <w:top w:val="single" w:sz="4" w:space="0" w:color="000000"/>
              <w:left w:val="nil"/>
              <w:right w:val="single" w:sz="4" w:space="0" w:color="000000"/>
            </w:tcBorders>
            <w:vAlign w:val="bottom"/>
          </w:tcPr>
          <w:p w14:paraId="79251D60" w14:textId="77777777" w:rsidR="001E3B01" w:rsidRPr="00493A37" w:rsidRDefault="001E3B01" w:rsidP="005B5226">
            <w:pPr>
              <w:jc w:val="center"/>
              <w:rPr>
                <w:rFonts w:ascii="Arial" w:hAnsi="Arial" w:cs="Arial"/>
                <w:b/>
                <w:color w:val="000000"/>
                <w:sz w:val="20"/>
                <w:szCs w:val="20"/>
              </w:rPr>
            </w:pPr>
          </w:p>
        </w:tc>
        <w:tc>
          <w:tcPr>
            <w:tcW w:w="1418" w:type="dxa"/>
            <w:tcBorders>
              <w:left w:val="nil"/>
              <w:right w:val="single" w:sz="4" w:space="0" w:color="000000"/>
            </w:tcBorders>
            <w:vAlign w:val="bottom"/>
          </w:tcPr>
          <w:p w14:paraId="1FE4E20A" w14:textId="77777777" w:rsidR="001E3B01" w:rsidRPr="00493A37" w:rsidRDefault="001E3B01" w:rsidP="005B5226">
            <w:pPr>
              <w:jc w:val="center"/>
              <w:rPr>
                <w:rFonts w:ascii="Arial" w:hAnsi="Arial" w:cs="Arial"/>
                <w:b/>
                <w:color w:val="000000"/>
                <w:sz w:val="20"/>
                <w:szCs w:val="20"/>
              </w:rPr>
            </w:pPr>
          </w:p>
        </w:tc>
      </w:tr>
      <w:tr w:rsidR="001E3B01" w:rsidRPr="00493A37" w14:paraId="737676BB" w14:textId="77777777" w:rsidTr="005B5226">
        <w:trPr>
          <w:trHeight w:val="317"/>
        </w:trPr>
        <w:tc>
          <w:tcPr>
            <w:tcW w:w="2567" w:type="dxa"/>
            <w:tcBorders>
              <w:top w:val="single" w:sz="4" w:space="0" w:color="000000"/>
              <w:left w:val="single" w:sz="4" w:space="0" w:color="auto"/>
              <w:bottom w:val="nil"/>
              <w:right w:val="single" w:sz="4" w:space="0" w:color="auto"/>
            </w:tcBorders>
            <w:shd w:val="clear" w:color="auto" w:fill="auto"/>
            <w:vAlign w:val="bottom"/>
            <w:hideMark/>
          </w:tcPr>
          <w:p w14:paraId="30F01F1A"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Product group</w:t>
            </w:r>
          </w:p>
        </w:tc>
        <w:tc>
          <w:tcPr>
            <w:tcW w:w="1417" w:type="dxa"/>
            <w:tcBorders>
              <w:top w:val="single" w:sz="4" w:space="0" w:color="auto"/>
              <w:left w:val="nil"/>
              <w:bottom w:val="nil"/>
              <w:right w:val="single" w:sz="4" w:space="0" w:color="auto"/>
            </w:tcBorders>
            <w:shd w:val="clear" w:color="auto" w:fill="auto"/>
            <w:vAlign w:val="bottom"/>
          </w:tcPr>
          <w:p w14:paraId="06E5E6B7"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auto"/>
              <w:left w:val="nil"/>
              <w:bottom w:val="nil"/>
              <w:right w:val="single" w:sz="4" w:space="0" w:color="auto"/>
            </w:tcBorders>
            <w:shd w:val="clear" w:color="auto" w:fill="auto"/>
            <w:vAlign w:val="bottom"/>
          </w:tcPr>
          <w:p w14:paraId="3CD0ABC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top w:val="single" w:sz="4" w:space="0" w:color="000000"/>
              <w:left w:val="nil"/>
              <w:bottom w:val="nil"/>
              <w:right w:val="single" w:sz="4" w:space="0" w:color="000000"/>
            </w:tcBorders>
            <w:shd w:val="clear" w:color="auto" w:fill="auto"/>
            <w:vAlign w:val="bottom"/>
          </w:tcPr>
          <w:p w14:paraId="2C5B056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000000"/>
              <w:left w:val="nil"/>
              <w:bottom w:val="nil"/>
              <w:right w:val="single" w:sz="4" w:space="0" w:color="000000"/>
            </w:tcBorders>
            <w:vAlign w:val="bottom"/>
          </w:tcPr>
          <w:p w14:paraId="3AEC046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left w:val="nil"/>
              <w:right w:val="single" w:sz="4" w:space="0" w:color="000000"/>
            </w:tcBorders>
            <w:vAlign w:val="bottom"/>
          </w:tcPr>
          <w:p w14:paraId="0B71F382"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Event</w:t>
            </w:r>
          </w:p>
        </w:tc>
        <w:tc>
          <w:tcPr>
            <w:tcW w:w="1418" w:type="dxa"/>
            <w:tcBorders>
              <w:left w:val="nil"/>
              <w:right w:val="single" w:sz="4" w:space="0" w:color="000000"/>
            </w:tcBorders>
            <w:vAlign w:val="bottom"/>
          </w:tcPr>
          <w:p w14:paraId="2D978105"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Longevity</w:t>
            </w:r>
          </w:p>
        </w:tc>
        <w:tc>
          <w:tcPr>
            <w:tcW w:w="1417" w:type="dxa"/>
            <w:tcBorders>
              <w:left w:val="nil"/>
              <w:right w:val="single" w:sz="4" w:space="0" w:color="000000"/>
            </w:tcBorders>
            <w:vAlign w:val="bottom"/>
          </w:tcPr>
          <w:p w14:paraId="283D588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w:t>
            </w:r>
          </w:p>
        </w:tc>
        <w:tc>
          <w:tcPr>
            <w:tcW w:w="1418" w:type="dxa"/>
            <w:tcBorders>
              <w:left w:val="nil"/>
              <w:right w:val="single" w:sz="4" w:space="0" w:color="000000"/>
            </w:tcBorders>
            <w:vAlign w:val="bottom"/>
          </w:tcPr>
          <w:p w14:paraId="547A50B1"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 Post-diversification</w:t>
            </w:r>
          </w:p>
        </w:tc>
      </w:tr>
      <w:tr w:rsidR="001E3B01" w:rsidRPr="00493A37" w14:paraId="4D214010" w14:textId="77777777" w:rsidTr="005B5226">
        <w:trPr>
          <w:trHeight w:val="317"/>
        </w:trPr>
        <w:tc>
          <w:tcPr>
            <w:tcW w:w="2567" w:type="dxa"/>
            <w:tcBorders>
              <w:top w:val="nil"/>
              <w:left w:val="single" w:sz="4" w:space="0" w:color="auto"/>
              <w:bottom w:val="single" w:sz="4" w:space="0" w:color="auto"/>
              <w:right w:val="single" w:sz="4" w:space="0" w:color="auto"/>
            </w:tcBorders>
            <w:shd w:val="clear" w:color="auto" w:fill="auto"/>
            <w:vAlign w:val="bottom"/>
            <w:hideMark/>
          </w:tcPr>
          <w:p w14:paraId="22B5DB5F" w14:textId="77777777" w:rsidR="001E3B01" w:rsidRPr="00493A37" w:rsidRDefault="001E3B01" w:rsidP="005B5226">
            <w:pPr>
              <w:jc w:val="center"/>
              <w:rPr>
                <w:rFonts w:ascii="Arial" w:hAnsi="Arial" w:cs="Arial"/>
                <w:b/>
                <w:bCs/>
                <w:color w:val="000000"/>
                <w:sz w:val="20"/>
                <w:szCs w:val="20"/>
              </w:rPr>
            </w:pPr>
          </w:p>
        </w:tc>
        <w:tc>
          <w:tcPr>
            <w:tcW w:w="1417" w:type="dxa"/>
            <w:tcBorders>
              <w:top w:val="nil"/>
              <w:left w:val="nil"/>
              <w:bottom w:val="single" w:sz="4" w:space="0" w:color="auto"/>
              <w:right w:val="single" w:sz="4" w:space="0" w:color="auto"/>
            </w:tcBorders>
            <w:shd w:val="clear" w:color="auto" w:fill="auto"/>
            <w:vAlign w:val="bottom"/>
            <w:hideMark/>
          </w:tcPr>
          <w:p w14:paraId="35AD93AB"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14:paraId="5F06DDE3"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w:t>
            </w:r>
          </w:p>
        </w:tc>
        <w:tc>
          <w:tcPr>
            <w:tcW w:w="1417" w:type="dxa"/>
            <w:tcBorders>
              <w:left w:val="nil"/>
              <w:bottom w:val="single" w:sz="4" w:space="0" w:color="auto"/>
              <w:right w:val="single" w:sz="4" w:space="0" w:color="000000"/>
            </w:tcBorders>
            <w:shd w:val="clear" w:color="auto" w:fill="auto"/>
            <w:vAlign w:val="bottom"/>
            <w:hideMark/>
          </w:tcPr>
          <w:p w14:paraId="257B3458"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(3)</w:t>
            </w:r>
          </w:p>
        </w:tc>
        <w:tc>
          <w:tcPr>
            <w:tcW w:w="1418" w:type="dxa"/>
            <w:tcBorders>
              <w:left w:val="nil"/>
              <w:bottom w:val="single" w:sz="4" w:space="0" w:color="auto"/>
              <w:right w:val="single" w:sz="4" w:space="0" w:color="000000"/>
            </w:tcBorders>
            <w:vAlign w:val="bottom"/>
          </w:tcPr>
          <w:p w14:paraId="0293D682"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(4)</w:t>
            </w:r>
          </w:p>
        </w:tc>
        <w:tc>
          <w:tcPr>
            <w:tcW w:w="1417" w:type="dxa"/>
            <w:tcBorders>
              <w:left w:val="nil"/>
              <w:bottom w:val="single" w:sz="4" w:space="0" w:color="auto"/>
              <w:right w:val="single" w:sz="4" w:space="0" w:color="000000"/>
            </w:tcBorders>
            <w:vAlign w:val="bottom"/>
          </w:tcPr>
          <w:p w14:paraId="7C98F817"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(5)</w:t>
            </w:r>
          </w:p>
        </w:tc>
        <w:tc>
          <w:tcPr>
            <w:tcW w:w="1418" w:type="dxa"/>
            <w:tcBorders>
              <w:left w:val="nil"/>
              <w:bottom w:val="single" w:sz="4" w:space="0" w:color="auto"/>
              <w:right w:val="single" w:sz="4" w:space="0" w:color="000000"/>
            </w:tcBorders>
            <w:vAlign w:val="bottom"/>
          </w:tcPr>
          <w:p w14:paraId="13727369"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(6)</w:t>
            </w:r>
          </w:p>
        </w:tc>
        <w:tc>
          <w:tcPr>
            <w:tcW w:w="1417" w:type="dxa"/>
            <w:tcBorders>
              <w:left w:val="nil"/>
              <w:bottom w:val="single" w:sz="4" w:space="0" w:color="auto"/>
              <w:right w:val="single" w:sz="4" w:space="0" w:color="000000"/>
            </w:tcBorders>
            <w:vAlign w:val="bottom"/>
          </w:tcPr>
          <w:p w14:paraId="28C240AA"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(7)</w:t>
            </w:r>
          </w:p>
        </w:tc>
        <w:tc>
          <w:tcPr>
            <w:tcW w:w="1418" w:type="dxa"/>
            <w:tcBorders>
              <w:left w:val="nil"/>
              <w:bottom w:val="single" w:sz="4" w:space="0" w:color="auto"/>
              <w:right w:val="single" w:sz="4" w:space="0" w:color="000000"/>
            </w:tcBorders>
            <w:vAlign w:val="bottom"/>
          </w:tcPr>
          <w:p w14:paraId="3F37721B"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(8)</w:t>
            </w:r>
          </w:p>
        </w:tc>
      </w:tr>
      <w:tr w:rsidR="001E3B01" w:rsidRPr="00493A37" w14:paraId="228DB92B" w14:textId="77777777" w:rsidTr="005B5226">
        <w:trPr>
          <w:trHeight w:val="31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37FE1"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E6D9AF5"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DDE4FAB"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74A32278"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316E3D25"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vAlign w:val="bottom"/>
          </w:tcPr>
          <w:p w14:paraId="6D2C8F7A"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61892FC2"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6A6A6"/>
            <w:vAlign w:val="bottom"/>
          </w:tcPr>
          <w:p w14:paraId="66FA09CE"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215705FF" w14:textId="77777777" w:rsidR="001E3B01" w:rsidRPr="00493A37" w:rsidRDefault="001E3B01" w:rsidP="005B5226">
            <w:pPr>
              <w:jc w:val="center"/>
              <w:rPr>
                <w:rFonts w:ascii="Arial" w:hAnsi="Arial" w:cs="Arial"/>
                <w:color w:val="000000"/>
              </w:rPr>
            </w:pPr>
          </w:p>
        </w:tc>
      </w:tr>
      <w:tr w:rsidR="001E3B01" w:rsidRPr="00493A37" w14:paraId="32CE8938" w14:textId="77777777" w:rsidTr="005B5226">
        <w:trPr>
          <w:trHeight w:val="317"/>
        </w:trPr>
        <w:tc>
          <w:tcPr>
            <w:tcW w:w="256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32055C92" w14:textId="6C6715A1" w:rsidR="001E3B01" w:rsidRPr="00493A37" w:rsidRDefault="001E3B01" w:rsidP="005B5226">
            <w:pPr>
              <w:jc w:val="center"/>
              <w:rPr>
                <w:rFonts w:ascii="Arial" w:hAnsi="Arial" w:cs="Arial"/>
                <w:color w:val="000000"/>
                <w:sz w:val="20"/>
                <w:szCs w:val="20"/>
              </w:rPr>
            </w:pPr>
          </w:p>
        </w:tc>
        <w:tc>
          <w:tcPr>
            <w:tcW w:w="1417" w:type="dxa"/>
            <w:tcBorders>
              <w:top w:val="single" w:sz="4" w:space="0" w:color="auto"/>
              <w:left w:val="dotDash" w:sz="4" w:space="0" w:color="auto"/>
            </w:tcBorders>
            <w:shd w:val="clear" w:color="auto" w:fill="auto"/>
            <w:noWrap/>
            <w:vAlign w:val="bottom"/>
          </w:tcPr>
          <w:p w14:paraId="12BD1E7D"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shd w:val="clear" w:color="auto" w:fill="auto"/>
            <w:noWrap/>
            <w:vAlign w:val="bottom"/>
          </w:tcPr>
          <w:p w14:paraId="7C4765E4" w14:textId="77777777" w:rsidR="001E3B01" w:rsidRPr="00493A37" w:rsidRDefault="001E3B01" w:rsidP="005B5226">
            <w:pPr>
              <w:jc w:val="center"/>
              <w:rPr>
                <w:rFonts w:ascii="Arial" w:hAnsi="Arial" w:cs="Arial"/>
                <w:color w:val="000000"/>
              </w:rPr>
            </w:pPr>
          </w:p>
        </w:tc>
        <w:tc>
          <w:tcPr>
            <w:tcW w:w="1417" w:type="dxa"/>
            <w:tcBorders>
              <w:top w:val="single" w:sz="4" w:space="0" w:color="auto"/>
            </w:tcBorders>
            <w:shd w:val="clear" w:color="auto" w:fill="auto"/>
            <w:vAlign w:val="bottom"/>
          </w:tcPr>
          <w:p w14:paraId="5A1CDCC7"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vAlign w:val="bottom"/>
          </w:tcPr>
          <w:p w14:paraId="204EAF5D" w14:textId="77777777" w:rsidR="001E3B01" w:rsidRPr="00493A37" w:rsidRDefault="001E3B01" w:rsidP="005B5226">
            <w:pPr>
              <w:jc w:val="center"/>
              <w:rPr>
                <w:rFonts w:ascii="Arial" w:hAnsi="Arial" w:cs="Arial"/>
                <w:color w:val="000000"/>
              </w:rPr>
            </w:pPr>
          </w:p>
        </w:tc>
        <w:tc>
          <w:tcPr>
            <w:tcW w:w="1417" w:type="dxa"/>
            <w:tcBorders>
              <w:top w:val="single" w:sz="4" w:space="0" w:color="auto"/>
            </w:tcBorders>
            <w:vAlign w:val="bottom"/>
          </w:tcPr>
          <w:p w14:paraId="05AA39F0"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vAlign w:val="bottom"/>
          </w:tcPr>
          <w:p w14:paraId="6E7D53AC" w14:textId="77777777" w:rsidR="001E3B01" w:rsidRPr="00493A37" w:rsidRDefault="001E3B01" w:rsidP="005B5226">
            <w:pPr>
              <w:jc w:val="center"/>
              <w:rPr>
                <w:rFonts w:ascii="Arial" w:hAnsi="Arial" w:cs="Arial"/>
                <w:bCs/>
                <w:color w:val="000000"/>
              </w:rPr>
            </w:pPr>
          </w:p>
        </w:tc>
        <w:tc>
          <w:tcPr>
            <w:tcW w:w="1417" w:type="dxa"/>
            <w:tcBorders>
              <w:top w:val="single" w:sz="4" w:space="0" w:color="auto"/>
            </w:tcBorders>
          </w:tcPr>
          <w:p w14:paraId="58FFE31F" w14:textId="77777777" w:rsidR="001E3B01" w:rsidRPr="00493A37" w:rsidRDefault="001E3B01" w:rsidP="005B5226">
            <w:pPr>
              <w:jc w:val="center"/>
              <w:rPr>
                <w:rFonts w:ascii="Arial" w:hAnsi="Arial" w:cs="Arial"/>
                <w:bCs/>
                <w:color w:val="000000"/>
              </w:rPr>
            </w:pPr>
          </w:p>
        </w:tc>
        <w:tc>
          <w:tcPr>
            <w:tcW w:w="1418" w:type="dxa"/>
            <w:tcBorders>
              <w:top w:val="single" w:sz="4" w:space="0" w:color="auto"/>
            </w:tcBorders>
          </w:tcPr>
          <w:p w14:paraId="6BB8FCFE" w14:textId="77777777" w:rsidR="001E3B01" w:rsidRPr="00493A37" w:rsidRDefault="001E3B01" w:rsidP="005B5226">
            <w:pPr>
              <w:jc w:val="center"/>
              <w:rPr>
                <w:rFonts w:ascii="Arial" w:hAnsi="Arial" w:cs="Arial"/>
                <w:bCs/>
                <w:color w:val="000000"/>
              </w:rPr>
            </w:pPr>
          </w:p>
        </w:tc>
      </w:tr>
    </w:tbl>
    <w:p w14:paraId="46CE7188" w14:textId="77777777" w:rsidR="0080247C" w:rsidRDefault="0080247C"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04880EE9" w14:textId="77777777" w:rsidTr="005B5226">
        <w:tc>
          <w:tcPr>
            <w:tcW w:w="13892" w:type="dxa"/>
          </w:tcPr>
          <w:p w14:paraId="19A5B11B" w14:textId="77777777" w:rsidR="001E3B01" w:rsidRPr="00493A37" w:rsidRDefault="001E3B01" w:rsidP="00C3476D">
            <w:pPr>
              <w:pStyle w:val="ListParagraph"/>
              <w:keepNext/>
              <w:numPr>
                <w:ilvl w:val="0"/>
                <w:numId w:val="12"/>
              </w:numPr>
              <w:contextualSpacing w:val="0"/>
              <w:rPr>
                <w:rFonts w:ascii="Arial" w:hAnsi="Arial" w:cs="Arial"/>
                <w:b/>
                <w:bCs/>
                <w:color w:val="000000"/>
              </w:rPr>
            </w:pPr>
            <w:r w:rsidRPr="00493A37">
              <w:rPr>
                <w:rFonts w:ascii="Arial" w:hAnsi="Arial" w:cs="Arial"/>
                <w:b/>
                <w:bCs/>
                <w:color w:val="000000"/>
              </w:rPr>
              <w:t>Impact of stress margins - non-participating benefits business</w:t>
            </w:r>
          </w:p>
        </w:tc>
      </w:tr>
    </w:tbl>
    <w:p w14:paraId="72B0B9AA" w14:textId="77777777" w:rsidR="001E3B01" w:rsidRPr="00C3476D" w:rsidRDefault="001E3B01" w:rsidP="00C3476D">
      <w:pPr>
        <w:keepNext/>
        <w:rPr>
          <w:rFonts w:ascii="Arial" w:hAnsi="Arial" w:cs="Arial"/>
        </w:rPr>
      </w:pPr>
    </w:p>
    <w:tbl>
      <w:tblPr>
        <w:tblW w:w="13892" w:type="dxa"/>
        <w:tblInd w:w="93" w:type="dxa"/>
        <w:tblLook w:val="04A0" w:firstRow="1" w:lastRow="0" w:firstColumn="1" w:lastColumn="0" w:noHBand="0" w:noVBand="1"/>
      </w:tblPr>
      <w:tblGrid>
        <w:gridCol w:w="12206"/>
        <w:gridCol w:w="1686"/>
      </w:tblGrid>
      <w:tr w:rsidR="001E3B01" w:rsidRPr="00493A37" w14:paraId="7DF52735" w14:textId="77777777" w:rsidTr="005B5226">
        <w:trPr>
          <w:trHeight w:val="317"/>
        </w:trPr>
        <w:tc>
          <w:tcPr>
            <w:tcW w:w="12206" w:type="dxa"/>
            <w:tcBorders>
              <w:top w:val="nil"/>
              <w:left w:val="nil"/>
              <w:bottom w:val="nil"/>
              <w:right w:val="nil"/>
            </w:tcBorders>
            <w:shd w:val="clear" w:color="auto" w:fill="auto"/>
            <w:noWrap/>
            <w:vAlign w:val="bottom"/>
            <w:hideMark/>
          </w:tcPr>
          <w:p w14:paraId="00CF915E" w14:textId="77777777" w:rsidR="001E3B01" w:rsidRPr="00493A37" w:rsidRDefault="001E3B01" w:rsidP="00C3476D">
            <w:pPr>
              <w:pStyle w:val="ListParagraph"/>
              <w:keepNext/>
              <w:ind w:left="284"/>
              <w:rPr>
                <w:rFonts w:ascii="Arial" w:hAnsi="Arial" w:cs="Arial"/>
                <w:color w:val="000000"/>
              </w:rPr>
            </w:pPr>
            <w:r w:rsidRPr="00493A37">
              <w:rPr>
                <w:rFonts w:ascii="Arial" w:hAnsi="Arial" w:cs="Arial"/>
                <w:color w:val="000000"/>
              </w:rPr>
              <w:t>Valuation date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87820" w14:textId="77777777" w:rsidR="001E3B01" w:rsidRPr="00493A37" w:rsidRDefault="001E3B01" w:rsidP="00C3476D">
            <w:pPr>
              <w:keepNext/>
              <w:jc w:val="center"/>
              <w:rPr>
                <w:rFonts w:ascii="Arial" w:hAnsi="Arial" w:cs="Arial"/>
                <w:color w:val="000000"/>
              </w:rPr>
            </w:pPr>
          </w:p>
        </w:tc>
      </w:tr>
    </w:tbl>
    <w:p w14:paraId="40EE21C7" w14:textId="77777777" w:rsidR="001E3B01" w:rsidRPr="00493A37" w:rsidRDefault="001E3B01" w:rsidP="00C3476D">
      <w:pPr>
        <w:keepNext/>
        <w:rPr>
          <w:rFonts w:ascii="Arial" w:hAnsi="Arial" w:cs="Arial"/>
          <w:color w:val="000000"/>
        </w:rPr>
      </w:pPr>
    </w:p>
    <w:tbl>
      <w:tblPr>
        <w:tblW w:w="13907" w:type="dxa"/>
        <w:tblInd w:w="93" w:type="dxa"/>
        <w:tblLayout w:type="fixed"/>
        <w:tblLook w:val="04A0" w:firstRow="1" w:lastRow="0" w:firstColumn="1" w:lastColumn="0" w:noHBand="0" w:noVBand="1"/>
      </w:tblPr>
      <w:tblGrid>
        <w:gridCol w:w="2567"/>
        <w:gridCol w:w="1417"/>
        <w:gridCol w:w="1418"/>
        <w:gridCol w:w="1417"/>
        <w:gridCol w:w="1418"/>
        <w:gridCol w:w="1417"/>
        <w:gridCol w:w="1418"/>
        <w:gridCol w:w="1417"/>
        <w:gridCol w:w="1418"/>
      </w:tblGrid>
      <w:tr w:rsidR="001E3B01" w:rsidRPr="00493A37" w14:paraId="0E80F8D3" w14:textId="77777777" w:rsidTr="005B5226">
        <w:trPr>
          <w:trHeight w:val="317"/>
        </w:trPr>
        <w:tc>
          <w:tcPr>
            <w:tcW w:w="2567" w:type="dxa"/>
            <w:tcBorders>
              <w:right w:val="single" w:sz="4" w:space="0" w:color="000000"/>
            </w:tcBorders>
            <w:shd w:val="clear" w:color="auto" w:fill="auto"/>
            <w:vAlign w:val="bottom"/>
          </w:tcPr>
          <w:p w14:paraId="0A929D26" w14:textId="77777777" w:rsidR="001E3B01" w:rsidRPr="00493A37" w:rsidRDefault="001E3B01" w:rsidP="005B5226">
            <w:pPr>
              <w:jc w:val="center"/>
              <w:rPr>
                <w:rFonts w:ascii="Arial" w:hAnsi="Arial" w:cs="Arial"/>
                <w:b/>
                <w:color w:val="000000"/>
                <w:sz w:val="20"/>
                <w:szCs w:val="20"/>
              </w:rPr>
            </w:pPr>
          </w:p>
        </w:tc>
        <w:tc>
          <w:tcPr>
            <w:tcW w:w="9922"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35A363B7"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Pre-diversification</w:t>
            </w:r>
          </w:p>
        </w:tc>
        <w:tc>
          <w:tcPr>
            <w:tcW w:w="1418" w:type="dxa"/>
            <w:tcBorders>
              <w:top w:val="single" w:sz="4" w:space="0" w:color="000000"/>
              <w:left w:val="nil"/>
              <w:bottom w:val="nil"/>
              <w:right w:val="single" w:sz="4" w:space="0" w:color="000000"/>
            </w:tcBorders>
            <w:vAlign w:val="bottom"/>
          </w:tcPr>
          <w:p w14:paraId="58354410" w14:textId="77777777" w:rsidR="001E3B01" w:rsidRPr="00493A37" w:rsidRDefault="001E3B01" w:rsidP="005B5226">
            <w:pPr>
              <w:jc w:val="center"/>
              <w:rPr>
                <w:rFonts w:ascii="Arial" w:hAnsi="Arial" w:cs="Arial"/>
                <w:b/>
                <w:color w:val="000000"/>
                <w:sz w:val="20"/>
                <w:szCs w:val="20"/>
              </w:rPr>
            </w:pPr>
          </w:p>
        </w:tc>
      </w:tr>
      <w:tr w:rsidR="001E3B01" w:rsidRPr="00493A37" w14:paraId="59D1D880" w14:textId="77777777" w:rsidTr="005B5226">
        <w:trPr>
          <w:trHeight w:val="317"/>
        </w:trPr>
        <w:tc>
          <w:tcPr>
            <w:tcW w:w="2567" w:type="dxa"/>
            <w:tcBorders>
              <w:bottom w:val="single" w:sz="4" w:space="0" w:color="000000"/>
              <w:right w:val="single" w:sz="4" w:space="0" w:color="000000"/>
            </w:tcBorders>
            <w:shd w:val="clear" w:color="auto" w:fill="auto"/>
            <w:vAlign w:val="bottom"/>
          </w:tcPr>
          <w:p w14:paraId="04D6766C" w14:textId="77777777" w:rsidR="001E3B01" w:rsidRPr="00493A37" w:rsidRDefault="001E3B01" w:rsidP="005B5226">
            <w:pPr>
              <w:jc w:val="center"/>
              <w:rPr>
                <w:rFonts w:ascii="Arial" w:hAnsi="Arial" w:cs="Arial"/>
                <w:b/>
                <w:color w:val="000000"/>
                <w:sz w:val="20"/>
                <w:szCs w:val="20"/>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auto"/>
            <w:vAlign w:val="bottom"/>
          </w:tcPr>
          <w:p w14:paraId="3289B074"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Mortality</w:t>
            </w:r>
          </w:p>
        </w:tc>
        <w:tc>
          <w:tcPr>
            <w:tcW w:w="2835" w:type="dxa"/>
            <w:gridSpan w:val="2"/>
            <w:tcBorders>
              <w:top w:val="single" w:sz="4" w:space="0" w:color="000000"/>
              <w:left w:val="nil"/>
              <w:bottom w:val="single" w:sz="4" w:space="0" w:color="000000"/>
              <w:right w:val="single" w:sz="4" w:space="0" w:color="000000"/>
            </w:tcBorders>
            <w:shd w:val="clear" w:color="auto" w:fill="auto"/>
            <w:vAlign w:val="bottom"/>
          </w:tcPr>
          <w:p w14:paraId="674313DA"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Morbidity</w:t>
            </w:r>
          </w:p>
        </w:tc>
        <w:tc>
          <w:tcPr>
            <w:tcW w:w="1417" w:type="dxa"/>
            <w:tcBorders>
              <w:top w:val="single" w:sz="4" w:space="0" w:color="000000"/>
              <w:left w:val="nil"/>
              <w:right w:val="single" w:sz="4" w:space="0" w:color="000000"/>
            </w:tcBorders>
            <w:vAlign w:val="bottom"/>
          </w:tcPr>
          <w:p w14:paraId="135D7780" w14:textId="77777777" w:rsidR="001E3B01" w:rsidRPr="00493A37" w:rsidRDefault="001E3B01" w:rsidP="005B5226">
            <w:pPr>
              <w:jc w:val="center"/>
              <w:rPr>
                <w:rFonts w:ascii="Arial" w:hAnsi="Arial" w:cs="Arial"/>
                <w:b/>
                <w:color w:val="000000"/>
                <w:sz w:val="20"/>
                <w:szCs w:val="20"/>
              </w:rPr>
            </w:pPr>
          </w:p>
        </w:tc>
        <w:tc>
          <w:tcPr>
            <w:tcW w:w="1418" w:type="dxa"/>
            <w:tcBorders>
              <w:top w:val="single" w:sz="4" w:space="0" w:color="000000"/>
              <w:left w:val="nil"/>
              <w:right w:val="single" w:sz="4" w:space="0" w:color="000000"/>
            </w:tcBorders>
            <w:vAlign w:val="bottom"/>
          </w:tcPr>
          <w:p w14:paraId="03BE3329" w14:textId="77777777" w:rsidR="001E3B01" w:rsidRPr="00493A37" w:rsidRDefault="001E3B01" w:rsidP="005B5226">
            <w:pPr>
              <w:jc w:val="center"/>
              <w:rPr>
                <w:rFonts w:ascii="Arial" w:hAnsi="Arial" w:cs="Arial"/>
                <w:b/>
                <w:color w:val="000000"/>
                <w:sz w:val="20"/>
                <w:szCs w:val="20"/>
              </w:rPr>
            </w:pPr>
          </w:p>
        </w:tc>
        <w:tc>
          <w:tcPr>
            <w:tcW w:w="1417" w:type="dxa"/>
            <w:tcBorders>
              <w:top w:val="single" w:sz="4" w:space="0" w:color="000000"/>
              <w:left w:val="nil"/>
              <w:right w:val="single" w:sz="4" w:space="0" w:color="000000"/>
            </w:tcBorders>
            <w:vAlign w:val="bottom"/>
          </w:tcPr>
          <w:p w14:paraId="32BD4E36" w14:textId="77777777" w:rsidR="001E3B01" w:rsidRPr="00493A37" w:rsidRDefault="001E3B01" w:rsidP="005B5226">
            <w:pPr>
              <w:jc w:val="center"/>
              <w:rPr>
                <w:rFonts w:ascii="Arial" w:hAnsi="Arial" w:cs="Arial"/>
                <w:b/>
                <w:color w:val="000000"/>
                <w:sz w:val="20"/>
                <w:szCs w:val="20"/>
              </w:rPr>
            </w:pPr>
          </w:p>
        </w:tc>
        <w:tc>
          <w:tcPr>
            <w:tcW w:w="1418" w:type="dxa"/>
            <w:tcBorders>
              <w:left w:val="nil"/>
              <w:right w:val="single" w:sz="4" w:space="0" w:color="000000"/>
            </w:tcBorders>
            <w:vAlign w:val="bottom"/>
          </w:tcPr>
          <w:p w14:paraId="236E4ECD" w14:textId="77777777" w:rsidR="001E3B01" w:rsidRPr="00493A37" w:rsidRDefault="001E3B01" w:rsidP="005B5226">
            <w:pPr>
              <w:jc w:val="center"/>
              <w:rPr>
                <w:rFonts w:ascii="Arial" w:hAnsi="Arial" w:cs="Arial"/>
                <w:b/>
                <w:color w:val="000000"/>
                <w:sz w:val="20"/>
                <w:szCs w:val="20"/>
              </w:rPr>
            </w:pPr>
          </w:p>
        </w:tc>
      </w:tr>
      <w:tr w:rsidR="001E3B01" w:rsidRPr="00493A37" w14:paraId="31B3913F" w14:textId="77777777" w:rsidTr="005B5226">
        <w:trPr>
          <w:trHeight w:val="317"/>
        </w:trPr>
        <w:tc>
          <w:tcPr>
            <w:tcW w:w="2567" w:type="dxa"/>
            <w:tcBorders>
              <w:top w:val="single" w:sz="4" w:space="0" w:color="000000"/>
              <w:left w:val="single" w:sz="4" w:space="0" w:color="auto"/>
              <w:bottom w:val="nil"/>
              <w:right w:val="single" w:sz="4" w:space="0" w:color="auto"/>
            </w:tcBorders>
            <w:shd w:val="clear" w:color="auto" w:fill="auto"/>
            <w:vAlign w:val="bottom"/>
            <w:hideMark/>
          </w:tcPr>
          <w:p w14:paraId="626B9205"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Product group</w:t>
            </w:r>
          </w:p>
        </w:tc>
        <w:tc>
          <w:tcPr>
            <w:tcW w:w="1417" w:type="dxa"/>
            <w:tcBorders>
              <w:top w:val="single" w:sz="4" w:space="0" w:color="auto"/>
              <w:left w:val="nil"/>
              <w:bottom w:val="nil"/>
              <w:right w:val="single" w:sz="4" w:space="0" w:color="auto"/>
            </w:tcBorders>
            <w:shd w:val="clear" w:color="auto" w:fill="auto"/>
            <w:vAlign w:val="bottom"/>
          </w:tcPr>
          <w:p w14:paraId="53CDBCC1"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auto"/>
              <w:left w:val="nil"/>
              <w:bottom w:val="nil"/>
              <w:right w:val="single" w:sz="4" w:space="0" w:color="auto"/>
            </w:tcBorders>
            <w:shd w:val="clear" w:color="auto" w:fill="auto"/>
            <w:vAlign w:val="bottom"/>
          </w:tcPr>
          <w:p w14:paraId="16CF2A62"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top w:val="single" w:sz="4" w:space="0" w:color="000000"/>
              <w:left w:val="nil"/>
              <w:bottom w:val="nil"/>
              <w:right w:val="single" w:sz="4" w:space="0" w:color="000000"/>
            </w:tcBorders>
            <w:shd w:val="clear" w:color="auto" w:fill="auto"/>
            <w:vAlign w:val="bottom"/>
          </w:tcPr>
          <w:p w14:paraId="2499A527"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000000"/>
              <w:left w:val="nil"/>
              <w:bottom w:val="nil"/>
              <w:right w:val="single" w:sz="4" w:space="0" w:color="000000"/>
            </w:tcBorders>
            <w:vAlign w:val="bottom"/>
          </w:tcPr>
          <w:p w14:paraId="3561A1CF"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left w:val="nil"/>
              <w:right w:val="single" w:sz="4" w:space="0" w:color="000000"/>
            </w:tcBorders>
            <w:vAlign w:val="bottom"/>
          </w:tcPr>
          <w:p w14:paraId="7D895777"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Event</w:t>
            </w:r>
          </w:p>
        </w:tc>
        <w:tc>
          <w:tcPr>
            <w:tcW w:w="1418" w:type="dxa"/>
            <w:tcBorders>
              <w:left w:val="nil"/>
              <w:right w:val="single" w:sz="4" w:space="0" w:color="000000"/>
            </w:tcBorders>
            <w:vAlign w:val="bottom"/>
          </w:tcPr>
          <w:p w14:paraId="18ED6532"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Longevity</w:t>
            </w:r>
          </w:p>
        </w:tc>
        <w:tc>
          <w:tcPr>
            <w:tcW w:w="1417" w:type="dxa"/>
            <w:tcBorders>
              <w:left w:val="nil"/>
              <w:right w:val="single" w:sz="4" w:space="0" w:color="000000"/>
            </w:tcBorders>
            <w:vAlign w:val="bottom"/>
          </w:tcPr>
          <w:p w14:paraId="664FF778"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w:t>
            </w:r>
          </w:p>
        </w:tc>
        <w:tc>
          <w:tcPr>
            <w:tcW w:w="1418" w:type="dxa"/>
            <w:tcBorders>
              <w:left w:val="nil"/>
              <w:right w:val="single" w:sz="4" w:space="0" w:color="000000"/>
            </w:tcBorders>
            <w:vAlign w:val="bottom"/>
          </w:tcPr>
          <w:p w14:paraId="24D59B4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 Post-diversification</w:t>
            </w:r>
          </w:p>
        </w:tc>
      </w:tr>
      <w:tr w:rsidR="001E3B01" w:rsidRPr="00493A37" w14:paraId="17039F9A" w14:textId="77777777" w:rsidTr="005B5226">
        <w:trPr>
          <w:trHeight w:val="317"/>
        </w:trPr>
        <w:tc>
          <w:tcPr>
            <w:tcW w:w="2567" w:type="dxa"/>
            <w:tcBorders>
              <w:top w:val="nil"/>
              <w:left w:val="single" w:sz="4" w:space="0" w:color="auto"/>
              <w:bottom w:val="single" w:sz="4" w:space="0" w:color="auto"/>
              <w:right w:val="single" w:sz="4" w:space="0" w:color="auto"/>
            </w:tcBorders>
            <w:shd w:val="clear" w:color="auto" w:fill="auto"/>
            <w:vAlign w:val="bottom"/>
            <w:hideMark/>
          </w:tcPr>
          <w:p w14:paraId="50D7E12C" w14:textId="77777777" w:rsidR="001E3B01" w:rsidRPr="00493A37" w:rsidRDefault="001E3B01" w:rsidP="005B5226">
            <w:pPr>
              <w:jc w:val="center"/>
              <w:rPr>
                <w:rFonts w:ascii="Arial" w:hAnsi="Arial" w:cs="Arial"/>
                <w:b/>
                <w:bCs/>
                <w:color w:val="000000"/>
                <w:sz w:val="20"/>
                <w:szCs w:val="20"/>
              </w:rPr>
            </w:pPr>
          </w:p>
        </w:tc>
        <w:tc>
          <w:tcPr>
            <w:tcW w:w="1417" w:type="dxa"/>
            <w:tcBorders>
              <w:top w:val="nil"/>
              <w:left w:val="nil"/>
              <w:bottom w:val="single" w:sz="4" w:space="0" w:color="auto"/>
              <w:right w:val="single" w:sz="4" w:space="0" w:color="auto"/>
            </w:tcBorders>
            <w:shd w:val="clear" w:color="auto" w:fill="auto"/>
            <w:vAlign w:val="bottom"/>
            <w:hideMark/>
          </w:tcPr>
          <w:p w14:paraId="04E6332C"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14:paraId="0E45DED4"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w:t>
            </w:r>
          </w:p>
        </w:tc>
        <w:tc>
          <w:tcPr>
            <w:tcW w:w="1417" w:type="dxa"/>
            <w:tcBorders>
              <w:left w:val="nil"/>
              <w:bottom w:val="single" w:sz="4" w:space="0" w:color="auto"/>
              <w:right w:val="single" w:sz="4" w:space="0" w:color="000000"/>
            </w:tcBorders>
            <w:shd w:val="clear" w:color="auto" w:fill="auto"/>
            <w:vAlign w:val="bottom"/>
            <w:hideMark/>
          </w:tcPr>
          <w:p w14:paraId="29821534"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(3)</w:t>
            </w:r>
          </w:p>
        </w:tc>
        <w:tc>
          <w:tcPr>
            <w:tcW w:w="1418" w:type="dxa"/>
            <w:tcBorders>
              <w:left w:val="nil"/>
              <w:bottom w:val="single" w:sz="4" w:space="0" w:color="auto"/>
              <w:right w:val="single" w:sz="4" w:space="0" w:color="000000"/>
            </w:tcBorders>
            <w:vAlign w:val="bottom"/>
          </w:tcPr>
          <w:p w14:paraId="7E74297A"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(4)</w:t>
            </w:r>
          </w:p>
        </w:tc>
        <w:tc>
          <w:tcPr>
            <w:tcW w:w="1417" w:type="dxa"/>
            <w:tcBorders>
              <w:left w:val="nil"/>
              <w:bottom w:val="single" w:sz="4" w:space="0" w:color="auto"/>
              <w:right w:val="single" w:sz="4" w:space="0" w:color="000000"/>
            </w:tcBorders>
            <w:vAlign w:val="bottom"/>
          </w:tcPr>
          <w:p w14:paraId="4968395C"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(5)</w:t>
            </w:r>
          </w:p>
        </w:tc>
        <w:tc>
          <w:tcPr>
            <w:tcW w:w="1418" w:type="dxa"/>
            <w:tcBorders>
              <w:left w:val="nil"/>
              <w:bottom w:val="single" w:sz="4" w:space="0" w:color="auto"/>
              <w:right w:val="single" w:sz="4" w:space="0" w:color="000000"/>
            </w:tcBorders>
            <w:vAlign w:val="bottom"/>
          </w:tcPr>
          <w:p w14:paraId="3E6D6AFE"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(6)</w:t>
            </w:r>
          </w:p>
        </w:tc>
        <w:tc>
          <w:tcPr>
            <w:tcW w:w="1417" w:type="dxa"/>
            <w:tcBorders>
              <w:left w:val="nil"/>
              <w:bottom w:val="single" w:sz="4" w:space="0" w:color="auto"/>
              <w:right w:val="single" w:sz="4" w:space="0" w:color="000000"/>
            </w:tcBorders>
            <w:vAlign w:val="bottom"/>
          </w:tcPr>
          <w:p w14:paraId="06AE73AF"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(7)</w:t>
            </w:r>
          </w:p>
        </w:tc>
        <w:tc>
          <w:tcPr>
            <w:tcW w:w="1418" w:type="dxa"/>
            <w:tcBorders>
              <w:left w:val="nil"/>
              <w:bottom w:val="single" w:sz="4" w:space="0" w:color="auto"/>
              <w:right w:val="single" w:sz="4" w:space="0" w:color="000000"/>
            </w:tcBorders>
            <w:vAlign w:val="bottom"/>
          </w:tcPr>
          <w:p w14:paraId="6D98B925"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(8)</w:t>
            </w:r>
          </w:p>
        </w:tc>
      </w:tr>
      <w:tr w:rsidR="001E3B01" w:rsidRPr="00493A37" w14:paraId="1B034903" w14:textId="77777777" w:rsidTr="005B5226">
        <w:trPr>
          <w:trHeight w:val="31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EA4CD"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9D4F563"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9D6912F"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678CA295"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194622DF"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vAlign w:val="bottom"/>
          </w:tcPr>
          <w:p w14:paraId="32B47857" w14:textId="77777777" w:rsidR="001E3B01" w:rsidRPr="00493A37" w:rsidRDefault="001E3B01" w:rsidP="005B5226">
            <w:pPr>
              <w:jc w:val="center"/>
              <w:rPr>
                <w:rFonts w:ascii="Arial" w:hAnsi="Arial" w:cs="Arial"/>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50796557" w14:textId="77777777" w:rsidR="001E3B01" w:rsidRPr="00493A37" w:rsidRDefault="001E3B01" w:rsidP="005B5226">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6A6A6"/>
            <w:vAlign w:val="bottom"/>
          </w:tcPr>
          <w:p w14:paraId="5C319C3C"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76439DA2" w14:textId="77777777" w:rsidR="001E3B01" w:rsidRPr="00493A37" w:rsidRDefault="001E3B01" w:rsidP="005B5226">
            <w:pPr>
              <w:jc w:val="center"/>
              <w:rPr>
                <w:rFonts w:ascii="Arial" w:hAnsi="Arial" w:cs="Arial"/>
                <w:color w:val="000000"/>
              </w:rPr>
            </w:pPr>
          </w:p>
        </w:tc>
      </w:tr>
      <w:tr w:rsidR="001E3B01" w:rsidRPr="00493A37" w14:paraId="32A36DD4" w14:textId="77777777" w:rsidTr="005B5226">
        <w:trPr>
          <w:trHeight w:val="317"/>
        </w:trPr>
        <w:tc>
          <w:tcPr>
            <w:tcW w:w="256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814C6FD" w14:textId="318CD6F6" w:rsidR="001E3B01" w:rsidRPr="00493A37" w:rsidRDefault="001E3B01" w:rsidP="005B5226">
            <w:pPr>
              <w:jc w:val="center"/>
              <w:rPr>
                <w:rFonts w:ascii="Arial" w:hAnsi="Arial" w:cs="Arial"/>
                <w:color w:val="000000"/>
                <w:sz w:val="20"/>
                <w:szCs w:val="20"/>
              </w:rPr>
            </w:pPr>
          </w:p>
        </w:tc>
        <w:tc>
          <w:tcPr>
            <w:tcW w:w="1417" w:type="dxa"/>
            <w:tcBorders>
              <w:top w:val="single" w:sz="4" w:space="0" w:color="auto"/>
              <w:left w:val="dotDash" w:sz="4" w:space="0" w:color="auto"/>
            </w:tcBorders>
            <w:shd w:val="clear" w:color="auto" w:fill="auto"/>
            <w:noWrap/>
            <w:vAlign w:val="bottom"/>
          </w:tcPr>
          <w:p w14:paraId="0022BC05"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shd w:val="clear" w:color="auto" w:fill="auto"/>
            <w:noWrap/>
            <w:vAlign w:val="bottom"/>
          </w:tcPr>
          <w:p w14:paraId="4F93B2B4" w14:textId="77777777" w:rsidR="001E3B01" w:rsidRPr="00493A37" w:rsidRDefault="001E3B01" w:rsidP="005B5226">
            <w:pPr>
              <w:jc w:val="center"/>
              <w:rPr>
                <w:rFonts w:ascii="Arial" w:hAnsi="Arial" w:cs="Arial"/>
                <w:color w:val="000000"/>
              </w:rPr>
            </w:pPr>
          </w:p>
        </w:tc>
        <w:tc>
          <w:tcPr>
            <w:tcW w:w="1417" w:type="dxa"/>
            <w:tcBorders>
              <w:top w:val="single" w:sz="4" w:space="0" w:color="auto"/>
            </w:tcBorders>
            <w:shd w:val="clear" w:color="auto" w:fill="auto"/>
            <w:vAlign w:val="bottom"/>
          </w:tcPr>
          <w:p w14:paraId="703B87A5"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vAlign w:val="bottom"/>
          </w:tcPr>
          <w:p w14:paraId="36CFAE84" w14:textId="77777777" w:rsidR="001E3B01" w:rsidRPr="00493A37" w:rsidRDefault="001E3B01" w:rsidP="005B5226">
            <w:pPr>
              <w:jc w:val="center"/>
              <w:rPr>
                <w:rFonts w:ascii="Arial" w:hAnsi="Arial" w:cs="Arial"/>
                <w:color w:val="000000"/>
              </w:rPr>
            </w:pPr>
          </w:p>
        </w:tc>
        <w:tc>
          <w:tcPr>
            <w:tcW w:w="1417" w:type="dxa"/>
            <w:tcBorders>
              <w:top w:val="single" w:sz="4" w:space="0" w:color="auto"/>
            </w:tcBorders>
            <w:vAlign w:val="bottom"/>
          </w:tcPr>
          <w:p w14:paraId="5866D53E" w14:textId="77777777" w:rsidR="001E3B01" w:rsidRPr="00493A37" w:rsidRDefault="001E3B01" w:rsidP="005B5226">
            <w:pPr>
              <w:jc w:val="center"/>
              <w:rPr>
                <w:rFonts w:ascii="Arial" w:hAnsi="Arial" w:cs="Arial"/>
                <w:color w:val="000000"/>
              </w:rPr>
            </w:pPr>
          </w:p>
        </w:tc>
        <w:tc>
          <w:tcPr>
            <w:tcW w:w="1418" w:type="dxa"/>
            <w:tcBorders>
              <w:top w:val="single" w:sz="4" w:space="0" w:color="auto"/>
            </w:tcBorders>
            <w:vAlign w:val="bottom"/>
          </w:tcPr>
          <w:p w14:paraId="7C0F9CD0" w14:textId="77777777" w:rsidR="001E3B01" w:rsidRPr="00493A37" w:rsidRDefault="001E3B01" w:rsidP="005B5226">
            <w:pPr>
              <w:jc w:val="center"/>
              <w:rPr>
                <w:rFonts w:ascii="Arial" w:hAnsi="Arial" w:cs="Arial"/>
                <w:bCs/>
                <w:color w:val="000000"/>
              </w:rPr>
            </w:pPr>
          </w:p>
        </w:tc>
        <w:tc>
          <w:tcPr>
            <w:tcW w:w="1417" w:type="dxa"/>
            <w:tcBorders>
              <w:top w:val="single" w:sz="4" w:space="0" w:color="auto"/>
            </w:tcBorders>
          </w:tcPr>
          <w:p w14:paraId="7DFFC9F9" w14:textId="77777777" w:rsidR="001E3B01" w:rsidRPr="00493A37" w:rsidRDefault="001E3B01" w:rsidP="005B5226">
            <w:pPr>
              <w:jc w:val="center"/>
              <w:rPr>
                <w:rFonts w:ascii="Arial" w:hAnsi="Arial" w:cs="Arial"/>
                <w:bCs/>
                <w:color w:val="000000"/>
              </w:rPr>
            </w:pPr>
          </w:p>
        </w:tc>
        <w:tc>
          <w:tcPr>
            <w:tcW w:w="1418" w:type="dxa"/>
            <w:tcBorders>
              <w:top w:val="single" w:sz="4" w:space="0" w:color="auto"/>
            </w:tcBorders>
          </w:tcPr>
          <w:p w14:paraId="58F463BF" w14:textId="77777777" w:rsidR="001E3B01" w:rsidRPr="00493A37" w:rsidRDefault="001E3B01" w:rsidP="005B5226">
            <w:pPr>
              <w:jc w:val="center"/>
              <w:rPr>
                <w:rFonts w:ascii="Arial" w:hAnsi="Arial" w:cs="Arial"/>
                <w:bCs/>
                <w:color w:val="000000"/>
              </w:rPr>
            </w:pPr>
          </w:p>
        </w:tc>
      </w:tr>
    </w:tbl>
    <w:p w14:paraId="65174CEB" w14:textId="61EF81AD" w:rsidR="00D76D4F" w:rsidRDefault="00D76D4F" w:rsidP="001E3B01">
      <w:pPr>
        <w:rPr>
          <w:rFonts w:ascii="Arial" w:hAnsi="Arial" w:cs="Arial"/>
          <w:color w:val="000000"/>
        </w:rPr>
      </w:pPr>
    </w:p>
    <w:p w14:paraId="3C4EBE94" w14:textId="77777777" w:rsidR="00D76D4F" w:rsidRPr="00493A37" w:rsidRDefault="00D76D4F"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70FAE18F" w14:textId="77777777" w:rsidTr="005B5226">
        <w:tc>
          <w:tcPr>
            <w:tcW w:w="13892" w:type="dxa"/>
          </w:tcPr>
          <w:p w14:paraId="444D9FDE" w14:textId="77777777" w:rsidR="001E3B01" w:rsidRPr="00493A37" w:rsidRDefault="001E3B01" w:rsidP="001E3B01">
            <w:pPr>
              <w:pStyle w:val="ListParagraph"/>
              <w:numPr>
                <w:ilvl w:val="0"/>
                <w:numId w:val="12"/>
              </w:numPr>
              <w:contextualSpacing w:val="0"/>
              <w:rPr>
                <w:rFonts w:ascii="Arial" w:hAnsi="Arial" w:cs="Arial"/>
                <w:b/>
                <w:bCs/>
                <w:color w:val="000000"/>
              </w:rPr>
            </w:pPr>
            <w:r w:rsidRPr="00493A37">
              <w:rPr>
                <w:rFonts w:ascii="Arial" w:hAnsi="Arial" w:cs="Arial"/>
                <w:b/>
                <w:bCs/>
                <w:color w:val="000000"/>
              </w:rPr>
              <w:t>Total impact of stress margins</w:t>
            </w:r>
          </w:p>
        </w:tc>
      </w:tr>
    </w:tbl>
    <w:p w14:paraId="63AC29F3" w14:textId="77777777" w:rsidR="001E3B01" w:rsidRPr="00493A37" w:rsidRDefault="001E3B01" w:rsidP="001E3B01">
      <w:pPr>
        <w:rPr>
          <w:rFonts w:ascii="Arial" w:hAnsi="Arial" w:cs="Arial"/>
          <w:color w:val="000000"/>
        </w:rPr>
      </w:pPr>
    </w:p>
    <w:tbl>
      <w:tblPr>
        <w:tblW w:w="13907" w:type="dxa"/>
        <w:tblInd w:w="93" w:type="dxa"/>
        <w:tblLayout w:type="fixed"/>
        <w:tblLook w:val="04A0" w:firstRow="1" w:lastRow="0" w:firstColumn="1" w:lastColumn="0" w:noHBand="0" w:noVBand="1"/>
      </w:tblPr>
      <w:tblGrid>
        <w:gridCol w:w="2567"/>
        <w:gridCol w:w="1417"/>
        <w:gridCol w:w="1418"/>
        <w:gridCol w:w="1417"/>
        <w:gridCol w:w="1418"/>
        <w:gridCol w:w="1417"/>
        <w:gridCol w:w="1418"/>
        <w:gridCol w:w="1417"/>
        <w:gridCol w:w="1418"/>
      </w:tblGrid>
      <w:tr w:rsidR="001E3B01" w:rsidRPr="00493A37" w14:paraId="7EDF14D5" w14:textId="77777777" w:rsidTr="005B5226">
        <w:trPr>
          <w:trHeight w:val="317"/>
        </w:trPr>
        <w:tc>
          <w:tcPr>
            <w:tcW w:w="2567" w:type="dxa"/>
            <w:tcBorders>
              <w:right w:val="single" w:sz="4" w:space="0" w:color="000000"/>
            </w:tcBorders>
            <w:shd w:val="clear" w:color="auto" w:fill="auto"/>
            <w:vAlign w:val="bottom"/>
          </w:tcPr>
          <w:p w14:paraId="5ED24AFB" w14:textId="77777777" w:rsidR="001E3B01" w:rsidRPr="00493A37" w:rsidRDefault="001E3B01" w:rsidP="005B5226">
            <w:pPr>
              <w:jc w:val="center"/>
              <w:rPr>
                <w:rFonts w:ascii="Arial" w:hAnsi="Arial" w:cs="Arial"/>
                <w:b/>
                <w:color w:val="000000"/>
                <w:sz w:val="20"/>
                <w:szCs w:val="20"/>
              </w:rPr>
            </w:pPr>
          </w:p>
        </w:tc>
        <w:tc>
          <w:tcPr>
            <w:tcW w:w="9922"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44937B1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Pre-diversification</w:t>
            </w:r>
          </w:p>
        </w:tc>
        <w:tc>
          <w:tcPr>
            <w:tcW w:w="1418" w:type="dxa"/>
            <w:tcBorders>
              <w:top w:val="single" w:sz="4" w:space="0" w:color="000000"/>
              <w:left w:val="nil"/>
              <w:bottom w:val="nil"/>
              <w:right w:val="single" w:sz="4" w:space="0" w:color="000000"/>
            </w:tcBorders>
            <w:vAlign w:val="bottom"/>
          </w:tcPr>
          <w:p w14:paraId="68E6F202" w14:textId="77777777" w:rsidR="001E3B01" w:rsidRPr="00493A37" w:rsidRDefault="001E3B01" w:rsidP="005B5226">
            <w:pPr>
              <w:jc w:val="center"/>
              <w:rPr>
                <w:rFonts w:ascii="Arial" w:hAnsi="Arial" w:cs="Arial"/>
                <w:b/>
                <w:color w:val="000000"/>
                <w:sz w:val="20"/>
                <w:szCs w:val="20"/>
              </w:rPr>
            </w:pPr>
          </w:p>
        </w:tc>
      </w:tr>
      <w:tr w:rsidR="001E3B01" w:rsidRPr="00493A37" w14:paraId="277B7240" w14:textId="77777777" w:rsidTr="005B5226">
        <w:trPr>
          <w:trHeight w:val="317"/>
        </w:trPr>
        <w:tc>
          <w:tcPr>
            <w:tcW w:w="2567" w:type="dxa"/>
            <w:tcBorders>
              <w:right w:val="single" w:sz="4" w:space="0" w:color="000000"/>
            </w:tcBorders>
            <w:shd w:val="clear" w:color="auto" w:fill="auto"/>
            <w:vAlign w:val="bottom"/>
          </w:tcPr>
          <w:p w14:paraId="4F2F34FA" w14:textId="77777777" w:rsidR="001E3B01" w:rsidRPr="00493A37" w:rsidRDefault="001E3B01" w:rsidP="005B5226">
            <w:pPr>
              <w:jc w:val="center"/>
              <w:rPr>
                <w:rFonts w:ascii="Arial" w:hAnsi="Arial" w:cs="Arial"/>
                <w:b/>
                <w:color w:val="000000"/>
                <w:sz w:val="20"/>
                <w:szCs w:val="20"/>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auto"/>
            <w:vAlign w:val="bottom"/>
          </w:tcPr>
          <w:p w14:paraId="61102F90"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Mortality</w:t>
            </w:r>
          </w:p>
        </w:tc>
        <w:tc>
          <w:tcPr>
            <w:tcW w:w="2835" w:type="dxa"/>
            <w:gridSpan w:val="2"/>
            <w:tcBorders>
              <w:top w:val="single" w:sz="4" w:space="0" w:color="000000"/>
              <w:left w:val="nil"/>
              <w:bottom w:val="single" w:sz="4" w:space="0" w:color="000000"/>
              <w:right w:val="single" w:sz="4" w:space="0" w:color="000000"/>
            </w:tcBorders>
            <w:shd w:val="clear" w:color="auto" w:fill="auto"/>
            <w:vAlign w:val="bottom"/>
          </w:tcPr>
          <w:p w14:paraId="44FD91DC"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Morbidity</w:t>
            </w:r>
          </w:p>
        </w:tc>
        <w:tc>
          <w:tcPr>
            <w:tcW w:w="1417" w:type="dxa"/>
            <w:tcBorders>
              <w:top w:val="single" w:sz="4" w:space="0" w:color="000000"/>
              <w:left w:val="nil"/>
              <w:right w:val="single" w:sz="4" w:space="0" w:color="000000"/>
            </w:tcBorders>
            <w:vAlign w:val="bottom"/>
          </w:tcPr>
          <w:p w14:paraId="4ED18A00" w14:textId="77777777" w:rsidR="001E3B01" w:rsidRPr="00493A37" w:rsidRDefault="001E3B01" w:rsidP="005B5226">
            <w:pPr>
              <w:jc w:val="center"/>
              <w:rPr>
                <w:rFonts w:ascii="Arial" w:hAnsi="Arial" w:cs="Arial"/>
                <w:b/>
                <w:color w:val="000000"/>
                <w:sz w:val="20"/>
                <w:szCs w:val="20"/>
              </w:rPr>
            </w:pPr>
          </w:p>
        </w:tc>
        <w:tc>
          <w:tcPr>
            <w:tcW w:w="1418" w:type="dxa"/>
            <w:tcBorders>
              <w:top w:val="single" w:sz="4" w:space="0" w:color="000000"/>
              <w:left w:val="nil"/>
              <w:right w:val="single" w:sz="4" w:space="0" w:color="000000"/>
            </w:tcBorders>
            <w:vAlign w:val="bottom"/>
          </w:tcPr>
          <w:p w14:paraId="57A7FD1D" w14:textId="77777777" w:rsidR="001E3B01" w:rsidRPr="00493A37" w:rsidRDefault="001E3B01" w:rsidP="005B5226">
            <w:pPr>
              <w:jc w:val="center"/>
              <w:rPr>
                <w:rFonts w:ascii="Arial" w:hAnsi="Arial" w:cs="Arial"/>
                <w:b/>
                <w:color w:val="000000"/>
                <w:sz w:val="20"/>
                <w:szCs w:val="20"/>
              </w:rPr>
            </w:pPr>
          </w:p>
        </w:tc>
        <w:tc>
          <w:tcPr>
            <w:tcW w:w="1417" w:type="dxa"/>
            <w:tcBorders>
              <w:top w:val="single" w:sz="4" w:space="0" w:color="000000"/>
              <w:left w:val="nil"/>
              <w:right w:val="single" w:sz="4" w:space="0" w:color="000000"/>
            </w:tcBorders>
            <w:vAlign w:val="bottom"/>
          </w:tcPr>
          <w:p w14:paraId="62A61694" w14:textId="77777777" w:rsidR="001E3B01" w:rsidRPr="00493A37" w:rsidRDefault="001E3B01" w:rsidP="005B5226">
            <w:pPr>
              <w:jc w:val="center"/>
              <w:rPr>
                <w:rFonts w:ascii="Arial" w:hAnsi="Arial" w:cs="Arial"/>
                <w:b/>
                <w:color w:val="000000"/>
                <w:sz w:val="20"/>
                <w:szCs w:val="20"/>
              </w:rPr>
            </w:pPr>
          </w:p>
        </w:tc>
        <w:tc>
          <w:tcPr>
            <w:tcW w:w="1418" w:type="dxa"/>
            <w:tcBorders>
              <w:left w:val="nil"/>
              <w:right w:val="single" w:sz="4" w:space="0" w:color="000000"/>
            </w:tcBorders>
            <w:vAlign w:val="bottom"/>
          </w:tcPr>
          <w:p w14:paraId="18BD0BD4" w14:textId="77777777" w:rsidR="001E3B01" w:rsidRPr="00493A37" w:rsidRDefault="001E3B01" w:rsidP="005B5226">
            <w:pPr>
              <w:jc w:val="center"/>
              <w:rPr>
                <w:rFonts w:ascii="Arial" w:hAnsi="Arial" w:cs="Arial"/>
                <w:b/>
                <w:color w:val="000000"/>
                <w:sz w:val="20"/>
                <w:szCs w:val="20"/>
              </w:rPr>
            </w:pPr>
          </w:p>
        </w:tc>
      </w:tr>
      <w:tr w:rsidR="001E3B01" w:rsidRPr="00493A37" w14:paraId="2AAA0B27" w14:textId="77777777" w:rsidTr="005B5226">
        <w:trPr>
          <w:trHeight w:val="317"/>
        </w:trPr>
        <w:tc>
          <w:tcPr>
            <w:tcW w:w="2567" w:type="dxa"/>
            <w:tcBorders>
              <w:right w:val="single" w:sz="4" w:space="0" w:color="auto"/>
            </w:tcBorders>
            <w:shd w:val="clear" w:color="auto" w:fill="auto"/>
            <w:vAlign w:val="bottom"/>
            <w:hideMark/>
          </w:tcPr>
          <w:p w14:paraId="45DAB780" w14:textId="77777777" w:rsidR="001E3B01" w:rsidRPr="00493A37" w:rsidRDefault="001E3B01" w:rsidP="005B5226">
            <w:pPr>
              <w:jc w:val="center"/>
              <w:rPr>
                <w:rFonts w:ascii="Arial" w:hAnsi="Arial" w:cs="Arial"/>
                <w:b/>
                <w:color w:val="000000"/>
                <w:sz w:val="20"/>
                <w:szCs w:val="20"/>
              </w:rPr>
            </w:pPr>
          </w:p>
        </w:tc>
        <w:tc>
          <w:tcPr>
            <w:tcW w:w="1417" w:type="dxa"/>
            <w:tcBorders>
              <w:top w:val="single" w:sz="4" w:space="0" w:color="auto"/>
              <w:left w:val="nil"/>
              <w:bottom w:val="nil"/>
              <w:right w:val="single" w:sz="4" w:space="0" w:color="auto"/>
            </w:tcBorders>
            <w:shd w:val="clear" w:color="auto" w:fill="auto"/>
            <w:vAlign w:val="bottom"/>
          </w:tcPr>
          <w:p w14:paraId="72BE7074"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auto"/>
              <w:left w:val="nil"/>
              <w:bottom w:val="nil"/>
              <w:right w:val="single" w:sz="4" w:space="0" w:color="auto"/>
            </w:tcBorders>
            <w:shd w:val="clear" w:color="auto" w:fill="auto"/>
            <w:vAlign w:val="bottom"/>
          </w:tcPr>
          <w:p w14:paraId="0EED12DF"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top w:val="single" w:sz="4" w:space="0" w:color="000000"/>
              <w:left w:val="nil"/>
              <w:bottom w:val="nil"/>
              <w:right w:val="single" w:sz="4" w:space="0" w:color="000000"/>
            </w:tcBorders>
            <w:shd w:val="clear" w:color="auto" w:fill="auto"/>
            <w:vAlign w:val="bottom"/>
          </w:tcPr>
          <w:p w14:paraId="37F9AAE3"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Random</w:t>
            </w:r>
          </w:p>
        </w:tc>
        <w:tc>
          <w:tcPr>
            <w:tcW w:w="1418" w:type="dxa"/>
            <w:tcBorders>
              <w:top w:val="single" w:sz="4" w:space="0" w:color="000000"/>
              <w:left w:val="nil"/>
              <w:bottom w:val="nil"/>
              <w:right w:val="single" w:sz="4" w:space="0" w:color="000000"/>
            </w:tcBorders>
            <w:vAlign w:val="bottom"/>
          </w:tcPr>
          <w:p w14:paraId="001D90F3"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Future</w:t>
            </w:r>
          </w:p>
        </w:tc>
        <w:tc>
          <w:tcPr>
            <w:tcW w:w="1417" w:type="dxa"/>
            <w:tcBorders>
              <w:left w:val="nil"/>
              <w:right w:val="single" w:sz="4" w:space="0" w:color="000000"/>
            </w:tcBorders>
            <w:vAlign w:val="bottom"/>
          </w:tcPr>
          <w:p w14:paraId="094E5C86"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Event</w:t>
            </w:r>
          </w:p>
        </w:tc>
        <w:tc>
          <w:tcPr>
            <w:tcW w:w="1418" w:type="dxa"/>
            <w:tcBorders>
              <w:left w:val="nil"/>
              <w:right w:val="single" w:sz="4" w:space="0" w:color="000000"/>
            </w:tcBorders>
            <w:vAlign w:val="bottom"/>
          </w:tcPr>
          <w:p w14:paraId="1E403489"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Longevity</w:t>
            </w:r>
          </w:p>
        </w:tc>
        <w:tc>
          <w:tcPr>
            <w:tcW w:w="1417" w:type="dxa"/>
            <w:tcBorders>
              <w:left w:val="nil"/>
              <w:right w:val="single" w:sz="4" w:space="0" w:color="000000"/>
            </w:tcBorders>
            <w:vAlign w:val="bottom"/>
          </w:tcPr>
          <w:p w14:paraId="202C21F0"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w:t>
            </w:r>
          </w:p>
        </w:tc>
        <w:tc>
          <w:tcPr>
            <w:tcW w:w="1418" w:type="dxa"/>
            <w:tcBorders>
              <w:left w:val="nil"/>
              <w:right w:val="single" w:sz="4" w:space="0" w:color="000000"/>
            </w:tcBorders>
            <w:vAlign w:val="bottom"/>
          </w:tcPr>
          <w:p w14:paraId="581EA4ED" w14:textId="77777777" w:rsidR="001E3B01" w:rsidRPr="00493A37" w:rsidRDefault="001E3B01" w:rsidP="005B5226">
            <w:pPr>
              <w:jc w:val="center"/>
              <w:rPr>
                <w:rFonts w:ascii="Arial" w:hAnsi="Arial" w:cs="Arial"/>
                <w:b/>
                <w:color w:val="000000"/>
                <w:sz w:val="20"/>
                <w:szCs w:val="20"/>
              </w:rPr>
            </w:pPr>
            <w:r w:rsidRPr="00493A37">
              <w:rPr>
                <w:rFonts w:ascii="Arial" w:hAnsi="Arial" w:cs="Arial"/>
                <w:b/>
                <w:color w:val="000000"/>
                <w:sz w:val="20"/>
                <w:szCs w:val="20"/>
              </w:rPr>
              <w:t>Total stress by product group Post-diversification</w:t>
            </w:r>
          </w:p>
        </w:tc>
      </w:tr>
      <w:tr w:rsidR="001E3B01" w:rsidRPr="00493A37" w14:paraId="505AD8C0" w14:textId="77777777" w:rsidTr="005B5226">
        <w:trPr>
          <w:trHeight w:val="317"/>
        </w:trPr>
        <w:tc>
          <w:tcPr>
            <w:tcW w:w="2567" w:type="dxa"/>
            <w:tcBorders>
              <w:right w:val="single" w:sz="4" w:space="0" w:color="auto"/>
            </w:tcBorders>
            <w:shd w:val="clear" w:color="auto" w:fill="auto"/>
            <w:vAlign w:val="bottom"/>
          </w:tcPr>
          <w:p w14:paraId="587A9A4D" w14:textId="77777777" w:rsidR="001E3B01" w:rsidRPr="00493A37" w:rsidRDefault="001E3B01" w:rsidP="005B5226">
            <w:pPr>
              <w:jc w:val="center"/>
              <w:rPr>
                <w:rFonts w:ascii="Arial" w:hAnsi="Arial" w:cs="Arial"/>
                <w:b/>
                <w:bCs/>
                <w:color w:val="000000"/>
                <w:sz w:val="20"/>
                <w:szCs w:val="20"/>
              </w:rPr>
            </w:pPr>
          </w:p>
        </w:tc>
        <w:tc>
          <w:tcPr>
            <w:tcW w:w="1417" w:type="dxa"/>
            <w:tcBorders>
              <w:top w:val="nil"/>
              <w:left w:val="nil"/>
              <w:bottom w:val="single" w:sz="4" w:space="0" w:color="auto"/>
              <w:right w:val="single" w:sz="4" w:space="0" w:color="auto"/>
            </w:tcBorders>
            <w:shd w:val="clear" w:color="auto" w:fill="auto"/>
            <w:vAlign w:val="bottom"/>
            <w:hideMark/>
          </w:tcPr>
          <w:p w14:paraId="727E7295"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14:paraId="77FEAC92"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(2)</w:t>
            </w:r>
          </w:p>
        </w:tc>
        <w:tc>
          <w:tcPr>
            <w:tcW w:w="1417" w:type="dxa"/>
            <w:tcBorders>
              <w:left w:val="nil"/>
              <w:bottom w:val="single" w:sz="4" w:space="0" w:color="auto"/>
              <w:right w:val="single" w:sz="4" w:space="0" w:color="000000"/>
            </w:tcBorders>
            <w:shd w:val="clear" w:color="auto" w:fill="auto"/>
            <w:vAlign w:val="bottom"/>
            <w:hideMark/>
          </w:tcPr>
          <w:p w14:paraId="002F535B"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(3)</w:t>
            </w:r>
          </w:p>
        </w:tc>
        <w:tc>
          <w:tcPr>
            <w:tcW w:w="1418" w:type="dxa"/>
            <w:tcBorders>
              <w:left w:val="nil"/>
              <w:bottom w:val="single" w:sz="4" w:space="0" w:color="auto"/>
              <w:right w:val="single" w:sz="4" w:space="0" w:color="000000"/>
            </w:tcBorders>
            <w:vAlign w:val="bottom"/>
          </w:tcPr>
          <w:p w14:paraId="329D7658"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(4)</w:t>
            </w:r>
          </w:p>
        </w:tc>
        <w:tc>
          <w:tcPr>
            <w:tcW w:w="1417" w:type="dxa"/>
            <w:tcBorders>
              <w:left w:val="nil"/>
              <w:bottom w:val="single" w:sz="4" w:space="0" w:color="auto"/>
              <w:right w:val="single" w:sz="4" w:space="0" w:color="000000"/>
            </w:tcBorders>
            <w:vAlign w:val="bottom"/>
          </w:tcPr>
          <w:p w14:paraId="5DD1CEDB"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(5)</w:t>
            </w:r>
          </w:p>
        </w:tc>
        <w:tc>
          <w:tcPr>
            <w:tcW w:w="1418" w:type="dxa"/>
            <w:tcBorders>
              <w:left w:val="nil"/>
              <w:bottom w:val="single" w:sz="4" w:space="0" w:color="auto"/>
              <w:right w:val="single" w:sz="4" w:space="0" w:color="000000"/>
            </w:tcBorders>
            <w:vAlign w:val="bottom"/>
          </w:tcPr>
          <w:p w14:paraId="54F99B52"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(6)</w:t>
            </w:r>
          </w:p>
        </w:tc>
        <w:tc>
          <w:tcPr>
            <w:tcW w:w="1417" w:type="dxa"/>
            <w:tcBorders>
              <w:left w:val="nil"/>
              <w:bottom w:val="single" w:sz="4" w:space="0" w:color="auto"/>
              <w:right w:val="single" w:sz="4" w:space="0" w:color="000000"/>
            </w:tcBorders>
            <w:vAlign w:val="bottom"/>
          </w:tcPr>
          <w:p w14:paraId="06C88AFC"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(7)</w:t>
            </w:r>
          </w:p>
        </w:tc>
        <w:tc>
          <w:tcPr>
            <w:tcW w:w="1418" w:type="dxa"/>
            <w:tcBorders>
              <w:left w:val="nil"/>
              <w:bottom w:val="single" w:sz="4" w:space="0" w:color="auto"/>
              <w:right w:val="single" w:sz="4" w:space="0" w:color="000000"/>
            </w:tcBorders>
            <w:vAlign w:val="bottom"/>
          </w:tcPr>
          <w:p w14:paraId="56889221" w14:textId="77777777" w:rsidR="001E3B01" w:rsidRPr="00493A37" w:rsidRDefault="001E3B01" w:rsidP="005B5226">
            <w:pPr>
              <w:jc w:val="center"/>
              <w:rPr>
                <w:rFonts w:ascii="Arial" w:hAnsi="Arial" w:cs="Arial"/>
                <w:b/>
                <w:bCs/>
                <w:color w:val="000000"/>
                <w:sz w:val="20"/>
                <w:szCs w:val="20"/>
              </w:rPr>
            </w:pPr>
            <w:r w:rsidRPr="00493A37">
              <w:rPr>
                <w:rFonts w:ascii="Arial" w:hAnsi="Arial" w:cs="Arial"/>
                <w:b/>
                <w:bCs/>
                <w:color w:val="000000"/>
                <w:sz w:val="20"/>
                <w:szCs w:val="20"/>
              </w:rPr>
              <w:t>(8)</w:t>
            </w:r>
          </w:p>
        </w:tc>
      </w:tr>
      <w:tr w:rsidR="001E3B01" w:rsidRPr="00493A37" w14:paraId="00A48A30" w14:textId="77777777" w:rsidTr="005B5226">
        <w:trPr>
          <w:trHeight w:val="317"/>
        </w:trPr>
        <w:tc>
          <w:tcPr>
            <w:tcW w:w="2567" w:type="dxa"/>
            <w:tcBorders>
              <w:right w:val="single" w:sz="4" w:space="0" w:color="auto"/>
            </w:tcBorders>
            <w:shd w:val="clear" w:color="auto" w:fill="auto"/>
            <w:noWrap/>
            <w:vAlign w:val="bottom"/>
          </w:tcPr>
          <w:p w14:paraId="483A12A5" w14:textId="77777777" w:rsidR="001E3B01" w:rsidRPr="00493A37" w:rsidRDefault="001E3B01" w:rsidP="005B5226">
            <w:pPr>
              <w:pStyle w:val="ListParagraph"/>
              <w:ind w:left="284"/>
              <w:rPr>
                <w:rFonts w:ascii="Arial" w:hAnsi="Arial" w:cs="Arial"/>
                <w:color w:val="000000"/>
              </w:rPr>
            </w:pPr>
            <w:r w:rsidRPr="00493A37">
              <w:rPr>
                <w:rFonts w:ascii="Arial" w:hAnsi="Arial" w:cs="Arial"/>
                <w:bCs/>
                <w:color w:val="000000"/>
              </w:rPr>
              <w:t>Total participating benefits business</w:t>
            </w:r>
          </w:p>
        </w:tc>
        <w:tc>
          <w:tcPr>
            <w:tcW w:w="1417" w:type="dxa"/>
            <w:tcBorders>
              <w:top w:val="single" w:sz="4" w:space="0" w:color="auto"/>
              <w:left w:val="nil"/>
              <w:bottom w:val="single" w:sz="4" w:space="0" w:color="auto"/>
              <w:right w:val="single" w:sz="4" w:space="0" w:color="auto"/>
            </w:tcBorders>
            <w:shd w:val="clear" w:color="auto" w:fill="A6A6A6"/>
            <w:noWrap/>
            <w:vAlign w:val="bottom"/>
          </w:tcPr>
          <w:p w14:paraId="76EA160F"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6A6A6"/>
            <w:noWrap/>
            <w:vAlign w:val="bottom"/>
          </w:tcPr>
          <w:p w14:paraId="0D5D40A7"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nil"/>
              <w:bottom w:val="single" w:sz="4" w:space="0" w:color="auto"/>
              <w:right w:val="single" w:sz="4" w:space="0" w:color="auto"/>
            </w:tcBorders>
            <w:shd w:val="clear" w:color="auto" w:fill="A6A6A6"/>
            <w:vAlign w:val="bottom"/>
          </w:tcPr>
          <w:p w14:paraId="4D85FC3E"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6A6A6"/>
            <w:vAlign w:val="bottom"/>
          </w:tcPr>
          <w:p w14:paraId="282AAB7E"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nil"/>
              <w:bottom w:val="single" w:sz="4" w:space="0" w:color="auto"/>
              <w:right w:val="single" w:sz="4" w:space="0" w:color="auto"/>
            </w:tcBorders>
            <w:shd w:val="clear" w:color="auto" w:fill="A6A6A6"/>
            <w:vAlign w:val="bottom"/>
          </w:tcPr>
          <w:p w14:paraId="0801D9DE"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6A6A6"/>
            <w:vAlign w:val="bottom"/>
          </w:tcPr>
          <w:p w14:paraId="4A0FCC00"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nil"/>
              <w:bottom w:val="single" w:sz="4" w:space="0" w:color="auto"/>
              <w:right w:val="single" w:sz="4" w:space="0" w:color="auto"/>
            </w:tcBorders>
            <w:shd w:val="clear" w:color="auto" w:fill="A6A6A6"/>
            <w:vAlign w:val="bottom"/>
          </w:tcPr>
          <w:p w14:paraId="5B11F83C"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nil"/>
              <w:bottom w:val="single" w:sz="4" w:space="0" w:color="auto"/>
              <w:right w:val="single" w:sz="4" w:space="0" w:color="auto"/>
            </w:tcBorders>
            <w:shd w:val="clear" w:color="auto" w:fill="A6A6A6"/>
            <w:vAlign w:val="bottom"/>
          </w:tcPr>
          <w:p w14:paraId="5B6D06A3" w14:textId="77777777" w:rsidR="001E3B01" w:rsidRPr="00493A37" w:rsidRDefault="001E3B01" w:rsidP="005B5226">
            <w:pPr>
              <w:jc w:val="center"/>
              <w:rPr>
                <w:rFonts w:ascii="Arial" w:hAnsi="Arial" w:cs="Arial"/>
                <w:bCs/>
                <w:color w:val="000000"/>
              </w:rPr>
            </w:pPr>
          </w:p>
        </w:tc>
      </w:tr>
      <w:tr w:rsidR="001E3B01" w:rsidRPr="00493A37" w14:paraId="06E2F8FC" w14:textId="77777777" w:rsidTr="005B5226">
        <w:trPr>
          <w:trHeight w:val="317"/>
        </w:trPr>
        <w:tc>
          <w:tcPr>
            <w:tcW w:w="2567" w:type="dxa"/>
            <w:tcBorders>
              <w:right w:val="single" w:sz="4" w:space="0" w:color="auto"/>
            </w:tcBorders>
            <w:shd w:val="clear" w:color="auto" w:fill="auto"/>
            <w:noWrap/>
            <w:vAlign w:val="bottom"/>
          </w:tcPr>
          <w:p w14:paraId="4356074A" w14:textId="77777777" w:rsidR="001E3B01" w:rsidRPr="00493A37" w:rsidRDefault="001E3B01" w:rsidP="005B5226">
            <w:pPr>
              <w:pStyle w:val="ListParagraph"/>
              <w:ind w:left="284"/>
              <w:rPr>
                <w:rFonts w:ascii="Arial" w:hAnsi="Arial" w:cs="Arial"/>
                <w:color w:val="000000"/>
              </w:rPr>
            </w:pPr>
            <w:r w:rsidRPr="00493A37">
              <w:rPr>
                <w:rFonts w:ascii="Arial" w:hAnsi="Arial" w:cs="Arial"/>
                <w:color w:val="000000"/>
              </w:rPr>
              <w:t>Total non-participating benefits business</w:t>
            </w:r>
          </w:p>
        </w:tc>
        <w:tc>
          <w:tcPr>
            <w:tcW w:w="14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627008"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70D985"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19558B66"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01D197DC"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60BB7131"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11F24D55"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178D68E8"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26FE5A82" w14:textId="77777777" w:rsidR="001E3B01" w:rsidRPr="00493A37" w:rsidRDefault="001E3B01" w:rsidP="005B5226">
            <w:pPr>
              <w:jc w:val="center"/>
              <w:rPr>
                <w:rFonts w:ascii="Arial" w:hAnsi="Arial" w:cs="Arial"/>
                <w:bCs/>
                <w:color w:val="000000"/>
              </w:rPr>
            </w:pPr>
          </w:p>
        </w:tc>
      </w:tr>
      <w:tr w:rsidR="001E3B01" w:rsidRPr="00493A37" w14:paraId="3ED8F6CE" w14:textId="77777777" w:rsidTr="005B5226">
        <w:trPr>
          <w:trHeight w:val="317"/>
        </w:trPr>
        <w:tc>
          <w:tcPr>
            <w:tcW w:w="2567" w:type="dxa"/>
            <w:tcBorders>
              <w:right w:val="single" w:sz="4" w:space="0" w:color="auto"/>
            </w:tcBorders>
            <w:shd w:val="clear" w:color="auto" w:fill="auto"/>
            <w:noWrap/>
            <w:vAlign w:val="bottom"/>
          </w:tcPr>
          <w:p w14:paraId="4C768129" w14:textId="77777777" w:rsidR="001E3B01" w:rsidRPr="00493A37" w:rsidRDefault="001E3B01" w:rsidP="005B5226">
            <w:pPr>
              <w:pStyle w:val="ListParagraph"/>
              <w:ind w:left="284"/>
              <w:rPr>
                <w:rFonts w:ascii="Arial" w:hAnsi="Arial" w:cs="Arial"/>
                <w:color w:val="000000"/>
              </w:rPr>
            </w:pPr>
            <w:r w:rsidRPr="00493A37">
              <w:rPr>
                <w:rFonts w:ascii="Arial" w:hAnsi="Arial" w:cs="Arial"/>
                <w:color w:val="000000"/>
              </w:rPr>
              <w:t>Total</w:t>
            </w:r>
          </w:p>
        </w:tc>
        <w:tc>
          <w:tcPr>
            <w:tcW w:w="14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45E2C6"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19C0D1"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3C06C135"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6A2ED954"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22546BDF"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1BBB0342" w14:textId="77777777" w:rsidR="001E3B01" w:rsidRPr="00493A37" w:rsidRDefault="001E3B01" w:rsidP="005B5226">
            <w:pPr>
              <w:jc w:val="center"/>
              <w:rPr>
                <w:rFonts w:ascii="Arial" w:hAnsi="Arial"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tcPr>
          <w:p w14:paraId="7078CC1F" w14:textId="77777777" w:rsidR="001E3B01" w:rsidRPr="00493A37" w:rsidRDefault="001E3B01" w:rsidP="005B5226">
            <w:pPr>
              <w:jc w:val="center"/>
              <w:rPr>
                <w:rFonts w:ascii="Arial" w:hAnsi="Arial" w:cs="Arial"/>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14:paraId="653BB699" w14:textId="77777777" w:rsidR="001E3B01" w:rsidRPr="00493A37" w:rsidRDefault="001E3B01" w:rsidP="005B5226">
            <w:pPr>
              <w:jc w:val="center"/>
              <w:rPr>
                <w:rFonts w:ascii="Arial" w:hAnsi="Arial" w:cs="Arial"/>
                <w:bCs/>
                <w:color w:val="000000"/>
              </w:rPr>
            </w:pPr>
          </w:p>
        </w:tc>
      </w:tr>
    </w:tbl>
    <w:p w14:paraId="248113E8" w14:textId="77777777" w:rsidR="001E3B01" w:rsidRDefault="001E3B01" w:rsidP="001E3B01">
      <w:pPr>
        <w:pStyle w:val="ListParagraph"/>
        <w:ind w:left="0"/>
        <w:rPr>
          <w:rFonts w:ascii="Arial" w:hAnsi="Arial" w:cs="Arial"/>
          <w:bCs/>
          <w:color w:val="000000"/>
          <w:sz w:val="24"/>
          <w:szCs w:val="24"/>
        </w:rPr>
      </w:pPr>
    </w:p>
    <w:tbl>
      <w:tblPr>
        <w:tblW w:w="13907" w:type="dxa"/>
        <w:tblInd w:w="93" w:type="dxa"/>
        <w:tblLayout w:type="fixed"/>
        <w:tblLook w:val="04A0" w:firstRow="1" w:lastRow="0" w:firstColumn="1" w:lastColumn="0" w:noHBand="0" w:noVBand="1"/>
      </w:tblPr>
      <w:tblGrid>
        <w:gridCol w:w="12206"/>
        <w:gridCol w:w="1701"/>
      </w:tblGrid>
      <w:tr w:rsidR="001E3B01" w:rsidRPr="00493A37" w14:paraId="38F93D7A" w14:textId="77777777" w:rsidTr="005B5226">
        <w:trPr>
          <w:trHeight w:val="317"/>
        </w:trPr>
        <w:tc>
          <w:tcPr>
            <w:tcW w:w="12206" w:type="dxa"/>
            <w:tcBorders>
              <w:right w:val="single" w:sz="4" w:space="0" w:color="auto"/>
            </w:tcBorders>
            <w:shd w:val="clear" w:color="auto" w:fill="auto"/>
            <w:noWrap/>
            <w:vAlign w:val="bottom"/>
          </w:tcPr>
          <w:p w14:paraId="06E5614F" w14:textId="77777777" w:rsidR="001E3B01" w:rsidRPr="00657C92" w:rsidRDefault="001E3B01" w:rsidP="001E3B01">
            <w:pPr>
              <w:pStyle w:val="ListParagraph"/>
              <w:numPr>
                <w:ilvl w:val="1"/>
                <w:numId w:val="12"/>
              </w:numPr>
              <w:contextualSpacing w:val="0"/>
              <w:rPr>
                <w:rFonts w:ascii="Arial" w:hAnsi="Arial" w:cs="Arial"/>
                <w:bCs/>
                <w:color w:val="000000"/>
              </w:rPr>
            </w:pPr>
            <w:r w:rsidRPr="00657C92">
              <w:rPr>
                <w:rFonts w:ascii="Arial" w:hAnsi="Arial" w:cs="Arial"/>
                <w:bCs/>
                <w:color w:val="000000"/>
              </w:rPr>
              <w:t>Insurance stress diversification factor</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bottom"/>
          </w:tcPr>
          <w:p w14:paraId="28D2C5C1" w14:textId="77777777" w:rsidR="001E3B01" w:rsidRPr="00493A37" w:rsidRDefault="001E3B01" w:rsidP="005B5226">
            <w:pPr>
              <w:jc w:val="center"/>
              <w:rPr>
                <w:rFonts w:ascii="Arial" w:hAnsi="Arial" w:cs="Arial"/>
                <w:bCs/>
                <w:color w:val="000000"/>
              </w:rPr>
            </w:pPr>
          </w:p>
        </w:tc>
      </w:tr>
    </w:tbl>
    <w:p w14:paraId="4CB84C48" w14:textId="77777777" w:rsidR="001E3B01" w:rsidRPr="00493A37" w:rsidRDefault="001E3B01" w:rsidP="001E3B01">
      <w:pPr>
        <w:pStyle w:val="ListParagraph"/>
        <w:ind w:left="0"/>
        <w:rPr>
          <w:rFonts w:ascii="Arial" w:hAnsi="Arial" w:cs="Arial"/>
          <w:bCs/>
          <w:color w:val="000000"/>
          <w:sz w:val="24"/>
          <w:szCs w:val="24"/>
        </w:rPr>
      </w:pPr>
    </w:p>
    <w:tbl>
      <w:tblPr>
        <w:tblW w:w="13892" w:type="dxa"/>
        <w:tblInd w:w="108" w:type="dxa"/>
        <w:tblLook w:val="04A0" w:firstRow="1" w:lastRow="0" w:firstColumn="1" w:lastColumn="0" w:noHBand="0" w:noVBand="1"/>
      </w:tblPr>
      <w:tblGrid>
        <w:gridCol w:w="13892"/>
      </w:tblGrid>
      <w:tr w:rsidR="001E3B01" w:rsidRPr="00493A37" w14:paraId="78BC096C" w14:textId="77777777" w:rsidTr="005B5226">
        <w:trPr>
          <w:trHeight w:val="80"/>
        </w:trPr>
        <w:tc>
          <w:tcPr>
            <w:tcW w:w="8789" w:type="dxa"/>
          </w:tcPr>
          <w:p w14:paraId="555353A0" w14:textId="77777777" w:rsidR="001E3B01" w:rsidRPr="00493A37" w:rsidRDefault="001E3B01" w:rsidP="005B5226">
            <w:pPr>
              <w:pStyle w:val="ListParagraph"/>
              <w:ind w:left="0"/>
              <w:rPr>
                <w:rFonts w:ascii="Arial" w:hAnsi="Arial" w:cs="Arial"/>
                <w:b/>
                <w:bCs/>
                <w:color w:val="000000"/>
                <w:sz w:val="24"/>
              </w:rPr>
            </w:pPr>
            <w:r w:rsidRPr="00493A37">
              <w:rPr>
                <w:rFonts w:ascii="Arial" w:hAnsi="Arial" w:cs="Arial"/>
                <w:b/>
                <w:bCs/>
                <w:color w:val="000000"/>
                <w:sz w:val="24"/>
                <w:szCs w:val="24"/>
              </w:rPr>
              <w:t>Section 3: Variable annuities</w:t>
            </w:r>
          </w:p>
        </w:tc>
      </w:tr>
    </w:tbl>
    <w:p w14:paraId="60C26E71" w14:textId="77777777" w:rsidR="001E3B01" w:rsidRPr="00493A37" w:rsidRDefault="001E3B01" w:rsidP="001E3B0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1E3B01" w:rsidRPr="00493A37" w14:paraId="780A716D" w14:textId="77777777" w:rsidTr="005B5226">
        <w:tc>
          <w:tcPr>
            <w:tcW w:w="8789" w:type="dxa"/>
          </w:tcPr>
          <w:p w14:paraId="1E13C8C8" w14:textId="77777777" w:rsidR="001E3B01" w:rsidRPr="00493A37" w:rsidRDefault="001E3B01" w:rsidP="001E3B01">
            <w:pPr>
              <w:pStyle w:val="ListParagraph"/>
              <w:numPr>
                <w:ilvl w:val="0"/>
                <w:numId w:val="13"/>
              </w:numPr>
              <w:contextualSpacing w:val="0"/>
              <w:rPr>
                <w:rFonts w:ascii="Arial" w:hAnsi="Arial" w:cs="Arial"/>
                <w:b/>
                <w:bCs/>
                <w:color w:val="000000"/>
              </w:rPr>
            </w:pPr>
            <w:r w:rsidRPr="00493A37">
              <w:rPr>
                <w:rFonts w:ascii="Arial" w:hAnsi="Arial" w:cs="Arial"/>
                <w:b/>
                <w:bCs/>
                <w:color w:val="000000"/>
              </w:rPr>
              <w:t>Variable annuity capital charge calculation</w:t>
            </w:r>
          </w:p>
        </w:tc>
      </w:tr>
    </w:tbl>
    <w:p w14:paraId="43AE5B75" w14:textId="77777777" w:rsidR="001E3B01" w:rsidRPr="00493A37" w:rsidRDefault="001E3B01" w:rsidP="001E3B01">
      <w:pPr>
        <w:rPr>
          <w:rFonts w:ascii="Arial" w:hAnsi="Arial" w:cs="Arial"/>
          <w:color w:val="000000"/>
        </w:rPr>
      </w:pPr>
    </w:p>
    <w:tbl>
      <w:tblPr>
        <w:tblW w:w="13892" w:type="dxa"/>
        <w:tblInd w:w="93" w:type="dxa"/>
        <w:tblLayout w:type="fixed"/>
        <w:tblLook w:val="04A0" w:firstRow="1" w:lastRow="0" w:firstColumn="1" w:lastColumn="0" w:noHBand="0" w:noVBand="1"/>
      </w:tblPr>
      <w:tblGrid>
        <w:gridCol w:w="12206"/>
        <w:gridCol w:w="1686"/>
      </w:tblGrid>
      <w:tr w:rsidR="001E3B01" w:rsidRPr="00493A37" w14:paraId="1BCC07A0" w14:textId="77777777" w:rsidTr="005B5226">
        <w:trPr>
          <w:trHeight w:val="317"/>
        </w:trPr>
        <w:tc>
          <w:tcPr>
            <w:tcW w:w="12206" w:type="dxa"/>
            <w:tcBorders>
              <w:top w:val="nil"/>
              <w:left w:val="nil"/>
              <w:bottom w:val="nil"/>
              <w:right w:val="nil"/>
            </w:tcBorders>
            <w:shd w:val="clear" w:color="auto" w:fill="auto"/>
            <w:noWrap/>
            <w:vAlign w:val="bottom"/>
            <w:hideMark/>
          </w:tcPr>
          <w:p w14:paraId="12F770E5" w14:textId="77777777" w:rsidR="001E3B01" w:rsidRPr="00493A37" w:rsidRDefault="001E3B01" w:rsidP="001E3B01">
            <w:pPr>
              <w:pStyle w:val="ListParagraph"/>
              <w:numPr>
                <w:ilvl w:val="1"/>
                <w:numId w:val="13"/>
              </w:numPr>
              <w:contextualSpacing w:val="0"/>
              <w:rPr>
                <w:rFonts w:ascii="Arial" w:hAnsi="Arial" w:cs="Arial"/>
                <w:color w:val="000000"/>
              </w:rPr>
            </w:pPr>
            <w:r w:rsidRPr="00493A37">
              <w:rPr>
                <w:rFonts w:ascii="Arial" w:hAnsi="Arial" w:cs="Arial"/>
                <w:color w:val="000000"/>
              </w:rPr>
              <w:t>Capital requirement (excluding hedging)</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2CF6B" w14:textId="77777777" w:rsidR="001E3B01" w:rsidRPr="00493A37" w:rsidRDefault="001E3B01" w:rsidP="005B5226">
            <w:pPr>
              <w:jc w:val="center"/>
              <w:rPr>
                <w:rFonts w:ascii="Arial" w:hAnsi="Arial" w:cs="Arial"/>
                <w:color w:val="000000"/>
              </w:rPr>
            </w:pPr>
          </w:p>
        </w:tc>
      </w:tr>
      <w:tr w:rsidR="001E3B01" w:rsidRPr="00493A37" w14:paraId="5316F21C" w14:textId="77777777" w:rsidTr="005B5226">
        <w:trPr>
          <w:trHeight w:val="317"/>
        </w:trPr>
        <w:tc>
          <w:tcPr>
            <w:tcW w:w="12206" w:type="dxa"/>
            <w:tcBorders>
              <w:top w:val="nil"/>
              <w:left w:val="nil"/>
              <w:bottom w:val="nil"/>
              <w:right w:val="nil"/>
            </w:tcBorders>
            <w:shd w:val="clear" w:color="auto" w:fill="auto"/>
            <w:noWrap/>
            <w:vAlign w:val="bottom"/>
            <w:hideMark/>
          </w:tcPr>
          <w:p w14:paraId="7D4D5119" w14:textId="77777777" w:rsidR="001E3B01" w:rsidRPr="00493A37" w:rsidRDefault="001E3B01" w:rsidP="001E3B01">
            <w:pPr>
              <w:pStyle w:val="ListParagraph"/>
              <w:numPr>
                <w:ilvl w:val="1"/>
                <w:numId w:val="13"/>
              </w:numPr>
              <w:contextualSpacing w:val="0"/>
              <w:rPr>
                <w:rFonts w:ascii="Arial" w:hAnsi="Arial" w:cs="Arial"/>
                <w:color w:val="000000"/>
              </w:rPr>
            </w:pPr>
            <w:r w:rsidRPr="00493A37">
              <w:rPr>
                <w:rFonts w:ascii="Arial" w:hAnsi="Arial" w:cs="Arial"/>
                <w:color w:val="000000"/>
              </w:rPr>
              <w:t>Capital requirement (including hedging)</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D3355" w14:textId="77777777" w:rsidR="001E3B01" w:rsidRPr="00493A37" w:rsidRDefault="001E3B01" w:rsidP="005B5226">
            <w:pPr>
              <w:jc w:val="center"/>
              <w:rPr>
                <w:rFonts w:ascii="Arial" w:hAnsi="Arial" w:cs="Arial"/>
                <w:color w:val="000000"/>
              </w:rPr>
            </w:pPr>
          </w:p>
        </w:tc>
      </w:tr>
      <w:tr w:rsidR="001E3B01" w:rsidRPr="00493A37" w14:paraId="24023A30" w14:textId="77777777" w:rsidTr="005B5226">
        <w:trPr>
          <w:trHeight w:val="317"/>
        </w:trPr>
        <w:tc>
          <w:tcPr>
            <w:tcW w:w="12206" w:type="dxa"/>
            <w:tcBorders>
              <w:top w:val="nil"/>
              <w:left w:val="nil"/>
              <w:bottom w:val="nil"/>
              <w:right w:val="nil"/>
            </w:tcBorders>
            <w:shd w:val="clear" w:color="auto" w:fill="auto"/>
            <w:noWrap/>
            <w:vAlign w:val="bottom"/>
            <w:hideMark/>
          </w:tcPr>
          <w:p w14:paraId="3252F8C9" w14:textId="77777777" w:rsidR="001E3B01" w:rsidRPr="00493A37" w:rsidRDefault="001E3B01" w:rsidP="001E3B01">
            <w:pPr>
              <w:pStyle w:val="ListParagraph"/>
              <w:numPr>
                <w:ilvl w:val="1"/>
                <w:numId w:val="13"/>
              </w:numPr>
              <w:contextualSpacing w:val="0"/>
              <w:rPr>
                <w:rFonts w:ascii="Arial" w:hAnsi="Arial" w:cs="Arial"/>
                <w:color w:val="000000"/>
              </w:rPr>
            </w:pPr>
            <w:r w:rsidRPr="00493A37">
              <w:rPr>
                <w:rFonts w:ascii="Arial" w:hAnsi="Arial" w:cs="Arial"/>
                <w:color w:val="000000"/>
              </w:rPr>
              <w:t>Diversification factor between asset and insurance risks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EFDFA" w14:textId="77777777" w:rsidR="001E3B01" w:rsidRPr="00493A37" w:rsidRDefault="001E3B01" w:rsidP="005B5226">
            <w:pPr>
              <w:jc w:val="center"/>
              <w:rPr>
                <w:rFonts w:ascii="Arial" w:hAnsi="Arial" w:cs="Arial"/>
                <w:color w:val="000000"/>
              </w:rPr>
            </w:pPr>
          </w:p>
        </w:tc>
      </w:tr>
      <w:tr w:rsidR="001E3B01" w:rsidRPr="00493A37" w14:paraId="50A59552" w14:textId="77777777" w:rsidTr="005B5226">
        <w:trPr>
          <w:trHeight w:val="317"/>
        </w:trPr>
        <w:tc>
          <w:tcPr>
            <w:tcW w:w="12206" w:type="dxa"/>
            <w:tcBorders>
              <w:top w:val="nil"/>
              <w:left w:val="nil"/>
              <w:bottom w:val="nil"/>
              <w:right w:val="nil"/>
            </w:tcBorders>
            <w:shd w:val="clear" w:color="auto" w:fill="auto"/>
            <w:noWrap/>
            <w:vAlign w:val="bottom"/>
            <w:hideMark/>
          </w:tcPr>
          <w:p w14:paraId="047EF92A" w14:textId="77777777" w:rsidR="001E3B01" w:rsidRPr="00493A37" w:rsidRDefault="001E3B01" w:rsidP="001E3B01">
            <w:pPr>
              <w:pStyle w:val="ListParagraph"/>
              <w:numPr>
                <w:ilvl w:val="1"/>
                <w:numId w:val="13"/>
              </w:numPr>
              <w:contextualSpacing w:val="0"/>
              <w:rPr>
                <w:rFonts w:ascii="Arial" w:hAnsi="Arial" w:cs="Arial"/>
                <w:color w:val="000000"/>
              </w:rPr>
            </w:pPr>
            <w:r w:rsidRPr="00493A37">
              <w:rPr>
                <w:rFonts w:ascii="Arial" w:hAnsi="Arial" w:cs="Arial"/>
                <w:color w:val="000000"/>
              </w:rPr>
              <w:t>Effectiveness factor</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97CCE" w14:textId="77777777" w:rsidR="001E3B01" w:rsidRPr="00493A37" w:rsidRDefault="001E3B01" w:rsidP="005B5226">
            <w:pPr>
              <w:jc w:val="center"/>
              <w:rPr>
                <w:rFonts w:ascii="Arial" w:hAnsi="Arial" w:cs="Arial"/>
                <w:color w:val="000000"/>
              </w:rPr>
            </w:pPr>
          </w:p>
        </w:tc>
      </w:tr>
      <w:tr w:rsidR="001E3B01" w:rsidRPr="00493A37" w14:paraId="7D423AE7" w14:textId="77777777" w:rsidTr="005B5226">
        <w:trPr>
          <w:trHeight w:val="317"/>
        </w:trPr>
        <w:tc>
          <w:tcPr>
            <w:tcW w:w="12206" w:type="dxa"/>
            <w:tcBorders>
              <w:top w:val="nil"/>
              <w:left w:val="nil"/>
              <w:bottom w:val="nil"/>
              <w:right w:val="nil"/>
            </w:tcBorders>
            <w:shd w:val="clear" w:color="auto" w:fill="auto"/>
            <w:noWrap/>
            <w:vAlign w:val="bottom"/>
          </w:tcPr>
          <w:p w14:paraId="7B5E4440" w14:textId="77777777" w:rsidR="001E3B01" w:rsidRPr="00493A37" w:rsidRDefault="001E3B01" w:rsidP="001E3B01">
            <w:pPr>
              <w:pStyle w:val="ListParagraph"/>
              <w:numPr>
                <w:ilvl w:val="1"/>
                <w:numId w:val="13"/>
              </w:numPr>
              <w:contextualSpacing w:val="0"/>
              <w:rPr>
                <w:rFonts w:ascii="Arial" w:hAnsi="Arial" w:cs="Arial"/>
                <w:b/>
                <w:color w:val="000000"/>
              </w:rPr>
            </w:pPr>
            <w:r w:rsidRPr="00493A37">
              <w:rPr>
                <w:rFonts w:ascii="Arial" w:hAnsi="Arial" w:cs="Arial"/>
                <w:b/>
                <w:color w:val="000000"/>
              </w:rPr>
              <w:t>Aggregate risk charge for variable annuities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6D46CE" w14:textId="77777777" w:rsidR="001E3B01" w:rsidRPr="00493A37" w:rsidRDefault="001E3B01" w:rsidP="005B5226">
            <w:pPr>
              <w:jc w:val="center"/>
              <w:rPr>
                <w:rFonts w:ascii="Arial" w:hAnsi="Arial" w:cs="Arial"/>
                <w:bCs/>
                <w:color w:val="000000"/>
              </w:rPr>
            </w:pPr>
          </w:p>
        </w:tc>
      </w:tr>
    </w:tbl>
    <w:p w14:paraId="58477498" w14:textId="6DCB18C9" w:rsidR="00E14A92" w:rsidRDefault="00E14A92" w:rsidP="00DB744D">
      <w:pPr>
        <w:keepNext/>
        <w:spacing w:before="120" w:after="240"/>
        <w:jc w:val="both"/>
      </w:pPr>
    </w:p>
    <w:p w14:paraId="1E150260" w14:textId="77777777" w:rsidR="001E3B01" w:rsidRDefault="001E3B01" w:rsidP="00DB744D">
      <w:pPr>
        <w:keepNext/>
        <w:spacing w:before="120" w:after="240"/>
        <w:jc w:val="both"/>
        <w:sectPr w:rsidR="001E3B01" w:rsidSect="008012FF">
          <w:headerReference w:type="default" r:id="rId18"/>
          <w:footerReference w:type="default" r:id="rId19"/>
          <w:pgSz w:w="16838" w:h="11906" w:orient="landscape"/>
          <w:pgMar w:top="1440" w:right="1440" w:bottom="1440" w:left="1440" w:header="708" w:footer="708" w:gutter="0"/>
          <w:pgNumType w:start="1"/>
          <w:cols w:space="708"/>
          <w:docGrid w:linePitch="360"/>
        </w:sectPr>
      </w:pPr>
    </w:p>
    <w:p w14:paraId="5EDB1427" w14:textId="77777777" w:rsidR="00E14A92" w:rsidRDefault="00E14A92" w:rsidP="00E14A92">
      <w:pPr>
        <w:keepNext/>
        <w:spacing w:before="120" w:after="360"/>
        <w:jc w:val="center"/>
        <w:rPr>
          <w:rFonts w:ascii="Arial" w:hAnsi="Arial" w:cs="Arial"/>
          <w:b/>
          <w:sz w:val="32"/>
          <w:szCs w:val="32"/>
        </w:rPr>
      </w:pPr>
      <w:r w:rsidRPr="00957B4A">
        <w:rPr>
          <w:rFonts w:ascii="Arial" w:hAnsi="Arial" w:cs="Arial"/>
          <w:b/>
          <w:bCs/>
          <w:sz w:val="32"/>
          <w:szCs w:val="32"/>
        </w:rPr>
        <w:t>LRF_</w:t>
      </w:r>
      <w:r>
        <w:rPr>
          <w:rFonts w:ascii="Arial" w:hAnsi="Arial" w:cs="Arial"/>
          <w:b/>
          <w:bCs/>
          <w:sz w:val="32"/>
          <w:szCs w:val="32"/>
        </w:rPr>
        <w:t>200</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Capital Adequacy Supplementary Information</w:t>
      </w:r>
    </w:p>
    <w:p w14:paraId="15A104D8" w14:textId="77777777" w:rsidR="00E14A92" w:rsidRDefault="00E14A92" w:rsidP="006658A3">
      <w:pPr>
        <w:keepNext/>
        <w:spacing w:after="240"/>
        <w:jc w:val="both"/>
        <w:rPr>
          <w:rFonts w:ascii="Arial" w:hAnsi="Arial" w:cs="Arial"/>
          <w:b/>
          <w:sz w:val="32"/>
          <w:szCs w:val="32"/>
        </w:rPr>
      </w:pPr>
      <w:r>
        <w:t>These instructions must be read in conjunction with the general instruction guide.</w:t>
      </w:r>
    </w:p>
    <w:p w14:paraId="5D43A2CA" w14:textId="77777777" w:rsidR="00E14A92" w:rsidRDefault="00E14A92" w:rsidP="006658A3">
      <w:pPr>
        <w:keepNext/>
        <w:spacing w:after="240"/>
        <w:jc w:val="both"/>
        <w:rPr>
          <w:rFonts w:ascii="Arial" w:hAnsi="Arial" w:cs="Arial"/>
          <w:b/>
          <w:sz w:val="32"/>
          <w:szCs w:val="32"/>
        </w:rPr>
      </w:pPr>
      <w:r>
        <w:rPr>
          <w:rFonts w:ascii="Arial" w:hAnsi="Arial" w:cs="Arial"/>
          <w:b/>
          <w:sz w:val="32"/>
          <w:szCs w:val="32"/>
        </w:rPr>
        <w:t>Explanatory notes</w:t>
      </w:r>
    </w:p>
    <w:p w14:paraId="06C914CD" w14:textId="77777777" w:rsidR="00E14A92" w:rsidRDefault="00E14A92" w:rsidP="006658A3">
      <w:pPr>
        <w:spacing w:after="240"/>
      </w:pPr>
      <w:r>
        <w:t>This form does not apply to friendly societies.</w:t>
      </w:r>
    </w:p>
    <w:p w14:paraId="6B2FA1C9" w14:textId="77777777" w:rsidR="00E14A92" w:rsidRDefault="00E14A92" w:rsidP="006658A3">
      <w:pPr>
        <w:keepNext/>
        <w:spacing w:after="240"/>
        <w:jc w:val="both"/>
        <w:rPr>
          <w:rFonts w:ascii="Arial" w:hAnsi="Arial" w:cs="Arial"/>
          <w:b/>
        </w:rPr>
      </w:pPr>
      <w:r w:rsidRPr="007E7CC4">
        <w:rPr>
          <w:rFonts w:ascii="Arial" w:hAnsi="Arial" w:cs="Arial"/>
          <w:b/>
        </w:rPr>
        <w:t>APRA product group</w:t>
      </w:r>
    </w:p>
    <w:p w14:paraId="1D5E8765" w14:textId="77777777" w:rsidR="00E14A92" w:rsidRPr="00E14A92" w:rsidRDefault="00E14A92" w:rsidP="006658A3">
      <w:pPr>
        <w:spacing w:after="240"/>
        <w:jc w:val="both"/>
      </w:pPr>
      <w:r w:rsidRPr="00E14A92">
        <w:t>The APRA product groups that apply for the purpose of this form are:</w:t>
      </w:r>
    </w:p>
    <w:p w14:paraId="4E7CEC68"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L1. Conventional Participating;</w:t>
      </w:r>
    </w:p>
    <w:p w14:paraId="29862CE5"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L2. Participating Investment Account;</w:t>
      </w:r>
    </w:p>
    <w:p w14:paraId="1B75223D"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L3. Annuity with Longevity Risk;</w:t>
      </w:r>
    </w:p>
    <w:p w14:paraId="77AF37DA"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L4. Individual Lump Sum Risk;</w:t>
      </w:r>
    </w:p>
    <w:p w14:paraId="17FEA128"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L5. Individual Disability Income Insurance;</w:t>
      </w:r>
    </w:p>
    <w:p w14:paraId="1E7931DB"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L6. Group Lump Sum Risk;</w:t>
      </w:r>
    </w:p>
    <w:p w14:paraId="2A7A6C7C"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L7. Group Disability Income Insurance;</w:t>
      </w:r>
    </w:p>
    <w:p w14:paraId="35A0A74A"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L8. Investment Linked;</w:t>
      </w:r>
    </w:p>
    <w:p w14:paraId="6F3E9E57"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L9. Non-participating Investment Policy with Discretionary Additions;</w:t>
      </w:r>
    </w:p>
    <w:p w14:paraId="504D755A"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L10. Other Non-participating Investment Policy;</w:t>
      </w:r>
    </w:p>
    <w:p w14:paraId="469BE060"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L11. Annuity without Longevity Risk; and</w:t>
      </w:r>
    </w:p>
    <w:p w14:paraId="64FBA52E" w14:textId="77777777" w:rsidR="00E14A92" w:rsidRPr="00E14A92" w:rsidRDefault="00E14A92" w:rsidP="006658A3">
      <w:pPr>
        <w:pStyle w:val="ListParagraph"/>
        <w:numPr>
          <w:ilvl w:val="0"/>
          <w:numId w:val="9"/>
        </w:numPr>
        <w:tabs>
          <w:tab w:val="left" w:pos="426"/>
        </w:tabs>
        <w:spacing w:after="240"/>
        <w:ind w:left="357" w:hanging="357"/>
        <w:contextualSpacing w:val="0"/>
        <w:jc w:val="both"/>
        <w:rPr>
          <w:sz w:val="24"/>
          <w:szCs w:val="24"/>
        </w:rPr>
      </w:pPr>
      <w:r w:rsidRPr="00E14A92">
        <w:rPr>
          <w:sz w:val="24"/>
          <w:szCs w:val="24"/>
        </w:rPr>
        <w:t>L12. Other.</w:t>
      </w:r>
    </w:p>
    <w:p w14:paraId="24FCBB8A" w14:textId="77777777" w:rsidR="00E14A92" w:rsidRDefault="00E14A92" w:rsidP="006658A3">
      <w:pPr>
        <w:keepNext/>
        <w:spacing w:after="240"/>
        <w:jc w:val="both"/>
        <w:rPr>
          <w:rFonts w:ascii="Arial" w:hAnsi="Arial" w:cs="Arial"/>
          <w:b/>
        </w:rPr>
      </w:pPr>
      <w:r>
        <w:rPr>
          <w:rFonts w:ascii="Arial" w:hAnsi="Arial" w:cs="Arial"/>
          <w:b/>
        </w:rPr>
        <w:t xml:space="preserve">Section 1: </w:t>
      </w:r>
      <w:r w:rsidRPr="00EC362A">
        <w:rPr>
          <w:rFonts w:ascii="Arial" w:hAnsi="Arial" w:cs="Arial"/>
          <w:b/>
        </w:rPr>
        <w:t>Capital base - Liability adjustments</w:t>
      </w:r>
    </w:p>
    <w:p w14:paraId="0EB37135" w14:textId="77777777" w:rsidR="00E14A92" w:rsidRPr="00010CC8" w:rsidRDefault="00E14A92" w:rsidP="006658A3">
      <w:pPr>
        <w:spacing w:after="240"/>
        <w:jc w:val="both"/>
      </w:pPr>
      <w:r>
        <w:t xml:space="preserve">The section must be completed if reporting form </w:t>
      </w:r>
      <w:r w:rsidRPr="00A35F2C">
        <w:rPr>
          <w:i/>
        </w:rPr>
        <w:t>LRF 115.</w:t>
      </w:r>
      <w:r w:rsidRPr="00010CC8">
        <w:rPr>
          <w:i/>
        </w:rPr>
        <w:t>0 Insurance Risk Charge</w:t>
      </w:r>
      <w:r w:rsidRPr="00010CC8">
        <w:t xml:space="preserve"> (LRF 115.0) has been completed for the reporting period.  </w:t>
      </w:r>
    </w:p>
    <w:p w14:paraId="150AAA17" w14:textId="77777777" w:rsidR="00E14A92" w:rsidRPr="00010CC8" w:rsidRDefault="00E14A92" w:rsidP="006658A3">
      <w:pPr>
        <w:keepNext/>
        <w:spacing w:after="240"/>
        <w:jc w:val="both"/>
        <w:rPr>
          <w:rFonts w:ascii="Arial" w:hAnsi="Arial" w:cs="Arial"/>
          <w:b/>
        </w:rPr>
      </w:pPr>
      <w:r w:rsidRPr="00010CC8">
        <w:rPr>
          <w:rFonts w:ascii="Arial" w:hAnsi="Arial" w:cs="Arial"/>
          <w:b/>
        </w:rPr>
        <w:t xml:space="preserve">Section 2: Insurance risk charge </w:t>
      </w:r>
    </w:p>
    <w:p w14:paraId="552BF1CC" w14:textId="77777777" w:rsidR="00E14A92" w:rsidRPr="00A7391F" w:rsidRDefault="00E14A92" w:rsidP="006658A3">
      <w:pPr>
        <w:spacing w:after="240"/>
        <w:jc w:val="both"/>
      </w:pPr>
      <w:r w:rsidRPr="00010CC8">
        <w:t>The valuation date is the date at which the data in the tables is effective</w:t>
      </w:r>
      <w:r>
        <w:t>.</w:t>
      </w:r>
    </w:p>
    <w:p w14:paraId="11E7F6DB" w14:textId="77777777" w:rsidR="00E14A92" w:rsidRDefault="00E14A92" w:rsidP="006658A3">
      <w:pPr>
        <w:spacing w:after="240"/>
        <w:jc w:val="both"/>
      </w:pPr>
      <w:r>
        <w:t>This section must be completed</w:t>
      </w:r>
      <w:r w:rsidRPr="00F65F4D">
        <w:t xml:space="preserve"> for each reporting period.  However the inputs do not need to be updated if the Insurance Risk Charge is zero or if there has been no material change to the diversification factor since the previous quarter.</w:t>
      </w:r>
    </w:p>
    <w:p w14:paraId="0AF5D793" w14:textId="77777777" w:rsidR="00E14A92" w:rsidRPr="00F65F4D" w:rsidRDefault="00E14A92" w:rsidP="006658A3">
      <w:pPr>
        <w:keepNext/>
        <w:spacing w:after="240"/>
        <w:jc w:val="both"/>
        <w:rPr>
          <w:rFonts w:ascii="Arial" w:hAnsi="Arial" w:cs="Arial"/>
          <w:b/>
        </w:rPr>
      </w:pPr>
      <w:r w:rsidRPr="00F65F4D">
        <w:rPr>
          <w:rFonts w:ascii="Arial" w:hAnsi="Arial" w:cs="Arial"/>
          <w:b/>
        </w:rPr>
        <w:t>Section 3: Variable annuities</w:t>
      </w:r>
    </w:p>
    <w:p w14:paraId="145BD5BB" w14:textId="77777777" w:rsidR="00E14A92" w:rsidRDefault="00E14A92" w:rsidP="006658A3">
      <w:pPr>
        <w:spacing w:after="240"/>
        <w:jc w:val="both"/>
      </w:pPr>
      <w:r>
        <w:t>This section must be completed both annually and at the end of each reporting quarter for statutory funds with policy liabilities in respect of variable annuities.</w:t>
      </w:r>
    </w:p>
    <w:p w14:paraId="22232AAC" w14:textId="77777777" w:rsidR="00E14A92" w:rsidRDefault="00E14A92" w:rsidP="006658A3">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3A28C3C1" w14:textId="77777777" w:rsidR="00E14A92" w:rsidRDefault="00E14A92" w:rsidP="006658A3">
      <w:pPr>
        <w:keepNext/>
        <w:spacing w:after="240"/>
        <w:jc w:val="both"/>
        <w:rPr>
          <w:rFonts w:ascii="Arial" w:hAnsi="Arial" w:cs="Arial"/>
          <w:b/>
        </w:rPr>
      </w:pPr>
      <w:r w:rsidRPr="00A1087F">
        <w:rPr>
          <w:rFonts w:ascii="Arial" w:hAnsi="Arial" w:cs="Arial"/>
          <w:b/>
        </w:rPr>
        <w:t>Section 1: Capital base - Liability adjustments</w:t>
      </w:r>
    </w:p>
    <w:p w14:paraId="48EA9097" w14:textId="77777777" w:rsidR="00E14A92" w:rsidRPr="00513783" w:rsidRDefault="00E14A92" w:rsidP="006658A3">
      <w:pPr>
        <w:keepNext/>
        <w:spacing w:after="240"/>
        <w:jc w:val="both"/>
      </w:pPr>
      <w:r w:rsidRPr="00A35F2C">
        <w:t>This section does not apply to APRA product groups L1, L2 and L9.</w:t>
      </w:r>
    </w:p>
    <w:p w14:paraId="69B9C3A6" w14:textId="77777777" w:rsidR="00E14A92" w:rsidRDefault="00E14A92" w:rsidP="006658A3">
      <w:pPr>
        <w:keepNext/>
        <w:tabs>
          <w:tab w:val="left" w:pos="567"/>
        </w:tabs>
        <w:spacing w:after="240"/>
        <w:jc w:val="both"/>
        <w:rPr>
          <w:rFonts w:ascii="Arial" w:hAnsi="Arial" w:cs="Arial"/>
          <w:b/>
        </w:rPr>
      </w:pPr>
      <w:r>
        <w:rPr>
          <w:rFonts w:ascii="Arial" w:hAnsi="Arial" w:cs="Arial"/>
          <w:b/>
        </w:rPr>
        <w:t>1.</w:t>
      </w:r>
      <w:r>
        <w:rPr>
          <w:rFonts w:ascii="Arial" w:hAnsi="Arial" w:cs="Arial"/>
          <w:b/>
        </w:rPr>
        <w:tab/>
        <w:t>Past premium liabilities</w:t>
      </w:r>
    </w:p>
    <w:p w14:paraId="1693AC7F" w14:textId="77777777" w:rsidR="00E14A92" w:rsidRDefault="00E14A92" w:rsidP="006658A3">
      <w:pPr>
        <w:keepNext/>
        <w:tabs>
          <w:tab w:val="left" w:pos="1843"/>
        </w:tabs>
        <w:spacing w:after="240"/>
        <w:jc w:val="both"/>
        <w:rPr>
          <w:rFonts w:ascii="Arial" w:hAnsi="Arial" w:cs="Arial"/>
          <w:b/>
        </w:rPr>
      </w:pPr>
      <w:r>
        <w:rPr>
          <w:rFonts w:ascii="Arial" w:hAnsi="Arial" w:cs="Arial"/>
          <w:b/>
        </w:rPr>
        <w:t>1(1) and 1(7).</w:t>
      </w:r>
      <w:r>
        <w:rPr>
          <w:rFonts w:ascii="Arial" w:hAnsi="Arial" w:cs="Arial"/>
          <w:b/>
        </w:rPr>
        <w:tab/>
      </w:r>
      <w:r w:rsidRPr="00A1087F">
        <w:rPr>
          <w:rFonts w:ascii="Arial" w:hAnsi="Arial" w:cs="Arial"/>
          <w:b/>
        </w:rPr>
        <w:t>Annuity and investment liability value</w:t>
      </w:r>
    </w:p>
    <w:p w14:paraId="3A4D3AE9" w14:textId="77777777" w:rsidR="00E14A92" w:rsidRDefault="00E14A92" w:rsidP="006658A3">
      <w:pPr>
        <w:spacing w:after="240"/>
        <w:jc w:val="both"/>
      </w:pPr>
      <w:r>
        <w:t>In respect of L3 and L11 product groups, these items report the total liability value in respect of future annuity payments and expenses arising from the premiums received prior to the reporting date.</w:t>
      </w:r>
    </w:p>
    <w:p w14:paraId="3FD9CE04" w14:textId="77777777" w:rsidR="00E14A92" w:rsidRDefault="00E14A92" w:rsidP="006658A3">
      <w:pPr>
        <w:spacing w:after="240"/>
        <w:jc w:val="both"/>
      </w:pPr>
      <w:r>
        <w:t>In respect of L8 and L10 product groups, these items report the total liability value in respect of amounts owing to policy owners arising from deposit premiums received prior to the reporting date.</w:t>
      </w:r>
    </w:p>
    <w:p w14:paraId="21C15356" w14:textId="77777777" w:rsidR="00E14A92" w:rsidRPr="00EC2B3B" w:rsidRDefault="00E14A92" w:rsidP="006658A3">
      <w:pPr>
        <w:spacing w:after="240"/>
        <w:jc w:val="both"/>
      </w:pPr>
      <w:r>
        <w:t xml:space="preserve">These items should be present-valued to as at the reporting date using the risk-free discount rate (plus illiquidity premium, if applicable) as per </w:t>
      </w:r>
      <w:r>
        <w:rPr>
          <w:i/>
        </w:rPr>
        <w:t xml:space="preserve">Prudential Standard </w:t>
      </w:r>
      <w:r w:rsidRPr="00A35F2C">
        <w:rPr>
          <w:i/>
        </w:rPr>
        <w:t>LPS 112 Capital Adequacy: Measurement of Capital</w:t>
      </w:r>
      <w:r>
        <w:t xml:space="preserve"> (LPS 112).  Column (1) should be reported prior to the application of the insurance stress margins and column (7) should be reported post the application of the insurance stress margins.</w:t>
      </w:r>
    </w:p>
    <w:p w14:paraId="10A6C297" w14:textId="77777777" w:rsidR="00E14A92" w:rsidRDefault="00E14A92" w:rsidP="006658A3">
      <w:pPr>
        <w:keepNext/>
        <w:tabs>
          <w:tab w:val="left" w:pos="1843"/>
        </w:tabs>
        <w:spacing w:after="240"/>
        <w:jc w:val="both"/>
        <w:rPr>
          <w:rFonts w:ascii="Arial" w:hAnsi="Arial" w:cs="Arial"/>
          <w:b/>
        </w:rPr>
      </w:pPr>
      <w:r>
        <w:rPr>
          <w:rFonts w:ascii="Arial" w:hAnsi="Arial" w:cs="Arial"/>
          <w:b/>
        </w:rPr>
        <w:t>1(2) and 1(8).</w:t>
      </w:r>
      <w:r>
        <w:rPr>
          <w:rFonts w:ascii="Arial" w:hAnsi="Arial" w:cs="Arial"/>
          <w:b/>
        </w:rPr>
        <w:tab/>
      </w:r>
      <w:r w:rsidRPr="00A1087F">
        <w:rPr>
          <w:rFonts w:ascii="Arial" w:hAnsi="Arial" w:cs="Arial"/>
          <w:b/>
        </w:rPr>
        <w:t>CICP Reserve</w:t>
      </w:r>
    </w:p>
    <w:p w14:paraId="6883E51B" w14:textId="77777777" w:rsidR="00E14A92" w:rsidRDefault="00E14A92" w:rsidP="006658A3">
      <w:pPr>
        <w:spacing w:after="240"/>
        <w:jc w:val="both"/>
      </w:pPr>
      <w:r>
        <w:t>These columns report the total expected claim payments and expenses in respect of claims in course of payment, that are associated with past premiums received prior to the reporting date.</w:t>
      </w:r>
    </w:p>
    <w:p w14:paraId="26F93D3D" w14:textId="77777777" w:rsidR="00E14A92" w:rsidRPr="00EC2B3B" w:rsidRDefault="00E14A92" w:rsidP="006658A3">
      <w:pPr>
        <w:spacing w:after="240"/>
        <w:jc w:val="both"/>
      </w:pPr>
      <w:r>
        <w:t>These columns should be present-valued to as at the reporting date using the risk-free discount rate as per LPS 112.  Column (2) should be reported prior to the application of the insurance stress margins and column (8) should be reported post the application of the insurance stress margins.</w:t>
      </w:r>
    </w:p>
    <w:p w14:paraId="42AF0D60" w14:textId="77777777" w:rsidR="00E14A92" w:rsidRDefault="00E14A92" w:rsidP="006658A3">
      <w:pPr>
        <w:keepNext/>
        <w:tabs>
          <w:tab w:val="left" w:pos="1843"/>
        </w:tabs>
        <w:spacing w:after="240"/>
        <w:jc w:val="both"/>
        <w:rPr>
          <w:rFonts w:ascii="Arial" w:hAnsi="Arial" w:cs="Arial"/>
          <w:b/>
        </w:rPr>
      </w:pPr>
      <w:r>
        <w:rPr>
          <w:rFonts w:ascii="Arial" w:hAnsi="Arial" w:cs="Arial"/>
          <w:b/>
        </w:rPr>
        <w:t>1(3) and 1(9).</w:t>
      </w:r>
      <w:r>
        <w:rPr>
          <w:rFonts w:ascii="Arial" w:hAnsi="Arial" w:cs="Arial"/>
          <w:b/>
        </w:rPr>
        <w:tab/>
      </w:r>
      <w:r w:rsidRPr="00A1087F">
        <w:rPr>
          <w:rFonts w:ascii="Arial" w:hAnsi="Arial" w:cs="Arial"/>
          <w:b/>
        </w:rPr>
        <w:t>RBNA Reserve</w:t>
      </w:r>
    </w:p>
    <w:p w14:paraId="50A0E8E7" w14:textId="77777777" w:rsidR="00E14A92" w:rsidRDefault="00E14A92" w:rsidP="006658A3">
      <w:pPr>
        <w:spacing w:after="240"/>
        <w:jc w:val="both"/>
      </w:pPr>
      <w:r>
        <w:t>These columns report the total expected claim payments and expenses in respect of claims reported but not assessed, that are associated with past premiums received prior to the reporting date.</w:t>
      </w:r>
    </w:p>
    <w:p w14:paraId="4813B544" w14:textId="77777777" w:rsidR="00E14A92" w:rsidRPr="00EC2B3B" w:rsidRDefault="00E14A92" w:rsidP="006658A3">
      <w:pPr>
        <w:spacing w:after="240"/>
        <w:jc w:val="both"/>
      </w:pPr>
      <w:r>
        <w:t>These columns should be present-valued to as at the reporting date using the risk-free discount rate as per LPS 112.  Column (3) should be reported prior to the application of the insurance stress margins and column (9) should be reported post the application of the insurance stress margins.</w:t>
      </w:r>
    </w:p>
    <w:p w14:paraId="371DD941" w14:textId="77777777" w:rsidR="00E14A92" w:rsidRDefault="00E14A92" w:rsidP="006658A3">
      <w:pPr>
        <w:keepNext/>
        <w:tabs>
          <w:tab w:val="left" w:pos="1843"/>
        </w:tabs>
        <w:spacing w:after="240"/>
        <w:jc w:val="both"/>
        <w:rPr>
          <w:rFonts w:ascii="Arial" w:hAnsi="Arial" w:cs="Arial"/>
          <w:b/>
        </w:rPr>
      </w:pPr>
      <w:r>
        <w:rPr>
          <w:rFonts w:ascii="Arial" w:hAnsi="Arial" w:cs="Arial"/>
          <w:b/>
        </w:rPr>
        <w:t>1(4) and 1(10).</w:t>
      </w:r>
      <w:r>
        <w:rPr>
          <w:rFonts w:ascii="Arial" w:hAnsi="Arial" w:cs="Arial"/>
          <w:b/>
        </w:rPr>
        <w:tab/>
      </w:r>
      <w:r w:rsidRPr="00A1087F">
        <w:rPr>
          <w:rFonts w:ascii="Arial" w:hAnsi="Arial" w:cs="Arial"/>
          <w:b/>
        </w:rPr>
        <w:t>IBNR Reserve</w:t>
      </w:r>
    </w:p>
    <w:p w14:paraId="0F246D81" w14:textId="77777777" w:rsidR="00E14A92" w:rsidRDefault="00E14A92" w:rsidP="006658A3">
      <w:pPr>
        <w:spacing w:after="240"/>
        <w:jc w:val="both"/>
      </w:pPr>
      <w:r>
        <w:t>These columns report the total expected claim payments and expenses in respect of claims incurred but not reported, that are associated with past premiums received prior to the reporting date.</w:t>
      </w:r>
    </w:p>
    <w:p w14:paraId="0389AE02" w14:textId="77777777" w:rsidR="00E14A92" w:rsidRPr="00EC2B3B" w:rsidRDefault="00E14A92" w:rsidP="006658A3">
      <w:pPr>
        <w:spacing w:after="240"/>
        <w:jc w:val="both"/>
      </w:pPr>
      <w:r>
        <w:t>These columns should be present-valued to as at the reporting date using the risk-free discount rate as per LPS 112.  Column (4) should be reported prior to the application of the insurance stress margins and column (10) should be reported post the application of the insurance stress margins.</w:t>
      </w:r>
    </w:p>
    <w:p w14:paraId="53E5226C" w14:textId="77777777" w:rsidR="00E14A92" w:rsidRDefault="00E14A92" w:rsidP="006658A3">
      <w:pPr>
        <w:keepNext/>
        <w:tabs>
          <w:tab w:val="left" w:pos="1843"/>
        </w:tabs>
        <w:spacing w:after="240"/>
        <w:jc w:val="both"/>
        <w:rPr>
          <w:rFonts w:ascii="Arial" w:hAnsi="Arial" w:cs="Arial"/>
          <w:b/>
        </w:rPr>
      </w:pPr>
      <w:r>
        <w:rPr>
          <w:rFonts w:ascii="Arial" w:hAnsi="Arial" w:cs="Arial"/>
          <w:b/>
        </w:rPr>
        <w:t xml:space="preserve">1(5) and 1(11). </w:t>
      </w:r>
      <w:r>
        <w:rPr>
          <w:rFonts w:ascii="Arial" w:hAnsi="Arial" w:cs="Arial"/>
          <w:b/>
        </w:rPr>
        <w:tab/>
      </w:r>
      <w:r w:rsidRPr="00A1087F">
        <w:rPr>
          <w:rFonts w:ascii="Arial" w:hAnsi="Arial" w:cs="Arial"/>
          <w:b/>
        </w:rPr>
        <w:t>Unearned premium reserve</w:t>
      </w:r>
    </w:p>
    <w:p w14:paraId="18665CB5" w14:textId="77777777" w:rsidR="00E14A92" w:rsidRDefault="00E14A92" w:rsidP="006658A3">
      <w:pPr>
        <w:spacing w:after="240"/>
        <w:jc w:val="both"/>
      </w:pPr>
      <w:r>
        <w:t>These columns report the total expected future claim payments and expenses associated with unexpired proportion of past premiums received prior to the reporting date.</w:t>
      </w:r>
    </w:p>
    <w:p w14:paraId="29FF4C92" w14:textId="77777777" w:rsidR="00E14A92" w:rsidRPr="00EC2B3B" w:rsidRDefault="00E14A92" w:rsidP="006658A3">
      <w:pPr>
        <w:spacing w:after="240"/>
        <w:jc w:val="both"/>
      </w:pPr>
      <w:r>
        <w:t>These columns should be present-valued to as at the reporting date using the risk-free discount rate as per LPS 112.  Column (5) should be reported prior to the application of the insurance stress margins and column (11) should be reported post the application of the insurance stress margins.</w:t>
      </w:r>
    </w:p>
    <w:p w14:paraId="42293516"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1(6).</w:t>
      </w:r>
      <w:r>
        <w:rPr>
          <w:rFonts w:ascii="Arial" w:hAnsi="Arial" w:cs="Arial"/>
          <w:b/>
        </w:rPr>
        <w:tab/>
      </w:r>
      <w:r w:rsidRPr="00A1087F">
        <w:rPr>
          <w:rFonts w:ascii="Arial" w:hAnsi="Arial" w:cs="Arial"/>
          <w:b/>
        </w:rPr>
        <w:t>Total past premium liabilities</w:t>
      </w:r>
    </w:p>
    <w:p w14:paraId="41E661BC" w14:textId="77777777" w:rsidR="00E14A92" w:rsidRDefault="00E14A92" w:rsidP="006658A3">
      <w:pPr>
        <w:spacing w:after="240"/>
        <w:jc w:val="both"/>
      </w:pPr>
      <w:r>
        <w:t>This column reports the present value of total expected claims and expenses, arising from all premiums that have been received prior to the reporting date, before the effect of the insurance risk stresses.</w:t>
      </w:r>
    </w:p>
    <w:p w14:paraId="3E4053D8" w14:textId="77777777" w:rsidR="00E14A92" w:rsidRPr="00EC2B3B" w:rsidRDefault="00E14A92" w:rsidP="006658A3">
      <w:pPr>
        <w:spacing w:after="240"/>
        <w:jc w:val="both"/>
      </w:pPr>
      <w:r>
        <w:t>This column is calculated automatically as the sum of column (1) to column (5).</w:t>
      </w:r>
    </w:p>
    <w:p w14:paraId="44DD6A8C"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1(12).</w:t>
      </w:r>
      <w:r>
        <w:rPr>
          <w:rFonts w:ascii="Arial" w:hAnsi="Arial" w:cs="Arial"/>
          <w:b/>
        </w:rPr>
        <w:tab/>
      </w:r>
      <w:r w:rsidRPr="00A1087F">
        <w:rPr>
          <w:rFonts w:ascii="Arial" w:hAnsi="Arial" w:cs="Arial"/>
          <w:b/>
        </w:rPr>
        <w:t>Stressed past premium liabilities</w:t>
      </w:r>
    </w:p>
    <w:p w14:paraId="7D4D57F8" w14:textId="77777777" w:rsidR="00E14A92" w:rsidRPr="00EC2B3B" w:rsidRDefault="00E14A92" w:rsidP="006658A3">
      <w:pPr>
        <w:spacing w:after="240"/>
        <w:jc w:val="both"/>
      </w:pPr>
      <w:r w:rsidRPr="00EC2B3B">
        <w:t>This column reports the present value of total expected claims and expenses, arising from all premiums that have been received prior to the reporting date, post the effect of the insurance risk stresses.</w:t>
      </w:r>
    </w:p>
    <w:p w14:paraId="1B34C081" w14:textId="77777777" w:rsidR="00E14A92" w:rsidRDefault="00E14A92" w:rsidP="006658A3">
      <w:pPr>
        <w:spacing w:after="240"/>
        <w:jc w:val="both"/>
      </w:pPr>
      <w:r w:rsidRPr="00EC2B3B">
        <w:t>This column is calculated automatically as the sum of column (7) to column (11).</w:t>
      </w:r>
    </w:p>
    <w:p w14:paraId="51C9CEA2" w14:textId="77777777" w:rsidR="00E14A92" w:rsidRDefault="00E14A92" w:rsidP="006658A3">
      <w:pPr>
        <w:keepNext/>
        <w:tabs>
          <w:tab w:val="left" w:pos="567"/>
        </w:tabs>
        <w:spacing w:after="240"/>
        <w:jc w:val="both"/>
        <w:rPr>
          <w:rFonts w:ascii="Arial" w:hAnsi="Arial" w:cs="Arial"/>
          <w:b/>
        </w:rPr>
      </w:pPr>
      <w:r>
        <w:rPr>
          <w:rFonts w:ascii="Arial" w:hAnsi="Arial" w:cs="Arial"/>
          <w:b/>
        </w:rPr>
        <w:t>2.</w:t>
      </w:r>
      <w:r>
        <w:rPr>
          <w:rFonts w:ascii="Arial" w:hAnsi="Arial" w:cs="Arial"/>
          <w:b/>
        </w:rPr>
        <w:tab/>
        <w:t>Future premium liabilities</w:t>
      </w:r>
    </w:p>
    <w:p w14:paraId="4608F86A" w14:textId="77777777" w:rsidR="00E14A92" w:rsidRDefault="00E14A92" w:rsidP="006658A3">
      <w:pPr>
        <w:keepNext/>
        <w:tabs>
          <w:tab w:val="left" w:pos="567"/>
          <w:tab w:val="left" w:pos="1843"/>
        </w:tabs>
        <w:spacing w:after="240"/>
        <w:jc w:val="both"/>
        <w:rPr>
          <w:rFonts w:ascii="Arial" w:hAnsi="Arial" w:cs="Arial"/>
          <w:b/>
        </w:rPr>
      </w:pPr>
      <w:r>
        <w:rPr>
          <w:rFonts w:ascii="Arial" w:hAnsi="Arial" w:cs="Arial"/>
          <w:b/>
        </w:rPr>
        <w:t>2(1) and 2(8).</w:t>
      </w:r>
      <w:r>
        <w:rPr>
          <w:rFonts w:ascii="Arial" w:hAnsi="Arial" w:cs="Arial"/>
          <w:b/>
        </w:rPr>
        <w:tab/>
      </w:r>
      <w:r w:rsidRPr="00A1087F">
        <w:rPr>
          <w:rFonts w:ascii="Arial" w:hAnsi="Arial" w:cs="Arial"/>
          <w:b/>
        </w:rPr>
        <w:t>Risk-free present value of future claims</w:t>
      </w:r>
    </w:p>
    <w:p w14:paraId="612ED2FF" w14:textId="77777777" w:rsidR="00E14A92" w:rsidRPr="00EC2B3B" w:rsidRDefault="00E14A92" w:rsidP="006658A3">
      <w:pPr>
        <w:spacing w:after="240"/>
        <w:jc w:val="both"/>
      </w:pPr>
      <w:r w:rsidRPr="00EC2B3B">
        <w:t>These columns report the present value of all future expected claim payments arising from premiums expected to be received after the reporting date.</w:t>
      </w:r>
    </w:p>
    <w:p w14:paraId="5C616E55" w14:textId="77777777" w:rsidR="00E14A92" w:rsidRPr="00EC2B3B" w:rsidRDefault="00E14A92" w:rsidP="006658A3">
      <w:pPr>
        <w:spacing w:after="240"/>
        <w:jc w:val="both"/>
      </w:pPr>
      <w:r w:rsidRPr="00EC2B3B">
        <w:t>These columns should be present</w:t>
      </w:r>
      <w:r>
        <w:t>-</w:t>
      </w:r>
      <w:r w:rsidRPr="00EC2B3B">
        <w:t>valued using the risk-free discount rate as per LPS 112, prior to the application of the insurance stress margins.  Column (1) should report the value of future expected claims as at the reporting date, discounted to the reporting date.  Column (8) should report the value of future expected claims as at 12 months following the reporting date, but discounted to the reporting date.</w:t>
      </w:r>
    </w:p>
    <w:p w14:paraId="20D289B9" w14:textId="77777777" w:rsidR="00E14A92" w:rsidRDefault="00E14A92" w:rsidP="006658A3">
      <w:pPr>
        <w:keepNext/>
        <w:tabs>
          <w:tab w:val="left" w:pos="567"/>
          <w:tab w:val="left" w:pos="1843"/>
        </w:tabs>
        <w:spacing w:after="240"/>
        <w:jc w:val="both"/>
        <w:rPr>
          <w:rFonts w:ascii="Arial" w:hAnsi="Arial" w:cs="Arial"/>
          <w:b/>
        </w:rPr>
      </w:pPr>
      <w:r>
        <w:rPr>
          <w:rFonts w:ascii="Arial" w:hAnsi="Arial" w:cs="Arial"/>
          <w:b/>
        </w:rPr>
        <w:t>2(2) and 2(9).</w:t>
      </w:r>
      <w:r>
        <w:rPr>
          <w:rFonts w:ascii="Arial" w:hAnsi="Arial" w:cs="Arial"/>
          <w:b/>
        </w:rPr>
        <w:tab/>
      </w:r>
      <w:r w:rsidRPr="00A1087F">
        <w:rPr>
          <w:rFonts w:ascii="Arial" w:hAnsi="Arial" w:cs="Arial"/>
          <w:b/>
        </w:rPr>
        <w:t>Risk-free present value of future expenses</w:t>
      </w:r>
    </w:p>
    <w:p w14:paraId="47FA45B0" w14:textId="77777777" w:rsidR="00E14A92" w:rsidRDefault="00E14A92" w:rsidP="006658A3">
      <w:pPr>
        <w:spacing w:after="240"/>
        <w:jc w:val="both"/>
      </w:pPr>
      <w:r>
        <w:t>These columns report the present value of all future expected expenses arising from premiums expected to be received after the reporting date.</w:t>
      </w:r>
    </w:p>
    <w:p w14:paraId="675055B7" w14:textId="77777777" w:rsidR="00E14A92" w:rsidRPr="00EC2B3B" w:rsidRDefault="00E14A92" w:rsidP="006658A3">
      <w:pPr>
        <w:spacing w:after="240"/>
        <w:jc w:val="both"/>
      </w:pPr>
      <w:r>
        <w:t>These columns should be present-valued using the risk-free discount rate as per LPS 112, prior to the application of the insurance stress margins.  Column (2) should report the value of future expected expenses as at the reporting date, discounted to the reporting date.  Column (9) should report the value of future expected expenses as at 12 months following the reporting date, but discounted to the reporting date.</w:t>
      </w:r>
    </w:p>
    <w:p w14:paraId="0FF53316" w14:textId="77777777" w:rsidR="00E14A92" w:rsidRDefault="00E14A92" w:rsidP="006658A3">
      <w:pPr>
        <w:keepNext/>
        <w:tabs>
          <w:tab w:val="left" w:pos="567"/>
          <w:tab w:val="left" w:pos="1843"/>
        </w:tabs>
        <w:spacing w:after="240"/>
        <w:jc w:val="both"/>
        <w:rPr>
          <w:rFonts w:ascii="Arial" w:hAnsi="Arial" w:cs="Arial"/>
          <w:b/>
        </w:rPr>
      </w:pPr>
      <w:r>
        <w:rPr>
          <w:rFonts w:ascii="Arial" w:hAnsi="Arial" w:cs="Arial"/>
          <w:b/>
        </w:rPr>
        <w:t>2(3) and 2(10).</w:t>
      </w:r>
      <w:r>
        <w:rPr>
          <w:rFonts w:ascii="Arial" w:hAnsi="Arial" w:cs="Arial"/>
          <w:b/>
        </w:rPr>
        <w:tab/>
      </w:r>
      <w:r w:rsidRPr="00A1087F">
        <w:rPr>
          <w:rFonts w:ascii="Arial" w:hAnsi="Arial" w:cs="Arial"/>
          <w:b/>
        </w:rPr>
        <w:t>Risk-free present value of future premiums</w:t>
      </w:r>
    </w:p>
    <w:p w14:paraId="4CB59228" w14:textId="77777777" w:rsidR="00E14A92" w:rsidRDefault="00E14A92" w:rsidP="006658A3">
      <w:pPr>
        <w:spacing w:after="240"/>
        <w:jc w:val="both"/>
      </w:pPr>
      <w:r>
        <w:t>These columns report the present value of all future premiums expected to be received after the reporting date from policies remaining in force.</w:t>
      </w:r>
    </w:p>
    <w:p w14:paraId="6CB4E717" w14:textId="77777777" w:rsidR="00E14A92" w:rsidRPr="00EC2B3B" w:rsidRDefault="00E14A92" w:rsidP="006658A3">
      <w:pPr>
        <w:spacing w:after="240"/>
        <w:jc w:val="both"/>
      </w:pPr>
      <w:r>
        <w:t>These columns should be present-valued using the risk-free discount rate as per LPS 112, prior to the application of the insurance stress margins and management actions.  Column (3) should report the value of future expected premiums as at the reporting date, discounted to the reporting date.  Column (10) should report the value of future expected premiums as at 12 months following the reporting date, but discounted to the reporting date.</w:t>
      </w:r>
    </w:p>
    <w:p w14:paraId="73124009" w14:textId="77777777" w:rsidR="00E14A92" w:rsidRDefault="00E14A92" w:rsidP="006658A3">
      <w:pPr>
        <w:keepNext/>
        <w:tabs>
          <w:tab w:val="left" w:pos="567"/>
          <w:tab w:val="left" w:pos="1843"/>
        </w:tabs>
        <w:spacing w:after="240"/>
        <w:jc w:val="both"/>
        <w:rPr>
          <w:rFonts w:ascii="Arial" w:hAnsi="Arial" w:cs="Arial"/>
          <w:b/>
        </w:rPr>
      </w:pPr>
      <w:r>
        <w:rPr>
          <w:rFonts w:ascii="Arial" w:hAnsi="Arial" w:cs="Arial"/>
          <w:b/>
        </w:rPr>
        <w:t>2(4) and 2(11).</w:t>
      </w:r>
      <w:r>
        <w:rPr>
          <w:rFonts w:ascii="Arial" w:hAnsi="Arial" w:cs="Arial"/>
          <w:b/>
        </w:rPr>
        <w:tab/>
      </w:r>
      <w:r w:rsidRPr="00A1087F">
        <w:rPr>
          <w:rFonts w:ascii="Arial" w:hAnsi="Arial" w:cs="Arial"/>
          <w:b/>
        </w:rPr>
        <w:t>Risk-free present value of other liability component</w:t>
      </w:r>
      <w:r>
        <w:rPr>
          <w:rFonts w:ascii="Arial" w:hAnsi="Arial" w:cs="Arial"/>
          <w:b/>
        </w:rPr>
        <w:t>s</w:t>
      </w:r>
    </w:p>
    <w:p w14:paraId="1E2F7BA7" w14:textId="77777777" w:rsidR="00E14A92" w:rsidRDefault="00E14A92" w:rsidP="006658A3">
      <w:pPr>
        <w:spacing w:after="240"/>
        <w:jc w:val="both"/>
      </w:pPr>
      <w:r>
        <w:t xml:space="preserve">These columns report the value of other specific components of the future premium liability that do not fall under the categories of claims, expenses and premiums. </w:t>
      </w:r>
    </w:p>
    <w:p w14:paraId="1EA77C2E" w14:textId="77777777" w:rsidR="00E14A92" w:rsidRPr="00EC2B3B" w:rsidRDefault="00E14A92" w:rsidP="006658A3">
      <w:pPr>
        <w:spacing w:after="240"/>
        <w:jc w:val="both"/>
      </w:pPr>
      <w:r>
        <w:t>These columns are calculated automatically as a balancing item.  Column (4) is calculated as column (5) less column (1) less column (2) plus column (3). Column (11) is calculated as column (12) less column (8) less column (9) plus column (10).</w:t>
      </w:r>
    </w:p>
    <w:p w14:paraId="1A53A144" w14:textId="77777777" w:rsidR="00E14A92" w:rsidRDefault="00E14A92" w:rsidP="006658A3">
      <w:pPr>
        <w:keepNext/>
        <w:tabs>
          <w:tab w:val="left" w:pos="567"/>
          <w:tab w:val="left" w:pos="1843"/>
        </w:tabs>
        <w:spacing w:after="240"/>
        <w:jc w:val="both"/>
        <w:rPr>
          <w:rFonts w:ascii="Arial" w:hAnsi="Arial" w:cs="Arial"/>
          <w:b/>
        </w:rPr>
      </w:pPr>
      <w:r>
        <w:rPr>
          <w:rFonts w:ascii="Arial" w:hAnsi="Arial" w:cs="Arial"/>
          <w:b/>
        </w:rPr>
        <w:t>2(5) and 2(12).</w:t>
      </w:r>
      <w:r>
        <w:rPr>
          <w:rFonts w:ascii="Arial" w:hAnsi="Arial" w:cs="Arial"/>
          <w:b/>
        </w:rPr>
        <w:tab/>
      </w:r>
      <w:r w:rsidRPr="00A1087F">
        <w:rPr>
          <w:rFonts w:ascii="Arial" w:hAnsi="Arial" w:cs="Arial"/>
          <w:b/>
        </w:rPr>
        <w:t>Total future premium liabilities</w:t>
      </w:r>
    </w:p>
    <w:p w14:paraId="155E7C28" w14:textId="77777777" w:rsidR="00E14A92" w:rsidRDefault="00E14A92" w:rsidP="006658A3">
      <w:pPr>
        <w:spacing w:after="240"/>
        <w:jc w:val="both"/>
      </w:pPr>
      <w:r>
        <w:t>These columns report the value of liabilities arising from premiums expected to be received after the reporting, before the effect of insurance risk stress and management actions.</w:t>
      </w:r>
    </w:p>
    <w:p w14:paraId="64CDC4D3" w14:textId="77777777" w:rsidR="00E14A92" w:rsidRPr="00EC2B3B" w:rsidRDefault="00E14A92" w:rsidP="006658A3">
      <w:pPr>
        <w:spacing w:after="240"/>
        <w:jc w:val="both"/>
      </w:pPr>
      <w:r>
        <w:t>These columns include any other specific liability components that do not fall under the categories of claims, expenses and premiums.  Column (5) should report the total future premium liabilities as at the reporting date.  Column (12) should report the total future premium liability as at 12 months following the reporting date, but discounted to the reporting date.</w:t>
      </w:r>
    </w:p>
    <w:p w14:paraId="4504B8A1"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2(6).</w:t>
      </w:r>
      <w:r>
        <w:rPr>
          <w:rFonts w:ascii="Arial" w:hAnsi="Arial" w:cs="Arial"/>
          <w:b/>
        </w:rPr>
        <w:tab/>
      </w:r>
      <w:r w:rsidRPr="00A1087F">
        <w:rPr>
          <w:rFonts w:ascii="Arial" w:hAnsi="Arial" w:cs="Arial"/>
          <w:b/>
        </w:rPr>
        <w:t>Risk-free present value of tax expenses</w:t>
      </w:r>
    </w:p>
    <w:p w14:paraId="612BDA7E" w14:textId="77777777" w:rsidR="00E14A92" w:rsidRDefault="00E14A92" w:rsidP="006658A3">
      <w:pPr>
        <w:spacing w:after="240"/>
        <w:jc w:val="both"/>
      </w:pPr>
      <w:r>
        <w:t>This column reports the value of future tax expenses, in respect of profits emerging from premiums expected to be received after the reporting date.</w:t>
      </w:r>
    </w:p>
    <w:p w14:paraId="6A6A0417" w14:textId="77777777" w:rsidR="00E14A92" w:rsidRPr="00EC2B3B" w:rsidRDefault="00E14A92" w:rsidP="006658A3">
      <w:pPr>
        <w:spacing w:after="240"/>
        <w:jc w:val="both"/>
      </w:pPr>
      <w:r>
        <w:t xml:space="preserve">This column only needs to be reported for businesses that are taxed on profits as defined in Attachment H of LPS 112.  It is the expected tax expense associated with the present value of the profit margins determined as the difference between the net policy liabilities (as consistent with </w:t>
      </w:r>
      <w:r w:rsidRPr="00A35F2C">
        <w:rPr>
          <w:i/>
        </w:rPr>
        <w:t>LRF 300.1 Statement of Financial Position (SF &amp; SF Eliminations)</w:t>
      </w:r>
      <w:r>
        <w:t xml:space="preserve"> (LRF 300.1)) and the risk-free best estimate liability (RFBEL).  It should report the future expected tax expenses as at the reporting date.</w:t>
      </w:r>
    </w:p>
    <w:p w14:paraId="002BCAEA"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2(7).</w:t>
      </w:r>
      <w:r>
        <w:rPr>
          <w:rFonts w:ascii="Arial" w:hAnsi="Arial" w:cs="Arial"/>
          <w:b/>
        </w:rPr>
        <w:tab/>
      </w:r>
      <w:r w:rsidRPr="00A1087F">
        <w:rPr>
          <w:rFonts w:ascii="Arial" w:hAnsi="Arial" w:cs="Arial"/>
          <w:b/>
        </w:rPr>
        <w:t>Risk-free present value of net profit</w:t>
      </w:r>
    </w:p>
    <w:p w14:paraId="2B141D58" w14:textId="77777777" w:rsidR="00E14A92" w:rsidRDefault="00E14A92" w:rsidP="006658A3">
      <w:pPr>
        <w:spacing w:after="240"/>
        <w:jc w:val="both"/>
      </w:pPr>
      <w:r>
        <w:t>This column reports the value of future net profits after tax that are attributable to shareholders, emerging from premiums expected to be received after the reporting date.</w:t>
      </w:r>
    </w:p>
    <w:p w14:paraId="3DB68480" w14:textId="77777777" w:rsidR="00E14A92" w:rsidRPr="00EC2B3B" w:rsidRDefault="00E14A92" w:rsidP="006658A3">
      <w:pPr>
        <w:spacing w:after="240"/>
        <w:jc w:val="both"/>
      </w:pPr>
      <w:r>
        <w:t>This column only needs to be reported for businesses that are taxed on profits as defined in Attachment H of LPS 112.  It is the present value of future net profits after tax associated with the present value of the profit margins determined as the difference between the net policy liabilities (as consistent with LRF 300.1) and the RFBEL.</w:t>
      </w:r>
    </w:p>
    <w:p w14:paraId="1E05E7F6"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2(13) and 2(18).</w:t>
      </w:r>
      <w:r>
        <w:rPr>
          <w:rFonts w:ascii="Arial" w:hAnsi="Arial" w:cs="Arial"/>
          <w:b/>
        </w:rPr>
        <w:tab/>
      </w:r>
      <w:r w:rsidRPr="00A1087F">
        <w:rPr>
          <w:rFonts w:ascii="Arial" w:hAnsi="Arial" w:cs="Arial"/>
          <w:b/>
        </w:rPr>
        <w:t>Risk-free present value of future claims</w:t>
      </w:r>
    </w:p>
    <w:p w14:paraId="63A08A74" w14:textId="77777777" w:rsidR="00E14A92" w:rsidRDefault="00E14A92" w:rsidP="006658A3">
      <w:pPr>
        <w:spacing w:after="240"/>
        <w:jc w:val="both"/>
      </w:pPr>
      <w:r>
        <w:t>These columns report the present value of all future expected claim payments arising from premiums expected to be received after the reporting date.</w:t>
      </w:r>
    </w:p>
    <w:p w14:paraId="20EC65ED" w14:textId="77777777" w:rsidR="00E14A92" w:rsidRPr="00EC2B3B" w:rsidRDefault="00E14A92" w:rsidP="006658A3">
      <w:pPr>
        <w:spacing w:after="240"/>
        <w:jc w:val="both"/>
      </w:pPr>
      <w:r>
        <w:t>These items should be present-valued using the risk-free discount rate as per LPS 112, post the application of the insurance stress margins.  Item (13) should report the value of future expected claims as at the reporting date, discounted to the reporting date.  Item (18) should report the value of future expected claims as at 12 months following the reporting date, but discounted to the reporting date.</w:t>
      </w:r>
    </w:p>
    <w:p w14:paraId="280EEA26"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2(14) and 2(19).</w:t>
      </w:r>
      <w:r>
        <w:rPr>
          <w:rFonts w:ascii="Arial" w:hAnsi="Arial" w:cs="Arial"/>
          <w:b/>
        </w:rPr>
        <w:tab/>
      </w:r>
      <w:r w:rsidRPr="00A1087F">
        <w:rPr>
          <w:rFonts w:ascii="Arial" w:hAnsi="Arial" w:cs="Arial"/>
          <w:b/>
        </w:rPr>
        <w:t>Risk-free present value of future expenses</w:t>
      </w:r>
    </w:p>
    <w:p w14:paraId="5F397E5B" w14:textId="77777777" w:rsidR="00E14A92" w:rsidRDefault="00E14A92" w:rsidP="006658A3">
      <w:pPr>
        <w:spacing w:after="240"/>
        <w:jc w:val="both"/>
      </w:pPr>
      <w:r>
        <w:t>These columns report the present value of all future expected expenses arising from premiums expected to be received after the reporting date.</w:t>
      </w:r>
    </w:p>
    <w:p w14:paraId="3BB15EFF" w14:textId="77777777" w:rsidR="00E14A92" w:rsidRPr="00EC2B3B" w:rsidRDefault="00E14A92" w:rsidP="006658A3">
      <w:pPr>
        <w:spacing w:after="240"/>
        <w:jc w:val="both"/>
      </w:pPr>
      <w:r>
        <w:t>These columns should be present-valued using the risk-free discount rate as per LPS 112, post the application of the insurance stress margins.  Item (14) should report the value of future expected expenses as at the reporting date, discounted to the reporting date.  Item (19) should report the value of future expected expenses as at 12 months following the reporting date, but discounted to the reporting date.</w:t>
      </w:r>
    </w:p>
    <w:p w14:paraId="1E9632BB"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2(15) and 2(20).</w:t>
      </w:r>
      <w:r>
        <w:rPr>
          <w:rFonts w:ascii="Arial" w:hAnsi="Arial" w:cs="Arial"/>
          <w:b/>
        </w:rPr>
        <w:tab/>
      </w:r>
      <w:r w:rsidRPr="00A1087F">
        <w:rPr>
          <w:rFonts w:ascii="Arial" w:hAnsi="Arial" w:cs="Arial"/>
          <w:b/>
        </w:rPr>
        <w:t>Risk-free present value of future premiums</w:t>
      </w:r>
    </w:p>
    <w:p w14:paraId="0324FE76" w14:textId="77777777" w:rsidR="00E14A92" w:rsidRDefault="00E14A92" w:rsidP="006658A3">
      <w:pPr>
        <w:spacing w:after="240"/>
        <w:jc w:val="both"/>
      </w:pPr>
      <w:r>
        <w:t>These columns report the present value of all future premiums expected to be received after the reporting date from policies remaining in force.</w:t>
      </w:r>
    </w:p>
    <w:p w14:paraId="3D42B621" w14:textId="77777777" w:rsidR="00E14A92" w:rsidRDefault="00E14A92" w:rsidP="006658A3">
      <w:pPr>
        <w:spacing w:after="240"/>
        <w:jc w:val="both"/>
      </w:pPr>
      <w:r>
        <w:t>These columns should be present valued using the risk-free discount rate as per LPS 112, post the application of the insurance stress margins and management actions.  Item (15) should report the value of future expected premiums as at the reporting date, discounted to the reporting date.  Item (20) should report the value of future expected premiums as at 12 months following the reporting date, but discounted to the reporting date.</w:t>
      </w:r>
    </w:p>
    <w:p w14:paraId="4351F1D9"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2(16) and 2(21).</w:t>
      </w:r>
      <w:r>
        <w:rPr>
          <w:rFonts w:ascii="Arial" w:hAnsi="Arial" w:cs="Arial"/>
          <w:b/>
        </w:rPr>
        <w:tab/>
        <w:t>Risk-free present value of other liability components</w:t>
      </w:r>
    </w:p>
    <w:p w14:paraId="39B7E4DA" w14:textId="77777777" w:rsidR="00E14A92" w:rsidRDefault="00E14A92" w:rsidP="006658A3">
      <w:pPr>
        <w:spacing w:after="240"/>
        <w:jc w:val="both"/>
      </w:pPr>
      <w:r>
        <w:t xml:space="preserve">These columns report the value of other specific components of the future premium liability that do not fall under the categories of claims, expenses and premiums. </w:t>
      </w:r>
    </w:p>
    <w:p w14:paraId="5ED362EC" w14:textId="77777777" w:rsidR="00E14A92" w:rsidRDefault="00E14A92" w:rsidP="006658A3">
      <w:pPr>
        <w:spacing w:after="240"/>
        <w:jc w:val="both"/>
      </w:pPr>
      <w:r>
        <w:t>Column (16) should report the stressed premium liabilities as at the reporting date, discounted to the reporting date.  Column (21) should report the stressed future premium liability as at 12 months following the reporting date, but discounted to the reporting date.</w:t>
      </w:r>
    </w:p>
    <w:p w14:paraId="6E86EEDE" w14:textId="77777777" w:rsidR="00E14A92" w:rsidRPr="00EC2B3B" w:rsidRDefault="00E14A92" w:rsidP="006658A3">
      <w:pPr>
        <w:spacing w:after="240"/>
        <w:jc w:val="both"/>
      </w:pPr>
      <w:r>
        <w:t>These columns are calculated automatically as a balancing item.  Column (16) is calculated as column (17) less column (13) less column (14) plus column (15). Column (21) is calculated as column (22) less column (18) less column (19) plus column (20).</w:t>
      </w:r>
    </w:p>
    <w:p w14:paraId="4986B382" w14:textId="77777777" w:rsidR="00E14A92" w:rsidRDefault="00E14A92" w:rsidP="006658A3">
      <w:pPr>
        <w:keepNext/>
        <w:tabs>
          <w:tab w:val="left" w:pos="851"/>
          <w:tab w:val="left" w:pos="1843"/>
        </w:tabs>
        <w:spacing w:after="240"/>
        <w:jc w:val="both"/>
        <w:rPr>
          <w:rFonts w:ascii="Arial" w:hAnsi="Arial" w:cs="Arial"/>
          <w:b/>
        </w:rPr>
      </w:pPr>
      <w:r>
        <w:rPr>
          <w:rFonts w:ascii="Arial" w:hAnsi="Arial" w:cs="Arial"/>
          <w:b/>
        </w:rPr>
        <w:t>2(17) and 2(22).</w:t>
      </w:r>
      <w:r>
        <w:rPr>
          <w:rFonts w:ascii="Arial" w:hAnsi="Arial" w:cs="Arial"/>
          <w:b/>
        </w:rPr>
        <w:tab/>
      </w:r>
      <w:r w:rsidRPr="00A1087F">
        <w:rPr>
          <w:rFonts w:ascii="Arial" w:hAnsi="Arial" w:cs="Arial"/>
          <w:b/>
        </w:rPr>
        <w:t>Stressed future premium liabilities</w:t>
      </w:r>
    </w:p>
    <w:p w14:paraId="4FA15B9E" w14:textId="77777777" w:rsidR="00E14A92" w:rsidRDefault="00E14A92" w:rsidP="006658A3">
      <w:pPr>
        <w:spacing w:after="240"/>
        <w:jc w:val="both"/>
      </w:pPr>
      <w:r>
        <w:t>These columns report the value of liabilities arising from premiums expected to be received after the reporting date, post the effect of insurance risk stresses and management actions.</w:t>
      </w:r>
    </w:p>
    <w:p w14:paraId="7C448A9F" w14:textId="77777777" w:rsidR="00E14A92" w:rsidRPr="00EC2B3B" w:rsidRDefault="00E14A92" w:rsidP="006658A3">
      <w:pPr>
        <w:spacing w:after="240"/>
        <w:jc w:val="both"/>
      </w:pPr>
      <w:r>
        <w:t>These columns include any other specific liability components that do not fall under the categories of claims, expenses and premiums</w:t>
      </w:r>
    </w:p>
    <w:p w14:paraId="6C86E7E0" w14:textId="77777777" w:rsidR="00E14A92" w:rsidRDefault="00E14A92" w:rsidP="006658A3">
      <w:pPr>
        <w:keepNext/>
        <w:tabs>
          <w:tab w:val="left" w:pos="567"/>
        </w:tabs>
        <w:spacing w:after="240"/>
        <w:jc w:val="both"/>
        <w:rPr>
          <w:rFonts w:ascii="Arial" w:hAnsi="Arial" w:cs="Arial"/>
          <w:b/>
        </w:rPr>
      </w:pPr>
      <w:r w:rsidRPr="00A1087F">
        <w:rPr>
          <w:rFonts w:ascii="Arial" w:hAnsi="Arial" w:cs="Arial"/>
          <w:b/>
        </w:rPr>
        <w:t xml:space="preserve">3. </w:t>
      </w:r>
      <w:r>
        <w:rPr>
          <w:rFonts w:ascii="Arial" w:hAnsi="Arial" w:cs="Arial"/>
          <w:b/>
        </w:rPr>
        <w:t>Components of a</w:t>
      </w:r>
      <w:r w:rsidRPr="00A1087F">
        <w:rPr>
          <w:rFonts w:ascii="Arial" w:hAnsi="Arial" w:cs="Arial"/>
          <w:b/>
        </w:rPr>
        <w:t>djusted policy liabilities</w:t>
      </w:r>
    </w:p>
    <w:p w14:paraId="0E7A6ECB" w14:textId="77777777" w:rsidR="00E14A92" w:rsidRDefault="00E14A92" w:rsidP="00C3476D">
      <w:pPr>
        <w:tabs>
          <w:tab w:val="left" w:pos="567"/>
        </w:tabs>
        <w:spacing w:after="240"/>
        <w:jc w:val="both"/>
        <w:rPr>
          <w:rFonts w:ascii="Arial" w:hAnsi="Arial" w:cs="Arial"/>
          <w:b/>
        </w:rPr>
      </w:pPr>
      <w:r>
        <w:t xml:space="preserve">These columns report the components of the adjusted policy liabilities. </w:t>
      </w:r>
    </w:p>
    <w:p w14:paraId="09F92350"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Total past premium liabilities</w:t>
      </w:r>
    </w:p>
    <w:p w14:paraId="35CC6511" w14:textId="77777777" w:rsidR="00E14A92" w:rsidRDefault="00E14A92" w:rsidP="006658A3">
      <w:pPr>
        <w:spacing w:after="240"/>
        <w:jc w:val="both"/>
      </w:pPr>
      <w:r>
        <w:t>This column reports the present value of total expected claims and expenses, arising from all premiums that have been received prior to the reporting date, before the effect of the insurance risk stresses.</w:t>
      </w:r>
    </w:p>
    <w:p w14:paraId="7D4E0F12" w14:textId="77777777" w:rsidR="00E14A92" w:rsidRPr="00EC2B3B" w:rsidRDefault="00E14A92" w:rsidP="006658A3">
      <w:pPr>
        <w:spacing w:after="240"/>
        <w:jc w:val="both"/>
      </w:pPr>
      <w:r>
        <w:t>This column is taken from the reported value of 1(6).</w:t>
      </w:r>
    </w:p>
    <w:p w14:paraId="36A513D6"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Premium refund in excess of UPR</w:t>
      </w:r>
    </w:p>
    <w:p w14:paraId="75F6BA9A" w14:textId="77777777" w:rsidR="00E14A92" w:rsidRDefault="00E14A92" w:rsidP="006658A3">
      <w:pPr>
        <w:spacing w:after="240"/>
        <w:jc w:val="both"/>
      </w:pPr>
      <w:r>
        <w:t>This column reports the value of any premium refund payable (in excess of the unearned premium reserve held) at policy's termination based on the policy document's contractual agreement.</w:t>
      </w:r>
    </w:p>
    <w:p w14:paraId="15619930" w14:textId="77777777" w:rsidR="00E14A92" w:rsidRPr="00EC2B3B" w:rsidRDefault="00E14A92" w:rsidP="006658A3">
      <w:pPr>
        <w:spacing w:after="240"/>
        <w:jc w:val="both"/>
      </w:pPr>
      <w:r>
        <w:t>The premium refund should be present-valued to the reporting date.</w:t>
      </w:r>
    </w:p>
    <w:p w14:paraId="5C3E8800"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Other components of termination value</w:t>
      </w:r>
    </w:p>
    <w:p w14:paraId="65F43F5D" w14:textId="77777777" w:rsidR="00E14A92" w:rsidRDefault="00E14A92" w:rsidP="006658A3">
      <w:pPr>
        <w:spacing w:after="240"/>
        <w:jc w:val="both"/>
      </w:pPr>
      <w:r>
        <w:t>This column reports the value of any other components that must be included in the termination value (as defined in Attachment H of LPS 112) of the respective product group, on top of the past premium liabilities and the excess premium refunds.</w:t>
      </w:r>
    </w:p>
    <w:p w14:paraId="662FCB0B" w14:textId="77777777" w:rsidR="00E14A92" w:rsidRDefault="00E14A92" w:rsidP="006658A3">
      <w:pPr>
        <w:spacing w:after="240"/>
        <w:jc w:val="both"/>
      </w:pPr>
      <w:r>
        <w:t xml:space="preserve">Other components reported should have allowance for surrender values paid in the event of voluntary termination, consistent with the requirement of </w:t>
      </w:r>
      <w:r>
        <w:rPr>
          <w:i/>
        </w:rPr>
        <w:t xml:space="preserve">Prudential Standard </w:t>
      </w:r>
      <w:r w:rsidRPr="00F65F4D">
        <w:rPr>
          <w:i/>
        </w:rPr>
        <w:t>LPS 360</w:t>
      </w:r>
      <w:r>
        <w:t xml:space="preserve"> </w:t>
      </w:r>
      <w:r w:rsidRPr="00F65F4D">
        <w:rPr>
          <w:i/>
        </w:rPr>
        <w:t>Termination Values, Minimum Surrender Values and Paid-up Values</w:t>
      </w:r>
      <w:r>
        <w:t>.</w:t>
      </w:r>
    </w:p>
    <w:p w14:paraId="528D534A" w14:textId="77777777" w:rsidR="00E14A92" w:rsidRPr="00EC2B3B" w:rsidRDefault="00E14A92" w:rsidP="006658A3">
      <w:pPr>
        <w:spacing w:after="240"/>
        <w:jc w:val="both"/>
      </w:pPr>
      <w:r>
        <w:t>This column is calculated automatically as column (4) less column (1) less column (2).</w:t>
      </w:r>
    </w:p>
    <w:p w14:paraId="12C1261C"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Total termination value</w:t>
      </w:r>
    </w:p>
    <w:p w14:paraId="16DFCD0D" w14:textId="77777777" w:rsidR="00E14A92" w:rsidRDefault="00E14A92" w:rsidP="006658A3">
      <w:pPr>
        <w:spacing w:after="240"/>
        <w:jc w:val="both"/>
      </w:pPr>
      <w:r>
        <w:t>This column reports the total termination value, in respect of each of the APRA product groups, used in calculating adjusted policy liabilities for the purpose of determining capital base.</w:t>
      </w:r>
    </w:p>
    <w:p w14:paraId="22CA2D23"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Total future premium liabilities</w:t>
      </w:r>
    </w:p>
    <w:p w14:paraId="41326125" w14:textId="77777777" w:rsidR="00E14A92" w:rsidRPr="00010CC8" w:rsidRDefault="00E14A92" w:rsidP="006658A3">
      <w:pPr>
        <w:spacing w:after="240"/>
        <w:jc w:val="both"/>
      </w:pPr>
      <w:r>
        <w:t xml:space="preserve">This column reports the value of liabilities arising from premiums expected to be received after the reporting date, before the effect of insurance risk stresses and management </w:t>
      </w:r>
      <w:r w:rsidRPr="00010CC8">
        <w:t>actions.</w:t>
      </w:r>
    </w:p>
    <w:p w14:paraId="44C5A295" w14:textId="77777777" w:rsidR="00E14A92" w:rsidRPr="00010CC8" w:rsidRDefault="00E14A92" w:rsidP="006658A3">
      <w:pPr>
        <w:spacing w:after="240"/>
        <w:jc w:val="both"/>
      </w:pPr>
      <w:r w:rsidRPr="00010CC8">
        <w:t>This column is calculated automatically to equal the values in column (5) of table 2.</w:t>
      </w:r>
    </w:p>
    <w:p w14:paraId="6CFAF54F" w14:textId="77777777" w:rsidR="00E14A92" w:rsidRPr="00E14A92" w:rsidRDefault="00E14A92" w:rsidP="006658A3">
      <w:pPr>
        <w:pStyle w:val="ListParagraph"/>
        <w:keepNext/>
        <w:numPr>
          <w:ilvl w:val="0"/>
          <w:numId w:val="6"/>
        </w:numPr>
        <w:tabs>
          <w:tab w:val="left" w:pos="-7655"/>
        </w:tabs>
        <w:spacing w:after="240"/>
        <w:ind w:left="851" w:hanging="851"/>
        <w:jc w:val="both"/>
        <w:rPr>
          <w:rFonts w:ascii="Arial" w:hAnsi="Arial" w:cs="Arial"/>
          <w:b/>
          <w:sz w:val="24"/>
          <w:szCs w:val="24"/>
        </w:rPr>
      </w:pPr>
      <w:r w:rsidRPr="00E14A92">
        <w:rPr>
          <w:rFonts w:ascii="Arial" w:hAnsi="Arial" w:cs="Arial"/>
          <w:b/>
          <w:sz w:val="24"/>
          <w:szCs w:val="24"/>
        </w:rPr>
        <w:t>Risk-free best estimate liabilities</w:t>
      </w:r>
    </w:p>
    <w:p w14:paraId="72A1C6F7" w14:textId="77777777" w:rsidR="00E14A92" w:rsidRDefault="00E14A92" w:rsidP="006658A3">
      <w:pPr>
        <w:spacing w:after="240"/>
        <w:jc w:val="both"/>
      </w:pPr>
      <w:r w:rsidRPr="00010CC8">
        <w:t>This column reports the value of the RFBEL, as defined in Attachment H of LPS 112, used in calculating</w:t>
      </w:r>
      <w:r>
        <w:t xml:space="preserve"> adjusted policy liability for the purpose of determining capital base.</w:t>
      </w:r>
    </w:p>
    <w:p w14:paraId="435AE7E4" w14:textId="77777777" w:rsidR="00E14A92" w:rsidRDefault="00E14A92" w:rsidP="006658A3">
      <w:pPr>
        <w:spacing w:after="240"/>
        <w:jc w:val="both"/>
      </w:pPr>
      <w:r>
        <w:t>This column is calculated automatically as the sum of column (1) and column (5).</w:t>
      </w:r>
    </w:p>
    <w:p w14:paraId="117F00E7" w14:textId="77777777" w:rsidR="00E14A92" w:rsidRDefault="00E14A92" w:rsidP="006658A3">
      <w:pPr>
        <w:keepNext/>
        <w:tabs>
          <w:tab w:val="left" w:pos="-7655"/>
        </w:tabs>
        <w:spacing w:after="240"/>
        <w:jc w:val="both"/>
        <w:rPr>
          <w:rFonts w:ascii="Arial" w:hAnsi="Arial" w:cs="Arial"/>
          <w:b/>
        </w:rPr>
      </w:pPr>
      <w:r>
        <w:rPr>
          <w:rFonts w:ascii="Arial" w:hAnsi="Arial" w:cs="Arial"/>
          <w:b/>
        </w:rPr>
        <w:t>Section 2: Insurance risk charge</w:t>
      </w:r>
    </w:p>
    <w:p w14:paraId="5052670C" w14:textId="77777777" w:rsidR="00E14A92" w:rsidRPr="00F15A8A" w:rsidRDefault="00E14A92" w:rsidP="006658A3">
      <w:pPr>
        <w:keepNext/>
        <w:tabs>
          <w:tab w:val="left" w:pos="851"/>
        </w:tabs>
        <w:spacing w:after="240"/>
        <w:ind w:left="284" w:hanging="284"/>
        <w:jc w:val="both"/>
        <w:rPr>
          <w:rFonts w:ascii="Arial" w:hAnsi="Arial" w:cs="Arial"/>
          <w:b/>
        </w:rPr>
      </w:pPr>
      <w:r>
        <w:rPr>
          <w:rFonts w:ascii="Arial" w:hAnsi="Arial" w:cs="Arial"/>
          <w:b/>
        </w:rPr>
        <w:t xml:space="preserve">1. </w:t>
      </w:r>
      <w:r w:rsidRPr="00F15A8A">
        <w:rPr>
          <w:rFonts w:ascii="Arial" w:hAnsi="Arial" w:cs="Arial"/>
          <w:b/>
        </w:rPr>
        <w:t>Impact of stress margins</w:t>
      </w:r>
      <w:r>
        <w:rPr>
          <w:rFonts w:ascii="Arial" w:hAnsi="Arial" w:cs="Arial"/>
          <w:b/>
        </w:rPr>
        <w:t xml:space="preserve"> – participating business and 2. Impact of stress margins – non-participating business</w:t>
      </w:r>
    </w:p>
    <w:p w14:paraId="04481BFE" w14:textId="77777777" w:rsidR="00E14A92" w:rsidRPr="00EC2B3B" w:rsidRDefault="00E14A92" w:rsidP="006658A3">
      <w:pPr>
        <w:spacing w:after="240"/>
        <w:jc w:val="both"/>
      </w:pPr>
      <w:r>
        <w:t>These</w:t>
      </w:r>
      <w:r w:rsidRPr="00EC2B3B">
        <w:t xml:space="preserve"> table</w:t>
      </w:r>
      <w:r>
        <w:t>s report</w:t>
      </w:r>
      <w:r w:rsidRPr="00EC2B3B">
        <w:t xml:space="preserve"> the change in risk-free best estimate liabilities or participating policy liability, whichever that is applicable as a result of applying the individual insurance stresses for each APRA product group as indicated </w:t>
      </w:r>
      <w:r>
        <w:t>as per each of the following for</w:t>
      </w:r>
      <w:r w:rsidRPr="00EC2B3B">
        <w:t>m item</w:t>
      </w:r>
      <w:r>
        <w:t>s</w:t>
      </w:r>
      <w:r w:rsidRPr="00EC2B3B">
        <w:t xml:space="preserve">.  </w:t>
      </w:r>
    </w:p>
    <w:p w14:paraId="5D669093" w14:textId="77777777" w:rsidR="00E14A92" w:rsidRDefault="00E14A92" w:rsidP="006658A3">
      <w:pPr>
        <w:spacing w:after="240"/>
        <w:jc w:val="both"/>
      </w:pPr>
      <w:r>
        <w:t>Columns (2) to (7</w:t>
      </w:r>
      <w:r w:rsidRPr="00EC2B3B">
        <w:t>) in respect of the impact of the specific individual stresses across the specified product groups should be reported prior to any allowance for diversification benefits between the insurance stresses.</w:t>
      </w:r>
    </w:p>
    <w:p w14:paraId="42C5452C" w14:textId="77777777" w:rsidR="00E14A92" w:rsidRPr="00E14A92" w:rsidRDefault="00E14A92" w:rsidP="006658A3">
      <w:pPr>
        <w:pStyle w:val="ListParagraph"/>
        <w:keepNext/>
        <w:numPr>
          <w:ilvl w:val="0"/>
          <w:numId w:val="8"/>
        </w:numPr>
        <w:spacing w:after="240"/>
        <w:ind w:left="391" w:hanging="391"/>
        <w:jc w:val="both"/>
        <w:rPr>
          <w:rFonts w:ascii="Arial" w:hAnsi="Arial" w:cs="Arial"/>
          <w:b/>
          <w:sz w:val="24"/>
          <w:szCs w:val="24"/>
        </w:rPr>
      </w:pPr>
      <w:r w:rsidRPr="00E14A92">
        <w:rPr>
          <w:rFonts w:ascii="Arial" w:hAnsi="Arial" w:cs="Arial"/>
          <w:b/>
          <w:sz w:val="24"/>
          <w:szCs w:val="24"/>
        </w:rPr>
        <w:t>Total impact of stress margins</w:t>
      </w:r>
    </w:p>
    <w:p w14:paraId="24FB86CC" w14:textId="77777777" w:rsidR="00E14A92" w:rsidRDefault="00E14A92" w:rsidP="006658A3">
      <w:pPr>
        <w:keepNext/>
        <w:spacing w:after="240"/>
        <w:jc w:val="both"/>
        <w:rPr>
          <w:rFonts w:ascii="Arial" w:hAnsi="Arial" w:cs="Arial"/>
          <w:b/>
        </w:rPr>
      </w:pPr>
      <w:r>
        <w:rPr>
          <w:rFonts w:ascii="Arial" w:hAnsi="Arial" w:cs="Arial"/>
          <w:b/>
        </w:rPr>
        <w:t>Total participating benefits business</w:t>
      </w:r>
    </w:p>
    <w:p w14:paraId="606F0378" w14:textId="77777777" w:rsidR="00E14A92" w:rsidRPr="00072F18" w:rsidRDefault="00E14A92" w:rsidP="006658A3">
      <w:pPr>
        <w:spacing w:after="240"/>
        <w:jc w:val="both"/>
      </w:pPr>
      <w:r>
        <w:t>This is the sum of the corresponding columns in table 1 of section 2 across the product groups.</w:t>
      </w:r>
    </w:p>
    <w:p w14:paraId="1DE4F7C0" w14:textId="77777777" w:rsidR="00E14A92" w:rsidRDefault="00E14A92" w:rsidP="006658A3">
      <w:pPr>
        <w:spacing w:after="240"/>
        <w:jc w:val="both"/>
        <w:rPr>
          <w:rFonts w:ascii="Arial" w:hAnsi="Arial" w:cs="Arial"/>
          <w:b/>
        </w:rPr>
      </w:pPr>
      <w:r>
        <w:rPr>
          <w:rFonts w:ascii="Arial" w:hAnsi="Arial" w:cs="Arial"/>
          <w:b/>
        </w:rPr>
        <w:t>Total non-participating benefits business</w:t>
      </w:r>
    </w:p>
    <w:p w14:paraId="74013C77" w14:textId="77777777" w:rsidR="00E14A92" w:rsidRPr="00072F18" w:rsidRDefault="00E14A92" w:rsidP="006658A3">
      <w:pPr>
        <w:spacing w:after="240"/>
        <w:jc w:val="both"/>
      </w:pPr>
      <w:r>
        <w:t>This is the sum of the corresponding columns in table 2 of section 2 across the product groups.</w:t>
      </w:r>
    </w:p>
    <w:p w14:paraId="6E799884" w14:textId="77777777" w:rsidR="00E14A92" w:rsidRDefault="00E14A92" w:rsidP="006658A3">
      <w:pPr>
        <w:spacing w:after="240"/>
        <w:jc w:val="both"/>
        <w:rPr>
          <w:rFonts w:ascii="Arial" w:hAnsi="Arial" w:cs="Arial"/>
          <w:b/>
        </w:rPr>
      </w:pPr>
      <w:r>
        <w:rPr>
          <w:rFonts w:ascii="Arial" w:hAnsi="Arial" w:cs="Arial"/>
          <w:b/>
        </w:rPr>
        <w:t>Total</w:t>
      </w:r>
    </w:p>
    <w:p w14:paraId="49DCE063" w14:textId="77777777" w:rsidR="00E14A92" w:rsidRPr="00072F18" w:rsidRDefault="00E14A92" w:rsidP="006658A3">
      <w:pPr>
        <w:spacing w:after="240"/>
        <w:jc w:val="both"/>
      </w:pPr>
      <w:r>
        <w:t>This is the sum of the corresponding columns for ‘</w:t>
      </w:r>
      <w:r w:rsidRPr="008F2988">
        <w:t>Total participating benefits business</w:t>
      </w:r>
      <w:r>
        <w:t>’</w:t>
      </w:r>
      <w:r w:rsidRPr="008F2988">
        <w:t xml:space="preserve"> and </w:t>
      </w:r>
      <w:r>
        <w:t>‘</w:t>
      </w:r>
      <w:r w:rsidRPr="008F2988">
        <w:t>Total non-participating benefits business</w:t>
      </w:r>
      <w:r>
        <w:t>’.</w:t>
      </w:r>
    </w:p>
    <w:p w14:paraId="3999071D" w14:textId="77777777" w:rsidR="00E14A92" w:rsidRPr="00E14A92" w:rsidRDefault="00E14A92" w:rsidP="006658A3">
      <w:pPr>
        <w:pStyle w:val="ListParagraph"/>
        <w:keepNext/>
        <w:numPr>
          <w:ilvl w:val="1"/>
          <w:numId w:val="8"/>
        </w:numPr>
        <w:spacing w:after="240"/>
        <w:ind w:left="567" w:hanging="567"/>
        <w:jc w:val="both"/>
        <w:rPr>
          <w:rFonts w:ascii="Arial" w:hAnsi="Arial" w:cs="Arial"/>
          <w:b/>
          <w:sz w:val="24"/>
          <w:szCs w:val="24"/>
        </w:rPr>
      </w:pPr>
      <w:r w:rsidRPr="00E14A92">
        <w:rPr>
          <w:rFonts w:ascii="Arial" w:hAnsi="Arial" w:cs="Arial"/>
          <w:b/>
          <w:sz w:val="24"/>
          <w:szCs w:val="24"/>
        </w:rPr>
        <w:t>Insurance stress diversification factor</w:t>
      </w:r>
    </w:p>
    <w:p w14:paraId="3EB2B283" w14:textId="77777777" w:rsidR="00E14A92" w:rsidRDefault="00E14A92" w:rsidP="006658A3">
      <w:pPr>
        <w:spacing w:after="240"/>
        <w:jc w:val="both"/>
      </w:pPr>
      <w:r>
        <w:t xml:space="preserve">This item reports the diversification factor to be applied on the individual insurance stress margins to arrive at the adjusted stress margins as per </w:t>
      </w:r>
      <w:r>
        <w:rPr>
          <w:i/>
        </w:rPr>
        <w:t xml:space="preserve">Prudential Standard </w:t>
      </w:r>
      <w:r w:rsidRPr="00F65F4D">
        <w:rPr>
          <w:i/>
        </w:rPr>
        <w:t>LPS 115</w:t>
      </w:r>
      <w:r>
        <w:rPr>
          <w:i/>
        </w:rPr>
        <w:t xml:space="preserve"> Capital Adequacy: Insurance Risk Charge</w:t>
      </w:r>
      <w:r>
        <w:t>.</w:t>
      </w:r>
    </w:p>
    <w:p w14:paraId="6877104C" w14:textId="77777777" w:rsidR="00E14A92" w:rsidRDefault="00E14A92" w:rsidP="006658A3">
      <w:pPr>
        <w:spacing w:after="240"/>
        <w:jc w:val="both"/>
      </w:pPr>
      <w:r>
        <w:t>This item is calculated automatically as ‘Total’ column (8) divided by ‘Total’ column (7).</w:t>
      </w:r>
    </w:p>
    <w:p w14:paraId="3AB9231A" w14:textId="77777777" w:rsidR="00E14A92" w:rsidRPr="00D63686" w:rsidRDefault="00E14A92" w:rsidP="006658A3">
      <w:pPr>
        <w:spacing w:after="240"/>
        <w:jc w:val="both"/>
        <w:rPr>
          <w:rFonts w:ascii="Arial" w:hAnsi="Arial" w:cs="Arial"/>
          <w:b/>
        </w:rPr>
      </w:pPr>
      <w:r w:rsidRPr="00D63686">
        <w:rPr>
          <w:rFonts w:ascii="Arial" w:hAnsi="Arial" w:cs="Arial"/>
          <w:b/>
        </w:rPr>
        <w:t>Section 3</w:t>
      </w:r>
      <w:r>
        <w:rPr>
          <w:rFonts w:ascii="Arial" w:hAnsi="Arial" w:cs="Arial"/>
          <w:b/>
        </w:rPr>
        <w:t>: Variable annuities</w:t>
      </w:r>
    </w:p>
    <w:p w14:paraId="6B848112" w14:textId="77777777" w:rsidR="004A6D55" w:rsidRDefault="004A6D55" w:rsidP="006658A3">
      <w:pPr>
        <w:pStyle w:val="ListParagraph"/>
        <w:keepNext/>
        <w:numPr>
          <w:ilvl w:val="0"/>
          <w:numId w:val="7"/>
        </w:numPr>
        <w:tabs>
          <w:tab w:val="left" w:pos="567"/>
        </w:tabs>
        <w:spacing w:after="240"/>
        <w:jc w:val="both"/>
        <w:rPr>
          <w:rFonts w:ascii="Arial" w:hAnsi="Arial" w:cs="Arial"/>
          <w:b/>
          <w:sz w:val="24"/>
          <w:szCs w:val="24"/>
        </w:rPr>
      </w:pPr>
      <w:r>
        <w:rPr>
          <w:rFonts w:ascii="Arial" w:hAnsi="Arial" w:cs="Arial"/>
          <w:b/>
          <w:sz w:val="24"/>
          <w:szCs w:val="24"/>
        </w:rPr>
        <w:t>Variable annuity capital charge calculation</w:t>
      </w:r>
    </w:p>
    <w:p w14:paraId="55588D91" w14:textId="77777777" w:rsidR="004A6D55" w:rsidRPr="002C12F1" w:rsidRDefault="004A6D55" w:rsidP="002C12F1">
      <w:pPr>
        <w:pStyle w:val="ListParagraph"/>
        <w:tabs>
          <w:tab w:val="left" w:pos="567"/>
        </w:tabs>
        <w:spacing w:after="240"/>
        <w:ind w:left="0"/>
        <w:jc w:val="both"/>
        <w:rPr>
          <w:rFonts w:ascii="Arial" w:hAnsi="Arial" w:cs="Arial"/>
          <w:sz w:val="24"/>
          <w:szCs w:val="24"/>
        </w:rPr>
      </w:pPr>
    </w:p>
    <w:p w14:paraId="413BE199" w14:textId="77777777" w:rsidR="00E14A92" w:rsidRPr="00E14A92" w:rsidRDefault="00E14A92" w:rsidP="006658A3">
      <w:pPr>
        <w:pStyle w:val="ListParagraph"/>
        <w:keepNext/>
        <w:numPr>
          <w:ilvl w:val="1"/>
          <w:numId w:val="7"/>
        </w:numPr>
        <w:tabs>
          <w:tab w:val="left" w:pos="567"/>
        </w:tabs>
        <w:spacing w:after="240"/>
        <w:jc w:val="both"/>
        <w:rPr>
          <w:rFonts w:ascii="Arial" w:hAnsi="Arial" w:cs="Arial"/>
          <w:b/>
          <w:sz w:val="24"/>
          <w:szCs w:val="24"/>
        </w:rPr>
      </w:pPr>
      <w:r w:rsidRPr="00E14A92">
        <w:rPr>
          <w:rFonts w:ascii="Arial" w:hAnsi="Arial" w:cs="Arial"/>
          <w:b/>
          <w:sz w:val="24"/>
          <w:szCs w:val="24"/>
        </w:rPr>
        <w:t>Capital requirement (excluding hedging)</w:t>
      </w:r>
    </w:p>
    <w:p w14:paraId="314A6FF8" w14:textId="77777777" w:rsidR="00E14A92" w:rsidRPr="00EC2B3B" w:rsidRDefault="00E14A92" w:rsidP="006658A3">
      <w:pPr>
        <w:spacing w:after="240"/>
        <w:jc w:val="both"/>
      </w:pPr>
      <w:r w:rsidRPr="00EC2B3B">
        <w:t xml:space="preserve">This column reports the estimate of capital requirement covering the associated insurance and asset risks under the combined scenario, in the absence of any hedging/risk mitigation arrangements as per Attachment A of </w:t>
      </w:r>
      <w:r>
        <w:rPr>
          <w:i/>
        </w:rPr>
        <w:t xml:space="preserve">Prudential Standard </w:t>
      </w:r>
      <w:r w:rsidRPr="00A35F2C">
        <w:rPr>
          <w:i/>
        </w:rPr>
        <w:t>LPS 110</w:t>
      </w:r>
      <w:r>
        <w:rPr>
          <w:i/>
        </w:rPr>
        <w:t xml:space="preserve"> </w:t>
      </w:r>
      <w:r w:rsidRPr="00A35F2C">
        <w:rPr>
          <w:i/>
        </w:rPr>
        <w:t>Capital Adequacy</w:t>
      </w:r>
      <w:r>
        <w:t xml:space="preserve"> (LPS 110)</w:t>
      </w:r>
      <w:r w:rsidRPr="00EC2B3B">
        <w:t>.</w:t>
      </w:r>
    </w:p>
    <w:p w14:paraId="0FB63837" w14:textId="77777777" w:rsidR="00E14A92" w:rsidRPr="00E14A92" w:rsidRDefault="00E14A92" w:rsidP="006658A3">
      <w:pPr>
        <w:pStyle w:val="ListParagraph"/>
        <w:keepNext/>
        <w:numPr>
          <w:ilvl w:val="1"/>
          <w:numId w:val="7"/>
        </w:numPr>
        <w:tabs>
          <w:tab w:val="left" w:pos="567"/>
        </w:tabs>
        <w:spacing w:after="240"/>
        <w:jc w:val="both"/>
        <w:rPr>
          <w:rFonts w:ascii="Arial" w:hAnsi="Arial" w:cs="Arial"/>
          <w:b/>
          <w:sz w:val="24"/>
          <w:szCs w:val="24"/>
        </w:rPr>
      </w:pPr>
      <w:r w:rsidRPr="00E14A92">
        <w:rPr>
          <w:rFonts w:ascii="Arial" w:hAnsi="Arial" w:cs="Arial"/>
          <w:b/>
          <w:sz w:val="24"/>
          <w:szCs w:val="24"/>
        </w:rPr>
        <w:t>Capital requirement (including hedging)</w:t>
      </w:r>
    </w:p>
    <w:p w14:paraId="5C975585" w14:textId="77777777" w:rsidR="00E14A92" w:rsidRPr="00EC2B3B" w:rsidRDefault="00E14A92" w:rsidP="006658A3">
      <w:pPr>
        <w:spacing w:after="240"/>
        <w:jc w:val="both"/>
      </w:pPr>
      <w:r w:rsidRPr="00EC2B3B">
        <w:t>This column reports the estimate of capital requirement covering the associated insurance and asset risks under the combined scenario, allowing for the effect of any hedging/risk mitigation arrangements as per Attachment A of LPS 110.</w:t>
      </w:r>
    </w:p>
    <w:p w14:paraId="34B8AA5B" w14:textId="77777777" w:rsidR="00E14A92" w:rsidRPr="00E14A92" w:rsidRDefault="00E14A92" w:rsidP="006658A3">
      <w:pPr>
        <w:pStyle w:val="ListParagraph"/>
        <w:keepNext/>
        <w:numPr>
          <w:ilvl w:val="1"/>
          <w:numId w:val="7"/>
        </w:numPr>
        <w:tabs>
          <w:tab w:val="left" w:pos="567"/>
        </w:tabs>
        <w:spacing w:after="240"/>
        <w:jc w:val="both"/>
        <w:rPr>
          <w:rFonts w:ascii="Arial" w:hAnsi="Arial" w:cs="Arial"/>
          <w:b/>
          <w:sz w:val="24"/>
          <w:szCs w:val="24"/>
        </w:rPr>
      </w:pPr>
      <w:r w:rsidRPr="00E14A92">
        <w:rPr>
          <w:rFonts w:ascii="Arial" w:hAnsi="Arial" w:cs="Arial"/>
          <w:b/>
          <w:sz w:val="24"/>
          <w:szCs w:val="24"/>
        </w:rPr>
        <w:t>Diversification factor between asset and insurance risks</w:t>
      </w:r>
    </w:p>
    <w:p w14:paraId="2B6C3323" w14:textId="77777777" w:rsidR="00E14A92" w:rsidRDefault="00E14A92" w:rsidP="006658A3">
      <w:pPr>
        <w:spacing w:after="240"/>
        <w:jc w:val="both"/>
      </w:pPr>
      <w:r>
        <w:t>This column reports the diversification factor, where readily determined, that has been estimated between asset and insurance risks in calculating the capital requirement (including hedging).</w:t>
      </w:r>
    </w:p>
    <w:p w14:paraId="70F28387" w14:textId="77777777" w:rsidR="00E14A92" w:rsidRPr="00EC2B3B" w:rsidRDefault="00E14A92" w:rsidP="006658A3">
      <w:pPr>
        <w:spacing w:after="240"/>
        <w:jc w:val="both"/>
      </w:pPr>
      <w:r>
        <w:t>Reported figures should range from 0 to 1.</w:t>
      </w:r>
    </w:p>
    <w:p w14:paraId="22ACCCA1" w14:textId="77777777" w:rsidR="00E14A92" w:rsidRPr="00E14A92" w:rsidRDefault="00E14A92" w:rsidP="006658A3">
      <w:pPr>
        <w:pStyle w:val="ListParagraph"/>
        <w:keepNext/>
        <w:numPr>
          <w:ilvl w:val="1"/>
          <w:numId w:val="7"/>
        </w:numPr>
        <w:tabs>
          <w:tab w:val="left" w:pos="567"/>
        </w:tabs>
        <w:spacing w:after="240"/>
        <w:jc w:val="both"/>
        <w:rPr>
          <w:rFonts w:ascii="Arial" w:hAnsi="Arial" w:cs="Arial"/>
          <w:b/>
          <w:sz w:val="24"/>
          <w:szCs w:val="24"/>
        </w:rPr>
      </w:pPr>
      <w:r w:rsidRPr="00E14A92">
        <w:rPr>
          <w:rFonts w:ascii="Arial" w:hAnsi="Arial" w:cs="Arial"/>
          <w:b/>
          <w:sz w:val="24"/>
          <w:szCs w:val="24"/>
        </w:rPr>
        <w:t>Effectiveness factor</w:t>
      </w:r>
    </w:p>
    <w:p w14:paraId="5A32F642" w14:textId="77777777" w:rsidR="00E14A92" w:rsidRDefault="00E14A92" w:rsidP="006658A3">
      <w:pPr>
        <w:spacing w:after="240"/>
        <w:jc w:val="both"/>
      </w:pPr>
      <w:r>
        <w:t>This column reports the effectiveness factor E used to reflect the level of sophistication of the assumed model of dynamic hedging.</w:t>
      </w:r>
    </w:p>
    <w:p w14:paraId="701E1D89" w14:textId="77777777" w:rsidR="00E14A92" w:rsidRPr="00EC2B3B" w:rsidRDefault="00E14A92" w:rsidP="006658A3">
      <w:pPr>
        <w:spacing w:after="240"/>
        <w:jc w:val="both"/>
      </w:pPr>
      <w:r>
        <w:t>Reported figures should range from 0 to 0.7.</w:t>
      </w:r>
    </w:p>
    <w:p w14:paraId="4E600F9F" w14:textId="77777777" w:rsidR="00E14A92" w:rsidRPr="00E14A92" w:rsidRDefault="00E14A92" w:rsidP="006658A3">
      <w:pPr>
        <w:pStyle w:val="ListParagraph"/>
        <w:keepNext/>
        <w:numPr>
          <w:ilvl w:val="1"/>
          <w:numId w:val="7"/>
        </w:numPr>
        <w:tabs>
          <w:tab w:val="left" w:pos="567"/>
        </w:tabs>
        <w:spacing w:after="240"/>
        <w:jc w:val="both"/>
        <w:rPr>
          <w:rFonts w:ascii="Arial" w:hAnsi="Arial" w:cs="Arial"/>
          <w:b/>
          <w:sz w:val="24"/>
          <w:szCs w:val="24"/>
        </w:rPr>
      </w:pPr>
      <w:r w:rsidRPr="00E14A92">
        <w:rPr>
          <w:rFonts w:ascii="Arial" w:hAnsi="Arial" w:cs="Arial"/>
          <w:b/>
          <w:sz w:val="24"/>
          <w:szCs w:val="24"/>
        </w:rPr>
        <w:t>Aggregate risk charge for variable annuities</w:t>
      </w:r>
    </w:p>
    <w:p w14:paraId="56443488" w14:textId="77777777" w:rsidR="00E14A92" w:rsidRDefault="00E14A92" w:rsidP="002C12F1">
      <w:pPr>
        <w:tabs>
          <w:tab w:val="left" w:pos="851"/>
          <w:tab w:val="left" w:pos="1843"/>
        </w:tabs>
        <w:spacing w:after="240"/>
        <w:jc w:val="both"/>
      </w:pPr>
      <w:r>
        <w:t xml:space="preserve">This item reports the aggregate risk charge for variable annuities determined in accordance with Attachment A of LPS 110.  </w:t>
      </w:r>
    </w:p>
    <w:p w14:paraId="11A02338" w14:textId="77777777" w:rsidR="00E14A92" w:rsidRPr="00A1087F" w:rsidRDefault="00E14A92" w:rsidP="002C12F1">
      <w:pPr>
        <w:tabs>
          <w:tab w:val="left" w:pos="851"/>
          <w:tab w:val="left" w:pos="1843"/>
        </w:tabs>
        <w:spacing w:after="240"/>
        <w:jc w:val="both"/>
        <w:rPr>
          <w:rFonts w:ascii="Arial" w:hAnsi="Arial" w:cs="Arial"/>
          <w:b/>
        </w:rPr>
      </w:pPr>
      <w:r>
        <w:t>This item is calculated automatically in accordance with the formula specified in Attachment A of LPS 110.</w:t>
      </w:r>
    </w:p>
    <w:sectPr w:rsidR="00E14A92" w:rsidRPr="00A1087F" w:rsidSect="008012FF">
      <w:headerReference w:type="default" r:id="rId20"/>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594B" w14:textId="77777777" w:rsidR="005B5226" w:rsidRDefault="005B5226" w:rsidP="0090207E">
      <w:r>
        <w:separator/>
      </w:r>
    </w:p>
  </w:endnote>
  <w:endnote w:type="continuationSeparator" w:id="0">
    <w:p w14:paraId="53013557" w14:textId="77777777" w:rsidR="005B5226" w:rsidRDefault="005B5226" w:rsidP="0090207E">
      <w:r>
        <w:continuationSeparator/>
      </w:r>
    </w:p>
  </w:endnote>
  <w:endnote w:type="continuationNotice" w:id="1">
    <w:p w14:paraId="66287CA3" w14:textId="77777777" w:rsidR="005B5226" w:rsidRDefault="005B5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E3D5" w14:textId="77777777" w:rsidR="005B5226" w:rsidRDefault="005B5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6A25" w14:textId="77777777" w:rsidR="005B5226" w:rsidRPr="00F11950" w:rsidRDefault="005B5226" w:rsidP="003C6BD0">
    <w:pPr>
      <w:pStyle w:val="Footer"/>
      <w:jc w:val="right"/>
      <w:rPr>
        <w:b/>
      </w:rPr>
    </w:pPr>
    <w:r w:rsidRPr="00F11950">
      <w:rPr>
        <w:b/>
      </w:rPr>
      <w:t xml:space="preserve">LRS 200.0 - </w:t>
    </w:r>
    <w:r w:rsidRPr="00F11950">
      <w:rPr>
        <w:rStyle w:val="PageNumber"/>
        <w:b/>
      </w:rPr>
      <w:fldChar w:fldCharType="begin"/>
    </w:r>
    <w:r w:rsidRPr="00F11950">
      <w:rPr>
        <w:rStyle w:val="PageNumber"/>
        <w:b/>
      </w:rPr>
      <w:instrText xml:space="preserve"> PAGE </w:instrText>
    </w:r>
    <w:r w:rsidRPr="00F11950">
      <w:rPr>
        <w:rStyle w:val="PageNumber"/>
        <w:b/>
      </w:rPr>
      <w:fldChar w:fldCharType="separate"/>
    </w:r>
    <w:r w:rsidRPr="00F11950">
      <w:rPr>
        <w:rStyle w:val="PageNumber"/>
        <w:b/>
        <w:noProof/>
      </w:rPr>
      <w:t>2</w:t>
    </w:r>
    <w:r w:rsidRPr="00F11950">
      <w:rPr>
        <w:rStyle w:val="PageNumber"/>
        <w:b/>
      </w:rPr>
      <w:fldChar w:fldCharType="end"/>
    </w:r>
  </w:p>
  <w:p w14:paraId="12F20FD2" w14:textId="77777777" w:rsidR="005B5226" w:rsidRPr="003C6BD0" w:rsidRDefault="005B5226"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5BBC" w14:textId="77777777" w:rsidR="005B5226" w:rsidRPr="00D26F32" w:rsidRDefault="005B5226">
    <w:pPr>
      <w:pStyle w:val="Footer"/>
      <w:jc w:val="right"/>
      <w:rPr>
        <w:b/>
      </w:rPr>
    </w:pPr>
    <w:r w:rsidRPr="00D26F32">
      <w:rPr>
        <w:b/>
      </w:rPr>
      <w:t xml:space="preserve">LRF 200.0 Form - </w:t>
    </w:r>
    <w:r w:rsidRPr="00D26F32">
      <w:rPr>
        <w:b/>
      </w:rPr>
      <w:fldChar w:fldCharType="begin"/>
    </w:r>
    <w:r w:rsidRPr="00D26F32">
      <w:rPr>
        <w:b/>
      </w:rPr>
      <w:instrText xml:space="preserve"> PAGE   \* MERGEFORMAT </w:instrText>
    </w:r>
    <w:r w:rsidRPr="00D26F32">
      <w:rPr>
        <w:b/>
      </w:rPr>
      <w:fldChar w:fldCharType="separate"/>
    </w:r>
    <w:r w:rsidRPr="00D26F32">
      <w:rPr>
        <w:b/>
        <w:noProof/>
      </w:rPr>
      <w:t>3</w:t>
    </w:r>
    <w:r w:rsidRPr="00D26F32">
      <w:rPr>
        <w:b/>
      </w:rPr>
      <w:fldChar w:fldCharType="end"/>
    </w:r>
  </w:p>
  <w:p w14:paraId="22440F98" w14:textId="77777777" w:rsidR="005B5226" w:rsidRPr="003C6BD0" w:rsidRDefault="005B5226" w:rsidP="003C6BD0">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63F8" w14:textId="77777777" w:rsidR="005B5226" w:rsidRPr="00D26F32" w:rsidRDefault="005B5226">
    <w:pPr>
      <w:pStyle w:val="Footer"/>
      <w:jc w:val="right"/>
      <w:rPr>
        <w:b/>
      </w:rPr>
    </w:pPr>
    <w:r w:rsidRPr="00D26F32">
      <w:rPr>
        <w:b/>
      </w:rPr>
      <w:t xml:space="preserve">LRF 200.0 Instructions - </w:t>
    </w:r>
    <w:r w:rsidRPr="00D26F32">
      <w:rPr>
        <w:b/>
      </w:rPr>
      <w:fldChar w:fldCharType="begin"/>
    </w:r>
    <w:r w:rsidRPr="00D26F32">
      <w:rPr>
        <w:b/>
      </w:rPr>
      <w:instrText xml:space="preserve"> PAGE   \* MERGEFORMAT </w:instrText>
    </w:r>
    <w:r w:rsidRPr="00D26F32">
      <w:rPr>
        <w:b/>
      </w:rPr>
      <w:fldChar w:fldCharType="separate"/>
    </w:r>
    <w:r w:rsidRPr="00D26F32">
      <w:rPr>
        <w:b/>
        <w:noProof/>
      </w:rPr>
      <w:t>9</w:t>
    </w:r>
    <w:r w:rsidRPr="00D26F32">
      <w:rPr>
        <w:b/>
      </w:rPr>
      <w:fldChar w:fldCharType="end"/>
    </w:r>
  </w:p>
  <w:p w14:paraId="6923E354" w14:textId="77777777" w:rsidR="005B5226" w:rsidRPr="003C6BD0" w:rsidRDefault="005B5226"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F5C7" w14:textId="77777777" w:rsidR="005B5226" w:rsidRDefault="005B5226" w:rsidP="0090207E">
      <w:r>
        <w:separator/>
      </w:r>
    </w:p>
  </w:footnote>
  <w:footnote w:type="continuationSeparator" w:id="0">
    <w:p w14:paraId="2EAC6EFF" w14:textId="77777777" w:rsidR="005B5226" w:rsidRDefault="005B5226" w:rsidP="0090207E">
      <w:r>
        <w:continuationSeparator/>
      </w:r>
    </w:p>
  </w:footnote>
  <w:footnote w:type="continuationNotice" w:id="1">
    <w:p w14:paraId="12D5A854" w14:textId="77777777" w:rsidR="005B5226" w:rsidRDefault="005B5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AEA5" w14:textId="6B55A0DC" w:rsidR="005B5226" w:rsidRPr="00F11950" w:rsidRDefault="005B5226" w:rsidP="00B02CE2">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6229" w14:textId="77777777" w:rsidR="005B5226" w:rsidRPr="00F11950" w:rsidRDefault="005B5226" w:rsidP="00B02CE2">
    <w:pPr>
      <w:pStyle w:val="Header"/>
      <w:jc w:val="right"/>
      <w:rPr>
        <w:b/>
      </w:rPr>
    </w:pPr>
    <w:r w:rsidRPr="00F11950">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CAEF" w14:textId="7D4DE02B" w:rsidR="005B5226" w:rsidRPr="00D26F32" w:rsidRDefault="005B5226" w:rsidP="00D26F32">
    <w:pPr>
      <w:pStyle w:val="Header"/>
      <w:jc w:val="right"/>
      <w:rPr>
        <w:b/>
      </w:rPr>
    </w:pPr>
    <w:r>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6073" w14:textId="3A6A4C5C" w:rsidR="005B5226" w:rsidRPr="00D26F32" w:rsidRDefault="005B5226" w:rsidP="00E14A92">
    <w:pPr>
      <w:pStyle w:val="Header"/>
      <w:jc w:val="right"/>
      <w:rPr>
        <w:b/>
      </w:rPr>
    </w:pPr>
    <w:r w:rsidRPr="00D26F32">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F2E045A"/>
    <w:multiLevelType w:val="hybridMultilevel"/>
    <w:tmpl w:val="33689266"/>
    <w:lvl w:ilvl="0" w:tplc="19623CE4">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B6CCA"/>
    <w:multiLevelType w:val="multilevel"/>
    <w:tmpl w:val="47B43326"/>
    <w:numStyleLink w:val="D2Aformnumbering"/>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2B2433B4"/>
    <w:multiLevelType w:val="multilevel"/>
    <w:tmpl w:val="8B76BBA4"/>
    <w:lvl w:ilvl="0">
      <w:start w:val="1"/>
      <w:numFmt w:val="bullet"/>
      <w:lvlText w:val=""/>
      <w:lvlJc w:val="left"/>
      <w:pPr>
        <w:ind w:left="786" w:hanging="360"/>
      </w:pPr>
      <w:rPr>
        <w:rFonts w:ascii="Symbol" w:hAnsi="Symbol"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 w15:restartNumberingAfterBreak="0">
    <w:nsid w:val="38026CF3"/>
    <w:multiLevelType w:val="multilevel"/>
    <w:tmpl w:val="16D676C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FAD0406"/>
    <w:multiLevelType w:val="multilevel"/>
    <w:tmpl w:val="16D676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E48689C"/>
    <w:multiLevelType w:val="multilevel"/>
    <w:tmpl w:val="9EFCCCE2"/>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 w15:restartNumberingAfterBreak="0">
    <w:nsid w:val="629413D5"/>
    <w:multiLevelType w:val="multilevel"/>
    <w:tmpl w:val="E384C6E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265B19"/>
    <w:multiLevelType w:val="hybridMultilevel"/>
    <w:tmpl w:val="2A962864"/>
    <w:lvl w:ilvl="0" w:tplc="04C8C3C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3"/>
  </w:num>
  <w:num w:numId="6">
    <w:abstractNumId w:val="14"/>
  </w:num>
  <w:num w:numId="7">
    <w:abstractNumId w:val="8"/>
  </w:num>
  <w:num w:numId="8">
    <w:abstractNumId w:val="6"/>
  </w:num>
  <w:num w:numId="9">
    <w:abstractNumId w:val="5"/>
  </w:num>
  <w:num w:numId="10">
    <w:abstractNumId w:val="10"/>
  </w:num>
  <w:num w:numId="11">
    <w:abstractNumId w:val="2"/>
  </w:num>
  <w:num w:numId="12">
    <w:abstractNumId w:val="9"/>
  </w:num>
  <w:num w:numId="13">
    <w:abstractNumId w:val="11"/>
  </w:num>
  <w:num w:numId="14">
    <w:abstractNumId w:val="1"/>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2722"/>
    <w:rsid w:val="000152CE"/>
    <w:rsid w:val="00020AFE"/>
    <w:rsid w:val="00024E8B"/>
    <w:rsid w:val="000312F6"/>
    <w:rsid w:val="000511D1"/>
    <w:rsid w:val="00064CD5"/>
    <w:rsid w:val="00067989"/>
    <w:rsid w:val="00076953"/>
    <w:rsid w:val="00087700"/>
    <w:rsid w:val="00090A9C"/>
    <w:rsid w:val="0009622C"/>
    <w:rsid w:val="000A0076"/>
    <w:rsid w:val="000A5F23"/>
    <w:rsid w:val="000B233E"/>
    <w:rsid w:val="000B7DC1"/>
    <w:rsid w:val="000D3C5D"/>
    <w:rsid w:val="000E1425"/>
    <w:rsid w:val="000E4580"/>
    <w:rsid w:val="000E715B"/>
    <w:rsid w:val="000F1425"/>
    <w:rsid w:val="000F2096"/>
    <w:rsid w:val="000F2CA0"/>
    <w:rsid w:val="000F345F"/>
    <w:rsid w:val="000F3F02"/>
    <w:rsid w:val="00115A68"/>
    <w:rsid w:val="00126634"/>
    <w:rsid w:val="001318E8"/>
    <w:rsid w:val="001377D5"/>
    <w:rsid w:val="0015165F"/>
    <w:rsid w:val="00161D6F"/>
    <w:rsid w:val="001700EA"/>
    <w:rsid w:val="00174695"/>
    <w:rsid w:val="00175564"/>
    <w:rsid w:val="00184511"/>
    <w:rsid w:val="00186F73"/>
    <w:rsid w:val="00190C88"/>
    <w:rsid w:val="00192E50"/>
    <w:rsid w:val="00194461"/>
    <w:rsid w:val="001B031A"/>
    <w:rsid w:val="001C53B5"/>
    <w:rsid w:val="001D27D0"/>
    <w:rsid w:val="001D3383"/>
    <w:rsid w:val="001D4BED"/>
    <w:rsid w:val="001E1DA7"/>
    <w:rsid w:val="001E3B01"/>
    <w:rsid w:val="001E5464"/>
    <w:rsid w:val="00205923"/>
    <w:rsid w:val="00215ABA"/>
    <w:rsid w:val="00215F2B"/>
    <w:rsid w:val="00226B5E"/>
    <w:rsid w:val="00235826"/>
    <w:rsid w:val="00240721"/>
    <w:rsid w:val="00247444"/>
    <w:rsid w:val="002518AE"/>
    <w:rsid w:val="0026618D"/>
    <w:rsid w:val="00271EEE"/>
    <w:rsid w:val="002766E5"/>
    <w:rsid w:val="00277815"/>
    <w:rsid w:val="002825A9"/>
    <w:rsid w:val="002A1873"/>
    <w:rsid w:val="002B084E"/>
    <w:rsid w:val="002B13E7"/>
    <w:rsid w:val="002B4361"/>
    <w:rsid w:val="002B56C8"/>
    <w:rsid w:val="002C12F1"/>
    <w:rsid w:val="002D6983"/>
    <w:rsid w:val="002E1411"/>
    <w:rsid w:val="002F6EF6"/>
    <w:rsid w:val="002F7E2D"/>
    <w:rsid w:val="003001F8"/>
    <w:rsid w:val="00316D34"/>
    <w:rsid w:val="00327079"/>
    <w:rsid w:val="003304E6"/>
    <w:rsid w:val="00330A55"/>
    <w:rsid w:val="00331EA1"/>
    <w:rsid w:val="00333202"/>
    <w:rsid w:val="00337337"/>
    <w:rsid w:val="00342BAF"/>
    <w:rsid w:val="00343FE3"/>
    <w:rsid w:val="00356617"/>
    <w:rsid w:val="0035692D"/>
    <w:rsid w:val="00376E4B"/>
    <w:rsid w:val="0039500C"/>
    <w:rsid w:val="00396B5C"/>
    <w:rsid w:val="003A2603"/>
    <w:rsid w:val="003A47D2"/>
    <w:rsid w:val="003A4A92"/>
    <w:rsid w:val="003B37D7"/>
    <w:rsid w:val="003B4B56"/>
    <w:rsid w:val="003B7C4C"/>
    <w:rsid w:val="003C3322"/>
    <w:rsid w:val="003C3FAD"/>
    <w:rsid w:val="003C6BD0"/>
    <w:rsid w:val="003D6DEE"/>
    <w:rsid w:val="003E0659"/>
    <w:rsid w:val="003E39FC"/>
    <w:rsid w:val="003E421A"/>
    <w:rsid w:val="003E7D98"/>
    <w:rsid w:val="003F3CCA"/>
    <w:rsid w:val="003F7649"/>
    <w:rsid w:val="00402B24"/>
    <w:rsid w:val="004256EB"/>
    <w:rsid w:val="00431A7F"/>
    <w:rsid w:val="00443202"/>
    <w:rsid w:val="00444EC8"/>
    <w:rsid w:val="00447CFF"/>
    <w:rsid w:val="00453DD5"/>
    <w:rsid w:val="00454920"/>
    <w:rsid w:val="00484235"/>
    <w:rsid w:val="00484F36"/>
    <w:rsid w:val="004931EC"/>
    <w:rsid w:val="00493CAF"/>
    <w:rsid w:val="004945DA"/>
    <w:rsid w:val="00495B00"/>
    <w:rsid w:val="00497C51"/>
    <w:rsid w:val="004A297E"/>
    <w:rsid w:val="004A6D55"/>
    <w:rsid w:val="004C76D4"/>
    <w:rsid w:val="004D1C22"/>
    <w:rsid w:val="004E17FD"/>
    <w:rsid w:val="004E6CFC"/>
    <w:rsid w:val="004F2631"/>
    <w:rsid w:val="00506564"/>
    <w:rsid w:val="00507E86"/>
    <w:rsid w:val="00516AF3"/>
    <w:rsid w:val="00517597"/>
    <w:rsid w:val="00524F2F"/>
    <w:rsid w:val="00525129"/>
    <w:rsid w:val="00526464"/>
    <w:rsid w:val="0053032F"/>
    <w:rsid w:val="00530969"/>
    <w:rsid w:val="00535D4C"/>
    <w:rsid w:val="005414B5"/>
    <w:rsid w:val="00543FFF"/>
    <w:rsid w:val="00560083"/>
    <w:rsid w:val="00561A0D"/>
    <w:rsid w:val="005624AB"/>
    <w:rsid w:val="00562A94"/>
    <w:rsid w:val="00567B6D"/>
    <w:rsid w:val="00575189"/>
    <w:rsid w:val="00581A2E"/>
    <w:rsid w:val="00584739"/>
    <w:rsid w:val="005872B8"/>
    <w:rsid w:val="00593967"/>
    <w:rsid w:val="005957D0"/>
    <w:rsid w:val="005A0832"/>
    <w:rsid w:val="005A6A51"/>
    <w:rsid w:val="005B0CDA"/>
    <w:rsid w:val="005B3F82"/>
    <w:rsid w:val="005B5226"/>
    <w:rsid w:val="005B635E"/>
    <w:rsid w:val="005C54D4"/>
    <w:rsid w:val="005C7973"/>
    <w:rsid w:val="005D65A5"/>
    <w:rsid w:val="005D7B5F"/>
    <w:rsid w:val="005E6F95"/>
    <w:rsid w:val="005F7538"/>
    <w:rsid w:val="005F78EF"/>
    <w:rsid w:val="005F7C77"/>
    <w:rsid w:val="00607DD0"/>
    <w:rsid w:val="0061766C"/>
    <w:rsid w:val="00621D00"/>
    <w:rsid w:val="00626AA6"/>
    <w:rsid w:val="0062706D"/>
    <w:rsid w:val="00630E53"/>
    <w:rsid w:val="006322E7"/>
    <w:rsid w:val="006353F8"/>
    <w:rsid w:val="00640523"/>
    <w:rsid w:val="00651F74"/>
    <w:rsid w:val="006558A6"/>
    <w:rsid w:val="006658A3"/>
    <w:rsid w:val="006755CF"/>
    <w:rsid w:val="00682CD9"/>
    <w:rsid w:val="00684B76"/>
    <w:rsid w:val="00693228"/>
    <w:rsid w:val="00694E18"/>
    <w:rsid w:val="00697B00"/>
    <w:rsid w:val="006A3919"/>
    <w:rsid w:val="006A6EFB"/>
    <w:rsid w:val="006B0D35"/>
    <w:rsid w:val="006B56A6"/>
    <w:rsid w:val="006B7496"/>
    <w:rsid w:val="006B7FAF"/>
    <w:rsid w:val="006C1A98"/>
    <w:rsid w:val="006C2D8D"/>
    <w:rsid w:val="006C5616"/>
    <w:rsid w:val="006D4575"/>
    <w:rsid w:val="006E4E69"/>
    <w:rsid w:val="006E4F31"/>
    <w:rsid w:val="006E59CF"/>
    <w:rsid w:val="006F2CED"/>
    <w:rsid w:val="006F449B"/>
    <w:rsid w:val="0070032E"/>
    <w:rsid w:val="00700450"/>
    <w:rsid w:val="0070332B"/>
    <w:rsid w:val="0070337A"/>
    <w:rsid w:val="00705127"/>
    <w:rsid w:val="0071429E"/>
    <w:rsid w:val="00721965"/>
    <w:rsid w:val="00723AF4"/>
    <w:rsid w:val="00724C19"/>
    <w:rsid w:val="007254F5"/>
    <w:rsid w:val="007338F9"/>
    <w:rsid w:val="00736EA7"/>
    <w:rsid w:val="00737AC5"/>
    <w:rsid w:val="00750475"/>
    <w:rsid w:val="0077251D"/>
    <w:rsid w:val="00772714"/>
    <w:rsid w:val="00775580"/>
    <w:rsid w:val="007766F9"/>
    <w:rsid w:val="00781B65"/>
    <w:rsid w:val="007874DC"/>
    <w:rsid w:val="00787DF7"/>
    <w:rsid w:val="00790DBA"/>
    <w:rsid w:val="0079580D"/>
    <w:rsid w:val="007A25C6"/>
    <w:rsid w:val="007A2660"/>
    <w:rsid w:val="007A7703"/>
    <w:rsid w:val="007A7767"/>
    <w:rsid w:val="007B0036"/>
    <w:rsid w:val="007B0877"/>
    <w:rsid w:val="007B11E4"/>
    <w:rsid w:val="007D5660"/>
    <w:rsid w:val="007E279C"/>
    <w:rsid w:val="007E7BBC"/>
    <w:rsid w:val="007F05C7"/>
    <w:rsid w:val="007F419C"/>
    <w:rsid w:val="008012FF"/>
    <w:rsid w:val="0080247C"/>
    <w:rsid w:val="00820A13"/>
    <w:rsid w:val="00835768"/>
    <w:rsid w:val="0084158B"/>
    <w:rsid w:val="00841E07"/>
    <w:rsid w:val="00842D80"/>
    <w:rsid w:val="00846C4D"/>
    <w:rsid w:val="00861E54"/>
    <w:rsid w:val="008676C0"/>
    <w:rsid w:val="0087026D"/>
    <w:rsid w:val="008718D0"/>
    <w:rsid w:val="00875CA5"/>
    <w:rsid w:val="008765AC"/>
    <w:rsid w:val="00892B6B"/>
    <w:rsid w:val="00894FF9"/>
    <w:rsid w:val="00896CD8"/>
    <w:rsid w:val="00896FB1"/>
    <w:rsid w:val="008B1074"/>
    <w:rsid w:val="008B1B02"/>
    <w:rsid w:val="008B3721"/>
    <w:rsid w:val="008C0427"/>
    <w:rsid w:val="008D201B"/>
    <w:rsid w:val="008D3C4C"/>
    <w:rsid w:val="008F16E5"/>
    <w:rsid w:val="008F4038"/>
    <w:rsid w:val="00901A46"/>
    <w:rsid w:val="0090207E"/>
    <w:rsid w:val="00903E50"/>
    <w:rsid w:val="00904786"/>
    <w:rsid w:val="00905084"/>
    <w:rsid w:val="00910025"/>
    <w:rsid w:val="00910E20"/>
    <w:rsid w:val="00912316"/>
    <w:rsid w:val="00916182"/>
    <w:rsid w:val="0092079E"/>
    <w:rsid w:val="00925C71"/>
    <w:rsid w:val="009423EF"/>
    <w:rsid w:val="0096185C"/>
    <w:rsid w:val="00961900"/>
    <w:rsid w:val="00967AFF"/>
    <w:rsid w:val="00980C33"/>
    <w:rsid w:val="00980CD1"/>
    <w:rsid w:val="00985078"/>
    <w:rsid w:val="009861D0"/>
    <w:rsid w:val="0099253D"/>
    <w:rsid w:val="00996062"/>
    <w:rsid w:val="009A027F"/>
    <w:rsid w:val="009A5F57"/>
    <w:rsid w:val="009B6C08"/>
    <w:rsid w:val="009C1E6D"/>
    <w:rsid w:val="009C4C29"/>
    <w:rsid w:val="009C5155"/>
    <w:rsid w:val="009C724D"/>
    <w:rsid w:val="009C799B"/>
    <w:rsid w:val="009D3AEE"/>
    <w:rsid w:val="009E2C99"/>
    <w:rsid w:val="009E4776"/>
    <w:rsid w:val="009E48C7"/>
    <w:rsid w:val="009F7C9C"/>
    <w:rsid w:val="00A02BFF"/>
    <w:rsid w:val="00A03A60"/>
    <w:rsid w:val="00A14014"/>
    <w:rsid w:val="00A14EDC"/>
    <w:rsid w:val="00A2183E"/>
    <w:rsid w:val="00A21FD8"/>
    <w:rsid w:val="00A317A7"/>
    <w:rsid w:val="00A3306D"/>
    <w:rsid w:val="00A3347C"/>
    <w:rsid w:val="00A352F2"/>
    <w:rsid w:val="00A4179D"/>
    <w:rsid w:val="00A43974"/>
    <w:rsid w:val="00A43CA7"/>
    <w:rsid w:val="00A46DD5"/>
    <w:rsid w:val="00A51988"/>
    <w:rsid w:val="00A54771"/>
    <w:rsid w:val="00A56E9D"/>
    <w:rsid w:val="00A63A80"/>
    <w:rsid w:val="00A66DEE"/>
    <w:rsid w:val="00A730F2"/>
    <w:rsid w:val="00A767BC"/>
    <w:rsid w:val="00A77904"/>
    <w:rsid w:val="00A84C29"/>
    <w:rsid w:val="00A862C9"/>
    <w:rsid w:val="00A904CC"/>
    <w:rsid w:val="00A9334B"/>
    <w:rsid w:val="00A97E6C"/>
    <w:rsid w:val="00AA2268"/>
    <w:rsid w:val="00AA2550"/>
    <w:rsid w:val="00AA2C56"/>
    <w:rsid w:val="00AA431C"/>
    <w:rsid w:val="00AA4E8A"/>
    <w:rsid w:val="00AB40E3"/>
    <w:rsid w:val="00AB50C2"/>
    <w:rsid w:val="00AC19F5"/>
    <w:rsid w:val="00AC4DD1"/>
    <w:rsid w:val="00AD0EF5"/>
    <w:rsid w:val="00AD62C5"/>
    <w:rsid w:val="00AE41A6"/>
    <w:rsid w:val="00AE4629"/>
    <w:rsid w:val="00AF4B3A"/>
    <w:rsid w:val="00AF5089"/>
    <w:rsid w:val="00B028DD"/>
    <w:rsid w:val="00B02CE2"/>
    <w:rsid w:val="00B111FB"/>
    <w:rsid w:val="00B239F8"/>
    <w:rsid w:val="00B2468C"/>
    <w:rsid w:val="00B25EC4"/>
    <w:rsid w:val="00B312BB"/>
    <w:rsid w:val="00B40D59"/>
    <w:rsid w:val="00B41DE4"/>
    <w:rsid w:val="00B44398"/>
    <w:rsid w:val="00B46C3F"/>
    <w:rsid w:val="00B52964"/>
    <w:rsid w:val="00B602F2"/>
    <w:rsid w:val="00B70368"/>
    <w:rsid w:val="00B73D32"/>
    <w:rsid w:val="00B82936"/>
    <w:rsid w:val="00B91606"/>
    <w:rsid w:val="00B9589C"/>
    <w:rsid w:val="00B96206"/>
    <w:rsid w:val="00BB0250"/>
    <w:rsid w:val="00BB544A"/>
    <w:rsid w:val="00BC4F7B"/>
    <w:rsid w:val="00BD0DDE"/>
    <w:rsid w:val="00BD4BF0"/>
    <w:rsid w:val="00BE09F1"/>
    <w:rsid w:val="00BE3B55"/>
    <w:rsid w:val="00BF26E6"/>
    <w:rsid w:val="00C064CB"/>
    <w:rsid w:val="00C25421"/>
    <w:rsid w:val="00C30A03"/>
    <w:rsid w:val="00C3476D"/>
    <w:rsid w:val="00C35BF8"/>
    <w:rsid w:val="00C35FE6"/>
    <w:rsid w:val="00C561AD"/>
    <w:rsid w:val="00C611E9"/>
    <w:rsid w:val="00C70D64"/>
    <w:rsid w:val="00C71D7E"/>
    <w:rsid w:val="00C73B80"/>
    <w:rsid w:val="00C76128"/>
    <w:rsid w:val="00C8520A"/>
    <w:rsid w:val="00CA016B"/>
    <w:rsid w:val="00CA6FE5"/>
    <w:rsid w:val="00CB17F7"/>
    <w:rsid w:val="00CB3127"/>
    <w:rsid w:val="00CC3EEE"/>
    <w:rsid w:val="00CC51A2"/>
    <w:rsid w:val="00CC6735"/>
    <w:rsid w:val="00CD0A0D"/>
    <w:rsid w:val="00CD2DC6"/>
    <w:rsid w:val="00CE2D8E"/>
    <w:rsid w:val="00CE3550"/>
    <w:rsid w:val="00CE7910"/>
    <w:rsid w:val="00CF0F75"/>
    <w:rsid w:val="00CF17A1"/>
    <w:rsid w:val="00CF3159"/>
    <w:rsid w:val="00CF57AA"/>
    <w:rsid w:val="00D01408"/>
    <w:rsid w:val="00D12C09"/>
    <w:rsid w:val="00D152A1"/>
    <w:rsid w:val="00D226B7"/>
    <w:rsid w:val="00D250DA"/>
    <w:rsid w:val="00D26F32"/>
    <w:rsid w:val="00D54202"/>
    <w:rsid w:val="00D61A44"/>
    <w:rsid w:val="00D63CF6"/>
    <w:rsid w:val="00D715A1"/>
    <w:rsid w:val="00D76D4F"/>
    <w:rsid w:val="00D83C67"/>
    <w:rsid w:val="00D85CA2"/>
    <w:rsid w:val="00DA32E3"/>
    <w:rsid w:val="00DA33E0"/>
    <w:rsid w:val="00DA7DFE"/>
    <w:rsid w:val="00DB2515"/>
    <w:rsid w:val="00DB744D"/>
    <w:rsid w:val="00DC1F4F"/>
    <w:rsid w:val="00DD54A2"/>
    <w:rsid w:val="00DE0DB4"/>
    <w:rsid w:val="00DE327C"/>
    <w:rsid w:val="00DE71BD"/>
    <w:rsid w:val="00DF02A8"/>
    <w:rsid w:val="00DF321F"/>
    <w:rsid w:val="00DF5370"/>
    <w:rsid w:val="00E14A92"/>
    <w:rsid w:val="00E14E58"/>
    <w:rsid w:val="00E22A96"/>
    <w:rsid w:val="00E35F03"/>
    <w:rsid w:val="00E42F10"/>
    <w:rsid w:val="00E43683"/>
    <w:rsid w:val="00E44295"/>
    <w:rsid w:val="00E60E08"/>
    <w:rsid w:val="00E61217"/>
    <w:rsid w:val="00E63695"/>
    <w:rsid w:val="00E63AB5"/>
    <w:rsid w:val="00E64017"/>
    <w:rsid w:val="00E70D28"/>
    <w:rsid w:val="00E7542B"/>
    <w:rsid w:val="00E75509"/>
    <w:rsid w:val="00E838B6"/>
    <w:rsid w:val="00E842B6"/>
    <w:rsid w:val="00E84353"/>
    <w:rsid w:val="00E87B75"/>
    <w:rsid w:val="00E94F5C"/>
    <w:rsid w:val="00EA2010"/>
    <w:rsid w:val="00EA2565"/>
    <w:rsid w:val="00EA32D0"/>
    <w:rsid w:val="00EB51A1"/>
    <w:rsid w:val="00EB58F3"/>
    <w:rsid w:val="00EC1FED"/>
    <w:rsid w:val="00EC4955"/>
    <w:rsid w:val="00EC6547"/>
    <w:rsid w:val="00ED0C5C"/>
    <w:rsid w:val="00ED1038"/>
    <w:rsid w:val="00ED2BB7"/>
    <w:rsid w:val="00EE1562"/>
    <w:rsid w:val="00EE1956"/>
    <w:rsid w:val="00EF5BF4"/>
    <w:rsid w:val="00F0040B"/>
    <w:rsid w:val="00F017F6"/>
    <w:rsid w:val="00F04FD5"/>
    <w:rsid w:val="00F0795F"/>
    <w:rsid w:val="00F10210"/>
    <w:rsid w:val="00F11950"/>
    <w:rsid w:val="00F1293A"/>
    <w:rsid w:val="00F16734"/>
    <w:rsid w:val="00F1758B"/>
    <w:rsid w:val="00F25F0E"/>
    <w:rsid w:val="00F26297"/>
    <w:rsid w:val="00F36940"/>
    <w:rsid w:val="00F45C26"/>
    <w:rsid w:val="00F4642E"/>
    <w:rsid w:val="00F55713"/>
    <w:rsid w:val="00F559E0"/>
    <w:rsid w:val="00F56B0A"/>
    <w:rsid w:val="00F56FD1"/>
    <w:rsid w:val="00F72B62"/>
    <w:rsid w:val="00F76111"/>
    <w:rsid w:val="00F8599A"/>
    <w:rsid w:val="00F902D1"/>
    <w:rsid w:val="00FA1A61"/>
    <w:rsid w:val="00FA7586"/>
    <w:rsid w:val="00FB1365"/>
    <w:rsid w:val="00FC00FD"/>
    <w:rsid w:val="00FC2669"/>
    <w:rsid w:val="00FC7AEB"/>
    <w:rsid w:val="00FD4D5C"/>
    <w:rsid w:val="00FD5993"/>
    <w:rsid w:val="00FE54A7"/>
    <w:rsid w:val="00FE5D9E"/>
    <w:rsid w:val="00FF0B0D"/>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6215397"/>
  <w15:chartTrackingRefBased/>
  <w15:docId w15:val="{BA4AACCD-5D9A-4EB4-9927-C74870D8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customStyle="1" w:styleId="D2Aformnumbering">
    <w:name w:val="D2A form numbering"/>
    <w:uiPriority w:val="99"/>
    <w:rsid w:val="006755CF"/>
    <w:pPr>
      <w:numPr>
        <w:numId w:val="10"/>
      </w:numPr>
    </w:pPr>
  </w:style>
  <w:style w:type="table" w:customStyle="1" w:styleId="PlainTable11">
    <w:name w:val="Plain Table 11"/>
    <w:basedOn w:val="TableNormal"/>
    <w:next w:val="PlainTable1"/>
    <w:uiPriority w:val="41"/>
    <w:locked/>
    <w:rsid w:val="006755CF"/>
    <w:pPr>
      <w:jc w:val="both"/>
    </w:pPr>
    <w:rPr>
      <w:rFonts w:ascii="Arial" w:eastAsia="Arial" w:hAnsi="Arial" w:cs="Cordia New"/>
      <w:color w:val="000000"/>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75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307707282">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VQVUQ2WUPSKA-1683173573-117855</_dlc_DocId>
    <TaxCatchAll xmlns="814d62cb-2db6-4c25-ab62-b9075facbc11">
      <Value>24</Value>
      <Value>83</Value>
      <Value>93</Value>
      <Value>134</Value>
      <Value>26</Value>
      <Value>10</Value>
      <Value>109</Value>
      <Value>297</Value>
      <Value>58</Value>
      <Value>19</Value>
    </TaxCatchAll>
    <_dlc_DocIdUrl xmlns="814d62cb-2db6-4c25-ab62-b9075facbc11">
      <Url>https://im/teams/DA/_layouts/15/DocIdRedir.aspx?ID=VQVUQ2WUPSKA-1683173573-117855</Url>
      <Description>VQVUQ2WUPSKA-1683173573-117855</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LRS 200.0 Capital Adequacy Supplementary Information</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4A48B-E50C-4BB3-B493-D92A74470177}">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473F76F-B6F5-4591-8FD2-08A1B8F06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23835-B0B8-4062-8D30-CFA8C166F016}">
  <ds:schemaRefs>
    <ds:schemaRef ds:uri="Microsoft.SharePoint.Taxonomy.ContentTypeSync"/>
  </ds:schemaRefs>
</ds:datastoreItem>
</file>

<file path=customXml/itemProps4.xml><?xml version="1.0" encoding="utf-8"?>
<ds:datastoreItem xmlns:ds="http://schemas.openxmlformats.org/officeDocument/2006/customXml" ds:itemID="{90660396-0A3F-4C66-AE61-FF27262F13FF}">
  <ds:schemaRefs>
    <ds:schemaRef ds:uri="http://schemas.microsoft.com/sharepoint/events"/>
  </ds:schemaRefs>
</ds:datastoreItem>
</file>

<file path=customXml/itemProps5.xml><?xml version="1.0" encoding="utf-8"?>
<ds:datastoreItem xmlns:ds="http://schemas.openxmlformats.org/officeDocument/2006/customXml" ds:itemID="{EABAC265-2F15-484F-BE8C-D8066CA1B732}">
  <ds:schemaRefs>
    <ds:schemaRef ds:uri="http://schemas.microsoft.com/sharepoint/v3/contenttype/forms"/>
  </ds:schemaRefs>
</ds:datastoreItem>
</file>

<file path=customXml/itemProps6.xml><?xml version="1.0" encoding="utf-8"?>
<ds:datastoreItem xmlns:ds="http://schemas.openxmlformats.org/officeDocument/2006/customXml" ds:itemID="{FB1DB3FC-AD5F-492D-B853-AD2AEE1A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4440</Words>
  <Characters>24404</Characters>
  <Application>Microsoft Office Word</Application>
  <DocSecurity>0</DocSecurity>
  <Lines>1006</Lines>
  <Paragraphs>389</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Hammond, Rhiannon</cp:lastModifiedBy>
  <cp:revision>3</cp:revision>
  <cp:lastPrinted>2023-03-23T07:09:00Z</cp:lastPrinted>
  <dcterms:created xsi:type="dcterms:W3CDTF">2023-03-23T07:03:00Z</dcterms:created>
  <dcterms:modified xsi:type="dcterms:W3CDTF">2023-03-23T07:37:00Z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640372EF4F53423F97219891F9E7197B</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2023-01-17T00:15:30Z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00B6195F409F0C53D87285049FAA72E7</vt:lpwstr>
  </property>
  <property fmtid="{D5CDD505-2E9C-101B-9397-08002B2CF9AE}" pid="22" name="PM_Hash_Salt">
    <vt:lpwstr>3AC9D8946F0643738950AB6498FF336B</vt:lpwstr>
  </property>
  <property fmtid="{D5CDD505-2E9C-101B-9397-08002B2CF9AE}" pid="23" name="PM_Hash_SHA1">
    <vt:lpwstr>79D44AE628BF4F32F99A9298C00C81FCB10475FD</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0x0101008CA7A4F8331B45C7B0D3158B4994D0CA0200577EC0F5A1FBFC498F9A8436B963F8A6</vt:lpwstr>
  </property>
  <property fmtid="{D5CDD505-2E9C-101B-9397-08002B2CF9AE}" pid="27" name="_dlc_DocIdItemGuid">
    <vt:lpwstr>c8794d4c-e9f8-4b7d-8127-edf35e227b49</vt:lpwstr>
  </property>
  <property fmtid="{D5CDD505-2E9C-101B-9397-08002B2CF9AE}" pid="28" name="APRAStatus">
    <vt:lpwstr>19;#Final|84d6b2d0-8498-4d62-bf46-bab38babbe9e</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APRACostCentre">
    <vt:lpwstr>24;#Legal - ADI|652d8d2a-ab45-47b4-ac6e-fe6ac9299b39;#26;#Legal - Insurance: General|8229dc1a-d7f2-47b2-844a-b026fed0c13d;#93;#Legal - Insurance: Health|21611e62-d688-4f0d-8807-02701cc43699;#83;#Legal - Insurance: Life|56f18b50-6605-4f3f-97e3-cad1cb5394e0</vt:lpwstr>
  </property>
  <property fmtid="{D5CDD505-2E9C-101B-9397-08002B2CF9AE}" pid="32" name="IT system type">
    <vt:lpwstr/>
  </property>
  <property fmtid="{D5CDD505-2E9C-101B-9397-08002B2CF9AE}" pid="33" name="APRACategory">
    <vt:lpwstr/>
  </property>
  <property fmtid="{D5CDD505-2E9C-101B-9397-08002B2CF9AE}" pid="34" name="APRAPRSG">
    <vt:lpwstr/>
  </property>
  <property fmtid="{D5CDD505-2E9C-101B-9397-08002B2CF9AE}" pid="35" name="APRADocumentType">
    <vt:lpwstr>297;#Reporting standard|91896cd9-c8c4-4f0d-b59e-113a28881d1d;#58;#Legal instrument|71fd6ed3-d6d6-4975-ba99-bfe45802e734</vt:lpwstr>
  </property>
  <property fmtid="{D5CDD505-2E9C-101B-9397-08002B2CF9AE}" pid="36" name="APRAActivity">
    <vt:lpwstr>10;#Registration|390476ce-d76d-4e8d-905f-28e32d2df127;#109;#Statutory instrument|fe68928c-5a9c-4caf-bc8c-6c18cedcb17f</vt:lpwstr>
  </property>
  <property fmtid="{D5CDD505-2E9C-101B-9397-08002B2CF9AE}" pid="37" name="APRAEntityAdviceSupport">
    <vt:lpwstr/>
  </property>
  <property fmtid="{D5CDD505-2E9C-101B-9397-08002B2CF9AE}" pid="38" name="APRALegislation">
    <vt:lpwstr/>
  </property>
  <property fmtid="{D5CDD505-2E9C-101B-9397-08002B2CF9AE}" pid="39" name="APRAYear">
    <vt:lpwstr/>
  </property>
  <property fmtid="{D5CDD505-2E9C-101B-9397-08002B2CF9AE}" pid="40" name="APRAIndustry">
    <vt:lpwstr/>
  </property>
  <property fmtid="{D5CDD505-2E9C-101B-9397-08002B2CF9AE}" pid="41" name="APRAExternalOrganisation">
    <vt:lpwstr/>
  </property>
  <property fmtid="{D5CDD505-2E9C-101B-9397-08002B2CF9AE}" pid="42" name="APRAIRTR">
    <vt:lpwstr/>
  </property>
  <property fmtid="{D5CDD505-2E9C-101B-9397-08002B2CF9AE}" pid="43" name="APRAPeriod">
    <vt:lpwstr/>
  </property>
  <property fmtid="{D5CDD505-2E9C-101B-9397-08002B2CF9AE}" pid="44" name="RecordPoint_WorkflowType">
    <vt:lpwstr>ActiveSubmitStub</vt:lpwstr>
  </property>
  <property fmtid="{D5CDD505-2E9C-101B-9397-08002B2CF9AE}" pid="45" name="RecordPoint_ActiveItemSiteId">
    <vt:lpwstr>{88691c01-5bbb-4215-adc0-66cb7065b0af}</vt:lpwstr>
  </property>
  <property fmtid="{D5CDD505-2E9C-101B-9397-08002B2CF9AE}" pid="46" name="RecordPoint_ActiveItemListId">
    <vt:lpwstr>{0e59e171-09d8-4401-800a-327154450cb3}</vt:lpwstr>
  </property>
  <property fmtid="{D5CDD505-2E9C-101B-9397-08002B2CF9AE}" pid="47" name="RecordPoint_ActiveItemUniqueId">
    <vt:lpwstr>{9fef4068-2869-4d24-b844-f3abd4b600f8}</vt:lpwstr>
  </property>
  <property fmtid="{D5CDD505-2E9C-101B-9397-08002B2CF9AE}" pid="48" name="RecordPoint_ActiveItemWebId">
    <vt:lpwstr>{75a71c27-8d66-4282-ae60-1bfc22a83be1}</vt:lpwstr>
  </property>
  <property fmtid="{D5CDD505-2E9C-101B-9397-08002B2CF9AE}" pid="49" name="RecordPoint_RecordNumberSubmitted">
    <vt:lpwstr/>
  </property>
  <property fmtid="{D5CDD505-2E9C-101B-9397-08002B2CF9AE}" pid="50" name="MSIP_Label_c0129afb-6481-4f92-bc9f-5a4a6346364d_SetDate">
    <vt:lpwstr>2023-01-17T00:15:30Z</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RecordPoint_SubmissionCompleted">
    <vt:lpwstr/>
  </property>
  <property fmtid="{D5CDD505-2E9C-101B-9397-08002B2CF9AE}" pid="55" name="MSIP_Label_c0129afb-6481-4f92-bc9f-5a4a6346364d_Method">
    <vt:lpwstr>Privileged</vt:lpwstr>
  </property>
  <property fmtid="{D5CDD505-2E9C-101B-9397-08002B2CF9AE}" pid="56" name="PMHMAC">
    <vt:lpwstr>v=2022.1;a=SHA256;h=4437531644E10C2732D0460DA39264B2E9B760294F1E043CEC2B6CD4B3CAE98B</vt:lpwstr>
  </property>
  <property fmtid="{D5CDD505-2E9C-101B-9397-08002B2CF9AE}" pid="57" name="MSIP_Label_c0129afb-6481-4f92-bc9f-5a4a6346364d_ContentBits">
    <vt:lpwstr>0</vt:lpwstr>
  </property>
  <property fmtid="{D5CDD505-2E9C-101B-9397-08002B2CF9AE}" pid="58" name="MSIP_Label_c0129afb-6481-4f92-bc9f-5a4a6346364d_ActionId">
    <vt:lpwstr>623a42b35d5b436094a20f1954a621ae</vt:lpwstr>
  </property>
  <property fmtid="{D5CDD505-2E9C-101B-9397-08002B2CF9AE}" pid="59" name="IsLocked">
    <vt:lpwstr>False</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