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58E7" w14:textId="35D91716" w:rsidR="00AD48DC" w:rsidRDefault="00AD48DC" w:rsidP="00AD48DC">
      <w:pPr>
        <w:jc w:val="center"/>
        <w:rPr>
          <w:rFonts w:ascii="Times New Roman" w:hAnsi="Times New Roman"/>
          <w:b/>
          <w:sz w:val="24"/>
        </w:rPr>
      </w:pPr>
      <w:bookmarkStart w:id="0" w:name="bkInstrumentTitle"/>
      <w:bookmarkStart w:id="1" w:name="_Hlk120706258"/>
      <w:bookmarkEnd w:id="0"/>
      <w:r w:rsidRPr="00474451">
        <w:rPr>
          <w:rFonts w:ascii="Times New Roman" w:hAnsi="Times New Roman"/>
          <w:b/>
          <w:sz w:val="24"/>
        </w:rPr>
        <w:t xml:space="preserve">Financial Sector (Collection of Data) (reporting standard) determination </w:t>
      </w:r>
      <w:bookmarkEnd w:id="1"/>
      <w:r w:rsidRPr="009D09A9">
        <w:rPr>
          <w:rFonts w:ascii="Times New Roman" w:hAnsi="Times New Roman"/>
          <w:b/>
          <w:sz w:val="24"/>
        </w:rPr>
        <w:t>No</w:t>
      </w:r>
      <w:r w:rsidR="009D09A9" w:rsidRPr="009D09A9">
        <w:rPr>
          <w:rFonts w:ascii="Times New Roman" w:hAnsi="Times New Roman"/>
          <w:b/>
          <w:sz w:val="24"/>
        </w:rPr>
        <w:t>s</w:t>
      </w:r>
      <w:r w:rsidRPr="009D09A9">
        <w:rPr>
          <w:rFonts w:ascii="Times New Roman" w:hAnsi="Times New Roman"/>
          <w:b/>
          <w:sz w:val="24"/>
        </w:rPr>
        <w:t xml:space="preserve">. </w:t>
      </w:r>
      <w:r w:rsidR="00A37609" w:rsidRPr="009D09A9">
        <w:rPr>
          <w:rFonts w:ascii="Times New Roman" w:hAnsi="Times New Roman"/>
          <w:b/>
          <w:sz w:val="24"/>
        </w:rPr>
        <w:t>4</w:t>
      </w:r>
      <w:r w:rsidR="009D09A9" w:rsidRPr="009D09A9">
        <w:rPr>
          <w:rFonts w:ascii="Times New Roman" w:hAnsi="Times New Roman"/>
          <w:b/>
          <w:sz w:val="24"/>
        </w:rPr>
        <w:t>, 6, 9, 10, 11, 12, 13, 14, 18, 19 and</w:t>
      </w:r>
      <w:r w:rsidRPr="009D09A9">
        <w:rPr>
          <w:rFonts w:ascii="Times New Roman" w:hAnsi="Times New Roman"/>
          <w:b/>
          <w:sz w:val="24"/>
        </w:rPr>
        <w:t xml:space="preserve"> </w:t>
      </w:r>
      <w:r w:rsidR="00A37609" w:rsidRPr="009D09A9">
        <w:rPr>
          <w:rFonts w:ascii="Times New Roman" w:hAnsi="Times New Roman"/>
          <w:b/>
          <w:sz w:val="24"/>
        </w:rPr>
        <w:t>2</w:t>
      </w:r>
      <w:r w:rsidR="006B22F9" w:rsidRPr="009D09A9">
        <w:rPr>
          <w:rFonts w:ascii="Times New Roman" w:hAnsi="Times New Roman"/>
          <w:b/>
          <w:sz w:val="24"/>
        </w:rPr>
        <w:t>0</w:t>
      </w:r>
      <w:r w:rsidRPr="009D09A9">
        <w:rPr>
          <w:rFonts w:ascii="Times New Roman" w:hAnsi="Times New Roman"/>
          <w:b/>
          <w:sz w:val="24"/>
        </w:rPr>
        <w:t xml:space="preserve"> of 2023</w:t>
      </w:r>
    </w:p>
    <w:p w14:paraId="41E60B6D" w14:textId="752D7009" w:rsidR="00CB65C5" w:rsidRDefault="00CB65C5" w:rsidP="00CB65C5">
      <w:pPr>
        <w:jc w:val="center"/>
        <w:rPr>
          <w:rFonts w:ascii="Times New Roman" w:hAnsi="Times New Roman"/>
          <w:b/>
          <w:sz w:val="24"/>
          <w:u w:val="single"/>
        </w:rPr>
      </w:pPr>
      <w:r w:rsidRPr="00CB65C5">
        <w:rPr>
          <w:rFonts w:ascii="Times New Roman" w:hAnsi="Times New Roman"/>
          <w:b/>
          <w:sz w:val="24"/>
          <w:u w:val="single"/>
        </w:rPr>
        <w:t>EXPLANATORY STATEMENT</w:t>
      </w:r>
    </w:p>
    <w:p w14:paraId="1E506EE4" w14:textId="77777777" w:rsidR="00CB65C5" w:rsidRPr="00C82862" w:rsidRDefault="00CB65C5" w:rsidP="00CB65C5">
      <w:pPr>
        <w:jc w:val="center"/>
        <w:rPr>
          <w:rFonts w:ascii="Times New Roman" w:hAnsi="Times New Roman"/>
          <w:b/>
          <w:sz w:val="24"/>
        </w:rPr>
      </w:pPr>
      <w:r w:rsidRPr="00C82862">
        <w:rPr>
          <w:rFonts w:ascii="Times New Roman" w:hAnsi="Times New Roman"/>
          <w:b/>
          <w:sz w:val="24"/>
        </w:rPr>
        <w:t>Prepared by the Australian Prudential Regulation Authority (APRA)</w:t>
      </w:r>
    </w:p>
    <w:p w14:paraId="0EBAE04C"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 xml:space="preserve">Financial Sector (Collection of Data) Act 2001, </w:t>
      </w:r>
      <w:r w:rsidRPr="00C82862">
        <w:rPr>
          <w:rFonts w:ascii="Times New Roman" w:hAnsi="Times New Roman"/>
          <w:sz w:val="24"/>
        </w:rPr>
        <w:t>sections 13 and 15</w:t>
      </w:r>
    </w:p>
    <w:p w14:paraId="323B7151" w14:textId="77777777" w:rsidR="00CB65C5" w:rsidRPr="00C82862" w:rsidRDefault="00CB65C5" w:rsidP="00CB65C5">
      <w:pPr>
        <w:jc w:val="center"/>
        <w:rPr>
          <w:rFonts w:ascii="Times New Roman" w:hAnsi="Times New Roman"/>
          <w:sz w:val="24"/>
        </w:rPr>
      </w:pPr>
      <w:r w:rsidRPr="00C82862">
        <w:rPr>
          <w:rFonts w:ascii="Times New Roman" w:hAnsi="Times New Roman"/>
          <w:i/>
          <w:iCs/>
          <w:sz w:val="24"/>
        </w:rPr>
        <w:t>Acts Interpretation Act 1901,</w:t>
      </w:r>
      <w:r w:rsidRPr="00C82862">
        <w:rPr>
          <w:rFonts w:ascii="Times New Roman" w:hAnsi="Times New Roman"/>
          <w:sz w:val="24"/>
        </w:rPr>
        <w:t xml:space="preserve"> section 33</w:t>
      </w:r>
    </w:p>
    <w:p w14:paraId="3FD766A1" w14:textId="44EF3446" w:rsidR="00201150" w:rsidRPr="002C6D26" w:rsidRDefault="00CB65C5" w:rsidP="00CC2775">
      <w:pPr>
        <w:widowControl w:val="0"/>
        <w:rPr>
          <w:rFonts w:ascii="Times New Roman" w:hAnsi="Times New Roman"/>
          <w:sz w:val="24"/>
        </w:rPr>
      </w:pPr>
      <w:r w:rsidRPr="00C82862">
        <w:rPr>
          <w:rFonts w:ascii="Times New Roman" w:hAnsi="Times New Roman"/>
          <w:sz w:val="24"/>
        </w:rPr>
        <w:t xml:space="preserve">Under subsection 13(1) of the </w:t>
      </w:r>
      <w:r w:rsidRPr="00C82862">
        <w:rPr>
          <w:rFonts w:ascii="Times New Roman" w:hAnsi="Times New Roman"/>
          <w:i/>
          <w:sz w:val="24"/>
        </w:rPr>
        <w:t>Financial Sector (Collection of Data) Act 2001</w:t>
      </w:r>
      <w:r w:rsidRPr="00C82862">
        <w:rPr>
          <w:rFonts w:ascii="Times New Roman" w:hAnsi="Times New Roman"/>
          <w:sz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w:t>
      </w:r>
      <w:r w:rsidR="00073180">
        <w:rPr>
          <w:rFonts w:ascii="Times New Roman" w:hAnsi="Times New Roman"/>
          <w:sz w:val="24"/>
        </w:rPr>
        <w:t xml:space="preserve"> </w:t>
      </w:r>
      <w:r w:rsidRPr="00C82862">
        <w:rPr>
          <w:rFonts w:ascii="Times New Roman" w:hAnsi="Times New Roman"/>
          <w:sz w:val="24"/>
        </w:rPr>
        <w:t xml:space="preserve">Subsection 33(3) of the </w:t>
      </w:r>
      <w:r w:rsidRPr="00C82862">
        <w:rPr>
          <w:rFonts w:ascii="Times New Roman" w:hAnsi="Times New Roman"/>
          <w:i/>
          <w:sz w:val="24"/>
        </w:rPr>
        <w:t>Acts Interpretation Act 1901</w:t>
      </w:r>
      <w:r w:rsidRPr="00C82862">
        <w:rPr>
          <w:rFonts w:ascii="Times New Roman" w:hAnsi="Times New Roman"/>
          <w:sz w:val="24"/>
        </w:rPr>
        <w:t xml:space="preserve"> provides that where an Act confers a power to </w:t>
      </w:r>
      <w:r w:rsidR="00941CAB">
        <w:rPr>
          <w:rFonts w:ascii="Times New Roman" w:hAnsi="Times New Roman"/>
          <w:sz w:val="24"/>
        </w:rPr>
        <w:t>make, grant or</w:t>
      </w:r>
      <w:r w:rsidR="00941CAB" w:rsidRPr="00C82862">
        <w:rPr>
          <w:rFonts w:ascii="Times New Roman" w:hAnsi="Times New Roman"/>
          <w:sz w:val="24"/>
        </w:rPr>
        <w:t xml:space="preserve"> issue an instrument</w:t>
      </w:r>
      <w:r w:rsidR="00941CAB">
        <w:rPr>
          <w:rFonts w:ascii="Times New Roman" w:hAnsi="Times New Roman"/>
          <w:sz w:val="24"/>
        </w:rPr>
        <w:t xml:space="preserve"> of a legislative or administrative character</w:t>
      </w:r>
      <w:r w:rsidR="00941CAB" w:rsidRPr="00C82862">
        <w:rPr>
          <w:rFonts w:ascii="Times New Roman" w:hAnsi="Times New Roman"/>
          <w:sz w:val="24"/>
        </w:rPr>
        <w:t xml:space="preserve"> </w:t>
      </w:r>
      <w:r w:rsidRPr="00C82862">
        <w:rPr>
          <w:rFonts w:ascii="Times New Roman" w:hAnsi="Times New Roman"/>
          <w:sz w:val="24"/>
        </w:rPr>
        <w:t>the power shall, unless the contrary intention appe</w:t>
      </w:r>
      <w:r w:rsidR="00A37609">
        <w:rPr>
          <w:rFonts w:ascii="Times New Roman" w:hAnsi="Times New Roman"/>
          <w:sz w:val="24"/>
        </w:rPr>
        <w:t>ars</w:t>
      </w:r>
      <w:r w:rsidRPr="00C82862">
        <w:rPr>
          <w:rFonts w:ascii="Times New Roman" w:hAnsi="Times New Roman"/>
          <w:sz w:val="24"/>
        </w:rPr>
        <w:t>, be construed as including a power exercisable in the like manner and subject to the like conditions (if any) to revoke any such instrument.</w:t>
      </w:r>
      <w:bookmarkStart w:id="2" w:name="_Hlk128067258"/>
      <w:bookmarkStart w:id="3" w:name="_Hlk67156972"/>
      <w:r w:rsidR="00201150" w:rsidRPr="00201150">
        <w:rPr>
          <w:rFonts w:ascii="Times New Roman" w:hAnsi="Times New Roman"/>
          <w:sz w:val="24"/>
        </w:rPr>
        <w:t xml:space="preserve"> </w:t>
      </w:r>
      <w:bookmarkEnd w:id="2"/>
      <w:bookmarkEnd w:id="3"/>
    </w:p>
    <w:p w14:paraId="75FCC843" w14:textId="77777777" w:rsidR="00201150" w:rsidRPr="002C6D26" w:rsidRDefault="00201150" w:rsidP="00CC2775">
      <w:pPr>
        <w:widowControl w:val="0"/>
        <w:rPr>
          <w:rFonts w:ascii="Times New Roman" w:hAnsi="Times New Roman"/>
          <w:sz w:val="24"/>
        </w:rPr>
      </w:pPr>
      <w:r w:rsidRPr="00387348">
        <w:rPr>
          <w:rFonts w:ascii="Times New Roman" w:hAnsi="Times New Roman"/>
          <w:sz w:val="24"/>
        </w:rPr>
        <w:t xml:space="preserve">Subsection 15(1) of the Act provides that APRA may declare a day on and after which the reporting standards are to apply. </w:t>
      </w:r>
    </w:p>
    <w:p w14:paraId="22A93DBD" w14:textId="046FA717" w:rsidR="00A53BE8" w:rsidRDefault="00A53BE8" w:rsidP="00CC2775">
      <w:pPr>
        <w:rPr>
          <w:rFonts w:ascii="Times New Roman" w:hAnsi="Times New Roman"/>
          <w:sz w:val="24"/>
        </w:rPr>
      </w:pPr>
      <w:r w:rsidRPr="00553C88">
        <w:rPr>
          <w:rFonts w:ascii="Times New Roman" w:hAnsi="Times New Roman"/>
          <w:sz w:val="24"/>
        </w:rPr>
        <w:t xml:space="preserve">On </w:t>
      </w:r>
      <w:r w:rsidR="00553C88" w:rsidRPr="00553C88">
        <w:rPr>
          <w:rFonts w:ascii="Times New Roman" w:hAnsi="Times New Roman"/>
          <w:sz w:val="24"/>
        </w:rPr>
        <w:t>16</w:t>
      </w:r>
      <w:r w:rsidR="00A84981" w:rsidRPr="00553C88">
        <w:rPr>
          <w:rFonts w:ascii="Times New Roman" w:hAnsi="Times New Roman"/>
          <w:sz w:val="24"/>
        </w:rPr>
        <w:t xml:space="preserve"> March</w:t>
      </w:r>
      <w:r w:rsidR="00A84981" w:rsidRPr="00305D82">
        <w:rPr>
          <w:rFonts w:ascii="Times New Roman" w:hAnsi="Times New Roman"/>
          <w:sz w:val="24"/>
        </w:rPr>
        <w:t xml:space="preserve"> 2023</w:t>
      </w:r>
      <w:r>
        <w:rPr>
          <w:rFonts w:ascii="Times New Roman" w:hAnsi="Times New Roman"/>
          <w:sz w:val="24"/>
        </w:rPr>
        <w:t>, APRA made the following determinations (the instruments):</w:t>
      </w:r>
    </w:p>
    <w:p w14:paraId="74883BE6" w14:textId="0DD3E467" w:rsidR="007C42FE" w:rsidRPr="00A37609"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4D053D" w:rsidRPr="00A37609">
        <w:rPr>
          <w:rFonts w:ascii="Times New Roman" w:hAnsi="Times New Roman"/>
          <w:sz w:val="24"/>
        </w:rPr>
        <w:t xml:space="preserve">Financial Sector (Collection of Data) </w:t>
      </w:r>
      <w:r w:rsidR="00DF0747" w:rsidRPr="00A37609">
        <w:rPr>
          <w:rFonts w:ascii="Times New Roman" w:hAnsi="Times New Roman"/>
          <w:sz w:val="24"/>
        </w:rPr>
        <w:t xml:space="preserve">(reporting standard) determination No. </w:t>
      </w:r>
      <w:r w:rsidR="00A37609" w:rsidRPr="00A37609">
        <w:rPr>
          <w:rFonts w:ascii="Times New Roman" w:hAnsi="Times New Roman"/>
          <w:sz w:val="24"/>
        </w:rPr>
        <w:t>4</w:t>
      </w:r>
      <w:r w:rsidR="00DF0747" w:rsidRPr="00A37609">
        <w:rPr>
          <w:rFonts w:ascii="Times New Roman" w:hAnsi="Times New Roman"/>
          <w:sz w:val="24"/>
        </w:rPr>
        <w:t xml:space="preserve"> of 20</w:t>
      </w:r>
      <w:r w:rsidR="00A37609" w:rsidRPr="00A37609">
        <w:rPr>
          <w:rFonts w:ascii="Times New Roman" w:hAnsi="Times New Roman"/>
          <w:sz w:val="24"/>
        </w:rPr>
        <w:t>2</w:t>
      </w:r>
      <w:r w:rsidR="00DF0747" w:rsidRPr="00A37609">
        <w:rPr>
          <w:rFonts w:ascii="Times New Roman" w:hAnsi="Times New Roman"/>
          <w:sz w:val="24"/>
        </w:rPr>
        <w:t xml:space="preserve">3 which: </w:t>
      </w:r>
    </w:p>
    <w:p w14:paraId="1183645A" w14:textId="6E7958E2" w:rsidR="00DF0747" w:rsidRDefault="00DF0747" w:rsidP="00CC2775">
      <w:pPr>
        <w:pStyle w:val="ListParagraph"/>
        <w:ind w:left="720"/>
        <w:rPr>
          <w:rFonts w:ascii="Times New Roman" w:hAnsi="Times New Roman"/>
          <w:sz w:val="24"/>
        </w:rPr>
      </w:pPr>
    </w:p>
    <w:p w14:paraId="34A0130D" w14:textId="7B0C7B9A" w:rsidR="00DF0747" w:rsidRDefault="00DF0747" w:rsidP="00CC2775">
      <w:pPr>
        <w:pStyle w:val="ListParagraph"/>
        <w:numPr>
          <w:ilvl w:val="0"/>
          <w:numId w:val="16"/>
        </w:numPr>
        <w:rPr>
          <w:rFonts w:ascii="Times New Roman" w:hAnsi="Times New Roman"/>
          <w:sz w:val="24"/>
        </w:rPr>
      </w:pPr>
      <w:r>
        <w:rPr>
          <w:rFonts w:ascii="Times New Roman" w:hAnsi="Times New Roman"/>
          <w:sz w:val="24"/>
        </w:rPr>
        <w:t xml:space="preserve">revokes </w:t>
      </w:r>
      <w:r w:rsidR="00F17806">
        <w:rPr>
          <w:rFonts w:ascii="Times New Roman" w:hAnsi="Times New Roman"/>
          <w:i/>
          <w:sz w:val="24"/>
        </w:rPr>
        <w:t xml:space="preserve">Reporting Standard </w:t>
      </w:r>
      <w:r>
        <w:rPr>
          <w:rFonts w:ascii="Times New Roman" w:hAnsi="Times New Roman"/>
          <w:i/>
          <w:sz w:val="24"/>
        </w:rPr>
        <w:t xml:space="preserve">GRS 110.1 Prescribed Capital Amount </w:t>
      </w:r>
      <w:r w:rsidR="00E24B8A">
        <w:rPr>
          <w:rFonts w:ascii="Times New Roman" w:hAnsi="Times New Roman"/>
          <w:sz w:val="24"/>
        </w:rPr>
        <w:t xml:space="preserve">(GRS 110.1) </w:t>
      </w:r>
      <w:r w:rsidR="00F17806">
        <w:rPr>
          <w:rFonts w:ascii="Times New Roman" w:hAnsi="Times New Roman"/>
          <w:sz w:val="24"/>
        </w:rPr>
        <w:t>made under</w:t>
      </w:r>
      <w:r w:rsidR="00E24B8A">
        <w:rPr>
          <w:rFonts w:ascii="Times New Roman" w:hAnsi="Times New Roman"/>
          <w:sz w:val="24"/>
        </w:rPr>
        <w:t xml:space="preserve"> Financial Sector (Collection of Data) (reporting standard) determination No. 2 of 2013; and</w:t>
      </w:r>
    </w:p>
    <w:p w14:paraId="7F4862C9" w14:textId="265C261B" w:rsidR="00E24B8A" w:rsidRDefault="00E24B8A" w:rsidP="00CC2775">
      <w:pPr>
        <w:pStyle w:val="ListParagraph"/>
        <w:ind w:left="1440"/>
        <w:rPr>
          <w:rFonts w:ascii="Times New Roman" w:hAnsi="Times New Roman"/>
          <w:sz w:val="24"/>
        </w:rPr>
      </w:pPr>
    </w:p>
    <w:p w14:paraId="03170D0C" w14:textId="37B1EA15" w:rsidR="00E24B8A" w:rsidRDefault="00E24B8A" w:rsidP="00CC2775">
      <w:pPr>
        <w:pStyle w:val="ListParagraph"/>
        <w:numPr>
          <w:ilvl w:val="0"/>
          <w:numId w:val="16"/>
        </w:numPr>
        <w:rPr>
          <w:rFonts w:ascii="Times New Roman" w:hAnsi="Times New Roman"/>
          <w:sz w:val="24"/>
        </w:rPr>
      </w:pPr>
      <w:r>
        <w:rPr>
          <w:rFonts w:ascii="Times New Roman" w:hAnsi="Times New Roman"/>
          <w:sz w:val="24"/>
        </w:rPr>
        <w:t>determines a new</w:t>
      </w:r>
      <w:r w:rsidR="00F17806">
        <w:rPr>
          <w:rFonts w:ascii="Times New Roman" w:hAnsi="Times New Roman"/>
          <w:sz w:val="24"/>
        </w:rPr>
        <w:t xml:space="preserve"> version of</w:t>
      </w:r>
      <w:r>
        <w:rPr>
          <w:rFonts w:ascii="Times New Roman" w:hAnsi="Times New Roman"/>
          <w:sz w:val="24"/>
        </w:rPr>
        <w:t xml:space="preserve"> GRS </w:t>
      </w:r>
      <w:proofErr w:type="gramStart"/>
      <w:r>
        <w:rPr>
          <w:rFonts w:ascii="Times New Roman" w:hAnsi="Times New Roman"/>
          <w:sz w:val="24"/>
        </w:rPr>
        <w:t>110.1;</w:t>
      </w:r>
      <w:proofErr w:type="gramEnd"/>
    </w:p>
    <w:p w14:paraId="253A33FC" w14:textId="77777777" w:rsidR="00AD48DC" w:rsidRPr="008C38BE" w:rsidRDefault="00AD48DC" w:rsidP="00CC2775">
      <w:pPr>
        <w:pStyle w:val="ListParagraph"/>
        <w:rPr>
          <w:rFonts w:ascii="Times New Roman" w:hAnsi="Times New Roman"/>
          <w:sz w:val="24"/>
        </w:rPr>
      </w:pPr>
    </w:p>
    <w:p w14:paraId="649E4FFC" w14:textId="14EDEFB4" w:rsidR="00AC7B78"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AC7B78">
        <w:rPr>
          <w:rFonts w:ascii="Times New Roman" w:hAnsi="Times New Roman"/>
          <w:sz w:val="24"/>
        </w:rPr>
        <w:t xml:space="preserve">Financial Sector (Collection of Data) (reporting standard) determination </w:t>
      </w:r>
      <w:r w:rsidR="00EA597D">
        <w:rPr>
          <w:rFonts w:ascii="Times New Roman" w:hAnsi="Times New Roman"/>
          <w:sz w:val="24"/>
        </w:rPr>
        <w:t xml:space="preserve">No. </w:t>
      </w:r>
      <w:r w:rsidR="00A37609">
        <w:rPr>
          <w:rFonts w:ascii="Times New Roman" w:hAnsi="Times New Roman"/>
          <w:sz w:val="24"/>
        </w:rPr>
        <w:t>6</w:t>
      </w:r>
      <w:r w:rsidR="00F45954">
        <w:rPr>
          <w:rFonts w:ascii="Times New Roman" w:hAnsi="Times New Roman"/>
          <w:sz w:val="24"/>
        </w:rPr>
        <w:t xml:space="preserve"> of 20</w:t>
      </w:r>
      <w:r w:rsidR="00A37609">
        <w:rPr>
          <w:rFonts w:ascii="Times New Roman" w:hAnsi="Times New Roman"/>
          <w:sz w:val="24"/>
        </w:rPr>
        <w:t>2</w:t>
      </w:r>
      <w:r w:rsidR="00F45954">
        <w:rPr>
          <w:rFonts w:ascii="Times New Roman" w:hAnsi="Times New Roman"/>
          <w:sz w:val="24"/>
        </w:rPr>
        <w:t>3 which:</w:t>
      </w:r>
    </w:p>
    <w:p w14:paraId="0F811CFA" w14:textId="67416BB9" w:rsidR="00F45954" w:rsidRDefault="00F45954" w:rsidP="00CC2775">
      <w:pPr>
        <w:pStyle w:val="ListParagraph"/>
        <w:ind w:left="720"/>
        <w:rPr>
          <w:rFonts w:ascii="Times New Roman" w:hAnsi="Times New Roman"/>
          <w:sz w:val="24"/>
        </w:rPr>
      </w:pPr>
    </w:p>
    <w:p w14:paraId="53CE8E4B" w14:textId="71C704B5" w:rsidR="00F45954" w:rsidRDefault="00783A5C" w:rsidP="00CC2775">
      <w:pPr>
        <w:pStyle w:val="ListParagraph"/>
        <w:numPr>
          <w:ilvl w:val="0"/>
          <w:numId w:val="18"/>
        </w:numPr>
        <w:rPr>
          <w:rFonts w:ascii="Times New Roman" w:hAnsi="Times New Roman"/>
          <w:sz w:val="24"/>
        </w:rPr>
      </w:pPr>
      <w:r>
        <w:rPr>
          <w:rFonts w:ascii="Times New Roman" w:hAnsi="Times New Roman"/>
          <w:sz w:val="24"/>
        </w:rPr>
        <w:t xml:space="preserve"> r</w:t>
      </w:r>
      <w:r w:rsidR="00F45954">
        <w:rPr>
          <w:rFonts w:ascii="Times New Roman" w:hAnsi="Times New Roman"/>
          <w:sz w:val="24"/>
        </w:rPr>
        <w:t xml:space="preserve">evokes </w:t>
      </w:r>
      <w:r w:rsidR="00F17806">
        <w:rPr>
          <w:rFonts w:ascii="Times New Roman" w:hAnsi="Times New Roman"/>
          <w:i/>
          <w:sz w:val="24"/>
        </w:rPr>
        <w:t xml:space="preserve">Reporting Standard </w:t>
      </w:r>
      <w:r w:rsidR="00F45954">
        <w:rPr>
          <w:rFonts w:ascii="Times New Roman" w:hAnsi="Times New Roman"/>
          <w:i/>
          <w:sz w:val="24"/>
        </w:rPr>
        <w:t xml:space="preserve">GRS 114.0 Asset Risk Charge </w:t>
      </w:r>
      <w:r w:rsidR="00FE2C7B">
        <w:rPr>
          <w:rFonts w:ascii="Times New Roman" w:hAnsi="Times New Roman"/>
          <w:sz w:val="24"/>
        </w:rPr>
        <w:t xml:space="preserve">(GRS 114.0) </w:t>
      </w:r>
      <w:r w:rsidR="00F17806">
        <w:rPr>
          <w:rFonts w:ascii="Times New Roman" w:hAnsi="Times New Roman"/>
          <w:sz w:val="24"/>
        </w:rPr>
        <w:t>made under</w:t>
      </w:r>
      <w:r w:rsidR="00FE2C7B">
        <w:rPr>
          <w:rFonts w:ascii="Times New Roman" w:hAnsi="Times New Roman"/>
          <w:sz w:val="24"/>
        </w:rPr>
        <w:t xml:space="preserve"> Financial Sector (Collection of Data) (reporting standard) determination No. </w:t>
      </w:r>
      <w:r w:rsidR="00794699">
        <w:rPr>
          <w:rFonts w:ascii="Times New Roman" w:hAnsi="Times New Roman"/>
          <w:sz w:val="24"/>
        </w:rPr>
        <w:t>5</w:t>
      </w:r>
      <w:r w:rsidR="00FE2C7B">
        <w:rPr>
          <w:rFonts w:ascii="Times New Roman" w:hAnsi="Times New Roman"/>
          <w:sz w:val="24"/>
        </w:rPr>
        <w:t xml:space="preserve"> of 2013; and </w:t>
      </w:r>
    </w:p>
    <w:p w14:paraId="2FFDB6CF" w14:textId="3743E955" w:rsidR="00FE2C7B" w:rsidRDefault="00FE2C7B" w:rsidP="00CC2775">
      <w:pPr>
        <w:pStyle w:val="ListParagraph"/>
        <w:ind w:left="1440"/>
        <w:rPr>
          <w:rFonts w:ascii="Times New Roman" w:hAnsi="Times New Roman"/>
          <w:sz w:val="24"/>
        </w:rPr>
      </w:pPr>
    </w:p>
    <w:p w14:paraId="4E8CDAB0" w14:textId="3F6E0477" w:rsidR="005D6D84" w:rsidRDefault="00783A5C" w:rsidP="00CC2775">
      <w:pPr>
        <w:pStyle w:val="ListParagraph"/>
        <w:numPr>
          <w:ilvl w:val="0"/>
          <w:numId w:val="18"/>
        </w:numPr>
        <w:rPr>
          <w:rFonts w:ascii="Times New Roman" w:hAnsi="Times New Roman"/>
          <w:sz w:val="24"/>
        </w:rPr>
      </w:pPr>
      <w:r>
        <w:rPr>
          <w:rFonts w:ascii="Times New Roman" w:hAnsi="Times New Roman"/>
          <w:sz w:val="24"/>
        </w:rPr>
        <w:t xml:space="preserve"> d</w:t>
      </w:r>
      <w:r w:rsidR="00FE2C7B">
        <w:rPr>
          <w:rFonts w:ascii="Times New Roman" w:hAnsi="Times New Roman"/>
          <w:sz w:val="24"/>
        </w:rPr>
        <w:t xml:space="preserve">etermines a new </w:t>
      </w:r>
      <w:r w:rsidR="00F17806">
        <w:rPr>
          <w:rFonts w:ascii="Times New Roman" w:hAnsi="Times New Roman"/>
          <w:sz w:val="24"/>
        </w:rPr>
        <w:t xml:space="preserve">version of </w:t>
      </w:r>
      <w:r w:rsidR="00CA4F31">
        <w:rPr>
          <w:rFonts w:ascii="Times New Roman" w:hAnsi="Times New Roman"/>
          <w:sz w:val="24"/>
        </w:rPr>
        <w:t xml:space="preserve">GRS </w:t>
      </w:r>
      <w:proofErr w:type="gramStart"/>
      <w:r w:rsidR="00CA4F31">
        <w:rPr>
          <w:rFonts w:ascii="Times New Roman" w:hAnsi="Times New Roman"/>
          <w:sz w:val="24"/>
        </w:rPr>
        <w:t>114.0</w:t>
      </w:r>
      <w:r w:rsidR="0064189F">
        <w:rPr>
          <w:rFonts w:ascii="Times New Roman" w:hAnsi="Times New Roman"/>
          <w:sz w:val="24"/>
        </w:rPr>
        <w:t>;</w:t>
      </w:r>
      <w:proofErr w:type="gramEnd"/>
    </w:p>
    <w:p w14:paraId="5A2F36F6" w14:textId="77777777" w:rsidR="005D6D84" w:rsidRPr="005D6D84" w:rsidRDefault="005D6D84" w:rsidP="00CC2775">
      <w:pPr>
        <w:pStyle w:val="ListParagraph"/>
        <w:rPr>
          <w:rFonts w:ascii="Times New Roman" w:hAnsi="Times New Roman"/>
          <w:sz w:val="24"/>
        </w:rPr>
      </w:pPr>
    </w:p>
    <w:p w14:paraId="6BB3096D" w14:textId="07118D48" w:rsidR="00331635"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F72A82">
        <w:rPr>
          <w:rFonts w:ascii="Times New Roman" w:hAnsi="Times New Roman"/>
          <w:sz w:val="24"/>
        </w:rPr>
        <w:t xml:space="preserve">Financial Sector (Collection of Data) (reporting standard) determination No. </w:t>
      </w:r>
      <w:r w:rsidR="00A37609">
        <w:rPr>
          <w:rFonts w:ascii="Times New Roman" w:hAnsi="Times New Roman"/>
          <w:sz w:val="24"/>
        </w:rPr>
        <w:t>9</w:t>
      </w:r>
      <w:r w:rsidR="00331635">
        <w:rPr>
          <w:rFonts w:ascii="Times New Roman" w:hAnsi="Times New Roman"/>
          <w:sz w:val="24"/>
        </w:rPr>
        <w:t xml:space="preserve"> of 20</w:t>
      </w:r>
      <w:r w:rsidR="00A37609">
        <w:rPr>
          <w:rFonts w:ascii="Times New Roman" w:hAnsi="Times New Roman"/>
          <w:sz w:val="24"/>
        </w:rPr>
        <w:t>2</w:t>
      </w:r>
      <w:r w:rsidR="00331635">
        <w:rPr>
          <w:rFonts w:ascii="Times New Roman" w:hAnsi="Times New Roman"/>
          <w:sz w:val="24"/>
        </w:rPr>
        <w:t>3 which:</w:t>
      </w:r>
    </w:p>
    <w:p w14:paraId="433E2114" w14:textId="77777777" w:rsidR="00331635" w:rsidRDefault="00331635" w:rsidP="00CC2775">
      <w:pPr>
        <w:pStyle w:val="ListParagraph"/>
        <w:ind w:left="720"/>
        <w:rPr>
          <w:rFonts w:ascii="Times New Roman" w:hAnsi="Times New Roman"/>
          <w:sz w:val="24"/>
        </w:rPr>
      </w:pPr>
    </w:p>
    <w:p w14:paraId="4958C616" w14:textId="7B6854CC" w:rsidR="00331635" w:rsidRDefault="00331635" w:rsidP="00CC2775">
      <w:pPr>
        <w:pStyle w:val="ListParagraph"/>
        <w:numPr>
          <w:ilvl w:val="0"/>
          <w:numId w:val="21"/>
        </w:numPr>
        <w:rPr>
          <w:rFonts w:ascii="Times New Roman" w:hAnsi="Times New Roman"/>
          <w:sz w:val="24"/>
        </w:rPr>
      </w:pPr>
      <w:r>
        <w:rPr>
          <w:rFonts w:ascii="Times New Roman" w:hAnsi="Times New Roman"/>
          <w:sz w:val="24"/>
        </w:rPr>
        <w:t xml:space="preserve">revokes </w:t>
      </w:r>
      <w:r w:rsidR="00F17806">
        <w:rPr>
          <w:rFonts w:ascii="Times New Roman" w:hAnsi="Times New Roman"/>
          <w:i/>
          <w:sz w:val="24"/>
        </w:rPr>
        <w:t xml:space="preserve">Reporting Standard </w:t>
      </w:r>
      <w:r>
        <w:rPr>
          <w:rFonts w:ascii="Times New Roman" w:hAnsi="Times New Roman"/>
          <w:i/>
          <w:sz w:val="24"/>
        </w:rPr>
        <w:t xml:space="preserve">GRS 115.0 Outstanding Claims Liabilities- Insurance Risk Charge </w:t>
      </w:r>
      <w:r>
        <w:rPr>
          <w:rFonts w:ascii="Times New Roman" w:hAnsi="Times New Roman"/>
          <w:sz w:val="24"/>
        </w:rPr>
        <w:t xml:space="preserve">(GRS 115.0) </w:t>
      </w:r>
      <w:r w:rsidR="00F17806">
        <w:rPr>
          <w:rFonts w:ascii="Times New Roman" w:hAnsi="Times New Roman"/>
          <w:sz w:val="24"/>
        </w:rPr>
        <w:t xml:space="preserve">made under </w:t>
      </w:r>
      <w:r>
        <w:rPr>
          <w:rFonts w:ascii="Times New Roman" w:hAnsi="Times New Roman"/>
          <w:sz w:val="24"/>
        </w:rPr>
        <w:t xml:space="preserve">Financial Sector (Collection of Data) (reporting standard) determination No. 10 of 2013; and </w:t>
      </w:r>
    </w:p>
    <w:p w14:paraId="71239EE6" w14:textId="7E93CE18" w:rsidR="00331635" w:rsidRDefault="00331635" w:rsidP="00CC2775">
      <w:pPr>
        <w:pStyle w:val="ListParagraph"/>
        <w:ind w:left="1500"/>
        <w:rPr>
          <w:rFonts w:ascii="Times New Roman" w:hAnsi="Times New Roman"/>
          <w:sz w:val="24"/>
        </w:rPr>
      </w:pPr>
    </w:p>
    <w:p w14:paraId="0DA3706B" w14:textId="7AAE2517" w:rsidR="00331635" w:rsidRDefault="00331635" w:rsidP="00CC2775">
      <w:pPr>
        <w:pStyle w:val="ListParagraph"/>
        <w:numPr>
          <w:ilvl w:val="0"/>
          <w:numId w:val="21"/>
        </w:numPr>
        <w:rPr>
          <w:rFonts w:ascii="Times New Roman" w:hAnsi="Times New Roman"/>
          <w:sz w:val="24"/>
        </w:rPr>
      </w:pPr>
      <w:r>
        <w:rPr>
          <w:rFonts w:ascii="Times New Roman" w:hAnsi="Times New Roman"/>
          <w:sz w:val="24"/>
        </w:rPr>
        <w:t xml:space="preserve">determines a new </w:t>
      </w:r>
      <w:r w:rsidR="00F17806">
        <w:rPr>
          <w:rFonts w:ascii="Times New Roman" w:hAnsi="Times New Roman"/>
          <w:sz w:val="24"/>
        </w:rPr>
        <w:t xml:space="preserve">version of </w:t>
      </w:r>
      <w:r>
        <w:rPr>
          <w:rFonts w:ascii="Times New Roman" w:hAnsi="Times New Roman"/>
          <w:sz w:val="24"/>
        </w:rPr>
        <w:t xml:space="preserve">GRS </w:t>
      </w:r>
      <w:proofErr w:type="gramStart"/>
      <w:r>
        <w:rPr>
          <w:rFonts w:ascii="Times New Roman" w:hAnsi="Times New Roman"/>
          <w:sz w:val="24"/>
        </w:rPr>
        <w:t>115.0</w:t>
      </w:r>
      <w:r w:rsidR="0064189F">
        <w:rPr>
          <w:rFonts w:ascii="Times New Roman" w:hAnsi="Times New Roman"/>
          <w:sz w:val="24"/>
        </w:rPr>
        <w:t>;</w:t>
      </w:r>
      <w:proofErr w:type="gramEnd"/>
    </w:p>
    <w:p w14:paraId="731D1BA0" w14:textId="77777777" w:rsidR="00242BFC" w:rsidRPr="00242BFC" w:rsidRDefault="00242BFC" w:rsidP="00CC2775">
      <w:pPr>
        <w:pStyle w:val="ListParagraph"/>
        <w:rPr>
          <w:rFonts w:ascii="Times New Roman" w:hAnsi="Times New Roman"/>
          <w:sz w:val="24"/>
        </w:rPr>
      </w:pPr>
    </w:p>
    <w:p w14:paraId="3D4B5C70" w14:textId="4765C22C" w:rsidR="00E605FE"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331635">
        <w:rPr>
          <w:rFonts w:ascii="Times New Roman" w:hAnsi="Times New Roman"/>
          <w:sz w:val="24"/>
        </w:rPr>
        <w:t xml:space="preserve">Financial Sector (Collection of Data) (reporting standard) determination No. </w:t>
      </w:r>
      <w:r w:rsidR="00E605FE">
        <w:rPr>
          <w:rFonts w:ascii="Times New Roman" w:hAnsi="Times New Roman"/>
          <w:sz w:val="24"/>
        </w:rPr>
        <w:t>1</w:t>
      </w:r>
      <w:r w:rsidR="00A37609">
        <w:rPr>
          <w:rFonts w:ascii="Times New Roman" w:hAnsi="Times New Roman"/>
          <w:sz w:val="24"/>
        </w:rPr>
        <w:t>0</w:t>
      </w:r>
      <w:r w:rsidR="00E605FE">
        <w:rPr>
          <w:rFonts w:ascii="Times New Roman" w:hAnsi="Times New Roman"/>
          <w:sz w:val="24"/>
        </w:rPr>
        <w:t xml:space="preserve"> of 20</w:t>
      </w:r>
      <w:r w:rsidR="00A37609">
        <w:rPr>
          <w:rFonts w:ascii="Times New Roman" w:hAnsi="Times New Roman"/>
          <w:sz w:val="24"/>
        </w:rPr>
        <w:t>2</w:t>
      </w:r>
      <w:r w:rsidR="00E605FE">
        <w:rPr>
          <w:rFonts w:ascii="Times New Roman" w:hAnsi="Times New Roman"/>
          <w:sz w:val="24"/>
        </w:rPr>
        <w:t xml:space="preserve">3 which: </w:t>
      </w:r>
    </w:p>
    <w:p w14:paraId="42BD3A91" w14:textId="77777777" w:rsidR="00E605FE" w:rsidRDefault="00E605FE" w:rsidP="00CC2775">
      <w:pPr>
        <w:pStyle w:val="ListParagraph"/>
        <w:ind w:left="720"/>
        <w:rPr>
          <w:rFonts w:ascii="Times New Roman" w:hAnsi="Times New Roman"/>
          <w:sz w:val="24"/>
        </w:rPr>
      </w:pPr>
    </w:p>
    <w:p w14:paraId="6952F5CC" w14:textId="416A5A8C" w:rsidR="005F7002" w:rsidRDefault="00581D6A" w:rsidP="00CC2775">
      <w:pPr>
        <w:pStyle w:val="ListParagraph"/>
        <w:numPr>
          <w:ilvl w:val="0"/>
          <w:numId w:val="22"/>
        </w:numPr>
        <w:rPr>
          <w:rFonts w:ascii="Times New Roman" w:hAnsi="Times New Roman"/>
          <w:sz w:val="24"/>
        </w:rPr>
      </w:pPr>
      <w:r>
        <w:rPr>
          <w:rFonts w:ascii="Times New Roman" w:hAnsi="Times New Roman"/>
          <w:sz w:val="24"/>
        </w:rPr>
        <w:t>r</w:t>
      </w:r>
      <w:r w:rsidR="00E605FE">
        <w:rPr>
          <w:rFonts w:ascii="Times New Roman" w:hAnsi="Times New Roman"/>
          <w:sz w:val="24"/>
        </w:rPr>
        <w:t xml:space="preserve">evokes </w:t>
      </w:r>
      <w:r w:rsidR="00F17806">
        <w:rPr>
          <w:rFonts w:ascii="Times New Roman" w:hAnsi="Times New Roman"/>
          <w:i/>
          <w:sz w:val="24"/>
        </w:rPr>
        <w:t xml:space="preserve">Reporting Standard </w:t>
      </w:r>
      <w:r w:rsidR="00E605FE">
        <w:rPr>
          <w:rFonts w:ascii="Times New Roman" w:hAnsi="Times New Roman"/>
          <w:i/>
          <w:sz w:val="24"/>
        </w:rPr>
        <w:t xml:space="preserve">GRS 115.1 </w:t>
      </w:r>
      <w:r w:rsidR="00285529">
        <w:rPr>
          <w:rFonts w:ascii="Times New Roman" w:hAnsi="Times New Roman"/>
          <w:i/>
          <w:sz w:val="24"/>
        </w:rPr>
        <w:t xml:space="preserve">Premiums </w:t>
      </w:r>
      <w:r w:rsidR="00E605FE">
        <w:rPr>
          <w:rFonts w:ascii="Times New Roman" w:hAnsi="Times New Roman"/>
          <w:i/>
          <w:sz w:val="24"/>
        </w:rPr>
        <w:t>Liabilities</w:t>
      </w:r>
      <w:r w:rsidR="00285529">
        <w:rPr>
          <w:rFonts w:ascii="Times New Roman" w:hAnsi="Times New Roman"/>
          <w:i/>
          <w:sz w:val="24"/>
        </w:rPr>
        <w:t xml:space="preserve">- Insurance Risk Charge </w:t>
      </w:r>
      <w:r w:rsidR="00285529">
        <w:rPr>
          <w:rFonts w:ascii="Times New Roman" w:hAnsi="Times New Roman"/>
          <w:sz w:val="24"/>
        </w:rPr>
        <w:t xml:space="preserve">(GRS 115.1) </w:t>
      </w:r>
      <w:r w:rsidR="00F17806">
        <w:rPr>
          <w:rFonts w:ascii="Times New Roman" w:hAnsi="Times New Roman"/>
          <w:sz w:val="24"/>
        </w:rPr>
        <w:t xml:space="preserve">made under </w:t>
      </w:r>
      <w:r w:rsidR="00285529">
        <w:rPr>
          <w:rFonts w:ascii="Times New Roman" w:hAnsi="Times New Roman"/>
          <w:sz w:val="24"/>
        </w:rPr>
        <w:t xml:space="preserve">by Financial Sector (Collection of Data) (reporting standard) determination No. 11 of 2013; and </w:t>
      </w:r>
    </w:p>
    <w:p w14:paraId="5EC647B3" w14:textId="4671C2AD" w:rsidR="00285529" w:rsidRDefault="00285529" w:rsidP="00CC2775">
      <w:pPr>
        <w:pStyle w:val="ListParagraph"/>
        <w:ind w:left="1500"/>
        <w:rPr>
          <w:rFonts w:ascii="Times New Roman" w:hAnsi="Times New Roman"/>
          <w:sz w:val="24"/>
        </w:rPr>
      </w:pPr>
    </w:p>
    <w:p w14:paraId="0A76761E" w14:textId="05D1D7B9" w:rsidR="00285529" w:rsidRDefault="00285529" w:rsidP="00CC2775">
      <w:pPr>
        <w:pStyle w:val="ListParagraph"/>
        <w:numPr>
          <w:ilvl w:val="0"/>
          <w:numId w:val="22"/>
        </w:numPr>
        <w:rPr>
          <w:rFonts w:ascii="Times New Roman" w:hAnsi="Times New Roman"/>
          <w:sz w:val="24"/>
        </w:rPr>
      </w:pPr>
      <w:r>
        <w:rPr>
          <w:rFonts w:ascii="Times New Roman" w:hAnsi="Times New Roman"/>
          <w:sz w:val="24"/>
        </w:rPr>
        <w:t xml:space="preserve"> </w:t>
      </w:r>
      <w:r w:rsidR="00581D6A">
        <w:rPr>
          <w:rFonts w:ascii="Times New Roman" w:hAnsi="Times New Roman"/>
          <w:sz w:val="24"/>
        </w:rPr>
        <w:t>d</w:t>
      </w:r>
      <w:r>
        <w:rPr>
          <w:rFonts w:ascii="Times New Roman" w:hAnsi="Times New Roman"/>
          <w:sz w:val="24"/>
        </w:rPr>
        <w:t xml:space="preserve">etermines a new </w:t>
      </w:r>
      <w:r w:rsidR="00F17806">
        <w:rPr>
          <w:rFonts w:ascii="Times New Roman" w:hAnsi="Times New Roman"/>
          <w:sz w:val="24"/>
        </w:rPr>
        <w:t xml:space="preserve">version of </w:t>
      </w:r>
      <w:r>
        <w:rPr>
          <w:rFonts w:ascii="Times New Roman" w:hAnsi="Times New Roman"/>
          <w:sz w:val="24"/>
        </w:rPr>
        <w:t>GRS 115.1</w:t>
      </w:r>
      <w:proofErr w:type="gramStart"/>
      <w:r>
        <w:rPr>
          <w:rFonts w:ascii="Times New Roman" w:hAnsi="Times New Roman"/>
          <w:sz w:val="24"/>
        </w:rPr>
        <w:t>)</w:t>
      </w:r>
      <w:r w:rsidR="0064189F">
        <w:rPr>
          <w:rFonts w:ascii="Times New Roman" w:hAnsi="Times New Roman"/>
          <w:sz w:val="24"/>
        </w:rPr>
        <w:t>;</w:t>
      </w:r>
      <w:proofErr w:type="gramEnd"/>
    </w:p>
    <w:p w14:paraId="3387F130" w14:textId="77777777" w:rsidR="00F71696" w:rsidRPr="00165E45" w:rsidRDefault="00F71696" w:rsidP="00CC2775">
      <w:pPr>
        <w:pStyle w:val="ListParagraph"/>
        <w:rPr>
          <w:rFonts w:ascii="Times New Roman" w:hAnsi="Times New Roman"/>
          <w:sz w:val="24"/>
        </w:rPr>
      </w:pPr>
    </w:p>
    <w:p w14:paraId="08949055" w14:textId="25D6E29C" w:rsidR="00285529" w:rsidRDefault="00285529" w:rsidP="00CC2775">
      <w:pPr>
        <w:pStyle w:val="ListParagraph"/>
        <w:numPr>
          <w:ilvl w:val="0"/>
          <w:numId w:val="15"/>
        </w:numPr>
        <w:rPr>
          <w:rFonts w:ascii="Times New Roman" w:hAnsi="Times New Roman"/>
          <w:sz w:val="24"/>
        </w:rPr>
      </w:pPr>
      <w:r w:rsidRPr="00541497">
        <w:rPr>
          <w:rFonts w:ascii="Times New Roman" w:hAnsi="Times New Roman"/>
          <w:i/>
          <w:sz w:val="24"/>
        </w:rPr>
        <w:t xml:space="preserve"> </w:t>
      </w:r>
      <w:r w:rsidR="00E517AF">
        <w:rPr>
          <w:rFonts w:ascii="Times New Roman" w:hAnsi="Times New Roman"/>
          <w:sz w:val="24"/>
        </w:rPr>
        <w:t>T</w:t>
      </w:r>
      <w:r w:rsidR="00201150">
        <w:rPr>
          <w:rFonts w:ascii="Times New Roman" w:hAnsi="Times New Roman"/>
          <w:sz w:val="24"/>
        </w:rPr>
        <w:t xml:space="preserve">he </w:t>
      </w:r>
      <w:r w:rsidR="00581D6A" w:rsidRPr="00541497">
        <w:rPr>
          <w:rFonts w:ascii="Times New Roman" w:hAnsi="Times New Roman"/>
          <w:sz w:val="24"/>
        </w:rPr>
        <w:t xml:space="preserve">Financial Sector </w:t>
      </w:r>
      <w:r w:rsidR="00541497" w:rsidRPr="00541497">
        <w:rPr>
          <w:rFonts w:ascii="Times New Roman" w:hAnsi="Times New Roman"/>
          <w:sz w:val="24"/>
        </w:rPr>
        <w:t>(Collection of Data) (reporting standard) determination No.</w:t>
      </w:r>
      <w:r w:rsidR="00541497">
        <w:rPr>
          <w:rFonts w:ascii="Times New Roman" w:hAnsi="Times New Roman"/>
          <w:sz w:val="24"/>
        </w:rPr>
        <w:t xml:space="preserve"> </w:t>
      </w:r>
      <w:r w:rsidR="00541497" w:rsidRPr="00541497">
        <w:rPr>
          <w:rFonts w:ascii="Times New Roman" w:hAnsi="Times New Roman"/>
          <w:sz w:val="24"/>
        </w:rPr>
        <w:t>1</w:t>
      </w:r>
      <w:r w:rsidR="00A37609">
        <w:rPr>
          <w:rFonts w:ascii="Times New Roman" w:hAnsi="Times New Roman"/>
          <w:sz w:val="24"/>
        </w:rPr>
        <w:t>1</w:t>
      </w:r>
      <w:r w:rsidR="00541497" w:rsidRPr="00541497">
        <w:rPr>
          <w:rFonts w:ascii="Times New Roman" w:hAnsi="Times New Roman"/>
          <w:sz w:val="24"/>
        </w:rPr>
        <w:t xml:space="preserve"> of 20</w:t>
      </w:r>
      <w:r w:rsidR="00A37609">
        <w:rPr>
          <w:rFonts w:ascii="Times New Roman" w:hAnsi="Times New Roman"/>
          <w:sz w:val="24"/>
        </w:rPr>
        <w:t>2</w:t>
      </w:r>
      <w:r w:rsidR="00541497" w:rsidRPr="00541497">
        <w:rPr>
          <w:rFonts w:ascii="Times New Roman" w:hAnsi="Times New Roman"/>
          <w:sz w:val="24"/>
        </w:rPr>
        <w:t>3 which:</w:t>
      </w:r>
      <w:r w:rsidR="00541497">
        <w:rPr>
          <w:rFonts w:ascii="Times New Roman" w:hAnsi="Times New Roman"/>
          <w:sz w:val="24"/>
        </w:rPr>
        <w:t xml:space="preserve"> </w:t>
      </w:r>
    </w:p>
    <w:p w14:paraId="5DED2CD0" w14:textId="6EDD0751" w:rsidR="00541497" w:rsidRDefault="00541497" w:rsidP="00CC2775">
      <w:pPr>
        <w:pStyle w:val="ListParagraph"/>
        <w:ind w:left="720"/>
        <w:rPr>
          <w:rFonts w:ascii="Times New Roman" w:hAnsi="Times New Roman"/>
          <w:sz w:val="24"/>
        </w:rPr>
      </w:pPr>
    </w:p>
    <w:p w14:paraId="306EB3E0" w14:textId="67CD034E" w:rsidR="00541497" w:rsidRDefault="004028EC" w:rsidP="00CC2775">
      <w:pPr>
        <w:pStyle w:val="ListParagraph"/>
        <w:numPr>
          <w:ilvl w:val="0"/>
          <w:numId w:val="23"/>
        </w:numPr>
        <w:rPr>
          <w:rFonts w:ascii="Times New Roman" w:hAnsi="Times New Roman"/>
          <w:sz w:val="24"/>
        </w:rPr>
      </w:pPr>
      <w:r>
        <w:rPr>
          <w:rFonts w:ascii="Times New Roman" w:hAnsi="Times New Roman"/>
          <w:sz w:val="24"/>
        </w:rPr>
        <w:t xml:space="preserve"> r</w:t>
      </w:r>
      <w:r w:rsidR="00541497">
        <w:rPr>
          <w:rFonts w:ascii="Times New Roman" w:hAnsi="Times New Roman"/>
          <w:sz w:val="24"/>
        </w:rPr>
        <w:t xml:space="preserve">evokes </w:t>
      </w:r>
      <w:r w:rsidR="00F17806">
        <w:rPr>
          <w:rFonts w:ascii="Times New Roman" w:hAnsi="Times New Roman"/>
          <w:i/>
          <w:sz w:val="24"/>
        </w:rPr>
        <w:t xml:space="preserve">Reporting Standard </w:t>
      </w:r>
      <w:r w:rsidR="00541497">
        <w:rPr>
          <w:rFonts w:ascii="Times New Roman" w:hAnsi="Times New Roman"/>
          <w:i/>
          <w:sz w:val="24"/>
        </w:rPr>
        <w:t>GRS 116.0</w:t>
      </w:r>
      <w:r w:rsidR="008222B2">
        <w:rPr>
          <w:rFonts w:ascii="Times New Roman" w:hAnsi="Times New Roman"/>
          <w:i/>
          <w:sz w:val="24"/>
        </w:rPr>
        <w:t xml:space="preserve"> Insurance Concentration Risk Charge </w:t>
      </w:r>
      <w:r w:rsidR="008222B2">
        <w:rPr>
          <w:rFonts w:ascii="Times New Roman" w:hAnsi="Times New Roman"/>
          <w:sz w:val="24"/>
        </w:rPr>
        <w:t>(GRS 116.0)</w:t>
      </w:r>
      <w:r w:rsidR="00A03910">
        <w:rPr>
          <w:rFonts w:ascii="Times New Roman" w:hAnsi="Times New Roman"/>
          <w:sz w:val="24"/>
        </w:rPr>
        <w:t xml:space="preserve"> </w:t>
      </w:r>
      <w:r w:rsidR="00F17806">
        <w:rPr>
          <w:rFonts w:ascii="Times New Roman" w:hAnsi="Times New Roman"/>
          <w:sz w:val="24"/>
        </w:rPr>
        <w:t>made under</w:t>
      </w:r>
      <w:r w:rsidR="00A03910">
        <w:rPr>
          <w:rFonts w:ascii="Times New Roman" w:hAnsi="Times New Roman"/>
          <w:sz w:val="24"/>
        </w:rPr>
        <w:t xml:space="preserve"> Financial Sector (Collection of Data) (reporting standard) determination No. 12 of 2013; and</w:t>
      </w:r>
    </w:p>
    <w:p w14:paraId="0C152AA7" w14:textId="38B979A7" w:rsidR="00A03910" w:rsidRDefault="00A03910" w:rsidP="00CC2775">
      <w:pPr>
        <w:pStyle w:val="ListParagraph"/>
        <w:ind w:left="1440"/>
        <w:rPr>
          <w:rFonts w:ascii="Times New Roman" w:hAnsi="Times New Roman"/>
          <w:sz w:val="24"/>
        </w:rPr>
      </w:pPr>
    </w:p>
    <w:p w14:paraId="5C02CC5F" w14:textId="6FEEA961" w:rsidR="00896D3B" w:rsidRDefault="00073180" w:rsidP="00CC2775">
      <w:pPr>
        <w:pStyle w:val="ListParagraph"/>
        <w:numPr>
          <w:ilvl w:val="0"/>
          <w:numId w:val="23"/>
        </w:numPr>
        <w:rPr>
          <w:rFonts w:ascii="Times New Roman" w:hAnsi="Times New Roman"/>
          <w:sz w:val="24"/>
        </w:rPr>
      </w:pPr>
      <w:r>
        <w:rPr>
          <w:rFonts w:ascii="Times New Roman" w:hAnsi="Times New Roman"/>
          <w:sz w:val="24"/>
        </w:rPr>
        <w:t xml:space="preserve"> </w:t>
      </w:r>
      <w:r w:rsidR="004028EC">
        <w:rPr>
          <w:rFonts w:ascii="Times New Roman" w:hAnsi="Times New Roman"/>
          <w:sz w:val="24"/>
        </w:rPr>
        <w:t>d</w:t>
      </w:r>
      <w:r w:rsidR="00A03910">
        <w:rPr>
          <w:rFonts w:ascii="Times New Roman" w:hAnsi="Times New Roman"/>
          <w:sz w:val="24"/>
        </w:rPr>
        <w:t xml:space="preserve">etermines a new </w:t>
      </w:r>
      <w:r w:rsidR="00F17806">
        <w:rPr>
          <w:rFonts w:ascii="Times New Roman" w:hAnsi="Times New Roman"/>
          <w:sz w:val="24"/>
        </w:rPr>
        <w:t xml:space="preserve">version of </w:t>
      </w:r>
      <w:r w:rsidR="0081619C">
        <w:rPr>
          <w:rFonts w:ascii="Times New Roman" w:hAnsi="Times New Roman"/>
          <w:sz w:val="24"/>
        </w:rPr>
        <w:t xml:space="preserve">GRS </w:t>
      </w:r>
      <w:proofErr w:type="gramStart"/>
      <w:r w:rsidR="0081619C">
        <w:rPr>
          <w:rFonts w:ascii="Times New Roman" w:hAnsi="Times New Roman"/>
          <w:sz w:val="24"/>
        </w:rPr>
        <w:t>116.0</w:t>
      </w:r>
      <w:r w:rsidR="00467C25">
        <w:rPr>
          <w:rFonts w:ascii="Times New Roman" w:hAnsi="Times New Roman"/>
          <w:sz w:val="24"/>
        </w:rPr>
        <w:t>;</w:t>
      </w:r>
      <w:proofErr w:type="gramEnd"/>
      <w:r w:rsidR="0081619C">
        <w:rPr>
          <w:rFonts w:ascii="Times New Roman" w:hAnsi="Times New Roman"/>
          <w:sz w:val="24"/>
        </w:rPr>
        <w:t xml:space="preserve"> </w:t>
      </w:r>
    </w:p>
    <w:p w14:paraId="139C7695" w14:textId="77777777" w:rsidR="00564FBC" w:rsidRPr="00564FBC" w:rsidRDefault="00564FBC" w:rsidP="00CC2775">
      <w:pPr>
        <w:pStyle w:val="ListParagraph"/>
        <w:rPr>
          <w:rFonts w:ascii="Times New Roman" w:hAnsi="Times New Roman"/>
          <w:sz w:val="24"/>
        </w:rPr>
      </w:pPr>
    </w:p>
    <w:p w14:paraId="0EB788B8" w14:textId="3FC03F3B" w:rsidR="00896D3B"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896D3B">
        <w:rPr>
          <w:rFonts w:ascii="Times New Roman" w:hAnsi="Times New Roman"/>
          <w:sz w:val="24"/>
        </w:rPr>
        <w:t>Financial Sector (Collection of Data) (reporting standard) determination No. 1</w:t>
      </w:r>
      <w:r w:rsidR="00A37609">
        <w:rPr>
          <w:rFonts w:ascii="Times New Roman" w:hAnsi="Times New Roman"/>
          <w:sz w:val="24"/>
        </w:rPr>
        <w:t>2</w:t>
      </w:r>
      <w:r w:rsidR="00896D3B">
        <w:rPr>
          <w:rFonts w:ascii="Times New Roman" w:hAnsi="Times New Roman"/>
          <w:sz w:val="24"/>
        </w:rPr>
        <w:t xml:space="preserve"> of 20</w:t>
      </w:r>
      <w:r w:rsidR="00A37609">
        <w:rPr>
          <w:rFonts w:ascii="Times New Roman" w:hAnsi="Times New Roman"/>
          <w:sz w:val="24"/>
        </w:rPr>
        <w:t>2</w:t>
      </w:r>
      <w:r w:rsidR="00896D3B">
        <w:rPr>
          <w:rFonts w:ascii="Times New Roman" w:hAnsi="Times New Roman"/>
          <w:sz w:val="24"/>
        </w:rPr>
        <w:t>3 which:</w:t>
      </w:r>
    </w:p>
    <w:p w14:paraId="254A76FC" w14:textId="34C358D8" w:rsidR="00896D3B" w:rsidRDefault="00896D3B" w:rsidP="00CC2775">
      <w:pPr>
        <w:pStyle w:val="ListParagraph"/>
        <w:ind w:left="720"/>
        <w:rPr>
          <w:rFonts w:ascii="Times New Roman" w:hAnsi="Times New Roman"/>
          <w:sz w:val="24"/>
        </w:rPr>
      </w:pPr>
    </w:p>
    <w:p w14:paraId="45343242" w14:textId="1268E0E2" w:rsidR="00896D3B" w:rsidRDefault="004028EC" w:rsidP="00CC2775">
      <w:pPr>
        <w:pStyle w:val="ListParagraph"/>
        <w:numPr>
          <w:ilvl w:val="0"/>
          <w:numId w:val="24"/>
        </w:numPr>
        <w:rPr>
          <w:rFonts w:ascii="Times New Roman" w:hAnsi="Times New Roman"/>
          <w:sz w:val="24"/>
        </w:rPr>
      </w:pPr>
      <w:r>
        <w:rPr>
          <w:rFonts w:ascii="Times New Roman" w:hAnsi="Times New Roman"/>
          <w:sz w:val="24"/>
        </w:rPr>
        <w:t xml:space="preserve"> r</w:t>
      </w:r>
      <w:r w:rsidR="00896D3B">
        <w:rPr>
          <w:rFonts w:ascii="Times New Roman" w:hAnsi="Times New Roman"/>
          <w:sz w:val="24"/>
        </w:rPr>
        <w:t xml:space="preserve">evokes </w:t>
      </w:r>
      <w:r w:rsidR="00F17806">
        <w:rPr>
          <w:rFonts w:ascii="Times New Roman" w:hAnsi="Times New Roman"/>
          <w:i/>
          <w:sz w:val="24"/>
        </w:rPr>
        <w:t xml:space="preserve">Reporting Standard </w:t>
      </w:r>
      <w:r w:rsidR="00896D3B">
        <w:rPr>
          <w:rFonts w:ascii="Times New Roman" w:hAnsi="Times New Roman"/>
          <w:i/>
          <w:sz w:val="24"/>
        </w:rPr>
        <w:t xml:space="preserve">GRS 118.0 </w:t>
      </w:r>
      <w:r w:rsidR="00850161">
        <w:rPr>
          <w:rFonts w:ascii="Times New Roman" w:hAnsi="Times New Roman"/>
          <w:i/>
          <w:sz w:val="24"/>
        </w:rPr>
        <w:t xml:space="preserve">Operational Risk Charge </w:t>
      </w:r>
      <w:r w:rsidR="00850161">
        <w:rPr>
          <w:rFonts w:ascii="Times New Roman" w:hAnsi="Times New Roman"/>
          <w:sz w:val="24"/>
        </w:rPr>
        <w:t xml:space="preserve">(GRS 118.0) </w:t>
      </w:r>
      <w:r w:rsidR="00F17806">
        <w:rPr>
          <w:rFonts w:ascii="Times New Roman" w:hAnsi="Times New Roman"/>
          <w:sz w:val="24"/>
        </w:rPr>
        <w:t xml:space="preserve">made under </w:t>
      </w:r>
      <w:r w:rsidR="00850161">
        <w:rPr>
          <w:rFonts w:ascii="Times New Roman" w:hAnsi="Times New Roman"/>
          <w:sz w:val="24"/>
        </w:rPr>
        <w:t>Financial Sector (Collection of Data) (reporting standard) determination No. 15 of 2013; and</w:t>
      </w:r>
    </w:p>
    <w:p w14:paraId="378B90DC" w14:textId="1408B1A3" w:rsidR="00850161" w:rsidRDefault="00850161" w:rsidP="00CC2775">
      <w:pPr>
        <w:pStyle w:val="ListParagraph"/>
        <w:ind w:left="1440"/>
        <w:rPr>
          <w:rFonts w:ascii="Times New Roman" w:hAnsi="Times New Roman"/>
          <w:sz w:val="24"/>
        </w:rPr>
      </w:pPr>
    </w:p>
    <w:p w14:paraId="2FCB1465" w14:textId="5FDF504C" w:rsidR="004028EC" w:rsidRDefault="00850161" w:rsidP="00CC2775">
      <w:pPr>
        <w:pStyle w:val="ListParagraph"/>
        <w:numPr>
          <w:ilvl w:val="0"/>
          <w:numId w:val="24"/>
        </w:numPr>
        <w:rPr>
          <w:rFonts w:ascii="Times New Roman" w:hAnsi="Times New Roman"/>
          <w:sz w:val="24"/>
        </w:rPr>
      </w:pPr>
      <w:r>
        <w:rPr>
          <w:rFonts w:ascii="Times New Roman" w:hAnsi="Times New Roman"/>
          <w:sz w:val="24"/>
        </w:rPr>
        <w:t xml:space="preserve"> </w:t>
      </w:r>
      <w:r w:rsidR="004028EC">
        <w:rPr>
          <w:rFonts w:ascii="Times New Roman" w:hAnsi="Times New Roman"/>
          <w:sz w:val="24"/>
        </w:rPr>
        <w:t>d</w:t>
      </w:r>
      <w:r>
        <w:rPr>
          <w:rFonts w:ascii="Times New Roman" w:hAnsi="Times New Roman"/>
          <w:sz w:val="24"/>
        </w:rPr>
        <w:t xml:space="preserve">etermines </w:t>
      </w:r>
      <w:r w:rsidR="00663255">
        <w:rPr>
          <w:rFonts w:ascii="Times New Roman" w:hAnsi="Times New Roman"/>
          <w:sz w:val="24"/>
        </w:rPr>
        <w:t xml:space="preserve">a new </w:t>
      </w:r>
      <w:r w:rsidR="00F17806">
        <w:rPr>
          <w:rFonts w:ascii="Times New Roman" w:hAnsi="Times New Roman"/>
          <w:sz w:val="24"/>
        </w:rPr>
        <w:t xml:space="preserve">version of </w:t>
      </w:r>
      <w:r w:rsidR="004028EC">
        <w:rPr>
          <w:rFonts w:ascii="Times New Roman" w:hAnsi="Times New Roman"/>
          <w:sz w:val="24"/>
        </w:rPr>
        <w:t xml:space="preserve">GRS </w:t>
      </w:r>
      <w:proofErr w:type="gramStart"/>
      <w:r w:rsidR="004028EC">
        <w:rPr>
          <w:rFonts w:ascii="Times New Roman" w:hAnsi="Times New Roman"/>
          <w:sz w:val="24"/>
        </w:rPr>
        <w:t>118.0</w:t>
      </w:r>
      <w:r w:rsidR="00467C25">
        <w:rPr>
          <w:rFonts w:ascii="Times New Roman" w:hAnsi="Times New Roman"/>
          <w:sz w:val="24"/>
        </w:rPr>
        <w:t>;</w:t>
      </w:r>
      <w:proofErr w:type="gramEnd"/>
    </w:p>
    <w:p w14:paraId="4E314121" w14:textId="77777777" w:rsidR="00F71696" w:rsidRPr="00165E45" w:rsidRDefault="00F71696" w:rsidP="00CC2775">
      <w:pPr>
        <w:pStyle w:val="ListParagraph"/>
        <w:rPr>
          <w:rFonts w:ascii="Times New Roman" w:hAnsi="Times New Roman"/>
          <w:sz w:val="24"/>
        </w:rPr>
      </w:pPr>
    </w:p>
    <w:p w14:paraId="2FBE35DA" w14:textId="4D469BFD" w:rsidR="004028EC"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4028EC">
        <w:rPr>
          <w:rFonts w:ascii="Times New Roman" w:hAnsi="Times New Roman"/>
          <w:sz w:val="24"/>
        </w:rPr>
        <w:t>Financial Sector (Collection of Data) (reporting standard) determination No. 1</w:t>
      </w:r>
      <w:r w:rsidR="00A37609">
        <w:rPr>
          <w:rFonts w:ascii="Times New Roman" w:hAnsi="Times New Roman"/>
          <w:sz w:val="24"/>
        </w:rPr>
        <w:t>3</w:t>
      </w:r>
      <w:r w:rsidR="004028EC">
        <w:rPr>
          <w:rFonts w:ascii="Times New Roman" w:hAnsi="Times New Roman"/>
          <w:sz w:val="24"/>
        </w:rPr>
        <w:t xml:space="preserve"> of 20</w:t>
      </w:r>
      <w:r w:rsidR="00A37609">
        <w:rPr>
          <w:rFonts w:ascii="Times New Roman" w:hAnsi="Times New Roman"/>
          <w:sz w:val="24"/>
        </w:rPr>
        <w:t>2</w:t>
      </w:r>
      <w:r w:rsidR="004028EC">
        <w:rPr>
          <w:rFonts w:ascii="Times New Roman" w:hAnsi="Times New Roman"/>
          <w:sz w:val="24"/>
        </w:rPr>
        <w:t>3 which:</w:t>
      </w:r>
    </w:p>
    <w:p w14:paraId="5AEFE4E2" w14:textId="402C8785" w:rsidR="004028EC" w:rsidRDefault="004028EC" w:rsidP="00CC2775">
      <w:pPr>
        <w:pStyle w:val="ListParagraph"/>
        <w:ind w:left="720"/>
        <w:rPr>
          <w:rFonts w:ascii="Times New Roman" w:hAnsi="Times New Roman"/>
          <w:sz w:val="24"/>
        </w:rPr>
      </w:pPr>
    </w:p>
    <w:p w14:paraId="0757D5DB" w14:textId="58ACB37F" w:rsidR="004028EC" w:rsidRDefault="004028EC" w:rsidP="00CC2775">
      <w:pPr>
        <w:pStyle w:val="ListParagraph"/>
        <w:numPr>
          <w:ilvl w:val="0"/>
          <w:numId w:val="25"/>
        </w:numPr>
        <w:rPr>
          <w:rFonts w:ascii="Times New Roman" w:hAnsi="Times New Roman"/>
          <w:sz w:val="24"/>
        </w:rPr>
      </w:pPr>
      <w:r>
        <w:rPr>
          <w:rFonts w:ascii="Times New Roman" w:hAnsi="Times New Roman"/>
          <w:sz w:val="24"/>
        </w:rPr>
        <w:t xml:space="preserve"> revokes </w:t>
      </w:r>
      <w:r w:rsidR="00F17806">
        <w:rPr>
          <w:rFonts w:ascii="Times New Roman" w:hAnsi="Times New Roman"/>
          <w:i/>
          <w:sz w:val="24"/>
        </w:rPr>
        <w:t xml:space="preserve">Reporting Standard </w:t>
      </w:r>
      <w:r>
        <w:rPr>
          <w:rFonts w:ascii="Times New Roman" w:hAnsi="Times New Roman"/>
          <w:i/>
          <w:sz w:val="24"/>
        </w:rPr>
        <w:t xml:space="preserve">GRS 300.0 </w:t>
      </w:r>
      <w:r w:rsidR="003E4368">
        <w:rPr>
          <w:rFonts w:ascii="Times New Roman" w:hAnsi="Times New Roman"/>
          <w:i/>
          <w:sz w:val="24"/>
        </w:rPr>
        <w:t xml:space="preserve">Statement of Financial Position </w:t>
      </w:r>
      <w:r w:rsidR="003E4368">
        <w:rPr>
          <w:rFonts w:ascii="Times New Roman" w:hAnsi="Times New Roman"/>
          <w:sz w:val="24"/>
        </w:rPr>
        <w:t xml:space="preserve">(GRS 300.0) </w:t>
      </w:r>
      <w:r w:rsidR="00F17806">
        <w:rPr>
          <w:rFonts w:ascii="Times New Roman" w:hAnsi="Times New Roman"/>
          <w:sz w:val="24"/>
        </w:rPr>
        <w:t>made under</w:t>
      </w:r>
      <w:r w:rsidR="003E4368">
        <w:rPr>
          <w:rFonts w:ascii="Times New Roman" w:hAnsi="Times New Roman"/>
          <w:sz w:val="24"/>
        </w:rPr>
        <w:t xml:space="preserve"> Financial Sector (Collection of Data) (reporting standard) determination No. 16 of 2013; and</w:t>
      </w:r>
    </w:p>
    <w:p w14:paraId="0DF9053B" w14:textId="2B0EFBC3" w:rsidR="003E4368" w:rsidRDefault="003E4368" w:rsidP="00CC2775">
      <w:pPr>
        <w:pStyle w:val="ListParagraph"/>
        <w:ind w:left="1440"/>
        <w:rPr>
          <w:rFonts w:ascii="Times New Roman" w:hAnsi="Times New Roman"/>
          <w:sz w:val="24"/>
        </w:rPr>
      </w:pPr>
    </w:p>
    <w:p w14:paraId="54C3E02C" w14:textId="15184F40" w:rsidR="00F94F2F" w:rsidRDefault="003E4368" w:rsidP="00CC2775">
      <w:pPr>
        <w:pStyle w:val="ListParagraph"/>
        <w:numPr>
          <w:ilvl w:val="0"/>
          <w:numId w:val="25"/>
        </w:numPr>
        <w:rPr>
          <w:rFonts w:ascii="Times New Roman" w:hAnsi="Times New Roman"/>
          <w:sz w:val="24"/>
        </w:rPr>
      </w:pPr>
      <w:r>
        <w:rPr>
          <w:rFonts w:ascii="Times New Roman" w:hAnsi="Times New Roman"/>
          <w:sz w:val="24"/>
        </w:rPr>
        <w:t xml:space="preserve"> determines a new</w:t>
      </w:r>
      <w:r w:rsidR="00553400">
        <w:rPr>
          <w:rFonts w:ascii="Times New Roman" w:hAnsi="Times New Roman"/>
          <w:sz w:val="24"/>
        </w:rPr>
        <w:t xml:space="preserve"> </w:t>
      </w:r>
      <w:r w:rsidR="00F17806">
        <w:rPr>
          <w:rFonts w:ascii="Times New Roman" w:hAnsi="Times New Roman"/>
          <w:sz w:val="24"/>
        </w:rPr>
        <w:t xml:space="preserve">version of </w:t>
      </w:r>
      <w:r w:rsidR="00553400">
        <w:rPr>
          <w:rFonts w:ascii="Times New Roman" w:hAnsi="Times New Roman"/>
          <w:sz w:val="24"/>
        </w:rPr>
        <w:t xml:space="preserve">GRS </w:t>
      </w:r>
      <w:proofErr w:type="gramStart"/>
      <w:r w:rsidR="00553400">
        <w:rPr>
          <w:rFonts w:ascii="Times New Roman" w:hAnsi="Times New Roman"/>
          <w:sz w:val="24"/>
        </w:rPr>
        <w:t>300.0</w:t>
      </w:r>
      <w:r w:rsidR="00467C25">
        <w:rPr>
          <w:rFonts w:ascii="Times New Roman" w:hAnsi="Times New Roman"/>
          <w:sz w:val="24"/>
        </w:rPr>
        <w:t>;</w:t>
      </w:r>
      <w:proofErr w:type="gramEnd"/>
    </w:p>
    <w:p w14:paraId="00B50A9F" w14:textId="77777777" w:rsidR="00165E45" w:rsidRPr="00165E45" w:rsidRDefault="00165E45" w:rsidP="00CC2775">
      <w:pPr>
        <w:pStyle w:val="ListParagraph"/>
        <w:rPr>
          <w:rFonts w:ascii="Times New Roman" w:hAnsi="Times New Roman"/>
          <w:sz w:val="24"/>
        </w:rPr>
      </w:pPr>
    </w:p>
    <w:p w14:paraId="4A6CDD23" w14:textId="28DB25C8" w:rsidR="009A6895"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7A7300">
        <w:rPr>
          <w:rFonts w:ascii="Times New Roman" w:hAnsi="Times New Roman"/>
          <w:sz w:val="24"/>
        </w:rPr>
        <w:t xml:space="preserve">Financial Sector </w:t>
      </w:r>
      <w:r w:rsidR="009A6895">
        <w:rPr>
          <w:rFonts w:ascii="Times New Roman" w:hAnsi="Times New Roman"/>
          <w:sz w:val="24"/>
        </w:rPr>
        <w:t>(Collection of Data) (reporting standard) determination No. 1</w:t>
      </w:r>
      <w:r w:rsidR="00A37609">
        <w:rPr>
          <w:rFonts w:ascii="Times New Roman" w:hAnsi="Times New Roman"/>
          <w:sz w:val="24"/>
        </w:rPr>
        <w:t>4</w:t>
      </w:r>
      <w:r w:rsidR="009A6895">
        <w:rPr>
          <w:rFonts w:ascii="Times New Roman" w:hAnsi="Times New Roman"/>
          <w:sz w:val="24"/>
        </w:rPr>
        <w:t xml:space="preserve"> of 20</w:t>
      </w:r>
      <w:r w:rsidR="00A37609">
        <w:rPr>
          <w:rFonts w:ascii="Times New Roman" w:hAnsi="Times New Roman"/>
          <w:sz w:val="24"/>
        </w:rPr>
        <w:t>2</w:t>
      </w:r>
      <w:r w:rsidR="009A6895">
        <w:rPr>
          <w:rFonts w:ascii="Times New Roman" w:hAnsi="Times New Roman"/>
          <w:sz w:val="24"/>
        </w:rPr>
        <w:t>3 which:</w:t>
      </w:r>
    </w:p>
    <w:p w14:paraId="5490979B" w14:textId="77777777" w:rsidR="009A6895" w:rsidRDefault="009A6895" w:rsidP="00CC2775">
      <w:pPr>
        <w:pStyle w:val="ListParagraph"/>
        <w:ind w:left="720"/>
        <w:rPr>
          <w:rFonts w:ascii="Times New Roman" w:hAnsi="Times New Roman"/>
          <w:sz w:val="24"/>
        </w:rPr>
      </w:pPr>
    </w:p>
    <w:p w14:paraId="676BBBC2" w14:textId="0527F67C" w:rsidR="003E4368" w:rsidRDefault="00CB1400" w:rsidP="00CC2775">
      <w:pPr>
        <w:pStyle w:val="ListParagraph"/>
        <w:numPr>
          <w:ilvl w:val="0"/>
          <w:numId w:val="26"/>
        </w:numPr>
        <w:rPr>
          <w:rFonts w:ascii="Times New Roman" w:hAnsi="Times New Roman"/>
          <w:sz w:val="24"/>
        </w:rPr>
      </w:pPr>
      <w:r>
        <w:rPr>
          <w:rFonts w:ascii="Times New Roman" w:hAnsi="Times New Roman"/>
          <w:sz w:val="24"/>
        </w:rPr>
        <w:t xml:space="preserve"> </w:t>
      </w:r>
      <w:r w:rsidR="009A6895">
        <w:rPr>
          <w:rFonts w:ascii="Times New Roman" w:hAnsi="Times New Roman"/>
          <w:sz w:val="24"/>
        </w:rPr>
        <w:t xml:space="preserve">revokes </w:t>
      </w:r>
      <w:r w:rsidR="00F17806">
        <w:rPr>
          <w:rFonts w:ascii="Times New Roman" w:hAnsi="Times New Roman"/>
          <w:i/>
          <w:sz w:val="24"/>
        </w:rPr>
        <w:t xml:space="preserve">Reporting Standard </w:t>
      </w:r>
      <w:r w:rsidR="00FD4A11">
        <w:rPr>
          <w:rFonts w:ascii="Times New Roman" w:hAnsi="Times New Roman"/>
          <w:i/>
          <w:sz w:val="24"/>
        </w:rPr>
        <w:t xml:space="preserve">GRS </w:t>
      </w:r>
      <w:r w:rsidR="000926B7">
        <w:rPr>
          <w:rFonts w:ascii="Times New Roman" w:hAnsi="Times New Roman"/>
          <w:i/>
          <w:sz w:val="24"/>
        </w:rPr>
        <w:t>310</w:t>
      </w:r>
      <w:r w:rsidR="00631584">
        <w:rPr>
          <w:rFonts w:ascii="Times New Roman" w:hAnsi="Times New Roman"/>
          <w:i/>
          <w:sz w:val="24"/>
        </w:rPr>
        <w:t xml:space="preserve">.0 Income Statement </w:t>
      </w:r>
      <w:r w:rsidR="00631584">
        <w:rPr>
          <w:rFonts w:ascii="Times New Roman" w:hAnsi="Times New Roman"/>
          <w:sz w:val="24"/>
        </w:rPr>
        <w:t xml:space="preserve">(GRS 310.0) </w:t>
      </w:r>
      <w:r w:rsidR="00F17806">
        <w:rPr>
          <w:rFonts w:ascii="Times New Roman" w:hAnsi="Times New Roman"/>
          <w:sz w:val="24"/>
        </w:rPr>
        <w:t>made under</w:t>
      </w:r>
      <w:r w:rsidR="00631584">
        <w:rPr>
          <w:rFonts w:ascii="Times New Roman" w:hAnsi="Times New Roman"/>
          <w:sz w:val="24"/>
        </w:rPr>
        <w:t xml:space="preserve"> Financial Sector (Collection of Data) (reporting standard) determination No. 17 of 2013</w:t>
      </w:r>
      <w:r>
        <w:rPr>
          <w:rFonts w:ascii="Times New Roman" w:hAnsi="Times New Roman"/>
          <w:sz w:val="24"/>
        </w:rPr>
        <w:t xml:space="preserve">; and </w:t>
      </w:r>
    </w:p>
    <w:p w14:paraId="1EBCF1CB" w14:textId="59990201" w:rsidR="00CB1400" w:rsidRDefault="00CB1400" w:rsidP="00CC2775">
      <w:pPr>
        <w:pStyle w:val="ListParagraph"/>
        <w:ind w:left="1500"/>
        <w:rPr>
          <w:rFonts w:ascii="Times New Roman" w:hAnsi="Times New Roman"/>
          <w:sz w:val="24"/>
        </w:rPr>
      </w:pPr>
    </w:p>
    <w:p w14:paraId="735999E0" w14:textId="60A50358" w:rsidR="00525354" w:rsidRDefault="00CB1400" w:rsidP="00CC2775">
      <w:pPr>
        <w:pStyle w:val="ListParagraph"/>
        <w:numPr>
          <w:ilvl w:val="0"/>
          <w:numId w:val="26"/>
        </w:numPr>
        <w:rPr>
          <w:rFonts w:ascii="Times New Roman" w:hAnsi="Times New Roman"/>
          <w:sz w:val="24"/>
        </w:rPr>
      </w:pPr>
      <w:r>
        <w:rPr>
          <w:rFonts w:ascii="Times New Roman" w:hAnsi="Times New Roman"/>
          <w:sz w:val="24"/>
        </w:rPr>
        <w:t xml:space="preserve"> determines a new </w:t>
      </w:r>
      <w:r w:rsidR="00F17806">
        <w:rPr>
          <w:rFonts w:ascii="Times New Roman" w:hAnsi="Times New Roman"/>
          <w:sz w:val="24"/>
        </w:rPr>
        <w:t xml:space="preserve">version of </w:t>
      </w:r>
      <w:r w:rsidR="006209F4">
        <w:rPr>
          <w:rFonts w:ascii="Times New Roman" w:hAnsi="Times New Roman"/>
          <w:sz w:val="24"/>
        </w:rPr>
        <w:t xml:space="preserve">GRS </w:t>
      </w:r>
      <w:proofErr w:type="gramStart"/>
      <w:r w:rsidR="006209F4">
        <w:rPr>
          <w:rFonts w:ascii="Times New Roman" w:hAnsi="Times New Roman"/>
          <w:sz w:val="24"/>
        </w:rPr>
        <w:t>310.0</w:t>
      </w:r>
      <w:r w:rsidR="0064189F">
        <w:rPr>
          <w:rFonts w:ascii="Times New Roman" w:hAnsi="Times New Roman"/>
          <w:sz w:val="24"/>
        </w:rPr>
        <w:t>;</w:t>
      </w:r>
      <w:proofErr w:type="gramEnd"/>
    </w:p>
    <w:p w14:paraId="7A2C3A77" w14:textId="77777777" w:rsidR="00CB024B" w:rsidRPr="00CB024B" w:rsidRDefault="00CB024B" w:rsidP="00CC2775">
      <w:pPr>
        <w:pStyle w:val="ListParagraph"/>
        <w:rPr>
          <w:rFonts w:ascii="Times New Roman" w:hAnsi="Times New Roman"/>
          <w:sz w:val="24"/>
        </w:rPr>
      </w:pPr>
    </w:p>
    <w:p w14:paraId="6679B686" w14:textId="7A454092" w:rsidR="009B4262"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9B4262">
        <w:rPr>
          <w:rFonts w:ascii="Times New Roman" w:hAnsi="Times New Roman"/>
          <w:sz w:val="24"/>
        </w:rPr>
        <w:t xml:space="preserve">Financial Sector (Collection of Data) (reporting standard) determination No. </w:t>
      </w:r>
      <w:r w:rsidR="009C7A2D">
        <w:rPr>
          <w:rFonts w:ascii="Times New Roman" w:hAnsi="Times New Roman"/>
          <w:sz w:val="24"/>
        </w:rPr>
        <w:t>18</w:t>
      </w:r>
      <w:r w:rsidR="009B4262">
        <w:rPr>
          <w:rFonts w:ascii="Times New Roman" w:hAnsi="Times New Roman"/>
          <w:sz w:val="24"/>
        </w:rPr>
        <w:t xml:space="preserve"> of 20</w:t>
      </w:r>
      <w:r w:rsidR="009C7A2D">
        <w:rPr>
          <w:rFonts w:ascii="Times New Roman" w:hAnsi="Times New Roman"/>
          <w:sz w:val="24"/>
        </w:rPr>
        <w:t>2</w:t>
      </w:r>
      <w:r w:rsidR="009B4262">
        <w:rPr>
          <w:rFonts w:ascii="Times New Roman" w:hAnsi="Times New Roman"/>
          <w:sz w:val="24"/>
        </w:rPr>
        <w:t xml:space="preserve">3 which: </w:t>
      </w:r>
    </w:p>
    <w:p w14:paraId="3E6A139C" w14:textId="067F0EC8" w:rsidR="009B4262" w:rsidRDefault="009B4262" w:rsidP="00CC2775">
      <w:pPr>
        <w:pStyle w:val="ListParagraph"/>
        <w:ind w:left="720"/>
        <w:rPr>
          <w:rFonts w:ascii="Times New Roman" w:hAnsi="Times New Roman"/>
          <w:sz w:val="24"/>
        </w:rPr>
      </w:pPr>
    </w:p>
    <w:p w14:paraId="6DC363DB" w14:textId="36FB1275" w:rsidR="00431AD0" w:rsidRDefault="00073180" w:rsidP="00CC2775">
      <w:pPr>
        <w:pStyle w:val="ListParagraph"/>
        <w:numPr>
          <w:ilvl w:val="0"/>
          <w:numId w:val="30"/>
        </w:numPr>
        <w:rPr>
          <w:rFonts w:ascii="Times New Roman" w:hAnsi="Times New Roman"/>
          <w:sz w:val="24"/>
        </w:rPr>
      </w:pPr>
      <w:r>
        <w:rPr>
          <w:rFonts w:ascii="Times New Roman" w:hAnsi="Times New Roman"/>
          <w:sz w:val="24"/>
        </w:rPr>
        <w:lastRenderedPageBreak/>
        <w:t xml:space="preserve"> </w:t>
      </w:r>
      <w:r w:rsidR="009B4262" w:rsidRPr="00DE585C">
        <w:rPr>
          <w:rFonts w:ascii="Times New Roman" w:hAnsi="Times New Roman"/>
          <w:sz w:val="24"/>
        </w:rPr>
        <w:t xml:space="preserve">revokes </w:t>
      </w:r>
      <w:r w:rsidR="00F17806">
        <w:rPr>
          <w:rFonts w:ascii="Times New Roman" w:hAnsi="Times New Roman"/>
          <w:i/>
          <w:sz w:val="24"/>
        </w:rPr>
        <w:t xml:space="preserve">Reporting Standard </w:t>
      </w:r>
      <w:r w:rsidR="00E1220F" w:rsidRPr="00DE585C">
        <w:rPr>
          <w:rFonts w:ascii="Times New Roman" w:hAnsi="Times New Roman"/>
          <w:i/>
          <w:sz w:val="24"/>
        </w:rPr>
        <w:t xml:space="preserve">GRS 400.0 </w:t>
      </w:r>
      <w:r w:rsidR="008059D4" w:rsidRPr="00DE585C">
        <w:rPr>
          <w:rFonts w:ascii="Times New Roman" w:hAnsi="Times New Roman"/>
          <w:i/>
          <w:sz w:val="24"/>
        </w:rPr>
        <w:t xml:space="preserve">Statement of Risk by Country </w:t>
      </w:r>
      <w:r w:rsidR="008059D4" w:rsidRPr="00DE585C">
        <w:rPr>
          <w:rFonts w:ascii="Times New Roman" w:hAnsi="Times New Roman"/>
          <w:sz w:val="24"/>
        </w:rPr>
        <w:t xml:space="preserve">(GRS </w:t>
      </w:r>
      <w:r w:rsidR="00DE585C" w:rsidRPr="00DE585C">
        <w:rPr>
          <w:rFonts w:ascii="Times New Roman" w:hAnsi="Times New Roman"/>
          <w:sz w:val="24"/>
        </w:rPr>
        <w:t xml:space="preserve">400.0) </w:t>
      </w:r>
      <w:r w:rsidR="00F17806">
        <w:rPr>
          <w:rFonts w:ascii="Times New Roman" w:hAnsi="Times New Roman"/>
          <w:sz w:val="24"/>
        </w:rPr>
        <w:t xml:space="preserve">made under </w:t>
      </w:r>
      <w:r w:rsidR="00DE585C" w:rsidRPr="00DE585C">
        <w:rPr>
          <w:rFonts w:ascii="Times New Roman" w:hAnsi="Times New Roman"/>
          <w:sz w:val="24"/>
        </w:rPr>
        <w:t xml:space="preserve">Financial Sector (Collection of Data) (reporting standard) determination No. 21 of </w:t>
      </w:r>
      <w:r w:rsidR="00DE585C">
        <w:rPr>
          <w:rFonts w:ascii="Times New Roman" w:hAnsi="Times New Roman"/>
          <w:sz w:val="24"/>
        </w:rPr>
        <w:t xml:space="preserve">2013; and </w:t>
      </w:r>
    </w:p>
    <w:p w14:paraId="2BE6C86F" w14:textId="487CB771" w:rsidR="00DE585C" w:rsidRDefault="00DE585C" w:rsidP="00CC2775">
      <w:pPr>
        <w:pStyle w:val="ListParagraph"/>
        <w:ind w:left="1440"/>
        <w:rPr>
          <w:rFonts w:ascii="Times New Roman" w:hAnsi="Times New Roman"/>
          <w:sz w:val="24"/>
        </w:rPr>
      </w:pPr>
    </w:p>
    <w:p w14:paraId="0CB5CE69" w14:textId="69E7827F" w:rsidR="006446CD" w:rsidRDefault="00073180" w:rsidP="00CC2775">
      <w:pPr>
        <w:pStyle w:val="ListParagraph"/>
        <w:numPr>
          <w:ilvl w:val="0"/>
          <w:numId w:val="30"/>
        </w:numPr>
        <w:rPr>
          <w:rFonts w:ascii="Times New Roman" w:hAnsi="Times New Roman"/>
          <w:sz w:val="24"/>
        </w:rPr>
      </w:pPr>
      <w:r>
        <w:rPr>
          <w:rFonts w:ascii="Times New Roman" w:hAnsi="Times New Roman"/>
          <w:sz w:val="24"/>
        </w:rPr>
        <w:t xml:space="preserve"> </w:t>
      </w:r>
      <w:r w:rsidR="002C5E2A">
        <w:rPr>
          <w:rFonts w:ascii="Times New Roman" w:hAnsi="Times New Roman"/>
          <w:sz w:val="24"/>
        </w:rPr>
        <w:t>d</w:t>
      </w:r>
      <w:r w:rsidR="00DE585C">
        <w:rPr>
          <w:rFonts w:ascii="Times New Roman" w:hAnsi="Times New Roman"/>
          <w:sz w:val="24"/>
        </w:rPr>
        <w:t xml:space="preserve">etermines </w:t>
      </w:r>
      <w:r w:rsidR="00525E14">
        <w:rPr>
          <w:rFonts w:ascii="Times New Roman" w:hAnsi="Times New Roman"/>
          <w:sz w:val="24"/>
        </w:rPr>
        <w:t xml:space="preserve">a new </w:t>
      </w:r>
      <w:r w:rsidR="00F17806">
        <w:rPr>
          <w:rFonts w:ascii="Times New Roman" w:hAnsi="Times New Roman"/>
          <w:sz w:val="24"/>
        </w:rPr>
        <w:t xml:space="preserve">version of </w:t>
      </w:r>
      <w:r w:rsidR="006446CD">
        <w:rPr>
          <w:rFonts w:ascii="Times New Roman" w:hAnsi="Times New Roman"/>
          <w:sz w:val="24"/>
        </w:rPr>
        <w:t xml:space="preserve">GRS </w:t>
      </w:r>
      <w:proofErr w:type="gramStart"/>
      <w:r w:rsidR="006446CD">
        <w:rPr>
          <w:rFonts w:ascii="Times New Roman" w:hAnsi="Times New Roman"/>
          <w:sz w:val="24"/>
        </w:rPr>
        <w:t>400.0</w:t>
      </w:r>
      <w:r w:rsidR="00F17806">
        <w:rPr>
          <w:rFonts w:ascii="Times New Roman" w:hAnsi="Times New Roman"/>
          <w:sz w:val="24"/>
        </w:rPr>
        <w:t>;</w:t>
      </w:r>
      <w:proofErr w:type="gramEnd"/>
    </w:p>
    <w:p w14:paraId="5EE95C25" w14:textId="77777777" w:rsidR="00B12F8E" w:rsidRPr="00B12F8E" w:rsidRDefault="00B12F8E" w:rsidP="00CC2775">
      <w:pPr>
        <w:pStyle w:val="ListParagraph"/>
        <w:rPr>
          <w:rFonts w:ascii="Times New Roman" w:hAnsi="Times New Roman"/>
          <w:sz w:val="24"/>
        </w:rPr>
      </w:pPr>
    </w:p>
    <w:p w14:paraId="64D56164" w14:textId="03122CEF" w:rsidR="006446CD"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6446CD">
        <w:rPr>
          <w:rFonts w:ascii="Times New Roman" w:hAnsi="Times New Roman"/>
          <w:sz w:val="24"/>
        </w:rPr>
        <w:t xml:space="preserve">Financial Sector (Collection of Data) (reporting standard) determination No. </w:t>
      </w:r>
      <w:r w:rsidR="009C7A2D">
        <w:rPr>
          <w:rFonts w:ascii="Times New Roman" w:hAnsi="Times New Roman"/>
          <w:sz w:val="24"/>
        </w:rPr>
        <w:t>19</w:t>
      </w:r>
      <w:r w:rsidR="006446CD">
        <w:rPr>
          <w:rFonts w:ascii="Times New Roman" w:hAnsi="Times New Roman"/>
          <w:sz w:val="24"/>
        </w:rPr>
        <w:t xml:space="preserve"> of 20</w:t>
      </w:r>
      <w:r w:rsidR="009C7A2D">
        <w:rPr>
          <w:rFonts w:ascii="Times New Roman" w:hAnsi="Times New Roman"/>
          <w:sz w:val="24"/>
        </w:rPr>
        <w:t>2</w:t>
      </w:r>
      <w:r w:rsidR="006446CD">
        <w:rPr>
          <w:rFonts w:ascii="Times New Roman" w:hAnsi="Times New Roman"/>
          <w:sz w:val="24"/>
        </w:rPr>
        <w:t>3 which:</w:t>
      </w:r>
    </w:p>
    <w:p w14:paraId="1F016D89" w14:textId="14D3ED93" w:rsidR="006446CD" w:rsidRDefault="006446CD" w:rsidP="00CC2775">
      <w:pPr>
        <w:pStyle w:val="ListParagraph"/>
        <w:ind w:left="720"/>
        <w:rPr>
          <w:rFonts w:ascii="Times New Roman" w:hAnsi="Times New Roman"/>
          <w:sz w:val="24"/>
        </w:rPr>
      </w:pPr>
    </w:p>
    <w:p w14:paraId="214DDAD9" w14:textId="0390270B" w:rsidR="006446CD" w:rsidRDefault="006446CD" w:rsidP="00CC2775">
      <w:pPr>
        <w:pStyle w:val="ListParagraph"/>
        <w:numPr>
          <w:ilvl w:val="0"/>
          <w:numId w:val="31"/>
        </w:numPr>
        <w:rPr>
          <w:rFonts w:ascii="Times New Roman" w:hAnsi="Times New Roman"/>
          <w:sz w:val="24"/>
        </w:rPr>
      </w:pPr>
      <w:r>
        <w:rPr>
          <w:rFonts w:ascii="Times New Roman" w:hAnsi="Times New Roman"/>
          <w:sz w:val="24"/>
        </w:rPr>
        <w:t xml:space="preserve">revokes </w:t>
      </w:r>
      <w:r w:rsidR="00F17806">
        <w:rPr>
          <w:rFonts w:ascii="Times New Roman" w:hAnsi="Times New Roman"/>
          <w:i/>
          <w:sz w:val="24"/>
        </w:rPr>
        <w:t xml:space="preserve">Reporting Standard </w:t>
      </w:r>
      <w:r w:rsidR="008D4FB7">
        <w:rPr>
          <w:rFonts w:ascii="Times New Roman" w:hAnsi="Times New Roman"/>
          <w:i/>
          <w:sz w:val="24"/>
        </w:rPr>
        <w:t>GRS 410</w:t>
      </w:r>
      <w:r w:rsidR="002D2873">
        <w:rPr>
          <w:rFonts w:ascii="Times New Roman" w:hAnsi="Times New Roman"/>
          <w:i/>
          <w:sz w:val="24"/>
        </w:rPr>
        <w:t>.0</w:t>
      </w:r>
      <w:r w:rsidR="008D4FB7">
        <w:rPr>
          <w:rFonts w:ascii="Times New Roman" w:hAnsi="Times New Roman"/>
          <w:i/>
          <w:sz w:val="24"/>
        </w:rPr>
        <w:t xml:space="preserve"> Movement in Outstanding Claims Liabilities </w:t>
      </w:r>
      <w:r w:rsidR="002D2873">
        <w:rPr>
          <w:rFonts w:ascii="Times New Roman" w:hAnsi="Times New Roman"/>
          <w:sz w:val="24"/>
        </w:rPr>
        <w:t xml:space="preserve">(GRS 410.0) </w:t>
      </w:r>
      <w:r w:rsidR="00F17806">
        <w:rPr>
          <w:rFonts w:ascii="Times New Roman" w:hAnsi="Times New Roman"/>
          <w:sz w:val="24"/>
        </w:rPr>
        <w:t xml:space="preserve">made under </w:t>
      </w:r>
      <w:r w:rsidR="002D2873">
        <w:rPr>
          <w:rFonts w:ascii="Times New Roman" w:hAnsi="Times New Roman"/>
          <w:sz w:val="24"/>
        </w:rPr>
        <w:t xml:space="preserve">Financial Sector (Collection of Data) (reporting standard) </w:t>
      </w:r>
      <w:r w:rsidR="000120C1">
        <w:rPr>
          <w:rFonts w:ascii="Times New Roman" w:hAnsi="Times New Roman"/>
          <w:sz w:val="24"/>
        </w:rPr>
        <w:t>determination No. 22 of 2013</w:t>
      </w:r>
      <w:r w:rsidR="002C5E2A">
        <w:rPr>
          <w:rFonts w:ascii="Times New Roman" w:hAnsi="Times New Roman"/>
          <w:sz w:val="24"/>
        </w:rPr>
        <w:t xml:space="preserve">; and </w:t>
      </w:r>
    </w:p>
    <w:p w14:paraId="3F9362EB" w14:textId="1973E78D" w:rsidR="002C5E2A" w:rsidRDefault="002C5E2A" w:rsidP="00CC2775">
      <w:pPr>
        <w:pStyle w:val="ListParagraph"/>
        <w:ind w:left="1440"/>
        <w:rPr>
          <w:rFonts w:ascii="Times New Roman" w:hAnsi="Times New Roman"/>
          <w:sz w:val="24"/>
        </w:rPr>
      </w:pPr>
    </w:p>
    <w:p w14:paraId="71556948" w14:textId="6AFCE954" w:rsidR="005A03DB" w:rsidRDefault="002C5E2A" w:rsidP="00CC2775">
      <w:pPr>
        <w:pStyle w:val="ListParagraph"/>
        <w:numPr>
          <w:ilvl w:val="0"/>
          <w:numId w:val="31"/>
        </w:numPr>
        <w:rPr>
          <w:rFonts w:ascii="Times New Roman" w:hAnsi="Times New Roman"/>
          <w:sz w:val="24"/>
        </w:rPr>
      </w:pPr>
      <w:r>
        <w:rPr>
          <w:rFonts w:ascii="Times New Roman" w:hAnsi="Times New Roman"/>
          <w:sz w:val="24"/>
        </w:rPr>
        <w:t xml:space="preserve"> determines a new </w:t>
      </w:r>
      <w:r w:rsidR="00F17806">
        <w:rPr>
          <w:rFonts w:ascii="Times New Roman" w:hAnsi="Times New Roman"/>
          <w:sz w:val="24"/>
        </w:rPr>
        <w:t xml:space="preserve">version of </w:t>
      </w:r>
      <w:r w:rsidR="005A03DB">
        <w:rPr>
          <w:rFonts w:ascii="Times New Roman" w:hAnsi="Times New Roman"/>
          <w:sz w:val="24"/>
        </w:rPr>
        <w:t>GRS 410.0</w:t>
      </w:r>
      <w:r w:rsidR="00F17806">
        <w:rPr>
          <w:rFonts w:ascii="Times New Roman" w:hAnsi="Times New Roman"/>
          <w:sz w:val="24"/>
        </w:rPr>
        <w:t>; and</w:t>
      </w:r>
    </w:p>
    <w:p w14:paraId="654CC603" w14:textId="77777777" w:rsidR="00B12F8E" w:rsidRPr="00B12F8E" w:rsidRDefault="00B12F8E" w:rsidP="00CC2775">
      <w:pPr>
        <w:pStyle w:val="ListParagraph"/>
        <w:rPr>
          <w:rFonts w:ascii="Times New Roman" w:hAnsi="Times New Roman"/>
          <w:sz w:val="24"/>
        </w:rPr>
      </w:pPr>
    </w:p>
    <w:p w14:paraId="3EAA34EA" w14:textId="6B526D0B" w:rsidR="005A03DB" w:rsidRDefault="00E517AF" w:rsidP="00CC2775">
      <w:pPr>
        <w:pStyle w:val="ListParagraph"/>
        <w:numPr>
          <w:ilvl w:val="0"/>
          <w:numId w:val="15"/>
        </w:numPr>
        <w:rPr>
          <w:rFonts w:ascii="Times New Roman" w:hAnsi="Times New Roman"/>
          <w:sz w:val="24"/>
        </w:rPr>
      </w:pPr>
      <w:r>
        <w:rPr>
          <w:rFonts w:ascii="Times New Roman" w:hAnsi="Times New Roman"/>
          <w:sz w:val="24"/>
        </w:rPr>
        <w:t>T</w:t>
      </w:r>
      <w:r w:rsidR="00201150">
        <w:rPr>
          <w:rFonts w:ascii="Times New Roman" w:hAnsi="Times New Roman"/>
          <w:sz w:val="24"/>
        </w:rPr>
        <w:t xml:space="preserve">he </w:t>
      </w:r>
      <w:r w:rsidR="005A03DB">
        <w:rPr>
          <w:rFonts w:ascii="Times New Roman" w:hAnsi="Times New Roman"/>
          <w:sz w:val="24"/>
        </w:rPr>
        <w:t>Financial Sector (Collection of Data) (reporting standard) determination No</w:t>
      </w:r>
      <w:r w:rsidR="004E363D">
        <w:rPr>
          <w:rFonts w:ascii="Times New Roman" w:hAnsi="Times New Roman"/>
          <w:sz w:val="24"/>
        </w:rPr>
        <w:t>.</w:t>
      </w:r>
      <w:r w:rsidR="005A03DB">
        <w:rPr>
          <w:rFonts w:ascii="Times New Roman" w:hAnsi="Times New Roman"/>
          <w:sz w:val="24"/>
        </w:rPr>
        <w:t xml:space="preserve"> 2</w:t>
      </w:r>
      <w:r w:rsidR="009C7A2D">
        <w:rPr>
          <w:rFonts w:ascii="Times New Roman" w:hAnsi="Times New Roman"/>
          <w:sz w:val="24"/>
        </w:rPr>
        <w:t>0</w:t>
      </w:r>
      <w:r w:rsidR="005A03DB">
        <w:rPr>
          <w:rFonts w:ascii="Times New Roman" w:hAnsi="Times New Roman"/>
          <w:sz w:val="24"/>
        </w:rPr>
        <w:t xml:space="preserve"> of 20</w:t>
      </w:r>
      <w:r w:rsidR="009C7A2D">
        <w:rPr>
          <w:rFonts w:ascii="Times New Roman" w:hAnsi="Times New Roman"/>
          <w:sz w:val="24"/>
        </w:rPr>
        <w:t>2</w:t>
      </w:r>
      <w:r w:rsidR="005A03DB">
        <w:rPr>
          <w:rFonts w:ascii="Times New Roman" w:hAnsi="Times New Roman"/>
          <w:sz w:val="24"/>
        </w:rPr>
        <w:t>3 which:</w:t>
      </w:r>
    </w:p>
    <w:p w14:paraId="021C54B8" w14:textId="13EAC454" w:rsidR="005A03DB" w:rsidRDefault="005A03DB" w:rsidP="00CC2775">
      <w:pPr>
        <w:pStyle w:val="ListParagraph"/>
        <w:ind w:left="720"/>
        <w:rPr>
          <w:rFonts w:ascii="Times New Roman" w:hAnsi="Times New Roman"/>
          <w:sz w:val="24"/>
        </w:rPr>
      </w:pPr>
    </w:p>
    <w:p w14:paraId="307A87D0" w14:textId="30037527" w:rsidR="005A03DB" w:rsidRDefault="00B56E32" w:rsidP="00CC2775">
      <w:pPr>
        <w:pStyle w:val="ListParagraph"/>
        <w:numPr>
          <w:ilvl w:val="0"/>
          <w:numId w:val="32"/>
        </w:numPr>
        <w:rPr>
          <w:rFonts w:ascii="Times New Roman" w:hAnsi="Times New Roman"/>
          <w:sz w:val="24"/>
        </w:rPr>
      </w:pPr>
      <w:r>
        <w:rPr>
          <w:rFonts w:ascii="Times New Roman" w:hAnsi="Times New Roman"/>
          <w:sz w:val="24"/>
        </w:rPr>
        <w:t xml:space="preserve"> revokes </w:t>
      </w:r>
      <w:r w:rsidR="00F17806">
        <w:rPr>
          <w:rFonts w:ascii="Times New Roman" w:hAnsi="Times New Roman"/>
          <w:i/>
          <w:sz w:val="24"/>
        </w:rPr>
        <w:t xml:space="preserve">Reporting Standard </w:t>
      </w:r>
      <w:r w:rsidR="0002086F">
        <w:rPr>
          <w:rFonts w:ascii="Times New Roman" w:hAnsi="Times New Roman"/>
          <w:i/>
          <w:sz w:val="24"/>
        </w:rPr>
        <w:t xml:space="preserve">GRS 420.0 Premium Revenue by State and Territory of Australia </w:t>
      </w:r>
      <w:r w:rsidR="004E363D">
        <w:rPr>
          <w:rFonts w:ascii="Times New Roman" w:hAnsi="Times New Roman"/>
          <w:sz w:val="24"/>
        </w:rPr>
        <w:t xml:space="preserve">(GRS 420.0) </w:t>
      </w:r>
      <w:r w:rsidR="00F17806">
        <w:rPr>
          <w:rFonts w:ascii="Times New Roman" w:hAnsi="Times New Roman"/>
          <w:sz w:val="24"/>
        </w:rPr>
        <w:t>made under</w:t>
      </w:r>
      <w:r w:rsidR="004E363D">
        <w:rPr>
          <w:rFonts w:ascii="Times New Roman" w:hAnsi="Times New Roman"/>
          <w:sz w:val="24"/>
        </w:rPr>
        <w:t xml:space="preserve"> Financial Sector (Collection of Data) (reporting standard) determination No. 23</w:t>
      </w:r>
      <w:r>
        <w:rPr>
          <w:rFonts w:ascii="Times New Roman" w:hAnsi="Times New Roman"/>
          <w:sz w:val="24"/>
        </w:rPr>
        <w:t xml:space="preserve"> </w:t>
      </w:r>
      <w:r w:rsidR="004E363D">
        <w:rPr>
          <w:rFonts w:ascii="Times New Roman" w:hAnsi="Times New Roman"/>
          <w:sz w:val="24"/>
        </w:rPr>
        <w:t>of 2013; and</w:t>
      </w:r>
    </w:p>
    <w:p w14:paraId="00F87F5D" w14:textId="5A5BA460" w:rsidR="004E363D" w:rsidRDefault="004E363D" w:rsidP="00CC2775">
      <w:pPr>
        <w:pStyle w:val="ListParagraph"/>
        <w:ind w:left="1440"/>
        <w:rPr>
          <w:rFonts w:ascii="Times New Roman" w:hAnsi="Times New Roman"/>
          <w:sz w:val="24"/>
        </w:rPr>
      </w:pPr>
    </w:p>
    <w:p w14:paraId="7E10AC5A" w14:textId="113EC475" w:rsidR="00ED4EB4" w:rsidRDefault="004E363D" w:rsidP="00CC2775">
      <w:pPr>
        <w:pStyle w:val="ListParagraph"/>
        <w:numPr>
          <w:ilvl w:val="0"/>
          <w:numId w:val="32"/>
        </w:numPr>
        <w:rPr>
          <w:rFonts w:ascii="Times New Roman" w:hAnsi="Times New Roman"/>
          <w:sz w:val="24"/>
        </w:rPr>
      </w:pPr>
      <w:r>
        <w:rPr>
          <w:rFonts w:ascii="Times New Roman" w:hAnsi="Times New Roman"/>
          <w:sz w:val="24"/>
        </w:rPr>
        <w:t xml:space="preserve"> determines a new </w:t>
      </w:r>
      <w:r w:rsidR="00F17806">
        <w:rPr>
          <w:rFonts w:ascii="Times New Roman" w:hAnsi="Times New Roman"/>
          <w:sz w:val="24"/>
        </w:rPr>
        <w:t xml:space="preserve">version of </w:t>
      </w:r>
      <w:r w:rsidR="00ED4EB4">
        <w:rPr>
          <w:rFonts w:ascii="Times New Roman" w:hAnsi="Times New Roman"/>
          <w:sz w:val="24"/>
        </w:rPr>
        <w:t>GRS 420.0</w:t>
      </w:r>
      <w:r w:rsidR="006B22F9">
        <w:rPr>
          <w:rFonts w:ascii="Times New Roman" w:hAnsi="Times New Roman"/>
          <w:sz w:val="24"/>
        </w:rPr>
        <w:t>.</w:t>
      </w:r>
    </w:p>
    <w:p w14:paraId="0B7BE371" w14:textId="40F85123" w:rsidR="00D8499F" w:rsidRDefault="004538E3" w:rsidP="00CC2775">
      <w:pPr>
        <w:rPr>
          <w:rFonts w:ascii="Times New Roman" w:hAnsi="Times New Roman"/>
          <w:sz w:val="24"/>
        </w:rPr>
      </w:pPr>
      <w:r>
        <w:rPr>
          <w:rFonts w:ascii="Times New Roman" w:hAnsi="Times New Roman"/>
          <w:sz w:val="24"/>
        </w:rPr>
        <w:t>These instruments commence on 1 April 202</w:t>
      </w:r>
      <w:r w:rsidR="00EB092A">
        <w:rPr>
          <w:rFonts w:ascii="Times New Roman" w:hAnsi="Times New Roman"/>
          <w:sz w:val="24"/>
        </w:rPr>
        <w:t>3</w:t>
      </w:r>
      <w:r w:rsidR="00FE7F4E">
        <w:rPr>
          <w:rFonts w:ascii="Times New Roman" w:hAnsi="Times New Roman"/>
          <w:sz w:val="24"/>
        </w:rPr>
        <w:t>.</w:t>
      </w:r>
    </w:p>
    <w:p w14:paraId="441579C8" w14:textId="77777777" w:rsidR="00BB4BB7" w:rsidRDefault="00BB4BB7" w:rsidP="00CC2775">
      <w:pPr>
        <w:pStyle w:val="ListParagraph"/>
        <w:numPr>
          <w:ilvl w:val="0"/>
          <w:numId w:val="51"/>
        </w:numPr>
        <w:rPr>
          <w:rFonts w:ascii="Times New Roman" w:hAnsi="Times New Roman"/>
          <w:b/>
          <w:sz w:val="24"/>
        </w:rPr>
      </w:pPr>
      <w:r w:rsidRPr="004538E3">
        <w:rPr>
          <w:rFonts w:ascii="Times New Roman" w:hAnsi="Times New Roman"/>
          <w:b/>
          <w:sz w:val="24"/>
        </w:rPr>
        <w:t xml:space="preserve">Background </w:t>
      </w:r>
    </w:p>
    <w:p w14:paraId="599E8F17" w14:textId="77777777" w:rsidR="0064189F" w:rsidRDefault="00BB4BB7" w:rsidP="00CC2775">
      <w:pPr>
        <w:widowControl w:val="0"/>
        <w:rPr>
          <w:rFonts w:ascii="Times New Roman" w:hAnsi="Times New Roman"/>
          <w:color w:val="000000"/>
          <w:sz w:val="24"/>
        </w:rPr>
      </w:pPr>
      <w:r>
        <w:rPr>
          <w:rFonts w:ascii="Times New Roman" w:hAnsi="Times New Roman"/>
          <w:sz w:val="24"/>
        </w:rPr>
        <w:t xml:space="preserve">APRA’s prudential framework includes a suite of prudential standards that impose capital requirements for </w:t>
      </w:r>
      <w:r w:rsidR="00F71696">
        <w:rPr>
          <w:rFonts w:ascii="Times New Roman" w:hAnsi="Times New Roman"/>
          <w:sz w:val="24"/>
        </w:rPr>
        <w:t>general insurers</w:t>
      </w:r>
      <w:r>
        <w:rPr>
          <w:rFonts w:ascii="Times New Roman" w:hAnsi="Times New Roman"/>
          <w:sz w:val="24"/>
        </w:rPr>
        <w:t xml:space="preserve"> (</w:t>
      </w:r>
      <w:r w:rsidR="00F71696">
        <w:rPr>
          <w:rFonts w:ascii="Times New Roman" w:hAnsi="Times New Roman"/>
          <w:sz w:val="24"/>
        </w:rPr>
        <w:t>GI</w:t>
      </w:r>
      <w:r>
        <w:rPr>
          <w:rFonts w:ascii="Times New Roman" w:hAnsi="Times New Roman"/>
          <w:sz w:val="24"/>
        </w:rPr>
        <w:t xml:space="preserve">s), </w:t>
      </w:r>
      <w:r w:rsidRPr="00AE57C5">
        <w:rPr>
          <w:rFonts w:ascii="Times New Roman" w:hAnsi="Times New Roman"/>
          <w:color w:val="000000"/>
          <w:sz w:val="24"/>
        </w:rPr>
        <w:t xml:space="preserve">for the purpose of ensuring </w:t>
      </w:r>
      <w:r w:rsidR="00F71696">
        <w:rPr>
          <w:rFonts w:ascii="Times New Roman" w:hAnsi="Times New Roman"/>
          <w:color w:val="000000"/>
          <w:sz w:val="24"/>
        </w:rPr>
        <w:t>GI</w:t>
      </w:r>
      <w:r w:rsidRPr="00AE57C5">
        <w:rPr>
          <w:rFonts w:ascii="Times New Roman" w:hAnsi="Times New Roman"/>
          <w:color w:val="000000"/>
          <w:sz w:val="24"/>
        </w:rPr>
        <w:t xml:space="preserve">s hold sufficient capital to address the risks associated with their operations. </w:t>
      </w:r>
    </w:p>
    <w:p w14:paraId="5A5595DC" w14:textId="114D7140" w:rsidR="0064189F" w:rsidRDefault="0064189F" w:rsidP="00CC2775">
      <w:pPr>
        <w:widowControl w:val="0"/>
        <w:rPr>
          <w:rFonts w:ascii="Times New Roman" w:hAnsi="Times New Roman"/>
          <w:sz w:val="24"/>
        </w:rPr>
      </w:pPr>
      <w:r w:rsidRPr="0083075D">
        <w:rPr>
          <w:rFonts w:ascii="Times New Roman" w:hAnsi="Times New Roman"/>
          <w:sz w:val="24"/>
        </w:rPr>
        <w:t xml:space="preserve">APRA’s reporting standards collect financial data from regulated entities. This data contains critical indicators of a regulated entity’s financial wellbeing, including capital adequacy. APRA relies heavily on this financial data to inform its supervisory actions towards its regulated entities. Without timely and complete data, APRA may miss indicators that a </w:t>
      </w:r>
      <w:r w:rsidR="00A84981">
        <w:rPr>
          <w:rFonts w:ascii="Times New Roman" w:hAnsi="Times New Roman"/>
          <w:sz w:val="24"/>
        </w:rPr>
        <w:t>GI</w:t>
      </w:r>
      <w:r w:rsidRPr="0083075D">
        <w:rPr>
          <w:rFonts w:ascii="Times New Roman" w:hAnsi="Times New Roman"/>
          <w:sz w:val="24"/>
        </w:rPr>
        <w:t xml:space="preserve"> is taking on imprudent risk or is in distress. APRA’s supervisory decisions may be jeopardised if its receipt of data is unreliable due to entities seeking merits review under its reporting standards.</w:t>
      </w:r>
      <w:r>
        <w:rPr>
          <w:rFonts w:ascii="Times New Roman" w:hAnsi="Times New Roman"/>
          <w:sz w:val="24"/>
        </w:rPr>
        <w:t xml:space="preserve"> </w:t>
      </w:r>
    </w:p>
    <w:p w14:paraId="7D27ED1E" w14:textId="1EBD1AB6" w:rsidR="001541C4" w:rsidRPr="004B77F0" w:rsidRDefault="001541C4" w:rsidP="00CC2775">
      <w:pPr>
        <w:widowControl w:val="0"/>
        <w:rPr>
          <w:rFonts w:ascii="Times New Roman" w:hAnsi="Times New Roman"/>
          <w:sz w:val="24"/>
        </w:rPr>
      </w:pPr>
      <w:bookmarkStart w:id="4" w:name="_Hlk129106883"/>
      <w:r>
        <w:rPr>
          <w:rFonts w:ascii="Times New Roman" w:hAnsi="Times New Roman"/>
          <w:sz w:val="24"/>
        </w:rPr>
        <w:t xml:space="preserve">In </w:t>
      </w:r>
      <w:r w:rsidRPr="001541C4">
        <w:rPr>
          <w:rFonts w:ascii="Times New Roman" w:hAnsi="Times New Roman"/>
          <w:sz w:val="24"/>
        </w:rPr>
        <w:t xml:space="preserve">2013, APRA introduced new reporting requirements for GIs following </w:t>
      </w:r>
      <w:r w:rsidR="00A84981">
        <w:rPr>
          <w:rFonts w:ascii="Times New Roman" w:hAnsi="Times New Roman"/>
          <w:sz w:val="24"/>
        </w:rPr>
        <w:t>the</w:t>
      </w:r>
      <w:r w:rsidR="00A84981" w:rsidRPr="001541C4">
        <w:rPr>
          <w:rFonts w:ascii="Times New Roman" w:hAnsi="Times New Roman"/>
          <w:sz w:val="24"/>
        </w:rPr>
        <w:t xml:space="preserve"> </w:t>
      </w:r>
      <w:r w:rsidR="00A84981" w:rsidRPr="00A84981">
        <w:rPr>
          <w:rFonts w:ascii="Times New Roman" w:hAnsi="Times New Roman"/>
          <w:sz w:val="24"/>
        </w:rPr>
        <w:t xml:space="preserve">Life and General Insurance Capital </w:t>
      </w:r>
      <w:r w:rsidRPr="001541C4">
        <w:rPr>
          <w:rFonts w:ascii="Times New Roman" w:hAnsi="Times New Roman"/>
          <w:sz w:val="24"/>
        </w:rPr>
        <w:t xml:space="preserve">review of the regulatory capital framework for GIs and life </w:t>
      </w:r>
      <w:r w:rsidR="00E70F5B">
        <w:rPr>
          <w:rFonts w:ascii="Times New Roman" w:hAnsi="Times New Roman"/>
          <w:sz w:val="24"/>
        </w:rPr>
        <w:t xml:space="preserve">insurers </w:t>
      </w:r>
      <w:r>
        <w:rPr>
          <w:rFonts w:ascii="Times New Roman" w:hAnsi="Times New Roman"/>
          <w:sz w:val="24"/>
        </w:rPr>
        <w:t>(LIs)</w:t>
      </w:r>
      <w:r w:rsidRPr="001541C4">
        <w:rPr>
          <w:rFonts w:ascii="Times New Roman" w:hAnsi="Times New Roman"/>
          <w:sz w:val="24"/>
        </w:rPr>
        <w:t xml:space="preserve"> </w:t>
      </w:r>
      <w:r w:rsidR="00A53B74">
        <w:rPr>
          <w:rFonts w:ascii="Times New Roman" w:hAnsi="Times New Roman"/>
          <w:sz w:val="24"/>
        </w:rPr>
        <w:t xml:space="preserve">that APRA commenced in 2010 </w:t>
      </w:r>
      <w:r w:rsidRPr="001541C4">
        <w:rPr>
          <w:rFonts w:ascii="Times New Roman" w:hAnsi="Times New Roman"/>
          <w:sz w:val="24"/>
        </w:rPr>
        <w:t>(LAGIC review</w:t>
      </w:r>
      <w:r w:rsidR="00893E13">
        <w:rPr>
          <w:rFonts w:ascii="Times New Roman" w:hAnsi="Times New Roman"/>
          <w:sz w:val="24"/>
        </w:rPr>
        <w:t>)</w:t>
      </w:r>
      <w:r w:rsidRPr="001541C4">
        <w:rPr>
          <w:rFonts w:ascii="Times New Roman" w:hAnsi="Times New Roman"/>
          <w:sz w:val="24"/>
        </w:rPr>
        <w:t xml:space="preserve">. APRA made a range of amendments to its prudential framework to give effect to the findings of the review. As a result of the changes, there </w:t>
      </w:r>
      <w:r>
        <w:rPr>
          <w:rFonts w:ascii="Times New Roman" w:hAnsi="Times New Roman"/>
          <w:sz w:val="24"/>
        </w:rPr>
        <w:t>was</w:t>
      </w:r>
      <w:r w:rsidRPr="001541C4">
        <w:rPr>
          <w:rFonts w:ascii="Times New Roman" w:hAnsi="Times New Roman"/>
          <w:sz w:val="24"/>
        </w:rPr>
        <w:t xml:space="preserve"> a common capital framework across </w:t>
      </w:r>
      <w:r>
        <w:rPr>
          <w:rFonts w:ascii="Times New Roman" w:hAnsi="Times New Roman"/>
          <w:sz w:val="24"/>
        </w:rPr>
        <w:t>GIs</w:t>
      </w:r>
      <w:r w:rsidRPr="001541C4">
        <w:rPr>
          <w:rFonts w:ascii="Times New Roman" w:hAnsi="Times New Roman"/>
          <w:sz w:val="24"/>
        </w:rPr>
        <w:t xml:space="preserve"> and </w:t>
      </w:r>
      <w:r>
        <w:rPr>
          <w:rFonts w:ascii="Times New Roman" w:hAnsi="Times New Roman"/>
          <w:sz w:val="24"/>
        </w:rPr>
        <w:t>LIs</w:t>
      </w:r>
      <w:r w:rsidRPr="008767B7">
        <w:rPr>
          <w:rFonts w:ascii="Times New Roman" w:hAnsi="Times New Roman"/>
          <w:sz w:val="24"/>
        </w:rPr>
        <w:t>.</w:t>
      </w:r>
      <w:r w:rsidR="00412204" w:rsidRPr="008767B7">
        <w:rPr>
          <w:rFonts w:ascii="Times New Roman" w:hAnsi="Times New Roman"/>
          <w:sz w:val="24"/>
        </w:rPr>
        <w:t xml:space="preserve"> </w:t>
      </w:r>
    </w:p>
    <w:bookmarkEnd w:id="4"/>
    <w:p w14:paraId="39CF14AC" w14:textId="485C157D" w:rsidR="0064189F" w:rsidRPr="00A03CC5" w:rsidRDefault="003F6060" w:rsidP="00CC2775">
      <w:pPr>
        <w:widowControl w:val="0"/>
        <w:rPr>
          <w:rFonts w:ascii="Times New Roman" w:hAnsi="Times New Roman"/>
          <w:i/>
          <w:sz w:val="24"/>
        </w:rPr>
      </w:pPr>
      <w:r>
        <w:rPr>
          <w:rFonts w:ascii="Times New Roman" w:hAnsi="Times New Roman"/>
          <w:sz w:val="24"/>
        </w:rPr>
        <w:t>The</w:t>
      </w:r>
      <w:r w:rsidR="00412204">
        <w:rPr>
          <w:rFonts w:ascii="Times New Roman" w:hAnsi="Times New Roman"/>
          <w:sz w:val="24"/>
        </w:rPr>
        <w:t xml:space="preserve"> </w:t>
      </w:r>
      <w:r w:rsidR="00DA675E">
        <w:rPr>
          <w:rFonts w:ascii="Times New Roman" w:hAnsi="Times New Roman"/>
          <w:sz w:val="24"/>
        </w:rPr>
        <w:t xml:space="preserve">new reporting requirements introduced </w:t>
      </w:r>
      <w:proofErr w:type="gramStart"/>
      <w:r w:rsidR="00DA675E">
        <w:rPr>
          <w:rFonts w:ascii="Times New Roman" w:hAnsi="Times New Roman"/>
          <w:sz w:val="24"/>
        </w:rPr>
        <w:t>as a result of</w:t>
      </w:r>
      <w:proofErr w:type="gramEnd"/>
      <w:r w:rsidR="00DA675E">
        <w:rPr>
          <w:rFonts w:ascii="Times New Roman" w:hAnsi="Times New Roman"/>
          <w:sz w:val="24"/>
        </w:rPr>
        <w:t xml:space="preserve"> the LAGIC review </w:t>
      </w:r>
      <w:r w:rsidR="0064189F" w:rsidRPr="00A03CC5">
        <w:rPr>
          <w:rFonts w:ascii="Times New Roman" w:hAnsi="Times New Roman"/>
          <w:sz w:val="24"/>
        </w:rPr>
        <w:t xml:space="preserve">permit APRA to collect data to support APRA’s prudential supervision of GIs and </w:t>
      </w:r>
      <w:r w:rsidR="0064189F">
        <w:rPr>
          <w:rFonts w:ascii="Times New Roman" w:hAnsi="Times New Roman"/>
          <w:sz w:val="24"/>
        </w:rPr>
        <w:t>are</w:t>
      </w:r>
      <w:r w:rsidR="0064189F" w:rsidRPr="00A03CC5">
        <w:rPr>
          <w:rFonts w:ascii="Times New Roman" w:hAnsi="Times New Roman"/>
          <w:sz w:val="24"/>
        </w:rPr>
        <w:t xml:space="preserve"> used by APRA to assess compliance with the capital standards. </w:t>
      </w:r>
    </w:p>
    <w:p w14:paraId="5858E0F3" w14:textId="304A46E0" w:rsidR="0064189F" w:rsidRPr="00A03CC5" w:rsidRDefault="0064189F" w:rsidP="00CC2775">
      <w:pPr>
        <w:widowControl w:val="0"/>
        <w:rPr>
          <w:rFonts w:ascii="Times New Roman" w:hAnsi="Times New Roman"/>
          <w:sz w:val="24"/>
        </w:rPr>
      </w:pPr>
      <w:r>
        <w:rPr>
          <w:rFonts w:ascii="Times New Roman" w:hAnsi="Times New Roman"/>
          <w:sz w:val="24"/>
        </w:rPr>
        <w:t xml:space="preserve">The </w:t>
      </w:r>
      <w:r w:rsidR="009D09A9">
        <w:rPr>
          <w:rFonts w:ascii="Times New Roman" w:hAnsi="Times New Roman"/>
          <w:sz w:val="24"/>
        </w:rPr>
        <w:t>reporting standards</w:t>
      </w:r>
      <w:r w:rsidRPr="00A03CC5">
        <w:rPr>
          <w:rFonts w:ascii="Times New Roman" w:hAnsi="Times New Roman"/>
          <w:sz w:val="24"/>
        </w:rPr>
        <w:t xml:space="preserve"> w</w:t>
      </w:r>
      <w:r>
        <w:rPr>
          <w:rFonts w:ascii="Times New Roman" w:hAnsi="Times New Roman"/>
          <w:sz w:val="24"/>
        </w:rPr>
        <w:t>ere</w:t>
      </w:r>
      <w:r w:rsidRPr="00A03CC5">
        <w:rPr>
          <w:rFonts w:ascii="Times New Roman" w:hAnsi="Times New Roman"/>
          <w:sz w:val="24"/>
        </w:rPr>
        <w:t xml:space="preserve"> last determined by APRA in 2013 (the previous </w:t>
      </w:r>
      <w:r>
        <w:rPr>
          <w:rFonts w:ascii="Times New Roman" w:hAnsi="Times New Roman"/>
          <w:sz w:val="24"/>
        </w:rPr>
        <w:t>instruments</w:t>
      </w:r>
      <w:r w:rsidRPr="00A03CC5">
        <w:rPr>
          <w:rFonts w:ascii="Times New Roman" w:hAnsi="Times New Roman"/>
          <w:sz w:val="24"/>
        </w:rPr>
        <w:t>).</w:t>
      </w:r>
      <w:r w:rsidRPr="00A03CC5" w:rsidDel="00AA7A54">
        <w:rPr>
          <w:rFonts w:ascii="Times New Roman" w:hAnsi="Times New Roman"/>
          <w:sz w:val="24"/>
        </w:rPr>
        <w:t xml:space="preserve"> </w:t>
      </w:r>
    </w:p>
    <w:p w14:paraId="1B830833" w14:textId="10469A24" w:rsidR="00BB4BB7" w:rsidRDefault="00BB4BB7" w:rsidP="00CC2775">
      <w:pPr>
        <w:pStyle w:val="ListParagraph"/>
        <w:numPr>
          <w:ilvl w:val="0"/>
          <w:numId w:val="51"/>
        </w:numPr>
        <w:rPr>
          <w:rFonts w:ascii="Times New Roman" w:hAnsi="Times New Roman"/>
          <w:b/>
          <w:sz w:val="24"/>
        </w:rPr>
      </w:pPr>
      <w:r w:rsidRPr="0064189F">
        <w:rPr>
          <w:rFonts w:ascii="Times New Roman" w:hAnsi="Times New Roman"/>
          <w:b/>
          <w:sz w:val="24"/>
        </w:rPr>
        <w:lastRenderedPageBreak/>
        <w:t xml:space="preserve">Purpose and </w:t>
      </w:r>
      <w:r w:rsidR="0064189F" w:rsidRPr="0064189F">
        <w:rPr>
          <w:rFonts w:ascii="Times New Roman" w:hAnsi="Times New Roman"/>
          <w:b/>
          <w:sz w:val="24"/>
        </w:rPr>
        <w:t>o</w:t>
      </w:r>
      <w:r w:rsidRPr="0064189F">
        <w:rPr>
          <w:rFonts w:ascii="Times New Roman" w:hAnsi="Times New Roman"/>
          <w:b/>
          <w:sz w:val="24"/>
        </w:rPr>
        <w:t>peration of</w:t>
      </w:r>
      <w:r w:rsidRPr="00481EA1">
        <w:rPr>
          <w:rFonts w:ascii="Times New Roman" w:hAnsi="Times New Roman"/>
          <w:b/>
          <w:sz w:val="24"/>
        </w:rPr>
        <w:t xml:space="preserve"> the instruments </w:t>
      </w:r>
    </w:p>
    <w:p w14:paraId="46BF57CE" w14:textId="5E908CF7" w:rsidR="0064189F" w:rsidRPr="00A03CC5" w:rsidRDefault="0064189F" w:rsidP="00CC2775">
      <w:pPr>
        <w:widowControl w:val="0"/>
        <w:rPr>
          <w:rFonts w:ascii="Times New Roman" w:hAnsi="Times New Roman"/>
          <w:color w:val="000000"/>
          <w:sz w:val="24"/>
          <w:shd w:val="clear" w:color="auto" w:fill="FFFFFF"/>
        </w:rPr>
      </w:pPr>
      <w:r w:rsidRPr="00A03CC5">
        <w:rPr>
          <w:rFonts w:ascii="Times New Roman" w:hAnsi="Times New Roman"/>
          <w:color w:val="000000"/>
          <w:sz w:val="24"/>
          <w:shd w:val="clear" w:color="auto" w:fill="FFFFFF"/>
        </w:rPr>
        <w:t>The previous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w</w:t>
      </w:r>
      <w:r>
        <w:rPr>
          <w:rFonts w:ascii="Times New Roman" w:hAnsi="Times New Roman"/>
          <w:color w:val="000000"/>
          <w:sz w:val="24"/>
          <w:shd w:val="clear" w:color="auto" w:fill="FFFFFF"/>
        </w:rPr>
        <w:t>ere</w:t>
      </w:r>
      <w:r w:rsidRPr="00A03CC5">
        <w:rPr>
          <w:rFonts w:ascii="Times New Roman" w:hAnsi="Times New Roman"/>
          <w:color w:val="000000"/>
          <w:sz w:val="24"/>
          <w:shd w:val="clear" w:color="auto" w:fill="FFFFFF"/>
        </w:rPr>
        <w:t xml:space="preserve"> to be repealed by sunsetting on </w:t>
      </w:r>
      <w:r w:rsidRPr="00A03CC5">
        <w:rPr>
          <w:rFonts w:ascii="Times New Roman" w:hAnsi="Times New Roman"/>
          <w:sz w:val="24"/>
        </w:rPr>
        <w:t xml:space="preserve">1 April 2023 </w:t>
      </w:r>
      <w:r w:rsidRPr="00A03CC5">
        <w:rPr>
          <w:rFonts w:ascii="Times New Roman" w:hAnsi="Times New Roman"/>
          <w:color w:val="000000"/>
          <w:sz w:val="24"/>
          <w:shd w:val="clear" w:color="auto" w:fill="FFFFFF"/>
        </w:rPr>
        <w:t xml:space="preserve">under subsection 50(1) of the </w:t>
      </w:r>
      <w:r w:rsidRPr="00A03CC5">
        <w:rPr>
          <w:rFonts w:ascii="Times New Roman" w:hAnsi="Times New Roman"/>
          <w:i/>
          <w:color w:val="000000"/>
          <w:sz w:val="24"/>
          <w:shd w:val="clear" w:color="auto" w:fill="FFFFFF"/>
        </w:rPr>
        <w:t>Legislation Act 2003</w:t>
      </w:r>
      <w:r w:rsidRPr="00A03CC5">
        <w:rPr>
          <w:rFonts w:ascii="Times New Roman" w:hAnsi="Times New Roman"/>
          <w:color w:val="000000"/>
          <w:sz w:val="24"/>
          <w:shd w:val="clear" w:color="auto" w:fill="FFFFFF"/>
        </w:rPr>
        <w:t xml:space="preserve">. APRA has reviewed the regulatory performance of the previous </w:t>
      </w:r>
      <w:r>
        <w:rPr>
          <w:rFonts w:ascii="Times New Roman" w:hAnsi="Times New Roman"/>
          <w:sz w:val="24"/>
        </w:rPr>
        <w:t>instruments</w:t>
      </w:r>
      <w:r w:rsidRPr="00A03CC5">
        <w:rPr>
          <w:rFonts w:ascii="Times New Roman" w:hAnsi="Times New Roman"/>
          <w:color w:val="000000"/>
          <w:sz w:val="24"/>
          <w:shd w:val="clear" w:color="auto" w:fill="FFFFFF"/>
        </w:rPr>
        <w:t xml:space="preserve"> and found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continue to be fit for purpose. Consequently, APRA intends that </w:t>
      </w:r>
      <w:r>
        <w:rPr>
          <w:rFonts w:ascii="Times New Roman" w:hAnsi="Times New Roman"/>
          <w:color w:val="000000"/>
          <w:sz w:val="24"/>
          <w:shd w:val="clear" w:color="auto" w:fill="FFFFFF"/>
        </w:rPr>
        <w:t>they</w:t>
      </w:r>
      <w:r w:rsidRPr="00A03CC5">
        <w:rPr>
          <w:rFonts w:ascii="Times New Roman" w:hAnsi="Times New Roman"/>
          <w:color w:val="000000"/>
          <w:sz w:val="24"/>
          <w:shd w:val="clear" w:color="auto" w:fill="FFFFFF"/>
        </w:rPr>
        <w:t xml:space="preserve"> be remade without substantive changes. </w:t>
      </w:r>
    </w:p>
    <w:p w14:paraId="35984630" w14:textId="619D555E" w:rsidR="0064189F" w:rsidRPr="00A03CC5" w:rsidRDefault="0064189F" w:rsidP="00CC2775">
      <w:pPr>
        <w:widowControl w:val="0"/>
        <w:rPr>
          <w:rFonts w:ascii="Times New Roman" w:hAnsi="Times New Roman"/>
          <w:sz w:val="24"/>
        </w:rPr>
      </w:pPr>
      <w:r w:rsidRPr="00A03CC5">
        <w:rPr>
          <w:rFonts w:ascii="Times New Roman" w:hAnsi="Times New Roman"/>
          <w:color w:val="000000"/>
          <w:sz w:val="24"/>
          <w:shd w:val="clear" w:color="auto" w:fill="FFFFFF"/>
        </w:rPr>
        <w:t>The purpose of the instrument</w:t>
      </w:r>
      <w:r>
        <w:rPr>
          <w:rFonts w:ascii="Times New Roman" w:hAnsi="Times New Roman"/>
          <w:color w:val="000000"/>
          <w:sz w:val="24"/>
          <w:shd w:val="clear" w:color="auto" w:fill="FFFFFF"/>
        </w:rPr>
        <w:t>s is</w:t>
      </w:r>
      <w:r w:rsidRPr="00A03CC5">
        <w:rPr>
          <w:rFonts w:ascii="Times New Roman" w:hAnsi="Times New Roman"/>
          <w:color w:val="000000"/>
          <w:sz w:val="24"/>
          <w:shd w:val="clear" w:color="auto" w:fill="FFFFFF"/>
        </w:rPr>
        <w:t xml:space="preserve"> to revoke the previous </w:t>
      </w:r>
      <w:r>
        <w:rPr>
          <w:rFonts w:ascii="Times New Roman" w:hAnsi="Times New Roman"/>
          <w:sz w:val="24"/>
        </w:rPr>
        <w:t>instruments</w:t>
      </w:r>
      <w:r w:rsidRPr="00A03CC5">
        <w:rPr>
          <w:rFonts w:ascii="Times New Roman" w:hAnsi="Times New Roman"/>
          <w:color w:val="000000"/>
          <w:sz w:val="24"/>
          <w:shd w:val="clear" w:color="auto" w:fill="FFFFFF"/>
        </w:rPr>
        <w:t xml:space="preserve"> and remake </w:t>
      </w:r>
      <w:r>
        <w:rPr>
          <w:rFonts w:ascii="Times New Roman" w:hAnsi="Times New Roman"/>
          <w:color w:val="000000"/>
          <w:sz w:val="24"/>
          <w:shd w:val="clear" w:color="auto" w:fill="FFFFFF"/>
        </w:rPr>
        <w:t xml:space="preserve">the </w:t>
      </w:r>
      <w:r>
        <w:rPr>
          <w:rFonts w:ascii="Times New Roman" w:hAnsi="Times New Roman"/>
          <w:sz w:val="24"/>
        </w:rPr>
        <w:t>instruments</w:t>
      </w:r>
      <w:r w:rsidRPr="00A03CC5">
        <w:rPr>
          <w:rFonts w:ascii="Times New Roman" w:hAnsi="Times New Roman"/>
          <w:color w:val="000000"/>
          <w:sz w:val="24"/>
          <w:shd w:val="clear" w:color="auto" w:fill="FFFFFF"/>
        </w:rPr>
        <w:t xml:space="preserve"> with minor changes to use the drafting style employed currently for APRA’s reporting standards, such as f</w:t>
      </w:r>
      <w:r w:rsidRPr="00A03CC5">
        <w:rPr>
          <w:rFonts w:ascii="Times New Roman" w:hAnsi="Times New Roman"/>
          <w:sz w:val="24"/>
          <w:shd w:val="clear" w:color="auto" w:fill="FFFFFF"/>
        </w:rPr>
        <w:t>ormatting to improve readability and accessibility</w:t>
      </w:r>
      <w:r w:rsidR="00553C88">
        <w:rPr>
          <w:rFonts w:ascii="Times New Roman" w:hAnsi="Times New Roman"/>
          <w:sz w:val="24"/>
          <w:shd w:val="clear" w:color="auto" w:fill="FFFFFF"/>
        </w:rPr>
        <w:t xml:space="preserve"> in line with government requirements</w:t>
      </w:r>
      <w:r w:rsidRPr="00A03CC5">
        <w:rPr>
          <w:rFonts w:ascii="Times New Roman" w:hAnsi="Times New Roman"/>
          <w:sz w:val="24"/>
          <w:shd w:val="clear" w:color="auto" w:fill="FFFFFF"/>
        </w:rPr>
        <w:t>, make minor definitional changes and update the commencement date</w:t>
      </w:r>
      <w:r w:rsidRPr="00A03CC5">
        <w:rPr>
          <w:rFonts w:ascii="Times New Roman" w:hAnsi="Times New Roman"/>
          <w:color w:val="000000"/>
          <w:sz w:val="24"/>
          <w:shd w:val="clear" w:color="auto" w:fill="FFFFFF"/>
        </w:rPr>
        <w:t xml:space="preserve">. The changes to </w:t>
      </w:r>
      <w:r w:rsidR="00893E13">
        <w:rPr>
          <w:rFonts w:ascii="Times New Roman" w:hAnsi="Times New Roman"/>
          <w:sz w:val="24"/>
        </w:rPr>
        <w:t xml:space="preserve">the </w:t>
      </w:r>
      <w:r w:rsidR="00412204">
        <w:rPr>
          <w:rFonts w:ascii="Times New Roman" w:hAnsi="Times New Roman"/>
          <w:sz w:val="24"/>
        </w:rPr>
        <w:t>instruments</w:t>
      </w:r>
      <w:r w:rsidRPr="00A03CC5">
        <w:rPr>
          <w:rFonts w:ascii="Times New Roman" w:hAnsi="Times New Roman"/>
          <w:color w:val="000000"/>
          <w:sz w:val="24"/>
          <w:shd w:val="clear" w:color="auto" w:fill="FFFFFF"/>
        </w:rPr>
        <w:t xml:space="preserve"> do not alter the existing reporting obligations or interests of GIs. </w:t>
      </w:r>
      <w:r w:rsidRPr="00A03CC5">
        <w:rPr>
          <w:rFonts w:ascii="Times New Roman" w:hAnsi="Times New Roman"/>
          <w:sz w:val="24"/>
        </w:rPr>
        <w:t xml:space="preserve">The due dates, data </w:t>
      </w:r>
      <w:proofErr w:type="gramStart"/>
      <w:r w:rsidRPr="00A03CC5">
        <w:rPr>
          <w:rFonts w:ascii="Times New Roman" w:hAnsi="Times New Roman"/>
          <w:sz w:val="24"/>
        </w:rPr>
        <w:t>required</w:t>
      </w:r>
      <w:proofErr w:type="gramEnd"/>
      <w:r w:rsidRPr="00A03CC5">
        <w:rPr>
          <w:rFonts w:ascii="Times New Roman" w:hAnsi="Times New Roman"/>
          <w:sz w:val="24"/>
        </w:rPr>
        <w:t xml:space="preserve"> and the application of the reporting standard</w:t>
      </w:r>
      <w:r>
        <w:rPr>
          <w:rFonts w:ascii="Times New Roman" w:hAnsi="Times New Roman"/>
          <w:sz w:val="24"/>
        </w:rPr>
        <w:t>s</w:t>
      </w:r>
      <w:r w:rsidRPr="00A03CC5">
        <w:rPr>
          <w:rFonts w:ascii="Times New Roman" w:hAnsi="Times New Roman"/>
          <w:sz w:val="24"/>
        </w:rPr>
        <w:t xml:space="preserve"> ha</w:t>
      </w:r>
      <w:r>
        <w:rPr>
          <w:rFonts w:ascii="Times New Roman" w:hAnsi="Times New Roman"/>
          <w:sz w:val="24"/>
        </w:rPr>
        <w:t>ve</w:t>
      </w:r>
      <w:r w:rsidRPr="00A03CC5">
        <w:rPr>
          <w:rFonts w:ascii="Times New Roman" w:hAnsi="Times New Roman"/>
          <w:sz w:val="24"/>
        </w:rPr>
        <w:t xml:space="preserve"> not changed.</w:t>
      </w:r>
    </w:p>
    <w:p w14:paraId="2DC97CCD" w14:textId="3C7C4944" w:rsidR="0064189F" w:rsidRPr="00A03CC5" w:rsidRDefault="0064189F" w:rsidP="00CC2775">
      <w:pPr>
        <w:widowControl w:val="0"/>
        <w:rPr>
          <w:rFonts w:ascii="Times New Roman" w:hAnsi="Times New Roman"/>
          <w:sz w:val="24"/>
        </w:rPr>
      </w:pPr>
      <w:r w:rsidRPr="00A03CC5">
        <w:rPr>
          <w:rFonts w:ascii="Times New Roman" w:hAnsi="Times New Roman"/>
          <w:color w:val="000000"/>
          <w:sz w:val="24"/>
          <w:shd w:val="clear" w:color="auto" w:fill="FFFFFF"/>
        </w:rPr>
        <w:t>The instrument</w:t>
      </w:r>
      <w:r>
        <w:rPr>
          <w:rFonts w:ascii="Times New Roman" w:hAnsi="Times New Roman"/>
          <w:color w:val="000000"/>
          <w:sz w:val="24"/>
          <w:shd w:val="clear" w:color="auto" w:fill="FFFFFF"/>
        </w:rPr>
        <w:t>s</w:t>
      </w:r>
      <w:r w:rsidRPr="00A03CC5">
        <w:rPr>
          <w:rFonts w:ascii="Times New Roman" w:hAnsi="Times New Roman"/>
          <w:color w:val="000000"/>
          <w:sz w:val="24"/>
          <w:shd w:val="clear" w:color="auto" w:fill="FFFFFF"/>
        </w:rPr>
        <w:t xml:space="preserve"> incorporate by reference certain provisions of Acts, Prudential Standards, and Australian Accounting Standards issued by the Australian Accounting Standards Board</w:t>
      </w:r>
      <w:r w:rsidR="005E5CDC">
        <w:rPr>
          <w:rFonts w:ascii="Times New Roman" w:hAnsi="Times New Roman"/>
          <w:color w:val="000000"/>
          <w:sz w:val="24"/>
          <w:shd w:val="clear" w:color="auto" w:fill="FFFFFF"/>
        </w:rPr>
        <w:t>.</w:t>
      </w:r>
      <w:r w:rsidR="00FB3583">
        <w:rPr>
          <w:rFonts w:ascii="Times New Roman" w:hAnsi="Times New Roman"/>
          <w:color w:val="000000"/>
          <w:sz w:val="24"/>
          <w:shd w:val="clear" w:color="auto" w:fill="FFFFFF"/>
        </w:rPr>
        <w:t xml:space="preserve"> </w:t>
      </w:r>
      <w:proofErr w:type="gramStart"/>
      <w:r w:rsidRPr="00A03CC5">
        <w:rPr>
          <w:rFonts w:ascii="Times New Roman" w:hAnsi="Times New Roman"/>
          <w:color w:val="000000"/>
          <w:sz w:val="24"/>
          <w:shd w:val="clear" w:color="auto" w:fill="FFFFFF"/>
        </w:rPr>
        <w:t>All of</w:t>
      </w:r>
      <w:proofErr w:type="gramEnd"/>
      <w:r w:rsidRPr="00A03CC5">
        <w:rPr>
          <w:rFonts w:ascii="Times New Roman" w:hAnsi="Times New Roman"/>
          <w:color w:val="000000"/>
          <w:sz w:val="24"/>
          <w:shd w:val="clear" w:color="auto" w:fill="FFFFFF"/>
        </w:rPr>
        <w:t xml:space="preserve"> these references are references to the instruments as they exist from time to time. These instruments are disallowable instruments and are available on the Federal Register of Legislation at </w:t>
      </w:r>
      <w:hyperlink r:id="rId13" w:history="1">
        <w:r w:rsidRPr="00A03CC5">
          <w:rPr>
            <w:rStyle w:val="Hyperlink"/>
            <w:rFonts w:ascii="Times New Roman" w:eastAsiaTheme="majorEastAsia" w:hAnsi="Times New Roman"/>
            <w:sz w:val="24"/>
            <w:shd w:val="clear" w:color="auto" w:fill="FFFFFF"/>
          </w:rPr>
          <w:t>www.legislation.gov.au</w:t>
        </w:r>
      </w:hyperlink>
      <w:r w:rsidRPr="00A03CC5">
        <w:rPr>
          <w:rFonts w:ascii="Times New Roman" w:hAnsi="Times New Roman"/>
          <w:color w:val="000000"/>
          <w:sz w:val="24"/>
          <w:shd w:val="clear" w:color="auto" w:fill="FFFFFF"/>
        </w:rPr>
        <w:t xml:space="preserve">. </w:t>
      </w:r>
    </w:p>
    <w:p w14:paraId="25C58463" w14:textId="38FD9B16" w:rsidR="0064189F" w:rsidRPr="00A03CC5" w:rsidRDefault="0064189F" w:rsidP="00CC2775">
      <w:pPr>
        <w:widowControl w:val="0"/>
        <w:rPr>
          <w:rFonts w:ascii="Times New Roman" w:hAnsi="Times New Roman"/>
          <w:sz w:val="24"/>
        </w:rPr>
      </w:pPr>
      <w:r w:rsidRPr="00A03CC5">
        <w:rPr>
          <w:rFonts w:ascii="Times New Roman" w:hAnsi="Times New Roman"/>
          <w:sz w:val="24"/>
        </w:rPr>
        <w:t xml:space="preserve">There are a number of powers that may be exercised by APRA in reporting standards that involve an element of </w:t>
      </w:r>
      <w:proofErr w:type="gramStart"/>
      <w:r w:rsidRPr="00A03CC5">
        <w:rPr>
          <w:rFonts w:ascii="Times New Roman" w:hAnsi="Times New Roman"/>
          <w:sz w:val="24"/>
        </w:rPr>
        <w:t>discretion</w:t>
      </w:r>
      <w:proofErr w:type="gramEnd"/>
      <w:r w:rsidRPr="00A03CC5">
        <w:rPr>
          <w:rFonts w:ascii="Times New Roman" w:hAnsi="Times New Roman"/>
          <w:sz w:val="24"/>
        </w:rPr>
        <w:t xml:space="preserve"> and which may impact the interests of the financial sector entity to which the reporting standard applies. These decisions include APRA refusing to change a reporting period or due date for a GI to provide information required by </w:t>
      </w:r>
      <w:bookmarkStart w:id="5" w:name="_Hlk129106863"/>
      <w:r w:rsidR="000C7679">
        <w:rPr>
          <w:rFonts w:ascii="Times New Roman" w:hAnsi="Times New Roman"/>
          <w:sz w:val="24"/>
        </w:rPr>
        <w:t xml:space="preserve">the </w:t>
      </w:r>
      <w:r w:rsidR="003F6060">
        <w:rPr>
          <w:rFonts w:ascii="Times New Roman" w:hAnsi="Times New Roman"/>
          <w:sz w:val="24"/>
        </w:rPr>
        <w:t>instruments</w:t>
      </w:r>
      <w:bookmarkEnd w:id="5"/>
      <w:r w:rsidRPr="00A03CC5">
        <w:rPr>
          <w:rFonts w:ascii="Times New Roman" w:hAnsi="Times New Roman"/>
          <w:sz w:val="24"/>
        </w:rPr>
        <w:t xml:space="preserve">. Decisions made by APRA exercising those powers are not subject to merits review. Delays caused by an entity seeking merits review of APRA’s decisions under one or more reporting standards could significantly compromise use of the data at an </w:t>
      </w:r>
      <w:r>
        <w:rPr>
          <w:rFonts w:ascii="Times New Roman" w:hAnsi="Times New Roman"/>
          <w:sz w:val="24"/>
        </w:rPr>
        <w:t>entity and</w:t>
      </w:r>
      <w:r w:rsidRPr="00A03CC5">
        <w:rPr>
          <w:rFonts w:ascii="Times New Roman" w:hAnsi="Times New Roman"/>
          <w:sz w:val="24"/>
        </w:rPr>
        <w:t xml:space="preserve"> aggregate level by APRA.</w:t>
      </w:r>
      <w:r w:rsidR="00A53B74">
        <w:rPr>
          <w:rFonts w:ascii="Times New Roman" w:hAnsi="Times New Roman"/>
          <w:sz w:val="24"/>
        </w:rPr>
        <w:t xml:space="preserve"> </w:t>
      </w:r>
      <w:bookmarkStart w:id="6" w:name="_Hlk129265234"/>
      <w:r w:rsidR="00A53B74">
        <w:rPr>
          <w:rFonts w:ascii="Times New Roman" w:hAnsi="Times New Roman"/>
          <w:sz w:val="24"/>
        </w:rPr>
        <w:t>It is necessary</w:t>
      </w:r>
      <w:r w:rsidR="00A53B74" w:rsidRPr="003C040C">
        <w:rPr>
          <w:rFonts w:ascii="Times New Roman" w:hAnsi="Times New Roman"/>
          <w:sz w:val="24"/>
        </w:rPr>
        <w:t xml:space="preserve"> that </w:t>
      </w:r>
      <w:r w:rsidR="00A53B74">
        <w:rPr>
          <w:rFonts w:ascii="Times New Roman" w:hAnsi="Times New Roman"/>
          <w:sz w:val="24"/>
        </w:rPr>
        <w:t>these reporting standards</w:t>
      </w:r>
      <w:r w:rsidR="00A53B74" w:rsidRPr="003C040C">
        <w:rPr>
          <w:rFonts w:ascii="Times New Roman" w:hAnsi="Times New Roman"/>
          <w:sz w:val="24"/>
        </w:rPr>
        <w:t xml:space="preserve"> be allowed to continue in force from 1 April 2023 onwards.</w:t>
      </w:r>
      <w:bookmarkEnd w:id="6"/>
    </w:p>
    <w:p w14:paraId="2574A17C" w14:textId="77777777" w:rsidR="0064189F" w:rsidRPr="00A03CC5" w:rsidRDefault="0064189F" w:rsidP="00CC2775">
      <w:pPr>
        <w:widowControl w:val="0"/>
        <w:rPr>
          <w:rFonts w:ascii="Times New Roman" w:hAnsi="Times New Roman"/>
          <w:sz w:val="24"/>
        </w:rPr>
      </w:pPr>
      <w:r w:rsidRPr="00A03CC5">
        <w:rPr>
          <w:rFonts w:ascii="Times New Roman" w:hAnsi="Times New Roman"/>
          <w:sz w:val="24"/>
        </w:rPr>
        <w:t>APRA considers decisions made by APRA exercising discretions under its reporting standards should not be subject to merits review as they are financial decisions with a significant public interest element.</w:t>
      </w:r>
    </w:p>
    <w:p w14:paraId="3DA2C638" w14:textId="77777777" w:rsidR="00BB4BB7" w:rsidRPr="00467C25" w:rsidRDefault="00BB4BB7" w:rsidP="00CC2775">
      <w:pPr>
        <w:pStyle w:val="ListParagraph"/>
        <w:numPr>
          <w:ilvl w:val="0"/>
          <w:numId w:val="51"/>
        </w:numPr>
        <w:rPr>
          <w:rFonts w:ascii="Times New Roman" w:hAnsi="Times New Roman"/>
          <w:b/>
          <w:sz w:val="24"/>
        </w:rPr>
      </w:pPr>
      <w:r w:rsidRPr="00467C25">
        <w:rPr>
          <w:rFonts w:ascii="Times New Roman" w:hAnsi="Times New Roman"/>
          <w:b/>
          <w:sz w:val="24"/>
        </w:rPr>
        <w:t xml:space="preserve">Consultation </w:t>
      </w:r>
    </w:p>
    <w:p w14:paraId="289B32A1" w14:textId="5355A2B1" w:rsidR="00BB4BB7" w:rsidRPr="003F6060" w:rsidRDefault="003F6060" w:rsidP="00CC2775">
      <w:pPr>
        <w:rPr>
          <w:rFonts w:ascii="Times New Roman" w:hAnsi="Times New Roman"/>
          <w:sz w:val="24"/>
        </w:rPr>
      </w:pPr>
      <w:r w:rsidRPr="00A03CC5">
        <w:rPr>
          <w:rFonts w:ascii="Times New Roman" w:hAnsi="Times New Roman"/>
          <w:sz w:val="24"/>
        </w:rPr>
        <w:t xml:space="preserve">The substance of the </w:t>
      </w:r>
      <w:r w:rsidR="005E5CDC">
        <w:rPr>
          <w:rFonts w:ascii="Times New Roman" w:hAnsi="Times New Roman"/>
          <w:sz w:val="24"/>
        </w:rPr>
        <w:t xml:space="preserve">instruments </w:t>
      </w:r>
      <w:r w:rsidRPr="00A03CC5">
        <w:rPr>
          <w:rFonts w:ascii="Times New Roman" w:hAnsi="Times New Roman"/>
          <w:sz w:val="24"/>
        </w:rPr>
        <w:t>has already been consulted on with industry when originally determining the reporting standard</w:t>
      </w:r>
      <w:r>
        <w:rPr>
          <w:rFonts w:ascii="Times New Roman" w:hAnsi="Times New Roman"/>
          <w:sz w:val="24"/>
        </w:rPr>
        <w:t>s</w:t>
      </w:r>
      <w:r w:rsidRPr="00A03CC5">
        <w:rPr>
          <w:rFonts w:ascii="Times New Roman" w:hAnsi="Times New Roman"/>
          <w:sz w:val="24"/>
        </w:rPr>
        <w:t xml:space="preserve"> (see the Explanatory Statement</w:t>
      </w:r>
      <w:r>
        <w:rPr>
          <w:rFonts w:ascii="Times New Roman" w:hAnsi="Times New Roman"/>
          <w:sz w:val="24"/>
        </w:rPr>
        <w:t>s</w:t>
      </w:r>
      <w:r w:rsidRPr="00A03CC5">
        <w:rPr>
          <w:rFonts w:ascii="Times New Roman" w:hAnsi="Times New Roman"/>
          <w:sz w:val="24"/>
        </w:rPr>
        <w:t xml:space="preserve"> for the previous</w:t>
      </w:r>
      <w:r w:rsidR="005E5CDC">
        <w:rPr>
          <w:rFonts w:ascii="Times New Roman" w:hAnsi="Times New Roman"/>
          <w:sz w:val="24"/>
        </w:rPr>
        <w:t xml:space="preserve"> instruments</w:t>
      </w:r>
      <w:r w:rsidRPr="00704D69">
        <w:rPr>
          <w:rFonts w:ascii="Times New Roman" w:hAnsi="Times New Roman"/>
          <w:sz w:val="24"/>
        </w:rPr>
        <w:t>).</w:t>
      </w:r>
      <w:r w:rsidRPr="00A03CC5">
        <w:rPr>
          <w:rFonts w:ascii="Times New Roman" w:hAnsi="Times New Roman"/>
          <w:sz w:val="24"/>
        </w:rPr>
        <w:t xml:space="preserve"> APRA is satisfied that further consultation is not necessary and not reasonably practicable to undertake for th</w:t>
      </w:r>
      <w:r>
        <w:rPr>
          <w:rFonts w:ascii="Times New Roman" w:hAnsi="Times New Roman"/>
          <w:sz w:val="24"/>
        </w:rPr>
        <w:t>ese</w:t>
      </w:r>
      <w:r w:rsidRPr="00A03CC5">
        <w:rPr>
          <w:rFonts w:ascii="Times New Roman" w:hAnsi="Times New Roman"/>
          <w:sz w:val="24"/>
        </w:rPr>
        <w:t xml:space="preserve"> instrument</w:t>
      </w:r>
      <w:r>
        <w:rPr>
          <w:rFonts w:ascii="Times New Roman" w:hAnsi="Times New Roman"/>
          <w:sz w:val="24"/>
        </w:rPr>
        <w:t>s</w:t>
      </w:r>
      <w:r w:rsidRPr="00A03CC5">
        <w:rPr>
          <w:rFonts w:ascii="Times New Roman" w:hAnsi="Times New Roman"/>
          <w:sz w:val="24"/>
        </w:rPr>
        <w:t>. The instrument</w:t>
      </w:r>
      <w:r>
        <w:rPr>
          <w:rFonts w:ascii="Times New Roman" w:hAnsi="Times New Roman"/>
          <w:sz w:val="24"/>
        </w:rPr>
        <w:t>s</w:t>
      </w:r>
      <w:r w:rsidRPr="00A03CC5">
        <w:rPr>
          <w:rFonts w:ascii="Times New Roman" w:hAnsi="Times New Roman"/>
          <w:sz w:val="24"/>
        </w:rPr>
        <w:t xml:space="preserve"> do not alter the existing reporting obligations that are required to be complied with by GIs and any changes to the instrument</w:t>
      </w:r>
      <w:r>
        <w:rPr>
          <w:rFonts w:ascii="Times New Roman" w:hAnsi="Times New Roman"/>
          <w:sz w:val="24"/>
        </w:rPr>
        <w:t>s</w:t>
      </w:r>
      <w:r w:rsidRPr="00A03CC5">
        <w:rPr>
          <w:rFonts w:ascii="Times New Roman" w:hAnsi="Times New Roman"/>
          <w:sz w:val="24"/>
        </w:rPr>
        <w:t xml:space="preserve"> are minor and machinery in nature</w:t>
      </w:r>
      <w:r w:rsidRPr="003F6060">
        <w:rPr>
          <w:rFonts w:ascii="Times New Roman" w:hAnsi="Times New Roman"/>
          <w:sz w:val="24"/>
        </w:rPr>
        <w:t>.</w:t>
      </w:r>
    </w:p>
    <w:p w14:paraId="64F20D9F" w14:textId="77777777" w:rsidR="00BB4BB7" w:rsidRPr="00467C25" w:rsidRDefault="00BB4BB7" w:rsidP="00CC2775">
      <w:pPr>
        <w:pStyle w:val="ListParagraph"/>
        <w:numPr>
          <w:ilvl w:val="0"/>
          <w:numId w:val="51"/>
        </w:numPr>
        <w:rPr>
          <w:rFonts w:ascii="Times New Roman" w:hAnsi="Times New Roman"/>
          <w:b/>
          <w:sz w:val="24"/>
        </w:rPr>
      </w:pPr>
      <w:r w:rsidRPr="00467C25">
        <w:rPr>
          <w:rFonts w:ascii="Times New Roman" w:hAnsi="Times New Roman"/>
          <w:b/>
          <w:sz w:val="24"/>
        </w:rPr>
        <w:t xml:space="preserve">Regulation Impact Statement </w:t>
      </w:r>
    </w:p>
    <w:p w14:paraId="35018360" w14:textId="77777777" w:rsidR="00BB4BB7" w:rsidRDefault="00BB4BB7" w:rsidP="00CC2775">
      <w:pPr>
        <w:rPr>
          <w:rFonts w:ascii="Times New Roman" w:hAnsi="Times New Roman"/>
          <w:sz w:val="24"/>
        </w:rPr>
      </w:pPr>
      <w:r w:rsidRPr="00467C25">
        <w:rPr>
          <w:rFonts w:ascii="Times New Roman" w:hAnsi="Times New Roman"/>
          <w:sz w:val="24"/>
        </w:rPr>
        <w:t>The Office of Impact Analysis has advised that a Regulation Impact Statement is not required for these legislative instruments.</w:t>
      </w:r>
      <w:r>
        <w:rPr>
          <w:rFonts w:ascii="Times New Roman" w:hAnsi="Times New Roman"/>
          <w:sz w:val="24"/>
        </w:rPr>
        <w:t xml:space="preserve"> </w:t>
      </w:r>
    </w:p>
    <w:p w14:paraId="1619C1F5" w14:textId="77777777" w:rsidR="00BB4BB7" w:rsidRPr="0092282A" w:rsidRDefault="00BB4BB7" w:rsidP="007D4A0D">
      <w:pPr>
        <w:pStyle w:val="ListParagraph"/>
        <w:keepNext/>
        <w:numPr>
          <w:ilvl w:val="0"/>
          <w:numId w:val="51"/>
        </w:numPr>
        <w:rPr>
          <w:rFonts w:ascii="Times New Roman" w:hAnsi="Times New Roman"/>
          <w:b/>
          <w:sz w:val="24"/>
        </w:rPr>
      </w:pPr>
      <w:r w:rsidRPr="0092282A">
        <w:rPr>
          <w:rFonts w:ascii="Times New Roman" w:hAnsi="Times New Roman"/>
          <w:b/>
          <w:sz w:val="24"/>
        </w:rPr>
        <w:lastRenderedPageBreak/>
        <w:t>Statement of compatibility prepared in accordance with Part 3 of the Human Rights (Parliamentary Scrutiny) Act 2011</w:t>
      </w:r>
    </w:p>
    <w:p w14:paraId="24809FBE" w14:textId="4EABC648" w:rsidR="009D33B7" w:rsidRDefault="00BB4BB7" w:rsidP="007D4A0D">
      <w:pPr>
        <w:pStyle w:val="Paragraph"/>
        <w:keepNext/>
      </w:pPr>
      <w:r w:rsidRPr="00C82862">
        <w:t xml:space="preserve">A Statement of compatibility prepared in accordance with Part 3 of the </w:t>
      </w:r>
      <w:r w:rsidRPr="00C82862">
        <w:rPr>
          <w:i/>
        </w:rPr>
        <w:t>Human Rights (Parliamentary Scrutiny) Act 2011</w:t>
      </w:r>
      <w:r w:rsidRPr="00C82862">
        <w:t xml:space="preserve"> is provided at Attachment A to this Explanatory Statement.</w:t>
      </w:r>
    </w:p>
    <w:p w14:paraId="61A8C41D" w14:textId="77777777" w:rsidR="00B70625" w:rsidRDefault="00B70625" w:rsidP="00CC2775">
      <w:pPr>
        <w:pStyle w:val="Paragraph"/>
        <w:sectPr w:rsidR="00B70625" w:rsidSect="00A34ADD">
          <w:footerReference w:type="default" r:id="rId14"/>
          <w:pgSz w:w="11906" w:h="16838" w:code="9"/>
          <w:pgMar w:top="1440" w:right="1440" w:bottom="1440" w:left="1440" w:header="567" w:footer="567" w:gutter="0"/>
          <w:pgNumType w:start="1"/>
          <w:cols w:space="708"/>
          <w:docGrid w:linePitch="360"/>
        </w:sectPr>
      </w:pPr>
    </w:p>
    <w:p w14:paraId="7CD492BC" w14:textId="77777777" w:rsidR="00B70625" w:rsidRPr="00C82862" w:rsidRDefault="00B70625" w:rsidP="00CC277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lastRenderedPageBreak/>
        <w:t>Attachment A</w:t>
      </w:r>
    </w:p>
    <w:p w14:paraId="020E3C59" w14:textId="77777777" w:rsidR="00B70625" w:rsidRPr="00C82862" w:rsidRDefault="00B70625" w:rsidP="00CC2775">
      <w:pPr>
        <w:autoSpaceDE w:val="0"/>
        <w:autoSpaceDN w:val="0"/>
        <w:adjustRightInd w:val="0"/>
        <w:jc w:val="center"/>
        <w:rPr>
          <w:rFonts w:ascii="Times New Roman" w:eastAsia="Calibri" w:hAnsi="Times New Roman"/>
          <w:b/>
          <w:bCs/>
          <w:sz w:val="24"/>
        </w:rPr>
      </w:pPr>
      <w:r w:rsidRPr="00C82862">
        <w:rPr>
          <w:rFonts w:ascii="Times New Roman" w:eastAsia="Calibri" w:hAnsi="Times New Roman"/>
          <w:b/>
          <w:bCs/>
          <w:sz w:val="24"/>
        </w:rPr>
        <w:t>Statement of Compatibility with Human Rights</w:t>
      </w:r>
    </w:p>
    <w:p w14:paraId="772DD428" w14:textId="77777777" w:rsidR="00B70625" w:rsidRPr="00C82862" w:rsidRDefault="00B70625" w:rsidP="00CC2775">
      <w:pPr>
        <w:pStyle w:val="Paragraph"/>
        <w:rPr>
          <w:rFonts w:eastAsia="Calibri"/>
        </w:rPr>
      </w:pPr>
      <w:r w:rsidRPr="00C82862">
        <w:rPr>
          <w:rFonts w:eastAsia="Calibri"/>
        </w:rPr>
        <w:t xml:space="preserve">Prepared in accordance with Part 3 of the </w:t>
      </w:r>
      <w:r w:rsidRPr="003723F1">
        <w:rPr>
          <w:rFonts w:eastAsia="Calibri"/>
          <w:i/>
        </w:rPr>
        <w:t>Human Rights (Parliamentary Scrutiny) Act 2011</w:t>
      </w:r>
    </w:p>
    <w:p w14:paraId="15C9421D" w14:textId="77777777" w:rsidR="009D09A9" w:rsidRDefault="00B70625" w:rsidP="00CC2775">
      <w:pPr>
        <w:jc w:val="center"/>
        <w:rPr>
          <w:rFonts w:ascii="Times New Roman" w:hAnsi="Times New Roman"/>
          <w:b/>
          <w:sz w:val="24"/>
        </w:rPr>
      </w:pPr>
      <w:r w:rsidRPr="003F6060">
        <w:rPr>
          <w:rFonts w:ascii="Times New Roman" w:eastAsia="Calibri" w:hAnsi="Times New Roman"/>
          <w:b/>
          <w:bCs/>
          <w:sz w:val="24"/>
        </w:rPr>
        <w:t xml:space="preserve">Financial Sector (Collection of Data) (reporting standard) determination </w:t>
      </w:r>
      <w:r w:rsidR="009D09A9" w:rsidRPr="009D09A9">
        <w:rPr>
          <w:rFonts w:ascii="Times New Roman" w:hAnsi="Times New Roman"/>
          <w:b/>
          <w:sz w:val="24"/>
        </w:rPr>
        <w:t>Nos. 4, 6, 9, 10, 11, 12, 13, 14, 18, 19 and 20 of 2023</w:t>
      </w:r>
    </w:p>
    <w:p w14:paraId="3430FAB8" w14:textId="64FA0303" w:rsidR="00B70625" w:rsidRPr="00C82862" w:rsidRDefault="003F6060" w:rsidP="00CC2775">
      <w:pPr>
        <w:autoSpaceDE w:val="0"/>
        <w:autoSpaceDN w:val="0"/>
        <w:adjustRightInd w:val="0"/>
        <w:rPr>
          <w:rFonts w:ascii="Times New Roman" w:eastAsia="Calibri" w:hAnsi="Times New Roman"/>
          <w:b/>
          <w:bCs/>
          <w:sz w:val="24"/>
        </w:rPr>
      </w:pPr>
      <w:r w:rsidRPr="00474451">
        <w:rPr>
          <w:rFonts w:ascii="Times New Roman" w:hAnsi="Times New Roman"/>
          <w:b/>
          <w:sz w:val="24"/>
        </w:rPr>
        <w:t>of 2023</w:t>
      </w:r>
    </w:p>
    <w:p w14:paraId="560F3CE2" w14:textId="77777777" w:rsidR="00B70625" w:rsidRPr="00C82862" w:rsidRDefault="00B70625" w:rsidP="00CC2775">
      <w:pPr>
        <w:pStyle w:val="Paragraph"/>
        <w:rPr>
          <w:rFonts w:eastAsia="Calibri"/>
        </w:rPr>
      </w:pPr>
      <w:r w:rsidRPr="00C82862">
        <w:rPr>
          <w:rFonts w:eastAsia="Calibri"/>
        </w:rPr>
        <w:t>Th</w:t>
      </w:r>
      <w:r>
        <w:rPr>
          <w:rFonts w:eastAsia="Calibri"/>
        </w:rPr>
        <w:t>ese</w:t>
      </w:r>
      <w:r w:rsidRPr="00C82862">
        <w:rPr>
          <w:rFonts w:eastAsia="Calibri"/>
        </w:rPr>
        <w:t xml:space="preserve"> Legislative Instrument</w:t>
      </w:r>
      <w:r>
        <w:rPr>
          <w:rFonts w:eastAsia="Calibri"/>
        </w:rPr>
        <w:t>s are</w:t>
      </w:r>
      <w:r w:rsidRPr="00C82862">
        <w:rPr>
          <w:rFonts w:eastAsia="Calibri"/>
        </w:rPr>
        <w:t xml:space="preserve"> compatible with the human rights and freedoms recognised or declared in the international instruments listed in section 3 of the </w:t>
      </w:r>
      <w:r w:rsidRPr="00C82862">
        <w:rPr>
          <w:rFonts w:eastAsia="Calibri"/>
          <w:i/>
          <w:iCs/>
        </w:rPr>
        <w:t xml:space="preserve">Human Rights (Parliamentary Scrutiny) Act 2011 </w:t>
      </w:r>
      <w:r w:rsidRPr="00C82862">
        <w:rPr>
          <w:rFonts w:eastAsia="Calibri"/>
        </w:rPr>
        <w:t>(HRPS Act)</w:t>
      </w:r>
      <w:r w:rsidRPr="00C82862">
        <w:rPr>
          <w:rFonts w:eastAsia="Calibri"/>
          <w:i/>
          <w:iCs/>
        </w:rPr>
        <w:t>.</w:t>
      </w:r>
    </w:p>
    <w:p w14:paraId="219F945A" w14:textId="77777777" w:rsidR="00B70625" w:rsidRPr="00C82862" w:rsidRDefault="00B70625" w:rsidP="00CC277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Overview of the Legislative Instruments</w:t>
      </w:r>
    </w:p>
    <w:p w14:paraId="50CDC0A7" w14:textId="6FCDF50F" w:rsidR="003F6060" w:rsidRPr="00217622" w:rsidRDefault="008767B7" w:rsidP="00CC2775">
      <w:pPr>
        <w:widowControl w:val="0"/>
        <w:rPr>
          <w:rFonts w:ascii="Times New Roman" w:hAnsi="Times New Roman"/>
          <w:sz w:val="24"/>
        </w:rPr>
      </w:pPr>
      <w:bookmarkStart w:id="7" w:name="_Hlk129106981"/>
      <w:r>
        <w:rPr>
          <w:rFonts w:ascii="Times New Roman" w:hAnsi="Times New Roman"/>
          <w:sz w:val="24"/>
        </w:rPr>
        <w:t xml:space="preserve">These </w:t>
      </w:r>
      <w:r w:rsidR="00500986">
        <w:rPr>
          <w:rFonts w:ascii="Times New Roman" w:hAnsi="Times New Roman"/>
          <w:sz w:val="24"/>
        </w:rPr>
        <w:t>Legislative I</w:t>
      </w:r>
      <w:r>
        <w:rPr>
          <w:rFonts w:ascii="Times New Roman" w:hAnsi="Times New Roman"/>
          <w:sz w:val="24"/>
        </w:rPr>
        <w:t>nstruments</w:t>
      </w:r>
      <w:r w:rsidRPr="00A03CC5">
        <w:rPr>
          <w:rFonts w:ascii="Times New Roman" w:hAnsi="Times New Roman"/>
          <w:sz w:val="24"/>
        </w:rPr>
        <w:t xml:space="preserve"> permit APRA to collect data to support APRA’s prudential supervision of </w:t>
      </w:r>
      <w:r>
        <w:rPr>
          <w:rFonts w:ascii="Times New Roman" w:hAnsi="Times New Roman"/>
          <w:sz w:val="24"/>
        </w:rPr>
        <w:t>general insurers (</w:t>
      </w:r>
      <w:r w:rsidRPr="00A03CC5">
        <w:rPr>
          <w:rFonts w:ascii="Times New Roman" w:hAnsi="Times New Roman"/>
          <w:sz w:val="24"/>
        </w:rPr>
        <w:t>GIs</w:t>
      </w:r>
      <w:r>
        <w:rPr>
          <w:rFonts w:ascii="Times New Roman" w:hAnsi="Times New Roman"/>
          <w:sz w:val="24"/>
        </w:rPr>
        <w:t>)</w:t>
      </w:r>
      <w:r w:rsidRPr="00A03CC5">
        <w:rPr>
          <w:rFonts w:ascii="Times New Roman" w:hAnsi="Times New Roman"/>
          <w:sz w:val="24"/>
        </w:rPr>
        <w:t xml:space="preserve"> and </w:t>
      </w:r>
      <w:r>
        <w:rPr>
          <w:rFonts w:ascii="Times New Roman" w:hAnsi="Times New Roman"/>
          <w:sz w:val="24"/>
        </w:rPr>
        <w:t>are</w:t>
      </w:r>
      <w:r w:rsidRPr="00A03CC5">
        <w:rPr>
          <w:rFonts w:ascii="Times New Roman" w:hAnsi="Times New Roman"/>
          <w:sz w:val="24"/>
        </w:rPr>
        <w:t xml:space="preserve"> used by APRA to assess compliance with the capital standards. </w:t>
      </w:r>
      <w:bookmarkEnd w:id="7"/>
      <w:r w:rsidR="003F6060">
        <w:rPr>
          <w:rFonts w:ascii="Times New Roman" w:hAnsi="Times New Roman"/>
          <w:sz w:val="24"/>
        </w:rPr>
        <w:t>G</w:t>
      </w:r>
      <w:r w:rsidR="003F6060" w:rsidRPr="00217622">
        <w:rPr>
          <w:rFonts w:ascii="Times New Roman" w:hAnsi="Times New Roman"/>
          <w:sz w:val="24"/>
        </w:rPr>
        <w:t xml:space="preserve">Is are bodies corporate authorised to </w:t>
      </w:r>
      <w:r w:rsidR="003F6060">
        <w:rPr>
          <w:rFonts w:ascii="Times New Roman" w:hAnsi="Times New Roman"/>
          <w:sz w:val="24"/>
        </w:rPr>
        <w:t>conduct</w:t>
      </w:r>
      <w:r w:rsidR="003F6060" w:rsidRPr="00217622">
        <w:rPr>
          <w:rFonts w:ascii="Times New Roman" w:hAnsi="Times New Roman"/>
          <w:sz w:val="24"/>
        </w:rPr>
        <w:t xml:space="preserve"> </w:t>
      </w:r>
      <w:r w:rsidR="003F6060">
        <w:rPr>
          <w:rFonts w:ascii="Times New Roman" w:hAnsi="Times New Roman"/>
          <w:sz w:val="24"/>
        </w:rPr>
        <w:t>insurance</w:t>
      </w:r>
      <w:r w:rsidR="003F6060" w:rsidRPr="00217622">
        <w:rPr>
          <w:rFonts w:ascii="Times New Roman" w:hAnsi="Times New Roman"/>
          <w:sz w:val="24"/>
        </w:rPr>
        <w:t xml:space="preserve"> business in Australia.</w:t>
      </w:r>
      <w:r>
        <w:rPr>
          <w:rFonts w:ascii="Times New Roman" w:hAnsi="Times New Roman"/>
          <w:sz w:val="24"/>
        </w:rPr>
        <w:t xml:space="preserve"> </w:t>
      </w:r>
    </w:p>
    <w:p w14:paraId="0064B245" w14:textId="4B3F3E07" w:rsidR="003F6060" w:rsidRPr="00811A87" w:rsidRDefault="003F6060" w:rsidP="00CC2775">
      <w:pPr>
        <w:autoSpaceDE w:val="0"/>
        <w:autoSpaceDN w:val="0"/>
        <w:adjustRightInd w:val="0"/>
        <w:rPr>
          <w:rFonts w:ascii="Times New Roman" w:hAnsi="Times New Roman"/>
          <w:sz w:val="24"/>
        </w:rPr>
      </w:pPr>
      <w:r w:rsidRPr="00811A87">
        <w:rPr>
          <w:rFonts w:ascii="Times New Roman" w:hAnsi="Times New Roman"/>
          <w:sz w:val="24"/>
        </w:rPr>
        <w:t xml:space="preserve">The purpose of the </w:t>
      </w:r>
      <w:r w:rsidR="003F6E5A">
        <w:rPr>
          <w:rFonts w:ascii="Times New Roman" w:hAnsi="Times New Roman"/>
          <w:sz w:val="24"/>
        </w:rPr>
        <w:t>Legislative I</w:t>
      </w:r>
      <w:r w:rsidRPr="00811A87">
        <w:rPr>
          <w:rFonts w:ascii="Times New Roman" w:hAnsi="Times New Roman"/>
          <w:sz w:val="24"/>
        </w:rPr>
        <w:t>nstrument</w:t>
      </w:r>
      <w:r w:rsidR="003F6E5A">
        <w:rPr>
          <w:rFonts w:ascii="Times New Roman" w:hAnsi="Times New Roman"/>
          <w:sz w:val="24"/>
        </w:rPr>
        <w:t>s</w:t>
      </w:r>
      <w:r w:rsidRPr="00811A87">
        <w:rPr>
          <w:rFonts w:ascii="Times New Roman" w:hAnsi="Times New Roman"/>
          <w:sz w:val="24"/>
        </w:rPr>
        <w:t xml:space="preserve"> is to revoke the existing versions </w:t>
      </w:r>
      <w:r>
        <w:rPr>
          <w:rFonts w:ascii="Times New Roman" w:hAnsi="Times New Roman"/>
          <w:sz w:val="24"/>
        </w:rPr>
        <w:t xml:space="preserve">of the </w:t>
      </w:r>
      <w:r w:rsidRPr="003F6060">
        <w:rPr>
          <w:rFonts w:ascii="Times New Roman" w:hAnsi="Times New Roman"/>
          <w:sz w:val="24"/>
        </w:rPr>
        <w:t xml:space="preserve">instruments </w:t>
      </w:r>
      <w:r w:rsidRPr="00811A87">
        <w:rPr>
          <w:rFonts w:ascii="Times New Roman" w:hAnsi="Times New Roman"/>
          <w:sz w:val="24"/>
        </w:rPr>
        <w:t xml:space="preserve">determined by APRA in 2013 and replace them with new versions. New versions of </w:t>
      </w:r>
      <w:r>
        <w:rPr>
          <w:rFonts w:ascii="Times New Roman" w:hAnsi="Times New Roman"/>
          <w:sz w:val="24"/>
        </w:rPr>
        <w:t xml:space="preserve">the </w:t>
      </w:r>
      <w:r w:rsidRPr="003F6060">
        <w:rPr>
          <w:rFonts w:ascii="Times New Roman" w:hAnsi="Times New Roman"/>
          <w:sz w:val="24"/>
        </w:rPr>
        <w:t>instruments</w:t>
      </w:r>
      <w:r w:rsidRPr="00811A87">
        <w:rPr>
          <w:rFonts w:ascii="Times New Roman" w:hAnsi="Times New Roman"/>
          <w:sz w:val="24"/>
        </w:rPr>
        <w:t xml:space="preserve"> are being made as </w:t>
      </w:r>
      <w:r>
        <w:rPr>
          <w:rFonts w:ascii="Times New Roman" w:hAnsi="Times New Roman"/>
          <w:sz w:val="24"/>
        </w:rPr>
        <w:t xml:space="preserve">the </w:t>
      </w:r>
      <w:r w:rsidRPr="003F6060">
        <w:rPr>
          <w:rFonts w:ascii="Times New Roman" w:hAnsi="Times New Roman"/>
          <w:sz w:val="24"/>
        </w:rPr>
        <w:t xml:space="preserve">instruments </w:t>
      </w:r>
      <w:r w:rsidRPr="00811A87">
        <w:rPr>
          <w:rFonts w:ascii="Times New Roman" w:hAnsi="Times New Roman"/>
          <w:sz w:val="24"/>
        </w:rPr>
        <w:t>are due to sunset on 1 April 2023.</w:t>
      </w:r>
    </w:p>
    <w:p w14:paraId="7BDD5243" w14:textId="77777777" w:rsidR="00B70625" w:rsidRPr="00C82862" w:rsidRDefault="00B70625" w:rsidP="00CC277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Human rights implications</w:t>
      </w:r>
    </w:p>
    <w:p w14:paraId="74A9CBFF" w14:textId="093220D3" w:rsidR="00B70625" w:rsidRPr="00C82862" w:rsidRDefault="00B70625" w:rsidP="00CC2775">
      <w:pPr>
        <w:pStyle w:val="Paragraph"/>
        <w:rPr>
          <w:rFonts w:eastAsia="Calibri"/>
        </w:rPr>
      </w:pPr>
      <w:r w:rsidRPr="00C82862">
        <w:rPr>
          <w:rFonts w:eastAsia="Calibri"/>
        </w:rPr>
        <w:t xml:space="preserve">APRA has assessed the </w:t>
      </w:r>
      <w:r w:rsidR="003F6E5A">
        <w:rPr>
          <w:rFonts w:eastAsia="Calibri"/>
        </w:rPr>
        <w:t>Legislative I</w:t>
      </w:r>
      <w:r w:rsidRPr="00C82862">
        <w:rPr>
          <w:rFonts w:eastAsia="Calibri"/>
        </w:rPr>
        <w:t>nstrument</w:t>
      </w:r>
      <w:r>
        <w:rPr>
          <w:rFonts w:eastAsia="Calibri"/>
        </w:rPr>
        <w:t>s</w:t>
      </w:r>
      <w:r w:rsidRPr="00C82862">
        <w:rPr>
          <w:rFonts w:eastAsia="Calibri"/>
        </w:rPr>
        <w:t xml:space="preserve"> and is of the view that </w:t>
      </w:r>
      <w:r>
        <w:rPr>
          <w:rFonts w:eastAsia="Calibri"/>
        </w:rPr>
        <w:t xml:space="preserve">they do </w:t>
      </w:r>
      <w:r w:rsidRPr="00C82862">
        <w:rPr>
          <w:rFonts w:eastAsia="Calibri"/>
        </w:rPr>
        <w:t xml:space="preserve">not engage any of the applicable rights or freedoms recognised or declared in the international instruments listed in section 3 of the HRPS Act. Accordingly, in APRA’s assessment the </w:t>
      </w:r>
      <w:r w:rsidR="003F6E5A">
        <w:rPr>
          <w:rFonts w:eastAsia="Calibri"/>
        </w:rPr>
        <w:t>Legislative I</w:t>
      </w:r>
      <w:r w:rsidRPr="00C82862">
        <w:rPr>
          <w:rFonts w:eastAsia="Calibri"/>
        </w:rPr>
        <w:t>nstrument</w:t>
      </w:r>
      <w:r>
        <w:rPr>
          <w:rFonts w:eastAsia="Calibri"/>
        </w:rPr>
        <w:t>s are</w:t>
      </w:r>
      <w:r w:rsidRPr="00C82862">
        <w:rPr>
          <w:rFonts w:eastAsia="Calibri"/>
        </w:rPr>
        <w:t xml:space="preserve"> compatible with human rights.</w:t>
      </w:r>
    </w:p>
    <w:p w14:paraId="3103F8FD" w14:textId="77777777" w:rsidR="00B70625" w:rsidRPr="00C82862" w:rsidRDefault="00B70625" w:rsidP="00CC2775">
      <w:pPr>
        <w:autoSpaceDE w:val="0"/>
        <w:autoSpaceDN w:val="0"/>
        <w:adjustRightInd w:val="0"/>
        <w:rPr>
          <w:rFonts w:ascii="Times New Roman" w:eastAsia="Calibri" w:hAnsi="Times New Roman"/>
          <w:b/>
          <w:bCs/>
          <w:sz w:val="24"/>
        </w:rPr>
      </w:pPr>
      <w:r w:rsidRPr="00C82862">
        <w:rPr>
          <w:rFonts w:ascii="Times New Roman" w:eastAsia="Calibri" w:hAnsi="Times New Roman"/>
          <w:b/>
          <w:bCs/>
          <w:sz w:val="24"/>
        </w:rPr>
        <w:t>Conclusion</w:t>
      </w:r>
    </w:p>
    <w:p w14:paraId="0073C56D" w14:textId="77777777" w:rsidR="00B70625" w:rsidRPr="008803C3" w:rsidRDefault="00B70625" w:rsidP="00CC2775">
      <w:pPr>
        <w:pStyle w:val="Paragraph"/>
        <w:rPr>
          <w:rFonts w:eastAsia="Calibri"/>
        </w:rPr>
      </w:pPr>
      <w:r w:rsidRPr="00C82862">
        <w:rPr>
          <w:rFonts w:eastAsia="Calibri"/>
        </w:rPr>
        <w:t>The</w:t>
      </w:r>
      <w:r>
        <w:rPr>
          <w:rFonts w:eastAsia="Calibri"/>
        </w:rPr>
        <w:t>se</w:t>
      </w:r>
      <w:r w:rsidRPr="00C82862">
        <w:rPr>
          <w:rFonts w:eastAsia="Calibri"/>
        </w:rPr>
        <w:t xml:space="preserve"> Legislative Instrument</w:t>
      </w:r>
      <w:r>
        <w:rPr>
          <w:rFonts w:eastAsia="Calibri"/>
        </w:rPr>
        <w:t>s are</w:t>
      </w:r>
      <w:r w:rsidRPr="00C82862">
        <w:rPr>
          <w:rFonts w:eastAsia="Calibri"/>
        </w:rPr>
        <w:t xml:space="preserve"> compatible with human rights as </w:t>
      </w:r>
      <w:r>
        <w:rPr>
          <w:rFonts w:eastAsia="Calibri"/>
        </w:rPr>
        <w:t>they</w:t>
      </w:r>
      <w:r w:rsidRPr="00C82862">
        <w:rPr>
          <w:rFonts w:eastAsia="Calibri"/>
        </w:rPr>
        <w:t xml:space="preserve"> do not raise any human rights issues.</w:t>
      </w:r>
      <w:bookmarkStart w:id="8" w:name="bkRISNO"/>
      <w:bookmarkEnd w:id="8"/>
    </w:p>
    <w:sectPr w:rsidR="00B70625" w:rsidRPr="008803C3" w:rsidSect="00467C25">
      <w:pgSz w:w="11906" w:h="16838" w:code="9"/>
      <w:pgMar w:top="1440" w:right="1440" w:bottom="1440" w:left="1440" w:header="567" w:footer="567"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4E020" w14:textId="77777777" w:rsidR="00CB65C5" w:rsidRPr="000D4EDE" w:rsidRDefault="00CB65C5" w:rsidP="000D4EDE">
      <w:r>
        <w:separator/>
      </w:r>
    </w:p>
  </w:endnote>
  <w:endnote w:type="continuationSeparator" w:id="0">
    <w:p w14:paraId="6F9118AE" w14:textId="77777777" w:rsidR="00CB65C5" w:rsidRPr="000D4EDE" w:rsidRDefault="00CB65C5" w:rsidP="000D4EDE">
      <w:r>
        <w:continuationSeparator/>
      </w:r>
    </w:p>
  </w:endnote>
  <w:endnote w:type="continuationNotice" w:id="1">
    <w:p w14:paraId="74059A00" w14:textId="77777777" w:rsidR="0003292A" w:rsidRDefault="000329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360815"/>
      <w:docPartObj>
        <w:docPartGallery w:val="Page Numbers (Bottom of Page)"/>
        <w:docPartUnique/>
      </w:docPartObj>
    </w:sdtPr>
    <w:sdtEndPr>
      <w:rPr>
        <w:rFonts w:ascii="Times New Roman" w:hAnsi="Times New Roman"/>
        <w:noProof/>
        <w:sz w:val="22"/>
        <w:szCs w:val="22"/>
      </w:rPr>
    </w:sdtEndPr>
    <w:sdtContent>
      <w:p w14:paraId="4A6C664B" w14:textId="720DEC59" w:rsidR="00467C25" w:rsidRPr="00467C25" w:rsidRDefault="00467C25">
        <w:pPr>
          <w:pStyle w:val="Footer"/>
          <w:jc w:val="center"/>
          <w:rPr>
            <w:rFonts w:ascii="Times New Roman" w:hAnsi="Times New Roman"/>
            <w:sz w:val="22"/>
            <w:szCs w:val="22"/>
          </w:rPr>
        </w:pPr>
        <w:r w:rsidRPr="00467C25">
          <w:rPr>
            <w:rFonts w:ascii="Times New Roman" w:hAnsi="Times New Roman"/>
            <w:sz w:val="22"/>
            <w:szCs w:val="22"/>
          </w:rPr>
          <w:fldChar w:fldCharType="begin"/>
        </w:r>
        <w:r w:rsidRPr="00467C25">
          <w:rPr>
            <w:rFonts w:ascii="Times New Roman" w:hAnsi="Times New Roman"/>
            <w:sz w:val="22"/>
            <w:szCs w:val="22"/>
          </w:rPr>
          <w:instrText xml:space="preserve"> PAGE   \* MERGEFORMAT </w:instrText>
        </w:r>
        <w:r w:rsidRPr="00467C25">
          <w:rPr>
            <w:rFonts w:ascii="Times New Roman" w:hAnsi="Times New Roman"/>
            <w:sz w:val="22"/>
            <w:szCs w:val="22"/>
          </w:rPr>
          <w:fldChar w:fldCharType="separate"/>
        </w:r>
        <w:r w:rsidRPr="00467C25">
          <w:rPr>
            <w:rFonts w:ascii="Times New Roman" w:hAnsi="Times New Roman"/>
            <w:noProof/>
            <w:sz w:val="22"/>
            <w:szCs w:val="22"/>
          </w:rPr>
          <w:t>2</w:t>
        </w:r>
        <w:r w:rsidRPr="00467C25">
          <w:rPr>
            <w:rFonts w:ascii="Times New Roman" w:hAnsi="Times New Roman"/>
            <w:noProof/>
            <w:sz w:val="22"/>
            <w:szCs w:val="22"/>
          </w:rPr>
          <w:fldChar w:fldCharType="end"/>
        </w:r>
      </w:p>
    </w:sdtContent>
  </w:sdt>
  <w:p w14:paraId="0D4BF649" w14:textId="77777777" w:rsidR="00CB65C5" w:rsidRDefault="00CB6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77C26" w14:textId="77777777" w:rsidR="00CB65C5" w:rsidRPr="000D4EDE" w:rsidRDefault="00CB65C5" w:rsidP="000D4EDE">
      <w:r>
        <w:separator/>
      </w:r>
    </w:p>
  </w:footnote>
  <w:footnote w:type="continuationSeparator" w:id="0">
    <w:p w14:paraId="6318B99B" w14:textId="77777777" w:rsidR="00CB65C5" w:rsidRPr="000D4EDE" w:rsidRDefault="00CB65C5" w:rsidP="000D4EDE">
      <w:r>
        <w:continuationSeparator/>
      </w:r>
    </w:p>
  </w:footnote>
  <w:footnote w:type="continuationNotice" w:id="1">
    <w:p w14:paraId="6579AA22" w14:textId="77777777" w:rsidR="0003292A" w:rsidRDefault="0003292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170F52"/>
    <w:multiLevelType w:val="hybridMultilevel"/>
    <w:tmpl w:val="EC7277E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C857B4"/>
    <w:multiLevelType w:val="hybridMultilevel"/>
    <w:tmpl w:val="A74200E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BF5FFF"/>
    <w:multiLevelType w:val="hybridMultilevel"/>
    <w:tmpl w:val="1210533A"/>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082A54F2"/>
    <w:multiLevelType w:val="hybridMultilevel"/>
    <w:tmpl w:val="39A4953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EEE7EE1"/>
    <w:multiLevelType w:val="hybridMultilevel"/>
    <w:tmpl w:val="BED4461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E5323E"/>
    <w:multiLevelType w:val="hybridMultilevel"/>
    <w:tmpl w:val="4C2EE534"/>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2" w15:restartNumberingAfterBreak="0">
    <w:nsid w:val="125758B2"/>
    <w:multiLevelType w:val="hybridMultilevel"/>
    <w:tmpl w:val="E32A7B5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15C6706D"/>
    <w:multiLevelType w:val="hybridMultilevel"/>
    <w:tmpl w:val="89F4D89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9CA1FB8"/>
    <w:multiLevelType w:val="hybridMultilevel"/>
    <w:tmpl w:val="1D407330"/>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5" w15:restartNumberingAfterBreak="0">
    <w:nsid w:val="1A25218F"/>
    <w:multiLevelType w:val="hybridMultilevel"/>
    <w:tmpl w:val="62026AE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1AA3029A"/>
    <w:multiLevelType w:val="hybridMultilevel"/>
    <w:tmpl w:val="CBFE47DA"/>
    <w:lvl w:ilvl="0" w:tplc="DBF6F82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EAB2EFC"/>
    <w:multiLevelType w:val="hybridMultilevel"/>
    <w:tmpl w:val="A9300E3A"/>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B5C15BA"/>
    <w:multiLevelType w:val="hybridMultilevel"/>
    <w:tmpl w:val="6E203ED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9" w15:restartNumberingAfterBreak="0">
    <w:nsid w:val="2CEF155B"/>
    <w:multiLevelType w:val="hybridMultilevel"/>
    <w:tmpl w:val="05A6FA0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2E506FA0"/>
    <w:multiLevelType w:val="hybridMultilevel"/>
    <w:tmpl w:val="7FF426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22" w15:restartNumberingAfterBreak="0">
    <w:nsid w:val="318048D4"/>
    <w:multiLevelType w:val="hybridMultilevel"/>
    <w:tmpl w:val="65ECA66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333B0DCC"/>
    <w:multiLevelType w:val="hybridMultilevel"/>
    <w:tmpl w:val="1E589FD8"/>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34D174CD"/>
    <w:multiLevelType w:val="hybridMultilevel"/>
    <w:tmpl w:val="E9A063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B1B2F0A"/>
    <w:multiLevelType w:val="hybridMultilevel"/>
    <w:tmpl w:val="809C7760"/>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3BD0622D"/>
    <w:multiLevelType w:val="hybridMultilevel"/>
    <w:tmpl w:val="38AA5D84"/>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3BE2020C"/>
    <w:multiLevelType w:val="hybridMultilevel"/>
    <w:tmpl w:val="6F14AE48"/>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8" w15:restartNumberingAfterBreak="0">
    <w:nsid w:val="3FCA7279"/>
    <w:multiLevelType w:val="hybridMultilevel"/>
    <w:tmpl w:val="BE1840A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4156412B"/>
    <w:multiLevelType w:val="hybridMultilevel"/>
    <w:tmpl w:val="C12422F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42127C56"/>
    <w:multiLevelType w:val="hybridMultilevel"/>
    <w:tmpl w:val="70E2F7BC"/>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42AC70D1"/>
    <w:multiLevelType w:val="hybridMultilevel"/>
    <w:tmpl w:val="A8626CC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3" w15:restartNumberingAfterBreak="0">
    <w:nsid w:val="45312E0E"/>
    <w:multiLevelType w:val="hybridMultilevel"/>
    <w:tmpl w:val="23829C42"/>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46697159"/>
    <w:multiLevelType w:val="hybridMultilevel"/>
    <w:tmpl w:val="6E6A3F08"/>
    <w:lvl w:ilvl="0" w:tplc="C772DFA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49C830AF"/>
    <w:multiLevelType w:val="hybridMultilevel"/>
    <w:tmpl w:val="DB783BBE"/>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4B6704DB"/>
    <w:multiLevelType w:val="hybridMultilevel"/>
    <w:tmpl w:val="CFB00AAC"/>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4BFA78B0"/>
    <w:multiLevelType w:val="hybridMultilevel"/>
    <w:tmpl w:val="A5D20C1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08C3EC7"/>
    <w:multiLevelType w:val="hybridMultilevel"/>
    <w:tmpl w:val="162E211E"/>
    <w:lvl w:ilvl="0" w:tplc="B1163600">
      <w:start w:val="1"/>
      <w:numFmt w:val="lowerRoman"/>
      <w:lvlText w:val="(%1)"/>
      <w:lvlJc w:val="left"/>
      <w:pPr>
        <w:ind w:left="1494" w:hanging="360"/>
      </w:pPr>
    </w:lvl>
    <w:lvl w:ilvl="1" w:tplc="0C090019" w:tentative="1">
      <w:start w:val="1"/>
      <w:numFmt w:val="lowerLetter"/>
      <w:lvlText w:val="%2."/>
      <w:lvlJc w:val="left"/>
      <w:pPr>
        <w:ind w:left="2280" w:hanging="360"/>
      </w:pPr>
    </w:lvl>
    <w:lvl w:ilvl="2" w:tplc="0C09001B" w:tentative="1">
      <w:start w:val="1"/>
      <w:numFmt w:val="lowerRoman"/>
      <w:lvlText w:val="%3."/>
      <w:lvlJc w:val="right"/>
      <w:pPr>
        <w:ind w:left="3000" w:hanging="180"/>
      </w:pPr>
    </w:lvl>
    <w:lvl w:ilvl="3" w:tplc="0C09000F" w:tentative="1">
      <w:start w:val="1"/>
      <w:numFmt w:val="decimal"/>
      <w:lvlText w:val="%4."/>
      <w:lvlJc w:val="left"/>
      <w:pPr>
        <w:ind w:left="3720" w:hanging="360"/>
      </w:pPr>
    </w:lvl>
    <w:lvl w:ilvl="4" w:tplc="0C090019" w:tentative="1">
      <w:start w:val="1"/>
      <w:numFmt w:val="lowerLetter"/>
      <w:lvlText w:val="%5."/>
      <w:lvlJc w:val="left"/>
      <w:pPr>
        <w:ind w:left="4440" w:hanging="360"/>
      </w:pPr>
    </w:lvl>
    <w:lvl w:ilvl="5" w:tplc="0C09001B" w:tentative="1">
      <w:start w:val="1"/>
      <w:numFmt w:val="lowerRoman"/>
      <w:lvlText w:val="%6."/>
      <w:lvlJc w:val="right"/>
      <w:pPr>
        <w:ind w:left="5160" w:hanging="180"/>
      </w:pPr>
    </w:lvl>
    <w:lvl w:ilvl="6" w:tplc="0C09000F" w:tentative="1">
      <w:start w:val="1"/>
      <w:numFmt w:val="decimal"/>
      <w:lvlText w:val="%7."/>
      <w:lvlJc w:val="left"/>
      <w:pPr>
        <w:ind w:left="5880" w:hanging="360"/>
      </w:pPr>
    </w:lvl>
    <w:lvl w:ilvl="7" w:tplc="0C090019" w:tentative="1">
      <w:start w:val="1"/>
      <w:numFmt w:val="lowerLetter"/>
      <w:lvlText w:val="%8."/>
      <w:lvlJc w:val="left"/>
      <w:pPr>
        <w:ind w:left="6600" w:hanging="360"/>
      </w:pPr>
    </w:lvl>
    <w:lvl w:ilvl="8" w:tplc="0C09001B" w:tentative="1">
      <w:start w:val="1"/>
      <w:numFmt w:val="lowerRoman"/>
      <w:lvlText w:val="%9."/>
      <w:lvlJc w:val="right"/>
      <w:pPr>
        <w:ind w:left="7320" w:hanging="180"/>
      </w:pPr>
    </w:lvl>
  </w:abstractNum>
  <w:abstractNum w:abstractNumId="39"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8493886"/>
    <w:multiLevelType w:val="hybridMultilevel"/>
    <w:tmpl w:val="321241F4"/>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59241450"/>
    <w:multiLevelType w:val="hybridMultilevel"/>
    <w:tmpl w:val="4C108ED0"/>
    <w:lvl w:ilvl="0" w:tplc="4DE4AAA6">
      <w:start w:val="1"/>
      <w:numFmt w:val="decimal"/>
      <w:lvlText w:val="%1."/>
      <w:lvlJc w:val="left"/>
      <w:pPr>
        <w:ind w:left="360" w:hanging="360"/>
      </w:pPr>
      <w:rPr>
        <w:rFonts w:ascii="Times New Roman" w:hAnsi="Times New Roman" w:cs="Times New Roman"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5B32535B"/>
    <w:multiLevelType w:val="hybridMultilevel"/>
    <w:tmpl w:val="252C860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62314548"/>
    <w:multiLevelType w:val="hybridMultilevel"/>
    <w:tmpl w:val="4E64B30A"/>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4" w15:restartNumberingAfterBreak="0">
    <w:nsid w:val="64EF00EC"/>
    <w:multiLevelType w:val="hybridMultilevel"/>
    <w:tmpl w:val="2D28DA38"/>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5" w15:restartNumberingAfterBreak="0">
    <w:nsid w:val="64FD1D1E"/>
    <w:multiLevelType w:val="hybridMultilevel"/>
    <w:tmpl w:val="5AF4B032"/>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6" w15:restartNumberingAfterBreak="0">
    <w:nsid w:val="667D068D"/>
    <w:multiLevelType w:val="hybridMultilevel"/>
    <w:tmpl w:val="12941A76"/>
    <w:lvl w:ilvl="0" w:tplc="5DA60968">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682C1CB5"/>
    <w:multiLevelType w:val="hybridMultilevel"/>
    <w:tmpl w:val="19E83AD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69B17A3F"/>
    <w:multiLevelType w:val="multilevel"/>
    <w:tmpl w:val="8EA00C60"/>
    <w:styleLink w:val="1ai"/>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B264E14"/>
    <w:multiLevelType w:val="hybridMultilevel"/>
    <w:tmpl w:val="2FAE709E"/>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0" w15:restartNumberingAfterBreak="0">
    <w:nsid w:val="6EDF3777"/>
    <w:multiLevelType w:val="hybridMultilevel"/>
    <w:tmpl w:val="0B0635F0"/>
    <w:lvl w:ilvl="0" w:tplc="0C090003">
      <w:start w:val="1"/>
      <w:numFmt w:val="lowerRoman"/>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1" w15:restartNumberingAfterBreak="0">
    <w:nsid w:val="797B4748"/>
    <w:multiLevelType w:val="hybridMultilevel"/>
    <w:tmpl w:val="A0D6B2F0"/>
    <w:lvl w:ilvl="0" w:tplc="0C090003">
      <w:start w:val="1"/>
      <w:numFmt w:val="lowerRoman"/>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2" w15:restartNumberingAfterBreak="0">
    <w:nsid w:val="7EF66B88"/>
    <w:multiLevelType w:val="hybridMultilevel"/>
    <w:tmpl w:val="5D5AE196"/>
    <w:lvl w:ilvl="0" w:tplc="B1163600">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7FF36281"/>
    <w:multiLevelType w:val="hybridMultilevel"/>
    <w:tmpl w:val="572A53F6"/>
    <w:lvl w:ilvl="0" w:tplc="B1163600">
      <w:start w:val="1"/>
      <w:numFmt w:val="lowerRoman"/>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num w:numId="1" w16cid:durableId="1133714242">
    <w:abstractNumId w:val="1"/>
  </w:num>
  <w:num w:numId="2" w16cid:durableId="1111777900">
    <w:abstractNumId w:val="0"/>
  </w:num>
  <w:num w:numId="3" w16cid:durableId="383917777">
    <w:abstractNumId w:val="4"/>
  </w:num>
  <w:num w:numId="4" w16cid:durableId="305739971">
    <w:abstractNumId w:val="39"/>
  </w:num>
  <w:num w:numId="5" w16cid:durableId="65226386">
    <w:abstractNumId w:val="48"/>
  </w:num>
  <w:num w:numId="6" w16cid:durableId="114953586">
    <w:abstractNumId w:val="29"/>
  </w:num>
  <w:num w:numId="7" w16cid:durableId="1607158785">
    <w:abstractNumId w:val="21"/>
  </w:num>
  <w:num w:numId="8" w16cid:durableId="633759377">
    <w:abstractNumId w:val="6"/>
  </w:num>
  <w:num w:numId="9" w16cid:durableId="1355577022">
    <w:abstractNumId w:val="3"/>
  </w:num>
  <w:num w:numId="10" w16cid:durableId="971131433">
    <w:abstractNumId w:val="41"/>
  </w:num>
  <w:num w:numId="11" w16cid:durableId="77799378">
    <w:abstractNumId w:val="17"/>
  </w:num>
  <w:num w:numId="12" w16cid:durableId="1705447313">
    <w:abstractNumId w:val="52"/>
  </w:num>
  <w:num w:numId="13" w16cid:durableId="1061438710">
    <w:abstractNumId w:val="34"/>
  </w:num>
  <w:num w:numId="14" w16cid:durableId="243338222">
    <w:abstractNumId w:val="18"/>
  </w:num>
  <w:num w:numId="15" w16cid:durableId="510417563">
    <w:abstractNumId w:val="16"/>
  </w:num>
  <w:num w:numId="16" w16cid:durableId="2086339151">
    <w:abstractNumId w:val="44"/>
  </w:num>
  <w:num w:numId="17" w16cid:durableId="1758943152">
    <w:abstractNumId w:val="22"/>
  </w:num>
  <w:num w:numId="18" w16cid:durableId="840704015">
    <w:abstractNumId w:val="49"/>
  </w:num>
  <w:num w:numId="19" w16cid:durableId="1978022024">
    <w:abstractNumId w:val="37"/>
  </w:num>
  <w:num w:numId="20" w16cid:durableId="2047292508">
    <w:abstractNumId w:val="31"/>
  </w:num>
  <w:num w:numId="21" w16cid:durableId="928078194">
    <w:abstractNumId w:val="14"/>
  </w:num>
  <w:num w:numId="22" w16cid:durableId="888877829">
    <w:abstractNumId w:val="53"/>
  </w:num>
  <w:num w:numId="23" w16cid:durableId="910231584">
    <w:abstractNumId w:val="13"/>
  </w:num>
  <w:num w:numId="24" w16cid:durableId="841432319">
    <w:abstractNumId w:val="15"/>
  </w:num>
  <w:num w:numId="25" w16cid:durableId="1642804036">
    <w:abstractNumId w:val="5"/>
  </w:num>
  <w:num w:numId="26" w16cid:durableId="1585527558">
    <w:abstractNumId w:val="27"/>
  </w:num>
  <w:num w:numId="27" w16cid:durableId="1153180716">
    <w:abstractNumId w:val="9"/>
  </w:num>
  <w:num w:numId="28" w16cid:durableId="1032343526">
    <w:abstractNumId w:val="25"/>
  </w:num>
  <w:num w:numId="29" w16cid:durableId="1099567305">
    <w:abstractNumId w:val="43"/>
  </w:num>
  <w:num w:numId="30" w16cid:durableId="101194609">
    <w:abstractNumId w:val="2"/>
  </w:num>
  <w:num w:numId="31" w16cid:durableId="46223324">
    <w:abstractNumId w:val="42"/>
  </w:num>
  <w:num w:numId="32" w16cid:durableId="2105806191">
    <w:abstractNumId w:val="47"/>
  </w:num>
  <w:num w:numId="33" w16cid:durableId="430130844">
    <w:abstractNumId w:val="40"/>
  </w:num>
  <w:num w:numId="34" w16cid:durableId="1808010294">
    <w:abstractNumId w:val="38"/>
  </w:num>
  <w:num w:numId="35" w16cid:durableId="1966691295">
    <w:abstractNumId w:val="33"/>
  </w:num>
  <w:num w:numId="36" w16cid:durableId="235286370">
    <w:abstractNumId w:val="36"/>
  </w:num>
  <w:num w:numId="37" w16cid:durableId="43338116">
    <w:abstractNumId w:val="7"/>
  </w:num>
  <w:num w:numId="38" w16cid:durableId="1592355323">
    <w:abstractNumId w:val="26"/>
  </w:num>
  <w:num w:numId="39" w16cid:durableId="2016419172">
    <w:abstractNumId w:val="30"/>
  </w:num>
  <w:num w:numId="40" w16cid:durableId="1260023421">
    <w:abstractNumId w:val="8"/>
  </w:num>
  <w:num w:numId="41" w16cid:durableId="76681743">
    <w:abstractNumId w:val="19"/>
  </w:num>
  <w:num w:numId="42" w16cid:durableId="22827158">
    <w:abstractNumId w:val="32"/>
  </w:num>
  <w:num w:numId="43" w16cid:durableId="1563104207">
    <w:abstractNumId w:val="50"/>
  </w:num>
  <w:num w:numId="44" w16cid:durableId="1656690040">
    <w:abstractNumId w:val="35"/>
  </w:num>
  <w:num w:numId="45" w16cid:durableId="837966912">
    <w:abstractNumId w:val="51"/>
  </w:num>
  <w:num w:numId="46" w16cid:durableId="809594921">
    <w:abstractNumId w:val="23"/>
  </w:num>
  <w:num w:numId="47" w16cid:durableId="1487625896">
    <w:abstractNumId w:val="28"/>
  </w:num>
  <w:num w:numId="48" w16cid:durableId="2006740744">
    <w:abstractNumId w:val="11"/>
  </w:num>
  <w:num w:numId="49" w16cid:durableId="1152211882">
    <w:abstractNumId w:val="12"/>
  </w:num>
  <w:num w:numId="50" w16cid:durableId="669450878">
    <w:abstractNumId w:val="45"/>
  </w:num>
  <w:num w:numId="51" w16cid:durableId="946473365">
    <w:abstractNumId w:val="20"/>
  </w:num>
  <w:num w:numId="52" w16cid:durableId="272978668">
    <w:abstractNumId w:val="46"/>
  </w:num>
  <w:num w:numId="53" w16cid:durableId="1319730266">
    <w:abstractNumId w:val="24"/>
  </w:num>
  <w:num w:numId="54" w16cid:durableId="1952780419">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5C5"/>
    <w:rsid w:val="00001981"/>
    <w:rsid w:val="00004ED1"/>
    <w:rsid w:val="00005D98"/>
    <w:rsid w:val="00005F96"/>
    <w:rsid w:val="00007262"/>
    <w:rsid w:val="00007905"/>
    <w:rsid w:val="00011C96"/>
    <w:rsid w:val="000120C1"/>
    <w:rsid w:val="00012E9A"/>
    <w:rsid w:val="000141B9"/>
    <w:rsid w:val="0001680A"/>
    <w:rsid w:val="0002086F"/>
    <w:rsid w:val="0003292A"/>
    <w:rsid w:val="00032CA3"/>
    <w:rsid w:val="00034A19"/>
    <w:rsid w:val="00036F9E"/>
    <w:rsid w:val="000413B3"/>
    <w:rsid w:val="0004204E"/>
    <w:rsid w:val="000453D9"/>
    <w:rsid w:val="000572AA"/>
    <w:rsid w:val="000573E5"/>
    <w:rsid w:val="00057B71"/>
    <w:rsid w:val="0007202C"/>
    <w:rsid w:val="00072B30"/>
    <w:rsid w:val="00073180"/>
    <w:rsid w:val="0007319C"/>
    <w:rsid w:val="000732AA"/>
    <w:rsid w:val="000767DD"/>
    <w:rsid w:val="00076DEC"/>
    <w:rsid w:val="0008011A"/>
    <w:rsid w:val="0008182D"/>
    <w:rsid w:val="00083FC7"/>
    <w:rsid w:val="00084F8B"/>
    <w:rsid w:val="000851D0"/>
    <w:rsid w:val="00086D07"/>
    <w:rsid w:val="00086F71"/>
    <w:rsid w:val="00091E55"/>
    <w:rsid w:val="000926B7"/>
    <w:rsid w:val="00093915"/>
    <w:rsid w:val="000949AD"/>
    <w:rsid w:val="00094B7D"/>
    <w:rsid w:val="00095109"/>
    <w:rsid w:val="00096B0F"/>
    <w:rsid w:val="000A1129"/>
    <w:rsid w:val="000A4193"/>
    <w:rsid w:val="000A490E"/>
    <w:rsid w:val="000B04C5"/>
    <w:rsid w:val="000B12AA"/>
    <w:rsid w:val="000B3FB3"/>
    <w:rsid w:val="000B5E46"/>
    <w:rsid w:val="000B63CA"/>
    <w:rsid w:val="000B752A"/>
    <w:rsid w:val="000C14D9"/>
    <w:rsid w:val="000C15C7"/>
    <w:rsid w:val="000C64BD"/>
    <w:rsid w:val="000C7679"/>
    <w:rsid w:val="000D4EDE"/>
    <w:rsid w:val="000E2460"/>
    <w:rsid w:val="000E43AC"/>
    <w:rsid w:val="000E6E37"/>
    <w:rsid w:val="000F0E6F"/>
    <w:rsid w:val="001018A5"/>
    <w:rsid w:val="00101DF8"/>
    <w:rsid w:val="001047ED"/>
    <w:rsid w:val="00106F56"/>
    <w:rsid w:val="00114210"/>
    <w:rsid w:val="00115A39"/>
    <w:rsid w:val="00116812"/>
    <w:rsid w:val="00117479"/>
    <w:rsid w:val="00123576"/>
    <w:rsid w:val="001241CB"/>
    <w:rsid w:val="00124B21"/>
    <w:rsid w:val="001319FF"/>
    <w:rsid w:val="001327B8"/>
    <w:rsid w:val="0013471B"/>
    <w:rsid w:val="00134D50"/>
    <w:rsid w:val="001352D4"/>
    <w:rsid w:val="00136751"/>
    <w:rsid w:val="001541C4"/>
    <w:rsid w:val="00155789"/>
    <w:rsid w:val="00157C98"/>
    <w:rsid w:val="001653B6"/>
    <w:rsid w:val="00165BF6"/>
    <w:rsid w:val="00165E45"/>
    <w:rsid w:val="00173646"/>
    <w:rsid w:val="00174B0F"/>
    <w:rsid w:val="0018235E"/>
    <w:rsid w:val="00184187"/>
    <w:rsid w:val="00187B6B"/>
    <w:rsid w:val="0019047C"/>
    <w:rsid w:val="0019108C"/>
    <w:rsid w:val="00196F4C"/>
    <w:rsid w:val="001A4EA4"/>
    <w:rsid w:val="001A664F"/>
    <w:rsid w:val="001B2DB7"/>
    <w:rsid w:val="001B3A9F"/>
    <w:rsid w:val="001C27C7"/>
    <w:rsid w:val="001C70C3"/>
    <w:rsid w:val="001D0C02"/>
    <w:rsid w:val="001D3D43"/>
    <w:rsid w:val="001D58A6"/>
    <w:rsid w:val="001D64CF"/>
    <w:rsid w:val="001E0F51"/>
    <w:rsid w:val="001E511B"/>
    <w:rsid w:val="001E55BF"/>
    <w:rsid w:val="001E64DD"/>
    <w:rsid w:val="001F1640"/>
    <w:rsid w:val="001F216A"/>
    <w:rsid w:val="001F220F"/>
    <w:rsid w:val="001F6E1A"/>
    <w:rsid w:val="001F780A"/>
    <w:rsid w:val="001F7917"/>
    <w:rsid w:val="00200613"/>
    <w:rsid w:val="00201150"/>
    <w:rsid w:val="002042C4"/>
    <w:rsid w:val="00214883"/>
    <w:rsid w:val="002156F6"/>
    <w:rsid w:val="0022016B"/>
    <w:rsid w:val="00220550"/>
    <w:rsid w:val="002301A2"/>
    <w:rsid w:val="0023202F"/>
    <w:rsid w:val="00236C2D"/>
    <w:rsid w:val="002374B7"/>
    <w:rsid w:val="00240126"/>
    <w:rsid w:val="00241D16"/>
    <w:rsid w:val="00242384"/>
    <w:rsid w:val="00242BFC"/>
    <w:rsid w:val="0024304D"/>
    <w:rsid w:val="00244325"/>
    <w:rsid w:val="00244826"/>
    <w:rsid w:val="00247ACA"/>
    <w:rsid w:val="0025087B"/>
    <w:rsid w:val="00252E6A"/>
    <w:rsid w:val="00255A20"/>
    <w:rsid w:val="0025782A"/>
    <w:rsid w:val="00262F69"/>
    <w:rsid w:val="00263414"/>
    <w:rsid w:val="002661A6"/>
    <w:rsid w:val="00266C23"/>
    <w:rsid w:val="00276069"/>
    <w:rsid w:val="002778C5"/>
    <w:rsid w:val="00277D6C"/>
    <w:rsid w:val="00285529"/>
    <w:rsid w:val="00286EAD"/>
    <w:rsid w:val="00292A60"/>
    <w:rsid w:val="0029389B"/>
    <w:rsid w:val="002A179D"/>
    <w:rsid w:val="002A1894"/>
    <w:rsid w:val="002A2188"/>
    <w:rsid w:val="002A36F2"/>
    <w:rsid w:val="002A4280"/>
    <w:rsid w:val="002A5753"/>
    <w:rsid w:val="002A7D14"/>
    <w:rsid w:val="002B0913"/>
    <w:rsid w:val="002B28E4"/>
    <w:rsid w:val="002B7504"/>
    <w:rsid w:val="002C0D97"/>
    <w:rsid w:val="002C172B"/>
    <w:rsid w:val="002C3B9B"/>
    <w:rsid w:val="002C5E2A"/>
    <w:rsid w:val="002C66D1"/>
    <w:rsid w:val="002C7065"/>
    <w:rsid w:val="002C7F4A"/>
    <w:rsid w:val="002D2804"/>
    <w:rsid w:val="002D2873"/>
    <w:rsid w:val="002D4B6C"/>
    <w:rsid w:val="002D5274"/>
    <w:rsid w:val="002E1EE3"/>
    <w:rsid w:val="002E3D6D"/>
    <w:rsid w:val="002F0135"/>
    <w:rsid w:val="002F0C2C"/>
    <w:rsid w:val="00300655"/>
    <w:rsid w:val="00303D18"/>
    <w:rsid w:val="00307ADD"/>
    <w:rsid w:val="00307E55"/>
    <w:rsid w:val="00312A66"/>
    <w:rsid w:val="003130CA"/>
    <w:rsid w:val="0032180D"/>
    <w:rsid w:val="0032381D"/>
    <w:rsid w:val="003306A5"/>
    <w:rsid w:val="00331635"/>
    <w:rsid w:val="00340B5A"/>
    <w:rsid w:val="00344B74"/>
    <w:rsid w:val="00347955"/>
    <w:rsid w:val="003519F2"/>
    <w:rsid w:val="003547AE"/>
    <w:rsid w:val="00354EB3"/>
    <w:rsid w:val="00354F17"/>
    <w:rsid w:val="003558A0"/>
    <w:rsid w:val="00355D40"/>
    <w:rsid w:val="00371AAC"/>
    <w:rsid w:val="00371F54"/>
    <w:rsid w:val="00377599"/>
    <w:rsid w:val="0037770C"/>
    <w:rsid w:val="00377C8B"/>
    <w:rsid w:val="00381D08"/>
    <w:rsid w:val="00383A95"/>
    <w:rsid w:val="00385CA0"/>
    <w:rsid w:val="00385E8D"/>
    <w:rsid w:val="00387D6E"/>
    <w:rsid w:val="003934AB"/>
    <w:rsid w:val="003941F3"/>
    <w:rsid w:val="003A2733"/>
    <w:rsid w:val="003A3021"/>
    <w:rsid w:val="003A627E"/>
    <w:rsid w:val="003A79EE"/>
    <w:rsid w:val="003B267D"/>
    <w:rsid w:val="003B3D9E"/>
    <w:rsid w:val="003B5928"/>
    <w:rsid w:val="003B6E16"/>
    <w:rsid w:val="003C180A"/>
    <w:rsid w:val="003C1E25"/>
    <w:rsid w:val="003D1860"/>
    <w:rsid w:val="003D27CB"/>
    <w:rsid w:val="003D329D"/>
    <w:rsid w:val="003E4368"/>
    <w:rsid w:val="003E6BF6"/>
    <w:rsid w:val="003F0F0D"/>
    <w:rsid w:val="003F6060"/>
    <w:rsid w:val="003F6E5A"/>
    <w:rsid w:val="0040173E"/>
    <w:rsid w:val="004028EC"/>
    <w:rsid w:val="00412204"/>
    <w:rsid w:val="00413BBA"/>
    <w:rsid w:val="00420EB2"/>
    <w:rsid w:val="004218DE"/>
    <w:rsid w:val="004239BE"/>
    <w:rsid w:val="00423B72"/>
    <w:rsid w:val="004307FD"/>
    <w:rsid w:val="00431AD0"/>
    <w:rsid w:val="00435339"/>
    <w:rsid w:val="0043748D"/>
    <w:rsid w:val="004410DC"/>
    <w:rsid w:val="0044447D"/>
    <w:rsid w:val="00446EB9"/>
    <w:rsid w:val="00450C67"/>
    <w:rsid w:val="0045229E"/>
    <w:rsid w:val="004538E3"/>
    <w:rsid w:val="00460CF7"/>
    <w:rsid w:val="00463FA8"/>
    <w:rsid w:val="004657DA"/>
    <w:rsid w:val="00466648"/>
    <w:rsid w:val="00467C25"/>
    <w:rsid w:val="00472229"/>
    <w:rsid w:val="00472CBC"/>
    <w:rsid w:val="00474D06"/>
    <w:rsid w:val="004765B3"/>
    <w:rsid w:val="00481EA1"/>
    <w:rsid w:val="00483BD3"/>
    <w:rsid w:val="004843CA"/>
    <w:rsid w:val="00492006"/>
    <w:rsid w:val="004934E8"/>
    <w:rsid w:val="00493DAA"/>
    <w:rsid w:val="00494335"/>
    <w:rsid w:val="00495A4C"/>
    <w:rsid w:val="004967A1"/>
    <w:rsid w:val="00497808"/>
    <w:rsid w:val="004B584E"/>
    <w:rsid w:val="004C1106"/>
    <w:rsid w:val="004C6D4B"/>
    <w:rsid w:val="004C766B"/>
    <w:rsid w:val="004D053D"/>
    <w:rsid w:val="004D33E3"/>
    <w:rsid w:val="004D76C1"/>
    <w:rsid w:val="004D7C22"/>
    <w:rsid w:val="004E1E40"/>
    <w:rsid w:val="004E2269"/>
    <w:rsid w:val="004E363D"/>
    <w:rsid w:val="004E451A"/>
    <w:rsid w:val="004F0894"/>
    <w:rsid w:val="004F316B"/>
    <w:rsid w:val="004F3339"/>
    <w:rsid w:val="004F72A2"/>
    <w:rsid w:val="004F78E5"/>
    <w:rsid w:val="00500986"/>
    <w:rsid w:val="005026D4"/>
    <w:rsid w:val="00503A51"/>
    <w:rsid w:val="005053D9"/>
    <w:rsid w:val="00506774"/>
    <w:rsid w:val="00512309"/>
    <w:rsid w:val="00525354"/>
    <w:rsid w:val="00525E14"/>
    <w:rsid w:val="00534F82"/>
    <w:rsid w:val="00541497"/>
    <w:rsid w:val="00541D54"/>
    <w:rsid w:val="00542522"/>
    <w:rsid w:val="0054340E"/>
    <w:rsid w:val="0054526E"/>
    <w:rsid w:val="00545BD5"/>
    <w:rsid w:val="00545CE1"/>
    <w:rsid w:val="00546AAB"/>
    <w:rsid w:val="005476B5"/>
    <w:rsid w:val="00550938"/>
    <w:rsid w:val="00552AEA"/>
    <w:rsid w:val="00553400"/>
    <w:rsid w:val="00553C88"/>
    <w:rsid w:val="005549D7"/>
    <w:rsid w:val="005602DA"/>
    <w:rsid w:val="00562087"/>
    <w:rsid w:val="00564FBC"/>
    <w:rsid w:val="005678FC"/>
    <w:rsid w:val="0057138A"/>
    <w:rsid w:val="00573327"/>
    <w:rsid w:val="00575F24"/>
    <w:rsid w:val="00581D6A"/>
    <w:rsid w:val="00592F64"/>
    <w:rsid w:val="0059633D"/>
    <w:rsid w:val="005A03DB"/>
    <w:rsid w:val="005A3F63"/>
    <w:rsid w:val="005A4D19"/>
    <w:rsid w:val="005A59D0"/>
    <w:rsid w:val="005A7097"/>
    <w:rsid w:val="005B073E"/>
    <w:rsid w:val="005B227F"/>
    <w:rsid w:val="005B4301"/>
    <w:rsid w:val="005B6FE9"/>
    <w:rsid w:val="005B7801"/>
    <w:rsid w:val="005C3F84"/>
    <w:rsid w:val="005C5891"/>
    <w:rsid w:val="005D04CC"/>
    <w:rsid w:val="005D5FAE"/>
    <w:rsid w:val="005D6D84"/>
    <w:rsid w:val="005E4BC9"/>
    <w:rsid w:val="005E5CDC"/>
    <w:rsid w:val="005F29B7"/>
    <w:rsid w:val="005F7002"/>
    <w:rsid w:val="005F7067"/>
    <w:rsid w:val="0060511B"/>
    <w:rsid w:val="00606EB5"/>
    <w:rsid w:val="00606FC8"/>
    <w:rsid w:val="00614CC4"/>
    <w:rsid w:val="006155E3"/>
    <w:rsid w:val="00616C90"/>
    <w:rsid w:val="00617FDA"/>
    <w:rsid w:val="006209F4"/>
    <w:rsid w:val="0062116F"/>
    <w:rsid w:val="00623FD7"/>
    <w:rsid w:val="00626087"/>
    <w:rsid w:val="00631584"/>
    <w:rsid w:val="00634E4C"/>
    <w:rsid w:val="00636B8B"/>
    <w:rsid w:val="00640D94"/>
    <w:rsid w:val="0064189F"/>
    <w:rsid w:val="00641EAA"/>
    <w:rsid w:val="006423FB"/>
    <w:rsid w:val="006427FE"/>
    <w:rsid w:val="006446CD"/>
    <w:rsid w:val="00646486"/>
    <w:rsid w:val="006506C1"/>
    <w:rsid w:val="00657459"/>
    <w:rsid w:val="0065747A"/>
    <w:rsid w:val="0065778F"/>
    <w:rsid w:val="00661515"/>
    <w:rsid w:val="006629F3"/>
    <w:rsid w:val="00662E28"/>
    <w:rsid w:val="00663255"/>
    <w:rsid w:val="00663932"/>
    <w:rsid w:val="0066674D"/>
    <w:rsid w:val="00666A78"/>
    <w:rsid w:val="006711E7"/>
    <w:rsid w:val="00672F61"/>
    <w:rsid w:val="00676C12"/>
    <w:rsid w:val="0069375D"/>
    <w:rsid w:val="0069407C"/>
    <w:rsid w:val="0069574E"/>
    <w:rsid w:val="006969C0"/>
    <w:rsid w:val="006A0655"/>
    <w:rsid w:val="006A1921"/>
    <w:rsid w:val="006A2303"/>
    <w:rsid w:val="006A2C82"/>
    <w:rsid w:val="006B22F9"/>
    <w:rsid w:val="006C6C4E"/>
    <w:rsid w:val="006C7A0F"/>
    <w:rsid w:val="006D2A45"/>
    <w:rsid w:val="006D315C"/>
    <w:rsid w:val="006D3799"/>
    <w:rsid w:val="006D48C8"/>
    <w:rsid w:val="006D71B8"/>
    <w:rsid w:val="006E4272"/>
    <w:rsid w:val="006F0693"/>
    <w:rsid w:val="006F145A"/>
    <w:rsid w:val="006F27CB"/>
    <w:rsid w:val="006F359B"/>
    <w:rsid w:val="006F5865"/>
    <w:rsid w:val="00701EC6"/>
    <w:rsid w:val="00706179"/>
    <w:rsid w:val="00707769"/>
    <w:rsid w:val="00714F78"/>
    <w:rsid w:val="007152B0"/>
    <w:rsid w:val="007170DE"/>
    <w:rsid w:val="007170F7"/>
    <w:rsid w:val="00717589"/>
    <w:rsid w:val="00722172"/>
    <w:rsid w:val="00722F9F"/>
    <w:rsid w:val="00724F59"/>
    <w:rsid w:val="007253B8"/>
    <w:rsid w:val="007354EA"/>
    <w:rsid w:val="00736E7D"/>
    <w:rsid w:val="007444B0"/>
    <w:rsid w:val="007449E5"/>
    <w:rsid w:val="00744CD3"/>
    <w:rsid w:val="007509A6"/>
    <w:rsid w:val="00753F83"/>
    <w:rsid w:val="007541B0"/>
    <w:rsid w:val="0075469B"/>
    <w:rsid w:val="00755163"/>
    <w:rsid w:val="00756AAB"/>
    <w:rsid w:val="00757F63"/>
    <w:rsid w:val="00762A88"/>
    <w:rsid w:val="007645AE"/>
    <w:rsid w:val="00764992"/>
    <w:rsid w:val="00765749"/>
    <w:rsid w:val="00772C00"/>
    <w:rsid w:val="00775AA0"/>
    <w:rsid w:val="007770FA"/>
    <w:rsid w:val="00780FC1"/>
    <w:rsid w:val="00783A5C"/>
    <w:rsid w:val="00791738"/>
    <w:rsid w:val="00791780"/>
    <w:rsid w:val="00792D37"/>
    <w:rsid w:val="00794699"/>
    <w:rsid w:val="007A0EB7"/>
    <w:rsid w:val="007A7300"/>
    <w:rsid w:val="007B02FF"/>
    <w:rsid w:val="007B6871"/>
    <w:rsid w:val="007B7899"/>
    <w:rsid w:val="007C08B1"/>
    <w:rsid w:val="007C2CC2"/>
    <w:rsid w:val="007C38BD"/>
    <w:rsid w:val="007C405D"/>
    <w:rsid w:val="007C42FE"/>
    <w:rsid w:val="007C709D"/>
    <w:rsid w:val="007C79AA"/>
    <w:rsid w:val="007D0A0A"/>
    <w:rsid w:val="007D31DA"/>
    <w:rsid w:val="007D4A0D"/>
    <w:rsid w:val="007D72C5"/>
    <w:rsid w:val="007E2E94"/>
    <w:rsid w:val="007E525D"/>
    <w:rsid w:val="007F0323"/>
    <w:rsid w:val="007F379E"/>
    <w:rsid w:val="007F471C"/>
    <w:rsid w:val="007F51B4"/>
    <w:rsid w:val="007F7CD8"/>
    <w:rsid w:val="00800C90"/>
    <w:rsid w:val="008059D4"/>
    <w:rsid w:val="00810766"/>
    <w:rsid w:val="0081238F"/>
    <w:rsid w:val="008125F8"/>
    <w:rsid w:val="00814D78"/>
    <w:rsid w:val="0081619C"/>
    <w:rsid w:val="008208A8"/>
    <w:rsid w:val="008222B2"/>
    <w:rsid w:val="00824099"/>
    <w:rsid w:val="00826012"/>
    <w:rsid w:val="0083073C"/>
    <w:rsid w:val="00834CE0"/>
    <w:rsid w:val="0084110F"/>
    <w:rsid w:val="00844B1D"/>
    <w:rsid w:val="00844F5C"/>
    <w:rsid w:val="00845843"/>
    <w:rsid w:val="00846D34"/>
    <w:rsid w:val="00850161"/>
    <w:rsid w:val="008547DE"/>
    <w:rsid w:val="00863020"/>
    <w:rsid w:val="008637EC"/>
    <w:rsid w:val="00870BC6"/>
    <w:rsid w:val="00872C94"/>
    <w:rsid w:val="00875DAD"/>
    <w:rsid w:val="008767B7"/>
    <w:rsid w:val="00877B84"/>
    <w:rsid w:val="00877E5F"/>
    <w:rsid w:val="0088036D"/>
    <w:rsid w:val="00881155"/>
    <w:rsid w:val="00882892"/>
    <w:rsid w:val="00885A14"/>
    <w:rsid w:val="0088689B"/>
    <w:rsid w:val="00890FA0"/>
    <w:rsid w:val="00892F90"/>
    <w:rsid w:val="00893E13"/>
    <w:rsid w:val="008947BF"/>
    <w:rsid w:val="00896D3B"/>
    <w:rsid w:val="008A0CBE"/>
    <w:rsid w:val="008A1CA8"/>
    <w:rsid w:val="008A214D"/>
    <w:rsid w:val="008A3D99"/>
    <w:rsid w:val="008A72D2"/>
    <w:rsid w:val="008A74A3"/>
    <w:rsid w:val="008B12B6"/>
    <w:rsid w:val="008B6868"/>
    <w:rsid w:val="008B6D24"/>
    <w:rsid w:val="008C34F7"/>
    <w:rsid w:val="008C38BE"/>
    <w:rsid w:val="008C6A43"/>
    <w:rsid w:val="008D080C"/>
    <w:rsid w:val="008D1867"/>
    <w:rsid w:val="008D4FB7"/>
    <w:rsid w:val="008D6437"/>
    <w:rsid w:val="008D6EDF"/>
    <w:rsid w:val="008E3EF5"/>
    <w:rsid w:val="008E50CD"/>
    <w:rsid w:val="008F1A7A"/>
    <w:rsid w:val="008F33B5"/>
    <w:rsid w:val="008F667B"/>
    <w:rsid w:val="00901414"/>
    <w:rsid w:val="00906513"/>
    <w:rsid w:val="00906799"/>
    <w:rsid w:val="00914A8D"/>
    <w:rsid w:val="009179D3"/>
    <w:rsid w:val="00922193"/>
    <w:rsid w:val="0092282A"/>
    <w:rsid w:val="00922B4C"/>
    <w:rsid w:val="00924152"/>
    <w:rsid w:val="009244C4"/>
    <w:rsid w:val="00925BE2"/>
    <w:rsid w:val="0093194D"/>
    <w:rsid w:val="00934C3F"/>
    <w:rsid w:val="009417AE"/>
    <w:rsid w:val="00941CAB"/>
    <w:rsid w:val="00945B3F"/>
    <w:rsid w:val="00950DCB"/>
    <w:rsid w:val="00952D47"/>
    <w:rsid w:val="00952D4C"/>
    <w:rsid w:val="00960246"/>
    <w:rsid w:val="009647FE"/>
    <w:rsid w:val="00964F54"/>
    <w:rsid w:val="00965638"/>
    <w:rsid w:val="009720E1"/>
    <w:rsid w:val="00974F0E"/>
    <w:rsid w:val="00975694"/>
    <w:rsid w:val="00975CD7"/>
    <w:rsid w:val="00980CA1"/>
    <w:rsid w:val="0098490B"/>
    <w:rsid w:val="00985E70"/>
    <w:rsid w:val="0098783B"/>
    <w:rsid w:val="009938D1"/>
    <w:rsid w:val="00993C2B"/>
    <w:rsid w:val="009979F4"/>
    <w:rsid w:val="009A1097"/>
    <w:rsid w:val="009A246D"/>
    <w:rsid w:val="009A45B2"/>
    <w:rsid w:val="009A5585"/>
    <w:rsid w:val="009A59D5"/>
    <w:rsid w:val="009A6895"/>
    <w:rsid w:val="009B2CB7"/>
    <w:rsid w:val="009B4262"/>
    <w:rsid w:val="009C2198"/>
    <w:rsid w:val="009C7A2D"/>
    <w:rsid w:val="009D09A9"/>
    <w:rsid w:val="009D2DDD"/>
    <w:rsid w:val="009D33B7"/>
    <w:rsid w:val="009D7888"/>
    <w:rsid w:val="009E08B5"/>
    <w:rsid w:val="009E0C10"/>
    <w:rsid w:val="009E4116"/>
    <w:rsid w:val="009E529F"/>
    <w:rsid w:val="009E619B"/>
    <w:rsid w:val="00A03910"/>
    <w:rsid w:val="00A10DA6"/>
    <w:rsid w:val="00A11BD4"/>
    <w:rsid w:val="00A151E9"/>
    <w:rsid w:val="00A15DBB"/>
    <w:rsid w:val="00A16795"/>
    <w:rsid w:val="00A22962"/>
    <w:rsid w:val="00A259F2"/>
    <w:rsid w:val="00A26AE1"/>
    <w:rsid w:val="00A2758A"/>
    <w:rsid w:val="00A33802"/>
    <w:rsid w:val="00A34ADD"/>
    <w:rsid w:val="00A37162"/>
    <w:rsid w:val="00A37609"/>
    <w:rsid w:val="00A37E51"/>
    <w:rsid w:val="00A43C3E"/>
    <w:rsid w:val="00A456E1"/>
    <w:rsid w:val="00A46D28"/>
    <w:rsid w:val="00A51E2D"/>
    <w:rsid w:val="00A5319F"/>
    <w:rsid w:val="00A533A9"/>
    <w:rsid w:val="00A53690"/>
    <w:rsid w:val="00A53B74"/>
    <w:rsid w:val="00A53BE8"/>
    <w:rsid w:val="00A62D31"/>
    <w:rsid w:val="00A63380"/>
    <w:rsid w:val="00A8129D"/>
    <w:rsid w:val="00A8138C"/>
    <w:rsid w:val="00A82188"/>
    <w:rsid w:val="00A84981"/>
    <w:rsid w:val="00A865C7"/>
    <w:rsid w:val="00A909B2"/>
    <w:rsid w:val="00A909CC"/>
    <w:rsid w:val="00A93884"/>
    <w:rsid w:val="00A964A5"/>
    <w:rsid w:val="00A970FB"/>
    <w:rsid w:val="00A97E3B"/>
    <w:rsid w:val="00AA00CB"/>
    <w:rsid w:val="00AA20A1"/>
    <w:rsid w:val="00AA322A"/>
    <w:rsid w:val="00AA41F2"/>
    <w:rsid w:val="00AB039E"/>
    <w:rsid w:val="00AB13B4"/>
    <w:rsid w:val="00AB4206"/>
    <w:rsid w:val="00AC4B32"/>
    <w:rsid w:val="00AC7B78"/>
    <w:rsid w:val="00AC7E54"/>
    <w:rsid w:val="00AD48DC"/>
    <w:rsid w:val="00AE57C5"/>
    <w:rsid w:val="00AE6A4E"/>
    <w:rsid w:val="00AE7B98"/>
    <w:rsid w:val="00AF129F"/>
    <w:rsid w:val="00AF6543"/>
    <w:rsid w:val="00B07647"/>
    <w:rsid w:val="00B10740"/>
    <w:rsid w:val="00B123CA"/>
    <w:rsid w:val="00B12DC9"/>
    <w:rsid w:val="00B12F8E"/>
    <w:rsid w:val="00B13F84"/>
    <w:rsid w:val="00B14604"/>
    <w:rsid w:val="00B15932"/>
    <w:rsid w:val="00B15ABA"/>
    <w:rsid w:val="00B17405"/>
    <w:rsid w:val="00B17672"/>
    <w:rsid w:val="00B20FA0"/>
    <w:rsid w:val="00B2245A"/>
    <w:rsid w:val="00B24DD4"/>
    <w:rsid w:val="00B320C7"/>
    <w:rsid w:val="00B34339"/>
    <w:rsid w:val="00B40B7D"/>
    <w:rsid w:val="00B42136"/>
    <w:rsid w:val="00B42B2F"/>
    <w:rsid w:val="00B44900"/>
    <w:rsid w:val="00B467F6"/>
    <w:rsid w:val="00B472E1"/>
    <w:rsid w:val="00B52821"/>
    <w:rsid w:val="00B56C63"/>
    <w:rsid w:val="00B56E32"/>
    <w:rsid w:val="00B664C7"/>
    <w:rsid w:val="00B70625"/>
    <w:rsid w:val="00B71170"/>
    <w:rsid w:val="00B80BCE"/>
    <w:rsid w:val="00B81524"/>
    <w:rsid w:val="00B81740"/>
    <w:rsid w:val="00B83542"/>
    <w:rsid w:val="00B85D7B"/>
    <w:rsid w:val="00B87856"/>
    <w:rsid w:val="00B900EA"/>
    <w:rsid w:val="00B91069"/>
    <w:rsid w:val="00B92842"/>
    <w:rsid w:val="00B97BF6"/>
    <w:rsid w:val="00BA1BBD"/>
    <w:rsid w:val="00BA2713"/>
    <w:rsid w:val="00BA2941"/>
    <w:rsid w:val="00BA4C61"/>
    <w:rsid w:val="00BA627A"/>
    <w:rsid w:val="00BB22FA"/>
    <w:rsid w:val="00BB2B38"/>
    <w:rsid w:val="00BB4BB7"/>
    <w:rsid w:val="00BB6B60"/>
    <w:rsid w:val="00BB7AE5"/>
    <w:rsid w:val="00BC294E"/>
    <w:rsid w:val="00BD12A1"/>
    <w:rsid w:val="00BD1D09"/>
    <w:rsid w:val="00BD7B83"/>
    <w:rsid w:val="00BE61B4"/>
    <w:rsid w:val="00BE6FFF"/>
    <w:rsid w:val="00BF11D1"/>
    <w:rsid w:val="00BF17C6"/>
    <w:rsid w:val="00BF6F09"/>
    <w:rsid w:val="00C00FDA"/>
    <w:rsid w:val="00C02EB9"/>
    <w:rsid w:val="00C0373C"/>
    <w:rsid w:val="00C0381C"/>
    <w:rsid w:val="00C04E4B"/>
    <w:rsid w:val="00C077E2"/>
    <w:rsid w:val="00C11531"/>
    <w:rsid w:val="00C11B56"/>
    <w:rsid w:val="00C14C04"/>
    <w:rsid w:val="00C1529E"/>
    <w:rsid w:val="00C16045"/>
    <w:rsid w:val="00C21E27"/>
    <w:rsid w:val="00C2332A"/>
    <w:rsid w:val="00C24EBF"/>
    <w:rsid w:val="00C308DA"/>
    <w:rsid w:val="00C365F4"/>
    <w:rsid w:val="00C37466"/>
    <w:rsid w:val="00C42573"/>
    <w:rsid w:val="00C42EA5"/>
    <w:rsid w:val="00C47A64"/>
    <w:rsid w:val="00C56FBE"/>
    <w:rsid w:val="00C62BF5"/>
    <w:rsid w:val="00C636DA"/>
    <w:rsid w:val="00C66B58"/>
    <w:rsid w:val="00C67E22"/>
    <w:rsid w:val="00C72271"/>
    <w:rsid w:val="00C72A17"/>
    <w:rsid w:val="00C80CAF"/>
    <w:rsid w:val="00C81356"/>
    <w:rsid w:val="00C813CD"/>
    <w:rsid w:val="00C858D9"/>
    <w:rsid w:val="00C87DA0"/>
    <w:rsid w:val="00CA4E4D"/>
    <w:rsid w:val="00CA4F31"/>
    <w:rsid w:val="00CA6FF9"/>
    <w:rsid w:val="00CB024B"/>
    <w:rsid w:val="00CB1400"/>
    <w:rsid w:val="00CB3AB4"/>
    <w:rsid w:val="00CB4238"/>
    <w:rsid w:val="00CB5938"/>
    <w:rsid w:val="00CB5B27"/>
    <w:rsid w:val="00CB65C5"/>
    <w:rsid w:val="00CC13F5"/>
    <w:rsid w:val="00CC1A64"/>
    <w:rsid w:val="00CC2775"/>
    <w:rsid w:val="00CC34EB"/>
    <w:rsid w:val="00CC66EA"/>
    <w:rsid w:val="00CD16AC"/>
    <w:rsid w:val="00CD3C17"/>
    <w:rsid w:val="00CE1F9C"/>
    <w:rsid w:val="00CE2E48"/>
    <w:rsid w:val="00CE473E"/>
    <w:rsid w:val="00CF0184"/>
    <w:rsid w:val="00CF5276"/>
    <w:rsid w:val="00CF55F6"/>
    <w:rsid w:val="00CF59E0"/>
    <w:rsid w:val="00CF6672"/>
    <w:rsid w:val="00D021F7"/>
    <w:rsid w:val="00D0593F"/>
    <w:rsid w:val="00D069C7"/>
    <w:rsid w:val="00D078A2"/>
    <w:rsid w:val="00D143DD"/>
    <w:rsid w:val="00D156CF"/>
    <w:rsid w:val="00D21123"/>
    <w:rsid w:val="00D211DB"/>
    <w:rsid w:val="00D2385A"/>
    <w:rsid w:val="00D26BB7"/>
    <w:rsid w:val="00D277C2"/>
    <w:rsid w:val="00D35F24"/>
    <w:rsid w:val="00D367EB"/>
    <w:rsid w:val="00D36C91"/>
    <w:rsid w:val="00D41870"/>
    <w:rsid w:val="00D41871"/>
    <w:rsid w:val="00D45954"/>
    <w:rsid w:val="00D461C2"/>
    <w:rsid w:val="00D47789"/>
    <w:rsid w:val="00D60216"/>
    <w:rsid w:val="00D61AAE"/>
    <w:rsid w:val="00D64CB8"/>
    <w:rsid w:val="00D720AE"/>
    <w:rsid w:val="00D72FD8"/>
    <w:rsid w:val="00D7562D"/>
    <w:rsid w:val="00D8499F"/>
    <w:rsid w:val="00D92A45"/>
    <w:rsid w:val="00D9697A"/>
    <w:rsid w:val="00DA3023"/>
    <w:rsid w:val="00DA4358"/>
    <w:rsid w:val="00DA4C48"/>
    <w:rsid w:val="00DA675E"/>
    <w:rsid w:val="00DA6FBA"/>
    <w:rsid w:val="00DA727D"/>
    <w:rsid w:val="00DB00B6"/>
    <w:rsid w:val="00DB0445"/>
    <w:rsid w:val="00DB4E87"/>
    <w:rsid w:val="00DB53A7"/>
    <w:rsid w:val="00DB7C81"/>
    <w:rsid w:val="00DD170F"/>
    <w:rsid w:val="00DE0A8A"/>
    <w:rsid w:val="00DE585C"/>
    <w:rsid w:val="00DF0747"/>
    <w:rsid w:val="00DF2F8B"/>
    <w:rsid w:val="00DF6837"/>
    <w:rsid w:val="00DF68E4"/>
    <w:rsid w:val="00DF6E54"/>
    <w:rsid w:val="00E04228"/>
    <w:rsid w:val="00E04457"/>
    <w:rsid w:val="00E04BBC"/>
    <w:rsid w:val="00E10450"/>
    <w:rsid w:val="00E1220F"/>
    <w:rsid w:val="00E1478E"/>
    <w:rsid w:val="00E159D7"/>
    <w:rsid w:val="00E21198"/>
    <w:rsid w:val="00E213AB"/>
    <w:rsid w:val="00E21653"/>
    <w:rsid w:val="00E21C9B"/>
    <w:rsid w:val="00E2414E"/>
    <w:rsid w:val="00E24B8A"/>
    <w:rsid w:val="00E26830"/>
    <w:rsid w:val="00E26FAF"/>
    <w:rsid w:val="00E30C3C"/>
    <w:rsid w:val="00E40B36"/>
    <w:rsid w:val="00E473BB"/>
    <w:rsid w:val="00E476B6"/>
    <w:rsid w:val="00E51672"/>
    <w:rsid w:val="00E517AF"/>
    <w:rsid w:val="00E522FC"/>
    <w:rsid w:val="00E55EE5"/>
    <w:rsid w:val="00E605FE"/>
    <w:rsid w:val="00E61784"/>
    <w:rsid w:val="00E619D7"/>
    <w:rsid w:val="00E625B3"/>
    <w:rsid w:val="00E64743"/>
    <w:rsid w:val="00E67DFE"/>
    <w:rsid w:val="00E70F5B"/>
    <w:rsid w:val="00E7257D"/>
    <w:rsid w:val="00E728CB"/>
    <w:rsid w:val="00E72901"/>
    <w:rsid w:val="00E7336F"/>
    <w:rsid w:val="00E74F3B"/>
    <w:rsid w:val="00E76262"/>
    <w:rsid w:val="00E839B7"/>
    <w:rsid w:val="00E84A6B"/>
    <w:rsid w:val="00E92385"/>
    <w:rsid w:val="00E93F74"/>
    <w:rsid w:val="00E9664C"/>
    <w:rsid w:val="00E96DEA"/>
    <w:rsid w:val="00E9776A"/>
    <w:rsid w:val="00EA1585"/>
    <w:rsid w:val="00EA48AE"/>
    <w:rsid w:val="00EA597D"/>
    <w:rsid w:val="00EB092A"/>
    <w:rsid w:val="00EB09E2"/>
    <w:rsid w:val="00EB4E02"/>
    <w:rsid w:val="00EB74A5"/>
    <w:rsid w:val="00ED0CEB"/>
    <w:rsid w:val="00ED2A25"/>
    <w:rsid w:val="00ED4EB4"/>
    <w:rsid w:val="00EE0126"/>
    <w:rsid w:val="00EE0C89"/>
    <w:rsid w:val="00EE1E6D"/>
    <w:rsid w:val="00EE39FE"/>
    <w:rsid w:val="00EE47FE"/>
    <w:rsid w:val="00EE50C6"/>
    <w:rsid w:val="00EE5D41"/>
    <w:rsid w:val="00EE766D"/>
    <w:rsid w:val="00EF2A15"/>
    <w:rsid w:val="00EF5BFD"/>
    <w:rsid w:val="00EF6F86"/>
    <w:rsid w:val="00EF7B33"/>
    <w:rsid w:val="00F00470"/>
    <w:rsid w:val="00F01C6F"/>
    <w:rsid w:val="00F02379"/>
    <w:rsid w:val="00F0295C"/>
    <w:rsid w:val="00F0509B"/>
    <w:rsid w:val="00F06EE2"/>
    <w:rsid w:val="00F074DC"/>
    <w:rsid w:val="00F15632"/>
    <w:rsid w:val="00F17535"/>
    <w:rsid w:val="00F17806"/>
    <w:rsid w:val="00F20949"/>
    <w:rsid w:val="00F23A28"/>
    <w:rsid w:val="00F24F8F"/>
    <w:rsid w:val="00F303B2"/>
    <w:rsid w:val="00F307E0"/>
    <w:rsid w:val="00F34D63"/>
    <w:rsid w:val="00F407DE"/>
    <w:rsid w:val="00F45954"/>
    <w:rsid w:val="00F5050B"/>
    <w:rsid w:val="00F52EB8"/>
    <w:rsid w:val="00F57F7A"/>
    <w:rsid w:val="00F60B21"/>
    <w:rsid w:val="00F62D33"/>
    <w:rsid w:val="00F647F4"/>
    <w:rsid w:val="00F64AB3"/>
    <w:rsid w:val="00F6570B"/>
    <w:rsid w:val="00F67615"/>
    <w:rsid w:val="00F71696"/>
    <w:rsid w:val="00F72A82"/>
    <w:rsid w:val="00F76C98"/>
    <w:rsid w:val="00F804CD"/>
    <w:rsid w:val="00F80750"/>
    <w:rsid w:val="00F8141D"/>
    <w:rsid w:val="00F82FB4"/>
    <w:rsid w:val="00F85F59"/>
    <w:rsid w:val="00F86538"/>
    <w:rsid w:val="00F86717"/>
    <w:rsid w:val="00F86DD4"/>
    <w:rsid w:val="00F944A8"/>
    <w:rsid w:val="00F94F2F"/>
    <w:rsid w:val="00F97C7A"/>
    <w:rsid w:val="00FA2909"/>
    <w:rsid w:val="00FA3CEC"/>
    <w:rsid w:val="00FB3583"/>
    <w:rsid w:val="00FB4CF2"/>
    <w:rsid w:val="00FC16BB"/>
    <w:rsid w:val="00FC3751"/>
    <w:rsid w:val="00FC4523"/>
    <w:rsid w:val="00FC4845"/>
    <w:rsid w:val="00FC6B03"/>
    <w:rsid w:val="00FD06D5"/>
    <w:rsid w:val="00FD28FF"/>
    <w:rsid w:val="00FD4A11"/>
    <w:rsid w:val="00FD68A1"/>
    <w:rsid w:val="00FE2C7B"/>
    <w:rsid w:val="00FE3503"/>
    <w:rsid w:val="00FE419E"/>
    <w:rsid w:val="00FE7F4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2AFA8"/>
  <w15:chartTrackingRefBased/>
  <w15:docId w15:val="{89CB8DE4-D5FC-4D8B-AF5D-FC208DD6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CB65C5"/>
    <w:rPr>
      <w:rFonts w:eastAsia="Times New Roman" w:cs="Times New Roman"/>
      <w:color w:val="auto"/>
      <w:szCs w:val="24"/>
      <w:lang w:eastAsia="en-AU"/>
    </w:rPr>
  </w:style>
  <w:style w:type="paragraph" w:styleId="Heading1">
    <w:name w:val="heading 1"/>
    <w:basedOn w:val="Normal"/>
    <w:next w:val="Normal"/>
    <w:link w:val="Heading1Char"/>
    <w:uiPriority w:val="9"/>
    <w:qFormat/>
    <w:rsid w:val="00004ED1"/>
    <w:pPr>
      <w:keepNext/>
      <w:keepLines/>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99"/>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rPr>
      <w:rFonts w:asciiTheme="minorHAnsi" w:hAnsiTheme="minorHAnsi"/>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tabs>
        <w:tab w:val="left" w:pos="851"/>
        <w:tab w:val="right" w:pos="9027"/>
      </w:tabs>
    </w:pPr>
    <w:rPr>
      <w:i/>
      <w:sz w:val="28"/>
    </w:rPr>
  </w:style>
  <w:style w:type="paragraph" w:styleId="TOC5">
    <w:name w:val="toc 5"/>
    <w:basedOn w:val="Normal"/>
    <w:next w:val="Normal"/>
    <w:autoRedefine/>
    <w:uiPriority w:val="39"/>
    <w:unhideWhenUsed/>
    <w:locked/>
    <w:rsid w:val="000453D9"/>
    <w:pPr>
      <w:tabs>
        <w:tab w:val="left" w:pos="851"/>
        <w:tab w:val="right" w:pos="9027"/>
      </w:tabs>
    </w:pPr>
    <w:rPr>
      <w:b/>
      <w:sz w:val="24"/>
    </w:rPr>
  </w:style>
  <w:style w:type="paragraph" w:styleId="TOC6">
    <w:name w:val="toc 6"/>
    <w:basedOn w:val="Normal"/>
    <w:next w:val="Normal"/>
    <w:autoRedefine/>
    <w:uiPriority w:val="39"/>
    <w:unhideWhenUsed/>
    <w:locked/>
    <w:rsid w:val="00E21C9B"/>
    <w:p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spacing w:after="840"/>
      <w:contextualSpacing/>
    </w:pPr>
  </w:style>
  <w:style w:type="paragraph" w:customStyle="1" w:styleId="Sincerely">
    <w:name w:val="Sincerely"/>
    <w:basedOn w:val="Normal"/>
    <w:uiPriority w:val="29"/>
    <w:semiHidden/>
    <w:qFormat/>
    <w:rsid w:val="00592F64"/>
    <w:pPr>
      <w:spacing w:before="720" w:after="600"/>
    </w:pPr>
  </w:style>
  <w:style w:type="paragraph" w:customStyle="1" w:styleId="Subject">
    <w:name w:val="Subject"/>
    <w:basedOn w:val="Normal"/>
    <w:uiPriority w:val="29"/>
    <w:semiHidden/>
    <w:qFormat/>
    <w:rsid w:val="00592F64"/>
    <w:p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spacing w:before="240" w:after="120"/>
    </w:pPr>
    <w:rPr>
      <w:b/>
      <w:i/>
    </w:rPr>
  </w:style>
  <w:style w:type="paragraph" w:customStyle="1" w:styleId="NameTitleDivision">
    <w:name w:val="Name/Title/Division"/>
    <w:basedOn w:val="Normal"/>
    <w:uiPriority w:val="18"/>
    <w:qFormat/>
    <w:rsid w:val="000573E5"/>
    <w:pPr>
      <w:contextualSpacing/>
    </w:pPr>
    <w:rPr>
      <w:i/>
    </w:rPr>
  </w:style>
  <w:style w:type="paragraph" w:customStyle="1" w:styleId="TableText">
    <w:name w:val="Table Text"/>
    <w:basedOn w:val="Normal"/>
    <w:uiPriority w:val="10"/>
    <w:qFormat/>
    <w:rsid w:val="009E529F"/>
    <w:pPr>
      <w:spacing w:before="60" w:after="60"/>
      <w:jc w:val="left"/>
    </w:pPr>
  </w:style>
  <w:style w:type="paragraph" w:customStyle="1" w:styleId="Postscript">
    <w:name w:val="Postscript"/>
    <w:basedOn w:val="Normal"/>
    <w:uiPriority w:val="19"/>
    <w:qFormat/>
    <w:rsid w:val="00B40B7D"/>
    <w:rPr>
      <w:sz w:val="20"/>
    </w:rPr>
  </w:style>
  <w:style w:type="paragraph" w:customStyle="1" w:styleId="Paragraph">
    <w:name w:val="Paragraph"/>
    <w:basedOn w:val="Normal"/>
    <w:qFormat/>
    <w:rsid w:val="0092282A"/>
    <w:rPr>
      <w:rFonts w:ascii="Times New Roman" w:hAnsi="Times New Roman"/>
      <w:sz w:val="24"/>
    </w:rPr>
  </w:style>
  <w:style w:type="character" w:styleId="UnresolvedMention">
    <w:name w:val="Unresolved Mention"/>
    <w:basedOn w:val="DefaultParagraphFont"/>
    <w:uiPriority w:val="99"/>
    <w:semiHidden/>
    <w:unhideWhenUsed/>
    <w:locked/>
    <w:rsid w:val="006423FB"/>
    <w:rPr>
      <w:color w:val="605E5C"/>
      <w:shd w:val="clear" w:color="auto" w:fill="E1DFDD"/>
    </w:rPr>
  </w:style>
  <w:style w:type="paragraph" w:customStyle="1" w:styleId="Heading">
    <w:name w:val="Heading"/>
    <w:basedOn w:val="Normal"/>
    <w:rsid w:val="00BB4BB7"/>
    <w:pPr>
      <w:keepNext/>
      <w:spacing w:before="240" w:after="60"/>
      <w:outlineLvl w:val="0"/>
    </w:pPr>
    <w:rPr>
      <w:rFonts w:cs="Arial"/>
      <w:b/>
      <w:kern w:val="32"/>
      <w:sz w:val="26"/>
      <w:szCs w:val="32"/>
    </w:rPr>
  </w:style>
  <w:style w:type="paragraph" w:styleId="Revision">
    <w:name w:val="Revision"/>
    <w:hidden/>
    <w:uiPriority w:val="99"/>
    <w:semiHidden/>
    <w:rsid w:val="00E517AF"/>
    <w:pPr>
      <w:spacing w:after="0"/>
      <w:jc w:val="left"/>
    </w:pPr>
    <w:rPr>
      <w:rFonts w:eastAsia="Times New Roman" w:cs="Times New Roman"/>
      <w:color w:val="auto"/>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206261085">
      <w:bodyDiv w:val="1"/>
      <w:marLeft w:val="0"/>
      <w:marRight w:val="0"/>
      <w:marTop w:val="0"/>
      <w:marBottom w:val="0"/>
      <w:divBdr>
        <w:top w:val="none" w:sz="0" w:space="0" w:color="auto"/>
        <w:left w:val="none" w:sz="0" w:space="0" w:color="auto"/>
        <w:bottom w:val="none" w:sz="0" w:space="0" w:color="auto"/>
        <w:right w:val="none" w:sz="0" w:space="0" w:color="auto"/>
      </w:divBdr>
    </w:div>
    <w:div w:id="261689188">
      <w:bodyDiv w:val="1"/>
      <w:marLeft w:val="0"/>
      <w:marRight w:val="0"/>
      <w:marTop w:val="0"/>
      <w:marBottom w:val="0"/>
      <w:divBdr>
        <w:top w:val="none" w:sz="0" w:space="0" w:color="auto"/>
        <w:left w:val="none" w:sz="0" w:space="0" w:color="auto"/>
        <w:bottom w:val="none" w:sz="0" w:space="0" w:color="auto"/>
        <w:right w:val="none" w:sz="0" w:space="0" w:color="auto"/>
      </w:divBdr>
    </w:div>
    <w:div w:id="66420906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77739610">
      <w:bodyDiv w:val="1"/>
      <w:marLeft w:val="0"/>
      <w:marRight w:val="0"/>
      <w:marTop w:val="0"/>
      <w:marBottom w:val="0"/>
      <w:divBdr>
        <w:top w:val="none" w:sz="0" w:space="0" w:color="auto"/>
        <w:left w:val="none" w:sz="0" w:space="0" w:color="auto"/>
        <w:bottom w:val="none" w:sz="0" w:space="0" w:color="auto"/>
        <w:right w:val="none" w:sz="0" w:space="0" w:color="auto"/>
      </w:divBdr>
    </w:div>
    <w:div w:id="123751916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04341767">
      <w:bodyDiv w:val="1"/>
      <w:marLeft w:val="0"/>
      <w:marRight w:val="0"/>
      <w:marTop w:val="0"/>
      <w:marBottom w:val="0"/>
      <w:divBdr>
        <w:top w:val="none" w:sz="0" w:space="0" w:color="auto"/>
        <w:left w:val="none" w:sz="0" w:space="0" w:color="auto"/>
        <w:bottom w:val="none" w:sz="0" w:space="0" w:color="auto"/>
        <w:right w:val="none" w:sz="0" w:space="0" w:color="auto"/>
      </w:divBdr>
    </w:div>
    <w:div w:id="18273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5JENXJJSCC7A-445999044-12033</_dlc_DocId>
    <TaxCatchAll xmlns="814d62cb-2db6-4c25-ab62-b9075facbc11">
      <Value>24</Value>
      <Value>83</Value>
      <Value>93</Value>
      <Value>134</Value>
      <Value>26</Value>
      <Value>10</Value>
      <Value>109</Value>
      <Value>297</Value>
      <Value>58</Value>
      <Value>19</Value>
    </TaxCatchAll>
    <_dlc_DocIdUrl xmlns="814d62cb-2db6-4c25-ab62-b9075facbc11">
      <Url>https://im/teams/LEGAL/_layouts/15/DocIdRedir.aspx?ID=5JENXJJSCC7A-445999044-12033</Url>
      <Description>5JENXJJSCC7A-445999044-12033</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the GI AASB17 Reporting Standards</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documentManagement>
</p:properties>
</file>

<file path=customXml/item2.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8aef97a4-ded2-4e4a-9fbc-e666dae3ecd2" ContentTypeId="0x0101008CA7A4F8331B45C7B0D3158B4994D0CA02" PreviousValue="false"/>
</file>

<file path=customXml/itemProps1.xml><?xml version="1.0" encoding="utf-8"?>
<ds:datastoreItem xmlns:ds="http://schemas.openxmlformats.org/officeDocument/2006/customXml" ds:itemID="{E42BEC9B-D635-45D9-8023-A4D006BFE8E1}">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814d62cb-2db6-4c25-ab62-b9075facbc11"/>
    <ds:schemaRef ds:uri="http://purl.org/dc/elements/1.1/"/>
    <ds:schemaRef ds:uri="http://purl.org/dc/terms/"/>
    <ds:schemaRef ds:uri="http://www.w3.org/XML/1998/namespace"/>
  </ds:schemaRefs>
</ds:datastoreItem>
</file>

<file path=customXml/itemProps2.xml><?xml version="1.0" encoding="utf-8"?>
<ds:datastoreItem xmlns:ds="http://schemas.openxmlformats.org/officeDocument/2006/customXml" ds:itemID="{BAFF963D-F0EA-4EDC-ADB2-095A39AE75D3}"/>
</file>

<file path=customXml/itemProps3.xml><?xml version="1.0" encoding="utf-8"?>
<ds:datastoreItem xmlns:ds="http://schemas.openxmlformats.org/officeDocument/2006/customXml" ds:itemID="{E4E1789D-90B4-45D4-B85F-16B68F24742E}">
  <ds:schemaRefs>
    <ds:schemaRef ds:uri="http://schemas.microsoft.com/sharepoint/v3/contenttype/forms"/>
  </ds:schemaRefs>
</ds:datastoreItem>
</file>

<file path=customXml/itemProps4.xml><?xml version="1.0" encoding="utf-8"?>
<ds:datastoreItem xmlns:ds="http://schemas.openxmlformats.org/officeDocument/2006/customXml" ds:itemID="{6964A3C6-FBB9-45E3-951A-637546D2683F}">
  <ds:schemaRefs>
    <ds:schemaRef ds:uri="http://schemas.microsoft.com/sharepoint/events"/>
  </ds:schemaRefs>
</ds:datastoreItem>
</file>

<file path=customXml/itemProps5.xml><?xml version="1.0" encoding="utf-8"?>
<ds:datastoreItem xmlns:ds="http://schemas.openxmlformats.org/officeDocument/2006/customXml" ds:itemID="{DE61301C-25CE-4602-9FCF-813A20180B78}">
  <ds:schemaRefs>
    <ds:schemaRef ds:uri="http://schemas.openxmlformats.org/officeDocument/2006/bibliography"/>
  </ds:schemaRefs>
</ds:datastoreItem>
</file>

<file path=customXml/itemProps6.xml><?xml version="1.0" encoding="utf-8"?>
<ds:datastoreItem xmlns:ds="http://schemas.openxmlformats.org/officeDocument/2006/customXml" ds:itemID="{E1F71901-E551-4052-9118-15788EECA23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1725</Words>
  <Characters>9592</Characters>
  <Application>Microsoft Office Word</Application>
  <DocSecurity>0</DocSecurity>
  <Lines>204</Lines>
  <Paragraphs>85</Paragraphs>
  <ScaleCrop>false</ScaleCrop>
  <HeadingPairs>
    <vt:vector size="2" baseType="variant">
      <vt:variant>
        <vt:lpstr>Title</vt:lpstr>
      </vt:variant>
      <vt:variant>
        <vt:i4>1</vt:i4>
      </vt:variant>
    </vt:vector>
  </HeadingPairs>
  <TitlesOfParts>
    <vt:vector size="1" baseType="lpstr">
      <vt:lpstr>Sunsetting ES - GI</vt:lpstr>
    </vt:vector>
  </TitlesOfParts>
  <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Sunsetting ES - GI</dc:title>
  <dc:subject/>
  <dc:creator>Nenad Panici</dc:creator>
  <cp:keywords>[SEC=OFFICIAL]</cp:keywords>
  <dc:description/>
  <cp:lastModifiedBy>Toni Michalis</cp:lastModifiedBy>
  <cp:revision>2</cp:revision>
  <cp:lastPrinted>2022-12-15T04:38:00Z</cp:lastPrinted>
  <dcterms:created xsi:type="dcterms:W3CDTF">2023-03-16T07:42:00Z</dcterms:created>
  <dcterms:modified xsi:type="dcterms:W3CDTF">2023-03-16T07:42:00Z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4D1D097E286549D4B9AB86563F620364</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2022-12-23T05:54:46Z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A1B9AFE3BB3023C8A53F6E1F7FA2C528</vt:lpwstr>
  </property>
  <property fmtid="{D5CDD505-2E9C-101B-9397-08002B2CF9AE}" pid="22" name="PM_Hash_Salt">
    <vt:lpwstr>660F830572B810402A3280C98B3AD16F</vt:lpwstr>
  </property>
  <property fmtid="{D5CDD505-2E9C-101B-9397-08002B2CF9AE}" pid="23" name="PM_Hash_SHA1">
    <vt:lpwstr>EB014D05F0AC143D8F5B9E006E1DB3CDCF6E143F</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MSIP_Label_c0129afb-6481-4f92-bc9f-5a4a6346364d_SetDate">
    <vt:lpwstr>2022-12-23T05:54:46Z</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ContentTypeId">
    <vt:lpwstr>0x0101008CA7A4F8331B45C7B0D3158B4994D0CA0200577EC0F5A1FBFC498F9A8436B963F8A6</vt:lpwstr>
  </property>
  <property fmtid="{D5CDD505-2E9C-101B-9397-08002B2CF9AE}" pid="34" name="_dlc_DocIdItemGuid">
    <vt:lpwstr>bd0c7967-61b2-41e6-8920-bb4b6d5b1338</vt:lpwstr>
  </property>
  <property fmtid="{D5CDD505-2E9C-101B-9397-08002B2CF9AE}" pid="35" name="APRAStatus">
    <vt:lpwstr>19;#Final|84d6b2d0-8498-4d62-bf46-bab38babbe9e</vt:lpwstr>
  </property>
  <property fmtid="{D5CDD505-2E9C-101B-9397-08002B2CF9AE}" pid="36"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7" name="IT system type">
    <vt:lpwstr/>
  </property>
  <property fmtid="{D5CDD505-2E9C-101B-9397-08002B2CF9AE}" pid="38" name="APRACategory">
    <vt:lpwstr/>
  </property>
  <property fmtid="{D5CDD505-2E9C-101B-9397-08002B2CF9AE}" pid="39" name="APRAPRSG">
    <vt:lpwstr/>
  </property>
  <property fmtid="{D5CDD505-2E9C-101B-9397-08002B2CF9AE}" pid="40" name="APRADocumentType">
    <vt:lpwstr>297;#Reporting standard|91896cd9-c8c4-4f0d-b59e-113a28881d1d;#58;#Legal instrument|71fd6ed3-d6d6-4975-ba99-bfe45802e734</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APRALegislation">
    <vt:lpwstr/>
  </property>
  <property fmtid="{D5CDD505-2E9C-101B-9397-08002B2CF9AE}" pid="44" name="APRAYear">
    <vt:lpwstr/>
  </property>
  <property fmtid="{D5CDD505-2E9C-101B-9397-08002B2CF9AE}" pid="45" name="APRAIndustry">
    <vt:lpwstr/>
  </property>
  <property fmtid="{D5CDD505-2E9C-101B-9397-08002B2CF9AE}" pid="46" name="APRAExternalOrganisation">
    <vt:lpwstr/>
  </property>
  <property fmtid="{D5CDD505-2E9C-101B-9397-08002B2CF9AE}" pid="47" name="APRAIRTR">
    <vt:lpwstr/>
  </property>
  <property fmtid="{D5CDD505-2E9C-101B-9397-08002B2CF9AE}" pid="48" name="APRAPeriod">
    <vt:lpwstr/>
  </property>
  <property fmtid="{D5CDD505-2E9C-101B-9397-08002B2CF9AE}" pid="49" name="RecordPoint_WorkflowType">
    <vt:lpwstr>ActiveSubmitStub</vt:lpwstr>
  </property>
  <property fmtid="{D5CDD505-2E9C-101B-9397-08002B2CF9AE}" pid="50" name="RecordPoint_ActiveItemSiteId">
    <vt:lpwstr>{88691c01-5bbb-4215-adc0-66cb7065b0af}</vt:lpwstr>
  </property>
  <property fmtid="{D5CDD505-2E9C-101B-9397-08002B2CF9AE}" pid="51" name="RecordPoint_ActiveItemListId">
    <vt:lpwstr>{0e59e171-09d8-4401-800a-327154450cb3}</vt:lpwstr>
  </property>
  <property fmtid="{D5CDD505-2E9C-101B-9397-08002B2CF9AE}" pid="52" name="RecordPoint_ActiveItemUniqueId">
    <vt:lpwstr>{bd0c7967-61b2-41e6-8920-bb4b6d5b1338}</vt:lpwstr>
  </property>
  <property fmtid="{D5CDD505-2E9C-101B-9397-08002B2CF9AE}" pid="53" name="RecordPoint_ActiveItemWebId">
    <vt:lpwstr>{75a71c27-8d66-4282-ae60-1bfc22a83be1}</vt:lpwstr>
  </property>
  <property fmtid="{D5CDD505-2E9C-101B-9397-08002B2CF9AE}" pid="54" name="RecordPoint_RecordNumberSubmitted">
    <vt:lpwstr/>
  </property>
  <property fmtid="{D5CDD505-2E9C-101B-9397-08002B2CF9AE}" pid="55" name="RecordPoint_SubmissionCompleted">
    <vt:lpwstr/>
  </property>
  <property fmtid="{D5CDD505-2E9C-101B-9397-08002B2CF9AE}" pid="56" name="RecordPoint_SubmissionDate">
    <vt:lpwstr/>
  </property>
  <property fmtid="{D5CDD505-2E9C-101B-9397-08002B2CF9AE}" pid="57" name="RecordPoint_ActiveItemMoved">
    <vt:lpwstr/>
  </property>
  <property fmtid="{D5CDD505-2E9C-101B-9397-08002B2CF9AE}" pid="58" name="RecordPoint_RecordFormat">
    <vt:lpwstr/>
  </property>
  <property fmtid="{D5CDD505-2E9C-101B-9397-08002B2CF9AE}" pid="59" name="MSIP_Label_c0129afb-6481-4f92-bc9f-5a4a6346364d_Method">
    <vt:lpwstr>Privileged</vt:lpwstr>
  </property>
  <property fmtid="{D5CDD505-2E9C-101B-9397-08002B2CF9AE}" pid="60" name="PMHMAC">
    <vt:lpwstr>v=2022.1;a=SHA256;h=C7FB99122D3F2BFB86C7770E2247E4315FF368A9B0ACD9E7D339A7C4269D95D1</vt:lpwstr>
  </property>
  <property fmtid="{D5CDD505-2E9C-101B-9397-08002B2CF9AE}" pid="61" name="MSIP_Label_c0129afb-6481-4f92-bc9f-5a4a6346364d_ContentBits">
    <vt:lpwstr>0</vt:lpwstr>
  </property>
  <property fmtid="{D5CDD505-2E9C-101B-9397-08002B2CF9AE}" pid="62" name="MSIP_Label_c0129afb-6481-4f92-bc9f-5a4a6346364d_ActionId">
    <vt:lpwstr>9e0e3af5a5ef4893b853653b5528dc08</vt:lpwstr>
  </property>
  <property fmtid="{D5CDD505-2E9C-101B-9397-08002B2CF9AE}" pid="63" name="_docset_NoMedatataSyncRequired">
    <vt:lpwstr>False</vt:lpwstr>
  </property>
</Properties>
</file>