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4A47" w14:textId="77777777" w:rsidR="00FA062C" w:rsidRPr="003F21BB" w:rsidRDefault="00FA062C" w:rsidP="00FA062C">
      <w:pPr>
        <w:rPr>
          <w:color w:val="000000"/>
          <w:lang w:val="en-US"/>
        </w:rPr>
      </w:pPr>
      <w:bookmarkStart w:id="0" w:name="_Toc168113228"/>
      <w:r>
        <w:rPr>
          <w:noProof/>
          <w:color w:val="000000"/>
        </w:rPr>
        <w:drawing>
          <wp:inline distT="0" distB="0" distL="0" distR="0" wp14:anchorId="5375A322" wp14:editId="630024D8">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79C8339" w14:textId="77777777" w:rsidR="00FA062C" w:rsidRPr="003F21BB" w:rsidRDefault="00FA062C" w:rsidP="00FA062C">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19</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5A62FE3E" w14:textId="77777777" w:rsidR="00FA062C" w:rsidRPr="00ED6952" w:rsidRDefault="00FA062C" w:rsidP="00FA062C">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ED6952">
        <w:rPr>
          <w:rFonts w:ascii="Arial" w:hAnsi="Arial" w:cs="Arial"/>
          <w:b/>
          <w:bCs/>
          <w:color w:val="000000"/>
          <w:sz w:val="28"/>
          <w:szCs w:val="28"/>
        </w:rPr>
        <w:t>GRS 410.0 Movement in Outstanding Claims Liabilities</w:t>
      </w:r>
    </w:p>
    <w:p w14:paraId="22C076E1" w14:textId="77777777" w:rsidR="00FA062C" w:rsidRPr="003F21BB" w:rsidRDefault="00FA062C" w:rsidP="00FA062C">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4C9D4DDC" w14:textId="77777777" w:rsidR="00FA062C" w:rsidRPr="003F21BB" w:rsidRDefault="00FA062C" w:rsidP="00FA062C">
      <w:pPr>
        <w:ind w:left="720" w:hanging="720"/>
        <w:rPr>
          <w:color w:val="000000"/>
          <w:sz w:val="24"/>
        </w:rPr>
      </w:pPr>
    </w:p>
    <w:p w14:paraId="49C0CCA2" w14:textId="77777777" w:rsidR="00FA062C" w:rsidRPr="007924D0" w:rsidRDefault="00FA062C" w:rsidP="00FA062C">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04774948" w14:textId="77777777" w:rsidR="00FA062C" w:rsidRDefault="00FA062C" w:rsidP="00FA062C">
      <w:pPr>
        <w:jc w:val="both"/>
        <w:rPr>
          <w:color w:val="000000"/>
          <w:sz w:val="24"/>
          <w:szCs w:val="24"/>
        </w:rPr>
      </w:pPr>
    </w:p>
    <w:p w14:paraId="6F430E3E" w14:textId="77777777" w:rsidR="00FA062C" w:rsidRPr="004F7A0C" w:rsidRDefault="00FA062C" w:rsidP="00FA062C">
      <w:pPr>
        <w:pStyle w:val="ListParagraph"/>
        <w:numPr>
          <w:ilvl w:val="0"/>
          <w:numId w:val="33"/>
        </w:numPr>
        <w:jc w:val="both"/>
        <w:rPr>
          <w:sz w:val="24"/>
          <w:szCs w:val="24"/>
        </w:rPr>
      </w:pPr>
      <w:r w:rsidRPr="004F7A0C">
        <w:rPr>
          <w:sz w:val="24"/>
          <w:szCs w:val="24"/>
        </w:rPr>
        <w:t xml:space="preserve">REVOKE Financial Sector (Collection of Data) (reporting standard) determination No. </w:t>
      </w:r>
      <w:r>
        <w:rPr>
          <w:sz w:val="24"/>
          <w:szCs w:val="24"/>
        </w:rPr>
        <w:t>22</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GRS 410.0 Movement in Outstanding Claims Liabilities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7A865E7A" w14:textId="77777777" w:rsidR="00FA062C" w:rsidRPr="004F7A0C" w:rsidRDefault="00FA062C" w:rsidP="00FA062C">
      <w:pPr>
        <w:pStyle w:val="ListParagraph"/>
        <w:rPr>
          <w:sz w:val="24"/>
          <w:szCs w:val="24"/>
        </w:rPr>
      </w:pPr>
    </w:p>
    <w:p w14:paraId="0FE35533" w14:textId="77777777" w:rsidR="00FA062C" w:rsidRDefault="00FA062C" w:rsidP="00FA062C">
      <w:pPr>
        <w:pStyle w:val="ListParagraph"/>
        <w:numPr>
          <w:ilvl w:val="0"/>
          <w:numId w:val="33"/>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rPr>
        <w:t>GRS 410.0 Movement in Outstanding Claims Liabilities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F484824" w14:textId="77777777" w:rsidR="00FA062C" w:rsidRPr="007924D0" w:rsidRDefault="00FA062C" w:rsidP="00FA062C">
      <w:pPr>
        <w:pStyle w:val="ListParagraph"/>
        <w:rPr>
          <w:sz w:val="24"/>
          <w:szCs w:val="24"/>
        </w:rPr>
      </w:pPr>
    </w:p>
    <w:p w14:paraId="330452EA" w14:textId="77777777" w:rsidR="00FA062C" w:rsidRPr="007924D0" w:rsidRDefault="00FA062C" w:rsidP="00FA062C">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47ED9993" w14:textId="77777777" w:rsidR="00FA062C" w:rsidRPr="007924D0" w:rsidRDefault="00FA062C" w:rsidP="00FA062C">
      <w:pPr>
        <w:jc w:val="both"/>
        <w:rPr>
          <w:sz w:val="24"/>
          <w:szCs w:val="24"/>
          <w:lang w:val="en-US"/>
        </w:rPr>
      </w:pPr>
    </w:p>
    <w:p w14:paraId="01296995" w14:textId="77777777" w:rsidR="00FA062C" w:rsidRPr="007924D0" w:rsidRDefault="00FA062C" w:rsidP="00FA062C">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2CC4300E" w14:textId="77777777" w:rsidR="00FA062C" w:rsidRPr="007924D0" w:rsidRDefault="00FA062C" w:rsidP="00FA062C">
      <w:pPr>
        <w:jc w:val="both"/>
        <w:rPr>
          <w:sz w:val="24"/>
          <w:szCs w:val="24"/>
          <w:lang w:val="en-US"/>
        </w:rPr>
      </w:pPr>
    </w:p>
    <w:p w14:paraId="7D744207" w14:textId="18F3E98D" w:rsidR="00FA062C" w:rsidRPr="003F21BB" w:rsidRDefault="00FA062C" w:rsidP="00FA062C">
      <w:pPr>
        <w:jc w:val="both"/>
        <w:rPr>
          <w:sz w:val="24"/>
          <w:szCs w:val="24"/>
          <w:lang w:val="en-US"/>
        </w:rPr>
      </w:pPr>
      <w:r w:rsidRPr="007924D0">
        <w:rPr>
          <w:sz w:val="24"/>
          <w:szCs w:val="24"/>
          <w:lang w:val="en-US"/>
        </w:rPr>
        <w:t xml:space="preserve">Dated: </w:t>
      </w:r>
      <w:r w:rsidR="00F61CB1">
        <w:rPr>
          <w:sz w:val="24"/>
          <w:szCs w:val="24"/>
          <w:lang w:val="en-US"/>
        </w:rPr>
        <w:t>16</w:t>
      </w:r>
      <w:r w:rsidRPr="007924D0">
        <w:rPr>
          <w:sz w:val="24"/>
          <w:szCs w:val="24"/>
          <w:lang w:val="en-US"/>
        </w:rPr>
        <w:t xml:space="preserve"> March 202</w:t>
      </w:r>
      <w:r>
        <w:rPr>
          <w:sz w:val="24"/>
          <w:szCs w:val="24"/>
          <w:lang w:val="en-US"/>
        </w:rPr>
        <w:t>3</w:t>
      </w:r>
    </w:p>
    <w:p w14:paraId="7016140B" w14:textId="77777777" w:rsidR="00FA062C" w:rsidRPr="003F21BB" w:rsidRDefault="00FA062C" w:rsidP="00FA062C">
      <w:pPr>
        <w:jc w:val="both"/>
        <w:rPr>
          <w:i/>
          <w:sz w:val="24"/>
          <w:szCs w:val="24"/>
          <w:lang w:val="en-US"/>
        </w:rPr>
      </w:pPr>
    </w:p>
    <w:p w14:paraId="1A0BD838" w14:textId="77777777" w:rsidR="00FA062C" w:rsidRPr="003F21BB" w:rsidRDefault="00FA062C" w:rsidP="00FA062C">
      <w:pPr>
        <w:jc w:val="both"/>
        <w:rPr>
          <w:color w:val="000000"/>
          <w:sz w:val="24"/>
          <w:szCs w:val="24"/>
          <w:lang w:val="en-US"/>
        </w:rPr>
      </w:pPr>
    </w:p>
    <w:p w14:paraId="53729750" w14:textId="77777777" w:rsidR="00FA062C" w:rsidRPr="003F21BB" w:rsidRDefault="00FA062C" w:rsidP="00FA062C">
      <w:pPr>
        <w:jc w:val="both"/>
        <w:rPr>
          <w:sz w:val="24"/>
          <w:szCs w:val="24"/>
          <w:lang w:val="en-US"/>
        </w:rPr>
      </w:pPr>
    </w:p>
    <w:p w14:paraId="6E23B007" w14:textId="77777777" w:rsidR="00FA062C" w:rsidRPr="003F21BB" w:rsidRDefault="00FA062C" w:rsidP="00FA062C">
      <w:pPr>
        <w:jc w:val="both"/>
        <w:rPr>
          <w:sz w:val="24"/>
          <w:szCs w:val="24"/>
          <w:lang w:val="en-US"/>
        </w:rPr>
      </w:pPr>
      <w:r>
        <w:rPr>
          <w:sz w:val="24"/>
          <w:szCs w:val="24"/>
          <w:lang w:val="en-US"/>
        </w:rPr>
        <w:t>Michael Murphy</w:t>
      </w:r>
    </w:p>
    <w:p w14:paraId="6A24DFD2" w14:textId="044162B1" w:rsidR="00FA062C" w:rsidRPr="003F21BB" w:rsidRDefault="00C877C3" w:rsidP="00FA062C">
      <w:pPr>
        <w:jc w:val="both"/>
        <w:rPr>
          <w:sz w:val="24"/>
          <w:szCs w:val="24"/>
          <w:lang w:val="en-US"/>
        </w:rPr>
      </w:pPr>
      <w:r>
        <w:rPr>
          <w:sz w:val="24"/>
          <w:szCs w:val="24"/>
          <w:lang w:val="en-US"/>
        </w:rPr>
        <w:t>General Manager – Chief Data Officer (Acting)</w:t>
      </w:r>
      <w:r w:rsidR="00FA062C">
        <w:rPr>
          <w:sz w:val="24"/>
          <w:szCs w:val="24"/>
          <w:lang w:val="en-US"/>
        </w:rPr>
        <w:t>,</w:t>
      </w:r>
    </w:p>
    <w:p w14:paraId="23AB6F0E" w14:textId="77777777" w:rsidR="00FA062C" w:rsidRPr="003F21BB" w:rsidRDefault="00FA062C" w:rsidP="00FA062C">
      <w:pPr>
        <w:jc w:val="both"/>
        <w:rPr>
          <w:sz w:val="24"/>
          <w:szCs w:val="24"/>
          <w:lang w:val="en-US"/>
        </w:rPr>
      </w:pPr>
      <w:r>
        <w:rPr>
          <w:sz w:val="24"/>
          <w:szCs w:val="24"/>
          <w:lang w:val="en-US"/>
        </w:rPr>
        <w:t>Technology and Data</w:t>
      </w:r>
      <w:r w:rsidRPr="003F21BB">
        <w:rPr>
          <w:sz w:val="24"/>
          <w:szCs w:val="24"/>
          <w:lang w:val="en-US"/>
        </w:rPr>
        <w:t xml:space="preserve"> Division</w:t>
      </w:r>
    </w:p>
    <w:p w14:paraId="13E493FB" w14:textId="77777777" w:rsidR="00F61CB1" w:rsidRDefault="00F61CB1">
      <w:pPr>
        <w:rPr>
          <w:sz w:val="24"/>
          <w:szCs w:val="24"/>
          <w:lang w:val="en-US"/>
        </w:rPr>
      </w:pPr>
      <w:r>
        <w:rPr>
          <w:sz w:val="24"/>
          <w:szCs w:val="24"/>
          <w:lang w:val="en-US"/>
        </w:rPr>
        <w:br w:type="page"/>
      </w:r>
    </w:p>
    <w:p w14:paraId="6D926920" w14:textId="12BA65EB" w:rsidR="00FA062C" w:rsidRPr="003F21BB" w:rsidRDefault="00FA062C" w:rsidP="00FA062C">
      <w:pPr>
        <w:jc w:val="both"/>
        <w:rPr>
          <w:b/>
          <w:sz w:val="24"/>
          <w:szCs w:val="24"/>
          <w:lang w:val="en-US"/>
        </w:rPr>
      </w:pPr>
      <w:r w:rsidRPr="003F21BB">
        <w:rPr>
          <w:b/>
          <w:color w:val="000000"/>
          <w:sz w:val="24"/>
          <w:szCs w:val="24"/>
          <w:lang w:val="en-US"/>
        </w:rPr>
        <w:lastRenderedPageBreak/>
        <w:t>Interpretation</w:t>
      </w:r>
    </w:p>
    <w:p w14:paraId="24D7F0E7" w14:textId="77777777" w:rsidR="00FA062C" w:rsidRPr="003F21BB" w:rsidRDefault="00FA062C" w:rsidP="00FA062C">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0B41A690" w14:textId="77777777" w:rsidR="00FA062C" w:rsidRPr="003F21BB" w:rsidRDefault="00FA062C" w:rsidP="00FA062C">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709F9137" w14:textId="77777777" w:rsidR="00FA062C" w:rsidRPr="003F21BB" w:rsidRDefault="00FA062C" w:rsidP="00FA062C">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3492DFF2" w14:textId="77777777" w:rsidR="00FA062C" w:rsidRPr="003F21BB" w:rsidRDefault="00FA062C" w:rsidP="00FA062C">
      <w:pPr>
        <w:spacing w:before="240"/>
        <w:ind w:left="720" w:hanging="720"/>
        <w:jc w:val="both"/>
        <w:rPr>
          <w:color w:val="000000"/>
          <w:sz w:val="24"/>
          <w:szCs w:val="24"/>
        </w:rPr>
      </w:pPr>
    </w:p>
    <w:p w14:paraId="5AA2BC0C" w14:textId="77777777" w:rsidR="00FA062C" w:rsidRPr="003F21BB" w:rsidRDefault="00FA062C" w:rsidP="00FA062C">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3014F6FF" w14:textId="77777777" w:rsidR="00FA062C" w:rsidRPr="003F21BB" w:rsidRDefault="00FA062C" w:rsidP="00FA062C">
      <w:pPr>
        <w:keepNext/>
        <w:autoSpaceDE w:val="0"/>
        <w:autoSpaceDN w:val="0"/>
        <w:spacing w:before="60" w:line="200" w:lineRule="exact"/>
        <w:rPr>
          <w:rFonts w:ascii="Arial" w:hAnsi="Arial" w:cs="Arial"/>
          <w:color w:val="000000"/>
          <w:sz w:val="18"/>
          <w:szCs w:val="18"/>
        </w:rPr>
      </w:pPr>
    </w:p>
    <w:p w14:paraId="2F546363" w14:textId="4400C038" w:rsidR="00FA062C" w:rsidRDefault="00FA062C" w:rsidP="00FA062C">
      <w:pPr>
        <w:tabs>
          <w:tab w:val="center" w:pos="4320"/>
          <w:tab w:val="right" w:pos="8640"/>
        </w:tabs>
        <w:jc w:val="both"/>
        <w:rPr>
          <w:bCs/>
          <w:sz w:val="24"/>
          <w:szCs w:val="24"/>
          <w:lang w:val="en-US"/>
        </w:rPr>
      </w:pPr>
      <w:r w:rsidRPr="002D3393">
        <w:rPr>
          <w:i/>
          <w:color w:val="000000"/>
          <w:sz w:val="24"/>
          <w:szCs w:val="24"/>
        </w:rPr>
        <w:t xml:space="preserve">Reporting Standard </w:t>
      </w:r>
      <w:r>
        <w:rPr>
          <w:i/>
          <w:sz w:val="24"/>
        </w:rPr>
        <w:t>GRS 410.0 Movement in Outstanding Claims Liabilities</w:t>
      </w:r>
      <w:r w:rsidRPr="003F21BB">
        <w:rPr>
          <w:bCs/>
          <w:sz w:val="24"/>
          <w:szCs w:val="24"/>
          <w:lang w:val="en-US"/>
        </w:rPr>
        <w:t xml:space="preserve"> comprises the document commencing on the following page.</w:t>
      </w:r>
      <w:bookmarkEnd w:id="0"/>
    </w:p>
    <w:p w14:paraId="523367DD" w14:textId="77777777" w:rsidR="00F61CB1" w:rsidRDefault="00F61CB1" w:rsidP="00FA062C">
      <w:pPr>
        <w:tabs>
          <w:tab w:val="center" w:pos="4320"/>
          <w:tab w:val="right" w:pos="8640"/>
        </w:tabs>
        <w:jc w:val="both"/>
        <w:rPr>
          <w:bCs/>
          <w:sz w:val="24"/>
          <w:szCs w:val="24"/>
          <w:lang w:val="en-US"/>
        </w:rPr>
        <w:sectPr w:rsidR="00F61CB1" w:rsidSect="0076425C">
          <w:headerReference w:type="default" r:id="rId14"/>
          <w:headerReference w:type="first" r:id="rId15"/>
          <w:footerReference w:type="first" r:id="rId16"/>
          <w:pgSz w:w="11907" w:h="16840" w:code="9"/>
          <w:pgMar w:top="1440" w:right="1440" w:bottom="1440" w:left="1440" w:header="720" w:footer="720" w:gutter="0"/>
          <w:pgNumType w:start="1"/>
          <w:cols w:space="720"/>
          <w:titlePg/>
          <w:docGrid w:linePitch="272"/>
        </w:sectPr>
      </w:pPr>
    </w:p>
    <w:p w14:paraId="4D4DA57E" w14:textId="3D102647" w:rsidR="005B7824" w:rsidRPr="005B7824" w:rsidRDefault="00771150" w:rsidP="005B7824">
      <w:pPr>
        <w:keepNext/>
        <w:jc w:val="both"/>
        <w:outlineLvl w:val="1"/>
        <w:rPr>
          <w:rFonts w:ascii="Arial" w:hAnsi="Arial" w:cs="Arial"/>
          <w:b/>
          <w:sz w:val="40"/>
          <w:szCs w:val="40"/>
          <w:lang w:val="en-US"/>
        </w:rPr>
      </w:pPr>
      <w:r w:rsidRPr="002543D1">
        <w:rPr>
          <w:rFonts w:ascii="Arial" w:hAnsi="Arial"/>
          <w:b/>
          <w:noProof/>
          <w:sz w:val="32"/>
          <w:lang w:val="en-US"/>
        </w:rPr>
        <w:lastRenderedPageBreak/>
        <w:drawing>
          <wp:inline distT="0" distB="0" distL="0" distR="0" wp14:anchorId="24CA64B2" wp14:editId="5BBDFB0E">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36D2C15E" w14:textId="77777777" w:rsidR="005B7824" w:rsidRPr="005B7824" w:rsidRDefault="005B7824" w:rsidP="005B7824">
      <w:pPr>
        <w:keepNext/>
        <w:jc w:val="both"/>
        <w:outlineLvl w:val="1"/>
        <w:rPr>
          <w:rFonts w:ascii="Arial" w:hAnsi="Arial" w:cs="Arial"/>
          <w:b/>
          <w:sz w:val="40"/>
          <w:szCs w:val="40"/>
          <w:lang w:val="en-US"/>
        </w:rPr>
      </w:pPr>
    </w:p>
    <w:p w14:paraId="4E5110E2"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77438C">
        <w:rPr>
          <w:rFonts w:ascii="Arial" w:hAnsi="Arial" w:cs="Arial"/>
          <w:b/>
          <w:sz w:val="40"/>
          <w:szCs w:val="40"/>
          <w:lang w:val="en-US"/>
        </w:rPr>
        <w:t>4</w:t>
      </w:r>
      <w:r w:rsidR="00080EEF">
        <w:rPr>
          <w:rFonts w:ascii="Arial" w:hAnsi="Arial" w:cs="Arial"/>
          <w:b/>
          <w:sz w:val="40"/>
          <w:szCs w:val="40"/>
          <w:lang w:val="en-US"/>
        </w:rPr>
        <w:t>1</w:t>
      </w:r>
      <w:r w:rsidR="00BD3CB7">
        <w:rPr>
          <w:rFonts w:ascii="Arial" w:hAnsi="Arial" w:cs="Arial"/>
          <w:b/>
          <w:sz w:val="40"/>
          <w:szCs w:val="40"/>
          <w:lang w:val="en-US"/>
        </w:rPr>
        <w:t>0</w:t>
      </w:r>
      <w:r w:rsidR="00FB07B0">
        <w:rPr>
          <w:rFonts w:ascii="Arial" w:hAnsi="Arial" w:cs="Arial"/>
          <w:b/>
          <w:sz w:val="40"/>
          <w:szCs w:val="40"/>
          <w:lang w:val="en-US"/>
        </w:rPr>
        <w:t>.</w:t>
      </w:r>
      <w:r w:rsidR="0077438C">
        <w:rPr>
          <w:rFonts w:ascii="Arial" w:hAnsi="Arial" w:cs="Arial"/>
          <w:b/>
          <w:sz w:val="40"/>
          <w:szCs w:val="40"/>
          <w:lang w:val="en-US"/>
        </w:rPr>
        <w:t>0</w:t>
      </w:r>
    </w:p>
    <w:p w14:paraId="170190DC" w14:textId="77777777" w:rsidR="005B7824" w:rsidRPr="005B7824" w:rsidRDefault="005B7824" w:rsidP="005B7824">
      <w:pPr>
        <w:jc w:val="both"/>
        <w:rPr>
          <w:b/>
          <w:sz w:val="28"/>
          <w:lang w:val="en-US"/>
        </w:rPr>
      </w:pPr>
    </w:p>
    <w:p w14:paraId="321F0AD6" w14:textId="77777777" w:rsidR="005B7824" w:rsidRPr="005B7824" w:rsidRDefault="0077438C" w:rsidP="005B7824">
      <w:pPr>
        <w:keepNext/>
        <w:jc w:val="both"/>
        <w:outlineLvl w:val="0"/>
        <w:rPr>
          <w:rFonts w:ascii="Arial" w:hAnsi="Arial" w:cs="Arial"/>
          <w:b/>
          <w:sz w:val="40"/>
          <w:szCs w:val="40"/>
          <w:lang w:val="en-US"/>
        </w:rPr>
      </w:pPr>
      <w:r>
        <w:rPr>
          <w:rFonts w:ascii="Arial" w:hAnsi="Arial" w:cs="Arial"/>
          <w:b/>
          <w:sz w:val="40"/>
          <w:szCs w:val="40"/>
          <w:lang w:val="en-US"/>
        </w:rPr>
        <w:t>Movement in Outstanding Claims Liabilities</w:t>
      </w:r>
    </w:p>
    <w:p w14:paraId="6BEF6F15" w14:textId="77777777" w:rsidR="005B7824" w:rsidRPr="005B7824" w:rsidRDefault="005B7824" w:rsidP="005B7824">
      <w:pPr>
        <w:jc w:val="both"/>
        <w:rPr>
          <w:sz w:val="28"/>
          <w:lang w:val="en-US"/>
        </w:rPr>
      </w:pPr>
    </w:p>
    <w:p w14:paraId="5B85736F"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29AA5E70"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07F5C4DC"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w:t>
      </w:r>
      <w:r w:rsidR="0077438C">
        <w:rPr>
          <w:sz w:val="24"/>
          <w:lang w:val="en-US"/>
        </w:rPr>
        <w:t>the movement in a</w:t>
      </w:r>
      <w:r w:rsidRPr="005B7824">
        <w:rPr>
          <w:sz w:val="24"/>
          <w:lang w:val="en-US"/>
        </w:rPr>
        <w:t xml:space="preserve"> general insurer’s </w:t>
      </w:r>
      <w:r w:rsidR="0077438C">
        <w:rPr>
          <w:sz w:val="24"/>
          <w:lang w:val="en-US"/>
        </w:rPr>
        <w:t>outstanding claims liabilities</w:t>
      </w:r>
      <w:r w:rsidRPr="005B7824">
        <w:rPr>
          <w:sz w:val="24"/>
          <w:lang w:val="en-US"/>
        </w:rPr>
        <w:t xml:space="preserve">. </w:t>
      </w:r>
    </w:p>
    <w:p w14:paraId="7A8DDB0C"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 xml:space="preserve">Form GRF </w:t>
      </w:r>
      <w:r w:rsidR="0077438C">
        <w:rPr>
          <w:i/>
          <w:sz w:val="24"/>
          <w:lang w:val="en-US"/>
        </w:rPr>
        <w:t>4</w:t>
      </w:r>
      <w:r w:rsidR="00080EEF">
        <w:rPr>
          <w:i/>
          <w:sz w:val="24"/>
          <w:lang w:val="en-US"/>
        </w:rPr>
        <w:t>1</w:t>
      </w:r>
      <w:r w:rsidR="00BD3CB7">
        <w:rPr>
          <w:i/>
          <w:sz w:val="24"/>
          <w:lang w:val="en-US"/>
        </w:rPr>
        <w:t>0</w:t>
      </w:r>
      <w:r w:rsidR="00FB07B0">
        <w:rPr>
          <w:i/>
          <w:sz w:val="24"/>
          <w:lang w:val="en-US"/>
        </w:rPr>
        <w:t>.</w:t>
      </w:r>
      <w:r w:rsidR="0077438C">
        <w:rPr>
          <w:i/>
          <w:sz w:val="24"/>
          <w:lang w:val="en-US"/>
        </w:rPr>
        <w:t>0</w:t>
      </w:r>
      <w:r w:rsidR="00FB07B0">
        <w:rPr>
          <w:i/>
          <w:sz w:val="24"/>
          <w:lang w:val="en-US"/>
        </w:rPr>
        <w:t xml:space="preserve"> </w:t>
      </w:r>
      <w:r w:rsidR="0077438C">
        <w:rPr>
          <w:i/>
          <w:sz w:val="24"/>
          <w:lang w:val="en-US"/>
        </w:rPr>
        <w:t>Movement in Outstanding Claims Liabilities</w:t>
      </w:r>
      <w:r w:rsidRPr="005B7824">
        <w:rPr>
          <w:sz w:val="24"/>
          <w:lang w:val="en-US"/>
        </w:rPr>
        <w:t xml:space="preserve"> and associated specific instructions and must be read in conjunction with the general instruction guide</w:t>
      </w:r>
      <w:r w:rsidR="00341BA2">
        <w:rPr>
          <w:sz w:val="24"/>
          <w:lang w:val="en-US"/>
        </w:rPr>
        <w:t>.</w:t>
      </w:r>
    </w:p>
    <w:p w14:paraId="2F19653B"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7C4D444C"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3B421CD5"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7258EFB7" w14:textId="77777777" w:rsidR="005B7824" w:rsidRPr="002A7566"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58F1459A"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 xml:space="preserve">Form GRF </w:t>
      </w:r>
      <w:r w:rsidR="0077438C">
        <w:rPr>
          <w:i/>
          <w:sz w:val="24"/>
          <w:lang w:val="en-US"/>
        </w:rPr>
        <w:t>4</w:t>
      </w:r>
      <w:r w:rsidR="00080EEF">
        <w:rPr>
          <w:i/>
          <w:sz w:val="24"/>
          <w:lang w:val="en-US"/>
        </w:rPr>
        <w:t>1</w:t>
      </w:r>
      <w:r w:rsidR="00BD3CB7">
        <w:rPr>
          <w:i/>
          <w:sz w:val="24"/>
          <w:lang w:val="en-US"/>
        </w:rPr>
        <w:t>0</w:t>
      </w:r>
      <w:r w:rsidR="00FB07B0">
        <w:rPr>
          <w:i/>
          <w:sz w:val="24"/>
          <w:lang w:val="en-US"/>
        </w:rPr>
        <w:t>.</w:t>
      </w:r>
      <w:r w:rsidR="0077438C">
        <w:rPr>
          <w:i/>
          <w:sz w:val="24"/>
          <w:lang w:val="en-US"/>
        </w:rPr>
        <w:t>0</w:t>
      </w:r>
      <w:r w:rsidR="00FB07B0">
        <w:rPr>
          <w:i/>
          <w:sz w:val="24"/>
          <w:lang w:val="en-US"/>
        </w:rPr>
        <w:t xml:space="preserve"> </w:t>
      </w:r>
      <w:r w:rsidR="0077438C">
        <w:rPr>
          <w:i/>
          <w:sz w:val="24"/>
          <w:lang w:val="en-US"/>
        </w:rPr>
        <w:t>Movement in Outstanding Claims Liabilities</w:t>
      </w:r>
      <w:r w:rsidR="00080EEF">
        <w:rPr>
          <w:i/>
          <w:sz w:val="24"/>
          <w:lang w:val="en-US"/>
        </w:rPr>
        <w:t xml:space="preserve"> </w:t>
      </w:r>
      <w:r w:rsidRPr="005B7824">
        <w:rPr>
          <w:sz w:val="24"/>
          <w:lang w:val="en-US"/>
        </w:rPr>
        <w:t xml:space="preserve">(GRF </w:t>
      </w:r>
      <w:r w:rsidR="0077438C">
        <w:rPr>
          <w:sz w:val="24"/>
          <w:lang w:val="en-US"/>
        </w:rPr>
        <w:t>4</w:t>
      </w:r>
      <w:r w:rsidR="00080EEF">
        <w:rPr>
          <w:sz w:val="24"/>
          <w:lang w:val="en-US"/>
        </w:rPr>
        <w:t>1</w:t>
      </w:r>
      <w:r w:rsidR="00BD3CB7">
        <w:rPr>
          <w:sz w:val="24"/>
          <w:lang w:val="en-US"/>
        </w:rPr>
        <w:t>0</w:t>
      </w:r>
      <w:r w:rsidR="00FB07B0">
        <w:rPr>
          <w:sz w:val="24"/>
          <w:lang w:val="en-US"/>
        </w:rPr>
        <w:t>.</w:t>
      </w:r>
      <w:r w:rsidR="0077438C">
        <w:rPr>
          <w:sz w:val="24"/>
          <w:lang w:val="en-US"/>
        </w:rPr>
        <w:t>0</w:t>
      </w:r>
      <w:r w:rsidR="00C43B67">
        <w:rPr>
          <w:sz w:val="24"/>
          <w:lang w:val="en-US"/>
        </w:rPr>
        <w:t>)</w:t>
      </w:r>
      <w:r w:rsidRPr="005B7824">
        <w:rPr>
          <w:sz w:val="24"/>
          <w:lang w:val="en-US"/>
        </w:rPr>
        <w:t xml:space="preserve"> is used by APRA for the purpose of prudential supervision including assessing compliance with the capital standards.</w:t>
      </w:r>
      <w:r w:rsidRPr="005B7824" w:rsidDel="007456FC">
        <w:rPr>
          <w:sz w:val="24"/>
          <w:vertAlign w:val="superscript"/>
          <w:lang w:val="en-US"/>
        </w:rPr>
        <w:t xml:space="preserve"> </w:t>
      </w:r>
    </w:p>
    <w:p w14:paraId="3B08042E"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3D952D61" w14:textId="59AFD965"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71031B">
        <w:rPr>
          <w:sz w:val="24"/>
          <w:szCs w:val="24"/>
          <w:lang w:val="en-US"/>
        </w:rPr>
        <w:t xml:space="preserve"> </w:t>
      </w:r>
      <w:r w:rsidR="009F4D96">
        <w:rPr>
          <w:sz w:val="24"/>
          <w:szCs w:val="24"/>
          <w:lang w:val="en-US"/>
        </w:rPr>
        <w:t>1 April 2023</w:t>
      </w:r>
      <w:r w:rsidRPr="005B7824">
        <w:rPr>
          <w:sz w:val="24"/>
          <w:szCs w:val="24"/>
          <w:lang w:val="en-US"/>
        </w:rPr>
        <w:t xml:space="preserve">. </w:t>
      </w:r>
      <w:r w:rsidRPr="005B7824">
        <w:rPr>
          <w:sz w:val="24"/>
          <w:lang w:val="en-US"/>
        </w:rPr>
        <w:t xml:space="preserve"> </w:t>
      </w:r>
    </w:p>
    <w:p w14:paraId="1EFAC5D2" w14:textId="77777777" w:rsidR="005B7824" w:rsidRPr="00826AA8"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1583CC21"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Form GRF </w:t>
      </w:r>
      <w:r w:rsidR="0077438C">
        <w:rPr>
          <w:sz w:val="24"/>
          <w:lang w:val="en-US"/>
        </w:rPr>
        <w:t>4</w:t>
      </w:r>
      <w:r w:rsidR="00080EEF">
        <w:rPr>
          <w:sz w:val="24"/>
          <w:lang w:val="en-US"/>
        </w:rPr>
        <w:t>1</w:t>
      </w:r>
      <w:r w:rsidR="00BD3CB7">
        <w:rPr>
          <w:sz w:val="24"/>
          <w:lang w:val="en-US"/>
        </w:rPr>
        <w:t>0</w:t>
      </w:r>
      <w:r w:rsidR="00FB07B0">
        <w:rPr>
          <w:sz w:val="24"/>
          <w:lang w:val="en-US"/>
        </w:rPr>
        <w:t>.</w:t>
      </w:r>
      <w:r w:rsidR="0077438C">
        <w:rPr>
          <w:sz w:val="24"/>
          <w:lang w:val="en-US"/>
        </w:rPr>
        <w:t>0</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7C3AC25C" w14:textId="4577EC59" w:rsidR="005B7824" w:rsidRPr="005B7824" w:rsidRDefault="00DC4CD2"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6073B817" w14:textId="77777777" w:rsidR="0050707F" w:rsidRPr="00F01667" w:rsidRDefault="0050707F" w:rsidP="002D7CB7">
      <w:pPr>
        <w:numPr>
          <w:ilvl w:val="1"/>
          <w:numId w:val="23"/>
        </w:numPr>
        <w:spacing w:after="240"/>
        <w:jc w:val="both"/>
        <w:rPr>
          <w:sz w:val="24"/>
          <w:szCs w:val="24"/>
          <w:lang w:val="en-US"/>
        </w:rPr>
      </w:pPr>
      <w:bookmarkStart w:id="3" w:name="_Ref339262396"/>
      <w:r w:rsidRPr="00F01667">
        <w:rPr>
          <w:sz w:val="24"/>
          <w:szCs w:val="24"/>
          <w:lang w:val="en-US"/>
        </w:rPr>
        <w:t xml:space="preserve">The information required by this Reporting Standard must be given to APRA: </w:t>
      </w:r>
    </w:p>
    <w:p w14:paraId="526A441D" w14:textId="77777777" w:rsidR="0050707F" w:rsidRPr="00F01667" w:rsidRDefault="0050707F" w:rsidP="002D7CB7">
      <w:pPr>
        <w:spacing w:after="240"/>
        <w:ind w:left="567"/>
        <w:jc w:val="both"/>
        <w:rPr>
          <w:sz w:val="24"/>
          <w:szCs w:val="24"/>
          <w:lang w:val="en-US"/>
        </w:rPr>
      </w:pPr>
      <w:r w:rsidRPr="00F01667">
        <w:rPr>
          <w:sz w:val="24"/>
          <w:szCs w:val="24"/>
          <w:lang w:val="en-US"/>
        </w:rPr>
        <w:t>(a)</w:t>
      </w:r>
      <w:r w:rsidRPr="00F01667">
        <w:rPr>
          <w:sz w:val="24"/>
          <w:szCs w:val="24"/>
          <w:lang w:val="en-US"/>
        </w:rPr>
        <w:tab/>
      </w:r>
      <w:r>
        <w:rPr>
          <w:sz w:val="24"/>
          <w:szCs w:val="24"/>
          <w:lang w:val="en-US"/>
        </w:rPr>
        <w:t xml:space="preserve"> </w:t>
      </w:r>
      <w:r w:rsidRPr="00F01667">
        <w:rPr>
          <w:sz w:val="24"/>
          <w:szCs w:val="24"/>
          <w:lang w:val="en-US"/>
        </w:rPr>
        <w:t xml:space="preserve">in electronic format using an electronic method available on APRA’s website; or </w:t>
      </w:r>
    </w:p>
    <w:p w14:paraId="5B267D2C" w14:textId="34870410" w:rsidR="005B7824" w:rsidRPr="00B613DC" w:rsidRDefault="0050707F" w:rsidP="002D7CB7">
      <w:pPr>
        <w:spacing w:after="240"/>
        <w:ind w:left="567"/>
        <w:jc w:val="both"/>
        <w:rPr>
          <w:sz w:val="24"/>
          <w:szCs w:val="24"/>
          <w:lang w:val="en-US"/>
        </w:rPr>
      </w:pPr>
      <w:r w:rsidRPr="00F01667">
        <w:rPr>
          <w:sz w:val="24"/>
          <w:szCs w:val="24"/>
          <w:lang w:val="en-US"/>
        </w:rPr>
        <w:lastRenderedPageBreak/>
        <w:t>(b)</w:t>
      </w:r>
      <w:r w:rsidRPr="00F01667">
        <w:rPr>
          <w:sz w:val="24"/>
          <w:szCs w:val="24"/>
          <w:lang w:val="en-US"/>
        </w:rPr>
        <w:tab/>
      </w:r>
      <w:r>
        <w:rPr>
          <w:sz w:val="24"/>
          <w:szCs w:val="24"/>
          <w:lang w:val="en-US"/>
        </w:rPr>
        <w:t xml:space="preserve"> </w:t>
      </w:r>
      <w:r w:rsidRPr="00F01667">
        <w:rPr>
          <w:sz w:val="24"/>
          <w:szCs w:val="24"/>
          <w:lang w:val="en-US"/>
        </w:rPr>
        <w:t>by a method notified by APRA prior to submission.</w:t>
      </w:r>
      <w:bookmarkEnd w:id="3"/>
    </w:p>
    <w:p w14:paraId="6E9CEDED" w14:textId="77777777" w:rsidR="005B7824" w:rsidRPr="005B7824" w:rsidRDefault="005B7824" w:rsidP="002D7CB7">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1560A159" w14:textId="77777777" w:rsidR="005B7824" w:rsidRPr="005B7824" w:rsidRDefault="005B7824" w:rsidP="00C15B03">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5B3F2D">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r w:rsidR="00C15B03">
        <w:rPr>
          <w:sz w:val="24"/>
          <w:szCs w:val="24"/>
          <w:lang w:val="en-US"/>
        </w:rPr>
        <w:t xml:space="preserve"> </w:t>
      </w:r>
      <w:bookmarkStart w:id="5" w:name="_Ref339261564"/>
      <w:r w:rsidRPr="005B7824">
        <w:rPr>
          <w:sz w:val="24"/>
          <w:szCs w:val="24"/>
          <w:lang w:val="en-US"/>
        </w:rPr>
        <w:t>in respect of each financial year of the insurer.</w:t>
      </w:r>
      <w:bookmarkEnd w:id="5"/>
    </w:p>
    <w:p w14:paraId="371A9DBD" w14:textId="7777777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5B3F2D">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5B3F2D">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5B3F2D">
        <w:rPr>
          <w:lang w:val="en-US"/>
        </w:rPr>
        <w:t>6</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13221D4D" w14:textId="77777777" w:rsidR="005B7824" w:rsidRPr="005B7824" w:rsidRDefault="005B7824" w:rsidP="005B7824">
      <w:pPr>
        <w:numPr>
          <w:ilvl w:val="1"/>
          <w:numId w:val="23"/>
        </w:numPr>
        <w:spacing w:after="240"/>
        <w:jc w:val="both"/>
        <w:rPr>
          <w:sz w:val="24"/>
          <w:lang w:val="en-US"/>
        </w:rPr>
      </w:pPr>
      <w:bookmarkStart w:id="6" w:name="_Ref339262565"/>
      <w:r w:rsidRPr="005B7824">
        <w:rPr>
          <w:sz w:val="24"/>
          <w:lang w:val="en-US"/>
        </w:rPr>
        <w:t xml:space="preserve">If, having regard to the </w:t>
      </w:r>
      <w:proofErr w:type="gramStart"/>
      <w:r w:rsidRPr="005B7824">
        <w:rPr>
          <w:sz w:val="24"/>
          <w:lang w:val="en-US"/>
        </w:rPr>
        <w:t>particular circumstances</w:t>
      </w:r>
      <w:proofErr w:type="gramEnd"/>
      <w:r w:rsidRPr="005B7824">
        <w:rPr>
          <w:sz w:val="24"/>
          <w:lang w:val="en-US"/>
        </w:rPr>
        <w:t xml:space="preserve"> of an insurer, APRA considers it necessary or desirable to obtain information more or less frequently than as provided by 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5B3F2D">
        <w:rPr>
          <w:sz w:val="24"/>
          <w:lang w:val="en-US"/>
        </w:rPr>
        <w:t>6</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6"/>
      <w:r w:rsidRPr="005B7824" w:rsidDel="003F74DD">
        <w:rPr>
          <w:sz w:val="24"/>
          <w:lang w:val="en-US"/>
        </w:rPr>
        <w:t xml:space="preserve"> </w:t>
      </w:r>
      <w:bookmarkStart w:id="7" w:name="_Ref339262364"/>
      <w:r w:rsidRPr="005B7824">
        <w:rPr>
          <w:sz w:val="24"/>
          <w:lang w:val="en-US"/>
        </w:rPr>
        <w:t xml:space="preserve"> </w:t>
      </w:r>
      <w:bookmarkEnd w:id="7"/>
    </w:p>
    <w:p w14:paraId="1ECACAF2"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64D873B0"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5EDB159B"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5B3F2D">
        <w:rPr>
          <w:sz w:val="24"/>
          <w:lang w:val="en-US"/>
        </w:rPr>
        <w:t>7</w:t>
      </w:r>
      <w:r w:rsidRPr="005B7824">
        <w:rPr>
          <w:sz w:val="24"/>
          <w:lang w:val="en-US"/>
        </w:rPr>
        <w:fldChar w:fldCharType="end"/>
      </w:r>
      <w:r w:rsidRPr="005B7824">
        <w:rPr>
          <w:sz w:val="24"/>
          <w:lang w:val="en-US"/>
        </w:rPr>
        <w:t>, within the time specified by notice in writing.</w:t>
      </w:r>
    </w:p>
    <w:p w14:paraId="15D8C004" w14:textId="77777777" w:rsidR="005B7824" w:rsidRP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5B3F2D">
        <w:rPr>
          <w:lang w:val="en-US"/>
        </w:rPr>
        <w:t>6</w:t>
      </w:r>
      <w:r w:rsidRPr="005B7824">
        <w:rPr>
          <w:lang w:val="en-US"/>
        </w:rPr>
        <w:fldChar w:fldCharType="end"/>
      </w:r>
      <w:r w:rsidRPr="005B7824">
        <w:rPr>
          <w:lang w:val="en-US"/>
        </w:rPr>
        <w:t xml:space="preserve"> must be provided to APRA by the time specified in GRS 001 (unless an extension of time is granted under GRS 001).</w:t>
      </w:r>
    </w:p>
    <w:p w14:paraId="374B11BA"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55F3CFDB"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0579E2BF"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2FFC793A"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(AUASB) 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03C3769F"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lastRenderedPageBreak/>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7CAA6F59"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317EB560" w14:textId="4A448312"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6500EA15" w14:textId="416513DE"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6F210908"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61647D34"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6724131F"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An officer, or agent, of an insurer who submits the information under this Reporting Standard for, or on behalf of, the insurer must be </w:t>
      </w:r>
      <w:proofErr w:type="spellStart"/>
      <w:r w:rsidRPr="005B7824">
        <w:rPr>
          <w:sz w:val="24"/>
          <w:lang w:val="en-US"/>
        </w:rPr>
        <w:t>authorised</w:t>
      </w:r>
      <w:proofErr w:type="spellEnd"/>
      <w:r w:rsidRPr="005B7824">
        <w:rPr>
          <w:sz w:val="24"/>
          <w:lang w:val="en-US"/>
        </w:rPr>
        <w:t xml:space="preserve"> by either:</w:t>
      </w:r>
    </w:p>
    <w:p w14:paraId="6DFE874B"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58992BD3"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073326EE"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506933CE" w14:textId="77777777"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Form GRF </w:t>
      </w:r>
      <w:r w:rsidR="0077438C">
        <w:rPr>
          <w:snapToGrid w:val="0"/>
          <w:sz w:val="24"/>
          <w:lang w:eastAsia="en-US"/>
        </w:rPr>
        <w:t>4</w:t>
      </w:r>
      <w:r w:rsidR="00080EEF">
        <w:rPr>
          <w:snapToGrid w:val="0"/>
          <w:sz w:val="24"/>
          <w:lang w:eastAsia="en-US"/>
        </w:rPr>
        <w:t>1</w:t>
      </w:r>
      <w:r w:rsidR="00BD3CB7">
        <w:rPr>
          <w:snapToGrid w:val="0"/>
          <w:sz w:val="24"/>
          <w:lang w:eastAsia="en-US"/>
        </w:rPr>
        <w:t>0</w:t>
      </w:r>
      <w:r w:rsidR="00FB07B0">
        <w:rPr>
          <w:snapToGrid w:val="0"/>
          <w:sz w:val="24"/>
          <w:lang w:eastAsia="en-US"/>
        </w:rPr>
        <w:t>.</w:t>
      </w:r>
      <w:r w:rsidR="0077438C">
        <w:rPr>
          <w:snapToGrid w:val="0"/>
          <w:sz w:val="24"/>
          <w:lang w:eastAsia="en-US"/>
        </w:rPr>
        <w:t>0</w:t>
      </w:r>
      <w:r w:rsidRPr="005B7824">
        <w:rPr>
          <w:i/>
          <w:snapToGrid w:val="0"/>
          <w:sz w:val="24"/>
          <w:lang w:eastAsia="en-US"/>
        </w:rPr>
        <w:t xml:space="preserve"> </w:t>
      </w:r>
      <w:r w:rsidRPr="005B7824">
        <w:rPr>
          <w:snapToGrid w:val="0"/>
          <w:sz w:val="24"/>
          <w:lang w:eastAsia="en-US"/>
        </w:rPr>
        <w:t>in relation to that insurer.</w:t>
      </w:r>
    </w:p>
    <w:p w14:paraId="6EF53A47" w14:textId="30C78E18" w:rsidR="005B7824" w:rsidRPr="005B7824" w:rsidRDefault="005B7824" w:rsidP="002D7CB7">
      <w:pPr>
        <w:keepNext/>
        <w:spacing w:after="240"/>
        <w:jc w:val="both"/>
        <w:outlineLvl w:val="0"/>
        <w:rPr>
          <w:rFonts w:ascii="Arial" w:hAnsi="Arial" w:cs="Arial"/>
          <w:b/>
          <w:sz w:val="24"/>
          <w:lang w:val="en-US"/>
        </w:rPr>
      </w:pPr>
      <w:r w:rsidRPr="005B7824">
        <w:rPr>
          <w:rFonts w:ascii="Arial" w:hAnsi="Arial" w:cs="Arial"/>
          <w:b/>
          <w:sz w:val="24"/>
          <w:lang w:val="en-US"/>
        </w:rPr>
        <w:t>Interpretation</w:t>
      </w:r>
    </w:p>
    <w:p w14:paraId="50C9AAD5" w14:textId="77777777" w:rsidR="005B7824" w:rsidRPr="005B7824" w:rsidRDefault="005B7824" w:rsidP="005B7824">
      <w:pPr>
        <w:numPr>
          <w:ilvl w:val="1"/>
          <w:numId w:val="23"/>
        </w:numPr>
        <w:spacing w:after="240"/>
        <w:jc w:val="both"/>
        <w:rPr>
          <w:sz w:val="24"/>
          <w:lang w:val="en-US"/>
        </w:rPr>
      </w:pPr>
      <w:r w:rsidRPr="005B7824">
        <w:rPr>
          <w:sz w:val="24"/>
          <w:lang w:val="en-US"/>
        </w:rPr>
        <w:t>In this Reporting Standard (including the attachments):</w:t>
      </w:r>
    </w:p>
    <w:p w14:paraId="63AB7CBA"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44DCD31F"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669C2726" w14:textId="3AB3B2FA" w:rsidR="005B7824" w:rsidRPr="005B7824" w:rsidRDefault="005B7824" w:rsidP="00F635CA">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D80AFB">
        <w:rPr>
          <w:sz w:val="24"/>
          <w:szCs w:val="24"/>
          <w:lang w:val="en-US"/>
        </w:rPr>
        <w:t>.</w:t>
      </w:r>
      <w:r w:rsidR="00B613DC">
        <w:rPr>
          <w:sz w:val="24"/>
          <w:szCs w:val="24"/>
          <w:lang w:val="en-US"/>
        </w:rPr>
        <w:t xml:space="preserve"> </w:t>
      </w:r>
      <w:r w:rsidR="00D80AFB" w:rsidRPr="00952A58">
        <w:rPr>
          <w:sz w:val="24"/>
          <w:szCs w:val="24"/>
        </w:rPr>
        <w:t>The Australian Reinsurance Pool Corporation is also an APRA-authorised reinsurer for the purposes of this definition</w:t>
      </w:r>
      <w:r w:rsidR="00D80AFB">
        <w:rPr>
          <w:sz w:val="24"/>
          <w:szCs w:val="24"/>
        </w:rPr>
        <w:t>;</w:t>
      </w:r>
    </w:p>
    <w:p w14:paraId="0F96C34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25CF73C2"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2298ACF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562FA717"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7D29FBC3"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4EAC62F2"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465CC88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70861BD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63E5F7EA"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0864C7DE"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1D544CC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4612C39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5B3F2D">
        <w:rPr>
          <w:sz w:val="24"/>
          <w:szCs w:val="24"/>
          <w:lang w:val="en-US"/>
        </w:rPr>
        <w:t>6</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5B3F2D">
        <w:rPr>
          <w:sz w:val="24"/>
          <w:szCs w:val="24"/>
          <w:lang w:val="en-US"/>
        </w:rPr>
        <w:t>7</w:t>
      </w:r>
      <w:r w:rsidRPr="005B7824">
        <w:rPr>
          <w:sz w:val="24"/>
          <w:szCs w:val="24"/>
          <w:lang w:val="en-US"/>
        </w:rPr>
        <w:fldChar w:fldCharType="end"/>
      </w:r>
      <w:r w:rsidRPr="005B7824">
        <w:rPr>
          <w:sz w:val="24"/>
          <w:szCs w:val="24"/>
          <w:lang w:val="en-US"/>
        </w:rPr>
        <w:t xml:space="preserve">. </w:t>
      </w:r>
    </w:p>
    <w:p w14:paraId="58E73CE5" w14:textId="77777777" w:rsidR="00726E2A" w:rsidRDefault="00726E2A" w:rsidP="00760AC5">
      <w:pPr>
        <w:pStyle w:val="Header"/>
        <w:jc w:val="both"/>
        <w:rPr>
          <w:bCs/>
        </w:rPr>
        <w:sectPr w:rsidR="00726E2A" w:rsidSect="0076425C">
          <w:headerReference w:type="default" r:id="rId17"/>
          <w:footerReference w:type="default" r:id="rId18"/>
          <w:headerReference w:type="first" r:id="rId19"/>
          <w:footerReference w:type="first" r:id="rId20"/>
          <w:pgSz w:w="11907" w:h="16840" w:code="9"/>
          <w:pgMar w:top="1440" w:right="1440" w:bottom="1440" w:left="1440" w:header="720" w:footer="720" w:gutter="0"/>
          <w:pgNumType w:start="1"/>
          <w:cols w:space="720"/>
          <w:titlePg/>
          <w:docGrid w:linePitch="272"/>
        </w:sectPr>
      </w:pPr>
    </w:p>
    <w:tbl>
      <w:tblPr>
        <w:tblW w:w="13892" w:type="dxa"/>
        <w:tblInd w:w="108" w:type="dxa"/>
        <w:tblLook w:val="0400" w:firstRow="0" w:lastRow="0" w:firstColumn="0" w:lastColumn="0" w:noHBand="0" w:noVBand="1"/>
      </w:tblPr>
      <w:tblGrid>
        <w:gridCol w:w="13892"/>
      </w:tblGrid>
      <w:tr w:rsidR="009402E1" w:rsidRPr="00FD0B00" w14:paraId="42C31273" w14:textId="77777777" w:rsidTr="00D8448E">
        <w:trPr>
          <w:trHeight w:val="300"/>
        </w:trPr>
        <w:tc>
          <w:tcPr>
            <w:tcW w:w="8806" w:type="dxa"/>
            <w:shd w:val="clear" w:color="auto" w:fill="auto"/>
            <w:noWrap/>
            <w:vAlign w:val="bottom"/>
            <w:hideMark/>
          </w:tcPr>
          <w:p w14:paraId="1744BAE8" w14:textId="77777777" w:rsidR="009402E1" w:rsidRPr="002D7CB7" w:rsidRDefault="009402E1" w:rsidP="00D8448E">
            <w:pPr>
              <w:jc w:val="center"/>
              <w:rPr>
                <w:rFonts w:ascii="Arial" w:hAnsi="Arial" w:cs="Arial"/>
                <w:b/>
                <w:color w:val="000000"/>
                <w:sz w:val="32"/>
                <w:szCs w:val="32"/>
              </w:rPr>
            </w:pPr>
            <w:r w:rsidRPr="002D7CB7">
              <w:rPr>
                <w:rFonts w:ascii="Arial" w:hAnsi="Arial" w:cs="Arial"/>
                <w:b/>
                <w:bCs/>
                <w:color w:val="000000"/>
                <w:sz w:val="32"/>
                <w:szCs w:val="32"/>
              </w:rPr>
              <w:lastRenderedPageBreak/>
              <w:t>GRF_410_0_L: Movement In Outstanding Claims Liabilities</w:t>
            </w:r>
          </w:p>
        </w:tc>
      </w:tr>
    </w:tbl>
    <w:p w14:paraId="50A79A25" w14:textId="77777777" w:rsidR="009402E1" w:rsidRPr="00FD0B00" w:rsidRDefault="009402E1" w:rsidP="009402E1">
      <w:pPr>
        <w:rPr>
          <w:rFonts w:ascii="Arial" w:hAnsi="Arial" w:cs="Arial"/>
          <w:color w:val="000000"/>
        </w:rPr>
      </w:pPr>
    </w:p>
    <w:tbl>
      <w:tblPr>
        <w:tblW w:w="13892" w:type="dxa"/>
        <w:tblInd w:w="108" w:type="dxa"/>
        <w:tblLayout w:type="fixed"/>
        <w:tblLook w:val="04A0" w:firstRow="1" w:lastRow="0" w:firstColumn="1" w:lastColumn="0" w:noHBand="0" w:noVBand="1"/>
      </w:tblPr>
      <w:tblGrid>
        <w:gridCol w:w="6946"/>
        <w:gridCol w:w="6946"/>
      </w:tblGrid>
      <w:tr w:rsidR="009402E1" w:rsidRPr="00FD0B00" w14:paraId="649DEAE2" w14:textId="77777777" w:rsidTr="00D8448E">
        <w:trPr>
          <w:trHeight w:val="317"/>
        </w:trPr>
        <w:tc>
          <w:tcPr>
            <w:tcW w:w="6946" w:type="dxa"/>
            <w:tcBorders>
              <w:top w:val="nil"/>
              <w:left w:val="nil"/>
              <w:bottom w:val="single" w:sz="4" w:space="0" w:color="auto"/>
              <w:right w:val="nil"/>
            </w:tcBorders>
            <w:vAlign w:val="bottom"/>
            <w:hideMark/>
          </w:tcPr>
          <w:p w14:paraId="48D16B83" w14:textId="77777777" w:rsidR="009402E1" w:rsidRPr="00FD0B00" w:rsidRDefault="009402E1" w:rsidP="00D8448E">
            <w:pPr>
              <w:rPr>
                <w:rFonts w:ascii="Arial" w:hAnsi="Arial" w:cs="Arial"/>
                <w:b/>
                <w:bCs/>
                <w:color w:val="000000"/>
              </w:rPr>
            </w:pPr>
            <w:r w:rsidRPr="00FD0B00">
              <w:rPr>
                <w:rFonts w:ascii="Arial" w:hAnsi="Arial" w:cs="Arial"/>
                <w:b/>
                <w:bCs/>
                <w:color w:val="000000"/>
              </w:rPr>
              <w:t>Australian Business Number</w:t>
            </w:r>
          </w:p>
        </w:tc>
        <w:tc>
          <w:tcPr>
            <w:tcW w:w="6946" w:type="dxa"/>
            <w:tcBorders>
              <w:top w:val="nil"/>
              <w:left w:val="nil"/>
              <w:bottom w:val="single" w:sz="4" w:space="0" w:color="auto"/>
              <w:right w:val="nil"/>
            </w:tcBorders>
            <w:vAlign w:val="bottom"/>
            <w:hideMark/>
          </w:tcPr>
          <w:p w14:paraId="251653E9" w14:textId="77777777" w:rsidR="009402E1" w:rsidRPr="00FD0B00" w:rsidRDefault="009402E1" w:rsidP="00D8448E">
            <w:pPr>
              <w:rPr>
                <w:rFonts w:ascii="Arial" w:hAnsi="Arial" w:cs="Arial"/>
                <w:b/>
                <w:bCs/>
                <w:color w:val="000000"/>
              </w:rPr>
            </w:pPr>
            <w:r w:rsidRPr="00FD0B00">
              <w:rPr>
                <w:rFonts w:ascii="Arial" w:hAnsi="Arial" w:cs="Arial"/>
                <w:b/>
                <w:bCs/>
                <w:color w:val="000000"/>
              </w:rPr>
              <w:t>Institution Name</w:t>
            </w:r>
          </w:p>
        </w:tc>
      </w:tr>
      <w:tr w:rsidR="009402E1" w:rsidRPr="00FD0B00" w14:paraId="7A0D3366" w14:textId="77777777" w:rsidTr="00D8448E">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948C6C2" w14:textId="77777777" w:rsidR="009402E1" w:rsidRPr="00FD0B00" w:rsidRDefault="009402E1" w:rsidP="00D8448E">
            <w:pPr>
              <w:rPr>
                <w:rFonts w:ascii="Arial" w:hAnsi="Arial" w:cs="Arial"/>
                <w:color w:val="000000"/>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7FDAE1C" w14:textId="77777777" w:rsidR="009402E1" w:rsidRPr="00FD0B00" w:rsidRDefault="009402E1" w:rsidP="00D8448E">
            <w:pPr>
              <w:rPr>
                <w:rFonts w:ascii="Arial" w:hAnsi="Arial" w:cs="Arial"/>
                <w:color w:val="000000"/>
              </w:rPr>
            </w:pPr>
          </w:p>
        </w:tc>
      </w:tr>
      <w:tr w:rsidR="009402E1" w:rsidRPr="00FD0B00" w14:paraId="1D5CA5FE" w14:textId="77777777" w:rsidTr="00D8448E">
        <w:trPr>
          <w:trHeight w:val="317"/>
        </w:trPr>
        <w:tc>
          <w:tcPr>
            <w:tcW w:w="6946" w:type="dxa"/>
            <w:tcBorders>
              <w:top w:val="single" w:sz="4" w:space="0" w:color="auto"/>
              <w:left w:val="nil"/>
              <w:bottom w:val="single" w:sz="4" w:space="0" w:color="auto"/>
              <w:right w:val="nil"/>
            </w:tcBorders>
            <w:noWrap/>
            <w:vAlign w:val="bottom"/>
            <w:hideMark/>
          </w:tcPr>
          <w:p w14:paraId="6779B7FA" w14:textId="77777777" w:rsidR="009402E1" w:rsidRPr="00FD0B00" w:rsidRDefault="009402E1" w:rsidP="00D8448E">
            <w:pPr>
              <w:rPr>
                <w:rFonts w:ascii="Arial" w:hAnsi="Arial" w:cs="Arial"/>
                <w:b/>
                <w:color w:val="000000"/>
              </w:rPr>
            </w:pPr>
            <w:r w:rsidRPr="00FD0B00">
              <w:rPr>
                <w:rFonts w:ascii="Arial" w:hAnsi="Arial" w:cs="Arial"/>
                <w:b/>
                <w:color w:val="000000"/>
              </w:rPr>
              <w:t>Reporting Period</w:t>
            </w:r>
          </w:p>
        </w:tc>
        <w:tc>
          <w:tcPr>
            <w:tcW w:w="6946" w:type="dxa"/>
            <w:tcBorders>
              <w:top w:val="single" w:sz="4" w:space="0" w:color="auto"/>
              <w:left w:val="nil"/>
              <w:bottom w:val="single" w:sz="4" w:space="0" w:color="auto"/>
              <w:right w:val="nil"/>
            </w:tcBorders>
            <w:noWrap/>
            <w:vAlign w:val="bottom"/>
            <w:hideMark/>
          </w:tcPr>
          <w:p w14:paraId="4393EFA0" w14:textId="77777777" w:rsidR="009402E1" w:rsidRPr="00FD0B00" w:rsidRDefault="009402E1" w:rsidP="00D8448E">
            <w:pPr>
              <w:rPr>
                <w:rFonts w:ascii="Arial" w:hAnsi="Arial" w:cs="Arial"/>
                <w:b/>
                <w:color w:val="000000"/>
              </w:rPr>
            </w:pPr>
            <w:r w:rsidRPr="00FD0B00">
              <w:rPr>
                <w:rFonts w:ascii="Arial" w:hAnsi="Arial" w:cs="Arial"/>
                <w:b/>
                <w:color w:val="000000"/>
              </w:rPr>
              <w:t xml:space="preserve">Scale Factor </w:t>
            </w:r>
          </w:p>
        </w:tc>
      </w:tr>
      <w:tr w:rsidR="009402E1" w:rsidRPr="00FD0B00" w14:paraId="522263CA" w14:textId="77777777" w:rsidTr="00D8448E">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658C516" w14:textId="77777777" w:rsidR="009402E1" w:rsidRPr="00FD0B00" w:rsidRDefault="009402E1" w:rsidP="00D8448E">
            <w:pPr>
              <w:rPr>
                <w:rFonts w:ascii="Arial" w:hAnsi="Arial" w:cs="Arial"/>
                <w:color w:val="000000"/>
              </w:rPr>
            </w:pPr>
            <w:r w:rsidRPr="00FD0B00">
              <w:rPr>
                <w:rFonts w:ascii="Arial" w:hAnsi="Arial" w:cs="Arial"/>
                <w:color w:val="000000"/>
              </w:rPr>
              <w:t>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68D9F3B" w14:textId="77777777" w:rsidR="009402E1" w:rsidRPr="00FD0B00" w:rsidRDefault="009402E1" w:rsidP="00D8448E">
            <w:pPr>
              <w:rPr>
                <w:rFonts w:ascii="Arial" w:hAnsi="Arial" w:cs="Arial"/>
                <w:color w:val="000000"/>
              </w:rPr>
            </w:pPr>
            <w:r w:rsidRPr="00FD0B00">
              <w:rPr>
                <w:rFonts w:ascii="Arial" w:hAnsi="Arial" w:cs="Arial"/>
                <w:color w:val="000000"/>
              </w:rPr>
              <w:t>Thousands of dollars no decimal place</w:t>
            </w:r>
          </w:p>
        </w:tc>
      </w:tr>
      <w:tr w:rsidR="009402E1" w:rsidRPr="00FD0B00" w14:paraId="23CD445C" w14:textId="77777777" w:rsidTr="00D8448E">
        <w:trPr>
          <w:trHeight w:val="317"/>
        </w:trPr>
        <w:tc>
          <w:tcPr>
            <w:tcW w:w="6946" w:type="dxa"/>
            <w:tcBorders>
              <w:top w:val="single" w:sz="4" w:space="0" w:color="auto"/>
              <w:bottom w:val="single" w:sz="4" w:space="0" w:color="auto"/>
            </w:tcBorders>
            <w:noWrap/>
            <w:vAlign w:val="bottom"/>
          </w:tcPr>
          <w:p w14:paraId="0C5B0F8F" w14:textId="77777777" w:rsidR="009402E1" w:rsidRPr="00FD0B00" w:rsidRDefault="009402E1" w:rsidP="00D8448E">
            <w:pPr>
              <w:rPr>
                <w:rFonts w:ascii="Arial" w:hAnsi="Arial" w:cs="Arial"/>
                <w:color w:val="000000"/>
              </w:rPr>
            </w:pPr>
            <w:r w:rsidRPr="00FD0B00">
              <w:rPr>
                <w:rFonts w:ascii="Arial" w:hAnsi="Arial" w:cs="Arial"/>
                <w:b/>
                <w:color w:val="000000"/>
              </w:rPr>
              <w:t>Reporting Consolidation</w:t>
            </w:r>
          </w:p>
        </w:tc>
        <w:tc>
          <w:tcPr>
            <w:tcW w:w="6946" w:type="dxa"/>
            <w:tcBorders>
              <w:top w:val="single" w:sz="4" w:space="0" w:color="auto"/>
            </w:tcBorders>
            <w:noWrap/>
            <w:vAlign w:val="bottom"/>
          </w:tcPr>
          <w:p w14:paraId="1C7085E4" w14:textId="77777777" w:rsidR="009402E1" w:rsidRPr="00FD0B00" w:rsidRDefault="009402E1" w:rsidP="00D8448E">
            <w:pPr>
              <w:rPr>
                <w:rFonts w:ascii="Arial" w:hAnsi="Arial" w:cs="Arial"/>
                <w:color w:val="000000"/>
              </w:rPr>
            </w:pPr>
          </w:p>
        </w:tc>
      </w:tr>
      <w:tr w:rsidR="009402E1" w:rsidRPr="00FD0B00" w14:paraId="1A32211B" w14:textId="77777777" w:rsidTr="00D8448E">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14C450AC" w14:textId="77777777" w:rsidR="009402E1" w:rsidRPr="00FD0B00" w:rsidRDefault="009402E1" w:rsidP="00D8448E">
            <w:pPr>
              <w:rPr>
                <w:rFonts w:ascii="Arial" w:hAnsi="Arial" w:cs="Arial"/>
                <w:color w:val="000000"/>
              </w:rPr>
            </w:pPr>
            <w:r w:rsidRPr="00FD0B00">
              <w:rPr>
                <w:rFonts w:ascii="Arial" w:hAnsi="Arial" w:cs="Arial"/>
                <w:color w:val="000000"/>
              </w:rPr>
              <w:t>Licensed Insurer</w:t>
            </w:r>
          </w:p>
        </w:tc>
        <w:tc>
          <w:tcPr>
            <w:tcW w:w="6946" w:type="dxa"/>
            <w:tcBorders>
              <w:left w:val="single" w:sz="4" w:space="0" w:color="auto"/>
            </w:tcBorders>
            <w:noWrap/>
            <w:vAlign w:val="bottom"/>
          </w:tcPr>
          <w:p w14:paraId="4A578264" w14:textId="77777777" w:rsidR="009402E1" w:rsidRPr="00FD0B00" w:rsidRDefault="009402E1" w:rsidP="00D8448E">
            <w:pPr>
              <w:rPr>
                <w:rFonts w:ascii="Arial" w:hAnsi="Arial" w:cs="Arial"/>
                <w:color w:val="000000"/>
              </w:rPr>
            </w:pPr>
          </w:p>
        </w:tc>
      </w:tr>
    </w:tbl>
    <w:p w14:paraId="102CB612" w14:textId="77777777" w:rsidR="009402E1" w:rsidRPr="00FD0B00" w:rsidRDefault="009402E1" w:rsidP="009402E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9402E1" w:rsidRPr="00FD0B00" w14:paraId="3698F244" w14:textId="77777777" w:rsidTr="00D8448E">
        <w:tc>
          <w:tcPr>
            <w:tcW w:w="8789" w:type="dxa"/>
          </w:tcPr>
          <w:p w14:paraId="1E5178EE" w14:textId="77777777" w:rsidR="009402E1" w:rsidRPr="00FD0B00" w:rsidRDefault="009402E1" w:rsidP="00D8448E">
            <w:pPr>
              <w:rPr>
                <w:rFonts w:ascii="Arial" w:hAnsi="Arial" w:cs="Arial"/>
                <w:b/>
                <w:bCs/>
                <w:color w:val="000000"/>
                <w:sz w:val="24"/>
                <w:szCs w:val="24"/>
              </w:rPr>
            </w:pPr>
            <w:r w:rsidRPr="00FD0B00">
              <w:rPr>
                <w:rFonts w:ascii="Arial" w:hAnsi="Arial" w:cs="Arial"/>
                <w:b/>
                <w:bCs/>
                <w:color w:val="000000"/>
                <w:sz w:val="24"/>
                <w:szCs w:val="24"/>
              </w:rPr>
              <w:t>Section</w:t>
            </w:r>
            <w:r w:rsidRPr="00FD0B00">
              <w:rPr>
                <w:color w:val="000000"/>
              </w:rPr>
              <w:t xml:space="preserve"> </w:t>
            </w:r>
            <w:r w:rsidRPr="00FD0B00">
              <w:rPr>
                <w:rFonts w:ascii="Arial" w:hAnsi="Arial" w:cs="Arial"/>
                <w:b/>
                <w:bCs/>
                <w:color w:val="000000"/>
                <w:sz w:val="24"/>
                <w:szCs w:val="24"/>
              </w:rPr>
              <w:t>1: Direct business</w:t>
            </w:r>
          </w:p>
        </w:tc>
      </w:tr>
    </w:tbl>
    <w:p w14:paraId="2492F033" w14:textId="77777777" w:rsidR="009402E1" w:rsidRPr="00FD0B00" w:rsidRDefault="009402E1" w:rsidP="009402E1">
      <w:pPr>
        <w:rPr>
          <w:rFonts w:ascii="Arial" w:hAnsi="Arial" w:cs="Arial"/>
          <w:color w:val="000000"/>
        </w:rPr>
      </w:pPr>
    </w:p>
    <w:tbl>
      <w:tblPr>
        <w:tblW w:w="13941" w:type="dxa"/>
        <w:tblInd w:w="93" w:type="dxa"/>
        <w:tblLayout w:type="fixed"/>
        <w:tblLook w:val="04A0" w:firstRow="1" w:lastRow="0" w:firstColumn="1" w:lastColumn="0" w:noHBand="0" w:noVBand="1"/>
      </w:tblPr>
      <w:tblGrid>
        <w:gridCol w:w="2601"/>
        <w:gridCol w:w="1134"/>
        <w:gridCol w:w="1134"/>
        <w:gridCol w:w="1134"/>
        <w:gridCol w:w="1134"/>
        <w:gridCol w:w="1134"/>
        <w:gridCol w:w="1134"/>
        <w:gridCol w:w="1134"/>
        <w:gridCol w:w="1134"/>
        <w:gridCol w:w="1134"/>
        <w:gridCol w:w="1134"/>
      </w:tblGrid>
      <w:tr w:rsidR="009402E1" w:rsidRPr="00FD0B00" w14:paraId="126150DD" w14:textId="77777777" w:rsidTr="0089187C">
        <w:trPr>
          <w:trHeight w:val="317"/>
        </w:trPr>
        <w:tc>
          <w:tcPr>
            <w:tcW w:w="2601" w:type="dxa"/>
            <w:tcBorders>
              <w:bottom w:val="single" w:sz="4" w:space="0" w:color="auto"/>
              <w:right w:val="single" w:sz="4" w:space="0" w:color="auto"/>
            </w:tcBorders>
            <w:shd w:val="clear" w:color="auto" w:fill="auto"/>
            <w:vAlign w:val="bottom"/>
          </w:tcPr>
          <w:p w14:paraId="341591AB" w14:textId="77777777" w:rsidR="009402E1" w:rsidRPr="00FD0B00" w:rsidRDefault="009402E1" w:rsidP="00D8448E">
            <w:pPr>
              <w:jc w:val="center"/>
              <w:rPr>
                <w:rFonts w:ascii="Arial" w:hAnsi="Arial" w:cs="Arial"/>
                <w:b/>
                <w:bCs/>
                <w:color w:val="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14:paraId="3A822F5A"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 xml:space="preserve">Current </w:t>
            </w:r>
            <w:proofErr w:type="spellStart"/>
            <w:r w:rsidRPr="00FD0B00">
              <w:rPr>
                <w:rFonts w:ascii="Arial" w:hAnsi="Arial" w:cs="Arial"/>
                <w:b/>
                <w:bCs/>
                <w:color w:val="000000"/>
              </w:rPr>
              <w:t>accdt</w:t>
            </w:r>
            <w:proofErr w:type="spellEnd"/>
            <w:r w:rsidRPr="00FD0B00">
              <w:rPr>
                <w:rFonts w:ascii="Arial" w:hAnsi="Arial" w:cs="Arial"/>
                <w:b/>
                <w:bCs/>
                <w:color w:val="000000"/>
              </w:rPr>
              <w:t>/UW year</w:t>
            </w:r>
          </w:p>
        </w:tc>
        <w:tc>
          <w:tcPr>
            <w:tcW w:w="3402" w:type="dxa"/>
            <w:gridSpan w:val="3"/>
            <w:tcBorders>
              <w:top w:val="single" w:sz="4" w:space="0" w:color="auto"/>
              <w:left w:val="single" w:sz="4" w:space="0" w:color="auto"/>
              <w:bottom w:val="nil"/>
              <w:right w:val="single" w:sz="4" w:space="0" w:color="auto"/>
            </w:tcBorders>
            <w:vAlign w:val="bottom"/>
          </w:tcPr>
          <w:p w14:paraId="2F5F6E8E"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Previous 1-3 </w:t>
            </w:r>
            <w:proofErr w:type="spellStart"/>
            <w:r w:rsidRPr="00FD0B00">
              <w:rPr>
                <w:rFonts w:ascii="Arial" w:hAnsi="Arial" w:cs="Arial"/>
                <w:b/>
                <w:bCs/>
                <w:color w:val="000000"/>
              </w:rPr>
              <w:t>yrs</w:t>
            </w:r>
            <w:proofErr w:type="spellEnd"/>
          </w:p>
        </w:tc>
        <w:tc>
          <w:tcPr>
            <w:tcW w:w="3402" w:type="dxa"/>
            <w:gridSpan w:val="3"/>
            <w:tcBorders>
              <w:top w:val="single" w:sz="4" w:space="0" w:color="auto"/>
              <w:left w:val="single" w:sz="4" w:space="0" w:color="auto"/>
              <w:bottom w:val="nil"/>
              <w:right w:val="single" w:sz="4" w:space="0" w:color="auto"/>
            </w:tcBorders>
            <w:shd w:val="clear" w:color="auto" w:fill="auto"/>
            <w:vAlign w:val="bottom"/>
          </w:tcPr>
          <w:p w14:paraId="7B2115C6"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Previous 4-5 </w:t>
            </w:r>
            <w:proofErr w:type="spellStart"/>
            <w:r w:rsidRPr="00FD0B00">
              <w:rPr>
                <w:rFonts w:ascii="Arial" w:hAnsi="Arial" w:cs="Arial"/>
                <w:b/>
                <w:bCs/>
                <w:color w:val="000000"/>
              </w:rPr>
              <w:t>yrs</w:t>
            </w:r>
            <w:proofErr w:type="spellEnd"/>
          </w:p>
        </w:tc>
        <w:tc>
          <w:tcPr>
            <w:tcW w:w="3402" w:type="dxa"/>
            <w:gridSpan w:val="3"/>
            <w:tcBorders>
              <w:top w:val="single" w:sz="4" w:space="0" w:color="auto"/>
              <w:left w:val="single" w:sz="4" w:space="0" w:color="auto"/>
              <w:bottom w:val="nil"/>
              <w:right w:val="single" w:sz="4" w:space="0" w:color="000000"/>
            </w:tcBorders>
            <w:vAlign w:val="bottom"/>
          </w:tcPr>
          <w:p w14:paraId="3F4D451D"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&gt;5 </w:t>
            </w:r>
            <w:proofErr w:type="spellStart"/>
            <w:r w:rsidRPr="00FD0B00">
              <w:rPr>
                <w:rFonts w:ascii="Arial" w:hAnsi="Arial" w:cs="Arial"/>
                <w:b/>
                <w:bCs/>
                <w:color w:val="000000"/>
              </w:rPr>
              <w:t>yrs</w:t>
            </w:r>
            <w:proofErr w:type="spellEnd"/>
            <w:r w:rsidRPr="00FD0B00">
              <w:rPr>
                <w:rFonts w:ascii="Arial" w:hAnsi="Arial" w:cs="Arial"/>
                <w:b/>
                <w:bCs/>
                <w:color w:val="000000"/>
              </w:rPr>
              <w:t xml:space="preserve"> previous</w:t>
            </w:r>
          </w:p>
        </w:tc>
      </w:tr>
      <w:tr w:rsidR="009402E1" w:rsidRPr="00FD0B00" w14:paraId="6D83D2C5" w14:textId="77777777" w:rsidTr="0089187C">
        <w:trPr>
          <w:trHeight w:val="317"/>
        </w:trPr>
        <w:tc>
          <w:tcPr>
            <w:tcW w:w="2601" w:type="dxa"/>
            <w:tcBorders>
              <w:top w:val="single" w:sz="4" w:space="0" w:color="auto"/>
              <w:left w:val="single" w:sz="4" w:space="0" w:color="auto"/>
              <w:right w:val="single" w:sz="4" w:space="0" w:color="auto"/>
            </w:tcBorders>
            <w:shd w:val="clear" w:color="auto" w:fill="auto"/>
            <w:vAlign w:val="bottom"/>
          </w:tcPr>
          <w:p w14:paraId="3A67F445"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Class of business</w:t>
            </w:r>
          </w:p>
        </w:tc>
        <w:tc>
          <w:tcPr>
            <w:tcW w:w="1134" w:type="dxa"/>
            <w:tcBorders>
              <w:top w:val="single" w:sz="4" w:space="0" w:color="auto"/>
              <w:left w:val="single" w:sz="4" w:space="0" w:color="auto"/>
              <w:bottom w:val="nil"/>
              <w:right w:val="single" w:sz="4" w:space="0" w:color="auto"/>
            </w:tcBorders>
            <w:shd w:val="clear" w:color="auto" w:fill="auto"/>
            <w:vAlign w:val="bottom"/>
          </w:tcPr>
          <w:p w14:paraId="4112C792"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087EF0FA"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08EF5E7F"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auto"/>
            </w:tcBorders>
            <w:vAlign w:val="bottom"/>
          </w:tcPr>
          <w:p w14:paraId="6208E00A"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c>
          <w:tcPr>
            <w:tcW w:w="1134" w:type="dxa"/>
            <w:tcBorders>
              <w:top w:val="single" w:sz="4" w:space="0" w:color="auto"/>
              <w:left w:val="single" w:sz="4" w:space="0" w:color="auto"/>
              <w:bottom w:val="nil"/>
              <w:right w:val="single" w:sz="4" w:space="0" w:color="auto"/>
            </w:tcBorders>
            <w:shd w:val="clear" w:color="auto" w:fill="auto"/>
            <w:vAlign w:val="bottom"/>
          </w:tcPr>
          <w:p w14:paraId="0987B86D"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shd w:val="clear" w:color="auto" w:fill="auto"/>
            <w:vAlign w:val="bottom"/>
          </w:tcPr>
          <w:p w14:paraId="36BAEA71"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auto"/>
            </w:tcBorders>
            <w:vAlign w:val="bottom"/>
          </w:tcPr>
          <w:p w14:paraId="3BC0B769"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c>
          <w:tcPr>
            <w:tcW w:w="1134" w:type="dxa"/>
            <w:tcBorders>
              <w:top w:val="single" w:sz="4" w:space="0" w:color="auto"/>
              <w:left w:val="single" w:sz="4" w:space="0" w:color="auto"/>
              <w:bottom w:val="nil"/>
              <w:right w:val="single" w:sz="4" w:space="0" w:color="auto"/>
            </w:tcBorders>
            <w:vAlign w:val="bottom"/>
          </w:tcPr>
          <w:p w14:paraId="6B49001F"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6A96A251"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000000"/>
            </w:tcBorders>
            <w:vAlign w:val="bottom"/>
          </w:tcPr>
          <w:p w14:paraId="2FDDDD69"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r>
      <w:tr w:rsidR="009402E1" w:rsidRPr="00FD0B00" w14:paraId="145907FB" w14:textId="77777777" w:rsidTr="0089187C">
        <w:trPr>
          <w:trHeight w:val="317"/>
        </w:trPr>
        <w:tc>
          <w:tcPr>
            <w:tcW w:w="2601" w:type="dxa"/>
            <w:tcBorders>
              <w:left w:val="single" w:sz="4" w:space="0" w:color="auto"/>
              <w:bottom w:val="single" w:sz="4" w:space="0" w:color="auto"/>
              <w:right w:val="single" w:sz="4" w:space="0" w:color="auto"/>
            </w:tcBorders>
            <w:shd w:val="clear" w:color="auto" w:fill="auto"/>
            <w:vAlign w:val="bottom"/>
            <w:hideMark/>
          </w:tcPr>
          <w:p w14:paraId="7539B04C"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12D40A1"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(2)</w:t>
            </w:r>
          </w:p>
        </w:tc>
        <w:tc>
          <w:tcPr>
            <w:tcW w:w="1134" w:type="dxa"/>
            <w:tcBorders>
              <w:top w:val="nil"/>
              <w:left w:val="single" w:sz="4" w:space="0" w:color="auto"/>
              <w:bottom w:val="single" w:sz="4" w:space="0" w:color="auto"/>
              <w:right w:val="single" w:sz="4" w:space="0" w:color="auto"/>
            </w:tcBorders>
            <w:vAlign w:val="bottom"/>
          </w:tcPr>
          <w:p w14:paraId="0015456C"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(3)</w:t>
            </w:r>
          </w:p>
        </w:tc>
        <w:tc>
          <w:tcPr>
            <w:tcW w:w="1134" w:type="dxa"/>
            <w:tcBorders>
              <w:top w:val="nil"/>
              <w:left w:val="single" w:sz="4" w:space="0" w:color="auto"/>
              <w:bottom w:val="single" w:sz="4" w:space="0" w:color="auto"/>
              <w:right w:val="single" w:sz="4" w:space="0" w:color="auto"/>
            </w:tcBorders>
            <w:vAlign w:val="bottom"/>
          </w:tcPr>
          <w:p w14:paraId="4B14E70C"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(4)</w:t>
            </w:r>
          </w:p>
        </w:tc>
        <w:tc>
          <w:tcPr>
            <w:tcW w:w="1134" w:type="dxa"/>
            <w:tcBorders>
              <w:top w:val="nil"/>
              <w:left w:val="single" w:sz="4" w:space="0" w:color="auto"/>
              <w:bottom w:val="single" w:sz="4" w:space="0" w:color="auto"/>
              <w:right w:val="single" w:sz="4" w:space="0" w:color="auto"/>
            </w:tcBorders>
            <w:vAlign w:val="bottom"/>
          </w:tcPr>
          <w:p w14:paraId="7BF094A5"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7836AE3"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7A8647F"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(7)</w:t>
            </w:r>
          </w:p>
        </w:tc>
        <w:tc>
          <w:tcPr>
            <w:tcW w:w="1134" w:type="dxa"/>
            <w:tcBorders>
              <w:top w:val="nil"/>
              <w:left w:val="single" w:sz="4" w:space="0" w:color="auto"/>
              <w:bottom w:val="single" w:sz="4" w:space="0" w:color="auto"/>
              <w:right w:val="single" w:sz="4" w:space="0" w:color="auto"/>
            </w:tcBorders>
            <w:vAlign w:val="bottom"/>
          </w:tcPr>
          <w:p w14:paraId="42245AC4"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(8)</w:t>
            </w:r>
          </w:p>
        </w:tc>
        <w:tc>
          <w:tcPr>
            <w:tcW w:w="1134" w:type="dxa"/>
            <w:tcBorders>
              <w:top w:val="nil"/>
              <w:left w:val="single" w:sz="4" w:space="0" w:color="auto"/>
              <w:bottom w:val="single" w:sz="4" w:space="0" w:color="auto"/>
              <w:right w:val="single" w:sz="4" w:space="0" w:color="auto"/>
            </w:tcBorders>
            <w:vAlign w:val="bottom"/>
          </w:tcPr>
          <w:p w14:paraId="07BAE9FF"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(9)</w:t>
            </w:r>
          </w:p>
        </w:tc>
        <w:tc>
          <w:tcPr>
            <w:tcW w:w="1134" w:type="dxa"/>
            <w:tcBorders>
              <w:top w:val="nil"/>
              <w:left w:val="single" w:sz="4" w:space="0" w:color="auto"/>
              <w:bottom w:val="single" w:sz="4" w:space="0" w:color="auto"/>
              <w:right w:val="single" w:sz="4" w:space="0" w:color="auto"/>
            </w:tcBorders>
            <w:vAlign w:val="bottom"/>
          </w:tcPr>
          <w:p w14:paraId="28AF987B"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(10)</w:t>
            </w:r>
          </w:p>
        </w:tc>
        <w:tc>
          <w:tcPr>
            <w:tcW w:w="1134" w:type="dxa"/>
            <w:tcBorders>
              <w:top w:val="nil"/>
              <w:left w:val="single" w:sz="4" w:space="0" w:color="auto"/>
              <w:bottom w:val="single" w:sz="4" w:space="0" w:color="auto"/>
              <w:right w:val="single" w:sz="4" w:space="0" w:color="000000"/>
            </w:tcBorders>
            <w:vAlign w:val="bottom"/>
          </w:tcPr>
          <w:p w14:paraId="73796D0A"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(11)</w:t>
            </w:r>
          </w:p>
        </w:tc>
      </w:tr>
      <w:tr w:rsidR="009402E1" w:rsidRPr="00FD0B00" w14:paraId="2D4FD916" w14:textId="77777777" w:rsidTr="0089187C">
        <w:trPr>
          <w:trHeight w:val="317"/>
        </w:trPr>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3D8AA"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BB93D"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4E2E3DF0"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5F0B05CA"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44E9FBE9"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1F834"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4BC593"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1FE75459"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089B99CD"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5467FB2E"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341BE5E9" w14:textId="77777777" w:rsidR="009402E1" w:rsidRPr="00FD0B00" w:rsidRDefault="009402E1" w:rsidP="00D8448E">
            <w:pPr>
              <w:jc w:val="center"/>
              <w:rPr>
                <w:rFonts w:ascii="Arial" w:hAnsi="Arial" w:cs="Arial"/>
                <w:color w:val="000000"/>
              </w:rPr>
            </w:pPr>
          </w:p>
        </w:tc>
      </w:tr>
      <w:tr w:rsidR="009402E1" w:rsidRPr="00FD0B00" w14:paraId="548D60CA" w14:textId="77777777" w:rsidTr="0089187C">
        <w:trPr>
          <w:trHeight w:val="317"/>
        </w:trPr>
        <w:tc>
          <w:tcPr>
            <w:tcW w:w="2601"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B47F8BB" w14:textId="77777777" w:rsidR="009402E1" w:rsidRPr="00FD0B00" w:rsidRDefault="009402E1" w:rsidP="00D8448E">
            <w:pPr>
              <w:jc w:val="center"/>
              <w:rPr>
                <w:rFonts w:ascii="Arial" w:hAnsi="Arial" w:cs="Arial"/>
                <w:color w:val="000000"/>
              </w:rPr>
            </w:pPr>
            <w:r w:rsidRPr="00FD0B00">
              <w:rPr>
                <w:rFonts w:ascii="Arial" w:hAnsi="Arial" w:cs="Arial"/>
                <w:color w:val="000000"/>
              </w:rPr>
              <w:t>Householders</w:t>
            </w:r>
          </w:p>
        </w:tc>
        <w:tc>
          <w:tcPr>
            <w:tcW w:w="1134" w:type="dxa"/>
            <w:tcBorders>
              <w:top w:val="single" w:sz="4" w:space="0" w:color="auto"/>
              <w:left w:val="dotDash" w:sz="4" w:space="0" w:color="auto"/>
            </w:tcBorders>
            <w:shd w:val="clear" w:color="auto" w:fill="auto"/>
            <w:noWrap/>
            <w:vAlign w:val="bottom"/>
          </w:tcPr>
          <w:p w14:paraId="431E12AC"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73BF2A52"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07C783D4"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0C190F32"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shd w:val="clear" w:color="auto" w:fill="auto"/>
            <w:noWrap/>
            <w:vAlign w:val="bottom"/>
          </w:tcPr>
          <w:p w14:paraId="3868A6F7"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shd w:val="clear" w:color="auto" w:fill="auto"/>
            <w:vAlign w:val="bottom"/>
          </w:tcPr>
          <w:p w14:paraId="21DA153E"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466DB840"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7A424916"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5BFAC907"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3EFEEB15" w14:textId="77777777" w:rsidR="009402E1" w:rsidRPr="00FD0B00" w:rsidRDefault="009402E1" w:rsidP="00D8448E">
            <w:pPr>
              <w:jc w:val="center"/>
              <w:rPr>
                <w:rFonts w:ascii="Arial" w:hAnsi="Arial" w:cs="Arial"/>
                <w:color w:val="000000"/>
              </w:rPr>
            </w:pPr>
          </w:p>
        </w:tc>
      </w:tr>
      <w:tr w:rsidR="009402E1" w:rsidRPr="00FD0B00" w14:paraId="0AAD7BE5"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EC70F42" w14:textId="77777777" w:rsidR="009402E1" w:rsidRPr="00FD0B00" w:rsidRDefault="009402E1" w:rsidP="00D8448E">
            <w:pPr>
              <w:jc w:val="center"/>
              <w:rPr>
                <w:rFonts w:ascii="Arial" w:hAnsi="Arial" w:cs="Arial"/>
                <w:color w:val="000000"/>
              </w:rPr>
            </w:pPr>
            <w:r w:rsidRPr="00FD0B00">
              <w:rPr>
                <w:rFonts w:ascii="Arial" w:hAnsi="Arial" w:cs="Arial"/>
                <w:color w:val="000000"/>
              </w:rPr>
              <w:t>Commercial motor</w:t>
            </w:r>
          </w:p>
        </w:tc>
        <w:tc>
          <w:tcPr>
            <w:tcW w:w="1134" w:type="dxa"/>
            <w:tcBorders>
              <w:left w:val="dotDash" w:sz="4" w:space="0" w:color="auto"/>
            </w:tcBorders>
            <w:shd w:val="clear" w:color="auto" w:fill="auto"/>
            <w:noWrap/>
            <w:vAlign w:val="bottom"/>
          </w:tcPr>
          <w:p w14:paraId="45A123B4" w14:textId="77777777" w:rsidR="009402E1" w:rsidRPr="00FD0B00" w:rsidRDefault="009402E1" w:rsidP="00D8448E">
            <w:pPr>
              <w:jc w:val="center"/>
              <w:rPr>
                <w:rFonts w:ascii="Arial" w:hAnsi="Arial" w:cs="Arial"/>
                <w:color w:val="000000"/>
              </w:rPr>
            </w:pPr>
          </w:p>
        </w:tc>
        <w:tc>
          <w:tcPr>
            <w:tcW w:w="1134" w:type="dxa"/>
            <w:vAlign w:val="bottom"/>
          </w:tcPr>
          <w:p w14:paraId="51E38A3B" w14:textId="77777777" w:rsidR="009402E1" w:rsidRPr="00FD0B00" w:rsidRDefault="009402E1" w:rsidP="00D8448E">
            <w:pPr>
              <w:jc w:val="center"/>
              <w:rPr>
                <w:rFonts w:ascii="Arial" w:hAnsi="Arial" w:cs="Arial"/>
                <w:color w:val="000000"/>
              </w:rPr>
            </w:pPr>
          </w:p>
        </w:tc>
        <w:tc>
          <w:tcPr>
            <w:tcW w:w="1134" w:type="dxa"/>
            <w:vAlign w:val="bottom"/>
          </w:tcPr>
          <w:p w14:paraId="213ACB1C" w14:textId="77777777" w:rsidR="009402E1" w:rsidRPr="00FD0B00" w:rsidRDefault="009402E1" w:rsidP="00D8448E">
            <w:pPr>
              <w:jc w:val="center"/>
              <w:rPr>
                <w:rFonts w:ascii="Arial" w:hAnsi="Arial" w:cs="Arial"/>
                <w:color w:val="000000"/>
              </w:rPr>
            </w:pPr>
          </w:p>
        </w:tc>
        <w:tc>
          <w:tcPr>
            <w:tcW w:w="1134" w:type="dxa"/>
            <w:vAlign w:val="bottom"/>
          </w:tcPr>
          <w:p w14:paraId="678EA432"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63E06C0"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7495E5DD" w14:textId="77777777" w:rsidR="009402E1" w:rsidRPr="00FD0B00" w:rsidRDefault="009402E1" w:rsidP="00D8448E">
            <w:pPr>
              <w:jc w:val="center"/>
              <w:rPr>
                <w:rFonts w:ascii="Arial" w:hAnsi="Arial" w:cs="Arial"/>
                <w:color w:val="000000"/>
              </w:rPr>
            </w:pPr>
          </w:p>
        </w:tc>
        <w:tc>
          <w:tcPr>
            <w:tcW w:w="1134" w:type="dxa"/>
            <w:vAlign w:val="bottom"/>
          </w:tcPr>
          <w:p w14:paraId="35A041A0" w14:textId="77777777" w:rsidR="009402E1" w:rsidRPr="00FD0B00" w:rsidRDefault="009402E1" w:rsidP="00D8448E">
            <w:pPr>
              <w:jc w:val="center"/>
              <w:rPr>
                <w:rFonts w:ascii="Arial" w:hAnsi="Arial" w:cs="Arial"/>
                <w:color w:val="000000"/>
              </w:rPr>
            </w:pPr>
          </w:p>
        </w:tc>
        <w:tc>
          <w:tcPr>
            <w:tcW w:w="1134" w:type="dxa"/>
            <w:vAlign w:val="bottom"/>
          </w:tcPr>
          <w:p w14:paraId="60027828" w14:textId="77777777" w:rsidR="009402E1" w:rsidRPr="00FD0B00" w:rsidRDefault="009402E1" w:rsidP="00D8448E">
            <w:pPr>
              <w:jc w:val="center"/>
              <w:rPr>
                <w:rFonts w:ascii="Arial" w:hAnsi="Arial" w:cs="Arial"/>
                <w:color w:val="000000"/>
              </w:rPr>
            </w:pPr>
          </w:p>
        </w:tc>
        <w:tc>
          <w:tcPr>
            <w:tcW w:w="1134" w:type="dxa"/>
            <w:vAlign w:val="bottom"/>
          </w:tcPr>
          <w:p w14:paraId="59C878FC" w14:textId="77777777" w:rsidR="009402E1" w:rsidRPr="00FD0B00" w:rsidRDefault="009402E1" w:rsidP="00D8448E">
            <w:pPr>
              <w:jc w:val="center"/>
              <w:rPr>
                <w:rFonts w:ascii="Arial" w:hAnsi="Arial" w:cs="Arial"/>
                <w:color w:val="000000"/>
              </w:rPr>
            </w:pPr>
          </w:p>
        </w:tc>
        <w:tc>
          <w:tcPr>
            <w:tcW w:w="1134" w:type="dxa"/>
            <w:vAlign w:val="bottom"/>
          </w:tcPr>
          <w:p w14:paraId="7AD64F4F" w14:textId="77777777" w:rsidR="009402E1" w:rsidRPr="00FD0B00" w:rsidRDefault="009402E1" w:rsidP="00D8448E">
            <w:pPr>
              <w:jc w:val="center"/>
              <w:rPr>
                <w:rFonts w:ascii="Arial" w:hAnsi="Arial" w:cs="Arial"/>
                <w:color w:val="000000"/>
              </w:rPr>
            </w:pPr>
          </w:p>
        </w:tc>
      </w:tr>
      <w:tr w:rsidR="009402E1" w:rsidRPr="00FD0B00" w14:paraId="500392E0"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C76ACC6" w14:textId="77777777" w:rsidR="009402E1" w:rsidRPr="00FD0B00" w:rsidRDefault="009402E1" w:rsidP="00D8448E">
            <w:pPr>
              <w:jc w:val="center"/>
              <w:rPr>
                <w:rFonts w:ascii="Arial" w:hAnsi="Arial" w:cs="Arial"/>
                <w:color w:val="000000"/>
              </w:rPr>
            </w:pPr>
            <w:r w:rsidRPr="00FD0B00">
              <w:rPr>
                <w:rFonts w:ascii="Arial" w:hAnsi="Arial" w:cs="Arial"/>
                <w:color w:val="000000"/>
              </w:rPr>
              <w:t>Domestic motor</w:t>
            </w:r>
          </w:p>
        </w:tc>
        <w:tc>
          <w:tcPr>
            <w:tcW w:w="1134" w:type="dxa"/>
            <w:tcBorders>
              <w:left w:val="dotDash" w:sz="4" w:space="0" w:color="auto"/>
            </w:tcBorders>
            <w:shd w:val="clear" w:color="auto" w:fill="auto"/>
            <w:noWrap/>
            <w:vAlign w:val="bottom"/>
          </w:tcPr>
          <w:p w14:paraId="2FCF04B1" w14:textId="77777777" w:rsidR="009402E1" w:rsidRPr="00FD0B00" w:rsidRDefault="009402E1" w:rsidP="00D8448E">
            <w:pPr>
              <w:jc w:val="center"/>
              <w:rPr>
                <w:rFonts w:ascii="Arial" w:hAnsi="Arial" w:cs="Arial"/>
                <w:color w:val="000000"/>
              </w:rPr>
            </w:pPr>
          </w:p>
        </w:tc>
        <w:tc>
          <w:tcPr>
            <w:tcW w:w="1134" w:type="dxa"/>
            <w:vAlign w:val="bottom"/>
          </w:tcPr>
          <w:p w14:paraId="33F3CF32" w14:textId="77777777" w:rsidR="009402E1" w:rsidRPr="00FD0B00" w:rsidRDefault="009402E1" w:rsidP="00D8448E">
            <w:pPr>
              <w:jc w:val="center"/>
              <w:rPr>
                <w:rFonts w:ascii="Arial" w:hAnsi="Arial" w:cs="Arial"/>
                <w:color w:val="000000"/>
              </w:rPr>
            </w:pPr>
          </w:p>
        </w:tc>
        <w:tc>
          <w:tcPr>
            <w:tcW w:w="1134" w:type="dxa"/>
            <w:vAlign w:val="bottom"/>
          </w:tcPr>
          <w:p w14:paraId="2B608349" w14:textId="77777777" w:rsidR="009402E1" w:rsidRPr="00FD0B00" w:rsidRDefault="009402E1" w:rsidP="00D8448E">
            <w:pPr>
              <w:jc w:val="center"/>
              <w:rPr>
                <w:rFonts w:ascii="Arial" w:hAnsi="Arial" w:cs="Arial"/>
                <w:color w:val="000000"/>
              </w:rPr>
            </w:pPr>
          </w:p>
        </w:tc>
        <w:tc>
          <w:tcPr>
            <w:tcW w:w="1134" w:type="dxa"/>
            <w:vAlign w:val="bottom"/>
          </w:tcPr>
          <w:p w14:paraId="3099645B"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7ABD2ED"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65C775BC" w14:textId="77777777" w:rsidR="009402E1" w:rsidRPr="00FD0B00" w:rsidRDefault="009402E1" w:rsidP="00D8448E">
            <w:pPr>
              <w:jc w:val="center"/>
              <w:rPr>
                <w:rFonts w:ascii="Arial" w:hAnsi="Arial" w:cs="Arial"/>
                <w:color w:val="000000"/>
              </w:rPr>
            </w:pPr>
          </w:p>
        </w:tc>
        <w:tc>
          <w:tcPr>
            <w:tcW w:w="1134" w:type="dxa"/>
            <w:vAlign w:val="bottom"/>
          </w:tcPr>
          <w:p w14:paraId="2FFC8A82" w14:textId="77777777" w:rsidR="009402E1" w:rsidRPr="00FD0B00" w:rsidRDefault="009402E1" w:rsidP="00D8448E">
            <w:pPr>
              <w:jc w:val="center"/>
              <w:rPr>
                <w:rFonts w:ascii="Arial" w:hAnsi="Arial" w:cs="Arial"/>
                <w:color w:val="000000"/>
              </w:rPr>
            </w:pPr>
          </w:p>
        </w:tc>
        <w:tc>
          <w:tcPr>
            <w:tcW w:w="1134" w:type="dxa"/>
            <w:vAlign w:val="bottom"/>
          </w:tcPr>
          <w:p w14:paraId="065A7592" w14:textId="77777777" w:rsidR="009402E1" w:rsidRPr="00FD0B00" w:rsidRDefault="009402E1" w:rsidP="00D8448E">
            <w:pPr>
              <w:jc w:val="center"/>
              <w:rPr>
                <w:rFonts w:ascii="Arial" w:hAnsi="Arial" w:cs="Arial"/>
                <w:color w:val="000000"/>
              </w:rPr>
            </w:pPr>
          </w:p>
        </w:tc>
        <w:tc>
          <w:tcPr>
            <w:tcW w:w="1134" w:type="dxa"/>
            <w:vAlign w:val="bottom"/>
          </w:tcPr>
          <w:p w14:paraId="575D1B6F" w14:textId="77777777" w:rsidR="009402E1" w:rsidRPr="00FD0B00" w:rsidRDefault="009402E1" w:rsidP="00D8448E">
            <w:pPr>
              <w:jc w:val="center"/>
              <w:rPr>
                <w:rFonts w:ascii="Arial" w:hAnsi="Arial" w:cs="Arial"/>
                <w:color w:val="000000"/>
              </w:rPr>
            </w:pPr>
          </w:p>
        </w:tc>
        <w:tc>
          <w:tcPr>
            <w:tcW w:w="1134" w:type="dxa"/>
            <w:vAlign w:val="bottom"/>
          </w:tcPr>
          <w:p w14:paraId="29F25069" w14:textId="77777777" w:rsidR="009402E1" w:rsidRPr="00FD0B00" w:rsidRDefault="009402E1" w:rsidP="00D8448E">
            <w:pPr>
              <w:jc w:val="center"/>
              <w:rPr>
                <w:rFonts w:ascii="Arial" w:hAnsi="Arial" w:cs="Arial"/>
                <w:color w:val="000000"/>
              </w:rPr>
            </w:pPr>
          </w:p>
        </w:tc>
      </w:tr>
      <w:tr w:rsidR="009402E1" w:rsidRPr="00FD0B00" w14:paraId="7665652F"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4268733" w14:textId="77777777" w:rsidR="009402E1" w:rsidRPr="00FD0B00" w:rsidRDefault="009402E1" w:rsidP="00D8448E">
            <w:pPr>
              <w:jc w:val="center"/>
              <w:rPr>
                <w:rFonts w:ascii="Arial" w:hAnsi="Arial" w:cs="Arial"/>
                <w:color w:val="000000"/>
              </w:rPr>
            </w:pPr>
            <w:r w:rsidRPr="00FD0B00">
              <w:rPr>
                <w:rFonts w:ascii="Arial" w:hAnsi="Arial" w:cs="Arial"/>
                <w:color w:val="000000"/>
              </w:rPr>
              <w:t>Other direct - category A</w:t>
            </w:r>
          </w:p>
        </w:tc>
        <w:tc>
          <w:tcPr>
            <w:tcW w:w="1134" w:type="dxa"/>
            <w:tcBorders>
              <w:left w:val="dotDash" w:sz="4" w:space="0" w:color="auto"/>
            </w:tcBorders>
            <w:shd w:val="clear" w:color="auto" w:fill="auto"/>
            <w:noWrap/>
            <w:vAlign w:val="bottom"/>
          </w:tcPr>
          <w:p w14:paraId="451D719D" w14:textId="77777777" w:rsidR="009402E1" w:rsidRPr="00FD0B00" w:rsidRDefault="009402E1" w:rsidP="00D8448E">
            <w:pPr>
              <w:jc w:val="center"/>
              <w:rPr>
                <w:rFonts w:ascii="Arial" w:hAnsi="Arial" w:cs="Arial"/>
                <w:color w:val="000000"/>
              </w:rPr>
            </w:pPr>
          </w:p>
        </w:tc>
        <w:tc>
          <w:tcPr>
            <w:tcW w:w="1134" w:type="dxa"/>
            <w:vAlign w:val="bottom"/>
          </w:tcPr>
          <w:p w14:paraId="159C75D2" w14:textId="77777777" w:rsidR="009402E1" w:rsidRPr="00FD0B00" w:rsidRDefault="009402E1" w:rsidP="00D8448E">
            <w:pPr>
              <w:jc w:val="center"/>
              <w:rPr>
                <w:rFonts w:ascii="Arial" w:hAnsi="Arial" w:cs="Arial"/>
                <w:color w:val="000000"/>
              </w:rPr>
            </w:pPr>
          </w:p>
        </w:tc>
        <w:tc>
          <w:tcPr>
            <w:tcW w:w="1134" w:type="dxa"/>
            <w:vAlign w:val="bottom"/>
          </w:tcPr>
          <w:p w14:paraId="2E60AE57" w14:textId="77777777" w:rsidR="009402E1" w:rsidRPr="00FD0B00" w:rsidRDefault="009402E1" w:rsidP="00D8448E">
            <w:pPr>
              <w:jc w:val="center"/>
              <w:rPr>
                <w:rFonts w:ascii="Arial" w:hAnsi="Arial" w:cs="Arial"/>
                <w:color w:val="000000"/>
              </w:rPr>
            </w:pPr>
          </w:p>
        </w:tc>
        <w:tc>
          <w:tcPr>
            <w:tcW w:w="1134" w:type="dxa"/>
            <w:vAlign w:val="bottom"/>
          </w:tcPr>
          <w:p w14:paraId="4E0D0A29"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54B9677"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1FD84FB0" w14:textId="77777777" w:rsidR="009402E1" w:rsidRPr="00FD0B00" w:rsidRDefault="009402E1" w:rsidP="00D8448E">
            <w:pPr>
              <w:jc w:val="center"/>
              <w:rPr>
                <w:rFonts w:ascii="Arial" w:hAnsi="Arial" w:cs="Arial"/>
                <w:color w:val="000000"/>
              </w:rPr>
            </w:pPr>
          </w:p>
        </w:tc>
        <w:tc>
          <w:tcPr>
            <w:tcW w:w="1134" w:type="dxa"/>
            <w:vAlign w:val="bottom"/>
          </w:tcPr>
          <w:p w14:paraId="4875E176" w14:textId="77777777" w:rsidR="009402E1" w:rsidRPr="00FD0B00" w:rsidRDefault="009402E1" w:rsidP="00D8448E">
            <w:pPr>
              <w:jc w:val="center"/>
              <w:rPr>
                <w:rFonts w:ascii="Arial" w:hAnsi="Arial" w:cs="Arial"/>
                <w:color w:val="000000"/>
              </w:rPr>
            </w:pPr>
          </w:p>
        </w:tc>
        <w:tc>
          <w:tcPr>
            <w:tcW w:w="1134" w:type="dxa"/>
            <w:vAlign w:val="bottom"/>
          </w:tcPr>
          <w:p w14:paraId="6D57537E" w14:textId="77777777" w:rsidR="009402E1" w:rsidRPr="00FD0B00" w:rsidRDefault="009402E1" w:rsidP="00D8448E">
            <w:pPr>
              <w:jc w:val="center"/>
              <w:rPr>
                <w:rFonts w:ascii="Arial" w:hAnsi="Arial" w:cs="Arial"/>
                <w:color w:val="000000"/>
              </w:rPr>
            </w:pPr>
          </w:p>
        </w:tc>
        <w:tc>
          <w:tcPr>
            <w:tcW w:w="1134" w:type="dxa"/>
            <w:vAlign w:val="bottom"/>
          </w:tcPr>
          <w:p w14:paraId="4A2AEAA1" w14:textId="77777777" w:rsidR="009402E1" w:rsidRPr="00FD0B00" w:rsidRDefault="009402E1" w:rsidP="00D8448E">
            <w:pPr>
              <w:jc w:val="center"/>
              <w:rPr>
                <w:rFonts w:ascii="Arial" w:hAnsi="Arial" w:cs="Arial"/>
                <w:color w:val="000000"/>
              </w:rPr>
            </w:pPr>
          </w:p>
        </w:tc>
        <w:tc>
          <w:tcPr>
            <w:tcW w:w="1134" w:type="dxa"/>
            <w:vAlign w:val="bottom"/>
          </w:tcPr>
          <w:p w14:paraId="6B780504" w14:textId="77777777" w:rsidR="009402E1" w:rsidRPr="00FD0B00" w:rsidRDefault="009402E1" w:rsidP="00D8448E">
            <w:pPr>
              <w:jc w:val="center"/>
              <w:rPr>
                <w:rFonts w:ascii="Arial" w:hAnsi="Arial" w:cs="Arial"/>
                <w:color w:val="000000"/>
              </w:rPr>
            </w:pPr>
          </w:p>
        </w:tc>
      </w:tr>
      <w:tr w:rsidR="009402E1" w:rsidRPr="00FD0B00" w14:paraId="3A0DF7C3"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AE7AA4C" w14:textId="77777777" w:rsidR="009402E1" w:rsidRPr="00FD0B00" w:rsidRDefault="009402E1" w:rsidP="00D8448E">
            <w:pPr>
              <w:jc w:val="center"/>
              <w:rPr>
                <w:rFonts w:ascii="Arial" w:hAnsi="Arial" w:cs="Arial"/>
                <w:color w:val="000000"/>
              </w:rPr>
            </w:pPr>
            <w:r w:rsidRPr="00FD0B00">
              <w:rPr>
                <w:rFonts w:ascii="Arial" w:hAnsi="Arial" w:cs="Arial"/>
                <w:color w:val="000000"/>
              </w:rPr>
              <w:t>Travel</w:t>
            </w:r>
          </w:p>
        </w:tc>
        <w:tc>
          <w:tcPr>
            <w:tcW w:w="1134" w:type="dxa"/>
            <w:tcBorders>
              <w:left w:val="dotDash" w:sz="4" w:space="0" w:color="auto"/>
            </w:tcBorders>
            <w:shd w:val="clear" w:color="auto" w:fill="auto"/>
            <w:noWrap/>
            <w:vAlign w:val="bottom"/>
          </w:tcPr>
          <w:p w14:paraId="147CE095" w14:textId="77777777" w:rsidR="009402E1" w:rsidRPr="00FD0B00" w:rsidRDefault="009402E1" w:rsidP="00D8448E">
            <w:pPr>
              <w:jc w:val="center"/>
              <w:rPr>
                <w:rFonts w:ascii="Arial" w:hAnsi="Arial" w:cs="Arial"/>
                <w:color w:val="000000"/>
              </w:rPr>
            </w:pPr>
          </w:p>
        </w:tc>
        <w:tc>
          <w:tcPr>
            <w:tcW w:w="1134" w:type="dxa"/>
            <w:vAlign w:val="bottom"/>
          </w:tcPr>
          <w:p w14:paraId="15C065BC" w14:textId="77777777" w:rsidR="009402E1" w:rsidRPr="00FD0B00" w:rsidRDefault="009402E1" w:rsidP="00D8448E">
            <w:pPr>
              <w:jc w:val="center"/>
              <w:rPr>
                <w:rFonts w:ascii="Arial" w:hAnsi="Arial" w:cs="Arial"/>
                <w:color w:val="000000"/>
              </w:rPr>
            </w:pPr>
          </w:p>
        </w:tc>
        <w:tc>
          <w:tcPr>
            <w:tcW w:w="1134" w:type="dxa"/>
            <w:vAlign w:val="bottom"/>
          </w:tcPr>
          <w:p w14:paraId="110B9A37" w14:textId="77777777" w:rsidR="009402E1" w:rsidRPr="00FD0B00" w:rsidRDefault="009402E1" w:rsidP="00D8448E">
            <w:pPr>
              <w:jc w:val="center"/>
              <w:rPr>
                <w:rFonts w:ascii="Arial" w:hAnsi="Arial" w:cs="Arial"/>
                <w:color w:val="000000"/>
              </w:rPr>
            </w:pPr>
          </w:p>
        </w:tc>
        <w:tc>
          <w:tcPr>
            <w:tcW w:w="1134" w:type="dxa"/>
            <w:vAlign w:val="bottom"/>
          </w:tcPr>
          <w:p w14:paraId="0527FD4F"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A2D848E"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6F433903" w14:textId="77777777" w:rsidR="009402E1" w:rsidRPr="00FD0B00" w:rsidRDefault="009402E1" w:rsidP="00D8448E">
            <w:pPr>
              <w:jc w:val="center"/>
              <w:rPr>
                <w:rFonts w:ascii="Arial" w:hAnsi="Arial" w:cs="Arial"/>
                <w:color w:val="000000"/>
              </w:rPr>
            </w:pPr>
          </w:p>
        </w:tc>
        <w:tc>
          <w:tcPr>
            <w:tcW w:w="1134" w:type="dxa"/>
            <w:vAlign w:val="bottom"/>
          </w:tcPr>
          <w:p w14:paraId="00EF2AD8" w14:textId="77777777" w:rsidR="009402E1" w:rsidRPr="00FD0B00" w:rsidRDefault="009402E1" w:rsidP="00D8448E">
            <w:pPr>
              <w:jc w:val="center"/>
              <w:rPr>
                <w:rFonts w:ascii="Arial" w:hAnsi="Arial" w:cs="Arial"/>
                <w:color w:val="000000"/>
              </w:rPr>
            </w:pPr>
          </w:p>
        </w:tc>
        <w:tc>
          <w:tcPr>
            <w:tcW w:w="1134" w:type="dxa"/>
            <w:vAlign w:val="bottom"/>
          </w:tcPr>
          <w:p w14:paraId="724B5298" w14:textId="77777777" w:rsidR="009402E1" w:rsidRPr="00FD0B00" w:rsidRDefault="009402E1" w:rsidP="00D8448E">
            <w:pPr>
              <w:jc w:val="center"/>
              <w:rPr>
                <w:rFonts w:ascii="Arial" w:hAnsi="Arial" w:cs="Arial"/>
                <w:color w:val="000000"/>
              </w:rPr>
            </w:pPr>
          </w:p>
        </w:tc>
        <w:tc>
          <w:tcPr>
            <w:tcW w:w="1134" w:type="dxa"/>
            <w:vAlign w:val="bottom"/>
          </w:tcPr>
          <w:p w14:paraId="4EAC7EEA" w14:textId="77777777" w:rsidR="009402E1" w:rsidRPr="00FD0B00" w:rsidRDefault="009402E1" w:rsidP="00D8448E">
            <w:pPr>
              <w:jc w:val="center"/>
              <w:rPr>
                <w:rFonts w:ascii="Arial" w:hAnsi="Arial" w:cs="Arial"/>
                <w:color w:val="000000"/>
              </w:rPr>
            </w:pPr>
          </w:p>
        </w:tc>
        <w:tc>
          <w:tcPr>
            <w:tcW w:w="1134" w:type="dxa"/>
            <w:vAlign w:val="bottom"/>
          </w:tcPr>
          <w:p w14:paraId="4A8DB963" w14:textId="77777777" w:rsidR="009402E1" w:rsidRPr="00FD0B00" w:rsidRDefault="009402E1" w:rsidP="00D8448E">
            <w:pPr>
              <w:jc w:val="center"/>
              <w:rPr>
                <w:rFonts w:ascii="Arial" w:hAnsi="Arial" w:cs="Arial"/>
                <w:color w:val="000000"/>
              </w:rPr>
            </w:pPr>
          </w:p>
        </w:tc>
      </w:tr>
      <w:tr w:rsidR="009402E1" w:rsidRPr="00FD0B00" w14:paraId="1C5DB9FB"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4E6C3CA" w14:textId="77777777" w:rsidR="009402E1" w:rsidRPr="00FD0B00" w:rsidRDefault="009402E1" w:rsidP="00D8448E">
            <w:pPr>
              <w:jc w:val="center"/>
              <w:rPr>
                <w:rFonts w:ascii="Arial" w:hAnsi="Arial" w:cs="Arial"/>
                <w:color w:val="000000"/>
              </w:rPr>
            </w:pPr>
            <w:r w:rsidRPr="00FD0B00">
              <w:rPr>
                <w:rFonts w:ascii="Arial" w:hAnsi="Arial" w:cs="Arial"/>
                <w:color w:val="000000"/>
              </w:rPr>
              <w:t>Fire and ISR</w:t>
            </w:r>
          </w:p>
        </w:tc>
        <w:tc>
          <w:tcPr>
            <w:tcW w:w="1134" w:type="dxa"/>
            <w:tcBorders>
              <w:left w:val="dotDash" w:sz="4" w:space="0" w:color="auto"/>
            </w:tcBorders>
            <w:shd w:val="clear" w:color="auto" w:fill="auto"/>
            <w:noWrap/>
            <w:vAlign w:val="bottom"/>
          </w:tcPr>
          <w:p w14:paraId="63F1EEF4" w14:textId="77777777" w:rsidR="009402E1" w:rsidRPr="00FD0B00" w:rsidRDefault="009402E1" w:rsidP="00D8448E">
            <w:pPr>
              <w:jc w:val="center"/>
              <w:rPr>
                <w:rFonts w:ascii="Arial" w:hAnsi="Arial" w:cs="Arial"/>
                <w:color w:val="000000"/>
              </w:rPr>
            </w:pPr>
          </w:p>
        </w:tc>
        <w:tc>
          <w:tcPr>
            <w:tcW w:w="1134" w:type="dxa"/>
            <w:vAlign w:val="bottom"/>
          </w:tcPr>
          <w:p w14:paraId="5368E6EC" w14:textId="77777777" w:rsidR="009402E1" w:rsidRPr="00FD0B00" w:rsidRDefault="009402E1" w:rsidP="00D8448E">
            <w:pPr>
              <w:jc w:val="center"/>
              <w:rPr>
                <w:rFonts w:ascii="Arial" w:hAnsi="Arial" w:cs="Arial"/>
                <w:color w:val="000000"/>
              </w:rPr>
            </w:pPr>
          </w:p>
        </w:tc>
        <w:tc>
          <w:tcPr>
            <w:tcW w:w="1134" w:type="dxa"/>
            <w:vAlign w:val="bottom"/>
          </w:tcPr>
          <w:p w14:paraId="7A6FD53B" w14:textId="77777777" w:rsidR="009402E1" w:rsidRPr="00FD0B00" w:rsidRDefault="009402E1" w:rsidP="00D8448E">
            <w:pPr>
              <w:jc w:val="center"/>
              <w:rPr>
                <w:rFonts w:ascii="Arial" w:hAnsi="Arial" w:cs="Arial"/>
                <w:color w:val="000000"/>
              </w:rPr>
            </w:pPr>
          </w:p>
        </w:tc>
        <w:tc>
          <w:tcPr>
            <w:tcW w:w="1134" w:type="dxa"/>
            <w:vAlign w:val="bottom"/>
          </w:tcPr>
          <w:p w14:paraId="2F542F0C"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4B9DA784"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7A3049B8" w14:textId="77777777" w:rsidR="009402E1" w:rsidRPr="00FD0B00" w:rsidRDefault="009402E1" w:rsidP="00D8448E">
            <w:pPr>
              <w:jc w:val="center"/>
              <w:rPr>
                <w:rFonts w:ascii="Arial" w:hAnsi="Arial" w:cs="Arial"/>
                <w:color w:val="000000"/>
              </w:rPr>
            </w:pPr>
          </w:p>
        </w:tc>
        <w:tc>
          <w:tcPr>
            <w:tcW w:w="1134" w:type="dxa"/>
            <w:vAlign w:val="bottom"/>
          </w:tcPr>
          <w:p w14:paraId="2988FEB9" w14:textId="77777777" w:rsidR="009402E1" w:rsidRPr="00FD0B00" w:rsidRDefault="009402E1" w:rsidP="00D8448E">
            <w:pPr>
              <w:jc w:val="center"/>
              <w:rPr>
                <w:rFonts w:ascii="Arial" w:hAnsi="Arial" w:cs="Arial"/>
                <w:color w:val="000000"/>
              </w:rPr>
            </w:pPr>
          </w:p>
        </w:tc>
        <w:tc>
          <w:tcPr>
            <w:tcW w:w="1134" w:type="dxa"/>
            <w:vAlign w:val="bottom"/>
          </w:tcPr>
          <w:p w14:paraId="07A0C1D2" w14:textId="77777777" w:rsidR="009402E1" w:rsidRPr="00FD0B00" w:rsidRDefault="009402E1" w:rsidP="00D8448E">
            <w:pPr>
              <w:jc w:val="center"/>
              <w:rPr>
                <w:rFonts w:ascii="Arial" w:hAnsi="Arial" w:cs="Arial"/>
                <w:color w:val="000000"/>
              </w:rPr>
            </w:pPr>
          </w:p>
        </w:tc>
        <w:tc>
          <w:tcPr>
            <w:tcW w:w="1134" w:type="dxa"/>
            <w:vAlign w:val="bottom"/>
          </w:tcPr>
          <w:p w14:paraId="3D385B1F" w14:textId="77777777" w:rsidR="009402E1" w:rsidRPr="00FD0B00" w:rsidRDefault="009402E1" w:rsidP="00D8448E">
            <w:pPr>
              <w:jc w:val="center"/>
              <w:rPr>
                <w:rFonts w:ascii="Arial" w:hAnsi="Arial" w:cs="Arial"/>
                <w:color w:val="000000"/>
              </w:rPr>
            </w:pPr>
          </w:p>
        </w:tc>
        <w:tc>
          <w:tcPr>
            <w:tcW w:w="1134" w:type="dxa"/>
            <w:vAlign w:val="bottom"/>
          </w:tcPr>
          <w:p w14:paraId="360C9931" w14:textId="77777777" w:rsidR="009402E1" w:rsidRPr="00FD0B00" w:rsidRDefault="009402E1" w:rsidP="00D8448E">
            <w:pPr>
              <w:jc w:val="center"/>
              <w:rPr>
                <w:rFonts w:ascii="Arial" w:hAnsi="Arial" w:cs="Arial"/>
                <w:color w:val="000000"/>
              </w:rPr>
            </w:pPr>
          </w:p>
        </w:tc>
      </w:tr>
      <w:tr w:rsidR="009402E1" w:rsidRPr="00FD0B00" w14:paraId="1ED2222C"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2B4891B" w14:textId="77777777" w:rsidR="009402E1" w:rsidRPr="00FD0B00" w:rsidRDefault="009402E1" w:rsidP="00D8448E">
            <w:pPr>
              <w:jc w:val="center"/>
              <w:rPr>
                <w:rFonts w:ascii="Arial" w:hAnsi="Arial" w:cs="Arial"/>
                <w:color w:val="000000"/>
              </w:rPr>
            </w:pPr>
            <w:r w:rsidRPr="00FD0B00">
              <w:rPr>
                <w:rFonts w:ascii="Arial" w:hAnsi="Arial" w:cs="Arial"/>
                <w:color w:val="000000"/>
              </w:rPr>
              <w:t>Marine</w:t>
            </w:r>
          </w:p>
        </w:tc>
        <w:tc>
          <w:tcPr>
            <w:tcW w:w="1134" w:type="dxa"/>
            <w:tcBorders>
              <w:left w:val="dotDash" w:sz="4" w:space="0" w:color="auto"/>
            </w:tcBorders>
            <w:shd w:val="clear" w:color="auto" w:fill="auto"/>
            <w:noWrap/>
            <w:vAlign w:val="bottom"/>
          </w:tcPr>
          <w:p w14:paraId="72FCB01D" w14:textId="77777777" w:rsidR="009402E1" w:rsidRPr="00FD0B00" w:rsidRDefault="009402E1" w:rsidP="00D8448E">
            <w:pPr>
              <w:jc w:val="center"/>
              <w:rPr>
                <w:rFonts w:ascii="Arial" w:hAnsi="Arial" w:cs="Arial"/>
                <w:color w:val="000000"/>
              </w:rPr>
            </w:pPr>
          </w:p>
        </w:tc>
        <w:tc>
          <w:tcPr>
            <w:tcW w:w="1134" w:type="dxa"/>
            <w:vAlign w:val="bottom"/>
          </w:tcPr>
          <w:p w14:paraId="62FD4A89" w14:textId="77777777" w:rsidR="009402E1" w:rsidRPr="00FD0B00" w:rsidRDefault="009402E1" w:rsidP="00D8448E">
            <w:pPr>
              <w:jc w:val="center"/>
              <w:rPr>
                <w:rFonts w:ascii="Arial" w:hAnsi="Arial" w:cs="Arial"/>
                <w:color w:val="000000"/>
              </w:rPr>
            </w:pPr>
          </w:p>
        </w:tc>
        <w:tc>
          <w:tcPr>
            <w:tcW w:w="1134" w:type="dxa"/>
            <w:vAlign w:val="bottom"/>
          </w:tcPr>
          <w:p w14:paraId="2A21494E" w14:textId="77777777" w:rsidR="009402E1" w:rsidRPr="00FD0B00" w:rsidRDefault="009402E1" w:rsidP="00D8448E">
            <w:pPr>
              <w:jc w:val="center"/>
              <w:rPr>
                <w:rFonts w:ascii="Arial" w:hAnsi="Arial" w:cs="Arial"/>
                <w:color w:val="000000"/>
              </w:rPr>
            </w:pPr>
          </w:p>
        </w:tc>
        <w:tc>
          <w:tcPr>
            <w:tcW w:w="1134" w:type="dxa"/>
            <w:vAlign w:val="bottom"/>
          </w:tcPr>
          <w:p w14:paraId="5A05FF84"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33283E0D"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29E13D0F" w14:textId="77777777" w:rsidR="009402E1" w:rsidRPr="00FD0B00" w:rsidRDefault="009402E1" w:rsidP="00D8448E">
            <w:pPr>
              <w:jc w:val="center"/>
              <w:rPr>
                <w:rFonts w:ascii="Arial" w:hAnsi="Arial" w:cs="Arial"/>
                <w:color w:val="000000"/>
              </w:rPr>
            </w:pPr>
          </w:p>
        </w:tc>
        <w:tc>
          <w:tcPr>
            <w:tcW w:w="1134" w:type="dxa"/>
            <w:vAlign w:val="bottom"/>
          </w:tcPr>
          <w:p w14:paraId="40F0351A" w14:textId="77777777" w:rsidR="009402E1" w:rsidRPr="00FD0B00" w:rsidRDefault="009402E1" w:rsidP="00D8448E">
            <w:pPr>
              <w:jc w:val="center"/>
              <w:rPr>
                <w:rFonts w:ascii="Arial" w:hAnsi="Arial" w:cs="Arial"/>
                <w:color w:val="000000"/>
              </w:rPr>
            </w:pPr>
          </w:p>
        </w:tc>
        <w:tc>
          <w:tcPr>
            <w:tcW w:w="1134" w:type="dxa"/>
            <w:vAlign w:val="bottom"/>
          </w:tcPr>
          <w:p w14:paraId="5A31F951" w14:textId="77777777" w:rsidR="009402E1" w:rsidRPr="00FD0B00" w:rsidRDefault="009402E1" w:rsidP="00D8448E">
            <w:pPr>
              <w:jc w:val="center"/>
              <w:rPr>
                <w:rFonts w:ascii="Arial" w:hAnsi="Arial" w:cs="Arial"/>
                <w:color w:val="000000"/>
              </w:rPr>
            </w:pPr>
          </w:p>
        </w:tc>
        <w:tc>
          <w:tcPr>
            <w:tcW w:w="1134" w:type="dxa"/>
            <w:vAlign w:val="bottom"/>
          </w:tcPr>
          <w:p w14:paraId="4A366E38" w14:textId="77777777" w:rsidR="009402E1" w:rsidRPr="00FD0B00" w:rsidRDefault="009402E1" w:rsidP="00D8448E">
            <w:pPr>
              <w:jc w:val="center"/>
              <w:rPr>
                <w:rFonts w:ascii="Arial" w:hAnsi="Arial" w:cs="Arial"/>
                <w:color w:val="000000"/>
              </w:rPr>
            </w:pPr>
          </w:p>
        </w:tc>
        <w:tc>
          <w:tcPr>
            <w:tcW w:w="1134" w:type="dxa"/>
            <w:vAlign w:val="bottom"/>
          </w:tcPr>
          <w:p w14:paraId="252F335C" w14:textId="77777777" w:rsidR="009402E1" w:rsidRPr="00FD0B00" w:rsidRDefault="009402E1" w:rsidP="00D8448E">
            <w:pPr>
              <w:jc w:val="center"/>
              <w:rPr>
                <w:rFonts w:ascii="Arial" w:hAnsi="Arial" w:cs="Arial"/>
                <w:color w:val="000000"/>
              </w:rPr>
            </w:pPr>
          </w:p>
        </w:tc>
      </w:tr>
      <w:tr w:rsidR="009402E1" w:rsidRPr="00FD0B00" w14:paraId="6E6CADE0"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E75ABFA" w14:textId="77777777" w:rsidR="009402E1" w:rsidRPr="00FD0B00" w:rsidRDefault="009402E1" w:rsidP="00D8448E">
            <w:pPr>
              <w:jc w:val="center"/>
              <w:rPr>
                <w:rFonts w:ascii="Arial" w:hAnsi="Arial" w:cs="Arial"/>
                <w:color w:val="000000"/>
              </w:rPr>
            </w:pPr>
            <w:r w:rsidRPr="00FD0B00">
              <w:rPr>
                <w:rFonts w:ascii="Arial" w:hAnsi="Arial" w:cs="Arial"/>
                <w:color w:val="000000"/>
              </w:rPr>
              <w:t>Aviation</w:t>
            </w:r>
          </w:p>
        </w:tc>
        <w:tc>
          <w:tcPr>
            <w:tcW w:w="1134" w:type="dxa"/>
            <w:tcBorders>
              <w:left w:val="dotDash" w:sz="4" w:space="0" w:color="auto"/>
            </w:tcBorders>
            <w:shd w:val="clear" w:color="auto" w:fill="auto"/>
            <w:noWrap/>
            <w:vAlign w:val="bottom"/>
          </w:tcPr>
          <w:p w14:paraId="0353864B" w14:textId="77777777" w:rsidR="009402E1" w:rsidRPr="00FD0B00" w:rsidRDefault="009402E1" w:rsidP="00D8448E">
            <w:pPr>
              <w:jc w:val="center"/>
              <w:rPr>
                <w:rFonts w:ascii="Arial" w:hAnsi="Arial" w:cs="Arial"/>
                <w:color w:val="000000"/>
              </w:rPr>
            </w:pPr>
          </w:p>
        </w:tc>
        <w:tc>
          <w:tcPr>
            <w:tcW w:w="1134" w:type="dxa"/>
            <w:vAlign w:val="bottom"/>
          </w:tcPr>
          <w:p w14:paraId="36539116" w14:textId="77777777" w:rsidR="009402E1" w:rsidRPr="00FD0B00" w:rsidRDefault="009402E1" w:rsidP="00D8448E">
            <w:pPr>
              <w:jc w:val="center"/>
              <w:rPr>
                <w:rFonts w:ascii="Arial" w:hAnsi="Arial" w:cs="Arial"/>
                <w:color w:val="000000"/>
              </w:rPr>
            </w:pPr>
          </w:p>
        </w:tc>
        <w:tc>
          <w:tcPr>
            <w:tcW w:w="1134" w:type="dxa"/>
            <w:vAlign w:val="bottom"/>
          </w:tcPr>
          <w:p w14:paraId="3EF1C86B" w14:textId="77777777" w:rsidR="009402E1" w:rsidRPr="00FD0B00" w:rsidRDefault="009402E1" w:rsidP="00D8448E">
            <w:pPr>
              <w:jc w:val="center"/>
              <w:rPr>
                <w:rFonts w:ascii="Arial" w:hAnsi="Arial" w:cs="Arial"/>
                <w:color w:val="000000"/>
              </w:rPr>
            </w:pPr>
          </w:p>
        </w:tc>
        <w:tc>
          <w:tcPr>
            <w:tcW w:w="1134" w:type="dxa"/>
            <w:vAlign w:val="bottom"/>
          </w:tcPr>
          <w:p w14:paraId="5CA29007"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37C509B"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332D3203" w14:textId="77777777" w:rsidR="009402E1" w:rsidRPr="00FD0B00" w:rsidRDefault="009402E1" w:rsidP="00D8448E">
            <w:pPr>
              <w:jc w:val="center"/>
              <w:rPr>
                <w:rFonts w:ascii="Arial" w:hAnsi="Arial" w:cs="Arial"/>
                <w:color w:val="000000"/>
              </w:rPr>
            </w:pPr>
          </w:p>
        </w:tc>
        <w:tc>
          <w:tcPr>
            <w:tcW w:w="1134" w:type="dxa"/>
            <w:vAlign w:val="bottom"/>
          </w:tcPr>
          <w:p w14:paraId="67E45F8D" w14:textId="77777777" w:rsidR="009402E1" w:rsidRPr="00FD0B00" w:rsidRDefault="009402E1" w:rsidP="00D8448E">
            <w:pPr>
              <w:jc w:val="center"/>
              <w:rPr>
                <w:rFonts w:ascii="Arial" w:hAnsi="Arial" w:cs="Arial"/>
                <w:color w:val="000000"/>
              </w:rPr>
            </w:pPr>
          </w:p>
        </w:tc>
        <w:tc>
          <w:tcPr>
            <w:tcW w:w="1134" w:type="dxa"/>
            <w:vAlign w:val="bottom"/>
          </w:tcPr>
          <w:p w14:paraId="3F32827C" w14:textId="77777777" w:rsidR="009402E1" w:rsidRPr="00FD0B00" w:rsidRDefault="009402E1" w:rsidP="00D8448E">
            <w:pPr>
              <w:jc w:val="center"/>
              <w:rPr>
                <w:rFonts w:ascii="Arial" w:hAnsi="Arial" w:cs="Arial"/>
                <w:color w:val="000000"/>
              </w:rPr>
            </w:pPr>
          </w:p>
        </w:tc>
        <w:tc>
          <w:tcPr>
            <w:tcW w:w="1134" w:type="dxa"/>
            <w:vAlign w:val="bottom"/>
          </w:tcPr>
          <w:p w14:paraId="0FC495DB" w14:textId="77777777" w:rsidR="009402E1" w:rsidRPr="00FD0B00" w:rsidRDefault="009402E1" w:rsidP="00D8448E">
            <w:pPr>
              <w:jc w:val="center"/>
              <w:rPr>
                <w:rFonts w:ascii="Arial" w:hAnsi="Arial" w:cs="Arial"/>
                <w:color w:val="000000"/>
              </w:rPr>
            </w:pPr>
          </w:p>
        </w:tc>
        <w:tc>
          <w:tcPr>
            <w:tcW w:w="1134" w:type="dxa"/>
            <w:vAlign w:val="bottom"/>
          </w:tcPr>
          <w:p w14:paraId="03B5BEFD" w14:textId="77777777" w:rsidR="009402E1" w:rsidRPr="00FD0B00" w:rsidRDefault="009402E1" w:rsidP="00D8448E">
            <w:pPr>
              <w:jc w:val="center"/>
              <w:rPr>
                <w:rFonts w:ascii="Arial" w:hAnsi="Arial" w:cs="Arial"/>
                <w:color w:val="000000"/>
              </w:rPr>
            </w:pPr>
          </w:p>
        </w:tc>
      </w:tr>
      <w:tr w:rsidR="009402E1" w:rsidRPr="00FD0B00" w14:paraId="49AAB587"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A574C88" w14:textId="77777777" w:rsidR="009402E1" w:rsidRPr="00FD0B00" w:rsidRDefault="009402E1" w:rsidP="00D8448E">
            <w:pPr>
              <w:jc w:val="center"/>
              <w:rPr>
                <w:rFonts w:ascii="Arial" w:hAnsi="Arial" w:cs="Arial"/>
                <w:color w:val="000000"/>
              </w:rPr>
            </w:pPr>
            <w:r>
              <w:rPr>
                <w:rFonts w:ascii="Arial" w:hAnsi="Arial" w:cs="Arial"/>
                <w:color w:val="000000"/>
              </w:rPr>
              <w:t>Consumer credit</w:t>
            </w:r>
          </w:p>
        </w:tc>
        <w:tc>
          <w:tcPr>
            <w:tcW w:w="1134" w:type="dxa"/>
            <w:tcBorders>
              <w:left w:val="dotDash" w:sz="4" w:space="0" w:color="auto"/>
            </w:tcBorders>
            <w:shd w:val="clear" w:color="auto" w:fill="auto"/>
            <w:noWrap/>
            <w:vAlign w:val="bottom"/>
          </w:tcPr>
          <w:p w14:paraId="621FD572" w14:textId="77777777" w:rsidR="009402E1" w:rsidRPr="00FD0B00" w:rsidRDefault="009402E1" w:rsidP="00D8448E">
            <w:pPr>
              <w:jc w:val="center"/>
              <w:rPr>
                <w:rFonts w:ascii="Arial" w:hAnsi="Arial" w:cs="Arial"/>
                <w:color w:val="000000"/>
              </w:rPr>
            </w:pPr>
          </w:p>
        </w:tc>
        <w:tc>
          <w:tcPr>
            <w:tcW w:w="1134" w:type="dxa"/>
            <w:vAlign w:val="bottom"/>
          </w:tcPr>
          <w:p w14:paraId="7A4C60A9" w14:textId="77777777" w:rsidR="009402E1" w:rsidRPr="00FD0B00" w:rsidRDefault="009402E1" w:rsidP="00D8448E">
            <w:pPr>
              <w:jc w:val="center"/>
              <w:rPr>
                <w:rFonts w:ascii="Arial" w:hAnsi="Arial" w:cs="Arial"/>
                <w:color w:val="000000"/>
              </w:rPr>
            </w:pPr>
          </w:p>
        </w:tc>
        <w:tc>
          <w:tcPr>
            <w:tcW w:w="1134" w:type="dxa"/>
            <w:vAlign w:val="bottom"/>
          </w:tcPr>
          <w:p w14:paraId="5F2522F6" w14:textId="77777777" w:rsidR="009402E1" w:rsidRPr="00FD0B00" w:rsidRDefault="009402E1" w:rsidP="00D8448E">
            <w:pPr>
              <w:jc w:val="center"/>
              <w:rPr>
                <w:rFonts w:ascii="Arial" w:hAnsi="Arial" w:cs="Arial"/>
                <w:color w:val="000000"/>
              </w:rPr>
            </w:pPr>
          </w:p>
        </w:tc>
        <w:tc>
          <w:tcPr>
            <w:tcW w:w="1134" w:type="dxa"/>
            <w:vAlign w:val="bottom"/>
          </w:tcPr>
          <w:p w14:paraId="2EBB230A"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5C3C1125"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076AA278" w14:textId="77777777" w:rsidR="009402E1" w:rsidRPr="00FD0B00" w:rsidRDefault="009402E1" w:rsidP="00D8448E">
            <w:pPr>
              <w:jc w:val="center"/>
              <w:rPr>
                <w:rFonts w:ascii="Arial" w:hAnsi="Arial" w:cs="Arial"/>
                <w:color w:val="000000"/>
              </w:rPr>
            </w:pPr>
          </w:p>
        </w:tc>
        <w:tc>
          <w:tcPr>
            <w:tcW w:w="1134" w:type="dxa"/>
            <w:vAlign w:val="bottom"/>
          </w:tcPr>
          <w:p w14:paraId="20E789E5" w14:textId="77777777" w:rsidR="009402E1" w:rsidRPr="00FD0B00" w:rsidRDefault="009402E1" w:rsidP="00D8448E">
            <w:pPr>
              <w:jc w:val="center"/>
              <w:rPr>
                <w:rFonts w:ascii="Arial" w:hAnsi="Arial" w:cs="Arial"/>
                <w:color w:val="000000"/>
              </w:rPr>
            </w:pPr>
          </w:p>
        </w:tc>
        <w:tc>
          <w:tcPr>
            <w:tcW w:w="1134" w:type="dxa"/>
            <w:vAlign w:val="bottom"/>
          </w:tcPr>
          <w:p w14:paraId="6DA1E7C9" w14:textId="77777777" w:rsidR="009402E1" w:rsidRPr="00FD0B00" w:rsidRDefault="009402E1" w:rsidP="00D8448E">
            <w:pPr>
              <w:jc w:val="center"/>
              <w:rPr>
                <w:rFonts w:ascii="Arial" w:hAnsi="Arial" w:cs="Arial"/>
                <w:color w:val="000000"/>
              </w:rPr>
            </w:pPr>
          </w:p>
        </w:tc>
        <w:tc>
          <w:tcPr>
            <w:tcW w:w="1134" w:type="dxa"/>
            <w:vAlign w:val="bottom"/>
          </w:tcPr>
          <w:p w14:paraId="774602CD" w14:textId="77777777" w:rsidR="009402E1" w:rsidRPr="00FD0B00" w:rsidRDefault="009402E1" w:rsidP="00D8448E">
            <w:pPr>
              <w:jc w:val="center"/>
              <w:rPr>
                <w:rFonts w:ascii="Arial" w:hAnsi="Arial" w:cs="Arial"/>
                <w:color w:val="000000"/>
              </w:rPr>
            </w:pPr>
          </w:p>
        </w:tc>
        <w:tc>
          <w:tcPr>
            <w:tcW w:w="1134" w:type="dxa"/>
            <w:vAlign w:val="bottom"/>
          </w:tcPr>
          <w:p w14:paraId="53E66B2E" w14:textId="77777777" w:rsidR="009402E1" w:rsidRPr="00FD0B00" w:rsidRDefault="009402E1" w:rsidP="00D8448E">
            <w:pPr>
              <w:jc w:val="center"/>
              <w:rPr>
                <w:rFonts w:ascii="Arial" w:hAnsi="Arial" w:cs="Arial"/>
                <w:color w:val="000000"/>
              </w:rPr>
            </w:pPr>
          </w:p>
        </w:tc>
      </w:tr>
      <w:tr w:rsidR="009402E1" w:rsidRPr="00FD0B00" w14:paraId="2196D7BD"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502D283" w14:textId="77777777" w:rsidR="009402E1" w:rsidRPr="00FD0B00" w:rsidRDefault="009402E1" w:rsidP="00D8448E">
            <w:pPr>
              <w:jc w:val="center"/>
              <w:rPr>
                <w:rFonts w:ascii="Arial" w:hAnsi="Arial" w:cs="Arial"/>
                <w:color w:val="000000"/>
              </w:rPr>
            </w:pPr>
            <w:r w:rsidRPr="00FD0B00">
              <w:rPr>
                <w:rFonts w:ascii="Arial" w:hAnsi="Arial" w:cs="Arial"/>
                <w:color w:val="000000"/>
              </w:rPr>
              <w:lastRenderedPageBreak/>
              <w:t>Other accident</w:t>
            </w:r>
          </w:p>
        </w:tc>
        <w:tc>
          <w:tcPr>
            <w:tcW w:w="1134" w:type="dxa"/>
            <w:tcBorders>
              <w:left w:val="dotDash" w:sz="4" w:space="0" w:color="auto"/>
            </w:tcBorders>
            <w:shd w:val="clear" w:color="auto" w:fill="auto"/>
            <w:noWrap/>
            <w:vAlign w:val="bottom"/>
          </w:tcPr>
          <w:p w14:paraId="4852B698" w14:textId="77777777" w:rsidR="009402E1" w:rsidRPr="00FD0B00" w:rsidRDefault="009402E1" w:rsidP="00D8448E">
            <w:pPr>
              <w:jc w:val="center"/>
              <w:rPr>
                <w:rFonts w:ascii="Arial" w:hAnsi="Arial" w:cs="Arial"/>
                <w:color w:val="000000"/>
              </w:rPr>
            </w:pPr>
          </w:p>
        </w:tc>
        <w:tc>
          <w:tcPr>
            <w:tcW w:w="1134" w:type="dxa"/>
            <w:vAlign w:val="bottom"/>
          </w:tcPr>
          <w:p w14:paraId="2833B83E" w14:textId="77777777" w:rsidR="009402E1" w:rsidRPr="00FD0B00" w:rsidRDefault="009402E1" w:rsidP="00D8448E">
            <w:pPr>
              <w:jc w:val="center"/>
              <w:rPr>
                <w:rFonts w:ascii="Arial" w:hAnsi="Arial" w:cs="Arial"/>
                <w:color w:val="000000"/>
              </w:rPr>
            </w:pPr>
          </w:p>
        </w:tc>
        <w:tc>
          <w:tcPr>
            <w:tcW w:w="1134" w:type="dxa"/>
            <w:vAlign w:val="bottom"/>
          </w:tcPr>
          <w:p w14:paraId="632FDFE3" w14:textId="77777777" w:rsidR="009402E1" w:rsidRPr="00FD0B00" w:rsidRDefault="009402E1" w:rsidP="00D8448E">
            <w:pPr>
              <w:jc w:val="center"/>
              <w:rPr>
                <w:rFonts w:ascii="Arial" w:hAnsi="Arial" w:cs="Arial"/>
                <w:color w:val="000000"/>
              </w:rPr>
            </w:pPr>
          </w:p>
        </w:tc>
        <w:tc>
          <w:tcPr>
            <w:tcW w:w="1134" w:type="dxa"/>
            <w:vAlign w:val="bottom"/>
          </w:tcPr>
          <w:p w14:paraId="3EACFE9A"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DB02C72"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3AA5C45E" w14:textId="77777777" w:rsidR="009402E1" w:rsidRPr="00FD0B00" w:rsidRDefault="009402E1" w:rsidP="00D8448E">
            <w:pPr>
              <w:jc w:val="center"/>
              <w:rPr>
                <w:rFonts w:ascii="Arial" w:hAnsi="Arial" w:cs="Arial"/>
                <w:color w:val="000000"/>
              </w:rPr>
            </w:pPr>
          </w:p>
        </w:tc>
        <w:tc>
          <w:tcPr>
            <w:tcW w:w="1134" w:type="dxa"/>
            <w:vAlign w:val="bottom"/>
          </w:tcPr>
          <w:p w14:paraId="046B1169" w14:textId="77777777" w:rsidR="009402E1" w:rsidRPr="00FD0B00" w:rsidRDefault="009402E1" w:rsidP="00D8448E">
            <w:pPr>
              <w:jc w:val="center"/>
              <w:rPr>
                <w:rFonts w:ascii="Arial" w:hAnsi="Arial" w:cs="Arial"/>
                <w:color w:val="000000"/>
              </w:rPr>
            </w:pPr>
          </w:p>
        </w:tc>
        <w:tc>
          <w:tcPr>
            <w:tcW w:w="1134" w:type="dxa"/>
            <w:vAlign w:val="bottom"/>
          </w:tcPr>
          <w:p w14:paraId="1A8792A8" w14:textId="77777777" w:rsidR="009402E1" w:rsidRPr="00FD0B00" w:rsidRDefault="009402E1" w:rsidP="00D8448E">
            <w:pPr>
              <w:jc w:val="center"/>
              <w:rPr>
                <w:rFonts w:ascii="Arial" w:hAnsi="Arial" w:cs="Arial"/>
                <w:color w:val="000000"/>
              </w:rPr>
            </w:pPr>
          </w:p>
        </w:tc>
        <w:tc>
          <w:tcPr>
            <w:tcW w:w="1134" w:type="dxa"/>
            <w:vAlign w:val="bottom"/>
          </w:tcPr>
          <w:p w14:paraId="5E1202A2" w14:textId="77777777" w:rsidR="009402E1" w:rsidRPr="00FD0B00" w:rsidRDefault="009402E1" w:rsidP="00D8448E">
            <w:pPr>
              <w:jc w:val="center"/>
              <w:rPr>
                <w:rFonts w:ascii="Arial" w:hAnsi="Arial" w:cs="Arial"/>
                <w:color w:val="000000"/>
              </w:rPr>
            </w:pPr>
          </w:p>
        </w:tc>
        <w:tc>
          <w:tcPr>
            <w:tcW w:w="1134" w:type="dxa"/>
            <w:vAlign w:val="bottom"/>
          </w:tcPr>
          <w:p w14:paraId="73FBE541" w14:textId="77777777" w:rsidR="009402E1" w:rsidRPr="00FD0B00" w:rsidRDefault="009402E1" w:rsidP="00D8448E">
            <w:pPr>
              <w:jc w:val="center"/>
              <w:rPr>
                <w:rFonts w:ascii="Arial" w:hAnsi="Arial" w:cs="Arial"/>
                <w:color w:val="000000"/>
              </w:rPr>
            </w:pPr>
          </w:p>
        </w:tc>
      </w:tr>
      <w:tr w:rsidR="009402E1" w:rsidRPr="00FD0B00" w14:paraId="799AE2DC"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2DF4182" w14:textId="77777777" w:rsidR="009402E1" w:rsidRPr="00FD0B00" w:rsidRDefault="009402E1" w:rsidP="00D8448E">
            <w:pPr>
              <w:jc w:val="center"/>
              <w:rPr>
                <w:rFonts w:ascii="Arial" w:hAnsi="Arial" w:cs="Arial"/>
                <w:color w:val="000000"/>
              </w:rPr>
            </w:pPr>
            <w:r w:rsidRPr="00FD0B00">
              <w:rPr>
                <w:rFonts w:ascii="Arial" w:hAnsi="Arial" w:cs="Arial"/>
                <w:color w:val="000000"/>
              </w:rPr>
              <w:t>Other direct - category B</w:t>
            </w:r>
          </w:p>
        </w:tc>
        <w:tc>
          <w:tcPr>
            <w:tcW w:w="1134" w:type="dxa"/>
            <w:tcBorders>
              <w:left w:val="dotDash" w:sz="4" w:space="0" w:color="auto"/>
            </w:tcBorders>
            <w:shd w:val="clear" w:color="auto" w:fill="auto"/>
            <w:noWrap/>
            <w:vAlign w:val="bottom"/>
          </w:tcPr>
          <w:p w14:paraId="39E0D585" w14:textId="77777777" w:rsidR="009402E1" w:rsidRPr="00FD0B00" w:rsidRDefault="009402E1" w:rsidP="00D8448E">
            <w:pPr>
              <w:jc w:val="center"/>
              <w:rPr>
                <w:rFonts w:ascii="Arial" w:hAnsi="Arial" w:cs="Arial"/>
                <w:color w:val="000000"/>
              </w:rPr>
            </w:pPr>
          </w:p>
        </w:tc>
        <w:tc>
          <w:tcPr>
            <w:tcW w:w="1134" w:type="dxa"/>
            <w:vAlign w:val="bottom"/>
          </w:tcPr>
          <w:p w14:paraId="016C1920" w14:textId="77777777" w:rsidR="009402E1" w:rsidRPr="00FD0B00" w:rsidRDefault="009402E1" w:rsidP="00D8448E">
            <w:pPr>
              <w:jc w:val="center"/>
              <w:rPr>
                <w:rFonts w:ascii="Arial" w:hAnsi="Arial" w:cs="Arial"/>
                <w:color w:val="000000"/>
              </w:rPr>
            </w:pPr>
          </w:p>
        </w:tc>
        <w:tc>
          <w:tcPr>
            <w:tcW w:w="1134" w:type="dxa"/>
            <w:vAlign w:val="bottom"/>
          </w:tcPr>
          <w:p w14:paraId="2B0C90E1" w14:textId="77777777" w:rsidR="009402E1" w:rsidRPr="00FD0B00" w:rsidRDefault="009402E1" w:rsidP="00D8448E">
            <w:pPr>
              <w:jc w:val="center"/>
              <w:rPr>
                <w:rFonts w:ascii="Arial" w:hAnsi="Arial" w:cs="Arial"/>
                <w:color w:val="000000"/>
              </w:rPr>
            </w:pPr>
          </w:p>
        </w:tc>
        <w:tc>
          <w:tcPr>
            <w:tcW w:w="1134" w:type="dxa"/>
            <w:vAlign w:val="bottom"/>
          </w:tcPr>
          <w:p w14:paraId="1C1EE0AF"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79E497D"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3E76338A" w14:textId="77777777" w:rsidR="009402E1" w:rsidRPr="00FD0B00" w:rsidRDefault="009402E1" w:rsidP="00D8448E">
            <w:pPr>
              <w:jc w:val="center"/>
              <w:rPr>
                <w:rFonts w:ascii="Arial" w:hAnsi="Arial" w:cs="Arial"/>
                <w:color w:val="000000"/>
              </w:rPr>
            </w:pPr>
          </w:p>
        </w:tc>
        <w:tc>
          <w:tcPr>
            <w:tcW w:w="1134" w:type="dxa"/>
            <w:vAlign w:val="bottom"/>
          </w:tcPr>
          <w:p w14:paraId="57A3FF50" w14:textId="77777777" w:rsidR="009402E1" w:rsidRPr="00FD0B00" w:rsidRDefault="009402E1" w:rsidP="00D8448E">
            <w:pPr>
              <w:jc w:val="center"/>
              <w:rPr>
                <w:rFonts w:ascii="Arial" w:hAnsi="Arial" w:cs="Arial"/>
                <w:color w:val="000000"/>
              </w:rPr>
            </w:pPr>
          </w:p>
        </w:tc>
        <w:tc>
          <w:tcPr>
            <w:tcW w:w="1134" w:type="dxa"/>
            <w:vAlign w:val="bottom"/>
          </w:tcPr>
          <w:p w14:paraId="49867328" w14:textId="77777777" w:rsidR="009402E1" w:rsidRPr="00FD0B00" w:rsidRDefault="009402E1" w:rsidP="00D8448E">
            <w:pPr>
              <w:jc w:val="center"/>
              <w:rPr>
                <w:rFonts w:ascii="Arial" w:hAnsi="Arial" w:cs="Arial"/>
                <w:color w:val="000000"/>
              </w:rPr>
            </w:pPr>
          </w:p>
        </w:tc>
        <w:tc>
          <w:tcPr>
            <w:tcW w:w="1134" w:type="dxa"/>
            <w:vAlign w:val="bottom"/>
          </w:tcPr>
          <w:p w14:paraId="45FCB03B" w14:textId="77777777" w:rsidR="009402E1" w:rsidRPr="00FD0B00" w:rsidRDefault="009402E1" w:rsidP="00D8448E">
            <w:pPr>
              <w:jc w:val="center"/>
              <w:rPr>
                <w:rFonts w:ascii="Arial" w:hAnsi="Arial" w:cs="Arial"/>
                <w:color w:val="000000"/>
              </w:rPr>
            </w:pPr>
          </w:p>
        </w:tc>
        <w:tc>
          <w:tcPr>
            <w:tcW w:w="1134" w:type="dxa"/>
            <w:vAlign w:val="bottom"/>
          </w:tcPr>
          <w:p w14:paraId="0A019417" w14:textId="77777777" w:rsidR="009402E1" w:rsidRPr="00FD0B00" w:rsidRDefault="009402E1" w:rsidP="00D8448E">
            <w:pPr>
              <w:jc w:val="center"/>
              <w:rPr>
                <w:rFonts w:ascii="Arial" w:hAnsi="Arial" w:cs="Arial"/>
                <w:color w:val="000000"/>
              </w:rPr>
            </w:pPr>
          </w:p>
        </w:tc>
      </w:tr>
      <w:tr w:rsidR="009402E1" w:rsidRPr="00FD0B00" w14:paraId="51279E20"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5FE0E14" w14:textId="77777777" w:rsidR="009402E1" w:rsidRPr="00FD0B00" w:rsidRDefault="009402E1" w:rsidP="00D8448E">
            <w:pPr>
              <w:jc w:val="center"/>
              <w:rPr>
                <w:rFonts w:ascii="Arial" w:hAnsi="Arial" w:cs="Arial"/>
                <w:color w:val="000000"/>
              </w:rPr>
            </w:pPr>
            <w:r w:rsidRPr="00FD0B00">
              <w:rPr>
                <w:rFonts w:ascii="Arial" w:hAnsi="Arial" w:cs="Arial"/>
                <w:color w:val="000000"/>
              </w:rPr>
              <w:t>Mortgage</w:t>
            </w:r>
          </w:p>
        </w:tc>
        <w:tc>
          <w:tcPr>
            <w:tcW w:w="1134" w:type="dxa"/>
            <w:tcBorders>
              <w:left w:val="dotDash" w:sz="4" w:space="0" w:color="auto"/>
            </w:tcBorders>
            <w:shd w:val="clear" w:color="auto" w:fill="auto"/>
            <w:noWrap/>
            <w:vAlign w:val="bottom"/>
          </w:tcPr>
          <w:p w14:paraId="3E6EEE5B" w14:textId="77777777" w:rsidR="009402E1" w:rsidRPr="00FD0B00" w:rsidRDefault="009402E1" w:rsidP="00D8448E">
            <w:pPr>
              <w:jc w:val="center"/>
              <w:rPr>
                <w:rFonts w:ascii="Arial" w:hAnsi="Arial" w:cs="Arial"/>
                <w:color w:val="000000"/>
              </w:rPr>
            </w:pPr>
          </w:p>
        </w:tc>
        <w:tc>
          <w:tcPr>
            <w:tcW w:w="1134" w:type="dxa"/>
            <w:vAlign w:val="bottom"/>
          </w:tcPr>
          <w:p w14:paraId="40BAF1C6" w14:textId="77777777" w:rsidR="009402E1" w:rsidRPr="00FD0B00" w:rsidRDefault="009402E1" w:rsidP="00D8448E">
            <w:pPr>
              <w:jc w:val="center"/>
              <w:rPr>
                <w:rFonts w:ascii="Arial" w:hAnsi="Arial" w:cs="Arial"/>
                <w:color w:val="000000"/>
              </w:rPr>
            </w:pPr>
          </w:p>
        </w:tc>
        <w:tc>
          <w:tcPr>
            <w:tcW w:w="1134" w:type="dxa"/>
            <w:vAlign w:val="bottom"/>
          </w:tcPr>
          <w:p w14:paraId="5EDA152A" w14:textId="77777777" w:rsidR="009402E1" w:rsidRPr="00FD0B00" w:rsidRDefault="009402E1" w:rsidP="00D8448E">
            <w:pPr>
              <w:jc w:val="center"/>
              <w:rPr>
                <w:rFonts w:ascii="Arial" w:hAnsi="Arial" w:cs="Arial"/>
                <w:color w:val="000000"/>
              </w:rPr>
            </w:pPr>
          </w:p>
        </w:tc>
        <w:tc>
          <w:tcPr>
            <w:tcW w:w="1134" w:type="dxa"/>
            <w:vAlign w:val="bottom"/>
          </w:tcPr>
          <w:p w14:paraId="6F6ADD19"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71B0F70C"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2D028803" w14:textId="77777777" w:rsidR="009402E1" w:rsidRPr="00FD0B00" w:rsidRDefault="009402E1" w:rsidP="00D8448E">
            <w:pPr>
              <w:jc w:val="center"/>
              <w:rPr>
                <w:rFonts w:ascii="Arial" w:hAnsi="Arial" w:cs="Arial"/>
                <w:color w:val="000000"/>
              </w:rPr>
            </w:pPr>
          </w:p>
        </w:tc>
        <w:tc>
          <w:tcPr>
            <w:tcW w:w="1134" w:type="dxa"/>
            <w:vAlign w:val="bottom"/>
          </w:tcPr>
          <w:p w14:paraId="5528B048" w14:textId="77777777" w:rsidR="009402E1" w:rsidRPr="00FD0B00" w:rsidRDefault="009402E1" w:rsidP="00D8448E">
            <w:pPr>
              <w:jc w:val="center"/>
              <w:rPr>
                <w:rFonts w:ascii="Arial" w:hAnsi="Arial" w:cs="Arial"/>
                <w:color w:val="000000"/>
              </w:rPr>
            </w:pPr>
          </w:p>
        </w:tc>
        <w:tc>
          <w:tcPr>
            <w:tcW w:w="1134" w:type="dxa"/>
            <w:vAlign w:val="bottom"/>
          </w:tcPr>
          <w:p w14:paraId="14FFA827" w14:textId="77777777" w:rsidR="009402E1" w:rsidRPr="00FD0B00" w:rsidRDefault="009402E1" w:rsidP="00D8448E">
            <w:pPr>
              <w:jc w:val="center"/>
              <w:rPr>
                <w:rFonts w:ascii="Arial" w:hAnsi="Arial" w:cs="Arial"/>
                <w:color w:val="000000"/>
              </w:rPr>
            </w:pPr>
          </w:p>
        </w:tc>
        <w:tc>
          <w:tcPr>
            <w:tcW w:w="1134" w:type="dxa"/>
            <w:vAlign w:val="bottom"/>
          </w:tcPr>
          <w:p w14:paraId="2EE2AC85" w14:textId="77777777" w:rsidR="009402E1" w:rsidRPr="00FD0B00" w:rsidRDefault="009402E1" w:rsidP="00D8448E">
            <w:pPr>
              <w:jc w:val="center"/>
              <w:rPr>
                <w:rFonts w:ascii="Arial" w:hAnsi="Arial" w:cs="Arial"/>
                <w:color w:val="000000"/>
              </w:rPr>
            </w:pPr>
          </w:p>
        </w:tc>
        <w:tc>
          <w:tcPr>
            <w:tcW w:w="1134" w:type="dxa"/>
            <w:vAlign w:val="bottom"/>
          </w:tcPr>
          <w:p w14:paraId="490147AD" w14:textId="77777777" w:rsidR="009402E1" w:rsidRPr="00FD0B00" w:rsidRDefault="009402E1" w:rsidP="00D8448E">
            <w:pPr>
              <w:jc w:val="center"/>
              <w:rPr>
                <w:rFonts w:ascii="Arial" w:hAnsi="Arial" w:cs="Arial"/>
                <w:color w:val="000000"/>
              </w:rPr>
            </w:pPr>
          </w:p>
        </w:tc>
      </w:tr>
      <w:tr w:rsidR="009402E1" w:rsidRPr="00FD0B00" w14:paraId="520692A4"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7EA0923" w14:textId="77777777" w:rsidR="009402E1" w:rsidRPr="00FD0B00" w:rsidRDefault="009402E1" w:rsidP="00D8448E">
            <w:pPr>
              <w:jc w:val="center"/>
              <w:rPr>
                <w:rFonts w:ascii="Arial" w:hAnsi="Arial" w:cs="Arial"/>
                <w:color w:val="000000"/>
              </w:rPr>
            </w:pPr>
            <w:r w:rsidRPr="00FD0B00">
              <w:rPr>
                <w:rFonts w:ascii="Arial" w:hAnsi="Arial" w:cs="Arial"/>
                <w:color w:val="000000"/>
              </w:rPr>
              <w:t>CTP</w:t>
            </w:r>
          </w:p>
        </w:tc>
        <w:tc>
          <w:tcPr>
            <w:tcW w:w="1134" w:type="dxa"/>
            <w:tcBorders>
              <w:left w:val="dotDash" w:sz="4" w:space="0" w:color="auto"/>
            </w:tcBorders>
            <w:shd w:val="clear" w:color="auto" w:fill="auto"/>
            <w:noWrap/>
            <w:vAlign w:val="bottom"/>
          </w:tcPr>
          <w:p w14:paraId="686D89E9" w14:textId="77777777" w:rsidR="009402E1" w:rsidRPr="00FD0B00" w:rsidRDefault="009402E1" w:rsidP="00D8448E">
            <w:pPr>
              <w:jc w:val="center"/>
              <w:rPr>
                <w:rFonts w:ascii="Arial" w:hAnsi="Arial" w:cs="Arial"/>
                <w:color w:val="000000"/>
              </w:rPr>
            </w:pPr>
          </w:p>
        </w:tc>
        <w:tc>
          <w:tcPr>
            <w:tcW w:w="1134" w:type="dxa"/>
            <w:vAlign w:val="bottom"/>
          </w:tcPr>
          <w:p w14:paraId="4D5095C5" w14:textId="77777777" w:rsidR="009402E1" w:rsidRPr="00FD0B00" w:rsidRDefault="009402E1" w:rsidP="00D8448E">
            <w:pPr>
              <w:jc w:val="center"/>
              <w:rPr>
                <w:rFonts w:ascii="Arial" w:hAnsi="Arial" w:cs="Arial"/>
                <w:color w:val="000000"/>
              </w:rPr>
            </w:pPr>
          </w:p>
        </w:tc>
        <w:tc>
          <w:tcPr>
            <w:tcW w:w="1134" w:type="dxa"/>
            <w:vAlign w:val="bottom"/>
          </w:tcPr>
          <w:p w14:paraId="278E9683" w14:textId="77777777" w:rsidR="009402E1" w:rsidRPr="00FD0B00" w:rsidRDefault="009402E1" w:rsidP="00D8448E">
            <w:pPr>
              <w:jc w:val="center"/>
              <w:rPr>
                <w:rFonts w:ascii="Arial" w:hAnsi="Arial" w:cs="Arial"/>
                <w:color w:val="000000"/>
              </w:rPr>
            </w:pPr>
          </w:p>
        </w:tc>
        <w:tc>
          <w:tcPr>
            <w:tcW w:w="1134" w:type="dxa"/>
            <w:vAlign w:val="bottom"/>
          </w:tcPr>
          <w:p w14:paraId="2430E14E"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2402C48"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72EF6972" w14:textId="77777777" w:rsidR="009402E1" w:rsidRPr="00FD0B00" w:rsidRDefault="009402E1" w:rsidP="00D8448E">
            <w:pPr>
              <w:jc w:val="center"/>
              <w:rPr>
                <w:rFonts w:ascii="Arial" w:hAnsi="Arial" w:cs="Arial"/>
                <w:color w:val="000000"/>
              </w:rPr>
            </w:pPr>
          </w:p>
        </w:tc>
        <w:tc>
          <w:tcPr>
            <w:tcW w:w="1134" w:type="dxa"/>
            <w:vAlign w:val="bottom"/>
          </w:tcPr>
          <w:p w14:paraId="65AD2975" w14:textId="77777777" w:rsidR="009402E1" w:rsidRPr="00FD0B00" w:rsidRDefault="009402E1" w:rsidP="00D8448E">
            <w:pPr>
              <w:jc w:val="center"/>
              <w:rPr>
                <w:rFonts w:ascii="Arial" w:hAnsi="Arial" w:cs="Arial"/>
                <w:color w:val="000000"/>
              </w:rPr>
            </w:pPr>
          </w:p>
        </w:tc>
        <w:tc>
          <w:tcPr>
            <w:tcW w:w="1134" w:type="dxa"/>
            <w:vAlign w:val="bottom"/>
          </w:tcPr>
          <w:p w14:paraId="3F1C65C4" w14:textId="77777777" w:rsidR="009402E1" w:rsidRPr="00FD0B00" w:rsidRDefault="009402E1" w:rsidP="00D8448E">
            <w:pPr>
              <w:jc w:val="center"/>
              <w:rPr>
                <w:rFonts w:ascii="Arial" w:hAnsi="Arial" w:cs="Arial"/>
                <w:color w:val="000000"/>
              </w:rPr>
            </w:pPr>
          </w:p>
        </w:tc>
        <w:tc>
          <w:tcPr>
            <w:tcW w:w="1134" w:type="dxa"/>
            <w:vAlign w:val="bottom"/>
          </w:tcPr>
          <w:p w14:paraId="3F78D822" w14:textId="77777777" w:rsidR="009402E1" w:rsidRPr="00FD0B00" w:rsidRDefault="009402E1" w:rsidP="00D8448E">
            <w:pPr>
              <w:jc w:val="center"/>
              <w:rPr>
                <w:rFonts w:ascii="Arial" w:hAnsi="Arial" w:cs="Arial"/>
                <w:color w:val="000000"/>
              </w:rPr>
            </w:pPr>
          </w:p>
        </w:tc>
        <w:tc>
          <w:tcPr>
            <w:tcW w:w="1134" w:type="dxa"/>
            <w:vAlign w:val="bottom"/>
          </w:tcPr>
          <w:p w14:paraId="1A087894" w14:textId="77777777" w:rsidR="009402E1" w:rsidRPr="00FD0B00" w:rsidRDefault="009402E1" w:rsidP="00D8448E">
            <w:pPr>
              <w:jc w:val="center"/>
              <w:rPr>
                <w:rFonts w:ascii="Arial" w:hAnsi="Arial" w:cs="Arial"/>
                <w:color w:val="000000"/>
              </w:rPr>
            </w:pPr>
          </w:p>
        </w:tc>
      </w:tr>
      <w:tr w:rsidR="009402E1" w:rsidRPr="00FD0B00" w14:paraId="4CD7F74B"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134855A" w14:textId="77777777" w:rsidR="009402E1" w:rsidRPr="00FD0B00" w:rsidRDefault="009402E1" w:rsidP="00D8448E">
            <w:pPr>
              <w:jc w:val="center"/>
              <w:rPr>
                <w:rFonts w:ascii="Arial" w:hAnsi="Arial" w:cs="Arial"/>
                <w:color w:val="000000"/>
              </w:rPr>
            </w:pPr>
            <w:r w:rsidRPr="00FD0B00">
              <w:rPr>
                <w:rFonts w:ascii="Arial" w:hAnsi="Arial" w:cs="Arial"/>
                <w:color w:val="000000"/>
              </w:rPr>
              <w:t>Public and product liability</w:t>
            </w:r>
          </w:p>
        </w:tc>
        <w:tc>
          <w:tcPr>
            <w:tcW w:w="1134" w:type="dxa"/>
            <w:tcBorders>
              <w:left w:val="dotDash" w:sz="4" w:space="0" w:color="auto"/>
            </w:tcBorders>
            <w:shd w:val="clear" w:color="auto" w:fill="auto"/>
            <w:noWrap/>
            <w:vAlign w:val="bottom"/>
          </w:tcPr>
          <w:p w14:paraId="36ECBD7D" w14:textId="77777777" w:rsidR="009402E1" w:rsidRPr="00FD0B00" w:rsidRDefault="009402E1" w:rsidP="00D8448E">
            <w:pPr>
              <w:jc w:val="center"/>
              <w:rPr>
                <w:rFonts w:ascii="Arial" w:hAnsi="Arial" w:cs="Arial"/>
                <w:color w:val="000000"/>
              </w:rPr>
            </w:pPr>
          </w:p>
        </w:tc>
        <w:tc>
          <w:tcPr>
            <w:tcW w:w="1134" w:type="dxa"/>
            <w:vAlign w:val="bottom"/>
          </w:tcPr>
          <w:p w14:paraId="332E3E8D" w14:textId="77777777" w:rsidR="009402E1" w:rsidRPr="00FD0B00" w:rsidRDefault="009402E1" w:rsidP="00D8448E">
            <w:pPr>
              <w:jc w:val="center"/>
              <w:rPr>
                <w:rFonts w:ascii="Arial" w:hAnsi="Arial" w:cs="Arial"/>
                <w:color w:val="000000"/>
              </w:rPr>
            </w:pPr>
          </w:p>
        </w:tc>
        <w:tc>
          <w:tcPr>
            <w:tcW w:w="1134" w:type="dxa"/>
            <w:vAlign w:val="bottom"/>
          </w:tcPr>
          <w:p w14:paraId="10226E68" w14:textId="77777777" w:rsidR="009402E1" w:rsidRPr="00FD0B00" w:rsidRDefault="009402E1" w:rsidP="00D8448E">
            <w:pPr>
              <w:jc w:val="center"/>
              <w:rPr>
                <w:rFonts w:ascii="Arial" w:hAnsi="Arial" w:cs="Arial"/>
                <w:color w:val="000000"/>
              </w:rPr>
            </w:pPr>
          </w:p>
        </w:tc>
        <w:tc>
          <w:tcPr>
            <w:tcW w:w="1134" w:type="dxa"/>
            <w:vAlign w:val="bottom"/>
          </w:tcPr>
          <w:p w14:paraId="13F254B1"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52A7B3A9"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06A43E6D" w14:textId="77777777" w:rsidR="009402E1" w:rsidRPr="00FD0B00" w:rsidRDefault="009402E1" w:rsidP="00D8448E">
            <w:pPr>
              <w:jc w:val="center"/>
              <w:rPr>
                <w:rFonts w:ascii="Arial" w:hAnsi="Arial" w:cs="Arial"/>
                <w:color w:val="000000"/>
              </w:rPr>
            </w:pPr>
          </w:p>
        </w:tc>
        <w:tc>
          <w:tcPr>
            <w:tcW w:w="1134" w:type="dxa"/>
            <w:vAlign w:val="bottom"/>
          </w:tcPr>
          <w:p w14:paraId="65FBA1E1" w14:textId="77777777" w:rsidR="009402E1" w:rsidRPr="00FD0B00" w:rsidRDefault="009402E1" w:rsidP="00D8448E">
            <w:pPr>
              <w:jc w:val="center"/>
              <w:rPr>
                <w:rFonts w:ascii="Arial" w:hAnsi="Arial" w:cs="Arial"/>
                <w:color w:val="000000"/>
              </w:rPr>
            </w:pPr>
          </w:p>
        </w:tc>
        <w:tc>
          <w:tcPr>
            <w:tcW w:w="1134" w:type="dxa"/>
            <w:vAlign w:val="bottom"/>
          </w:tcPr>
          <w:p w14:paraId="017E1D1E" w14:textId="77777777" w:rsidR="009402E1" w:rsidRPr="00FD0B00" w:rsidRDefault="009402E1" w:rsidP="00D8448E">
            <w:pPr>
              <w:jc w:val="center"/>
              <w:rPr>
                <w:rFonts w:ascii="Arial" w:hAnsi="Arial" w:cs="Arial"/>
                <w:color w:val="000000"/>
              </w:rPr>
            </w:pPr>
          </w:p>
        </w:tc>
        <w:tc>
          <w:tcPr>
            <w:tcW w:w="1134" w:type="dxa"/>
            <w:vAlign w:val="bottom"/>
          </w:tcPr>
          <w:p w14:paraId="5E2FBC59" w14:textId="77777777" w:rsidR="009402E1" w:rsidRPr="00FD0B00" w:rsidRDefault="009402E1" w:rsidP="00D8448E">
            <w:pPr>
              <w:jc w:val="center"/>
              <w:rPr>
                <w:rFonts w:ascii="Arial" w:hAnsi="Arial" w:cs="Arial"/>
                <w:color w:val="000000"/>
              </w:rPr>
            </w:pPr>
          </w:p>
        </w:tc>
        <w:tc>
          <w:tcPr>
            <w:tcW w:w="1134" w:type="dxa"/>
            <w:vAlign w:val="bottom"/>
          </w:tcPr>
          <w:p w14:paraId="685981DD" w14:textId="77777777" w:rsidR="009402E1" w:rsidRPr="00FD0B00" w:rsidRDefault="009402E1" w:rsidP="00D8448E">
            <w:pPr>
              <w:jc w:val="center"/>
              <w:rPr>
                <w:rFonts w:ascii="Arial" w:hAnsi="Arial" w:cs="Arial"/>
                <w:color w:val="000000"/>
              </w:rPr>
            </w:pPr>
          </w:p>
        </w:tc>
      </w:tr>
      <w:tr w:rsidR="009402E1" w:rsidRPr="00FD0B00" w14:paraId="3DEA1DD6"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436C354" w14:textId="77777777" w:rsidR="009402E1" w:rsidRPr="00FD0B00" w:rsidRDefault="009402E1" w:rsidP="00D8448E">
            <w:pPr>
              <w:jc w:val="center"/>
              <w:rPr>
                <w:rFonts w:ascii="Arial" w:hAnsi="Arial" w:cs="Arial"/>
                <w:color w:val="000000"/>
              </w:rPr>
            </w:pPr>
            <w:r w:rsidRPr="00FD0B00">
              <w:rPr>
                <w:rFonts w:ascii="Arial" w:hAnsi="Arial" w:cs="Arial"/>
                <w:color w:val="000000"/>
              </w:rPr>
              <w:t>Professional indemnity</w:t>
            </w:r>
          </w:p>
        </w:tc>
        <w:tc>
          <w:tcPr>
            <w:tcW w:w="1134" w:type="dxa"/>
            <w:tcBorders>
              <w:left w:val="dotDash" w:sz="4" w:space="0" w:color="auto"/>
            </w:tcBorders>
            <w:shd w:val="clear" w:color="auto" w:fill="auto"/>
            <w:noWrap/>
            <w:vAlign w:val="bottom"/>
          </w:tcPr>
          <w:p w14:paraId="13F02125" w14:textId="77777777" w:rsidR="009402E1" w:rsidRPr="00FD0B00" w:rsidRDefault="009402E1" w:rsidP="00D8448E">
            <w:pPr>
              <w:jc w:val="center"/>
              <w:rPr>
                <w:rFonts w:ascii="Arial" w:hAnsi="Arial" w:cs="Arial"/>
                <w:color w:val="000000"/>
              </w:rPr>
            </w:pPr>
          </w:p>
        </w:tc>
        <w:tc>
          <w:tcPr>
            <w:tcW w:w="1134" w:type="dxa"/>
            <w:vAlign w:val="bottom"/>
          </w:tcPr>
          <w:p w14:paraId="7E3441AF" w14:textId="77777777" w:rsidR="009402E1" w:rsidRPr="00FD0B00" w:rsidRDefault="009402E1" w:rsidP="00D8448E">
            <w:pPr>
              <w:jc w:val="center"/>
              <w:rPr>
                <w:rFonts w:ascii="Arial" w:hAnsi="Arial" w:cs="Arial"/>
                <w:color w:val="000000"/>
              </w:rPr>
            </w:pPr>
          </w:p>
        </w:tc>
        <w:tc>
          <w:tcPr>
            <w:tcW w:w="1134" w:type="dxa"/>
            <w:vAlign w:val="bottom"/>
          </w:tcPr>
          <w:p w14:paraId="35C8CE16" w14:textId="77777777" w:rsidR="009402E1" w:rsidRPr="00FD0B00" w:rsidRDefault="009402E1" w:rsidP="00D8448E">
            <w:pPr>
              <w:jc w:val="center"/>
              <w:rPr>
                <w:rFonts w:ascii="Arial" w:hAnsi="Arial" w:cs="Arial"/>
                <w:color w:val="000000"/>
              </w:rPr>
            </w:pPr>
          </w:p>
        </w:tc>
        <w:tc>
          <w:tcPr>
            <w:tcW w:w="1134" w:type="dxa"/>
            <w:vAlign w:val="bottom"/>
          </w:tcPr>
          <w:p w14:paraId="7396F10A"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0A9FEAE"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149BF802" w14:textId="77777777" w:rsidR="009402E1" w:rsidRPr="00FD0B00" w:rsidRDefault="009402E1" w:rsidP="00D8448E">
            <w:pPr>
              <w:jc w:val="center"/>
              <w:rPr>
                <w:rFonts w:ascii="Arial" w:hAnsi="Arial" w:cs="Arial"/>
                <w:color w:val="000000"/>
              </w:rPr>
            </w:pPr>
          </w:p>
        </w:tc>
        <w:tc>
          <w:tcPr>
            <w:tcW w:w="1134" w:type="dxa"/>
            <w:vAlign w:val="bottom"/>
          </w:tcPr>
          <w:p w14:paraId="3E86314E" w14:textId="77777777" w:rsidR="009402E1" w:rsidRPr="00FD0B00" w:rsidRDefault="009402E1" w:rsidP="00D8448E">
            <w:pPr>
              <w:jc w:val="center"/>
              <w:rPr>
                <w:rFonts w:ascii="Arial" w:hAnsi="Arial" w:cs="Arial"/>
                <w:color w:val="000000"/>
              </w:rPr>
            </w:pPr>
          </w:p>
        </w:tc>
        <w:tc>
          <w:tcPr>
            <w:tcW w:w="1134" w:type="dxa"/>
            <w:vAlign w:val="bottom"/>
          </w:tcPr>
          <w:p w14:paraId="3D1E54BE" w14:textId="77777777" w:rsidR="009402E1" w:rsidRPr="00FD0B00" w:rsidRDefault="009402E1" w:rsidP="00D8448E">
            <w:pPr>
              <w:jc w:val="center"/>
              <w:rPr>
                <w:rFonts w:ascii="Arial" w:hAnsi="Arial" w:cs="Arial"/>
                <w:color w:val="000000"/>
              </w:rPr>
            </w:pPr>
          </w:p>
        </w:tc>
        <w:tc>
          <w:tcPr>
            <w:tcW w:w="1134" w:type="dxa"/>
            <w:vAlign w:val="bottom"/>
          </w:tcPr>
          <w:p w14:paraId="4FA5BF42" w14:textId="77777777" w:rsidR="009402E1" w:rsidRPr="00FD0B00" w:rsidRDefault="009402E1" w:rsidP="00D8448E">
            <w:pPr>
              <w:jc w:val="center"/>
              <w:rPr>
                <w:rFonts w:ascii="Arial" w:hAnsi="Arial" w:cs="Arial"/>
                <w:color w:val="000000"/>
              </w:rPr>
            </w:pPr>
          </w:p>
        </w:tc>
        <w:tc>
          <w:tcPr>
            <w:tcW w:w="1134" w:type="dxa"/>
            <w:vAlign w:val="bottom"/>
          </w:tcPr>
          <w:p w14:paraId="24A736B2" w14:textId="77777777" w:rsidR="009402E1" w:rsidRPr="00FD0B00" w:rsidRDefault="009402E1" w:rsidP="00D8448E">
            <w:pPr>
              <w:jc w:val="center"/>
              <w:rPr>
                <w:rFonts w:ascii="Arial" w:hAnsi="Arial" w:cs="Arial"/>
                <w:color w:val="000000"/>
              </w:rPr>
            </w:pPr>
          </w:p>
        </w:tc>
      </w:tr>
      <w:tr w:rsidR="009402E1" w:rsidRPr="00FD0B00" w14:paraId="32941513"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987660B" w14:textId="77777777" w:rsidR="009402E1" w:rsidRPr="00FD0B00" w:rsidRDefault="009402E1" w:rsidP="00D8448E">
            <w:pPr>
              <w:jc w:val="center"/>
              <w:rPr>
                <w:rFonts w:ascii="Arial" w:hAnsi="Arial" w:cs="Arial"/>
                <w:color w:val="000000"/>
              </w:rPr>
            </w:pPr>
            <w:r w:rsidRPr="00FD0B00">
              <w:rPr>
                <w:rFonts w:ascii="Arial" w:hAnsi="Arial" w:cs="Arial"/>
                <w:color w:val="000000"/>
              </w:rPr>
              <w:t>Employers liability</w:t>
            </w:r>
          </w:p>
        </w:tc>
        <w:tc>
          <w:tcPr>
            <w:tcW w:w="1134" w:type="dxa"/>
            <w:tcBorders>
              <w:left w:val="dotDash" w:sz="4" w:space="0" w:color="auto"/>
            </w:tcBorders>
            <w:shd w:val="clear" w:color="auto" w:fill="auto"/>
            <w:noWrap/>
            <w:vAlign w:val="bottom"/>
          </w:tcPr>
          <w:p w14:paraId="3A62A2E4" w14:textId="77777777" w:rsidR="009402E1" w:rsidRPr="00FD0B00" w:rsidRDefault="009402E1" w:rsidP="00D8448E">
            <w:pPr>
              <w:jc w:val="center"/>
              <w:rPr>
                <w:rFonts w:ascii="Arial" w:hAnsi="Arial" w:cs="Arial"/>
                <w:color w:val="000000"/>
              </w:rPr>
            </w:pPr>
          </w:p>
        </w:tc>
        <w:tc>
          <w:tcPr>
            <w:tcW w:w="1134" w:type="dxa"/>
            <w:vAlign w:val="bottom"/>
          </w:tcPr>
          <w:p w14:paraId="750FD812" w14:textId="77777777" w:rsidR="009402E1" w:rsidRPr="00FD0B00" w:rsidRDefault="009402E1" w:rsidP="00D8448E">
            <w:pPr>
              <w:jc w:val="center"/>
              <w:rPr>
                <w:rFonts w:ascii="Arial" w:hAnsi="Arial" w:cs="Arial"/>
                <w:color w:val="000000"/>
              </w:rPr>
            </w:pPr>
          </w:p>
        </w:tc>
        <w:tc>
          <w:tcPr>
            <w:tcW w:w="1134" w:type="dxa"/>
            <w:vAlign w:val="bottom"/>
          </w:tcPr>
          <w:p w14:paraId="7BE1232C" w14:textId="77777777" w:rsidR="009402E1" w:rsidRPr="00FD0B00" w:rsidRDefault="009402E1" w:rsidP="00D8448E">
            <w:pPr>
              <w:jc w:val="center"/>
              <w:rPr>
                <w:rFonts w:ascii="Arial" w:hAnsi="Arial" w:cs="Arial"/>
                <w:color w:val="000000"/>
              </w:rPr>
            </w:pPr>
          </w:p>
        </w:tc>
        <w:tc>
          <w:tcPr>
            <w:tcW w:w="1134" w:type="dxa"/>
            <w:vAlign w:val="bottom"/>
          </w:tcPr>
          <w:p w14:paraId="070F39E9"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E2D5AE9"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5D05907B" w14:textId="77777777" w:rsidR="009402E1" w:rsidRPr="00FD0B00" w:rsidRDefault="009402E1" w:rsidP="00D8448E">
            <w:pPr>
              <w:jc w:val="center"/>
              <w:rPr>
                <w:rFonts w:ascii="Arial" w:hAnsi="Arial" w:cs="Arial"/>
                <w:color w:val="000000"/>
              </w:rPr>
            </w:pPr>
          </w:p>
        </w:tc>
        <w:tc>
          <w:tcPr>
            <w:tcW w:w="1134" w:type="dxa"/>
            <w:vAlign w:val="bottom"/>
          </w:tcPr>
          <w:p w14:paraId="3984B7FE" w14:textId="77777777" w:rsidR="009402E1" w:rsidRPr="00FD0B00" w:rsidRDefault="009402E1" w:rsidP="00D8448E">
            <w:pPr>
              <w:jc w:val="center"/>
              <w:rPr>
                <w:rFonts w:ascii="Arial" w:hAnsi="Arial" w:cs="Arial"/>
                <w:color w:val="000000"/>
              </w:rPr>
            </w:pPr>
          </w:p>
        </w:tc>
        <w:tc>
          <w:tcPr>
            <w:tcW w:w="1134" w:type="dxa"/>
            <w:vAlign w:val="bottom"/>
          </w:tcPr>
          <w:p w14:paraId="33936809" w14:textId="77777777" w:rsidR="009402E1" w:rsidRPr="00FD0B00" w:rsidRDefault="009402E1" w:rsidP="00D8448E">
            <w:pPr>
              <w:jc w:val="center"/>
              <w:rPr>
                <w:rFonts w:ascii="Arial" w:hAnsi="Arial" w:cs="Arial"/>
                <w:color w:val="000000"/>
              </w:rPr>
            </w:pPr>
          </w:p>
        </w:tc>
        <w:tc>
          <w:tcPr>
            <w:tcW w:w="1134" w:type="dxa"/>
            <w:vAlign w:val="bottom"/>
          </w:tcPr>
          <w:p w14:paraId="390AF62A" w14:textId="77777777" w:rsidR="009402E1" w:rsidRPr="00FD0B00" w:rsidRDefault="009402E1" w:rsidP="00D8448E">
            <w:pPr>
              <w:jc w:val="center"/>
              <w:rPr>
                <w:rFonts w:ascii="Arial" w:hAnsi="Arial" w:cs="Arial"/>
                <w:color w:val="000000"/>
              </w:rPr>
            </w:pPr>
          </w:p>
        </w:tc>
        <w:tc>
          <w:tcPr>
            <w:tcW w:w="1134" w:type="dxa"/>
            <w:vAlign w:val="bottom"/>
          </w:tcPr>
          <w:p w14:paraId="74927B60" w14:textId="77777777" w:rsidR="009402E1" w:rsidRPr="00FD0B00" w:rsidRDefault="009402E1" w:rsidP="00D8448E">
            <w:pPr>
              <w:jc w:val="center"/>
              <w:rPr>
                <w:rFonts w:ascii="Arial" w:hAnsi="Arial" w:cs="Arial"/>
                <w:color w:val="000000"/>
              </w:rPr>
            </w:pPr>
          </w:p>
        </w:tc>
      </w:tr>
      <w:tr w:rsidR="009402E1" w:rsidRPr="00FD0B00" w14:paraId="37578E18"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5F955D6" w14:textId="77777777" w:rsidR="009402E1" w:rsidRPr="00FD0B00" w:rsidRDefault="009402E1" w:rsidP="00D8448E">
            <w:pPr>
              <w:jc w:val="center"/>
              <w:rPr>
                <w:rFonts w:ascii="Arial" w:hAnsi="Arial" w:cs="Arial"/>
                <w:color w:val="000000"/>
              </w:rPr>
            </w:pPr>
            <w:r w:rsidRPr="00FD0B00">
              <w:rPr>
                <w:rFonts w:ascii="Arial" w:hAnsi="Arial" w:cs="Arial"/>
                <w:color w:val="000000"/>
              </w:rPr>
              <w:t>Other direct - category C</w:t>
            </w:r>
          </w:p>
        </w:tc>
        <w:tc>
          <w:tcPr>
            <w:tcW w:w="1134" w:type="dxa"/>
            <w:tcBorders>
              <w:left w:val="dotDash" w:sz="4" w:space="0" w:color="auto"/>
            </w:tcBorders>
            <w:shd w:val="clear" w:color="auto" w:fill="auto"/>
            <w:noWrap/>
            <w:vAlign w:val="bottom"/>
          </w:tcPr>
          <w:p w14:paraId="795EEE12" w14:textId="77777777" w:rsidR="009402E1" w:rsidRPr="00FD0B00" w:rsidRDefault="009402E1" w:rsidP="00D8448E">
            <w:pPr>
              <w:jc w:val="center"/>
              <w:rPr>
                <w:rFonts w:ascii="Arial" w:hAnsi="Arial" w:cs="Arial"/>
                <w:color w:val="000000"/>
              </w:rPr>
            </w:pPr>
          </w:p>
        </w:tc>
        <w:tc>
          <w:tcPr>
            <w:tcW w:w="1134" w:type="dxa"/>
            <w:vAlign w:val="bottom"/>
          </w:tcPr>
          <w:p w14:paraId="49E02824" w14:textId="77777777" w:rsidR="009402E1" w:rsidRPr="00FD0B00" w:rsidRDefault="009402E1" w:rsidP="00D8448E">
            <w:pPr>
              <w:jc w:val="center"/>
              <w:rPr>
                <w:rFonts w:ascii="Arial" w:hAnsi="Arial" w:cs="Arial"/>
                <w:color w:val="000000"/>
              </w:rPr>
            </w:pPr>
          </w:p>
        </w:tc>
        <w:tc>
          <w:tcPr>
            <w:tcW w:w="1134" w:type="dxa"/>
            <w:vAlign w:val="bottom"/>
          </w:tcPr>
          <w:p w14:paraId="3770D3CE" w14:textId="77777777" w:rsidR="009402E1" w:rsidRPr="00FD0B00" w:rsidRDefault="009402E1" w:rsidP="00D8448E">
            <w:pPr>
              <w:jc w:val="center"/>
              <w:rPr>
                <w:rFonts w:ascii="Arial" w:hAnsi="Arial" w:cs="Arial"/>
                <w:color w:val="000000"/>
              </w:rPr>
            </w:pPr>
          </w:p>
        </w:tc>
        <w:tc>
          <w:tcPr>
            <w:tcW w:w="1134" w:type="dxa"/>
            <w:vAlign w:val="bottom"/>
          </w:tcPr>
          <w:p w14:paraId="7E7A60CC"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37E05F95"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35BF9924" w14:textId="77777777" w:rsidR="009402E1" w:rsidRPr="00FD0B00" w:rsidRDefault="009402E1" w:rsidP="00D8448E">
            <w:pPr>
              <w:jc w:val="center"/>
              <w:rPr>
                <w:rFonts w:ascii="Arial" w:hAnsi="Arial" w:cs="Arial"/>
                <w:color w:val="000000"/>
              </w:rPr>
            </w:pPr>
          </w:p>
        </w:tc>
        <w:tc>
          <w:tcPr>
            <w:tcW w:w="1134" w:type="dxa"/>
            <w:vAlign w:val="bottom"/>
          </w:tcPr>
          <w:p w14:paraId="1262D4E5" w14:textId="77777777" w:rsidR="009402E1" w:rsidRPr="00FD0B00" w:rsidRDefault="009402E1" w:rsidP="00D8448E">
            <w:pPr>
              <w:jc w:val="center"/>
              <w:rPr>
                <w:rFonts w:ascii="Arial" w:hAnsi="Arial" w:cs="Arial"/>
                <w:color w:val="000000"/>
              </w:rPr>
            </w:pPr>
          </w:p>
        </w:tc>
        <w:tc>
          <w:tcPr>
            <w:tcW w:w="1134" w:type="dxa"/>
            <w:vAlign w:val="bottom"/>
          </w:tcPr>
          <w:p w14:paraId="748E0E5C" w14:textId="77777777" w:rsidR="009402E1" w:rsidRPr="00FD0B00" w:rsidRDefault="009402E1" w:rsidP="00D8448E">
            <w:pPr>
              <w:jc w:val="center"/>
              <w:rPr>
                <w:rFonts w:ascii="Arial" w:hAnsi="Arial" w:cs="Arial"/>
                <w:color w:val="000000"/>
              </w:rPr>
            </w:pPr>
          </w:p>
        </w:tc>
        <w:tc>
          <w:tcPr>
            <w:tcW w:w="1134" w:type="dxa"/>
            <w:vAlign w:val="bottom"/>
          </w:tcPr>
          <w:p w14:paraId="08C9CFF8" w14:textId="77777777" w:rsidR="009402E1" w:rsidRPr="00FD0B00" w:rsidRDefault="009402E1" w:rsidP="00D8448E">
            <w:pPr>
              <w:jc w:val="center"/>
              <w:rPr>
                <w:rFonts w:ascii="Arial" w:hAnsi="Arial" w:cs="Arial"/>
                <w:color w:val="000000"/>
              </w:rPr>
            </w:pPr>
          </w:p>
        </w:tc>
        <w:tc>
          <w:tcPr>
            <w:tcW w:w="1134" w:type="dxa"/>
            <w:vAlign w:val="bottom"/>
          </w:tcPr>
          <w:p w14:paraId="413C09FA" w14:textId="77777777" w:rsidR="009402E1" w:rsidRPr="00FD0B00" w:rsidRDefault="009402E1" w:rsidP="00D8448E">
            <w:pPr>
              <w:jc w:val="center"/>
              <w:rPr>
                <w:rFonts w:ascii="Arial" w:hAnsi="Arial" w:cs="Arial"/>
                <w:color w:val="000000"/>
              </w:rPr>
            </w:pPr>
          </w:p>
        </w:tc>
      </w:tr>
    </w:tbl>
    <w:p w14:paraId="34F2F321" w14:textId="77777777" w:rsidR="009402E1" w:rsidRPr="00FD0B00" w:rsidRDefault="009402E1" w:rsidP="009402E1">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9402E1" w:rsidRPr="00FD0B00" w14:paraId="50FE8B6C" w14:textId="77777777" w:rsidTr="00D8448E">
        <w:tc>
          <w:tcPr>
            <w:tcW w:w="8789" w:type="dxa"/>
          </w:tcPr>
          <w:p w14:paraId="67660C9B" w14:textId="47204DDE" w:rsidR="009402E1" w:rsidRPr="00FD0B00" w:rsidRDefault="009402E1" w:rsidP="00D8448E">
            <w:pPr>
              <w:rPr>
                <w:rFonts w:ascii="Arial" w:hAnsi="Arial" w:cs="Arial"/>
                <w:b/>
                <w:bCs/>
                <w:color w:val="000000"/>
                <w:sz w:val="24"/>
                <w:szCs w:val="24"/>
              </w:rPr>
            </w:pPr>
            <w:r w:rsidRPr="00FD0B00">
              <w:rPr>
                <w:rFonts w:ascii="Arial" w:hAnsi="Arial" w:cs="Arial"/>
                <w:b/>
                <w:bCs/>
                <w:color w:val="000000"/>
                <w:sz w:val="24"/>
                <w:szCs w:val="24"/>
              </w:rPr>
              <w:t>Section</w:t>
            </w:r>
            <w:r w:rsidRPr="00FD0B00">
              <w:rPr>
                <w:color w:val="000000"/>
              </w:rPr>
              <w:t xml:space="preserve"> </w:t>
            </w:r>
            <w:r w:rsidRPr="00FD0B00">
              <w:rPr>
                <w:rFonts w:ascii="Arial" w:hAnsi="Arial" w:cs="Arial"/>
                <w:b/>
                <w:bCs/>
                <w:color w:val="000000"/>
                <w:sz w:val="24"/>
                <w:szCs w:val="24"/>
              </w:rPr>
              <w:t>2: Reinsurance</w:t>
            </w:r>
          </w:p>
        </w:tc>
      </w:tr>
    </w:tbl>
    <w:p w14:paraId="50378467" w14:textId="77777777" w:rsidR="009402E1" w:rsidRPr="00FD0B00" w:rsidRDefault="009402E1" w:rsidP="009402E1">
      <w:pPr>
        <w:rPr>
          <w:rFonts w:ascii="Arial" w:hAnsi="Arial" w:cs="Arial"/>
          <w:color w:val="000000"/>
        </w:rPr>
      </w:pPr>
    </w:p>
    <w:tbl>
      <w:tblPr>
        <w:tblW w:w="13941" w:type="dxa"/>
        <w:tblInd w:w="93" w:type="dxa"/>
        <w:tblLayout w:type="fixed"/>
        <w:tblLook w:val="04A0" w:firstRow="1" w:lastRow="0" w:firstColumn="1" w:lastColumn="0" w:noHBand="0" w:noVBand="1"/>
      </w:tblPr>
      <w:tblGrid>
        <w:gridCol w:w="2601"/>
        <w:gridCol w:w="1134"/>
        <w:gridCol w:w="1134"/>
        <w:gridCol w:w="1134"/>
        <w:gridCol w:w="1134"/>
        <w:gridCol w:w="1134"/>
        <w:gridCol w:w="1134"/>
        <w:gridCol w:w="1134"/>
        <w:gridCol w:w="1134"/>
        <w:gridCol w:w="1134"/>
        <w:gridCol w:w="1134"/>
      </w:tblGrid>
      <w:tr w:rsidR="009402E1" w:rsidRPr="00FD0B00" w14:paraId="66B4FA88" w14:textId="77777777" w:rsidTr="0089187C">
        <w:trPr>
          <w:trHeight w:val="317"/>
        </w:trPr>
        <w:tc>
          <w:tcPr>
            <w:tcW w:w="2601" w:type="dxa"/>
            <w:tcBorders>
              <w:bottom w:val="single" w:sz="4" w:space="0" w:color="auto"/>
              <w:right w:val="single" w:sz="4" w:space="0" w:color="auto"/>
            </w:tcBorders>
            <w:shd w:val="clear" w:color="auto" w:fill="auto"/>
            <w:vAlign w:val="bottom"/>
          </w:tcPr>
          <w:p w14:paraId="7CDF38E8" w14:textId="77777777" w:rsidR="009402E1" w:rsidRPr="00FD0B00" w:rsidRDefault="009402E1" w:rsidP="00D8448E">
            <w:pPr>
              <w:jc w:val="center"/>
              <w:rPr>
                <w:rFonts w:ascii="Arial" w:hAnsi="Arial" w:cs="Arial"/>
                <w:b/>
                <w:bCs/>
                <w:color w:val="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14:paraId="1A972627"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 xml:space="preserve">Current </w:t>
            </w:r>
            <w:proofErr w:type="spellStart"/>
            <w:r w:rsidRPr="00FD0B00">
              <w:rPr>
                <w:rFonts w:ascii="Arial" w:hAnsi="Arial" w:cs="Arial"/>
                <w:b/>
                <w:bCs/>
                <w:color w:val="000000"/>
              </w:rPr>
              <w:t>accdt</w:t>
            </w:r>
            <w:proofErr w:type="spellEnd"/>
            <w:r w:rsidRPr="00FD0B00">
              <w:rPr>
                <w:rFonts w:ascii="Arial" w:hAnsi="Arial" w:cs="Arial"/>
                <w:b/>
                <w:bCs/>
                <w:color w:val="000000"/>
              </w:rPr>
              <w:t>/UW year</w:t>
            </w:r>
          </w:p>
        </w:tc>
        <w:tc>
          <w:tcPr>
            <w:tcW w:w="3402" w:type="dxa"/>
            <w:gridSpan w:val="3"/>
            <w:tcBorders>
              <w:top w:val="single" w:sz="4" w:space="0" w:color="auto"/>
              <w:left w:val="single" w:sz="4" w:space="0" w:color="auto"/>
              <w:bottom w:val="nil"/>
              <w:right w:val="single" w:sz="4" w:space="0" w:color="auto"/>
            </w:tcBorders>
            <w:vAlign w:val="bottom"/>
          </w:tcPr>
          <w:p w14:paraId="339F6209"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Previous 1-3 </w:t>
            </w:r>
            <w:proofErr w:type="spellStart"/>
            <w:r w:rsidRPr="00FD0B00">
              <w:rPr>
                <w:rFonts w:ascii="Arial" w:hAnsi="Arial" w:cs="Arial"/>
                <w:b/>
                <w:bCs/>
                <w:color w:val="000000"/>
              </w:rPr>
              <w:t>yrs</w:t>
            </w:r>
            <w:proofErr w:type="spellEnd"/>
          </w:p>
        </w:tc>
        <w:tc>
          <w:tcPr>
            <w:tcW w:w="3402" w:type="dxa"/>
            <w:gridSpan w:val="3"/>
            <w:tcBorders>
              <w:top w:val="single" w:sz="4" w:space="0" w:color="auto"/>
              <w:left w:val="single" w:sz="4" w:space="0" w:color="auto"/>
              <w:bottom w:val="nil"/>
              <w:right w:val="single" w:sz="4" w:space="0" w:color="auto"/>
            </w:tcBorders>
            <w:shd w:val="clear" w:color="auto" w:fill="auto"/>
            <w:vAlign w:val="bottom"/>
          </w:tcPr>
          <w:p w14:paraId="0480D222"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Previous 4-5 </w:t>
            </w:r>
            <w:proofErr w:type="spellStart"/>
            <w:r w:rsidRPr="00FD0B00">
              <w:rPr>
                <w:rFonts w:ascii="Arial" w:hAnsi="Arial" w:cs="Arial"/>
                <w:b/>
                <w:bCs/>
                <w:color w:val="000000"/>
              </w:rPr>
              <w:t>yrs</w:t>
            </w:r>
            <w:proofErr w:type="spellEnd"/>
          </w:p>
        </w:tc>
        <w:tc>
          <w:tcPr>
            <w:tcW w:w="3402" w:type="dxa"/>
            <w:gridSpan w:val="3"/>
            <w:tcBorders>
              <w:top w:val="single" w:sz="4" w:space="0" w:color="auto"/>
              <w:left w:val="single" w:sz="4" w:space="0" w:color="auto"/>
              <w:bottom w:val="nil"/>
              <w:right w:val="single" w:sz="4" w:space="0" w:color="000000"/>
            </w:tcBorders>
            <w:vAlign w:val="bottom"/>
          </w:tcPr>
          <w:p w14:paraId="5D0A142D" w14:textId="77777777" w:rsidR="009402E1" w:rsidRPr="00FD0B00" w:rsidRDefault="009402E1" w:rsidP="00D8448E">
            <w:pPr>
              <w:jc w:val="center"/>
              <w:rPr>
                <w:rFonts w:ascii="Arial" w:hAnsi="Arial" w:cs="Arial"/>
                <w:b/>
                <w:bCs/>
                <w:color w:val="000000"/>
              </w:rPr>
            </w:pPr>
            <w:proofErr w:type="spellStart"/>
            <w:r w:rsidRPr="00FD0B00">
              <w:rPr>
                <w:rFonts w:ascii="Arial" w:hAnsi="Arial" w:cs="Arial"/>
                <w:b/>
                <w:bCs/>
                <w:color w:val="000000"/>
              </w:rPr>
              <w:t>Accdt</w:t>
            </w:r>
            <w:proofErr w:type="spellEnd"/>
            <w:r w:rsidRPr="00FD0B00">
              <w:rPr>
                <w:rFonts w:ascii="Arial" w:hAnsi="Arial" w:cs="Arial"/>
                <w:b/>
                <w:bCs/>
                <w:color w:val="000000"/>
              </w:rPr>
              <w:t xml:space="preserve">/UW year - &gt;5 </w:t>
            </w:r>
            <w:proofErr w:type="spellStart"/>
            <w:r w:rsidRPr="00FD0B00">
              <w:rPr>
                <w:rFonts w:ascii="Arial" w:hAnsi="Arial" w:cs="Arial"/>
                <w:b/>
                <w:bCs/>
                <w:color w:val="000000"/>
              </w:rPr>
              <w:t>yrs</w:t>
            </w:r>
            <w:proofErr w:type="spellEnd"/>
            <w:r w:rsidRPr="00FD0B00">
              <w:rPr>
                <w:rFonts w:ascii="Arial" w:hAnsi="Arial" w:cs="Arial"/>
                <w:b/>
                <w:bCs/>
                <w:color w:val="000000"/>
              </w:rPr>
              <w:t xml:space="preserve"> previous</w:t>
            </w:r>
          </w:p>
        </w:tc>
      </w:tr>
      <w:tr w:rsidR="009402E1" w:rsidRPr="00FD0B00" w14:paraId="6B2CD5D0" w14:textId="77777777" w:rsidTr="0089187C">
        <w:trPr>
          <w:trHeight w:val="317"/>
        </w:trPr>
        <w:tc>
          <w:tcPr>
            <w:tcW w:w="2601" w:type="dxa"/>
            <w:tcBorders>
              <w:top w:val="single" w:sz="4" w:space="0" w:color="auto"/>
              <w:left w:val="single" w:sz="4" w:space="0" w:color="auto"/>
              <w:right w:val="single" w:sz="4" w:space="0" w:color="auto"/>
            </w:tcBorders>
            <w:shd w:val="clear" w:color="auto" w:fill="auto"/>
            <w:vAlign w:val="bottom"/>
          </w:tcPr>
          <w:p w14:paraId="47FC1ABB"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Class of business</w:t>
            </w:r>
          </w:p>
        </w:tc>
        <w:tc>
          <w:tcPr>
            <w:tcW w:w="1134" w:type="dxa"/>
            <w:tcBorders>
              <w:top w:val="single" w:sz="4" w:space="0" w:color="auto"/>
              <w:left w:val="single" w:sz="4" w:space="0" w:color="auto"/>
              <w:bottom w:val="nil"/>
              <w:right w:val="single" w:sz="4" w:space="0" w:color="auto"/>
            </w:tcBorders>
            <w:shd w:val="clear" w:color="auto" w:fill="auto"/>
            <w:vAlign w:val="bottom"/>
          </w:tcPr>
          <w:p w14:paraId="2D9A6448"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1705EAA9"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59081A54"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auto"/>
            </w:tcBorders>
            <w:vAlign w:val="bottom"/>
          </w:tcPr>
          <w:p w14:paraId="26E6E68D"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c>
          <w:tcPr>
            <w:tcW w:w="1134" w:type="dxa"/>
            <w:tcBorders>
              <w:top w:val="single" w:sz="4" w:space="0" w:color="auto"/>
              <w:left w:val="single" w:sz="4" w:space="0" w:color="auto"/>
              <w:bottom w:val="nil"/>
              <w:right w:val="single" w:sz="4" w:space="0" w:color="auto"/>
            </w:tcBorders>
            <w:shd w:val="clear" w:color="auto" w:fill="auto"/>
            <w:vAlign w:val="bottom"/>
          </w:tcPr>
          <w:p w14:paraId="0327877E"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shd w:val="clear" w:color="auto" w:fill="auto"/>
            <w:vAlign w:val="bottom"/>
          </w:tcPr>
          <w:p w14:paraId="1E859F34"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auto"/>
            </w:tcBorders>
            <w:vAlign w:val="bottom"/>
          </w:tcPr>
          <w:p w14:paraId="07394ABD"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c>
          <w:tcPr>
            <w:tcW w:w="1134" w:type="dxa"/>
            <w:tcBorders>
              <w:top w:val="single" w:sz="4" w:space="0" w:color="auto"/>
              <w:left w:val="single" w:sz="4" w:space="0" w:color="auto"/>
              <w:bottom w:val="nil"/>
              <w:right w:val="single" w:sz="4" w:space="0" w:color="auto"/>
            </w:tcBorders>
            <w:vAlign w:val="bottom"/>
          </w:tcPr>
          <w:p w14:paraId="3BF4EBA8"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OCL net of recoveries (undiscounted)</w:t>
            </w:r>
          </w:p>
        </w:tc>
        <w:tc>
          <w:tcPr>
            <w:tcW w:w="1134" w:type="dxa"/>
            <w:tcBorders>
              <w:top w:val="single" w:sz="4" w:space="0" w:color="auto"/>
              <w:left w:val="single" w:sz="4" w:space="0" w:color="auto"/>
              <w:bottom w:val="nil"/>
              <w:right w:val="single" w:sz="4" w:space="0" w:color="auto"/>
            </w:tcBorders>
            <w:vAlign w:val="bottom"/>
          </w:tcPr>
          <w:p w14:paraId="3E01724F"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release</w:t>
            </w:r>
          </w:p>
        </w:tc>
        <w:tc>
          <w:tcPr>
            <w:tcW w:w="1134" w:type="dxa"/>
            <w:tcBorders>
              <w:top w:val="single" w:sz="4" w:space="0" w:color="auto"/>
              <w:left w:val="single" w:sz="4" w:space="0" w:color="auto"/>
              <w:bottom w:val="nil"/>
              <w:right w:val="single" w:sz="4" w:space="0" w:color="000000"/>
            </w:tcBorders>
            <w:vAlign w:val="bottom"/>
          </w:tcPr>
          <w:p w14:paraId="588B1837"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Reserve strengthening</w:t>
            </w:r>
          </w:p>
        </w:tc>
      </w:tr>
      <w:tr w:rsidR="009402E1" w:rsidRPr="00FD0B00" w14:paraId="2396EDD6" w14:textId="77777777" w:rsidTr="0089187C">
        <w:trPr>
          <w:trHeight w:val="317"/>
        </w:trPr>
        <w:tc>
          <w:tcPr>
            <w:tcW w:w="2601" w:type="dxa"/>
            <w:tcBorders>
              <w:left w:val="single" w:sz="4" w:space="0" w:color="auto"/>
              <w:bottom w:val="single" w:sz="4" w:space="0" w:color="auto"/>
              <w:right w:val="single" w:sz="4" w:space="0" w:color="auto"/>
            </w:tcBorders>
            <w:shd w:val="clear" w:color="auto" w:fill="auto"/>
            <w:vAlign w:val="bottom"/>
            <w:hideMark/>
          </w:tcPr>
          <w:p w14:paraId="3213729E"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F20DA29"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(2)</w:t>
            </w:r>
          </w:p>
        </w:tc>
        <w:tc>
          <w:tcPr>
            <w:tcW w:w="1134" w:type="dxa"/>
            <w:tcBorders>
              <w:top w:val="nil"/>
              <w:left w:val="single" w:sz="4" w:space="0" w:color="auto"/>
              <w:bottom w:val="single" w:sz="4" w:space="0" w:color="auto"/>
              <w:right w:val="single" w:sz="4" w:space="0" w:color="auto"/>
            </w:tcBorders>
            <w:vAlign w:val="bottom"/>
          </w:tcPr>
          <w:p w14:paraId="1A5E2AAB"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(3)</w:t>
            </w:r>
          </w:p>
        </w:tc>
        <w:tc>
          <w:tcPr>
            <w:tcW w:w="1134" w:type="dxa"/>
            <w:tcBorders>
              <w:top w:val="nil"/>
              <w:left w:val="single" w:sz="4" w:space="0" w:color="auto"/>
              <w:bottom w:val="single" w:sz="4" w:space="0" w:color="auto"/>
              <w:right w:val="single" w:sz="4" w:space="0" w:color="auto"/>
            </w:tcBorders>
            <w:vAlign w:val="bottom"/>
          </w:tcPr>
          <w:p w14:paraId="29979872"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(4)</w:t>
            </w:r>
          </w:p>
        </w:tc>
        <w:tc>
          <w:tcPr>
            <w:tcW w:w="1134" w:type="dxa"/>
            <w:tcBorders>
              <w:top w:val="nil"/>
              <w:left w:val="single" w:sz="4" w:space="0" w:color="auto"/>
              <w:bottom w:val="single" w:sz="4" w:space="0" w:color="auto"/>
              <w:right w:val="single" w:sz="4" w:space="0" w:color="auto"/>
            </w:tcBorders>
            <w:vAlign w:val="bottom"/>
          </w:tcPr>
          <w:p w14:paraId="37C01B57"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FE5AED9"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971974C"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(7)</w:t>
            </w:r>
          </w:p>
        </w:tc>
        <w:tc>
          <w:tcPr>
            <w:tcW w:w="1134" w:type="dxa"/>
            <w:tcBorders>
              <w:top w:val="nil"/>
              <w:left w:val="single" w:sz="4" w:space="0" w:color="auto"/>
              <w:bottom w:val="single" w:sz="4" w:space="0" w:color="auto"/>
              <w:right w:val="single" w:sz="4" w:space="0" w:color="auto"/>
            </w:tcBorders>
            <w:vAlign w:val="bottom"/>
          </w:tcPr>
          <w:p w14:paraId="65C5F7A1"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(8)</w:t>
            </w:r>
          </w:p>
        </w:tc>
        <w:tc>
          <w:tcPr>
            <w:tcW w:w="1134" w:type="dxa"/>
            <w:tcBorders>
              <w:top w:val="nil"/>
              <w:left w:val="single" w:sz="4" w:space="0" w:color="auto"/>
              <w:bottom w:val="single" w:sz="4" w:space="0" w:color="auto"/>
              <w:right w:val="single" w:sz="4" w:space="0" w:color="auto"/>
            </w:tcBorders>
            <w:vAlign w:val="bottom"/>
          </w:tcPr>
          <w:p w14:paraId="76B9BE17"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(9)</w:t>
            </w:r>
          </w:p>
        </w:tc>
        <w:tc>
          <w:tcPr>
            <w:tcW w:w="1134" w:type="dxa"/>
            <w:tcBorders>
              <w:top w:val="nil"/>
              <w:left w:val="single" w:sz="4" w:space="0" w:color="auto"/>
              <w:bottom w:val="single" w:sz="4" w:space="0" w:color="auto"/>
              <w:right w:val="single" w:sz="4" w:space="0" w:color="auto"/>
            </w:tcBorders>
            <w:vAlign w:val="bottom"/>
          </w:tcPr>
          <w:p w14:paraId="4EBE7A0E"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(10)</w:t>
            </w:r>
          </w:p>
        </w:tc>
        <w:tc>
          <w:tcPr>
            <w:tcW w:w="1134" w:type="dxa"/>
            <w:tcBorders>
              <w:top w:val="nil"/>
              <w:left w:val="single" w:sz="4" w:space="0" w:color="auto"/>
              <w:bottom w:val="single" w:sz="4" w:space="0" w:color="auto"/>
              <w:right w:val="single" w:sz="4" w:space="0" w:color="000000"/>
            </w:tcBorders>
            <w:vAlign w:val="bottom"/>
          </w:tcPr>
          <w:p w14:paraId="7C5D551B" w14:textId="77777777" w:rsidR="009402E1" w:rsidRPr="00FD0B00" w:rsidRDefault="009402E1" w:rsidP="00D8448E">
            <w:pPr>
              <w:jc w:val="center"/>
              <w:rPr>
                <w:rFonts w:ascii="Arial" w:hAnsi="Arial" w:cs="Arial"/>
                <w:b/>
                <w:bCs/>
                <w:color w:val="000000"/>
              </w:rPr>
            </w:pPr>
            <w:r w:rsidRPr="00FD0B00">
              <w:rPr>
                <w:rFonts w:ascii="Arial" w:hAnsi="Arial" w:cs="Arial"/>
                <w:b/>
                <w:bCs/>
                <w:color w:val="000000"/>
              </w:rPr>
              <w:t>(11)</w:t>
            </w:r>
          </w:p>
        </w:tc>
      </w:tr>
      <w:tr w:rsidR="009402E1" w:rsidRPr="00FD0B00" w14:paraId="014BE06C" w14:textId="77777777" w:rsidTr="0089187C">
        <w:trPr>
          <w:trHeight w:val="317"/>
        </w:trPr>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EFC7D"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927C4"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6F977AD1"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214FA45B"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0760F76D"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0C533"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99FCA2"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247DBB27"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06819B04"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3524A5BF" w14:textId="77777777" w:rsidR="009402E1" w:rsidRPr="00FD0B00" w:rsidRDefault="009402E1" w:rsidP="00D8448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59F75A31" w14:textId="77777777" w:rsidR="009402E1" w:rsidRPr="00FD0B00" w:rsidRDefault="009402E1" w:rsidP="00D8448E">
            <w:pPr>
              <w:jc w:val="center"/>
              <w:rPr>
                <w:rFonts w:ascii="Arial" w:hAnsi="Arial" w:cs="Arial"/>
                <w:color w:val="000000"/>
              </w:rPr>
            </w:pPr>
          </w:p>
        </w:tc>
      </w:tr>
      <w:tr w:rsidR="009402E1" w:rsidRPr="00FD0B00" w14:paraId="5216DE75" w14:textId="77777777" w:rsidTr="0089187C">
        <w:trPr>
          <w:trHeight w:val="317"/>
        </w:trPr>
        <w:tc>
          <w:tcPr>
            <w:tcW w:w="2601"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56ED41CF" w14:textId="77777777" w:rsidR="009402E1" w:rsidRPr="00FD0B00" w:rsidRDefault="009402E1" w:rsidP="00D8448E">
            <w:pPr>
              <w:jc w:val="center"/>
              <w:rPr>
                <w:rFonts w:ascii="Arial" w:hAnsi="Arial" w:cs="Arial"/>
                <w:color w:val="000000"/>
              </w:rPr>
            </w:pPr>
            <w:r w:rsidRPr="00FD0B00">
              <w:rPr>
                <w:rFonts w:ascii="Arial" w:hAnsi="Arial" w:cs="Arial"/>
                <w:color w:val="000000"/>
              </w:rPr>
              <w:t>Proportional - Category A</w:t>
            </w:r>
          </w:p>
        </w:tc>
        <w:tc>
          <w:tcPr>
            <w:tcW w:w="1134" w:type="dxa"/>
            <w:tcBorders>
              <w:top w:val="single" w:sz="4" w:space="0" w:color="auto"/>
              <w:left w:val="dotDash" w:sz="4" w:space="0" w:color="auto"/>
            </w:tcBorders>
            <w:shd w:val="clear" w:color="auto" w:fill="auto"/>
            <w:noWrap/>
            <w:vAlign w:val="bottom"/>
          </w:tcPr>
          <w:p w14:paraId="67029357"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68DB608C"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4313C2EF"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682A3020"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shd w:val="clear" w:color="auto" w:fill="auto"/>
            <w:noWrap/>
            <w:vAlign w:val="bottom"/>
          </w:tcPr>
          <w:p w14:paraId="35852BA5"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shd w:val="clear" w:color="auto" w:fill="auto"/>
            <w:vAlign w:val="bottom"/>
          </w:tcPr>
          <w:p w14:paraId="50E8219F"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745EB1F1"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6FDD5AF1"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19F6BB13" w14:textId="77777777" w:rsidR="009402E1" w:rsidRPr="00FD0B00" w:rsidRDefault="009402E1" w:rsidP="00D8448E">
            <w:pPr>
              <w:jc w:val="center"/>
              <w:rPr>
                <w:rFonts w:ascii="Arial" w:hAnsi="Arial" w:cs="Arial"/>
                <w:color w:val="000000"/>
              </w:rPr>
            </w:pPr>
          </w:p>
        </w:tc>
        <w:tc>
          <w:tcPr>
            <w:tcW w:w="1134" w:type="dxa"/>
            <w:tcBorders>
              <w:top w:val="single" w:sz="4" w:space="0" w:color="auto"/>
            </w:tcBorders>
            <w:vAlign w:val="bottom"/>
          </w:tcPr>
          <w:p w14:paraId="2973948E" w14:textId="77777777" w:rsidR="009402E1" w:rsidRPr="00FD0B00" w:rsidRDefault="009402E1" w:rsidP="00D8448E">
            <w:pPr>
              <w:jc w:val="center"/>
              <w:rPr>
                <w:rFonts w:ascii="Arial" w:hAnsi="Arial" w:cs="Arial"/>
                <w:color w:val="000000"/>
              </w:rPr>
            </w:pPr>
          </w:p>
        </w:tc>
      </w:tr>
      <w:tr w:rsidR="009402E1" w:rsidRPr="00FD0B00" w14:paraId="354309F0"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261044C" w14:textId="77777777" w:rsidR="009402E1" w:rsidRPr="00FD0B00" w:rsidRDefault="009402E1" w:rsidP="00D8448E">
            <w:pPr>
              <w:jc w:val="center"/>
              <w:rPr>
                <w:rFonts w:ascii="Arial" w:hAnsi="Arial" w:cs="Arial"/>
                <w:color w:val="000000"/>
              </w:rPr>
            </w:pPr>
            <w:r w:rsidRPr="00FD0B00">
              <w:rPr>
                <w:rFonts w:ascii="Arial" w:hAnsi="Arial" w:cs="Arial"/>
                <w:color w:val="000000"/>
              </w:rPr>
              <w:t>Proportional - Category B</w:t>
            </w:r>
          </w:p>
        </w:tc>
        <w:tc>
          <w:tcPr>
            <w:tcW w:w="1134" w:type="dxa"/>
            <w:tcBorders>
              <w:left w:val="dotDash" w:sz="4" w:space="0" w:color="auto"/>
            </w:tcBorders>
            <w:shd w:val="clear" w:color="auto" w:fill="auto"/>
            <w:noWrap/>
            <w:vAlign w:val="bottom"/>
          </w:tcPr>
          <w:p w14:paraId="6EEEB09F" w14:textId="77777777" w:rsidR="009402E1" w:rsidRPr="00FD0B00" w:rsidRDefault="009402E1" w:rsidP="00D8448E">
            <w:pPr>
              <w:jc w:val="center"/>
              <w:rPr>
                <w:rFonts w:ascii="Arial" w:hAnsi="Arial" w:cs="Arial"/>
                <w:color w:val="000000"/>
              </w:rPr>
            </w:pPr>
          </w:p>
        </w:tc>
        <w:tc>
          <w:tcPr>
            <w:tcW w:w="1134" w:type="dxa"/>
            <w:vAlign w:val="bottom"/>
          </w:tcPr>
          <w:p w14:paraId="55FABBDF" w14:textId="77777777" w:rsidR="009402E1" w:rsidRPr="00FD0B00" w:rsidRDefault="009402E1" w:rsidP="00D8448E">
            <w:pPr>
              <w:jc w:val="center"/>
              <w:rPr>
                <w:rFonts w:ascii="Arial" w:hAnsi="Arial" w:cs="Arial"/>
                <w:color w:val="000000"/>
              </w:rPr>
            </w:pPr>
          </w:p>
        </w:tc>
        <w:tc>
          <w:tcPr>
            <w:tcW w:w="1134" w:type="dxa"/>
            <w:vAlign w:val="bottom"/>
          </w:tcPr>
          <w:p w14:paraId="0F063A73" w14:textId="77777777" w:rsidR="009402E1" w:rsidRPr="00FD0B00" w:rsidRDefault="009402E1" w:rsidP="00D8448E">
            <w:pPr>
              <w:jc w:val="center"/>
              <w:rPr>
                <w:rFonts w:ascii="Arial" w:hAnsi="Arial" w:cs="Arial"/>
                <w:color w:val="000000"/>
              </w:rPr>
            </w:pPr>
          </w:p>
        </w:tc>
        <w:tc>
          <w:tcPr>
            <w:tcW w:w="1134" w:type="dxa"/>
            <w:vAlign w:val="bottom"/>
          </w:tcPr>
          <w:p w14:paraId="7CFCF87C"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FD59B6B"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10B820C8" w14:textId="77777777" w:rsidR="009402E1" w:rsidRPr="00FD0B00" w:rsidRDefault="009402E1" w:rsidP="00D8448E">
            <w:pPr>
              <w:jc w:val="center"/>
              <w:rPr>
                <w:rFonts w:ascii="Arial" w:hAnsi="Arial" w:cs="Arial"/>
                <w:color w:val="000000"/>
              </w:rPr>
            </w:pPr>
          </w:p>
        </w:tc>
        <w:tc>
          <w:tcPr>
            <w:tcW w:w="1134" w:type="dxa"/>
            <w:vAlign w:val="bottom"/>
          </w:tcPr>
          <w:p w14:paraId="02CE4205" w14:textId="77777777" w:rsidR="009402E1" w:rsidRPr="00FD0B00" w:rsidRDefault="009402E1" w:rsidP="00D8448E">
            <w:pPr>
              <w:jc w:val="center"/>
              <w:rPr>
                <w:rFonts w:ascii="Arial" w:hAnsi="Arial" w:cs="Arial"/>
                <w:color w:val="000000"/>
              </w:rPr>
            </w:pPr>
          </w:p>
        </w:tc>
        <w:tc>
          <w:tcPr>
            <w:tcW w:w="1134" w:type="dxa"/>
            <w:vAlign w:val="bottom"/>
          </w:tcPr>
          <w:p w14:paraId="3DC7777C" w14:textId="77777777" w:rsidR="009402E1" w:rsidRPr="00FD0B00" w:rsidRDefault="009402E1" w:rsidP="00D8448E">
            <w:pPr>
              <w:jc w:val="center"/>
              <w:rPr>
                <w:rFonts w:ascii="Arial" w:hAnsi="Arial" w:cs="Arial"/>
                <w:color w:val="000000"/>
              </w:rPr>
            </w:pPr>
          </w:p>
        </w:tc>
        <w:tc>
          <w:tcPr>
            <w:tcW w:w="1134" w:type="dxa"/>
            <w:vAlign w:val="bottom"/>
          </w:tcPr>
          <w:p w14:paraId="283F9655" w14:textId="77777777" w:rsidR="009402E1" w:rsidRPr="00FD0B00" w:rsidRDefault="009402E1" w:rsidP="00D8448E">
            <w:pPr>
              <w:jc w:val="center"/>
              <w:rPr>
                <w:rFonts w:ascii="Arial" w:hAnsi="Arial" w:cs="Arial"/>
                <w:color w:val="000000"/>
              </w:rPr>
            </w:pPr>
          </w:p>
        </w:tc>
        <w:tc>
          <w:tcPr>
            <w:tcW w:w="1134" w:type="dxa"/>
            <w:vAlign w:val="bottom"/>
          </w:tcPr>
          <w:p w14:paraId="2A7713E5" w14:textId="77777777" w:rsidR="009402E1" w:rsidRPr="00FD0B00" w:rsidRDefault="009402E1" w:rsidP="00D8448E">
            <w:pPr>
              <w:jc w:val="center"/>
              <w:rPr>
                <w:rFonts w:ascii="Arial" w:hAnsi="Arial" w:cs="Arial"/>
                <w:color w:val="000000"/>
              </w:rPr>
            </w:pPr>
          </w:p>
        </w:tc>
      </w:tr>
      <w:tr w:rsidR="009402E1" w:rsidRPr="00FD0B00" w14:paraId="2CFF2D9E"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7E11C8B" w14:textId="77777777" w:rsidR="009402E1" w:rsidRPr="00FD0B00" w:rsidRDefault="009402E1" w:rsidP="00D8448E">
            <w:pPr>
              <w:jc w:val="center"/>
              <w:rPr>
                <w:rFonts w:ascii="Arial" w:hAnsi="Arial" w:cs="Arial"/>
                <w:color w:val="000000"/>
              </w:rPr>
            </w:pPr>
            <w:r w:rsidRPr="00FD0B00">
              <w:rPr>
                <w:rFonts w:ascii="Arial" w:hAnsi="Arial" w:cs="Arial"/>
                <w:color w:val="000000"/>
              </w:rPr>
              <w:t>Proportional - Category C</w:t>
            </w:r>
          </w:p>
        </w:tc>
        <w:tc>
          <w:tcPr>
            <w:tcW w:w="1134" w:type="dxa"/>
            <w:tcBorders>
              <w:left w:val="dotDash" w:sz="4" w:space="0" w:color="auto"/>
            </w:tcBorders>
            <w:shd w:val="clear" w:color="auto" w:fill="auto"/>
            <w:noWrap/>
            <w:vAlign w:val="bottom"/>
          </w:tcPr>
          <w:p w14:paraId="4210F0F7" w14:textId="77777777" w:rsidR="009402E1" w:rsidRPr="00FD0B00" w:rsidRDefault="009402E1" w:rsidP="00D8448E">
            <w:pPr>
              <w:jc w:val="center"/>
              <w:rPr>
                <w:rFonts w:ascii="Arial" w:hAnsi="Arial" w:cs="Arial"/>
                <w:color w:val="000000"/>
              </w:rPr>
            </w:pPr>
          </w:p>
        </w:tc>
        <w:tc>
          <w:tcPr>
            <w:tcW w:w="1134" w:type="dxa"/>
            <w:vAlign w:val="bottom"/>
          </w:tcPr>
          <w:p w14:paraId="1EF8FFDC" w14:textId="77777777" w:rsidR="009402E1" w:rsidRPr="00FD0B00" w:rsidRDefault="009402E1" w:rsidP="00D8448E">
            <w:pPr>
              <w:jc w:val="center"/>
              <w:rPr>
                <w:rFonts w:ascii="Arial" w:hAnsi="Arial" w:cs="Arial"/>
                <w:color w:val="000000"/>
              </w:rPr>
            </w:pPr>
          </w:p>
        </w:tc>
        <w:tc>
          <w:tcPr>
            <w:tcW w:w="1134" w:type="dxa"/>
            <w:vAlign w:val="bottom"/>
          </w:tcPr>
          <w:p w14:paraId="517C6360" w14:textId="77777777" w:rsidR="009402E1" w:rsidRPr="00FD0B00" w:rsidRDefault="009402E1" w:rsidP="00D8448E">
            <w:pPr>
              <w:jc w:val="center"/>
              <w:rPr>
                <w:rFonts w:ascii="Arial" w:hAnsi="Arial" w:cs="Arial"/>
                <w:color w:val="000000"/>
              </w:rPr>
            </w:pPr>
          </w:p>
        </w:tc>
        <w:tc>
          <w:tcPr>
            <w:tcW w:w="1134" w:type="dxa"/>
            <w:vAlign w:val="bottom"/>
          </w:tcPr>
          <w:p w14:paraId="2BFD4C84"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2F6D3A59"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0C642C5F" w14:textId="77777777" w:rsidR="009402E1" w:rsidRPr="00FD0B00" w:rsidRDefault="009402E1" w:rsidP="00D8448E">
            <w:pPr>
              <w:jc w:val="center"/>
              <w:rPr>
                <w:rFonts w:ascii="Arial" w:hAnsi="Arial" w:cs="Arial"/>
                <w:color w:val="000000"/>
              </w:rPr>
            </w:pPr>
          </w:p>
        </w:tc>
        <w:tc>
          <w:tcPr>
            <w:tcW w:w="1134" w:type="dxa"/>
            <w:vAlign w:val="bottom"/>
          </w:tcPr>
          <w:p w14:paraId="7A06E949" w14:textId="77777777" w:rsidR="009402E1" w:rsidRPr="00FD0B00" w:rsidRDefault="009402E1" w:rsidP="00D8448E">
            <w:pPr>
              <w:jc w:val="center"/>
              <w:rPr>
                <w:rFonts w:ascii="Arial" w:hAnsi="Arial" w:cs="Arial"/>
                <w:color w:val="000000"/>
              </w:rPr>
            </w:pPr>
          </w:p>
        </w:tc>
        <w:tc>
          <w:tcPr>
            <w:tcW w:w="1134" w:type="dxa"/>
            <w:vAlign w:val="bottom"/>
          </w:tcPr>
          <w:p w14:paraId="76309F3C" w14:textId="77777777" w:rsidR="009402E1" w:rsidRPr="00FD0B00" w:rsidRDefault="009402E1" w:rsidP="00D8448E">
            <w:pPr>
              <w:jc w:val="center"/>
              <w:rPr>
                <w:rFonts w:ascii="Arial" w:hAnsi="Arial" w:cs="Arial"/>
                <w:color w:val="000000"/>
              </w:rPr>
            </w:pPr>
          </w:p>
        </w:tc>
        <w:tc>
          <w:tcPr>
            <w:tcW w:w="1134" w:type="dxa"/>
            <w:vAlign w:val="bottom"/>
          </w:tcPr>
          <w:p w14:paraId="4259BB9B" w14:textId="77777777" w:rsidR="009402E1" w:rsidRPr="00FD0B00" w:rsidRDefault="009402E1" w:rsidP="00D8448E">
            <w:pPr>
              <w:jc w:val="center"/>
              <w:rPr>
                <w:rFonts w:ascii="Arial" w:hAnsi="Arial" w:cs="Arial"/>
                <w:color w:val="000000"/>
              </w:rPr>
            </w:pPr>
          </w:p>
        </w:tc>
        <w:tc>
          <w:tcPr>
            <w:tcW w:w="1134" w:type="dxa"/>
            <w:vAlign w:val="bottom"/>
          </w:tcPr>
          <w:p w14:paraId="077EF810" w14:textId="77777777" w:rsidR="009402E1" w:rsidRPr="00FD0B00" w:rsidRDefault="009402E1" w:rsidP="00D8448E">
            <w:pPr>
              <w:jc w:val="center"/>
              <w:rPr>
                <w:rFonts w:ascii="Arial" w:hAnsi="Arial" w:cs="Arial"/>
                <w:color w:val="000000"/>
              </w:rPr>
            </w:pPr>
          </w:p>
        </w:tc>
      </w:tr>
      <w:tr w:rsidR="009402E1" w:rsidRPr="00FD0B00" w14:paraId="4822ABE0"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485DBE4" w14:textId="77777777" w:rsidR="009402E1" w:rsidRPr="00FD0B00" w:rsidRDefault="009402E1" w:rsidP="00D8448E">
            <w:pPr>
              <w:jc w:val="center"/>
              <w:rPr>
                <w:rFonts w:ascii="Arial" w:hAnsi="Arial" w:cs="Arial"/>
                <w:color w:val="000000"/>
              </w:rPr>
            </w:pPr>
            <w:r w:rsidRPr="00FD0B00">
              <w:rPr>
                <w:rFonts w:ascii="Arial" w:hAnsi="Arial" w:cs="Arial"/>
                <w:color w:val="000000"/>
              </w:rPr>
              <w:t>Non-proportional - Category A</w:t>
            </w:r>
          </w:p>
        </w:tc>
        <w:tc>
          <w:tcPr>
            <w:tcW w:w="1134" w:type="dxa"/>
            <w:tcBorders>
              <w:left w:val="dotDash" w:sz="4" w:space="0" w:color="auto"/>
            </w:tcBorders>
            <w:shd w:val="clear" w:color="auto" w:fill="auto"/>
            <w:noWrap/>
            <w:vAlign w:val="bottom"/>
          </w:tcPr>
          <w:p w14:paraId="2E519D56" w14:textId="77777777" w:rsidR="009402E1" w:rsidRPr="00FD0B00" w:rsidRDefault="009402E1" w:rsidP="00D8448E">
            <w:pPr>
              <w:jc w:val="center"/>
              <w:rPr>
                <w:rFonts w:ascii="Arial" w:hAnsi="Arial" w:cs="Arial"/>
                <w:color w:val="000000"/>
              </w:rPr>
            </w:pPr>
          </w:p>
        </w:tc>
        <w:tc>
          <w:tcPr>
            <w:tcW w:w="1134" w:type="dxa"/>
            <w:vAlign w:val="bottom"/>
          </w:tcPr>
          <w:p w14:paraId="0C0DA81D" w14:textId="77777777" w:rsidR="009402E1" w:rsidRPr="00FD0B00" w:rsidRDefault="009402E1" w:rsidP="00D8448E">
            <w:pPr>
              <w:jc w:val="center"/>
              <w:rPr>
                <w:rFonts w:ascii="Arial" w:hAnsi="Arial" w:cs="Arial"/>
                <w:color w:val="000000"/>
              </w:rPr>
            </w:pPr>
          </w:p>
        </w:tc>
        <w:tc>
          <w:tcPr>
            <w:tcW w:w="1134" w:type="dxa"/>
            <w:vAlign w:val="bottom"/>
          </w:tcPr>
          <w:p w14:paraId="02F71909" w14:textId="77777777" w:rsidR="009402E1" w:rsidRPr="00FD0B00" w:rsidRDefault="009402E1" w:rsidP="00D8448E">
            <w:pPr>
              <w:jc w:val="center"/>
              <w:rPr>
                <w:rFonts w:ascii="Arial" w:hAnsi="Arial" w:cs="Arial"/>
                <w:color w:val="000000"/>
              </w:rPr>
            </w:pPr>
          </w:p>
        </w:tc>
        <w:tc>
          <w:tcPr>
            <w:tcW w:w="1134" w:type="dxa"/>
            <w:vAlign w:val="bottom"/>
          </w:tcPr>
          <w:p w14:paraId="5C882018"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6D4430E7"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6C150C3F" w14:textId="77777777" w:rsidR="009402E1" w:rsidRPr="00FD0B00" w:rsidRDefault="009402E1" w:rsidP="00D8448E">
            <w:pPr>
              <w:jc w:val="center"/>
              <w:rPr>
                <w:rFonts w:ascii="Arial" w:hAnsi="Arial" w:cs="Arial"/>
                <w:color w:val="000000"/>
              </w:rPr>
            </w:pPr>
          </w:p>
        </w:tc>
        <w:tc>
          <w:tcPr>
            <w:tcW w:w="1134" w:type="dxa"/>
            <w:vAlign w:val="bottom"/>
          </w:tcPr>
          <w:p w14:paraId="7E83B050" w14:textId="77777777" w:rsidR="009402E1" w:rsidRPr="00FD0B00" w:rsidRDefault="009402E1" w:rsidP="00D8448E">
            <w:pPr>
              <w:jc w:val="center"/>
              <w:rPr>
                <w:rFonts w:ascii="Arial" w:hAnsi="Arial" w:cs="Arial"/>
                <w:color w:val="000000"/>
              </w:rPr>
            </w:pPr>
          </w:p>
        </w:tc>
        <w:tc>
          <w:tcPr>
            <w:tcW w:w="1134" w:type="dxa"/>
            <w:vAlign w:val="bottom"/>
          </w:tcPr>
          <w:p w14:paraId="1D0FEEC4" w14:textId="77777777" w:rsidR="009402E1" w:rsidRPr="00FD0B00" w:rsidRDefault="009402E1" w:rsidP="00D8448E">
            <w:pPr>
              <w:jc w:val="center"/>
              <w:rPr>
                <w:rFonts w:ascii="Arial" w:hAnsi="Arial" w:cs="Arial"/>
                <w:color w:val="000000"/>
              </w:rPr>
            </w:pPr>
          </w:p>
        </w:tc>
        <w:tc>
          <w:tcPr>
            <w:tcW w:w="1134" w:type="dxa"/>
            <w:vAlign w:val="bottom"/>
          </w:tcPr>
          <w:p w14:paraId="074798DE" w14:textId="77777777" w:rsidR="009402E1" w:rsidRPr="00FD0B00" w:rsidRDefault="009402E1" w:rsidP="00D8448E">
            <w:pPr>
              <w:jc w:val="center"/>
              <w:rPr>
                <w:rFonts w:ascii="Arial" w:hAnsi="Arial" w:cs="Arial"/>
                <w:color w:val="000000"/>
              </w:rPr>
            </w:pPr>
          </w:p>
        </w:tc>
        <w:tc>
          <w:tcPr>
            <w:tcW w:w="1134" w:type="dxa"/>
            <w:vAlign w:val="bottom"/>
          </w:tcPr>
          <w:p w14:paraId="60C030F2" w14:textId="77777777" w:rsidR="009402E1" w:rsidRPr="00FD0B00" w:rsidRDefault="009402E1" w:rsidP="00D8448E">
            <w:pPr>
              <w:jc w:val="center"/>
              <w:rPr>
                <w:rFonts w:ascii="Arial" w:hAnsi="Arial" w:cs="Arial"/>
                <w:color w:val="000000"/>
              </w:rPr>
            </w:pPr>
          </w:p>
        </w:tc>
      </w:tr>
      <w:tr w:rsidR="009402E1" w:rsidRPr="00FD0B00" w14:paraId="26600C5E"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52882CB" w14:textId="77777777" w:rsidR="009402E1" w:rsidRPr="00FD0B00" w:rsidRDefault="009402E1" w:rsidP="00D8448E">
            <w:pPr>
              <w:jc w:val="center"/>
              <w:rPr>
                <w:rFonts w:ascii="Arial" w:hAnsi="Arial" w:cs="Arial"/>
                <w:color w:val="000000"/>
              </w:rPr>
            </w:pPr>
            <w:r w:rsidRPr="00FD0B00">
              <w:rPr>
                <w:rFonts w:ascii="Arial" w:hAnsi="Arial" w:cs="Arial"/>
                <w:color w:val="000000"/>
              </w:rPr>
              <w:t>Non-proportional - Category B</w:t>
            </w:r>
          </w:p>
        </w:tc>
        <w:tc>
          <w:tcPr>
            <w:tcW w:w="1134" w:type="dxa"/>
            <w:tcBorders>
              <w:left w:val="dotDash" w:sz="4" w:space="0" w:color="auto"/>
            </w:tcBorders>
            <w:shd w:val="clear" w:color="auto" w:fill="auto"/>
            <w:noWrap/>
            <w:vAlign w:val="bottom"/>
          </w:tcPr>
          <w:p w14:paraId="2E2E9E75" w14:textId="77777777" w:rsidR="009402E1" w:rsidRPr="00FD0B00" w:rsidRDefault="009402E1" w:rsidP="00D8448E">
            <w:pPr>
              <w:jc w:val="center"/>
              <w:rPr>
                <w:rFonts w:ascii="Arial" w:hAnsi="Arial" w:cs="Arial"/>
                <w:color w:val="000000"/>
              </w:rPr>
            </w:pPr>
          </w:p>
        </w:tc>
        <w:tc>
          <w:tcPr>
            <w:tcW w:w="1134" w:type="dxa"/>
            <w:vAlign w:val="bottom"/>
          </w:tcPr>
          <w:p w14:paraId="4D81B9F5" w14:textId="77777777" w:rsidR="009402E1" w:rsidRPr="00FD0B00" w:rsidRDefault="009402E1" w:rsidP="00D8448E">
            <w:pPr>
              <w:jc w:val="center"/>
              <w:rPr>
                <w:rFonts w:ascii="Arial" w:hAnsi="Arial" w:cs="Arial"/>
                <w:color w:val="000000"/>
              </w:rPr>
            </w:pPr>
          </w:p>
        </w:tc>
        <w:tc>
          <w:tcPr>
            <w:tcW w:w="1134" w:type="dxa"/>
            <w:vAlign w:val="bottom"/>
          </w:tcPr>
          <w:p w14:paraId="04C7C27A" w14:textId="77777777" w:rsidR="009402E1" w:rsidRPr="00FD0B00" w:rsidRDefault="009402E1" w:rsidP="00D8448E">
            <w:pPr>
              <w:jc w:val="center"/>
              <w:rPr>
                <w:rFonts w:ascii="Arial" w:hAnsi="Arial" w:cs="Arial"/>
                <w:color w:val="000000"/>
              </w:rPr>
            </w:pPr>
          </w:p>
        </w:tc>
        <w:tc>
          <w:tcPr>
            <w:tcW w:w="1134" w:type="dxa"/>
            <w:vAlign w:val="bottom"/>
          </w:tcPr>
          <w:p w14:paraId="7E7C66F5"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0586BE64"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1D42BFB2" w14:textId="77777777" w:rsidR="009402E1" w:rsidRPr="00FD0B00" w:rsidRDefault="009402E1" w:rsidP="00D8448E">
            <w:pPr>
              <w:jc w:val="center"/>
              <w:rPr>
                <w:rFonts w:ascii="Arial" w:hAnsi="Arial" w:cs="Arial"/>
                <w:color w:val="000000"/>
              </w:rPr>
            </w:pPr>
          </w:p>
        </w:tc>
        <w:tc>
          <w:tcPr>
            <w:tcW w:w="1134" w:type="dxa"/>
            <w:vAlign w:val="bottom"/>
          </w:tcPr>
          <w:p w14:paraId="24C0E070" w14:textId="77777777" w:rsidR="009402E1" w:rsidRPr="00FD0B00" w:rsidRDefault="009402E1" w:rsidP="00D8448E">
            <w:pPr>
              <w:jc w:val="center"/>
              <w:rPr>
                <w:rFonts w:ascii="Arial" w:hAnsi="Arial" w:cs="Arial"/>
                <w:color w:val="000000"/>
              </w:rPr>
            </w:pPr>
          </w:p>
        </w:tc>
        <w:tc>
          <w:tcPr>
            <w:tcW w:w="1134" w:type="dxa"/>
            <w:vAlign w:val="bottom"/>
          </w:tcPr>
          <w:p w14:paraId="166EFB30" w14:textId="77777777" w:rsidR="009402E1" w:rsidRPr="00FD0B00" w:rsidRDefault="009402E1" w:rsidP="00D8448E">
            <w:pPr>
              <w:jc w:val="center"/>
              <w:rPr>
                <w:rFonts w:ascii="Arial" w:hAnsi="Arial" w:cs="Arial"/>
                <w:color w:val="000000"/>
              </w:rPr>
            </w:pPr>
          </w:p>
        </w:tc>
        <w:tc>
          <w:tcPr>
            <w:tcW w:w="1134" w:type="dxa"/>
            <w:vAlign w:val="bottom"/>
          </w:tcPr>
          <w:p w14:paraId="3AA71364" w14:textId="77777777" w:rsidR="009402E1" w:rsidRPr="00FD0B00" w:rsidRDefault="009402E1" w:rsidP="00D8448E">
            <w:pPr>
              <w:jc w:val="center"/>
              <w:rPr>
                <w:rFonts w:ascii="Arial" w:hAnsi="Arial" w:cs="Arial"/>
                <w:color w:val="000000"/>
              </w:rPr>
            </w:pPr>
          </w:p>
        </w:tc>
        <w:tc>
          <w:tcPr>
            <w:tcW w:w="1134" w:type="dxa"/>
            <w:vAlign w:val="bottom"/>
          </w:tcPr>
          <w:p w14:paraId="369FAA96" w14:textId="77777777" w:rsidR="009402E1" w:rsidRPr="00FD0B00" w:rsidRDefault="009402E1" w:rsidP="00D8448E">
            <w:pPr>
              <w:jc w:val="center"/>
              <w:rPr>
                <w:rFonts w:ascii="Arial" w:hAnsi="Arial" w:cs="Arial"/>
                <w:color w:val="000000"/>
              </w:rPr>
            </w:pPr>
          </w:p>
        </w:tc>
      </w:tr>
      <w:tr w:rsidR="009402E1" w:rsidRPr="00FD0B00" w14:paraId="664E21B6" w14:textId="77777777" w:rsidTr="0089187C">
        <w:trPr>
          <w:trHeight w:val="317"/>
        </w:trPr>
        <w:tc>
          <w:tcPr>
            <w:tcW w:w="2601"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DC73DC0" w14:textId="77777777" w:rsidR="009402E1" w:rsidRPr="00FD0B00" w:rsidRDefault="009402E1" w:rsidP="00D8448E">
            <w:pPr>
              <w:jc w:val="center"/>
              <w:rPr>
                <w:rFonts w:ascii="Arial" w:hAnsi="Arial" w:cs="Arial"/>
                <w:color w:val="000000"/>
              </w:rPr>
            </w:pPr>
            <w:r w:rsidRPr="00FD0B00">
              <w:rPr>
                <w:rFonts w:ascii="Arial" w:hAnsi="Arial" w:cs="Arial"/>
                <w:color w:val="000000"/>
              </w:rPr>
              <w:t>Non-proportional - Category C</w:t>
            </w:r>
          </w:p>
        </w:tc>
        <w:tc>
          <w:tcPr>
            <w:tcW w:w="1134" w:type="dxa"/>
            <w:tcBorders>
              <w:left w:val="dotDash" w:sz="4" w:space="0" w:color="auto"/>
            </w:tcBorders>
            <w:shd w:val="clear" w:color="auto" w:fill="auto"/>
            <w:noWrap/>
            <w:vAlign w:val="bottom"/>
          </w:tcPr>
          <w:p w14:paraId="6F98D327" w14:textId="77777777" w:rsidR="009402E1" w:rsidRPr="00FD0B00" w:rsidRDefault="009402E1" w:rsidP="00D8448E">
            <w:pPr>
              <w:jc w:val="center"/>
              <w:rPr>
                <w:rFonts w:ascii="Arial" w:hAnsi="Arial" w:cs="Arial"/>
                <w:color w:val="000000"/>
              </w:rPr>
            </w:pPr>
          </w:p>
        </w:tc>
        <w:tc>
          <w:tcPr>
            <w:tcW w:w="1134" w:type="dxa"/>
            <w:vAlign w:val="bottom"/>
          </w:tcPr>
          <w:p w14:paraId="54E9684B" w14:textId="77777777" w:rsidR="009402E1" w:rsidRPr="00FD0B00" w:rsidRDefault="009402E1" w:rsidP="00D8448E">
            <w:pPr>
              <w:jc w:val="center"/>
              <w:rPr>
                <w:rFonts w:ascii="Arial" w:hAnsi="Arial" w:cs="Arial"/>
                <w:color w:val="000000"/>
              </w:rPr>
            </w:pPr>
          </w:p>
        </w:tc>
        <w:tc>
          <w:tcPr>
            <w:tcW w:w="1134" w:type="dxa"/>
            <w:vAlign w:val="bottom"/>
          </w:tcPr>
          <w:p w14:paraId="1952D918" w14:textId="77777777" w:rsidR="009402E1" w:rsidRPr="00FD0B00" w:rsidRDefault="009402E1" w:rsidP="00D8448E">
            <w:pPr>
              <w:jc w:val="center"/>
              <w:rPr>
                <w:rFonts w:ascii="Arial" w:hAnsi="Arial" w:cs="Arial"/>
                <w:color w:val="000000"/>
              </w:rPr>
            </w:pPr>
          </w:p>
        </w:tc>
        <w:tc>
          <w:tcPr>
            <w:tcW w:w="1134" w:type="dxa"/>
            <w:vAlign w:val="bottom"/>
          </w:tcPr>
          <w:p w14:paraId="1A5F2B03" w14:textId="77777777" w:rsidR="009402E1" w:rsidRPr="00FD0B00" w:rsidRDefault="009402E1" w:rsidP="00D8448E">
            <w:pPr>
              <w:jc w:val="center"/>
              <w:rPr>
                <w:rFonts w:ascii="Arial" w:hAnsi="Arial" w:cs="Arial"/>
                <w:color w:val="000000"/>
              </w:rPr>
            </w:pPr>
          </w:p>
        </w:tc>
        <w:tc>
          <w:tcPr>
            <w:tcW w:w="1134" w:type="dxa"/>
            <w:shd w:val="clear" w:color="auto" w:fill="auto"/>
            <w:noWrap/>
            <w:vAlign w:val="bottom"/>
          </w:tcPr>
          <w:p w14:paraId="5001DBE5" w14:textId="77777777" w:rsidR="009402E1" w:rsidRPr="00FD0B00" w:rsidRDefault="009402E1" w:rsidP="00D8448E">
            <w:pPr>
              <w:jc w:val="center"/>
              <w:rPr>
                <w:rFonts w:ascii="Arial" w:hAnsi="Arial" w:cs="Arial"/>
                <w:color w:val="000000"/>
              </w:rPr>
            </w:pPr>
          </w:p>
        </w:tc>
        <w:tc>
          <w:tcPr>
            <w:tcW w:w="1134" w:type="dxa"/>
            <w:shd w:val="clear" w:color="auto" w:fill="auto"/>
            <w:vAlign w:val="bottom"/>
          </w:tcPr>
          <w:p w14:paraId="725DB6CE" w14:textId="77777777" w:rsidR="009402E1" w:rsidRPr="00FD0B00" w:rsidRDefault="009402E1" w:rsidP="00D8448E">
            <w:pPr>
              <w:jc w:val="center"/>
              <w:rPr>
                <w:rFonts w:ascii="Arial" w:hAnsi="Arial" w:cs="Arial"/>
                <w:color w:val="000000"/>
              </w:rPr>
            </w:pPr>
          </w:p>
        </w:tc>
        <w:tc>
          <w:tcPr>
            <w:tcW w:w="1134" w:type="dxa"/>
            <w:vAlign w:val="bottom"/>
          </w:tcPr>
          <w:p w14:paraId="103AFC24" w14:textId="77777777" w:rsidR="009402E1" w:rsidRPr="00FD0B00" w:rsidRDefault="009402E1" w:rsidP="00D8448E">
            <w:pPr>
              <w:jc w:val="center"/>
              <w:rPr>
                <w:rFonts w:ascii="Arial" w:hAnsi="Arial" w:cs="Arial"/>
                <w:color w:val="000000"/>
              </w:rPr>
            </w:pPr>
          </w:p>
        </w:tc>
        <w:tc>
          <w:tcPr>
            <w:tcW w:w="1134" w:type="dxa"/>
            <w:vAlign w:val="bottom"/>
          </w:tcPr>
          <w:p w14:paraId="41E7BBEF" w14:textId="77777777" w:rsidR="009402E1" w:rsidRPr="00FD0B00" w:rsidRDefault="009402E1" w:rsidP="00D8448E">
            <w:pPr>
              <w:jc w:val="center"/>
              <w:rPr>
                <w:rFonts w:ascii="Arial" w:hAnsi="Arial" w:cs="Arial"/>
                <w:color w:val="000000"/>
              </w:rPr>
            </w:pPr>
          </w:p>
        </w:tc>
        <w:tc>
          <w:tcPr>
            <w:tcW w:w="1134" w:type="dxa"/>
            <w:vAlign w:val="bottom"/>
          </w:tcPr>
          <w:p w14:paraId="722184E8" w14:textId="77777777" w:rsidR="009402E1" w:rsidRPr="00FD0B00" w:rsidRDefault="009402E1" w:rsidP="00D8448E">
            <w:pPr>
              <w:jc w:val="center"/>
              <w:rPr>
                <w:rFonts w:ascii="Arial" w:hAnsi="Arial" w:cs="Arial"/>
                <w:color w:val="000000"/>
              </w:rPr>
            </w:pPr>
          </w:p>
        </w:tc>
        <w:tc>
          <w:tcPr>
            <w:tcW w:w="1134" w:type="dxa"/>
            <w:vAlign w:val="bottom"/>
          </w:tcPr>
          <w:p w14:paraId="0AF4A442" w14:textId="77777777" w:rsidR="009402E1" w:rsidRPr="00FD0B00" w:rsidRDefault="009402E1" w:rsidP="00D8448E">
            <w:pPr>
              <w:jc w:val="center"/>
              <w:rPr>
                <w:rFonts w:ascii="Arial" w:hAnsi="Arial" w:cs="Arial"/>
                <w:color w:val="000000"/>
              </w:rPr>
            </w:pPr>
          </w:p>
        </w:tc>
      </w:tr>
    </w:tbl>
    <w:p w14:paraId="5E7023A0" w14:textId="77777777" w:rsidR="009402E1" w:rsidRPr="00FD0B00" w:rsidRDefault="009402E1" w:rsidP="009402E1">
      <w:pPr>
        <w:pStyle w:val="ListParagraph"/>
        <w:ind w:left="0"/>
        <w:rPr>
          <w:rFonts w:ascii="Arial" w:hAnsi="Arial" w:cs="Arial"/>
          <w:bCs/>
          <w:color w:val="000000"/>
          <w:sz w:val="24"/>
          <w:szCs w:val="24"/>
        </w:rPr>
      </w:pPr>
    </w:p>
    <w:tbl>
      <w:tblPr>
        <w:tblW w:w="13892" w:type="dxa"/>
        <w:tblInd w:w="108" w:type="dxa"/>
        <w:tblLook w:val="04A0" w:firstRow="1" w:lastRow="0" w:firstColumn="1" w:lastColumn="0" w:noHBand="0" w:noVBand="1"/>
      </w:tblPr>
      <w:tblGrid>
        <w:gridCol w:w="13892"/>
      </w:tblGrid>
      <w:tr w:rsidR="009402E1" w:rsidRPr="00FD0B00" w14:paraId="7B81FA81" w14:textId="77777777" w:rsidTr="00D8448E">
        <w:tc>
          <w:tcPr>
            <w:tcW w:w="13892" w:type="dxa"/>
          </w:tcPr>
          <w:p w14:paraId="0F13892B" w14:textId="7622983F" w:rsidR="009402E1" w:rsidRPr="00FD0B00" w:rsidRDefault="009402E1" w:rsidP="00D8448E">
            <w:pPr>
              <w:rPr>
                <w:rFonts w:ascii="Arial" w:hAnsi="Arial" w:cs="Arial"/>
                <w:color w:val="000000"/>
                <w:sz w:val="24"/>
                <w:szCs w:val="24"/>
              </w:rPr>
            </w:pPr>
            <w:r w:rsidRPr="00FD0B00">
              <w:rPr>
                <w:rFonts w:ascii="Arial" w:hAnsi="Arial" w:cs="Arial"/>
                <w:b/>
                <w:bCs/>
                <w:color w:val="000000"/>
                <w:sz w:val="24"/>
                <w:szCs w:val="24"/>
              </w:rPr>
              <w:lastRenderedPageBreak/>
              <w:t>Section 3: Total</w:t>
            </w:r>
          </w:p>
        </w:tc>
      </w:tr>
    </w:tbl>
    <w:p w14:paraId="4474166E" w14:textId="77777777" w:rsidR="009402E1" w:rsidRPr="00FD0B00" w:rsidRDefault="009402E1" w:rsidP="009402E1">
      <w:pPr>
        <w:rPr>
          <w:rFonts w:ascii="Arial" w:hAnsi="Arial" w:cs="Arial"/>
          <w:color w:val="000000"/>
        </w:rPr>
      </w:pPr>
    </w:p>
    <w:tbl>
      <w:tblPr>
        <w:tblW w:w="13892" w:type="dxa"/>
        <w:tblInd w:w="108" w:type="dxa"/>
        <w:tblLayout w:type="fixed"/>
        <w:tblLook w:val="04A0" w:firstRow="1" w:lastRow="0" w:firstColumn="1" w:lastColumn="0" w:noHBand="0" w:noVBand="1"/>
      </w:tblPr>
      <w:tblGrid>
        <w:gridCol w:w="2586"/>
        <w:gridCol w:w="1130"/>
        <w:gridCol w:w="1131"/>
        <w:gridCol w:w="1130"/>
        <w:gridCol w:w="1131"/>
        <w:gridCol w:w="1131"/>
        <w:gridCol w:w="1130"/>
        <w:gridCol w:w="1131"/>
        <w:gridCol w:w="1130"/>
        <w:gridCol w:w="1131"/>
        <w:gridCol w:w="1131"/>
      </w:tblGrid>
      <w:tr w:rsidR="009402E1" w:rsidRPr="00FD0B00" w14:paraId="1E89CA57" w14:textId="77777777" w:rsidTr="002D6ADC">
        <w:trPr>
          <w:trHeight w:val="315"/>
        </w:trPr>
        <w:tc>
          <w:tcPr>
            <w:tcW w:w="2586" w:type="dxa"/>
            <w:tcBorders>
              <w:top w:val="nil"/>
              <w:left w:val="nil"/>
              <w:bottom w:val="nil"/>
              <w:right w:val="nil"/>
            </w:tcBorders>
            <w:shd w:val="clear" w:color="auto" w:fill="auto"/>
            <w:noWrap/>
            <w:vAlign w:val="bottom"/>
            <w:hideMark/>
          </w:tcPr>
          <w:p w14:paraId="348D65A2" w14:textId="77777777" w:rsidR="009402E1" w:rsidRPr="00FD0B00" w:rsidRDefault="009402E1" w:rsidP="00D8448E">
            <w:pPr>
              <w:pStyle w:val="ListParagraph"/>
              <w:ind w:left="0"/>
              <w:rPr>
                <w:rFonts w:ascii="Arial" w:hAnsi="Arial" w:cs="Arial"/>
                <w:b/>
                <w:bCs/>
                <w:color w:val="000000"/>
              </w:rPr>
            </w:pPr>
            <w:r w:rsidRPr="00FD0B00">
              <w:rPr>
                <w:rFonts w:ascii="Arial" w:hAnsi="Arial" w:cs="Arial"/>
                <w:b/>
                <w:bCs/>
                <w:color w:val="000000"/>
              </w:rPr>
              <w:t>Total direct business</w:t>
            </w: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2F80D25E"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7C1323CE"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055196DE"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156E09"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1F2B0944"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noWrap/>
            <w:vAlign w:val="bottom"/>
          </w:tcPr>
          <w:p w14:paraId="510F3FCE"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510FB453"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vAlign w:val="bottom"/>
          </w:tcPr>
          <w:p w14:paraId="6285C2F8"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409596BC"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45C480B0" w14:textId="77777777" w:rsidR="009402E1" w:rsidRPr="00FD0B00" w:rsidRDefault="009402E1" w:rsidP="00D8448E">
            <w:pPr>
              <w:jc w:val="center"/>
              <w:rPr>
                <w:rFonts w:ascii="Arial" w:hAnsi="Arial" w:cs="Arial"/>
                <w:bCs/>
                <w:color w:val="000000"/>
              </w:rPr>
            </w:pPr>
          </w:p>
        </w:tc>
      </w:tr>
      <w:tr w:rsidR="009402E1" w:rsidRPr="00FD0B00" w14:paraId="7A99C0FC" w14:textId="77777777" w:rsidTr="002D6ADC">
        <w:trPr>
          <w:trHeight w:val="315"/>
        </w:trPr>
        <w:tc>
          <w:tcPr>
            <w:tcW w:w="2586" w:type="dxa"/>
            <w:tcBorders>
              <w:top w:val="nil"/>
              <w:left w:val="nil"/>
              <w:bottom w:val="nil"/>
              <w:right w:val="nil"/>
            </w:tcBorders>
            <w:shd w:val="clear" w:color="auto" w:fill="auto"/>
            <w:noWrap/>
            <w:vAlign w:val="bottom"/>
            <w:hideMark/>
          </w:tcPr>
          <w:p w14:paraId="27241C63" w14:textId="77777777" w:rsidR="009402E1" w:rsidRPr="00FD0B00" w:rsidRDefault="009402E1" w:rsidP="00D8448E">
            <w:pPr>
              <w:pStyle w:val="ListParagraph"/>
              <w:ind w:left="0"/>
              <w:rPr>
                <w:rFonts w:ascii="Arial" w:hAnsi="Arial" w:cs="Arial"/>
                <w:b/>
                <w:bCs/>
                <w:color w:val="000000"/>
              </w:rPr>
            </w:pPr>
            <w:r w:rsidRPr="00FD0B00">
              <w:rPr>
                <w:rFonts w:ascii="Arial" w:hAnsi="Arial" w:cs="Arial"/>
                <w:b/>
                <w:bCs/>
                <w:color w:val="000000"/>
              </w:rPr>
              <w:t>Total reinsurance business</w:t>
            </w: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2F61BEF5"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53E7914C"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75BDF7B5"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D4D890"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6784BEE3"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noWrap/>
            <w:vAlign w:val="bottom"/>
          </w:tcPr>
          <w:p w14:paraId="6A9BFB9B"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7D104DC9"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vAlign w:val="bottom"/>
          </w:tcPr>
          <w:p w14:paraId="7585081C"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0B951030"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709AB835" w14:textId="77777777" w:rsidR="009402E1" w:rsidRPr="00FD0B00" w:rsidRDefault="009402E1" w:rsidP="00D8448E">
            <w:pPr>
              <w:jc w:val="center"/>
              <w:rPr>
                <w:rFonts w:ascii="Arial" w:hAnsi="Arial" w:cs="Arial"/>
                <w:bCs/>
                <w:color w:val="000000"/>
              </w:rPr>
            </w:pPr>
          </w:p>
        </w:tc>
      </w:tr>
      <w:tr w:rsidR="009402E1" w:rsidRPr="00FD0B00" w14:paraId="3942B653" w14:textId="77777777" w:rsidTr="002D6ADC">
        <w:trPr>
          <w:trHeight w:val="315"/>
        </w:trPr>
        <w:tc>
          <w:tcPr>
            <w:tcW w:w="2586" w:type="dxa"/>
            <w:tcBorders>
              <w:top w:val="nil"/>
              <w:left w:val="nil"/>
              <w:bottom w:val="nil"/>
              <w:right w:val="nil"/>
            </w:tcBorders>
            <w:shd w:val="clear" w:color="auto" w:fill="auto"/>
            <w:noWrap/>
            <w:vAlign w:val="bottom"/>
            <w:hideMark/>
          </w:tcPr>
          <w:p w14:paraId="778D8DF0" w14:textId="77777777" w:rsidR="009402E1" w:rsidRPr="00FD0B00" w:rsidRDefault="009402E1" w:rsidP="00D8448E">
            <w:pPr>
              <w:pStyle w:val="ListParagraph"/>
              <w:ind w:left="284"/>
              <w:rPr>
                <w:rFonts w:ascii="Arial" w:hAnsi="Arial" w:cs="Arial"/>
                <w:b/>
                <w:bCs/>
                <w:color w:val="000000"/>
              </w:rPr>
            </w:pPr>
            <w:r w:rsidRPr="00FD0B00">
              <w:rPr>
                <w:rFonts w:ascii="Arial" w:hAnsi="Arial" w:cs="Arial"/>
                <w:b/>
                <w:bCs/>
                <w:color w:val="000000"/>
              </w:rPr>
              <w:t>Proportional</w:t>
            </w: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0C8B1CE9"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4FE0DFB3"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00F2B3B1"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E442B9"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44E0A09B"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noWrap/>
            <w:vAlign w:val="bottom"/>
          </w:tcPr>
          <w:p w14:paraId="787E20D0"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noWrap/>
            <w:vAlign w:val="bottom"/>
          </w:tcPr>
          <w:p w14:paraId="19BDC8D8"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nil"/>
              <w:bottom w:val="single" w:sz="4" w:space="0" w:color="auto"/>
              <w:right w:val="single" w:sz="4" w:space="0" w:color="auto"/>
            </w:tcBorders>
            <w:shd w:val="clear" w:color="auto" w:fill="A6A6A6"/>
            <w:vAlign w:val="bottom"/>
          </w:tcPr>
          <w:p w14:paraId="20CED4EC"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39CB1C07"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nil"/>
              <w:bottom w:val="single" w:sz="4" w:space="0" w:color="auto"/>
              <w:right w:val="single" w:sz="4" w:space="0" w:color="auto"/>
            </w:tcBorders>
            <w:shd w:val="clear" w:color="auto" w:fill="A6A6A6"/>
            <w:vAlign w:val="bottom"/>
          </w:tcPr>
          <w:p w14:paraId="3FFF1E85" w14:textId="77777777" w:rsidR="009402E1" w:rsidRPr="00FD0B00" w:rsidRDefault="009402E1" w:rsidP="00D8448E">
            <w:pPr>
              <w:jc w:val="center"/>
              <w:rPr>
                <w:rFonts w:ascii="Arial" w:hAnsi="Arial" w:cs="Arial"/>
                <w:bCs/>
                <w:color w:val="000000"/>
              </w:rPr>
            </w:pPr>
          </w:p>
        </w:tc>
      </w:tr>
      <w:tr w:rsidR="009402E1" w:rsidRPr="00FD0B00" w14:paraId="0D04F329" w14:textId="77777777" w:rsidTr="002D6ADC">
        <w:trPr>
          <w:trHeight w:val="315"/>
        </w:trPr>
        <w:tc>
          <w:tcPr>
            <w:tcW w:w="2586" w:type="dxa"/>
            <w:tcBorders>
              <w:top w:val="nil"/>
              <w:left w:val="nil"/>
              <w:bottom w:val="nil"/>
              <w:right w:val="nil"/>
            </w:tcBorders>
            <w:shd w:val="clear" w:color="auto" w:fill="auto"/>
            <w:noWrap/>
            <w:vAlign w:val="bottom"/>
            <w:hideMark/>
          </w:tcPr>
          <w:p w14:paraId="4F59581B" w14:textId="77777777" w:rsidR="009402E1" w:rsidRPr="00FD0B00" w:rsidRDefault="009402E1" w:rsidP="00D8448E">
            <w:pPr>
              <w:pStyle w:val="ListParagraph"/>
              <w:ind w:left="284"/>
              <w:rPr>
                <w:rFonts w:ascii="Arial" w:hAnsi="Arial" w:cs="Arial"/>
                <w:b/>
                <w:bCs/>
                <w:color w:val="000000"/>
              </w:rPr>
            </w:pPr>
            <w:r w:rsidRPr="00FD0B00">
              <w:rPr>
                <w:rFonts w:ascii="Arial" w:hAnsi="Arial" w:cs="Arial"/>
                <w:b/>
                <w:bCs/>
                <w:color w:val="000000"/>
              </w:rPr>
              <w:t>Non-proportional</w:t>
            </w: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3195E85D"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5F00087B"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1F524894"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B70CD7"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745AFD"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D36F4F"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61E38A"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01632E08"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54E996FC"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20523697" w14:textId="77777777" w:rsidR="009402E1" w:rsidRPr="00FD0B00" w:rsidRDefault="009402E1" w:rsidP="00D8448E">
            <w:pPr>
              <w:jc w:val="center"/>
              <w:rPr>
                <w:rFonts w:ascii="Arial" w:hAnsi="Arial" w:cs="Arial"/>
                <w:bCs/>
                <w:color w:val="000000"/>
              </w:rPr>
            </w:pPr>
          </w:p>
        </w:tc>
      </w:tr>
      <w:tr w:rsidR="009402E1" w:rsidRPr="00FD0B00" w14:paraId="71070B3D" w14:textId="77777777" w:rsidTr="002D6ADC">
        <w:trPr>
          <w:trHeight w:val="315"/>
        </w:trPr>
        <w:tc>
          <w:tcPr>
            <w:tcW w:w="2586" w:type="dxa"/>
            <w:tcBorders>
              <w:top w:val="nil"/>
              <w:left w:val="nil"/>
              <w:bottom w:val="nil"/>
              <w:right w:val="nil"/>
            </w:tcBorders>
            <w:shd w:val="clear" w:color="auto" w:fill="auto"/>
            <w:noWrap/>
            <w:vAlign w:val="bottom"/>
          </w:tcPr>
          <w:p w14:paraId="11F11722" w14:textId="77777777" w:rsidR="009402E1" w:rsidRPr="00FD0B00" w:rsidRDefault="009402E1" w:rsidP="00D8448E">
            <w:pPr>
              <w:pStyle w:val="ListParagraph"/>
              <w:ind w:left="0"/>
              <w:rPr>
                <w:rFonts w:ascii="Arial" w:hAnsi="Arial" w:cs="Arial"/>
                <w:b/>
                <w:bCs/>
                <w:color w:val="000000"/>
              </w:rPr>
            </w:pPr>
            <w:r w:rsidRPr="00FD0B00">
              <w:rPr>
                <w:rFonts w:ascii="Arial" w:hAnsi="Arial" w:cs="Arial"/>
                <w:b/>
                <w:bCs/>
                <w:color w:val="000000"/>
              </w:rPr>
              <w:t>Total</w:t>
            </w: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69111F68"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50EED17D"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74E79A26"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1199AA"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10452"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4F977A"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730D6B" w14:textId="77777777" w:rsidR="009402E1" w:rsidRPr="00FD0B00" w:rsidRDefault="009402E1" w:rsidP="00D8448E">
            <w:pPr>
              <w:jc w:val="center"/>
              <w:rPr>
                <w:rFonts w:ascii="Arial" w:hAnsi="Arial" w:cs="Arial"/>
                <w:bCs/>
                <w:color w:val="000000"/>
              </w:rPr>
            </w:pPr>
          </w:p>
        </w:tc>
        <w:tc>
          <w:tcPr>
            <w:tcW w:w="1130" w:type="dxa"/>
            <w:tcBorders>
              <w:top w:val="single" w:sz="4" w:space="0" w:color="auto"/>
              <w:left w:val="single" w:sz="4" w:space="0" w:color="auto"/>
              <w:bottom w:val="single" w:sz="4" w:space="0" w:color="auto"/>
              <w:right w:val="single" w:sz="4" w:space="0" w:color="auto"/>
            </w:tcBorders>
            <w:shd w:val="clear" w:color="auto" w:fill="A6A6A6"/>
            <w:vAlign w:val="bottom"/>
          </w:tcPr>
          <w:p w14:paraId="0BD6A382"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444B5957" w14:textId="77777777" w:rsidR="009402E1" w:rsidRPr="00FD0B00" w:rsidRDefault="009402E1" w:rsidP="00D8448E">
            <w:pPr>
              <w:jc w:val="center"/>
              <w:rPr>
                <w:rFonts w:ascii="Arial" w:hAnsi="Arial" w:cs="Arial"/>
                <w:bCs/>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6A6A6"/>
            <w:vAlign w:val="bottom"/>
          </w:tcPr>
          <w:p w14:paraId="19AF3167" w14:textId="77777777" w:rsidR="009402E1" w:rsidRPr="00FD0B00" w:rsidRDefault="009402E1" w:rsidP="00D8448E">
            <w:pPr>
              <w:jc w:val="center"/>
              <w:rPr>
                <w:rFonts w:ascii="Arial" w:hAnsi="Arial" w:cs="Arial"/>
                <w:bCs/>
                <w:color w:val="000000"/>
              </w:rPr>
            </w:pPr>
          </w:p>
        </w:tc>
      </w:tr>
    </w:tbl>
    <w:p w14:paraId="3A17F562" w14:textId="69FAB0B2" w:rsidR="00D66C5D" w:rsidRDefault="00D66C5D" w:rsidP="00760AC5">
      <w:pPr>
        <w:pStyle w:val="Header"/>
        <w:jc w:val="both"/>
      </w:pPr>
    </w:p>
    <w:p w14:paraId="20F15090" w14:textId="77777777" w:rsidR="00DE2BDB" w:rsidRDefault="00DE2BDB" w:rsidP="00760AC5">
      <w:pPr>
        <w:pStyle w:val="Header"/>
        <w:jc w:val="both"/>
        <w:rPr>
          <w:bCs/>
        </w:rPr>
        <w:sectPr w:rsidR="00DE2BDB" w:rsidSect="00F61CB1">
          <w:headerReference w:type="default" r:id="rId21"/>
          <w:footerReference w:type="default" r:id="rId22"/>
          <w:headerReference w:type="first" r:id="rId23"/>
          <w:footerReference w:type="first" r:id="rId24"/>
          <w:pgSz w:w="16840" w:h="11907" w:orient="landscape" w:code="9"/>
          <w:pgMar w:top="1440" w:right="1440" w:bottom="1440" w:left="1440" w:header="720" w:footer="720" w:gutter="0"/>
          <w:pgNumType w:start="1"/>
          <w:cols w:space="720"/>
          <w:titlePg/>
          <w:docGrid w:linePitch="272"/>
        </w:sectPr>
      </w:pPr>
    </w:p>
    <w:p w14:paraId="64AC6A4B" w14:textId="77777777" w:rsidR="00DE2BDB" w:rsidRDefault="00DE2BDB" w:rsidP="00DE2BDB">
      <w:pPr>
        <w:keepNext/>
        <w:spacing w:before="120" w:after="360"/>
        <w:jc w:val="center"/>
        <w:rPr>
          <w:rFonts w:ascii="Arial" w:hAnsi="Arial" w:cs="Arial"/>
          <w:b/>
          <w:sz w:val="32"/>
          <w:szCs w:val="32"/>
        </w:rPr>
      </w:pPr>
      <w:r>
        <w:rPr>
          <w:rFonts w:ascii="Arial" w:hAnsi="Arial" w:cs="Arial"/>
          <w:b/>
          <w:bCs/>
          <w:sz w:val="32"/>
          <w:szCs w:val="32"/>
        </w:rPr>
        <w:lastRenderedPageBreak/>
        <w:t>GRF_410</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Movement in Outstanding Claims Liabilities</w:t>
      </w:r>
    </w:p>
    <w:p w14:paraId="4576B21C" w14:textId="77777777" w:rsidR="00DE2BDB" w:rsidRPr="00DE2BDB" w:rsidRDefault="00DE2BDB" w:rsidP="00F61CB1">
      <w:pPr>
        <w:keepNext/>
        <w:spacing w:after="240"/>
        <w:jc w:val="both"/>
        <w:rPr>
          <w:rFonts w:ascii="Arial" w:hAnsi="Arial" w:cs="Arial"/>
          <w:b/>
          <w:sz w:val="24"/>
          <w:szCs w:val="24"/>
        </w:rPr>
      </w:pPr>
      <w:r w:rsidRPr="00DE2BDB">
        <w:rPr>
          <w:sz w:val="24"/>
          <w:szCs w:val="24"/>
        </w:rPr>
        <w:t>These instructions must be read in conjunction with the general instruction guide.</w:t>
      </w:r>
    </w:p>
    <w:p w14:paraId="759BC777" w14:textId="77777777" w:rsidR="0097507F" w:rsidRPr="0097507F" w:rsidRDefault="0097507F" w:rsidP="00F61CB1">
      <w:pPr>
        <w:keepNext/>
        <w:spacing w:after="240"/>
        <w:jc w:val="both"/>
        <w:rPr>
          <w:rFonts w:ascii="Arial" w:hAnsi="Arial" w:cs="Arial"/>
          <w:b/>
          <w:sz w:val="32"/>
          <w:szCs w:val="32"/>
        </w:rPr>
      </w:pPr>
      <w:r w:rsidRPr="0097507F">
        <w:rPr>
          <w:rFonts w:ascii="Arial" w:hAnsi="Arial" w:cs="Arial"/>
          <w:b/>
          <w:sz w:val="32"/>
          <w:szCs w:val="32"/>
        </w:rPr>
        <w:t>Explanatory notes</w:t>
      </w:r>
    </w:p>
    <w:p w14:paraId="744024A0"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Direct business</w:t>
      </w:r>
    </w:p>
    <w:p w14:paraId="5BCA0CD4" w14:textId="77777777" w:rsidR="0097507F" w:rsidRPr="0097507F" w:rsidRDefault="0097507F" w:rsidP="00F61CB1">
      <w:pPr>
        <w:spacing w:after="240"/>
        <w:jc w:val="both"/>
        <w:rPr>
          <w:sz w:val="24"/>
          <w:szCs w:val="24"/>
        </w:rPr>
      </w:pPr>
      <w:r w:rsidRPr="0097507F">
        <w:rPr>
          <w:sz w:val="24"/>
          <w:szCs w:val="24"/>
        </w:rPr>
        <w:t xml:space="preserve">Section 1 is to be completed for the insurance business written directly by the reporting insurer and is to be reported in accordance with the direct classes of business in Attachment B of </w:t>
      </w:r>
      <w:r w:rsidRPr="0097507F">
        <w:rPr>
          <w:i/>
          <w:sz w:val="24"/>
          <w:szCs w:val="24"/>
        </w:rPr>
        <w:t>Prudential Standard GPS 001 Definitions</w:t>
      </w:r>
      <w:r w:rsidRPr="0097507F">
        <w:rPr>
          <w:sz w:val="24"/>
          <w:szCs w:val="24"/>
        </w:rPr>
        <w:t xml:space="preserve"> (GPS 001). </w:t>
      </w:r>
    </w:p>
    <w:p w14:paraId="715B00D9"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Reinsurance business</w:t>
      </w:r>
    </w:p>
    <w:p w14:paraId="4B3C6AE2" w14:textId="77777777" w:rsidR="0097507F" w:rsidRPr="0097507F" w:rsidRDefault="0097507F" w:rsidP="00F61CB1">
      <w:pPr>
        <w:spacing w:after="240"/>
        <w:jc w:val="both"/>
        <w:rPr>
          <w:sz w:val="24"/>
          <w:szCs w:val="24"/>
        </w:rPr>
      </w:pPr>
      <w:r w:rsidRPr="0097507F">
        <w:rPr>
          <w:sz w:val="24"/>
          <w:szCs w:val="24"/>
        </w:rPr>
        <w:t xml:space="preserve">Section 2 is to be completed for the reinsurance business written by the reporting insurer, reported in accordance with the reinsurance classes of business in Attachment B of GPS 001 and Attachment A of </w:t>
      </w:r>
      <w:r w:rsidRPr="0097507F">
        <w:rPr>
          <w:i/>
          <w:sz w:val="24"/>
          <w:szCs w:val="24"/>
        </w:rPr>
        <w:t>Prudential Standard GPS 115 Capital Adequacy: Insurance Risk Charge</w:t>
      </w:r>
      <w:r w:rsidRPr="0097507F">
        <w:rPr>
          <w:sz w:val="24"/>
          <w:szCs w:val="24"/>
        </w:rPr>
        <w:t xml:space="preserve"> (GPS 115).  The reinsurance classes of business are to be aggregated by the Category and Reinsurance Type in Table 2 of Attachment A of GPS 115 for reporting on this form. </w:t>
      </w:r>
    </w:p>
    <w:p w14:paraId="67DD4939"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Accident year</w:t>
      </w:r>
    </w:p>
    <w:p w14:paraId="2F4F09D7" w14:textId="77777777" w:rsidR="0097507F" w:rsidRPr="0097507F" w:rsidRDefault="0097507F" w:rsidP="00F61CB1">
      <w:pPr>
        <w:spacing w:after="240"/>
        <w:jc w:val="both"/>
        <w:rPr>
          <w:sz w:val="24"/>
          <w:szCs w:val="24"/>
        </w:rPr>
      </w:pPr>
      <w:r w:rsidRPr="0097507F">
        <w:rPr>
          <w:sz w:val="24"/>
          <w:szCs w:val="24"/>
        </w:rPr>
        <w:t>Direct writers of insurance business are to complete this form based on accident year. This refers to the financial year that the losses/claims associated with individual policies are incurred.</w:t>
      </w:r>
    </w:p>
    <w:p w14:paraId="063959CC" w14:textId="77777777" w:rsidR="0097507F" w:rsidRPr="0097507F" w:rsidRDefault="0097507F" w:rsidP="00F61CB1">
      <w:pPr>
        <w:spacing w:after="240"/>
        <w:jc w:val="both"/>
        <w:rPr>
          <w:sz w:val="24"/>
          <w:szCs w:val="24"/>
        </w:rPr>
      </w:pPr>
      <w:r w:rsidRPr="0097507F">
        <w:rPr>
          <w:sz w:val="24"/>
          <w:szCs w:val="24"/>
        </w:rPr>
        <w:t>Lenders mortgage insurance business, while it is to be completed on an underwriting year basis, should be reported in Section 1 of this form with the direct classes of business.</w:t>
      </w:r>
    </w:p>
    <w:p w14:paraId="61368EAB" w14:textId="77777777" w:rsidR="0097507F" w:rsidRPr="0097507F" w:rsidRDefault="0097507F" w:rsidP="00F61CB1">
      <w:pPr>
        <w:spacing w:after="240"/>
        <w:jc w:val="both"/>
        <w:rPr>
          <w:sz w:val="24"/>
          <w:szCs w:val="24"/>
        </w:rPr>
      </w:pPr>
      <w:r w:rsidRPr="0097507F">
        <w:rPr>
          <w:sz w:val="24"/>
          <w:szCs w:val="24"/>
        </w:rPr>
        <w:t>Information for each of the following accident years is to be reported: current accident year; accident year 1-3 years previous; accident year 4-5 years previous; accident year greater than 5 years previous.</w:t>
      </w:r>
    </w:p>
    <w:p w14:paraId="050C32BB" w14:textId="77777777" w:rsidR="0097507F" w:rsidRPr="0097507F" w:rsidRDefault="0097507F" w:rsidP="00F61CB1">
      <w:pPr>
        <w:spacing w:after="240"/>
        <w:jc w:val="both"/>
        <w:rPr>
          <w:sz w:val="24"/>
          <w:szCs w:val="24"/>
        </w:rPr>
      </w:pPr>
      <w:r w:rsidRPr="0097507F">
        <w:rPr>
          <w:rFonts w:ascii="Arial" w:hAnsi="Arial" w:cs="Arial"/>
          <w:b/>
          <w:sz w:val="24"/>
          <w:szCs w:val="24"/>
        </w:rPr>
        <w:t>Underwriting year</w:t>
      </w:r>
    </w:p>
    <w:p w14:paraId="4002E608" w14:textId="77777777" w:rsidR="0097507F" w:rsidRPr="0097507F" w:rsidRDefault="0097507F" w:rsidP="00F61CB1">
      <w:pPr>
        <w:spacing w:after="240"/>
        <w:jc w:val="both"/>
        <w:rPr>
          <w:sz w:val="24"/>
          <w:szCs w:val="24"/>
        </w:rPr>
      </w:pPr>
      <w:r w:rsidRPr="0097507F">
        <w:rPr>
          <w:sz w:val="24"/>
          <w:szCs w:val="24"/>
        </w:rPr>
        <w:t xml:space="preserve">Insurers writing reinsurance business are to complete this form based on underwriting year. This refers to the financial year of the insurer in which the policy incepts, regardless of when the premiums and claims are actually reported, booked or paid. </w:t>
      </w:r>
    </w:p>
    <w:p w14:paraId="4A3FA04A" w14:textId="77777777" w:rsidR="0097507F" w:rsidRPr="0097507F" w:rsidRDefault="0097507F" w:rsidP="00F61CB1">
      <w:pPr>
        <w:spacing w:after="240"/>
        <w:jc w:val="both"/>
        <w:rPr>
          <w:sz w:val="24"/>
          <w:szCs w:val="24"/>
        </w:rPr>
      </w:pPr>
      <w:r w:rsidRPr="0097507F">
        <w:rPr>
          <w:sz w:val="24"/>
          <w:szCs w:val="24"/>
        </w:rPr>
        <w:t>Information for each of the following underwriting years is to be reported: current underwriting year; underwriting year 1-3 years previous; underwriting year 4-5 years previous; underwriting year greater than 5 years previous.</w:t>
      </w:r>
    </w:p>
    <w:p w14:paraId="26DFABC0" w14:textId="77777777" w:rsidR="0097507F" w:rsidRPr="0097507F" w:rsidRDefault="0097507F" w:rsidP="00F61CB1">
      <w:pPr>
        <w:keepNext/>
        <w:spacing w:after="240"/>
        <w:jc w:val="both"/>
        <w:rPr>
          <w:rFonts w:ascii="Arial" w:hAnsi="Arial" w:cs="Arial"/>
          <w:b/>
          <w:sz w:val="32"/>
          <w:szCs w:val="32"/>
        </w:rPr>
      </w:pPr>
      <w:r w:rsidRPr="0097507F">
        <w:rPr>
          <w:rFonts w:ascii="Arial" w:hAnsi="Arial" w:cs="Arial"/>
          <w:b/>
          <w:sz w:val="32"/>
          <w:szCs w:val="32"/>
        </w:rPr>
        <w:t>Instructions for specific items</w:t>
      </w:r>
    </w:p>
    <w:p w14:paraId="6DCCA855" w14:textId="77777777" w:rsidR="0097507F" w:rsidRPr="0097507F" w:rsidRDefault="0097507F" w:rsidP="00F61CB1">
      <w:pPr>
        <w:keepNext/>
        <w:spacing w:after="240"/>
        <w:jc w:val="both"/>
        <w:rPr>
          <w:rFonts w:ascii="Arial" w:hAnsi="Arial" w:cs="Arial"/>
          <w:b/>
          <w:sz w:val="24"/>
          <w:szCs w:val="24"/>
        </w:rPr>
      </w:pPr>
      <w:r w:rsidRPr="0097507F">
        <w:rPr>
          <w:rFonts w:ascii="Arial" w:hAnsi="Arial" w:cs="Arial"/>
          <w:b/>
          <w:sz w:val="24"/>
          <w:szCs w:val="24"/>
        </w:rPr>
        <w:t>Class of business</w:t>
      </w:r>
    </w:p>
    <w:p w14:paraId="5F62BEEF" w14:textId="77777777" w:rsidR="0097507F" w:rsidRPr="0097507F" w:rsidRDefault="0097507F" w:rsidP="00F61CB1">
      <w:pPr>
        <w:spacing w:after="240"/>
        <w:jc w:val="both"/>
        <w:rPr>
          <w:sz w:val="24"/>
          <w:szCs w:val="24"/>
        </w:rPr>
      </w:pPr>
      <w:r w:rsidRPr="0097507F">
        <w:rPr>
          <w:sz w:val="24"/>
          <w:szCs w:val="24"/>
        </w:rPr>
        <w:t>Report the items in these sections by the direct or reinsurance classes of business in accordance with Attachment B of GPS 001.</w:t>
      </w:r>
    </w:p>
    <w:p w14:paraId="6A43D2FA" w14:textId="77777777" w:rsidR="0097507F" w:rsidRPr="0097507F" w:rsidRDefault="0097507F" w:rsidP="00F61CB1">
      <w:pPr>
        <w:spacing w:after="240"/>
        <w:jc w:val="both"/>
        <w:rPr>
          <w:rFonts w:ascii="Arial" w:hAnsi="Arial" w:cs="Arial"/>
          <w:b/>
          <w:sz w:val="24"/>
          <w:szCs w:val="24"/>
        </w:rPr>
      </w:pPr>
      <w:r w:rsidRPr="0097507F">
        <w:rPr>
          <w:sz w:val="24"/>
          <w:szCs w:val="24"/>
        </w:rPr>
        <w:lastRenderedPageBreak/>
        <w:t xml:space="preserve">For the purpose of calculating the Insurance Risk Charge on GRF 115.0 and GRF 115.1 in respect of the ‘Other’ class of business as per GPS 001 for direct business, the Appointed Actuary is required to determine the most appropriate category (i.e. category A, B or C) in Table 1 of Attachment A of GPS 115 that this business falls within. The choice must be based on the underlying risk characteristics of the business being written.  This amounts reported in the </w:t>
      </w:r>
      <w:r w:rsidRPr="0097507F">
        <w:rPr>
          <w:i/>
          <w:sz w:val="24"/>
          <w:szCs w:val="24"/>
        </w:rPr>
        <w:t>Other direct - category A</w:t>
      </w:r>
      <w:r w:rsidRPr="0097507F">
        <w:rPr>
          <w:sz w:val="24"/>
          <w:szCs w:val="24"/>
        </w:rPr>
        <w:t xml:space="preserve">, </w:t>
      </w:r>
      <w:r w:rsidRPr="0097507F">
        <w:rPr>
          <w:i/>
          <w:sz w:val="24"/>
          <w:szCs w:val="24"/>
        </w:rPr>
        <w:t>Other direct - category B</w:t>
      </w:r>
      <w:r w:rsidRPr="0097507F">
        <w:rPr>
          <w:sz w:val="24"/>
          <w:szCs w:val="24"/>
        </w:rPr>
        <w:t xml:space="preserve"> or </w:t>
      </w:r>
      <w:r w:rsidRPr="0097507F">
        <w:rPr>
          <w:i/>
          <w:sz w:val="24"/>
          <w:szCs w:val="24"/>
        </w:rPr>
        <w:t>Other direct - category C</w:t>
      </w:r>
      <w:r w:rsidRPr="0097507F">
        <w:rPr>
          <w:sz w:val="24"/>
          <w:szCs w:val="24"/>
        </w:rPr>
        <w:t xml:space="preserve"> line items are to follow this basis.</w:t>
      </w:r>
    </w:p>
    <w:p w14:paraId="4701C033"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OCL net of recoveries (undiscounted)</w:t>
      </w:r>
    </w:p>
    <w:p w14:paraId="29373647" w14:textId="77777777" w:rsidR="0097507F" w:rsidRPr="0097507F" w:rsidRDefault="0097507F" w:rsidP="00F61CB1">
      <w:pPr>
        <w:spacing w:after="240"/>
        <w:jc w:val="both"/>
        <w:rPr>
          <w:sz w:val="24"/>
          <w:szCs w:val="24"/>
        </w:rPr>
      </w:pPr>
      <w:r w:rsidRPr="0097507F">
        <w:rPr>
          <w:sz w:val="24"/>
          <w:szCs w:val="24"/>
        </w:rPr>
        <w:t xml:space="preserve">This is the value, as at the relevant date, of the outstanding claims liabilities (OCL), net of any related recoveries, determined in accordance with </w:t>
      </w:r>
      <w:r w:rsidRPr="0097507F">
        <w:rPr>
          <w:i/>
          <w:sz w:val="24"/>
          <w:szCs w:val="24"/>
        </w:rPr>
        <w:t>Australian Accounting Standard AASB 1023 General Insurance Contracts</w:t>
      </w:r>
      <w:r w:rsidRPr="0097507F">
        <w:rPr>
          <w:sz w:val="24"/>
          <w:szCs w:val="24"/>
        </w:rPr>
        <w:t xml:space="preserve"> (AASB 1023), but not discounted as required by AASB 1023.</w:t>
      </w:r>
    </w:p>
    <w:p w14:paraId="4629FBCA" w14:textId="77777777" w:rsidR="0097507F" w:rsidRPr="0097507F" w:rsidRDefault="0097507F" w:rsidP="00F61CB1">
      <w:pPr>
        <w:spacing w:after="240"/>
        <w:jc w:val="both"/>
        <w:rPr>
          <w:sz w:val="24"/>
          <w:szCs w:val="24"/>
        </w:rPr>
      </w:pPr>
      <w:r w:rsidRPr="0097507F">
        <w:rPr>
          <w:sz w:val="24"/>
          <w:szCs w:val="24"/>
        </w:rPr>
        <w:t>For the purposes of this form the total of the OCL for the current financial year (on an undiscounted basis) is to be allocated across the respective time buckets specified on the form. Accordingly, each year that this form is completed the OCL that is recorded for the respective time buckets will likely change as this is reassessed.</w:t>
      </w:r>
    </w:p>
    <w:p w14:paraId="53AD3E7C" w14:textId="77777777" w:rsidR="0097507F" w:rsidRPr="0097507F" w:rsidRDefault="0097507F" w:rsidP="00F61CB1">
      <w:pPr>
        <w:spacing w:after="240"/>
        <w:jc w:val="both"/>
        <w:rPr>
          <w:sz w:val="24"/>
          <w:szCs w:val="24"/>
        </w:rPr>
      </w:pPr>
      <w:r w:rsidRPr="0097507F">
        <w:rPr>
          <w:sz w:val="24"/>
          <w:szCs w:val="24"/>
        </w:rPr>
        <w:t>For the ‘Direct business’ and ‘Reinsurance business', amounts are to also include all OCL associated with business sourced through underwriting pools or joint ventures, or portfolio transfers/acquisitions.</w:t>
      </w:r>
    </w:p>
    <w:p w14:paraId="38430D8A"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Reserve release</w:t>
      </w:r>
    </w:p>
    <w:p w14:paraId="7F6B2F96" w14:textId="77777777" w:rsidR="0097507F" w:rsidRPr="0097507F" w:rsidRDefault="0097507F" w:rsidP="00F61CB1">
      <w:pPr>
        <w:spacing w:after="240"/>
        <w:jc w:val="both"/>
        <w:rPr>
          <w:sz w:val="24"/>
          <w:szCs w:val="24"/>
        </w:rPr>
      </w:pPr>
      <w:r w:rsidRPr="0097507F">
        <w:rPr>
          <w:sz w:val="24"/>
          <w:szCs w:val="24"/>
        </w:rPr>
        <w:t>Reserve release refers the occasions when a provision was created / posted for a particular prior financial year and subsequently it is found that this provision will be more than is required to pay for the losses associated with this particular accident year for direct writers of insurance and underwriting year for reinsurance writers. In these instances the insurer releases these excess provisions and they become profits in the current financial year of the insurer. Claim payments (that are debited out of the OCL for accounting purposes) are not to be classified as a reserve release for the purposes of this form.</w:t>
      </w:r>
    </w:p>
    <w:p w14:paraId="4E0D8022" w14:textId="77777777" w:rsidR="0097507F" w:rsidRPr="0097507F" w:rsidRDefault="0097507F" w:rsidP="00F61CB1">
      <w:pPr>
        <w:spacing w:after="240"/>
        <w:jc w:val="both"/>
        <w:rPr>
          <w:sz w:val="24"/>
          <w:szCs w:val="24"/>
        </w:rPr>
      </w:pPr>
      <w:r w:rsidRPr="0097507F">
        <w:rPr>
          <w:sz w:val="24"/>
          <w:szCs w:val="24"/>
        </w:rPr>
        <w:t>Enter reserve releases as a positive figure.</w:t>
      </w:r>
    </w:p>
    <w:p w14:paraId="76F96EE4"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Reserve strengthening</w:t>
      </w:r>
    </w:p>
    <w:p w14:paraId="5A201929" w14:textId="77777777" w:rsidR="0097507F" w:rsidRPr="0097507F" w:rsidRDefault="0097507F" w:rsidP="00F61CB1">
      <w:pPr>
        <w:spacing w:after="240"/>
        <w:jc w:val="both"/>
        <w:rPr>
          <w:sz w:val="24"/>
          <w:szCs w:val="24"/>
        </w:rPr>
      </w:pPr>
      <w:r w:rsidRPr="0097507F">
        <w:rPr>
          <w:sz w:val="24"/>
          <w:szCs w:val="24"/>
        </w:rPr>
        <w:t>Reserve strengthening refers the occasions when a provision has been created / posted for a particular prior financial year and subsequently it is found that this provision will be insufficient to pay for the losses associated with this particular accident year for direct writers of insurance and underwriting year for reinsurance writers. In these instances the insurer strengthens or increases these provisions in the current financial year by adding additional provisions to accommodate the losses associated with this particular prior accident / underwriting year and this becomes a reduction in profit (i.e. claims expense in profit and loss in the current financial year).</w:t>
      </w:r>
    </w:p>
    <w:p w14:paraId="1C722F4F" w14:textId="77777777" w:rsidR="0097507F" w:rsidRPr="0097507F" w:rsidRDefault="0097507F" w:rsidP="00F61CB1">
      <w:pPr>
        <w:spacing w:after="240"/>
        <w:jc w:val="both"/>
        <w:rPr>
          <w:sz w:val="24"/>
          <w:szCs w:val="24"/>
        </w:rPr>
      </w:pPr>
      <w:r w:rsidRPr="0097507F">
        <w:rPr>
          <w:sz w:val="24"/>
          <w:szCs w:val="24"/>
        </w:rPr>
        <w:t>Enter reserve strengthening as a positive figure.</w:t>
      </w:r>
    </w:p>
    <w:p w14:paraId="638DB560"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Section 3: Total</w:t>
      </w:r>
    </w:p>
    <w:p w14:paraId="4E740F3F" w14:textId="77777777" w:rsidR="0097507F" w:rsidRPr="0097507F" w:rsidRDefault="0097507F" w:rsidP="00F61CB1">
      <w:pPr>
        <w:spacing w:after="240"/>
        <w:jc w:val="both"/>
        <w:rPr>
          <w:rFonts w:ascii="Arial" w:hAnsi="Arial" w:cs="Arial"/>
          <w:b/>
          <w:sz w:val="24"/>
          <w:szCs w:val="24"/>
        </w:rPr>
      </w:pPr>
      <w:r w:rsidRPr="0097507F">
        <w:rPr>
          <w:bCs/>
          <w:sz w:val="24"/>
          <w:szCs w:val="24"/>
        </w:rPr>
        <w:t>For this section, lenders mortgage insurance business will be included in the totals for direct business.</w:t>
      </w:r>
    </w:p>
    <w:p w14:paraId="5579C8E4"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lastRenderedPageBreak/>
        <w:t>Total direct business</w:t>
      </w:r>
    </w:p>
    <w:p w14:paraId="3C1CA6F9" w14:textId="77777777" w:rsidR="0097507F" w:rsidRPr="0097507F" w:rsidRDefault="0097507F" w:rsidP="00F61CB1">
      <w:pPr>
        <w:spacing w:after="240"/>
        <w:jc w:val="both"/>
        <w:rPr>
          <w:sz w:val="24"/>
          <w:szCs w:val="24"/>
        </w:rPr>
      </w:pPr>
      <w:r w:rsidRPr="0097507F">
        <w:rPr>
          <w:sz w:val="24"/>
          <w:szCs w:val="24"/>
        </w:rPr>
        <w:t>Each item in this row is automatically calculated as the sum of each corresponding column in Section 1 across the classes of business.</w:t>
      </w:r>
    </w:p>
    <w:p w14:paraId="323E779F"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Total reinsurance business</w:t>
      </w:r>
    </w:p>
    <w:p w14:paraId="217FEE73" w14:textId="77777777" w:rsidR="0097507F" w:rsidRPr="0097507F" w:rsidRDefault="0097507F" w:rsidP="00F61CB1">
      <w:pPr>
        <w:spacing w:after="240"/>
        <w:jc w:val="both"/>
        <w:rPr>
          <w:sz w:val="24"/>
          <w:szCs w:val="24"/>
        </w:rPr>
      </w:pPr>
      <w:r w:rsidRPr="0097507F">
        <w:rPr>
          <w:sz w:val="24"/>
          <w:szCs w:val="24"/>
        </w:rPr>
        <w:t>Each item in this row is automatically calculated as the sum of the Proportional and Non-proportional items in Section 3 for each corresponding column.</w:t>
      </w:r>
    </w:p>
    <w:p w14:paraId="43EB6388"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Proportional</w:t>
      </w:r>
    </w:p>
    <w:p w14:paraId="38562343" w14:textId="77777777" w:rsidR="0097507F" w:rsidRPr="0097507F" w:rsidRDefault="0097507F" w:rsidP="00F61CB1">
      <w:pPr>
        <w:spacing w:after="240"/>
        <w:jc w:val="both"/>
        <w:rPr>
          <w:sz w:val="24"/>
          <w:szCs w:val="24"/>
        </w:rPr>
      </w:pPr>
      <w:r w:rsidRPr="0097507F">
        <w:rPr>
          <w:sz w:val="24"/>
          <w:szCs w:val="24"/>
        </w:rPr>
        <w:t>Each item in this row is automatically calculated as the sum of each corresponding column in Section 2 across the proportional reinsurance classes of business.</w:t>
      </w:r>
    </w:p>
    <w:p w14:paraId="5B93866C"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Non-proportional</w:t>
      </w:r>
    </w:p>
    <w:p w14:paraId="4598C935" w14:textId="77777777" w:rsidR="0097507F" w:rsidRPr="0097507F" w:rsidRDefault="0097507F" w:rsidP="00F61CB1">
      <w:pPr>
        <w:spacing w:after="240"/>
        <w:jc w:val="both"/>
        <w:rPr>
          <w:sz w:val="24"/>
          <w:szCs w:val="24"/>
        </w:rPr>
      </w:pPr>
      <w:r w:rsidRPr="0097507F">
        <w:rPr>
          <w:sz w:val="24"/>
          <w:szCs w:val="24"/>
        </w:rPr>
        <w:t>Each item in this row is automatically calculated as the sum of each corresponding column in Section 2 across the non-proportional reinsurance classes of business.</w:t>
      </w:r>
    </w:p>
    <w:p w14:paraId="116BC648" w14:textId="77777777" w:rsidR="0097507F" w:rsidRPr="0097507F" w:rsidRDefault="0097507F" w:rsidP="00F61CB1">
      <w:pPr>
        <w:spacing w:after="240"/>
        <w:jc w:val="both"/>
        <w:rPr>
          <w:rFonts w:ascii="Arial" w:hAnsi="Arial" w:cs="Arial"/>
          <w:b/>
          <w:sz w:val="24"/>
          <w:szCs w:val="24"/>
        </w:rPr>
      </w:pPr>
      <w:r w:rsidRPr="0097507F">
        <w:rPr>
          <w:rFonts w:ascii="Arial" w:hAnsi="Arial" w:cs="Arial"/>
          <w:b/>
          <w:sz w:val="24"/>
          <w:szCs w:val="24"/>
        </w:rPr>
        <w:t>Total</w:t>
      </w:r>
    </w:p>
    <w:p w14:paraId="67FC780A" w14:textId="70536427" w:rsidR="00760AC5" w:rsidRDefault="0097507F" w:rsidP="00F61CB1">
      <w:pPr>
        <w:spacing w:after="240"/>
        <w:jc w:val="both"/>
        <w:rPr>
          <w:bCs/>
        </w:rPr>
      </w:pPr>
      <w:r w:rsidRPr="0097507F">
        <w:rPr>
          <w:sz w:val="24"/>
          <w:szCs w:val="24"/>
        </w:rPr>
        <w:t>Each item in this row is automatically calculated as the sum of the Total direct business and Total reinsurance business items in Section 3 for each corresponding column.</w:t>
      </w:r>
    </w:p>
    <w:sectPr w:rsidR="00760AC5" w:rsidSect="006355D1">
      <w:headerReference w:type="default" r:id="rId25"/>
      <w:footerReference w:type="default" r:id="rId2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9DDB" w14:textId="77777777" w:rsidR="001D6341" w:rsidRDefault="001D6341" w:rsidP="00CC70E3">
      <w:r>
        <w:separator/>
      </w:r>
    </w:p>
  </w:endnote>
  <w:endnote w:type="continuationSeparator" w:id="0">
    <w:p w14:paraId="338449CB" w14:textId="77777777" w:rsidR="001D6341" w:rsidRDefault="001D6341" w:rsidP="00CC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0C10" w14:textId="77777777" w:rsidR="00FE4DC7" w:rsidRPr="00540965" w:rsidRDefault="00FE4DC7" w:rsidP="00F61CB1">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BCED" w14:textId="77777777" w:rsidR="00F61CB1" w:rsidRPr="002543D1" w:rsidRDefault="00F61CB1" w:rsidP="005B7824">
    <w:pPr>
      <w:pStyle w:val="Footer"/>
      <w:framePr w:wrap="around" w:vAnchor="text" w:hAnchor="margin" w:xAlign="right" w:y="1"/>
      <w:jc w:val="right"/>
      <w:rPr>
        <w:b/>
        <w:sz w:val="24"/>
        <w:szCs w:val="24"/>
      </w:rPr>
    </w:pPr>
    <w:r w:rsidRPr="002543D1">
      <w:rPr>
        <w:b/>
        <w:sz w:val="24"/>
        <w:szCs w:val="24"/>
      </w:rPr>
      <w:t xml:space="preserve">GRS 410.0 - </w:t>
    </w:r>
    <w:r w:rsidRPr="002543D1">
      <w:rPr>
        <w:rStyle w:val="PageNumber"/>
        <w:b/>
        <w:sz w:val="24"/>
        <w:szCs w:val="24"/>
      </w:rPr>
      <w:fldChar w:fldCharType="begin"/>
    </w:r>
    <w:r w:rsidRPr="002543D1">
      <w:rPr>
        <w:rStyle w:val="PageNumber"/>
        <w:b/>
        <w:sz w:val="24"/>
        <w:szCs w:val="24"/>
      </w:rPr>
      <w:instrText xml:space="preserve"> PAGE </w:instrText>
    </w:r>
    <w:r w:rsidRPr="002543D1">
      <w:rPr>
        <w:rStyle w:val="PageNumber"/>
        <w:b/>
        <w:sz w:val="24"/>
        <w:szCs w:val="24"/>
      </w:rPr>
      <w:fldChar w:fldCharType="separate"/>
    </w:r>
    <w:r w:rsidRPr="002543D1">
      <w:rPr>
        <w:rStyle w:val="PageNumber"/>
        <w:b/>
        <w:noProof/>
        <w:sz w:val="24"/>
        <w:szCs w:val="24"/>
      </w:rPr>
      <w:t>4</w:t>
    </w:r>
    <w:r w:rsidRPr="002543D1">
      <w:rPr>
        <w:rStyle w:val="PageNumber"/>
        <w:b/>
        <w:sz w:val="24"/>
        <w:szCs w:val="24"/>
      </w:rPr>
      <w:fldChar w:fldCharType="end"/>
    </w:r>
  </w:p>
  <w:p w14:paraId="4C51848C" w14:textId="77777777" w:rsidR="00F61CB1" w:rsidRPr="009C0CA4" w:rsidRDefault="00F61CB1"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8E40" w14:textId="77777777" w:rsidR="00F61CB1" w:rsidRPr="002543D1" w:rsidRDefault="00F61CB1" w:rsidP="00E339E7">
    <w:pPr>
      <w:pStyle w:val="Footer"/>
      <w:framePr w:wrap="around" w:vAnchor="text" w:hAnchor="margin" w:xAlign="right" w:y="1"/>
      <w:jc w:val="right"/>
      <w:rPr>
        <w:b/>
        <w:sz w:val="24"/>
        <w:szCs w:val="24"/>
      </w:rPr>
    </w:pPr>
    <w:r w:rsidRPr="002543D1">
      <w:rPr>
        <w:b/>
        <w:sz w:val="24"/>
        <w:szCs w:val="24"/>
      </w:rPr>
      <w:t xml:space="preserve">GRS 410.0 - </w:t>
    </w:r>
    <w:r w:rsidRPr="002543D1">
      <w:rPr>
        <w:rStyle w:val="PageNumber"/>
        <w:b/>
        <w:sz w:val="24"/>
        <w:szCs w:val="24"/>
      </w:rPr>
      <w:fldChar w:fldCharType="begin"/>
    </w:r>
    <w:r w:rsidRPr="002543D1">
      <w:rPr>
        <w:rStyle w:val="PageNumber"/>
        <w:b/>
        <w:sz w:val="24"/>
        <w:szCs w:val="24"/>
      </w:rPr>
      <w:instrText xml:space="preserve"> PAGE </w:instrText>
    </w:r>
    <w:r w:rsidRPr="002543D1">
      <w:rPr>
        <w:rStyle w:val="PageNumber"/>
        <w:b/>
        <w:sz w:val="24"/>
        <w:szCs w:val="24"/>
      </w:rPr>
      <w:fldChar w:fldCharType="separate"/>
    </w:r>
    <w:r w:rsidRPr="002543D1">
      <w:rPr>
        <w:rStyle w:val="PageNumber"/>
        <w:b/>
        <w:noProof/>
        <w:sz w:val="24"/>
        <w:szCs w:val="24"/>
      </w:rPr>
      <w:t>1</w:t>
    </w:r>
    <w:r w:rsidRPr="002543D1">
      <w:rPr>
        <w:rStyle w:val="PageNumber"/>
        <w:b/>
        <w:sz w:val="24"/>
        <w:szCs w:val="24"/>
      </w:rPr>
      <w:fldChar w:fldCharType="end"/>
    </w:r>
  </w:p>
  <w:p w14:paraId="2C1AF1A9" w14:textId="77777777" w:rsidR="00F61CB1" w:rsidRPr="00540965" w:rsidRDefault="00F61CB1"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D567" w14:textId="77777777" w:rsidR="00627323" w:rsidRPr="002543D1" w:rsidRDefault="00627323" w:rsidP="005B7824">
    <w:pPr>
      <w:pStyle w:val="Footer"/>
      <w:framePr w:wrap="around" w:vAnchor="text" w:hAnchor="margin" w:xAlign="right" w:y="1"/>
      <w:jc w:val="right"/>
      <w:rPr>
        <w:b/>
        <w:sz w:val="24"/>
        <w:szCs w:val="24"/>
      </w:rPr>
    </w:pPr>
    <w:r w:rsidRPr="002543D1">
      <w:rPr>
        <w:b/>
        <w:sz w:val="24"/>
        <w:szCs w:val="24"/>
      </w:rPr>
      <w:t xml:space="preserve">GRF 410.0 Form - </w:t>
    </w:r>
    <w:r w:rsidRPr="002543D1">
      <w:rPr>
        <w:b/>
        <w:sz w:val="24"/>
        <w:szCs w:val="24"/>
      </w:rPr>
      <w:fldChar w:fldCharType="begin"/>
    </w:r>
    <w:r w:rsidRPr="002543D1">
      <w:rPr>
        <w:b/>
        <w:sz w:val="24"/>
        <w:szCs w:val="24"/>
      </w:rPr>
      <w:instrText xml:space="preserve"> PAGE   \* MERGEFORMAT </w:instrText>
    </w:r>
    <w:r w:rsidRPr="002543D1">
      <w:rPr>
        <w:b/>
        <w:sz w:val="24"/>
        <w:szCs w:val="24"/>
      </w:rPr>
      <w:fldChar w:fldCharType="separate"/>
    </w:r>
    <w:r w:rsidR="005B3F2D" w:rsidRPr="002543D1">
      <w:rPr>
        <w:b/>
        <w:noProof/>
        <w:sz w:val="24"/>
        <w:szCs w:val="24"/>
      </w:rPr>
      <w:t>2</w:t>
    </w:r>
    <w:r w:rsidRPr="002543D1">
      <w:rPr>
        <w:b/>
        <w:sz w:val="24"/>
        <w:szCs w:val="24"/>
      </w:rPr>
      <w:fldChar w:fldCharType="end"/>
    </w:r>
  </w:p>
  <w:p w14:paraId="4DC49FFE" w14:textId="77777777" w:rsidR="00627323" w:rsidRPr="009C0CA4" w:rsidRDefault="00627323" w:rsidP="005B782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9B07" w14:textId="77777777" w:rsidR="00FE4DC7" w:rsidRPr="002543D1" w:rsidRDefault="00627323" w:rsidP="005B7824">
    <w:pPr>
      <w:pStyle w:val="Footer"/>
      <w:jc w:val="right"/>
      <w:rPr>
        <w:b/>
        <w:sz w:val="24"/>
        <w:szCs w:val="24"/>
      </w:rPr>
    </w:pPr>
    <w:r w:rsidRPr="002543D1">
      <w:rPr>
        <w:b/>
        <w:sz w:val="24"/>
        <w:szCs w:val="24"/>
      </w:rPr>
      <w:t xml:space="preserve">GRF 410.0 Form - </w:t>
    </w:r>
    <w:r w:rsidRPr="002543D1">
      <w:rPr>
        <w:b/>
        <w:sz w:val="24"/>
        <w:szCs w:val="24"/>
      </w:rPr>
      <w:fldChar w:fldCharType="begin"/>
    </w:r>
    <w:r w:rsidRPr="002543D1">
      <w:rPr>
        <w:b/>
        <w:sz w:val="24"/>
        <w:szCs w:val="24"/>
      </w:rPr>
      <w:instrText xml:space="preserve"> PAGE   \* MERGEFORMAT </w:instrText>
    </w:r>
    <w:r w:rsidRPr="002543D1">
      <w:rPr>
        <w:b/>
        <w:sz w:val="24"/>
        <w:szCs w:val="24"/>
      </w:rPr>
      <w:fldChar w:fldCharType="separate"/>
    </w:r>
    <w:r w:rsidR="005B3F2D" w:rsidRPr="002543D1">
      <w:rPr>
        <w:b/>
        <w:noProof/>
        <w:sz w:val="24"/>
        <w:szCs w:val="24"/>
      </w:rPr>
      <w:t>1</w:t>
    </w:r>
    <w:r w:rsidRPr="002543D1">
      <w:rPr>
        <w:b/>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8DA1" w14:textId="77777777" w:rsidR="00E62003" w:rsidRPr="002543D1" w:rsidRDefault="00E62003" w:rsidP="00E62003">
    <w:pPr>
      <w:pStyle w:val="Footer"/>
      <w:jc w:val="right"/>
      <w:rPr>
        <w:b/>
        <w:sz w:val="24"/>
        <w:szCs w:val="24"/>
      </w:rPr>
    </w:pPr>
    <w:r w:rsidRPr="002543D1">
      <w:rPr>
        <w:b/>
        <w:sz w:val="24"/>
        <w:szCs w:val="24"/>
      </w:rPr>
      <w:t xml:space="preserve">GRF 410.0 Instructions - </w:t>
    </w:r>
    <w:r w:rsidR="00627323" w:rsidRPr="002543D1">
      <w:rPr>
        <w:b/>
        <w:sz w:val="24"/>
        <w:szCs w:val="24"/>
      </w:rPr>
      <w:fldChar w:fldCharType="begin"/>
    </w:r>
    <w:r w:rsidR="00627323" w:rsidRPr="002543D1">
      <w:rPr>
        <w:b/>
        <w:sz w:val="24"/>
        <w:szCs w:val="24"/>
      </w:rPr>
      <w:instrText xml:space="preserve"> PAGE   \* MERGEFORMAT </w:instrText>
    </w:r>
    <w:r w:rsidR="00627323" w:rsidRPr="002543D1">
      <w:rPr>
        <w:b/>
        <w:sz w:val="24"/>
        <w:szCs w:val="24"/>
      </w:rPr>
      <w:fldChar w:fldCharType="separate"/>
    </w:r>
    <w:r w:rsidR="005B3F2D" w:rsidRPr="002543D1">
      <w:rPr>
        <w:b/>
        <w:noProof/>
        <w:sz w:val="24"/>
        <w:szCs w:val="24"/>
      </w:rPr>
      <w:t>3</w:t>
    </w:r>
    <w:r w:rsidR="00627323" w:rsidRPr="002543D1">
      <w:rPr>
        <w:b/>
        <w:sz w:val="24"/>
        <w:szCs w:val="24"/>
      </w:rPr>
      <w:fldChar w:fldCharType="end"/>
    </w:r>
  </w:p>
  <w:p w14:paraId="6FF239EB" w14:textId="77777777" w:rsidR="00E62003" w:rsidRPr="003C6BD0" w:rsidRDefault="00E62003" w:rsidP="00E62003">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D930" w14:textId="77777777" w:rsidR="001D6341" w:rsidRDefault="001D6341" w:rsidP="00CC70E3">
      <w:r>
        <w:separator/>
      </w:r>
    </w:p>
  </w:footnote>
  <w:footnote w:type="continuationSeparator" w:id="0">
    <w:p w14:paraId="2B090E6D" w14:textId="77777777" w:rsidR="001D6341" w:rsidRDefault="001D6341" w:rsidP="00CC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E9F3" w14:textId="75C7CC33" w:rsidR="00FE4DC7" w:rsidRPr="002543D1" w:rsidRDefault="00FE4DC7" w:rsidP="002543D1">
    <w:pPr>
      <w:pStyle w:val="Header"/>
      <w:tabs>
        <w:tab w:val="clear" w:pos="8640"/>
        <w:tab w:val="right" w:pos="8364"/>
      </w:tabs>
      <w:jc w:val="right"/>
      <w:rPr>
        <w:b/>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E049" w14:textId="20B5B404" w:rsidR="00FE4DC7" w:rsidRPr="002543D1" w:rsidRDefault="00FE4DC7" w:rsidP="0076425C">
    <w:pPr>
      <w:pStyle w:val="Header"/>
      <w:tabs>
        <w:tab w:val="clear" w:pos="8640"/>
        <w:tab w:val="right" w:pos="8364"/>
      </w:tabs>
      <w:jc w:val="right"/>
      <w:rPr>
        <w:b/>
        <w:sz w:val="24"/>
        <w:szCs w:val="24"/>
      </w:rPr>
    </w:pPr>
    <w:r>
      <w:tab/>
    </w:r>
    <w:r>
      <w:rPr>
        <w:sz w:val="24"/>
        <w:szCs w:val="24"/>
      </w:rPr>
      <w:tab/>
    </w:r>
  </w:p>
  <w:p w14:paraId="4A3F5E49" w14:textId="77777777" w:rsidR="00FE4DC7" w:rsidRPr="00D74779" w:rsidRDefault="00FE4DC7"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6A50" w14:textId="77777777" w:rsidR="00F61CB1" w:rsidRPr="002543D1" w:rsidRDefault="00F61CB1" w:rsidP="002543D1">
    <w:pPr>
      <w:pStyle w:val="Header"/>
      <w:tabs>
        <w:tab w:val="clear" w:pos="8640"/>
        <w:tab w:val="right" w:pos="8364"/>
      </w:tabs>
      <w:jc w:val="right"/>
      <w:rPr>
        <w:b/>
        <w:sz w:val="24"/>
        <w:szCs w:val="24"/>
      </w:rPr>
    </w:pPr>
    <w:r>
      <w:rPr>
        <w:sz w:val="24"/>
        <w:szCs w:val="24"/>
      </w:rPr>
      <w:tab/>
    </w:r>
    <w:r>
      <w:rPr>
        <w:sz w:val="24"/>
        <w:szCs w:val="24"/>
      </w:rPr>
      <w:tab/>
    </w:r>
    <w:r w:rsidRPr="002543D1">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F7C9" w14:textId="77777777" w:rsidR="00F61CB1" w:rsidRPr="002543D1" w:rsidRDefault="00F61CB1" w:rsidP="0076425C">
    <w:pPr>
      <w:pStyle w:val="Header"/>
      <w:tabs>
        <w:tab w:val="clear" w:pos="8640"/>
        <w:tab w:val="right" w:pos="8364"/>
      </w:tabs>
      <w:jc w:val="right"/>
      <w:rPr>
        <w:b/>
        <w:sz w:val="24"/>
        <w:szCs w:val="24"/>
      </w:rPr>
    </w:pPr>
    <w:r>
      <w:tab/>
    </w:r>
    <w:r>
      <w:rPr>
        <w:sz w:val="24"/>
        <w:szCs w:val="24"/>
      </w:rPr>
      <w:tab/>
    </w:r>
    <w:r w:rsidRPr="002543D1">
      <w:rPr>
        <w:b/>
        <w:sz w:val="24"/>
        <w:szCs w:val="24"/>
      </w:rPr>
      <w:t>April 2023</w:t>
    </w:r>
  </w:p>
  <w:p w14:paraId="4925C9D0" w14:textId="77777777" w:rsidR="00F61CB1" w:rsidRPr="00D74779" w:rsidRDefault="00F61CB1"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AE1E" w14:textId="178A68B2" w:rsidR="00D827C4" w:rsidRPr="002543D1" w:rsidRDefault="00D827C4" w:rsidP="002543D1">
    <w:pPr>
      <w:pStyle w:val="Header"/>
      <w:tabs>
        <w:tab w:val="clear" w:pos="8640"/>
        <w:tab w:val="right" w:pos="8364"/>
      </w:tabs>
      <w:jc w:val="right"/>
      <w:rPr>
        <w:b/>
        <w:sz w:val="24"/>
        <w:szCs w:val="24"/>
      </w:rPr>
    </w:pPr>
    <w:r>
      <w:rPr>
        <w:sz w:val="24"/>
        <w:szCs w:val="24"/>
      </w:rPr>
      <w:tab/>
    </w:r>
    <w:r>
      <w:rPr>
        <w:sz w:val="24"/>
        <w:szCs w:val="24"/>
      </w:rPr>
      <w:tab/>
    </w:r>
    <w:r w:rsidR="00826AA8" w:rsidRPr="002543D1">
      <w:rPr>
        <w:b/>
        <w:sz w:val="24"/>
        <w:szCs w:val="24"/>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9AC" w14:textId="49E30839" w:rsidR="00FE4DC7" w:rsidRPr="002543D1" w:rsidRDefault="00826AA8" w:rsidP="002543D1">
    <w:pPr>
      <w:pStyle w:val="Header"/>
      <w:tabs>
        <w:tab w:val="clear" w:pos="8640"/>
        <w:tab w:val="right" w:pos="8364"/>
      </w:tabs>
      <w:jc w:val="right"/>
      <w:rPr>
        <w:b/>
        <w:sz w:val="24"/>
        <w:szCs w:val="24"/>
      </w:rPr>
    </w:pPr>
    <w:r w:rsidRPr="002543D1">
      <w:rPr>
        <w:b/>
        <w:sz w:val="24"/>
        <w:szCs w:val="24"/>
      </w:rPr>
      <w:t>April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7388" w14:textId="5D0717C9" w:rsidR="00E62003" w:rsidRPr="002543D1" w:rsidRDefault="00E62003" w:rsidP="00E62003">
    <w:pPr>
      <w:pStyle w:val="Header"/>
      <w:tabs>
        <w:tab w:val="right" w:pos="8364"/>
      </w:tabs>
      <w:rPr>
        <w:b/>
        <w:sz w:val="24"/>
        <w:szCs w:val="24"/>
      </w:rPr>
    </w:pPr>
    <w:r>
      <w:rPr>
        <w:b/>
      </w:rPr>
      <w:tab/>
    </w:r>
    <w:r>
      <w:tab/>
    </w:r>
    <w:r w:rsidR="0076425C" w:rsidRPr="002543D1">
      <w:rPr>
        <w:b/>
        <w:sz w:val="24"/>
        <w:szCs w:val="24"/>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C17C66"/>
    <w:multiLevelType w:val="hybridMultilevel"/>
    <w:tmpl w:val="216800AE"/>
    <w:lvl w:ilvl="0" w:tplc="F1DC0E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0301E"/>
    <w:multiLevelType w:val="hybridMultilevel"/>
    <w:tmpl w:val="339E9D18"/>
    <w:lvl w:ilvl="0" w:tplc="E97020AA">
      <w:start w:val="1"/>
      <w:numFmt w:val="bullet"/>
      <w:lvlText w:val=""/>
      <w:lvlJc w:val="left"/>
      <w:pPr>
        <w:ind w:left="1791" w:hanging="360"/>
      </w:pPr>
      <w:rPr>
        <w:rFonts w:ascii="Symbol" w:hAnsi="Symbol" w:hint="default"/>
      </w:rPr>
    </w:lvl>
    <w:lvl w:ilvl="1" w:tplc="5F74645C">
      <w:start w:val="1"/>
      <w:numFmt w:val="bullet"/>
      <w:lvlText w:val="o"/>
      <w:lvlJc w:val="left"/>
      <w:pPr>
        <w:ind w:left="2511" w:hanging="360"/>
      </w:pPr>
      <w:rPr>
        <w:rFonts w:ascii="Courier New" w:hAnsi="Courier New" w:cs="Courier New" w:hint="default"/>
      </w:rPr>
    </w:lvl>
    <w:lvl w:ilvl="2" w:tplc="BD7EFB78">
      <w:start w:val="1"/>
      <w:numFmt w:val="bullet"/>
      <w:lvlText w:val=""/>
      <w:lvlJc w:val="left"/>
      <w:pPr>
        <w:ind w:left="3231" w:hanging="360"/>
      </w:pPr>
      <w:rPr>
        <w:rFonts w:ascii="Symbol" w:hAnsi="Symbol" w:hint="default"/>
      </w:rPr>
    </w:lvl>
    <w:lvl w:ilvl="3" w:tplc="B878807A" w:tentative="1">
      <w:start w:val="1"/>
      <w:numFmt w:val="bullet"/>
      <w:lvlText w:val=""/>
      <w:lvlJc w:val="left"/>
      <w:pPr>
        <w:ind w:left="3951" w:hanging="360"/>
      </w:pPr>
      <w:rPr>
        <w:rFonts w:ascii="Symbol" w:hAnsi="Symbol" w:hint="default"/>
      </w:rPr>
    </w:lvl>
    <w:lvl w:ilvl="4" w:tplc="6892143E" w:tentative="1">
      <w:start w:val="1"/>
      <w:numFmt w:val="bullet"/>
      <w:lvlText w:val="o"/>
      <w:lvlJc w:val="left"/>
      <w:pPr>
        <w:ind w:left="4671" w:hanging="360"/>
      </w:pPr>
      <w:rPr>
        <w:rFonts w:ascii="Courier New" w:hAnsi="Courier New" w:cs="Courier New" w:hint="default"/>
      </w:rPr>
    </w:lvl>
    <w:lvl w:ilvl="5" w:tplc="E6C0FD4C" w:tentative="1">
      <w:start w:val="1"/>
      <w:numFmt w:val="bullet"/>
      <w:lvlText w:val=""/>
      <w:lvlJc w:val="left"/>
      <w:pPr>
        <w:ind w:left="5391" w:hanging="360"/>
      </w:pPr>
      <w:rPr>
        <w:rFonts w:ascii="Wingdings" w:hAnsi="Wingdings" w:hint="default"/>
      </w:rPr>
    </w:lvl>
    <w:lvl w:ilvl="6" w:tplc="08725F64" w:tentative="1">
      <w:start w:val="1"/>
      <w:numFmt w:val="bullet"/>
      <w:lvlText w:val=""/>
      <w:lvlJc w:val="left"/>
      <w:pPr>
        <w:ind w:left="6111" w:hanging="360"/>
      </w:pPr>
      <w:rPr>
        <w:rFonts w:ascii="Symbol" w:hAnsi="Symbol" w:hint="default"/>
      </w:rPr>
    </w:lvl>
    <w:lvl w:ilvl="7" w:tplc="DEB8E192" w:tentative="1">
      <w:start w:val="1"/>
      <w:numFmt w:val="bullet"/>
      <w:lvlText w:val="o"/>
      <w:lvlJc w:val="left"/>
      <w:pPr>
        <w:ind w:left="6831" w:hanging="360"/>
      </w:pPr>
      <w:rPr>
        <w:rFonts w:ascii="Courier New" w:hAnsi="Courier New" w:cs="Courier New" w:hint="default"/>
      </w:rPr>
    </w:lvl>
    <w:lvl w:ilvl="8" w:tplc="5C3CC620" w:tentative="1">
      <w:start w:val="1"/>
      <w:numFmt w:val="bullet"/>
      <w:lvlText w:val=""/>
      <w:lvlJc w:val="left"/>
      <w:pPr>
        <w:ind w:left="7551" w:hanging="360"/>
      </w:pPr>
      <w:rPr>
        <w:rFonts w:ascii="Wingdings" w:hAnsi="Wingdings" w:hint="default"/>
      </w:rPr>
    </w:lvl>
  </w:abstractNum>
  <w:abstractNum w:abstractNumId="11"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50A23"/>
    <w:multiLevelType w:val="hybridMultilevel"/>
    <w:tmpl w:val="019E798C"/>
    <w:lvl w:ilvl="0" w:tplc="88EC6D12">
      <w:start w:val="1"/>
      <w:numFmt w:val="bullet"/>
      <w:lvlText w:val=""/>
      <w:lvlJc w:val="left"/>
      <w:pPr>
        <w:ind w:left="720" w:hanging="360"/>
      </w:pPr>
      <w:rPr>
        <w:rFonts w:ascii="Symbol" w:hAnsi="Symbol" w:hint="default"/>
      </w:rPr>
    </w:lvl>
    <w:lvl w:ilvl="1" w:tplc="A2FC365A" w:tentative="1">
      <w:start w:val="1"/>
      <w:numFmt w:val="bullet"/>
      <w:lvlText w:val="o"/>
      <w:lvlJc w:val="left"/>
      <w:pPr>
        <w:ind w:left="1440" w:hanging="360"/>
      </w:pPr>
      <w:rPr>
        <w:rFonts w:ascii="Courier New" w:hAnsi="Courier New" w:cs="Courier New" w:hint="default"/>
      </w:rPr>
    </w:lvl>
    <w:lvl w:ilvl="2" w:tplc="74CE9ECE" w:tentative="1">
      <w:start w:val="1"/>
      <w:numFmt w:val="bullet"/>
      <w:lvlText w:val=""/>
      <w:lvlJc w:val="left"/>
      <w:pPr>
        <w:ind w:left="2160" w:hanging="360"/>
      </w:pPr>
      <w:rPr>
        <w:rFonts w:ascii="Wingdings" w:hAnsi="Wingdings" w:hint="default"/>
      </w:rPr>
    </w:lvl>
    <w:lvl w:ilvl="3" w:tplc="F470F938" w:tentative="1">
      <w:start w:val="1"/>
      <w:numFmt w:val="bullet"/>
      <w:lvlText w:val=""/>
      <w:lvlJc w:val="left"/>
      <w:pPr>
        <w:ind w:left="2880" w:hanging="360"/>
      </w:pPr>
      <w:rPr>
        <w:rFonts w:ascii="Symbol" w:hAnsi="Symbol" w:hint="default"/>
      </w:rPr>
    </w:lvl>
    <w:lvl w:ilvl="4" w:tplc="64EE94C0" w:tentative="1">
      <w:start w:val="1"/>
      <w:numFmt w:val="bullet"/>
      <w:lvlText w:val="o"/>
      <w:lvlJc w:val="left"/>
      <w:pPr>
        <w:ind w:left="3600" w:hanging="360"/>
      </w:pPr>
      <w:rPr>
        <w:rFonts w:ascii="Courier New" w:hAnsi="Courier New" w:cs="Courier New" w:hint="default"/>
      </w:rPr>
    </w:lvl>
    <w:lvl w:ilvl="5" w:tplc="2812C244" w:tentative="1">
      <w:start w:val="1"/>
      <w:numFmt w:val="bullet"/>
      <w:lvlText w:val=""/>
      <w:lvlJc w:val="left"/>
      <w:pPr>
        <w:ind w:left="4320" w:hanging="360"/>
      </w:pPr>
      <w:rPr>
        <w:rFonts w:ascii="Wingdings" w:hAnsi="Wingdings" w:hint="default"/>
      </w:rPr>
    </w:lvl>
    <w:lvl w:ilvl="6" w:tplc="23DC2A7A" w:tentative="1">
      <w:start w:val="1"/>
      <w:numFmt w:val="bullet"/>
      <w:lvlText w:val=""/>
      <w:lvlJc w:val="left"/>
      <w:pPr>
        <w:ind w:left="5040" w:hanging="360"/>
      </w:pPr>
      <w:rPr>
        <w:rFonts w:ascii="Symbol" w:hAnsi="Symbol" w:hint="default"/>
      </w:rPr>
    </w:lvl>
    <w:lvl w:ilvl="7" w:tplc="E38632EC" w:tentative="1">
      <w:start w:val="1"/>
      <w:numFmt w:val="bullet"/>
      <w:lvlText w:val="o"/>
      <w:lvlJc w:val="left"/>
      <w:pPr>
        <w:ind w:left="5760" w:hanging="360"/>
      </w:pPr>
      <w:rPr>
        <w:rFonts w:ascii="Courier New" w:hAnsi="Courier New" w:cs="Courier New" w:hint="default"/>
      </w:rPr>
    </w:lvl>
    <w:lvl w:ilvl="8" w:tplc="E7B2320E" w:tentative="1">
      <w:start w:val="1"/>
      <w:numFmt w:val="bullet"/>
      <w:lvlText w:val=""/>
      <w:lvlJc w:val="left"/>
      <w:pPr>
        <w:ind w:left="6480" w:hanging="360"/>
      </w:pPr>
      <w:rPr>
        <w:rFonts w:ascii="Wingdings" w:hAnsi="Wingdings" w:hint="default"/>
      </w:rPr>
    </w:lvl>
  </w:abstractNum>
  <w:abstractNum w:abstractNumId="22"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28"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1"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368990719">
    <w:abstractNumId w:val="19"/>
  </w:num>
  <w:num w:numId="2" w16cid:durableId="2042776471">
    <w:abstractNumId w:val="23"/>
  </w:num>
  <w:num w:numId="3" w16cid:durableId="5403567">
    <w:abstractNumId w:val="30"/>
  </w:num>
  <w:num w:numId="4" w16cid:durableId="116416675">
    <w:abstractNumId w:val="2"/>
  </w:num>
  <w:num w:numId="5" w16cid:durableId="630478016">
    <w:abstractNumId w:val="0"/>
  </w:num>
  <w:num w:numId="6" w16cid:durableId="76827267">
    <w:abstractNumId w:val="28"/>
  </w:num>
  <w:num w:numId="7" w16cid:durableId="1688672815">
    <w:abstractNumId w:val="21"/>
  </w:num>
  <w:num w:numId="8" w16cid:durableId="32847054">
    <w:abstractNumId w:val="7"/>
  </w:num>
  <w:num w:numId="9" w16cid:durableId="363404767">
    <w:abstractNumId w:val="13"/>
  </w:num>
  <w:num w:numId="10" w16cid:durableId="1424107081">
    <w:abstractNumId w:val="22"/>
  </w:num>
  <w:num w:numId="11" w16cid:durableId="1262839941">
    <w:abstractNumId w:val="32"/>
  </w:num>
  <w:num w:numId="12" w16cid:durableId="2105564675">
    <w:abstractNumId w:val="18"/>
  </w:num>
  <w:num w:numId="13" w16cid:durableId="36205234">
    <w:abstractNumId w:val="20"/>
  </w:num>
  <w:num w:numId="14" w16cid:durableId="2133940938">
    <w:abstractNumId w:val="10"/>
  </w:num>
  <w:num w:numId="15" w16cid:durableId="1403871533">
    <w:abstractNumId w:val="6"/>
  </w:num>
  <w:num w:numId="16" w16cid:durableId="1967155519">
    <w:abstractNumId w:val="12"/>
  </w:num>
  <w:num w:numId="17" w16cid:durableId="929896024">
    <w:abstractNumId w:val="17"/>
  </w:num>
  <w:num w:numId="18" w16cid:durableId="329910593">
    <w:abstractNumId w:val="3"/>
  </w:num>
  <w:num w:numId="19" w16cid:durableId="478838537">
    <w:abstractNumId w:val="11"/>
  </w:num>
  <w:num w:numId="20" w16cid:durableId="1479765844">
    <w:abstractNumId w:val="27"/>
  </w:num>
  <w:num w:numId="21" w16cid:durableId="1542590624">
    <w:abstractNumId w:val="15"/>
  </w:num>
  <w:num w:numId="22" w16cid:durableId="2137798114">
    <w:abstractNumId w:val="25"/>
  </w:num>
  <w:num w:numId="23" w16cid:durableId="1234268795">
    <w:abstractNumId w:val="8"/>
  </w:num>
  <w:num w:numId="24" w16cid:durableId="1422213556">
    <w:abstractNumId w:val="14"/>
  </w:num>
  <w:num w:numId="25" w16cid:durableId="1701512881">
    <w:abstractNumId w:val="5"/>
  </w:num>
  <w:num w:numId="26" w16cid:durableId="182597332">
    <w:abstractNumId w:val="9"/>
  </w:num>
  <w:num w:numId="27" w16cid:durableId="1434284487">
    <w:abstractNumId w:val="16"/>
  </w:num>
  <w:num w:numId="28" w16cid:durableId="62683905">
    <w:abstractNumId w:val="31"/>
  </w:num>
  <w:num w:numId="29" w16cid:durableId="224071985">
    <w:abstractNumId w:val="1"/>
  </w:num>
  <w:num w:numId="30" w16cid:durableId="1638677845">
    <w:abstractNumId w:val="24"/>
  </w:num>
  <w:num w:numId="31" w16cid:durableId="1980067520">
    <w:abstractNumId w:val="29"/>
  </w:num>
  <w:num w:numId="32" w16cid:durableId="212934300">
    <w:abstractNumId w:val="4"/>
  </w:num>
  <w:num w:numId="33" w16cid:durableId="30771079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1087C"/>
    <w:rsid w:val="00010AC6"/>
    <w:rsid w:val="00010F5B"/>
    <w:rsid w:val="000119BB"/>
    <w:rsid w:val="000123E4"/>
    <w:rsid w:val="00012A64"/>
    <w:rsid w:val="00012F74"/>
    <w:rsid w:val="00012FC5"/>
    <w:rsid w:val="00014204"/>
    <w:rsid w:val="000143A7"/>
    <w:rsid w:val="00014551"/>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0EEF"/>
    <w:rsid w:val="00082470"/>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70FC"/>
    <w:rsid w:val="00097479"/>
    <w:rsid w:val="0009753A"/>
    <w:rsid w:val="00097E11"/>
    <w:rsid w:val="000A0024"/>
    <w:rsid w:val="000A00A4"/>
    <w:rsid w:val="000A0E53"/>
    <w:rsid w:val="000A1166"/>
    <w:rsid w:val="000A11B0"/>
    <w:rsid w:val="000A21A5"/>
    <w:rsid w:val="000A2CD0"/>
    <w:rsid w:val="000A3287"/>
    <w:rsid w:val="000A3F93"/>
    <w:rsid w:val="000A45B9"/>
    <w:rsid w:val="000A56A0"/>
    <w:rsid w:val="000A6D26"/>
    <w:rsid w:val="000A6DED"/>
    <w:rsid w:val="000A6DF5"/>
    <w:rsid w:val="000B00F5"/>
    <w:rsid w:val="000B087E"/>
    <w:rsid w:val="000B1A0E"/>
    <w:rsid w:val="000B2F2A"/>
    <w:rsid w:val="000B3FEA"/>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3454"/>
    <w:rsid w:val="00114E2D"/>
    <w:rsid w:val="0011502C"/>
    <w:rsid w:val="001173F8"/>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6F36"/>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95C"/>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8BA"/>
    <w:rsid w:val="001D2A68"/>
    <w:rsid w:val="001D4797"/>
    <w:rsid w:val="001D6341"/>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D1"/>
    <w:rsid w:val="00250EE7"/>
    <w:rsid w:val="002512A5"/>
    <w:rsid w:val="00251431"/>
    <w:rsid w:val="00251867"/>
    <w:rsid w:val="00252CA8"/>
    <w:rsid w:val="00252F5C"/>
    <w:rsid w:val="002540D5"/>
    <w:rsid w:val="002543D1"/>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EE1"/>
    <w:rsid w:val="00285F2B"/>
    <w:rsid w:val="002868A3"/>
    <w:rsid w:val="00287E20"/>
    <w:rsid w:val="00291C33"/>
    <w:rsid w:val="00293181"/>
    <w:rsid w:val="00293648"/>
    <w:rsid w:val="00294BAC"/>
    <w:rsid w:val="002956F1"/>
    <w:rsid w:val="00295897"/>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289"/>
    <w:rsid w:val="002A66F9"/>
    <w:rsid w:val="002A7566"/>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6ADC"/>
    <w:rsid w:val="002D7016"/>
    <w:rsid w:val="002D7B30"/>
    <w:rsid w:val="002D7CB7"/>
    <w:rsid w:val="002E0E23"/>
    <w:rsid w:val="002E1366"/>
    <w:rsid w:val="002E1B4A"/>
    <w:rsid w:val="002E2077"/>
    <w:rsid w:val="002E54E2"/>
    <w:rsid w:val="002E56A2"/>
    <w:rsid w:val="002E5968"/>
    <w:rsid w:val="002E6B9D"/>
    <w:rsid w:val="002F04D9"/>
    <w:rsid w:val="002F1766"/>
    <w:rsid w:val="002F1CC9"/>
    <w:rsid w:val="002F53FF"/>
    <w:rsid w:val="002F5C89"/>
    <w:rsid w:val="002F6E20"/>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308E1"/>
    <w:rsid w:val="003321C5"/>
    <w:rsid w:val="003326D8"/>
    <w:rsid w:val="0033278E"/>
    <w:rsid w:val="0033325D"/>
    <w:rsid w:val="00333A90"/>
    <w:rsid w:val="00333CB2"/>
    <w:rsid w:val="0033577E"/>
    <w:rsid w:val="003358CF"/>
    <w:rsid w:val="0033709A"/>
    <w:rsid w:val="003376DA"/>
    <w:rsid w:val="00337C53"/>
    <w:rsid w:val="003403F0"/>
    <w:rsid w:val="00341BA2"/>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1C0"/>
    <w:rsid w:val="00364919"/>
    <w:rsid w:val="0036573C"/>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7C5"/>
    <w:rsid w:val="00395DDC"/>
    <w:rsid w:val="003970A4"/>
    <w:rsid w:val="00397AFE"/>
    <w:rsid w:val="003A2255"/>
    <w:rsid w:val="003A2922"/>
    <w:rsid w:val="003A390B"/>
    <w:rsid w:val="003A3B29"/>
    <w:rsid w:val="003A51EA"/>
    <w:rsid w:val="003A54B0"/>
    <w:rsid w:val="003A6773"/>
    <w:rsid w:val="003B025C"/>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EC1"/>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2E5D"/>
    <w:rsid w:val="00433CF8"/>
    <w:rsid w:val="0043665D"/>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2FA5"/>
    <w:rsid w:val="00453077"/>
    <w:rsid w:val="004538C6"/>
    <w:rsid w:val="004559CF"/>
    <w:rsid w:val="004564BA"/>
    <w:rsid w:val="00457506"/>
    <w:rsid w:val="00461981"/>
    <w:rsid w:val="00462C7A"/>
    <w:rsid w:val="0046347B"/>
    <w:rsid w:val="00463503"/>
    <w:rsid w:val="00464CF7"/>
    <w:rsid w:val="00465A1B"/>
    <w:rsid w:val="0046789D"/>
    <w:rsid w:val="004700D6"/>
    <w:rsid w:val="00470B85"/>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3B0A"/>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385"/>
    <w:rsid w:val="004D27EA"/>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4F775A"/>
    <w:rsid w:val="00500B7E"/>
    <w:rsid w:val="00501268"/>
    <w:rsid w:val="005014A1"/>
    <w:rsid w:val="005015CE"/>
    <w:rsid w:val="0050195F"/>
    <w:rsid w:val="0050242A"/>
    <w:rsid w:val="005034EC"/>
    <w:rsid w:val="00503698"/>
    <w:rsid w:val="00503AEB"/>
    <w:rsid w:val="005043F2"/>
    <w:rsid w:val="00504911"/>
    <w:rsid w:val="0050654B"/>
    <w:rsid w:val="0050707F"/>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EE1"/>
    <w:rsid w:val="0052512A"/>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628"/>
    <w:rsid w:val="005520B1"/>
    <w:rsid w:val="00552597"/>
    <w:rsid w:val="0055415B"/>
    <w:rsid w:val="00555316"/>
    <w:rsid w:val="0055598E"/>
    <w:rsid w:val="005568EC"/>
    <w:rsid w:val="00557B49"/>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3800"/>
    <w:rsid w:val="00573ACE"/>
    <w:rsid w:val="00576633"/>
    <w:rsid w:val="00577979"/>
    <w:rsid w:val="00577A64"/>
    <w:rsid w:val="00582236"/>
    <w:rsid w:val="00582395"/>
    <w:rsid w:val="0058260F"/>
    <w:rsid w:val="005827C1"/>
    <w:rsid w:val="005832AC"/>
    <w:rsid w:val="00583BA0"/>
    <w:rsid w:val="00583E04"/>
    <w:rsid w:val="005847F4"/>
    <w:rsid w:val="00584E6E"/>
    <w:rsid w:val="0058558D"/>
    <w:rsid w:val="00585C80"/>
    <w:rsid w:val="0059042A"/>
    <w:rsid w:val="005907AD"/>
    <w:rsid w:val="00591F10"/>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3788"/>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3F2D"/>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9EB"/>
    <w:rsid w:val="005E2D8A"/>
    <w:rsid w:val="005E42FC"/>
    <w:rsid w:val="005E6BFE"/>
    <w:rsid w:val="005E6C3D"/>
    <w:rsid w:val="005E799D"/>
    <w:rsid w:val="005F11DE"/>
    <w:rsid w:val="005F218A"/>
    <w:rsid w:val="005F26E6"/>
    <w:rsid w:val="005F3341"/>
    <w:rsid w:val="005F58EB"/>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697A"/>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27323"/>
    <w:rsid w:val="006301BF"/>
    <w:rsid w:val="006320FF"/>
    <w:rsid w:val="00633840"/>
    <w:rsid w:val="00634EC0"/>
    <w:rsid w:val="006355D1"/>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E2E"/>
    <w:rsid w:val="00663354"/>
    <w:rsid w:val="00664BA7"/>
    <w:rsid w:val="00664BD3"/>
    <w:rsid w:val="0066680F"/>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5C6"/>
    <w:rsid w:val="006C086C"/>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1031B"/>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425C"/>
    <w:rsid w:val="00765192"/>
    <w:rsid w:val="0076519D"/>
    <w:rsid w:val="00766365"/>
    <w:rsid w:val="00766960"/>
    <w:rsid w:val="00766ADC"/>
    <w:rsid w:val="00766E42"/>
    <w:rsid w:val="00767675"/>
    <w:rsid w:val="0077096E"/>
    <w:rsid w:val="00771150"/>
    <w:rsid w:val="00771BC7"/>
    <w:rsid w:val="007724EA"/>
    <w:rsid w:val="007735FB"/>
    <w:rsid w:val="007736BE"/>
    <w:rsid w:val="007739D7"/>
    <w:rsid w:val="0077438C"/>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4721"/>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102"/>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B01"/>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6AA8"/>
    <w:rsid w:val="00827C53"/>
    <w:rsid w:val="00830038"/>
    <w:rsid w:val="008306C9"/>
    <w:rsid w:val="008317C2"/>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2F"/>
    <w:rsid w:val="0086444C"/>
    <w:rsid w:val="00864951"/>
    <w:rsid w:val="00866742"/>
    <w:rsid w:val="00866F5C"/>
    <w:rsid w:val="00867C93"/>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187C"/>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2F91"/>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354"/>
    <w:rsid w:val="008D2637"/>
    <w:rsid w:val="008D34FF"/>
    <w:rsid w:val="008D4607"/>
    <w:rsid w:val="008D466D"/>
    <w:rsid w:val="008D473B"/>
    <w:rsid w:val="008D4A52"/>
    <w:rsid w:val="008D4F60"/>
    <w:rsid w:val="008D5543"/>
    <w:rsid w:val="008D584F"/>
    <w:rsid w:val="008D6F57"/>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1D6"/>
    <w:rsid w:val="00912580"/>
    <w:rsid w:val="009128E4"/>
    <w:rsid w:val="00914076"/>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FB1"/>
    <w:rsid w:val="00936502"/>
    <w:rsid w:val="009368CD"/>
    <w:rsid w:val="00936904"/>
    <w:rsid w:val="00937EB2"/>
    <w:rsid w:val="009402CC"/>
    <w:rsid w:val="009402E1"/>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F5"/>
    <w:rsid w:val="00972272"/>
    <w:rsid w:val="00972F4C"/>
    <w:rsid w:val="009741C5"/>
    <w:rsid w:val="00974C4D"/>
    <w:rsid w:val="0097507F"/>
    <w:rsid w:val="00976837"/>
    <w:rsid w:val="009773C2"/>
    <w:rsid w:val="00977A7D"/>
    <w:rsid w:val="00977EB0"/>
    <w:rsid w:val="00980F6B"/>
    <w:rsid w:val="00983EC0"/>
    <w:rsid w:val="00983F9C"/>
    <w:rsid w:val="0098498E"/>
    <w:rsid w:val="00984BFC"/>
    <w:rsid w:val="00986C86"/>
    <w:rsid w:val="00990478"/>
    <w:rsid w:val="00992221"/>
    <w:rsid w:val="0099379B"/>
    <w:rsid w:val="00995BD5"/>
    <w:rsid w:val="00996A3E"/>
    <w:rsid w:val="00996E1F"/>
    <w:rsid w:val="00996EA5"/>
    <w:rsid w:val="00996FD0"/>
    <w:rsid w:val="00997435"/>
    <w:rsid w:val="009A335E"/>
    <w:rsid w:val="009A40A9"/>
    <w:rsid w:val="009A43DB"/>
    <w:rsid w:val="009A4429"/>
    <w:rsid w:val="009A47D6"/>
    <w:rsid w:val="009A5661"/>
    <w:rsid w:val="009B08E2"/>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4D96"/>
    <w:rsid w:val="009F510A"/>
    <w:rsid w:val="009F5266"/>
    <w:rsid w:val="009F6A8C"/>
    <w:rsid w:val="009F6B73"/>
    <w:rsid w:val="009F6F56"/>
    <w:rsid w:val="009F7737"/>
    <w:rsid w:val="00A01261"/>
    <w:rsid w:val="00A0175F"/>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0FFB"/>
    <w:rsid w:val="00A31310"/>
    <w:rsid w:val="00A31735"/>
    <w:rsid w:val="00A317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0CBF"/>
    <w:rsid w:val="00A4132C"/>
    <w:rsid w:val="00A41874"/>
    <w:rsid w:val="00A42987"/>
    <w:rsid w:val="00A42ACB"/>
    <w:rsid w:val="00A42B85"/>
    <w:rsid w:val="00A42BEE"/>
    <w:rsid w:val="00A433AF"/>
    <w:rsid w:val="00A44F63"/>
    <w:rsid w:val="00A457BF"/>
    <w:rsid w:val="00A45B37"/>
    <w:rsid w:val="00A464BD"/>
    <w:rsid w:val="00A46A2C"/>
    <w:rsid w:val="00A46E53"/>
    <w:rsid w:val="00A47AF8"/>
    <w:rsid w:val="00A507EF"/>
    <w:rsid w:val="00A51BFC"/>
    <w:rsid w:val="00A51CF0"/>
    <w:rsid w:val="00A522D5"/>
    <w:rsid w:val="00A5373C"/>
    <w:rsid w:val="00A54083"/>
    <w:rsid w:val="00A54F53"/>
    <w:rsid w:val="00A551CE"/>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805"/>
    <w:rsid w:val="00A81E86"/>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50DE"/>
    <w:rsid w:val="00AF6DFF"/>
    <w:rsid w:val="00B013D7"/>
    <w:rsid w:val="00B04468"/>
    <w:rsid w:val="00B04699"/>
    <w:rsid w:val="00B051F3"/>
    <w:rsid w:val="00B05964"/>
    <w:rsid w:val="00B05BD5"/>
    <w:rsid w:val="00B076B7"/>
    <w:rsid w:val="00B115BD"/>
    <w:rsid w:val="00B12392"/>
    <w:rsid w:val="00B12611"/>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3778D"/>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3DC"/>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991"/>
    <w:rsid w:val="00BA1A30"/>
    <w:rsid w:val="00BA1AF4"/>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3CB7"/>
    <w:rsid w:val="00BD41D7"/>
    <w:rsid w:val="00BD4631"/>
    <w:rsid w:val="00BD52BF"/>
    <w:rsid w:val="00BD53FD"/>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15B03"/>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3B67"/>
    <w:rsid w:val="00C442E5"/>
    <w:rsid w:val="00C46086"/>
    <w:rsid w:val="00C46D3B"/>
    <w:rsid w:val="00C47107"/>
    <w:rsid w:val="00C47B1E"/>
    <w:rsid w:val="00C5097F"/>
    <w:rsid w:val="00C50CAA"/>
    <w:rsid w:val="00C515EF"/>
    <w:rsid w:val="00C52582"/>
    <w:rsid w:val="00C53410"/>
    <w:rsid w:val="00C537D5"/>
    <w:rsid w:val="00C53ADA"/>
    <w:rsid w:val="00C53C10"/>
    <w:rsid w:val="00C53EC0"/>
    <w:rsid w:val="00C545A1"/>
    <w:rsid w:val="00C54A75"/>
    <w:rsid w:val="00C55E35"/>
    <w:rsid w:val="00C56F70"/>
    <w:rsid w:val="00C57C60"/>
    <w:rsid w:val="00C57F23"/>
    <w:rsid w:val="00C6191D"/>
    <w:rsid w:val="00C6192E"/>
    <w:rsid w:val="00C623AA"/>
    <w:rsid w:val="00C62597"/>
    <w:rsid w:val="00C6278B"/>
    <w:rsid w:val="00C62C80"/>
    <w:rsid w:val="00C638F6"/>
    <w:rsid w:val="00C64C82"/>
    <w:rsid w:val="00C66645"/>
    <w:rsid w:val="00C66679"/>
    <w:rsid w:val="00C67E42"/>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877C3"/>
    <w:rsid w:val="00C904EC"/>
    <w:rsid w:val="00C916D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6C5D"/>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0AFB"/>
    <w:rsid w:val="00D81EBD"/>
    <w:rsid w:val="00D821B0"/>
    <w:rsid w:val="00D827C4"/>
    <w:rsid w:val="00D83437"/>
    <w:rsid w:val="00D836D1"/>
    <w:rsid w:val="00D85347"/>
    <w:rsid w:val="00D8579B"/>
    <w:rsid w:val="00D868A2"/>
    <w:rsid w:val="00D868B9"/>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1E36"/>
    <w:rsid w:val="00DB38B4"/>
    <w:rsid w:val="00DB4F39"/>
    <w:rsid w:val="00DB5BAF"/>
    <w:rsid w:val="00DC024B"/>
    <w:rsid w:val="00DC07DB"/>
    <w:rsid w:val="00DC13AF"/>
    <w:rsid w:val="00DC160A"/>
    <w:rsid w:val="00DC163D"/>
    <w:rsid w:val="00DC178B"/>
    <w:rsid w:val="00DC194D"/>
    <w:rsid w:val="00DC21F1"/>
    <w:rsid w:val="00DC2D0B"/>
    <w:rsid w:val="00DC35B5"/>
    <w:rsid w:val="00DC3E0E"/>
    <w:rsid w:val="00DC4002"/>
    <w:rsid w:val="00DC42D6"/>
    <w:rsid w:val="00DC4CD2"/>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BDB"/>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675"/>
    <w:rsid w:val="00E27BF1"/>
    <w:rsid w:val="00E30E14"/>
    <w:rsid w:val="00E30FB4"/>
    <w:rsid w:val="00E31159"/>
    <w:rsid w:val="00E314BD"/>
    <w:rsid w:val="00E317B1"/>
    <w:rsid w:val="00E32799"/>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0587"/>
    <w:rsid w:val="00E61203"/>
    <w:rsid w:val="00E6166A"/>
    <w:rsid w:val="00E62003"/>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59A"/>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B0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CB3"/>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5CDC"/>
    <w:rsid w:val="00F36110"/>
    <w:rsid w:val="00F40CBC"/>
    <w:rsid w:val="00F415E6"/>
    <w:rsid w:val="00F42853"/>
    <w:rsid w:val="00F42F14"/>
    <w:rsid w:val="00F4381E"/>
    <w:rsid w:val="00F44BC1"/>
    <w:rsid w:val="00F45D1F"/>
    <w:rsid w:val="00F51FE2"/>
    <w:rsid w:val="00F549E8"/>
    <w:rsid w:val="00F54BE2"/>
    <w:rsid w:val="00F55038"/>
    <w:rsid w:val="00F55144"/>
    <w:rsid w:val="00F55179"/>
    <w:rsid w:val="00F55416"/>
    <w:rsid w:val="00F55D10"/>
    <w:rsid w:val="00F56665"/>
    <w:rsid w:val="00F56B40"/>
    <w:rsid w:val="00F57407"/>
    <w:rsid w:val="00F57DC8"/>
    <w:rsid w:val="00F60690"/>
    <w:rsid w:val="00F6136C"/>
    <w:rsid w:val="00F61CB1"/>
    <w:rsid w:val="00F62024"/>
    <w:rsid w:val="00F6292F"/>
    <w:rsid w:val="00F635CA"/>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062C"/>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C88"/>
    <w:rsid w:val="00FB479A"/>
    <w:rsid w:val="00FB548F"/>
    <w:rsid w:val="00FB5629"/>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DC7"/>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0177"/>
    <o:shapelayout v:ext="edit">
      <o:idmap v:ext="edit" data="1"/>
    </o:shapelayout>
  </w:shapeDefaults>
  <w:decimalSymbol w:val="."/>
  <w:listSeparator w:val=","/>
  <w14:docId w14:val="2513C4D8"/>
  <w15:chartTrackingRefBased/>
  <w15:docId w15:val="{46138BDE-AD5E-4044-BA21-C62BBEC7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62695445">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80690327">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1967270465">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5JENXJJSCC7A-445999044-12044</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https://im/teams/LEGAL/_layouts/15/DocIdRedir.aspx?ID=5JENXJJSCC7A-445999044-12044</Url>
      <Description>5JENXJJSCC7A-445999044-12044</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410.0 Movement in Outstanding Claims Liabilities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96DA2-93A1-40B5-B98E-0CC48B82EB2D}">
  <ds:schemaRefs>
    <ds:schemaRef ds:uri="Microsoft.SharePoint.Taxonomy.ContentTypeSync"/>
  </ds:schemaRefs>
</ds:datastoreItem>
</file>

<file path=customXml/itemProps2.xml><?xml version="1.0" encoding="utf-8"?>
<ds:datastoreItem xmlns:ds="http://schemas.openxmlformats.org/officeDocument/2006/customXml" ds:itemID="{6A53693C-D723-4962-ACA7-1D0F6AC87E53}"/>
</file>

<file path=customXml/itemProps3.xml><?xml version="1.0" encoding="utf-8"?>
<ds:datastoreItem xmlns:ds="http://schemas.openxmlformats.org/officeDocument/2006/customXml" ds:itemID="{F926A021-9263-4459-822B-58AA846E5B8E}">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814d62cb-2db6-4c25-ab62-b9075facbc11"/>
  </ds:schemaRefs>
</ds:datastoreItem>
</file>

<file path=customXml/itemProps4.xml><?xml version="1.0" encoding="utf-8"?>
<ds:datastoreItem xmlns:ds="http://schemas.openxmlformats.org/officeDocument/2006/customXml" ds:itemID="{5DDDDE03-1D91-405C-BE43-1C65144E3499}">
  <ds:schemaRefs>
    <ds:schemaRef ds:uri="http://schemas.microsoft.com/sharepoint/v3/contenttype/forms"/>
  </ds:schemaRefs>
</ds:datastoreItem>
</file>

<file path=customXml/itemProps5.xml><?xml version="1.0" encoding="utf-8"?>
<ds:datastoreItem xmlns:ds="http://schemas.openxmlformats.org/officeDocument/2006/customXml" ds:itemID="{67644D0E-A4D0-488E-8C79-DBB68C48DB9F}">
  <ds:schemaRefs>
    <ds:schemaRef ds:uri="http://schemas.microsoft.com/sharepoint/events"/>
  </ds:schemaRefs>
</ds:datastoreItem>
</file>

<file path=customXml/itemProps6.xml><?xml version="1.0" encoding="utf-8"?>
<ds:datastoreItem xmlns:ds="http://schemas.openxmlformats.org/officeDocument/2006/customXml" ds:itemID="{FA37B27A-26FD-45D1-85EE-9B8287EB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2732</Words>
  <Characters>14923</Characters>
  <Application>Microsoft Office Word</Application>
  <DocSecurity>0</DocSecurity>
  <Lines>785</Lines>
  <Paragraphs>252</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Toni Michalis</dc:creator>
  <cp:keywords>[SEC=OFFICIAL]</cp:keywords>
  <cp:lastModifiedBy>Toni Michalis</cp:lastModifiedBy>
  <cp:revision>2</cp:revision>
  <cp:lastPrinted>2008-02-01T00:08:00Z</cp:lastPrinted>
  <dcterms:created xsi:type="dcterms:W3CDTF">2023-03-16T07:24:00Z</dcterms:created>
  <dcterms:modified xsi:type="dcterms:W3CDTF">2023-03-16T07:24:00Z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78215C1EC4BA4E5590A5F18D7E7A80EF</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2023-01-16T04:00:17Z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2672ACFDE7787870A8D72F2D8ECE9C8B</vt:lpwstr>
  </property>
  <property fmtid="{D5CDD505-2E9C-101B-9397-08002B2CF9AE}" pid="22" name="PM_Hash_Salt">
    <vt:lpwstr>23F802FC5B44B9268B54C3D0F006BEB4</vt:lpwstr>
  </property>
  <property fmtid="{D5CDD505-2E9C-101B-9397-08002B2CF9AE}" pid="23" name="PM_Hash_SHA1">
    <vt:lpwstr>66933C0BF1CE87DCBF8B3BE432CA73470335F8E2</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21dd9a30-3fc4-4e7d-8349-46f93b8cb737</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{21dd9a30-3fc4-4e7d-8349-46f93b8cb737}</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2023-01-16T04:00:17Z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v=2022.1;a=SHA256;h=DCF20338A9F263671A6B292A2638068C232023EEC16B7BE0F25ED8518BE78182</vt:lpwstr>
  </property>
  <property fmtid="{D5CDD505-2E9C-101B-9397-08002B2CF9AE}" pid="58" name="MSIP_Label_c0129afb-6481-4f92-bc9f-5a4a6346364d_ContentBits">
    <vt:lpwstr>0</vt:lpwstr>
  </property>
  <property fmtid="{D5CDD505-2E9C-101B-9397-08002B2CF9AE}" pid="59" name="MSIP_Label_c0129afb-6481-4f92-bc9f-5a4a6346364d_ActionId">
    <vt:lpwstr>bd15632e277a4e51a0519c8e72e45d9f</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