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3B0D0" w14:textId="77777777" w:rsidR="00405EC2" w:rsidRPr="003F21BB" w:rsidRDefault="00405EC2" w:rsidP="00405EC2">
      <w:pPr>
        <w:rPr>
          <w:color w:val="000000"/>
          <w:lang w:val="en-US"/>
        </w:rPr>
      </w:pPr>
      <w:bookmarkStart w:id="0" w:name="_Toc168113228"/>
      <w:r>
        <w:rPr>
          <w:noProof/>
          <w:color w:val="000000"/>
        </w:rPr>
        <w:drawing>
          <wp:inline distT="0" distB="0" distL="0" distR="0" wp14:anchorId="0D6A26E0" wp14:editId="3C62061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4C2D674" w14:textId="77777777" w:rsidR="00405EC2" w:rsidRPr="003F21BB" w:rsidRDefault="00405EC2" w:rsidP="00405EC2">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18</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21AA1781" w14:textId="77777777" w:rsidR="00405EC2" w:rsidRPr="008D68C1" w:rsidRDefault="00405EC2" w:rsidP="00405EC2">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8D68C1">
        <w:rPr>
          <w:rFonts w:ascii="Arial" w:hAnsi="Arial" w:cs="Arial"/>
          <w:b/>
          <w:bCs/>
          <w:color w:val="000000"/>
          <w:sz w:val="28"/>
          <w:szCs w:val="28"/>
        </w:rPr>
        <w:t>GRS 400.0 Statement of Risk by Country</w:t>
      </w:r>
    </w:p>
    <w:p w14:paraId="155470E7" w14:textId="77777777" w:rsidR="00405EC2" w:rsidRPr="003F21BB" w:rsidRDefault="00405EC2" w:rsidP="00405EC2">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637C1ADE" w14:textId="77777777" w:rsidR="00405EC2" w:rsidRPr="003F21BB" w:rsidRDefault="00405EC2" w:rsidP="00405EC2">
      <w:pPr>
        <w:ind w:left="720" w:hanging="720"/>
        <w:rPr>
          <w:color w:val="000000"/>
          <w:sz w:val="24"/>
        </w:rPr>
      </w:pPr>
    </w:p>
    <w:p w14:paraId="2B1FA565" w14:textId="77777777" w:rsidR="00405EC2" w:rsidRPr="007924D0" w:rsidRDefault="00405EC2" w:rsidP="00405EC2">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7818D8FF" w14:textId="77777777" w:rsidR="00405EC2" w:rsidRDefault="00405EC2" w:rsidP="00405EC2">
      <w:pPr>
        <w:jc w:val="both"/>
        <w:rPr>
          <w:color w:val="000000"/>
          <w:sz w:val="24"/>
          <w:szCs w:val="24"/>
        </w:rPr>
      </w:pPr>
    </w:p>
    <w:p w14:paraId="6C49AF83" w14:textId="051082E9" w:rsidR="00405EC2" w:rsidRPr="004F7A0C" w:rsidRDefault="00405EC2" w:rsidP="00405EC2">
      <w:pPr>
        <w:pStyle w:val="ListParagraph"/>
        <w:numPr>
          <w:ilvl w:val="0"/>
          <w:numId w:val="36"/>
        </w:numPr>
        <w:jc w:val="both"/>
        <w:rPr>
          <w:sz w:val="24"/>
          <w:szCs w:val="24"/>
        </w:rPr>
      </w:pPr>
      <w:r w:rsidRPr="004F7A0C">
        <w:rPr>
          <w:sz w:val="24"/>
          <w:szCs w:val="24"/>
        </w:rPr>
        <w:t xml:space="preserve">REVOKE Financial Sector (Collection of Data) (reporting standard) determination No. </w:t>
      </w:r>
      <w:r w:rsidR="00F65B32">
        <w:rPr>
          <w:sz w:val="24"/>
          <w:szCs w:val="24"/>
        </w:rPr>
        <w:t>21</w:t>
      </w:r>
      <w:r w:rsidRPr="004F7A0C">
        <w:rPr>
          <w:sz w:val="24"/>
          <w:szCs w:val="24"/>
        </w:rPr>
        <w:t xml:space="preserve"> of</w:t>
      </w:r>
      <w:r>
        <w:rPr>
          <w:sz w:val="24"/>
          <w:szCs w:val="24"/>
        </w:rPr>
        <w:t xml:space="preserve"> </w:t>
      </w:r>
      <w:r w:rsidRPr="004F7A0C">
        <w:rPr>
          <w:sz w:val="24"/>
          <w:szCs w:val="24"/>
        </w:rPr>
        <w:t>20</w:t>
      </w:r>
      <w:r>
        <w:rPr>
          <w:sz w:val="24"/>
          <w:szCs w:val="24"/>
        </w:rPr>
        <w:t>13</w:t>
      </w:r>
      <w:r w:rsidRPr="004F7A0C">
        <w:rPr>
          <w:sz w:val="24"/>
          <w:szCs w:val="24"/>
        </w:rPr>
        <w:t xml:space="preserve">, including </w:t>
      </w:r>
      <w:r w:rsidRPr="002D3393">
        <w:rPr>
          <w:i/>
          <w:sz w:val="24"/>
          <w:szCs w:val="24"/>
        </w:rPr>
        <w:t xml:space="preserve">Reporting Standard </w:t>
      </w:r>
      <w:r w:rsidRPr="00DE585C">
        <w:rPr>
          <w:i/>
          <w:sz w:val="24"/>
        </w:rPr>
        <w:t>GRS 400.0 Statement of Risk by Country</w:t>
      </w:r>
      <w:r w:rsidRPr="004F7A0C">
        <w:rPr>
          <w:sz w:val="24"/>
          <w:szCs w:val="24"/>
        </w:rPr>
        <w:t xml:space="preserve"> made under that </w:t>
      </w:r>
      <w:proofErr w:type="gramStart"/>
      <w:r w:rsidRPr="004F7A0C">
        <w:rPr>
          <w:sz w:val="24"/>
          <w:szCs w:val="24"/>
        </w:rPr>
        <w:t>Determination;</w:t>
      </w:r>
      <w:proofErr w:type="gramEnd"/>
      <w:r w:rsidRPr="004F7A0C">
        <w:rPr>
          <w:sz w:val="24"/>
          <w:szCs w:val="24"/>
        </w:rPr>
        <w:t xml:space="preserve"> and</w:t>
      </w:r>
    </w:p>
    <w:p w14:paraId="61DF1E9D" w14:textId="77777777" w:rsidR="00405EC2" w:rsidRPr="004F7A0C" w:rsidRDefault="00405EC2" w:rsidP="00405EC2">
      <w:pPr>
        <w:pStyle w:val="ListParagraph"/>
        <w:rPr>
          <w:sz w:val="24"/>
          <w:szCs w:val="24"/>
        </w:rPr>
      </w:pPr>
    </w:p>
    <w:p w14:paraId="47A647C6" w14:textId="77777777" w:rsidR="00405EC2" w:rsidRDefault="00405EC2" w:rsidP="00405EC2">
      <w:pPr>
        <w:pStyle w:val="ListParagraph"/>
        <w:numPr>
          <w:ilvl w:val="0"/>
          <w:numId w:val="36"/>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sidRPr="00DE585C">
        <w:rPr>
          <w:i/>
          <w:sz w:val="24"/>
        </w:rPr>
        <w:t>GRS 400.0 Statement of Risk by Country</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511C4F7F" w14:textId="77777777" w:rsidR="00405EC2" w:rsidRPr="007924D0" w:rsidRDefault="00405EC2" w:rsidP="00405EC2">
      <w:pPr>
        <w:pStyle w:val="ListParagraph"/>
        <w:rPr>
          <w:sz w:val="24"/>
          <w:szCs w:val="24"/>
        </w:rPr>
      </w:pPr>
    </w:p>
    <w:p w14:paraId="46228970" w14:textId="77777777" w:rsidR="00405EC2" w:rsidRPr="007924D0" w:rsidRDefault="00405EC2" w:rsidP="00405EC2">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35FF6069" w14:textId="77777777" w:rsidR="00405EC2" w:rsidRPr="007924D0" w:rsidRDefault="00405EC2" w:rsidP="00405EC2">
      <w:pPr>
        <w:jc w:val="both"/>
        <w:rPr>
          <w:sz w:val="24"/>
          <w:szCs w:val="24"/>
          <w:lang w:val="en-US"/>
        </w:rPr>
      </w:pPr>
    </w:p>
    <w:p w14:paraId="21226401" w14:textId="77777777" w:rsidR="00405EC2" w:rsidRPr="007924D0" w:rsidRDefault="00405EC2" w:rsidP="00405EC2">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3F633542" w14:textId="77777777" w:rsidR="00405EC2" w:rsidRPr="007924D0" w:rsidRDefault="00405EC2" w:rsidP="00405EC2">
      <w:pPr>
        <w:jc w:val="both"/>
        <w:rPr>
          <w:sz w:val="24"/>
          <w:szCs w:val="24"/>
          <w:lang w:val="en-US"/>
        </w:rPr>
      </w:pPr>
    </w:p>
    <w:p w14:paraId="5BFEF5F9" w14:textId="5D709000" w:rsidR="00405EC2" w:rsidRPr="003F21BB" w:rsidRDefault="00405EC2" w:rsidP="00405EC2">
      <w:pPr>
        <w:jc w:val="both"/>
        <w:rPr>
          <w:sz w:val="24"/>
          <w:szCs w:val="24"/>
          <w:lang w:val="en-US"/>
        </w:rPr>
      </w:pPr>
      <w:r w:rsidRPr="007924D0">
        <w:rPr>
          <w:sz w:val="24"/>
          <w:szCs w:val="24"/>
          <w:lang w:val="en-US"/>
        </w:rPr>
        <w:t xml:space="preserve">Dated: </w:t>
      </w:r>
      <w:r w:rsidR="00F65B32">
        <w:rPr>
          <w:sz w:val="24"/>
          <w:szCs w:val="24"/>
          <w:lang w:val="en-US"/>
        </w:rPr>
        <w:t>16</w:t>
      </w:r>
      <w:r w:rsidRPr="007924D0">
        <w:rPr>
          <w:sz w:val="24"/>
          <w:szCs w:val="24"/>
          <w:lang w:val="en-US"/>
        </w:rPr>
        <w:t xml:space="preserve"> March 202</w:t>
      </w:r>
      <w:r>
        <w:rPr>
          <w:sz w:val="24"/>
          <w:szCs w:val="24"/>
          <w:lang w:val="en-US"/>
        </w:rPr>
        <w:t>3</w:t>
      </w:r>
    </w:p>
    <w:p w14:paraId="5F2F38DB" w14:textId="77777777" w:rsidR="00405EC2" w:rsidRPr="003F21BB" w:rsidRDefault="00405EC2" w:rsidP="00405EC2">
      <w:pPr>
        <w:jc w:val="both"/>
        <w:rPr>
          <w:i/>
          <w:sz w:val="24"/>
          <w:szCs w:val="24"/>
          <w:lang w:val="en-US"/>
        </w:rPr>
      </w:pPr>
    </w:p>
    <w:p w14:paraId="31A51CE0" w14:textId="77777777" w:rsidR="00405EC2" w:rsidRPr="003F21BB" w:rsidRDefault="00405EC2" w:rsidP="00405EC2">
      <w:pPr>
        <w:jc w:val="both"/>
        <w:rPr>
          <w:color w:val="000000"/>
          <w:sz w:val="24"/>
          <w:szCs w:val="24"/>
          <w:lang w:val="en-US"/>
        </w:rPr>
      </w:pPr>
    </w:p>
    <w:p w14:paraId="265185C2" w14:textId="77777777" w:rsidR="00405EC2" w:rsidRPr="003F21BB" w:rsidRDefault="00405EC2" w:rsidP="00405EC2">
      <w:pPr>
        <w:jc w:val="both"/>
        <w:rPr>
          <w:sz w:val="24"/>
          <w:szCs w:val="24"/>
          <w:lang w:val="en-US"/>
        </w:rPr>
      </w:pPr>
    </w:p>
    <w:p w14:paraId="208528CA" w14:textId="77777777" w:rsidR="00405EC2" w:rsidRPr="003F21BB" w:rsidRDefault="00405EC2" w:rsidP="00405EC2">
      <w:pPr>
        <w:jc w:val="both"/>
        <w:rPr>
          <w:sz w:val="24"/>
          <w:szCs w:val="24"/>
          <w:lang w:val="en-US"/>
        </w:rPr>
      </w:pPr>
      <w:r>
        <w:rPr>
          <w:sz w:val="24"/>
          <w:szCs w:val="24"/>
          <w:lang w:val="en-US"/>
        </w:rPr>
        <w:t>Michael Murphy</w:t>
      </w:r>
    </w:p>
    <w:p w14:paraId="2F7A8189" w14:textId="53A596C3" w:rsidR="00405EC2" w:rsidRPr="003F21BB" w:rsidRDefault="00CD5DCD" w:rsidP="00405EC2">
      <w:pPr>
        <w:jc w:val="both"/>
        <w:rPr>
          <w:sz w:val="24"/>
          <w:szCs w:val="24"/>
          <w:lang w:val="en-US"/>
        </w:rPr>
      </w:pPr>
      <w:r>
        <w:rPr>
          <w:sz w:val="24"/>
          <w:szCs w:val="24"/>
          <w:lang w:val="en-US"/>
        </w:rPr>
        <w:t>General Manager – Chief Data Officer (Acting)</w:t>
      </w:r>
      <w:r w:rsidR="00405EC2">
        <w:rPr>
          <w:sz w:val="24"/>
          <w:szCs w:val="24"/>
          <w:lang w:val="en-US"/>
        </w:rPr>
        <w:t>,</w:t>
      </w:r>
    </w:p>
    <w:p w14:paraId="09C8286F" w14:textId="77777777" w:rsidR="00405EC2" w:rsidRPr="003F21BB" w:rsidRDefault="00405EC2" w:rsidP="00405EC2">
      <w:pPr>
        <w:jc w:val="both"/>
        <w:rPr>
          <w:sz w:val="24"/>
          <w:szCs w:val="24"/>
          <w:lang w:val="en-US"/>
        </w:rPr>
      </w:pPr>
      <w:r>
        <w:rPr>
          <w:sz w:val="24"/>
          <w:szCs w:val="24"/>
          <w:lang w:val="en-US"/>
        </w:rPr>
        <w:t>Technology and Data</w:t>
      </w:r>
      <w:r w:rsidRPr="003F21BB">
        <w:rPr>
          <w:sz w:val="24"/>
          <w:szCs w:val="24"/>
          <w:lang w:val="en-US"/>
        </w:rPr>
        <w:t xml:space="preserve"> Division</w:t>
      </w:r>
    </w:p>
    <w:p w14:paraId="5C20E3D3" w14:textId="77777777" w:rsidR="00F65B32" w:rsidRDefault="00F65B32">
      <w:pPr>
        <w:rPr>
          <w:sz w:val="24"/>
          <w:szCs w:val="24"/>
          <w:lang w:val="en-US"/>
        </w:rPr>
      </w:pPr>
      <w:r>
        <w:rPr>
          <w:sz w:val="24"/>
          <w:szCs w:val="24"/>
          <w:lang w:val="en-US"/>
        </w:rPr>
        <w:br w:type="page"/>
      </w:r>
    </w:p>
    <w:p w14:paraId="728F8309" w14:textId="5966E9B6" w:rsidR="00405EC2" w:rsidRPr="003F21BB" w:rsidRDefault="00405EC2" w:rsidP="00405EC2">
      <w:pPr>
        <w:jc w:val="both"/>
        <w:rPr>
          <w:b/>
          <w:sz w:val="24"/>
          <w:szCs w:val="24"/>
          <w:lang w:val="en-US"/>
        </w:rPr>
      </w:pPr>
      <w:r w:rsidRPr="003F21BB">
        <w:rPr>
          <w:b/>
          <w:color w:val="000000"/>
          <w:sz w:val="24"/>
          <w:szCs w:val="24"/>
          <w:lang w:val="en-US"/>
        </w:rPr>
        <w:lastRenderedPageBreak/>
        <w:t>Interpretation</w:t>
      </w:r>
    </w:p>
    <w:p w14:paraId="06A2F040" w14:textId="77777777" w:rsidR="00405EC2" w:rsidRPr="003F21BB" w:rsidRDefault="00405EC2" w:rsidP="00405EC2">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33E78405" w14:textId="77777777" w:rsidR="00405EC2" w:rsidRPr="003F21BB" w:rsidRDefault="00405EC2" w:rsidP="00405EC2">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53C07334" w14:textId="77777777" w:rsidR="00405EC2" w:rsidRPr="003F21BB" w:rsidRDefault="00405EC2" w:rsidP="00405EC2">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1910855C" w14:textId="77777777" w:rsidR="00405EC2" w:rsidRPr="003F21BB" w:rsidRDefault="00405EC2" w:rsidP="00405EC2">
      <w:pPr>
        <w:spacing w:before="240"/>
        <w:ind w:left="720" w:hanging="720"/>
        <w:jc w:val="both"/>
        <w:rPr>
          <w:color w:val="000000"/>
          <w:sz w:val="24"/>
          <w:szCs w:val="24"/>
        </w:rPr>
      </w:pPr>
    </w:p>
    <w:p w14:paraId="7CD8A84D" w14:textId="77777777" w:rsidR="00405EC2" w:rsidRPr="003F21BB" w:rsidRDefault="00405EC2" w:rsidP="00405EC2">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1EBD939A" w14:textId="77777777" w:rsidR="00405EC2" w:rsidRPr="003F21BB" w:rsidRDefault="00405EC2" w:rsidP="00405EC2">
      <w:pPr>
        <w:keepNext/>
        <w:autoSpaceDE w:val="0"/>
        <w:autoSpaceDN w:val="0"/>
        <w:spacing w:before="60" w:line="200" w:lineRule="exact"/>
        <w:rPr>
          <w:rFonts w:ascii="Arial" w:hAnsi="Arial" w:cs="Arial"/>
          <w:color w:val="000000"/>
          <w:sz w:val="18"/>
          <w:szCs w:val="18"/>
        </w:rPr>
      </w:pPr>
    </w:p>
    <w:p w14:paraId="69D437B6" w14:textId="7307E402" w:rsidR="00405EC2" w:rsidRDefault="00405EC2" w:rsidP="00405EC2">
      <w:pPr>
        <w:tabs>
          <w:tab w:val="center" w:pos="4320"/>
          <w:tab w:val="right" w:pos="8640"/>
        </w:tabs>
        <w:jc w:val="both"/>
        <w:rPr>
          <w:bCs/>
          <w:sz w:val="24"/>
          <w:szCs w:val="24"/>
          <w:lang w:val="en-US"/>
        </w:rPr>
      </w:pPr>
      <w:r w:rsidRPr="002D3393">
        <w:rPr>
          <w:i/>
          <w:color w:val="000000"/>
          <w:sz w:val="24"/>
          <w:szCs w:val="24"/>
        </w:rPr>
        <w:t xml:space="preserve">Reporting Standard </w:t>
      </w:r>
      <w:r w:rsidRPr="00DE585C">
        <w:rPr>
          <w:i/>
          <w:sz w:val="24"/>
        </w:rPr>
        <w:t>GRS 400.0 Statement of Risk by Country</w:t>
      </w:r>
      <w:r w:rsidRPr="003F21BB">
        <w:rPr>
          <w:bCs/>
          <w:sz w:val="24"/>
          <w:szCs w:val="24"/>
          <w:lang w:val="en-US"/>
        </w:rPr>
        <w:t xml:space="preserve"> comprises the document commencing on the following page.</w:t>
      </w:r>
      <w:bookmarkEnd w:id="0"/>
    </w:p>
    <w:p w14:paraId="0B2BAC34" w14:textId="77777777" w:rsidR="00F65B32" w:rsidRDefault="00F65B32" w:rsidP="00405EC2">
      <w:pPr>
        <w:tabs>
          <w:tab w:val="center" w:pos="4320"/>
          <w:tab w:val="right" w:pos="8640"/>
        </w:tabs>
        <w:jc w:val="both"/>
        <w:rPr>
          <w:bCs/>
          <w:sz w:val="24"/>
          <w:szCs w:val="24"/>
          <w:lang w:val="en-US"/>
        </w:rPr>
        <w:sectPr w:rsidR="00F65B32" w:rsidSect="00EA3C06">
          <w:headerReference w:type="default" r:id="rId14"/>
          <w:headerReference w:type="first" r:id="rId15"/>
          <w:footerReference w:type="first" r:id="rId16"/>
          <w:pgSz w:w="11907" w:h="16840" w:code="9"/>
          <w:pgMar w:top="1440" w:right="1440" w:bottom="1440" w:left="1440" w:header="720" w:footer="720" w:gutter="0"/>
          <w:pgNumType w:start="1"/>
          <w:cols w:space="720"/>
          <w:titlePg/>
          <w:docGrid w:linePitch="272"/>
        </w:sectPr>
      </w:pPr>
    </w:p>
    <w:p w14:paraId="03418F0C" w14:textId="753F2259" w:rsidR="005B7824" w:rsidRPr="005D79F5" w:rsidRDefault="00524948" w:rsidP="005B7824">
      <w:pPr>
        <w:keepNext/>
        <w:jc w:val="both"/>
        <w:outlineLvl w:val="1"/>
        <w:rPr>
          <w:rFonts w:ascii="Arial" w:hAnsi="Arial" w:cs="Arial"/>
          <w:b/>
          <w:sz w:val="40"/>
          <w:szCs w:val="40"/>
          <w:lang w:val="en-US"/>
        </w:rPr>
      </w:pPr>
      <w:r w:rsidRPr="005B7824">
        <w:rPr>
          <w:rFonts w:ascii="Arial" w:hAnsi="Arial"/>
          <w:b/>
          <w:noProof/>
          <w:sz w:val="32"/>
          <w:lang w:val="en-US"/>
        </w:rPr>
        <w:lastRenderedPageBreak/>
        <w:drawing>
          <wp:inline distT="0" distB="0" distL="0" distR="0" wp14:anchorId="27E60B1E" wp14:editId="31B902A1">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05196C8C" w14:textId="77777777" w:rsidR="005B7824" w:rsidRPr="005B7824" w:rsidRDefault="005B7824" w:rsidP="005B7824">
      <w:pPr>
        <w:keepNext/>
        <w:jc w:val="both"/>
        <w:outlineLvl w:val="1"/>
        <w:rPr>
          <w:rFonts w:ascii="Arial" w:hAnsi="Arial" w:cs="Arial"/>
          <w:b/>
          <w:sz w:val="40"/>
          <w:szCs w:val="40"/>
          <w:lang w:val="en-US"/>
        </w:rPr>
      </w:pPr>
    </w:p>
    <w:p w14:paraId="3B65D848"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4C68EC">
        <w:rPr>
          <w:rFonts w:ascii="Arial" w:hAnsi="Arial" w:cs="Arial"/>
          <w:b/>
          <w:sz w:val="40"/>
          <w:szCs w:val="40"/>
          <w:lang w:val="en-US"/>
        </w:rPr>
        <w:t>4</w:t>
      </w:r>
      <w:r w:rsidR="00BD3CB7">
        <w:rPr>
          <w:rFonts w:ascii="Arial" w:hAnsi="Arial" w:cs="Arial"/>
          <w:b/>
          <w:sz w:val="40"/>
          <w:szCs w:val="40"/>
          <w:lang w:val="en-US"/>
        </w:rPr>
        <w:t>00</w:t>
      </w:r>
      <w:r w:rsidR="00FB07B0">
        <w:rPr>
          <w:rFonts w:ascii="Arial" w:hAnsi="Arial" w:cs="Arial"/>
          <w:b/>
          <w:sz w:val="40"/>
          <w:szCs w:val="40"/>
          <w:lang w:val="en-US"/>
        </w:rPr>
        <w:t>.0</w:t>
      </w:r>
    </w:p>
    <w:p w14:paraId="4D270D13" w14:textId="77777777" w:rsidR="005B7824" w:rsidRPr="005B7824" w:rsidRDefault="005B7824" w:rsidP="005B7824">
      <w:pPr>
        <w:jc w:val="both"/>
        <w:rPr>
          <w:b/>
          <w:sz w:val="28"/>
          <w:lang w:val="en-US"/>
        </w:rPr>
      </w:pPr>
    </w:p>
    <w:p w14:paraId="6E2D7508" w14:textId="77777777" w:rsidR="005B7824" w:rsidRPr="005B7824" w:rsidRDefault="00BD3CB7" w:rsidP="005B7824">
      <w:pPr>
        <w:keepNext/>
        <w:jc w:val="both"/>
        <w:outlineLvl w:val="0"/>
        <w:rPr>
          <w:rFonts w:ascii="Arial" w:hAnsi="Arial" w:cs="Arial"/>
          <w:b/>
          <w:sz w:val="40"/>
          <w:szCs w:val="40"/>
          <w:lang w:val="en-US"/>
        </w:rPr>
      </w:pPr>
      <w:r>
        <w:rPr>
          <w:rFonts w:ascii="Arial" w:hAnsi="Arial" w:cs="Arial"/>
          <w:b/>
          <w:sz w:val="40"/>
          <w:szCs w:val="40"/>
          <w:lang w:val="en-US"/>
        </w:rPr>
        <w:t xml:space="preserve">Statement of </w:t>
      </w:r>
      <w:r w:rsidR="004C68EC">
        <w:rPr>
          <w:rFonts w:ascii="Arial" w:hAnsi="Arial" w:cs="Arial"/>
          <w:b/>
          <w:sz w:val="40"/>
          <w:szCs w:val="40"/>
          <w:lang w:val="en-US"/>
        </w:rPr>
        <w:t>Risk by Country</w:t>
      </w:r>
    </w:p>
    <w:p w14:paraId="60EF99A8" w14:textId="77777777" w:rsidR="005B7824" w:rsidRPr="005B7824" w:rsidRDefault="005B7824" w:rsidP="005B7824">
      <w:pPr>
        <w:jc w:val="both"/>
        <w:rPr>
          <w:sz w:val="28"/>
          <w:lang w:val="en-US"/>
        </w:rPr>
      </w:pPr>
    </w:p>
    <w:p w14:paraId="62E6B5A5"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47D35F32"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12F7DC5B"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w:t>
      </w:r>
      <w:r w:rsidR="004C68EC">
        <w:rPr>
          <w:sz w:val="24"/>
          <w:lang w:val="en-US"/>
        </w:rPr>
        <w:t xml:space="preserve">selected </w:t>
      </w:r>
      <w:r w:rsidRPr="005B7824">
        <w:rPr>
          <w:sz w:val="24"/>
          <w:lang w:val="en-US"/>
        </w:rPr>
        <w:t>i</w:t>
      </w:r>
      <w:r w:rsidR="004C68EC">
        <w:rPr>
          <w:sz w:val="24"/>
          <w:lang w:val="en-US"/>
        </w:rPr>
        <w:t>nformation to APRA relating to a</w:t>
      </w:r>
      <w:r w:rsidRPr="005B7824">
        <w:rPr>
          <w:sz w:val="24"/>
          <w:lang w:val="en-US"/>
        </w:rPr>
        <w:t xml:space="preserve"> general insurer’s </w:t>
      </w:r>
      <w:r w:rsidR="004C68EC">
        <w:rPr>
          <w:sz w:val="24"/>
          <w:lang w:val="en-US"/>
        </w:rPr>
        <w:t>business written outside Australia</w:t>
      </w:r>
      <w:r w:rsidRPr="005B7824">
        <w:rPr>
          <w:sz w:val="24"/>
          <w:lang w:val="en-US"/>
        </w:rPr>
        <w:t xml:space="preserve">. </w:t>
      </w:r>
    </w:p>
    <w:p w14:paraId="49CD44B5"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 xml:space="preserve">Form GRF </w:t>
      </w:r>
      <w:r w:rsidR="004C68EC">
        <w:rPr>
          <w:i/>
          <w:sz w:val="24"/>
          <w:lang w:val="en-US"/>
        </w:rPr>
        <w:t>4</w:t>
      </w:r>
      <w:r w:rsidR="00BD3CB7">
        <w:rPr>
          <w:i/>
          <w:sz w:val="24"/>
          <w:lang w:val="en-US"/>
        </w:rPr>
        <w:t>00</w:t>
      </w:r>
      <w:r w:rsidR="00FB07B0">
        <w:rPr>
          <w:i/>
          <w:sz w:val="24"/>
          <w:lang w:val="en-US"/>
        </w:rPr>
        <w:t xml:space="preserve">.0 </w:t>
      </w:r>
      <w:r w:rsidR="00BD3CB7">
        <w:rPr>
          <w:i/>
          <w:sz w:val="24"/>
          <w:lang w:val="en-US"/>
        </w:rPr>
        <w:t xml:space="preserve">Statement of </w:t>
      </w:r>
      <w:r w:rsidR="004C68EC">
        <w:rPr>
          <w:i/>
          <w:sz w:val="24"/>
          <w:lang w:val="en-US"/>
        </w:rPr>
        <w:t>Risk by Country</w:t>
      </w:r>
      <w:r w:rsidRPr="005B7824">
        <w:rPr>
          <w:sz w:val="24"/>
          <w:lang w:val="en-US"/>
        </w:rPr>
        <w:t xml:space="preserve"> and associated specific instructions and must be read in conjunction with the general instruction guide</w:t>
      </w:r>
      <w:r w:rsidR="00341BA2">
        <w:rPr>
          <w:sz w:val="24"/>
          <w:lang w:val="en-US"/>
        </w:rPr>
        <w:t>.</w:t>
      </w:r>
    </w:p>
    <w:p w14:paraId="62D1AFB0"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214DEE46"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45BAA628"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2485254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22F2BE20"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 xml:space="preserve">Form GRF </w:t>
      </w:r>
      <w:r w:rsidR="004C68EC">
        <w:rPr>
          <w:i/>
          <w:sz w:val="24"/>
          <w:lang w:val="en-US"/>
        </w:rPr>
        <w:t>4</w:t>
      </w:r>
      <w:r w:rsidR="00BD3CB7">
        <w:rPr>
          <w:i/>
          <w:sz w:val="24"/>
          <w:lang w:val="en-US"/>
        </w:rPr>
        <w:t>00</w:t>
      </w:r>
      <w:r w:rsidR="00FB07B0">
        <w:rPr>
          <w:i/>
          <w:sz w:val="24"/>
          <w:lang w:val="en-US"/>
        </w:rPr>
        <w:t xml:space="preserve">.0 </w:t>
      </w:r>
      <w:r w:rsidR="00BD3CB7">
        <w:rPr>
          <w:i/>
          <w:sz w:val="24"/>
          <w:lang w:val="en-US"/>
        </w:rPr>
        <w:t xml:space="preserve">Statement of </w:t>
      </w:r>
      <w:r w:rsidR="004C68EC">
        <w:rPr>
          <w:i/>
          <w:sz w:val="24"/>
          <w:lang w:val="en-US"/>
        </w:rPr>
        <w:t>Risk by Country</w:t>
      </w:r>
      <w:r w:rsidRPr="005B7824">
        <w:rPr>
          <w:sz w:val="24"/>
          <w:lang w:val="en-US"/>
        </w:rPr>
        <w:t xml:space="preserve"> (GRF </w:t>
      </w:r>
      <w:r w:rsidR="004C68EC">
        <w:rPr>
          <w:sz w:val="24"/>
          <w:lang w:val="en-US"/>
        </w:rPr>
        <w:t>4</w:t>
      </w:r>
      <w:r w:rsidR="00BD3CB7">
        <w:rPr>
          <w:sz w:val="24"/>
          <w:lang w:val="en-US"/>
        </w:rPr>
        <w:t>00</w:t>
      </w:r>
      <w:r w:rsidR="00FB07B0">
        <w:rPr>
          <w:sz w:val="24"/>
          <w:lang w:val="en-US"/>
        </w:rPr>
        <w:t>.0</w:t>
      </w:r>
      <w:r w:rsidRPr="005B7824">
        <w:rPr>
          <w:sz w:val="24"/>
          <w:lang w:val="en-US"/>
        </w:rPr>
        <w:t>) is used by APRA for the purpose of prudential supervision including assessing compliance with the capital standards.</w:t>
      </w:r>
      <w:r w:rsidRPr="005B7824" w:rsidDel="007456FC">
        <w:rPr>
          <w:sz w:val="24"/>
          <w:vertAlign w:val="superscript"/>
          <w:lang w:val="en-US"/>
        </w:rPr>
        <w:t xml:space="preserve"> </w:t>
      </w:r>
    </w:p>
    <w:p w14:paraId="55749C1A"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75958069" w14:textId="0FFD518E"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DC2FF0">
        <w:rPr>
          <w:sz w:val="24"/>
          <w:szCs w:val="24"/>
          <w:lang w:val="en-US"/>
        </w:rPr>
        <w:t xml:space="preserve"> </w:t>
      </w:r>
      <w:r w:rsidR="00970DE7">
        <w:rPr>
          <w:sz w:val="24"/>
          <w:szCs w:val="24"/>
          <w:lang w:val="en-US"/>
        </w:rPr>
        <w:t>1 April 2023</w:t>
      </w:r>
      <w:r w:rsidRPr="005B7824">
        <w:rPr>
          <w:sz w:val="24"/>
          <w:szCs w:val="24"/>
          <w:lang w:val="en-US"/>
        </w:rPr>
        <w:t xml:space="preserve">. </w:t>
      </w:r>
      <w:r w:rsidRPr="005B7824">
        <w:rPr>
          <w:sz w:val="24"/>
          <w:lang w:val="en-US"/>
        </w:rPr>
        <w:t xml:space="preserve"> </w:t>
      </w:r>
    </w:p>
    <w:p w14:paraId="036C3CBA"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6A62535B"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Form GRF </w:t>
      </w:r>
      <w:r w:rsidR="004C68EC">
        <w:rPr>
          <w:sz w:val="24"/>
          <w:lang w:val="en-US"/>
        </w:rPr>
        <w:t>4</w:t>
      </w:r>
      <w:r w:rsidR="00BD3CB7">
        <w:rPr>
          <w:sz w:val="24"/>
          <w:lang w:val="en-US"/>
        </w:rPr>
        <w:t>00</w:t>
      </w:r>
      <w:r w:rsidR="00FB07B0">
        <w:rPr>
          <w:sz w:val="24"/>
          <w:lang w:val="en-US"/>
        </w:rPr>
        <w:t>.0</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5924B534" w14:textId="3F9FD04E" w:rsidR="005B7824" w:rsidRPr="005B7824" w:rsidRDefault="009D6486"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4A50B453" w14:textId="77777777" w:rsidR="0061497A" w:rsidRPr="00F01667" w:rsidRDefault="0061497A" w:rsidP="005250A7">
      <w:pPr>
        <w:numPr>
          <w:ilvl w:val="1"/>
          <w:numId w:val="23"/>
        </w:numPr>
        <w:spacing w:after="240"/>
        <w:jc w:val="both"/>
        <w:rPr>
          <w:sz w:val="24"/>
          <w:szCs w:val="24"/>
          <w:lang w:val="en-US"/>
        </w:rPr>
      </w:pPr>
      <w:bookmarkStart w:id="3" w:name="_Ref339262396"/>
      <w:r w:rsidRPr="00F01667">
        <w:rPr>
          <w:sz w:val="24"/>
          <w:szCs w:val="24"/>
          <w:lang w:val="en-US"/>
        </w:rPr>
        <w:t xml:space="preserve">The information required by this Reporting Standard must be given to APRA: </w:t>
      </w:r>
    </w:p>
    <w:p w14:paraId="1522C12D" w14:textId="77777777" w:rsidR="0061497A" w:rsidRPr="00F01667" w:rsidRDefault="0061497A" w:rsidP="005250A7">
      <w:pPr>
        <w:spacing w:after="240"/>
        <w:ind w:left="567"/>
        <w:jc w:val="both"/>
        <w:rPr>
          <w:sz w:val="24"/>
          <w:szCs w:val="24"/>
          <w:lang w:val="en-US"/>
        </w:rPr>
      </w:pPr>
      <w:r w:rsidRPr="00F01667">
        <w:rPr>
          <w:sz w:val="24"/>
          <w:szCs w:val="24"/>
          <w:lang w:val="en-US"/>
        </w:rPr>
        <w:t>(a)</w:t>
      </w:r>
      <w:r w:rsidRPr="00F01667">
        <w:rPr>
          <w:sz w:val="24"/>
          <w:szCs w:val="24"/>
          <w:lang w:val="en-US"/>
        </w:rPr>
        <w:tab/>
      </w:r>
      <w:r>
        <w:rPr>
          <w:sz w:val="24"/>
          <w:szCs w:val="24"/>
          <w:lang w:val="en-US"/>
        </w:rPr>
        <w:t xml:space="preserve"> </w:t>
      </w:r>
      <w:r w:rsidRPr="00F01667">
        <w:rPr>
          <w:sz w:val="24"/>
          <w:szCs w:val="24"/>
          <w:lang w:val="en-US"/>
        </w:rPr>
        <w:t xml:space="preserve">in electronic format using an electronic method available on APRA’s website; or </w:t>
      </w:r>
    </w:p>
    <w:p w14:paraId="0C5E7DEF" w14:textId="7E93260F" w:rsidR="005B7824" w:rsidRPr="00AE7206" w:rsidRDefault="0061497A" w:rsidP="005250A7">
      <w:pPr>
        <w:spacing w:after="240"/>
        <w:ind w:left="567"/>
        <w:jc w:val="both"/>
        <w:rPr>
          <w:sz w:val="24"/>
          <w:szCs w:val="24"/>
          <w:lang w:val="en-US"/>
        </w:rPr>
      </w:pPr>
      <w:r w:rsidRPr="00F01667">
        <w:rPr>
          <w:sz w:val="24"/>
          <w:szCs w:val="24"/>
          <w:lang w:val="en-US"/>
        </w:rPr>
        <w:lastRenderedPageBreak/>
        <w:t>(b)</w:t>
      </w:r>
      <w:r w:rsidRPr="00F01667">
        <w:rPr>
          <w:sz w:val="24"/>
          <w:szCs w:val="24"/>
          <w:lang w:val="en-US"/>
        </w:rPr>
        <w:tab/>
      </w:r>
      <w:r>
        <w:rPr>
          <w:sz w:val="24"/>
          <w:szCs w:val="24"/>
          <w:lang w:val="en-US"/>
        </w:rPr>
        <w:t xml:space="preserve"> </w:t>
      </w:r>
      <w:r w:rsidRPr="00F01667">
        <w:rPr>
          <w:sz w:val="24"/>
          <w:szCs w:val="24"/>
          <w:lang w:val="en-US"/>
        </w:rPr>
        <w:t>by a method notified by APRA prior to submission.</w:t>
      </w:r>
      <w:bookmarkEnd w:id="3"/>
    </w:p>
    <w:p w14:paraId="2011FDB6" w14:textId="77777777" w:rsidR="005B7824" w:rsidRPr="005B7824" w:rsidRDefault="005B7824" w:rsidP="005250A7">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6D3EF852" w14:textId="41A2BE67" w:rsidR="005B7824" w:rsidRPr="005B7824" w:rsidRDefault="005B7824" w:rsidP="005B7824">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3B5C22">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p>
    <w:p w14:paraId="23C94D63" w14:textId="77777777" w:rsidR="005B7824" w:rsidRPr="005B7824" w:rsidRDefault="005B7824" w:rsidP="005B7824">
      <w:pPr>
        <w:numPr>
          <w:ilvl w:val="0"/>
          <w:numId w:val="21"/>
        </w:numPr>
        <w:spacing w:after="240"/>
        <w:jc w:val="both"/>
        <w:rPr>
          <w:sz w:val="24"/>
          <w:lang w:val="en-US"/>
        </w:rPr>
      </w:pPr>
      <w:bookmarkStart w:id="5" w:name="_Ref339261561"/>
      <w:r w:rsidRPr="005B7824">
        <w:rPr>
          <w:sz w:val="24"/>
          <w:szCs w:val="24"/>
          <w:lang w:val="en-US"/>
        </w:rPr>
        <w:t>in respect of each quarter based on the financial year of the insurer; and</w:t>
      </w:r>
      <w:bookmarkEnd w:id="5"/>
    </w:p>
    <w:p w14:paraId="7CAAA282" w14:textId="77777777" w:rsidR="005B7824" w:rsidRPr="005B7824" w:rsidRDefault="005B7824" w:rsidP="005B7824">
      <w:pPr>
        <w:numPr>
          <w:ilvl w:val="0"/>
          <w:numId w:val="21"/>
        </w:numPr>
        <w:spacing w:after="240"/>
        <w:jc w:val="both"/>
        <w:rPr>
          <w:sz w:val="24"/>
          <w:lang w:val="en-US"/>
        </w:rPr>
      </w:pPr>
      <w:bookmarkStart w:id="6" w:name="_Ref339261564"/>
      <w:r w:rsidRPr="005B7824">
        <w:rPr>
          <w:sz w:val="24"/>
          <w:szCs w:val="24"/>
          <w:lang w:val="en-US"/>
        </w:rPr>
        <w:t>in respect of each financial year of the insurer.</w:t>
      </w:r>
      <w:bookmarkEnd w:id="6"/>
    </w:p>
    <w:p w14:paraId="3929435F" w14:textId="5E0A99F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3B5C22">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3B5C22">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3B5C22">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3B5C22">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w:t>
      </w:r>
      <w:proofErr w:type="gramStart"/>
      <w:r w:rsidRPr="005B7824">
        <w:rPr>
          <w:lang w:val="en-US"/>
        </w:rPr>
        <w:t>J(</w:t>
      </w:r>
      <w:proofErr w:type="gramEnd"/>
      <w:r w:rsidRPr="005B7824">
        <w:rPr>
          <w:lang w:val="en-US"/>
        </w:rPr>
        <w:t>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7F0A6DF2" w14:textId="2AFA8162" w:rsidR="005B7824" w:rsidRPr="005B7824" w:rsidRDefault="005B7824" w:rsidP="005B7824">
      <w:pPr>
        <w:numPr>
          <w:ilvl w:val="1"/>
          <w:numId w:val="23"/>
        </w:numPr>
        <w:spacing w:after="240"/>
        <w:jc w:val="both"/>
        <w:rPr>
          <w:sz w:val="24"/>
          <w:lang w:val="en-US"/>
        </w:rPr>
      </w:pPr>
      <w:bookmarkStart w:id="7"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3B5C22">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3B5C22">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3B5C22">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3B5C22">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7"/>
      <w:r w:rsidRPr="005B7824" w:rsidDel="003F74DD">
        <w:rPr>
          <w:sz w:val="24"/>
          <w:lang w:val="en-US"/>
        </w:rPr>
        <w:t xml:space="preserve"> </w:t>
      </w:r>
      <w:bookmarkStart w:id="8" w:name="_Ref339262364"/>
      <w:r w:rsidRPr="005B7824">
        <w:rPr>
          <w:sz w:val="24"/>
          <w:lang w:val="en-US"/>
        </w:rPr>
        <w:t xml:space="preserve"> </w:t>
      </w:r>
      <w:bookmarkEnd w:id="8"/>
    </w:p>
    <w:p w14:paraId="4E28E655"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121929D1"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6A65EFB8" w14:textId="3ADE839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3B5C22">
        <w:rPr>
          <w:sz w:val="24"/>
          <w:lang w:val="en-US"/>
        </w:rPr>
        <w:t>7</w:t>
      </w:r>
      <w:r w:rsidRPr="005B7824">
        <w:rPr>
          <w:sz w:val="24"/>
          <w:lang w:val="en-US"/>
        </w:rPr>
        <w:fldChar w:fldCharType="end"/>
      </w:r>
      <w:r w:rsidRPr="005B7824">
        <w:rPr>
          <w:sz w:val="24"/>
          <w:lang w:val="en-US"/>
        </w:rPr>
        <w:t>, within the time specified by notice in writing.</w:t>
      </w:r>
    </w:p>
    <w:p w14:paraId="63AA59E8" w14:textId="576CB1CF" w:rsidR="005B7824" w:rsidRPr="005B7824" w:rsidRDefault="005B7824" w:rsidP="005B7824">
      <w:pPr>
        <w:spacing w:after="240"/>
        <w:ind w:left="567"/>
        <w:jc w:val="both"/>
        <w:rPr>
          <w:lang w:val="en-US"/>
        </w:rPr>
      </w:pPr>
      <w:r w:rsidRPr="005B7824">
        <w:rPr>
          <w:i/>
          <w:lang w:val="en-US"/>
        </w:rPr>
        <w:t>Note</w:t>
      </w:r>
      <w:r w:rsidRPr="005B7824">
        <w:rPr>
          <w:lang w:val="en-US"/>
        </w:rPr>
        <w:t>: Paragraph 49L(1)(a) of the Insurance Act provides that the auditor’s certificate required under subsection 49</w:t>
      </w:r>
      <w:proofErr w:type="gramStart"/>
      <w:r w:rsidRPr="005B7824">
        <w:rPr>
          <w:lang w:val="en-US"/>
        </w:rPr>
        <w:t>J(</w:t>
      </w:r>
      <w:proofErr w:type="gramEnd"/>
      <w:r w:rsidRPr="005B7824">
        <w:rPr>
          <w:lang w:val="en-US"/>
        </w:rPr>
        <w:t xml:space="preserve">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3B5C22">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3B5C22">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194800FC"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7A5A8601"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7DD3D8FC"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433828DE"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(AUASB) </w:t>
      </w:r>
      <w:r w:rsidRPr="005B7824">
        <w:rPr>
          <w:sz w:val="24"/>
          <w:lang w:val="en-US"/>
        </w:rPr>
        <w:lastRenderedPageBreak/>
        <w:t xml:space="preserve">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5C84A716"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680ADA0C"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035BDD26" w14:textId="2A3D8FA7"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763FA5A9" w14:textId="16BCB8E9"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02C340B4"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1795FA0E"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6FA6BB8F"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An officer, or agent, of an insurer who submits the information under this Reporting Standard for, or on behalf of, the insurer must be </w:t>
      </w:r>
      <w:proofErr w:type="spellStart"/>
      <w:r w:rsidRPr="005B7824">
        <w:rPr>
          <w:sz w:val="24"/>
          <w:lang w:val="en-US"/>
        </w:rPr>
        <w:t>authorised</w:t>
      </w:r>
      <w:proofErr w:type="spellEnd"/>
      <w:r w:rsidRPr="005B7824">
        <w:rPr>
          <w:sz w:val="24"/>
          <w:lang w:val="en-US"/>
        </w:rPr>
        <w:t xml:space="preserve"> by either:</w:t>
      </w:r>
    </w:p>
    <w:p w14:paraId="6A7650F0"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580BE7EB"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5BCD0F51"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3B7209A1" w14:textId="440B35F5" w:rsidR="0080591E" w:rsidRPr="003B5C22"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Form GRF </w:t>
      </w:r>
      <w:r w:rsidR="004E1199">
        <w:rPr>
          <w:snapToGrid w:val="0"/>
          <w:sz w:val="24"/>
          <w:lang w:eastAsia="en-US"/>
        </w:rPr>
        <w:t>4</w:t>
      </w:r>
      <w:r w:rsidR="00BD3CB7">
        <w:rPr>
          <w:snapToGrid w:val="0"/>
          <w:sz w:val="24"/>
          <w:lang w:eastAsia="en-US"/>
        </w:rPr>
        <w:t>00</w:t>
      </w:r>
      <w:r w:rsidR="00FB07B0">
        <w:rPr>
          <w:snapToGrid w:val="0"/>
          <w:sz w:val="24"/>
          <w:lang w:eastAsia="en-US"/>
        </w:rPr>
        <w:t>.0</w:t>
      </w:r>
      <w:r w:rsidRPr="005B7824">
        <w:rPr>
          <w:i/>
          <w:snapToGrid w:val="0"/>
          <w:sz w:val="24"/>
          <w:lang w:eastAsia="en-US"/>
        </w:rPr>
        <w:t xml:space="preserve"> </w:t>
      </w:r>
      <w:r w:rsidRPr="005B7824">
        <w:rPr>
          <w:snapToGrid w:val="0"/>
          <w:sz w:val="24"/>
          <w:lang w:eastAsia="en-US"/>
        </w:rPr>
        <w:t>in relation to that insurer.</w:t>
      </w:r>
    </w:p>
    <w:p w14:paraId="5267EB64" w14:textId="4E6CB53F" w:rsidR="005B7824" w:rsidRPr="005250A7" w:rsidRDefault="005B7824" w:rsidP="005250A7">
      <w:pPr>
        <w:keepNext/>
        <w:spacing w:after="240"/>
        <w:jc w:val="both"/>
        <w:outlineLvl w:val="0"/>
        <w:rPr>
          <w:rFonts w:ascii="Arial" w:hAnsi="Arial" w:cs="Arial"/>
          <w:b/>
          <w:sz w:val="24"/>
          <w:lang w:val="en-US"/>
        </w:rPr>
      </w:pPr>
      <w:r w:rsidRPr="005250A7">
        <w:rPr>
          <w:rFonts w:ascii="Arial" w:hAnsi="Arial" w:cs="Arial"/>
          <w:b/>
          <w:sz w:val="24"/>
          <w:lang w:val="en-US"/>
        </w:rPr>
        <w:t>Transition</w:t>
      </w:r>
    </w:p>
    <w:p w14:paraId="77BE3C5B" w14:textId="77777777" w:rsidR="005B7824" w:rsidRPr="005B7824" w:rsidRDefault="005B7824" w:rsidP="005B7824">
      <w:pPr>
        <w:numPr>
          <w:ilvl w:val="1"/>
          <w:numId w:val="23"/>
        </w:numPr>
        <w:spacing w:after="240"/>
        <w:jc w:val="both"/>
        <w:rPr>
          <w:sz w:val="24"/>
          <w:szCs w:val="24"/>
          <w:lang w:val="en-US"/>
        </w:rPr>
      </w:pPr>
      <w:r w:rsidRPr="005B7824">
        <w:rPr>
          <w:sz w:val="24"/>
          <w:szCs w:val="24"/>
          <w:lang w:val="en-US"/>
        </w:rPr>
        <w:t>An insurer must report under the old reporting standard in respect of a transitional reporting period. For these purposes:</w:t>
      </w:r>
    </w:p>
    <w:p w14:paraId="581E77E0" w14:textId="0496C0C3" w:rsidR="005B7824" w:rsidRPr="005B7824" w:rsidRDefault="005B7824" w:rsidP="005B7824">
      <w:pPr>
        <w:spacing w:after="240"/>
        <w:ind w:left="567"/>
        <w:jc w:val="both"/>
        <w:rPr>
          <w:sz w:val="24"/>
          <w:szCs w:val="24"/>
          <w:lang w:val="en-US"/>
        </w:rPr>
      </w:pPr>
      <w:r w:rsidRPr="005B7824">
        <w:rPr>
          <w:b/>
          <w:i/>
          <w:sz w:val="24"/>
          <w:szCs w:val="24"/>
          <w:lang w:val="en-US"/>
        </w:rPr>
        <w:t xml:space="preserve">old reporting standard </w:t>
      </w:r>
      <w:r w:rsidRPr="005B7824">
        <w:rPr>
          <w:sz w:val="24"/>
          <w:szCs w:val="24"/>
          <w:lang w:val="en-US"/>
        </w:rPr>
        <w:t>means the reporting standard revoked in the determination making this Reporting Standard</w:t>
      </w:r>
      <w:r w:rsidR="00C055A7">
        <w:rPr>
          <w:sz w:val="24"/>
          <w:szCs w:val="24"/>
          <w:lang w:val="en-US"/>
        </w:rPr>
        <w:t>;</w:t>
      </w:r>
      <w:r w:rsidRPr="005B7824">
        <w:rPr>
          <w:sz w:val="24"/>
          <w:szCs w:val="24"/>
          <w:lang w:val="en-US"/>
        </w:rPr>
        <w:t xml:space="preserve"> and</w:t>
      </w:r>
    </w:p>
    <w:p w14:paraId="23E9C04B" w14:textId="77777777" w:rsidR="005B7824" w:rsidRPr="005B7824" w:rsidRDefault="005B7824" w:rsidP="005B7824">
      <w:pPr>
        <w:spacing w:after="240"/>
        <w:ind w:left="567"/>
        <w:jc w:val="both"/>
        <w:rPr>
          <w:sz w:val="24"/>
          <w:szCs w:val="24"/>
          <w:lang w:val="en-US"/>
        </w:rPr>
      </w:pPr>
      <w:r w:rsidRPr="005B7824">
        <w:rPr>
          <w:b/>
          <w:i/>
          <w:sz w:val="24"/>
          <w:szCs w:val="24"/>
          <w:lang w:val="en-US"/>
        </w:rPr>
        <w:t xml:space="preserve">transitional reporting period </w:t>
      </w:r>
      <w:r w:rsidRPr="005B7824">
        <w:rPr>
          <w:sz w:val="24"/>
          <w:szCs w:val="24"/>
          <w:lang w:val="en-US"/>
        </w:rPr>
        <w:t>means a reporting period under the old reporting standard:</w:t>
      </w:r>
    </w:p>
    <w:p w14:paraId="5982B0A5" w14:textId="77777777" w:rsidR="005B7824" w:rsidRPr="005B7824" w:rsidRDefault="005B7824" w:rsidP="005B7824">
      <w:pPr>
        <w:numPr>
          <w:ilvl w:val="0"/>
          <w:numId w:val="25"/>
        </w:numPr>
        <w:tabs>
          <w:tab w:val="left" w:pos="1134"/>
        </w:tabs>
        <w:spacing w:after="240"/>
        <w:ind w:left="1134" w:hanging="567"/>
        <w:jc w:val="both"/>
        <w:rPr>
          <w:sz w:val="24"/>
          <w:szCs w:val="24"/>
        </w:rPr>
      </w:pPr>
      <w:r w:rsidRPr="005B7824">
        <w:rPr>
          <w:sz w:val="24"/>
          <w:szCs w:val="24"/>
        </w:rPr>
        <w:t>which ended before the date of revocation of the old reporting standard; and</w:t>
      </w:r>
    </w:p>
    <w:p w14:paraId="05BF9B03" w14:textId="77777777" w:rsidR="005B7824" w:rsidRDefault="005B7824" w:rsidP="005B7824">
      <w:pPr>
        <w:numPr>
          <w:ilvl w:val="0"/>
          <w:numId w:val="25"/>
        </w:numPr>
        <w:tabs>
          <w:tab w:val="left" w:pos="1134"/>
        </w:tabs>
        <w:spacing w:after="240"/>
        <w:ind w:left="1134" w:hanging="567"/>
        <w:contextualSpacing/>
        <w:jc w:val="both"/>
        <w:rPr>
          <w:sz w:val="24"/>
          <w:szCs w:val="24"/>
        </w:rPr>
      </w:pPr>
      <w:r w:rsidRPr="005B7824">
        <w:rPr>
          <w:sz w:val="24"/>
          <w:szCs w:val="24"/>
        </w:rPr>
        <w:t>in relation to which the insurer was required, under the old reporting standard, to report by a date on or after the date of revocation of the old reporting standard.</w:t>
      </w:r>
    </w:p>
    <w:p w14:paraId="22AA793D" w14:textId="77777777" w:rsidR="005B7824" w:rsidRPr="005B7824" w:rsidRDefault="005B7824" w:rsidP="005B7824">
      <w:pPr>
        <w:spacing w:after="240"/>
        <w:ind w:left="567"/>
        <w:contextualSpacing/>
        <w:jc w:val="both"/>
        <w:rPr>
          <w:sz w:val="24"/>
          <w:szCs w:val="24"/>
        </w:rPr>
      </w:pPr>
    </w:p>
    <w:p w14:paraId="00F9E704" w14:textId="77777777" w:rsidR="005B7824" w:rsidRPr="005B7824" w:rsidRDefault="005B7824" w:rsidP="005B7824">
      <w:pPr>
        <w:autoSpaceDE w:val="0"/>
        <w:autoSpaceDN w:val="0"/>
        <w:adjustRightInd w:val="0"/>
        <w:spacing w:after="240"/>
        <w:ind w:left="567"/>
        <w:jc w:val="both"/>
        <w:rPr>
          <w:lang w:val="en-US"/>
        </w:rPr>
      </w:pPr>
      <w:r w:rsidRPr="005B7824">
        <w:rPr>
          <w:i/>
          <w:iCs/>
          <w:lang w:val="en-US"/>
        </w:rPr>
        <w:t xml:space="preserve">Note: </w:t>
      </w:r>
      <w:r w:rsidRPr="005B7824">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p w14:paraId="0E202D5E" w14:textId="77777777"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lastRenderedPageBreak/>
        <w:t xml:space="preserve">Interpretation </w:t>
      </w:r>
    </w:p>
    <w:p w14:paraId="0379295F" w14:textId="77777777" w:rsidR="005B7824" w:rsidRPr="005B7824" w:rsidRDefault="005B7824" w:rsidP="005B7824">
      <w:pPr>
        <w:numPr>
          <w:ilvl w:val="1"/>
          <w:numId w:val="23"/>
        </w:numPr>
        <w:spacing w:after="240"/>
        <w:jc w:val="both"/>
        <w:rPr>
          <w:sz w:val="24"/>
          <w:lang w:val="en-US"/>
        </w:rPr>
      </w:pPr>
      <w:r w:rsidRPr="005B7824">
        <w:rPr>
          <w:sz w:val="24"/>
          <w:lang w:val="en-US"/>
        </w:rPr>
        <w:t>In this Reporting Standard (including the attachments):</w:t>
      </w:r>
    </w:p>
    <w:p w14:paraId="5A34E5A8"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3A5B52CF"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w:t>
      </w:r>
      <w:proofErr w:type="gramStart"/>
      <w:r w:rsidRPr="005B7824">
        <w:rPr>
          <w:sz w:val="24"/>
          <w:szCs w:val="24"/>
          <w:lang w:val="en-US"/>
        </w:rPr>
        <w:t>Act;</w:t>
      </w:r>
      <w:proofErr w:type="gramEnd"/>
    </w:p>
    <w:p w14:paraId="5C84993A" w14:textId="266DB529" w:rsidR="005B7824" w:rsidRPr="005B7824" w:rsidRDefault="005B7824" w:rsidP="002C1B61">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2C1B61">
        <w:rPr>
          <w:sz w:val="24"/>
          <w:szCs w:val="24"/>
          <w:lang w:val="en-US"/>
        </w:rPr>
        <w:t>.</w:t>
      </w:r>
      <w:r w:rsidR="002C1B61" w:rsidRPr="002C1B61">
        <w:rPr>
          <w:sz w:val="24"/>
          <w:szCs w:val="24"/>
        </w:rPr>
        <w:t xml:space="preserve"> </w:t>
      </w:r>
      <w:r w:rsidR="002C1B61" w:rsidRPr="00952A58">
        <w:rPr>
          <w:sz w:val="24"/>
          <w:szCs w:val="24"/>
        </w:rPr>
        <w:t xml:space="preserve">The Australian Reinsurance Pool Corporation is also an APRA-authorised reinsurer for the purposes of this </w:t>
      </w:r>
      <w:proofErr w:type="gramStart"/>
      <w:r w:rsidR="002C1B61" w:rsidRPr="00952A58">
        <w:rPr>
          <w:sz w:val="24"/>
          <w:szCs w:val="24"/>
        </w:rPr>
        <w:t>definition</w:t>
      </w:r>
      <w:r w:rsidR="002C1B61">
        <w:rPr>
          <w:sz w:val="24"/>
          <w:szCs w:val="24"/>
        </w:rPr>
        <w:t>;</w:t>
      </w:r>
      <w:proofErr w:type="gramEnd"/>
    </w:p>
    <w:p w14:paraId="65F7319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w:t>
      </w:r>
      <w:proofErr w:type="gramStart"/>
      <w:r w:rsidRPr="005B7824">
        <w:rPr>
          <w:sz w:val="24"/>
          <w:szCs w:val="24"/>
          <w:lang w:val="en-US"/>
        </w:rPr>
        <w:t>means</w:t>
      </w:r>
      <w:proofErr w:type="gramEnd"/>
      <w:r w:rsidRPr="005B7824">
        <w:rPr>
          <w:sz w:val="24"/>
          <w:szCs w:val="24"/>
          <w:lang w:val="en-US"/>
        </w:rPr>
        <w:t xml:space="preserve"> the prudential standards which relate to capital adequacy as defined in GPS 001;</w:t>
      </w:r>
    </w:p>
    <w:p w14:paraId="573660CB"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insurer, by whatever name </w:t>
      </w:r>
      <w:proofErr w:type="gramStart"/>
      <w:r w:rsidRPr="005B7824">
        <w:rPr>
          <w:sz w:val="24"/>
          <w:szCs w:val="24"/>
          <w:lang w:val="en-US"/>
        </w:rPr>
        <w:t>called;</w:t>
      </w:r>
      <w:proofErr w:type="gramEnd"/>
    </w:p>
    <w:p w14:paraId="5C2C3E0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proofErr w:type="gramStart"/>
      <w:r w:rsidRPr="005B7824">
        <w:rPr>
          <w:iCs/>
          <w:sz w:val="24"/>
          <w:szCs w:val="24"/>
          <w:lang w:val="en-US"/>
        </w:rPr>
        <w:t>insurer;</w:t>
      </w:r>
      <w:proofErr w:type="gramEnd"/>
    </w:p>
    <w:p w14:paraId="2853D301"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w:t>
      </w:r>
      <w:proofErr w:type="gramStart"/>
      <w:r w:rsidRPr="005B7824">
        <w:rPr>
          <w:sz w:val="24"/>
          <w:szCs w:val="24"/>
          <w:lang w:val="en-US"/>
        </w:rPr>
        <w:t>Act;</w:t>
      </w:r>
      <w:proofErr w:type="gramEnd"/>
      <w:r w:rsidRPr="005B7824">
        <w:rPr>
          <w:b/>
          <w:i/>
          <w:sz w:val="24"/>
          <w:szCs w:val="24"/>
          <w:lang w:val="en-US"/>
        </w:rPr>
        <w:t xml:space="preserve"> </w:t>
      </w:r>
    </w:p>
    <w:p w14:paraId="32D2A601"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563749A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 xml:space="preserve">refers to the general instruction guide set out in Attachment A of GRS </w:t>
      </w:r>
      <w:proofErr w:type="gramStart"/>
      <w:r w:rsidRPr="005B7824">
        <w:rPr>
          <w:sz w:val="24"/>
          <w:szCs w:val="24"/>
          <w:lang w:val="en-US"/>
        </w:rPr>
        <w:t>001;</w:t>
      </w:r>
      <w:proofErr w:type="gramEnd"/>
    </w:p>
    <w:p w14:paraId="22109A7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 xml:space="preserve">Insurance Act </w:t>
      </w:r>
      <w:proofErr w:type="gramStart"/>
      <w:r w:rsidRPr="005B7824">
        <w:rPr>
          <w:i/>
          <w:sz w:val="24"/>
          <w:szCs w:val="24"/>
          <w:lang w:val="en-US"/>
        </w:rPr>
        <w:t>1973</w:t>
      </w:r>
      <w:r w:rsidRPr="005B7824">
        <w:rPr>
          <w:sz w:val="24"/>
          <w:szCs w:val="24"/>
          <w:lang w:val="en-US"/>
        </w:rPr>
        <w:t>;</w:t>
      </w:r>
      <w:proofErr w:type="gramEnd"/>
    </w:p>
    <w:p w14:paraId="72021C5E"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w:t>
      </w:r>
      <w:proofErr w:type="gramStart"/>
      <w:r w:rsidRPr="005B7824">
        <w:rPr>
          <w:sz w:val="24"/>
          <w:szCs w:val="24"/>
          <w:lang w:val="en-US"/>
        </w:rPr>
        <w:t>Act;</w:t>
      </w:r>
      <w:proofErr w:type="gramEnd"/>
      <w:r w:rsidRPr="005B7824">
        <w:rPr>
          <w:sz w:val="24"/>
          <w:szCs w:val="24"/>
          <w:lang w:val="en-US"/>
        </w:rPr>
        <w:t xml:space="preserve"> </w:t>
      </w:r>
    </w:p>
    <w:p w14:paraId="5607463F"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701EC1B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w:t>
      </w:r>
      <w:proofErr w:type="gramStart"/>
      <w:r w:rsidRPr="005B7824">
        <w:rPr>
          <w:sz w:val="24"/>
          <w:szCs w:val="24"/>
          <w:lang w:val="en-US"/>
        </w:rPr>
        <w:t>reinsurer;</w:t>
      </w:r>
      <w:proofErr w:type="gramEnd"/>
    </w:p>
    <w:p w14:paraId="66FA79B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principal executive officer of the insurer, by whatever name called, and </w:t>
      </w:r>
      <w:proofErr w:type="gramStart"/>
      <w:r w:rsidRPr="005B7824">
        <w:rPr>
          <w:sz w:val="24"/>
          <w:szCs w:val="24"/>
          <w:lang w:val="en-US"/>
        </w:rPr>
        <w:t>whether or not</w:t>
      </w:r>
      <w:proofErr w:type="gramEnd"/>
      <w:r w:rsidRPr="005B7824">
        <w:rPr>
          <w:sz w:val="24"/>
          <w:szCs w:val="24"/>
          <w:lang w:val="en-US"/>
        </w:rPr>
        <w:t xml:space="preserve"> he or she is a member of the governing board of the insurer; and</w:t>
      </w:r>
    </w:p>
    <w:p w14:paraId="0C317F4F" w14:textId="456D5D33" w:rsidR="0009514E" w:rsidRPr="001C4DA2" w:rsidRDefault="005B7824" w:rsidP="001C4DA2">
      <w:pPr>
        <w:tabs>
          <w:tab w:val="left" w:pos="1134"/>
        </w:tabs>
        <w:spacing w:after="240"/>
        <w:ind w:left="1134"/>
        <w:jc w:val="both"/>
        <w:rPr>
          <w:sz w:val="24"/>
          <w:szCs w:val="24"/>
          <w:lang w:val="en-US"/>
        </w:rPr>
        <w:sectPr w:rsidR="0009514E" w:rsidRPr="001C4DA2" w:rsidSect="00EA3C06">
          <w:headerReference w:type="default" r:id="rId17"/>
          <w:footerReference w:type="default" r:id="rId18"/>
          <w:headerReference w:type="first" r:id="rId19"/>
          <w:footerReference w:type="first" r:id="rId20"/>
          <w:pgSz w:w="11907" w:h="16840" w:code="9"/>
          <w:pgMar w:top="1440" w:right="1440" w:bottom="1440" w:left="1440" w:header="720" w:footer="720" w:gutter="0"/>
          <w:pgNumType w:start="1"/>
          <w:cols w:space="720"/>
          <w:titlePg/>
          <w:docGrid w:linePitch="272"/>
        </w:sect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3B5C22">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3B5C22">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3B5C22">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3B5C22">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3B5C22">
        <w:rPr>
          <w:sz w:val="24"/>
          <w:szCs w:val="24"/>
          <w:lang w:val="en-US"/>
        </w:rPr>
        <w:t>7</w:t>
      </w:r>
      <w:r w:rsidRPr="005B7824">
        <w:rPr>
          <w:sz w:val="24"/>
          <w:szCs w:val="24"/>
          <w:lang w:val="en-US"/>
        </w:rPr>
        <w:fldChar w:fldCharType="end"/>
      </w:r>
      <w:r w:rsidRPr="005B7824">
        <w:rPr>
          <w:sz w:val="24"/>
          <w:szCs w:val="24"/>
          <w:lang w:val="en-US"/>
        </w:rPr>
        <w:t>.</w:t>
      </w:r>
    </w:p>
    <w:tbl>
      <w:tblPr>
        <w:tblW w:w="13892" w:type="dxa"/>
        <w:tblInd w:w="108" w:type="dxa"/>
        <w:tblLook w:val="0400" w:firstRow="0" w:lastRow="0" w:firstColumn="0" w:lastColumn="0" w:noHBand="0" w:noVBand="1"/>
      </w:tblPr>
      <w:tblGrid>
        <w:gridCol w:w="13892"/>
      </w:tblGrid>
      <w:tr w:rsidR="001C4DA2" w:rsidRPr="00AB45A0" w14:paraId="634710E1" w14:textId="77777777" w:rsidTr="005250A7">
        <w:trPr>
          <w:trHeight w:val="300"/>
        </w:trPr>
        <w:tc>
          <w:tcPr>
            <w:tcW w:w="13892" w:type="dxa"/>
            <w:shd w:val="clear" w:color="auto" w:fill="auto"/>
            <w:noWrap/>
            <w:vAlign w:val="bottom"/>
            <w:hideMark/>
          </w:tcPr>
          <w:p w14:paraId="05853B78" w14:textId="77777777" w:rsidR="001C4DA2" w:rsidRPr="005250A7" w:rsidRDefault="001C4DA2" w:rsidP="0062732F">
            <w:pPr>
              <w:jc w:val="center"/>
              <w:rPr>
                <w:rFonts w:ascii="Arial" w:hAnsi="Arial" w:cs="Arial"/>
                <w:color w:val="000000"/>
                <w:sz w:val="32"/>
                <w:szCs w:val="32"/>
              </w:rPr>
            </w:pPr>
            <w:r w:rsidRPr="005250A7">
              <w:rPr>
                <w:rFonts w:ascii="Arial" w:hAnsi="Arial" w:cs="Arial"/>
                <w:b/>
                <w:bCs/>
                <w:color w:val="000000"/>
                <w:sz w:val="32"/>
                <w:szCs w:val="32"/>
              </w:rPr>
              <w:lastRenderedPageBreak/>
              <w:t>GRF_400_0_L: Statement of Risk by Country (L)</w:t>
            </w:r>
          </w:p>
        </w:tc>
      </w:tr>
    </w:tbl>
    <w:p w14:paraId="385F80F9" w14:textId="77777777" w:rsidR="001C4DA2" w:rsidRPr="00AB45A0" w:rsidRDefault="001C4DA2" w:rsidP="001C4DA2">
      <w:pPr>
        <w:rPr>
          <w:rFonts w:ascii="Arial" w:hAnsi="Arial" w:cs="Arial"/>
          <w:color w:val="000000"/>
        </w:rPr>
      </w:pPr>
    </w:p>
    <w:tbl>
      <w:tblPr>
        <w:tblW w:w="13892" w:type="dxa"/>
        <w:tblInd w:w="108" w:type="dxa"/>
        <w:tblLayout w:type="fixed"/>
        <w:tblLook w:val="04A0" w:firstRow="1" w:lastRow="0" w:firstColumn="1" w:lastColumn="0" w:noHBand="0" w:noVBand="1"/>
      </w:tblPr>
      <w:tblGrid>
        <w:gridCol w:w="6946"/>
        <w:gridCol w:w="6946"/>
      </w:tblGrid>
      <w:tr w:rsidR="001C4DA2" w:rsidRPr="00AB45A0" w14:paraId="37290873" w14:textId="77777777" w:rsidTr="0062732F">
        <w:trPr>
          <w:trHeight w:val="317"/>
        </w:trPr>
        <w:tc>
          <w:tcPr>
            <w:tcW w:w="6946" w:type="dxa"/>
            <w:tcBorders>
              <w:top w:val="nil"/>
              <w:left w:val="nil"/>
              <w:bottom w:val="single" w:sz="4" w:space="0" w:color="auto"/>
              <w:right w:val="nil"/>
            </w:tcBorders>
            <w:vAlign w:val="bottom"/>
            <w:hideMark/>
          </w:tcPr>
          <w:p w14:paraId="42E3A640" w14:textId="77777777" w:rsidR="001C4DA2" w:rsidRPr="00AB45A0" w:rsidRDefault="001C4DA2" w:rsidP="0062732F">
            <w:pPr>
              <w:rPr>
                <w:rFonts w:ascii="Arial" w:hAnsi="Arial" w:cs="Arial"/>
                <w:b/>
                <w:bCs/>
                <w:color w:val="000000"/>
              </w:rPr>
            </w:pPr>
            <w:r w:rsidRPr="00AB45A0">
              <w:rPr>
                <w:rFonts w:ascii="Arial" w:hAnsi="Arial" w:cs="Arial"/>
                <w:b/>
                <w:bCs/>
                <w:color w:val="000000"/>
              </w:rPr>
              <w:t>Australian Business Number</w:t>
            </w:r>
          </w:p>
        </w:tc>
        <w:tc>
          <w:tcPr>
            <w:tcW w:w="6946" w:type="dxa"/>
            <w:tcBorders>
              <w:top w:val="nil"/>
              <w:left w:val="nil"/>
              <w:bottom w:val="single" w:sz="4" w:space="0" w:color="auto"/>
              <w:right w:val="nil"/>
            </w:tcBorders>
            <w:vAlign w:val="bottom"/>
            <w:hideMark/>
          </w:tcPr>
          <w:p w14:paraId="326DBE44" w14:textId="77777777" w:rsidR="001C4DA2" w:rsidRPr="00AB45A0" w:rsidRDefault="001C4DA2" w:rsidP="0062732F">
            <w:pPr>
              <w:rPr>
                <w:rFonts w:ascii="Arial" w:hAnsi="Arial" w:cs="Arial"/>
                <w:b/>
                <w:bCs/>
                <w:color w:val="000000"/>
              </w:rPr>
            </w:pPr>
            <w:r w:rsidRPr="00AB45A0">
              <w:rPr>
                <w:rFonts w:ascii="Arial" w:hAnsi="Arial" w:cs="Arial"/>
                <w:b/>
                <w:bCs/>
                <w:color w:val="000000"/>
              </w:rPr>
              <w:t>Institution Name</w:t>
            </w:r>
          </w:p>
        </w:tc>
      </w:tr>
      <w:tr w:rsidR="001C4DA2" w:rsidRPr="00AB45A0" w14:paraId="4146506B" w14:textId="77777777" w:rsidTr="0062732F">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C360423" w14:textId="77777777" w:rsidR="001C4DA2" w:rsidRPr="00AB45A0" w:rsidRDefault="001C4DA2" w:rsidP="0062732F">
            <w:pPr>
              <w:rPr>
                <w:rFonts w:ascii="Arial" w:hAnsi="Arial" w:cs="Arial"/>
                <w:color w:val="000000"/>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F497CD1" w14:textId="77777777" w:rsidR="001C4DA2" w:rsidRPr="00AB45A0" w:rsidRDefault="001C4DA2" w:rsidP="0062732F">
            <w:pPr>
              <w:rPr>
                <w:rFonts w:ascii="Arial" w:hAnsi="Arial" w:cs="Arial"/>
                <w:color w:val="000000"/>
              </w:rPr>
            </w:pPr>
          </w:p>
        </w:tc>
      </w:tr>
      <w:tr w:rsidR="001C4DA2" w:rsidRPr="00AB45A0" w14:paraId="5BBC8523" w14:textId="77777777" w:rsidTr="0062732F">
        <w:trPr>
          <w:trHeight w:val="317"/>
        </w:trPr>
        <w:tc>
          <w:tcPr>
            <w:tcW w:w="6946" w:type="dxa"/>
            <w:tcBorders>
              <w:top w:val="single" w:sz="4" w:space="0" w:color="auto"/>
              <w:left w:val="nil"/>
              <w:bottom w:val="single" w:sz="4" w:space="0" w:color="auto"/>
              <w:right w:val="nil"/>
            </w:tcBorders>
            <w:noWrap/>
            <w:vAlign w:val="bottom"/>
            <w:hideMark/>
          </w:tcPr>
          <w:p w14:paraId="4187E154" w14:textId="77777777" w:rsidR="001C4DA2" w:rsidRPr="00AB45A0" w:rsidRDefault="001C4DA2" w:rsidP="0062732F">
            <w:pPr>
              <w:rPr>
                <w:rFonts w:ascii="Arial" w:hAnsi="Arial" w:cs="Arial"/>
                <w:b/>
                <w:color w:val="000000"/>
              </w:rPr>
            </w:pPr>
            <w:r w:rsidRPr="00AB45A0">
              <w:rPr>
                <w:rFonts w:ascii="Arial" w:hAnsi="Arial" w:cs="Arial"/>
                <w:b/>
                <w:color w:val="000000"/>
              </w:rPr>
              <w:t>Reporting Period</w:t>
            </w:r>
          </w:p>
        </w:tc>
        <w:tc>
          <w:tcPr>
            <w:tcW w:w="6946" w:type="dxa"/>
            <w:tcBorders>
              <w:top w:val="single" w:sz="4" w:space="0" w:color="auto"/>
              <w:left w:val="nil"/>
              <w:bottom w:val="single" w:sz="4" w:space="0" w:color="auto"/>
              <w:right w:val="nil"/>
            </w:tcBorders>
            <w:noWrap/>
            <w:vAlign w:val="bottom"/>
            <w:hideMark/>
          </w:tcPr>
          <w:p w14:paraId="14DC1FCC" w14:textId="77777777" w:rsidR="001C4DA2" w:rsidRPr="00AB45A0" w:rsidRDefault="001C4DA2" w:rsidP="0062732F">
            <w:pPr>
              <w:rPr>
                <w:rFonts w:ascii="Arial" w:hAnsi="Arial" w:cs="Arial"/>
                <w:b/>
                <w:color w:val="000000"/>
              </w:rPr>
            </w:pPr>
            <w:r w:rsidRPr="00AB45A0">
              <w:rPr>
                <w:rFonts w:ascii="Arial" w:hAnsi="Arial" w:cs="Arial"/>
                <w:b/>
                <w:color w:val="000000"/>
              </w:rPr>
              <w:t xml:space="preserve">Scale Factor </w:t>
            </w:r>
          </w:p>
        </w:tc>
      </w:tr>
      <w:tr w:rsidR="001C4DA2" w:rsidRPr="00AB45A0" w14:paraId="6F7CAD33" w14:textId="77777777" w:rsidTr="0062732F">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6A4C7A1C" w14:textId="77777777" w:rsidR="001C4DA2" w:rsidRPr="00AB45A0" w:rsidRDefault="001C4DA2" w:rsidP="0062732F">
            <w:pPr>
              <w:rPr>
                <w:rFonts w:ascii="Arial" w:hAnsi="Arial" w:cs="Arial"/>
                <w:color w:val="000000"/>
              </w:rPr>
            </w:pPr>
            <w:r w:rsidRPr="00AB45A0">
              <w:rPr>
                <w:rFonts w:ascii="Arial" w:hAnsi="Arial" w:cs="Arial"/>
                <w:color w:val="000000"/>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12F581AE" w14:textId="77777777" w:rsidR="001C4DA2" w:rsidRPr="00AB45A0" w:rsidRDefault="001C4DA2" w:rsidP="0062732F">
            <w:pPr>
              <w:rPr>
                <w:rFonts w:ascii="Arial" w:hAnsi="Arial" w:cs="Arial"/>
                <w:color w:val="000000"/>
              </w:rPr>
            </w:pPr>
            <w:r w:rsidRPr="00AB45A0">
              <w:rPr>
                <w:rFonts w:ascii="Arial" w:hAnsi="Arial" w:cs="Arial"/>
                <w:color w:val="000000"/>
              </w:rPr>
              <w:t>Thousands of dollars no decimal place</w:t>
            </w:r>
          </w:p>
        </w:tc>
      </w:tr>
      <w:tr w:rsidR="001C4DA2" w:rsidRPr="00AB45A0" w14:paraId="306C97A9" w14:textId="77777777" w:rsidTr="0062732F">
        <w:trPr>
          <w:trHeight w:val="317"/>
        </w:trPr>
        <w:tc>
          <w:tcPr>
            <w:tcW w:w="6946" w:type="dxa"/>
            <w:tcBorders>
              <w:top w:val="single" w:sz="4" w:space="0" w:color="auto"/>
              <w:bottom w:val="single" w:sz="4" w:space="0" w:color="auto"/>
            </w:tcBorders>
            <w:noWrap/>
            <w:vAlign w:val="bottom"/>
          </w:tcPr>
          <w:p w14:paraId="1D0D7830" w14:textId="77777777" w:rsidR="001C4DA2" w:rsidRPr="00AB45A0" w:rsidRDefault="001C4DA2" w:rsidP="0062732F">
            <w:pPr>
              <w:rPr>
                <w:rFonts w:ascii="Arial" w:hAnsi="Arial" w:cs="Arial"/>
                <w:color w:val="000000"/>
              </w:rPr>
            </w:pPr>
            <w:r w:rsidRPr="00AB45A0">
              <w:rPr>
                <w:rFonts w:ascii="Arial" w:hAnsi="Arial" w:cs="Arial"/>
                <w:b/>
                <w:color w:val="000000"/>
              </w:rPr>
              <w:t>Reporting Consolidation</w:t>
            </w:r>
          </w:p>
        </w:tc>
        <w:tc>
          <w:tcPr>
            <w:tcW w:w="6946" w:type="dxa"/>
            <w:tcBorders>
              <w:top w:val="single" w:sz="4" w:space="0" w:color="auto"/>
            </w:tcBorders>
            <w:noWrap/>
            <w:vAlign w:val="bottom"/>
          </w:tcPr>
          <w:p w14:paraId="28C88A41" w14:textId="77777777" w:rsidR="001C4DA2" w:rsidRPr="00AB45A0" w:rsidRDefault="001C4DA2" w:rsidP="0062732F">
            <w:pPr>
              <w:rPr>
                <w:rFonts w:ascii="Arial" w:hAnsi="Arial" w:cs="Arial"/>
                <w:color w:val="000000"/>
              </w:rPr>
            </w:pPr>
          </w:p>
        </w:tc>
      </w:tr>
      <w:tr w:rsidR="001C4DA2" w:rsidRPr="00AB45A0" w14:paraId="345A2F6B" w14:textId="77777777" w:rsidTr="0062732F">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51030323" w14:textId="77777777" w:rsidR="001C4DA2" w:rsidRPr="00AB45A0" w:rsidRDefault="001C4DA2" w:rsidP="0062732F">
            <w:pPr>
              <w:rPr>
                <w:rFonts w:ascii="Arial" w:hAnsi="Arial" w:cs="Arial"/>
                <w:color w:val="000000"/>
              </w:rPr>
            </w:pPr>
            <w:r w:rsidRPr="00AB45A0">
              <w:rPr>
                <w:rFonts w:ascii="Arial" w:hAnsi="Arial" w:cs="Arial"/>
                <w:color w:val="000000"/>
              </w:rPr>
              <w:t>Licensed Insurer</w:t>
            </w:r>
          </w:p>
        </w:tc>
        <w:tc>
          <w:tcPr>
            <w:tcW w:w="6946" w:type="dxa"/>
            <w:tcBorders>
              <w:left w:val="single" w:sz="4" w:space="0" w:color="auto"/>
            </w:tcBorders>
            <w:noWrap/>
            <w:vAlign w:val="bottom"/>
          </w:tcPr>
          <w:p w14:paraId="7B9C4042" w14:textId="77777777" w:rsidR="001C4DA2" w:rsidRPr="00AB45A0" w:rsidRDefault="001C4DA2" w:rsidP="0062732F">
            <w:pPr>
              <w:rPr>
                <w:rFonts w:ascii="Arial" w:hAnsi="Arial" w:cs="Arial"/>
                <w:color w:val="000000"/>
              </w:rPr>
            </w:pPr>
          </w:p>
        </w:tc>
      </w:tr>
    </w:tbl>
    <w:p w14:paraId="02D9F710" w14:textId="77777777" w:rsidR="001C4DA2" w:rsidRPr="00AB45A0" w:rsidRDefault="001C4DA2" w:rsidP="001C4DA2">
      <w:pPr>
        <w:rPr>
          <w:rFonts w:ascii="Arial" w:hAnsi="Arial" w:cs="Arial"/>
          <w:color w:val="000000"/>
        </w:rPr>
      </w:pPr>
    </w:p>
    <w:tbl>
      <w:tblPr>
        <w:tblW w:w="13784" w:type="dxa"/>
        <w:tblInd w:w="108" w:type="dxa"/>
        <w:tblLayout w:type="fixed"/>
        <w:tblLook w:val="04A0" w:firstRow="1" w:lastRow="0" w:firstColumn="1" w:lastColumn="0" w:noHBand="0" w:noVBand="1"/>
      </w:tblPr>
      <w:tblGrid>
        <w:gridCol w:w="3861"/>
        <w:gridCol w:w="1102"/>
        <w:gridCol w:w="1103"/>
        <w:gridCol w:w="1102"/>
        <w:gridCol w:w="1103"/>
        <w:gridCol w:w="1102"/>
        <w:gridCol w:w="1103"/>
        <w:gridCol w:w="1102"/>
        <w:gridCol w:w="1103"/>
        <w:gridCol w:w="1103"/>
      </w:tblGrid>
      <w:tr w:rsidR="001C4DA2" w:rsidRPr="00AB45A0" w14:paraId="12644474" w14:textId="77777777" w:rsidTr="005250A7">
        <w:trPr>
          <w:trHeight w:val="964"/>
        </w:trPr>
        <w:tc>
          <w:tcPr>
            <w:tcW w:w="3861" w:type="dxa"/>
            <w:tcBorders>
              <w:top w:val="nil"/>
              <w:left w:val="nil"/>
              <w:right w:val="nil"/>
            </w:tcBorders>
            <w:shd w:val="clear" w:color="auto" w:fill="auto"/>
            <w:noWrap/>
            <w:vAlign w:val="bottom"/>
            <w:hideMark/>
          </w:tcPr>
          <w:p w14:paraId="7EE7D675" w14:textId="77777777" w:rsidR="001C4DA2" w:rsidRPr="00AB45A0" w:rsidRDefault="001C4DA2" w:rsidP="0062732F">
            <w:pPr>
              <w:rPr>
                <w:rFonts w:ascii="Arial" w:hAnsi="Arial" w:cs="Arial"/>
                <w:b/>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1F1B48CF"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Total</w:t>
            </w:r>
          </w:p>
        </w:tc>
        <w:tc>
          <w:tcPr>
            <w:tcW w:w="1103" w:type="dxa"/>
            <w:tcBorders>
              <w:top w:val="single" w:sz="4" w:space="0" w:color="auto"/>
              <w:left w:val="nil"/>
              <w:bottom w:val="single" w:sz="4" w:space="0" w:color="auto"/>
              <w:right w:val="single" w:sz="4" w:space="0" w:color="auto"/>
            </w:tcBorders>
            <w:shd w:val="clear" w:color="auto" w:fill="auto"/>
            <w:vAlign w:val="bottom"/>
          </w:tcPr>
          <w:p w14:paraId="74C4F2CE"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Australia</w:t>
            </w:r>
          </w:p>
        </w:tc>
        <w:tc>
          <w:tcPr>
            <w:tcW w:w="1102" w:type="dxa"/>
            <w:tcBorders>
              <w:top w:val="single" w:sz="4" w:space="0" w:color="auto"/>
              <w:left w:val="nil"/>
              <w:bottom w:val="single" w:sz="4" w:space="0" w:color="auto"/>
              <w:right w:val="single" w:sz="4" w:space="0" w:color="auto"/>
            </w:tcBorders>
            <w:shd w:val="clear" w:color="auto" w:fill="auto"/>
            <w:vAlign w:val="bottom"/>
          </w:tcPr>
          <w:p w14:paraId="42A3BF39"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New Zealand</w:t>
            </w:r>
          </w:p>
        </w:tc>
        <w:tc>
          <w:tcPr>
            <w:tcW w:w="1103" w:type="dxa"/>
            <w:tcBorders>
              <w:top w:val="single" w:sz="4" w:space="0" w:color="auto"/>
              <w:left w:val="nil"/>
              <w:bottom w:val="single" w:sz="4" w:space="0" w:color="auto"/>
              <w:right w:val="single" w:sz="4" w:space="0" w:color="auto"/>
            </w:tcBorders>
            <w:shd w:val="clear" w:color="auto" w:fill="auto"/>
            <w:vAlign w:val="bottom"/>
          </w:tcPr>
          <w:p w14:paraId="1EEBC740"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USA</w:t>
            </w:r>
          </w:p>
        </w:tc>
        <w:tc>
          <w:tcPr>
            <w:tcW w:w="1102" w:type="dxa"/>
            <w:tcBorders>
              <w:top w:val="single" w:sz="4" w:space="0" w:color="auto"/>
              <w:left w:val="nil"/>
              <w:bottom w:val="single" w:sz="4" w:space="0" w:color="auto"/>
              <w:right w:val="single" w:sz="4" w:space="0" w:color="auto"/>
            </w:tcBorders>
            <w:vAlign w:val="bottom"/>
          </w:tcPr>
          <w:p w14:paraId="5647980C"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UK</w:t>
            </w:r>
          </w:p>
        </w:tc>
        <w:tc>
          <w:tcPr>
            <w:tcW w:w="1103" w:type="dxa"/>
            <w:tcBorders>
              <w:top w:val="single" w:sz="4" w:space="0" w:color="auto"/>
              <w:left w:val="nil"/>
              <w:bottom w:val="single" w:sz="4" w:space="0" w:color="auto"/>
              <w:right w:val="single" w:sz="4" w:space="0" w:color="auto"/>
            </w:tcBorders>
            <w:vAlign w:val="bottom"/>
          </w:tcPr>
          <w:p w14:paraId="13A0EE3C"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Japan</w:t>
            </w:r>
          </w:p>
        </w:tc>
        <w:tc>
          <w:tcPr>
            <w:tcW w:w="1102" w:type="dxa"/>
            <w:tcBorders>
              <w:top w:val="single" w:sz="4" w:space="0" w:color="auto"/>
              <w:left w:val="nil"/>
              <w:bottom w:val="single" w:sz="4" w:space="0" w:color="auto"/>
              <w:right w:val="single" w:sz="4" w:space="0" w:color="auto"/>
            </w:tcBorders>
            <w:vAlign w:val="bottom"/>
          </w:tcPr>
          <w:p w14:paraId="1FE04087" w14:textId="77777777" w:rsidR="001C4DA2" w:rsidRPr="00AB45A0" w:rsidRDefault="001C4DA2" w:rsidP="0062732F">
            <w:pPr>
              <w:jc w:val="center"/>
              <w:rPr>
                <w:rFonts w:ascii="Arial" w:hAnsi="Arial" w:cs="Arial"/>
                <w:b/>
                <w:bCs/>
                <w:color w:val="000000"/>
              </w:rPr>
            </w:pPr>
            <w:proofErr w:type="spellStart"/>
            <w:r w:rsidRPr="00AB45A0">
              <w:rPr>
                <w:rFonts w:ascii="Arial" w:hAnsi="Arial" w:cs="Arial"/>
                <w:b/>
                <w:bCs/>
                <w:color w:val="000000"/>
              </w:rPr>
              <w:t>Sth</w:t>
            </w:r>
            <w:proofErr w:type="spellEnd"/>
            <w:r w:rsidRPr="00AB45A0">
              <w:rPr>
                <w:rFonts w:ascii="Arial" w:hAnsi="Arial" w:cs="Arial"/>
                <w:b/>
                <w:bCs/>
                <w:color w:val="000000"/>
              </w:rPr>
              <w:t xml:space="preserve"> East Asia (excluding Japan)</w:t>
            </w:r>
          </w:p>
        </w:tc>
        <w:tc>
          <w:tcPr>
            <w:tcW w:w="1103" w:type="dxa"/>
            <w:tcBorders>
              <w:top w:val="single" w:sz="4" w:space="0" w:color="auto"/>
              <w:left w:val="nil"/>
              <w:bottom w:val="single" w:sz="4" w:space="0" w:color="auto"/>
              <w:right w:val="single" w:sz="4" w:space="0" w:color="auto"/>
            </w:tcBorders>
            <w:vAlign w:val="bottom"/>
          </w:tcPr>
          <w:p w14:paraId="79182E84" w14:textId="77777777" w:rsidR="001C4DA2" w:rsidRPr="00AB45A0" w:rsidRDefault="001C4DA2" w:rsidP="0062732F">
            <w:pPr>
              <w:jc w:val="center"/>
              <w:rPr>
                <w:rFonts w:ascii="Arial" w:hAnsi="Arial" w:cs="Arial"/>
                <w:b/>
                <w:bCs/>
                <w:color w:val="000000"/>
              </w:rPr>
            </w:pPr>
            <w:r>
              <w:rPr>
                <w:rFonts w:ascii="Arial" w:hAnsi="Arial" w:cs="Arial"/>
                <w:b/>
                <w:bCs/>
                <w:color w:val="000000"/>
              </w:rPr>
              <w:t>Conti</w:t>
            </w:r>
            <w:r w:rsidRPr="00AB45A0">
              <w:rPr>
                <w:rFonts w:ascii="Arial" w:hAnsi="Arial" w:cs="Arial"/>
                <w:b/>
                <w:bCs/>
                <w:color w:val="000000"/>
              </w:rPr>
              <w:t>nental Europe</w:t>
            </w:r>
          </w:p>
        </w:tc>
        <w:tc>
          <w:tcPr>
            <w:tcW w:w="1103" w:type="dxa"/>
            <w:tcBorders>
              <w:top w:val="single" w:sz="4" w:space="0" w:color="auto"/>
              <w:left w:val="nil"/>
              <w:bottom w:val="single" w:sz="4" w:space="0" w:color="auto"/>
              <w:right w:val="single" w:sz="4" w:space="0" w:color="auto"/>
            </w:tcBorders>
            <w:vAlign w:val="bottom"/>
          </w:tcPr>
          <w:p w14:paraId="2FBD75FD" w14:textId="77777777" w:rsidR="001C4DA2" w:rsidRPr="00AB45A0" w:rsidRDefault="001C4DA2" w:rsidP="0062732F">
            <w:pPr>
              <w:jc w:val="center"/>
              <w:rPr>
                <w:rFonts w:ascii="Arial" w:hAnsi="Arial" w:cs="Arial"/>
                <w:b/>
                <w:bCs/>
                <w:color w:val="000000"/>
              </w:rPr>
            </w:pPr>
            <w:r w:rsidRPr="00AB45A0">
              <w:rPr>
                <w:rFonts w:ascii="Arial" w:hAnsi="Arial" w:cs="Arial"/>
                <w:b/>
                <w:bCs/>
                <w:color w:val="000000"/>
              </w:rPr>
              <w:t>Other</w:t>
            </w:r>
          </w:p>
        </w:tc>
      </w:tr>
      <w:tr w:rsidR="001C4DA2" w:rsidRPr="00AB45A0" w14:paraId="2ED0BDD5" w14:textId="77777777" w:rsidTr="005250A7">
        <w:trPr>
          <w:trHeight w:val="315"/>
        </w:trPr>
        <w:tc>
          <w:tcPr>
            <w:tcW w:w="3861" w:type="dxa"/>
            <w:tcBorders>
              <w:top w:val="nil"/>
              <w:left w:val="nil"/>
              <w:bottom w:val="nil"/>
            </w:tcBorders>
            <w:shd w:val="clear" w:color="auto" w:fill="auto"/>
            <w:noWrap/>
            <w:vAlign w:val="bottom"/>
            <w:hideMark/>
          </w:tcPr>
          <w:p w14:paraId="2BA2CBF1" w14:textId="77777777" w:rsidR="001C4DA2" w:rsidRPr="00AB45A0" w:rsidRDefault="001C4DA2" w:rsidP="001C4DA2">
            <w:pPr>
              <w:pStyle w:val="ListParagraph"/>
              <w:numPr>
                <w:ilvl w:val="0"/>
                <w:numId w:val="35"/>
              </w:numPr>
              <w:contextualSpacing w:val="0"/>
              <w:rPr>
                <w:rFonts w:ascii="Arial" w:hAnsi="Arial" w:cs="Arial"/>
                <w:b/>
                <w:bCs/>
                <w:color w:val="000000"/>
              </w:rPr>
            </w:pPr>
            <w:r w:rsidRPr="00AB45A0">
              <w:rPr>
                <w:rFonts w:ascii="Arial" w:hAnsi="Arial" w:cs="Arial"/>
                <w:b/>
                <w:bCs/>
                <w:color w:val="000000"/>
              </w:rPr>
              <w:t>Premium revenue</w:t>
            </w:r>
          </w:p>
        </w:tc>
        <w:tc>
          <w:tcPr>
            <w:tcW w:w="1102" w:type="dxa"/>
            <w:tcBorders>
              <w:top w:val="single" w:sz="4" w:space="0" w:color="auto"/>
              <w:bottom w:val="single" w:sz="4" w:space="0" w:color="auto"/>
            </w:tcBorders>
            <w:shd w:val="clear" w:color="auto" w:fill="auto"/>
            <w:noWrap/>
            <w:vAlign w:val="bottom"/>
          </w:tcPr>
          <w:p w14:paraId="1F76A010"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24E7528B"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noWrap/>
            <w:vAlign w:val="bottom"/>
          </w:tcPr>
          <w:p w14:paraId="595651F8"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5F938F21"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3AE6BE61"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41225D77"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5E6869FB"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66B6B486"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0A385991" w14:textId="77777777" w:rsidR="001C4DA2" w:rsidRPr="00AB45A0" w:rsidRDefault="001C4DA2" w:rsidP="0062732F">
            <w:pPr>
              <w:jc w:val="center"/>
              <w:rPr>
                <w:rFonts w:ascii="Arial" w:hAnsi="Arial" w:cs="Arial"/>
                <w:color w:val="000000"/>
              </w:rPr>
            </w:pPr>
          </w:p>
        </w:tc>
      </w:tr>
      <w:tr w:rsidR="001C4DA2" w:rsidRPr="00AB45A0" w14:paraId="014BB3C2" w14:textId="77777777" w:rsidTr="005250A7">
        <w:trPr>
          <w:trHeight w:val="315"/>
        </w:trPr>
        <w:tc>
          <w:tcPr>
            <w:tcW w:w="3861" w:type="dxa"/>
            <w:tcBorders>
              <w:top w:val="nil"/>
              <w:left w:val="nil"/>
              <w:bottom w:val="nil"/>
              <w:right w:val="nil"/>
            </w:tcBorders>
            <w:shd w:val="clear" w:color="auto" w:fill="auto"/>
            <w:noWrap/>
            <w:vAlign w:val="bottom"/>
            <w:hideMark/>
          </w:tcPr>
          <w:p w14:paraId="190F6A06"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Direct</w:t>
            </w:r>
          </w:p>
        </w:tc>
        <w:tc>
          <w:tcPr>
            <w:tcW w:w="1102" w:type="dxa"/>
            <w:tcBorders>
              <w:top w:val="nil"/>
              <w:left w:val="single" w:sz="4" w:space="0" w:color="auto"/>
              <w:bottom w:val="single" w:sz="4" w:space="0" w:color="auto"/>
              <w:right w:val="single" w:sz="4" w:space="0" w:color="auto"/>
            </w:tcBorders>
            <w:shd w:val="clear" w:color="auto" w:fill="A6A6A6"/>
            <w:noWrap/>
            <w:vAlign w:val="bottom"/>
          </w:tcPr>
          <w:p w14:paraId="7F633341" w14:textId="77777777" w:rsidR="001C4DA2" w:rsidRPr="00AB45A0" w:rsidRDefault="001C4DA2" w:rsidP="0062732F">
            <w:pPr>
              <w:jc w:val="center"/>
              <w:rPr>
                <w:rFonts w:ascii="Arial" w:hAnsi="Arial" w:cs="Arial"/>
                <w:bCs/>
                <w:color w:val="000000"/>
              </w:rPr>
            </w:pPr>
          </w:p>
        </w:tc>
        <w:tc>
          <w:tcPr>
            <w:tcW w:w="1103" w:type="dxa"/>
            <w:tcBorders>
              <w:top w:val="nil"/>
              <w:left w:val="nil"/>
              <w:bottom w:val="single" w:sz="4" w:space="0" w:color="auto"/>
              <w:right w:val="single" w:sz="4" w:space="0" w:color="auto"/>
            </w:tcBorders>
            <w:shd w:val="clear" w:color="auto" w:fill="auto"/>
            <w:noWrap/>
            <w:vAlign w:val="bottom"/>
          </w:tcPr>
          <w:p w14:paraId="1BB244F8"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shd w:val="clear" w:color="auto" w:fill="auto"/>
            <w:noWrap/>
            <w:vAlign w:val="bottom"/>
          </w:tcPr>
          <w:p w14:paraId="210C976B"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shd w:val="clear" w:color="auto" w:fill="auto"/>
            <w:noWrap/>
            <w:vAlign w:val="bottom"/>
          </w:tcPr>
          <w:p w14:paraId="7B19959F"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vAlign w:val="bottom"/>
          </w:tcPr>
          <w:p w14:paraId="1F8DE5FB"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21BC9358"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vAlign w:val="bottom"/>
          </w:tcPr>
          <w:p w14:paraId="5A6D638B"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3190BDC3"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18CCBBC2" w14:textId="77777777" w:rsidR="001C4DA2" w:rsidRPr="00AB45A0" w:rsidRDefault="001C4DA2" w:rsidP="0062732F">
            <w:pPr>
              <w:jc w:val="center"/>
              <w:rPr>
                <w:rFonts w:ascii="Arial" w:hAnsi="Arial" w:cs="Arial"/>
                <w:color w:val="000000"/>
              </w:rPr>
            </w:pPr>
          </w:p>
        </w:tc>
      </w:tr>
      <w:tr w:rsidR="001C4DA2" w:rsidRPr="00AB45A0" w14:paraId="6B20C758" w14:textId="77777777" w:rsidTr="005250A7">
        <w:trPr>
          <w:trHeight w:val="315"/>
        </w:trPr>
        <w:tc>
          <w:tcPr>
            <w:tcW w:w="3861" w:type="dxa"/>
            <w:tcBorders>
              <w:top w:val="nil"/>
              <w:left w:val="nil"/>
              <w:bottom w:val="nil"/>
              <w:right w:val="nil"/>
            </w:tcBorders>
            <w:shd w:val="clear" w:color="auto" w:fill="auto"/>
            <w:noWrap/>
            <w:vAlign w:val="bottom"/>
          </w:tcPr>
          <w:p w14:paraId="503BC862"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Inwards reinsurance</w:t>
            </w:r>
          </w:p>
        </w:tc>
        <w:tc>
          <w:tcPr>
            <w:tcW w:w="1102" w:type="dxa"/>
            <w:tcBorders>
              <w:top w:val="nil"/>
              <w:left w:val="single" w:sz="4" w:space="0" w:color="auto"/>
              <w:bottom w:val="single" w:sz="4" w:space="0" w:color="auto"/>
              <w:right w:val="single" w:sz="4" w:space="0" w:color="auto"/>
            </w:tcBorders>
            <w:shd w:val="clear" w:color="auto" w:fill="A6A6A6"/>
            <w:noWrap/>
            <w:vAlign w:val="bottom"/>
          </w:tcPr>
          <w:p w14:paraId="20832634" w14:textId="77777777" w:rsidR="001C4DA2" w:rsidRPr="00AB45A0" w:rsidRDefault="001C4DA2" w:rsidP="0062732F">
            <w:pPr>
              <w:jc w:val="center"/>
              <w:rPr>
                <w:rFonts w:ascii="Arial" w:hAnsi="Arial" w:cs="Arial"/>
                <w:bCs/>
                <w:color w:val="000000"/>
              </w:rPr>
            </w:pPr>
          </w:p>
        </w:tc>
        <w:tc>
          <w:tcPr>
            <w:tcW w:w="1103" w:type="dxa"/>
            <w:tcBorders>
              <w:top w:val="nil"/>
              <w:left w:val="nil"/>
              <w:bottom w:val="single" w:sz="4" w:space="0" w:color="auto"/>
              <w:right w:val="single" w:sz="4" w:space="0" w:color="auto"/>
            </w:tcBorders>
            <w:shd w:val="clear" w:color="auto" w:fill="auto"/>
            <w:noWrap/>
            <w:vAlign w:val="bottom"/>
          </w:tcPr>
          <w:p w14:paraId="625D6C95"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shd w:val="clear" w:color="auto" w:fill="auto"/>
            <w:noWrap/>
            <w:vAlign w:val="bottom"/>
          </w:tcPr>
          <w:p w14:paraId="351B8C36"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shd w:val="clear" w:color="auto" w:fill="auto"/>
            <w:noWrap/>
            <w:vAlign w:val="bottom"/>
          </w:tcPr>
          <w:p w14:paraId="7CDEC5A9"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vAlign w:val="bottom"/>
          </w:tcPr>
          <w:p w14:paraId="0951E0A1"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25233A43"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single" w:sz="4" w:space="0" w:color="auto"/>
            </w:tcBorders>
            <w:vAlign w:val="bottom"/>
          </w:tcPr>
          <w:p w14:paraId="537ED18A"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433973A0"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single" w:sz="4" w:space="0" w:color="auto"/>
            </w:tcBorders>
            <w:vAlign w:val="bottom"/>
          </w:tcPr>
          <w:p w14:paraId="0E158876" w14:textId="77777777" w:rsidR="001C4DA2" w:rsidRPr="00AB45A0" w:rsidRDefault="001C4DA2" w:rsidP="0062732F">
            <w:pPr>
              <w:jc w:val="center"/>
              <w:rPr>
                <w:rFonts w:ascii="Arial" w:hAnsi="Arial" w:cs="Arial"/>
                <w:color w:val="000000"/>
              </w:rPr>
            </w:pPr>
          </w:p>
        </w:tc>
      </w:tr>
      <w:tr w:rsidR="001C4DA2" w:rsidRPr="00AB45A0" w14:paraId="5EF4BE7B" w14:textId="77777777" w:rsidTr="005250A7">
        <w:trPr>
          <w:trHeight w:val="315"/>
        </w:trPr>
        <w:tc>
          <w:tcPr>
            <w:tcW w:w="3861" w:type="dxa"/>
            <w:tcBorders>
              <w:top w:val="nil"/>
              <w:left w:val="nil"/>
              <w:bottom w:val="nil"/>
            </w:tcBorders>
            <w:shd w:val="clear" w:color="auto" w:fill="auto"/>
            <w:noWrap/>
            <w:vAlign w:val="bottom"/>
            <w:hideMark/>
          </w:tcPr>
          <w:p w14:paraId="638C68D0" w14:textId="77777777" w:rsidR="001C4DA2" w:rsidRPr="00AB45A0" w:rsidRDefault="001C4DA2" w:rsidP="001C4DA2">
            <w:pPr>
              <w:pStyle w:val="ListParagraph"/>
              <w:numPr>
                <w:ilvl w:val="0"/>
                <w:numId w:val="35"/>
              </w:numPr>
              <w:contextualSpacing w:val="0"/>
              <w:rPr>
                <w:rFonts w:ascii="Arial" w:hAnsi="Arial" w:cs="Arial"/>
                <w:b/>
                <w:bCs/>
                <w:color w:val="000000"/>
              </w:rPr>
            </w:pPr>
            <w:r w:rsidRPr="00AB45A0">
              <w:rPr>
                <w:rFonts w:ascii="Arial" w:hAnsi="Arial" w:cs="Arial"/>
                <w:b/>
                <w:bCs/>
                <w:color w:val="000000"/>
              </w:rPr>
              <w:t>Reinsurance expense</w:t>
            </w:r>
          </w:p>
        </w:tc>
        <w:tc>
          <w:tcPr>
            <w:tcW w:w="1102" w:type="dxa"/>
            <w:tcBorders>
              <w:top w:val="single" w:sz="4" w:space="0" w:color="auto"/>
              <w:bottom w:val="single" w:sz="4" w:space="0" w:color="auto"/>
            </w:tcBorders>
            <w:shd w:val="clear" w:color="auto" w:fill="auto"/>
            <w:noWrap/>
            <w:vAlign w:val="bottom"/>
          </w:tcPr>
          <w:p w14:paraId="1C9DD87E"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6E8726F2"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noWrap/>
            <w:vAlign w:val="bottom"/>
          </w:tcPr>
          <w:p w14:paraId="51EE1590"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35BE14B2"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582CD345"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4AB1D967"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23EE2E5E"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03759FD9"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5281F730" w14:textId="77777777" w:rsidR="001C4DA2" w:rsidRPr="00AB45A0" w:rsidRDefault="001C4DA2" w:rsidP="0062732F">
            <w:pPr>
              <w:jc w:val="center"/>
              <w:rPr>
                <w:rFonts w:ascii="Arial" w:hAnsi="Arial" w:cs="Arial"/>
                <w:color w:val="000000"/>
              </w:rPr>
            </w:pPr>
          </w:p>
        </w:tc>
      </w:tr>
      <w:tr w:rsidR="001C4DA2" w:rsidRPr="00AB45A0" w14:paraId="20327D9F"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6E3C70EA"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Direct</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C4A0FE"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0FDF9"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C212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0E45B"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C955551"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37F6F199"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179F4716"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476DBED"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6EDFF121" w14:textId="77777777" w:rsidR="001C4DA2" w:rsidRPr="00AB45A0" w:rsidRDefault="001C4DA2" w:rsidP="0062732F">
            <w:pPr>
              <w:jc w:val="center"/>
              <w:rPr>
                <w:rFonts w:ascii="Arial" w:hAnsi="Arial" w:cs="Arial"/>
                <w:color w:val="000000"/>
              </w:rPr>
            </w:pPr>
          </w:p>
        </w:tc>
      </w:tr>
      <w:tr w:rsidR="001C4DA2" w:rsidRPr="00AB45A0" w14:paraId="67DCDEFC"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4C09EF57"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Inwards reinsurance</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2FA763"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53F15"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1D25C"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FE312"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70A7069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2B50C59"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06A79A6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66DB6D1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0AF4AEA6" w14:textId="77777777" w:rsidR="001C4DA2" w:rsidRPr="00AB45A0" w:rsidRDefault="001C4DA2" w:rsidP="0062732F">
            <w:pPr>
              <w:jc w:val="center"/>
              <w:rPr>
                <w:rFonts w:ascii="Arial" w:hAnsi="Arial" w:cs="Arial"/>
                <w:color w:val="000000"/>
              </w:rPr>
            </w:pPr>
          </w:p>
        </w:tc>
      </w:tr>
      <w:tr w:rsidR="001C4DA2" w:rsidRPr="00AB45A0" w14:paraId="07273CF4" w14:textId="77777777" w:rsidTr="005250A7">
        <w:trPr>
          <w:trHeight w:val="315"/>
        </w:trPr>
        <w:tc>
          <w:tcPr>
            <w:tcW w:w="3861" w:type="dxa"/>
            <w:tcBorders>
              <w:top w:val="nil"/>
              <w:left w:val="nil"/>
              <w:bottom w:val="nil"/>
            </w:tcBorders>
            <w:shd w:val="clear" w:color="auto" w:fill="auto"/>
            <w:noWrap/>
            <w:vAlign w:val="bottom"/>
            <w:hideMark/>
          </w:tcPr>
          <w:p w14:paraId="1F634ABB" w14:textId="77777777" w:rsidR="001C4DA2" w:rsidRPr="00AB45A0" w:rsidRDefault="001C4DA2" w:rsidP="001C4DA2">
            <w:pPr>
              <w:pStyle w:val="ListParagraph"/>
              <w:numPr>
                <w:ilvl w:val="0"/>
                <w:numId w:val="35"/>
              </w:numPr>
              <w:contextualSpacing w:val="0"/>
              <w:rPr>
                <w:rFonts w:ascii="Arial" w:hAnsi="Arial" w:cs="Arial"/>
                <w:b/>
                <w:bCs/>
                <w:color w:val="000000"/>
              </w:rPr>
            </w:pPr>
            <w:r w:rsidRPr="00AB45A0">
              <w:rPr>
                <w:rFonts w:ascii="Arial" w:hAnsi="Arial" w:cs="Arial"/>
                <w:b/>
                <w:bCs/>
                <w:color w:val="000000"/>
              </w:rPr>
              <w:t>Claims expense relating to current and prior years</w:t>
            </w:r>
          </w:p>
        </w:tc>
        <w:tc>
          <w:tcPr>
            <w:tcW w:w="1102" w:type="dxa"/>
            <w:tcBorders>
              <w:top w:val="single" w:sz="4" w:space="0" w:color="auto"/>
              <w:bottom w:val="single" w:sz="4" w:space="0" w:color="auto"/>
            </w:tcBorders>
            <w:shd w:val="clear" w:color="auto" w:fill="auto"/>
            <w:noWrap/>
            <w:vAlign w:val="bottom"/>
          </w:tcPr>
          <w:p w14:paraId="3F36B1F7"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305615E4"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noWrap/>
            <w:vAlign w:val="bottom"/>
          </w:tcPr>
          <w:p w14:paraId="71929867"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1FED99B0"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792DA88F"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67A87BEB" w14:textId="77777777" w:rsidR="001C4DA2" w:rsidRPr="00AB45A0" w:rsidRDefault="001C4DA2" w:rsidP="0062732F">
            <w:pPr>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45A6DDE2"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2D9AF614"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2CDF21FA" w14:textId="77777777" w:rsidR="001C4DA2" w:rsidRPr="00AB45A0" w:rsidRDefault="001C4DA2" w:rsidP="0062732F">
            <w:pPr>
              <w:jc w:val="center"/>
              <w:rPr>
                <w:rFonts w:ascii="Arial" w:hAnsi="Arial" w:cs="Arial"/>
                <w:color w:val="000000"/>
              </w:rPr>
            </w:pPr>
          </w:p>
        </w:tc>
      </w:tr>
      <w:tr w:rsidR="001C4DA2" w:rsidRPr="00AB45A0" w14:paraId="7BD420C3"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075A1AE9"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Direct</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C70DF3"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EEAAF"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E1962"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0AE52"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1B7C8B4F"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13F91192"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5523C68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8844DF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66AFA830" w14:textId="77777777" w:rsidR="001C4DA2" w:rsidRPr="00AB45A0" w:rsidRDefault="001C4DA2" w:rsidP="0062732F">
            <w:pPr>
              <w:jc w:val="center"/>
              <w:rPr>
                <w:rFonts w:ascii="Arial" w:hAnsi="Arial" w:cs="Arial"/>
                <w:color w:val="000000"/>
              </w:rPr>
            </w:pPr>
          </w:p>
        </w:tc>
      </w:tr>
      <w:tr w:rsidR="001C4DA2" w:rsidRPr="00AB45A0" w14:paraId="376F51AC"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13F9C530" w14:textId="77777777" w:rsidR="001C4DA2" w:rsidRPr="00AB45A0" w:rsidRDefault="001C4DA2" w:rsidP="001C4DA2">
            <w:pPr>
              <w:pStyle w:val="ListParagraph"/>
              <w:numPr>
                <w:ilvl w:val="1"/>
                <w:numId w:val="35"/>
              </w:numPr>
              <w:contextualSpacing w:val="0"/>
              <w:rPr>
                <w:rFonts w:ascii="Arial" w:hAnsi="Arial" w:cs="Arial"/>
                <w:bCs/>
                <w:color w:val="000000"/>
              </w:rPr>
            </w:pPr>
            <w:r w:rsidRPr="00AB45A0">
              <w:rPr>
                <w:rFonts w:ascii="Arial" w:hAnsi="Arial" w:cs="Arial"/>
                <w:bCs/>
                <w:color w:val="000000"/>
              </w:rPr>
              <w:t>Inwards reinsurance</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0E8F16"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43839"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DDF03"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15D1E"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1F7E1860"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379D17F"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3366DEF0"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0C8362F3"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2777BBE0" w14:textId="77777777" w:rsidR="001C4DA2" w:rsidRPr="00AB45A0" w:rsidRDefault="001C4DA2" w:rsidP="0062732F">
            <w:pPr>
              <w:jc w:val="center"/>
              <w:rPr>
                <w:rFonts w:ascii="Arial" w:hAnsi="Arial" w:cs="Arial"/>
                <w:color w:val="000000"/>
              </w:rPr>
            </w:pPr>
          </w:p>
        </w:tc>
      </w:tr>
      <w:tr w:rsidR="001C4DA2" w:rsidRPr="00AB45A0" w14:paraId="1622CB1A" w14:textId="77777777" w:rsidTr="005250A7">
        <w:trPr>
          <w:trHeight w:val="315"/>
        </w:trPr>
        <w:tc>
          <w:tcPr>
            <w:tcW w:w="3861" w:type="dxa"/>
            <w:tcBorders>
              <w:top w:val="nil"/>
              <w:left w:val="nil"/>
              <w:bottom w:val="nil"/>
              <w:right w:val="single" w:sz="4" w:space="0" w:color="auto"/>
            </w:tcBorders>
            <w:shd w:val="clear" w:color="auto" w:fill="auto"/>
            <w:noWrap/>
            <w:vAlign w:val="bottom"/>
            <w:hideMark/>
          </w:tcPr>
          <w:p w14:paraId="449D1065" w14:textId="77777777" w:rsidR="001C4DA2" w:rsidRPr="00AB45A0" w:rsidRDefault="001C4DA2" w:rsidP="001C4DA2">
            <w:pPr>
              <w:pStyle w:val="ListParagraph"/>
              <w:numPr>
                <w:ilvl w:val="0"/>
                <w:numId w:val="35"/>
              </w:numPr>
              <w:contextualSpacing w:val="0"/>
              <w:rPr>
                <w:rFonts w:ascii="Arial" w:hAnsi="Arial" w:cs="Arial"/>
                <w:b/>
                <w:bCs/>
                <w:color w:val="000000"/>
              </w:rPr>
            </w:pPr>
            <w:r w:rsidRPr="00AB45A0">
              <w:rPr>
                <w:rFonts w:ascii="Arial" w:hAnsi="Arial" w:cs="Arial"/>
                <w:b/>
                <w:bCs/>
                <w:color w:val="000000"/>
              </w:rPr>
              <w:t>Reinsurance recoveries revenue relating to current and prior year</w:t>
            </w:r>
            <w:r>
              <w:rPr>
                <w:rFonts w:ascii="Arial" w:hAnsi="Arial" w:cs="Arial"/>
                <w:b/>
                <w:bCs/>
                <w:color w:val="000000"/>
              </w:rPr>
              <w: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8AD585"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E3F8F"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92E8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B1298"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7254F601"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06E8BAF"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BF19F9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2F84A76B"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0F179103" w14:textId="77777777" w:rsidR="001C4DA2" w:rsidRPr="00AB45A0" w:rsidRDefault="001C4DA2" w:rsidP="0062732F">
            <w:pPr>
              <w:jc w:val="center"/>
              <w:rPr>
                <w:rFonts w:ascii="Arial" w:hAnsi="Arial" w:cs="Arial"/>
                <w:color w:val="000000"/>
              </w:rPr>
            </w:pPr>
          </w:p>
        </w:tc>
      </w:tr>
      <w:tr w:rsidR="001C4DA2" w:rsidRPr="00AB45A0" w14:paraId="4912A261"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4FD661F6" w14:textId="77777777" w:rsidR="001C4DA2" w:rsidRPr="00AB45A0" w:rsidRDefault="001C4DA2" w:rsidP="001C4DA2">
            <w:pPr>
              <w:pStyle w:val="ListParagraph"/>
              <w:numPr>
                <w:ilvl w:val="0"/>
                <w:numId w:val="35"/>
              </w:numPr>
              <w:contextualSpacing w:val="0"/>
              <w:rPr>
                <w:rFonts w:ascii="Arial" w:hAnsi="Arial" w:cs="Arial"/>
                <w:b/>
                <w:bCs/>
                <w:color w:val="000000"/>
              </w:rPr>
            </w:pPr>
            <w:r w:rsidRPr="00AB45A0">
              <w:rPr>
                <w:rFonts w:ascii="Arial" w:hAnsi="Arial" w:cs="Arial"/>
                <w:b/>
                <w:bCs/>
                <w:color w:val="000000"/>
              </w:rPr>
              <w:t>Investment Income</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78F913"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83E85"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34E7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5A5B0"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319219D8"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CF64331"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1E7C92D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2C19BBAA"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72412AC4" w14:textId="77777777" w:rsidR="001C4DA2" w:rsidRPr="00AB45A0" w:rsidRDefault="001C4DA2" w:rsidP="0062732F">
            <w:pPr>
              <w:jc w:val="center"/>
              <w:rPr>
                <w:rFonts w:ascii="Arial" w:hAnsi="Arial" w:cs="Arial"/>
                <w:color w:val="000000"/>
              </w:rPr>
            </w:pPr>
          </w:p>
        </w:tc>
      </w:tr>
      <w:tr w:rsidR="001C4DA2" w:rsidRPr="00AB45A0" w14:paraId="5CA6DC4E" w14:textId="77777777" w:rsidTr="005250A7">
        <w:trPr>
          <w:trHeight w:val="315"/>
        </w:trPr>
        <w:tc>
          <w:tcPr>
            <w:tcW w:w="3861" w:type="dxa"/>
            <w:tcBorders>
              <w:top w:val="nil"/>
              <w:left w:val="nil"/>
              <w:bottom w:val="nil"/>
            </w:tcBorders>
            <w:shd w:val="clear" w:color="auto" w:fill="auto"/>
            <w:noWrap/>
            <w:vAlign w:val="bottom"/>
          </w:tcPr>
          <w:p w14:paraId="6AEC42C5" w14:textId="77777777" w:rsidR="001C4DA2" w:rsidRPr="00AB45A0" w:rsidRDefault="001C4DA2" w:rsidP="005250A7">
            <w:pPr>
              <w:pStyle w:val="ListParagraph"/>
              <w:keepNext/>
              <w:ind w:left="0"/>
              <w:rPr>
                <w:rFonts w:ascii="Arial" w:hAnsi="Arial" w:cs="Arial"/>
                <w:b/>
                <w:bCs/>
                <w:color w:val="000000"/>
              </w:rPr>
            </w:pPr>
            <w:r w:rsidRPr="00AB45A0">
              <w:rPr>
                <w:rFonts w:ascii="Arial" w:hAnsi="Arial" w:cs="Arial"/>
                <w:b/>
                <w:bCs/>
                <w:color w:val="000000"/>
              </w:rPr>
              <w:t>Assets</w:t>
            </w:r>
          </w:p>
        </w:tc>
        <w:tc>
          <w:tcPr>
            <w:tcW w:w="1102" w:type="dxa"/>
            <w:tcBorders>
              <w:top w:val="single" w:sz="4" w:space="0" w:color="auto"/>
              <w:bottom w:val="single" w:sz="4" w:space="0" w:color="auto"/>
            </w:tcBorders>
            <w:shd w:val="clear" w:color="auto" w:fill="auto"/>
            <w:noWrap/>
            <w:vAlign w:val="bottom"/>
          </w:tcPr>
          <w:p w14:paraId="04CA701D" w14:textId="77777777" w:rsidR="001C4DA2" w:rsidRPr="00AB45A0" w:rsidRDefault="001C4DA2" w:rsidP="005250A7">
            <w:pPr>
              <w:keepNext/>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653BB56A" w14:textId="77777777" w:rsidR="001C4DA2" w:rsidRPr="00AB45A0" w:rsidRDefault="001C4DA2" w:rsidP="005250A7">
            <w:pPr>
              <w:keepNext/>
              <w:jc w:val="center"/>
              <w:rPr>
                <w:rFonts w:ascii="Arial" w:hAnsi="Arial" w:cs="Arial"/>
                <w:color w:val="000000"/>
              </w:rPr>
            </w:pPr>
          </w:p>
        </w:tc>
        <w:tc>
          <w:tcPr>
            <w:tcW w:w="1102" w:type="dxa"/>
            <w:tcBorders>
              <w:top w:val="single" w:sz="4" w:space="0" w:color="auto"/>
              <w:bottom w:val="single" w:sz="4" w:space="0" w:color="auto"/>
            </w:tcBorders>
            <w:shd w:val="clear" w:color="auto" w:fill="auto"/>
            <w:noWrap/>
            <w:vAlign w:val="bottom"/>
          </w:tcPr>
          <w:p w14:paraId="3EAB9C25" w14:textId="77777777" w:rsidR="001C4DA2" w:rsidRPr="00AB45A0" w:rsidRDefault="001C4DA2" w:rsidP="005250A7">
            <w:pPr>
              <w:keepNext/>
              <w:jc w:val="center"/>
              <w:rPr>
                <w:rFonts w:ascii="Arial" w:hAnsi="Arial" w:cs="Arial"/>
                <w:color w:val="000000"/>
              </w:rPr>
            </w:pPr>
          </w:p>
        </w:tc>
        <w:tc>
          <w:tcPr>
            <w:tcW w:w="1103" w:type="dxa"/>
            <w:tcBorders>
              <w:top w:val="single" w:sz="4" w:space="0" w:color="auto"/>
              <w:bottom w:val="single" w:sz="4" w:space="0" w:color="auto"/>
            </w:tcBorders>
            <w:shd w:val="clear" w:color="auto" w:fill="auto"/>
            <w:noWrap/>
            <w:vAlign w:val="bottom"/>
          </w:tcPr>
          <w:p w14:paraId="5891FBDA" w14:textId="77777777" w:rsidR="001C4DA2" w:rsidRPr="00AB45A0" w:rsidRDefault="001C4DA2" w:rsidP="005250A7">
            <w:pPr>
              <w:keepNext/>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7377ADD0" w14:textId="77777777" w:rsidR="001C4DA2" w:rsidRPr="00AB45A0" w:rsidRDefault="001C4DA2" w:rsidP="005250A7">
            <w:pPr>
              <w:keepNext/>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5153F9AD" w14:textId="77777777" w:rsidR="001C4DA2" w:rsidRPr="00AB45A0" w:rsidRDefault="001C4DA2" w:rsidP="005250A7">
            <w:pPr>
              <w:keepNext/>
              <w:jc w:val="center"/>
              <w:rPr>
                <w:rFonts w:ascii="Arial" w:hAnsi="Arial" w:cs="Arial"/>
                <w:color w:val="000000"/>
              </w:rPr>
            </w:pPr>
          </w:p>
        </w:tc>
        <w:tc>
          <w:tcPr>
            <w:tcW w:w="1102" w:type="dxa"/>
            <w:tcBorders>
              <w:top w:val="single" w:sz="4" w:space="0" w:color="auto"/>
              <w:bottom w:val="single" w:sz="4" w:space="0" w:color="auto"/>
            </w:tcBorders>
            <w:shd w:val="clear" w:color="auto" w:fill="auto"/>
            <w:vAlign w:val="bottom"/>
          </w:tcPr>
          <w:p w14:paraId="1D9E3818" w14:textId="77777777" w:rsidR="001C4DA2" w:rsidRPr="00AB45A0" w:rsidRDefault="001C4DA2" w:rsidP="005250A7">
            <w:pPr>
              <w:keepNext/>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59DAA6D1" w14:textId="77777777" w:rsidR="001C4DA2" w:rsidRPr="00AB45A0" w:rsidRDefault="001C4DA2" w:rsidP="005250A7">
            <w:pPr>
              <w:keepNext/>
              <w:jc w:val="center"/>
              <w:rPr>
                <w:rFonts w:ascii="Arial" w:hAnsi="Arial" w:cs="Arial"/>
                <w:color w:val="000000"/>
              </w:rPr>
            </w:pPr>
          </w:p>
        </w:tc>
        <w:tc>
          <w:tcPr>
            <w:tcW w:w="1103" w:type="dxa"/>
            <w:tcBorders>
              <w:top w:val="single" w:sz="4" w:space="0" w:color="auto"/>
              <w:bottom w:val="single" w:sz="4" w:space="0" w:color="auto"/>
            </w:tcBorders>
            <w:shd w:val="clear" w:color="auto" w:fill="auto"/>
            <w:vAlign w:val="bottom"/>
          </w:tcPr>
          <w:p w14:paraId="343E7F4F" w14:textId="77777777" w:rsidR="001C4DA2" w:rsidRPr="00AB45A0" w:rsidRDefault="001C4DA2" w:rsidP="005250A7">
            <w:pPr>
              <w:keepNext/>
              <w:jc w:val="center"/>
              <w:rPr>
                <w:rFonts w:ascii="Arial" w:hAnsi="Arial" w:cs="Arial"/>
                <w:color w:val="000000"/>
              </w:rPr>
            </w:pPr>
          </w:p>
        </w:tc>
      </w:tr>
      <w:tr w:rsidR="001C4DA2" w:rsidRPr="00AB45A0" w14:paraId="5B496E6A"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085E77AD"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Amounts recoverable on reinsurance contracts &amp; outstanding claims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21EB6F"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1D505"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5F68A"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FB7D2"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32BA2CB"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1C1125BB"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58E1448F"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51002AE"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6243BA28" w14:textId="77777777" w:rsidR="001C4DA2" w:rsidRPr="00524B05" w:rsidRDefault="001C4DA2" w:rsidP="0062732F">
            <w:pPr>
              <w:jc w:val="center"/>
              <w:rPr>
                <w:rFonts w:ascii="Arial" w:hAnsi="Arial" w:cs="Arial"/>
                <w:color w:val="000000"/>
              </w:rPr>
            </w:pPr>
          </w:p>
        </w:tc>
      </w:tr>
      <w:tr w:rsidR="001C4DA2" w:rsidRPr="00AB45A0" w14:paraId="7AC1CE94"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2B1DC934"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Deferred acquisition costs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BC8A90"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C7268"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DCD2E"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54FE6"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2A2723DE"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3A97B21F"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8992B1F"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71838A0"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7412F56" w14:textId="77777777" w:rsidR="001C4DA2" w:rsidRPr="00524B05" w:rsidRDefault="001C4DA2" w:rsidP="0062732F">
            <w:pPr>
              <w:jc w:val="center"/>
              <w:rPr>
                <w:rFonts w:ascii="Arial" w:hAnsi="Arial" w:cs="Arial"/>
                <w:color w:val="000000"/>
              </w:rPr>
            </w:pPr>
          </w:p>
        </w:tc>
      </w:tr>
      <w:tr w:rsidR="001C4DA2" w:rsidRPr="00AB45A0" w14:paraId="319999FE"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781F09E2"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Pr>
                <w:rFonts w:ascii="Arial" w:hAnsi="Arial" w:cs="Arial"/>
                <w:bCs/>
                <w:color w:val="000000"/>
              </w:rPr>
              <w:lastRenderedPageBreak/>
              <w:t>Deferred reinsurance expense</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CB28B3"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52FC5"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6831E"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0D49C"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BA96625"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CC094D9"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631B28F7"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23FF674B"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182A80BD" w14:textId="77777777" w:rsidR="001C4DA2" w:rsidRPr="00524B05" w:rsidRDefault="001C4DA2" w:rsidP="0062732F">
            <w:pPr>
              <w:jc w:val="center"/>
              <w:rPr>
                <w:rFonts w:ascii="Arial" w:hAnsi="Arial" w:cs="Arial"/>
                <w:color w:val="000000"/>
              </w:rPr>
            </w:pPr>
          </w:p>
        </w:tc>
      </w:tr>
      <w:tr w:rsidR="001C4DA2" w:rsidRPr="00AB45A0" w14:paraId="7FA8D814"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6CB57C1D"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Other reinsurance assets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675262"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0382A"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796CC"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0ED65"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44101B00"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38E8AAA3"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50E70EAC"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B2AC60F"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2FD04AA" w14:textId="77777777" w:rsidR="001C4DA2" w:rsidRPr="00524B05" w:rsidRDefault="001C4DA2" w:rsidP="0062732F">
            <w:pPr>
              <w:jc w:val="center"/>
              <w:rPr>
                <w:rFonts w:ascii="Arial" w:hAnsi="Arial" w:cs="Arial"/>
                <w:color w:val="000000"/>
              </w:rPr>
            </w:pPr>
          </w:p>
        </w:tc>
      </w:tr>
      <w:tr w:rsidR="001C4DA2" w:rsidRPr="00AB45A0" w14:paraId="41B8F24A"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0B766DCE"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Investments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5F3919"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E55F0"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3BA91"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93979"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370EA6E8"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4825E4DA"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70C95F7A"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7860B4D1"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3105AC8A" w14:textId="77777777" w:rsidR="001C4DA2" w:rsidRPr="00524B05" w:rsidRDefault="001C4DA2" w:rsidP="0062732F">
            <w:pPr>
              <w:jc w:val="center"/>
              <w:rPr>
                <w:rFonts w:ascii="Arial" w:hAnsi="Arial" w:cs="Arial"/>
                <w:color w:val="000000"/>
              </w:rPr>
            </w:pPr>
          </w:p>
        </w:tc>
      </w:tr>
      <w:tr w:rsidR="001C4DA2" w:rsidRPr="00AB45A0" w14:paraId="6E802392"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6F33D7A6"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Other investments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E4E22F"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5E7B0"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610C5"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E3A7F"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72A6E763"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0807A539"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285A30AF"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270A6D29"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60A9197" w14:textId="77777777" w:rsidR="001C4DA2" w:rsidRPr="00524B05" w:rsidRDefault="001C4DA2" w:rsidP="0062732F">
            <w:pPr>
              <w:jc w:val="center"/>
              <w:rPr>
                <w:rFonts w:ascii="Arial" w:hAnsi="Arial" w:cs="Arial"/>
                <w:color w:val="000000"/>
              </w:rPr>
            </w:pPr>
          </w:p>
        </w:tc>
      </w:tr>
      <w:tr w:rsidR="001C4DA2" w:rsidRPr="00AB45A0" w14:paraId="2991FA42"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44E19073"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All other assets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6F61B9"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04B6CB" w14:textId="77777777" w:rsidR="001C4DA2" w:rsidRPr="00524B05"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E5799D"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775D37" w14:textId="77777777" w:rsidR="001C4DA2" w:rsidRPr="00524B05"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vAlign w:val="bottom"/>
          </w:tcPr>
          <w:p w14:paraId="233FF760"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6801E308" w14:textId="77777777" w:rsidR="001C4DA2" w:rsidRPr="00524B05"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vAlign w:val="bottom"/>
          </w:tcPr>
          <w:p w14:paraId="2B6F9CD9"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73E0FCBB"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194C9237" w14:textId="77777777" w:rsidR="001C4DA2" w:rsidRPr="00524B05" w:rsidRDefault="001C4DA2" w:rsidP="0062732F">
            <w:pPr>
              <w:jc w:val="center"/>
              <w:rPr>
                <w:rFonts w:ascii="Arial" w:hAnsi="Arial" w:cs="Arial"/>
                <w:bCs/>
                <w:color w:val="000000"/>
              </w:rPr>
            </w:pPr>
          </w:p>
        </w:tc>
      </w:tr>
      <w:tr w:rsidR="001C4DA2" w:rsidRPr="00AB45A0" w14:paraId="5F07752F" w14:textId="77777777" w:rsidTr="005250A7">
        <w:trPr>
          <w:trHeight w:val="315"/>
        </w:trPr>
        <w:tc>
          <w:tcPr>
            <w:tcW w:w="3861" w:type="dxa"/>
            <w:tcBorders>
              <w:top w:val="nil"/>
              <w:left w:val="nil"/>
              <w:bottom w:val="nil"/>
              <w:right w:val="single" w:sz="4" w:space="0" w:color="auto"/>
            </w:tcBorders>
            <w:shd w:val="clear" w:color="auto" w:fill="auto"/>
            <w:noWrap/>
            <w:vAlign w:val="bottom"/>
          </w:tcPr>
          <w:p w14:paraId="603A8B3E"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Total assets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FCBE7D" w14:textId="77777777" w:rsidR="001C4DA2" w:rsidRPr="00524B05"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489A4"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13651"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D7DD2"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05E0A434"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16081A3D" w14:textId="77777777" w:rsidR="001C4DA2" w:rsidRPr="00524B05"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bottom"/>
          </w:tcPr>
          <w:p w14:paraId="4FE3443E"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5CBDCD32" w14:textId="77777777" w:rsidR="001C4DA2" w:rsidRPr="00524B05"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7875ECB9" w14:textId="77777777" w:rsidR="001C4DA2" w:rsidRPr="00524B05" w:rsidRDefault="001C4DA2" w:rsidP="0062732F">
            <w:pPr>
              <w:jc w:val="center"/>
              <w:rPr>
                <w:rFonts w:ascii="Arial" w:hAnsi="Arial" w:cs="Arial"/>
                <w:color w:val="000000"/>
              </w:rPr>
            </w:pPr>
          </w:p>
        </w:tc>
      </w:tr>
      <w:tr w:rsidR="001C4DA2" w:rsidRPr="00AB45A0" w14:paraId="419A0150" w14:textId="77777777" w:rsidTr="005250A7">
        <w:trPr>
          <w:trHeight w:val="315"/>
        </w:trPr>
        <w:tc>
          <w:tcPr>
            <w:tcW w:w="3861" w:type="dxa"/>
            <w:tcBorders>
              <w:top w:val="nil"/>
              <w:left w:val="nil"/>
              <w:bottom w:val="nil"/>
            </w:tcBorders>
            <w:shd w:val="clear" w:color="auto" w:fill="auto"/>
            <w:noWrap/>
            <w:vAlign w:val="bottom"/>
            <w:hideMark/>
          </w:tcPr>
          <w:p w14:paraId="3C276F34" w14:textId="77777777" w:rsidR="001C4DA2" w:rsidRPr="00AB45A0" w:rsidRDefault="001C4DA2" w:rsidP="0062732F">
            <w:pPr>
              <w:pStyle w:val="ListParagraph"/>
              <w:ind w:left="0"/>
              <w:rPr>
                <w:rFonts w:ascii="Arial" w:hAnsi="Arial" w:cs="Arial"/>
                <w:b/>
                <w:bCs/>
                <w:color w:val="000000"/>
              </w:rPr>
            </w:pPr>
            <w:r w:rsidRPr="00AB45A0">
              <w:rPr>
                <w:rFonts w:ascii="Arial" w:hAnsi="Arial" w:cs="Arial"/>
                <w:b/>
                <w:bCs/>
                <w:color w:val="000000"/>
              </w:rPr>
              <w:t>Liabilities</w:t>
            </w:r>
          </w:p>
        </w:tc>
        <w:tc>
          <w:tcPr>
            <w:tcW w:w="1102" w:type="dxa"/>
            <w:tcBorders>
              <w:top w:val="single" w:sz="4" w:space="0" w:color="auto"/>
              <w:bottom w:val="single" w:sz="4" w:space="0" w:color="auto"/>
            </w:tcBorders>
            <w:shd w:val="clear" w:color="auto" w:fill="auto"/>
            <w:noWrap/>
            <w:vAlign w:val="bottom"/>
          </w:tcPr>
          <w:p w14:paraId="4FE203A5" w14:textId="77777777" w:rsidR="001C4DA2" w:rsidRPr="00AB45A0" w:rsidRDefault="001C4DA2" w:rsidP="0062732F">
            <w:pPr>
              <w:jc w:val="center"/>
              <w:rPr>
                <w:rFonts w:ascii="Arial" w:hAnsi="Arial" w:cs="Arial"/>
                <w:color w:val="000000"/>
              </w:rPr>
            </w:pPr>
          </w:p>
        </w:tc>
        <w:tc>
          <w:tcPr>
            <w:tcW w:w="1103" w:type="dxa"/>
            <w:tcBorders>
              <w:top w:val="single" w:sz="4" w:space="0" w:color="auto"/>
              <w:bottom w:val="single" w:sz="4" w:space="0" w:color="auto"/>
              <w:right w:val="nil"/>
            </w:tcBorders>
            <w:shd w:val="clear" w:color="auto" w:fill="auto"/>
            <w:noWrap/>
            <w:vAlign w:val="bottom"/>
          </w:tcPr>
          <w:p w14:paraId="2CB29E0B"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nil"/>
            </w:tcBorders>
            <w:shd w:val="clear" w:color="auto" w:fill="auto"/>
            <w:noWrap/>
            <w:vAlign w:val="bottom"/>
          </w:tcPr>
          <w:p w14:paraId="5B65E250"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nil"/>
            </w:tcBorders>
            <w:shd w:val="clear" w:color="auto" w:fill="auto"/>
            <w:noWrap/>
            <w:vAlign w:val="bottom"/>
          </w:tcPr>
          <w:p w14:paraId="6EA7FA7D"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nil"/>
            </w:tcBorders>
            <w:vAlign w:val="bottom"/>
          </w:tcPr>
          <w:p w14:paraId="3D418F09"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nil"/>
            </w:tcBorders>
            <w:vAlign w:val="bottom"/>
          </w:tcPr>
          <w:p w14:paraId="17192F67" w14:textId="77777777" w:rsidR="001C4DA2" w:rsidRPr="00AB45A0" w:rsidRDefault="001C4DA2" w:rsidP="0062732F">
            <w:pPr>
              <w:jc w:val="center"/>
              <w:rPr>
                <w:rFonts w:ascii="Arial" w:hAnsi="Arial" w:cs="Arial"/>
                <w:color w:val="000000"/>
              </w:rPr>
            </w:pPr>
          </w:p>
        </w:tc>
        <w:tc>
          <w:tcPr>
            <w:tcW w:w="1102" w:type="dxa"/>
            <w:tcBorders>
              <w:top w:val="nil"/>
              <w:left w:val="nil"/>
              <w:bottom w:val="single" w:sz="4" w:space="0" w:color="auto"/>
              <w:right w:val="nil"/>
            </w:tcBorders>
            <w:vAlign w:val="bottom"/>
          </w:tcPr>
          <w:p w14:paraId="3C3C41CF"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nil"/>
            </w:tcBorders>
            <w:vAlign w:val="bottom"/>
          </w:tcPr>
          <w:p w14:paraId="6EB56F4C" w14:textId="77777777" w:rsidR="001C4DA2" w:rsidRPr="00AB45A0" w:rsidRDefault="001C4DA2" w:rsidP="0062732F">
            <w:pPr>
              <w:jc w:val="center"/>
              <w:rPr>
                <w:rFonts w:ascii="Arial" w:hAnsi="Arial" w:cs="Arial"/>
                <w:color w:val="000000"/>
              </w:rPr>
            </w:pPr>
          </w:p>
        </w:tc>
        <w:tc>
          <w:tcPr>
            <w:tcW w:w="1103" w:type="dxa"/>
            <w:tcBorders>
              <w:top w:val="nil"/>
              <w:left w:val="nil"/>
              <w:bottom w:val="single" w:sz="4" w:space="0" w:color="auto"/>
              <w:right w:val="nil"/>
            </w:tcBorders>
            <w:vAlign w:val="bottom"/>
          </w:tcPr>
          <w:p w14:paraId="417BB34A" w14:textId="77777777" w:rsidR="001C4DA2" w:rsidRPr="00AB45A0" w:rsidRDefault="001C4DA2" w:rsidP="0062732F">
            <w:pPr>
              <w:jc w:val="center"/>
              <w:rPr>
                <w:rFonts w:ascii="Arial" w:hAnsi="Arial" w:cs="Arial"/>
                <w:color w:val="000000"/>
              </w:rPr>
            </w:pPr>
          </w:p>
        </w:tc>
      </w:tr>
      <w:tr w:rsidR="001C4DA2" w:rsidRPr="00AB45A0" w14:paraId="2C0D74B3" w14:textId="77777777" w:rsidTr="005250A7">
        <w:trPr>
          <w:trHeight w:val="315"/>
        </w:trPr>
        <w:tc>
          <w:tcPr>
            <w:tcW w:w="3861" w:type="dxa"/>
            <w:tcBorders>
              <w:top w:val="nil"/>
              <w:left w:val="nil"/>
              <w:bottom w:val="nil"/>
              <w:right w:val="nil"/>
            </w:tcBorders>
            <w:shd w:val="clear" w:color="auto" w:fill="auto"/>
            <w:noWrap/>
            <w:vAlign w:val="bottom"/>
          </w:tcPr>
          <w:p w14:paraId="4C313553"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Unearned premium liability</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D79423"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AB42A"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EAAF8"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19B4D"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569F9D1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445A0CBD"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4DA78DE5"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2FFB5EDD"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59730180" w14:textId="77777777" w:rsidR="001C4DA2" w:rsidRPr="00AB45A0" w:rsidRDefault="001C4DA2" w:rsidP="0062732F">
            <w:pPr>
              <w:jc w:val="center"/>
              <w:rPr>
                <w:rFonts w:ascii="Arial" w:hAnsi="Arial" w:cs="Arial"/>
                <w:color w:val="000000"/>
              </w:rPr>
            </w:pPr>
          </w:p>
        </w:tc>
      </w:tr>
      <w:tr w:rsidR="001C4DA2" w:rsidRPr="00AB45A0" w14:paraId="55366042" w14:textId="77777777" w:rsidTr="005250A7">
        <w:trPr>
          <w:trHeight w:val="315"/>
        </w:trPr>
        <w:tc>
          <w:tcPr>
            <w:tcW w:w="3861" w:type="dxa"/>
            <w:tcBorders>
              <w:top w:val="nil"/>
              <w:left w:val="nil"/>
              <w:bottom w:val="nil"/>
              <w:right w:val="nil"/>
            </w:tcBorders>
            <w:shd w:val="clear" w:color="auto" w:fill="auto"/>
            <w:noWrap/>
            <w:vAlign w:val="bottom"/>
          </w:tcPr>
          <w:p w14:paraId="1B42D1C5"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Outstanding claims liabilities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7624C4"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D67DD"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68272"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71E3C"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538FE74C"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52A9200E"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3D3FA3EF"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4D80E269"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647AC722" w14:textId="77777777" w:rsidR="001C4DA2" w:rsidRPr="00AB45A0" w:rsidRDefault="001C4DA2" w:rsidP="0062732F">
            <w:pPr>
              <w:jc w:val="center"/>
              <w:rPr>
                <w:rFonts w:ascii="Arial" w:hAnsi="Arial" w:cs="Arial"/>
                <w:color w:val="000000"/>
              </w:rPr>
            </w:pPr>
          </w:p>
        </w:tc>
      </w:tr>
      <w:tr w:rsidR="001C4DA2" w:rsidRPr="00AB45A0" w14:paraId="61964418" w14:textId="77777777" w:rsidTr="005250A7">
        <w:trPr>
          <w:trHeight w:val="315"/>
        </w:trPr>
        <w:tc>
          <w:tcPr>
            <w:tcW w:w="3861" w:type="dxa"/>
            <w:tcBorders>
              <w:top w:val="nil"/>
              <w:left w:val="nil"/>
              <w:bottom w:val="nil"/>
              <w:right w:val="nil"/>
            </w:tcBorders>
            <w:shd w:val="clear" w:color="auto" w:fill="auto"/>
            <w:noWrap/>
            <w:vAlign w:val="bottom"/>
          </w:tcPr>
          <w:p w14:paraId="221795F3"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Borrowings/loan capital</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E05A2C"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5474"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4B363"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2E794"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683B1A77"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3E733141"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64356546"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6F7B2663"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627C9CBF" w14:textId="77777777" w:rsidR="001C4DA2" w:rsidRPr="00AB45A0" w:rsidRDefault="001C4DA2" w:rsidP="0062732F">
            <w:pPr>
              <w:jc w:val="center"/>
              <w:rPr>
                <w:rFonts w:ascii="Arial" w:hAnsi="Arial" w:cs="Arial"/>
                <w:color w:val="000000"/>
              </w:rPr>
            </w:pPr>
          </w:p>
        </w:tc>
      </w:tr>
      <w:tr w:rsidR="001C4DA2" w:rsidRPr="00AB45A0" w14:paraId="4F87C173" w14:textId="77777777" w:rsidTr="005250A7">
        <w:trPr>
          <w:trHeight w:val="315"/>
        </w:trPr>
        <w:tc>
          <w:tcPr>
            <w:tcW w:w="3861" w:type="dxa"/>
            <w:tcBorders>
              <w:top w:val="nil"/>
              <w:left w:val="nil"/>
              <w:bottom w:val="nil"/>
              <w:right w:val="nil"/>
            </w:tcBorders>
            <w:shd w:val="clear" w:color="auto" w:fill="auto"/>
            <w:noWrap/>
            <w:vAlign w:val="bottom"/>
          </w:tcPr>
          <w:p w14:paraId="5CBF3E75"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Other</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CC045E"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D05946" w14:textId="77777777" w:rsidR="001C4DA2" w:rsidRPr="00AB45A0"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FDA514"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B2B128" w14:textId="77777777" w:rsidR="001C4DA2" w:rsidRPr="00AB45A0"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vAlign w:val="bottom"/>
          </w:tcPr>
          <w:p w14:paraId="56430A8B"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64F86D7B" w14:textId="77777777" w:rsidR="001C4DA2" w:rsidRPr="00AB45A0" w:rsidRDefault="001C4DA2" w:rsidP="0062732F">
            <w:pPr>
              <w:jc w:val="center"/>
              <w:rPr>
                <w:rFonts w:ascii="Arial" w:hAnsi="Arial" w:cs="Arial"/>
                <w:bCs/>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6A6A6"/>
            <w:vAlign w:val="bottom"/>
          </w:tcPr>
          <w:p w14:paraId="298CF29C"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1F4405DE"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6A6A6"/>
            <w:vAlign w:val="bottom"/>
          </w:tcPr>
          <w:p w14:paraId="0FA1DC29" w14:textId="77777777" w:rsidR="001C4DA2" w:rsidRPr="00AB45A0" w:rsidRDefault="001C4DA2" w:rsidP="0062732F">
            <w:pPr>
              <w:jc w:val="center"/>
              <w:rPr>
                <w:rFonts w:ascii="Arial" w:hAnsi="Arial" w:cs="Arial"/>
                <w:bCs/>
                <w:color w:val="000000"/>
              </w:rPr>
            </w:pPr>
          </w:p>
        </w:tc>
      </w:tr>
      <w:tr w:rsidR="001C4DA2" w:rsidRPr="00AB45A0" w14:paraId="53B42EB5" w14:textId="77777777" w:rsidTr="005250A7">
        <w:trPr>
          <w:trHeight w:val="315"/>
        </w:trPr>
        <w:tc>
          <w:tcPr>
            <w:tcW w:w="3861" w:type="dxa"/>
            <w:tcBorders>
              <w:top w:val="nil"/>
              <w:left w:val="nil"/>
              <w:bottom w:val="nil"/>
              <w:right w:val="nil"/>
            </w:tcBorders>
            <w:shd w:val="clear" w:color="auto" w:fill="auto"/>
            <w:noWrap/>
            <w:vAlign w:val="bottom"/>
          </w:tcPr>
          <w:p w14:paraId="2615273B" w14:textId="77777777" w:rsidR="001C4DA2" w:rsidRPr="00AB45A0" w:rsidRDefault="001C4DA2" w:rsidP="001C4DA2">
            <w:pPr>
              <w:pStyle w:val="ListParagraph"/>
              <w:numPr>
                <w:ilvl w:val="0"/>
                <w:numId w:val="35"/>
              </w:numPr>
              <w:ind w:left="176"/>
              <w:contextualSpacing w:val="0"/>
              <w:rPr>
                <w:rFonts w:ascii="Arial" w:hAnsi="Arial" w:cs="Arial"/>
                <w:bCs/>
                <w:color w:val="000000"/>
              </w:rPr>
            </w:pPr>
            <w:r w:rsidRPr="00AB45A0">
              <w:rPr>
                <w:rFonts w:ascii="Arial" w:hAnsi="Arial" w:cs="Arial"/>
                <w:bCs/>
                <w:color w:val="000000"/>
              </w:rPr>
              <w:t>Total liabilities</w:t>
            </w:r>
          </w:p>
        </w:tc>
        <w:tc>
          <w:tcPr>
            <w:tcW w:w="110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8EBCBB" w14:textId="77777777" w:rsidR="001C4DA2" w:rsidRPr="00AB45A0" w:rsidRDefault="001C4DA2" w:rsidP="0062732F">
            <w:pPr>
              <w:jc w:val="center"/>
              <w:rPr>
                <w:rFonts w:ascii="Arial" w:hAnsi="Arial" w:cs="Arial"/>
                <w:bCs/>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B118C"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D09DD"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0539A"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38D41F80"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3CC94233" w14:textId="77777777" w:rsidR="001C4DA2" w:rsidRPr="00AB45A0" w:rsidRDefault="001C4DA2" w:rsidP="0062732F">
            <w:pPr>
              <w:jc w:val="center"/>
              <w:rPr>
                <w:rFonts w:ascii="Arial" w:hAnsi="Arial" w:cs="Arial"/>
                <w:color w:val="000000"/>
              </w:rPr>
            </w:pPr>
          </w:p>
        </w:tc>
        <w:tc>
          <w:tcPr>
            <w:tcW w:w="1102" w:type="dxa"/>
            <w:tcBorders>
              <w:top w:val="single" w:sz="4" w:space="0" w:color="auto"/>
              <w:left w:val="single" w:sz="4" w:space="0" w:color="auto"/>
              <w:bottom w:val="single" w:sz="4" w:space="0" w:color="auto"/>
              <w:right w:val="single" w:sz="4" w:space="0" w:color="auto"/>
            </w:tcBorders>
            <w:vAlign w:val="bottom"/>
          </w:tcPr>
          <w:p w14:paraId="0FFD6A0F"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07DA7886" w14:textId="77777777" w:rsidR="001C4DA2" w:rsidRPr="00AB45A0" w:rsidRDefault="001C4DA2" w:rsidP="0062732F">
            <w:pPr>
              <w:jc w:val="center"/>
              <w:rPr>
                <w:rFonts w:ascii="Arial" w:hAnsi="Arial" w:cs="Arial"/>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14:paraId="634E738F" w14:textId="77777777" w:rsidR="001C4DA2" w:rsidRPr="00AB45A0" w:rsidRDefault="001C4DA2" w:rsidP="0062732F">
            <w:pPr>
              <w:jc w:val="center"/>
              <w:rPr>
                <w:rFonts w:ascii="Arial" w:hAnsi="Arial" w:cs="Arial"/>
                <w:color w:val="000000"/>
              </w:rPr>
            </w:pPr>
          </w:p>
        </w:tc>
      </w:tr>
    </w:tbl>
    <w:p w14:paraId="7601D1F6" w14:textId="77777777" w:rsidR="001C4DA2" w:rsidRDefault="001C4DA2" w:rsidP="001C4DA2"/>
    <w:p w14:paraId="61EDBC9C" w14:textId="50DF13C0" w:rsidR="002577D5" w:rsidRPr="001C4DA2" w:rsidRDefault="002577D5" w:rsidP="001C4DA2">
      <w:pPr>
        <w:sectPr w:rsidR="002577D5" w:rsidRPr="001C4DA2" w:rsidSect="00396F77">
          <w:footerReference w:type="default" r:id="rId21"/>
          <w:headerReference w:type="first" r:id="rId22"/>
          <w:footerReference w:type="first" r:id="rId23"/>
          <w:pgSz w:w="16840" w:h="11907" w:orient="landscape" w:code="9"/>
          <w:pgMar w:top="1440" w:right="1440" w:bottom="1440" w:left="1440" w:header="720" w:footer="720" w:gutter="0"/>
          <w:pgNumType w:start="1"/>
          <w:cols w:space="720"/>
          <w:titlePg/>
          <w:docGrid w:linePitch="272"/>
        </w:sectPr>
      </w:pPr>
    </w:p>
    <w:p w14:paraId="78698E60" w14:textId="77777777" w:rsidR="0009514E" w:rsidRDefault="0009514E" w:rsidP="0009514E">
      <w:pPr>
        <w:keepNext/>
        <w:spacing w:before="120" w:after="360"/>
        <w:jc w:val="center"/>
        <w:rPr>
          <w:rFonts w:ascii="Arial" w:hAnsi="Arial" w:cs="Arial"/>
          <w:b/>
          <w:sz w:val="32"/>
          <w:szCs w:val="32"/>
        </w:rPr>
      </w:pPr>
      <w:r>
        <w:rPr>
          <w:rFonts w:ascii="Arial" w:hAnsi="Arial" w:cs="Arial"/>
          <w:b/>
          <w:bCs/>
          <w:sz w:val="32"/>
          <w:szCs w:val="32"/>
        </w:rPr>
        <w:lastRenderedPageBreak/>
        <w:t>GRF_400</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Statement of Risk by Country</w:t>
      </w:r>
    </w:p>
    <w:p w14:paraId="0487F3B0" w14:textId="77777777" w:rsidR="0009514E" w:rsidRPr="00A37D94" w:rsidRDefault="0009514E" w:rsidP="00396F77">
      <w:pPr>
        <w:pStyle w:val="HeadingA"/>
        <w:spacing w:before="0" w:after="240"/>
        <w:outlineLvl w:val="0"/>
        <w:rPr>
          <w:rFonts w:ascii="Times New Roman" w:hAnsi="Times New Roman" w:cs="Times New Roman"/>
          <w:b w:val="0"/>
          <w:sz w:val="24"/>
          <w:szCs w:val="24"/>
        </w:rPr>
      </w:pPr>
      <w:r w:rsidRPr="00A37D94">
        <w:rPr>
          <w:rFonts w:ascii="Times New Roman" w:hAnsi="Times New Roman" w:cs="Times New Roman"/>
          <w:b w:val="0"/>
          <w:sz w:val="24"/>
          <w:szCs w:val="24"/>
        </w:rPr>
        <w:t>These instructions must be read in conjunction with the general instruction guide.</w:t>
      </w:r>
    </w:p>
    <w:p w14:paraId="6E9C4F52" w14:textId="77777777" w:rsidR="0009514E" w:rsidRDefault="0009514E" w:rsidP="00396F77">
      <w:pPr>
        <w:pStyle w:val="HeadingA"/>
        <w:spacing w:before="0" w:after="240"/>
        <w:outlineLvl w:val="0"/>
      </w:pPr>
      <w:r>
        <w:t>Explanatory notes</w:t>
      </w:r>
    </w:p>
    <w:p w14:paraId="7D9BF951" w14:textId="77777777" w:rsidR="0009514E" w:rsidRPr="0009514E" w:rsidRDefault="0009514E" w:rsidP="00396F77">
      <w:pPr>
        <w:keepNext/>
        <w:spacing w:after="240"/>
        <w:jc w:val="both"/>
        <w:outlineLvl w:val="0"/>
        <w:rPr>
          <w:rFonts w:ascii="Arial" w:hAnsi="Arial" w:cs="Arial"/>
          <w:b/>
          <w:sz w:val="24"/>
          <w:szCs w:val="24"/>
        </w:rPr>
      </w:pPr>
      <w:r w:rsidRPr="0009514E">
        <w:rPr>
          <w:rFonts w:ascii="Arial" w:hAnsi="Arial" w:cs="Arial"/>
          <w:b/>
          <w:sz w:val="24"/>
          <w:szCs w:val="24"/>
        </w:rPr>
        <w:t>Requirement for completion</w:t>
      </w:r>
    </w:p>
    <w:p w14:paraId="63B8946E" w14:textId="77777777" w:rsidR="0009514E" w:rsidRPr="0009514E" w:rsidRDefault="0009514E" w:rsidP="00396F77">
      <w:pPr>
        <w:spacing w:after="240"/>
        <w:jc w:val="both"/>
        <w:rPr>
          <w:sz w:val="24"/>
          <w:szCs w:val="24"/>
        </w:rPr>
      </w:pPr>
      <w:r w:rsidRPr="0009514E">
        <w:rPr>
          <w:sz w:val="24"/>
          <w:szCs w:val="24"/>
        </w:rPr>
        <w:t>This form only needs to be completed where the reporting insurer has business operations outside of Australia (</w:t>
      </w:r>
      <w:proofErr w:type="gramStart"/>
      <w:r w:rsidRPr="0009514E">
        <w:rPr>
          <w:sz w:val="24"/>
          <w:szCs w:val="24"/>
        </w:rPr>
        <w:t>i.e.</w:t>
      </w:r>
      <w:proofErr w:type="gramEnd"/>
      <w:r w:rsidRPr="0009514E">
        <w:rPr>
          <w:sz w:val="24"/>
          <w:szCs w:val="24"/>
        </w:rPr>
        <w:t xml:space="preserve"> where they have items of income, expense, assets, liabilities or capital outside of Australia).</w:t>
      </w:r>
    </w:p>
    <w:p w14:paraId="3B23317A" w14:textId="77777777" w:rsidR="0009514E" w:rsidRPr="0009514E" w:rsidRDefault="0009514E" w:rsidP="00396F77">
      <w:pPr>
        <w:spacing w:after="240"/>
        <w:jc w:val="both"/>
        <w:rPr>
          <w:rFonts w:ascii="Arial" w:hAnsi="Arial" w:cs="Arial"/>
          <w:b/>
          <w:sz w:val="24"/>
          <w:szCs w:val="24"/>
        </w:rPr>
      </w:pPr>
      <w:r w:rsidRPr="0009514E">
        <w:rPr>
          <w:rFonts w:ascii="Arial" w:hAnsi="Arial" w:cs="Arial"/>
          <w:b/>
          <w:sz w:val="24"/>
          <w:szCs w:val="24"/>
        </w:rPr>
        <w:t>Reporting by country / region</w:t>
      </w:r>
    </w:p>
    <w:p w14:paraId="502DF647" w14:textId="77777777" w:rsidR="0009514E" w:rsidRPr="0009514E" w:rsidRDefault="0009514E" w:rsidP="00396F77">
      <w:pPr>
        <w:spacing w:after="240"/>
        <w:jc w:val="both"/>
        <w:rPr>
          <w:sz w:val="24"/>
          <w:szCs w:val="24"/>
        </w:rPr>
      </w:pPr>
      <w:r w:rsidRPr="0009514E">
        <w:rPr>
          <w:sz w:val="24"/>
          <w:szCs w:val="24"/>
        </w:rPr>
        <w:t>The appropriate information is to be reported by country or geographic region as specified on the form. This is reported according to where the items of income / expense are on risk, assets are invested, and liabilities are located.</w:t>
      </w:r>
    </w:p>
    <w:p w14:paraId="0E4DDD49" w14:textId="77777777" w:rsidR="0009514E" w:rsidRDefault="0009514E" w:rsidP="00396F77">
      <w:pPr>
        <w:pStyle w:val="HeadingA"/>
        <w:spacing w:before="0" w:after="240"/>
        <w:outlineLvl w:val="0"/>
      </w:pPr>
      <w:r>
        <w:t>Instructions for specific items</w:t>
      </w:r>
    </w:p>
    <w:p w14:paraId="5C2EE4AD" w14:textId="77777777" w:rsidR="0009514E" w:rsidRPr="0009514E" w:rsidRDefault="0009514E" w:rsidP="00396F77">
      <w:pPr>
        <w:pStyle w:val="ListParagraph"/>
        <w:numPr>
          <w:ilvl w:val="1"/>
          <w:numId w:val="32"/>
        </w:numPr>
        <w:spacing w:after="240"/>
        <w:ind w:left="851" w:hanging="851"/>
        <w:contextualSpacing w:val="0"/>
        <w:jc w:val="both"/>
        <w:rPr>
          <w:rFonts w:ascii="Arial" w:hAnsi="Arial" w:cs="Arial"/>
          <w:b/>
          <w:sz w:val="24"/>
          <w:szCs w:val="24"/>
        </w:rPr>
      </w:pPr>
      <w:r w:rsidRPr="0009514E">
        <w:rPr>
          <w:rFonts w:ascii="Arial" w:hAnsi="Arial" w:cs="Arial"/>
          <w:b/>
          <w:sz w:val="24"/>
          <w:szCs w:val="24"/>
        </w:rPr>
        <w:t>Premium revenue: Direct</w:t>
      </w:r>
    </w:p>
    <w:p w14:paraId="0E07B2AB"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iCs/>
          <w:sz w:val="24"/>
          <w:szCs w:val="24"/>
        </w:rPr>
        <w:t>Premium revenue: Direct business</w:t>
      </w:r>
      <w:r w:rsidRPr="0009514E">
        <w:rPr>
          <w:sz w:val="24"/>
          <w:szCs w:val="24"/>
        </w:rPr>
        <w:t xml:space="preserve"> in </w:t>
      </w:r>
      <w:r w:rsidRPr="0009514E">
        <w:rPr>
          <w:i/>
          <w:sz w:val="24"/>
          <w:szCs w:val="24"/>
        </w:rPr>
        <w:t xml:space="preserve">GRF 310.0 Income Statement </w:t>
      </w:r>
      <w:r w:rsidRPr="0009514E">
        <w:rPr>
          <w:sz w:val="24"/>
          <w:szCs w:val="24"/>
        </w:rPr>
        <w:t>(GRF 310.0).</w:t>
      </w:r>
    </w:p>
    <w:p w14:paraId="585DFA39" w14:textId="77777777" w:rsidR="0009514E" w:rsidRPr="0009514E" w:rsidRDefault="0009514E" w:rsidP="00396F77">
      <w:pPr>
        <w:pStyle w:val="ListParagraph"/>
        <w:numPr>
          <w:ilvl w:val="1"/>
          <w:numId w:val="32"/>
        </w:numPr>
        <w:spacing w:after="240"/>
        <w:ind w:left="851" w:hanging="851"/>
        <w:contextualSpacing w:val="0"/>
        <w:jc w:val="both"/>
        <w:rPr>
          <w:rFonts w:ascii="Arial" w:hAnsi="Arial" w:cs="Arial"/>
          <w:b/>
          <w:sz w:val="24"/>
          <w:szCs w:val="24"/>
        </w:rPr>
      </w:pPr>
      <w:r w:rsidRPr="0009514E">
        <w:rPr>
          <w:rFonts w:ascii="Arial" w:hAnsi="Arial" w:cs="Arial"/>
          <w:b/>
          <w:sz w:val="24"/>
          <w:szCs w:val="24"/>
        </w:rPr>
        <w:t>Premium revenue: Inwards reinsurance</w:t>
      </w:r>
    </w:p>
    <w:p w14:paraId="28554E13"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iCs/>
          <w:sz w:val="24"/>
          <w:szCs w:val="24"/>
        </w:rPr>
        <w:t>Premium revenue: Inwards reinsurance</w:t>
      </w:r>
      <w:r w:rsidRPr="0009514E">
        <w:rPr>
          <w:sz w:val="24"/>
          <w:szCs w:val="24"/>
        </w:rPr>
        <w:t xml:space="preserve"> in GRF 310.0.</w:t>
      </w:r>
    </w:p>
    <w:p w14:paraId="6BA101EC" w14:textId="77777777" w:rsidR="0009514E" w:rsidRPr="0009514E" w:rsidRDefault="0009514E" w:rsidP="00396F77">
      <w:pPr>
        <w:tabs>
          <w:tab w:val="left" w:pos="851"/>
        </w:tabs>
        <w:spacing w:after="240"/>
        <w:jc w:val="both"/>
        <w:rPr>
          <w:rFonts w:ascii="Arial" w:hAnsi="Arial" w:cs="Arial"/>
          <w:b/>
          <w:sz w:val="24"/>
          <w:szCs w:val="24"/>
        </w:rPr>
      </w:pPr>
      <w:r w:rsidRPr="0009514E">
        <w:rPr>
          <w:rFonts w:ascii="Arial" w:hAnsi="Arial" w:cs="Arial"/>
          <w:b/>
          <w:sz w:val="24"/>
          <w:szCs w:val="24"/>
        </w:rPr>
        <w:t>2.1.</w:t>
      </w:r>
      <w:r w:rsidRPr="0009514E">
        <w:rPr>
          <w:rFonts w:ascii="Arial" w:hAnsi="Arial" w:cs="Arial"/>
          <w:b/>
          <w:sz w:val="24"/>
          <w:szCs w:val="24"/>
        </w:rPr>
        <w:tab/>
        <w:t>Reinsurance expense: Direct</w:t>
      </w:r>
    </w:p>
    <w:p w14:paraId="1AD39E77"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iCs/>
          <w:sz w:val="24"/>
          <w:szCs w:val="24"/>
        </w:rPr>
        <w:t>Outwards reinsurance expense relating to current and prior years cover</w:t>
      </w:r>
      <w:r w:rsidRPr="0009514E">
        <w:rPr>
          <w:sz w:val="24"/>
          <w:szCs w:val="24"/>
        </w:rPr>
        <w:t xml:space="preserve"> in GRF 310.0.  Report this item in relation to the direct business of the reporting insurer.</w:t>
      </w:r>
    </w:p>
    <w:p w14:paraId="43730C14" w14:textId="77777777" w:rsidR="0009514E" w:rsidRPr="0009514E" w:rsidRDefault="0009514E" w:rsidP="00396F77">
      <w:pPr>
        <w:tabs>
          <w:tab w:val="left" w:pos="851"/>
        </w:tabs>
        <w:spacing w:after="240"/>
        <w:jc w:val="both"/>
        <w:rPr>
          <w:rFonts w:ascii="Arial" w:hAnsi="Arial" w:cs="Arial"/>
          <w:b/>
          <w:sz w:val="24"/>
          <w:szCs w:val="24"/>
        </w:rPr>
      </w:pPr>
      <w:r w:rsidRPr="0009514E">
        <w:rPr>
          <w:rFonts w:ascii="Arial" w:hAnsi="Arial" w:cs="Arial"/>
          <w:b/>
          <w:sz w:val="24"/>
          <w:szCs w:val="24"/>
        </w:rPr>
        <w:t>2.2.</w:t>
      </w:r>
      <w:r w:rsidRPr="0009514E">
        <w:rPr>
          <w:rFonts w:ascii="Arial" w:hAnsi="Arial" w:cs="Arial"/>
          <w:b/>
          <w:sz w:val="24"/>
          <w:szCs w:val="24"/>
        </w:rPr>
        <w:tab/>
        <w:t>Reinsurance expense: Inwards reinsurance</w:t>
      </w:r>
    </w:p>
    <w:p w14:paraId="2FA334BB"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iCs/>
          <w:sz w:val="24"/>
          <w:szCs w:val="24"/>
        </w:rPr>
        <w:t>Outwards reinsurance expense relating to current and prior years cover</w:t>
      </w:r>
      <w:r w:rsidRPr="0009514E">
        <w:rPr>
          <w:sz w:val="24"/>
          <w:szCs w:val="24"/>
        </w:rPr>
        <w:t xml:space="preserve"> in GRF 310.0.  Report this item in relation to the inwards reinsurance business of the reporting insurer.</w:t>
      </w:r>
    </w:p>
    <w:p w14:paraId="232ABF21" w14:textId="77777777" w:rsidR="0009514E" w:rsidRPr="0009514E" w:rsidRDefault="0009514E" w:rsidP="00396F77">
      <w:pPr>
        <w:keepNext/>
        <w:tabs>
          <w:tab w:val="left" w:pos="851"/>
        </w:tabs>
        <w:spacing w:after="240"/>
        <w:jc w:val="both"/>
        <w:outlineLvl w:val="0"/>
        <w:rPr>
          <w:rFonts w:ascii="Arial" w:hAnsi="Arial" w:cs="Arial"/>
          <w:b/>
          <w:sz w:val="24"/>
          <w:szCs w:val="24"/>
        </w:rPr>
      </w:pPr>
      <w:r w:rsidRPr="0009514E">
        <w:rPr>
          <w:rFonts w:ascii="Arial" w:hAnsi="Arial" w:cs="Arial"/>
          <w:b/>
          <w:sz w:val="24"/>
          <w:szCs w:val="24"/>
        </w:rPr>
        <w:t xml:space="preserve">3.1. </w:t>
      </w:r>
      <w:r w:rsidRPr="0009514E">
        <w:rPr>
          <w:rFonts w:ascii="Arial" w:hAnsi="Arial" w:cs="Arial"/>
          <w:b/>
          <w:sz w:val="24"/>
          <w:szCs w:val="24"/>
        </w:rPr>
        <w:tab/>
        <w:t>Claims expense relating to current and prior years: Direct</w:t>
      </w:r>
    </w:p>
    <w:p w14:paraId="39F31C9F"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sz w:val="24"/>
          <w:szCs w:val="24"/>
        </w:rPr>
        <w:t>Claims expense: Associated with direct business: Paid claims</w:t>
      </w:r>
      <w:r w:rsidRPr="0009514E">
        <w:rPr>
          <w:sz w:val="24"/>
          <w:szCs w:val="24"/>
        </w:rPr>
        <w:t xml:space="preserve">, </w:t>
      </w:r>
      <w:proofErr w:type="gramStart"/>
      <w:r w:rsidRPr="0009514E">
        <w:rPr>
          <w:i/>
          <w:sz w:val="24"/>
          <w:szCs w:val="24"/>
        </w:rPr>
        <w:t>Claims</w:t>
      </w:r>
      <w:proofErr w:type="gramEnd"/>
      <w:r w:rsidRPr="0009514E">
        <w:rPr>
          <w:i/>
          <w:sz w:val="24"/>
          <w:szCs w:val="24"/>
        </w:rPr>
        <w:t xml:space="preserve"> expense: Associated with direct business: Movement in OCL </w:t>
      </w:r>
      <w:r w:rsidRPr="0009514E">
        <w:rPr>
          <w:sz w:val="24"/>
          <w:szCs w:val="24"/>
        </w:rPr>
        <w:t>and</w:t>
      </w:r>
      <w:r w:rsidRPr="0009514E">
        <w:rPr>
          <w:i/>
          <w:sz w:val="24"/>
          <w:szCs w:val="24"/>
        </w:rPr>
        <w:t xml:space="preserve"> Gross claims expense</w:t>
      </w:r>
      <w:r w:rsidRPr="0009514E">
        <w:rPr>
          <w:sz w:val="24"/>
          <w:szCs w:val="24"/>
        </w:rPr>
        <w:t xml:space="preserve"> in GRF 310.0.</w:t>
      </w:r>
    </w:p>
    <w:p w14:paraId="3E9DCC1D" w14:textId="77777777" w:rsidR="0009514E" w:rsidRPr="0009514E" w:rsidRDefault="0009514E" w:rsidP="00396F77">
      <w:pPr>
        <w:keepNext/>
        <w:tabs>
          <w:tab w:val="left" w:pos="851"/>
        </w:tabs>
        <w:spacing w:after="240"/>
        <w:ind w:left="851" w:hanging="851"/>
        <w:jc w:val="both"/>
        <w:outlineLvl w:val="0"/>
        <w:rPr>
          <w:rFonts w:ascii="Arial" w:hAnsi="Arial" w:cs="Arial"/>
          <w:b/>
          <w:sz w:val="24"/>
          <w:szCs w:val="24"/>
        </w:rPr>
      </w:pPr>
      <w:r w:rsidRPr="0009514E">
        <w:rPr>
          <w:rFonts w:ascii="Arial" w:hAnsi="Arial" w:cs="Arial"/>
          <w:b/>
          <w:sz w:val="24"/>
          <w:szCs w:val="24"/>
        </w:rPr>
        <w:t xml:space="preserve">3.2. </w:t>
      </w:r>
      <w:r w:rsidRPr="0009514E">
        <w:rPr>
          <w:rFonts w:ascii="Arial" w:hAnsi="Arial" w:cs="Arial"/>
          <w:b/>
          <w:sz w:val="24"/>
          <w:szCs w:val="24"/>
        </w:rPr>
        <w:tab/>
        <w:t>Claims expense relating to current and prior years: Inwards reinsurance</w:t>
      </w:r>
    </w:p>
    <w:p w14:paraId="46AC51E5"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sz w:val="24"/>
          <w:szCs w:val="24"/>
        </w:rPr>
        <w:t>Claims expense: Associated with inwards reinsurance: Paid claims</w:t>
      </w:r>
      <w:r w:rsidRPr="0009514E">
        <w:rPr>
          <w:sz w:val="24"/>
          <w:szCs w:val="24"/>
        </w:rPr>
        <w:t xml:space="preserve">, </w:t>
      </w:r>
      <w:proofErr w:type="gramStart"/>
      <w:r w:rsidRPr="0009514E">
        <w:rPr>
          <w:i/>
          <w:sz w:val="24"/>
          <w:szCs w:val="24"/>
        </w:rPr>
        <w:t>Claims</w:t>
      </w:r>
      <w:proofErr w:type="gramEnd"/>
      <w:r w:rsidRPr="0009514E">
        <w:rPr>
          <w:i/>
          <w:sz w:val="24"/>
          <w:szCs w:val="24"/>
        </w:rPr>
        <w:t xml:space="preserve"> expense: Associated with inwards reinsurance: Movement in OCL</w:t>
      </w:r>
      <w:r w:rsidRPr="0009514E">
        <w:rPr>
          <w:sz w:val="24"/>
          <w:szCs w:val="24"/>
        </w:rPr>
        <w:t xml:space="preserve"> and </w:t>
      </w:r>
      <w:r w:rsidRPr="0009514E">
        <w:rPr>
          <w:i/>
          <w:sz w:val="24"/>
          <w:szCs w:val="24"/>
        </w:rPr>
        <w:t>Gross claims expense</w:t>
      </w:r>
      <w:r w:rsidRPr="0009514E">
        <w:rPr>
          <w:sz w:val="24"/>
          <w:szCs w:val="24"/>
        </w:rPr>
        <w:t xml:space="preserve"> in GRF 310.0.</w:t>
      </w:r>
    </w:p>
    <w:p w14:paraId="5BCEA478"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lastRenderedPageBreak/>
        <w:t>Reinsurance recoveries revenue relating to current and prior years</w:t>
      </w:r>
    </w:p>
    <w:p w14:paraId="2188671D"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sz w:val="24"/>
          <w:szCs w:val="24"/>
        </w:rPr>
        <w:t>Reinsurance recoveries revenue relating to current and prior years</w:t>
      </w:r>
      <w:r w:rsidRPr="0009514E">
        <w:rPr>
          <w:sz w:val="24"/>
          <w:szCs w:val="24"/>
        </w:rPr>
        <w:t xml:space="preserve"> in GRF 310.0.</w:t>
      </w:r>
    </w:p>
    <w:p w14:paraId="08E87D02"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Investment income</w:t>
      </w:r>
    </w:p>
    <w:p w14:paraId="5A10756A" w14:textId="77777777" w:rsidR="0009514E" w:rsidRPr="0009514E" w:rsidRDefault="0009514E" w:rsidP="00396F77">
      <w:pPr>
        <w:spacing w:after="240"/>
        <w:jc w:val="both"/>
        <w:rPr>
          <w:sz w:val="24"/>
          <w:szCs w:val="24"/>
        </w:rPr>
      </w:pPr>
      <w:r w:rsidRPr="0009514E">
        <w:rPr>
          <w:sz w:val="24"/>
          <w:szCs w:val="24"/>
        </w:rPr>
        <w:t xml:space="preserve">Refer to instructions for </w:t>
      </w:r>
      <w:r w:rsidRPr="0009514E">
        <w:rPr>
          <w:i/>
          <w:sz w:val="24"/>
          <w:szCs w:val="24"/>
        </w:rPr>
        <w:t>Investment income on assets backing insurance liabilities</w:t>
      </w:r>
      <w:r w:rsidRPr="0009514E">
        <w:rPr>
          <w:sz w:val="24"/>
          <w:szCs w:val="24"/>
        </w:rPr>
        <w:t xml:space="preserve"> and </w:t>
      </w:r>
      <w:r w:rsidRPr="0009514E">
        <w:rPr>
          <w:i/>
          <w:sz w:val="24"/>
          <w:szCs w:val="24"/>
        </w:rPr>
        <w:t>Investment income on shareholders' funds</w:t>
      </w:r>
      <w:r w:rsidRPr="0009514E">
        <w:rPr>
          <w:sz w:val="24"/>
          <w:szCs w:val="24"/>
        </w:rPr>
        <w:t xml:space="preserve"> in GRF 310.0.</w:t>
      </w:r>
    </w:p>
    <w:p w14:paraId="44754C7B"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Amounts recoverable on reinsurance contracts and outstanding claims</w:t>
      </w:r>
    </w:p>
    <w:p w14:paraId="6303F6E1" w14:textId="77777777" w:rsidR="0009514E" w:rsidRPr="0009514E" w:rsidRDefault="0009514E" w:rsidP="00396F77">
      <w:pPr>
        <w:spacing w:after="240"/>
        <w:jc w:val="both"/>
        <w:rPr>
          <w:sz w:val="24"/>
          <w:szCs w:val="24"/>
        </w:rPr>
      </w:pPr>
      <w:r w:rsidRPr="0009514E">
        <w:rPr>
          <w:sz w:val="24"/>
          <w:szCs w:val="24"/>
        </w:rPr>
        <w:t xml:space="preserve">Refer to instructions for Item 2.4 </w:t>
      </w:r>
      <w:r w:rsidRPr="0009514E">
        <w:rPr>
          <w:i/>
          <w:sz w:val="24"/>
          <w:szCs w:val="24"/>
        </w:rPr>
        <w:t>Net amount recoverable from reinsurance contracts on outstanding claims and paid claims</w:t>
      </w:r>
      <w:r w:rsidRPr="0009514E">
        <w:rPr>
          <w:sz w:val="24"/>
          <w:szCs w:val="24"/>
        </w:rPr>
        <w:t xml:space="preserve"> in </w:t>
      </w:r>
      <w:r w:rsidRPr="0009514E">
        <w:rPr>
          <w:i/>
          <w:sz w:val="24"/>
          <w:szCs w:val="24"/>
        </w:rPr>
        <w:t xml:space="preserve">GRF 300.0 Statement of Financial Position </w:t>
      </w:r>
      <w:r w:rsidRPr="0009514E">
        <w:rPr>
          <w:sz w:val="24"/>
          <w:szCs w:val="24"/>
        </w:rPr>
        <w:t>(GRF 300.0).</w:t>
      </w:r>
    </w:p>
    <w:p w14:paraId="2A22FAAB"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Deferred acquisition costs</w:t>
      </w:r>
    </w:p>
    <w:p w14:paraId="1AF73F4D" w14:textId="77777777" w:rsidR="0009514E" w:rsidRPr="0009514E" w:rsidRDefault="0009514E" w:rsidP="00396F77">
      <w:pPr>
        <w:spacing w:after="240"/>
        <w:jc w:val="both"/>
        <w:rPr>
          <w:sz w:val="24"/>
          <w:szCs w:val="24"/>
        </w:rPr>
      </w:pPr>
      <w:r w:rsidRPr="0009514E">
        <w:rPr>
          <w:sz w:val="24"/>
          <w:szCs w:val="24"/>
        </w:rPr>
        <w:t xml:space="preserve">Refer to instructions for Item 9 </w:t>
      </w:r>
      <w:r w:rsidRPr="0009514E">
        <w:rPr>
          <w:i/>
          <w:iCs/>
          <w:sz w:val="24"/>
          <w:szCs w:val="24"/>
        </w:rPr>
        <w:t>Deferred acquisition costs</w:t>
      </w:r>
      <w:r w:rsidRPr="0009514E">
        <w:rPr>
          <w:sz w:val="24"/>
          <w:szCs w:val="24"/>
        </w:rPr>
        <w:t xml:space="preserve"> in GRF 300.0.</w:t>
      </w:r>
    </w:p>
    <w:p w14:paraId="1A4423E6"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Deferred reinsurance expense</w:t>
      </w:r>
    </w:p>
    <w:p w14:paraId="4321E780" w14:textId="77777777" w:rsidR="0009514E" w:rsidRPr="0009514E" w:rsidRDefault="0009514E" w:rsidP="00396F77">
      <w:pPr>
        <w:spacing w:after="240"/>
        <w:jc w:val="both"/>
        <w:rPr>
          <w:sz w:val="24"/>
          <w:szCs w:val="24"/>
        </w:rPr>
      </w:pPr>
      <w:r w:rsidRPr="0009514E">
        <w:rPr>
          <w:sz w:val="24"/>
          <w:szCs w:val="24"/>
        </w:rPr>
        <w:t xml:space="preserve">Refer to instructions for Item 8 </w:t>
      </w:r>
      <w:r w:rsidRPr="0009514E">
        <w:rPr>
          <w:i/>
          <w:iCs/>
          <w:sz w:val="24"/>
          <w:szCs w:val="24"/>
        </w:rPr>
        <w:t>Deferred reinsurance expense</w:t>
      </w:r>
      <w:r w:rsidRPr="0009514E">
        <w:rPr>
          <w:sz w:val="24"/>
          <w:szCs w:val="24"/>
        </w:rPr>
        <w:t xml:space="preserve"> in GRF 300.0.</w:t>
      </w:r>
    </w:p>
    <w:p w14:paraId="06BAF524"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Other reinsurance assets</w:t>
      </w:r>
    </w:p>
    <w:p w14:paraId="4D5B1F2C" w14:textId="77777777" w:rsidR="0009514E" w:rsidRPr="0009514E" w:rsidRDefault="0009514E" w:rsidP="00396F77">
      <w:pPr>
        <w:spacing w:after="240"/>
        <w:jc w:val="both"/>
        <w:rPr>
          <w:sz w:val="24"/>
          <w:szCs w:val="24"/>
        </w:rPr>
      </w:pPr>
      <w:r w:rsidRPr="0009514E">
        <w:rPr>
          <w:sz w:val="24"/>
          <w:szCs w:val="24"/>
        </w:rPr>
        <w:t xml:space="preserve">Refer to instructions for Item 2.5 </w:t>
      </w:r>
      <w:r w:rsidRPr="0009514E">
        <w:rPr>
          <w:i/>
          <w:iCs/>
          <w:sz w:val="24"/>
          <w:szCs w:val="24"/>
        </w:rPr>
        <w:t>Other reinsurance assets</w:t>
      </w:r>
      <w:r w:rsidRPr="0009514E">
        <w:rPr>
          <w:sz w:val="24"/>
          <w:szCs w:val="24"/>
        </w:rPr>
        <w:t xml:space="preserve"> in GRF 300.0.</w:t>
      </w:r>
    </w:p>
    <w:p w14:paraId="3BC7C48F"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Investments</w:t>
      </w:r>
    </w:p>
    <w:p w14:paraId="79CC792A" w14:textId="77777777" w:rsidR="0009514E" w:rsidRPr="0009514E" w:rsidRDefault="0009514E" w:rsidP="00396F77">
      <w:pPr>
        <w:spacing w:after="240"/>
        <w:jc w:val="both"/>
        <w:rPr>
          <w:sz w:val="24"/>
          <w:szCs w:val="24"/>
        </w:rPr>
      </w:pPr>
      <w:r w:rsidRPr="0009514E">
        <w:rPr>
          <w:sz w:val="24"/>
          <w:szCs w:val="24"/>
        </w:rPr>
        <w:t xml:space="preserve">Refer to instructions for Item 3 </w:t>
      </w:r>
      <w:r w:rsidRPr="0009514E">
        <w:rPr>
          <w:i/>
          <w:iCs/>
          <w:sz w:val="24"/>
          <w:szCs w:val="24"/>
        </w:rPr>
        <w:t>Investments (related to GRF 114.4)</w:t>
      </w:r>
      <w:r w:rsidRPr="0009514E">
        <w:rPr>
          <w:sz w:val="24"/>
          <w:szCs w:val="24"/>
        </w:rPr>
        <w:t xml:space="preserve"> in GRF 300.0.</w:t>
      </w:r>
    </w:p>
    <w:p w14:paraId="34512A95"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Other investments</w:t>
      </w:r>
    </w:p>
    <w:p w14:paraId="28DB6661" w14:textId="77777777" w:rsidR="0009514E" w:rsidRPr="0009514E" w:rsidRDefault="0009514E" w:rsidP="00396F77">
      <w:pPr>
        <w:spacing w:after="240"/>
        <w:jc w:val="both"/>
        <w:rPr>
          <w:sz w:val="24"/>
          <w:szCs w:val="24"/>
        </w:rPr>
      </w:pPr>
      <w:r w:rsidRPr="0009514E">
        <w:rPr>
          <w:sz w:val="24"/>
          <w:szCs w:val="24"/>
        </w:rPr>
        <w:t xml:space="preserve">Refer to instructions for Item 10 </w:t>
      </w:r>
      <w:r w:rsidRPr="0009514E">
        <w:rPr>
          <w:i/>
          <w:iCs/>
          <w:sz w:val="24"/>
          <w:szCs w:val="24"/>
        </w:rPr>
        <w:t xml:space="preserve">Total other investments </w:t>
      </w:r>
      <w:r w:rsidRPr="0009514E">
        <w:rPr>
          <w:sz w:val="24"/>
          <w:szCs w:val="24"/>
        </w:rPr>
        <w:t>in GRF 300.0.</w:t>
      </w:r>
    </w:p>
    <w:p w14:paraId="03F35F53"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All other assets</w:t>
      </w:r>
    </w:p>
    <w:p w14:paraId="2A9C9C97" w14:textId="77777777" w:rsidR="0009514E" w:rsidRPr="0009514E" w:rsidRDefault="0009514E" w:rsidP="00396F77">
      <w:pPr>
        <w:spacing w:after="240"/>
        <w:jc w:val="both"/>
        <w:rPr>
          <w:sz w:val="24"/>
          <w:szCs w:val="24"/>
        </w:rPr>
      </w:pPr>
      <w:r w:rsidRPr="0009514E">
        <w:rPr>
          <w:sz w:val="24"/>
          <w:szCs w:val="24"/>
        </w:rPr>
        <w:t>This is a balancing item and is the value of all other assets not specifically reported in Items 6 to 11.</w:t>
      </w:r>
    </w:p>
    <w:p w14:paraId="5530117D" w14:textId="77777777" w:rsidR="0009514E" w:rsidRPr="0009514E" w:rsidRDefault="0009514E" w:rsidP="00396F77">
      <w:pPr>
        <w:spacing w:after="240"/>
        <w:jc w:val="both"/>
        <w:rPr>
          <w:sz w:val="24"/>
          <w:szCs w:val="24"/>
        </w:rPr>
      </w:pPr>
      <w:r w:rsidRPr="0009514E">
        <w:rPr>
          <w:sz w:val="24"/>
          <w:szCs w:val="24"/>
        </w:rPr>
        <w:t>It is automatically calculated as Item 13 less the sum of Items 6 to 11.</w:t>
      </w:r>
    </w:p>
    <w:p w14:paraId="362B4993"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Total assets</w:t>
      </w:r>
    </w:p>
    <w:p w14:paraId="35B263B2" w14:textId="77777777" w:rsidR="0009514E" w:rsidRPr="0009514E" w:rsidRDefault="0009514E" w:rsidP="00396F77">
      <w:pPr>
        <w:spacing w:after="240"/>
        <w:jc w:val="both"/>
        <w:rPr>
          <w:sz w:val="24"/>
          <w:szCs w:val="24"/>
        </w:rPr>
      </w:pPr>
      <w:r w:rsidRPr="0009514E">
        <w:rPr>
          <w:sz w:val="24"/>
          <w:szCs w:val="24"/>
        </w:rPr>
        <w:t xml:space="preserve">This represents the total assets of the reporting insurer. </w:t>
      </w:r>
    </w:p>
    <w:p w14:paraId="17A76E98" w14:textId="77777777" w:rsidR="0009514E" w:rsidRPr="0009514E" w:rsidRDefault="0009514E" w:rsidP="00396F77">
      <w:pPr>
        <w:spacing w:after="240"/>
        <w:jc w:val="both"/>
        <w:rPr>
          <w:sz w:val="24"/>
          <w:szCs w:val="24"/>
        </w:rPr>
      </w:pPr>
      <w:r w:rsidRPr="0009514E">
        <w:rPr>
          <w:sz w:val="24"/>
          <w:szCs w:val="24"/>
        </w:rPr>
        <w:t>The total across all countries and regions should correspond to Item 13 in GRF 300.0.</w:t>
      </w:r>
    </w:p>
    <w:p w14:paraId="0D4A8946"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Unearned premium liability</w:t>
      </w:r>
    </w:p>
    <w:p w14:paraId="7F8103EA" w14:textId="77777777" w:rsidR="0009514E" w:rsidRPr="0009514E" w:rsidRDefault="0009514E" w:rsidP="00396F77">
      <w:pPr>
        <w:spacing w:after="240"/>
        <w:jc w:val="both"/>
        <w:rPr>
          <w:sz w:val="24"/>
          <w:szCs w:val="24"/>
        </w:rPr>
      </w:pPr>
      <w:r w:rsidRPr="0009514E">
        <w:rPr>
          <w:sz w:val="24"/>
          <w:szCs w:val="24"/>
        </w:rPr>
        <w:t xml:space="preserve">Refer to instructions for Item 17 </w:t>
      </w:r>
      <w:r w:rsidRPr="0009514E">
        <w:rPr>
          <w:i/>
          <w:iCs/>
          <w:sz w:val="24"/>
          <w:szCs w:val="24"/>
        </w:rPr>
        <w:t>Unearned premium liability</w:t>
      </w:r>
      <w:r w:rsidRPr="0009514E">
        <w:rPr>
          <w:sz w:val="24"/>
          <w:szCs w:val="24"/>
        </w:rPr>
        <w:t xml:space="preserve"> in GRF 300.0.</w:t>
      </w:r>
    </w:p>
    <w:p w14:paraId="13801EC6"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lastRenderedPageBreak/>
        <w:t>Outstanding claims liabilities</w:t>
      </w:r>
    </w:p>
    <w:p w14:paraId="352941A9" w14:textId="77777777" w:rsidR="0009514E" w:rsidRPr="0009514E" w:rsidRDefault="0009514E" w:rsidP="00396F77">
      <w:pPr>
        <w:spacing w:after="240"/>
        <w:jc w:val="both"/>
        <w:rPr>
          <w:sz w:val="24"/>
          <w:szCs w:val="24"/>
        </w:rPr>
      </w:pPr>
      <w:r w:rsidRPr="0009514E">
        <w:rPr>
          <w:sz w:val="24"/>
          <w:szCs w:val="24"/>
        </w:rPr>
        <w:t xml:space="preserve">Refer to instructions for Item 16 </w:t>
      </w:r>
      <w:r w:rsidRPr="0009514E">
        <w:rPr>
          <w:i/>
          <w:iCs/>
          <w:sz w:val="24"/>
          <w:szCs w:val="24"/>
        </w:rPr>
        <w:t>Outstanding claims liabilities</w:t>
      </w:r>
      <w:r w:rsidRPr="0009514E">
        <w:rPr>
          <w:sz w:val="24"/>
          <w:szCs w:val="24"/>
        </w:rPr>
        <w:t xml:space="preserve"> in GRF 300.0.</w:t>
      </w:r>
    </w:p>
    <w:p w14:paraId="0AC8BEEC"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Borrowings / loan capital</w:t>
      </w:r>
    </w:p>
    <w:p w14:paraId="525124FF" w14:textId="77777777" w:rsidR="0009514E" w:rsidRPr="0009514E" w:rsidRDefault="0009514E" w:rsidP="00396F77">
      <w:pPr>
        <w:spacing w:after="240"/>
        <w:jc w:val="both"/>
        <w:rPr>
          <w:sz w:val="24"/>
          <w:szCs w:val="24"/>
        </w:rPr>
      </w:pPr>
      <w:r w:rsidRPr="0009514E">
        <w:rPr>
          <w:sz w:val="24"/>
          <w:szCs w:val="24"/>
        </w:rPr>
        <w:t>This is the value, as at the relevant date, of borrowings, loan capital and hybrid securities as determined in accordance with Australian Accounting Standards.</w:t>
      </w:r>
    </w:p>
    <w:p w14:paraId="0E052C7F" w14:textId="77777777" w:rsidR="0009514E" w:rsidRPr="0009514E" w:rsidRDefault="0009514E" w:rsidP="00396F77">
      <w:pPr>
        <w:spacing w:after="240"/>
        <w:jc w:val="both"/>
        <w:rPr>
          <w:sz w:val="24"/>
          <w:szCs w:val="24"/>
        </w:rPr>
      </w:pPr>
      <w:r w:rsidRPr="0009514E">
        <w:rPr>
          <w:sz w:val="24"/>
          <w:szCs w:val="24"/>
        </w:rPr>
        <w:t xml:space="preserve">Refer to instructions for Item 19 </w:t>
      </w:r>
      <w:r w:rsidRPr="0009514E">
        <w:rPr>
          <w:i/>
          <w:iCs/>
          <w:sz w:val="24"/>
          <w:szCs w:val="24"/>
        </w:rPr>
        <w:t>Total borrowings</w:t>
      </w:r>
      <w:r w:rsidRPr="0009514E">
        <w:rPr>
          <w:sz w:val="24"/>
          <w:szCs w:val="24"/>
        </w:rPr>
        <w:t xml:space="preserve">, Item 23.1 </w:t>
      </w:r>
      <w:r w:rsidRPr="0009514E">
        <w:rPr>
          <w:i/>
          <w:iCs/>
          <w:sz w:val="24"/>
          <w:szCs w:val="24"/>
        </w:rPr>
        <w:t>Loan capital</w:t>
      </w:r>
      <w:r w:rsidRPr="0009514E">
        <w:rPr>
          <w:sz w:val="24"/>
          <w:szCs w:val="24"/>
        </w:rPr>
        <w:t xml:space="preserve"> and Item 23.2 </w:t>
      </w:r>
      <w:r w:rsidRPr="0009514E">
        <w:rPr>
          <w:i/>
          <w:iCs/>
          <w:sz w:val="24"/>
          <w:szCs w:val="24"/>
        </w:rPr>
        <w:t>Hybrid securities</w:t>
      </w:r>
      <w:r w:rsidRPr="0009514E">
        <w:rPr>
          <w:sz w:val="24"/>
          <w:szCs w:val="24"/>
        </w:rPr>
        <w:t xml:space="preserve"> in GRF 300.0.</w:t>
      </w:r>
    </w:p>
    <w:p w14:paraId="7788C027"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Other liabilities</w:t>
      </w:r>
    </w:p>
    <w:p w14:paraId="544084F7" w14:textId="77777777" w:rsidR="0009514E" w:rsidRPr="0009514E" w:rsidRDefault="0009514E" w:rsidP="00396F77">
      <w:pPr>
        <w:spacing w:after="240"/>
        <w:jc w:val="both"/>
        <w:rPr>
          <w:sz w:val="24"/>
          <w:szCs w:val="24"/>
        </w:rPr>
      </w:pPr>
      <w:r w:rsidRPr="0009514E">
        <w:rPr>
          <w:sz w:val="24"/>
          <w:szCs w:val="24"/>
        </w:rPr>
        <w:t>This is a balancing item and is the value of all other liabilities not specifically reported in Items 14 to 16.</w:t>
      </w:r>
    </w:p>
    <w:p w14:paraId="4A39C7AE" w14:textId="77777777" w:rsidR="0009514E" w:rsidRPr="0009514E" w:rsidRDefault="0009514E" w:rsidP="00396F77">
      <w:pPr>
        <w:spacing w:after="240"/>
        <w:jc w:val="both"/>
        <w:rPr>
          <w:sz w:val="24"/>
          <w:szCs w:val="24"/>
        </w:rPr>
      </w:pPr>
      <w:r w:rsidRPr="0009514E">
        <w:rPr>
          <w:sz w:val="24"/>
          <w:szCs w:val="24"/>
        </w:rPr>
        <w:t>It is automatically calculated as Item 18 less the sum of Items 14 to 16.</w:t>
      </w:r>
    </w:p>
    <w:p w14:paraId="25AE30C9" w14:textId="77777777" w:rsidR="0009514E" w:rsidRPr="00030C41" w:rsidRDefault="0009514E" w:rsidP="00396F77">
      <w:pPr>
        <w:pStyle w:val="Heading2"/>
        <w:keepLines/>
        <w:numPr>
          <w:ilvl w:val="0"/>
          <w:numId w:val="33"/>
        </w:numPr>
        <w:spacing w:after="240"/>
        <w:ind w:left="567" w:hanging="567"/>
        <w:jc w:val="both"/>
        <w:rPr>
          <w:sz w:val="24"/>
          <w:szCs w:val="24"/>
        </w:rPr>
      </w:pPr>
      <w:r w:rsidRPr="00030C41">
        <w:rPr>
          <w:sz w:val="24"/>
          <w:szCs w:val="24"/>
        </w:rPr>
        <w:t>Total liabilities</w:t>
      </w:r>
    </w:p>
    <w:p w14:paraId="269248F1" w14:textId="77777777" w:rsidR="0009514E" w:rsidRPr="0009514E" w:rsidRDefault="0009514E" w:rsidP="00396F77">
      <w:pPr>
        <w:spacing w:after="240"/>
        <w:jc w:val="both"/>
        <w:rPr>
          <w:sz w:val="24"/>
          <w:szCs w:val="24"/>
        </w:rPr>
      </w:pPr>
      <w:r w:rsidRPr="0009514E">
        <w:rPr>
          <w:sz w:val="24"/>
          <w:szCs w:val="24"/>
        </w:rPr>
        <w:t>This represents the total liabilities of the reporting insurer.</w:t>
      </w:r>
    </w:p>
    <w:p w14:paraId="3D2B1830" w14:textId="025F6831" w:rsidR="00760AC5" w:rsidRDefault="0009514E" w:rsidP="00396F77">
      <w:pPr>
        <w:spacing w:after="240"/>
        <w:jc w:val="both"/>
        <w:rPr>
          <w:bCs/>
        </w:rPr>
      </w:pPr>
      <w:r w:rsidRPr="0009514E">
        <w:rPr>
          <w:sz w:val="24"/>
          <w:szCs w:val="24"/>
        </w:rPr>
        <w:t>The total across all countries and regions should correspond to Item 24 in GRF 300.0.</w:t>
      </w:r>
    </w:p>
    <w:sectPr w:rsidR="00760AC5" w:rsidSect="00AE7206">
      <w:headerReference w:type="default" r:id="rId24"/>
      <w:footerReference w:type="default" r:id="rId2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0931" w14:textId="77777777" w:rsidR="00BF4988" w:rsidRDefault="00BF4988" w:rsidP="00CC70E3">
      <w:r>
        <w:separator/>
      </w:r>
    </w:p>
  </w:endnote>
  <w:endnote w:type="continuationSeparator" w:id="0">
    <w:p w14:paraId="27BA3F1D" w14:textId="77777777" w:rsidR="00BF4988" w:rsidRDefault="00BF4988" w:rsidP="00CC70E3">
      <w:r>
        <w:continuationSeparator/>
      </w:r>
    </w:p>
  </w:endnote>
  <w:endnote w:type="continuationNotice" w:id="1">
    <w:p w14:paraId="2DEFB34B" w14:textId="77777777" w:rsidR="009203BD" w:rsidRDefault="00920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30AD" w14:textId="77777777" w:rsidR="0009514E" w:rsidRPr="00540965" w:rsidRDefault="0009514E"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7410" w14:textId="77777777" w:rsidR="00F65B32" w:rsidRPr="005D79F5" w:rsidRDefault="00F65B32" w:rsidP="005B7824">
    <w:pPr>
      <w:pStyle w:val="Footer"/>
      <w:framePr w:wrap="around" w:vAnchor="text" w:hAnchor="margin" w:xAlign="right" w:y="1"/>
      <w:jc w:val="right"/>
      <w:rPr>
        <w:b/>
        <w:sz w:val="24"/>
        <w:szCs w:val="24"/>
      </w:rPr>
    </w:pPr>
    <w:r w:rsidRPr="005D79F5">
      <w:rPr>
        <w:b/>
        <w:sz w:val="24"/>
        <w:szCs w:val="24"/>
      </w:rPr>
      <w:t xml:space="preserve">GRS 400.0- </w:t>
    </w:r>
    <w:r w:rsidRPr="005D79F5">
      <w:rPr>
        <w:rStyle w:val="PageNumber"/>
        <w:b/>
        <w:sz w:val="24"/>
        <w:szCs w:val="24"/>
      </w:rPr>
      <w:fldChar w:fldCharType="begin"/>
    </w:r>
    <w:r w:rsidRPr="005D79F5">
      <w:rPr>
        <w:rStyle w:val="PageNumber"/>
        <w:b/>
        <w:sz w:val="24"/>
        <w:szCs w:val="24"/>
      </w:rPr>
      <w:instrText xml:space="preserve"> PAGE </w:instrText>
    </w:r>
    <w:r w:rsidRPr="005D79F5">
      <w:rPr>
        <w:rStyle w:val="PageNumber"/>
        <w:b/>
        <w:sz w:val="24"/>
        <w:szCs w:val="24"/>
      </w:rPr>
      <w:fldChar w:fldCharType="separate"/>
    </w:r>
    <w:r w:rsidRPr="005D79F5">
      <w:rPr>
        <w:rStyle w:val="PageNumber"/>
        <w:b/>
        <w:noProof/>
        <w:sz w:val="24"/>
        <w:szCs w:val="24"/>
      </w:rPr>
      <w:t>5</w:t>
    </w:r>
    <w:r w:rsidRPr="005D79F5">
      <w:rPr>
        <w:rStyle w:val="PageNumber"/>
        <w:b/>
        <w:sz w:val="24"/>
        <w:szCs w:val="24"/>
      </w:rPr>
      <w:fldChar w:fldCharType="end"/>
    </w:r>
  </w:p>
  <w:p w14:paraId="6E306632" w14:textId="77777777" w:rsidR="00F65B32" w:rsidRPr="009C0CA4" w:rsidRDefault="00F65B32"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C160" w14:textId="77777777" w:rsidR="00F65B32" w:rsidRPr="005D79F5" w:rsidRDefault="00F65B32" w:rsidP="00E339E7">
    <w:pPr>
      <w:pStyle w:val="Footer"/>
      <w:framePr w:wrap="around" w:vAnchor="text" w:hAnchor="margin" w:xAlign="right" w:y="1"/>
      <w:jc w:val="right"/>
      <w:rPr>
        <w:b/>
        <w:sz w:val="24"/>
        <w:szCs w:val="24"/>
      </w:rPr>
    </w:pPr>
    <w:r w:rsidRPr="005D79F5">
      <w:rPr>
        <w:b/>
        <w:sz w:val="24"/>
        <w:szCs w:val="24"/>
      </w:rPr>
      <w:t xml:space="preserve">GRS 400.0 - </w:t>
    </w:r>
    <w:r w:rsidRPr="005D79F5">
      <w:rPr>
        <w:rStyle w:val="PageNumber"/>
        <w:b/>
        <w:sz w:val="24"/>
        <w:szCs w:val="24"/>
      </w:rPr>
      <w:fldChar w:fldCharType="begin"/>
    </w:r>
    <w:r w:rsidRPr="005D79F5">
      <w:rPr>
        <w:rStyle w:val="PageNumber"/>
        <w:b/>
        <w:sz w:val="24"/>
        <w:szCs w:val="24"/>
      </w:rPr>
      <w:instrText xml:space="preserve"> PAGE </w:instrText>
    </w:r>
    <w:r w:rsidRPr="005D79F5">
      <w:rPr>
        <w:rStyle w:val="PageNumber"/>
        <w:b/>
        <w:sz w:val="24"/>
        <w:szCs w:val="24"/>
      </w:rPr>
      <w:fldChar w:fldCharType="separate"/>
    </w:r>
    <w:r w:rsidRPr="005D79F5">
      <w:rPr>
        <w:rStyle w:val="PageNumber"/>
        <w:b/>
        <w:noProof/>
        <w:sz w:val="24"/>
        <w:szCs w:val="24"/>
      </w:rPr>
      <w:t>1</w:t>
    </w:r>
    <w:r w:rsidRPr="005D79F5">
      <w:rPr>
        <w:rStyle w:val="PageNumber"/>
        <w:b/>
        <w:sz w:val="24"/>
        <w:szCs w:val="24"/>
      </w:rPr>
      <w:fldChar w:fldCharType="end"/>
    </w:r>
  </w:p>
  <w:p w14:paraId="36A67F07" w14:textId="77777777" w:rsidR="00F65B32" w:rsidRPr="00540965" w:rsidRDefault="00F65B32"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16C2" w14:textId="055E8A8D" w:rsidR="006A3186" w:rsidRPr="005D79F5" w:rsidRDefault="006A3186" w:rsidP="005B7824">
    <w:pPr>
      <w:pStyle w:val="Footer"/>
      <w:framePr w:wrap="around" w:vAnchor="text" w:hAnchor="margin" w:xAlign="right" w:y="1"/>
      <w:jc w:val="right"/>
      <w:rPr>
        <w:b/>
        <w:sz w:val="24"/>
        <w:szCs w:val="24"/>
      </w:rPr>
    </w:pPr>
    <w:r w:rsidRPr="005D79F5">
      <w:rPr>
        <w:b/>
        <w:sz w:val="24"/>
        <w:szCs w:val="24"/>
      </w:rPr>
      <w:t>GRS 400.0</w:t>
    </w:r>
    <w:r>
      <w:rPr>
        <w:b/>
        <w:sz w:val="24"/>
        <w:szCs w:val="24"/>
      </w:rPr>
      <w:t xml:space="preserve"> Form</w:t>
    </w:r>
    <w:r w:rsidRPr="005D79F5">
      <w:rPr>
        <w:b/>
        <w:sz w:val="24"/>
        <w:szCs w:val="24"/>
      </w:rPr>
      <w:t xml:space="preserve">- </w:t>
    </w:r>
    <w:r w:rsidRPr="005D79F5">
      <w:rPr>
        <w:rStyle w:val="PageNumber"/>
        <w:b/>
        <w:sz w:val="24"/>
        <w:szCs w:val="24"/>
      </w:rPr>
      <w:fldChar w:fldCharType="begin"/>
    </w:r>
    <w:r w:rsidRPr="005D79F5">
      <w:rPr>
        <w:rStyle w:val="PageNumber"/>
        <w:b/>
        <w:sz w:val="24"/>
        <w:szCs w:val="24"/>
      </w:rPr>
      <w:instrText xml:space="preserve"> PAGE </w:instrText>
    </w:r>
    <w:r w:rsidRPr="005D79F5">
      <w:rPr>
        <w:rStyle w:val="PageNumber"/>
        <w:b/>
        <w:sz w:val="24"/>
        <w:szCs w:val="24"/>
      </w:rPr>
      <w:fldChar w:fldCharType="separate"/>
    </w:r>
    <w:r w:rsidRPr="005D79F5">
      <w:rPr>
        <w:rStyle w:val="PageNumber"/>
        <w:b/>
        <w:noProof/>
        <w:sz w:val="24"/>
        <w:szCs w:val="24"/>
      </w:rPr>
      <w:t>5</w:t>
    </w:r>
    <w:r w:rsidRPr="005D79F5">
      <w:rPr>
        <w:rStyle w:val="PageNumber"/>
        <w:b/>
        <w:sz w:val="24"/>
        <w:szCs w:val="24"/>
      </w:rPr>
      <w:fldChar w:fldCharType="end"/>
    </w:r>
  </w:p>
  <w:p w14:paraId="5EDDF002" w14:textId="77777777" w:rsidR="006A3186" w:rsidRPr="009C0CA4" w:rsidRDefault="006A3186" w:rsidP="005B782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241F" w14:textId="77777777" w:rsidR="0009514E" w:rsidRPr="005D79F5" w:rsidRDefault="0009514E" w:rsidP="00E339E7">
    <w:pPr>
      <w:pStyle w:val="Footer"/>
      <w:framePr w:wrap="around" w:vAnchor="text" w:hAnchor="margin" w:xAlign="right" w:y="1"/>
      <w:jc w:val="right"/>
      <w:rPr>
        <w:b/>
        <w:sz w:val="24"/>
        <w:szCs w:val="24"/>
      </w:rPr>
    </w:pPr>
    <w:r w:rsidRPr="005D79F5">
      <w:rPr>
        <w:b/>
        <w:sz w:val="24"/>
        <w:szCs w:val="24"/>
      </w:rPr>
      <w:t>GR</w:t>
    </w:r>
    <w:r w:rsidR="006C163E" w:rsidRPr="005D79F5">
      <w:rPr>
        <w:b/>
        <w:sz w:val="24"/>
        <w:szCs w:val="24"/>
      </w:rPr>
      <w:t>F</w:t>
    </w:r>
    <w:r w:rsidRPr="005D79F5">
      <w:rPr>
        <w:b/>
        <w:sz w:val="24"/>
        <w:szCs w:val="24"/>
      </w:rPr>
      <w:t xml:space="preserve"> 400.0</w:t>
    </w:r>
    <w:r w:rsidR="00710545" w:rsidRPr="005D79F5">
      <w:rPr>
        <w:b/>
        <w:sz w:val="24"/>
        <w:szCs w:val="24"/>
      </w:rPr>
      <w:t xml:space="preserve"> Form</w:t>
    </w:r>
    <w:r w:rsidRPr="005D79F5">
      <w:rPr>
        <w:b/>
        <w:sz w:val="24"/>
        <w:szCs w:val="24"/>
      </w:rPr>
      <w:t xml:space="preserve"> - </w:t>
    </w:r>
    <w:r w:rsidRPr="005D79F5">
      <w:rPr>
        <w:rStyle w:val="PageNumber"/>
        <w:b/>
        <w:sz w:val="24"/>
        <w:szCs w:val="24"/>
      </w:rPr>
      <w:fldChar w:fldCharType="begin"/>
    </w:r>
    <w:r w:rsidRPr="005D79F5">
      <w:rPr>
        <w:rStyle w:val="PageNumber"/>
        <w:b/>
        <w:sz w:val="24"/>
        <w:szCs w:val="24"/>
      </w:rPr>
      <w:instrText xml:space="preserve"> PAGE </w:instrText>
    </w:r>
    <w:r w:rsidRPr="005D79F5">
      <w:rPr>
        <w:rStyle w:val="PageNumber"/>
        <w:b/>
        <w:sz w:val="24"/>
        <w:szCs w:val="24"/>
      </w:rPr>
      <w:fldChar w:fldCharType="separate"/>
    </w:r>
    <w:r w:rsidR="001D5ADE" w:rsidRPr="005D79F5">
      <w:rPr>
        <w:rStyle w:val="PageNumber"/>
        <w:b/>
        <w:noProof/>
        <w:sz w:val="24"/>
        <w:szCs w:val="24"/>
      </w:rPr>
      <w:t>1</w:t>
    </w:r>
    <w:r w:rsidRPr="005D79F5">
      <w:rPr>
        <w:rStyle w:val="PageNumber"/>
        <w:b/>
        <w:sz w:val="24"/>
        <w:szCs w:val="24"/>
      </w:rPr>
      <w:fldChar w:fldCharType="end"/>
    </w:r>
  </w:p>
  <w:p w14:paraId="6EACA89A" w14:textId="77777777" w:rsidR="0009514E" w:rsidRPr="00540965" w:rsidRDefault="0009514E" w:rsidP="005B7824">
    <w:pPr>
      <w:pStyle w:val="Footer"/>
      <w:jc w:val="right"/>
      <w:rPr>
        <w:b/>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39FF" w14:textId="77777777" w:rsidR="0009514E" w:rsidRPr="005D79F5" w:rsidRDefault="0009514E" w:rsidP="0009514E">
    <w:pPr>
      <w:pStyle w:val="Footer"/>
      <w:jc w:val="right"/>
      <w:rPr>
        <w:b/>
        <w:sz w:val="24"/>
        <w:szCs w:val="24"/>
      </w:rPr>
    </w:pPr>
    <w:r w:rsidRPr="005D79F5">
      <w:rPr>
        <w:b/>
        <w:sz w:val="24"/>
        <w:szCs w:val="24"/>
      </w:rPr>
      <w:t xml:space="preserve">GRF 400.0 Instructions - </w:t>
    </w:r>
    <w:r w:rsidRPr="005D79F5">
      <w:rPr>
        <w:rStyle w:val="PageNumber"/>
        <w:b/>
        <w:sz w:val="24"/>
        <w:szCs w:val="24"/>
      </w:rPr>
      <w:fldChar w:fldCharType="begin"/>
    </w:r>
    <w:r w:rsidRPr="005D79F5">
      <w:rPr>
        <w:rStyle w:val="PageNumber"/>
        <w:b/>
        <w:sz w:val="24"/>
        <w:szCs w:val="24"/>
      </w:rPr>
      <w:instrText xml:space="preserve"> PAGE </w:instrText>
    </w:r>
    <w:r w:rsidRPr="005D79F5">
      <w:rPr>
        <w:rStyle w:val="PageNumber"/>
        <w:b/>
        <w:sz w:val="24"/>
        <w:szCs w:val="24"/>
      </w:rPr>
      <w:fldChar w:fldCharType="separate"/>
    </w:r>
    <w:r w:rsidR="001D5ADE" w:rsidRPr="005D79F5">
      <w:rPr>
        <w:rStyle w:val="PageNumber"/>
        <w:b/>
        <w:noProof/>
        <w:sz w:val="24"/>
        <w:szCs w:val="24"/>
      </w:rPr>
      <w:t>3</w:t>
    </w:r>
    <w:r w:rsidRPr="005D79F5">
      <w:rPr>
        <w:rStyle w:val="PageNumber"/>
        <w:b/>
        <w:sz w:val="24"/>
        <w:szCs w:val="24"/>
      </w:rPr>
      <w:fldChar w:fldCharType="end"/>
    </w:r>
  </w:p>
  <w:p w14:paraId="4E4CA70E" w14:textId="77777777" w:rsidR="0009514E" w:rsidRPr="003C6BD0" w:rsidRDefault="0009514E" w:rsidP="0009514E">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31AD" w14:textId="77777777" w:rsidR="00BF4988" w:rsidRDefault="00BF4988" w:rsidP="00CC70E3">
      <w:r>
        <w:separator/>
      </w:r>
    </w:p>
  </w:footnote>
  <w:footnote w:type="continuationSeparator" w:id="0">
    <w:p w14:paraId="0E84B49B" w14:textId="77777777" w:rsidR="00BF4988" w:rsidRDefault="00BF4988" w:rsidP="00CC70E3">
      <w:r>
        <w:continuationSeparator/>
      </w:r>
    </w:p>
  </w:footnote>
  <w:footnote w:type="continuationNotice" w:id="1">
    <w:p w14:paraId="75845452" w14:textId="77777777" w:rsidR="009203BD" w:rsidRDefault="00920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3A1D" w14:textId="55582647" w:rsidR="0009514E" w:rsidRPr="005D79F5" w:rsidRDefault="0009514E" w:rsidP="00EA3C06">
    <w:pPr>
      <w:pStyle w:val="Header"/>
      <w:tabs>
        <w:tab w:val="clear" w:pos="8640"/>
        <w:tab w:val="right" w:pos="8364"/>
      </w:tabs>
      <w:jc w:val="right"/>
      <w:rPr>
        <w:b/>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A6C8" w14:textId="51CD8AF1" w:rsidR="0009514E" w:rsidRPr="005D79F5" w:rsidRDefault="0009514E" w:rsidP="005D79F5">
    <w:pPr>
      <w:pStyle w:val="Header"/>
      <w:tabs>
        <w:tab w:val="clear" w:pos="8640"/>
        <w:tab w:val="right" w:pos="8364"/>
      </w:tabs>
      <w:jc w:val="right"/>
      <w:rPr>
        <w:b/>
        <w:sz w:val="24"/>
        <w:szCs w:val="24"/>
      </w:rPr>
    </w:pPr>
    <w:r>
      <w:tab/>
    </w:r>
    <w:r>
      <w:rPr>
        <w:sz w:val="24"/>
        <w:szCs w:val="24"/>
      </w:rPr>
      <w:tab/>
    </w:r>
  </w:p>
  <w:p w14:paraId="377F3E51" w14:textId="77777777" w:rsidR="0009514E" w:rsidRPr="00D74779" w:rsidRDefault="0009514E"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9CEC" w14:textId="77777777" w:rsidR="00F65B32" w:rsidRPr="005D79F5" w:rsidRDefault="00F65B32" w:rsidP="00EA3C06">
    <w:pPr>
      <w:pStyle w:val="Header"/>
      <w:tabs>
        <w:tab w:val="clear" w:pos="8640"/>
        <w:tab w:val="right" w:pos="8364"/>
      </w:tabs>
      <w:jc w:val="right"/>
      <w:rPr>
        <w:b/>
        <w:sz w:val="24"/>
        <w:szCs w:val="24"/>
      </w:rPr>
    </w:pPr>
    <w:r>
      <w:rPr>
        <w:sz w:val="24"/>
        <w:szCs w:val="24"/>
      </w:rPr>
      <w:tab/>
    </w:r>
    <w:r>
      <w:rPr>
        <w:sz w:val="24"/>
        <w:szCs w:val="24"/>
      </w:rPr>
      <w:tab/>
    </w:r>
    <w:r w:rsidRPr="005D79F5">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8D85" w14:textId="77777777" w:rsidR="00F65B32" w:rsidRPr="005D79F5" w:rsidRDefault="00F65B32" w:rsidP="005D79F5">
    <w:pPr>
      <w:pStyle w:val="Header"/>
      <w:tabs>
        <w:tab w:val="clear" w:pos="8640"/>
        <w:tab w:val="right" w:pos="8364"/>
      </w:tabs>
      <w:jc w:val="right"/>
      <w:rPr>
        <w:b/>
        <w:sz w:val="24"/>
        <w:szCs w:val="24"/>
      </w:rPr>
    </w:pPr>
    <w:r>
      <w:tab/>
    </w:r>
    <w:r>
      <w:rPr>
        <w:sz w:val="24"/>
        <w:szCs w:val="24"/>
      </w:rPr>
      <w:tab/>
    </w:r>
    <w:r w:rsidRPr="005D79F5">
      <w:rPr>
        <w:b/>
        <w:sz w:val="24"/>
        <w:szCs w:val="24"/>
      </w:rPr>
      <w:t>April 2023</w:t>
    </w:r>
  </w:p>
  <w:p w14:paraId="2B94FF82" w14:textId="77777777" w:rsidR="00F65B32" w:rsidRPr="00D74779" w:rsidRDefault="00F65B32"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0A96" w14:textId="314BEE97" w:rsidR="004C5C7F" w:rsidRPr="005D79F5" w:rsidRDefault="004C5C7F" w:rsidP="00AE7206">
    <w:pPr>
      <w:pStyle w:val="Header"/>
      <w:tabs>
        <w:tab w:val="clear" w:pos="8640"/>
        <w:tab w:val="right" w:pos="8364"/>
      </w:tabs>
      <w:jc w:val="right"/>
      <w:rPr>
        <w:b/>
        <w:sz w:val="24"/>
        <w:szCs w:val="24"/>
      </w:rPr>
    </w:pPr>
    <w:r>
      <w:tab/>
    </w:r>
    <w:r>
      <w:rPr>
        <w:sz w:val="24"/>
        <w:szCs w:val="24"/>
      </w:rPr>
      <w:tab/>
    </w:r>
    <w:r w:rsidR="001C4DA2" w:rsidRPr="005D79F5">
      <w:rPr>
        <w:b/>
        <w:sz w:val="24"/>
        <w:szCs w:val="24"/>
      </w:rPr>
      <w:t>April 2023</w:t>
    </w:r>
  </w:p>
  <w:p w14:paraId="088ECEEC" w14:textId="77777777" w:rsidR="004C5C7F" w:rsidRPr="00D74779" w:rsidRDefault="004C5C7F" w:rsidP="005B7824">
    <w:pPr>
      <w:pStyle w:val="Header"/>
      <w:tabs>
        <w:tab w:val="clear" w:pos="8640"/>
        <w:tab w:val="right" w:pos="8364"/>
      </w:tabs>
      <w:jc w:val="both"/>
      <w:rPr>
        <w:sz w:val="24"/>
        <w:szCs w:val="24"/>
      </w:rPr>
    </w:pPr>
    <w:r>
      <w:rPr>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B4BA" w14:textId="6D135402" w:rsidR="0009514E" w:rsidRPr="005D79F5" w:rsidRDefault="00EA3C06" w:rsidP="0009514E">
    <w:pPr>
      <w:pStyle w:val="Header"/>
      <w:ind w:right="-52"/>
      <w:jc w:val="right"/>
      <w:rPr>
        <w:b/>
        <w:sz w:val="24"/>
        <w:szCs w:val="24"/>
      </w:rPr>
    </w:pPr>
    <w:r w:rsidRPr="005D79F5">
      <w:rPr>
        <w:b/>
        <w:sz w:val="24"/>
        <w:szCs w:val="24"/>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6" w15:restartNumberingAfterBreak="0">
    <w:nsid w:val="0FDB6CCA"/>
    <w:multiLevelType w:val="multilevel"/>
    <w:tmpl w:val="47B43326"/>
    <w:numStyleLink w:val="D2Aformnumbering"/>
  </w:abstractNum>
  <w:abstractNum w:abstractNumId="7"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0301E"/>
    <w:multiLevelType w:val="hybridMultilevel"/>
    <w:tmpl w:val="339E9D18"/>
    <w:lvl w:ilvl="0" w:tplc="28D6FE26">
      <w:start w:val="1"/>
      <w:numFmt w:val="bullet"/>
      <w:lvlText w:val=""/>
      <w:lvlJc w:val="left"/>
      <w:pPr>
        <w:ind w:left="1791" w:hanging="360"/>
      </w:pPr>
      <w:rPr>
        <w:rFonts w:ascii="Symbol" w:hAnsi="Symbol" w:hint="default"/>
      </w:rPr>
    </w:lvl>
    <w:lvl w:ilvl="1" w:tplc="B37A02C4">
      <w:start w:val="1"/>
      <w:numFmt w:val="bullet"/>
      <w:lvlText w:val="o"/>
      <w:lvlJc w:val="left"/>
      <w:pPr>
        <w:ind w:left="2511" w:hanging="360"/>
      </w:pPr>
      <w:rPr>
        <w:rFonts w:ascii="Courier New" w:hAnsi="Courier New" w:cs="Courier New" w:hint="default"/>
      </w:rPr>
    </w:lvl>
    <w:lvl w:ilvl="2" w:tplc="5532EA86">
      <w:start w:val="1"/>
      <w:numFmt w:val="bullet"/>
      <w:lvlText w:val=""/>
      <w:lvlJc w:val="left"/>
      <w:pPr>
        <w:ind w:left="3231" w:hanging="360"/>
      </w:pPr>
      <w:rPr>
        <w:rFonts w:ascii="Symbol" w:hAnsi="Symbol" w:hint="default"/>
      </w:rPr>
    </w:lvl>
    <w:lvl w:ilvl="3" w:tplc="B9AA6516" w:tentative="1">
      <w:start w:val="1"/>
      <w:numFmt w:val="bullet"/>
      <w:lvlText w:val=""/>
      <w:lvlJc w:val="left"/>
      <w:pPr>
        <w:ind w:left="3951" w:hanging="360"/>
      </w:pPr>
      <w:rPr>
        <w:rFonts w:ascii="Symbol" w:hAnsi="Symbol" w:hint="default"/>
      </w:rPr>
    </w:lvl>
    <w:lvl w:ilvl="4" w:tplc="6A443E00" w:tentative="1">
      <w:start w:val="1"/>
      <w:numFmt w:val="bullet"/>
      <w:lvlText w:val="o"/>
      <w:lvlJc w:val="left"/>
      <w:pPr>
        <w:ind w:left="4671" w:hanging="360"/>
      </w:pPr>
      <w:rPr>
        <w:rFonts w:ascii="Courier New" w:hAnsi="Courier New" w:cs="Courier New" w:hint="default"/>
      </w:rPr>
    </w:lvl>
    <w:lvl w:ilvl="5" w:tplc="FCB8C2AA" w:tentative="1">
      <w:start w:val="1"/>
      <w:numFmt w:val="bullet"/>
      <w:lvlText w:val=""/>
      <w:lvlJc w:val="left"/>
      <w:pPr>
        <w:ind w:left="5391" w:hanging="360"/>
      </w:pPr>
      <w:rPr>
        <w:rFonts w:ascii="Wingdings" w:hAnsi="Wingdings" w:hint="default"/>
      </w:rPr>
    </w:lvl>
    <w:lvl w:ilvl="6" w:tplc="8E889E4A" w:tentative="1">
      <w:start w:val="1"/>
      <w:numFmt w:val="bullet"/>
      <w:lvlText w:val=""/>
      <w:lvlJc w:val="left"/>
      <w:pPr>
        <w:ind w:left="6111" w:hanging="360"/>
      </w:pPr>
      <w:rPr>
        <w:rFonts w:ascii="Symbol" w:hAnsi="Symbol" w:hint="default"/>
      </w:rPr>
    </w:lvl>
    <w:lvl w:ilvl="7" w:tplc="1E6459E4" w:tentative="1">
      <w:start w:val="1"/>
      <w:numFmt w:val="bullet"/>
      <w:lvlText w:val="o"/>
      <w:lvlJc w:val="left"/>
      <w:pPr>
        <w:ind w:left="6831" w:hanging="360"/>
      </w:pPr>
      <w:rPr>
        <w:rFonts w:ascii="Courier New" w:hAnsi="Courier New" w:cs="Courier New" w:hint="default"/>
      </w:rPr>
    </w:lvl>
    <w:lvl w:ilvl="8" w:tplc="D51E9638" w:tentative="1">
      <w:start w:val="1"/>
      <w:numFmt w:val="bullet"/>
      <w:lvlText w:val=""/>
      <w:lvlJc w:val="left"/>
      <w:pPr>
        <w:ind w:left="7551" w:hanging="360"/>
      </w:pPr>
      <w:rPr>
        <w:rFonts w:ascii="Wingdings" w:hAnsi="Wingdings" w:hint="default"/>
      </w:rPr>
    </w:lvl>
  </w:abstractNum>
  <w:abstractNum w:abstractNumId="11"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50A23"/>
    <w:multiLevelType w:val="hybridMultilevel"/>
    <w:tmpl w:val="019E798C"/>
    <w:lvl w:ilvl="0" w:tplc="24B20382">
      <w:start w:val="1"/>
      <w:numFmt w:val="bullet"/>
      <w:lvlText w:val=""/>
      <w:lvlJc w:val="left"/>
      <w:pPr>
        <w:ind w:left="720" w:hanging="360"/>
      </w:pPr>
      <w:rPr>
        <w:rFonts w:ascii="Symbol" w:hAnsi="Symbol" w:hint="default"/>
      </w:rPr>
    </w:lvl>
    <w:lvl w:ilvl="1" w:tplc="FCEC93A6" w:tentative="1">
      <w:start w:val="1"/>
      <w:numFmt w:val="bullet"/>
      <w:lvlText w:val="o"/>
      <w:lvlJc w:val="left"/>
      <w:pPr>
        <w:ind w:left="1440" w:hanging="360"/>
      </w:pPr>
      <w:rPr>
        <w:rFonts w:ascii="Courier New" w:hAnsi="Courier New" w:cs="Courier New" w:hint="default"/>
      </w:rPr>
    </w:lvl>
    <w:lvl w:ilvl="2" w:tplc="BCC2E858" w:tentative="1">
      <w:start w:val="1"/>
      <w:numFmt w:val="bullet"/>
      <w:lvlText w:val=""/>
      <w:lvlJc w:val="left"/>
      <w:pPr>
        <w:ind w:left="2160" w:hanging="360"/>
      </w:pPr>
      <w:rPr>
        <w:rFonts w:ascii="Wingdings" w:hAnsi="Wingdings" w:hint="default"/>
      </w:rPr>
    </w:lvl>
    <w:lvl w:ilvl="3" w:tplc="04F220C8" w:tentative="1">
      <w:start w:val="1"/>
      <w:numFmt w:val="bullet"/>
      <w:lvlText w:val=""/>
      <w:lvlJc w:val="left"/>
      <w:pPr>
        <w:ind w:left="2880" w:hanging="360"/>
      </w:pPr>
      <w:rPr>
        <w:rFonts w:ascii="Symbol" w:hAnsi="Symbol" w:hint="default"/>
      </w:rPr>
    </w:lvl>
    <w:lvl w:ilvl="4" w:tplc="00DEB1D4" w:tentative="1">
      <w:start w:val="1"/>
      <w:numFmt w:val="bullet"/>
      <w:lvlText w:val="o"/>
      <w:lvlJc w:val="left"/>
      <w:pPr>
        <w:ind w:left="3600" w:hanging="360"/>
      </w:pPr>
      <w:rPr>
        <w:rFonts w:ascii="Courier New" w:hAnsi="Courier New" w:cs="Courier New" w:hint="default"/>
      </w:rPr>
    </w:lvl>
    <w:lvl w:ilvl="5" w:tplc="AC34DA88" w:tentative="1">
      <w:start w:val="1"/>
      <w:numFmt w:val="bullet"/>
      <w:lvlText w:val=""/>
      <w:lvlJc w:val="left"/>
      <w:pPr>
        <w:ind w:left="4320" w:hanging="360"/>
      </w:pPr>
      <w:rPr>
        <w:rFonts w:ascii="Wingdings" w:hAnsi="Wingdings" w:hint="default"/>
      </w:rPr>
    </w:lvl>
    <w:lvl w:ilvl="6" w:tplc="1C2AB9BE" w:tentative="1">
      <w:start w:val="1"/>
      <w:numFmt w:val="bullet"/>
      <w:lvlText w:val=""/>
      <w:lvlJc w:val="left"/>
      <w:pPr>
        <w:ind w:left="5040" w:hanging="360"/>
      </w:pPr>
      <w:rPr>
        <w:rFonts w:ascii="Symbol" w:hAnsi="Symbol" w:hint="default"/>
      </w:rPr>
    </w:lvl>
    <w:lvl w:ilvl="7" w:tplc="64EAC278" w:tentative="1">
      <w:start w:val="1"/>
      <w:numFmt w:val="bullet"/>
      <w:lvlText w:val="o"/>
      <w:lvlJc w:val="left"/>
      <w:pPr>
        <w:ind w:left="5760" w:hanging="360"/>
      </w:pPr>
      <w:rPr>
        <w:rFonts w:ascii="Courier New" w:hAnsi="Courier New" w:cs="Courier New" w:hint="default"/>
      </w:rPr>
    </w:lvl>
    <w:lvl w:ilvl="8" w:tplc="EA905CF4" w:tentative="1">
      <w:start w:val="1"/>
      <w:numFmt w:val="bullet"/>
      <w:lvlText w:val=""/>
      <w:lvlJc w:val="left"/>
      <w:pPr>
        <w:ind w:left="6480" w:hanging="360"/>
      </w:pPr>
      <w:rPr>
        <w:rFonts w:ascii="Wingdings" w:hAnsi="Wingdings" w:hint="default"/>
      </w:rPr>
    </w:lvl>
  </w:abstractNum>
  <w:abstractNum w:abstractNumId="22"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4"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29"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6E4A57"/>
    <w:multiLevelType w:val="hybridMultilevel"/>
    <w:tmpl w:val="D738020C"/>
    <w:lvl w:ilvl="0" w:tplc="A532ED4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3"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AB37216"/>
    <w:multiLevelType w:val="multilevel"/>
    <w:tmpl w:val="00E0DD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263731224">
    <w:abstractNumId w:val="19"/>
  </w:num>
  <w:num w:numId="2" w16cid:durableId="1196580123">
    <w:abstractNumId w:val="24"/>
  </w:num>
  <w:num w:numId="3" w16cid:durableId="186526313">
    <w:abstractNumId w:val="32"/>
  </w:num>
  <w:num w:numId="4" w16cid:durableId="611743639">
    <w:abstractNumId w:val="2"/>
  </w:num>
  <w:num w:numId="5" w16cid:durableId="1917588019">
    <w:abstractNumId w:val="0"/>
  </w:num>
  <w:num w:numId="6" w16cid:durableId="1138954322">
    <w:abstractNumId w:val="29"/>
  </w:num>
  <w:num w:numId="7" w16cid:durableId="1022980036">
    <w:abstractNumId w:val="21"/>
  </w:num>
  <w:num w:numId="8" w16cid:durableId="2074423809">
    <w:abstractNumId w:val="7"/>
  </w:num>
  <w:num w:numId="9" w16cid:durableId="212665533">
    <w:abstractNumId w:val="13"/>
  </w:num>
  <w:num w:numId="10" w16cid:durableId="1612519072">
    <w:abstractNumId w:val="22"/>
  </w:num>
  <w:num w:numId="11" w16cid:durableId="991371359">
    <w:abstractNumId w:val="35"/>
  </w:num>
  <w:num w:numId="12" w16cid:durableId="1567378210">
    <w:abstractNumId w:val="18"/>
  </w:num>
  <w:num w:numId="13" w16cid:durableId="553196795">
    <w:abstractNumId w:val="20"/>
  </w:num>
  <w:num w:numId="14" w16cid:durableId="966204499">
    <w:abstractNumId w:val="10"/>
  </w:num>
  <w:num w:numId="15" w16cid:durableId="2068801342">
    <w:abstractNumId w:val="5"/>
  </w:num>
  <w:num w:numId="16" w16cid:durableId="556863761">
    <w:abstractNumId w:val="12"/>
  </w:num>
  <w:num w:numId="17" w16cid:durableId="1674257839">
    <w:abstractNumId w:val="17"/>
  </w:num>
  <w:num w:numId="18" w16cid:durableId="1328703975">
    <w:abstractNumId w:val="3"/>
  </w:num>
  <w:num w:numId="19" w16cid:durableId="659389958">
    <w:abstractNumId w:val="11"/>
  </w:num>
  <w:num w:numId="20" w16cid:durableId="1542982483">
    <w:abstractNumId w:val="28"/>
  </w:num>
  <w:num w:numId="21" w16cid:durableId="1567255155">
    <w:abstractNumId w:val="15"/>
  </w:num>
  <w:num w:numId="22" w16cid:durableId="1499153535">
    <w:abstractNumId w:val="26"/>
  </w:num>
  <w:num w:numId="23" w16cid:durableId="125198701">
    <w:abstractNumId w:val="8"/>
  </w:num>
  <w:num w:numId="24" w16cid:durableId="729184324">
    <w:abstractNumId w:val="14"/>
  </w:num>
  <w:num w:numId="25" w16cid:durableId="1261135603">
    <w:abstractNumId w:val="4"/>
  </w:num>
  <w:num w:numId="26" w16cid:durableId="136648677">
    <w:abstractNumId w:val="9"/>
  </w:num>
  <w:num w:numId="27" w16cid:durableId="1156141929">
    <w:abstractNumId w:val="16"/>
  </w:num>
  <w:num w:numId="28" w16cid:durableId="1917740402">
    <w:abstractNumId w:val="33"/>
  </w:num>
  <w:num w:numId="29" w16cid:durableId="1610426422">
    <w:abstractNumId w:val="1"/>
  </w:num>
  <w:num w:numId="30" w16cid:durableId="902565264">
    <w:abstractNumId w:val="25"/>
  </w:num>
  <w:num w:numId="31" w16cid:durableId="171575750">
    <w:abstractNumId w:val="30"/>
  </w:num>
  <w:num w:numId="32" w16cid:durableId="1722749400">
    <w:abstractNumId w:val="34"/>
  </w:num>
  <w:num w:numId="33" w16cid:durableId="1682580508">
    <w:abstractNumId w:val="31"/>
  </w:num>
  <w:num w:numId="34" w16cid:durableId="1550609111">
    <w:abstractNumId w:val="23"/>
  </w:num>
  <w:num w:numId="35" w16cid:durableId="494883225">
    <w:abstractNumId w:val="6"/>
  </w:num>
  <w:num w:numId="36" w16cid:durableId="142974105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0C41"/>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601F"/>
    <w:rsid w:val="00066480"/>
    <w:rsid w:val="000664C7"/>
    <w:rsid w:val="000669D9"/>
    <w:rsid w:val="000675F6"/>
    <w:rsid w:val="0007181D"/>
    <w:rsid w:val="00072B28"/>
    <w:rsid w:val="00073751"/>
    <w:rsid w:val="000737B7"/>
    <w:rsid w:val="00073D2B"/>
    <w:rsid w:val="0007450A"/>
    <w:rsid w:val="000762D3"/>
    <w:rsid w:val="000768A6"/>
    <w:rsid w:val="00077487"/>
    <w:rsid w:val="00077600"/>
    <w:rsid w:val="0008134A"/>
    <w:rsid w:val="00082470"/>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514E"/>
    <w:rsid w:val="000970FC"/>
    <w:rsid w:val="00097479"/>
    <w:rsid w:val="0009753A"/>
    <w:rsid w:val="00097E11"/>
    <w:rsid w:val="000A00A4"/>
    <w:rsid w:val="000A0E53"/>
    <w:rsid w:val="000A1166"/>
    <w:rsid w:val="000A11B0"/>
    <w:rsid w:val="000A21A5"/>
    <w:rsid w:val="000A3287"/>
    <w:rsid w:val="000A45B9"/>
    <w:rsid w:val="000A56A0"/>
    <w:rsid w:val="000A6D26"/>
    <w:rsid w:val="000A6DED"/>
    <w:rsid w:val="000A6DF5"/>
    <w:rsid w:val="000B00F5"/>
    <w:rsid w:val="000B087E"/>
    <w:rsid w:val="000B1A0E"/>
    <w:rsid w:val="000B2F2A"/>
    <w:rsid w:val="000B3FEA"/>
    <w:rsid w:val="000B4772"/>
    <w:rsid w:val="000B52D0"/>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4F3E"/>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31D5"/>
    <w:rsid w:val="0015412B"/>
    <w:rsid w:val="00155885"/>
    <w:rsid w:val="00156E27"/>
    <w:rsid w:val="001572B9"/>
    <w:rsid w:val="001576C3"/>
    <w:rsid w:val="0016092A"/>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6A4B"/>
    <w:rsid w:val="001B7278"/>
    <w:rsid w:val="001B7E33"/>
    <w:rsid w:val="001C0326"/>
    <w:rsid w:val="001C1509"/>
    <w:rsid w:val="001C1B98"/>
    <w:rsid w:val="001C20DB"/>
    <w:rsid w:val="001C27FB"/>
    <w:rsid w:val="001C3191"/>
    <w:rsid w:val="001C3A25"/>
    <w:rsid w:val="001C489C"/>
    <w:rsid w:val="001C4DA2"/>
    <w:rsid w:val="001C6960"/>
    <w:rsid w:val="001C6988"/>
    <w:rsid w:val="001C7489"/>
    <w:rsid w:val="001C7ED5"/>
    <w:rsid w:val="001D0F20"/>
    <w:rsid w:val="001D18BA"/>
    <w:rsid w:val="001D2A68"/>
    <w:rsid w:val="001D4797"/>
    <w:rsid w:val="001D5ADE"/>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577D5"/>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B61"/>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3E49"/>
    <w:rsid w:val="002F53FF"/>
    <w:rsid w:val="002F5C89"/>
    <w:rsid w:val="002F6E20"/>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A17"/>
    <w:rsid w:val="00326AAB"/>
    <w:rsid w:val="003308E1"/>
    <w:rsid w:val="003321C5"/>
    <w:rsid w:val="003326D8"/>
    <w:rsid w:val="0033278E"/>
    <w:rsid w:val="0033325D"/>
    <w:rsid w:val="00333A90"/>
    <w:rsid w:val="00333CB2"/>
    <w:rsid w:val="0033577E"/>
    <w:rsid w:val="003358CF"/>
    <w:rsid w:val="0033709A"/>
    <w:rsid w:val="003376DA"/>
    <w:rsid w:val="00337C53"/>
    <w:rsid w:val="003403F0"/>
    <w:rsid w:val="00341BA2"/>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59A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5CC"/>
    <w:rsid w:val="00395DDC"/>
    <w:rsid w:val="00396F77"/>
    <w:rsid w:val="003970A4"/>
    <w:rsid w:val="00397AFE"/>
    <w:rsid w:val="003A2255"/>
    <w:rsid w:val="003A2922"/>
    <w:rsid w:val="003A390B"/>
    <w:rsid w:val="003A3B29"/>
    <w:rsid w:val="003A51EA"/>
    <w:rsid w:val="003A54B0"/>
    <w:rsid w:val="003A6773"/>
    <w:rsid w:val="003B025C"/>
    <w:rsid w:val="003B0ECA"/>
    <w:rsid w:val="003B1A3E"/>
    <w:rsid w:val="003B3BEF"/>
    <w:rsid w:val="003B44DA"/>
    <w:rsid w:val="003B5C22"/>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5D0B"/>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878"/>
    <w:rsid w:val="00404028"/>
    <w:rsid w:val="004050F5"/>
    <w:rsid w:val="00405EC1"/>
    <w:rsid w:val="00405EC2"/>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3077"/>
    <w:rsid w:val="004538C6"/>
    <w:rsid w:val="004559CF"/>
    <w:rsid w:val="004564BA"/>
    <w:rsid w:val="00457506"/>
    <w:rsid w:val="00461981"/>
    <w:rsid w:val="00462C7A"/>
    <w:rsid w:val="0046347B"/>
    <w:rsid w:val="00463503"/>
    <w:rsid w:val="00464CF7"/>
    <w:rsid w:val="0046565A"/>
    <w:rsid w:val="00465A1B"/>
    <w:rsid w:val="0046789D"/>
    <w:rsid w:val="004700D6"/>
    <w:rsid w:val="00470B85"/>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5C7F"/>
    <w:rsid w:val="004C68EC"/>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666"/>
    <w:rsid w:val="004D7B0C"/>
    <w:rsid w:val="004E00FB"/>
    <w:rsid w:val="004E071F"/>
    <w:rsid w:val="004E085C"/>
    <w:rsid w:val="004E0F88"/>
    <w:rsid w:val="004E1199"/>
    <w:rsid w:val="004E1F15"/>
    <w:rsid w:val="004E29D5"/>
    <w:rsid w:val="004E39B9"/>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948"/>
    <w:rsid w:val="00524EE1"/>
    <w:rsid w:val="005250A7"/>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26C"/>
    <w:rsid w:val="00551628"/>
    <w:rsid w:val="005520B1"/>
    <w:rsid w:val="00552597"/>
    <w:rsid w:val="0055415B"/>
    <w:rsid w:val="00555316"/>
    <w:rsid w:val="0055598E"/>
    <w:rsid w:val="005568EC"/>
    <w:rsid w:val="00556B09"/>
    <w:rsid w:val="00557B49"/>
    <w:rsid w:val="00557ECC"/>
    <w:rsid w:val="00561488"/>
    <w:rsid w:val="00561B17"/>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3800"/>
    <w:rsid w:val="00573ACE"/>
    <w:rsid w:val="00576633"/>
    <w:rsid w:val="00577979"/>
    <w:rsid w:val="00577A64"/>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9E3"/>
    <w:rsid w:val="005D3B93"/>
    <w:rsid w:val="005D56FD"/>
    <w:rsid w:val="005D5721"/>
    <w:rsid w:val="005D7398"/>
    <w:rsid w:val="005D79F5"/>
    <w:rsid w:val="005D7DE3"/>
    <w:rsid w:val="005E03B6"/>
    <w:rsid w:val="005E20B6"/>
    <w:rsid w:val="005E29EB"/>
    <w:rsid w:val="005E2D8A"/>
    <w:rsid w:val="005E42FC"/>
    <w:rsid w:val="005E6BFE"/>
    <w:rsid w:val="005E6C3D"/>
    <w:rsid w:val="005E799D"/>
    <w:rsid w:val="005F11DE"/>
    <w:rsid w:val="005F218A"/>
    <w:rsid w:val="005F26E6"/>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97A"/>
    <w:rsid w:val="00614D51"/>
    <w:rsid w:val="00615317"/>
    <w:rsid w:val="00615BB8"/>
    <w:rsid w:val="006173F2"/>
    <w:rsid w:val="006173F3"/>
    <w:rsid w:val="00617A32"/>
    <w:rsid w:val="00620686"/>
    <w:rsid w:val="00620B57"/>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E2E"/>
    <w:rsid w:val="00663354"/>
    <w:rsid w:val="00664BA7"/>
    <w:rsid w:val="00664BD3"/>
    <w:rsid w:val="0066680F"/>
    <w:rsid w:val="006678E5"/>
    <w:rsid w:val="00670259"/>
    <w:rsid w:val="00670741"/>
    <w:rsid w:val="006710B1"/>
    <w:rsid w:val="00671647"/>
    <w:rsid w:val="00672A2A"/>
    <w:rsid w:val="00672FF8"/>
    <w:rsid w:val="00674946"/>
    <w:rsid w:val="00674E17"/>
    <w:rsid w:val="00675A0F"/>
    <w:rsid w:val="0067723D"/>
    <w:rsid w:val="00677A74"/>
    <w:rsid w:val="00677AF7"/>
    <w:rsid w:val="00677D32"/>
    <w:rsid w:val="006808CE"/>
    <w:rsid w:val="006816C7"/>
    <w:rsid w:val="0068246A"/>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186"/>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163E"/>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10545"/>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2E68"/>
    <w:rsid w:val="007B4260"/>
    <w:rsid w:val="007B465B"/>
    <w:rsid w:val="007B4F1F"/>
    <w:rsid w:val="007B4F52"/>
    <w:rsid w:val="007B5069"/>
    <w:rsid w:val="007B5217"/>
    <w:rsid w:val="007B65C8"/>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91E"/>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2F"/>
    <w:rsid w:val="0086444C"/>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3B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0DE7"/>
    <w:rsid w:val="009718F5"/>
    <w:rsid w:val="00972272"/>
    <w:rsid w:val="00972F4C"/>
    <w:rsid w:val="009741C5"/>
    <w:rsid w:val="00974C4D"/>
    <w:rsid w:val="00976837"/>
    <w:rsid w:val="009773C2"/>
    <w:rsid w:val="00977A7D"/>
    <w:rsid w:val="00977EB0"/>
    <w:rsid w:val="00980F6B"/>
    <w:rsid w:val="00983EC0"/>
    <w:rsid w:val="00983F9C"/>
    <w:rsid w:val="0098498E"/>
    <w:rsid w:val="00984BFC"/>
    <w:rsid w:val="00990478"/>
    <w:rsid w:val="00992221"/>
    <w:rsid w:val="0099379B"/>
    <w:rsid w:val="0099487C"/>
    <w:rsid w:val="00995BD5"/>
    <w:rsid w:val="00996A3E"/>
    <w:rsid w:val="00996E1F"/>
    <w:rsid w:val="00996EA5"/>
    <w:rsid w:val="00996FD0"/>
    <w:rsid w:val="00997435"/>
    <w:rsid w:val="009A335E"/>
    <w:rsid w:val="009A40A9"/>
    <w:rsid w:val="009A43DB"/>
    <w:rsid w:val="009A4429"/>
    <w:rsid w:val="009A47D6"/>
    <w:rsid w:val="009A5661"/>
    <w:rsid w:val="009B08E2"/>
    <w:rsid w:val="009B10CB"/>
    <w:rsid w:val="009B29FB"/>
    <w:rsid w:val="009B2D6A"/>
    <w:rsid w:val="009B36C8"/>
    <w:rsid w:val="009B4D25"/>
    <w:rsid w:val="009B65BB"/>
    <w:rsid w:val="009B6D18"/>
    <w:rsid w:val="009B6D94"/>
    <w:rsid w:val="009B7178"/>
    <w:rsid w:val="009B71E0"/>
    <w:rsid w:val="009B7525"/>
    <w:rsid w:val="009C06F9"/>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39A2"/>
    <w:rsid w:val="009D4321"/>
    <w:rsid w:val="009D4D45"/>
    <w:rsid w:val="009D5537"/>
    <w:rsid w:val="009D579A"/>
    <w:rsid w:val="009D5F8D"/>
    <w:rsid w:val="009D62F5"/>
    <w:rsid w:val="009D6486"/>
    <w:rsid w:val="009D68E2"/>
    <w:rsid w:val="009D68FF"/>
    <w:rsid w:val="009D79BC"/>
    <w:rsid w:val="009D7BED"/>
    <w:rsid w:val="009E0333"/>
    <w:rsid w:val="009E212B"/>
    <w:rsid w:val="009E273E"/>
    <w:rsid w:val="009E2CEF"/>
    <w:rsid w:val="009E37B5"/>
    <w:rsid w:val="009E5651"/>
    <w:rsid w:val="009E5840"/>
    <w:rsid w:val="009E5B9D"/>
    <w:rsid w:val="009E6339"/>
    <w:rsid w:val="009E7620"/>
    <w:rsid w:val="009E7B1A"/>
    <w:rsid w:val="009E7E04"/>
    <w:rsid w:val="009F04D9"/>
    <w:rsid w:val="009F08E9"/>
    <w:rsid w:val="009F0E04"/>
    <w:rsid w:val="009F101B"/>
    <w:rsid w:val="009F1A7B"/>
    <w:rsid w:val="009F2288"/>
    <w:rsid w:val="009F2FA9"/>
    <w:rsid w:val="009F31C4"/>
    <w:rsid w:val="009F37D8"/>
    <w:rsid w:val="009F3D84"/>
    <w:rsid w:val="009F478A"/>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68CF"/>
    <w:rsid w:val="00A070D4"/>
    <w:rsid w:val="00A07AF7"/>
    <w:rsid w:val="00A07CAE"/>
    <w:rsid w:val="00A105BF"/>
    <w:rsid w:val="00A107AE"/>
    <w:rsid w:val="00A10D8A"/>
    <w:rsid w:val="00A11B0C"/>
    <w:rsid w:val="00A11FAA"/>
    <w:rsid w:val="00A12310"/>
    <w:rsid w:val="00A125D6"/>
    <w:rsid w:val="00A12A24"/>
    <w:rsid w:val="00A15246"/>
    <w:rsid w:val="00A1524B"/>
    <w:rsid w:val="00A15632"/>
    <w:rsid w:val="00A16882"/>
    <w:rsid w:val="00A17B5E"/>
    <w:rsid w:val="00A17CBC"/>
    <w:rsid w:val="00A20452"/>
    <w:rsid w:val="00A22262"/>
    <w:rsid w:val="00A222A6"/>
    <w:rsid w:val="00A22619"/>
    <w:rsid w:val="00A22791"/>
    <w:rsid w:val="00A22942"/>
    <w:rsid w:val="00A22C04"/>
    <w:rsid w:val="00A22CBE"/>
    <w:rsid w:val="00A22EA3"/>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8EE"/>
    <w:rsid w:val="00A46E53"/>
    <w:rsid w:val="00A47AF8"/>
    <w:rsid w:val="00A507EF"/>
    <w:rsid w:val="00A51BFC"/>
    <w:rsid w:val="00A51CF0"/>
    <w:rsid w:val="00A522D5"/>
    <w:rsid w:val="00A5373C"/>
    <w:rsid w:val="00A54083"/>
    <w:rsid w:val="00A54F53"/>
    <w:rsid w:val="00A551CE"/>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0CEB"/>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E7206"/>
    <w:rsid w:val="00AF25A5"/>
    <w:rsid w:val="00AF30CC"/>
    <w:rsid w:val="00AF382A"/>
    <w:rsid w:val="00AF3A38"/>
    <w:rsid w:val="00AF3FBB"/>
    <w:rsid w:val="00AF40AA"/>
    <w:rsid w:val="00AF6DFF"/>
    <w:rsid w:val="00B013D7"/>
    <w:rsid w:val="00B04468"/>
    <w:rsid w:val="00B04699"/>
    <w:rsid w:val="00B051F3"/>
    <w:rsid w:val="00B05964"/>
    <w:rsid w:val="00B05BD5"/>
    <w:rsid w:val="00B076B7"/>
    <w:rsid w:val="00B115BD"/>
    <w:rsid w:val="00B12392"/>
    <w:rsid w:val="00B12C25"/>
    <w:rsid w:val="00B14413"/>
    <w:rsid w:val="00B157D6"/>
    <w:rsid w:val="00B15A6F"/>
    <w:rsid w:val="00B15C59"/>
    <w:rsid w:val="00B16F02"/>
    <w:rsid w:val="00B2093F"/>
    <w:rsid w:val="00B20E63"/>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2B03"/>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184C"/>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3CB7"/>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988"/>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5A7"/>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E35"/>
    <w:rsid w:val="00C56D94"/>
    <w:rsid w:val="00C56F70"/>
    <w:rsid w:val="00C57C60"/>
    <w:rsid w:val="00C57F23"/>
    <w:rsid w:val="00C6191D"/>
    <w:rsid w:val="00C6192E"/>
    <w:rsid w:val="00C623AA"/>
    <w:rsid w:val="00C62597"/>
    <w:rsid w:val="00C6278B"/>
    <w:rsid w:val="00C62C80"/>
    <w:rsid w:val="00C638F6"/>
    <w:rsid w:val="00C64C82"/>
    <w:rsid w:val="00C66645"/>
    <w:rsid w:val="00C66679"/>
    <w:rsid w:val="00C67E42"/>
    <w:rsid w:val="00C703FD"/>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A98"/>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5DCD"/>
    <w:rsid w:val="00CD67F5"/>
    <w:rsid w:val="00CD6AF6"/>
    <w:rsid w:val="00CD7AE5"/>
    <w:rsid w:val="00CD7D4F"/>
    <w:rsid w:val="00CE0312"/>
    <w:rsid w:val="00CE0ED8"/>
    <w:rsid w:val="00CE1A7D"/>
    <w:rsid w:val="00CE1EFB"/>
    <w:rsid w:val="00CE1F2D"/>
    <w:rsid w:val="00CE29AA"/>
    <w:rsid w:val="00CE2AA1"/>
    <w:rsid w:val="00CE2CAF"/>
    <w:rsid w:val="00CE360B"/>
    <w:rsid w:val="00CE427E"/>
    <w:rsid w:val="00CE449D"/>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71"/>
    <w:rsid w:val="00D63885"/>
    <w:rsid w:val="00D6389A"/>
    <w:rsid w:val="00D63FCC"/>
    <w:rsid w:val="00D64955"/>
    <w:rsid w:val="00D64DBF"/>
    <w:rsid w:val="00D6502F"/>
    <w:rsid w:val="00D65E9A"/>
    <w:rsid w:val="00D662E6"/>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2FF0"/>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433"/>
    <w:rsid w:val="00E1598F"/>
    <w:rsid w:val="00E161AD"/>
    <w:rsid w:val="00E170ED"/>
    <w:rsid w:val="00E172A4"/>
    <w:rsid w:val="00E1737D"/>
    <w:rsid w:val="00E17452"/>
    <w:rsid w:val="00E17703"/>
    <w:rsid w:val="00E23719"/>
    <w:rsid w:val="00E23B07"/>
    <w:rsid w:val="00E23EF3"/>
    <w:rsid w:val="00E24478"/>
    <w:rsid w:val="00E24A4A"/>
    <w:rsid w:val="00E24EEA"/>
    <w:rsid w:val="00E2528B"/>
    <w:rsid w:val="00E25675"/>
    <w:rsid w:val="00E27BF1"/>
    <w:rsid w:val="00E30E14"/>
    <w:rsid w:val="00E30FB4"/>
    <w:rsid w:val="00E31159"/>
    <w:rsid w:val="00E314BD"/>
    <w:rsid w:val="00E317B1"/>
    <w:rsid w:val="00E32799"/>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4C7"/>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442"/>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3C06"/>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B3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6541"/>
    <w:rsid w:val="00F865C0"/>
    <w:rsid w:val="00F87B2A"/>
    <w:rsid w:val="00F91AE7"/>
    <w:rsid w:val="00F9327B"/>
    <w:rsid w:val="00F932F8"/>
    <w:rsid w:val="00F93654"/>
    <w:rsid w:val="00F938FD"/>
    <w:rsid w:val="00F93CFF"/>
    <w:rsid w:val="00F946C0"/>
    <w:rsid w:val="00F94765"/>
    <w:rsid w:val="00F94F5C"/>
    <w:rsid w:val="00F95DCA"/>
    <w:rsid w:val="00F96297"/>
    <w:rsid w:val="00FA1048"/>
    <w:rsid w:val="00FA1138"/>
    <w:rsid w:val="00FA19FD"/>
    <w:rsid w:val="00FA2002"/>
    <w:rsid w:val="00FA210D"/>
    <w:rsid w:val="00FA27A3"/>
    <w:rsid w:val="00FA2A75"/>
    <w:rsid w:val="00FA3BDF"/>
    <w:rsid w:val="00FA5EB0"/>
    <w:rsid w:val="00FA740C"/>
    <w:rsid w:val="00FA7A68"/>
    <w:rsid w:val="00FB00D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4273"/>
    <o:shapelayout v:ext="edit">
      <o:idmap v:ext="edit" data="1"/>
    </o:shapelayout>
  </w:shapeDefaults>
  <w:decimalSymbol w:val="."/>
  <w:listSeparator w:val=","/>
  <w14:docId w14:val="49A2ED5C"/>
  <w15:chartTrackingRefBased/>
  <w15:docId w15:val="{7C2BAA98-2617-4D2B-BCB8-2D5520F5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
    <w:name w:val="EmailStyle76"/>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paragraph" w:customStyle="1" w:styleId="HeadingA">
    <w:name w:val="HeadingA"/>
    <w:basedOn w:val="Normal"/>
    <w:link w:val="HeadingAChar"/>
    <w:qFormat/>
    <w:rsid w:val="0009514E"/>
    <w:pPr>
      <w:keepNext/>
      <w:spacing w:before="120" w:after="360"/>
      <w:jc w:val="both"/>
    </w:pPr>
    <w:rPr>
      <w:rFonts w:ascii="Arial" w:hAnsi="Arial" w:cs="Arial"/>
      <w:b/>
      <w:sz w:val="32"/>
      <w:szCs w:val="32"/>
    </w:rPr>
  </w:style>
  <w:style w:type="character" w:customStyle="1" w:styleId="HeadingAChar">
    <w:name w:val="HeadingA Char"/>
    <w:basedOn w:val="DefaultParagraphFont"/>
    <w:link w:val="HeadingA"/>
    <w:rsid w:val="0009514E"/>
    <w:rPr>
      <w:rFonts w:ascii="Arial" w:hAnsi="Arial" w:cs="Arial"/>
      <w:b/>
      <w:sz w:val="32"/>
      <w:szCs w:val="32"/>
    </w:rPr>
  </w:style>
  <w:style w:type="numbering" w:customStyle="1" w:styleId="D2Aformnumbering">
    <w:name w:val="D2A form numbering"/>
    <w:uiPriority w:val="99"/>
    <w:rsid w:val="001C4D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17389778">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5JENXJJSCC7A-445999044-12043</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https://im/teams/LEGAL/_layouts/15/DocIdRedir.aspx?ID=5JENXJJSCC7A-445999044-12043</Url>
      <Description>5JENXJJSCC7A-445999044-12043</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400.0 Statement of Risk by Country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789752-992C-44CA-9A33-DE4EEF267E8F}">
  <ds:schemaRefs>
    <ds:schemaRef ds:uri="Microsoft.SharePoint.Taxonomy.ContentTypeSync"/>
  </ds:schemaRefs>
</ds:datastoreItem>
</file>

<file path=customXml/itemProps2.xml><?xml version="1.0" encoding="utf-8"?>
<ds:datastoreItem xmlns:ds="http://schemas.openxmlformats.org/officeDocument/2006/customXml" ds:itemID="{EBF0FF3C-C4C1-4EAA-AC7E-68D240C605A8}">
  <ds:schemaRefs>
    <ds:schemaRef ds:uri="http://schemas.openxmlformats.org/officeDocument/2006/bibliography"/>
  </ds:schemaRefs>
</ds:datastoreItem>
</file>

<file path=customXml/itemProps3.xml><?xml version="1.0" encoding="utf-8"?>
<ds:datastoreItem xmlns:ds="http://schemas.openxmlformats.org/officeDocument/2006/customXml" ds:itemID="{7F797954-8070-497B-9CD5-F206DA5BCFC7}">
  <ds:schemaRefs>
    <ds:schemaRef ds:uri="http://purl.org/dc/dcmitype/"/>
    <ds:schemaRef ds:uri="814d62cb-2db6-4c25-ab62-b9075facbc11"/>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1D0448E-62F6-4593-96E0-4EE3B27AE966}"/>
</file>

<file path=customXml/itemProps5.xml><?xml version="1.0" encoding="utf-8"?>
<ds:datastoreItem xmlns:ds="http://schemas.openxmlformats.org/officeDocument/2006/customXml" ds:itemID="{6DD98B53-EB08-4E6E-9CCD-ED5FDAABF9AC}">
  <ds:schemaRefs>
    <ds:schemaRef ds:uri="http://schemas.microsoft.com/sharepoint/v3/contenttype/forms"/>
  </ds:schemaRefs>
</ds:datastoreItem>
</file>

<file path=customXml/itemProps6.xml><?xml version="1.0" encoding="utf-8"?>
<ds:datastoreItem xmlns:ds="http://schemas.openxmlformats.org/officeDocument/2006/customXml" ds:itemID="{F9A8DB14-3222-435C-83AA-25982367B5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2507</Words>
  <Characters>13639</Characters>
  <Application>Microsoft Office Word</Application>
  <DocSecurity>0</DocSecurity>
  <Lines>593</Lines>
  <Paragraphs>221</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Nenad Panici</dc:creator>
  <cp:keywords>[SEC=OFFICIAL]</cp:keywords>
  <cp:lastModifiedBy>Toni Michalis</cp:lastModifiedBy>
  <cp:revision>2</cp:revision>
  <cp:lastPrinted>2008-02-01T00:08:00Z</cp:lastPrinted>
  <dcterms:created xsi:type="dcterms:W3CDTF">2023-03-16T07:23:00Z</dcterms:created>
  <dcterms:modified xsi:type="dcterms:W3CDTF">2023-03-16T07:23:00Z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98DB2A8EE3504E95B5269662409C3953</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2023-01-17T00:35:59Z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17EC63A3D9CC05C9D614DE1A4DC210E3</vt:lpwstr>
  </property>
  <property fmtid="{D5CDD505-2E9C-101B-9397-08002B2CF9AE}" pid="22" name="PM_Hash_Salt">
    <vt:lpwstr>178C87182E95E56CE130F4834D2D5B50</vt:lpwstr>
  </property>
  <property fmtid="{D5CDD505-2E9C-101B-9397-08002B2CF9AE}" pid="23" name="PM_Hash_SHA1">
    <vt:lpwstr>ED7CDC7F2861FF16D186C978636D6884F32A05ED</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e72157b2-3404-4587-a3e2-0c9f4d6e4c0c</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DocumentType">
    <vt:lpwstr>297;#Reporting standard|91896cd9-c8c4-4f0d-b59e-113a28881d1d;#58;#Legal instrument|71fd6ed3-d6d6-4975-ba99-bfe45802e734</vt:lpwstr>
  </property>
  <property fmtid="{D5CDD505-2E9C-101B-9397-08002B2CF9AE}" pid="33" name="APRAActivity">
    <vt:lpwstr>10;#Registration|390476ce-d76d-4e8d-905f-28e32d2df127;#109;#Statutory instrument|fe68928c-5a9c-4caf-bc8c-6c18cedcb17f</vt:lpwstr>
  </property>
  <property fmtid="{D5CDD505-2E9C-101B-9397-08002B2CF9AE}" pid="34" name="RecordPoint_WorkflowType">
    <vt:lpwstr>ActiveSubmitStub</vt:lpwstr>
  </property>
  <property fmtid="{D5CDD505-2E9C-101B-9397-08002B2CF9AE}" pid="35" name="RecordPoint_ActiveItemWebId">
    <vt:lpwstr>{75a71c27-8d66-4282-ae60-1bfc22a83be1}</vt:lpwstr>
  </property>
  <property fmtid="{D5CDD505-2E9C-101B-9397-08002B2CF9AE}" pid="36" name="RecordPoint_ActiveItemSiteId">
    <vt:lpwstr>{88691c01-5bbb-4215-adc0-66cb7065b0af}</vt:lpwstr>
  </property>
  <property fmtid="{D5CDD505-2E9C-101B-9397-08002B2CF9AE}" pid="37" name="RecordPoint_ActiveItemListId">
    <vt:lpwstr>{0e59e171-09d8-4401-800a-327154450cb3}</vt:lpwstr>
  </property>
  <property fmtid="{D5CDD505-2E9C-101B-9397-08002B2CF9AE}" pid="38" name="RecordPoint_ActiveItemUniqueId">
    <vt:lpwstr>{e72157b2-3404-4587-a3e2-0c9f4d6e4c0c}</vt:lpwstr>
  </property>
  <property fmtid="{D5CDD505-2E9C-101B-9397-08002B2CF9AE}" pid="39" name="RecordPoint_RecordNumberSubmitted">
    <vt:lpwstr/>
  </property>
  <property fmtid="{D5CDD505-2E9C-101B-9397-08002B2CF9AE}" pid="40" name="MSIP_Label_c0129afb-6481-4f92-bc9f-5a4a6346364d_SetDate">
    <vt:lpwstr>2023-01-17T00:35:59Z</vt:lpwstr>
  </property>
  <property fmtid="{D5CDD505-2E9C-101B-9397-08002B2CF9AE}" pid="41" name="MSIP_Label_c0129afb-6481-4f92-bc9f-5a4a6346364d_Name">
    <vt:lpwstr>OFFICIAL</vt:lpwstr>
  </property>
  <property fmtid="{D5CDD505-2E9C-101B-9397-08002B2CF9AE}" pid="42" name="MSIP_Label_c0129afb-6481-4f92-bc9f-5a4a6346364d_SiteId">
    <vt:lpwstr>c05e3ffd-b491-4431-9809-e61d4dc78816</vt:lpwstr>
  </property>
  <property fmtid="{D5CDD505-2E9C-101B-9397-08002B2CF9AE}" pid="43" name="MSIP_Label_c0129afb-6481-4f92-bc9f-5a4a6346364d_Enabled">
    <vt:lpwstr>true</vt:lpwstr>
  </property>
  <property fmtid="{D5CDD505-2E9C-101B-9397-08002B2CF9AE}" pid="44" name="RecordPoint_SubmissionCompleted">
    <vt:lpwstr/>
  </property>
  <property fmtid="{D5CDD505-2E9C-101B-9397-08002B2CF9AE}" pid="45" name="MSIP_Label_c0129afb-6481-4f92-bc9f-5a4a6346364d_Method">
    <vt:lpwstr>Privileged</vt:lpwstr>
  </property>
  <property fmtid="{D5CDD505-2E9C-101B-9397-08002B2CF9AE}" pid="46" name="PMHMAC">
    <vt:lpwstr>v=2022.1;a=SHA256;h=229F04C2D67AB62F2DB6304B76A37D1BB761D43E8930396AFD295EFE3CF2012D</vt:lpwstr>
  </property>
  <property fmtid="{D5CDD505-2E9C-101B-9397-08002B2CF9AE}" pid="47" name="MSIP_Label_c0129afb-6481-4f92-bc9f-5a4a6346364d_ContentBits">
    <vt:lpwstr>0</vt:lpwstr>
  </property>
  <property fmtid="{D5CDD505-2E9C-101B-9397-08002B2CF9AE}" pid="48" name="MSIP_Label_c0129afb-6481-4f92-bc9f-5a4a6346364d_ActionId">
    <vt:lpwstr>543349a4e5b546ee98de28dc5b77ba17</vt:lpwstr>
  </property>
  <property fmtid="{D5CDD505-2E9C-101B-9397-08002B2CF9AE}" pid="49" name="APRAPeriod">
    <vt:lpwstr/>
  </property>
  <property fmtid="{D5CDD505-2E9C-101B-9397-08002B2CF9AE}" pid="50"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51" name="APRAPRSG">
    <vt:lpwstr/>
  </property>
  <property fmtid="{D5CDD505-2E9C-101B-9397-08002B2CF9AE}" pid="52" name="APRALegislation">
    <vt:lpwstr/>
  </property>
  <property fmtid="{D5CDD505-2E9C-101B-9397-08002B2CF9AE}" pid="53" name="APRAYear">
    <vt:lpwstr/>
  </property>
  <property fmtid="{D5CDD505-2E9C-101B-9397-08002B2CF9AE}" pid="54" name="APRAIndustry">
    <vt:lpwstr/>
  </property>
  <property fmtid="{D5CDD505-2E9C-101B-9397-08002B2CF9AE}" pid="55" name="IT system type">
    <vt:lpwstr/>
  </property>
  <property fmtid="{D5CDD505-2E9C-101B-9397-08002B2CF9AE}" pid="56" name="APRACategory">
    <vt:lpwstr/>
  </property>
  <property fmtid="{D5CDD505-2E9C-101B-9397-08002B2CF9AE}" pid="57" name="APRAEntityAdviceSupport">
    <vt:lpwstr/>
  </property>
  <property fmtid="{D5CDD505-2E9C-101B-9397-08002B2CF9AE}" pid="58" name="APRAExternalOrganisation">
    <vt:lpwstr/>
  </property>
  <property fmtid="{D5CDD505-2E9C-101B-9397-08002B2CF9AE}" pid="59" name="APRAIRTR">
    <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