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C438" w14:textId="77777777" w:rsidR="00CF153D" w:rsidRPr="009A5F96" w:rsidRDefault="00CF153D" w:rsidP="00CF153D">
      <w:pPr>
        <w:spacing w:after="0" w:line="240" w:lineRule="auto"/>
        <w:jc w:val="center"/>
        <w:rPr>
          <w:rFonts w:ascii="Times New Roman" w:hAnsi="Times New Roman" w:cs="Times New Roman"/>
          <w:b/>
          <w:sz w:val="24"/>
          <w:szCs w:val="24"/>
          <w:u w:val="single"/>
        </w:rPr>
      </w:pPr>
      <w:r w:rsidRPr="009A5F96">
        <w:rPr>
          <w:rFonts w:ascii="Times New Roman" w:hAnsi="Times New Roman" w:cs="Times New Roman"/>
          <w:b/>
          <w:sz w:val="24"/>
          <w:szCs w:val="24"/>
          <w:u w:val="single"/>
        </w:rPr>
        <w:t>EXPLANATORY STATEMENT</w:t>
      </w:r>
    </w:p>
    <w:p w14:paraId="28CE7914" w14:textId="77777777" w:rsidR="00CF153D" w:rsidRPr="009A5F96" w:rsidRDefault="00CF153D" w:rsidP="00CF153D">
      <w:pPr>
        <w:spacing w:after="0" w:line="240" w:lineRule="auto"/>
        <w:jc w:val="center"/>
        <w:rPr>
          <w:rFonts w:ascii="Times New Roman" w:hAnsi="Times New Roman" w:cs="Times New Roman"/>
          <w:b/>
          <w:sz w:val="24"/>
          <w:szCs w:val="24"/>
        </w:rPr>
      </w:pPr>
    </w:p>
    <w:p w14:paraId="1407BADA" w14:textId="77777777" w:rsidR="00CF153D" w:rsidRPr="009A5F96" w:rsidRDefault="00CF153D" w:rsidP="00CF153D">
      <w:pPr>
        <w:spacing w:after="0" w:line="240" w:lineRule="auto"/>
        <w:jc w:val="center"/>
        <w:rPr>
          <w:rFonts w:ascii="Times New Roman" w:hAnsi="Times New Roman" w:cs="Times New Roman"/>
          <w:b/>
          <w:sz w:val="24"/>
          <w:szCs w:val="24"/>
        </w:rPr>
      </w:pPr>
      <w:r w:rsidRPr="009A5F96">
        <w:rPr>
          <w:rFonts w:ascii="Times New Roman" w:hAnsi="Times New Roman" w:cs="Times New Roman"/>
          <w:b/>
          <w:sz w:val="24"/>
          <w:szCs w:val="24"/>
        </w:rPr>
        <w:t>Issued by the Authority of the Minister for Finance</w:t>
      </w:r>
    </w:p>
    <w:p w14:paraId="0797F4B9" w14:textId="77777777" w:rsidR="00CF153D" w:rsidRPr="009A5F96" w:rsidRDefault="00CF153D" w:rsidP="00CF153D">
      <w:pPr>
        <w:spacing w:after="0" w:line="240" w:lineRule="auto"/>
        <w:contextualSpacing/>
        <w:jc w:val="center"/>
        <w:rPr>
          <w:rFonts w:ascii="Times New Roman" w:hAnsi="Times New Roman" w:cs="Times New Roman"/>
          <w:i/>
          <w:sz w:val="24"/>
          <w:szCs w:val="24"/>
        </w:rPr>
      </w:pPr>
    </w:p>
    <w:p w14:paraId="6B94012C" w14:textId="77777777" w:rsidR="00CF153D" w:rsidRPr="009A5F96" w:rsidRDefault="00CF153D" w:rsidP="00CF153D">
      <w:pPr>
        <w:spacing w:after="0" w:line="240" w:lineRule="auto"/>
        <w:contextualSpacing/>
        <w:jc w:val="center"/>
        <w:rPr>
          <w:rFonts w:ascii="Times New Roman" w:hAnsi="Times New Roman" w:cs="Times New Roman"/>
          <w:i/>
          <w:sz w:val="24"/>
          <w:szCs w:val="24"/>
        </w:rPr>
      </w:pPr>
      <w:r w:rsidRPr="009A5F96">
        <w:rPr>
          <w:rFonts w:ascii="Times New Roman" w:hAnsi="Times New Roman" w:cs="Times New Roman"/>
          <w:i/>
          <w:sz w:val="24"/>
          <w:szCs w:val="24"/>
        </w:rPr>
        <w:t>Financial Framework (Supplementary Powers) Act 1997</w:t>
      </w:r>
    </w:p>
    <w:p w14:paraId="27FDD605" w14:textId="77777777" w:rsidR="00CF153D" w:rsidRPr="009A5F96" w:rsidRDefault="00CF153D" w:rsidP="00CF153D">
      <w:pPr>
        <w:tabs>
          <w:tab w:val="left" w:pos="1701"/>
        </w:tabs>
        <w:spacing w:after="0" w:line="240" w:lineRule="auto"/>
        <w:contextualSpacing/>
        <w:jc w:val="center"/>
        <w:rPr>
          <w:rFonts w:ascii="Times New Roman" w:hAnsi="Times New Roman" w:cs="Times New Roman"/>
          <w:sz w:val="24"/>
          <w:szCs w:val="24"/>
        </w:rPr>
      </w:pPr>
    </w:p>
    <w:p w14:paraId="500839FC" w14:textId="77777777" w:rsidR="00CF153D" w:rsidRPr="009A5F96" w:rsidRDefault="00CF153D" w:rsidP="00CF153D">
      <w:pPr>
        <w:tabs>
          <w:tab w:val="left" w:pos="1701"/>
        </w:tabs>
        <w:spacing w:after="0" w:line="240" w:lineRule="auto"/>
        <w:contextualSpacing/>
        <w:jc w:val="center"/>
        <w:rPr>
          <w:rFonts w:ascii="Times New Roman" w:hAnsi="Times New Roman" w:cs="Times New Roman"/>
          <w:i/>
          <w:sz w:val="24"/>
          <w:szCs w:val="24"/>
        </w:rPr>
      </w:pPr>
      <w:r w:rsidRPr="009A5F96">
        <w:rPr>
          <w:rFonts w:ascii="Times New Roman" w:hAnsi="Times New Roman" w:cs="Times New Roman"/>
          <w:i/>
          <w:sz w:val="24"/>
          <w:szCs w:val="24"/>
        </w:rPr>
        <w:t>Financial Framework (Supplementary Powers) Amendment</w:t>
      </w:r>
    </w:p>
    <w:p w14:paraId="66A54CEA" w14:textId="77777777" w:rsidR="00CF153D" w:rsidRPr="009A5F96" w:rsidRDefault="00CF153D" w:rsidP="00CF153D">
      <w:pPr>
        <w:tabs>
          <w:tab w:val="left" w:pos="1701"/>
        </w:tabs>
        <w:spacing w:after="0" w:line="240" w:lineRule="auto"/>
        <w:contextualSpacing/>
        <w:jc w:val="center"/>
        <w:rPr>
          <w:rFonts w:ascii="Times New Roman" w:hAnsi="Times New Roman" w:cs="Times New Roman"/>
          <w:i/>
          <w:sz w:val="24"/>
          <w:szCs w:val="24"/>
        </w:rPr>
      </w:pPr>
      <w:r w:rsidRPr="009A5F96">
        <w:rPr>
          <w:rFonts w:ascii="Times New Roman" w:hAnsi="Times New Roman" w:cs="Times New Roman"/>
          <w:i/>
          <w:sz w:val="24"/>
          <w:szCs w:val="24"/>
        </w:rPr>
        <w:t>(</w:t>
      </w:r>
      <w:r w:rsidRPr="009A5F96">
        <w:rPr>
          <w:rFonts w:ascii="Times New Roman" w:hAnsi="Times New Roman" w:cs="Times New Roman"/>
          <w:i/>
          <w:sz w:val="24"/>
          <w:szCs w:val="24"/>
          <w:lang w:val="en-US"/>
        </w:rPr>
        <w:t>Home Affairs Measures No. 1</w:t>
      </w:r>
      <w:r w:rsidRPr="009A5F96">
        <w:rPr>
          <w:rFonts w:ascii="Times New Roman" w:hAnsi="Times New Roman" w:cs="Times New Roman"/>
          <w:i/>
          <w:sz w:val="24"/>
          <w:szCs w:val="24"/>
        </w:rPr>
        <w:t>) Regulations 2023</w:t>
      </w:r>
    </w:p>
    <w:p w14:paraId="6E849B13" w14:textId="77777777" w:rsidR="00CF153D" w:rsidRPr="009A5F96" w:rsidRDefault="00CF153D" w:rsidP="00CF153D">
      <w:pPr>
        <w:spacing w:after="0" w:line="240" w:lineRule="auto"/>
        <w:contextualSpacing/>
        <w:rPr>
          <w:rFonts w:ascii="Times New Roman" w:hAnsi="Times New Roman" w:cs="Times New Roman"/>
          <w:sz w:val="24"/>
          <w:szCs w:val="24"/>
        </w:rPr>
      </w:pPr>
    </w:p>
    <w:p w14:paraId="703E2195" w14:textId="77777777" w:rsidR="00CF153D" w:rsidRPr="009A5F96" w:rsidRDefault="00CF153D" w:rsidP="00CF153D">
      <w:pPr>
        <w:spacing w:after="0" w:line="240" w:lineRule="auto"/>
        <w:contextualSpacing/>
        <w:rPr>
          <w:rFonts w:ascii="Times New Roman" w:hAnsi="Times New Roman" w:cs="Times New Roman"/>
          <w:sz w:val="24"/>
          <w:szCs w:val="24"/>
        </w:rPr>
      </w:pPr>
      <w:r w:rsidRPr="009A5F96">
        <w:rPr>
          <w:rFonts w:ascii="Times New Roman" w:hAnsi="Times New Roman" w:cs="Times New Roman"/>
          <w:sz w:val="24"/>
          <w:szCs w:val="24"/>
        </w:rPr>
        <w:t xml:space="preserve">The </w:t>
      </w:r>
      <w:r w:rsidRPr="009A5F96">
        <w:rPr>
          <w:rFonts w:ascii="Times New Roman" w:hAnsi="Times New Roman" w:cs="Times New Roman"/>
          <w:i/>
          <w:sz w:val="24"/>
          <w:szCs w:val="24"/>
        </w:rPr>
        <w:t>Financial Framework (Supplementary Powers) Act 1997</w:t>
      </w:r>
      <w:r w:rsidRPr="009A5F96">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9A5F96">
        <w:rPr>
          <w:rFonts w:ascii="Times New Roman" w:hAnsi="Times New Roman" w:cs="Times New Roman"/>
          <w:i/>
          <w:sz w:val="24"/>
          <w:szCs w:val="24"/>
        </w:rPr>
        <w:t xml:space="preserve">Financial Framework (Supplementary Powers) Regulations 1997 </w:t>
      </w:r>
      <w:r w:rsidRPr="009A5F96">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9A5F96">
        <w:rPr>
          <w:rFonts w:ascii="Times New Roman" w:hAnsi="Times New Roman" w:cs="Times New Roman"/>
          <w:sz w:val="24"/>
          <w:szCs w:val="24"/>
        </w:rPr>
        <w:noBreakHyphen/>
        <w:t xml:space="preserve">corporate Commonwealth entities, as defined under section 12 of the </w:t>
      </w:r>
      <w:r w:rsidRPr="009A5F96">
        <w:rPr>
          <w:rFonts w:ascii="Times New Roman" w:hAnsi="Times New Roman" w:cs="Times New Roman"/>
          <w:i/>
          <w:sz w:val="24"/>
          <w:szCs w:val="24"/>
        </w:rPr>
        <w:t>Public Governance, Performance and Accountability Act 2013</w:t>
      </w:r>
      <w:r w:rsidRPr="009A5F96">
        <w:rPr>
          <w:rFonts w:ascii="Times New Roman" w:hAnsi="Times New Roman" w:cs="Times New Roman"/>
          <w:sz w:val="24"/>
          <w:szCs w:val="24"/>
        </w:rPr>
        <w:t xml:space="preserve">.  </w:t>
      </w:r>
    </w:p>
    <w:p w14:paraId="1A9B50BC" w14:textId="77777777" w:rsidR="00CF153D" w:rsidRPr="009A5F96" w:rsidRDefault="00CF153D" w:rsidP="00CF153D">
      <w:pPr>
        <w:spacing w:after="0" w:line="240" w:lineRule="auto"/>
        <w:contextualSpacing/>
        <w:rPr>
          <w:rFonts w:ascii="Times New Roman" w:hAnsi="Times New Roman" w:cs="Times New Roman"/>
          <w:sz w:val="24"/>
          <w:szCs w:val="24"/>
        </w:rPr>
      </w:pPr>
    </w:p>
    <w:p w14:paraId="5374FCA9" w14:textId="77777777" w:rsidR="00CF153D" w:rsidRPr="009A5F96" w:rsidRDefault="00CF153D" w:rsidP="00CF153D">
      <w:pPr>
        <w:spacing w:after="0" w:line="240" w:lineRule="auto"/>
        <w:contextualSpacing/>
        <w:rPr>
          <w:rFonts w:ascii="Times New Roman" w:hAnsi="Times New Roman" w:cs="Times New Roman"/>
          <w:iCs/>
          <w:sz w:val="24"/>
          <w:szCs w:val="24"/>
        </w:rPr>
      </w:pPr>
      <w:r w:rsidRPr="009A5F96">
        <w:rPr>
          <w:rFonts w:ascii="Times New Roman" w:hAnsi="Times New Roman" w:cs="Times New Roman"/>
          <w:iCs/>
          <w:sz w:val="24"/>
          <w:szCs w:val="24"/>
        </w:rPr>
        <w:t xml:space="preserve">The Principal Regulations are exempt from sunsetting under section 12 of the </w:t>
      </w:r>
      <w:r w:rsidRPr="009A5F96">
        <w:rPr>
          <w:rFonts w:ascii="Times New Roman" w:hAnsi="Times New Roman" w:cs="Times New Roman"/>
          <w:i/>
          <w:iCs/>
          <w:sz w:val="24"/>
          <w:szCs w:val="24"/>
        </w:rPr>
        <w:t xml:space="preserve">Legislation (Exemptions and Other Matters) Regulation 2015 </w:t>
      </w:r>
      <w:r w:rsidRPr="009A5F96">
        <w:rPr>
          <w:rFonts w:ascii="Times New Roman" w:hAnsi="Times New Roman" w:cs="Times New Roman"/>
          <w:iCs/>
          <w:sz w:val="24"/>
          <w:szCs w:val="24"/>
        </w:rPr>
        <w:t xml:space="preserve">(item 28A). If the Principal Regulations were subject to the sunsetting regime under the </w:t>
      </w:r>
      <w:r w:rsidRPr="009A5F96">
        <w:rPr>
          <w:rFonts w:ascii="Times New Roman" w:hAnsi="Times New Roman" w:cs="Times New Roman"/>
          <w:i/>
          <w:iCs/>
          <w:sz w:val="24"/>
          <w:szCs w:val="24"/>
        </w:rPr>
        <w:t>Legislation Act 2003</w:t>
      </w:r>
      <w:r w:rsidRPr="009A5F96">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A0DBA5B" w14:textId="77777777" w:rsidR="00CF153D" w:rsidRPr="009A5F96" w:rsidRDefault="00CF153D" w:rsidP="00CF153D">
      <w:pPr>
        <w:spacing w:after="0" w:line="240" w:lineRule="auto"/>
        <w:contextualSpacing/>
        <w:rPr>
          <w:rFonts w:ascii="Times New Roman" w:hAnsi="Times New Roman" w:cs="Times New Roman"/>
          <w:iCs/>
          <w:sz w:val="24"/>
          <w:szCs w:val="24"/>
        </w:rPr>
      </w:pPr>
    </w:p>
    <w:p w14:paraId="0BB32288" w14:textId="77777777" w:rsidR="00CF153D" w:rsidRPr="009A5F96" w:rsidRDefault="00CF153D" w:rsidP="00CF153D">
      <w:pPr>
        <w:spacing w:after="0" w:line="240" w:lineRule="auto"/>
        <w:contextualSpacing/>
        <w:rPr>
          <w:rFonts w:ascii="Times New Roman" w:hAnsi="Times New Roman" w:cs="Times New Roman"/>
          <w:iCs/>
          <w:sz w:val="24"/>
          <w:szCs w:val="24"/>
        </w:rPr>
      </w:pPr>
      <w:r w:rsidRPr="009A5F96">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2407D57" w14:textId="77777777" w:rsidR="00CF153D" w:rsidRPr="009A5F96" w:rsidRDefault="00CF153D" w:rsidP="00CF153D">
      <w:pPr>
        <w:spacing w:after="0" w:line="240" w:lineRule="auto"/>
        <w:contextualSpacing/>
        <w:rPr>
          <w:rFonts w:ascii="Times New Roman" w:hAnsi="Times New Roman" w:cs="Times New Roman"/>
          <w:sz w:val="24"/>
          <w:szCs w:val="24"/>
        </w:rPr>
      </w:pPr>
    </w:p>
    <w:p w14:paraId="2F156CD1" w14:textId="77777777" w:rsidR="00CF153D" w:rsidRPr="009A5F96" w:rsidRDefault="00CF153D" w:rsidP="00CF153D">
      <w:pPr>
        <w:spacing w:after="0" w:line="240" w:lineRule="auto"/>
        <w:contextualSpacing/>
        <w:rPr>
          <w:rFonts w:ascii="Times New Roman" w:eastAsia="Times New Roman" w:hAnsi="Times New Roman" w:cs="Times New Roman"/>
          <w:sz w:val="24"/>
          <w:szCs w:val="24"/>
        </w:rPr>
      </w:pPr>
      <w:r w:rsidRPr="009A5F96">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9A5F96">
        <w:rPr>
          <w:rFonts w:ascii="Times New Roman" w:eastAsia="Times New Roman" w:hAnsi="Times New Roman" w:cs="Times New Roman"/>
          <w:sz w:val="24"/>
          <w:szCs w:val="24"/>
        </w:rPr>
        <w:t>B(</w:t>
      </w:r>
      <w:proofErr w:type="gramEnd"/>
      <w:r w:rsidRPr="009A5F96">
        <w:rPr>
          <w:rFonts w:ascii="Times New Roman" w:eastAsia="Times New Roman" w:hAnsi="Times New Roman" w:cs="Times New Roman"/>
          <w:sz w:val="24"/>
          <w:szCs w:val="24"/>
        </w:rPr>
        <w:t>1) of the Act. Schedule 1AA and Schedule 1AB to the Principal Regulations specify the arrangements, grants and programs.</w:t>
      </w:r>
    </w:p>
    <w:p w14:paraId="63FC4B4A" w14:textId="77777777" w:rsidR="00CF153D" w:rsidRPr="009A5F96" w:rsidRDefault="00CF153D" w:rsidP="00CF153D">
      <w:pPr>
        <w:spacing w:after="0" w:line="240" w:lineRule="auto"/>
        <w:contextualSpacing/>
        <w:rPr>
          <w:rFonts w:ascii="Times New Roman" w:eastAsia="Times New Roman" w:hAnsi="Times New Roman" w:cs="Times New Roman"/>
          <w:sz w:val="24"/>
          <w:szCs w:val="24"/>
        </w:rPr>
      </w:pPr>
    </w:p>
    <w:p w14:paraId="60E14D04" w14:textId="77777777" w:rsidR="00CF153D" w:rsidRPr="009A5F96" w:rsidRDefault="00CF153D" w:rsidP="00CF153D">
      <w:pPr>
        <w:spacing w:after="0" w:line="240" w:lineRule="auto"/>
        <w:contextualSpacing/>
        <w:rPr>
          <w:rFonts w:ascii="Times New Roman" w:eastAsia="Times New Roman" w:hAnsi="Times New Roman" w:cs="Times New Roman"/>
          <w:sz w:val="24"/>
          <w:szCs w:val="24"/>
        </w:rPr>
      </w:pPr>
      <w:r w:rsidRPr="009A5F96">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3E548B50" w14:textId="77777777" w:rsidR="00CF153D" w:rsidRPr="009A5F96" w:rsidRDefault="00CF153D" w:rsidP="00CF153D">
      <w:pPr>
        <w:spacing w:after="0" w:line="240" w:lineRule="auto"/>
        <w:ind w:right="-45"/>
        <w:rPr>
          <w:rFonts w:ascii="Times New Roman" w:hAnsi="Times New Roman" w:cs="Times New Roman"/>
          <w:sz w:val="24"/>
          <w:szCs w:val="24"/>
        </w:rPr>
      </w:pPr>
    </w:p>
    <w:p w14:paraId="4C715560" w14:textId="06B47DF8"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br w:type="column"/>
      </w:r>
      <w:r w:rsidRPr="009A5F96">
        <w:rPr>
          <w:rFonts w:ascii="Times New Roman" w:hAnsi="Times New Roman" w:cs="Times New Roman"/>
          <w:sz w:val="24"/>
          <w:szCs w:val="24"/>
        </w:rPr>
        <w:lastRenderedPageBreak/>
        <w:t xml:space="preserve">The </w:t>
      </w:r>
      <w:r w:rsidRPr="009A5F96">
        <w:rPr>
          <w:rFonts w:ascii="Times New Roman" w:hAnsi="Times New Roman" w:cs="Times New Roman"/>
          <w:i/>
          <w:sz w:val="24"/>
          <w:szCs w:val="24"/>
        </w:rPr>
        <w:t>Financial Framework (Supplementary Powers) Amendment (</w:t>
      </w:r>
      <w:r w:rsidRPr="009A5F96">
        <w:rPr>
          <w:rFonts w:ascii="Times New Roman" w:hAnsi="Times New Roman" w:cs="Times New Roman"/>
          <w:i/>
          <w:sz w:val="24"/>
          <w:szCs w:val="24"/>
          <w:lang w:val="en-US"/>
        </w:rPr>
        <w:t>Home Affairs Measures No. 1</w:t>
      </w:r>
      <w:r w:rsidRPr="009A5F96">
        <w:rPr>
          <w:rFonts w:ascii="Times New Roman" w:hAnsi="Times New Roman" w:cs="Times New Roman"/>
          <w:i/>
          <w:sz w:val="24"/>
          <w:szCs w:val="24"/>
        </w:rPr>
        <w:t xml:space="preserve">) Regulations 2023 </w:t>
      </w:r>
      <w:r w:rsidRPr="009A5F96">
        <w:rPr>
          <w:rFonts w:ascii="Times New Roman" w:hAnsi="Times New Roman" w:cs="Times New Roman"/>
          <w:sz w:val="24"/>
          <w:szCs w:val="24"/>
        </w:rPr>
        <w:t>(the Regulations) amend Schedule 1AB to the Principal Regulations to establish legislative authority for government spending on the Status Resolution and Support Services</w:t>
      </w:r>
      <w:r w:rsidR="00761A94" w:rsidRPr="009A5F96">
        <w:rPr>
          <w:rFonts w:ascii="Times New Roman" w:hAnsi="Times New Roman" w:cs="Times New Roman"/>
          <w:sz w:val="24"/>
          <w:szCs w:val="24"/>
        </w:rPr>
        <w:t xml:space="preserve"> (SRSS) </w:t>
      </w:r>
      <w:r w:rsidRPr="009A5F96">
        <w:rPr>
          <w:rFonts w:ascii="Times New Roman" w:hAnsi="Times New Roman" w:cs="Times New Roman"/>
          <w:sz w:val="24"/>
          <w:szCs w:val="24"/>
        </w:rPr>
        <w:t>—special purpose visa holders</w:t>
      </w:r>
      <w:r w:rsidRPr="009A5F96" w:rsidDel="008B5EAD">
        <w:rPr>
          <w:rFonts w:ascii="Times New Roman" w:hAnsi="Times New Roman" w:cs="Times New Roman"/>
          <w:sz w:val="24"/>
          <w:szCs w:val="24"/>
        </w:rPr>
        <w:t xml:space="preserve"> </w:t>
      </w:r>
      <w:r w:rsidRPr="009A5F96">
        <w:rPr>
          <w:rFonts w:ascii="Times New Roman" w:hAnsi="Times New Roman" w:cs="Times New Roman"/>
          <w:sz w:val="24"/>
          <w:szCs w:val="24"/>
        </w:rPr>
        <w:t xml:space="preserve">to be administered by the Department of Home Affairs. </w:t>
      </w:r>
    </w:p>
    <w:p w14:paraId="32E5317F" w14:textId="77777777" w:rsidR="00CF153D" w:rsidRPr="009A5F96" w:rsidRDefault="00CF153D" w:rsidP="00CF153D">
      <w:pPr>
        <w:spacing w:after="0" w:line="240" w:lineRule="auto"/>
        <w:ind w:right="-46"/>
        <w:rPr>
          <w:rFonts w:ascii="Times New Roman" w:hAnsi="Times New Roman" w:cs="Times New Roman"/>
          <w:sz w:val="24"/>
          <w:szCs w:val="24"/>
        </w:rPr>
      </w:pPr>
    </w:p>
    <w:p w14:paraId="1DA8A503" w14:textId="69919F9D"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t>The SRSS</w:t>
      </w:r>
      <w:r w:rsidR="00761A94" w:rsidRPr="009A5F96">
        <w:rPr>
          <w:rFonts w:ascii="Times New Roman" w:hAnsi="Times New Roman" w:cs="Times New Roman"/>
          <w:sz w:val="24"/>
          <w:szCs w:val="24"/>
        </w:rPr>
        <w:t xml:space="preserve"> </w:t>
      </w:r>
      <w:r w:rsidRPr="009A5F96">
        <w:rPr>
          <w:rFonts w:ascii="Times New Roman" w:hAnsi="Times New Roman" w:cs="Times New Roman"/>
          <w:sz w:val="24"/>
          <w:szCs w:val="24"/>
        </w:rPr>
        <w:t>is an existing program established in 2015 to provide targeted support to eligible individuals while they resolve their immigration status. Legislative authority for the SRSS is provided under table item 187 to Part 4 of Schedule 1AB.</w:t>
      </w:r>
    </w:p>
    <w:p w14:paraId="69CF2FB1" w14:textId="77777777" w:rsidR="00CF153D" w:rsidRPr="009A5F96" w:rsidRDefault="00CF153D" w:rsidP="00CF153D">
      <w:pPr>
        <w:spacing w:after="0" w:line="240" w:lineRule="auto"/>
        <w:ind w:right="-46"/>
        <w:rPr>
          <w:rFonts w:ascii="Times New Roman" w:hAnsi="Times New Roman" w:cs="Times New Roman"/>
          <w:sz w:val="24"/>
          <w:szCs w:val="24"/>
        </w:rPr>
      </w:pPr>
    </w:p>
    <w:p w14:paraId="4C657DB4" w14:textId="0305559A"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t xml:space="preserve">Following the High Court decision in </w:t>
      </w:r>
      <w:r w:rsidRPr="009A5F96">
        <w:rPr>
          <w:rFonts w:ascii="Times New Roman" w:hAnsi="Times New Roman" w:cs="Times New Roman"/>
          <w:i/>
          <w:sz w:val="24"/>
          <w:szCs w:val="24"/>
          <w:lang w:val="en-US"/>
        </w:rPr>
        <w:t xml:space="preserve">Love v Commonwealth; </w:t>
      </w:r>
      <w:proofErr w:type="spellStart"/>
      <w:r w:rsidRPr="009A5F96">
        <w:rPr>
          <w:rFonts w:ascii="Times New Roman" w:hAnsi="Times New Roman" w:cs="Times New Roman"/>
          <w:i/>
          <w:sz w:val="24"/>
          <w:szCs w:val="24"/>
          <w:lang w:val="en-US"/>
        </w:rPr>
        <w:t>Thoms</w:t>
      </w:r>
      <w:proofErr w:type="spellEnd"/>
      <w:r w:rsidRPr="009A5F96">
        <w:rPr>
          <w:rFonts w:ascii="Times New Roman" w:hAnsi="Times New Roman" w:cs="Times New Roman"/>
          <w:i/>
          <w:sz w:val="24"/>
          <w:szCs w:val="24"/>
          <w:lang w:val="en-US"/>
        </w:rPr>
        <w:t xml:space="preserve"> v Commonwealth</w:t>
      </w:r>
      <w:r w:rsidRPr="009A5F96">
        <w:rPr>
          <w:rFonts w:ascii="Times New Roman" w:hAnsi="Times New Roman" w:cs="Times New Roman"/>
          <w:sz w:val="24"/>
          <w:szCs w:val="24"/>
          <w:lang w:val="en-US"/>
        </w:rPr>
        <w:t xml:space="preserve"> (2020) 270 CLR 152, with regards to persons who are not Australian citizens and who claim to be an Aboriginal or Torres Strait Islander person</w:t>
      </w:r>
      <w:r w:rsidRPr="009A5F96">
        <w:rPr>
          <w:rFonts w:ascii="Times New Roman" w:hAnsi="Times New Roman" w:cs="Times New Roman"/>
          <w:iCs/>
          <w:sz w:val="24"/>
          <w:szCs w:val="24"/>
          <w:lang w:val="en-US"/>
        </w:rPr>
        <w:t xml:space="preserve"> (t</w:t>
      </w:r>
      <w:r w:rsidRPr="009A5F96">
        <w:rPr>
          <w:rFonts w:ascii="Times New Roman" w:hAnsi="Times New Roman" w:cs="Times New Roman"/>
          <w:iCs/>
          <w:sz w:val="24"/>
          <w:szCs w:val="24"/>
        </w:rPr>
        <w:t xml:space="preserve">he </w:t>
      </w:r>
      <w:r w:rsidRPr="009A5F96">
        <w:rPr>
          <w:rFonts w:ascii="Times New Roman" w:hAnsi="Times New Roman" w:cs="Times New Roman"/>
          <w:i/>
          <w:iCs/>
          <w:sz w:val="24"/>
          <w:szCs w:val="24"/>
        </w:rPr>
        <w:t>Love</w:t>
      </w:r>
      <w:r w:rsidRPr="009A5F96">
        <w:rPr>
          <w:rFonts w:ascii="Times New Roman" w:hAnsi="Times New Roman" w:cs="Times New Roman"/>
          <w:iCs/>
          <w:sz w:val="24"/>
          <w:szCs w:val="24"/>
        </w:rPr>
        <w:t xml:space="preserve"> and</w:t>
      </w:r>
      <w:r w:rsidRPr="009A5F96">
        <w:rPr>
          <w:rFonts w:ascii="Times New Roman" w:hAnsi="Times New Roman" w:cs="Times New Roman"/>
          <w:i/>
          <w:iCs/>
          <w:sz w:val="24"/>
          <w:szCs w:val="24"/>
        </w:rPr>
        <w:t xml:space="preserve"> </w:t>
      </w:r>
      <w:proofErr w:type="spellStart"/>
      <w:r w:rsidRPr="009A5F96">
        <w:rPr>
          <w:rFonts w:ascii="Times New Roman" w:hAnsi="Times New Roman" w:cs="Times New Roman"/>
          <w:i/>
          <w:iCs/>
          <w:sz w:val="24"/>
          <w:szCs w:val="24"/>
        </w:rPr>
        <w:t>Thoms</w:t>
      </w:r>
      <w:proofErr w:type="spellEnd"/>
      <w:r w:rsidRPr="009A5F96">
        <w:rPr>
          <w:rFonts w:ascii="Times New Roman" w:hAnsi="Times New Roman" w:cs="Times New Roman"/>
          <w:iCs/>
          <w:sz w:val="24"/>
          <w:szCs w:val="24"/>
        </w:rPr>
        <w:t xml:space="preserve"> cohort)</w:t>
      </w:r>
      <w:r w:rsidRPr="009A5F96">
        <w:rPr>
          <w:rFonts w:ascii="Times New Roman" w:hAnsi="Times New Roman" w:cs="Times New Roman"/>
          <w:sz w:val="24"/>
          <w:szCs w:val="24"/>
          <w:lang w:val="en-US"/>
        </w:rPr>
        <w:t xml:space="preserve">, a special purpose visa </w:t>
      </w:r>
      <w:r w:rsidR="004F3350" w:rsidRPr="009A5F96">
        <w:rPr>
          <w:rFonts w:ascii="Times New Roman" w:hAnsi="Times New Roman" w:cs="Times New Roman"/>
          <w:sz w:val="24"/>
          <w:szCs w:val="24"/>
          <w:lang w:val="en-US"/>
        </w:rPr>
        <w:t xml:space="preserve">(SPV) </w:t>
      </w:r>
      <w:r w:rsidR="00BC19B9" w:rsidRPr="009A5F96">
        <w:rPr>
          <w:rFonts w:ascii="Times New Roman" w:hAnsi="Times New Roman" w:cs="Times New Roman"/>
          <w:sz w:val="24"/>
          <w:szCs w:val="24"/>
          <w:lang w:val="en-US"/>
        </w:rPr>
        <w:t>was</w:t>
      </w:r>
      <w:r w:rsidRPr="009A5F96">
        <w:rPr>
          <w:rFonts w:ascii="Times New Roman" w:hAnsi="Times New Roman" w:cs="Times New Roman"/>
          <w:sz w:val="24"/>
          <w:szCs w:val="24"/>
          <w:lang w:val="en-US"/>
        </w:rPr>
        <w:t xml:space="preserve"> granted to </w:t>
      </w:r>
      <w:r w:rsidR="00B90A7B" w:rsidRPr="009A5F96">
        <w:rPr>
          <w:rFonts w:ascii="Times New Roman" w:hAnsi="Times New Roman" w:cs="Times New Roman"/>
          <w:sz w:val="24"/>
          <w:szCs w:val="24"/>
          <w:lang w:val="en-US"/>
        </w:rPr>
        <w:t xml:space="preserve">certain individuals in </w:t>
      </w:r>
      <w:r w:rsidRPr="009A5F96">
        <w:rPr>
          <w:rFonts w:ascii="Times New Roman" w:hAnsi="Times New Roman" w:cs="Times New Roman"/>
          <w:sz w:val="24"/>
          <w:szCs w:val="24"/>
          <w:lang w:val="en-US"/>
        </w:rPr>
        <w:t xml:space="preserve">the </w:t>
      </w:r>
      <w:r w:rsidRPr="009A5F96">
        <w:rPr>
          <w:rFonts w:ascii="Times New Roman" w:hAnsi="Times New Roman" w:cs="Times New Roman"/>
          <w:i/>
          <w:iCs/>
          <w:sz w:val="24"/>
          <w:szCs w:val="24"/>
        </w:rPr>
        <w:t>Love</w:t>
      </w:r>
      <w:r w:rsidRPr="009A5F96">
        <w:rPr>
          <w:rFonts w:ascii="Times New Roman" w:hAnsi="Times New Roman" w:cs="Times New Roman"/>
          <w:iCs/>
          <w:sz w:val="24"/>
          <w:szCs w:val="24"/>
        </w:rPr>
        <w:t xml:space="preserve"> </w:t>
      </w:r>
      <w:r w:rsidRPr="009A5F96">
        <w:rPr>
          <w:rFonts w:ascii="Times New Roman" w:hAnsi="Times New Roman" w:cs="Times New Roman"/>
          <w:i/>
          <w:iCs/>
          <w:sz w:val="24"/>
          <w:szCs w:val="24"/>
        </w:rPr>
        <w:t>and</w:t>
      </w:r>
      <w:r w:rsidRPr="009A5F96">
        <w:rPr>
          <w:rFonts w:ascii="Times New Roman" w:hAnsi="Times New Roman" w:cs="Times New Roman"/>
          <w:iCs/>
          <w:sz w:val="24"/>
          <w:szCs w:val="24"/>
        </w:rPr>
        <w:t xml:space="preserve"> </w:t>
      </w:r>
      <w:proofErr w:type="spellStart"/>
      <w:r w:rsidRPr="009A5F96">
        <w:rPr>
          <w:rFonts w:ascii="Times New Roman" w:hAnsi="Times New Roman" w:cs="Times New Roman"/>
          <w:i/>
          <w:iCs/>
          <w:sz w:val="24"/>
          <w:szCs w:val="24"/>
        </w:rPr>
        <w:t>Thoms</w:t>
      </w:r>
      <w:proofErr w:type="spellEnd"/>
      <w:r w:rsidRPr="009A5F96">
        <w:rPr>
          <w:rFonts w:ascii="Times New Roman" w:hAnsi="Times New Roman" w:cs="Times New Roman"/>
          <w:sz w:val="24"/>
          <w:szCs w:val="24"/>
          <w:lang w:val="en-US"/>
        </w:rPr>
        <w:t xml:space="preserve"> cohort.</w:t>
      </w:r>
    </w:p>
    <w:p w14:paraId="6C944B83" w14:textId="77777777" w:rsidR="00CF153D" w:rsidRPr="009A5F96" w:rsidRDefault="00CF153D" w:rsidP="00CF153D">
      <w:pPr>
        <w:spacing w:after="0" w:line="240" w:lineRule="auto"/>
        <w:ind w:right="-46"/>
        <w:rPr>
          <w:rFonts w:ascii="Times New Roman" w:hAnsi="Times New Roman" w:cs="Times New Roman"/>
          <w:sz w:val="24"/>
          <w:szCs w:val="24"/>
        </w:rPr>
      </w:pPr>
    </w:p>
    <w:p w14:paraId="1021DABA" w14:textId="66AFD842" w:rsidR="00CF153D" w:rsidRPr="009A5F96" w:rsidRDefault="004F3350"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lang w:val="en-US"/>
        </w:rPr>
        <w:t>SPV</w:t>
      </w:r>
      <w:r w:rsidR="00CF153D" w:rsidRPr="009A5F96">
        <w:rPr>
          <w:rFonts w:ascii="Times New Roman" w:hAnsi="Times New Roman" w:cs="Times New Roman"/>
          <w:sz w:val="24"/>
          <w:szCs w:val="24"/>
          <w:lang w:val="en-US"/>
        </w:rPr>
        <w:t xml:space="preserve"> holders are not able to access government entitlements or services, </w:t>
      </w:r>
      <w:proofErr w:type="gramStart"/>
      <w:r w:rsidR="00CF153D" w:rsidRPr="009A5F96">
        <w:rPr>
          <w:rFonts w:ascii="Times New Roman" w:hAnsi="Times New Roman" w:cs="Times New Roman"/>
          <w:sz w:val="24"/>
          <w:szCs w:val="24"/>
          <w:lang w:val="en-US"/>
        </w:rPr>
        <w:t>with the exception of</w:t>
      </w:r>
      <w:proofErr w:type="gramEnd"/>
      <w:r w:rsidR="00CF153D" w:rsidRPr="009A5F96">
        <w:rPr>
          <w:rFonts w:ascii="Times New Roman" w:hAnsi="Times New Roman" w:cs="Times New Roman"/>
          <w:sz w:val="24"/>
          <w:szCs w:val="24"/>
          <w:lang w:val="en-US"/>
        </w:rPr>
        <w:t xml:space="preserve"> Medicare</w:t>
      </w:r>
      <w:r w:rsidR="00BC19B9" w:rsidRPr="009A5F96">
        <w:rPr>
          <w:rFonts w:ascii="Times New Roman" w:hAnsi="Times New Roman" w:cs="Times New Roman"/>
          <w:sz w:val="24"/>
          <w:szCs w:val="24"/>
          <w:lang w:val="en-US"/>
        </w:rPr>
        <w:t>.</w:t>
      </w:r>
      <w:r w:rsidR="00CF153D" w:rsidRPr="009A5F96">
        <w:rPr>
          <w:rFonts w:ascii="Times New Roman" w:hAnsi="Times New Roman" w:cs="Times New Roman"/>
          <w:sz w:val="24"/>
          <w:szCs w:val="24"/>
          <w:lang w:val="en-US"/>
        </w:rPr>
        <w:t xml:space="preserve"> </w:t>
      </w:r>
      <w:r w:rsidR="009968D4" w:rsidRPr="009A5F96">
        <w:rPr>
          <w:rFonts w:ascii="Times New Roman" w:eastAsia="Times New Roman" w:hAnsi="Times New Roman" w:cs="Times New Roman"/>
          <w:iCs/>
          <w:sz w:val="24"/>
          <w:szCs w:val="24"/>
          <w:lang w:val="en-US" w:eastAsia="en-AU"/>
        </w:rPr>
        <w:t xml:space="preserve">Legislative authority under new table item 588 to Schedule 1AB would </w:t>
      </w:r>
      <w:r w:rsidR="00416A82" w:rsidRPr="009A5F96">
        <w:rPr>
          <w:rFonts w:ascii="Times New Roman" w:eastAsia="Times New Roman" w:hAnsi="Times New Roman" w:cs="Times New Roman"/>
          <w:iCs/>
          <w:sz w:val="24"/>
          <w:szCs w:val="24"/>
          <w:lang w:val="en-US" w:eastAsia="en-AU"/>
        </w:rPr>
        <w:t xml:space="preserve">enable </w:t>
      </w:r>
      <w:r w:rsidR="009968D4" w:rsidRPr="009A5F96">
        <w:rPr>
          <w:rFonts w:ascii="Times New Roman" w:eastAsia="Times New Roman" w:hAnsi="Times New Roman" w:cs="Times New Roman"/>
          <w:iCs/>
          <w:sz w:val="24"/>
          <w:szCs w:val="24"/>
          <w:lang w:val="en-US" w:eastAsia="en-AU"/>
        </w:rPr>
        <w:t xml:space="preserve">the </w:t>
      </w:r>
      <w:r w:rsidR="009968D4" w:rsidRPr="009A5F96">
        <w:rPr>
          <w:rFonts w:ascii="Times New Roman" w:eastAsia="Times New Roman" w:hAnsi="Times New Roman" w:cs="Times New Roman"/>
          <w:i/>
          <w:iCs/>
          <w:sz w:val="24"/>
          <w:szCs w:val="24"/>
          <w:lang w:eastAsia="en-AU"/>
        </w:rPr>
        <w:t xml:space="preserve">Love </w:t>
      </w:r>
      <w:r w:rsidR="009968D4" w:rsidRPr="009A5F96">
        <w:rPr>
          <w:rFonts w:ascii="Times New Roman" w:eastAsia="Times New Roman" w:hAnsi="Times New Roman" w:cs="Times New Roman"/>
          <w:iCs/>
          <w:sz w:val="24"/>
          <w:szCs w:val="24"/>
          <w:lang w:eastAsia="en-AU"/>
        </w:rPr>
        <w:t xml:space="preserve">and </w:t>
      </w:r>
      <w:proofErr w:type="spellStart"/>
      <w:r w:rsidR="009968D4" w:rsidRPr="009A5F96">
        <w:rPr>
          <w:rFonts w:ascii="Times New Roman" w:eastAsia="Times New Roman" w:hAnsi="Times New Roman" w:cs="Times New Roman"/>
          <w:i/>
          <w:iCs/>
          <w:sz w:val="24"/>
          <w:szCs w:val="24"/>
          <w:lang w:eastAsia="en-AU"/>
        </w:rPr>
        <w:t>Thoms</w:t>
      </w:r>
      <w:proofErr w:type="spellEnd"/>
      <w:r w:rsidR="009968D4" w:rsidRPr="009A5F96">
        <w:rPr>
          <w:rFonts w:ascii="Times New Roman" w:eastAsia="Times New Roman" w:hAnsi="Times New Roman" w:cs="Times New Roman"/>
          <w:iCs/>
          <w:sz w:val="24"/>
          <w:szCs w:val="24"/>
          <w:lang w:eastAsia="en-AU"/>
        </w:rPr>
        <w:t xml:space="preserve"> cohort</w:t>
      </w:r>
      <w:r w:rsidR="009968D4" w:rsidRPr="009A5F96">
        <w:rPr>
          <w:rFonts w:ascii="Times New Roman" w:eastAsia="Times New Roman" w:hAnsi="Times New Roman" w:cs="Times New Roman"/>
          <w:iCs/>
          <w:sz w:val="24"/>
          <w:szCs w:val="24"/>
          <w:lang w:val="en-US" w:eastAsia="en-AU"/>
        </w:rPr>
        <w:t xml:space="preserve"> to have access to some services under the SRSS</w:t>
      </w:r>
      <w:r w:rsidR="009968D4" w:rsidRPr="009A5F96">
        <w:rPr>
          <w:rFonts w:ascii="Times New Roman" w:hAnsi="Times New Roman" w:cs="Times New Roman"/>
          <w:sz w:val="24"/>
          <w:szCs w:val="24"/>
          <w:lang w:val="en-US"/>
        </w:rPr>
        <w:t xml:space="preserve">. </w:t>
      </w:r>
      <w:r w:rsidR="00E63C5C" w:rsidRPr="009A5F96">
        <w:rPr>
          <w:rFonts w:ascii="Times New Roman" w:hAnsi="Times New Roman" w:cs="Times New Roman"/>
          <w:sz w:val="24"/>
          <w:szCs w:val="24"/>
          <w:lang w:val="en-US"/>
        </w:rPr>
        <w:t>The extended services provide</w:t>
      </w:r>
      <w:r w:rsidR="00FC4085" w:rsidRPr="009A5F96">
        <w:rPr>
          <w:rFonts w:ascii="Times New Roman" w:hAnsi="Times New Roman" w:cs="Times New Roman"/>
          <w:sz w:val="24"/>
          <w:szCs w:val="24"/>
          <w:lang w:val="en-US"/>
        </w:rPr>
        <w:t>d</w:t>
      </w:r>
      <w:r w:rsidR="00E63C5C" w:rsidRPr="009A5F96">
        <w:rPr>
          <w:rFonts w:ascii="Times New Roman" w:hAnsi="Times New Roman" w:cs="Times New Roman"/>
          <w:sz w:val="24"/>
          <w:szCs w:val="24"/>
          <w:lang w:val="en-US"/>
        </w:rPr>
        <w:t xml:space="preserve"> under </w:t>
      </w:r>
      <w:r w:rsidR="00990C56" w:rsidRPr="009A5F96">
        <w:rPr>
          <w:rFonts w:ascii="Times New Roman" w:hAnsi="Times New Roman" w:cs="Times New Roman"/>
          <w:sz w:val="24"/>
          <w:szCs w:val="24"/>
          <w:lang w:val="en-US"/>
        </w:rPr>
        <w:t xml:space="preserve">the </w:t>
      </w:r>
      <w:r w:rsidR="00CF153D" w:rsidRPr="009A5F96">
        <w:rPr>
          <w:rFonts w:ascii="Times New Roman" w:hAnsi="Times New Roman" w:cs="Times New Roman"/>
          <w:sz w:val="24"/>
          <w:szCs w:val="24"/>
          <w:lang w:val="en-US"/>
        </w:rPr>
        <w:t>SRSS</w:t>
      </w:r>
      <w:r w:rsidR="007676BD" w:rsidRPr="009A5F96">
        <w:rPr>
          <w:rFonts w:ascii="Times New Roman" w:hAnsi="Times New Roman" w:cs="Times New Roman"/>
          <w:sz w:val="24"/>
          <w:szCs w:val="24"/>
          <w:lang w:val="en-US"/>
        </w:rPr>
        <w:t xml:space="preserve"> would</w:t>
      </w:r>
      <w:r w:rsidR="00CF153D" w:rsidRPr="009A5F96">
        <w:rPr>
          <w:rFonts w:ascii="Times New Roman" w:hAnsi="Times New Roman" w:cs="Times New Roman"/>
          <w:sz w:val="24"/>
          <w:szCs w:val="24"/>
          <w:lang w:val="en-US"/>
        </w:rPr>
        <w:t xml:space="preserve"> reduce the risk of harm to those </w:t>
      </w:r>
      <w:r w:rsidR="002243AC" w:rsidRPr="009A5F96">
        <w:rPr>
          <w:rFonts w:ascii="Times New Roman" w:hAnsi="Times New Roman" w:cs="Times New Roman"/>
          <w:sz w:val="24"/>
          <w:szCs w:val="24"/>
          <w:lang w:val="en-US"/>
        </w:rPr>
        <w:t>certain individuals</w:t>
      </w:r>
      <w:r w:rsidR="00CF153D" w:rsidRPr="009A5F96">
        <w:rPr>
          <w:rFonts w:ascii="Times New Roman" w:hAnsi="Times New Roman" w:cs="Times New Roman"/>
          <w:sz w:val="24"/>
          <w:szCs w:val="24"/>
          <w:lang w:val="en-US"/>
        </w:rPr>
        <w:t xml:space="preserve">, including the risk of destitution and homelessness. The </w:t>
      </w:r>
      <w:r w:rsidR="00BC19B9" w:rsidRPr="009A5F96">
        <w:rPr>
          <w:rFonts w:ascii="Times New Roman" w:hAnsi="Times New Roman" w:cs="Times New Roman"/>
          <w:sz w:val="24"/>
          <w:szCs w:val="24"/>
          <w:lang w:val="en-US"/>
        </w:rPr>
        <w:t>SRSS</w:t>
      </w:r>
      <w:r w:rsidR="00CF153D" w:rsidRPr="009A5F96">
        <w:rPr>
          <w:rFonts w:ascii="Times New Roman" w:hAnsi="Times New Roman" w:cs="Times New Roman"/>
          <w:sz w:val="24"/>
          <w:szCs w:val="24"/>
          <w:lang w:val="en-US"/>
        </w:rPr>
        <w:t xml:space="preserve"> will be tailored to individual circumstances, and will be provided for the shortest reasonable time where a genuine need has been identified and evidenced.</w:t>
      </w:r>
    </w:p>
    <w:p w14:paraId="7DD0C80A" w14:textId="77777777" w:rsidR="00CF153D" w:rsidRPr="009A5F96" w:rsidRDefault="00CF153D" w:rsidP="00CF153D">
      <w:pPr>
        <w:spacing w:after="0" w:line="240" w:lineRule="auto"/>
        <w:ind w:right="-46"/>
        <w:rPr>
          <w:rFonts w:ascii="Times New Roman" w:hAnsi="Times New Roman" w:cs="Times New Roman"/>
          <w:sz w:val="24"/>
          <w:szCs w:val="24"/>
        </w:rPr>
      </w:pPr>
    </w:p>
    <w:p w14:paraId="4D9729DC" w14:textId="218E7E98"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t xml:space="preserve">Legislative authority under new table item </w:t>
      </w:r>
      <w:r w:rsidR="002B6DAE" w:rsidRPr="009A5F96">
        <w:rPr>
          <w:rFonts w:ascii="Times New Roman" w:hAnsi="Times New Roman" w:cs="Times New Roman"/>
          <w:sz w:val="24"/>
          <w:szCs w:val="24"/>
        </w:rPr>
        <w:t>588</w:t>
      </w:r>
      <w:r w:rsidRPr="009A5F96">
        <w:rPr>
          <w:rFonts w:ascii="Times New Roman" w:hAnsi="Times New Roman" w:cs="Times New Roman"/>
          <w:sz w:val="24"/>
          <w:szCs w:val="24"/>
        </w:rPr>
        <w:t xml:space="preserve"> is required to provide needs-based support and assistance to holders of a </w:t>
      </w:r>
      <w:r w:rsidR="004F3350" w:rsidRPr="009A5F96">
        <w:rPr>
          <w:rFonts w:ascii="Times New Roman" w:hAnsi="Times New Roman" w:cs="Times New Roman"/>
          <w:sz w:val="24"/>
          <w:szCs w:val="24"/>
        </w:rPr>
        <w:t>SPV</w:t>
      </w:r>
      <w:r w:rsidRPr="009A5F96">
        <w:rPr>
          <w:rFonts w:ascii="Times New Roman" w:hAnsi="Times New Roman" w:cs="Times New Roman"/>
          <w:sz w:val="24"/>
          <w:szCs w:val="24"/>
        </w:rPr>
        <w:t xml:space="preserve"> </w:t>
      </w:r>
      <w:r w:rsidR="00BC19B9" w:rsidRPr="009A5F96">
        <w:rPr>
          <w:rFonts w:ascii="Times New Roman" w:hAnsi="Times New Roman" w:cs="Times New Roman"/>
          <w:sz w:val="24"/>
          <w:szCs w:val="24"/>
        </w:rPr>
        <w:t>who are</w:t>
      </w:r>
      <w:r w:rsidR="004F3350" w:rsidRPr="009A5F96">
        <w:rPr>
          <w:rFonts w:ascii="Times New Roman" w:hAnsi="Times New Roman" w:cs="Times New Roman"/>
          <w:sz w:val="24"/>
          <w:szCs w:val="24"/>
        </w:rPr>
        <w:t xml:space="preserve"> </w:t>
      </w:r>
      <w:r w:rsidRPr="009A5F96">
        <w:rPr>
          <w:rFonts w:ascii="Times New Roman" w:hAnsi="Times New Roman" w:cs="Times New Roman"/>
          <w:sz w:val="24"/>
          <w:szCs w:val="24"/>
        </w:rPr>
        <w:t>seek</w:t>
      </w:r>
      <w:r w:rsidR="00BC19B9" w:rsidRPr="009A5F96">
        <w:rPr>
          <w:rFonts w:ascii="Times New Roman" w:hAnsi="Times New Roman" w:cs="Times New Roman"/>
          <w:sz w:val="24"/>
          <w:szCs w:val="24"/>
        </w:rPr>
        <w:t>ing</w:t>
      </w:r>
      <w:r w:rsidRPr="009A5F96">
        <w:rPr>
          <w:rFonts w:ascii="Times New Roman" w:hAnsi="Times New Roman" w:cs="Times New Roman"/>
          <w:sz w:val="24"/>
          <w:szCs w:val="24"/>
        </w:rPr>
        <w:t xml:space="preserve"> to resolve their immigration status, or for whom there is </w:t>
      </w:r>
      <w:r w:rsidR="00B90A7B" w:rsidRPr="009A5F96">
        <w:rPr>
          <w:rFonts w:ascii="Times New Roman" w:hAnsi="Times New Roman" w:cs="Times New Roman"/>
          <w:sz w:val="24"/>
          <w:szCs w:val="24"/>
        </w:rPr>
        <w:t xml:space="preserve">currently </w:t>
      </w:r>
      <w:r w:rsidRPr="009A5F96">
        <w:rPr>
          <w:rFonts w:ascii="Times New Roman" w:hAnsi="Times New Roman" w:cs="Times New Roman"/>
          <w:sz w:val="24"/>
          <w:szCs w:val="24"/>
        </w:rPr>
        <w:t>no available pathway by which they can more permanently resolve their immigration status.</w:t>
      </w:r>
    </w:p>
    <w:p w14:paraId="3B2DAB13" w14:textId="77777777" w:rsidR="00CF153D" w:rsidRPr="009A5F96" w:rsidRDefault="00CF153D" w:rsidP="00CF153D">
      <w:pPr>
        <w:spacing w:after="0" w:line="240" w:lineRule="auto"/>
        <w:ind w:right="-46"/>
        <w:rPr>
          <w:rFonts w:ascii="Times New Roman" w:hAnsi="Times New Roman" w:cs="Times New Roman"/>
          <w:sz w:val="24"/>
          <w:szCs w:val="24"/>
        </w:rPr>
      </w:pPr>
    </w:p>
    <w:p w14:paraId="6208BCAF" w14:textId="43A2A094" w:rsidR="00CF153D" w:rsidRPr="009A5F96" w:rsidRDefault="00CF153D" w:rsidP="00171716">
      <w:pPr>
        <w:pStyle w:val="BodyText"/>
      </w:pPr>
      <w:r w:rsidRPr="009A5F96">
        <w:t xml:space="preserve">Funding of $871.1 million over three years from 2022-23 </w:t>
      </w:r>
      <w:r w:rsidR="009F0429" w:rsidRPr="009A5F96">
        <w:t xml:space="preserve">was included in the Budget October 2022-23 </w:t>
      </w:r>
      <w:r w:rsidRPr="009A5F96">
        <w:t xml:space="preserve">for the SRSS. Funding for </w:t>
      </w:r>
      <w:r w:rsidR="004F3350" w:rsidRPr="009A5F96">
        <w:t>SPV</w:t>
      </w:r>
      <w:r w:rsidRPr="009A5F96">
        <w:t xml:space="preserve"> holders</w:t>
      </w:r>
      <w:r w:rsidR="00AF42DF" w:rsidRPr="009A5F96">
        <w:t xml:space="preserve"> would be provided from the SRSS</w:t>
      </w:r>
      <w:r w:rsidRPr="009A5F96">
        <w:t>.</w:t>
      </w:r>
    </w:p>
    <w:p w14:paraId="043B7C0A" w14:textId="77777777" w:rsidR="00CF153D" w:rsidRPr="009A5F96" w:rsidRDefault="00CF153D" w:rsidP="00CF153D">
      <w:pPr>
        <w:spacing w:after="0" w:line="240" w:lineRule="auto"/>
        <w:ind w:right="142"/>
        <w:textAlignment w:val="baseline"/>
        <w:rPr>
          <w:rFonts w:ascii="Times New Roman" w:hAnsi="Times New Roman" w:cs="Times New Roman"/>
          <w:sz w:val="24"/>
          <w:szCs w:val="24"/>
          <w:lang w:eastAsia="en-AU"/>
        </w:rPr>
      </w:pPr>
    </w:p>
    <w:p w14:paraId="791245C6" w14:textId="77777777"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t xml:space="preserve">Details of the Regulations are set out at </w:t>
      </w:r>
      <w:r w:rsidRPr="009A5F96">
        <w:rPr>
          <w:rFonts w:ascii="Times New Roman" w:hAnsi="Times New Roman" w:cs="Times New Roman"/>
          <w:sz w:val="24"/>
          <w:szCs w:val="24"/>
          <w:u w:val="single"/>
        </w:rPr>
        <w:t>Attachment A</w:t>
      </w:r>
      <w:r w:rsidRPr="009A5F96">
        <w:rPr>
          <w:rFonts w:ascii="Times New Roman" w:hAnsi="Times New Roman" w:cs="Times New Roman"/>
          <w:sz w:val="24"/>
          <w:szCs w:val="24"/>
        </w:rPr>
        <w:t xml:space="preserve">. A Statement of Compatibility with Human Rights is at </w:t>
      </w:r>
      <w:r w:rsidRPr="009A5F96">
        <w:rPr>
          <w:rFonts w:ascii="Times New Roman" w:hAnsi="Times New Roman" w:cs="Times New Roman"/>
          <w:sz w:val="24"/>
          <w:szCs w:val="24"/>
          <w:u w:val="single"/>
        </w:rPr>
        <w:t>Attachment B</w:t>
      </w:r>
      <w:r w:rsidRPr="009A5F96">
        <w:rPr>
          <w:rFonts w:ascii="Times New Roman" w:hAnsi="Times New Roman" w:cs="Times New Roman"/>
          <w:sz w:val="24"/>
          <w:szCs w:val="24"/>
        </w:rPr>
        <w:t>.</w:t>
      </w:r>
    </w:p>
    <w:p w14:paraId="4D0BBB55" w14:textId="77777777" w:rsidR="00CF153D" w:rsidRPr="009A5F96" w:rsidRDefault="00CF153D" w:rsidP="00CF153D">
      <w:pPr>
        <w:spacing w:after="0" w:line="240" w:lineRule="auto"/>
        <w:ind w:right="-46"/>
        <w:rPr>
          <w:rFonts w:ascii="Times New Roman" w:hAnsi="Times New Roman" w:cs="Times New Roman"/>
          <w:i/>
          <w:sz w:val="24"/>
          <w:szCs w:val="24"/>
        </w:rPr>
      </w:pPr>
    </w:p>
    <w:p w14:paraId="561E9633" w14:textId="77777777"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t xml:space="preserve">The Regulations are a legislative instrument for the purposes of the </w:t>
      </w:r>
      <w:r w:rsidRPr="009A5F96">
        <w:rPr>
          <w:rFonts w:ascii="Times New Roman" w:hAnsi="Times New Roman" w:cs="Times New Roman"/>
          <w:i/>
          <w:sz w:val="24"/>
          <w:szCs w:val="24"/>
        </w:rPr>
        <w:t>Legislation Act 2003</w:t>
      </w:r>
      <w:r w:rsidRPr="009A5F96">
        <w:rPr>
          <w:rFonts w:ascii="Times New Roman" w:hAnsi="Times New Roman" w:cs="Times New Roman"/>
          <w:sz w:val="24"/>
          <w:szCs w:val="24"/>
        </w:rPr>
        <w:t xml:space="preserve">. </w:t>
      </w:r>
    </w:p>
    <w:p w14:paraId="6E751910" w14:textId="77777777" w:rsidR="00CF153D" w:rsidRPr="009A5F96" w:rsidRDefault="00CF153D" w:rsidP="00CF153D">
      <w:pPr>
        <w:spacing w:after="0" w:line="240" w:lineRule="auto"/>
        <w:ind w:right="-46"/>
        <w:rPr>
          <w:rFonts w:ascii="Times New Roman" w:hAnsi="Times New Roman" w:cs="Times New Roman"/>
          <w:sz w:val="24"/>
          <w:szCs w:val="24"/>
        </w:rPr>
      </w:pPr>
    </w:p>
    <w:p w14:paraId="1D4F624A" w14:textId="77777777"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t>The Regulations commence on the day after registration on the Federal Register of Legislation.</w:t>
      </w:r>
    </w:p>
    <w:p w14:paraId="097A84E2" w14:textId="77777777" w:rsidR="00CF153D" w:rsidRPr="009A5F96" w:rsidRDefault="00CF153D" w:rsidP="00CF153D">
      <w:pPr>
        <w:spacing w:after="0" w:line="240" w:lineRule="auto"/>
        <w:ind w:right="-46"/>
        <w:rPr>
          <w:rFonts w:ascii="Times New Roman" w:hAnsi="Times New Roman" w:cs="Times New Roman"/>
          <w:sz w:val="24"/>
          <w:szCs w:val="24"/>
        </w:rPr>
      </w:pPr>
    </w:p>
    <w:p w14:paraId="3C4876F8" w14:textId="77777777" w:rsidR="00CF153D" w:rsidRPr="009A5F96" w:rsidRDefault="00CF153D" w:rsidP="00CF153D">
      <w:pPr>
        <w:spacing w:after="0" w:line="240" w:lineRule="auto"/>
        <w:rPr>
          <w:rFonts w:ascii="Times New Roman" w:hAnsi="Times New Roman" w:cs="Times New Roman"/>
          <w:b/>
          <w:bCs/>
          <w:sz w:val="24"/>
          <w:szCs w:val="24"/>
        </w:rPr>
      </w:pPr>
      <w:r w:rsidRPr="009A5F96">
        <w:rPr>
          <w:rFonts w:ascii="Times New Roman" w:hAnsi="Times New Roman" w:cs="Times New Roman"/>
          <w:b/>
          <w:bCs/>
          <w:sz w:val="24"/>
          <w:szCs w:val="24"/>
        </w:rPr>
        <w:t>Consultation</w:t>
      </w:r>
    </w:p>
    <w:p w14:paraId="4308C9A8" w14:textId="77777777" w:rsidR="00CF153D" w:rsidRPr="009A5F96" w:rsidRDefault="00CF153D" w:rsidP="00CF153D">
      <w:pPr>
        <w:spacing w:after="0" w:line="240" w:lineRule="auto"/>
        <w:rPr>
          <w:rFonts w:ascii="Times New Roman" w:hAnsi="Times New Roman" w:cs="Times New Roman"/>
          <w:b/>
          <w:bCs/>
          <w:sz w:val="24"/>
          <w:szCs w:val="24"/>
        </w:rPr>
      </w:pPr>
    </w:p>
    <w:p w14:paraId="432D0966" w14:textId="24426749"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 xml:space="preserve">In accordance with section 17 of the </w:t>
      </w:r>
      <w:r w:rsidRPr="009A5F96">
        <w:rPr>
          <w:rFonts w:ascii="Times New Roman" w:hAnsi="Times New Roman" w:cs="Times New Roman"/>
          <w:i/>
          <w:sz w:val="24"/>
          <w:szCs w:val="24"/>
        </w:rPr>
        <w:t>Legislation Act 2003</w:t>
      </w:r>
      <w:r w:rsidRPr="009A5F96">
        <w:rPr>
          <w:rFonts w:ascii="Times New Roman" w:hAnsi="Times New Roman" w:cs="Times New Roman"/>
          <w:sz w:val="24"/>
          <w:szCs w:val="24"/>
        </w:rPr>
        <w:t>, consultation has been undertaken with the Department of Home Affairs.</w:t>
      </w:r>
    </w:p>
    <w:p w14:paraId="31CE5FF4" w14:textId="77777777" w:rsidR="00CF153D" w:rsidRPr="009A5F96" w:rsidRDefault="00CF153D" w:rsidP="00CF153D">
      <w:pPr>
        <w:spacing w:after="0" w:line="240" w:lineRule="auto"/>
        <w:rPr>
          <w:rFonts w:ascii="Times New Roman" w:hAnsi="Times New Roman" w:cs="Times New Roman"/>
          <w:color w:val="000000" w:themeColor="text1"/>
          <w:sz w:val="24"/>
          <w:szCs w:val="24"/>
        </w:rPr>
      </w:pPr>
    </w:p>
    <w:p w14:paraId="5543DB92" w14:textId="77777777"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iCs/>
          <w:sz w:val="24"/>
          <w:szCs w:val="24"/>
        </w:rPr>
        <w:t>A regulation impact statement is not required as the Regulations only apply to non</w:t>
      </w:r>
      <w:r w:rsidRPr="009A5F96">
        <w:rPr>
          <w:rFonts w:ascii="Times New Roman" w:hAnsi="Times New Roman" w:cs="Times New Roman"/>
          <w:iCs/>
          <w:sz w:val="24"/>
          <w:szCs w:val="24"/>
        </w:rPr>
        <w:noBreakHyphen/>
        <w:t xml:space="preserve">corporate Commonwealth entities and do not adversely affect the private sector. </w:t>
      </w:r>
    </w:p>
    <w:p w14:paraId="274B5844" w14:textId="77777777" w:rsidR="00CF153D" w:rsidRPr="009A5F96" w:rsidRDefault="00CF153D" w:rsidP="00CF153D">
      <w:pPr>
        <w:spacing w:after="0" w:line="240" w:lineRule="auto"/>
        <w:rPr>
          <w:rFonts w:ascii="Times New Roman" w:hAnsi="Times New Roman" w:cs="Times New Roman"/>
          <w:sz w:val="24"/>
          <w:szCs w:val="24"/>
        </w:rPr>
      </w:pPr>
    </w:p>
    <w:p w14:paraId="1085F595"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sectPr w:rsidR="00CF153D" w:rsidRPr="009A5F96" w:rsidSect="009245B8">
          <w:headerReference w:type="default" r:id="rId12"/>
          <w:headerReference w:type="first" r:id="rId13"/>
          <w:pgSz w:w="11906" w:h="16838"/>
          <w:pgMar w:top="1418" w:right="1440" w:bottom="1332" w:left="1440" w:header="709" w:footer="709" w:gutter="0"/>
          <w:pgNumType w:start="1"/>
          <w:cols w:space="708"/>
          <w:titlePg/>
          <w:docGrid w:linePitch="360"/>
        </w:sectPr>
      </w:pPr>
    </w:p>
    <w:p w14:paraId="7E2B168A" w14:textId="77777777" w:rsidR="00CF153D" w:rsidRPr="009A5F96"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9A5F96">
        <w:rPr>
          <w:rFonts w:ascii="Times New Roman" w:hAnsi="Times New Roman" w:cs="Times New Roman"/>
          <w:b/>
          <w:bCs/>
          <w:color w:val="000000" w:themeColor="text1"/>
          <w:sz w:val="24"/>
          <w:szCs w:val="24"/>
          <w:u w:val="single"/>
        </w:rPr>
        <w:lastRenderedPageBreak/>
        <w:t xml:space="preserve">Details of the </w:t>
      </w:r>
      <w:r w:rsidRPr="009A5F96">
        <w:rPr>
          <w:rFonts w:ascii="Times New Roman" w:hAnsi="Times New Roman" w:cs="Times New Roman"/>
          <w:b/>
          <w:bCs/>
          <w:i/>
          <w:color w:val="000000" w:themeColor="text1"/>
          <w:sz w:val="24"/>
          <w:szCs w:val="24"/>
          <w:u w:val="single"/>
        </w:rPr>
        <w:t>Financial Framework (Supplementary Powers) Amendment (</w:t>
      </w:r>
      <w:r w:rsidRPr="009A5F96">
        <w:rPr>
          <w:rFonts w:ascii="Times New Roman" w:hAnsi="Times New Roman" w:cs="Times New Roman"/>
          <w:b/>
          <w:i/>
          <w:sz w:val="24"/>
          <w:szCs w:val="24"/>
          <w:u w:val="single"/>
        </w:rPr>
        <w:t>Home Affairs Measures No. 1)</w:t>
      </w:r>
      <w:r w:rsidRPr="009A5F96">
        <w:rPr>
          <w:rFonts w:ascii="Times New Roman" w:hAnsi="Times New Roman" w:cs="Times New Roman"/>
          <w:b/>
          <w:bCs/>
          <w:i/>
          <w:color w:val="000000" w:themeColor="text1"/>
          <w:sz w:val="24"/>
          <w:szCs w:val="24"/>
          <w:u w:val="single"/>
        </w:rPr>
        <w:t xml:space="preserve"> Regulations 2023</w:t>
      </w:r>
    </w:p>
    <w:p w14:paraId="560C9BED"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u w:val="single"/>
        </w:rPr>
      </w:pPr>
    </w:p>
    <w:p w14:paraId="3CC6AD3D" w14:textId="77777777" w:rsidR="00CF153D" w:rsidRPr="009A5F96" w:rsidRDefault="00CF153D" w:rsidP="00CF153D">
      <w:pPr>
        <w:spacing w:after="0" w:line="240" w:lineRule="auto"/>
        <w:contextualSpacing/>
        <w:rPr>
          <w:rFonts w:ascii="Times New Roman" w:hAnsi="Times New Roman" w:cs="Times New Roman"/>
          <w:b/>
          <w:color w:val="000000" w:themeColor="text1"/>
          <w:sz w:val="24"/>
          <w:szCs w:val="24"/>
        </w:rPr>
      </w:pPr>
      <w:r w:rsidRPr="009A5F96">
        <w:rPr>
          <w:rFonts w:ascii="Times New Roman" w:hAnsi="Times New Roman" w:cs="Times New Roman"/>
          <w:b/>
          <w:color w:val="000000" w:themeColor="text1"/>
          <w:sz w:val="24"/>
          <w:szCs w:val="24"/>
        </w:rPr>
        <w:t xml:space="preserve">Section 1 – Name </w:t>
      </w:r>
    </w:p>
    <w:p w14:paraId="2CF0C458"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p>
    <w:p w14:paraId="2BA92CE0"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This section provides that the title of the Regulations </w:t>
      </w:r>
      <w:r w:rsidRPr="009A5F96">
        <w:rPr>
          <w:rFonts w:ascii="Times New Roman" w:hAnsi="Times New Roman" w:cs="Times New Roman"/>
          <w:sz w:val="24"/>
          <w:szCs w:val="24"/>
        </w:rPr>
        <w:t>is</w:t>
      </w:r>
      <w:r w:rsidRPr="009A5F96">
        <w:rPr>
          <w:rFonts w:ascii="Times New Roman" w:hAnsi="Times New Roman" w:cs="Times New Roman"/>
          <w:color w:val="000000" w:themeColor="text1"/>
          <w:sz w:val="24"/>
          <w:szCs w:val="24"/>
        </w:rPr>
        <w:t xml:space="preserve"> the </w:t>
      </w:r>
      <w:r w:rsidRPr="009A5F96">
        <w:rPr>
          <w:rFonts w:ascii="Times New Roman" w:hAnsi="Times New Roman" w:cs="Times New Roman"/>
          <w:bCs/>
          <w:i/>
          <w:sz w:val="24"/>
          <w:szCs w:val="24"/>
        </w:rPr>
        <w:t>Financial Framework (Supplementary Powers) Amendment (</w:t>
      </w:r>
      <w:r w:rsidRPr="009A5F96">
        <w:rPr>
          <w:rFonts w:ascii="Times New Roman" w:hAnsi="Times New Roman" w:cs="Times New Roman"/>
          <w:i/>
          <w:sz w:val="24"/>
          <w:szCs w:val="24"/>
        </w:rPr>
        <w:t xml:space="preserve">Home Affairs </w:t>
      </w:r>
      <w:r w:rsidRPr="009A5F96">
        <w:rPr>
          <w:rFonts w:ascii="Times New Roman" w:hAnsi="Times New Roman" w:cs="Times New Roman"/>
          <w:bCs/>
          <w:i/>
          <w:sz w:val="24"/>
          <w:szCs w:val="24"/>
        </w:rPr>
        <w:t>Measures No. 1) Regulations 2023</w:t>
      </w:r>
      <w:r w:rsidRPr="009A5F96">
        <w:rPr>
          <w:rFonts w:ascii="Times New Roman" w:hAnsi="Times New Roman" w:cs="Times New Roman"/>
          <w:bCs/>
          <w:sz w:val="24"/>
          <w:szCs w:val="24"/>
        </w:rPr>
        <w:t>.</w:t>
      </w:r>
    </w:p>
    <w:p w14:paraId="142B5D1A" w14:textId="77777777" w:rsidR="00CF153D" w:rsidRPr="009A5F96" w:rsidRDefault="00CF153D" w:rsidP="00CF153D">
      <w:pPr>
        <w:spacing w:after="0" w:line="240" w:lineRule="auto"/>
        <w:rPr>
          <w:rFonts w:ascii="Times New Roman" w:hAnsi="Times New Roman" w:cs="Times New Roman"/>
          <w:sz w:val="24"/>
          <w:szCs w:val="24"/>
        </w:rPr>
      </w:pPr>
    </w:p>
    <w:p w14:paraId="5E9F6C1C" w14:textId="77777777" w:rsidR="00CF153D" w:rsidRPr="009A5F96" w:rsidRDefault="00CF153D" w:rsidP="00CF153D">
      <w:pPr>
        <w:spacing w:after="0" w:line="240" w:lineRule="auto"/>
        <w:contextualSpacing/>
        <w:rPr>
          <w:rFonts w:ascii="Times New Roman" w:hAnsi="Times New Roman" w:cs="Times New Roman"/>
          <w:b/>
          <w:color w:val="000000" w:themeColor="text1"/>
          <w:sz w:val="24"/>
          <w:szCs w:val="24"/>
        </w:rPr>
      </w:pPr>
      <w:r w:rsidRPr="009A5F96">
        <w:rPr>
          <w:rFonts w:ascii="Times New Roman" w:hAnsi="Times New Roman" w:cs="Times New Roman"/>
          <w:b/>
          <w:color w:val="000000" w:themeColor="text1"/>
          <w:sz w:val="24"/>
          <w:szCs w:val="24"/>
        </w:rPr>
        <w:t xml:space="preserve">Section 2 – Commencement </w:t>
      </w:r>
    </w:p>
    <w:p w14:paraId="25035AD2"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p>
    <w:p w14:paraId="0CBFEC4E"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39D920C9"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p>
    <w:p w14:paraId="59CB9E8D" w14:textId="77777777" w:rsidR="00CF153D" w:rsidRPr="009A5F96" w:rsidRDefault="00CF153D" w:rsidP="00CF153D">
      <w:pPr>
        <w:spacing w:after="0" w:line="240" w:lineRule="auto"/>
        <w:contextualSpacing/>
        <w:rPr>
          <w:rFonts w:ascii="Times New Roman" w:hAnsi="Times New Roman" w:cs="Times New Roman"/>
          <w:b/>
          <w:i/>
          <w:color w:val="000000" w:themeColor="text1"/>
          <w:sz w:val="24"/>
          <w:szCs w:val="24"/>
        </w:rPr>
      </w:pPr>
      <w:r w:rsidRPr="009A5F96">
        <w:rPr>
          <w:rFonts w:ascii="Times New Roman" w:hAnsi="Times New Roman" w:cs="Times New Roman"/>
          <w:b/>
          <w:color w:val="000000" w:themeColor="text1"/>
          <w:sz w:val="24"/>
          <w:szCs w:val="24"/>
        </w:rPr>
        <w:t>Section 3 – Authority</w:t>
      </w:r>
      <w:r w:rsidRPr="009A5F96">
        <w:rPr>
          <w:rFonts w:ascii="Times New Roman" w:hAnsi="Times New Roman" w:cs="Times New Roman"/>
          <w:b/>
          <w:i/>
          <w:color w:val="000000" w:themeColor="text1"/>
          <w:sz w:val="24"/>
          <w:szCs w:val="24"/>
        </w:rPr>
        <w:t xml:space="preserve"> </w:t>
      </w:r>
    </w:p>
    <w:p w14:paraId="738E77C3"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p>
    <w:p w14:paraId="3B956D4D"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This section provides that the Regulations are made under the </w:t>
      </w:r>
      <w:r w:rsidRPr="009A5F96">
        <w:rPr>
          <w:rFonts w:ascii="Times New Roman" w:hAnsi="Times New Roman" w:cs="Times New Roman"/>
          <w:i/>
          <w:color w:val="000000" w:themeColor="text1"/>
          <w:sz w:val="24"/>
          <w:szCs w:val="24"/>
        </w:rPr>
        <w:t xml:space="preserve">Financial </w:t>
      </w:r>
      <w:r w:rsidRPr="009A5F96">
        <w:rPr>
          <w:rFonts w:ascii="Times New Roman" w:hAnsi="Times New Roman" w:cs="Times New Roman"/>
          <w:bCs/>
          <w:i/>
          <w:sz w:val="24"/>
          <w:szCs w:val="24"/>
        </w:rPr>
        <w:t xml:space="preserve">Framework (Supplementary Powers) </w:t>
      </w:r>
      <w:r w:rsidRPr="009A5F96">
        <w:rPr>
          <w:rFonts w:ascii="Times New Roman" w:hAnsi="Times New Roman" w:cs="Times New Roman"/>
          <w:i/>
          <w:color w:val="000000" w:themeColor="text1"/>
          <w:sz w:val="24"/>
          <w:szCs w:val="24"/>
        </w:rPr>
        <w:t>Act 1997</w:t>
      </w:r>
      <w:r w:rsidRPr="009A5F96">
        <w:rPr>
          <w:rFonts w:ascii="Times New Roman" w:hAnsi="Times New Roman" w:cs="Times New Roman"/>
          <w:color w:val="000000" w:themeColor="text1"/>
          <w:sz w:val="24"/>
          <w:szCs w:val="24"/>
        </w:rPr>
        <w:t>.</w:t>
      </w:r>
    </w:p>
    <w:p w14:paraId="6E8EE761"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p>
    <w:p w14:paraId="7B4F6E38" w14:textId="77777777" w:rsidR="00CF153D" w:rsidRPr="009A5F96" w:rsidRDefault="00CF153D" w:rsidP="00CF153D">
      <w:pPr>
        <w:spacing w:after="0" w:line="240" w:lineRule="auto"/>
        <w:contextualSpacing/>
        <w:rPr>
          <w:rFonts w:ascii="Times New Roman" w:hAnsi="Times New Roman" w:cs="Times New Roman"/>
          <w:b/>
          <w:i/>
          <w:color w:val="000000" w:themeColor="text1"/>
          <w:sz w:val="24"/>
          <w:szCs w:val="24"/>
        </w:rPr>
      </w:pPr>
      <w:r w:rsidRPr="009A5F96">
        <w:rPr>
          <w:rFonts w:ascii="Times New Roman" w:hAnsi="Times New Roman" w:cs="Times New Roman"/>
          <w:b/>
          <w:color w:val="000000" w:themeColor="text1"/>
          <w:sz w:val="24"/>
          <w:szCs w:val="24"/>
        </w:rPr>
        <w:t>Section 4 – Schedules</w:t>
      </w:r>
      <w:r w:rsidRPr="009A5F96">
        <w:rPr>
          <w:rFonts w:ascii="Times New Roman" w:hAnsi="Times New Roman" w:cs="Times New Roman"/>
          <w:b/>
          <w:i/>
          <w:color w:val="000000" w:themeColor="text1"/>
          <w:sz w:val="24"/>
          <w:szCs w:val="24"/>
        </w:rPr>
        <w:t xml:space="preserve"> </w:t>
      </w:r>
    </w:p>
    <w:p w14:paraId="31444F75"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p>
    <w:p w14:paraId="24A911C0"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This section provides that the </w:t>
      </w:r>
      <w:r w:rsidRPr="009A5F96">
        <w:rPr>
          <w:rFonts w:ascii="Times New Roman" w:hAnsi="Times New Roman" w:cs="Times New Roman"/>
          <w:i/>
          <w:color w:val="000000" w:themeColor="text1"/>
          <w:sz w:val="24"/>
          <w:szCs w:val="24"/>
        </w:rPr>
        <w:t xml:space="preserve">Financial </w:t>
      </w:r>
      <w:r w:rsidRPr="009A5F96">
        <w:rPr>
          <w:rFonts w:ascii="Times New Roman" w:hAnsi="Times New Roman" w:cs="Times New Roman"/>
          <w:bCs/>
          <w:i/>
          <w:sz w:val="24"/>
          <w:szCs w:val="24"/>
        </w:rPr>
        <w:t xml:space="preserve">Framework (Supplementary Powers) </w:t>
      </w:r>
      <w:r w:rsidRPr="009A5F96">
        <w:rPr>
          <w:rFonts w:ascii="Times New Roman" w:hAnsi="Times New Roman" w:cs="Times New Roman"/>
          <w:i/>
          <w:color w:val="000000" w:themeColor="text1"/>
          <w:sz w:val="24"/>
          <w:szCs w:val="24"/>
        </w:rPr>
        <w:t>Regulations 1997</w:t>
      </w:r>
      <w:r w:rsidRPr="009A5F96">
        <w:rPr>
          <w:rFonts w:ascii="Times New Roman" w:hAnsi="Times New Roman" w:cs="Times New Roman"/>
          <w:color w:val="000000" w:themeColor="text1"/>
          <w:sz w:val="24"/>
          <w:szCs w:val="24"/>
        </w:rPr>
        <w:t xml:space="preserve"> are amended as set out in the Schedule to the Regulations.</w:t>
      </w:r>
    </w:p>
    <w:p w14:paraId="051AA8DA" w14:textId="77777777" w:rsidR="00CF153D" w:rsidRPr="009A5F96" w:rsidRDefault="00CF153D" w:rsidP="00CF153D">
      <w:pPr>
        <w:spacing w:after="0" w:line="240" w:lineRule="auto"/>
        <w:contextualSpacing/>
        <w:rPr>
          <w:rFonts w:ascii="Times New Roman" w:hAnsi="Times New Roman" w:cs="Times New Roman"/>
          <w:color w:val="000000" w:themeColor="text1"/>
          <w:sz w:val="24"/>
          <w:szCs w:val="24"/>
        </w:rPr>
      </w:pPr>
    </w:p>
    <w:p w14:paraId="6ACC6C37" w14:textId="77777777" w:rsidR="00CF153D" w:rsidRPr="009A5F96" w:rsidRDefault="00CF153D" w:rsidP="00CF153D">
      <w:pPr>
        <w:spacing w:after="0" w:line="240" w:lineRule="auto"/>
        <w:contextualSpacing/>
        <w:rPr>
          <w:rFonts w:ascii="Times New Roman" w:hAnsi="Times New Roman" w:cs="Times New Roman"/>
          <w:b/>
          <w:color w:val="000000" w:themeColor="text1"/>
          <w:sz w:val="24"/>
          <w:szCs w:val="24"/>
        </w:rPr>
      </w:pPr>
      <w:r w:rsidRPr="009A5F96">
        <w:rPr>
          <w:rFonts w:ascii="Times New Roman" w:hAnsi="Times New Roman" w:cs="Times New Roman"/>
          <w:b/>
          <w:color w:val="000000" w:themeColor="text1"/>
          <w:sz w:val="24"/>
          <w:szCs w:val="24"/>
        </w:rPr>
        <w:t>Schedule 1 – Amendments</w:t>
      </w:r>
    </w:p>
    <w:p w14:paraId="3F605C96" w14:textId="77777777" w:rsidR="00CF153D" w:rsidRPr="009A5F96" w:rsidRDefault="00CF153D" w:rsidP="00CF153D">
      <w:pPr>
        <w:spacing w:after="0" w:line="240" w:lineRule="auto"/>
        <w:contextualSpacing/>
        <w:rPr>
          <w:rFonts w:ascii="Times New Roman" w:hAnsi="Times New Roman" w:cs="Times New Roman"/>
          <w:b/>
          <w:color w:val="000000" w:themeColor="text1"/>
          <w:sz w:val="24"/>
          <w:szCs w:val="24"/>
        </w:rPr>
      </w:pPr>
    </w:p>
    <w:p w14:paraId="6ECCC1D4" w14:textId="77777777" w:rsidR="00CF153D" w:rsidRPr="009A5F96" w:rsidRDefault="00CF153D" w:rsidP="00CF153D">
      <w:pPr>
        <w:spacing w:after="0" w:line="240" w:lineRule="auto"/>
        <w:rPr>
          <w:rFonts w:ascii="Times New Roman" w:hAnsi="Times New Roman" w:cs="Times New Roman"/>
          <w:b/>
          <w:i/>
          <w:color w:val="000000" w:themeColor="text1"/>
          <w:sz w:val="24"/>
          <w:szCs w:val="24"/>
        </w:rPr>
      </w:pPr>
      <w:r w:rsidRPr="009A5F96">
        <w:rPr>
          <w:rFonts w:ascii="Times New Roman" w:hAnsi="Times New Roman" w:cs="Times New Roman"/>
          <w:b/>
          <w:i/>
          <w:color w:val="000000" w:themeColor="text1"/>
          <w:sz w:val="24"/>
          <w:szCs w:val="24"/>
        </w:rPr>
        <w:t>Financial Framework (Supplementary Powers) Regulations 1997</w:t>
      </w:r>
    </w:p>
    <w:p w14:paraId="4034CBF7" w14:textId="77777777" w:rsidR="00CF153D" w:rsidRPr="009A5F96" w:rsidRDefault="00CF153D" w:rsidP="00CF153D">
      <w:pPr>
        <w:spacing w:after="0" w:line="240" w:lineRule="auto"/>
        <w:rPr>
          <w:rFonts w:ascii="Times New Roman" w:hAnsi="Times New Roman" w:cs="Times New Roman"/>
          <w:b/>
          <w:i/>
          <w:color w:val="000000" w:themeColor="text1"/>
          <w:sz w:val="24"/>
          <w:szCs w:val="24"/>
        </w:rPr>
      </w:pPr>
    </w:p>
    <w:p w14:paraId="44819693" w14:textId="77777777" w:rsidR="00CF153D" w:rsidRPr="009A5F96" w:rsidRDefault="00CF153D" w:rsidP="00CF153D">
      <w:pPr>
        <w:spacing w:after="0" w:line="240" w:lineRule="auto"/>
        <w:rPr>
          <w:rFonts w:ascii="Times New Roman" w:hAnsi="Times New Roman" w:cs="Times New Roman"/>
          <w:b/>
          <w:color w:val="000000" w:themeColor="text1"/>
          <w:sz w:val="24"/>
          <w:szCs w:val="24"/>
        </w:rPr>
      </w:pPr>
      <w:r w:rsidRPr="009A5F96">
        <w:rPr>
          <w:rFonts w:ascii="Times New Roman" w:hAnsi="Times New Roman" w:cs="Times New Roman"/>
          <w:b/>
          <w:color w:val="000000" w:themeColor="text1"/>
          <w:sz w:val="24"/>
          <w:szCs w:val="24"/>
        </w:rPr>
        <w:t>Item 1 – In the appropriate position in Part 4 of Schedule 1AB (table)</w:t>
      </w:r>
    </w:p>
    <w:p w14:paraId="3A7A690F" w14:textId="77777777" w:rsidR="00CF153D" w:rsidRPr="009A5F96" w:rsidRDefault="00CF153D" w:rsidP="00CF153D">
      <w:pPr>
        <w:spacing w:after="0" w:line="240" w:lineRule="auto"/>
        <w:rPr>
          <w:rFonts w:ascii="Times New Roman" w:hAnsi="Times New Roman" w:cs="Times New Roman"/>
          <w:b/>
          <w:color w:val="000000" w:themeColor="text1"/>
          <w:sz w:val="24"/>
          <w:szCs w:val="24"/>
        </w:rPr>
      </w:pPr>
    </w:p>
    <w:p w14:paraId="051D2E42" w14:textId="5B43DF66" w:rsidR="00CF153D" w:rsidRPr="009A5F96" w:rsidRDefault="00CF153D" w:rsidP="00CF153D">
      <w:pPr>
        <w:spacing w:after="0" w:line="240" w:lineRule="auto"/>
        <w:ind w:right="-46"/>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This item adds a new table item to Part 4 of Schedule 1AB to establish legislative authority for government spending on an activity administered by the </w:t>
      </w:r>
      <w:r w:rsidRPr="009A5F96">
        <w:rPr>
          <w:rFonts w:ascii="Times New Roman" w:hAnsi="Times New Roman" w:cs="Times New Roman"/>
          <w:iCs/>
          <w:color w:val="000000" w:themeColor="text1"/>
          <w:sz w:val="24"/>
          <w:szCs w:val="24"/>
        </w:rPr>
        <w:t>Department of Home Affairs</w:t>
      </w:r>
      <w:r w:rsidRPr="009A5F96">
        <w:rPr>
          <w:rFonts w:ascii="Times New Roman" w:hAnsi="Times New Roman" w:cs="Times New Roman"/>
          <w:color w:val="000000" w:themeColor="text1"/>
          <w:sz w:val="24"/>
          <w:szCs w:val="24"/>
        </w:rPr>
        <w:t xml:space="preserve"> (the department).</w:t>
      </w:r>
    </w:p>
    <w:p w14:paraId="4B844A3B" w14:textId="77777777" w:rsidR="00CF153D" w:rsidRPr="009A5F96" w:rsidRDefault="00CF153D" w:rsidP="00CF153D">
      <w:pPr>
        <w:spacing w:after="0" w:line="240" w:lineRule="auto"/>
        <w:ind w:right="-46"/>
        <w:rPr>
          <w:rFonts w:ascii="Times New Roman" w:hAnsi="Times New Roman" w:cs="Times New Roman"/>
          <w:color w:val="000000" w:themeColor="text1"/>
          <w:sz w:val="24"/>
          <w:szCs w:val="24"/>
        </w:rPr>
      </w:pPr>
    </w:p>
    <w:p w14:paraId="2D209260" w14:textId="2AB16434" w:rsidR="00CF153D" w:rsidRPr="009A5F96" w:rsidRDefault="00CF153D" w:rsidP="00CF153D">
      <w:pPr>
        <w:spacing w:after="0" w:line="240" w:lineRule="auto"/>
        <w:ind w:right="-46"/>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New </w:t>
      </w:r>
      <w:r w:rsidRPr="009A5F96">
        <w:rPr>
          <w:rFonts w:ascii="Times New Roman" w:hAnsi="Times New Roman" w:cs="Times New Roman"/>
          <w:b/>
          <w:color w:val="000000" w:themeColor="text1"/>
          <w:sz w:val="24"/>
          <w:szCs w:val="24"/>
        </w:rPr>
        <w:t xml:space="preserve">table item </w:t>
      </w:r>
      <w:r w:rsidR="00480ED7" w:rsidRPr="009A5F96">
        <w:rPr>
          <w:rFonts w:ascii="Times New Roman" w:hAnsi="Times New Roman" w:cs="Times New Roman"/>
          <w:b/>
          <w:color w:val="000000" w:themeColor="text1"/>
          <w:sz w:val="24"/>
          <w:szCs w:val="24"/>
        </w:rPr>
        <w:t>588</w:t>
      </w:r>
      <w:r w:rsidRPr="009A5F96">
        <w:rPr>
          <w:rFonts w:ascii="Times New Roman" w:hAnsi="Times New Roman" w:cs="Times New Roman"/>
          <w:color w:val="000000" w:themeColor="text1"/>
          <w:sz w:val="24"/>
          <w:szCs w:val="24"/>
        </w:rPr>
        <w:t xml:space="preserve"> establishes legislative authority </w:t>
      </w:r>
      <w:r w:rsidRPr="009A5F96">
        <w:rPr>
          <w:rFonts w:ascii="Times New Roman" w:hAnsi="Times New Roman" w:cs="Times New Roman"/>
          <w:iCs/>
          <w:sz w:val="24"/>
          <w:szCs w:val="24"/>
        </w:rPr>
        <w:t xml:space="preserve">for government spending </w:t>
      </w:r>
      <w:r w:rsidRPr="009A5F96">
        <w:rPr>
          <w:rFonts w:ascii="Times New Roman" w:hAnsi="Times New Roman" w:cs="Times New Roman"/>
          <w:sz w:val="24"/>
          <w:szCs w:val="24"/>
        </w:rPr>
        <w:t xml:space="preserve">to extend </w:t>
      </w:r>
      <w:r w:rsidRPr="009A5F96">
        <w:rPr>
          <w:rFonts w:ascii="Times New Roman" w:hAnsi="Times New Roman" w:cs="Times New Roman"/>
          <w:sz w:val="24"/>
          <w:szCs w:val="24"/>
          <w:lang w:val="en-US"/>
        </w:rPr>
        <w:t>the Status Resolution and Support Services (SRSS) program for special purpose visa holders</w:t>
      </w:r>
      <w:r w:rsidRPr="009A5F96">
        <w:rPr>
          <w:rFonts w:ascii="Times New Roman" w:hAnsi="Times New Roman" w:cs="Times New Roman"/>
          <w:color w:val="000000" w:themeColor="text1"/>
          <w:sz w:val="24"/>
          <w:szCs w:val="24"/>
        </w:rPr>
        <w:t xml:space="preserve">. </w:t>
      </w:r>
    </w:p>
    <w:p w14:paraId="559C37A7" w14:textId="599DE738"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The SRSS program is an existing program (legislated under table item 187 to Part 4 of Schedule 1AB) that commenced on 1 January 2015 and provid</w:t>
      </w:r>
      <w:r w:rsidR="00006C65" w:rsidRPr="009A5F96">
        <w:rPr>
          <w:rFonts w:ascii="Times New Roman" w:hAnsi="Times New Roman" w:cs="Times New Roman"/>
          <w:iCs/>
          <w:sz w:val="24"/>
          <w:szCs w:val="24"/>
          <w:lang w:val="en-US"/>
        </w:rPr>
        <w:t>e</w:t>
      </w:r>
      <w:r w:rsidR="00EF3D7D" w:rsidRPr="009A5F96">
        <w:rPr>
          <w:rFonts w:ascii="Times New Roman" w:hAnsi="Times New Roman" w:cs="Times New Roman"/>
          <w:iCs/>
          <w:sz w:val="24"/>
          <w:szCs w:val="24"/>
          <w:lang w:val="en-US"/>
        </w:rPr>
        <w:t>s</w:t>
      </w:r>
      <w:r w:rsidRPr="009A5F96">
        <w:rPr>
          <w:rFonts w:ascii="Times New Roman" w:hAnsi="Times New Roman" w:cs="Times New Roman"/>
          <w:iCs/>
          <w:sz w:val="24"/>
          <w:szCs w:val="24"/>
          <w:lang w:val="en-US"/>
        </w:rPr>
        <w:t xml:space="preserve"> targeted support to eligible individuals while they resolve their immigration status. </w:t>
      </w:r>
    </w:p>
    <w:p w14:paraId="650FE625" w14:textId="77777777" w:rsidR="00CF153D" w:rsidRPr="009A5F96" w:rsidRDefault="00CF153D" w:rsidP="00CF153D">
      <w:pPr>
        <w:spacing w:after="0" w:line="240" w:lineRule="auto"/>
        <w:rPr>
          <w:rFonts w:ascii="Times New Roman" w:hAnsi="Times New Roman" w:cs="Times New Roman"/>
          <w:sz w:val="24"/>
          <w:szCs w:val="24"/>
          <w:lang w:val="en-US"/>
        </w:rPr>
      </w:pPr>
    </w:p>
    <w:p w14:paraId="2DFD0989" w14:textId="0BD6C418"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On 11 February 2020, the High Court</w:t>
      </w:r>
      <w:r w:rsidR="00EF3D7D" w:rsidRPr="009A5F96">
        <w:rPr>
          <w:rFonts w:ascii="Times New Roman" w:hAnsi="Times New Roman" w:cs="Times New Roman"/>
          <w:iCs/>
          <w:sz w:val="24"/>
          <w:szCs w:val="24"/>
          <w:lang w:val="en-US"/>
        </w:rPr>
        <w:t xml:space="preserve"> handed down a</w:t>
      </w:r>
      <w:r w:rsidRPr="009A5F96">
        <w:rPr>
          <w:rFonts w:ascii="Times New Roman" w:hAnsi="Times New Roman" w:cs="Times New Roman"/>
          <w:iCs/>
          <w:sz w:val="24"/>
          <w:szCs w:val="24"/>
          <w:lang w:val="en-US"/>
        </w:rPr>
        <w:t xml:space="preserve"> decision in </w:t>
      </w:r>
      <w:r w:rsidRPr="009A5F96">
        <w:rPr>
          <w:rFonts w:ascii="Times New Roman" w:hAnsi="Times New Roman" w:cs="Times New Roman"/>
          <w:i/>
          <w:iCs/>
          <w:sz w:val="24"/>
          <w:szCs w:val="24"/>
          <w:lang w:val="en-US"/>
        </w:rPr>
        <w:t xml:space="preserve">Love v Commonwealth; </w:t>
      </w:r>
      <w:proofErr w:type="spellStart"/>
      <w:r w:rsidRPr="009A5F96">
        <w:rPr>
          <w:rFonts w:ascii="Times New Roman" w:hAnsi="Times New Roman" w:cs="Times New Roman"/>
          <w:i/>
          <w:iCs/>
          <w:sz w:val="24"/>
          <w:szCs w:val="24"/>
          <w:lang w:val="en-US"/>
        </w:rPr>
        <w:t>Thoms</w:t>
      </w:r>
      <w:proofErr w:type="spellEnd"/>
      <w:r w:rsidRPr="009A5F96">
        <w:rPr>
          <w:rFonts w:ascii="Times New Roman" w:hAnsi="Times New Roman" w:cs="Times New Roman"/>
          <w:i/>
          <w:iCs/>
          <w:sz w:val="24"/>
          <w:szCs w:val="24"/>
          <w:lang w:val="en-US"/>
        </w:rPr>
        <w:t xml:space="preserve"> v Commonwealth</w:t>
      </w:r>
      <w:r w:rsidRPr="009A5F96">
        <w:rPr>
          <w:rFonts w:ascii="Times New Roman" w:hAnsi="Times New Roman" w:cs="Times New Roman"/>
          <w:iCs/>
          <w:sz w:val="24"/>
          <w:szCs w:val="24"/>
          <w:lang w:val="en-US"/>
        </w:rPr>
        <w:t xml:space="preserve"> (2020) 270 CLR 152 (</w:t>
      </w:r>
      <w:r w:rsidRPr="009A5F96">
        <w:rPr>
          <w:rFonts w:ascii="Times New Roman" w:hAnsi="Times New Roman" w:cs="Times New Roman"/>
          <w:i/>
          <w:iCs/>
          <w:sz w:val="24"/>
          <w:szCs w:val="24"/>
          <w:lang w:val="en-US"/>
        </w:rPr>
        <w:t xml:space="preserve">Love </w:t>
      </w:r>
      <w:r w:rsidRPr="009A5F96">
        <w:rPr>
          <w:rFonts w:ascii="Times New Roman" w:hAnsi="Times New Roman" w:cs="Times New Roman"/>
          <w:iCs/>
          <w:sz w:val="24"/>
          <w:szCs w:val="24"/>
          <w:lang w:val="en-US"/>
        </w:rPr>
        <w:t>and</w:t>
      </w:r>
      <w:r w:rsidRPr="009A5F96">
        <w:rPr>
          <w:rFonts w:ascii="Times New Roman" w:hAnsi="Times New Roman" w:cs="Times New Roman"/>
          <w:i/>
          <w:iCs/>
          <w:sz w:val="24"/>
          <w:szCs w:val="24"/>
          <w:lang w:val="en-US"/>
        </w:rPr>
        <w:t xml:space="preserve"> </w:t>
      </w:r>
      <w:proofErr w:type="spellStart"/>
      <w:r w:rsidRPr="009A5F96">
        <w:rPr>
          <w:rFonts w:ascii="Times New Roman" w:hAnsi="Times New Roman" w:cs="Times New Roman"/>
          <w:i/>
          <w:iCs/>
          <w:sz w:val="24"/>
          <w:szCs w:val="24"/>
          <w:lang w:val="en-US"/>
        </w:rPr>
        <w:t>Thoms</w:t>
      </w:r>
      <w:proofErr w:type="spellEnd"/>
      <w:r w:rsidRPr="009A5F96">
        <w:rPr>
          <w:rFonts w:ascii="Times New Roman" w:hAnsi="Times New Roman" w:cs="Times New Roman"/>
          <w:iCs/>
          <w:sz w:val="24"/>
          <w:szCs w:val="24"/>
          <w:lang w:val="en-US"/>
        </w:rPr>
        <w:t>) with regards to persons who are not Australian citizens and who claim to be an Aboriginal or Torres Strait Islander person (t</w:t>
      </w:r>
      <w:r w:rsidRPr="009A5F96">
        <w:rPr>
          <w:rFonts w:ascii="Times New Roman" w:hAnsi="Times New Roman" w:cs="Times New Roman"/>
          <w:iCs/>
          <w:sz w:val="24"/>
          <w:szCs w:val="24"/>
        </w:rPr>
        <w:t xml:space="preserve">he </w:t>
      </w:r>
      <w:r w:rsidRPr="009A5F96">
        <w:rPr>
          <w:rFonts w:ascii="Times New Roman" w:hAnsi="Times New Roman" w:cs="Times New Roman"/>
          <w:i/>
          <w:iCs/>
          <w:sz w:val="24"/>
          <w:szCs w:val="24"/>
        </w:rPr>
        <w:t>Love</w:t>
      </w:r>
      <w:r w:rsidRPr="009A5F96">
        <w:rPr>
          <w:rFonts w:ascii="Times New Roman" w:hAnsi="Times New Roman" w:cs="Times New Roman"/>
          <w:iCs/>
          <w:sz w:val="24"/>
          <w:szCs w:val="24"/>
        </w:rPr>
        <w:t xml:space="preserve"> and </w:t>
      </w:r>
      <w:proofErr w:type="spellStart"/>
      <w:r w:rsidRPr="009A5F96">
        <w:rPr>
          <w:rFonts w:ascii="Times New Roman" w:hAnsi="Times New Roman" w:cs="Times New Roman"/>
          <w:i/>
          <w:iCs/>
          <w:sz w:val="24"/>
          <w:szCs w:val="24"/>
        </w:rPr>
        <w:t>Thoms</w:t>
      </w:r>
      <w:proofErr w:type="spellEnd"/>
      <w:r w:rsidRPr="009A5F96">
        <w:rPr>
          <w:rFonts w:ascii="Times New Roman" w:hAnsi="Times New Roman" w:cs="Times New Roman"/>
          <w:iCs/>
          <w:sz w:val="24"/>
          <w:szCs w:val="24"/>
        </w:rPr>
        <w:t xml:space="preserve"> cohort).</w:t>
      </w:r>
      <w:r w:rsidRPr="009A5F96">
        <w:rPr>
          <w:rFonts w:ascii="Times New Roman" w:eastAsia="Times New Roman" w:hAnsi="Times New Roman" w:cs="Times New Roman"/>
          <w:snapToGrid w:val="0"/>
          <w:sz w:val="24"/>
          <w:szCs w:val="24"/>
          <w:lang w:val="en-US"/>
        </w:rPr>
        <w:t xml:space="preserve"> </w:t>
      </w:r>
      <w:r w:rsidR="00930753" w:rsidRPr="009A5F96">
        <w:rPr>
          <w:rFonts w:ascii="Times New Roman" w:hAnsi="Times New Roman"/>
          <w:sz w:val="24"/>
        </w:rPr>
        <w:t xml:space="preserve">A majority of the High Court held that an Aboriginal person who meets the ‘tripartite test’ adopted in </w:t>
      </w:r>
      <w:r w:rsidR="00930753" w:rsidRPr="009A5F96">
        <w:rPr>
          <w:rFonts w:ascii="Times New Roman" w:hAnsi="Times New Roman"/>
          <w:i/>
          <w:sz w:val="24"/>
        </w:rPr>
        <w:t>Mabo v Queensland (No. 2)</w:t>
      </w:r>
      <w:r w:rsidR="00930753" w:rsidRPr="009A5F96">
        <w:rPr>
          <w:rFonts w:ascii="Times New Roman" w:hAnsi="Times New Roman"/>
          <w:sz w:val="24"/>
        </w:rPr>
        <w:t xml:space="preserve"> (1992) 175 CLR 1 at 70</w:t>
      </w:r>
      <w:r w:rsidR="00930753" w:rsidRPr="009A5F96">
        <w:rPr>
          <w:rFonts w:ascii="Times New Roman" w:hAnsi="Times New Roman"/>
          <w:sz w:val="24"/>
          <w:vertAlign w:val="superscript"/>
        </w:rPr>
        <w:t xml:space="preserve"> </w:t>
      </w:r>
      <w:r w:rsidR="00930753" w:rsidRPr="009A5F96">
        <w:rPr>
          <w:rFonts w:ascii="Times New Roman" w:hAnsi="Times New Roman"/>
          <w:sz w:val="24"/>
        </w:rPr>
        <w:t>(</w:t>
      </w:r>
      <w:r w:rsidR="00930753" w:rsidRPr="009A5F96">
        <w:rPr>
          <w:rFonts w:ascii="Times New Roman" w:hAnsi="Times New Roman"/>
          <w:i/>
          <w:sz w:val="24"/>
        </w:rPr>
        <w:t>Mabo (No 2)</w:t>
      </w:r>
      <w:r w:rsidR="00930753" w:rsidRPr="009A5F96">
        <w:rPr>
          <w:rFonts w:ascii="Times New Roman" w:hAnsi="Times New Roman"/>
          <w:sz w:val="24"/>
        </w:rPr>
        <w:t>) is not an ‘alien’ for the purposes of s</w:t>
      </w:r>
      <w:r w:rsidR="00E4044E" w:rsidRPr="009A5F96">
        <w:rPr>
          <w:rFonts w:ascii="Times New Roman" w:hAnsi="Times New Roman"/>
          <w:sz w:val="24"/>
        </w:rPr>
        <w:t>ection</w:t>
      </w:r>
      <w:r w:rsidR="00930753" w:rsidRPr="009A5F96">
        <w:rPr>
          <w:rFonts w:ascii="Times New Roman" w:hAnsi="Times New Roman"/>
          <w:sz w:val="24"/>
        </w:rPr>
        <w:t xml:space="preserve"> 51(xix) of the Constitution, even if they are a non-citizen. The primary consequence of the Court’s decision is that a non-citizen non-alien cannot be detained or removed from Australia under the </w:t>
      </w:r>
      <w:r w:rsidR="00930753" w:rsidRPr="009A5F96">
        <w:rPr>
          <w:rFonts w:ascii="Times New Roman" w:hAnsi="Times New Roman"/>
          <w:i/>
          <w:sz w:val="24"/>
        </w:rPr>
        <w:t xml:space="preserve">Migration Act 1958 </w:t>
      </w:r>
      <w:r w:rsidR="00930753" w:rsidRPr="009A5F96">
        <w:rPr>
          <w:rFonts w:ascii="Times New Roman" w:hAnsi="Times New Roman"/>
          <w:sz w:val="24"/>
        </w:rPr>
        <w:t>(‘the</w:t>
      </w:r>
      <w:r w:rsidR="00BA1507" w:rsidRPr="009A5F96">
        <w:rPr>
          <w:rFonts w:ascii="Times New Roman" w:hAnsi="Times New Roman"/>
          <w:sz w:val="24"/>
        </w:rPr>
        <w:t> </w:t>
      </w:r>
      <w:r w:rsidR="00930753" w:rsidRPr="009A5F96">
        <w:rPr>
          <w:rFonts w:ascii="Times New Roman" w:hAnsi="Times New Roman"/>
          <w:sz w:val="24"/>
        </w:rPr>
        <w:t xml:space="preserve">Act’). </w:t>
      </w:r>
    </w:p>
    <w:p w14:paraId="5F639C6B" w14:textId="77777777" w:rsidR="00CF153D" w:rsidRPr="009A5F96" w:rsidRDefault="00CF153D" w:rsidP="00CF153D">
      <w:pPr>
        <w:spacing w:after="0" w:line="240" w:lineRule="auto"/>
        <w:rPr>
          <w:rFonts w:ascii="Times New Roman" w:hAnsi="Times New Roman" w:cs="Times New Roman"/>
          <w:iCs/>
          <w:sz w:val="24"/>
          <w:szCs w:val="24"/>
        </w:rPr>
      </w:pPr>
    </w:p>
    <w:p w14:paraId="0B7491F0" w14:textId="7EFE92E1" w:rsidR="00CF153D" w:rsidRPr="009A5F96" w:rsidRDefault="00CF153D" w:rsidP="00CF153D">
      <w:pPr>
        <w:spacing w:after="0" w:line="240" w:lineRule="auto"/>
        <w:rPr>
          <w:rFonts w:ascii="Times New Roman" w:hAnsi="Times New Roman" w:cs="Times New Roman"/>
          <w:iCs/>
          <w:sz w:val="24"/>
          <w:szCs w:val="24"/>
        </w:rPr>
      </w:pPr>
      <w:r w:rsidRPr="009A5F96">
        <w:rPr>
          <w:rFonts w:ascii="Times New Roman" w:hAnsi="Times New Roman" w:cs="Times New Roman"/>
          <w:iCs/>
          <w:sz w:val="24"/>
          <w:szCs w:val="24"/>
          <w:lang w:val="en-US"/>
        </w:rPr>
        <w:lastRenderedPageBreak/>
        <w:t>As this category of persons is not reflected in any Commonwealth legislation, those affected by the decision who are not Australian citizens and are living in the Australian community with no immigration status have been granted a special purpose visa (SPV).</w:t>
      </w:r>
    </w:p>
    <w:p w14:paraId="120F483B" w14:textId="77777777" w:rsidR="00CF153D" w:rsidRPr="009A5F96" w:rsidRDefault="00CF153D" w:rsidP="00CF153D">
      <w:pPr>
        <w:spacing w:after="0" w:line="240" w:lineRule="auto"/>
        <w:rPr>
          <w:rFonts w:ascii="Times New Roman" w:hAnsi="Times New Roman" w:cs="Times New Roman"/>
          <w:iCs/>
          <w:sz w:val="24"/>
          <w:szCs w:val="24"/>
        </w:rPr>
      </w:pPr>
    </w:p>
    <w:p w14:paraId="6F52C111" w14:textId="3A642DE3"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The SPV is a temporary visa</w:t>
      </w:r>
      <w:r w:rsidR="00020141" w:rsidRPr="009A5F96">
        <w:rPr>
          <w:rFonts w:ascii="Times New Roman" w:hAnsi="Times New Roman" w:cs="Times New Roman"/>
          <w:iCs/>
          <w:sz w:val="24"/>
          <w:szCs w:val="24"/>
          <w:lang w:val="en-US"/>
        </w:rPr>
        <w:t xml:space="preserve">, </w:t>
      </w:r>
      <w:r w:rsidRPr="009A5F96">
        <w:rPr>
          <w:rFonts w:ascii="Times New Roman" w:hAnsi="Times New Roman" w:cs="Times New Roman"/>
          <w:iCs/>
          <w:sz w:val="24"/>
          <w:szCs w:val="24"/>
          <w:lang w:val="en-US"/>
        </w:rPr>
        <w:t>granted by operation of law where</w:t>
      </w:r>
      <w:r w:rsidR="00006C65" w:rsidRPr="009A5F96">
        <w:rPr>
          <w:rFonts w:ascii="Times New Roman" w:hAnsi="Times New Roman" w:cs="Times New Roman"/>
          <w:iCs/>
          <w:sz w:val="24"/>
          <w:szCs w:val="24"/>
          <w:lang w:val="en-US"/>
        </w:rPr>
        <w:t>, for example,</w:t>
      </w:r>
      <w:r w:rsidRPr="009A5F96">
        <w:rPr>
          <w:rFonts w:ascii="Times New Roman" w:hAnsi="Times New Roman" w:cs="Times New Roman"/>
          <w:iCs/>
          <w:sz w:val="24"/>
          <w:szCs w:val="24"/>
          <w:lang w:val="en-US"/>
        </w:rPr>
        <w:t xml:space="preserve"> the Minister for Immigration, Citizenship and Multicultural Affairs (the Minister) declare</w:t>
      </w:r>
      <w:r w:rsidR="00006C65" w:rsidRPr="009A5F96">
        <w:rPr>
          <w:rFonts w:ascii="Times New Roman" w:hAnsi="Times New Roman" w:cs="Times New Roman"/>
          <w:iCs/>
          <w:sz w:val="24"/>
          <w:szCs w:val="24"/>
          <w:lang w:val="en-US"/>
        </w:rPr>
        <w:t>s, in writing,</w:t>
      </w:r>
      <w:r w:rsidRPr="009A5F96">
        <w:rPr>
          <w:rFonts w:ascii="Times New Roman" w:hAnsi="Times New Roman" w:cs="Times New Roman"/>
          <w:iCs/>
          <w:sz w:val="24"/>
          <w:szCs w:val="24"/>
          <w:lang w:val="en-US"/>
        </w:rPr>
        <w:t xml:space="preserve"> </w:t>
      </w:r>
      <w:r w:rsidR="00006C65" w:rsidRPr="009A5F96">
        <w:rPr>
          <w:rFonts w:ascii="Times New Roman" w:hAnsi="Times New Roman" w:cs="Times New Roman"/>
          <w:iCs/>
          <w:sz w:val="24"/>
          <w:szCs w:val="24"/>
          <w:lang w:val="en-US"/>
        </w:rPr>
        <w:t xml:space="preserve">that </w:t>
      </w:r>
      <w:r w:rsidRPr="009A5F96">
        <w:rPr>
          <w:rFonts w:ascii="Times New Roman" w:hAnsi="Times New Roman" w:cs="Times New Roman"/>
          <w:iCs/>
          <w:sz w:val="24"/>
          <w:szCs w:val="24"/>
          <w:lang w:val="en-US"/>
        </w:rPr>
        <w:t xml:space="preserve">a </w:t>
      </w:r>
      <w:r w:rsidR="00006C65" w:rsidRPr="009A5F96">
        <w:rPr>
          <w:rFonts w:ascii="Times New Roman" w:hAnsi="Times New Roman" w:cs="Times New Roman"/>
          <w:iCs/>
          <w:sz w:val="24"/>
          <w:szCs w:val="24"/>
          <w:lang w:val="en-US"/>
        </w:rPr>
        <w:t>non-citizen is taken to have been granted a</w:t>
      </w:r>
      <w:r w:rsidR="00930753" w:rsidRPr="009A5F96">
        <w:rPr>
          <w:rFonts w:ascii="Times New Roman" w:hAnsi="Times New Roman" w:cs="Times New Roman"/>
          <w:iCs/>
          <w:sz w:val="24"/>
          <w:szCs w:val="24"/>
          <w:lang w:val="en-US"/>
        </w:rPr>
        <w:t>n SPV</w:t>
      </w:r>
      <w:r w:rsidRPr="009A5F96">
        <w:rPr>
          <w:rFonts w:ascii="Times New Roman" w:hAnsi="Times New Roman" w:cs="Times New Roman"/>
          <w:iCs/>
          <w:sz w:val="24"/>
          <w:szCs w:val="24"/>
          <w:lang w:val="en-US"/>
        </w:rPr>
        <w:t xml:space="preserve">. The SPV </w:t>
      </w:r>
      <w:r w:rsidR="00930753" w:rsidRPr="009A5F96">
        <w:rPr>
          <w:rFonts w:ascii="Times New Roman" w:hAnsi="Times New Roman" w:cs="Times New Roman"/>
          <w:iCs/>
          <w:sz w:val="24"/>
          <w:szCs w:val="24"/>
          <w:lang w:val="en-US"/>
        </w:rPr>
        <w:t xml:space="preserve">is not subject to any visa </w:t>
      </w:r>
      <w:r w:rsidRPr="009A5F96">
        <w:rPr>
          <w:rFonts w:ascii="Times New Roman" w:hAnsi="Times New Roman" w:cs="Times New Roman"/>
          <w:iCs/>
          <w:sz w:val="24"/>
          <w:szCs w:val="24"/>
          <w:lang w:val="en-US"/>
        </w:rPr>
        <w:t>conditions</w:t>
      </w:r>
      <w:r w:rsidR="000416BD" w:rsidRPr="009A5F96">
        <w:rPr>
          <w:rFonts w:ascii="Times New Roman" w:hAnsi="Times New Roman" w:cs="Times New Roman"/>
          <w:iCs/>
          <w:sz w:val="24"/>
          <w:szCs w:val="24"/>
          <w:lang w:val="en-US"/>
        </w:rPr>
        <w:t>.</w:t>
      </w:r>
    </w:p>
    <w:p w14:paraId="54C5ADDF" w14:textId="77777777" w:rsidR="00CF153D" w:rsidRPr="009A5F96" w:rsidRDefault="00CF153D" w:rsidP="00CF153D">
      <w:pPr>
        <w:spacing w:after="0" w:line="240" w:lineRule="auto"/>
        <w:rPr>
          <w:rFonts w:ascii="Times New Roman" w:hAnsi="Times New Roman" w:cs="Times New Roman"/>
          <w:iCs/>
          <w:sz w:val="24"/>
          <w:szCs w:val="24"/>
        </w:rPr>
      </w:pPr>
    </w:p>
    <w:p w14:paraId="3EAC383A" w14:textId="16EB7A84"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SPV</w:t>
      </w:r>
      <w:r w:rsidR="00930753" w:rsidRPr="009A5F96">
        <w:rPr>
          <w:rFonts w:ascii="Times New Roman" w:hAnsi="Times New Roman" w:cs="Times New Roman"/>
          <w:iCs/>
          <w:sz w:val="24"/>
          <w:szCs w:val="24"/>
          <w:lang w:val="en-US"/>
        </w:rPr>
        <w:t xml:space="preserve">s have been </w:t>
      </w:r>
      <w:r w:rsidRPr="009A5F96">
        <w:rPr>
          <w:rFonts w:ascii="Times New Roman" w:hAnsi="Times New Roman" w:cs="Times New Roman"/>
          <w:iCs/>
          <w:sz w:val="24"/>
          <w:szCs w:val="24"/>
          <w:lang w:val="en-US"/>
        </w:rPr>
        <w:t xml:space="preserve">granted </w:t>
      </w:r>
      <w:r w:rsidR="00930753" w:rsidRPr="009A5F96">
        <w:rPr>
          <w:rFonts w:ascii="Times New Roman" w:hAnsi="Times New Roman" w:cs="Times New Roman"/>
          <w:iCs/>
          <w:sz w:val="24"/>
          <w:szCs w:val="24"/>
          <w:lang w:val="en-US"/>
        </w:rPr>
        <w:t xml:space="preserve">to certain non-citizens who </w:t>
      </w:r>
      <w:r w:rsidR="006147A3" w:rsidRPr="009A5F96">
        <w:rPr>
          <w:rFonts w:ascii="Times New Roman" w:hAnsi="Times New Roman" w:cs="Times New Roman"/>
          <w:iCs/>
          <w:sz w:val="24"/>
          <w:szCs w:val="24"/>
          <w:lang w:val="en-US"/>
        </w:rPr>
        <w:t>can</w:t>
      </w:r>
      <w:r w:rsidRPr="009A5F96">
        <w:rPr>
          <w:rFonts w:ascii="Times New Roman" w:hAnsi="Times New Roman" w:cs="Times New Roman"/>
          <w:iCs/>
          <w:sz w:val="24"/>
          <w:szCs w:val="24"/>
          <w:lang w:val="en-US"/>
        </w:rPr>
        <w:t xml:space="preserve">not be detained under section 189 of the </w:t>
      </w:r>
      <w:r w:rsidRPr="009A5F96">
        <w:rPr>
          <w:rFonts w:ascii="Times New Roman" w:hAnsi="Times New Roman" w:cs="Times New Roman"/>
          <w:i/>
          <w:iCs/>
          <w:sz w:val="24"/>
          <w:szCs w:val="24"/>
          <w:lang w:val="en-US"/>
        </w:rPr>
        <w:t>Migration Act 1958</w:t>
      </w:r>
      <w:r w:rsidRPr="009A5F96">
        <w:rPr>
          <w:rFonts w:ascii="Times New Roman" w:hAnsi="Times New Roman" w:cs="Times New Roman"/>
          <w:iCs/>
          <w:sz w:val="24"/>
          <w:szCs w:val="24"/>
          <w:lang w:val="en-US"/>
        </w:rPr>
        <w:t xml:space="preserve"> as they </w:t>
      </w:r>
      <w:r w:rsidR="006147A3" w:rsidRPr="009A5F96">
        <w:rPr>
          <w:rFonts w:ascii="Times New Roman" w:hAnsi="Times New Roman" w:cs="Times New Roman"/>
          <w:iCs/>
          <w:sz w:val="24"/>
          <w:szCs w:val="24"/>
          <w:lang w:val="en-US"/>
        </w:rPr>
        <w:t xml:space="preserve">have been </w:t>
      </w:r>
      <w:r w:rsidRPr="009A5F96">
        <w:rPr>
          <w:rFonts w:ascii="Times New Roman" w:hAnsi="Times New Roman" w:cs="Times New Roman"/>
          <w:iCs/>
          <w:sz w:val="24"/>
          <w:szCs w:val="24"/>
          <w:lang w:val="en-US"/>
        </w:rPr>
        <w:t>found to meet or probably meet the tripartite test</w:t>
      </w:r>
      <w:r w:rsidR="006147A3" w:rsidRPr="009A5F96">
        <w:rPr>
          <w:rFonts w:ascii="Times New Roman" w:hAnsi="Times New Roman" w:cs="Times New Roman"/>
          <w:iCs/>
          <w:sz w:val="24"/>
          <w:szCs w:val="24"/>
          <w:lang w:val="en-US"/>
        </w:rPr>
        <w:t xml:space="preserve"> in </w:t>
      </w:r>
      <w:r w:rsidR="006147A3" w:rsidRPr="009A5F96">
        <w:rPr>
          <w:rFonts w:ascii="Times New Roman" w:hAnsi="Times New Roman" w:cs="Times New Roman"/>
          <w:i/>
          <w:iCs/>
          <w:sz w:val="24"/>
          <w:szCs w:val="24"/>
          <w:lang w:val="en-US"/>
        </w:rPr>
        <w:t>Mabo (No. 2)</w:t>
      </w:r>
      <w:r w:rsidRPr="009A5F96">
        <w:rPr>
          <w:rFonts w:ascii="Times New Roman" w:hAnsi="Times New Roman" w:cs="Times New Roman"/>
          <w:iCs/>
          <w:sz w:val="24"/>
          <w:szCs w:val="24"/>
          <w:lang w:val="en-US"/>
        </w:rPr>
        <w:t xml:space="preserve">. The number of individuals </w:t>
      </w:r>
      <w:r w:rsidR="004F3350" w:rsidRPr="009A5F96">
        <w:rPr>
          <w:rFonts w:ascii="Times New Roman" w:hAnsi="Times New Roman" w:cs="Times New Roman"/>
          <w:iCs/>
          <w:sz w:val="24"/>
          <w:szCs w:val="24"/>
          <w:lang w:val="en-US"/>
        </w:rPr>
        <w:t>granted a SPV was 13</w:t>
      </w:r>
      <w:r w:rsidRPr="009A5F96">
        <w:rPr>
          <w:rFonts w:ascii="Times New Roman" w:hAnsi="Times New Roman" w:cs="Times New Roman"/>
          <w:iCs/>
          <w:sz w:val="24"/>
          <w:szCs w:val="24"/>
          <w:lang w:val="en-US"/>
        </w:rPr>
        <w:t xml:space="preserve"> and </w:t>
      </w:r>
      <w:r w:rsidR="004F3350" w:rsidRPr="009A5F96">
        <w:rPr>
          <w:rFonts w:ascii="Times New Roman" w:hAnsi="Times New Roman" w:cs="Times New Roman"/>
          <w:iCs/>
          <w:sz w:val="24"/>
          <w:szCs w:val="24"/>
          <w:lang w:val="en-US"/>
        </w:rPr>
        <w:t xml:space="preserve">while others may be granted a SPV based on being affected by the </w:t>
      </w:r>
      <w:r w:rsidR="004F3350" w:rsidRPr="009A5F96">
        <w:rPr>
          <w:rFonts w:ascii="Times New Roman" w:hAnsi="Times New Roman" w:cs="Times New Roman"/>
          <w:i/>
          <w:iCs/>
          <w:sz w:val="24"/>
          <w:szCs w:val="24"/>
          <w:lang w:val="en-US"/>
        </w:rPr>
        <w:t xml:space="preserve">Love </w:t>
      </w:r>
      <w:r w:rsidR="004F3350" w:rsidRPr="009A5F96">
        <w:rPr>
          <w:rFonts w:ascii="Times New Roman" w:hAnsi="Times New Roman" w:cs="Times New Roman"/>
          <w:iCs/>
          <w:sz w:val="24"/>
          <w:szCs w:val="24"/>
          <w:lang w:val="en-US"/>
        </w:rPr>
        <w:t xml:space="preserve">and </w:t>
      </w:r>
      <w:proofErr w:type="spellStart"/>
      <w:r w:rsidR="004F3350" w:rsidRPr="009A5F96">
        <w:rPr>
          <w:rFonts w:ascii="Times New Roman" w:hAnsi="Times New Roman" w:cs="Times New Roman"/>
          <w:i/>
          <w:iCs/>
          <w:sz w:val="24"/>
          <w:szCs w:val="24"/>
          <w:lang w:val="en-US"/>
        </w:rPr>
        <w:t>Thoms</w:t>
      </w:r>
      <w:proofErr w:type="spellEnd"/>
      <w:r w:rsidR="004F3350" w:rsidRPr="009A5F96">
        <w:rPr>
          <w:rFonts w:ascii="Times New Roman" w:hAnsi="Times New Roman" w:cs="Times New Roman"/>
          <w:iCs/>
          <w:sz w:val="24"/>
          <w:szCs w:val="24"/>
          <w:lang w:val="en-US"/>
        </w:rPr>
        <w:t xml:space="preserve"> decision, t</w:t>
      </w:r>
      <w:r w:rsidRPr="009A5F96">
        <w:rPr>
          <w:rFonts w:ascii="Times New Roman" w:hAnsi="Times New Roman" w:cs="Times New Roman"/>
          <w:iCs/>
          <w:sz w:val="24"/>
          <w:szCs w:val="24"/>
          <w:lang w:val="en-US"/>
        </w:rPr>
        <w:t>his number is not expected to grow significantly in the foreseeable future.</w:t>
      </w:r>
    </w:p>
    <w:p w14:paraId="6FF5D858" w14:textId="77777777" w:rsidR="00CF153D" w:rsidRPr="009A5F96" w:rsidRDefault="00CF153D" w:rsidP="00CF153D">
      <w:pPr>
        <w:spacing w:after="0" w:line="240" w:lineRule="auto"/>
        <w:rPr>
          <w:rFonts w:ascii="Times New Roman" w:hAnsi="Times New Roman" w:cs="Times New Roman"/>
          <w:iCs/>
          <w:sz w:val="24"/>
          <w:szCs w:val="24"/>
          <w:lang w:val="en-US"/>
        </w:rPr>
      </w:pPr>
    </w:p>
    <w:p w14:paraId="4579888D" w14:textId="2C3141E3"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 xml:space="preserve">As SPV holders are not able to access government entitlements or services, </w:t>
      </w:r>
      <w:proofErr w:type="gramStart"/>
      <w:r w:rsidRPr="009A5F96">
        <w:rPr>
          <w:rFonts w:ascii="Times New Roman" w:hAnsi="Times New Roman" w:cs="Times New Roman"/>
          <w:iCs/>
          <w:sz w:val="24"/>
          <w:szCs w:val="24"/>
          <w:lang w:val="en-US"/>
        </w:rPr>
        <w:t>with the exception of</w:t>
      </w:r>
      <w:proofErr w:type="gramEnd"/>
      <w:r w:rsidRPr="009A5F96">
        <w:rPr>
          <w:rFonts w:ascii="Times New Roman" w:hAnsi="Times New Roman" w:cs="Times New Roman"/>
          <w:iCs/>
          <w:sz w:val="24"/>
          <w:szCs w:val="24"/>
          <w:lang w:val="en-US"/>
        </w:rPr>
        <w:t xml:space="preserve"> Medicare, legislative authority under new table item </w:t>
      </w:r>
      <w:r w:rsidR="00480ED7" w:rsidRPr="009A5F96">
        <w:rPr>
          <w:rFonts w:ascii="Times New Roman" w:hAnsi="Times New Roman" w:cs="Times New Roman"/>
          <w:iCs/>
          <w:sz w:val="24"/>
          <w:szCs w:val="24"/>
          <w:lang w:val="en-US"/>
        </w:rPr>
        <w:t>588</w:t>
      </w:r>
      <w:r w:rsidRPr="009A5F96">
        <w:rPr>
          <w:rFonts w:ascii="Times New Roman" w:hAnsi="Times New Roman" w:cs="Times New Roman"/>
          <w:iCs/>
          <w:sz w:val="24"/>
          <w:szCs w:val="24"/>
          <w:lang w:val="en-US"/>
        </w:rPr>
        <w:t xml:space="preserve"> </w:t>
      </w:r>
      <w:r w:rsidR="00531C58" w:rsidRPr="009A5F96">
        <w:rPr>
          <w:rFonts w:ascii="Times New Roman" w:hAnsi="Times New Roman" w:cs="Times New Roman"/>
          <w:iCs/>
          <w:sz w:val="24"/>
          <w:szCs w:val="24"/>
          <w:lang w:val="en-US"/>
        </w:rPr>
        <w:t>in</w:t>
      </w:r>
      <w:r w:rsidRPr="009A5F96">
        <w:rPr>
          <w:rFonts w:ascii="Times New Roman" w:hAnsi="Times New Roman" w:cs="Times New Roman"/>
          <w:iCs/>
          <w:sz w:val="24"/>
          <w:szCs w:val="24"/>
          <w:lang w:val="en-US"/>
        </w:rPr>
        <w:t xml:space="preserve"> Schedule 1AB </w:t>
      </w:r>
      <w:r w:rsidR="00526375" w:rsidRPr="009A5F96">
        <w:rPr>
          <w:rFonts w:ascii="Times New Roman" w:hAnsi="Times New Roman" w:cs="Times New Roman"/>
          <w:iCs/>
          <w:sz w:val="24"/>
          <w:szCs w:val="24"/>
          <w:lang w:val="en-US"/>
        </w:rPr>
        <w:t>is</w:t>
      </w:r>
      <w:r w:rsidRPr="009A5F96">
        <w:rPr>
          <w:rFonts w:ascii="Times New Roman" w:hAnsi="Times New Roman" w:cs="Times New Roman"/>
          <w:iCs/>
          <w:sz w:val="24"/>
          <w:szCs w:val="24"/>
          <w:lang w:val="en-US"/>
        </w:rPr>
        <w:t xml:space="preserve"> required for the </w:t>
      </w:r>
      <w:r w:rsidRPr="009A5F96">
        <w:rPr>
          <w:rFonts w:ascii="Times New Roman" w:hAnsi="Times New Roman" w:cs="Times New Roman"/>
          <w:i/>
          <w:iCs/>
          <w:sz w:val="24"/>
          <w:szCs w:val="24"/>
        </w:rPr>
        <w:t xml:space="preserve">Love </w:t>
      </w:r>
      <w:r w:rsidRPr="009A5F96">
        <w:rPr>
          <w:rFonts w:ascii="Times New Roman" w:hAnsi="Times New Roman" w:cs="Times New Roman"/>
          <w:iCs/>
          <w:sz w:val="24"/>
          <w:szCs w:val="24"/>
        </w:rPr>
        <w:t xml:space="preserve">and </w:t>
      </w:r>
      <w:proofErr w:type="spellStart"/>
      <w:r w:rsidRPr="009A5F96">
        <w:rPr>
          <w:rFonts w:ascii="Times New Roman" w:hAnsi="Times New Roman" w:cs="Times New Roman"/>
          <w:i/>
          <w:iCs/>
          <w:sz w:val="24"/>
          <w:szCs w:val="24"/>
        </w:rPr>
        <w:t>Thoms</w:t>
      </w:r>
      <w:proofErr w:type="spellEnd"/>
      <w:r w:rsidRPr="009A5F96">
        <w:rPr>
          <w:rFonts w:ascii="Times New Roman" w:hAnsi="Times New Roman" w:cs="Times New Roman"/>
          <w:iCs/>
          <w:sz w:val="24"/>
          <w:szCs w:val="24"/>
        </w:rPr>
        <w:t xml:space="preserve"> cohort</w:t>
      </w:r>
      <w:r w:rsidRPr="009A5F96">
        <w:rPr>
          <w:rFonts w:ascii="Times New Roman" w:hAnsi="Times New Roman" w:cs="Times New Roman"/>
          <w:iCs/>
          <w:sz w:val="24"/>
          <w:szCs w:val="24"/>
          <w:lang w:val="en-US"/>
        </w:rPr>
        <w:t xml:space="preserve"> to have access to some services under the SRSS. SRSS provide</w:t>
      </w:r>
      <w:r w:rsidR="00B90A7B" w:rsidRPr="009A5F96">
        <w:rPr>
          <w:rFonts w:ascii="Times New Roman" w:hAnsi="Times New Roman" w:cs="Times New Roman"/>
          <w:iCs/>
          <w:sz w:val="24"/>
          <w:szCs w:val="24"/>
          <w:lang w:val="en-US"/>
        </w:rPr>
        <w:t>s</w:t>
      </w:r>
      <w:r w:rsidRPr="009A5F96">
        <w:rPr>
          <w:rFonts w:ascii="Times New Roman" w:hAnsi="Times New Roman" w:cs="Times New Roman"/>
          <w:iCs/>
          <w:sz w:val="24"/>
          <w:szCs w:val="24"/>
          <w:lang w:val="en-US"/>
        </w:rPr>
        <w:t xml:space="preserve"> targeted, needs-based support, with services not exceeding support levels provided to low-income Australian citizens or permanent residents</w:t>
      </w:r>
      <w:r w:rsidR="00B90A7B" w:rsidRPr="009A5F96">
        <w:rPr>
          <w:rFonts w:ascii="Times New Roman" w:hAnsi="Times New Roman" w:cs="Times New Roman"/>
          <w:iCs/>
          <w:sz w:val="24"/>
          <w:szCs w:val="24"/>
          <w:lang w:val="en-US"/>
        </w:rPr>
        <w:t xml:space="preserve">. The </w:t>
      </w:r>
      <w:r w:rsidR="00B90A7B" w:rsidRPr="009A5F96">
        <w:rPr>
          <w:rFonts w:ascii="Times New Roman" w:hAnsi="Times New Roman" w:cs="Times New Roman"/>
          <w:i/>
          <w:iCs/>
          <w:sz w:val="24"/>
          <w:szCs w:val="24"/>
          <w:lang w:val="en-US"/>
        </w:rPr>
        <w:t xml:space="preserve">Love </w:t>
      </w:r>
      <w:r w:rsidR="00B90A7B" w:rsidRPr="009A5F96">
        <w:rPr>
          <w:rFonts w:ascii="Times New Roman" w:hAnsi="Times New Roman" w:cs="Times New Roman"/>
          <w:iCs/>
          <w:sz w:val="24"/>
          <w:szCs w:val="24"/>
          <w:lang w:val="en-US"/>
        </w:rPr>
        <w:t xml:space="preserve">and </w:t>
      </w:r>
      <w:proofErr w:type="spellStart"/>
      <w:r w:rsidR="00B90A7B" w:rsidRPr="009A5F96">
        <w:rPr>
          <w:rFonts w:ascii="Times New Roman" w:hAnsi="Times New Roman" w:cs="Times New Roman"/>
          <w:i/>
          <w:iCs/>
          <w:sz w:val="24"/>
          <w:szCs w:val="24"/>
          <w:lang w:val="en-US"/>
        </w:rPr>
        <w:t>Thoms</w:t>
      </w:r>
      <w:proofErr w:type="spellEnd"/>
      <w:r w:rsidR="00B90A7B" w:rsidRPr="009A5F96">
        <w:rPr>
          <w:rFonts w:ascii="Times New Roman" w:hAnsi="Times New Roman" w:cs="Times New Roman"/>
          <w:iCs/>
          <w:sz w:val="24"/>
          <w:szCs w:val="24"/>
          <w:lang w:val="en-US"/>
        </w:rPr>
        <w:t xml:space="preserve"> cohort will be provided access to SRSS if eligible</w:t>
      </w:r>
      <w:r w:rsidRPr="009A5F96">
        <w:rPr>
          <w:rFonts w:ascii="Times New Roman" w:hAnsi="Times New Roman" w:cs="Times New Roman"/>
          <w:iCs/>
          <w:sz w:val="24"/>
          <w:szCs w:val="24"/>
          <w:lang w:val="en-US"/>
        </w:rPr>
        <w:t>, consistent with the current services provided under the SRSS</w:t>
      </w:r>
      <w:r w:rsidR="00B90A7B" w:rsidRPr="009A5F96">
        <w:rPr>
          <w:rFonts w:ascii="Times New Roman" w:hAnsi="Times New Roman" w:cs="Times New Roman"/>
          <w:iCs/>
          <w:sz w:val="24"/>
          <w:szCs w:val="24"/>
          <w:lang w:val="en-US"/>
        </w:rPr>
        <w:t>, including</w:t>
      </w:r>
      <w:r w:rsidRPr="009A5F96">
        <w:rPr>
          <w:rFonts w:ascii="Times New Roman" w:hAnsi="Times New Roman" w:cs="Times New Roman"/>
          <w:iCs/>
          <w:sz w:val="24"/>
          <w:szCs w:val="24"/>
          <w:lang w:val="en-US"/>
        </w:rPr>
        <w:t xml:space="preserve"> financial and emergency accommodation support if needed.</w:t>
      </w:r>
    </w:p>
    <w:p w14:paraId="6278684E" w14:textId="77777777" w:rsidR="00CF153D" w:rsidRPr="009A5F96" w:rsidRDefault="00CF153D" w:rsidP="00CF153D">
      <w:pPr>
        <w:spacing w:after="0" w:line="240" w:lineRule="auto"/>
        <w:rPr>
          <w:rFonts w:ascii="Times New Roman" w:hAnsi="Times New Roman" w:cs="Times New Roman"/>
          <w:iCs/>
          <w:sz w:val="24"/>
          <w:szCs w:val="24"/>
          <w:lang w:val="en-US"/>
        </w:rPr>
      </w:pPr>
    </w:p>
    <w:p w14:paraId="4046656F" w14:textId="4797B745"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Th</w:t>
      </w:r>
      <w:r w:rsidR="00B90A7B" w:rsidRPr="009A5F96">
        <w:rPr>
          <w:rFonts w:ascii="Times New Roman" w:hAnsi="Times New Roman" w:cs="Times New Roman"/>
          <w:iCs/>
          <w:sz w:val="24"/>
          <w:szCs w:val="24"/>
          <w:lang w:val="en-US"/>
        </w:rPr>
        <w:t xml:space="preserve">e provision of SRSS </w:t>
      </w:r>
      <w:r w:rsidRPr="009A5F96">
        <w:rPr>
          <w:rFonts w:ascii="Times New Roman" w:hAnsi="Times New Roman" w:cs="Times New Roman"/>
          <w:iCs/>
          <w:sz w:val="24"/>
          <w:szCs w:val="24"/>
          <w:lang w:val="en-US"/>
        </w:rPr>
        <w:t xml:space="preserve">is intended to reduce the risk of harm </w:t>
      </w:r>
      <w:r w:rsidRPr="009A5F96">
        <w:rPr>
          <w:rFonts w:ascii="Times New Roman" w:hAnsi="Times New Roman" w:cs="Times New Roman"/>
          <w:iCs/>
          <w:sz w:val="24"/>
          <w:szCs w:val="24"/>
        </w:rPr>
        <w:t xml:space="preserve">to </w:t>
      </w:r>
      <w:r w:rsidRPr="009A5F96">
        <w:rPr>
          <w:rFonts w:ascii="Times New Roman" w:hAnsi="Times New Roman" w:cs="Times New Roman"/>
          <w:iCs/>
          <w:sz w:val="24"/>
          <w:szCs w:val="24"/>
          <w:lang w:val="en-US"/>
        </w:rPr>
        <w:t>t</w:t>
      </w:r>
      <w:r w:rsidRPr="009A5F96">
        <w:rPr>
          <w:rFonts w:ascii="Times New Roman" w:hAnsi="Times New Roman" w:cs="Times New Roman"/>
          <w:iCs/>
          <w:sz w:val="24"/>
          <w:szCs w:val="24"/>
        </w:rPr>
        <w:t xml:space="preserve">he </w:t>
      </w:r>
      <w:r w:rsidRPr="009A5F96">
        <w:rPr>
          <w:rFonts w:ascii="Times New Roman" w:hAnsi="Times New Roman" w:cs="Times New Roman"/>
          <w:i/>
          <w:iCs/>
          <w:sz w:val="24"/>
          <w:szCs w:val="24"/>
        </w:rPr>
        <w:t>Love</w:t>
      </w:r>
      <w:r w:rsidRPr="009A5F96">
        <w:rPr>
          <w:rFonts w:ascii="Times New Roman" w:hAnsi="Times New Roman" w:cs="Times New Roman"/>
          <w:iCs/>
          <w:sz w:val="24"/>
          <w:szCs w:val="24"/>
        </w:rPr>
        <w:t xml:space="preserve"> and</w:t>
      </w:r>
      <w:r w:rsidRPr="009A5F96">
        <w:rPr>
          <w:rFonts w:ascii="Times New Roman" w:hAnsi="Times New Roman" w:cs="Times New Roman"/>
          <w:i/>
          <w:iCs/>
          <w:sz w:val="24"/>
          <w:szCs w:val="24"/>
        </w:rPr>
        <w:t xml:space="preserve"> </w:t>
      </w:r>
      <w:proofErr w:type="spellStart"/>
      <w:r w:rsidRPr="009A5F96">
        <w:rPr>
          <w:rFonts w:ascii="Times New Roman" w:hAnsi="Times New Roman" w:cs="Times New Roman"/>
          <w:i/>
          <w:iCs/>
          <w:sz w:val="24"/>
          <w:szCs w:val="24"/>
        </w:rPr>
        <w:t>Thoms</w:t>
      </w:r>
      <w:proofErr w:type="spellEnd"/>
      <w:r w:rsidRPr="009A5F96">
        <w:rPr>
          <w:rFonts w:ascii="Times New Roman" w:hAnsi="Times New Roman" w:cs="Times New Roman"/>
          <w:iCs/>
          <w:sz w:val="24"/>
          <w:szCs w:val="24"/>
        </w:rPr>
        <w:t xml:space="preserve"> cohort</w:t>
      </w:r>
      <w:r w:rsidRPr="009A5F96">
        <w:rPr>
          <w:rFonts w:ascii="Times New Roman" w:hAnsi="Times New Roman" w:cs="Times New Roman"/>
          <w:iCs/>
          <w:sz w:val="24"/>
          <w:szCs w:val="24"/>
          <w:lang w:val="en-US"/>
        </w:rPr>
        <w:t xml:space="preserve">, including the risk of destitution and homelessness. The services will be tailored to individual circumstances, and will be provided for the shortest reasonable time where a genuine need has been identified and evidenced. </w:t>
      </w:r>
    </w:p>
    <w:p w14:paraId="67AE18C8" w14:textId="77777777" w:rsidR="00BC19B9" w:rsidRPr="009A5F96" w:rsidRDefault="00BC19B9" w:rsidP="00CF153D">
      <w:pPr>
        <w:spacing w:after="0" w:line="240" w:lineRule="auto"/>
        <w:rPr>
          <w:rFonts w:ascii="Times New Roman" w:hAnsi="Times New Roman" w:cs="Times New Roman"/>
          <w:iCs/>
          <w:sz w:val="24"/>
          <w:szCs w:val="24"/>
          <w:lang w:val="en-US"/>
        </w:rPr>
      </w:pPr>
    </w:p>
    <w:p w14:paraId="1CF9991C" w14:textId="77777777" w:rsidR="00BC19B9" w:rsidRPr="009A5F96" w:rsidRDefault="00BC19B9" w:rsidP="00BC19B9">
      <w:pPr>
        <w:spacing w:after="0" w:line="240" w:lineRule="auto"/>
        <w:rPr>
          <w:rFonts w:ascii="Times New Roman" w:hAnsi="Times New Roman" w:cs="Times New Roman"/>
          <w:iCs/>
          <w:sz w:val="24"/>
          <w:szCs w:val="24"/>
          <w:lang w:val="en-US"/>
        </w:rPr>
      </w:pPr>
      <w:proofErr w:type="gramStart"/>
      <w:r w:rsidRPr="009A5F96">
        <w:rPr>
          <w:rFonts w:ascii="Times New Roman" w:hAnsi="Times New Roman" w:cs="Times New Roman"/>
          <w:iCs/>
          <w:sz w:val="24"/>
          <w:szCs w:val="24"/>
          <w:lang w:val="en-US"/>
        </w:rPr>
        <w:t>Each individual</w:t>
      </w:r>
      <w:proofErr w:type="gramEnd"/>
      <w:r w:rsidRPr="009A5F96">
        <w:rPr>
          <w:rFonts w:ascii="Times New Roman" w:hAnsi="Times New Roman" w:cs="Times New Roman"/>
          <w:iCs/>
          <w:sz w:val="24"/>
          <w:szCs w:val="24"/>
          <w:lang w:val="en-US"/>
        </w:rPr>
        <w:t xml:space="preserve"> will be assessed by the department for eligibility to access the services. Eligibility differs depending on a person’s needs and vulnerabilities and depends on various circumstances and characteristics.</w:t>
      </w:r>
    </w:p>
    <w:p w14:paraId="2065B645" w14:textId="77777777" w:rsidR="00CF153D" w:rsidRPr="009A5F96" w:rsidRDefault="00CF153D" w:rsidP="00CF153D">
      <w:pPr>
        <w:spacing w:after="0" w:line="240" w:lineRule="auto"/>
        <w:rPr>
          <w:rFonts w:ascii="Times New Roman" w:hAnsi="Times New Roman" w:cs="Times New Roman"/>
          <w:iCs/>
          <w:sz w:val="24"/>
          <w:szCs w:val="24"/>
          <w:lang w:val="en-US"/>
        </w:rPr>
      </w:pPr>
    </w:p>
    <w:p w14:paraId="790E3F9E" w14:textId="77C38987"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 xml:space="preserve">Each person who is granted an SPV will have a Status Resolution Officer allocated </w:t>
      </w:r>
      <w:r w:rsidR="00020141" w:rsidRPr="009A5F96">
        <w:rPr>
          <w:rFonts w:ascii="Times New Roman" w:hAnsi="Times New Roman" w:cs="Times New Roman"/>
          <w:iCs/>
          <w:sz w:val="24"/>
          <w:szCs w:val="24"/>
          <w:lang w:val="en-US"/>
        </w:rPr>
        <w:t xml:space="preserve">to their case </w:t>
      </w:r>
      <w:r w:rsidRPr="009A5F96">
        <w:rPr>
          <w:rFonts w:ascii="Times New Roman" w:hAnsi="Times New Roman" w:cs="Times New Roman"/>
          <w:iCs/>
          <w:sz w:val="24"/>
          <w:szCs w:val="24"/>
          <w:lang w:val="en-US"/>
        </w:rPr>
        <w:t xml:space="preserve">from the department, who will regularly engage with </w:t>
      </w:r>
      <w:r w:rsidR="006147A3" w:rsidRPr="009A5F96">
        <w:rPr>
          <w:rFonts w:ascii="Times New Roman" w:hAnsi="Times New Roman" w:cs="Times New Roman"/>
          <w:iCs/>
          <w:sz w:val="24"/>
          <w:szCs w:val="24"/>
          <w:lang w:val="en-US"/>
        </w:rPr>
        <w:t xml:space="preserve">the </w:t>
      </w:r>
      <w:r w:rsidRPr="009A5F96">
        <w:rPr>
          <w:rFonts w:ascii="Times New Roman" w:hAnsi="Times New Roman" w:cs="Times New Roman"/>
          <w:iCs/>
          <w:sz w:val="24"/>
          <w:szCs w:val="24"/>
          <w:lang w:val="en-US"/>
        </w:rPr>
        <w:t xml:space="preserve">individual to identify whether they have needs which could be met through the SRSS. Any individuals who </w:t>
      </w:r>
      <w:r w:rsidR="00BC19B9" w:rsidRPr="009A5F96">
        <w:rPr>
          <w:rFonts w:ascii="Times New Roman" w:hAnsi="Times New Roman" w:cs="Times New Roman"/>
          <w:iCs/>
          <w:sz w:val="24"/>
          <w:szCs w:val="24"/>
          <w:lang w:val="en-US"/>
        </w:rPr>
        <w:t>are provided with</w:t>
      </w:r>
      <w:r w:rsidR="00C3547D" w:rsidRPr="009A5F96">
        <w:rPr>
          <w:rFonts w:ascii="Times New Roman" w:hAnsi="Times New Roman" w:cs="Times New Roman"/>
          <w:iCs/>
          <w:sz w:val="24"/>
          <w:szCs w:val="24"/>
          <w:lang w:val="en-US"/>
        </w:rPr>
        <w:t xml:space="preserve"> </w:t>
      </w:r>
      <w:r w:rsidRPr="009A5F96">
        <w:rPr>
          <w:rFonts w:ascii="Times New Roman" w:hAnsi="Times New Roman" w:cs="Times New Roman"/>
          <w:iCs/>
          <w:sz w:val="24"/>
          <w:szCs w:val="24"/>
          <w:lang w:val="en-US"/>
        </w:rPr>
        <w:t>SRSS will be reviewed regularly to assess their continued eligibility.</w:t>
      </w:r>
    </w:p>
    <w:p w14:paraId="32AB8656" w14:textId="77777777" w:rsidR="00CF153D" w:rsidRPr="009A5F96" w:rsidRDefault="00CF153D" w:rsidP="00CF153D">
      <w:pPr>
        <w:spacing w:after="0" w:line="240" w:lineRule="auto"/>
        <w:rPr>
          <w:rFonts w:ascii="Times New Roman" w:hAnsi="Times New Roman" w:cs="Times New Roman"/>
          <w:iCs/>
          <w:sz w:val="24"/>
          <w:szCs w:val="24"/>
          <w:lang w:val="en-US"/>
        </w:rPr>
      </w:pPr>
    </w:p>
    <w:p w14:paraId="794D677B" w14:textId="58F48CD9"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SRSS providers</w:t>
      </w:r>
      <w:r w:rsidR="00BA187A" w:rsidRPr="009A5F96">
        <w:rPr>
          <w:rFonts w:ascii="Times New Roman" w:hAnsi="Times New Roman" w:cs="Times New Roman"/>
          <w:iCs/>
          <w:sz w:val="24"/>
          <w:szCs w:val="24"/>
          <w:lang w:val="en-US"/>
        </w:rPr>
        <w:t xml:space="preserve"> </w:t>
      </w:r>
      <w:r w:rsidRPr="009A5F96">
        <w:rPr>
          <w:rFonts w:ascii="Times New Roman" w:hAnsi="Times New Roman" w:cs="Times New Roman"/>
          <w:iCs/>
          <w:sz w:val="24"/>
          <w:szCs w:val="24"/>
          <w:lang w:val="en-US"/>
        </w:rPr>
        <w:t>contracted to the department through a</w:t>
      </w:r>
      <w:r w:rsidR="009F0429" w:rsidRPr="009A5F96">
        <w:rPr>
          <w:rFonts w:ascii="Times New Roman" w:hAnsi="Times New Roman" w:cs="Times New Roman"/>
          <w:iCs/>
          <w:sz w:val="24"/>
          <w:szCs w:val="24"/>
          <w:lang w:val="en-US"/>
        </w:rPr>
        <w:t>n</w:t>
      </w:r>
      <w:r w:rsidRPr="009A5F96">
        <w:rPr>
          <w:rFonts w:ascii="Times New Roman" w:hAnsi="Times New Roman" w:cs="Times New Roman"/>
          <w:iCs/>
          <w:sz w:val="24"/>
          <w:szCs w:val="24"/>
          <w:lang w:val="en-US"/>
        </w:rPr>
        <w:t xml:space="preserve"> </w:t>
      </w:r>
      <w:r w:rsidR="00B90A7B" w:rsidRPr="009A5F96">
        <w:rPr>
          <w:rFonts w:ascii="Times New Roman" w:hAnsi="Times New Roman" w:cs="Times New Roman"/>
          <w:iCs/>
          <w:sz w:val="24"/>
          <w:szCs w:val="24"/>
          <w:lang w:val="en-US"/>
        </w:rPr>
        <w:t>open tender</w:t>
      </w:r>
      <w:r w:rsidRPr="009A5F96">
        <w:rPr>
          <w:rFonts w:ascii="Times New Roman" w:hAnsi="Times New Roman" w:cs="Times New Roman"/>
          <w:iCs/>
          <w:sz w:val="24"/>
          <w:szCs w:val="24"/>
          <w:lang w:val="en-US"/>
        </w:rPr>
        <w:t xml:space="preserve"> procurement process</w:t>
      </w:r>
      <w:r w:rsidR="00BA187A" w:rsidRPr="009A5F96">
        <w:rPr>
          <w:rFonts w:ascii="Times New Roman" w:hAnsi="Times New Roman" w:cs="Times New Roman"/>
          <w:iCs/>
          <w:sz w:val="24"/>
          <w:szCs w:val="24"/>
          <w:lang w:val="en-US"/>
        </w:rPr>
        <w:t xml:space="preserve">, are published on </w:t>
      </w:r>
      <w:proofErr w:type="spellStart"/>
      <w:r w:rsidR="00BA187A" w:rsidRPr="009A5F96">
        <w:rPr>
          <w:rFonts w:ascii="Times New Roman" w:hAnsi="Times New Roman" w:cs="Times New Roman"/>
          <w:iCs/>
          <w:sz w:val="24"/>
          <w:szCs w:val="24"/>
          <w:lang w:val="en-US"/>
        </w:rPr>
        <w:t>AusTender</w:t>
      </w:r>
      <w:proofErr w:type="spellEnd"/>
      <w:r w:rsidR="00BA187A" w:rsidRPr="009A5F96">
        <w:rPr>
          <w:rFonts w:ascii="Times New Roman" w:hAnsi="Times New Roman" w:cs="Times New Roman"/>
          <w:iCs/>
          <w:sz w:val="24"/>
          <w:szCs w:val="24"/>
          <w:lang w:val="en-US"/>
        </w:rPr>
        <w:t xml:space="preserve"> in</w:t>
      </w:r>
      <w:r w:rsidRPr="009A5F96">
        <w:rPr>
          <w:rFonts w:ascii="Times New Roman" w:hAnsi="Times New Roman" w:cs="Times New Roman"/>
          <w:iCs/>
          <w:sz w:val="24"/>
          <w:szCs w:val="24"/>
          <w:lang w:val="en-US"/>
        </w:rPr>
        <w:t xml:space="preserve"> accordance with the</w:t>
      </w:r>
      <w:r w:rsidRPr="009A5F96">
        <w:rPr>
          <w:rFonts w:ascii="Times New Roman" w:hAnsi="Times New Roman" w:cs="Times New Roman"/>
          <w:i/>
          <w:iCs/>
          <w:sz w:val="24"/>
          <w:szCs w:val="24"/>
        </w:rPr>
        <w:t xml:space="preserve"> Public Governance, Performance and Accountability Act 2013</w:t>
      </w:r>
      <w:r w:rsidRPr="009A5F96">
        <w:rPr>
          <w:rFonts w:ascii="Times New Roman" w:hAnsi="Times New Roman" w:cs="Times New Roman"/>
          <w:iCs/>
          <w:sz w:val="24"/>
          <w:szCs w:val="24"/>
        </w:rPr>
        <w:t xml:space="preserve"> and the</w:t>
      </w:r>
      <w:r w:rsidRPr="009A5F96">
        <w:rPr>
          <w:rFonts w:ascii="Times New Roman" w:hAnsi="Times New Roman" w:cs="Times New Roman"/>
          <w:iCs/>
          <w:sz w:val="24"/>
          <w:szCs w:val="24"/>
          <w:lang w:val="en-US"/>
        </w:rPr>
        <w:t xml:space="preserve"> </w:t>
      </w:r>
      <w:r w:rsidRPr="009A5F96">
        <w:rPr>
          <w:rFonts w:ascii="Times New Roman" w:hAnsi="Times New Roman" w:cs="Times New Roman"/>
          <w:i/>
          <w:iCs/>
          <w:sz w:val="24"/>
          <w:szCs w:val="24"/>
          <w:lang w:val="en-US"/>
        </w:rPr>
        <w:t>Commonwealth Procurement Rules</w:t>
      </w:r>
      <w:r w:rsidRPr="009A5F96">
        <w:rPr>
          <w:rFonts w:ascii="Times New Roman" w:hAnsi="Times New Roman" w:cs="Times New Roman"/>
          <w:iCs/>
          <w:sz w:val="24"/>
          <w:szCs w:val="24"/>
          <w:lang w:val="en-US"/>
        </w:rPr>
        <w:t xml:space="preserve">. </w:t>
      </w:r>
    </w:p>
    <w:p w14:paraId="2987DC83" w14:textId="77777777" w:rsidR="00CF153D" w:rsidRPr="009A5F96" w:rsidRDefault="00CF153D" w:rsidP="00CF153D">
      <w:pPr>
        <w:spacing w:after="0" w:line="240" w:lineRule="auto"/>
        <w:rPr>
          <w:rFonts w:ascii="Times New Roman" w:hAnsi="Times New Roman" w:cs="Times New Roman"/>
          <w:iCs/>
          <w:sz w:val="24"/>
          <w:szCs w:val="24"/>
          <w:lang w:val="en-US"/>
        </w:rPr>
      </w:pPr>
    </w:p>
    <w:p w14:paraId="5C2346C2" w14:textId="77777777" w:rsidR="00BA187A" w:rsidRPr="009A5F96" w:rsidRDefault="00BA187A" w:rsidP="00BA187A">
      <w:pPr>
        <w:autoSpaceDE w:val="0"/>
        <w:autoSpaceDN w:val="0"/>
        <w:spacing w:after="0" w:line="240" w:lineRule="auto"/>
      </w:pPr>
      <w:r w:rsidRPr="009A5F96">
        <w:rPr>
          <w:rFonts w:ascii="Times New Roman" w:hAnsi="Times New Roman" w:cs="Times New Roman"/>
          <w:color w:val="000000"/>
          <w:sz w:val="24"/>
          <w:szCs w:val="24"/>
        </w:rPr>
        <w:t>Final spending decisions are expected to be made by the Associate Secretary, Immigration Group, or a delegate responsible for the management of the SRSS who has the appropriate skills and experience.</w:t>
      </w:r>
      <w:r w:rsidRPr="009A5F96">
        <w:rPr>
          <w:rFonts w:ascii="Segoe UI" w:hAnsi="Segoe UI" w:cs="Segoe UI"/>
          <w:color w:val="000000"/>
          <w:sz w:val="20"/>
          <w:szCs w:val="20"/>
        </w:rPr>
        <w:t xml:space="preserve"> </w:t>
      </w:r>
    </w:p>
    <w:p w14:paraId="505E7105" w14:textId="77777777" w:rsidR="00BA187A" w:rsidRPr="009A5F96" w:rsidRDefault="00BA187A" w:rsidP="00CF153D">
      <w:pPr>
        <w:spacing w:after="0" w:line="240" w:lineRule="auto"/>
        <w:rPr>
          <w:rFonts w:ascii="Times New Roman" w:hAnsi="Times New Roman" w:cs="Times New Roman"/>
          <w:iCs/>
          <w:sz w:val="24"/>
          <w:szCs w:val="24"/>
          <w:lang w:val="en-US"/>
        </w:rPr>
      </w:pPr>
    </w:p>
    <w:p w14:paraId="34203EA5" w14:textId="77777777"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 xml:space="preserve">Decisions made in relation to contracting providers to deliver services under the SRSS program are not considered suitable for independent merits review, as they are decisions relating to the allocation of a finite resource, from which all potential claims for a share of the resource cannot be met. In addition, any funding that has already been allocated would be </w:t>
      </w:r>
      <w:r w:rsidRPr="009A5F96">
        <w:rPr>
          <w:rFonts w:ascii="Times New Roman" w:hAnsi="Times New Roman" w:cs="Times New Roman"/>
          <w:iCs/>
          <w:sz w:val="24"/>
          <w:szCs w:val="24"/>
          <w:lang w:val="en-US"/>
        </w:rPr>
        <w:lastRenderedPageBreak/>
        <w:t xml:space="preserve">affected if the original decision were overturned. The Administrative Review Council has recognised that it is justifiable to exclude merits review in relation to decisions of this nature (see paragraphs 4.11 to 4.19 of the guide, </w:t>
      </w:r>
      <w:proofErr w:type="gramStart"/>
      <w:r w:rsidRPr="009A5F96">
        <w:rPr>
          <w:rFonts w:ascii="Times New Roman" w:hAnsi="Times New Roman" w:cs="Times New Roman"/>
          <w:i/>
          <w:iCs/>
          <w:sz w:val="24"/>
          <w:szCs w:val="24"/>
          <w:lang w:val="en-US"/>
        </w:rPr>
        <w:t>What</w:t>
      </w:r>
      <w:proofErr w:type="gramEnd"/>
      <w:r w:rsidRPr="009A5F96">
        <w:rPr>
          <w:rFonts w:ascii="Times New Roman" w:hAnsi="Times New Roman" w:cs="Times New Roman"/>
          <w:i/>
          <w:iCs/>
          <w:sz w:val="24"/>
          <w:szCs w:val="24"/>
          <w:lang w:val="en-US"/>
        </w:rPr>
        <w:t xml:space="preserve"> decisions should be subject to merit review?</w:t>
      </w:r>
      <w:r w:rsidRPr="009A5F96">
        <w:rPr>
          <w:rFonts w:ascii="Times New Roman" w:hAnsi="Times New Roman" w:cs="Times New Roman"/>
          <w:iCs/>
          <w:sz w:val="24"/>
          <w:szCs w:val="24"/>
          <w:lang w:val="en-US"/>
        </w:rPr>
        <w:t>).</w:t>
      </w:r>
    </w:p>
    <w:p w14:paraId="541018F5" w14:textId="77777777"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 xml:space="preserve"> </w:t>
      </w:r>
    </w:p>
    <w:p w14:paraId="089A40C1" w14:textId="77777777"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 xml:space="preserve">The remaking of a procurement decision after entry into a contractual arrangement with a successful provider is legally complex, impractical, and could result in delays to providing services. The </w:t>
      </w:r>
      <w:r w:rsidRPr="009A5F96">
        <w:rPr>
          <w:rFonts w:ascii="Times New Roman" w:hAnsi="Times New Roman" w:cs="Times New Roman"/>
          <w:i/>
          <w:iCs/>
          <w:sz w:val="24"/>
          <w:szCs w:val="24"/>
          <w:lang w:val="en-US"/>
        </w:rPr>
        <w:t>Government Procurement (Judicial Review) Act 2018</w:t>
      </w:r>
      <w:r w:rsidRPr="009A5F96">
        <w:rPr>
          <w:rFonts w:ascii="Times New Roman" w:hAnsi="Times New Roman" w:cs="Times New Roman"/>
          <w:iCs/>
          <w:sz w:val="24"/>
          <w:szCs w:val="24"/>
          <w:lang w:val="en-US"/>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20B2E61C" w14:textId="77777777" w:rsidR="00CF153D" w:rsidRPr="009A5F96" w:rsidRDefault="00CF153D" w:rsidP="00CF153D">
      <w:pPr>
        <w:spacing w:after="0" w:line="240" w:lineRule="auto"/>
        <w:rPr>
          <w:rFonts w:ascii="Times New Roman" w:hAnsi="Times New Roman" w:cs="Times New Roman"/>
          <w:iCs/>
          <w:sz w:val="24"/>
          <w:szCs w:val="24"/>
          <w:lang w:val="en-US"/>
        </w:rPr>
      </w:pPr>
    </w:p>
    <w:p w14:paraId="0A328A48"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iCs/>
          <w:sz w:val="24"/>
          <w:szCs w:val="24"/>
          <w:lang w:val="en-US"/>
        </w:rPr>
        <w:t>Other decisions made in relation to an individual accessing services under SRSS are not subject to independent merits review. There are avenues for individuals to seek further consideration of a negative decision made by the department, including:</w:t>
      </w:r>
      <w:r w:rsidRPr="009A5F96">
        <w:rPr>
          <w:rFonts w:ascii="Times New Roman" w:hAnsi="Times New Roman" w:cs="Times New Roman"/>
          <w:color w:val="000000" w:themeColor="text1"/>
          <w:sz w:val="24"/>
          <w:szCs w:val="24"/>
        </w:rPr>
        <w:t xml:space="preserve">  </w:t>
      </w:r>
    </w:p>
    <w:p w14:paraId="4FEF91EB" w14:textId="77777777" w:rsidR="00CF153D" w:rsidRPr="009A5F96" w:rsidRDefault="00CF153D" w:rsidP="00CF153D">
      <w:pPr>
        <w:pStyle w:val="ListParagraph"/>
        <w:numPr>
          <w:ilvl w:val="0"/>
          <w:numId w:val="1"/>
        </w:numPr>
        <w:spacing w:after="0" w:line="240" w:lineRule="auto"/>
        <w:contextualSpacing/>
        <w:rPr>
          <w:rFonts w:ascii="Times New Roman" w:hAnsi="Times New Roman"/>
          <w:color w:val="000000" w:themeColor="text1"/>
          <w:sz w:val="24"/>
          <w:szCs w:val="24"/>
        </w:rPr>
      </w:pPr>
      <w:r w:rsidRPr="009A5F96">
        <w:rPr>
          <w:rFonts w:ascii="Times New Roman" w:hAnsi="Times New Roman"/>
          <w:color w:val="000000" w:themeColor="text1"/>
          <w:sz w:val="24"/>
          <w:szCs w:val="24"/>
        </w:rPr>
        <w:t>submit a new SRSS application addressing all refusal points and submitting required evidence; and</w:t>
      </w:r>
    </w:p>
    <w:p w14:paraId="34BDD331" w14:textId="77777777" w:rsidR="00CF153D" w:rsidRPr="009A5F96" w:rsidRDefault="00CF153D" w:rsidP="00CF153D">
      <w:pPr>
        <w:pStyle w:val="ListParagraph"/>
        <w:numPr>
          <w:ilvl w:val="0"/>
          <w:numId w:val="1"/>
        </w:numPr>
        <w:spacing w:after="0" w:line="240" w:lineRule="auto"/>
        <w:contextualSpacing/>
        <w:rPr>
          <w:rFonts w:ascii="Times New Roman" w:hAnsi="Times New Roman"/>
          <w:color w:val="000000" w:themeColor="text1"/>
          <w:sz w:val="24"/>
          <w:szCs w:val="24"/>
        </w:rPr>
      </w:pPr>
      <w:r w:rsidRPr="009A5F96">
        <w:rPr>
          <w:rFonts w:ascii="Times New Roman" w:hAnsi="Times New Roman"/>
          <w:color w:val="000000" w:themeColor="text1"/>
          <w:sz w:val="24"/>
          <w:szCs w:val="24"/>
        </w:rPr>
        <w:t>request a reconsideration of the decision through either the contracted service provider or the department.</w:t>
      </w:r>
    </w:p>
    <w:p w14:paraId="715BCB13" w14:textId="77777777" w:rsidR="00CF153D" w:rsidRPr="009A5F96" w:rsidRDefault="00CF153D" w:rsidP="00CF153D">
      <w:pPr>
        <w:spacing w:after="0" w:line="240" w:lineRule="auto"/>
        <w:rPr>
          <w:rFonts w:ascii="Times New Roman" w:hAnsi="Times New Roman"/>
          <w:iCs/>
          <w:sz w:val="24"/>
          <w:szCs w:val="24"/>
          <w:lang w:val="en-US"/>
        </w:rPr>
      </w:pPr>
    </w:p>
    <w:p w14:paraId="698A94A8" w14:textId="77777777" w:rsidR="00CF153D" w:rsidRPr="009A5F96" w:rsidRDefault="00CF153D" w:rsidP="00CF153D">
      <w:pPr>
        <w:spacing w:after="0" w:line="240" w:lineRule="auto"/>
        <w:rPr>
          <w:rFonts w:ascii="Times New Roman" w:hAnsi="Times New Roman"/>
          <w:iCs/>
          <w:sz w:val="24"/>
          <w:szCs w:val="24"/>
          <w:lang w:val="en-US"/>
        </w:rPr>
      </w:pPr>
      <w:r w:rsidRPr="009A5F96">
        <w:rPr>
          <w:rFonts w:ascii="Times New Roman" w:hAnsi="Times New Roman" w:cs="Times New Roman"/>
          <w:iCs/>
          <w:sz w:val="24"/>
          <w:szCs w:val="24"/>
          <w:lang w:val="en-US"/>
        </w:rPr>
        <w:t xml:space="preserve">As an existing program, engagement on the overall impacts of the SRSS was undertaken previously both across the Government and with the impacted sector, primarily those involved in refugee and humanitarian sector. </w:t>
      </w:r>
    </w:p>
    <w:p w14:paraId="0475DB82" w14:textId="77777777" w:rsidR="00CF153D" w:rsidRPr="009A5F96" w:rsidRDefault="00CF153D" w:rsidP="00CF153D">
      <w:pPr>
        <w:spacing w:after="0" w:line="240" w:lineRule="auto"/>
        <w:rPr>
          <w:rFonts w:ascii="Times New Roman" w:hAnsi="Times New Roman"/>
          <w:iCs/>
          <w:sz w:val="24"/>
          <w:szCs w:val="24"/>
          <w:lang w:val="en-US"/>
        </w:rPr>
      </w:pPr>
    </w:p>
    <w:p w14:paraId="3872C1F9" w14:textId="4CD95E17" w:rsidR="00CF153D" w:rsidRPr="009A5F96" w:rsidRDefault="00CF153D" w:rsidP="00CF153D">
      <w:pPr>
        <w:spacing w:after="0" w:line="240" w:lineRule="auto"/>
        <w:rPr>
          <w:rFonts w:ascii="Times New Roman" w:hAnsi="Times New Roman"/>
          <w:iCs/>
          <w:sz w:val="24"/>
          <w:szCs w:val="24"/>
          <w:lang w:val="en-US"/>
        </w:rPr>
      </w:pPr>
      <w:r w:rsidRPr="009A5F96">
        <w:rPr>
          <w:rFonts w:ascii="Times New Roman" w:hAnsi="Times New Roman" w:cs="Times New Roman"/>
          <w:iCs/>
          <w:sz w:val="24"/>
          <w:szCs w:val="24"/>
          <w:lang w:val="en-US"/>
        </w:rPr>
        <w:t>The consultation on expanding the SRSS to support SPV holders was undertaken within government and included the National Indigenous Australians Agency, the Department of Social Services and Services Australia. As the extension of the SRSS involved a small cohort of 1</w:t>
      </w:r>
      <w:r w:rsidR="004F3350" w:rsidRPr="009A5F96">
        <w:rPr>
          <w:rFonts w:ascii="Times New Roman" w:hAnsi="Times New Roman" w:cs="Times New Roman"/>
          <w:iCs/>
          <w:sz w:val="24"/>
          <w:szCs w:val="24"/>
          <w:lang w:val="en-US"/>
        </w:rPr>
        <w:t>3</w:t>
      </w:r>
      <w:r w:rsidRPr="009A5F96">
        <w:rPr>
          <w:rFonts w:ascii="Times New Roman" w:hAnsi="Times New Roman" w:cs="Times New Roman"/>
          <w:iCs/>
          <w:sz w:val="24"/>
          <w:szCs w:val="24"/>
          <w:lang w:val="en-US"/>
        </w:rPr>
        <w:t xml:space="preserve"> people and the overall program’s objective remains unchanged, the department consider</w:t>
      </w:r>
      <w:r w:rsidR="006147A3" w:rsidRPr="009A5F96">
        <w:rPr>
          <w:rFonts w:ascii="Times New Roman" w:hAnsi="Times New Roman" w:cs="Times New Roman"/>
          <w:iCs/>
          <w:sz w:val="24"/>
          <w:szCs w:val="24"/>
          <w:lang w:val="en-US"/>
        </w:rPr>
        <w:t>s</w:t>
      </w:r>
      <w:r w:rsidRPr="009A5F96">
        <w:rPr>
          <w:rFonts w:ascii="Times New Roman" w:hAnsi="Times New Roman" w:cs="Times New Roman"/>
          <w:iCs/>
          <w:sz w:val="24"/>
          <w:szCs w:val="24"/>
          <w:lang w:val="en-US"/>
        </w:rPr>
        <w:t xml:space="preserve"> it is unnecessary to carry out additional consultations.  </w:t>
      </w:r>
    </w:p>
    <w:p w14:paraId="25884CB1" w14:textId="77777777" w:rsidR="00CF153D" w:rsidRPr="009A5F96" w:rsidRDefault="00CF153D" w:rsidP="00CF153D">
      <w:pPr>
        <w:spacing w:after="0" w:line="240" w:lineRule="auto"/>
        <w:rPr>
          <w:rFonts w:ascii="Times New Roman" w:hAnsi="Times New Roman" w:cs="Times New Roman"/>
          <w:iCs/>
          <w:sz w:val="24"/>
          <w:szCs w:val="24"/>
          <w:lang w:val="en-US"/>
        </w:rPr>
      </w:pPr>
    </w:p>
    <w:p w14:paraId="78F2F6F7" w14:textId="20EE4964"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iCs/>
          <w:sz w:val="24"/>
          <w:szCs w:val="24"/>
          <w:lang w:val="en-US"/>
        </w:rPr>
        <w:t xml:space="preserve">Funding of $871.1 million over three years from 2022-23 for the SRSS will come from Program 3.5: Onshore Compliance and Detention, which is part of Outcome 3. Details are set out in the </w:t>
      </w:r>
      <w:r w:rsidRPr="009A5F96">
        <w:rPr>
          <w:rFonts w:ascii="Times New Roman" w:hAnsi="Times New Roman" w:cs="Times New Roman"/>
          <w:i/>
          <w:iCs/>
          <w:sz w:val="24"/>
          <w:szCs w:val="24"/>
          <w:lang w:val="en-US"/>
        </w:rPr>
        <w:t>Portfolio Budget Statements 2022-23, Budget Related Paper No. 1.10, Home Affairs Portfolio</w:t>
      </w:r>
      <w:r w:rsidRPr="009A5F96">
        <w:rPr>
          <w:rFonts w:ascii="Times New Roman" w:hAnsi="Times New Roman" w:cs="Times New Roman"/>
          <w:iCs/>
          <w:sz w:val="24"/>
          <w:szCs w:val="24"/>
          <w:lang w:val="en-US"/>
        </w:rPr>
        <w:t xml:space="preserve"> at page </w:t>
      </w:r>
      <w:r w:rsidR="00171716" w:rsidRPr="009A5F96">
        <w:rPr>
          <w:rFonts w:ascii="Times New Roman" w:hAnsi="Times New Roman" w:cs="Times New Roman"/>
          <w:iCs/>
          <w:sz w:val="24"/>
          <w:szCs w:val="24"/>
          <w:lang w:val="en-US"/>
        </w:rPr>
        <w:t>54</w:t>
      </w:r>
      <w:r w:rsidRPr="009A5F96">
        <w:rPr>
          <w:rFonts w:ascii="Times New Roman" w:hAnsi="Times New Roman" w:cs="Times New Roman"/>
          <w:iCs/>
          <w:sz w:val="24"/>
          <w:szCs w:val="24"/>
          <w:lang w:val="en-US"/>
        </w:rPr>
        <w:t>. Funding for this item is included as part of the SRSS.</w:t>
      </w:r>
    </w:p>
    <w:p w14:paraId="1BF96BAD" w14:textId="77777777" w:rsidR="00CF153D" w:rsidRPr="009A5F96" w:rsidRDefault="00CF153D" w:rsidP="00CF153D">
      <w:pPr>
        <w:spacing w:after="0" w:line="240" w:lineRule="auto"/>
        <w:rPr>
          <w:rFonts w:ascii="Times New Roman" w:hAnsi="Times New Roman" w:cs="Times New Roman"/>
          <w:iCs/>
          <w:sz w:val="24"/>
          <w:szCs w:val="24"/>
          <w:lang w:val="en-US"/>
        </w:rPr>
      </w:pPr>
    </w:p>
    <w:p w14:paraId="4AA48EC2" w14:textId="77777777"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26058A2F" w14:textId="77777777" w:rsidR="00CF153D" w:rsidRPr="009A5F96" w:rsidRDefault="00CF153D" w:rsidP="00CF153D">
      <w:pPr>
        <w:pStyle w:val="ListParagraph"/>
        <w:widowControl w:val="0"/>
        <w:numPr>
          <w:ilvl w:val="0"/>
          <w:numId w:val="2"/>
        </w:numPr>
        <w:spacing w:after="0" w:line="240" w:lineRule="auto"/>
        <w:contextualSpacing/>
        <w:rPr>
          <w:rFonts w:ascii="Times New Roman" w:hAnsi="Times New Roman"/>
          <w:sz w:val="24"/>
          <w:szCs w:val="24"/>
        </w:rPr>
      </w:pPr>
      <w:r w:rsidRPr="009A5F96">
        <w:rPr>
          <w:rFonts w:ascii="Times New Roman" w:hAnsi="Times New Roman"/>
          <w:sz w:val="24"/>
          <w:szCs w:val="24"/>
        </w:rPr>
        <w:t xml:space="preserve">the </w:t>
      </w:r>
      <w:proofErr w:type="gramStart"/>
      <w:r w:rsidRPr="009A5F96">
        <w:rPr>
          <w:rFonts w:ascii="Times New Roman" w:hAnsi="Times New Roman"/>
          <w:sz w:val="24"/>
          <w:szCs w:val="24"/>
        </w:rPr>
        <w:t>aliens</w:t>
      </w:r>
      <w:proofErr w:type="gramEnd"/>
      <w:r w:rsidRPr="009A5F96">
        <w:rPr>
          <w:rFonts w:ascii="Times New Roman" w:hAnsi="Times New Roman"/>
          <w:sz w:val="24"/>
          <w:szCs w:val="24"/>
        </w:rPr>
        <w:t xml:space="preserve"> power (section 51(xix)</w:t>
      </w:r>
      <w:r w:rsidR="003A3714" w:rsidRPr="009A5F96">
        <w:rPr>
          <w:rFonts w:ascii="Times New Roman" w:hAnsi="Times New Roman"/>
          <w:sz w:val="24"/>
          <w:szCs w:val="24"/>
        </w:rPr>
        <w:t>)</w:t>
      </w:r>
      <w:r w:rsidRPr="009A5F96">
        <w:rPr>
          <w:rFonts w:ascii="Times New Roman" w:hAnsi="Times New Roman"/>
          <w:sz w:val="24"/>
          <w:szCs w:val="24"/>
        </w:rPr>
        <w:t>; and</w:t>
      </w:r>
    </w:p>
    <w:p w14:paraId="3D930185" w14:textId="77777777" w:rsidR="00CF153D" w:rsidRPr="009A5F96" w:rsidRDefault="00CF153D" w:rsidP="00CF153D">
      <w:pPr>
        <w:pStyle w:val="ListParagraph"/>
        <w:widowControl w:val="0"/>
        <w:numPr>
          <w:ilvl w:val="0"/>
          <w:numId w:val="2"/>
        </w:numPr>
        <w:spacing w:after="0" w:line="240" w:lineRule="auto"/>
        <w:contextualSpacing/>
        <w:rPr>
          <w:rFonts w:ascii="Times New Roman" w:hAnsi="Times New Roman"/>
          <w:sz w:val="24"/>
          <w:szCs w:val="24"/>
        </w:rPr>
      </w:pPr>
      <w:r w:rsidRPr="009A5F96">
        <w:rPr>
          <w:rFonts w:ascii="Times New Roman" w:hAnsi="Times New Roman"/>
          <w:sz w:val="24"/>
          <w:szCs w:val="24"/>
        </w:rPr>
        <w:t>the race power (section 51(xxvi)</w:t>
      </w:r>
      <w:r w:rsidR="003A3714" w:rsidRPr="009A5F96">
        <w:rPr>
          <w:rFonts w:ascii="Times New Roman" w:hAnsi="Times New Roman"/>
          <w:sz w:val="24"/>
          <w:szCs w:val="24"/>
        </w:rPr>
        <w:t>)</w:t>
      </w:r>
      <w:r w:rsidRPr="009A5F96">
        <w:rPr>
          <w:rFonts w:ascii="Times New Roman" w:hAnsi="Times New Roman"/>
          <w:sz w:val="24"/>
          <w:szCs w:val="24"/>
        </w:rPr>
        <w:t xml:space="preserve">. </w:t>
      </w:r>
    </w:p>
    <w:p w14:paraId="4BAE19FE" w14:textId="77777777" w:rsidR="00CF153D" w:rsidRPr="009A5F96" w:rsidRDefault="00CF153D" w:rsidP="00CF153D">
      <w:pPr>
        <w:pStyle w:val="ListParagraph"/>
        <w:widowControl w:val="0"/>
        <w:spacing w:after="0" w:line="240" w:lineRule="auto"/>
        <w:ind w:left="720"/>
        <w:contextualSpacing/>
        <w:rPr>
          <w:rFonts w:ascii="Times New Roman" w:hAnsi="Times New Roman"/>
          <w:sz w:val="24"/>
          <w:szCs w:val="24"/>
        </w:rPr>
      </w:pPr>
    </w:p>
    <w:p w14:paraId="7127F478" w14:textId="77777777" w:rsidR="00CF153D" w:rsidRPr="009A5F96" w:rsidRDefault="00CF153D" w:rsidP="00CF153D">
      <w:pPr>
        <w:spacing w:after="0" w:line="240" w:lineRule="auto"/>
        <w:rPr>
          <w:rFonts w:ascii="Times New Roman" w:hAnsi="Times New Roman" w:cs="Times New Roman"/>
          <w:i/>
          <w:sz w:val="24"/>
          <w:szCs w:val="24"/>
          <w:u w:val="single"/>
        </w:rPr>
      </w:pPr>
      <w:r w:rsidRPr="009A5F96">
        <w:rPr>
          <w:rFonts w:ascii="Times New Roman" w:hAnsi="Times New Roman" w:cs="Times New Roman"/>
          <w:i/>
          <w:sz w:val="24"/>
          <w:szCs w:val="24"/>
          <w:u w:val="single"/>
        </w:rPr>
        <w:t>Aliens power</w:t>
      </w:r>
    </w:p>
    <w:p w14:paraId="24DA9F93" w14:textId="77777777" w:rsidR="00CF153D" w:rsidRPr="009A5F96" w:rsidRDefault="00CF153D" w:rsidP="00CF153D">
      <w:pPr>
        <w:spacing w:after="0" w:line="240" w:lineRule="auto"/>
        <w:rPr>
          <w:rFonts w:ascii="Times New Roman" w:hAnsi="Times New Roman" w:cs="Times New Roman"/>
          <w:sz w:val="24"/>
          <w:szCs w:val="24"/>
        </w:rPr>
      </w:pPr>
    </w:p>
    <w:p w14:paraId="7228872B" w14:textId="77777777"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 xml:space="preserve">Section 51(xix) of the Constitution empowers the Parliament to make laws with respect to ‘naturalization and </w:t>
      </w:r>
      <w:proofErr w:type="gramStart"/>
      <w:r w:rsidRPr="009A5F96">
        <w:rPr>
          <w:rFonts w:ascii="Times New Roman" w:hAnsi="Times New Roman" w:cs="Times New Roman"/>
          <w:sz w:val="24"/>
          <w:szCs w:val="24"/>
        </w:rPr>
        <w:t>aliens’</w:t>
      </w:r>
      <w:proofErr w:type="gramEnd"/>
      <w:r w:rsidRPr="009A5F96">
        <w:rPr>
          <w:rFonts w:ascii="Times New Roman" w:hAnsi="Times New Roman" w:cs="Times New Roman"/>
          <w:sz w:val="24"/>
          <w:szCs w:val="24"/>
        </w:rPr>
        <w:t>.</w:t>
      </w:r>
    </w:p>
    <w:p w14:paraId="17D66260" w14:textId="77777777" w:rsidR="00CF153D" w:rsidRPr="009A5F96" w:rsidRDefault="00CF153D" w:rsidP="00CF153D">
      <w:pPr>
        <w:spacing w:after="0" w:line="240" w:lineRule="auto"/>
        <w:rPr>
          <w:rFonts w:ascii="Times New Roman" w:hAnsi="Times New Roman" w:cs="Times New Roman"/>
          <w:sz w:val="24"/>
          <w:szCs w:val="24"/>
        </w:rPr>
      </w:pPr>
    </w:p>
    <w:p w14:paraId="1688CA21" w14:textId="7D1DA859"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 xml:space="preserve">Funding will be provided under the SRSS – special purpose visa holders to provide support to non-citizens claiming to be affected by the decision of the High Court in </w:t>
      </w:r>
      <w:r w:rsidRPr="009A5F96">
        <w:rPr>
          <w:rFonts w:ascii="Times New Roman" w:hAnsi="Times New Roman" w:cs="Times New Roman"/>
          <w:i/>
          <w:sz w:val="24"/>
          <w:szCs w:val="24"/>
        </w:rPr>
        <w:t xml:space="preserve">Love v Commonwealth; </w:t>
      </w:r>
      <w:proofErr w:type="spellStart"/>
      <w:r w:rsidRPr="009A5F96">
        <w:rPr>
          <w:rFonts w:ascii="Times New Roman" w:hAnsi="Times New Roman" w:cs="Times New Roman"/>
          <w:i/>
          <w:sz w:val="24"/>
          <w:szCs w:val="24"/>
        </w:rPr>
        <w:t>Thoms</w:t>
      </w:r>
      <w:proofErr w:type="spellEnd"/>
      <w:r w:rsidRPr="009A5F96">
        <w:rPr>
          <w:rFonts w:ascii="Times New Roman" w:hAnsi="Times New Roman" w:cs="Times New Roman"/>
          <w:i/>
          <w:sz w:val="24"/>
          <w:szCs w:val="24"/>
        </w:rPr>
        <w:t xml:space="preserve"> v Commonwealth</w:t>
      </w:r>
      <w:r w:rsidRPr="009A5F96">
        <w:rPr>
          <w:rFonts w:ascii="Times New Roman" w:hAnsi="Times New Roman" w:cs="Times New Roman"/>
          <w:sz w:val="24"/>
          <w:szCs w:val="24"/>
        </w:rPr>
        <w:t xml:space="preserve"> (2020) 270 CLR 152 who have been granted a </w:t>
      </w:r>
      <w:r w:rsidR="00C43DA4" w:rsidRPr="009A5F96">
        <w:rPr>
          <w:rFonts w:ascii="Times New Roman" w:hAnsi="Times New Roman" w:cs="Times New Roman"/>
          <w:sz w:val="24"/>
          <w:szCs w:val="24"/>
        </w:rPr>
        <w:t>SPV</w:t>
      </w:r>
      <w:r w:rsidRPr="009A5F96">
        <w:rPr>
          <w:rFonts w:ascii="Times New Roman" w:hAnsi="Times New Roman" w:cs="Times New Roman"/>
          <w:sz w:val="24"/>
          <w:szCs w:val="24"/>
        </w:rPr>
        <w:t>.   </w:t>
      </w:r>
    </w:p>
    <w:p w14:paraId="18BF11E2" w14:textId="77777777" w:rsidR="00CF153D" w:rsidRPr="009A5F96" w:rsidRDefault="00CF153D" w:rsidP="00CF153D">
      <w:pPr>
        <w:spacing w:after="0" w:line="240" w:lineRule="auto"/>
        <w:rPr>
          <w:rFonts w:ascii="Times New Roman" w:hAnsi="Times New Roman" w:cs="Times New Roman"/>
          <w:sz w:val="24"/>
          <w:szCs w:val="24"/>
        </w:rPr>
      </w:pPr>
    </w:p>
    <w:p w14:paraId="751DBFEC" w14:textId="110D6D94" w:rsidR="00CF153D" w:rsidRPr="009A5F96" w:rsidRDefault="00E4044E" w:rsidP="00CF153D">
      <w:pPr>
        <w:spacing w:after="0" w:line="240" w:lineRule="auto"/>
        <w:rPr>
          <w:rFonts w:ascii="Times New Roman" w:eastAsia="Times New Roman" w:hAnsi="Times New Roman" w:cs="Times New Roman"/>
          <w:i/>
          <w:sz w:val="24"/>
          <w:szCs w:val="24"/>
          <w:u w:val="single"/>
          <w:lang w:eastAsia="en-AU"/>
        </w:rPr>
      </w:pPr>
      <w:r w:rsidRPr="009A5F96">
        <w:rPr>
          <w:rFonts w:ascii="Times New Roman" w:eastAsia="Times New Roman" w:hAnsi="Times New Roman" w:cs="Times New Roman"/>
          <w:i/>
          <w:sz w:val="24"/>
          <w:szCs w:val="24"/>
          <w:u w:val="single"/>
          <w:lang w:eastAsia="en-AU"/>
        </w:rPr>
        <w:br w:type="column"/>
      </w:r>
      <w:r w:rsidR="00CF153D" w:rsidRPr="009A5F96">
        <w:rPr>
          <w:rFonts w:ascii="Times New Roman" w:eastAsia="Times New Roman" w:hAnsi="Times New Roman" w:cs="Times New Roman"/>
          <w:i/>
          <w:sz w:val="24"/>
          <w:szCs w:val="24"/>
          <w:u w:val="single"/>
          <w:lang w:eastAsia="en-AU"/>
        </w:rPr>
        <w:lastRenderedPageBreak/>
        <w:t>Race power</w:t>
      </w:r>
    </w:p>
    <w:p w14:paraId="1AD558BB" w14:textId="77777777" w:rsidR="00E4044E" w:rsidRPr="009A5F96" w:rsidRDefault="00E4044E" w:rsidP="00CF153D">
      <w:pPr>
        <w:spacing w:after="0" w:line="240" w:lineRule="auto"/>
        <w:rPr>
          <w:rFonts w:ascii="Times New Roman" w:hAnsi="Times New Roman" w:cs="Times New Roman"/>
          <w:sz w:val="24"/>
          <w:szCs w:val="24"/>
        </w:rPr>
      </w:pPr>
    </w:p>
    <w:p w14:paraId="1158C31D" w14:textId="49FB64EF"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w:t>
      </w:r>
      <w:proofErr w:type="gramStart"/>
      <w:r w:rsidRPr="009A5F96">
        <w:rPr>
          <w:rFonts w:ascii="Times New Roman" w:hAnsi="Times New Roman" w:cs="Times New Roman"/>
          <w:sz w:val="24"/>
          <w:szCs w:val="24"/>
        </w:rPr>
        <w:t>laws</w:t>
      </w:r>
      <w:r w:rsidR="00C43DA4" w:rsidRPr="009A5F96">
        <w:rPr>
          <w:rFonts w:ascii="Times New Roman" w:hAnsi="Times New Roman" w:cs="Times New Roman"/>
          <w:sz w:val="24"/>
          <w:szCs w:val="24"/>
        </w:rPr>
        <w:t>’</w:t>
      </w:r>
      <w:proofErr w:type="gramEnd"/>
      <w:r w:rsidRPr="009A5F96">
        <w:rPr>
          <w:rFonts w:ascii="Times New Roman" w:hAnsi="Times New Roman" w:cs="Times New Roman"/>
          <w:sz w:val="24"/>
          <w:szCs w:val="24"/>
        </w:rPr>
        <w:t>.  </w:t>
      </w:r>
    </w:p>
    <w:p w14:paraId="1541E51D" w14:textId="77777777" w:rsidR="00CF153D" w:rsidRPr="009A5F96" w:rsidRDefault="00CF153D" w:rsidP="00CF153D">
      <w:pPr>
        <w:spacing w:after="0" w:line="240" w:lineRule="auto"/>
        <w:rPr>
          <w:rFonts w:ascii="Times New Roman" w:hAnsi="Times New Roman" w:cs="Times New Roman"/>
          <w:sz w:val="24"/>
          <w:szCs w:val="24"/>
        </w:rPr>
      </w:pPr>
    </w:p>
    <w:p w14:paraId="1BFF3825" w14:textId="7AE3B253" w:rsidR="00CF153D" w:rsidRPr="009A5F96" w:rsidRDefault="00CF153D" w:rsidP="00CF153D">
      <w:pPr>
        <w:spacing w:after="0" w:line="240" w:lineRule="auto"/>
        <w:rPr>
          <w:rFonts w:ascii="Times New Roman" w:hAnsi="Times New Roman" w:cs="Times New Roman"/>
          <w:sz w:val="24"/>
          <w:szCs w:val="24"/>
          <w:lang w:val="en-US"/>
        </w:rPr>
      </w:pPr>
      <w:r w:rsidRPr="009A5F96">
        <w:rPr>
          <w:rFonts w:ascii="Times New Roman" w:hAnsi="Times New Roman" w:cs="Times New Roman"/>
          <w:sz w:val="24"/>
          <w:szCs w:val="24"/>
          <w:lang w:val="en-US"/>
        </w:rPr>
        <w:t xml:space="preserve">Funding will be provided under the SRSS – special purpose visa holders to provide support to Aboriginal and Torres Strait Islander non-citizens affected by the decision of the High Court in </w:t>
      </w:r>
      <w:r w:rsidRPr="009A5F96">
        <w:rPr>
          <w:rFonts w:ascii="Times New Roman" w:hAnsi="Times New Roman" w:cs="Times New Roman"/>
          <w:i/>
          <w:sz w:val="24"/>
          <w:szCs w:val="24"/>
          <w:lang w:val="en-US"/>
        </w:rPr>
        <w:t xml:space="preserve">Love v Commonwealth; </w:t>
      </w:r>
      <w:proofErr w:type="spellStart"/>
      <w:r w:rsidRPr="009A5F96">
        <w:rPr>
          <w:rFonts w:ascii="Times New Roman" w:hAnsi="Times New Roman" w:cs="Times New Roman"/>
          <w:i/>
          <w:sz w:val="24"/>
          <w:szCs w:val="24"/>
          <w:lang w:val="en-US"/>
        </w:rPr>
        <w:t>Thoms</w:t>
      </w:r>
      <w:proofErr w:type="spellEnd"/>
      <w:r w:rsidRPr="009A5F96">
        <w:rPr>
          <w:rFonts w:ascii="Times New Roman" w:hAnsi="Times New Roman" w:cs="Times New Roman"/>
          <w:i/>
          <w:sz w:val="24"/>
          <w:szCs w:val="24"/>
          <w:lang w:val="en-US"/>
        </w:rPr>
        <w:t xml:space="preserve"> v Commonwealth</w:t>
      </w:r>
      <w:r w:rsidRPr="009A5F96">
        <w:rPr>
          <w:rFonts w:ascii="Times New Roman" w:hAnsi="Times New Roman" w:cs="Times New Roman"/>
          <w:sz w:val="24"/>
          <w:szCs w:val="24"/>
          <w:lang w:val="en-US"/>
        </w:rPr>
        <w:t xml:space="preserve"> (2020) 270 CLR 152 who have been granted a S</w:t>
      </w:r>
      <w:r w:rsidR="004F3350" w:rsidRPr="009A5F96">
        <w:rPr>
          <w:rFonts w:ascii="Times New Roman" w:hAnsi="Times New Roman" w:cs="Times New Roman"/>
          <w:sz w:val="24"/>
          <w:szCs w:val="24"/>
          <w:lang w:val="en-US"/>
        </w:rPr>
        <w:t>PV</w:t>
      </w:r>
      <w:r w:rsidRPr="009A5F96">
        <w:rPr>
          <w:rFonts w:ascii="Times New Roman" w:hAnsi="Times New Roman" w:cs="Times New Roman"/>
          <w:sz w:val="24"/>
          <w:szCs w:val="24"/>
          <w:lang w:val="en-US"/>
        </w:rPr>
        <w:t>.</w:t>
      </w:r>
    </w:p>
    <w:p w14:paraId="2919962B" w14:textId="77777777" w:rsidR="00CF153D" w:rsidRPr="009A5F96" w:rsidRDefault="00CF153D" w:rsidP="00CF153D">
      <w:pPr>
        <w:spacing w:after="0" w:line="240" w:lineRule="auto"/>
        <w:rPr>
          <w:rFonts w:ascii="Times New Roman" w:hAnsi="Times New Roman" w:cs="Times New Roman"/>
          <w:sz w:val="24"/>
          <w:szCs w:val="24"/>
          <w:lang w:val="en-US"/>
        </w:rPr>
      </w:pPr>
    </w:p>
    <w:p w14:paraId="60EC677A" w14:textId="77777777" w:rsidR="00CF153D" w:rsidRPr="009A5F96" w:rsidRDefault="00CF153D" w:rsidP="00CF153D">
      <w:pPr>
        <w:spacing w:after="0" w:line="240" w:lineRule="auto"/>
        <w:ind w:left="360"/>
        <w:rPr>
          <w:rFonts w:ascii="Times New Roman" w:eastAsia="Calibri" w:hAnsi="Times New Roman" w:cs="Times New Roman"/>
          <w:sz w:val="24"/>
          <w:szCs w:val="24"/>
          <w:lang w:val="en-US"/>
        </w:rPr>
      </w:pPr>
    </w:p>
    <w:p w14:paraId="684AA429" w14:textId="77777777" w:rsidR="00CF153D" w:rsidRPr="009A5F96" w:rsidRDefault="00CF153D" w:rsidP="00CF153D">
      <w:pPr>
        <w:spacing w:after="0" w:line="240" w:lineRule="auto"/>
        <w:rPr>
          <w:rFonts w:ascii="Times New Roman" w:hAnsi="Times New Roman" w:cs="Times New Roman"/>
          <w:sz w:val="24"/>
          <w:szCs w:val="24"/>
        </w:rPr>
        <w:sectPr w:rsidR="00CF153D" w:rsidRPr="009A5F96" w:rsidSect="009245B8">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14:paraId="1288A7DE" w14:textId="77777777" w:rsidR="00CF153D" w:rsidRPr="009A5F96" w:rsidRDefault="00CF153D" w:rsidP="00CF153D">
      <w:pPr>
        <w:spacing w:after="0" w:line="240" w:lineRule="auto"/>
        <w:contextualSpacing/>
        <w:jc w:val="center"/>
        <w:rPr>
          <w:rFonts w:ascii="Times New Roman" w:eastAsia="Times New Roman" w:hAnsi="Times New Roman" w:cs="Times New Roman"/>
          <w:b/>
          <w:bCs/>
          <w:sz w:val="24"/>
          <w:szCs w:val="24"/>
        </w:rPr>
      </w:pPr>
      <w:r w:rsidRPr="009A5F96">
        <w:rPr>
          <w:rFonts w:ascii="Times New Roman" w:eastAsia="Times New Roman" w:hAnsi="Times New Roman" w:cs="Times New Roman"/>
          <w:b/>
          <w:bCs/>
          <w:sz w:val="24"/>
          <w:szCs w:val="24"/>
        </w:rPr>
        <w:lastRenderedPageBreak/>
        <w:t>Statement of Compatibility with Human Rights</w:t>
      </w:r>
    </w:p>
    <w:p w14:paraId="1F9CA380" w14:textId="77777777" w:rsidR="00CF153D" w:rsidRPr="009A5F96" w:rsidRDefault="00CF153D" w:rsidP="00CF153D">
      <w:pPr>
        <w:spacing w:after="0" w:line="240" w:lineRule="auto"/>
        <w:contextualSpacing/>
        <w:rPr>
          <w:rFonts w:ascii="Times New Roman" w:eastAsia="Times New Roman" w:hAnsi="Times New Roman" w:cs="Times New Roman"/>
          <w:b/>
          <w:bCs/>
          <w:sz w:val="24"/>
          <w:szCs w:val="24"/>
        </w:rPr>
      </w:pPr>
    </w:p>
    <w:p w14:paraId="573933A6" w14:textId="77777777" w:rsidR="00CF153D" w:rsidRPr="009A5F96" w:rsidRDefault="00CF153D" w:rsidP="00CF153D">
      <w:pPr>
        <w:pStyle w:val="paranumbering"/>
        <w:spacing w:before="0" w:beforeAutospacing="0" w:after="0" w:afterAutospacing="0"/>
        <w:contextualSpacing/>
        <w:jc w:val="center"/>
      </w:pPr>
      <w:r w:rsidRPr="009A5F96">
        <w:t xml:space="preserve">Prepared in accordance with Part 3 of the </w:t>
      </w:r>
      <w:r w:rsidRPr="009A5F96">
        <w:rPr>
          <w:i/>
        </w:rPr>
        <w:t>Human Rights (Parliamentary Scrutiny) Act 2011</w:t>
      </w:r>
    </w:p>
    <w:p w14:paraId="487F5274" w14:textId="77777777" w:rsidR="00CF153D" w:rsidRPr="009A5F96" w:rsidRDefault="00CF153D" w:rsidP="00CF153D">
      <w:pPr>
        <w:pStyle w:val="paranumbering"/>
        <w:spacing w:before="0" w:beforeAutospacing="0" w:after="0" w:afterAutospacing="0"/>
        <w:contextualSpacing/>
      </w:pPr>
    </w:p>
    <w:p w14:paraId="578AFC3D" w14:textId="77777777" w:rsidR="00CF153D" w:rsidRPr="009A5F96" w:rsidRDefault="00CF153D" w:rsidP="00CF153D">
      <w:pPr>
        <w:pStyle w:val="paranumbering"/>
        <w:spacing w:before="0" w:beforeAutospacing="0" w:after="0" w:afterAutospacing="0"/>
        <w:contextualSpacing/>
        <w:rPr>
          <w:b/>
          <w:i/>
        </w:rPr>
      </w:pPr>
      <w:r w:rsidRPr="009A5F96">
        <w:rPr>
          <w:b/>
          <w:i/>
        </w:rPr>
        <w:t xml:space="preserve">Financial Framework (Supplementary Powers) Amendment </w:t>
      </w:r>
      <w:r w:rsidRPr="009A5F96">
        <w:rPr>
          <w:b/>
          <w:i/>
          <w:iCs/>
        </w:rPr>
        <w:t>(</w:t>
      </w:r>
      <w:r w:rsidRPr="009A5F96">
        <w:rPr>
          <w:b/>
          <w:i/>
          <w:iCs/>
          <w:lang w:val="en-US"/>
        </w:rPr>
        <w:t xml:space="preserve">Home Affairs </w:t>
      </w:r>
      <w:r w:rsidRPr="009A5F96">
        <w:rPr>
          <w:b/>
          <w:i/>
          <w:iCs/>
          <w:lang w:val="en-US"/>
        </w:rPr>
        <w:br/>
      </w:r>
      <w:r w:rsidRPr="009A5F96">
        <w:rPr>
          <w:b/>
          <w:i/>
          <w:iCs/>
        </w:rPr>
        <w:t xml:space="preserve">Measures No. 1) </w:t>
      </w:r>
      <w:r w:rsidRPr="009A5F96">
        <w:rPr>
          <w:b/>
          <w:i/>
        </w:rPr>
        <w:t>Regulations 2023</w:t>
      </w:r>
    </w:p>
    <w:p w14:paraId="09FB90AC" w14:textId="77777777" w:rsidR="00CF153D" w:rsidRPr="009A5F96" w:rsidRDefault="00CF153D" w:rsidP="00CF153D">
      <w:pPr>
        <w:pStyle w:val="paranumbering"/>
        <w:spacing w:before="0" w:beforeAutospacing="0" w:after="0" w:afterAutospacing="0"/>
        <w:contextualSpacing/>
      </w:pPr>
    </w:p>
    <w:p w14:paraId="12E9C82A" w14:textId="77777777" w:rsidR="00CF153D" w:rsidRPr="009A5F96" w:rsidRDefault="00CF153D" w:rsidP="00CF153D">
      <w:pPr>
        <w:pStyle w:val="paranumbering"/>
        <w:spacing w:before="0" w:beforeAutospacing="0" w:after="0" w:afterAutospacing="0"/>
        <w:contextualSpacing/>
      </w:pPr>
      <w:r w:rsidRPr="009A5F96">
        <w:t xml:space="preserve">This disallowable legislative instrument is compatible with the human rights and freedoms recognised or declared in the international instruments listed in section 3 of the </w:t>
      </w:r>
      <w:r w:rsidRPr="009A5F96">
        <w:rPr>
          <w:i/>
        </w:rPr>
        <w:t>Human Rights (Parliamentary Scrutiny) Act 2011.</w:t>
      </w:r>
    </w:p>
    <w:p w14:paraId="2DB0B725" w14:textId="77777777" w:rsidR="00CF153D" w:rsidRPr="009A5F96" w:rsidRDefault="00CF153D" w:rsidP="00CF153D">
      <w:pPr>
        <w:pStyle w:val="paranumbering"/>
        <w:spacing w:before="0" w:beforeAutospacing="0" w:after="0" w:afterAutospacing="0"/>
        <w:contextualSpacing/>
      </w:pPr>
    </w:p>
    <w:p w14:paraId="6F6ECFA5" w14:textId="77777777" w:rsidR="00CF153D" w:rsidRPr="009A5F96" w:rsidRDefault="00CF153D" w:rsidP="00CF153D">
      <w:pPr>
        <w:pStyle w:val="paranumbering"/>
        <w:spacing w:before="0" w:beforeAutospacing="0" w:after="0" w:afterAutospacing="0"/>
        <w:contextualSpacing/>
        <w:rPr>
          <w:b/>
        </w:rPr>
      </w:pPr>
      <w:r w:rsidRPr="009A5F96">
        <w:rPr>
          <w:b/>
        </w:rPr>
        <w:t>Overview of the legislative instrument</w:t>
      </w:r>
    </w:p>
    <w:p w14:paraId="0920D88B" w14:textId="77777777" w:rsidR="00CF153D" w:rsidRPr="009A5F96" w:rsidRDefault="00CF153D" w:rsidP="00CF153D">
      <w:pPr>
        <w:pStyle w:val="paranumbering"/>
        <w:spacing w:before="0" w:beforeAutospacing="0" w:after="0" w:afterAutospacing="0"/>
        <w:contextualSpacing/>
      </w:pPr>
    </w:p>
    <w:p w14:paraId="4C1FF9AD" w14:textId="77777777" w:rsidR="00CF153D" w:rsidRPr="009A5F96" w:rsidRDefault="00CF153D" w:rsidP="00CF153D">
      <w:pPr>
        <w:pStyle w:val="paranumbering"/>
        <w:spacing w:before="0" w:beforeAutospacing="0" w:after="0" w:afterAutospacing="0"/>
        <w:contextualSpacing/>
      </w:pPr>
      <w:r w:rsidRPr="009A5F96">
        <w:t xml:space="preserve">Section 32B of the </w:t>
      </w:r>
      <w:r w:rsidRPr="009A5F96">
        <w:rPr>
          <w:i/>
        </w:rPr>
        <w:t>Financial Framework (Supplementary Powers) Act 1997</w:t>
      </w:r>
      <w:r w:rsidRPr="009A5F96">
        <w:t xml:space="preserve"> (the FF(SP) Act) authorises the Commonwealth to make, vary and administer arrangements and grants specified in the </w:t>
      </w:r>
      <w:r w:rsidRPr="009A5F96">
        <w:rPr>
          <w:i/>
        </w:rPr>
        <w:t xml:space="preserve">Financial Framework (Supplementary Powers) Regulations 1997 </w:t>
      </w:r>
      <w:r w:rsidRPr="009A5F96">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9A5F96">
        <w:noBreakHyphen/>
        <w:t xml:space="preserve">corporate Commonwealth entities, as defined under section 12 of the </w:t>
      </w:r>
      <w:r w:rsidRPr="009A5F96">
        <w:rPr>
          <w:i/>
        </w:rPr>
        <w:t>Public Governance, Performance and Accountability Act 2013</w:t>
      </w:r>
      <w:r w:rsidRPr="009A5F96">
        <w:t>.</w:t>
      </w:r>
    </w:p>
    <w:p w14:paraId="01BA4FFF" w14:textId="77777777" w:rsidR="00CF153D" w:rsidRPr="009A5F96" w:rsidRDefault="00CF153D" w:rsidP="00CF153D">
      <w:pPr>
        <w:spacing w:after="0" w:line="240" w:lineRule="auto"/>
        <w:rPr>
          <w:rFonts w:ascii="Times New Roman" w:hAnsi="Times New Roman" w:cs="Times New Roman"/>
          <w:sz w:val="24"/>
          <w:szCs w:val="24"/>
        </w:rPr>
      </w:pPr>
    </w:p>
    <w:p w14:paraId="639B9D8F" w14:textId="77777777"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 xml:space="preserve">The </w:t>
      </w:r>
      <w:r w:rsidRPr="009A5F96">
        <w:rPr>
          <w:rFonts w:ascii="Times New Roman" w:hAnsi="Times New Roman" w:cs="Times New Roman"/>
          <w:i/>
          <w:sz w:val="24"/>
          <w:szCs w:val="24"/>
        </w:rPr>
        <w:t>Financial Framework (Supplementary Powers) Amendment (</w:t>
      </w:r>
      <w:r w:rsidRPr="009A5F96">
        <w:rPr>
          <w:rFonts w:ascii="Times New Roman" w:hAnsi="Times New Roman" w:cs="Times New Roman"/>
          <w:i/>
          <w:sz w:val="24"/>
          <w:szCs w:val="24"/>
          <w:lang w:val="en-US"/>
        </w:rPr>
        <w:t>Home Affairs Measures No. 1</w:t>
      </w:r>
      <w:r w:rsidRPr="009A5F96">
        <w:rPr>
          <w:rFonts w:ascii="Times New Roman" w:hAnsi="Times New Roman" w:cs="Times New Roman"/>
          <w:i/>
          <w:sz w:val="24"/>
          <w:szCs w:val="24"/>
        </w:rPr>
        <w:t xml:space="preserve">) Regulations 2023 </w:t>
      </w:r>
      <w:r w:rsidRPr="009A5F96">
        <w:rPr>
          <w:rFonts w:ascii="Times New Roman" w:hAnsi="Times New Roman" w:cs="Times New Roman"/>
          <w:sz w:val="24"/>
          <w:szCs w:val="24"/>
        </w:rPr>
        <w:t>(the Regulations) amend Schedule 1AB to the Principal Regulations to establish legislative authority for government spending on the Status Resolution and Support Services—special purpose visa holders</w:t>
      </w:r>
      <w:r w:rsidRPr="009A5F96" w:rsidDel="008B5EAD">
        <w:rPr>
          <w:rFonts w:ascii="Times New Roman" w:hAnsi="Times New Roman" w:cs="Times New Roman"/>
          <w:sz w:val="24"/>
          <w:szCs w:val="24"/>
        </w:rPr>
        <w:t xml:space="preserve"> </w:t>
      </w:r>
      <w:r w:rsidRPr="009A5F96">
        <w:rPr>
          <w:rFonts w:ascii="Times New Roman" w:hAnsi="Times New Roman" w:cs="Times New Roman"/>
          <w:sz w:val="24"/>
          <w:szCs w:val="24"/>
        </w:rPr>
        <w:t xml:space="preserve">to be administered by the Department of Home Affairs. </w:t>
      </w:r>
    </w:p>
    <w:p w14:paraId="63F8726E" w14:textId="77777777" w:rsidR="00CF153D" w:rsidRPr="009A5F96" w:rsidRDefault="00CF153D" w:rsidP="00CF153D">
      <w:pPr>
        <w:spacing w:after="0" w:line="240" w:lineRule="auto"/>
        <w:rPr>
          <w:rFonts w:ascii="Times New Roman" w:hAnsi="Times New Roman" w:cs="Times New Roman"/>
          <w:sz w:val="24"/>
          <w:szCs w:val="24"/>
        </w:rPr>
      </w:pPr>
    </w:p>
    <w:p w14:paraId="4D4AE3FD" w14:textId="71EE536F"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 xml:space="preserve">The Status Resolution and Support Services (SRSS) is an existing program established in 2015 to provide targeted support to eligible individuals while they resolve their immigration status. Following the High Court decision in </w:t>
      </w:r>
      <w:r w:rsidRPr="009A5F96">
        <w:rPr>
          <w:rFonts w:ascii="Times New Roman" w:hAnsi="Times New Roman" w:cs="Times New Roman"/>
          <w:i/>
          <w:sz w:val="24"/>
          <w:szCs w:val="24"/>
          <w:lang w:val="en-US"/>
        </w:rPr>
        <w:t xml:space="preserve">Love v Commonwealth; </w:t>
      </w:r>
      <w:proofErr w:type="spellStart"/>
      <w:r w:rsidRPr="009A5F96">
        <w:rPr>
          <w:rFonts w:ascii="Times New Roman" w:hAnsi="Times New Roman" w:cs="Times New Roman"/>
          <w:i/>
          <w:sz w:val="24"/>
          <w:szCs w:val="24"/>
          <w:lang w:val="en-US"/>
        </w:rPr>
        <w:t>Thoms</w:t>
      </w:r>
      <w:proofErr w:type="spellEnd"/>
      <w:r w:rsidRPr="009A5F96">
        <w:rPr>
          <w:rFonts w:ascii="Times New Roman" w:hAnsi="Times New Roman" w:cs="Times New Roman"/>
          <w:i/>
          <w:sz w:val="24"/>
          <w:szCs w:val="24"/>
          <w:lang w:val="en-US"/>
        </w:rPr>
        <w:t xml:space="preserve"> v Commonwealth</w:t>
      </w:r>
      <w:r w:rsidRPr="009A5F96">
        <w:rPr>
          <w:rFonts w:ascii="Times New Roman" w:hAnsi="Times New Roman" w:cs="Times New Roman"/>
          <w:sz w:val="24"/>
          <w:szCs w:val="24"/>
          <w:lang w:val="en-US"/>
        </w:rPr>
        <w:t xml:space="preserve"> (2020) 270 CLR 152 with regards to persons who are not Australian citizens and who claim to be an Aboriginal or Torres Strait Islander person</w:t>
      </w:r>
      <w:r w:rsidRPr="009A5F96">
        <w:rPr>
          <w:rFonts w:ascii="Times New Roman" w:hAnsi="Times New Roman" w:cs="Times New Roman"/>
          <w:iCs/>
          <w:sz w:val="24"/>
          <w:szCs w:val="24"/>
          <w:lang w:val="en-US"/>
        </w:rPr>
        <w:t xml:space="preserve"> (t</w:t>
      </w:r>
      <w:r w:rsidRPr="009A5F96">
        <w:rPr>
          <w:rFonts w:ascii="Times New Roman" w:hAnsi="Times New Roman" w:cs="Times New Roman"/>
          <w:iCs/>
          <w:sz w:val="24"/>
          <w:szCs w:val="24"/>
        </w:rPr>
        <w:t xml:space="preserve">he </w:t>
      </w:r>
      <w:r w:rsidRPr="009A5F96">
        <w:rPr>
          <w:rFonts w:ascii="Times New Roman" w:hAnsi="Times New Roman" w:cs="Times New Roman"/>
          <w:i/>
          <w:iCs/>
          <w:sz w:val="24"/>
          <w:szCs w:val="24"/>
        </w:rPr>
        <w:t>Love</w:t>
      </w:r>
      <w:r w:rsidRPr="009A5F96">
        <w:rPr>
          <w:rFonts w:ascii="Times New Roman" w:hAnsi="Times New Roman" w:cs="Times New Roman"/>
          <w:iCs/>
          <w:sz w:val="24"/>
          <w:szCs w:val="24"/>
        </w:rPr>
        <w:t xml:space="preserve"> and </w:t>
      </w:r>
      <w:proofErr w:type="spellStart"/>
      <w:r w:rsidRPr="009A5F96">
        <w:rPr>
          <w:rFonts w:ascii="Times New Roman" w:hAnsi="Times New Roman" w:cs="Times New Roman"/>
          <w:i/>
          <w:iCs/>
          <w:sz w:val="24"/>
          <w:szCs w:val="24"/>
        </w:rPr>
        <w:t>Thoms</w:t>
      </w:r>
      <w:proofErr w:type="spellEnd"/>
      <w:r w:rsidRPr="009A5F96">
        <w:rPr>
          <w:rFonts w:ascii="Times New Roman" w:hAnsi="Times New Roman" w:cs="Times New Roman"/>
          <w:iCs/>
          <w:sz w:val="24"/>
          <w:szCs w:val="24"/>
        </w:rPr>
        <w:t xml:space="preserve"> cohort)</w:t>
      </w:r>
      <w:r w:rsidRPr="009A5F96">
        <w:rPr>
          <w:rFonts w:ascii="Times New Roman" w:hAnsi="Times New Roman" w:cs="Times New Roman"/>
          <w:sz w:val="24"/>
          <w:szCs w:val="24"/>
          <w:lang w:val="en-US"/>
        </w:rPr>
        <w:t>, a special purpose visa</w:t>
      </w:r>
      <w:r w:rsidR="006C5AE7" w:rsidRPr="009A5F96">
        <w:rPr>
          <w:rFonts w:ascii="Times New Roman" w:hAnsi="Times New Roman" w:cs="Times New Roman"/>
          <w:sz w:val="24"/>
          <w:szCs w:val="24"/>
          <w:lang w:val="en-US"/>
        </w:rPr>
        <w:t xml:space="preserve"> (SPV)</w:t>
      </w:r>
      <w:r w:rsidRPr="009A5F96">
        <w:rPr>
          <w:rFonts w:ascii="Times New Roman" w:hAnsi="Times New Roman" w:cs="Times New Roman"/>
          <w:sz w:val="24"/>
          <w:szCs w:val="24"/>
          <w:lang w:val="en-US"/>
        </w:rPr>
        <w:t xml:space="preserve"> has been granted to</w:t>
      </w:r>
      <w:r w:rsidR="003A495C" w:rsidRPr="009A5F96">
        <w:rPr>
          <w:rFonts w:ascii="Times New Roman" w:hAnsi="Times New Roman" w:cs="Times New Roman"/>
          <w:sz w:val="24"/>
          <w:szCs w:val="24"/>
          <w:lang w:val="en-US"/>
        </w:rPr>
        <w:t xml:space="preserve"> certain individuals in</w:t>
      </w:r>
      <w:r w:rsidRPr="009A5F96">
        <w:rPr>
          <w:rFonts w:ascii="Times New Roman" w:hAnsi="Times New Roman" w:cs="Times New Roman"/>
          <w:sz w:val="24"/>
          <w:szCs w:val="24"/>
          <w:lang w:val="en-US"/>
        </w:rPr>
        <w:t xml:space="preserve"> the </w:t>
      </w:r>
      <w:r w:rsidRPr="009A5F96">
        <w:rPr>
          <w:rFonts w:ascii="Times New Roman" w:hAnsi="Times New Roman" w:cs="Times New Roman"/>
          <w:i/>
          <w:iCs/>
          <w:sz w:val="24"/>
          <w:szCs w:val="24"/>
        </w:rPr>
        <w:t>Love</w:t>
      </w:r>
      <w:r w:rsidRPr="009A5F96">
        <w:rPr>
          <w:rFonts w:ascii="Times New Roman" w:hAnsi="Times New Roman" w:cs="Times New Roman"/>
          <w:iCs/>
          <w:sz w:val="24"/>
          <w:szCs w:val="24"/>
        </w:rPr>
        <w:t xml:space="preserve"> and </w:t>
      </w:r>
      <w:proofErr w:type="spellStart"/>
      <w:r w:rsidRPr="009A5F96">
        <w:rPr>
          <w:rFonts w:ascii="Times New Roman" w:hAnsi="Times New Roman" w:cs="Times New Roman"/>
          <w:i/>
          <w:iCs/>
          <w:sz w:val="24"/>
          <w:szCs w:val="24"/>
        </w:rPr>
        <w:t>Thoms</w:t>
      </w:r>
      <w:proofErr w:type="spellEnd"/>
      <w:r w:rsidRPr="009A5F96">
        <w:rPr>
          <w:rFonts w:ascii="Times New Roman" w:hAnsi="Times New Roman" w:cs="Times New Roman"/>
          <w:sz w:val="24"/>
          <w:szCs w:val="24"/>
          <w:lang w:val="en-US"/>
        </w:rPr>
        <w:t xml:space="preserve"> cohort.</w:t>
      </w:r>
    </w:p>
    <w:p w14:paraId="4D194EAE" w14:textId="77777777" w:rsidR="00CF153D" w:rsidRPr="009A5F96" w:rsidRDefault="00CF153D" w:rsidP="00CF153D">
      <w:pPr>
        <w:spacing w:after="0" w:line="240" w:lineRule="auto"/>
        <w:rPr>
          <w:rFonts w:ascii="Times New Roman" w:hAnsi="Times New Roman" w:cs="Times New Roman"/>
          <w:sz w:val="24"/>
          <w:szCs w:val="24"/>
        </w:rPr>
      </w:pPr>
    </w:p>
    <w:p w14:paraId="5EEC4705" w14:textId="4E25E9C1" w:rsidR="00CF153D" w:rsidRPr="009A5F96" w:rsidRDefault="006C5AE7"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lang w:val="en-US"/>
        </w:rPr>
        <w:t>SPV</w:t>
      </w:r>
      <w:r w:rsidR="00CF153D" w:rsidRPr="009A5F96">
        <w:rPr>
          <w:rFonts w:ascii="Times New Roman" w:hAnsi="Times New Roman" w:cs="Times New Roman"/>
          <w:sz w:val="24"/>
          <w:szCs w:val="24"/>
          <w:lang w:val="en-US"/>
        </w:rPr>
        <w:t xml:space="preserve"> holders are not able to access government entitlements or services, </w:t>
      </w:r>
      <w:proofErr w:type="gramStart"/>
      <w:r w:rsidR="00CF153D" w:rsidRPr="009A5F96">
        <w:rPr>
          <w:rFonts w:ascii="Times New Roman" w:hAnsi="Times New Roman" w:cs="Times New Roman"/>
          <w:sz w:val="24"/>
          <w:szCs w:val="24"/>
          <w:lang w:val="en-US"/>
        </w:rPr>
        <w:t>with the exception of</w:t>
      </w:r>
      <w:proofErr w:type="gramEnd"/>
      <w:r w:rsidR="00CF153D" w:rsidRPr="009A5F96">
        <w:rPr>
          <w:rFonts w:ascii="Times New Roman" w:hAnsi="Times New Roman" w:cs="Times New Roman"/>
          <w:sz w:val="24"/>
          <w:szCs w:val="24"/>
          <w:lang w:val="en-US"/>
        </w:rPr>
        <w:t xml:space="preserve"> Medicare</w:t>
      </w:r>
      <w:r w:rsidRPr="009A5F96">
        <w:rPr>
          <w:rFonts w:ascii="Times New Roman" w:hAnsi="Times New Roman" w:cs="Times New Roman"/>
          <w:sz w:val="24"/>
          <w:szCs w:val="24"/>
          <w:lang w:val="en-US"/>
        </w:rPr>
        <w:t>.</w:t>
      </w:r>
      <w:r w:rsidR="00CF153D" w:rsidRPr="009A5F96">
        <w:rPr>
          <w:rFonts w:ascii="Times New Roman" w:hAnsi="Times New Roman" w:cs="Times New Roman"/>
          <w:sz w:val="24"/>
          <w:szCs w:val="24"/>
          <w:lang w:val="en-US"/>
        </w:rPr>
        <w:t xml:space="preserve"> SRSS has been extended to provide access to some government services to reduce the risk of harm to those </w:t>
      </w:r>
      <w:r w:rsidR="00512748" w:rsidRPr="009A5F96">
        <w:rPr>
          <w:rFonts w:ascii="Times New Roman" w:hAnsi="Times New Roman" w:cs="Times New Roman"/>
          <w:sz w:val="24"/>
          <w:szCs w:val="24"/>
          <w:lang w:val="en-US"/>
        </w:rPr>
        <w:t>certain individuals</w:t>
      </w:r>
      <w:r w:rsidR="00CF153D" w:rsidRPr="009A5F96">
        <w:rPr>
          <w:rFonts w:ascii="Times New Roman" w:hAnsi="Times New Roman" w:cs="Times New Roman"/>
          <w:sz w:val="24"/>
          <w:szCs w:val="24"/>
          <w:lang w:val="en-US"/>
        </w:rPr>
        <w:t xml:space="preserve">, including the risk of destitution and homelessness. The </w:t>
      </w:r>
      <w:r w:rsidR="00512748" w:rsidRPr="009A5F96">
        <w:rPr>
          <w:rFonts w:ascii="Times New Roman" w:hAnsi="Times New Roman" w:cs="Times New Roman"/>
          <w:sz w:val="24"/>
          <w:szCs w:val="24"/>
          <w:lang w:val="en-US"/>
        </w:rPr>
        <w:t xml:space="preserve">SRSS </w:t>
      </w:r>
      <w:r w:rsidR="00CF153D" w:rsidRPr="009A5F96">
        <w:rPr>
          <w:rFonts w:ascii="Times New Roman" w:hAnsi="Times New Roman" w:cs="Times New Roman"/>
          <w:sz w:val="24"/>
          <w:szCs w:val="24"/>
          <w:lang w:val="en-US"/>
        </w:rPr>
        <w:t>will be tailored to individual circumstances, and will be provided for the shortest reasonable time where a genuine need has been identified and evidenced.</w:t>
      </w:r>
    </w:p>
    <w:p w14:paraId="296D748B" w14:textId="77777777" w:rsidR="00CF153D" w:rsidRPr="009A5F96" w:rsidRDefault="00CF153D" w:rsidP="00CF153D">
      <w:pPr>
        <w:spacing w:after="0" w:line="240" w:lineRule="auto"/>
        <w:rPr>
          <w:rFonts w:ascii="Times New Roman" w:hAnsi="Times New Roman" w:cs="Times New Roman"/>
          <w:sz w:val="24"/>
          <w:szCs w:val="24"/>
        </w:rPr>
      </w:pPr>
    </w:p>
    <w:p w14:paraId="671CB749" w14:textId="01A792B7" w:rsidR="00CF153D" w:rsidRPr="009A5F96" w:rsidRDefault="00CF153D" w:rsidP="00CF153D">
      <w:pPr>
        <w:spacing w:after="0" w:line="240" w:lineRule="auto"/>
        <w:rPr>
          <w:rFonts w:ascii="Times New Roman" w:hAnsi="Times New Roman" w:cs="Times New Roman"/>
          <w:sz w:val="24"/>
          <w:szCs w:val="24"/>
        </w:rPr>
      </w:pPr>
      <w:r w:rsidRPr="009A5F96">
        <w:rPr>
          <w:rFonts w:ascii="Times New Roman" w:hAnsi="Times New Roman" w:cs="Times New Roman"/>
          <w:sz w:val="24"/>
          <w:szCs w:val="24"/>
        </w:rPr>
        <w:t xml:space="preserve">Legislative authority under new table item </w:t>
      </w:r>
      <w:r w:rsidR="001819A0" w:rsidRPr="009A5F96">
        <w:rPr>
          <w:rFonts w:ascii="Times New Roman" w:hAnsi="Times New Roman" w:cs="Times New Roman"/>
          <w:sz w:val="24"/>
          <w:szCs w:val="24"/>
        </w:rPr>
        <w:t>588</w:t>
      </w:r>
      <w:r w:rsidRPr="009A5F96">
        <w:rPr>
          <w:rFonts w:ascii="Times New Roman" w:hAnsi="Times New Roman" w:cs="Times New Roman"/>
          <w:sz w:val="24"/>
          <w:szCs w:val="24"/>
        </w:rPr>
        <w:t xml:space="preserve"> is required to provide needs-based support and assistance to holders of a </w:t>
      </w:r>
      <w:r w:rsidR="000D0F98" w:rsidRPr="009A5F96">
        <w:rPr>
          <w:rFonts w:ascii="Times New Roman" w:hAnsi="Times New Roman" w:cs="Times New Roman"/>
          <w:sz w:val="24"/>
          <w:szCs w:val="24"/>
        </w:rPr>
        <w:t>SPV who are</w:t>
      </w:r>
      <w:r w:rsidRPr="009A5F96">
        <w:rPr>
          <w:rFonts w:ascii="Times New Roman" w:hAnsi="Times New Roman" w:cs="Times New Roman"/>
          <w:sz w:val="24"/>
          <w:szCs w:val="24"/>
        </w:rPr>
        <w:t xml:space="preserve"> seek</w:t>
      </w:r>
      <w:r w:rsidR="000D0F98" w:rsidRPr="009A5F96">
        <w:rPr>
          <w:rFonts w:ascii="Times New Roman" w:hAnsi="Times New Roman" w:cs="Times New Roman"/>
          <w:sz w:val="24"/>
          <w:szCs w:val="24"/>
        </w:rPr>
        <w:t>ing</w:t>
      </w:r>
      <w:r w:rsidRPr="009A5F96">
        <w:rPr>
          <w:rFonts w:ascii="Times New Roman" w:hAnsi="Times New Roman" w:cs="Times New Roman"/>
          <w:sz w:val="24"/>
          <w:szCs w:val="24"/>
        </w:rPr>
        <w:t xml:space="preserve"> to resolve their immigration status, or for whom there is </w:t>
      </w:r>
      <w:r w:rsidR="000D0F98" w:rsidRPr="009A5F96">
        <w:rPr>
          <w:rFonts w:ascii="Times New Roman" w:hAnsi="Times New Roman" w:cs="Times New Roman"/>
          <w:sz w:val="24"/>
          <w:szCs w:val="24"/>
        </w:rPr>
        <w:t xml:space="preserve">currently </w:t>
      </w:r>
      <w:r w:rsidRPr="009A5F96">
        <w:rPr>
          <w:rFonts w:ascii="Times New Roman" w:hAnsi="Times New Roman" w:cs="Times New Roman"/>
          <w:sz w:val="24"/>
          <w:szCs w:val="24"/>
        </w:rPr>
        <w:t>no available pathway by which they can more permanently resolve their immigration status.</w:t>
      </w:r>
    </w:p>
    <w:p w14:paraId="53B04D9A" w14:textId="77777777" w:rsidR="00CF153D" w:rsidRPr="009A5F96" w:rsidRDefault="00CF153D" w:rsidP="00CF153D">
      <w:pPr>
        <w:spacing w:after="0" w:line="240" w:lineRule="auto"/>
        <w:rPr>
          <w:rFonts w:ascii="Times New Roman" w:hAnsi="Times New Roman" w:cs="Times New Roman"/>
          <w:sz w:val="24"/>
          <w:szCs w:val="24"/>
        </w:rPr>
      </w:pPr>
    </w:p>
    <w:p w14:paraId="2D9DDDDF" w14:textId="406F6514" w:rsidR="00CF153D" w:rsidRPr="009A5F96" w:rsidRDefault="00CF153D" w:rsidP="00CF153D">
      <w:pPr>
        <w:spacing w:after="0" w:line="240" w:lineRule="auto"/>
        <w:rPr>
          <w:rFonts w:ascii="Times New Roman" w:hAnsi="Times New Roman" w:cs="Times New Roman"/>
          <w:iCs/>
          <w:sz w:val="24"/>
          <w:szCs w:val="24"/>
          <w:lang w:val="en-US"/>
        </w:rPr>
      </w:pPr>
      <w:r w:rsidRPr="009A5F96">
        <w:rPr>
          <w:rFonts w:ascii="Times New Roman" w:hAnsi="Times New Roman" w:cs="Times New Roman"/>
          <w:sz w:val="24"/>
          <w:szCs w:val="24"/>
        </w:rPr>
        <w:lastRenderedPageBreak/>
        <w:t xml:space="preserve">Funding of $871.1 million over three years from 2022-23 for the SRSS will be available for </w:t>
      </w:r>
      <w:r w:rsidR="00A77F43" w:rsidRPr="009A5F96">
        <w:rPr>
          <w:rFonts w:ascii="Times New Roman" w:hAnsi="Times New Roman" w:cs="Times New Roman"/>
          <w:sz w:val="24"/>
          <w:szCs w:val="24"/>
        </w:rPr>
        <w:t>SPV</w:t>
      </w:r>
      <w:r w:rsidRPr="009A5F96">
        <w:rPr>
          <w:rFonts w:ascii="Times New Roman" w:hAnsi="Times New Roman" w:cs="Times New Roman"/>
          <w:sz w:val="24"/>
          <w:szCs w:val="24"/>
        </w:rPr>
        <w:t xml:space="preserve"> holders.</w:t>
      </w:r>
      <w:r w:rsidRPr="009A5F96">
        <w:rPr>
          <w:rFonts w:ascii="Times New Roman" w:hAnsi="Times New Roman" w:cs="Times New Roman"/>
          <w:iCs/>
          <w:sz w:val="24"/>
          <w:szCs w:val="24"/>
          <w:lang w:val="en-US"/>
        </w:rPr>
        <w:t xml:space="preserve"> </w:t>
      </w:r>
    </w:p>
    <w:p w14:paraId="1C556E15" w14:textId="77777777" w:rsidR="00CF153D" w:rsidRPr="009A5F96" w:rsidRDefault="00CF153D" w:rsidP="00CF153D">
      <w:pPr>
        <w:spacing w:after="0" w:line="240" w:lineRule="auto"/>
        <w:rPr>
          <w:rFonts w:ascii="Times New Roman" w:hAnsi="Times New Roman" w:cs="Times New Roman"/>
          <w:iCs/>
          <w:sz w:val="24"/>
          <w:szCs w:val="24"/>
          <w:lang w:val="en-US"/>
        </w:rPr>
      </w:pPr>
    </w:p>
    <w:p w14:paraId="146CECB4" w14:textId="77777777" w:rsidR="00CF153D" w:rsidRPr="009A5F96" w:rsidRDefault="00CF153D" w:rsidP="00CF153D">
      <w:pPr>
        <w:spacing w:after="0" w:line="240" w:lineRule="auto"/>
        <w:rPr>
          <w:rFonts w:ascii="Times New Roman" w:hAnsi="Times New Roman" w:cs="Times New Roman"/>
          <w:b/>
          <w:iCs/>
          <w:sz w:val="24"/>
          <w:szCs w:val="24"/>
        </w:rPr>
      </w:pPr>
      <w:r w:rsidRPr="009A5F96">
        <w:rPr>
          <w:rFonts w:ascii="Times New Roman" w:hAnsi="Times New Roman" w:cs="Times New Roman"/>
          <w:b/>
          <w:iCs/>
          <w:sz w:val="24"/>
          <w:szCs w:val="24"/>
        </w:rPr>
        <w:t>Human rights implications</w:t>
      </w:r>
    </w:p>
    <w:p w14:paraId="31C17D66" w14:textId="77777777" w:rsidR="00CF153D" w:rsidRPr="009A5F96" w:rsidRDefault="00CF153D" w:rsidP="00CF153D">
      <w:pPr>
        <w:spacing w:after="0" w:line="240" w:lineRule="auto"/>
        <w:rPr>
          <w:rFonts w:ascii="Times New Roman" w:hAnsi="Times New Roman" w:cs="Times New Roman"/>
          <w:iCs/>
          <w:sz w:val="24"/>
          <w:szCs w:val="24"/>
          <w:lang w:val="en-US"/>
        </w:rPr>
      </w:pPr>
    </w:p>
    <w:p w14:paraId="66F47AE2"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This disallowable legislative instrument engages the following human rights:</w:t>
      </w:r>
    </w:p>
    <w:p w14:paraId="4C1B1F38" w14:textId="77777777" w:rsidR="00CF153D" w:rsidRPr="009A5F96" w:rsidRDefault="00CF153D" w:rsidP="00CF153D">
      <w:pPr>
        <w:pStyle w:val="ListParagraph"/>
        <w:widowControl w:val="0"/>
        <w:numPr>
          <w:ilvl w:val="0"/>
          <w:numId w:val="3"/>
        </w:numPr>
        <w:spacing w:after="0" w:line="240" w:lineRule="auto"/>
        <w:ind w:left="723"/>
        <w:contextualSpacing/>
        <w:rPr>
          <w:rFonts w:ascii="Times New Roman" w:hAnsi="Times New Roman"/>
          <w:color w:val="000000" w:themeColor="text1"/>
          <w:sz w:val="24"/>
          <w:szCs w:val="24"/>
        </w:rPr>
      </w:pPr>
      <w:r w:rsidRPr="009A5F96">
        <w:rPr>
          <w:rFonts w:ascii="Times New Roman" w:hAnsi="Times New Roman"/>
          <w:color w:val="000000" w:themeColor="text1"/>
          <w:sz w:val="24"/>
          <w:szCs w:val="24"/>
        </w:rPr>
        <w:t>the right to social security – Article 9 of the </w:t>
      </w:r>
      <w:hyperlink r:id="rId17" w:history="1">
        <w:r w:rsidRPr="009A5F96">
          <w:rPr>
            <w:rFonts w:ascii="Times New Roman" w:hAnsi="Times New Roman"/>
            <w:i/>
            <w:color w:val="000000" w:themeColor="text1"/>
            <w:sz w:val="24"/>
            <w:szCs w:val="24"/>
          </w:rPr>
          <w:t xml:space="preserve">International Covenant on Economic, Social and Cultural Rights </w:t>
        </w:r>
        <w:r w:rsidRPr="009A5F96">
          <w:rPr>
            <w:rFonts w:ascii="Times New Roman" w:hAnsi="Times New Roman"/>
            <w:color w:val="000000" w:themeColor="text1"/>
            <w:sz w:val="24"/>
            <w:szCs w:val="24"/>
          </w:rPr>
          <w:t>(ICESCR)</w:t>
        </w:r>
      </w:hyperlink>
      <w:r w:rsidRPr="009A5F96">
        <w:rPr>
          <w:rFonts w:ascii="Times New Roman" w:hAnsi="Times New Roman"/>
          <w:color w:val="000000" w:themeColor="text1"/>
          <w:sz w:val="24"/>
          <w:szCs w:val="24"/>
        </w:rPr>
        <w:t>,</w:t>
      </w:r>
      <w:r w:rsidRPr="009A5F96">
        <w:rPr>
          <w:rFonts w:ascii="Times New Roman" w:hAnsi="Times New Roman"/>
          <w:color w:val="000000"/>
          <w:sz w:val="24"/>
          <w:szCs w:val="24"/>
        </w:rPr>
        <w:t xml:space="preserve"> read with Article 2; and</w:t>
      </w:r>
    </w:p>
    <w:p w14:paraId="47898F7E" w14:textId="77777777" w:rsidR="00CF153D" w:rsidRPr="009A5F96" w:rsidRDefault="00CF153D" w:rsidP="00CF153D">
      <w:pPr>
        <w:pStyle w:val="ListParagraph"/>
        <w:widowControl w:val="0"/>
        <w:numPr>
          <w:ilvl w:val="0"/>
          <w:numId w:val="3"/>
        </w:numPr>
        <w:spacing w:before="120" w:after="0" w:line="240" w:lineRule="auto"/>
        <w:ind w:left="723"/>
        <w:contextualSpacing/>
        <w:rPr>
          <w:rFonts w:ascii="Times New Roman" w:hAnsi="Times New Roman"/>
          <w:color w:val="000000" w:themeColor="text1"/>
          <w:sz w:val="24"/>
          <w:szCs w:val="24"/>
        </w:rPr>
      </w:pPr>
      <w:r w:rsidRPr="009A5F96">
        <w:rPr>
          <w:rFonts w:ascii="Times New Roman" w:hAnsi="Times New Roman"/>
          <w:color w:val="000000" w:themeColor="text1"/>
          <w:sz w:val="24"/>
          <w:szCs w:val="24"/>
        </w:rPr>
        <w:t xml:space="preserve">the right to an adequate standard of living, including food, water and housing – Article 11 of the </w:t>
      </w:r>
      <w:hyperlink r:id="rId18" w:history="1">
        <w:r w:rsidRPr="009A5F96">
          <w:rPr>
            <w:rFonts w:ascii="Times New Roman" w:hAnsi="Times New Roman"/>
            <w:color w:val="000000" w:themeColor="text1"/>
            <w:sz w:val="24"/>
            <w:szCs w:val="24"/>
          </w:rPr>
          <w:t>ICESCR</w:t>
        </w:r>
      </w:hyperlink>
      <w:r w:rsidRPr="009A5F96">
        <w:rPr>
          <w:rFonts w:ascii="Times New Roman" w:hAnsi="Times New Roman"/>
          <w:color w:val="000000" w:themeColor="text1"/>
          <w:sz w:val="24"/>
          <w:szCs w:val="24"/>
        </w:rPr>
        <w:t>.</w:t>
      </w:r>
    </w:p>
    <w:p w14:paraId="0352C10D" w14:textId="77777777" w:rsidR="00CF153D" w:rsidRPr="009A5F96" w:rsidRDefault="00CF153D" w:rsidP="00CF153D">
      <w:pPr>
        <w:spacing w:after="0" w:line="240" w:lineRule="auto"/>
        <w:rPr>
          <w:rFonts w:ascii="Times New Roman" w:hAnsi="Times New Roman" w:cs="Times New Roman"/>
          <w:sz w:val="24"/>
          <w:szCs w:val="24"/>
        </w:rPr>
      </w:pPr>
    </w:p>
    <w:p w14:paraId="18C4AEE5" w14:textId="77777777" w:rsidR="00CF153D" w:rsidRPr="009A5F96" w:rsidRDefault="00CF153D" w:rsidP="00CF153D">
      <w:pPr>
        <w:spacing w:after="0" w:line="240" w:lineRule="auto"/>
        <w:rPr>
          <w:rFonts w:ascii="Times New Roman" w:hAnsi="Times New Roman" w:cs="Times New Roman"/>
          <w:i/>
          <w:color w:val="000000" w:themeColor="text1"/>
          <w:sz w:val="24"/>
          <w:szCs w:val="24"/>
          <w:u w:val="single"/>
        </w:rPr>
      </w:pPr>
      <w:r w:rsidRPr="009A5F96">
        <w:rPr>
          <w:rFonts w:ascii="Times New Roman" w:hAnsi="Times New Roman" w:cs="Times New Roman"/>
          <w:i/>
          <w:color w:val="000000" w:themeColor="text1"/>
          <w:sz w:val="24"/>
          <w:szCs w:val="24"/>
          <w:u w:val="single"/>
        </w:rPr>
        <w:t>Right to social security</w:t>
      </w:r>
    </w:p>
    <w:p w14:paraId="4C765040" w14:textId="77777777" w:rsidR="00CF153D" w:rsidRPr="009A5F96" w:rsidRDefault="00CF153D" w:rsidP="00CF153D">
      <w:pPr>
        <w:spacing w:after="0" w:line="240" w:lineRule="auto"/>
        <w:rPr>
          <w:rFonts w:ascii="Times New Roman" w:hAnsi="Times New Roman" w:cs="Times New Roman"/>
          <w:i/>
          <w:color w:val="000000" w:themeColor="text1"/>
          <w:sz w:val="24"/>
          <w:szCs w:val="24"/>
        </w:rPr>
      </w:pPr>
    </w:p>
    <w:p w14:paraId="71F1758C" w14:textId="77777777" w:rsidR="00CF153D" w:rsidRPr="009A5F96" w:rsidRDefault="00CF153D" w:rsidP="00CF153D">
      <w:pPr>
        <w:spacing w:after="0" w:line="240" w:lineRule="auto"/>
        <w:ind w:right="-46"/>
        <w:rPr>
          <w:rFonts w:ascii="Times New Roman" w:eastAsia="Calibri" w:hAnsi="Times New Roman" w:cs="Times New Roman"/>
          <w:iCs/>
          <w:color w:val="000000"/>
          <w:sz w:val="24"/>
          <w:szCs w:val="24"/>
        </w:rPr>
      </w:pPr>
      <w:r w:rsidRPr="009A5F96">
        <w:rPr>
          <w:rFonts w:ascii="Times New Roman" w:eastAsia="Calibri" w:hAnsi="Times New Roman" w:cs="Times New Roman"/>
          <w:iCs/>
          <w:color w:val="000000"/>
          <w:sz w:val="24"/>
          <w:szCs w:val="24"/>
        </w:rPr>
        <w:t>Article 2 of the ICESCR</w:t>
      </w:r>
      <w:r w:rsidRPr="009A5F96">
        <w:rPr>
          <w:rFonts w:ascii="Times New Roman" w:eastAsia="Calibri" w:hAnsi="Times New Roman" w:cs="Times New Roman"/>
          <w:sz w:val="24"/>
          <w:szCs w:val="24"/>
        </w:rPr>
        <w:t xml:space="preserve"> </w:t>
      </w:r>
      <w:r w:rsidRPr="009A5F96">
        <w:rPr>
          <w:rFonts w:ascii="Times New Roman" w:eastAsia="Calibri" w:hAnsi="Times New Roman" w:cs="Times New Roman"/>
          <w:iCs/>
          <w:color w:val="000000"/>
          <w:sz w:val="24"/>
          <w:szCs w:val="24"/>
        </w:rPr>
        <w:t>requires States Parties to take steps to progressively achieve the full realisation of the rights recognised in the ICESCR by all appropriate means.</w:t>
      </w:r>
    </w:p>
    <w:p w14:paraId="573774F1" w14:textId="77777777" w:rsidR="00CF153D" w:rsidRPr="009A5F96" w:rsidRDefault="00CF153D" w:rsidP="00CF153D">
      <w:pPr>
        <w:spacing w:after="0" w:line="240" w:lineRule="auto"/>
        <w:ind w:right="-46"/>
        <w:rPr>
          <w:rFonts w:ascii="Times New Roman" w:eastAsia="Calibri" w:hAnsi="Times New Roman" w:cs="Times New Roman"/>
          <w:iCs/>
          <w:color w:val="000000"/>
          <w:sz w:val="24"/>
          <w:szCs w:val="24"/>
        </w:rPr>
      </w:pPr>
    </w:p>
    <w:p w14:paraId="058E2FC6"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For those granted a special purpose visa, access to social security benefits will not be available as it is generally reliant on Australian citizenship or permanent residence. The SRSS program will provide access to supports as needed. </w:t>
      </w:r>
    </w:p>
    <w:p w14:paraId="3ACB79D3" w14:textId="77777777" w:rsidR="00CF153D" w:rsidRPr="009A5F96" w:rsidRDefault="00CF153D" w:rsidP="00CF153D">
      <w:pPr>
        <w:spacing w:after="0" w:line="240" w:lineRule="auto"/>
        <w:rPr>
          <w:rFonts w:ascii="Times New Roman" w:hAnsi="Times New Roman" w:cs="Times New Roman"/>
          <w:color w:val="000000" w:themeColor="text1"/>
          <w:sz w:val="24"/>
          <w:szCs w:val="24"/>
        </w:rPr>
      </w:pPr>
    </w:p>
    <w:p w14:paraId="2B0D64A7"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Article 9 of the ICESCR requires each State Party to the Covenant to recognise the right of everyone to social security, including social insurance.</w:t>
      </w:r>
    </w:p>
    <w:p w14:paraId="3BDB1BB5" w14:textId="77777777" w:rsidR="00CF153D" w:rsidRPr="009A5F96" w:rsidRDefault="00CF153D" w:rsidP="00CF153D">
      <w:pPr>
        <w:spacing w:after="0" w:line="240" w:lineRule="auto"/>
        <w:rPr>
          <w:rFonts w:ascii="Times New Roman" w:hAnsi="Times New Roman" w:cs="Times New Roman"/>
          <w:color w:val="000000" w:themeColor="text1"/>
          <w:sz w:val="24"/>
          <w:szCs w:val="24"/>
        </w:rPr>
      </w:pPr>
    </w:p>
    <w:p w14:paraId="5FC2BBB4"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This disallowable legislative instrument will provide access as needed to individuals who hold a special purpose visa. As an existing program, the SRSS provides targeted, needs-based support to eligible individuals. Until pathways to permanent resident visas or Australian citizenship are created through regulatory and legislative amendments respectively, access to SRSS can be considered on a case-by-case basis. </w:t>
      </w:r>
    </w:p>
    <w:p w14:paraId="4CA7D722" w14:textId="77777777" w:rsidR="00CF153D" w:rsidRPr="009A5F96" w:rsidRDefault="00CF153D" w:rsidP="00CF153D">
      <w:pPr>
        <w:spacing w:after="0" w:line="240" w:lineRule="auto"/>
        <w:rPr>
          <w:rFonts w:ascii="Times New Roman" w:hAnsi="Times New Roman" w:cs="Times New Roman"/>
          <w:color w:val="000000" w:themeColor="text1"/>
          <w:sz w:val="24"/>
          <w:szCs w:val="24"/>
        </w:rPr>
      </w:pPr>
    </w:p>
    <w:p w14:paraId="5DF51F06"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If eligible, and depending on the individual’s needs, support services may include income support and rental assistance allowance, amongst others. Financial assistance is based on a percentage of relevant Government payments. This approach to income support is consistent with the current SRSS program policy parameters. </w:t>
      </w:r>
    </w:p>
    <w:p w14:paraId="1FB403B2" w14:textId="77777777" w:rsidR="00CF153D" w:rsidRPr="009A5F96" w:rsidRDefault="00CF153D" w:rsidP="00CF153D">
      <w:pPr>
        <w:spacing w:after="0" w:line="240" w:lineRule="auto"/>
        <w:rPr>
          <w:rFonts w:ascii="Times New Roman" w:hAnsi="Times New Roman" w:cs="Times New Roman"/>
          <w:i/>
          <w:color w:val="000000" w:themeColor="text1"/>
          <w:sz w:val="24"/>
          <w:szCs w:val="24"/>
        </w:rPr>
      </w:pPr>
    </w:p>
    <w:p w14:paraId="57FE8753" w14:textId="77777777" w:rsidR="00CF153D" w:rsidRPr="009A5F96" w:rsidRDefault="00CF153D" w:rsidP="00CF153D">
      <w:pPr>
        <w:spacing w:after="0" w:line="240" w:lineRule="auto"/>
        <w:rPr>
          <w:rFonts w:ascii="Times New Roman" w:hAnsi="Times New Roman" w:cs="Times New Roman"/>
          <w:i/>
          <w:color w:val="000000" w:themeColor="text1"/>
          <w:sz w:val="24"/>
          <w:szCs w:val="24"/>
          <w:u w:val="single"/>
        </w:rPr>
      </w:pPr>
      <w:r w:rsidRPr="009A5F96">
        <w:rPr>
          <w:rFonts w:ascii="Times New Roman" w:hAnsi="Times New Roman" w:cs="Times New Roman"/>
          <w:i/>
          <w:color w:val="000000" w:themeColor="text1"/>
          <w:sz w:val="24"/>
          <w:szCs w:val="24"/>
          <w:u w:val="single"/>
        </w:rPr>
        <w:t>Right to adequate standard of living, including food, water and housing</w:t>
      </w:r>
    </w:p>
    <w:p w14:paraId="5A9A55D0" w14:textId="77777777" w:rsidR="00CF153D" w:rsidRPr="009A5F96" w:rsidRDefault="00CF153D" w:rsidP="00CF153D">
      <w:pPr>
        <w:spacing w:after="0" w:line="240" w:lineRule="auto"/>
        <w:rPr>
          <w:rFonts w:ascii="Times New Roman" w:hAnsi="Times New Roman" w:cs="Times New Roman"/>
          <w:i/>
          <w:color w:val="000000" w:themeColor="text1"/>
          <w:sz w:val="24"/>
          <w:szCs w:val="24"/>
        </w:rPr>
      </w:pPr>
    </w:p>
    <w:p w14:paraId="6DDB0485"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Article 11 of the ICESCR requires each State Party to the Covenant to recognise the right of everyone to an adequate standard of living for persons and their family, including adequate food, clothing and housing, and to the continuous improvement of living conditions. The States Parties will take appropriate steps to ensure the realisation of this right, recognising to this effect the essential importance of international co-operation based on free consent.</w:t>
      </w:r>
    </w:p>
    <w:p w14:paraId="06495B1B" w14:textId="77777777" w:rsidR="00CF153D" w:rsidRPr="009A5F96" w:rsidRDefault="00CF153D" w:rsidP="00CF153D">
      <w:pPr>
        <w:spacing w:after="0" w:line="240" w:lineRule="auto"/>
        <w:rPr>
          <w:rFonts w:ascii="Times New Roman" w:hAnsi="Times New Roman" w:cs="Times New Roman"/>
          <w:color w:val="000000" w:themeColor="text1"/>
          <w:sz w:val="24"/>
          <w:szCs w:val="24"/>
        </w:rPr>
      </w:pPr>
    </w:p>
    <w:p w14:paraId="4738C6CB"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t xml:space="preserve">In providing access to the SRSS program to this cohort, this disallowable legislative instrument assists in promoting the right to an adequate standard of living. This is because the SRSS program can provide urgent and emergency accommodation, financial hardship assistance and income support where an individual is eligible. This includes the provision of urgent and emergency accommodation for a short period due to the emergence of unforeseen and sudden circumstances. </w:t>
      </w:r>
    </w:p>
    <w:p w14:paraId="682F251F" w14:textId="77777777" w:rsidR="00CF153D" w:rsidRPr="009A5F96" w:rsidRDefault="00CF153D" w:rsidP="00CF153D">
      <w:pPr>
        <w:spacing w:after="0" w:line="240" w:lineRule="auto"/>
        <w:rPr>
          <w:rFonts w:ascii="Times New Roman" w:hAnsi="Times New Roman" w:cs="Times New Roman"/>
          <w:color w:val="000000" w:themeColor="text1"/>
          <w:sz w:val="24"/>
          <w:szCs w:val="24"/>
        </w:rPr>
      </w:pPr>
    </w:p>
    <w:p w14:paraId="73B00C1F" w14:textId="77777777" w:rsidR="00CF153D" w:rsidRPr="009A5F96" w:rsidRDefault="00CF153D" w:rsidP="00CF153D">
      <w:pPr>
        <w:spacing w:after="0" w:line="240" w:lineRule="auto"/>
        <w:rPr>
          <w:rFonts w:ascii="Times New Roman" w:hAnsi="Times New Roman" w:cs="Times New Roman"/>
          <w:color w:val="000000" w:themeColor="text1"/>
          <w:sz w:val="24"/>
          <w:szCs w:val="24"/>
        </w:rPr>
      </w:pPr>
      <w:r w:rsidRPr="009A5F96">
        <w:rPr>
          <w:rFonts w:ascii="Times New Roman" w:hAnsi="Times New Roman" w:cs="Times New Roman"/>
          <w:color w:val="000000" w:themeColor="text1"/>
          <w:sz w:val="24"/>
          <w:szCs w:val="24"/>
        </w:rPr>
        <w:lastRenderedPageBreak/>
        <w:t xml:space="preserve">While providing SRSS to this cohort is an expansion of the SRSS program, eligibility consideration will continue to be based on an individual’s needs and will align with the current SRSS program policy parameters. </w:t>
      </w:r>
    </w:p>
    <w:p w14:paraId="43CDF6C0" w14:textId="77777777" w:rsidR="00CF153D" w:rsidRPr="009A5F96" w:rsidRDefault="00CF153D" w:rsidP="00CF153D">
      <w:pPr>
        <w:spacing w:after="0" w:line="240" w:lineRule="auto"/>
        <w:ind w:right="-46"/>
        <w:rPr>
          <w:rFonts w:ascii="Times New Roman" w:hAnsi="Times New Roman" w:cs="Times New Roman"/>
          <w:color w:val="000000" w:themeColor="text1"/>
          <w:sz w:val="24"/>
          <w:szCs w:val="24"/>
        </w:rPr>
      </w:pPr>
    </w:p>
    <w:p w14:paraId="4F7FF665" w14:textId="77777777" w:rsidR="00CF153D" w:rsidRPr="009A5F96" w:rsidRDefault="00CF153D" w:rsidP="00CF153D">
      <w:pPr>
        <w:spacing w:after="0" w:line="240" w:lineRule="auto"/>
        <w:ind w:right="-46"/>
        <w:rPr>
          <w:rFonts w:ascii="Times New Roman" w:hAnsi="Times New Roman" w:cs="Times New Roman"/>
          <w:b/>
          <w:sz w:val="24"/>
          <w:szCs w:val="24"/>
        </w:rPr>
      </w:pPr>
      <w:r w:rsidRPr="009A5F96">
        <w:rPr>
          <w:rFonts w:ascii="Times New Roman" w:hAnsi="Times New Roman" w:cs="Times New Roman"/>
          <w:b/>
          <w:sz w:val="24"/>
          <w:szCs w:val="24"/>
        </w:rPr>
        <w:t>Conclusion</w:t>
      </w:r>
    </w:p>
    <w:p w14:paraId="7B1C67F0" w14:textId="77777777" w:rsidR="00CF153D" w:rsidRPr="009A5F96" w:rsidRDefault="00CF153D" w:rsidP="00CF153D">
      <w:pPr>
        <w:spacing w:after="0" w:line="240" w:lineRule="auto"/>
        <w:ind w:right="-46"/>
        <w:rPr>
          <w:rFonts w:ascii="Times New Roman" w:hAnsi="Times New Roman" w:cs="Times New Roman"/>
          <w:sz w:val="24"/>
          <w:szCs w:val="24"/>
        </w:rPr>
      </w:pPr>
    </w:p>
    <w:p w14:paraId="0BCC6DEF" w14:textId="77777777" w:rsidR="00CF153D" w:rsidRPr="009A5F96" w:rsidRDefault="00CF153D" w:rsidP="00CF153D">
      <w:pPr>
        <w:spacing w:after="0" w:line="240" w:lineRule="auto"/>
        <w:ind w:right="-46"/>
        <w:rPr>
          <w:rFonts w:ascii="Times New Roman" w:hAnsi="Times New Roman" w:cs="Times New Roman"/>
          <w:sz w:val="24"/>
          <w:szCs w:val="24"/>
        </w:rPr>
      </w:pPr>
      <w:r w:rsidRPr="009A5F96">
        <w:rPr>
          <w:rFonts w:ascii="Times New Roman" w:hAnsi="Times New Roman" w:cs="Times New Roman"/>
          <w:sz w:val="24"/>
          <w:szCs w:val="24"/>
        </w:rPr>
        <w:t xml:space="preserve">This disallowable legislative instrument is compatible with </w:t>
      </w:r>
      <w:r w:rsidRPr="009A5F96">
        <w:rPr>
          <w:rFonts w:ascii="Times New Roman" w:eastAsia="Times New Roman" w:hAnsi="Times New Roman" w:cs="Times New Roman"/>
          <w:sz w:val="24"/>
          <w:szCs w:val="24"/>
          <w:lang w:eastAsia="en-AU"/>
        </w:rPr>
        <w:t>human</w:t>
      </w:r>
      <w:r w:rsidRPr="009A5F96">
        <w:rPr>
          <w:rFonts w:ascii="Times New Roman" w:hAnsi="Times New Roman" w:cs="Times New Roman"/>
          <w:sz w:val="24"/>
          <w:szCs w:val="24"/>
        </w:rPr>
        <w:t xml:space="preserve"> rights </w:t>
      </w:r>
      <w:r w:rsidRPr="009A5F96">
        <w:rPr>
          <w:rFonts w:ascii="Times New Roman" w:hAnsi="Times New Roman" w:cs="Times New Roman"/>
          <w:color w:val="000000" w:themeColor="text1"/>
          <w:sz w:val="24"/>
          <w:szCs w:val="24"/>
        </w:rPr>
        <w:t xml:space="preserve">because it </w:t>
      </w:r>
      <w:r w:rsidRPr="009A5F96">
        <w:rPr>
          <w:rFonts w:ascii="Times New Roman" w:hAnsi="Times New Roman" w:cs="Times New Roman"/>
          <w:color w:val="000000" w:themeColor="text1"/>
          <w:sz w:val="24"/>
          <w:szCs w:val="24"/>
          <w:lang w:val="en"/>
        </w:rPr>
        <w:t xml:space="preserve">promotes the </w:t>
      </w:r>
      <w:r w:rsidRPr="009A5F96">
        <w:rPr>
          <w:rFonts w:ascii="Times New Roman" w:hAnsi="Times New Roman" w:cs="Times New Roman"/>
          <w:color w:val="000000" w:themeColor="text1"/>
          <w:sz w:val="24"/>
          <w:szCs w:val="24"/>
        </w:rPr>
        <w:t>protection of human rights</w:t>
      </w:r>
      <w:r w:rsidRPr="009A5F96">
        <w:rPr>
          <w:rFonts w:ascii="Times New Roman" w:hAnsi="Times New Roman" w:cs="Times New Roman"/>
          <w:sz w:val="24"/>
          <w:szCs w:val="24"/>
        </w:rPr>
        <w:t>.</w:t>
      </w:r>
    </w:p>
    <w:p w14:paraId="3CA21429" w14:textId="77777777" w:rsidR="00CF153D" w:rsidRPr="009A5F96" w:rsidRDefault="00CF153D" w:rsidP="00CF153D">
      <w:pPr>
        <w:spacing w:after="0" w:line="240" w:lineRule="auto"/>
        <w:ind w:right="-46"/>
        <w:rPr>
          <w:rFonts w:ascii="Times New Roman" w:hAnsi="Times New Roman" w:cs="Times New Roman"/>
          <w:sz w:val="24"/>
          <w:szCs w:val="24"/>
        </w:rPr>
      </w:pPr>
    </w:p>
    <w:p w14:paraId="30EC346C" w14:textId="77777777" w:rsidR="00CF153D" w:rsidRPr="009A5F96" w:rsidRDefault="00CF153D" w:rsidP="00CF153D">
      <w:pPr>
        <w:spacing w:after="0" w:line="240" w:lineRule="auto"/>
        <w:ind w:right="-46"/>
        <w:rPr>
          <w:rFonts w:ascii="Times New Roman" w:hAnsi="Times New Roman" w:cs="Times New Roman"/>
          <w:color w:val="000000" w:themeColor="text1"/>
          <w:sz w:val="24"/>
          <w:szCs w:val="24"/>
        </w:rPr>
      </w:pPr>
    </w:p>
    <w:p w14:paraId="70A3F0AB" w14:textId="77777777" w:rsidR="00CF153D" w:rsidRPr="009A5F96" w:rsidRDefault="00CF153D" w:rsidP="00CF153D">
      <w:pPr>
        <w:spacing w:after="0" w:line="240" w:lineRule="auto"/>
        <w:ind w:right="-46"/>
        <w:rPr>
          <w:rFonts w:ascii="Times New Roman" w:hAnsi="Times New Roman" w:cs="Times New Roman"/>
          <w:color w:val="000000" w:themeColor="text1"/>
          <w:sz w:val="24"/>
          <w:szCs w:val="24"/>
        </w:rPr>
      </w:pPr>
    </w:p>
    <w:p w14:paraId="5C54BD5D" w14:textId="77777777" w:rsidR="00CF153D" w:rsidRPr="009A5F96" w:rsidRDefault="00CF153D" w:rsidP="00CF153D">
      <w:pPr>
        <w:spacing w:after="0" w:line="240" w:lineRule="auto"/>
        <w:ind w:right="-46"/>
        <w:rPr>
          <w:rFonts w:ascii="Times New Roman" w:hAnsi="Times New Roman" w:cs="Times New Roman"/>
          <w:color w:val="000000" w:themeColor="text1"/>
          <w:sz w:val="24"/>
          <w:szCs w:val="24"/>
        </w:rPr>
      </w:pPr>
    </w:p>
    <w:p w14:paraId="39F192B2" w14:textId="77777777" w:rsidR="00CF153D" w:rsidRPr="009A5F96" w:rsidRDefault="00CF153D" w:rsidP="00CF153D">
      <w:pPr>
        <w:pStyle w:val="paranumbering"/>
        <w:spacing w:before="0" w:beforeAutospacing="0" w:after="0" w:afterAutospacing="0"/>
        <w:contextualSpacing/>
        <w:jc w:val="center"/>
        <w:rPr>
          <w:b/>
        </w:rPr>
      </w:pPr>
    </w:p>
    <w:p w14:paraId="03957E73" w14:textId="77777777" w:rsidR="00CF153D" w:rsidRPr="009A5F96" w:rsidRDefault="00CF153D" w:rsidP="00CF153D">
      <w:pPr>
        <w:pStyle w:val="paranumbering"/>
        <w:spacing w:before="0" w:beforeAutospacing="0" w:after="0" w:afterAutospacing="0"/>
        <w:contextualSpacing/>
        <w:jc w:val="center"/>
        <w:rPr>
          <w:b/>
        </w:rPr>
      </w:pPr>
      <w:r w:rsidRPr="009A5F96">
        <w:rPr>
          <w:b/>
        </w:rPr>
        <w:t>Senator the Hon Katy Gallagher</w:t>
      </w:r>
    </w:p>
    <w:p w14:paraId="1920B5B5" w14:textId="77777777" w:rsidR="00CF153D" w:rsidRPr="00266231" w:rsidRDefault="00CF153D" w:rsidP="00CF153D">
      <w:pPr>
        <w:spacing w:after="0" w:line="240" w:lineRule="auto"/>
        <w:contextualSpacing/>
        <w:jc w:val="center"/>
        <w:rPr>
          <w:rFonts w:ascii="Times New Roman" w:hAnsi="Times New Roman" w:cs="Times New Roman"/>
          <w:b/>
          <w:sz w:val="24"/>
          <w:szCs w:val="24"/>
          <w:lang w:eastAsia="en-AU"/>
        </w:rPr>
      </w:pPr>
      <w:r w:rsidRPr="009A5F96">
        <w:rPr>
          <w:rFonts w:ascii="Times New Roman" w:hAnsi="Times New Roman" w:cs="Times New Roman"/>
          <w:b/>
          <w:sz w:val="24"/>
          <w:szCs w:val="24"/>
        </w:rPr>
        <w:t>Minister for Finance</w:t>
      </w:r>
    </w:p>
    <w:p w14:paraId="16E78F83" w14:textId="77777777" w:rsidR="00CF153D" w:rsidRPr="00042A04" w:rsidRDefault="00CF153D" w:rsidP="00CF153D">
      <w:pPr>
        <w:spacing w:after="0" w:line="240" w:lineRule="auto"/>
        <w:rPr>
          <w:rFonts w:ascii="Times New Roman" w:hAnsi="Times New Roman" w:cs="Times New Roman"/>
          <w:sz w:val="24"/>
          <w:szCs w:val="24"/>
        </w:rPr>
      </w:pPr>
    </w:p>
    <w:p w14:paraId="4C795541" w14:textId="77777777" w:rsidR="00EA3F1D" w:rsidRDefault="00427987"/>
    <w:sectPr w:rsidR="00EA3F1D" w:rsidSect="00FD7AE1">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46BC" w14:textId="77777777" w:rsidR="006F7A74" w:rsidRDefault="006F7A74">
      <w:pPr>
        <w:spacing w:after="0" w:line="240" w:lineRule="auto"/>
      </w:pPr>
      <w:r>
        <w:separator/>
      </w:r>
    </w:p>
  </w:endnote>
  <w:endnote w:type="continuationSeparator" w:id="0">
    <w:p w14:paraId="6218F106" w14:textId="77777777" w:rsidR="006F7A74" w:rsidRDefault="006F7A74">
      <w:pPr>
        <w:spacing w:after="0" w:line="240" w:lineRule="auto"/>
      </w:pPr>
      <w:r>
        <w:continuationSeparator/>
      </w:r>
    </w:p>
  </w:endnote>
  <w:endnote w:type="continuationNotice" w:id="1">
    <w:p w14:paraId="52B7A1F1" w14:textId="77777777" w:rsidR="00943528" w:rsidRDefault="00943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0A3C" w14:textId="77777777" w:rsidR="006F7A74" w:rsidRDefault="006F7A74">
      <w:pPr>
        <w:spacing w:after="0" w:line="240" w:lineRule="auto"/>
      </w:pPr>
      <w:r>
        <w:separator/>
      </w:r>
    </w:p>
  </w:footnote>
  <w:footnote w:type="continuationSeparator" w:id="0">
    <w:p w14:paraId="3AA5201E" w14:textId="77777777" w:rsidR="006F7A74" w:rsidRDefault="006F7A74">
      <w:pPr>
        <w:spacing w:after="0" w:line="240" w:lineRule="auto"/>
      </w:pPr>
      <w:r>
        <w:continuationSeparator/>
      </w:r>
    </w:p>
  </w:footnote>
  <w:footnote w:type="continuationNotice" w:id="1">
    <w:p w14:paraId="2EDD97F2" w14:textId="77777777" w:rsidR="00943528" w:rsidRDefault="00943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60A4423" w14:textId="766E5F66" w:rsidR="00A02995"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8A41A3">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52E4A24B" w14:textId="77777777" w:rsidR="00A02995" w:rsidRDefault="00427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B408" w14:textId="6F4C808F" w:rsidR="00A02995" w:rsidRDefault="0042798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F483" w14:textId="77777777" w:rsidR="00A02995" w:rsidRDefault="004279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0AFF" w14:textId="497DC03B" w:rsidR="00A02995"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4" behindDoc="0" locked="1" layoutInCell="0" allowOverlap="1" wp14:anchorId="1C157071" wp14:editId="7D87627C">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150AFE" w14:textId="77777777" w:rsidR="00A02995" w:rsidRPr="0063345B" w:rsidRDefault="00427987"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157071"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4E150AFE" w14:textId="77777777" w:rsidR="00A02995" w:rsidRPr="0063345B" w:rsidRDefault="00F67201"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8A41A3">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684BCE6C" w14:textId="77777777" w:rsidR="00A02995" w:rsidRDefault="00427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9E1" w14:textId="77777777" w:rsidR="00A02995" w:rsidRPr="00335886" w:rsidRDefault="00CF153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4DDA1B2B" wp14:editId="43511EA8">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D3C10" w14:textId="77777777" w:rsidR="00A02995" w:rsidRPr="001849BD" w:rsidRDefault="00427987"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DA1B2B"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564D3C10" w14:textId="77777777" w:rsidR="00A02995" w:rsidRPr="001849BD" w:rsidRDefault="00F67201"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23D5E39E" w14:textId="77777777" w:rsidR="00A02995" w:rsidRDefault="00427987">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486D440D" w14:textId="71445BE5" w:rsidR="00A02995"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1" behindDoc="0" locked="1" layoutInCell="0" allowOverlap="1" wp14:anchorId="1A11EB4D" wp14:editId="3C7C9B66">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ADE6" w14:textId="77777777" w:rsidR="00A02995" w:rsidRPr="001849BD" w:rsidRDefault="0042798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11EB4D"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61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5+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d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ica5+GQIAADAEAAAOAAAAAAAAAAAAAAAAAC4CAABkcnMvZTJvRG9jLnhtbFBLAQItABQABgAI&#10;AAAAIQBpS/Fj2wAAAAQBAAAPAAAAAAAAAAAAAAAAAHMEAABkcnMvZG93bnJldi54bWxQSwUGAAAA&#10;AAQABADzAAAAewUAAAAA&#10;" o:allowincell="f" filled="f" stroked="f" strokeweight=".5pt">
                  <v:textbox style="mso-fit-shape-to-text:t">
                    <w:txbxContent>
                      <w:p w14:paraId="3FCBADE6" w14:textId="77777777" w:rsidR="00A02995" w:rsidRPr="001849BD" w:rsidRDefault="00F67201">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8A41A3">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22D88FC6" w14:textId="77777777" w:rsidR="00A02995" w:rsidRDefault="00427987"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C5BE" w14:textId="77777777" w:rsidR="00A02995" w:rsidRPr="00C2546D" w:rsidRDefault="00CF153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13627B43" wp14:editId="441F7FB3">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D0AC8A" w14:textId="77777777" w:rsidR="00A02995" w:rsidRPr="001849BD" w:rsidRDefault="00427987"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627B43"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ni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9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e1EniGQIAADAEAAAOAAAAAAAAAAAAAAAAAC4CAABkcnMvZTJvRG9jLnhtbFBLAQItABQABgAI&#10;AAAAIQBpS/Fj2wAAAAQBAAAPAAAAAAAAAAAAAAAAAHMEAABkcnMvZG93bnJldi54bWxQSwUGAAAA&#10;AAQABADzAAAAewUAAAAA&#10;" o:allowincell="f" filled="f" stroked="f" strokeweight=".5pt">
              <v:textbox style="mso-fit-shape-to-text:t">
                <w:txbxContent>
                  <w:p w14:paraId="0AD0AC8A" w14:textId="77777777" w:rsidR="00A02995" w:rsidRPr="001849BD" w:rsidRDefault="00F67201"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7D0BD792" w14:textId="77777777" w:rsidR="00A02995" w:rsidRDefault="004279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5862046">
    <w:abstractNumId w:val="2"/>
  </w:num>
  <w:num w:numId="2" w16cid:durableId="599334283">
    <w:abstractNumId w:val="1"/>
  </w:num>
  <w:num w:numId="3" w16cid:durableId="76823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6C65"/>
    <w:rsid w:val="00020141"/>
    <w:rsid w:val="000416BD"/>
    <w:rsid w:val="00055F41"/>
    <w:rsid w:val="000920C5"/>
    <w:rsid w:val="000D0F98"/>
    <w:rsid w:val="00171716"/>
    <w:rsid w:val="001819A0"/>
    <w:rsid w:val="002243AC"/>
    <w:rsid w:val="002744D5"/>
    <w:rsid w:val="002B6DAE"/>
    <w:rsid w:val="00361D07"/>
    <w:rsid w:val="003A3714"/>
    <w:rsid w:val="003A495C"/>
    <w:rsid w:val="003B23FE"/>
    <w:rsid w:val="004018BC"/>
    <w:rsid w:val="00416A82"/>
    <w:rsid w:val="00480D99"/>
    <w:rsid w:val="00480ED7"/>
    <w:rsid w:val="004B29CD"/>
    <w:rsid w:val="004F3350"/>
    <w:rsid w:val="00512748"/>
    <w:rsid w:val="0052453D"/>
    <w:rsid w:val="00526375"/>
    <w:rsid w:val="00531C58"/>
    <w:rsid w:val="0059107B"/>
    <w:rsid w:val="006147A3"/>
    <w:rsid w:val="00626B79"/>
    <w:rsid w:val="006C5AE7"/>
    <w:rsid w:val="006F7A74"/>
    <w:rsid w:val="00761A94"/>
    <w:rsid w:val="007676BD"/>
    <w:rsid w:val="007A7CCE"/>
    <w:rsid w:val="008A41A3"/>
    <w:rsid w:val="00901428"/>
    <w:rsid w:val="009174DB"/>
    <w:rsid w:val="00925120"/>
    <w:rsid w:val="00930753"/>
    <w:rsid w:val="0093101A"/>
    <w:rsid w:val="00943528"/>
    <w:rsid w:val="00990C56"/>
    <w:rsid w:val="009968D4"/>
    <w:rsid w:val="009A5F96"/>
    <w:rsid w:val="009E4751"/>
    <w:rsid w:val="009F0429"/>
    <w:rsid w:val="009F5621"/>
    <w:rsid w:val="00A67F48"/>
    <w:rsid w:val="00A77F43"/>
    <w:rsid w:val="00AF42DF"/>
    <w:rsid w:val="00B2579C"/>
    <w:rsid w:val="00B90A7B"/>
    <w:rsid w:val="00BA1507"/>
    <w:rsid w:val="00BA187A"/>
    <w:rsid w:val="00BC19B9"/>
    <w:rsid w:val="00C3547D"/>
    <w:rsid w:val="00C43DA4"/>
    <w:rsid w:val="00C451E6"/>
    <w:rsid w:val="00CA3DB0"/>
    <w:rsid w:val="00CF153D"/>
    <w:rsid w:val="00D266F2"/>
    <w:rsid w:val="00DD7BE5"/>
    <w:rsid w:val="00E4044E"/>
    <w:rsid w:val="00E53C4E"/>
    <w:rsid w:val="00E63C5C"/>
    <w:rsid w:val="00EE3B29"/>
    <w:rsid w:val="00EF3D7D"/>
    <w:rsid w:val="00EF70FB"/>
    <w:rsid w:val="00F17C11"/>
    <w:rsid w:val="00F67201"/>
    <w:rsid w:val="00FC4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65466"/>
  <w15:chartTrackingRefBased/>
  <w15:docId w15:val="{6F4189AA-253C-4342-B588-F0FC550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semiHidden/>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semiHidden/>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943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info.dfat.gov.au/Info/Treaties/treaties.nsf/AllDocIDs/CFB1E23A1297FFE8CA256B4C000C26B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info.dfat.gov.au/Info/Treaties/treaties.nsf/AllDocIDs/CFB1E23A1297FFE8CA256B4C000C26B4"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FIN34055-1565050583-30040</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https://financegovau.sharepoint.com/sites/M365_DoF_50034055/_layouts/15/DocIdRedir.aspx?ID=FIN34055-1565050583-30040</Url>
      <Description>FIN34055-1565050583-30040</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documentManagement>
</p:properti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22" ma:contentTypeDescription="Create a new document." ma:contentTypeScope="" ma:versionID="7beb16105c81f0ae6ade86acd090182b">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1c024b2bcd4b5477cf140ebe616a23fb"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2.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3.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4.xml><?xml version="1.0" encoding="utf-8"?>
<ds:datastoreItem xmlns:ds="http://schemas.openxmlformats.org/officeDocument/2006/customXml" ds:itemID="{DC3BBD40-4F0E-4CD0-B92D-B780CBDDB322}">
  <ds:schemaRefs>
    <ds:schemaRef ds:uri="Microsoft.SharePoint.Taxonomy.ContentTypeSync"/>
  </ds:schemaRefs>
</ds:datastoreItem>
</file>

<file path=customXml/itemProps5.xml><?xml version="1.0" encoding="utf-8"?>
<ds:datastoreItem xmlns:ds="http://schemas.openxmlformats.org/officeDocument/2006/customXml" ds:itemID="{16E7A533-7B9F-44FF-B0DF-097B9F8D9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3128</Words>
  <Characters>17482</Characters>
  <Application>Microsoft Office Word</Application>
  <DocSecurity>0</DocSecurity>
  <Lines>373</Lines>
  <Paragraphs>93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Kapel, Juanita</cp:lastModifiedBy>
  <cp:revision>45</cp:revision>
  <dcterms:created xsi:type="dcterms:W3CDTF">2023-02-05T21:52:00Z</dcterms:created>
  <dcterms:modified xsi:type="dcterms:W3CDTF">2023-03-15T01:39:00Z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2023-02-15T01:22:04Z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AC1828281E73FB9DDAD9720A03C98C117CA71A42</vt:lpwstr>
  </property>
  <property fmtid="{D5CDD505-2E9C-101B-9397-08002B2CF9AE}" pid="13" name="PM_OriginationTimeStamp">
    <vt:lpwstr>2023-02-15T01:22:04Z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D3F5E842BDBBE0882AEFBB6D6F6148A9</vt:lpwstr>
  </property>
  <property fmtid="{D5CDD505-2E9C-101B-9397-08002B2CF9AE}" pid="24" name="PM_Hash_Salt">
    <vt:lpwstr>1B4FE6CF1A06ABDB0EE6F471DB0B19C5</vt:lpwstr>
  </property>
  <property fmtid="{D5CDD505-2E9C-101B-9397-08002B2CF9AE}" pid="25" name="PM_Hash_SHA1">
    <vt:lpwstr>7CD8A8A94630F5E6F62E2E6B9E897D979222924D</vt:lpwstr>
  </property>
  <property fmtid="{D5CDD505-2E9C-101B-9397-08002B2CF9AE}" pid="26" name="PM_OriginatorUserAccountName_SHA256">
    <vt:lpwstr>8970DD0F4A51302B806DF03CD780D18438BA54719C82B854490D55A5E8A587C8</vt:lpwstr>
  </property>
  <property fmtid="{D5CDD505-2E9C-101B-9397-08002B2CF9AE}" pid="27" name="PM_OriginatorDomainName_SHA256">
    <vt:lpwstr>325440F6CA31C4C3BCE4433552DC42928CAAD3E2731ABE35FDE729ECEB763AF0</vt:lpwstr>
  </property>
  <property fmtid="{D5CDD505-2E9C-101B-9397-08002B2CF9AE}" pid="28" name="MSIP_Label_6af89f2f-9671-4583-84ec-9b406935fc32_Name">
    <vt:lpwstr>UNOFFICIAL</vt:lpwstr>
  </property>
  <property fmtid="{D5CDD505-2E9C-101B-9397-08002B2CF9AE}" pid="29" name="MSIP_Label_6af89f2f-9671-4583-84ec-9b406935fc32_SiteId">
    <vt:lpwstr>08954cee-4782-4ff6-9ad5-1997dccef4b0</vt:lpwstr>
  </property>
  <property fmtid="{D5CDD505-2E9C-101B-9397-08002B2CF9AE}" pid="30" name="TaxKeyword">
    <vt:lpwstr>35;#[SEC=UNOFFICIAL]|c5095c15-4234-4e92-adf8-afe43cfbe4c5</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_dlc_DocIdItemGuid">
    <vt:lpwstr>6d25479c-605c-4fbb-abe4-fe592c4ed5b9</vt:lpwstr>
  </property>
  <property fmtid="{D5CDD505-2E9C-101B-9397-08002B2CF9AE}" pid="35" name="MediaServiceImageTags">
    <vt:lpwstr/>
  </property>
  <property fmtid="{D5CDD505-2E9C-101B-9397-08002B2CF9AE}" pid="36" name="Function and Activity">
    <vt:lpwstr/>
  </property>
  <property fmtid="{D5CDD505-2E9C-101B-9397-08002B2CF9AE}" pid="37" name="Organisation Unit">
    <vt:lpwstr/>
  </property>
  <property fmtid="{D5CDD505-2E9C-101B-9397-08002B2CF9AE}" pid="38" name="PM_SecurityClassification_Prev">
    <vt:lpwstr>UNOFFICIAL</vt:lpwstr>
  </property>
  <property fmtid="{D5CDD505-2E9C-101B-9397-08002B2CF9AE}" pid="39" name="PM_Qualifier_Prev">
    <vt:lpwstr/>
  </property>
  <property fmtid="{D5CDD505-2E9C-101B-9397-08002B2CF9AE}" pid="40" name="PMHMAC">
    <vt:lpwstr>v=2022.1;a=SHA256;h=EA1D4E4BF0A9F16466253E82CEABAEF931637EAD448A76673D74B57DF4A31AAA</vt:lpwstr>
  </property>
  <property fmtid="{D5CDD505-2E9C-101B-9397-08002B2CF9AE}" pid="41" name="MSIP_Label_6af89f2f-9671-4583-84ec-9b406935fc32_Method">
    <vt:lpwstr>Privileged</vt:lpwstr>
  </property>
  <property fmtid="{D5CDD505-2E9C-101B-9397-08002B2CF9AE}" pid="42" name="MSIP_Label_6af89f2f-9671-4583-84ec-9b406935fc32_ContentBits">
    <vt:lpwstr>0</vt:lpwstr>
  </property>
  <property fmtid="{D5CDD505-2E9C-101B-9397-08002B2CF9AE}" pid="43" name="MSIP_Label_6af89f2f-9671-4583-84ec-9b406935fc32_ActionId">
    <vt:lpwstr>e8fd8721206c487daac2c74e278503f6</vt:lpwstr>
  </property>
</Properties>
</file>