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D3097" w14:textId="77777777" w:rsidR="0015248F" w:rsidRPr="00AA5772" w:rsidRDefault="0015248F" w:rsidP="0015248F">
      <w:pPr>
        <w:jc w:val="center"/>
        <w:rPr>
          <w:b/>
          <w:caps/>
          <w:szCs w:val="22"/>
          <w:u w:val="single"/>
          <w:lang w:bidi="ar-SA"/>
        </w:rPr>
      </w:pPr>
      <w:bookmarkStart w:id="0" w:name="_Toc107943348"/>
      <w:r w:rsidRPr="00AA5772">
        <w:rPr>
          <w:b/>
          <w:caps/>
          <w:u w:val="single"/>
        </w:rPr>
        <w:t>Explanatory Statement</w:t>
      </w:r>
    </w:p>
    <w:p w14:paraId="5BFDC7B4" w14:textId="77777777" w:rsidR="0015248F" w:rsidRPr="00AA5772" w:rsidRDefault="0015248F" w:rsidP="0015248F"/>
    <w:p w14:paraId="31E31CBB" w14:textId="77777777" w:rsidR="0015248F" w:rsidRPr="00AA5772" w:rsidRDefault="0015248F" w:rsidP="0015248F">
      <w:pPr>
        <w:shd w:val="clear" w:color="auto" w:fill="FFFFFF"/>
        <w:spacing w:after="200" w:line="253" w:lineRule="atLeast"/>
        <w:jc w:val="center"/>
        <w:rPr>
          <w:color w:val="000000"/>
          <w:lang w:eastAsia="en-GB"/>
        </w:rPr>
      </w:pPr>
      <w:r w:rsidRPr="00AA5772">
        <w:rPr>
          <w:rFonts w:cs="Arial"/>
          <w:i/>
          <w:iCs/>
          <w:color w:val="000000"/>
          <w:lang w:val="en-AU" w:eastAsia="en-GB"/>
        </w:rPr>
        <w:t>Food Standards Australia New Zealand Act 1991</w:t>
      </w:r>
    </w:p>
    <w:p w14:paraId="70D211B0" w14:textId="5F1365E8" w:rsidR="0015248F" w:rsidRDefault="0015248F" w:rsidP="0015248F">
      <w:pPr>
        <w:jc w:val="center"/>
        <w:rPr>
          <w:b/>
          <w:bCs/>
          <w:i/>
          <w:iCs/>
        </w:rPr>
      </w:pPr>
      <w:r w:rsidRPr="00AA5772">
        <w:rPr>
          <w:b/>
          <w:bCs/>
          <w:i/>
          <w:iCs/>
        </w:rPr>
        <w:t>Food Standards (</w:t>
      </w:r>
      <w:bookmarkStart w:id="1" w:name="_Hlk122511455"/>
      <w:r w:rsidRPr="00AA5772">
        <w:rPr>
          <w:b/>
          <w:bCs/>
          <w:i/>
          <w:iCs/>
        </w:rPr>
        <w:t xml:space="preserve">Application A1251 – 2′-FL combined with </w:t>
      </w:r>
      <w:proofErr w:type="spellStart"/>
      <w:r w:rsidRPr="00AA5772">
        <w:rPr>
          <w:b/>
          <w:bCs/>
          <w:i/>
          <w:iCs/>
        </w:rPr>
        <w:t>galacto</w:t>
      </w:r>
      <w:proofErr w:type="spellEnd"/>
      <w:r w:rsidRPr="00AA5772">
        <w:rPr>
          <w:b/>
          <w:bCs/>
          <w:i/>
          <w:iCs/>
        </w:rPr>
        <w:t xml:space="preserve">-oligosaccharides and/or inulin-type </w:t>
      </w:r>
      <w:proofErr w:type="spellStart"/>
      <w:r w:rsidRPr="00AA5772">
        <w:rPr>
          <w:b/>
          <w:bCs/>
          <w:i/>
          <w:iCs/>
        </w:rPr>
        <w:t>fructans</w:t>
      </w:r>
      <w:proofErr w:type="spellEnd"/>
      <w:r w:rsidRPr="00AA5772">
        <w:rPr>
          <w:b/>
          <w:bCs/>
          <w:i/>
          <w:iCs/>
        </w:rPr>
        <w:t xml:space="preserve"> in infant formula products) Variation</w:t>
      </w:r>
    </w:p>
    <w:p w14:paraId="06396E5F" w14:textId="77777777" w:rsidR="0015248F" w:rsidRPr="0015248F" w:rsidRDefault="0015248F" w:rsidP="0015248F">
      <w:pPr>
        <w:jc w:val="center"/>
        <w:rPr>
          <w:i/>
          <w:iCs/>
          <w:lang w:bidi="ar-SA"/>
        </w:rPr>
      </w:pPr>
    </w:p>
    <w:bookmarkEnd w:id="1"/>
    <w:p w14:paraId="195B6355" w14:textId="77777777" w:rsidR="002B43AA" w:rsidRPr="00FB54A6" w:rsidRDefault="002B43AA" w:rsidP="002B43AA">
      <w:pPr>
        <w:rPr>
          <w:b/>
          <w:lang w:val="en-AU"/>
        </w:rPr>
      </w:pPr>
      <w:r w:rsidRPr="00FB54A6">
        <w:rPr>
          <w:b/>
          <w:lang w:val="en-AU"/>
        </w:rPr>
        <w:t>1.</w:t>
      </w:r>
      <w:r w:rsidRPr="00FB54A6">
        <w:rPr>
          <w:b/>
          <w:lang w:val="en-AU"/>
        </w:rPr>
        <w:tab/>
        <w:t>Authority</w:t>
      </w:r>
      <w:bookmarkEnd w:id="0"/>
    </w:p>
    <w:p w14:paraId="61FE7092" w14:textId="77777777" w:rsidR="002B43AA" w:rsidRPr="00FA1DB3" w:rsidRDefault="002B43AA" w:rsidP="002B43AA">
      <w:pPr>
        <w:autoSpaceDE w:val="0"/>
        <w:autoSpaceDN w:val="0"/>
        <w:adjustRightInd w:val="0"/>
        <w:spacing w:before="120" w:after="120"/>
        <w:rPr>
          <w:rFonts w:eastAsia="Calibri" w:cs="Arial"/>
          <w:bCs/>
          <w:lang w:val="en-AU"/>
        </w:rPr>
      </w:pPr>
      <w:r w:rsidRPr="00D13E34">
        <w:rPr>
          <w:rFonts w:eastAsia="Courier New" w:cs="Arial Unicode MS"/>
          <w:szCs w:val="22"/>
          <w:lang w:val="en-AU" w:bidi="ar-SA"/>
        </w:rPr>
        <w:t xml:space="preserve">Section 13 of the </w:t>
      </w:r>
      <w:r w:rsidRPr="00D13E34">
        <w:rPr>
          <w:rFonts w:eastAsia="Courier New" w:cs="Arial Unicode MS"/>
          <w:i/>
          <w:szCs w:val="22"/>
          <w:lang w:val="en-AU" w:bidi="ar-SA"/>
        </w:rPr>
        <w:t>Food Standards Australia New Zealand Act 1991</w:t>
      </w:r>
      <w:r w:rsidRPr="00D13E34">
        <w:rPr>
          <w:rFonts w:eastAsia="Courier New" w:cs="Arial Unicode MS"/>
          <w:szCs w:val="22"/>
          <w:lang w:val="en-AU" w:bidi="ar-SA"/>
        </w:rPr>
        <w:t xml:space="preserve"> (the </w:t>
      </w:r>
      <w:r>
        <w:rPr>
          <w:rFonts w:eastAsia="Courier New" w:cs="Arial Unicode MS"/>
          <w:szCs w:val="22"/>
          <w:lang w:val="en-AU" w:bidi="ar-SA"/>
        </w:rPr>
        <w:t xml:space="preserve">FSANZ </w:t>
      </w:r>
      <w:r w:rsidRPr="00D13E34">
        <w:rPr>
          <w:rFonts w:eastAsia="Courier New" w:cs="Arial Unicode MS"/>
          <w:szCs w:val="22"/>
          <w:lang w:val="en-AU" w:bidi="ar-SA"/>
        </w:rPr>
        <w:t>Act) provides that the functions of Food Standards Australia New Zealand (</w:t>
      </w:r>
      <w:r>
        <w:rPr>
          <w:rFonts w:eastAsia="Courier New" w:cs="Arial Unicode MS"/>
          <w:szCs w:val="22"/>
          <w:lang w:val="en-AU" w:bidi="ar-SA"/>
        </w:rPr>
        <w:t>the Authority</w:t>
      </w:r>
      <w:r w:rsidRPr="00D13E34">
        <w:rPr>
          <w:rFonts w:eastAsia="Courier New" w:cs="Arial Unicode MS"/>
          <w:szCs w:val="22"/>
          <w:lang w:val="en-AU" w:bidi="ar-SA"/>
        </w:rPr>
        <w:t xml:space="preserve">) include the development of standards and variations of standards for inclusion in the </w:t>
      </w:r>
      <w:r w:rsidRPr="006E7A60">
        <w:rPr>
          <w:rFonts w:eastAsia="Courier New" w:cs="Arial Unicode MS"/>
          <w:i/>
          <w:szCs w:val="22"/>
          <w:lang w:val="en-AU" w:bidi="ar-SA"/>
        </w:rPr>
        <w:t>Australia New Zealand Food Standards Code</w:t>
      </w:r>
      <w:r w:rsidRPr="00D13E34">
        <w:rPr>
          <w:rFonts w:eastAsia="Courier New" w:cs="Arial Unicode MS"/>
          <w:szCs w:val="22"/>
          <w:lang w:val="en-AU" w:bidi="ar-SA"/>
        </w:rPr>
        <w:t xml:space="preserve"> (the Code).</w:t>
      </w:r>
    </w:p>
    <w:p w14:paraId="79316FD2" w14:textId="77777777" w:rsidR="002B43AA" w:rsidRPr="001D77E6" w:rsidRDefault="002B43AA" w:rsidP="002B43AA">
      <w:pPr>
        <w:autoSpaceDE w:val="0"/>
        <w:autoSpaceDN w:val="0"/>
        <w:adjustRightInd w:val="0"/>
        <w:spacing w:before="120" w:after="120"/>
        <w:rPr>
          <w:rFonts w:eastAsia="Calibri" w:cs="Arial"/>
          <w:szCs w:val="22"/>
          <w:lang w:val="en-AU"/>
        </w:rPr>
      </w:pPr>
      <w:r w:rsidRPr="001D77E6">
        <w:rPr>
          <w:rFonts w:eastAsia="Calibri" w:cs="Arial"/>
          <w:szCs w:val="22"/>
          <w:lang w:val="en-AU"/>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789BC2DF" w14:textId="77777777" w:rsidR="002B43AA" w:rsidRPr="001D77E6" w:rsidRDefault="002B43AA" w:rsidP="002B43AA">
      <w:pPr>
        <w:pStyle w:val="CommentText"/>
        <w:rPr>
          <w:sz w:val="22"/>
          <w:szCs w:val="22"/>
        </w:rPr>
      </w:pPr>
      <w:r w:rsidRPr="6E283F76">
        <w:rPr>
          <w:rFonts w:eastAsia="Calibri" w:cs="Arial"/>
          <w:sz w:val="22"/>
          <w:szCs w:val="22"/>
          <w:lang w:val="en-AU"/>
        </w:rPr>
        <w:t>The Authority accepted Application A1251 which sought to amend the Code to:</w:t>
      </w:r>
    </w:p>
    <w:p w14:paraId="0A8FE152" w14:textId="77777777" w:rsidR="002B43AA" w:rsidRPr="001D77E6" w:rsidRDefault="002B43AA" w:rsidP="002B43AA">
      <w:pPr>
        <w:pStyle w:val="CommentText"/>
        <w:rPr>
          <w:sz w:val="22"/>
          <w:szCs w:val="22"/>
        </w:rPr>
      </w:pPr>
    </w:p>
    <w:p w14:paraId="4CC3C774" w14:textId="77777777" w:rsidR="002B43AA" w:rsidRPr="001D77E6" w:rsidRDefault="002B43AA" w:rsidP="002B43AA">
      <w:pPr>
        <w:pStyle w:val="CommentText"/>
        <w:numPr>
          <w:ilvl w:val="0"/>
          <w:numId w:val="2"/>
        </w:numPr>
        <w:rPr>
          <w:sz w:val="22"/>
          <w:szCs w:val="22"/>
        </w:rPr>
      </w:pPr>
      <w:r w:rsidRPr="232DEEDC">
        <w:rPr>
          <w:rFonts w:cs="Arial"/>
          <w:sz w:val="22"/>
          <w:szCs w:val="22"/>
        </w:rPr>
        <w:t xml:space="preserve">remove the prohibition on the addition of </w:t>
      </w:r>
      <w:r w:rsidRPr="232DEEDC">
        <w:rPr>
          <w:sz w:val="22"/>
          <w:szCs w:val="22"/>
        </w:rPr>
        <w:t xml:space="preserve">2’-fucosyllactose (2′-FL) to infant formula products (IFP) in combination with </w:t>
      </w:r>
      <w:proofErr w:type="spellStart"/>
      <w:r w:rsidRPr="232DEEDC">
        <w:rPr>
          <w:sz w:val="22"/>
          <w:szCs w:val="22"/>
        </w:rPr>
        <w:t>galacto</w:t>
      </w:r>
      <w:proofErr w:type="spellEnd"/>
      <w:r w:rsidRPr="232DEEDC">
        <w:rPr>
          <w:sz w:val="22"/>
          <w:szCs w:val="22"/>
        </w:rPr>
        <w:t xml:space="preserve">-oligosaccharides (GOS) and/or inulin-type </w:t>
      </w:r>
      <w:proofErr w:type="spellStart"/>
      <w:r w:rsidRPr="232DEEDC">
        <w:rPr>
          <w:sz w:val="22"/>
          <w:szCs w:val="22"/>
        </w:rPr>
        <w:t>fructans</w:t>
      </w:r>
      <w:proofErr w:type="spellEnd"/>
      <w:r w:rsidRPr="232DEEDC">
        <w:rPr>
          <w:sz w:val="22"/>
          <w:szCs w:val="22"/>
        </w:rPr>
        <w:t xml:space="preserve"> (ITF); and</w:t>
      </w:r>
    </w:p>
    <w:p w14:paraId="0DC77D9E" w14:textId="77777777" w:rsidR="002B43AA" w:rsidRPr="001D77E6" w:rsidRDefault="002B43AA" w:rsidP="002B43AA">
      <w:pPr>
        <w:pStyle w:val="CommentText"/>
        <w:rPr>
          <w:sz w:val="22"/>
          <w:szCs w:val="22"/>
        </w:rPr>
      </w:pPr>
    </w:p>
    <w:p w14:paraId="392ACD06" w14:textId="77777777" w:rsidR="002B43AA" w:rsidRPr="001D77E6" w:rsidRDefault="002B43AA" w:rsidP="002B43AA">
      <w:pPr>
        <w:pStyle w:val="CommentText"/>
        <w:numPr>
          <w:ilvl w:val="0"/>
          <w:numId w:val="1"/>
        </w:numPr>
        <w:rPr>
          <w:sz w:val="22"/>
          <w:szCs w:val="22"/>
        </w:rPr>
      </w:pPr>
      <w:r w:rsidRPr="0D1E2CE1">
        <w:rPr>
          <w:sz w:val="22"/>
          <w:szCs w:val="22"/>
        </w:rPr>
        <w:t>thereby allow forms of 2′-FL that are currently permitted by the Code to be added to IFP in combination with GOS and/or ITF in accordance with applicable limits and conditions currently set by the Code.</w:t>
      </w:r>
    </w:p>
    <w:p w14:paraId="3A08229E" w14:textId="77777777" w:rsidR="002B43AA" w:rsidRPr="001D77E6" w:rsidRDefault="002B43AA" w:rsidP="002B43AA">
      <w:pPr>
        <w:pStyle w:val="CommentText"/>
        <w:rPr>
          <w:sz w:val="22"/>
          <w:szCs w:val="22"/>
        </w:rPr>
      </w:pPr>
    </w:p>
    <w:p w14:paraId="6524CD28" w14:textId="77777777" w:rsidR="002B43AA" w:rsidRPr="001D77E6" w:rsidRDefault="002B43AA" w:rsidP="002B43AA">
      <w:pPr>
        <w:pStyle w:val="CommentText"/>
        <w:rPr>
          <w:rFonts w:eastAsia="Calibri" w:cs="Arial"/>
          <w:sz w:val="22"/>
          <w:szCs w:val="22"/>
          <w:lang w:val="en-AU"/>
        </w:rPr>
      </w:pPr>
      <w:r w:rsidRPr="0AE11657">
        <w:rPr>
          <w:rFonts w:eastAsia="Calibri" w:cs="Arial"/>
          <w:sz w:val="22"/>
          <w:szCs w:val="22"/>
          <w:lang w:val="en-AU"/>
        </w:rPr>
        <w:t>The Application also sought a</w:t>
      </w:r>
      <w:r w:rsidRPr="0AE11657">
        <w:rPr>
          <w:sz w:val="22"/>
          <w:szCs w:val="22"/>
        </w:rPr>
        <w:t xml:space="preserve"> 15-month exclusive use permission. That is</w:t>
      </w:r>
      <w:r>
        <w:rPr>
          <w:sz w:val="22"/>
          <w:szCs w:val="22"/>
        </w:rPr>
        <w:t>,</w:t>
      </w:r>
      <w:r w:rsidRPr="0AE11657" w:rsidDel="008C0953">
        <w:rPr>
          <w:sz w:val="22"/>
          <w:szCs w:val="22"/>
        </w:rPr>
        <w:t xml:space="preserve"> </w:t>
      </w:r>
      <w:r w:rsidRPr="0AE11657">
        <w:rPr>
          <w:sz w:val="22"/>
          <w:szCs w:val="22"/>
        </w:rPr>
        <w:t xml:space="preserve">an amendment to the Code to provide that IFP may not be sold containing 2′-FL together with added ITF and/or GOS unless: the IFP is manufactured by </w:t>
      </w:r>
      <w:proofErr w:type="spellStart"/>
      <w:r w:rsidRPr="0AE11657">
        <w:rPr>
          <w:sz w:val="22"/>
          <w:szCs w:val="22"/>
        </w:rPr>
        <w:t>Nutricia</w:t>
      </w:r>
      <w:proofErr w:type="spellEnd"/>
      <w:r w:rsidRPr="0AE11657">
        <w:rPr>
          <w:sz w:val="22"/>
          <w:szCs w:val="22"/>
        </w:rPr>
        <w:t xml:space="preserve"> Australia Pty Ltd; and the 2′-FL in question is the 2′-FL developed and owned by Chr. Hansen A/S</w:t>
      </w:r>
      <w:r>
        <w:rPr>
          <w:sz w:val="22"/>
          <w:szCs w:val="22"/>
        </w:rPr>
        <w:t xml:space="preserve"> and contains </w:t>
      </w:r>
      <w:proofErr w:type="spellStart"/>
      <w:r>
        <w:rPr>
          <w:sz w:val="22"/>
          <w:szCs w:val="22"/>
        </w:rPr>
        <w:t>Nutricia</w:t>
      </w:r>
      <w:proofErr w:type="spellEnd"/>
      <w:r>
        <w:rPr>
          <w:sz w:val="22"/>
          <w:szCs w:val="22"/>
        </w:rPr>
        <w:t xml:space="preserve"> Australia Pty </w:t>
      </w:r>
      <w:proofErr w:type="spellStart"/>
      <w:r>
        <w:rPr>
          <w:sz w:val="22"/>
          <w:szCs w:val="22"/>
        </w:rPr>
        <w:t>Ltd’s</w:t>
      </w:r>
      <w:proofErr w:type="spellEnd"/>
      <w:r>
        <w:rPr>
          <w:sz w:val="22"/>
          <w:szCs w:val="22"/>
        </w:rPr>
        <w:t xml:space="preserve"> blend of short-chain GOS and long chain FOS, namely </w:t>
      </w:r>
      <w:proofErr w:type="spellStart"/>
      <w:r>
        <w:rPr>
          <w:sz w:val="22"/>
          <w:szCs w:val="22"/>
        </w:rPr>
        <w:t>scGOS</w:t>
      </w:r>
      <w:proofErr w:type="spellEnd"/>
      <w:r>
        <w:rPr>
          <w:sz w:val="22"/>
          <w:szCs w:val="22"/>
        </w:rPr>
        <w:t>/</w:t>
      </w:r>
      <w:proofErr w:type="spellStart"/>
      <w:r>
        <w:rPr>
          <w:sz w:val="22"/>
          <w:szCs w:val="22"/>
        </w:rPr>
        <w:t>lcFOS</w:t>
      </w:r>
      <w:proofErr w:type="spellEnd"/>
      <w:r>
        <w:rPr>
          <w:sz w:val="22"/>
          <w:szCs w:val="22"/>
        </w:rPr>
        <w:t xml:space="preserve"> (9:1)</w:t>
      </w:r>
      <w:r w:rsidRPr="0AE11657">
        <w:rPr>
          <w:sz w:val="22"/>
          <w:szCs w:val="22"/>
        </w:rPr>
        <w:t>.</w:t>
      </w:r>
      <w:r>
        <w:br/>
      </w:r>
    </w:p>
    <w:p w14:paraId="4FDF557E" w14:textId="693B56D4" w:rsidR="002B43AA" w:rsidRPr="0015248F" w:rsidRDefault="002B43AA" w:rsidP="319F395E">
      <w:pPr>
        <w:widowControl/>
        <w:autoSpaceDE w:val="0"/>
        <w:autoSpaceDN w:val="0"/>
        <w:adjustRightInd w:val="0"/>
        <w:rPr>
          <w:rFonts w:eastAsia="Courier New" w:cs="Arial Unicode MS"/>
          <w:i/>
          <w:iCs/>
          <w:lang w:val="en-AU" w:bidi="ar-SA"/>
        </w:rPr>
      </w:pPr>
      <w:r w:rsidRPr="319F395E">
        <w:rPr>
          <w:rFonts w:eastAsia="Calibri" w:cs="Arial"/>
          <w:lang w:val="en-AU"/>
        </w:rPr>
        <w:t xml:space="preserve">The Authority considered the Application in accordance with Division 1 of Part 3 and has </w:t>
      </w:r>
      <w:r w:rsidRPr="00AA5772">
        <w:rPr>
          <w:rFonts w:eastAsia="Calibri" w:cs="Arial"/>
          <w:lang w:val="en-AU"/>
        </w:rPr>
        <w:t>approved a draft variation to the Code</w:t>
      </w:r>
      <w:r w:rsidR="0015248F" w:rsidRPr="00AA5772">
        <w:rPr>
          <w:rFonts w:eastAsia="Calibri" w:cs="Arial"/>
          <w:lang w:val="en-AU"/>
        </w:rPr>
        <w:t xml:space="preserve"> - </w:t>
      </w:r>
      <w:r w:rsidR="0015248F" w:rsidRPr="00AA5772">
        <w:rPr>
          <w:rFonts w:eastAsia="Calibri" w:cs="Arial"/>
          <w:i/>
          <w:iCs/>
          <w:lang w:val="en-AU"/>
        </w:rPr>
        <w:t xml:space="preserve">the Food Standards (Application A1251 – 2′-FL combined with </w:t>
      </w:r>
      <w:proofErr w:type="spellStart"/>
      <w:r w:rsidR="0015248F" w:rsidRPr="00AA5772">
        <w:rPr>
          <w:rFonts w:eastAsia="Calibri" w:cs="Arial"/>
          <w:i/>
          <w:iCs/>
          <w:lang w:val="en-AU"/>
        </w:rPr>
        <w:t>galacto</w:t>
      </w:r>
      <w:proofErr w:type="spellEnd"/>
      <w:r w:rsidR="0015248F" w:rsidRPr="00AA5772">
        <w:rPr>
          <w:rFonts w:eastAsia="Calibri" w:cs="Arial"/>
          <w:i/>
          <w:iCs/>
          <w:lang w:val="en-AU"/>
        </w:rPr>
        <w:t xml:space="preserve">-oligosaccharides and/or inulin-type </w:t>
      </w:r>
      <w:proofErr w:type="spellStart"/>
      <w:r w:rsidR="0015248F" w:rsidRPr="00AA5772">
        <w:rPr>
          <w:rFonts w:eastAsia="Calibri" w:cs="Arial"/>
          <w:i/>
          <w:iCs/>
          <w:lang w:val="en-AU"/>
        </w:rPr>
        <w:t>fructans</w:t>
      </w:r>
      <w:proofErr w:type="spellEnd"/>
      <w:r w:rsidR="0015248F" w:rsidRPr="00AA5772">
        <w:rPr>
          <w:rFonts w:eastAsia="Calibri" w:cs="Arial"/>
          <w:i/>
          <w:iCs/>
          <w:lang w:val="en-AU"/>
        </w:rPr>
        <w:t xml:space="preserve"> in infant formula products) Variation</w:t>
      </w:r>
      <w:r w:rsidRPr="00AA5772">
        <w:rPr>
          <w:rFonts w:eastAsia="Calibri" w:cs="Arial"/>
          <w:i/>
          <w:iCs/>
          <w:lang w:val="en-AU"/>
        </w:rPr>
        <w:t>.</w:t>
      </w:r>
      <w:r w:rsidRPr="319F395E">
        <w:rPr>
          <w:rFonts w:eastAsia="Courier New" w:cs="Arial Unicode MS"/>
          <w:i/>
          <w:iCs/>
          <w:lang w:val="en-AU" w:bidi="ar-SA"/>
        </w:rPr>
        <w:t xml:space="preserve"> </w:t>
      </w:r>
    </w:p>
    <w:p w14:paraId="45DF9412" w14:textId="77777777" w:rsidR="002B43AA" w:rsidRDefault="002B43AA" w:rsidP="002B43AA">
      <w:pPr>
        <w:widowControl/>
        <w:autoSpaceDE w:val="0"/>
        <w:autoSpaceDN w:val="0"/>
        <w:adjustRightInd w:val="0"/>
        <w:rPr>
          <w:rFonts w:eastAsia="Courier New" w:cs="Arial Unicode MS"/>
          <w:szCs w:val="22"/>
          <w:lang w:val="en-AU" w:bidi="ar-SA"/>
        </w:rPr>
      </w:pPr>
    </w:p>
    <w:p w14:paraId="2D405374" w14:textId="77777777" w:rsidR="002B43AA" w:rsidRPr="00D13E34" w:rsidRDefault="002B43AA" w:rsidP="002B43AA">
      <w:pPr>
        <w:widowControl/>
        <w:autoSpaceDE w:val="0"/>
        <w:autoSpaceDN w:val="0"/>
        <w:adjustRightInd w:val="0"/>
        <w:rPr>
          <w:rFonts w:eastAsia="Courier New" w:cs="Arial Unicode MS"/>
          <w:szCs w:val="22"/>
          <w:lang w:val="en-AU" w:bidi="ar-SA"/>
        </w:rPr>
      </w:pPr>
      <w:r w:rsidRPr="00D13E34">
        <w:rPr>
          <w:rFonts w:eastAsia="Courier New" w:cs="Arial Unicode MS"/>
          <w:szCs w:val="22"/>
          <w:lang w:val="en-AU" w:bidi="ar-SA"/>
        </w:rPr>
        <w:t xml:space="preserve">Following consideration by </w:t>
      </w:r>
      <w:r>
        <w:rPr>
          <w:rFonts w:eastAsia="Courier New" w:cs="Arial Unicode MS"/>
          <w:szCs w:val="22"/>
          <w:lang w:val="en-AU" w:bidi="ar-SA"/>
        </w:rPr>
        <w:t xml:space="preserve">the </w:t>
      </w:r>
      <w:r>
        <w:rPr>
          <w:rFonts w:cs="Cambria"/>
          <w:lang w:val="en-AU"/>
        </w:rPr>
        <w:t>Food Ministers’ Meeting</w:t>
      </w:r>
      <w:r w:rsidRPr="00D13E34">
        <w:rPr>
          <w:rFonts w:eastAsia="Courier New" w:cs="Arial Unicode MS"/>
          <w:szCs w:val="22"/>
          <w:lang w:val="en-AU" w:bidi="ar-SA"/>
        </w:rPr>
        <w:t xml:space="preserve">, section 92 of the </w:t>
      </w:r>
      <w:r>
        <w:rPr>
          <w:rFonts w:eastAsia="Courier New" w:cs="Arial Unicode MS"/>
          <w:szCs w:val="22"/>
          <w:lang w:val="en-AU" w:bidi="ar-SA"/>
        </w:rPr>
        <w:t xml:space="preserve">FSANZ </w:t>
      </w:r>
      <w:r w:rsidRPr="00D13E34">
        <w:rPr>
          <w:rFonts w:eastAsia="Courier New" w:cs="Arial Unicode MS"/>
          <w:szCs w:val="22"/>
          <w:lang w:val="en-AU" w:bidi="ar-SA"/>
        </w:rPr>
        <w:t xml:space="preserve">Act stipulates that </w:t>
      </w:r>
      <w:r>
        <w:rPr>
          <w:rFonts w:eastAsia="Courier New" w:cs="Arial Unicode MS"/>
          <w:szCs w:val="22"/>
          <w:lang w:val="en-AU" w:bidi="ar-SA"/>
        </w:rPr>
        <w:t>the Authority</w:t>
      </w:r>
      <w:r w:rsidRPr="00D13E34">
        <w:rPr>
          <w:rFonts w:eastAsia="Courier New" w:cs="Arial Unicode MS"/>
          <w:szCs w:val="22"/>
          <w:lang w:val="en-AU" w:bidi="ar-SA"/>
        </w:rPr>
        <w:t xml:space="preserve"> must publish a notice about the standard or draft variation of a standard</w:t>
      </w:r>
      <w:r>
        <w:rPr>
          <w:rFonts w:eastAsia="Courier New" w:cs="Arial Unicode MS"/>
          <w:szCs w:val="22"/>
          <w:lang w:val="en-AU" w:bidi="ar-SA"/>
        </w:rPr>
        <w:t xml:space="preserve">. </w:t>
      </w:r>
    </w:p>
    <w:p w14:paraId="17CE459C" w14:textId="192527EC" w:rsidR="002B43AA" w:rsidRDefault="002B43AA" w:rsidP="319F395E">
      <w:pPr>
        <w:widowControl/>
        <w:rPr>
          <w:color w:val="000000" w:themeColor="text1"/>
          <w:lang w:val="en-AU" w:bidi="ar-SA"/>
        </w:rPr>
      </w:pPr>
    </w:p>
    <w:p w14:paraId="5F513B8D" w14:textId="77777777" w:rsidR="002B43AA" w:rsidRDefault="002B43AA" w:rsidP="002B43AA">
      <w:pPr>
        <w:rPr>
          <w:b/>
          <w:lang w:val="en-AU" w:eastAsia="en-GB" w:bidi="ar-SA"/>
        </w:rPr>
      </w:pPr>
      <w:r>
        <w:rPr>
          <w:b/>
          <w:lang w:val="en-AU" w:eastAsia="en-GB" w:bidi="ar-SA"/>
        </w:rPr>
        <w:t>2.</w:t>
      </w:r>
      <w:r>
        <w:rPr>
          <w:b/>
          <w:lang w:val="en-AU" w:eastAsia="en-GB" w:bidi="ar-SA"/>
        </w:rPr>
        <w:tab/>
        <w:t>Variation is a legislative instrument</w:t>
      </w:r>
    </w:p>
    <w:p w14:paraId="4A666DCF" w14:textId="77777777" w:rsidR="002B43AA" w:rsidRDefault="002B43AA" w:rsidP="002B43AA">
      <w:pPr>
        <w:rPr>
          <w:b/>
          <w:lang w:val="en-AU" w:eastAsia="en-GB" w:bidi="ar-SA"/>
        </w:rPr>
      </w:pPr>
    </w:p>
    <w:p w14:paraId="568F7304" w14:textId="77777777" w:rsidR="002B43AA" w:rsidRPr="00D00473" w:rsidRDefault="002B43AA" w:rsidP="002B43AA">
      <w:pPr>
        <w:rPr>
          <w:rFonts w:cs="Arial Unicode MS"/>
          <w:szCs w:val="22"/>
          <w:lang w:bidi="ar-SA"/>
        </w:rPr>
      </w:pPr>
      <w:r w:rsidRPr="00D00473">
        <w:rPr>
          <w:rFonts w:cs="Arial Unicode MS"/>
        </w:rPr>
        <w:t xml:space="preserve">The approved draft variation is a legislative instrument for the purposes of the </w:t>
      </w:r>
      <w:r w:rsidRPr="00D00473">
        <w:rPr>
          <w:rFonts w:cs="Arial Unicode MS"/>
          <w:i/>
        </w:rPr>
        <w:t>Legislation Act 2003</w:t>
      </w:r>
      <w:r w:rsidRPr="00D00473">
        <w:rPr>
          <w:rFonts w:cs="Arial Unicode MS"/>
        </w:rPr>
        <w:t xml:space="preserve"> (see section 94 of the FSANZ Act) and is publicly available on the Federal Register of Legislation (</w:t>
      </w:r>
      <w:hyperlink r:id="rId9" w:history="1">
        <w:r w:rsidRPr="00D00473">
          <w:rPr>
            <w:rFonts w:cs="Arial Unicode MS"/>
            <w:color w:val="3333FF"/>
            <w:u w:val="single"/>
          </w:rPr>
          <w:t>www.legislation.gov.au</w:t>
        </w:r>
      </w:hyperlink>
      <w:r w:rsidRPr="00D00473">
        <w:rPr>
          <w:rFonts w:cs="Arial Unicode MS"/>
        </w:rPr>
        <w:t>).</w:t>
      </w:r>
    </w:p>
    <w:p w14:paraId="583C51F8" w14:textId="77777777" w:rsidR="002B43AA" w:rsidRPr="00D00473" w:rsidRDefault="002B43AA" w:rsidP="002B43AA">
      <w:pPr>
        <w:rPr>
          <w:rFonts w:cs="Arial Unicode MS"/>
        </w:rPr>
      </w:pPr>
    </w:p>
    <w:p w14:paraId="1D21780E" w14:textId="77777777" w:rsidR="002B43AA" w:rsidRPr="00FB45C7" w:rsidRDefault="002B43AA" w:rsidP="002B43AA">
      <w:pPr>
        <w:rPr>
          <w:rFonts w:cs="Arial Unicode MS"/>
        </w:rPr>
      </w:pPr>
      <w:r w:rsidRPr="00D00473">
        <w:rPr>
          <w:rFonts w:cs="Arial Unicode MS"/>
        </w:rPr>
        <w:t xml:space="preserve">This instrument is not subject to the disallowance or sunsetting provisions of the </w:t>
      </w:r>
      <w:r w:rsidRPr="00D00473">
        <w:rPr>
          <w:rFonts w:cs="Arial Unicode MS"/>
          <w:i/>
        </w:rPr>
        <w:t xml:space="preserve">Legislation Act 2003. </w:t>
      </w:r>
      <w:r w:rsidRPr="00D00473">
        <w:rPr>
          <w:rFonts w:cs="Arial Unicode MS"/>
        </w:rPr>
        <w:t>Subsections</w:t>
      </w:r>
      <w:r w:rsidRPr="00FB45C7">
        <w:rPr>
          <w:rFonts w:cs="Arial Unicode MS"/>
          <w:i/>
        </w:rPr>
        <w:t xml:space="preserve"> </w:t>
      </w:r>
      <w:r w:rsidRPr="00FB45C7">
        <w:rPr>
          <w:rFonts w:cs="Arial Unicode MS"/>
        </w:rPr>
        <w:t>44(1) and 54(1) of that Act</w:t>
      </w:r>
      <w:r w:rsidRPr="00FB45C7">
        <w:rPr>
          <w:rFonts w:cs="Arial Unicode MS"/>
          <w:i/>
        </w:rPr>
        <w:t xml:space="preserve"> </w:t>
      </w:r>
      <w:r w:rsidRPr="00FB45C7">
        <w:rPr>
          <w:rFonts w:cs="Arial Unicode M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w:t>
      </w:r>
      <w:r w:rsidRPr="00FB45C7">
        <w:rPr>
          <w:rFonts w:cs="Arial Unicode MS"/>
        </w:rPr>
        <w:lastRenderedPageBreak/>
        <w:t xml:space="preserve">instrument to be made for the purposes of the scheme. Regulation 11 of the </w:t>
      </w:r>
      <w:r w:rsidRPr="00FB45C7">
        <w:rPr>
          <w:rFonts w:cs="Arial Unicode MS"/>
          <w:i/>
        </w:rPr>
        <w:t>Legislation (Exemptions and other Matters) Regulation 2015</w:t>
      </w:r>
      <w:r w:rsidRPr="00FB45C7">
        <w:rPr>
          <w:rFonts w:cs="Arial Unicode MS"/>
        </w:rPr>
        <w:t xml:space="preserve"> </w:t>
      </w:r>
      <w:r w:rsidRPr="00FB45C7">
        <w:rPr>
          <w:rFonts w:cs="Arial Unicode MS"/>
          <w:lang w:val="en"/>
        </w:rPr>
        <w:t xml:space="preserve">also exempts from sunsetting legislative instruments </w:t>
      </w:r>
      <w:r w:rsidRPr="00FB45C7">
        <w:rPr>
          <w:rFonts w:cs="Arial Unicode MS"/>
          <w:shd w:val="clear" w:color="auto" w:fill="FFFFFF"/>
        </w:rPr>
        <w:t xml:space="preserve">a primary purpose of which is to </w:t>
      </w:r>
      <w:r w:rsidRPr="00FB45C7">
        <w:rPr>
          <w:rFonts w:cs="Arial Unicode MS"/>
        </w:rPr>
        <w:t>give effect to an international obligation of Australia.</w:t>
      </w:r>
    </w:p>
    <w:p w14:paraId="28076636" w14:textId="77777777" w:rsidR="002B43AA" w:rsidRPr="00326CF2" w:rsidRDefault="002B43AA" w:rsidP="002B43AA">
      <w:pPr>
        <w:rPr>
          <w:rFonts w:cs="Arial Unicode MS"/>
        </w:rPr>
      </w:pPr>
    </w:p>
    <w:p w14:paraId="3EE8F724" w14:textId="77777777" w:rsidR="002B43AA" w:rsidRDefault="002B43AA" w:rsidP="002B43AA">
      <w:pPr>
        <w:rPr>
          <w:b/>
          <w:lang w:val="en-AU" w:eastAsia="en-GB" w:bidi="ar-SA"/>
        </w:rPr>
      </w:pPr>
      <w:r w:rsidRPr="00FB45C7">
        <w:rPr>
          <w:rFonts w:cs="Arial Unicode MS"/>
        </w:rPr>
        <w:t xml:space="preserve">The </w:t>
      </w:r>
      <w:r w:rsidRPr="00FB45C7">
        <w:rPr>
          <w:rFonts w:cs="Arial Unicode MS"/>
          <w:lang w:val="en-AU"/>
        </w:rPr>
        <w:t>FSANZ Act</w:t>
      </w:r>
      <w:r w:rsidRPr="00FB45C7">
        <w:rPr>
          <w:rFonts w:cs="Arial Unicode MS"/>
          <w:i/>
          <w:lang w:val="en-AU"/>
        </w:rPr>
        <w:t xml:space="preserve"> </w:t>
      </w:r>
      <w:r w:rsidRPr="00FB45C7">
        <w:rPr>
          <w:rFonts w:cs="Arial Unicode MS"/>
          <w:lang w:val="en-AU"/>
        </w:rPr>
        <w:t xml:space="preserve">gives effect to </w:t>
      </w:r>
      <w:r w:rsidRPr="00FB45C7">
        <w:rPr>
          <w:rFonts w:cs="Arial Unicode MS"/>
        </w:rPr>
        <w:t xml:space="preserve">an intergovernmental agreement (the Food Regulation Agreement) and facilitates the establishment or operation of an intergovernmental scheme (national uniform food regulation). </w:t>
      </w:r>
      <w:r w:rsidRPr="00FB45C7">
        <w:rPr>
          <w:rFonts w:cs="Arial Unicode MS"/>
          <w:lang w:val="en-AU"/>
        </w:rPr>
        <w:t>That Act also</w:t>
      </w:r>
      <w:r w:rsidRPr="00FB45C7">
        <w:rPr>
          <w:rFonts w:cs="Arial Unicode MS"/>
          <w:i/>
          <w:lang w:val="en-AU"/>
        </w:rPr>
        <w:t xml:space="preserve"> </w:t>
      </w:r>
      <w:r w:rsidRPr="00FB45C7">
        <w:rPr>
          <w:rFonts w:cs="Arial Unicode MS"/>
          <w:lang w:val="en-AU"/>
        </w:rPr>
        <w:t xml:space="preserve">gives effect to Australia’s obligations under an international agreement between Australia and New Zealand. For these purposes, the Act </w:t>
      </w:r>
      <w:r w:rsidRPr="00FB45C7">
        <w:rPr>
          <w:rFonts w:cs="Arial Unicode MS"/>
        </w:rPr>
        <w:t xml:space="preserve">establishes the Authority to </w:t>
      </w:r>
      <w:r w:rsidRPr="00FB45C7">
        <w:rPr>
          <w:rFonts w:cs="Arial Unicode MS"/>
          <w:lang w:val="en-AU"/>
        </w:rPr>
        <w:t xml:space="preserve">develop food standards </w:t>
      </w:r>
      <w:r w:rsidRPr="00FB45C7">
        <w:rPr>
          <w:rFonts w:cs="Arial Unicode MS"/>
        </w:rPr>
        <w:t xml:space="preserve">for consideration and endorsement by the Food Ministers Meeting (FMM). The FMM is established under the Food Regulation Agreement and the </w:t>
      </w:r>
      <w:r w:rsidRPr="00FB45C7">
        <w:rPr>
          <w:rFonts w:cs="Arial Unicode MS"/>
          <w:lang w:val="en-AU"/>
        </w:rPr>
        <w:t>international agreement between Australia and New Zealand</w:t>
      </w:r>
      <w:r w:rsidRPr="00FB45C7">
        <w:rPr>
          <w:rFonts w:cs="Arial Unicode MS"/>
        </w:rPr>
        <w:t xml:space="preserve">, and consists of New Zealand, Commonwealth and State/Territory members. If endorsed by the FMM, </w:t>
      </w:r>
      <w:r w:rsidRPr="00FB45C7">
        <w:rPr>
          <w:rFonts w:cs="Arial Unicode MS"/>
          <w:lang w:val="en-AU"/>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0A5DEB89" w14:textId="77777777" w:rsidR="002B43AA" w:rsidRDefault="002B43AA" w:rsidP="002B43AA">
      <w:pPr>
        <w:rPr>
          <w:b/>
          <w:lang w:val="en-AU" w:eastAsia="en-GB" w:bidi="ar-SA"/>
        </w:rPr>
      </w:pPr>
    </w:p>
    <w:p w14:paraId="502196DF" w14:textId="77777777" w:rsidR="002B43AA" w:rsidRPr="00FB54A6" w:rsidRDefault="002B43AA" w:rsidP="002B43AA">
      <w:pPr>
        <w:rPr>
          <w:b/>
          <w:lang w:val="en-AU" w:eastAsia="en-GB" w:bidi="ar-SA"/>
        </w:rPr>
      </w:pPr>
      <w:r w:rsidRPr="00FB54A6">
        <w:rPr>
          <w:b/>
          <w:lang w:val="en-AU" w:eastAsia="en-GB" w:bidi="ar-SA"/>
        </w:rPr>
        <w:t>3.</w:t>
      </w:r>
      <w:r w:rsidRPr="00FB54A6">
        <w:rPr>
          <w:b/>
          <w:lang w:val="en-AU" w:eastAsia="en-GB" w:bidi="ar-SA"/>
        </w:rPr>
        <w:tab/>
        <w:t>Purpose</w:t>
      </w:r>
    </w:p>
    <w:p w14:paraId="33A5DA61" w14:textId="77777777" w:rsidR="002B43AA" w:rsidRPr="00FA1DB3" w:rsidRDefault="002B43AA" w:rsidP="002B43AA">
      <w:pPr>
        <w:spacing w:before="120" w:after="120"/>
        <w:rPr>
          <w:lang w:val="en-AU" w:eastAsia="en-GB"/>
        </w:rPr>
      </w:pPr>
      <w:r>
        <w:rPr>
          <w:lang w:val="en-AU" w:eastAsia="en-GB" w:bidi="ar-SA"/>
        </w:rPr>
        <w:t xml:space="preserve">The Authority has approved </w:t>
      </w:r>
      <w:r w:rsidRPr="00FA1DB3">
        <w:rPr>
          <w:lang w:val="en-AU" w:eastAsia="en-GB"/>
        </w:rPr>
        <w:t>a draft variation to the Code to:</w:t>
      </w:r>
    </w:p>
    <w:p w14:paraId="7CB78E41" w14:textId="77777777" w:rsidR="002B43AA" w:rsidRDefault="002B43AA" w:rsidP="002B43AA">
      <w:pPr>
        <w:pStyle w:val="ListParagraph"/>
        <w:numPr>
          <w:ilvl w:val="0"/>
          <w:numId w:val="3"/>
        </w:numPr>
        <w:spacing w:before="120" w:after="120"/>
        <w:rPr>
          <w:rFonts w:cs="Arial"/>
        </w:rPr>
      </w:pPr>
      <w:r w:rsidRPr="2039444B">
        <w:rPr>
          <w:rFonts w:cs="Arial"/>
        </w:rPr>
        <w:t xml:space="preserve">amend section 2.9.1—7, to remove the prohibition on the addition of </w:t>
      </w:r>
      <w:r>
        <w:t>2′-FL to IFP in combination with GOS and/or ITF; and</w:t>
      </w:r>
      <w:r w:rsidRPr="2039444B">
        <w:rPr>
          <w:rFonts w:cs="Arial"/>
        </w:rPr>
        <w:t>.</w:t>
      </w:r>
    </w:p>
    <w:p w14:paraId="28D95DB5" w14:textId="77777777" w:rsidR="002B43AA" w:rsidRDefault="002B43AA" w:rsidP="002B43AA">
      <w:pPr>
        <w:pStyle w:val="ListParagraph"/>
        <w:numPr>
          <w:ilvl w:val="0"/>
          <w:numId w:val="3"/>
        </w:numPr>
        <w:spacing w:before="120" w:after="120"/>
        <w:rPr>
          <w:lang w:val="en-AU" w:eastAsia="en-GB"/>
        </w:rPr>
      </w:pPr>
      <w:r>
        <w:t>provide the exclusive use permission requested by Application A1251</w:t>
      </w:r>
      <w:r w:rsidRPr="6E283F76">
        <w:rPr>
          <w:rFonts w:cs="Arial"/>
        </w:rPr>
        <w:t>.</w:t>
      </w:r>
    </w:p>
    <w:p w14:paraId="35ECB99A" w14:textId="77777777" w:rsidR="002B43AA" w:rsidRDefault="002B43AA" w:rsidP="002B43AA">
      <w:pPr>
        <w:rPr>
          <w:lang w:val="en-AU" w:eastAsia="en-GB" w:bidi="ar-SA"/>
        </w:rPr>
      </w:pPr>
    </w:p>
    <w:p w14:paraId="55992269" w14:textId="77777777" w:rsidR="002B43AA" w:rsidRPr="000576EB" w:rsidRDefault="002B43AA" w:rsidP="002B43AA">
      <w:pPr>
        <w:rPr>
          <w:b/>
          <w:lang w:val="en-AU" w:eastAsia="en-GB" w:bidi="ar-SA"/>
        </w:rPr>
      </w:pPr>
      <w:r>
        <w:rPr>
          <w:b/>
          <w:lang w:val="en-AU" w:eastAsia="en-GB" w:bidi="ar-SA"/>
        </w:rPr>
        <w:t>4</w:t>
      </w:r>
      <w:r w:rsidRPr="000576EB">
        <w:rPr>
          <w:b/>
          <w:lang w:val="en-AU" w:eastAsia="en-GB" w:bidi="ar-SA"/>
        </w:rPr>
        <w:t>.</w:t>
      </w:r>
      <w:r w:rsidRPr="000576EB">
        <w:rPr>
          <w:b/>
          <w:lang w:val="en-AU" w:eastAsia="en-GB" w:bidi="ar-SA"/>
        </w:rPr>
        <w:tab/>
        <w:t>Documents incorporated by reference</w:t>
      </w:r>
    </w:p>
    <w:p w14:paraId="6EC9EB56" w14:textId="77777777" w:rsidR="002B43AA" w:rsidRPr="00326CF2" w:rsidRDefault="002B43AA" w:rsidP="002B43AA">
      <w:pPr>
        <w:spacing w:before="120" w:after="120"/>
        <w:rPr>
          <w:rFonts w:eastAsia="Courier New" w:cs="Arial Unicode MS"/>
          <w:lang w:val="en-AU" w:bidi="ar-SA"/>
        </w:rPr>
      </w:pPr>
      <w:r w:rsidRPr="232DEEDC">
        <w:rPr>
          <w:rFonts w:eastAsia="Calibri" w:cs="Arial"/>
          <w:lang w:val="en-AU"/>
        </w:rPr>
        <w:t>The approved draft variation prepared by the Authority does not incorporate any documents by reference.</w:t>
      </w:r>
    </w:p>
    <w:p w14:paraId="5356303C" w14:textId="77777777" w:rsidR="002B43AA" w:rsidRDefault="002B43AA" w:rsidP="002B43AA">
      <w:pPr>
        <w:rPr>
          <w:lang w:val="en-AU" w:eastAsia="en-GB" w:bidi="ar-SA"/>
        </w:rPr>
      </w:pPr>
    </w:p>
    <w:p w14:paraId="2C856083" w14:textId="77777777" w:rsidR="002B43AA" w:rsidRPr="000576EB" w:rsidRDefault="002B43AA" w:rsidP="002B43AA">
      <w:pPr>
        <w:rPr>
          <w:b/>
          <w:lang w:val="en-AU" w:eastAsia="en-GB" w:bidi="ar-SA"/>
        </w:rPr>
      </w:pPr>
      <w:r>
        <w:rPr>
          <w:b/>
          <w:lang w:val="en-AU" w:eastAsia="en-GB" w:bidi="ar-SA"/>
        </w:rPr>
        <w:t>5</w:t>
      </w:r>
      <w:r w:rsidRPr="000576EB">
        <w:rPr>
          <w:b/>
          <w:lang w:val="en-AU" w:eastAsia="en-GB" w:bidi="ar-SA"/>
        </w:rPr>
        <w:t>.</w:t>
      </w:r>
      <w:r w:rsidRPr="000576EB">
        <w:rPr>
          <w:b/>
          <w:lang w:val="en-AU" w:eastAsia="en-GB" w:bidi="ar-SA"/>
        </w:rPr>
        <w:tab/>
        <w:t>Consultation</w:t>
      </w:r>
    </w:p>
    <w:p w14:paraId="13D45EF4" w14:textId="77777777" w:rsidR="002B43AA" w:rsidRDefault="002B43AA" w:rsidP="002B43AA">
      <w:pPr>
        <w:rPr>
          <w:lang w:val="en-AU" w:eastAsia="en-GB" w:bidi="ar-SA"/>
        </w:rPr>
      </w:pPr>
    </w:p>
    <w:p w14:paraId="554B768E" w14:textId="77777777" w:rsidR="002B43AA" w:rsidRDefault="002B43AA" w:rsidP="002B43AA">
      <w:r>
        <w:t xml:space="preserve">In accordance with the procedure in Division 1 of Part 3 of the FSANZ Act, </w:t>
      </w:r>
      <w:r w:rsidRPr="232DEEDC">
        <w:rPr>
          <w:rFonts w:eastAsia="Courier New" w:cs="Arial Unicode MS"/>
          <w:lang w:val="en-AU" w:bidi="ar-SA"/>
        </w:rPr>
        <w:t>the Authority</w:t>
      </w:r>
      <w:r>
        <w:t xml:space="preserve">’s consideration of Application A1251 included one round of public consultation following an assessment and the preparation of a draft variation and associated report. Submissions were called for on 22 July 2022 for a four-week consultation period. </w:t>
      </w:r>
    </w:p>
    <w:p w14:paraId="4B0FFD1A" w14:textId="77777777" w:rsidR="002B43AA" w:rsidRPr="00326CF2" w:rsidRDefault="002B43AA" w:rsidP="002B43AA">
      <w:pPr>
        <w:rPr>
          <w:rFonts w:eastAsia="Courier New"/>
          <w:szCs w:val="22"/>
          <w:lang w:val="en-AU" w:bidi="ar-SA"/>
        </w:rPr>
      </w:pPr>
    </w:p>
    <w:p w14:paraId="3F6DAE47" w14:textId="77777777" w:rsidR="002B43AA" w:rsidRPr="00AB3483" w:rsidRDefault="002B43AA" w:rsidP="002B43AA">
      <w:pPr>
        <w:rPr>
          <w:rStyle w:val="eop"/>
          <w:rFonts w:cs="Arial"/>
          <w:shd w:val="clear" w:color="auto" w:fill="FFFFFF"/>
        </w:rPr>
      </w:pPr>
      <w:r w:rsidRPr="00AB3483">
        <w:rPr>
          <w:rStyle w:val="normaltextrun"/>
          <w:rFonts w:cs="Arial"/>
          <w:shd w:val="clear" w:color="auto" w:fill="FFFFFF"/>
        </w:rPr>
        <w:t>The Office of Best Practice Regulation (OBPR) granted FSANZ a standing exemption from the requirement to develop a Regulatory Impact Statement (RIS) for permitting genetically modified foods (OBPR correspondence dated 24 November 2010, reference 12065) and for the voluntary addition of nutritive substances to foods (OBPR correspondence dated 16 April 2013, reference 14943). The OBPR also advised in this case that a RIS was not required as: FSANZ will be ensuring the safety of any fortification permitted; and the proposed change allows business to voluntarily combine ingredients for fortification, rather than making it mandatory (OBPR advice to FSANZ, dated 9 November 2021; OBPR Reference: OBPR21-01118).</w:t>
      </w:r>
    </w:p>
    <w:p w14:paraId="6DC3BFD8" w14:textId="77777777" w:rsidR="002B43AA" w:rsidRPr="00326CF2" w:rsidRDefault="002B43AA" w:rsidP="002B43AA">
      <w:pPr>
        <w:rPr>
          <w:lang w:val="en-AU" w:eastAsia="en-GB" w:bidi="ar-SA"/>
        </w:rPr>
      </w:pPr>
    </w:p>
    <w:p w14:paraId="09A3AA72" w14:textId="77777777" w:rsidR="002B43AA" w:rsidRDefault="002B43AA" w:rsidP="002B43AA">
      <w:pPr>
        <w:widowControl/>
        <w:rPr>
          <w:rFonts w:eastAsiaTheme="minorHAnsi" w:cs="Arial Unicode MS"/>
          <w:b/>
          <w:szCs w:val="22"/>
          <w:lang w:val="en-AU" w:bidi="ar-SA"/>
        </w:rPr>
      </w:pPr>
      <w:r>
        <w:rPr>
          <w:rFonts w:eastAsiaTheme="minorHAnsi" w:cs="Arial Unicode MS"/>
          <w:b/>
          <w:szCs w:val="22"/>
          <w:lang w:val="en-AU" w:bidi="ar-SA"/>
        </w:rPr>
        <w:t>6.</w:t>
      </w:r>
      <w:r>
        <w:rPr>
          <w:rFonts w:eastAsiaTheme="minorHAnsi" w:cs="Arial Unicode MS"/>
          <w:b/>
          <w:szCs w:val="22"/>
          <w:lang w:val="en-AU" w:bidi="ar-SA"/>
        </w:rPr>
        <w:tab/>
        <w:t>Statement of compatibility with human rights</w:t>
      </w:r>
    </w:p>
    <w:p w14:paraId="66CE9D52" w14:textId="77777777" w:rsidR="002B43AA" w:rsidRDefault="002B43AA" w:rsidP="002B43AA">
      <w:pPr>
        <w:rPr>
          <w:rFonts w:eastAsiaTheme="minorHAnsi"/>
          <w:lang w:val="en-AU" w:bidi="ar-SA"/>
        </w:rPr>
      </w:pPr>
    </w:p>
    <w:p w14:paraId="1F763EB0" w14:textId="77777777" w:rsidR="002B43AA" w:rsidRDefault="002B43AA" w:rsidP="002B43AA">
      <w:pPr>
        <w:rPr>
          <w:rFonts w:eastAsiaTheme="minorHAnsi"/>
          <w:lang w:val="en-AU" w:bidi="ar-SA"/>
        </w:rPr>
      </w:pPr>
      <w:r>
        <w:rPr>
          <w:rFonts w:eastAsiaTheme="minorHAnsi"/>
          <w:lang w:val="en-AU" w:bidi="ar-SA"/>
        </w:rPr>
        <w:t xml:space="preserve">This instrument is exempt from the requirements for a statement of compatibility with human rights as it is a non-disallowable instrument under section 44 of the </w:t>
      </w:r>
      <w:r w:rsidRPr="00941150">
        <w:rPr>
          <w:rFonts w:eastAsiaTheme="minorHAnsi"/>
          <w:i/>
          <w:lang w:val="en-AU" w:bidi="ar-SA"/>
        </w:rPr>
        <w:t>Legislation Act 2003</w:t>
      </w:r>
      <w:r>
        <w:rPr>
          <w:rFonts w:eastAsiaTheme="minorHAnsi"/>
          <w:lang w:val="en-AU" w:bidi="ar-SA"/>
        </w:rPr>
        <w:t>.</w:t>
      </w:r>
    </w:p>
    <w:p w14:paraId="164FAEFF" w14:textId="77777777" w:rsidR="002B43AA" w:rsidRDefault="002B43AA" w:rsidP="002B43AA">
      <w:pPr>
        <w:rPr>
          <w:rFonts w:eastAsiaTheme="minorHAnsi"/>
          <w:lang w:val="en-AU" w:bidi="ar-SA"/>
        </w:rPr>
      </w:pPr>
    </w:p>
    <w:p w14:paraId="09F923F0" w14:textId="77777777" w:rsidR="002B43AA" w:rsidRPr="00432A42" w:rsidRDefault="002B43AA" w:rsidP="002B43AA">
      <w:pPr>
        <w:rPr>
          <w:b/>
          <w:lang w:val="en-AU" w:eastAsia="en-GB" w:bidi="ar-SA"/>
        </w:rPr>
      </w:pPr>
      <w:r>
        <w:rPr>
          <w:b/>
        </w:rPr>
        <w:t>7</w:t>
      </w:r>
      <w:r w:rsidRPr="00432A42">
        <w:rPr>
          <w:b/>
        </w:rPr>
        <w:t>.</w:t>
      </w:r>
      <w:r w:rsidRPr="00432A42">
        <w:rPr>
          <w:b/>
        </w:rPr>
        <w:tab/>
      </w:r>
      <w:r>
        <w:rPr>
          <w:b/>
          <w:lang w:val="en-AU" w:eastAsia="en-GB" w:bidi="ar-SA"/>
        </w:rPr>
        <w:t>Variation</w:t>
      </w:r>
    </w:p>
    <w:p w14:paraId="35E4639D" w14:textId="77777777" w:rsidR="002B43AA" w:rsidRPr="00432A42" w:rsidRDefault="002B43AA" w:rsidP="002B43AA">
      <w:pPr>
        <w:rPr>
          <w:b/>
        </w:rPr>
      </w:pPr>
    </w:p>
    <w:p w14:paraId="15CE4512" w14:textId="77777777" w:rsidR="002B43AA" w:rsidRDefault="002B43AA" w:rsidP="002B43AA">
      <w:r>
        <w:lastRenderedPageBreak/>
        <w:t>Item [1] of the Schedule to the variation will amend subsection 2.9.1—7(2) of the Code.</w:t>
      </w:r>
    </w:p>
    <w:p w14:paraId="253C7E82" w14:textId="77777777" w:rsidR="002B43AA" w:rsidRDefault="002B43AA" w:rsidP="002B43AA">
      <w:pPr>
        <w:spacing w:before="240" w:after="120"/>
      </w:pPr>
      <w:r>
        <w:t xml:space="preserve">Subsection 2.9.1—7(2) prohibits an IFP to which an ITF and/or a GOS is added from also containing either 2′-FL or a combination of 2′-FL and </w:t>
      </w:r>
      <w:proofErr w:type="spellStart"/>
      <w:r>
        <w:t>lacto</w:t>
      </w:r>
      <w:proofErr w:type="spellEnd"/>
      <w:r>
        <w:t>-N-</w:t>
      </w:r>
      <w:proofErr w:type="spellStart"/>
      <w:r>
        <w:t>neotetraose</w:t>
      </w:r>
      <w:proofErr w:type="spellEnd"/>
      <w:r>
        <w:t>.</w:t>
      </w:r>
    </w:p>
    <w:p w14:paraId="1CCE1932" w14:textId="77777777" w:rsidR="002B43AA" w:rsidRDefault="002B43AA" w:rsidP="002B43AA">
      <w:pPr>
        <w:spacing w:before="240" w:after="120"/>
      </w:pPr>
      <w:r>
        <w:t>Item [1] will replace subsection 2.9.1—7(2) with new subsections 2.9.1—7(2), (3) and (4).</w:t>
      </w:r>
    </w:p>
    <w:p w14:paraId="29A95015" w14:textId="77777777" w:rsidR="002B43AA" w:rsidRDefault="002B43AA" w:rsidP="002B43AA">
      <w:pPr>
        <w:spacing w:before="240" w:after="120"/>
      </w:pPr>
      <w:r>
        <w:t xml:space="preserve">New subsection 2.9.1—7(2) will provide that an IFP to which an ITF and/or a GOS is added must not contain </w:t>
      </w:r>
      <w:proofErr w:type="spellStart"/>
      <w:r>
        <w:t>lacto</w:t>
      </w:r>
      <w:proofErr w:type="spellEnd"/>
      <w:r>
        <w:t>-N-</w:t>
      </w:r>
      <w:proofErr w:type="spellStart"/>
      <w:r>
        <w:t>neotetraose</w:t>
      </w:r>
      <w:proofErr w:type="spellEnd"/>
      <w:r>
        <w:t xml:space="preserve"> as an added substance. Subsection 2.9.1—7(2) will no longer prohibit an IFP to which an ITF and/or a GOS is added from also containing 2′-FL. The removal of that prohibition will in effect allow those forms of 2′-FL that are currently permitted by the Code to be added to IFP in combination with GOS and/or ITF in accordance with applicable limits and conditions currently set by the Code.</w:t>
      </w:r>
    </w:p>
    <w:p w14:paraId="5F7202F4" w14:textId="77777777" w:rsidR="002B43AA" w:rsidRDefault="002B43AA" w:rsidP="002B43AA">
      <w:pPr>
        <w:widowControl/>
        <w:spacing w:before="240" w:after="120"/>
        <w:jc w:val="both"/>
      </w:pPr>
      <w:r>
        <w:t xml:space="preserve">New subsections 2.9.1—7(3) and (4) will provide the exclusive use permission requested by Application A1251. The new subsections will impose a condition of use on the addition of 2′-FL to IFP in combination with GOS and/or ITF. </w:t>
      </w:r>
      <w:r w:rsidRPr="0D1E2CE1">
        <w:rPr>
          <w:rFonts w:eastAsia="Calibri"/>
        </w:rPr>
        <w:t xml:space="preserve">This condition will be that, during the exclusive use period, </w:t>
      </w:r>
      <w:r>
        <w:t xml:space="preserve">IFP may not be sold containing 2′-FL together with added ITF and/or GOS unless the IFP: </w:t>
      </w:r>
    </w:p>
    <w:p w14:paraId="33E835DD" w14:textId="77777777" w:rsidR="002B43AA" w:rsidRDefault="002B43AA" w:rsidP="002B43AA">
      <w:pPr>
        <w:pStyle w:val="ListParagraph"/>
        <w:numPr>
          <w:ilvl w:val="0"/>
          <w:numId w:val="4"/>
        </w:numPr>
        <w:spacing w:before="240" w:after="120"/>
        <w:jc w:val="both"/>
      </w:pPr>
      <w:r>
        <w:t xml:space="preserve">is manufactured by </w:t>
      </w:r>
      <w:proofErr w:type="spellStart"/>
      <w:r w:rsidRPr="00C42BCD">
        <w:t>Nutricia</w:t>
      </w:r>
      <w:proofErr w:type="spellEnd"/>
      <w:r w:rsidRPr="00C42BCD">
        <w:t xml:space="preserve"> Australia Pty Ltd; and </w:t>
      </w:r>
    </w:p>
    <w:p w14:paraId="6E673659" w14:textId="77777777" w:rsidR="002B43AA" w:rsidRPr="00C42BCD" w:rsidRDefault="002B43AA" w:rsidP="002B43AA">
      <w:pPr>
        <w:pStyle w:val="ListParagraph"/>
        <w:numPr>
          <w:ilvl w:val="0"/>
          <w:numId w:val="4"/>
        </w:numPr>
        <w:spacing w:before="240" w:after="120"/>
        <w:jc w:val="both"/>
      </w:pPr>
      <w:r w:rsidRPr="00C42BCD">
        <w:rPr>
          <w:rFonts w:eastAsia="Arial"/>
          <w:color w:val="000000" w:themeColor="text1"/>
        </w:rPr>
        <w:t xml:space="preserve">contains, as a nutritive substance, 2′-FL sourced from </w:t>
      </w:r>
      <w:r w:rsidRPr="00C42BCD">
        <w:rPr>
          <w:rFonts w:eastAsia="Arial"/>
          <w:i/>
          <w:color w:val="000000" w:themeColor="text1"/>
        </w:rPr>
        <w:t>Escherichia coli</w:t>
      </w:r>
      <w:r w:rsidRPr="00C42BCD">
        <w:rPr>
          <w:rFonts w:eastAsia="Arial"/>
          <w:color w:val="000000" w:themeColor="text1"/>
        </w:rPr>
        <w:t xml:space="preserve"> BL21 containing the gene for alpha-1,2-fucosyltransferase from </w:t>
      </w:r>
      <w:r w:rsidRPr="00C42BCD">
        <w:rPr>
          <w:rFonts w:eastAsia="Arial"/>
          <w:i/>
          <w:color w:val="000000" w:themeColor="text1"/>
        </w:rPr>
        <w:t>Escherichia coli</w:t>
      </w:r>
      <w:r w:rsidRPr="00C42BCD">
        <w:rPr>
          <w:rFonts w:eastAsia="Arial"/>
          <w:color w:val="000000" w:themeColor="text1"/>
        </w:rPr>
        <w:t xml:space="preserve"> O126</w:t>
      </w:r>
      <w:r>
        <w:rPr>
          <w:rFonts w:eastAsia="Arial"/>
          <w:color w:val="000000" w:themeColor="text1"/>
        </w:rPr>
        <w:t xml:space="preserve">. </w:t>
      </w:r>
      <w:r>
        <w:t>That is, the 2′-FL in question is the 2′-FL developed by Chr. Hansen A/S and permitted as a result of Application A1190</w:t>
      </w:r>
      <w:r>
        <w:rPr>
          <w:rFonts w:eastAsia="Arial"/>
          <w:color w:val="000000" w:themeColor="text1"/>
        </w:rPr>
        <w:t>;</w:t>
      </w:r>
      <w:r w:rsidRPr="00C42BCD">
        <w:rPr>
          <w:rFonts w:eastAsia="Arial"/>
          <w:color w:val="000000" w:themeColor="text1"/>
        </w:rPr>
        <w:t xml:space="preserve"> and </w:t>
      </w:r>
    </w:p>
    <w:p w14:paraId="089CF716" w14:textId="77777777" w:rsidR="002B43AA" w:rsidRDefault="002B43AA" w:rsidP="002B43AA">
      <w:pPr>
        <w:pStyle w:val="ListParagraph"/>
        <w:numPr>
          <w:ilvl w:val="0"/>
          <w:numId w:val="4"/>
        </w:numPr>
        <w:spacing w:before="240" w:after="120"/>
        <w:jc w:val="both"/>
      </w:pPr>
      <w:r>
        <w:rPr>
          <w:rFonts w:eastAsia="Arial"/>
          <w:color w:val="000000" w:themeColor="text1"/>
        </w:rPr>
        <w:t>contains</w:t>
      </w:r>
      <w:r w:rsidRPr="00F70592" w:rsidDel="006E3E7F">
        <w:rPr>
          <w:rFonts w:eastAsia="Arial"/>
          <w:color w:val="000000" w:themeColor="text1"/>
        </w:rPr>
        <w:t xml:space="preserve"> </w:t>
      </w:r>
      <w:proofErr w:type="spellStart"/>
      <w:r w:rsidRPr="00923AF0">
        <w:rPr>
          <w:rStyle w:val="normaltextrun"/>
          <w:szCs w:val="20"/>
          <w:shd w:val="clear" w:color="auto" w:fill="FFFFFF"/>
        </w:rPr>
        <w:t>Nutricia</w:t>
      </w:r>
      <w:proofErr w:type="spellEnd"/>
      <w:r w:rsidRPr="00923AF0">
        <w:rPr>
          <w:rStyle w:val="normaltextrun"/>
          <w:szCs w:val="20"/>
          <w:shd w:val="clear" w:color="auto" w:fill="FFFFFF"/>
        </w:rPr>
        <w:t xml:space="preserve"> Australia Pty </w:t>
      </w:r>
      <w:proofErr w:type="spellStart"/>
      <w:r w:rsidRPr="00923AF0">
        <w:rPr>
          <w:rStyle w:val="normaltextrun"/>
          <w:szCs w:val="20"/>
          <w:shd w:val="clear" w:color="auto" w:fill="FFFFFF"/>
        </w:rPr>
        <w:t>Ltd's</w:t>
      </w:r>
      <w:proofErr w:type="spellEnd"/>
      <w:r w:rsidRPr="00923AF0">
        <w:rPr>
          <w:rStyle w:val="normaltextrun"/>
          <w:szCs w:val="20"/>
          <w:shd w:val="clear" w:color="auto" w:fill="FFFFFF"/>
        </w:rPr>
        <w:t xml:space="preserve"> blend of </w:t>
      </w:r>
      <w:r w:rsidRPr="00545DAD">
        <w:rPr>
          <w:rStyle w:val="normaltextrun"/>
          <w:i/>
          <w:iCs/>
          <w:szCs w:val="20"/>
          <w:shd w:val="clear" w:color="auto" w:fill="FFFFFF"/>
        </w:rPr>
        <w:t>short-chain</w:t>
      </w:r>
      <w:r w:rsidRPr="00923AF0">
        <w:rPr>
          <w:rStyle w:val="normaltextrun"/>
          <w:szCs w:val="20"/>
          <w:shd w:val="clear" w:color="auto" w:fill="FFFFFF"/>
        </w:rPr>
        <w:t xml:space="preserve"> </w:t>
      </w:r>
      <w:proofErr w:type="spellStart"/>
      <w:r w:rsidRPr="00923AF0">
        <w:rPr>
          <w:rStyle w:val="normaltextrun"/>
          <w:i/>
          <w:szCs w:val="20"/>
          <w:shd w:val="clear" w:color="auto" w:fill="FFFFFF"/>
        </w:rPr>
        <w:t>galacto</w:t>
      </w:r>
      <w:proofErr w:type="spellEnd"/>
      <w:r w:rsidRPr="00923AF0">
        <w:rPr>
          <w:rStyle w:val="normaltextrun"/>
          <w:i/>
          <w:szCs w:val="20"/>
          <w:shd w:val="clear" w:color="auto" w:fill="FFFFFF"/>
        </w:rPr>
        <w:t xml:space="preserve">-oligosaccharides and long chain fructo-oligosaccharides, namely </w:t>
      </w:r>
      <w:proofErr w:type="spellStart"/>
      <w:r w:rsidRPr="00923AF0">
        <w:rPr>
          <w:rStyle w:val="normaltextrun"/>
          <w:i/>
          <w:szCs w:val="20"/>
          <w:shd w:val="clear" w:color="auto" w:fill="FFFFFF"/>
        </w:rPr>
        <w:t>scGOS</w:t>
      </w:r>
      <w:proofErr w:type="spellEnd"/>
      <w:r w:rsidRPr="00923AF0">
        <w:rPr>
          <w:rStyle w:val="normaltextrun"/>
          <w:i/>
          <w:szCs w:val="20"/>
          <w:shd w:val="clear" w:color="auto" w:fill="FFFFFF"/>
        </w:rPr>
        <w:t>/</w:t>
      </w:r>
      <w:proofErr w:type="spellStart"/>
      <w:r w:rsidRPr="00923AF0">
        <w:rPr>
          <w:rStyle w:val="normaltextrun"/>
          <w:i/>
          <w:szCs w:val="20"/>
          <w:shd w:val="clear" w:color="auto" w:fill="FFFFFF"/>
        </w:rPr>
        <w:t>lcFOS</w:t>
      </w:r>
      <w:proofErr w:type="spellEnd"/>
      <w:r w:rsidRPr="00923AF0">
        <w:rPr>
          <w:rStyle w:val="normaltextrun"/>
          <w:i/>
          <w:szCs w:val="20"/>
          <w:shd w:val="clear" w:color="auto" w:fill="FFFFFF"/>
        </w:rPr>
        <w:t xml:space="preserve"> (9:1)</w:t>
      </w:r>
      <w:r>
        <w:t>.</w:t>
      </w:r>
    </w:p>
    <w:p w14:paraId="08BFB91F" w14:textId="77777777" w:rsidR="002B43AA" w:rsidRDefault="002B43AA" w:rsidP="002B43AA">
      <w:pPr>
        <w:spacing w:before="120" w:after="120"/>
      </w:pPr>
      <w:r>
        <w:t xml:space="preserve">New subsection 2.9.1—7(4) will provide that, for the purposes of the above, the </w:t>
      </w:r>
      <w:r w:rsidRPr="0D1E2CE1">
        <w:rPr>
          <w:rFonts w:cs="Arial"/>
        </w:rPr>
        <w:t xml:space="preserve">exclusive use period will be the period commencing on the date of gazettal of the </w:t>
      </w:r>
      <w:r w:rsidRPr="0D1E2CE1">
        <w:rPr>
          <w:rFonts w:cs="Arial"/>
          <w:i/>
          <w:iCs/>
        </w:rPr>
        <w:t xml:space="preserve">Food Standards (Application A1251 – </w:t>
      </w:r>
      <w:r>
        <w:rPr>
          <w:rFonts w:cs="Arial"/>
          <w:i/>
          <w:iCs/>
        </w:rPr>
        <w:t>2′-FL</w:t>
      </w:r>
      <w:r w:rsidRPr="0D1E2CE1">
        <w:rPr>
          <w:rFonts w:cs="Arial"/>
          <w:i/>
          <w:iCs/>
        </w:rPr>
        <w:t xml:space="preserve"> combined with </w:t>
      </w:r>
      <w:proofErr w:type="spellStart"/>
      <w:r w:rsidRPr="0D1E2CE1">
        <w:rPr>
          <w:rFonts w:cs="Arial"/>
          <w:i/>
          <w:iCs/>
        </w:rPr>
        <w:t>galacto</w:t>
      </w:r>
      <w:proofErr w:type="spellEnd"/>
      <w:r w:rsidRPr="0D1E2CE1">
        <w:rPr>
          <w:rFonts w:cs="Arial"/>
          <w:i/>
          <w:iCs/>
        </w:rPr>
        <w:t>-oligosaccharides and</w:t>
      </w:r>
      <w:r w:rsidRPr="0D1E2CE1">
        <w:rPr>
          <w:rFonts w:eastAsia="Arial" w:cs="Arial"/>
          <w:i/>
          <w:iCs/>
        </w:rPr>
        <w:t>/or</w:t>
      </w:r>
      <w:r w:rsidRPr="0D1E2CE1">
        <w:rPr>
          <w:rFonts w:cs="Arial"/>
          <w:i/>
          <w:iCs/>
        </w:rPr>
        <w:t xml:space="preserve"> inulin-type </w:t>
      </w:r>
      <w:proofErr w:type="spellStart"/>
      <w:r w:rsidRPr="0D1E2CE1">
        <w:rPr>
          <w:rFonts w:cs="Arial"/>
          <w:i/>
          <w:iCs/>
        </w:rPr>
        <w:t>fructans</w:t>
      </w:r>
      <w:proofErr w:type="spellEnd"/>
      <w:r w:rsidRPr="0D1E2CE1">
        <w:rPr>
          <w:rFonts w:cs="Arial"/>
          <w:i/>
          <w:iCs/>
        </w:rPr>
        <w:t xml:space="preserve"> in infant formula products) Variation</w:t>
      </w:r>
      <w:r w:rsidRPr="0D1E2CE1">
        <w:rPr>
          <w:rFonts w:cs="Arial"/>
        </w:rPr>
        <w:t xml:space="preserve"> and ending 15 months after that date. </w:t>
      </w:r>
      <w:r>
        <w:t>On the expiry of this 15 month period, the condition of use will lapse and IFP may be sold containing any form of 2′-FL permitted by the Code in combination with GOS and/or ITF (subject to applicable limits and conditions set by the Code).</w:t>
      </w:r>
    </w:p>
    <w:p w14:paraId="3E2DA198" w14:textId="77777777" w:rsidR="002B43AA" w:rsidRDefault="002B43AA" w:rsidP="002B43AA">
      <w:r>
        <w:t xml:space="preserve">The amendments made by item [1] will not make any substantive change to </w:t>
      </w:r>
      <w:r w:rsidRPr="6E283F76">
        <w:rPr>
          <w:i/>
          <w:iCs/>
        </w:rPr>
        <w:t>existing</w:t>
      </w:r>
      <w:r>
        <w:t xml:space="preserve"> permissions and to other requirements in the Code relating to food produced using gene technology and nutritive substances.</w:t>
      </w:r>
    </w:p>
    <w:p w14:paraId="137F2B79" w14:textId="77777777" w:rsidR="002B43AA" w:rsidRDefault="002B43AA"/>
    <w:sectPr w:rsidR="002B43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A80"/>
    <w:multiLevelType w:val="hybridMultilevel"/>
    <w:tmpl w:val="37286564"/>
    <w:lvl w:ilvl="0" w:tplc="87C4049C">
      <w:numFmt w:val="bullet"/>
      <w:lvlText w:val="-"/>
      <w:lvlJc w:val="left"/>
      <w:pPr>
        <w:ind w:left="720" w:hanging="360"/>
      </w:pPr>
      <w:rPr>
        <w:rFonts w:ascii="Arial" w:eastAsia="Times New Roman" w:hAnsi="Arial" w:cs="Arial"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27CC6"/>
    <w:multiLevelType w:val="hybridMultilevel"/>
    <w:tmpl w:val="F78C7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AD449C"/>
    <w:multiLevelType w:val="hybridMultilevel"/>
    <w:tmpl w:val="A0988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F511B"/>
    <w:multiLevelType w:val="hybridMultilevel"/>
    <w:tmpl w:val="8312D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737187">
    <w:abstractNumId w:val="2"/>
  </w:num>
  <w:num w:numId="2" w16cid:durableId="1016226351">
    <w:abstractNumId w:val="3"/>
  </w:num>
  <w:num w:numId="3" w16cid:durableId="58552243">
    <w:abstractNumId w:val="0"/>
  </w:num>
  <w:num w:numId="4" w16cid:durableId="171792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AA"/>
    <w:rsid w:val="0015248F"/>
    <w:rsid w:val="001C21DB"/>
    <w:rsid w:val="002B43AA"/>
    <w:rsid w:val="00360587"/>
    <w:rsid w:val="00871C4B"/>
    <w:rsid w:val="00AA5772"/>
    <w:rsid w:val="00CF5228"/>
    <w:rsid w:val="042AC43F"/>
    <w:rsid w:val="2D01B313"/>
    <w:rsid w:val="319F395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E2A8"/>
  <w15:chartTrackingRefBased/>
  <w15:docId w15:val="{77B490AB-726D-4125-98E8-66D1BDF1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3AA"/>
    <w:pPr>
      <w:widowControl w:val="0"/>
      <w:spacing w:after="0" w:line="240" w:lineRule="auto"/>
    </w:pPr>
    <w:rPr>
      <w:rFonts w:ascii="Arial" w:eastAsia="Times New Roman" w:hAnsi="Arial" w:cs="Times New Roman"/>
      <w:szCs w:val="24"/>
      <w:lang w:val="en-GB" w:bidi="en-US"/>
    </w:rPr>
  </w:style>
  <w:style w:type="paragraph" w:styleId="Heading2">
    <w:name w:val="heading 2"/>
    <w:aliases w:val="FSHeading 2,Section heading"/>
    <w:basedOn w:val="Normal"/>
    <w:next w:val="Normal"/>
    <w:link w:val="Heading2Char"/>
    <w:uiPriority w:val="9"/>
    <w:unhideWhenUsed/>
    <w:qFormat/>
    <w:rsid w:val="002B43AA"/>
    <w:pPr>
      <w:keepNext/>
      <w:spacing w:before="240" w:after="240"/>
      <w:ind w:left="851" w:hanging="851"/>
      <w:outlineLvl w:val="1"/>
    </w:pPr>
    <w:rPr>
      <w:rFonts w:cs="Arial"/>
      <w:b/>
      <w:bCs/>
      <w:sz w:val="28"/>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FSHeading 2 Char,Section heading Char"/>
    <w:basedOn w:val="DefaultParagraphFont"/>
    <w:link w:val="Heading2"/>
    <w:uiPriority w:val="9"/>
    <w:rsid w:val="002B43AA"/>
    <w:rPr>
      <w:rFonts w:ascii="Arial" w:eastAsia="Times New Roman" w:hAnsi="Arial" w:cs="Arial"/>
      <w:b/>
      <w:bCs/>
      <w:sz w:val="28"/>
      <w:lang w:val="en-GB"/>
    </w:rPr>
  </w:style>
  <w:style w:type="paragraph" w:styleId="CommentText">
    <w:name w:val="annotation text"/>
    <w:basedOn w:val="Normal"/>
    <w:link w:val="CommentTextChar"/>
    <w:rsid w:val="002B43AA"/>
    <w:rPr>
      <w:sz w:val="20"/>
      <w:szCs w:val="20"/>
    </w:rPr>
  </w:style>
  <w:style w:type="character" w:customStyle="1" w:styleId="CommentTextChar">
    <w:name w:val="Comment Text Char"/>
    <w:basedOn w:val="DefaultParagraphFont"/>
    <w:link w:val="CommentText"/>
    <w:rsid w:val="002B43AA"/>
    <w:rPr>
      <w:rFonts w:ascii="Arial" w:eastAsia="Times New Roman" w:hAnsi="Arial" w:cs="Times New Roman"/>
      <w:sz w:val="20"/>
      <w:szCs w:val="20"/>
      <w:lang w:val="en-GB" w:bidi="en-US"/>
    </w:rPr>
  </w:style>
  <w:style w:type="paragraph" w:styleId="ListParagraph">
    <w:name w:val="List Paragraph"/>
    <w:basedOn w:val="Normal"/>
    <w:uiPriority w:val="34"/>
    <w:qFormat/>
    <w:rsid w:val="002B43AA"/>
    <w:pPr>
      <w:widowControl/>
      <w:ind w:left="720"/>
      <w:contextualSpacing/>
    </w:pPr>
    <w:rPr>
      <w:rFonts w:eastAsiaTheme="minorHAnsi" w:cstheme="minorBidi"/>
      <w:szCs w:val="22"/>
      <w:lang w:bidi="ar-SA"/>
    </w:rPr>
  </w:style>
  <w:style w:type="character" w:customStyle="1" w:styleId="normaltextrun">
    <w:name w:val="normaltextrun"/>
    <w:basedOn w:val="DefaultParagraphFont"/>
    <w:rsid w:val="002B43AA"/>
  </w:style>
  <w:style w:type="character" w:customStyle="1" w:styleId="eop">
    <w:name w:val="eop"/>
    <w:basedOn w:val="DefaultParagraphFont"/>
    <w:rsid w:val="002B43AA"/>
  </w:style>
  <w:style w:type="character" w:styleId="CommentReference">
    <w:name w:val="annotation reference"/>
    <w:basedOn w:val="DefaultParagraphFont"/>
    <w:uiPriority w:val="99"/>
    <w:semiHidden/>
    <w:unhideWhenUsed/>
    <w:rsid w:val="0015248F"/>
    <w:rPr>
      <w:sz w:val="16"/>
      <w:szCs w:val="16"/>
    </w:rPr>
  </w:style>
  <w:style w:type="paragraph" w:styleId="Revision">
    <w:name w:val="Revision"/>
    <w:hidden/>
    <w:uiPriority w:val="99"/>
    <w:semiHidden/>
    <w:rsid w:val="00871C4B"/>
    <w:pPr>
      <w:spacing w:after="0" w:line="240" w:lineRule="auto"/>
    </w:pPr>
    <w:rPr>
      <w:rFonts w:ascii="Arial" w:eastAsia="Times New Roman" w:hAnsi="Arial" w:cs="Times New Roman"/>
      <w:szCs w:val="24"/>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a1b3197-b608-4b63-b007-dcf2f03aea39" ContentTypeId="0x010100F5F252698E4843DFA3EBBF7EC57E522A" PreviousValue="false" LastSyncTimeStamp="2022-05-05T05:27:13.123Z"/>
</file>

<file path=customXml/item2.xml><?xml version="1.0" encoding="utf-8"?>
<ct:contentTypeSchema xmlns:ct="http://schemas.microsoft.com/office/2006/metadata/contentType" xmlns:ma="http://schemas.microsoft.com/office/2006/metadata/properties/metaAttributes" ct:_="" ma:_="" ma:contentTypeName="FSANZ Record" ma:contentTypeID="0x010100F5F252698E4843DFA3EBBF7EC57E522A00D1FD65540778064E8071EC7105C190BC" ma:contentTypeVersion="4" ma:contentTypeDescription="Files created by FSANZ including letters, draft documents and ideas for FSANZ business." ma:contentTypeScope="" ma:versionID="b982cb91b41b2213203c64ad5e0c0bb1">
  <xsd:schema xmlns:xsd="http://www.w3.org/2001/XMLSchema" xmlns:xs="http://www.w3.org/2001/XMLSchema" xmlns:p="http://schemas.microsoft.com/office/2006/metadata/properties" xmlns:ns2="0e0bee33-077a-46d4-80d5-abd1b3a3b85b" targetNamespace="http://schemas.microsoft.com/office/2006/metadata/properties" ma:root="true" ma:fieldsID="199b3d2e548d4ca1d04624b3ed9463d3"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nillable="true"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4fc2563-04ab-4d7c-a6a2-9c96f2eb2ff6}" ma:internalName="TaxCatchAll" ma:showField="CatchAllData"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4fc2563-04ab-4d7c-a6a2-9c96f2eb2ff6}" ma:internalName="TaxCatchAllLabel" ma:readOnly="true" ma:showField="CatchAllDataLabel" ma:web="7381dfea-c3d9-4bb9-9bda-67ec2929bedb">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3;#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35</Value>
      <Value>3</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0C552-BC63-4FCC-86B1-89D58346DA61}">
  <ds:schemaRefs>
    <ds:schemaRef ds:uri="Microsoft.SharePoint.Taxonomy.ContentTypeSync"/>
  </ds:schemaRefs>
</ds:datastoreItem>
</file>

<file path=customXml/itemProps2.xml><?xml version="1.0" encoding="utf-8"?>
<ds:datastoreItem xmlns:ds="http://schemas.openxmlformats.org/officeDocument/2006/customXml" ds:itemID="{8810AA03-CD0D-4CE4-AB10-27AEBD3E3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7DABA7-9C46-4749-B2C2-9A559FB9C1E4}">
  <ds:schemaRefs>
    <ds:schemaRef ds:uri="0e0bee33-077a-46d4-80d5-abd1b3a3b85b"/>
    <ds:schemaRef ds:uri="http://purl.org/dc/elements/1.1/"/>
    <ds:schemaRef ds:uri="http://www.w3.org/XML/1998/namespace"/>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8008E51F-7ACE-4222-9377-5FC91DBE8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1271</Words>
  <Characters>7247</Characters>
  <Application>Microsoft Office Word</Application>
  <DocSecurity>0</DocSecurity>
  <Lines>60</Lines>
  <Paragraphs>17</Paragraphs>
  <ScaleCrop>false</ScaleCrop>
  <Company>Food Standards Australia New Zealand</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ronals</dc:creator>
  <cp:keywords/>
  <dc:description/>
  <cp:lastModifiedBy>ronals</cp:lastModifiedBy>
  <cp:revision>2</cp:revision>
  <dcterms:created xsi:type="dcterms:W3CDTF">2023-02-23T21:25:00Z</dcterms:created>
  <dcterms:modified xsi:type="dcterms:W3CDTF">2023-02-23T21:25:00Z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0x010100F5F252698E4843DFA3EBBF7EC57E522A00D1FD65540778064E8071EC7105C190BC</vt:lpwstr>
  </property>
  <property fmtid="{D5CDD505-2E9C-101B-9397-08002B2CF9AE}" pid="3" name="pd3a3559ef84480a8025c4c7bb6e6dee">
    <vt:lpwstr/>
  </property>
  <property fmtid="{D5CDD505-2E9C-101B-9397-08002B2CF9AE}" pid="4" name="h46016694f704d158a57d0b5238c000e">
    <vt:lpwstr/>
  </property>
  <property fmtid="{D5CDD505-2E9C-101B-9397-08002B2CF9AE}" pid="5" name="MediaServiceImageTags">
    <vt:lpwstr/>
  </property>
  <property fmtid="{D5CDD505-2E9C-101B-9397-08002B2CF9AE}" pid="6" name="Data_x0020_Privacy">
    <vt:lpwstr/>
  </property>
  <property fmtid="{D5CDD505-2E9C-101B-9397-08002B2CF9AE}" pid="7" name="lcf76f155ced4ddcb4097134ff3c332f">
    <vt:lpwstr/>
  </property>
  <property fmtid="{D5CDD505-2E9C-101B-9397-08002B2CF9AE}" pid="8" name="BCS">
    <vt:lpwstr>35;#Instruments|4a8ff5e5-1f0e-4751-ab44-bc0d33b46a80</vt:lpwstr>
  </property>
  <property fmtid="{D5CDD505-2E9C-101B-9397-08002B2CF9AE}" pid="9" name="Access">
    <vt:lpwstr/>
  </property>
  <property fmtid="{D5CDD505-2E9C-101B-9397-08002B2CF9AE}" pid="10" name="Classification">
    <vt:lpwstr>3;#OFFICIAL|3776503d-ed4e-4d70-8dfd-8e17b238523b</vt:lpwstr>
  </property>
  <property fmtid="{D5CDD505-2E9C-101B-9397-08002B2CF9AE}" pid="11" name="Data_x0020_Category">
    <vt:lpwstr/>
  </property>
  <property fmtid="{D5CDD505-2E9C-101B-9397-08002B2CF9AE}" pid="12" name="Data_x0020_Accessibility">
    <vt:lpwstr/>
  </property>
  <property fmtid="{D5CDD505-2E9C-101B-9397-08002B2CF9AE}" pid="13" name="o2e94e0b7bb742308b3aec7384781dc0">
    <vt:lpwstr/>
  </property>
  <property fmtid="{D5CDD505-2E9C-101B-9397-08002B2CF9AE}" pid="14" name="Data Privacy">
    <vt:lpwstr/>
  </property>
  <property fmtid="{D5CDD505-2E9C-101B-9397-08002B2CF9AE}" pid="15" name="Data Category">
    <vt:lpwstr/>
  </property>
  <property fmtid="{D5CDD505-2E9C-101B-9397-08002B2CF9AE}" pid="16" name="Data Accessibility">
    <vt:lpwstr/>
  </property>
</Properties>
</file>