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D45BD" w14:textId="77777777" w:rsidR="00955175" w:rsidRDefault="00955175" w:rsidP="00E2168B">
      <w:pPr>
        <w:spacing w:before="280" w:after="240"/>
        <w:rPr>
          <w:b/>
          <w:sz w:val="32"/>
          <w:szCs w:val="32"/>
        </w:rPr>
      </w:pPr>
    </w:p>
    <w:p w14:paraId="3C4933C2" w14:textId="148F3ED5" w:rsidR="00955175" w:rsidRPr="00D37001" w:rsidRDefault="00BC5335" w:rsidP="00E2168B">
      <w:pPr>
        <w:spacing w:before="280" w:after="240"/>
        <w:rPr>
          <w:b/>
          <w:sz w:val="32"/>
          <w:szCs w:val="32"/>
        </w:rPr>
      </w:pPr>
      <w:r w:rsidRPr="00D37001">
        <w:rPr>
          <w:noProof/>
        </w:rPr>
        <w:drawing>
          <wp:anchor distT="0" distB="0" distL="114300" distR="114300" simplePos="0" relativeHeight="251658240" behindDoc="0" locked="0" layoutInCell="1" allowOverlap="1" wp14:anchorId="21C09419" wp14:editId="3212C152">
            <wp:simplePos x="0" y="0"/>
            <wp:positionH relativeFrom="margin">
              <wp:align>center</wp:align>
            </wp:positionH>
            <wp:positionV relativeFrom="margin">
              <wp:align>top</wp:align>
            </wp:positionV>
            <wp:extent cx="3542030" cy="746760"/>
            <wp:effectExtent l="0" t="0" r="0" b="0"/>
            <wp:wrapSquare wrapText="bothSides"/>
            <wp:docPr id="3" name="Picture 3" descr="Commonwealth Coat of Arms and ASIC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onwealth Coat of Arms and ASIC logo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42030" cy="746760"/>
                    </a:xfrm>
                    <a:prstGeom prst="rect">
                      <a:avLst/>
                    </a:prstGeom>
                    <a:noFill/>
                  </pic:spPr>
                </pic:pic>
              </a:graphicData>
            </a:graphic>
            <wp14:sizeRelH relativeFrom="page">
              <wp14:pctWidth>0</wp14:pctWidth>
            </wp14:sizeRelH>
            <wp14:sizeRelV relativeFrom="page">
              <wp14:pctHeight>0</wp14:pctHeight>
            </wp14:sizeRelV>
          </wp:anchor>
        </w:drawing>
      </w:r>
    </w:p>
    <w:p w14:paraId="5F5379FC" w14:textId="77777777" w:rsidR="00955175" w:rsidRPr="00D37001" w:rsidRDefault="00955175" w:rsidP="00955175">
      <w:pPr>
        <w:pStyle w:val="LI-Title"/>
        <w:pBdr>
          <w:top w:val="none" w:sz="0" w:space="0" w:color="auto"/>
        </w:pBdr>
        <w:jc w:val="center"/>
      </w:pPr>
    </w:p>
    <w:p w14:paraId="207B9097" w14:textId="77777777" w:rsidR="00955175" w:rsidRPr="00D37001" w:rsidRDefault="00955175" w:rsidP="00955175">
      <w:pPr>
        <w:pStyle w:val="LI-Title"/>
        <w:pBdr>
          <w:top w:val="none" w:sz="0" w:space="0" w:color="auto"/>
        </w:pBdr>
        <w:jc w:val="center"/>
      </w:pPr>
      <w:r w:rsidRPr="00D37001">
        <w:t>Explanatory Statement</w:t>
      </w:r>
    </w:p>
    <w:p w14:paraId="3F66B4BE" w14:textId="77777777" w:rsidR="00955175" w:rsidRPr="00D37001" w:rsidRDefault="00955175" w:rsidP="00955175">
      <w:pPr>
        <w:rPr>
          <w:lang w:eastAsia="en-AU"/>
        </w:rPr>
      </w:pPr>
    </w:p>
    <w:p w14:paraId="6230A63A" w14:textId="77777777" w:rsidR="00C4170B" w:rsidRPr="00D37001" w:rsidRDefault="002F498A" w:rsidP="00C4170B">
      <w:pPr>
        <w:jc w:val="center"/>
        <w:rPr>
          <w:b/>
          <w:i/>
          <w:sz w:val="28"/>
          <w:szCs w:val="28"/>
          <w:lang w:eastAsia="en-AU"/>
        </w:rPr>
      </w:pPr>
      <w:r w:rsidRPr="00D37001">
        <w:rPr>
          <w:b/>
          <w:i/>
          <w:sz w:val="28"/>
          <w:szCs w:val="28"/>
          <w:lang w:eastAsia="en-AU"/>
        </w:rPr>
        <w:t>Corporations (CS Facility Exemption) Instrument 2023/18</w:t>
      </w:r>
    </w:p>
    <w:p w14:paraId="7F65EAAA" w14:textId="77777777" w:rsidR="00863657" w:rsidRPr="00D37001" w:rsidRDefault="00F800C9" w:rsidP="00F800C9">
      <w:pPr>
        <w:pStyle w:val="LI-BodyTextParaa"/>
        <w:ind w:left="0" w:firstLine="0"/>
      </w:pPr>
      <w:bookmarkStart w:id="0" w:name="BK_S3P1L1C1"/>
      <w:bookmarkEnd w:id="0"/>
      <w:r w:rsidRPr="00D37001">
        <w:t xml:space="preserve">This is the Explanatory Statement for </w:t>
      </w:r>
      <w:r w:rsidR="002F498A" w:rsidRPr="00D37001">
        <w:rPr>
          <w:i/>
          <w:iCs/>
        </w:rPr>
        <w:t xml:space="preserve">Corporations (CS Facility Exemption) Instrument 2023/18 </w:t>
      </w:r>
      <w:r w:rsidR="002F498A" w:rsidRPr="00D37001">
        <w:t xml:space="preserve">(the </w:t>
      </w:r>
      <w:r w:rsidR="002F498A" w:rsidRPr="00D37001">
        <w:rPr>
          <w:b/>
          <w:bCs/>
        </w:rPr>
        <w:t>Instrument</w:t>
      </w:r>
      <w:r w:rsidR="002F498A" w:rsidRPr="00D37001">
        <w:t>).</w:t>
      </w:r>
    </w:p>
    <w:p w14:paraId="03E875AC" w14:textId="77777777" w:rsidR="00F800C9" w:rsidRPr="00D37001" w:rsidRDefault="00863657" w:rsidP="00F800C9">
      <w:pPr>
        <w:pStyle w:val="LI-BodyTextParaa"/>
        <w:ind w:left="0" w:firstLine="0"/>
      </w:pPr>
      <w:r w:rsidRPr="00D37001">
        <w:t>Th</w:t>
      </w:r>
      <w:r w:rsidR="00F800C9" w:rsidRPr="00D37001">
        <w:t>e</w:t>
      </w:r>
      <w:r w:rsidRPr="00D37001">
        <w:t xml:space="preserve"> </w:t>
      </w:r>
      <w:r w:rsidR="00F800C9" w:rsidRPr="00D37001">
        <w:t>Explanatory Statement is approved by the Australian Securities and Investments Commission (</w:t>
      </w:r>
      <w:r w:rsidR="00F800C9" w:rsidRPr="00D37001">
        <w:rPr>
          <w:b/>
          <w:i/>
        </w:rPr>
        <w:t>ASIC</w:t>
      </w:r>
      <w:r w:rsidR="00F800C9" w:rsidRPr="00D37001">
        <w:t>).</w:t>
      </w:r>
    </w:p>
    <w:p w14:paraId="07F6E8FB" w14:textId="77777777" w:rsidR="00F800C9" w:rsidRPr="00D37001" w:rsidRDefault="005D1FEA" w:rsidP="006D6079">
      <w:pPr>
        <w:pStyle w:val="LI-BodyTextNumbered"/>
        <w:keepNext/>
        <w:ind w:left="0" w:firstLine="0"/>
        <w:rPr>
          <w:b/>
        </w:rPr>
      </w:pPr>
      <w:r w:rsidRPr="00D37001">
        <w:rPr>
          <w:b/>
        </w:rPr>
        <w:t>Summary</w:t>
      </w:r>
    </w:p>
    <w:p w14:paraId="2654A014" w14:textId="77777777" w:rsidR="00F800C9" w:rsidRPr="00D37001" w:rsidRDefault="002D7146" w:rsidP="00B7622F">
      <w:pPr>
        <w:pStyle w:val="LI-BodyTextParaa"/>
        <w:numPr>
          <w:ilvl w:val="0"/>
          <w:numId w:val="18"/>
        </w:numPr>
        <w:rPr>
          <w:bCs/>
        </w:rPr>
      </w:pPr>
      <w:r w:rsidRPr="00D37001">
        <w:t>The</w:t>
      </w:r>
      <w:r w:rsidR="00240769" w:rsidRPr="00D37001">
        <w:t xml:space="preserve"> Instrument provides conditional class exemptive relief from the </w:t>
      </w:r>
      <w:r w:rsidR="00240769" w:rsidRPr="00D37001">
        <w:rPr>
          <w:i/>
          <w:iCs/>
        </w:rPr>
        <w:t>Corporations Act 2001</w:t>
      </w:r>
      <w:r w:rsidR="00240769" w:rsidRPr="00D37001">
        <w:t xml:space="preserve"> (the </w:t>
      </w:r>
      <w:r w:rsidR="00240769" w:rsidRPr="00D37001">
        <w:rPr>
          <w:b/>
          <w:bCs/>
          <w:i/>
          <w:iCs/>
        </w:rPr>
        <w:t>Act</w:t>
      </w:r>
      <w:r w:rsidR="00240769" w:rsidRPr="00D37001">
        <w:t xml:space="preserve">) with respect to the requirement to hold an Australian CS facility licence under Part 7.3 of the Act, for pilot participants </w:t>
      </w:r>
      <w:r w:rsidR="00EE7746" w:rsidRPr="00D37001">
        <w:t>(</w:t>
      </w:r>
      <w:r w:rsidR="00EE7746" w:rsidRPr="00D37001">
        <w:rPr>
          <w:b/>
          <w:bCs/>
          <w:i/>
          <w:iCs/>
        </w:rPr>
        <w:t>Pilot Participants</w:t>
      </w:r>
      <w:r w:rsidR="00EE7746" w:rsidRPr="00D37001">
        <w:t xml:space="preserve">) </w:t>
      </w:r>
      <w:r w:rsidR="00240769" w:rsidRPr="00D37001">
        <w:t xml:space="preserve">operating a use case platform in the central bank digital currency </w:t>
      </w:r>
      <w:r w:rsidR="0073346B" w:rsidRPr="00D37001">
        <w:t xml:space="preserve">pilot </w:t>
      </w:r>
      <w:r w:rsidR="00240769" w:rsidRPr="00D37001">
        <w:t>project</w:t>
      </w:r>
      <w:r w:rsidR="0073346B" w:rsidRPr="00D37001">
        <w:t xml:space="preserve"> (</w:t>
      </w:r>
      <w:r w:rsidR="0073346B" w:rsidRPr="00D37001">
        <w:rPr>
          <w:b/>
          <w:bCs/>
          <w:i/>
          <w:iCs/>
        </w:rPr>
        <w:t>CBDC Pilot</w:t>
      </w:r>
      <w:r w:rsidR="0073346B" w:rsidRPr="00D37001">
        <w:t>)</w:t>
      </w:r>
      <w:r w:rsidR="00240769" w:rsidRPr="00D37001">
        <w:t xml:space="preserve"> administered by the Reserve Bank of Australia (</w:t>
      </w:r>
      <w:r w:rsidR="00240769" w:rsidRPr="00D37001">
        <w:rPr>
          <w:b/>
          <w:bCs/>
          <w:i/>
          <w:iCs/>
        </w:rPr>
        <w:t>RBA</w:t>
      </w:r>
      <w:r w:rsidR="00240769" w:rsidRPr="00D37001">
        <w:t>) and the Digital Finance Cooperative Research Centre (</w:t>
      </w:r>
      <w:r w:rsidR="00240769" w:rsidRPr="00D37001">
        <w:rPr>
          <w:b/>
          <w:bCs/>
          <w:i/>
          <w:iCs/>
        </w:rPr>
        <w:t>DFCRC</w:t>
      </w:r>
      <w:r w:rsidR="00240769" w:rsidRPr="00D37001">
        <w:t>)</w:t>
      </w:r>
      <w:r w:rsidR="008C6D83" w:rsidRPr="00D37001">
        <w:t>.</w:t>
      </w:r>
    </w:p>
    <w:p w14:paraId="178DF044" w14:textId="77777777" w:rsidR="005D1FEA" w:rsidRPr="00D37001" w:rsidRDefault="005D1FEA" w:rsidP="006D6079">
      <w:pPr>
        <w:pStyle w:val="LI-BodyTextNumbered"/>
        <w:keepNext/>
        <w:ind w:left="0" w:firstLine="0"/>
        <w:rPr>
          <w:b/>
        </w:rPr>
      </w:pPr>
      <w:r w:rsidRPr="00D37001">
        <w:rPr>
          <w:b/>
        </w:rPr>
        <w:t>Purpose of the instrument</w:t>
      </w:r>
    </w:p>
    <w:p w14:paraId="3B4721BE" w14:textId="68062442" w:rsidR="00200FB6" w:rsidRPr="00D37001" w:rsidRDefault="008C6D83" w:rsidP="00B7622F">
      <w:pPr>
        <w:pStyle w:val="LI-BodyTextParaa"/>
        <w:numPr>
          <w:ilvl w:val="0"/>
          <w:numId w:val="18"/>
        </w:numPr>
      </w:pPr>
      <w:r w:rsidRPr="00D37001">
        <w:t xml:space="preserve">The Act </w:t>
      </w:r>
      <w:r w:rsidR="00276BFD" w:rsidRPr="00D37001">
        <w:t xml:space="preserve">provides </w:t>
      </w:r>
      <w:r w:rsidR="00200FB6" w:rsidRPr="00D37001">
        <w:t>that a person must only operate</w:t>
      </w:r>
      <w:r w:rsidRPr="00D37001">
        <w:t xml:space="preserve"> </w:t>
      </w:r>
      <w:r w:rsidR="00200FB6" w:rsidRPr="00D37001">
        <w:t>a clearing and settlement facility in this jurisdiction if the person has an Australian CS facility licence that authorises the person to operate the facility in this jurisdiction or the facility is exempt from the operation of Part 7.3 of the Act.</w:t>
      </w:r>
    </w:p>
    <w:p w14:paraId="32E642FA" w14:textId="77777777" w:rsidR="00700237" w:rsidRDefault="00BA55DE" w:rsidP="00B7622F">
      <w:pPr>
        <w:pStyle w:val="LI-BodyTextParaa"/>
        <w:numPr>
          <w:ilvl w:val="0"/>
          <w:numId w:val="18"/>
        </w:numPr>
      </w:pPr>
      <w:r w:rsidRPr="00D37001">
        <w:t>The purpose of the Instrument is to</w:t>
      </w:r>
      <w:r>
        <w:t xml:space="preserve"> exempt use case platforms</w:t>
      </w:r>
      <w:r w:rsidR="00AC7DC1">
        <w:t xml:space="preserve"> in the CBDC Pilot</w:t>
      </w:r>
      <w:r>
        <w:t xml:space="preserve"> involving the operation of a clearing and settlement facility from the requirement to hold an Australian CS facility licence by exempting them from the operation of Part 7.3 of the Act</w:t>
      </w:r>
      <w:r w:rsidR="00325793">
        <w:t>, subject to the conditions set out in the Instrument</w:t>
      </w:r>
      <w:r>
        <w:t>.</w:t>
      </w:r>
    </w:p>
    <w:p w14:paraId="46A43933" w14:textId="77777777" w:rsidR="00B7622F" w:rsidRDefault="00700237" w:rsidP="00B7622F">
      <w:pPr>
        <w:pStyle w:val="LI-BodyTextParaa"/>
        <w:numPr>
          <w:ilvl w:val="0"/>
          <w:numId w:val="18"/>
        </w:numPr>
      </w:pPr>
      <w:r>
        <w:t>To rely on the relief, a Pilot Participant is required to provide ASIC with a written notice (</w:t>
      </w:r>
      <w:r w:rsidRPr="000269D3">
        <w:rPr>
          <w:b/>
          <w:bCs/>
          <w:i/>
          <w:iCs/>
        </w:rPr>
        <w:t>Opt-In Notice</w:t>
      </w:r>
      <w:r>
        <w:t xml:space="preserve">) </w:t>
      </w:r>
      <w:r w:rsidR="00541A86">
        <w:t xml:space="preserve">that meets the requirements set out in the Instrument. The Opt-In Notice is intended to provide certainty to ASIC and the Pilot Participant as to when a Pilot Participant is relying on the exemption in section 5 of the Instrument, and when the Pilot Participant is required to comply with the conditions in section 7 of the Instrument. </w:t>
      </w:r>
      <w:bookmarkStart w:id="1" w:name="_Hlk534291624"/>
    </w:p>
    <w:p w14:paraId="25334534" w14:textId="77777777" w:rsidR="00B7622F" w:rsidRPr="00B7622F" w:rsidRDefault="00B7622F" w:rsidP="00CE44F5">
      <w:pPr>
        <w:pStyle w:val="LI-BodyTextParaa"/>
        <w:widowControl w:val="0"/>
        <w:ind w:left="0" w:firstLine="0"/>
      </w:pPr>
      <w:r>
        <w:rPr>
          <w:b/>
          <w:bCs/>
        </w:rPr>
        <w:t>Consultation</w:t>
      </w:r>
    </w:p>
    <w:p w14:paraId="3AF2900B" w14:textId="77777777" w:rsidR="00B0328C" w:rsidRDefault="0073346B" w:rsidP="00CE44F5">
      <w:pPr>
        <w:pStyle w:val="LI-BodyTextParaa"/>
        <w:widowControl w:val="0"/>
        <w:numPr>
          <w:ilvl w:val="0"/>
          <w:numId w:val="18"/>
        </w:numPr>
      </w:pPr>
      <w:r>
        <w:t xml:space="preserve">In making the Instrument, ASIC has consulted bilaterally with applicants to the </w:t>
      </w:r>
      <w:r w:rsidR="00C6505A">
        <w:lastRenderedPageBreak/>
        <w:t xml:space="preserve">CBDC Pilot whose use cases involved the operation of a clearing and settlement facility. </w:t>
      </w:r>
      <w:r w:rsidR="002A1FA6">
        <w:t>ASIC has also received an application for relief from an applicant to the CBDC Pilot.</w:t>
      </w:r>
    </w:p>
    <w:p w14:paraId="068CB9A9" w14:textId="672B7CFE" w:rsidR="00B0328C" w:rsidRDefault="00B0328C" w:rsidP="00CE44F5">
      <w:pPr>
        <w:pStyle w:val="LI-BodyTextParaa"/>
        <w:widowControl w:val="0"/>
        <w:numPr>
          <w:ilvl w:val="0"/>
          <w:numId w:val="18"/>
        </w:numPr>
      </w:pPr>
      <w:r>
        <w:t xml:space="preserve">Further, ASIC has consulted bilaterally with the </w:t>
      </w:r>
      <w:r w:rsidR="00540355">
        <w:t>Payments Efficiency team</w:t>
      </w:r>
      <w:r>
        <w:t xml:space="preserve"> at the RBA</w:t>
      </w:r>
      <w:r w:rsidR="00540355">
        <w:t xml:space="preserve"> in its capacity as one of the entities jointly conducting the CBDC Pilot</w:t>
      </w:r>
      <w:r>
        <w:t xml:space="preserve"> and with the </w:t>
      </w:r>
      <w:r w:rsidR="00540355">
        <w:t>Financial Market Infrastructure team at the RBA</w:t>
      </w:r>
      <w:r w:rsidR="000269D3">
        <w:t xml:space="preserve"> in its capacity as the co-regulator of clearing and settlement facilities</w:t>
      </w:r>
      <w:r w:rsidR="00540355">
        <w:t>.</w:t>
      </w:r>
    </w:p>
    <w:p w14:paraId="5FBB3CB1" w14:textId="77777777" w:rsidR="00416438" w:rsidRDefault="0064771F" w:rsidP="00072DA8">
      <w:pPr>
        <w:pStyle w:val="LI-BodyTextParaa"/>
        <w:numPr>
          <w:ilvl w:val="0"/>
          <w:numId w:val="18"/>
        </w:numPr>
      </w:pPr>
      <w:r>
        <w:t xml:space="preserve">The Instrument responds to concerns raised by </w:t>
      </w:r>
      <w:r w:rsidR="00416438">
        <w:t>the applicant in its application for relief. These concerns include that:</w:t>
      </w:r>
    </w:p>
    <w:p w14:paraId="2D144A43" w14:textId="68EDB687" w:rsidR="00B25E15" w:rsidRDefault="00B25E15" w:rsidP="00B25E15">
      <w:pPr>
        <w:pStyle w:val="LI-BodyTextParaa"/>
        <w:numPr>
          <w:ilvl w:val="1"/>
          <w:numId w:val="16"/>
        </w:numPr>
        <w:spacing w:after="240"/>
      </w:pPr>
      <w:r>
        <w:t xml:space="preserve">There is a significant burden on </w:t>
      </w:r>
      <w:r w:rsidR="003F759B">
        <w:t>pilot participants</w:t>
      </w:r>
      <w:r>
        <w:t xml:space="preserve"> in terms of </w:t>
      </w:r>
      <w:r w:rsidR="000A1B2D">
        <w:t xml:space="preserve">the </w:t>
      </w:r>
      <w:r>
        <w:t xml:space="preserve">costs </w:t>
      </w:r>
      <w:r w:rsidR="000A1B2D">
        <w:t xml:space="preserve">associated with </w:t>
      </w:r>
      <w:r w:rsidR="003F759B">
        <w:t>applying for an Australian CS facility licence</w:t>
      </w:r>
      <w:r w:rsidR="000A1B2D">
        <w:t xml:space="preserve"> as well as the costs of ongoing compliance with the obligations of CS facility licensees under Part 7.3 of the Act</w:t>
      </w:r>
      <w:r>
        <w:t>;</w:t>
      </w:r>
    </w:p>
    <w:p w14:paraId="7E71BEC2" w14:textId="454ED34E" w:rsidR="00B25E15" w:rsidRDefault="00B25E15" w:rsidP="00B25E15">
      <w:pPr>
        <w:pStyle w:val="LI-BodyTextParaa"/>
        <w:numPr>
          <w:ilvl w:val="1"/>
          <w:numId w:val="16"/>
        </w:numPr>
        <w:spacing w:after="240"/>
      </w:pPr>
      <w:r>
        <w:t xml:space="preserve">There is limited </w:t>
      </w:r>
      <w:r w:rsidR="007C4149">
        <w:t>regulatory benefit</w:t>
      </w:r>
      <w:r>
        <w:t xml:space="preserve"> in requiring </w:t>
      </w:r>
      <w:r w:rsidR="003F759B">
        <w:t xml:space="preserve">pilot participants to hold an Australian CS facility licence due </w:t>
      </w:r>
      <w:r w:rsidR="00AC7DC1">
        <w:t xml:space="preserve">to the </w:t>
      </w:r>
      <w:r w:rsidR="003F759B">
        <w:t xml:space="preserve">limited time the CBDC Pilot will operate for and the </w:t>
      </w:r>
      <w:r w:rsidR="0030053F">
        <w:t xml:space="preserve">controlled </w:t>
      </w:r>
      <w:r w:rsidR="003F759B">
        <w:t>segregated environment of the CBDC Pilot</w:t>
      </w:r>
      <w:r>
        <w:t>; and</w:t>
      </w:r>
    </w:p>
    <w:p w14:paraId="6CB0112F" w14:textId="77777777" w:rsidR="00072DA8" w:rsidRDefault="007E6FE0" w:rsidP="00072DA8">
      <w:pPr>
        <w:pStyle w:val="LI-BodyTextParaa"/>
        <w:numPr>
          <w:ilvl w:val="1"/>
          <w:numId w:val="16"/>
        </w:numPr>
        <w:spacing w:after="240"/>
      </w:pPr>
      <w:r>
        <w:t>The costs of requiring pilot participants to acquire an Australian CS facility licence significantly outweighs the benefits</w:t>
      </w:r>
      <w:r w:rsidR="008F6A1C">
        <w:t xml:space="preserve"> of the regulatory outcomes achieved as the potential delay in acquiring the Australian CS facility licence would impact on timelines for the CBDC Pilot</w:t>
      </w:r>
      <w:r w:rsidR="00B25E15">
        <w:t>.</w:t>
      </w:r>
    </w:p>
    <w:p w14:paraId="399029E4" w14:textId="77777777" w:rsidR="008C6395" w:rsidRPr="00416438" w:rsidRDefault="00E01BE0" w:rsidP="00804094">
      <w:pPr>
        <w:pStyle w:val="LI-BodyTextParaa"/>
        <w:numPr>
          <w:ilvl w:val="0"/>
          <w:numId w:val="21"/>
        </w:numPr>
        <w:spacing w:after="240"/>
      </w:pPr>
      <w:r>
        <w:t>ASIC has consulted with the Office of Impact Analysis (</w:t>
      </w:r>
      <w:r w:rsidRPr="000269D3">
        <w:rPr>
          <w:b/>
          <w:bCs/>
          <w:i/>
          <w:iCs/>
        </w:rPr>
        <w:t>OIA</w:t>
      </w:r>
      <w:r>
        <w:t>) in relation to whether an Impact Analysis (</w:t>
      </w:r>
      <w:r w:rsidRPr="000269D3">
        <w:rPr>
          <w:b/>
          <w:bCs/>
          <w:i/>
          <w:iCs/>
        </w:rPr>
        <w:t>IA</w:t>
      </w:r>
      <w:r w:rsidRPr="000269D3">
        <w:rPr>
          <w:i/>
          <w:iCs/>
        </w:rPr>
        <w:t>)</w:t>
      </w:r>
      <w:r>
        <w:t xml:space="preserve"> is required. OIA advised that the preparation of an IA was not required because it assessed the proposal as unlikely to have a more than minor regulatory impact.</w:t>
      </w:r>
    </w:p>
    <w:p w14:paraId="6AA3E65E" w14:textId="77777777" w:rsidR="005D1FEA" w:rsidRDefault="005D1FEA" w:rsidP="006D6079">
      <w:pPr>
        <w:pStyle w:val="LI-BodyTextNumbered"/>
        <w:keepNext/>
        <w:ind w:left="0" w:firstLine="0"/>
        <w:rPr>
          <w:b/>
        </w:rPr>
      </w:pPr>
      <w:r>
        <w:rPr>
          <w:b/>
        </w:rPr>
        <w:lastRenderedPageBreak/>
        <w:t>Operation of the instrument</w:t>
      </w:r>
    </w:p>
    <w:p w14:paraId="2CC99C7C" w14:textId="77777777" w:rsidR="00932C53" w:rsidRDefault="00932C53" w:rsidP="006D6079">
      <w:pPr>
        <w:pStyle w:val="LI-BodyTextNumbered"/>
        <w:keepNext/>
        <w:ind w:left="0" w:firstLine="0"/>
        <w:rPr>
          <w:b/>
        </w:rPr>
      </w:pPr>
      <w:r>
        <w:rPr>
          <w:b/>
        </w:rPr>
        <w:t>Part 1 – Preliminary</w:t>
      </w:r>
    </w:p>
    <w:p w14:paraId="4D850FF2" w14:textId="77777777" w:rsidR="00932C53" w:rsidRDefault="00932C53" w:rsidP="00932C53">
      <w:pPr>
        <w:pStyle w:val="LI-BodyTextNumbered"/>
        <w:keepNext/>
        <w:ind w:left="0" w:firstLine="0"/>
        <w:rPr>
          <w:b/>
          <w:i/>
          <w:iCs/>
        </w:rPr>
      </w:pPr>
      <w:r>
        <w:rPr>
          <w:b/>
          <w:i/>
          <w:iCs/>
        </w:rPr>
        <w:t>Commencement</w:t>
      </w:r>
    </w:p>
    <w:p w14:paraId="04C19B06" w14:textId="77777777" w:rsidR="00B30079" w:rsidRPr="00B30079" w:rsidRDefault="00932C53" w:rsidP="00B30079">
      <w:pPr>
        <w:pStyle w:val="LI-BodyTextNumbered"/>
        <w:keepNext/>
        <w:numPr>
          <w:ilvl w:val="0"/>
          <w:numId w:val="21"/>
        </w:numPr>
        <w:rPr>
          <w:b/>
          <w:i/>
          <w:iCs/>
        </w:rPr>
      </w:pPr>
      <w:r>
        <w:t>Section 2 of the Instrument provides that the Instrument commences on the day after it is registered on the Federal Register of Legislation.</w:t>
      </w:r>
      <w:r w:rsidR="00474B52">
        <w:rPr>
          <w:i/>
        </w:rPr>
        <w:t xml:space="preserve"> </w:t>
      </w:r>
    </w:p>
    <w:p w14:paraId="1264DC12" w14:textId="77777777" w:rsidR="00B30079" w:rsidRPr="00B30079" w:rsidRDefault="00B30079" w:rsidP="00B30079">
      <w:pPr>
        <w:pStyle w:val="LI-BodyTextNumbered"/>
        <w:keepNext/>
        <w:ind w:left="0" w:firstLine="0"/>
        <w:rPr>
          <w:b/>
          <w:bCs/>
          <w:i/>
          <w:iCs/>
        </w:rPr>
      </w:pPr>
      <w:r>
        <w:rPr>
          <w:b/>
          <w:bCs/>
          <w:i/>
        </w:rPr>
        <w:t>Authority</w:t>
      </w:r>
    </w:p>
    <w:p w14:paraId="425B5C6E" w14:textId="1FFC4A58" w:rsidR="00B30079" w:rsidRPr="00B30079" w:rsidRDefault="00B30079" w:rsidP="00B30079">
      <w:pPr>
        <w:pStyle w:val="LI-BodyTextNumbered"/>
        <w:keepNext/>
        <w:numPr>
          <w:ilvl w:val="0"/>
          <w:numId w:val="21"/>
        </w:numPr>
        <w:rPr>
          <w:b/>
          <w:i/>
          <w:iCs/>
        </w:rPr>
      </w:pPr>
      <w:r>
        <w:rPr>
          <w:bCs/>
        </w:rPr>
        <w:t>Section 3 of the Instrument provides that the Instrument is made under subsection 820C(1) of the Act.</w:t>
      </w:r>
    </w:p>
    <w:p w14:paraId="45F5C326" w14:textId="77777777" w:rsidR="008A4659" w:rsidRDefault="008A4659" w:rsidP="008A4659">
      <w:pPr>
        <w:pStyle w:val="LI-BodyTextNumbered"/>
        <w:keepNext/>
        <w:ind w:left="0" w:firstLine="0"/>
        <w:rPr>
          <w:b/>
        </w:rPr>
      </w:pPr>
      <w:r>
        <w:rPr>
          <w:b/>
        </w:rPr>
        <w:t>Part 2 – Exemption</w:t>
      </w:r>
    </w:p>
    <w:p w14:paraId="004C64D2" w14:textId="77777777" w:rsidR="008A4659" w:rsidRPr="008A4659" w:rsidRDefault="008A4659" w:rsidP="008A4659">
      <w:pPr>
        <w:pStyle w:val="LI-BodyTextNumbered"/>
        <w:keepNext/>
        <w:ind w:left="0" w:firstLine="0"/>
        <w:rPr>
          <w:b/>
          <w:i/>
          <w:iCs/>
        </w:rPr>
      </w:pPr>
      <w:r>
        <w:rPr>
          <w:b/>
          <w:i/>
          <w:iCs/>
        </w:rPr>
        <w:t>Australian CS facility licence exemption – use case platforms</w:t>
      </w:r>
    </w:p>
    <w:p w14:paraId="0DC481DE" w14:textId="77777777" w:rsidR="008A4659" w:rsidRPr="00C36FF6" w:rsidRDefault="0019627A" w:rsidP="00A81C8E">
      <w:pPr>
        <w:pStyle w:val="LI-BodyTextNumbered"/>
        <w:keepNext/>
        <w:numPr>
          <w:ilvl w:val="0"/>
          <w:numId w:val="21"/>
        </w:numPr>
        <w:rPr>
          <w:b/>
          <w:i/>
          <w:iCs/>
        </w:rPr>
      </w:pPr>
      <w:r>
        <w:rPr>
          <w:bCs/>
        </w:rPr>
        <w:t xml:space="preserve">Section 5 of the Instrument provides that the use case platform of a Pilot Participant </w:t>
      </w:r>
      <w:r w:rsidRPr="0019627A">
        <w:rPr>
          <w:bCs/>
        </w:rPr>
        <w:t>is exempt from the provisions of Part 7.3 of the Act in relation to the operation of the use case platform by the Pilot Participant in the CBDC Pilot.</w:t>
      </w:r>
    </w:p>
    <w:p w14:paraId="46B6D041" w14:textId="77777777" w:rsidR="0019627A" w:rsidRPr="0019627A" w:rsidRDefault="0019627A" w:rsidP="0019627A">
      <w:pPr>
        <w:pStyle w:val="LI-BodyTextNumbered"/>
        <w:keepNext/>
        <w:ind w:left="0" w:firstLine="0"/>
        <w:rPr>
          <w:b/>
          <w:i/>
          <w:iCs/>
        </w:rPr>
      </w:pPr>
      <w:r>
        <w:rPr>
          <w:b/>
          <w:i/>
          <w:iCs/>
        </w:rPr>
        <w:t>Opt-In Notice</w:t>
      </w:r>
    </w:p>
    <w:p w14:paraId="6E603511" w14:textId="4E613C08" w:rsidR="0019627A" w:rsidRPr="0061438A" w:rsidRDefault="00DD54CC" w:rsidP="00EC3EA3">
      <w:pPr>
        <w:pStyle w:val="LI-BodyTextNumbered"/>
        <w:keepNext/>
        <w:widowControl w:val="0"/>
        <w:numPr>
          <w:ilvl w:val="0"/>
          <w:numId w:val="21"/>
        </w:numPr>
        <w:rPr>
          <w:b/>
          <w:i/>
          <w:iCs/>
        </w:rPr>
      </w:pPr>
      <w:r>
        <w:rPr>
          <w:bCs/>
        </w:rPr>
        <w:t>Section 6 of the Instrument provides that the exemption in section 5 only applies to a use case platform of a Pilot Participant if</w:t>
      </w:r>
      <w:r w:rsidR="0061438A" w:rsidRPr="0061438A">
        <w:rPr>
          <w:bCs/>
        </w:rPr>
        <w:t xml:space="preserve">, at least </w:t>
      </w:r>
      <w:r w:rsidR="003D7214">
        <w:rPr>
          <w:bCs/>
        </w:rPr>
        <w:t>5</w:t>
      </w:r>
      <w:r w:rsidR="003D7214" w:rsidRPr="0061438A">
        <w:rPr>
          <w:bCs/>
        </w:rPr>
        <w:t xml:space="preserve"> </w:t>
      </w:r>
      <w:r w:rsidR="0061438A" w:rsidRPr="0061438A">
        <w:rPr>
          <w:bCs/>
        </w:rPr>
        <w:t>business days before</w:t>
      </w:r>
      <w:r w:rsidR="00EC3EA3">
        <w:rPr>
          <w:bCs/>
        </w:rPr>
        <w:t xml:space="preserve"> </w:t>
      </w:r>
      <w:r w:rsidR="0061438A" w:rsidRPr="0061438A">
        <w:rPr>
          <w:bCs/>
        </w:rPr>
        <w:t>operating the use case platform in the CBDC Pilot, the Pilot Participant has given ASIC a written notice which includes the following information:</w:t>
      </w:r>
    </w:p>
    <w:p w14:paraId="7BE0CF53" w14:textId="77777777" w:rsidR="0061438A" w:rsidRPr="0061438A" w:rsidRDefault="0061438A" w:rsidP="00EC3EA3">
      <w:pPr>
        <w:pStyle w:val="LI-BodyTextNumbered"/>
        <w:keepNext/>
        <w:widowControl w:val="0"/>
        <w:numPr>
          <w:ilvl w:val="1"/>
          <w:numId w:val="21"/>
        </w:numPr>
        <w:rPr>
          <w:b/>
          <w:i/>
          <w:iCs/>
        </w:rPr>
      </w:pPr>
      <w:r>
        <w:rPr>
          <w:bCs/>
        </w:rPr>
        <w:t>the name and contact details of the Pilot Participant;</w:t>
      </w:r>
    </w:p>
    <w:p w14:paraId="7A7E909F" w14:textId="77777777" w:rsidR="009375D9" w:rsidRDefault="0061438A" w:rsidP="00EC3EA3">
      <w:pPr>
        <w:pStyle w:val="LI-BodyTextNumbered"/>
        <w:keepNext/>
        <w:widowControl w:val="0"/>
        <w:numPr>
          <w:ilvl w:val="1"/>
          <w:numId w:val="21"/>
        </w:numPr>
        <w:rPr>
          <w:b/>
          <w:i/>
          <w:iCs/>
        </w:rPr>
      </w:pPr>
      <w:r>
        <w:rPr>
          <w:bCs/>
        </w:rPr>
        <w:t>a description of the use case</w:t>
      </w:r>
      <w:r w:rsidRPr="0061438A">
        <w:t xml:space="preserve"> </w:t>
      </w:r>
      <w:r w:rsidRPr="0061438A">
        <w:rPr>
          <w:bCs/>
        </w:rPr>
        <w:t>platform proposed to be operated by the Pilot Participant in the CBDC Pilot, including a description of the following:</w:t>
      </w:r>
    </w:p>
    <w:p w14:paraId="647F0C23" w14:textId="77777777" w:rsidR="009375D9" w:rsidRDefault="009375D9" w:rsidP="00EC3EA3">
      <w:pPr>
        <w:pStyle w:val="LI-BodyTextNumbered"/>
        <w:keepNext/>
        <w:widowControl w:val="0"/>
        <w:numPr>
          <w:ilvl w:val="2"/>
          <w:numId w:val="21"/>
        </w:numPr>
        <w:rPr>
          <w:b/>
          <w:i/>
          <w:iCs/>
        </w:rPr>
      </w:pPr>
      <w:r w:rsidRPr="009375D9">
        <w:rPr>
          <w:bCs/>
        </w:rPr>
        <w:t xml:space="preserve">the structure of the use case platform; </w:t>
      </w:r>
    </w:p>
    <w:p w14:paraId="7901759A" w14:textId="77777777" w:rsidR="009375D9" w:rsidRDefault="009375D9" w:rsidP="00EC3EA3">
      <w:pPr>
        <w:pStyle w:val="LI-BodyTextNumbered"/>
        <w:keepNext/>
        <w:widowControl w:val="0"/>
        <w:numPr>
          <w:ilvl w:val="2"/>
          <w:numId w:val="21"/>
        </w:numPr>
        <w:rPr>
          <w:b/>
          <w:i/>
          <w:iCs/>
        </w:rPr>
      </w:pPr>
      <w:r w:rsidRPr="009375D9">
        <w:rPr>
          <w:bCs/>
        </w:rPr>
        <w:t>the nature of the services to be provided by or through the use case</w:t>
      </w:r>
      <w:r w:rsidR="00DE68B2">
        <w:rPr>
          <w:bCs/>
        </w:rPr>
        <w:t xml:space="preserve"> </w:t>
      </w:r>
      <w:r w:rsidRPr="009375D9">
        <w:rPr>
          <w:bCs/>
        </w:rPr>
        <w:t xml:space="preserve">platform; </w:t>
      </w:r>
    </w:p>
    <w:p w14:paraId="48097B72" w14:textId="77777777" w:rsidR="009375D9" w:rsidRDefault="009375D9" w:rsidP="00EC3EA3">
      <w:pPr>
        <w:pStyle w:val="LI-BodyTextNumbered"/>
        <w:keepNext/>
        <w:widowControl w:val="0"/>
        <w:numPr>
          <w:ilvl w:val="2"/>
          <w:numId w:val="21"/>
        </w:numPr>
        <w:rPr>
          <w:b/>
          <w:i/>
          <w:iCs/>
        </w:rPr>
      </w:pPr>
      <w:r w:rsidRPr="009375D9">
        <w:rPr>
          <w:bCs/>
        </w:rPr>
        <w:t xml:space="preserve">the proposed size of the use case platform; </w:t>
      </w:r>
    </w:p>
    <w:p w14:paraId="2ED1B0D6" w14:textId="77777777" w:rsidR="009375D9" w:rsidRPr="009375D9" w:rsidRDefault="009375D9" w:rsidP="00EC3EA3">
      <w:pPr>
        <w:pStyle w:val="LI-BodyTextNumbered"/>
        <w:keepNext/>
        <w:widowControl w:val="0"/>
        <w:numPr>
          <w:ilvl w:val="2"/>
          <w:numId w:val="21"/>
        </w:numPr>
        <w:rPr>
          <w:b/>
          <w:i/>
          <w:iCs/>
        </w:rPr>
      </w:pPr>
      <w:r w:rsidRPr="009375D9">
        <w:rPr>
          <w:bCs/>
        </w:rPr>
        <w:t xml:space="preserve">the type of financial products to which the use case platform will relate; </w:t>
      </w:r>
    </w:p>
    <w:p w14:paraId="3D79D536" w14:textId="77777777" w:rsidR="009375D9" w:rsidRPr="009375D9" w:rsidRDefault="009375D9" w:rsidP="00EC3EA3">
      <w:pPr>
        <w:pStyle w:val="LI-BodyTextNumbered"/>
        <w:keepNext/>
        <w:widowControl w:val="0"/>
        <w:numPr>
          <w:ilvl w:val="2"/>
          <w:numId w:val="21"/>
        </w:numPr>
        <w:rPr>
          <w:bCs/>
        </w:rPr>
      </w:pPr>
      <w:r w:rsidRPr="009375D9">
        <w:rPr>
          <w:bCs/>
        </w:rPr>
        <w:t>the type of persons who will be participants in relation to the use case platform</w:t>
      </w:r>
      <w:r>
        <w:rPr>
          <w:bCs/>
        </w:rPr>
        <w:t xml:space="preserve"> </w:t>
      </w:r>
      <w:r w:rsidRPr="009375D9">
        <w:rPr>
          <w:bCs/>
        </w:rPr>
        <w:t>and whether those participants:</w:t>
      </w:r>
    </w:p>
    <w:p w14:paraId="05F55FCC" w14:textId="77777777" w:rsidR="009375D9" w:rsidRPr="009375D9" w:rsidRDefault="009375D9" w:rsidP="00EC3EA3">
      <w:pPr>
        <w:pStyle w:val="LI-BodyTextNumbered"/>
        <w:keepNext/>
        <w:widowControl w:val="0"/>
        <w:numPr>
          <w:ilvl w:val="3"/>
          <w:numId w:val="21"/>
        </w:numPr>
        <w:rPr>
          <w:bCs/>
        </w:rPr>
      </w:pPr>
      <w:r w:rsidRPr="009375D9">
        <w:rPr>
          <w:bCs/>
        </w:rPr>
        <w:t>in using the use case platform will be providing financial services to other persons; or</w:t>
      </w:r>
    </w:p>
    <w:p w14:paraId="3168CD28" w14:textId="77777777" w:rsidR="009375D9" w:rsidRPr="009375D9" w:rsidRDefault="009375D9" w:rsidP="00EC3EA3">
      <w:pPr>
        <w:pStyle w:val="LI-BodyTextNumbered"/>
        <w:keepNext/>
        <w:widowControl w:val="0"/>
        <w:numPr>
          <w:ilvl w:val="3"/>
          <w:numId w:val="21"/>
        </w:numPr>
        <w:rPr>
          <w:bCs/>
        </w:rPr>
      </w:pPr>
      <w:r w:rsidRPr="009375D9">
        <w:rPr>
          <w:bCs/>
        </w:rPr>
        <w:t xml:space="preserve">will use the use case platform in respect of financial products they acquire or dispose of and, if so, whether the acquisition or </w:t>
      </w:r>
      <w:r w:rsidRPr="009375D9">
        <w:rPr>
          <w:bCs/>
        </w:rPr>
        <w:lastRenderedPageBreak/>
        <w:t>disposals will be as retail clients or as wholesale clients; or</w:t>
      </w:r>
    </w:p>
    <w:p w14:paraId="1C934C47" w14:textId="77777777" w:rsidR="009375D9" w:rsidRDefault="009375D9" w:rsidP="00EC3EA3">
      <w:pPr>
        <w:pStyle w:val="LI-BodyTextNumbered"/>
        <w:keepNext/>
        <w:widowControl w:val="0"/>
        <w:numPr>
          <w:ilvl w:val="3"/>
          <w:numId w:val="21"/>
        </w:numPr>
        <w:rPr>
          <w:bCs/>
        </w:rPr>
      </w:pPr>
      <w:r w:rsidRPr="009375D9">
        <w:rPr>
          <w:bCs/>
        </w:rPr>
        <w:t>will be participants in relation to a financial market or any other clearing and settlement facility in relation to the financial products to which the use case platform relates;</w:t>
      </w:r>
    </w:p>
    <w:p w14:paraId="59E203FA" w14:textId="77777777" w:rsidR="009375D9" w:rsidRDefault="009375D9" w:rsidP="00EC3EA3">
      <w:pPr>
        <w:pStyle w:val="LI-BodyTextNumbered"/>
        <w:keepNext/>
        <w:widowControl w:val="0"/>
        <w:numPr>
          <w:ilvl w:val="2"/>
          <w:numId w:val="21"/>
        </w:numPr>
        <w:rPr>
          <w:bCs/>
        </w:rPr>
      </w:pPr>
      <w:r w:rsidRPr="009375D9">
        <w:rPr>
          <w:bCs/>
        </w:rPr>
        <w:t>the technology to be used in the operation of the use case platform;</w:t>
      </w:r>
    </w:p>
    <w:p w14:paraId="4EBF72E6" w14:textId="77777777" w:rsidR="00002856" w:rsidRDefault="00002856" w:rsidP="00EC3EA3">
      <w:pPr>
        <w:pStyle w:val="LI-BodyTextNumbered"/>
        <w:keepNext/>
        <w:widowControl w:val="0"/>
        <w:numPr>
          <w:ilvl w:val="1"/>
          <w:numId w:val="21"/>
        </w:numPr>
        <w:rPr>
          <w:bCs/>
        </w:rPr>
      </w:pPr>
      <w:r>
        <w:rPr>
          <w:bCs/>
        </w:rPr>
        <w:t>a copy of the signed CBDC Pilot Participation Agreement in relation to the Pilot Participant;</w:t>
      </w:r>
    </w:p>
    <w:p w14:paraId="21A7BCAB" w14:textId="77777777" w:rsidR="00002856" w:rsidRDefault="00002856" w:rsidP="00EC3EA3">
      <w:pPr>
        <w:pStyle w:val="LI-BodyTextNumbered"/>
        <w:keepNext/>
        <w:widowControl w:val="0"/>
        <w:numPr>
          <w:ilvl w:val="1"/>
          <w:numId w:val="21"/>
        </w:numPr>
        <w:rPr>
          <w:bCs/>
        </w:rPr>
      </w:pPr>
      <w:r>
        <w:rPr>
          <w:bCs/>
        </w:rPr>
        <w:t>the date from which the Pilot Participant proposes to operate the use case platform in reliance on the exemption in section 5</w:t>
      </w:r>
      <w:r w:rsidR="001D7DAF">
        <w:rPr>
          <w:bCs/>
        </w:rPr>
        <w:t xml:space="preserve"> of the Instrument</w:t>
      </w:r>
      <w:r>
        <w:rPr>
          <w:bCs/>
        </w:rPr>
        <w:t>.</w:t>
      </w:r>
    </w:p>
    <w:p w14:paraId="3AFDC12A" w14:textId="6AB9ED19" w:rsidR="00BB1C49" w:rsidRDefault="00BB1C49" w:rsidP="00EC3EA3">
      <w:pPr>
        <w:pStyle w:val="LI-BodyTextNumbered"/>
        <w:keepNext/>
        <w:widowControl w:val="0"/>
        <w:numPr>
          <w:ilvl w:val="0"/>
          <w:numId w:val="21"/>
        </w:numPr>
        <w:rPr>
          <w:bCs/>
        </w:rPr>
      </w:pPr>
      <w:r>
        <w:rPr>
          <w:bCs/>
        </w:rPr>
        <w:t>Paragraph 6(b)(iii) of the Instrument provides that a Pilot Participant giving an Opt-In Notice to ASIC has to include information about the proposed size of the use case platform in the Opt-In Notice. ASIC considers that the information about the proposed size of the use case platform would include the volume and value of transactions that the Pilot Participant considers would be processed through their use case platform in the CBDC Pilot</w:t>
      </w:r>
      <w:r w:rsidR="00A943D6">
        <w:rPr>
          <w:bCs/>
        </w:rPr>
        <w:t xml:space="preserve">, </w:t>
      </w:r>
      <w:r w:rsidR="00726D85">
        <w:rPr>
          <w:bCs/>
        </w:rPr>
        <w:t>c</w:t>
      </w:r>
      <w:r w:rsidR="00006E90">
        <w:rPr>
          <w:bCs/>
        </w:rPr>
        <w:t>ategorised</w:t>
      </w:r>
      <w:r w:rsidR="00726D85">
        <w:rPr>
          <w:bCs/>
        </w:rPr>
        <w:t xml:space="preserve"> according to asset type and provided </w:t>
      </w:r>
      <w:r w:rsidR="00A943D6">
        <w:rPr>
          <w:bCs/>
        </w:rPr>
        <w:t>both on an aggregate basis and on a per counterparty and per product type basis if available</w:t>
      </w:r>
      <w:r>
        <w:rPr>
          <w:bCs/>
        </w:rPr>
        <w:t>.</w:t>
      </w:r>
    </w:p>
    <w:p w14:paraId="33E84851" w14:textId="79C9C8EC" w:rsidR="000438E9" w:rsidRDefault="000438E9" w:rsidP="000438E9">
      <w:pPr>
        <w:pStyle w:val="LI-BodyTextNumbered"/>
        <w:keepNext/>
        <w:numPr>
          <w:ilvl w:val="0"/>
          <w:numId w:val="21"/>
        </w:numPr>
        <w:rPr>
          <w:bCs/>
        </w:rPr>
      </w:pPr>
      <w:r>
        <w:rPr>
          <w:bCs/>
        </w:rPr>
        <w:t>Paragraph 6(b)(</w:t>
      </w:r>
      <w:r w:rsidR="0039240D">
        <w:rPr>
          <w:bCs/>
        </w:rPr>
        <w:t>vi</w:t>
      </w:r>
      <w:r>
        <w:rPr>
          <w:bCs/>
        </w:rPr>
        <w:t xml:space="preserve">) of the Instrument provides that a Pilot Participant giving an Opt-In Notice to ASIC has to include information about the technology to be used in the operation of the use case platform in the Opt-In Notice. ASIC considers that information about the technology to be used in the operation of the use case platform would include information about the settlement model utilised by the Pilot Participant in their use case platform. </w:t>
      </w:r>
    </w:p>
    <w:p w14:paraId="712B2004" w14:textId="77777777" w:rsidR="007B0471" w:rsidRDefault="007B0471" w:rsidP="007B0471">
      <w:pPr>
        <w:pStyle w:val="LI-BodyTextNumbered"/>
        <w:keepNext/>
        <w:ind w:left="0" w:firstLine="0"/>
        <w:rPr>
          <w:b/>
          <w:i/>
          <w:iCs/>
        </w:rPr>
      </w:pPr>
      <w:r w:rsidRPr="007B0471">
        <w:rPr>
          <w:b/>
          <w:i/>
          <w:iCs/>
        </w:rPr>
        <w:t>Conditions</w:t>
      </w:r>
    </w:p>
    <w:p w14:paraId="1E783C6E" w14:textId="77777777" w:rsidR="007B0471" w:rsidRPr="007B0471" w:rsidRDefault="007B0471" w:rsidP="007B0471">
      <w:pPr>
        <w:pStyle w:val="LI-BodyTextNumbered"/>
        <w:keepNext/>
        <w:numPr>
          <w:ilvl w:val="0"/>
          <w:numId w:val="21"/>
        </w:numPr>
        <w:rPr>
          <w:bCs/>
        </w:rPr>
      </w:pPr>
      <w:r>
        <w:rPr>
          <w:bCs/>
        </w:rPr>
        <w:t xml:space="preserve">Section 7 of the Instrument provides the conditions that a Pilot Participant relying on the exemption in section 5 </w:t>
      </w:r>
      <w:r w:rsidR="008C271A">
        <w:rPr>
          <w:bCs/>
        </w:rPr>
        <w:t xml:space="preserve">of the Instrument </w:t>
      </w:r>
      <w:r>
        <w:rPr>
          <w:bCs/>
        </w:rPr>
        <w:t>must comply with.</w:t>
      </w:r>
    </w:p>
    <w:p w14:paraId="05B30EEC" w14:textId="77777777" w:rsidR="007B0471" w:rsidRDefault="007B0471" w:rsidP="007B0471">
      <w:pPr>
        <w:pStyle w:val="LI-BodyTextNumbered"/>
        <w:keepNext/>
        <w:ind w:left="0" w:firstLine="0"/>
        <w:rPr>
          <w:bCs/>
          <w:i/>
          <w:iCs/>
        </w:rPr>
      </w:pPr>
      <w:r>
        <w:rPr>
          <w:bCs/>
          <w:i/>
          <w:iCs/>
        </w:rPr>
        <w:t>Information to be given to new users</w:t>
      </w:r>
    </w:p>
    <w:p w14:paraId="415027BC" w14:textId="77777777" w:rsidR="00D031F1" w:rsidRDefault="001343C5" w:rsidP="00D031F1">
      <w:pPr>
        <w:pStyle w:val="LI-BodyTextNumbered"/>
        <w:keepNext/>
        <w:numPr>
          <w:ilvl w:val="0"/>
          <w:numId w:val="21"/>
        </w:numPr>
        <w:rPr>
          <w:bCs/>
        </w:rPr>
      </w:pPr>
      <w:r>
        <w:rPr>
          <w:bCs/>
        </w:rPr>
        <w:t>Subsection 7(1) of the Instrument provides that before allowing a participant to access the use case platform for the first time, the Pilot Participant must notify the participant in writing of the following:</w:t>
      </w:r>
    </w:p>
    <w:p w14:paraId="3B113362" w14:textId="77777777" w:rsidR="001343C5" w:rsidRDefault="001343C5" w:rsidP="001343C5">
      <w:pPr>
        <w:pStyle w:val="LI-BodyTextNumbered"/>
        <w:keepNext/>
        <w:numPr>
          <w:ilvl w:val="1"/>
          <w:numId w:val="21"/>
        </w:numPr>
        <w:rPr>
          <w:bCs/>
        </w:rPr>
      </w:pPr>
      <w:r>
        <w:rPr>
          <w:bCs/>
        </w:rPr>
        <w:t>the use case platform is covered by an exemption under section 820C of the Act;</w:t>
      </w:r>
    </w:p>
    <w:p w14:paraId="1DED1982" w14:textId="77777777" w:rsidR="001343C5" w:rsidRDefault="001343C5" w:rsidP="001343C5">
      <w:pPr>
        <w:pStyle w:val="LI-BodyTextNumbered"/>
        <w:keepNext/>
        <w:numPr>
          <w:ilvl w:val="1"/>
          <w:numId w:val="21"/>
        </w:numPr>
        <w:rPr>
          <w:bCs/>
        </w:rPr>
      </w:pPr>
      <w:r>
        <w:rPr>
          <w:bCs/>
        </w:rPr>
        <w:t>the Pilot Participant operating the use case platform is not licensed under Part 7.3 of the Act;</w:t>
      </w:r>
    </w:p>
    <w:p w14:paraId="2BF86113" w14:textId="77777777" w:rsidR="001343C5" w:rsidRDefault="001343C5" w:rsidP="001343C5">
      <w:pPr>
        <w:pStyle w:val="LI-BodyTextNumbered"/>
        <w:keepNext/>
        <w:numPr>
          <w:ilvl w:val="1"/>
          <w:numId w:val="21"/>
        </w:numPr>
        <w:rPr>
          <w:bCs/>
        </w:rPr>
      </w:pPr>
      <w:r>
        <w:rPr>
          <w:bCs/>
        </w:rPr>
        <w:t xml:space="preserve">the Pilot Participant operating the use case platform is not subject to the legal obligations that apply to the operator of a licensed clearing and settlement facility, including the requirement, to the extent that it is </w:t>
      </w:r>
      <w:r w:rsidR="002005C4">
        <w:rPr>
          <w:bCs/>
        </w:rPr>
        <w:lastRenderedPageBreak/>
        <w:t>reasonably</w:t>
      </w:r>
      <w:r>
        <w:rPr>
          <w:bCs/>
        </w:rPr>
        <w:t xml:space="preserve"> practicable to do so, to do all things to ensure that the facility’s services are provided in a fair and effective way.</w:t>
      </w:r>
    </w:p>
    <w:p w14:paraId="72B0EF5D" w14:textId="77777777" w:rsidR="00D031F1" w:rsidRDefault="00D031F1" w:rsidP="00D031F1">
      <w:pPr>
        <w:pStyle w:val="LI-BodyTextNumbered"/>
        <w:keepNext/>
        <w:ind w:left="0" w:firstLine="0"/>
        <w:rPr>
          <w:bCs/>
          <w:i/>
          <w:iCs/>
        </w:rPr>
      </w:pPr>
      <w:r>
        <w:rPr>
          <w:bCs/>
          <w:i/>
          <w:iCs/>
        </w:rPr>
        <w:t>ASIC to be informed of changes to use case platform</w:t>
      </w:r>
    </w:p>
    <w:p w14:paraId="08DBBE58" w14:textId="4D2DF4B4" w:rsidR="00D031F1" w:rsidRDefault="00DE0BA4" w:rsidP="00D031F1">
      <w:pPr>
        <w:pStyle w:val="LI-BodyTextNumbered"/>
        <w:keepNext/>
        <w:numPr>
          <w:ilvl w:val="0"/>
          <w:numId w:val="21"/>
        </w:numPr>
        <w:rPr>
          <w:bCs/>
        </w:rPr>
      </w:pPr>
      <w:r>
        <w:rPr>
          <w:bCs/>
        </w:rPr>
        <w:t xml:space="preserve">Subsection 7(2) of the Instrument provides that the Pilot Participant must inform ASIC, by notice in writing, of any material change to the operation of the use case platform that is </w:t>
      </w:r>
      <w:r w:rsidR="002005C4">
        <w:rPr>
          <w:bCs/>
        </w:rPr>
        <w:t xml:space="preserve">set out in the Opt-In Notice or in a notice under this section at least </w:t>
      </w:r>
      <w:r w:rsidR="00B552DE">
        <w:rPr>
          <w:bCs/>
        </w:rPr>
        <w:t xml:space="preserve">5 </w:t>
      </w:r>
      <w:r w:rsidR="002005C4">
        <w:rPr>
          <w:bCs/>
        </w:rPr>
        <w:t>business days before the change occurs.</w:t>
      </w:r>
    </w:p>
    <w:p w14:paraId="7121FDAC" w14:textId="77777777" w:rsidR="00D031F1" w:rsidRDefault="00D031F1" w:rsidP="00D031F1">
      <w:pPr>
        <w:pStyle w:val="LI-BodyTextNumbered"/>
        <w:keepNext/>
        <w:ind w:left="0" w:firstLine="0"/>
        <w:rPr>
          <w:bCs/>
          <w:i/>
          <w:iCs/>
        </w:rPr>
      </w:pPr>
      <w:r>
        <w:rPr>
          <w:bCs/>
          <w:i/>
          <w:iCs/>
        </w:rPr>
        <w:t>Notifying ASIC about non-compliance with conditions</w:t>
      </w:r>
    </w:p>
    <w:p w14:paraId="400DA92B" w14:textId="77777777" w:rsidR="00D031F1" w:rsidRPr="00D031F1" w:rsidRDefault="002005C4" w:rsidP="00D031F1">
      <w:pPr>
        <w:pStyle w:val="LI-BodyTextNumbered"/>
        <w:keepNext/>
        <w:numPr>
          <w:ilvl w:val="0"/>
          <w:numId w:val="21"/>
        </w:numPr>
        <w:rPr>
          <w:bCs/>
        </w:rPr>
      </w:pPr>
      <w:r>
        <w:rPr>
          <w:bCs/>
        </w:rPr>
        <w:t>Subsection 7(3) of the Instrument provides that the Pilot Participant must notify ASIC in writing if the Pilot Participant fails to comply with any of the conditions in the Instrument. The Pilot Participant must notify ASIC as soon as practicable after the Pilot Participant becomes aware of the failure.</w:t>
      </w:r>
    </w:p>
    <w:p w14:paraId="671FAFDC" w14:textId="77777777" w:rsidR="00D031F1" w:rsidRDefault="00D031F1" w:rsidP="00D031F1">
      <w:pPr>
        <w:pStyle w:val="LI-BodyTextNumbered"/>
        <w:keepNext/>
        <w:ind w:left="0" w:firstLine="0"/>
        <w:rPr>
          <w:bCs/>
          <w:i/>
          <w:iCs/>
        </w:rPr>
      </w:pPr>
      <w:r>
        <w:rPr>
          <w:bCs/>
          <w:i/>
          <w:iCs/>
        </w:rPr>
        <w:t>Assistance to ASIC and the RBA</w:t>
      </w:r>
    </w:p>
    <w:p w14:paraId="45AA7193" w14:textId="77777777" w:rsidR="00D031F1" w:rsidRPr="00D031F1" w:rsidRDefault="002005C4" w:rsidP="00D031F1">
      <w:pPr>
        <w:pStyle w:val="LI-BodyTextNumbered"/>
        <w:keepNext/>
        <w:numPr>
          <w:ilvl w:val="0"/>
          <w:numId w:val="21"/>
        </w:numPr>
        <w:rPr>
          <w:bCs/>
        </w:rPr>
      </w:pPr>
      <w:r>
        <w:rPr>
          <w:bCs/>
        </w:rPr>
        <w:t>Subsection 7(4) of the Instrument provides that the Pilot Participant must comply with sections 821C and 821D of the Act in relation to the use case platform as if the Pilot Participant held an Australian CS facility licence that authorised the Pilot Participant to operate the use case platform in this jurisdiction.</w:t>
      </w:r>
    </w:p>
    <w:p w14:paraId="36D3E866" w14:textId="77777777" w:rsidR="00D031F1" w:rsidRDefault="00D031F1" w:rsidP="00D031F1">
      <w:pPr>
        <w:pStyle w:val="LI-BodyTextNumbered"/>
        <w:keepNext/>
        <w:ind w:left="0" w:firstLine="0"/>
        <w:rPr>
          <w:bCs/>
          <w:i/>
          <w:iCs/>
        </w:rPr>
      </w:pPr>
      <w:r>
        <w:rPr>
          <w:bCs/>
          <w:i/>
          <w:iCs/>
        </w:rPr>
        <w:t>Report to ASIC</w:t>
      </w:r>
    </w:p>
    <w:p w14:paraId="7A875C48" w14:textId="77777777" w:rsidR="004527DE" w:rsidRDefault="00791FA0" w:rsidP="004527DE">
      <w:pPr>
        <w:pStyle w:val="LI-BodyTextNumbered"/>
        <w:keepNext/>
        <w:numPr>
          <w:ilvl w:val="0"/>
          <w:numId w:val="21"/>
        </w:numPr>
        <w:rPr>
          <w:bCs/>
        </w:rPr>
      </w:pPr>
      <w:r>
        <w:rPr>
          <w:bCs/>
        </w:rPr>
        <w:t>Subsection 7(5) of the Instrument provides that the Pilot Participant must provide a written report to ASIC, within 30 days after the conclusion of the CBDC Pilot, which sets out the operation of the use case platform in the CBDC Pilot, including information in relation to:</w:t>
      </w:r>
    </w:p>
    <w:p w14:paraId="35EC1E15" w14:textId="77777777" w:rsidR="00791FA0" w:rsidRDefault="00791FA0" w:rsidP="00791FA0">
      <w:pPr>
        <w:pStyle w:val="LI-BodyTextNumbered"/>
        <w:keepNext/>
        <w:numPr>
          <w:ilvl w:val="1"/>
          <w:numId w:val="21"/>
        </w:numPr>
        <w:rPr>
          <w:bCs/>
        </w:rPr>
      </w:pPr>
      <w:r>
        <w:rPr>
          <w:bCs/>
        </w:rPr>
        <w:t>the activities undertaken on the use case platform, including the total number and total value of transactions entered into on the use case platform; and</w:t>
      </w:r>
    </w:p>
    <w:p w14:paraId="3E4AE312" w14:textId="77777777" w:rsidR="00791FA0" w:rsidRDefault="00791FA0" w:rsidP="00791FA0">
      <w:pPr>
        <w:pStyle w:val="LI-BodyTextNumbered"/>
        <w:keepNext/>
        <w:numPr>
          <w:ilvl w:val="1"/>
          <w:numId w:val="21"/>
        </w:numPr>
        <w:rPr>
          <w:bCs/>
        </w:rPr>
      </w:pPr>
      <w:r>
        <w:rPr>
          <w:bCs/>
        </w:rPr>
        <w:t>any divergences during the CBDC Pilot between the planned and actual activities undertaken on the use case platform; and</w:t>
      </w:r>
    </w:p>
    <w:p w14:paraId="59F60267" w14:textId="77777777" w:rsidR="00791FA0" w:rsidRDefault="00791FA0" w:rsidP="00791FA0">
      <w:pPr>
        <w:pStyle w:val="LI-BodyTextNumbered"/>
        <w:keepNext/>
        <w:numPr>
          <w:ilvl w:val="1"/>
          <w:numId w:val="21"/>
        </w:numPr>
        <w:rPr>
          <w:bCs/>
        </w:rPr>
      </w:pPr>
      <w:r>
        <w:rPr>
          <w:bCs/>
        </w:rPr>
        <w:t>the clearing and settlement performance, including any failures or delays in settlement on the use case platform in the CBDC Pilot.</w:t>
      </w:r>
    </w:p>
    <w:p w14:paraId="4DC71397" w14:textId="77777777" w:rsidR="00B56230" w:rsidRDefault="00B56230" w:rsidP="005D5451">
      <w:pPr>
        <w:pStyle w:val="LI-BodyTextNumbered"/>
        <w:keepNext/>
        <w:numPr>
          <w:ilvl w:val="0"/>
          <w:numId w:val="21"/>
        </w:numPr>
        <w:rPr>
          <w:bCs/>
        </w:rPr>
      </w:pPr>
      <w:r>
        <w:rPr>
          <w:bCs/>
        </w:rPr>
        <w:t xml:space="preserve">Paragraph 7(5)(c) of the Instrument provides that the written report provided by the Pilot Participant to ASIC under subsection 7(5) would include information in relation to the clearing and settlement performance, including any failures or delays in settlement on the use case platform in the CBDC Pilot. We consider </w:t>
      </w:r>
      <w:r>
        <w:rPr>
          <w:bCs/>
        </w:rPr>
        <w:lastRenderedPageBreak/>
        <w:t xml:space="preserve">that failures would include settlement failures or settlement delays caused by participants on the use case platform. </w:t>
      </w:r>
    </w:p>
    <w:p w14:paraId="69477074" w14:textId="77777777" w:rsidR="005D5451" w:rsidRDefault="005D5451" w:rsidP="005D5451">
      <w:pPr>
        <w:pStyle w:val="LI-BodyTextNumbered"/>
        <w:keepNext/>
        <w:numPr>
          <w:ilvl w:val="0"/>
          <w:numId w:val="21"/>
        </w:numPr>
        <w:rPr>
          <w:bCs/>
        </w:rPr>
      </w:pPr>
      <w:r>
        <w:rPr>
          <w:bCs/>
        </w:rPr>
        <w:t xml:space="preserve">ASIC intends to provide this written report to the RBA under paragraph 127(2A)(d) of the </w:t>
      </w:r>
      <w:r w:rsidRPr="000269D3">
        <w:rPr>
          <w:bCs/>
          <w:i/>
          <w:iCs/>
        </w:rPr>
        <w:t>Australian Securities and Investments Commission Act 2001</w:t>
      </w:r>
      <w:r>
        <w:rPr>
          <w:bCs/>
        </w:rPr>
        <w:t xml:space="preserve">. </w:t>
      </w:r>
    </w:p>
    <w:p w14:paraId="74B201DB" w14:textId="77777777" w:rsidR="004527DE" w:rsidRDefault="004527DE" w:rsidP="004527DE">
      <w:pPr>
        <w:pStyle w:val="LI-BodyTextNumbered"/>
        <w:keepNext/>
        <w:ind w:left="0" w:firstLine="0"/>
        <w:rPr>
          <w:b/>
        </w:rPr>
      </w:pPr>
      <w:r>
        <w:rPr>
          <w:b/>
        </w:rPr>
        <w:t>Part 3 – Repeal</w:t>
      </w:r>
    </w:p>
    <w:p w14:paraId="6BFE2817" w14:textId="77777777" w:rsidR="004527DE" w:rsidRPr="00CE2FC0" w:rsidRDefault="004527DE" w:rsidP="00CE2FC0">
      <w:pPr>
        <w:pStyle w:val="LI-BodyTextNumbered"/>
        <w:keepNext/>
        <w:numPr>
          <w:ilvl w:val="0"/>
          <w:numId w:val="21"/>
        </w:numPr>
        <w:rPr>
          <w:bCs/>
        </w:rPr>
      </w:pPr>
      <w:r>
        <w:rPr>
          <w:bCs/>
        </w:rPr>
        <w:t>Section 8 of the Instrument provides that the Instrument is repealed at the start of 1 June 2023.</w:t>
      </w:r>
    </w:p>
    <w:p w14:paraId="1054EC2D" w14:textId="77777777" w:rsidR="00C52E7C" w:rsidRPr="006D6079" w:rsidRDefault="00C52E7C" w:rsidP="006D6079">
      <w:pPr>
        <w:pStyle w:val="LI-BodyTextParaa"/>
        <w:keepNext/>
        <w:ind w:left="567"/>
        <w:rPr>
          <w:b/>
          <w:bCs/>
        </w:rPr>
      </w:pPr>
      <w:r w:rsidRPr="006D6079">
        <w:rPr>
          <w:b/>
          <w:bCs/>
        </w:rPr>
        <w:t xml:space="preserve">Legislative instrument </w:t>
      </w:r>
      <w:r w:rsidR="00610709" w:rsidRPr="006D6079">
        <w:rPr>
          <w:b/>
          <w:bCs/>
        </w:rPr>
        <w:t xml:space="preserve">and </w:t>
      </w:r>
      <w:r w:rsidRPr="006D6079">
        <w:rPr>
          <w:b/>
          <w:bCs/>
        </w:rPr>
        <w:t xml:space="preserve">primary legislation  </w:t>
      </w:r>
    </w:p>
    <w:p w14:paraId="6C6D4F03" w14:textId="2A00A50E" w:rsidR="00C52E7C" w:rsidRDefault="00C52E7C" w:rsidP="00024D81">
      <w:pPr>
        <w:pStyle w:val="LI-BodyTextParaa"/>
        <w:numPr>
          <w:ilvl w:val="0"/>
          <w:numId w:val="21"/>
        </w:numPr>
      </w:pPr>
      <w:r>
        <w:t xml:space="preserve">The </w:t>
      </w:r>
      <w:r w:rsidR="00ED796D">
        <w:t xml:space="preserve">subject matter and </w:t>
      </w:r>
      <w:r>
        <w:t xml:space="preserve">policy implemented by this </w:t>
      </w:r>
      <w:r w:rsidR="00EE7746">
        <w:t xml:space="preserve">Instrument </w:t>
      </w:r>
      <w:r>
        <w:t xml:space="preserve">is more appropriate for </w:t>
      </w:r>
      <w:r w:rsidR="00ED796D">
        <w:t>a legislative instrument rather than primary legislation because:</w:t>
      </w:r>
    </w:p>
    <w:p w14:paraId="387D1B5A" w14:textId="75C8D157" w:rsidR="00F46947" w:rsidRDefault="00F46947" w:rsidP="001E7E2B">
      <w:pPr>
        <w:pStyle w:val="LI-BodyTextParaa"/>
        <w:ind w:left="1134"/>
      </w:pPr>
      <w:r w:rsidRPr="00F46947">
        <w:t>(</w:t>
      </w:r>
      <w:r w:rsidR="00FA47D1">
        <w:t>a</w:t>
      </w:r>
      <w:r w:rsidRPr="00F46947">
        <w:t>)</w:t>
      </w:r>
      <w:r w:rsidRPr="00F46947">
        <w:tab/>
      </w:r>
      <w:r w:rsidR="006442B4">
        <w:t>The matters contained in the Instrument only affect a relatively small subset of entities</w:t>
      </w:r>
      <w:r w:rsidR="00314E7C">
        <w:t>, namely those participating in the CBDC Pilot</w:t>
      </w:r>
      <w:r w:rsidR="006442B4">
        <w:t xml:space="preserve">. The Instrument provides administrative relief in circumstances where strict compliance with the primary legislation produces a significant regulatory burden. On this basis, it is appropriate for the delegate of the Minister to provide exemptive relief, as the matters contained in this particular instrument are of a highly specific </w:t>
      </w:r>
      <w:r w:rsidR="00314E7C">
        <w:t xml:space="preserve">and temporary </w:t>
      </w:r>
      <w:r w:rsidR="006442B4">
        <w:t>nature which are more appropriate for a legislative instrument rather than primary legislation.</w:t>
      </w:r>
    </w:p>
    <w:p w14:paraId="3A2C7898" w14:textId="3413ECD8" w:rsidR="00C52E7C" w:rsidRDefault="00F46947" w:rsidP="006D6079">
      <w:pPr>
        <w:pStyle w:val="LI-BodyTextParaa"/>
        <w:ind w:left="1134"/>
      </w:pPr>
      <w:r w:rsidRPr="00F46947">
        <w:t>(</w:t>
      </w:r>
      <w:r w:rsidR="00FA47D1">
        <w:t>b</w:t>
      </w:r>
      <w:r w:rsidRPr="00F46947">
        <w:t>)</w:t>
      </w:r>
      <w:r w:rsidRPr="00F46947">
        <w:tab/>
        <w:t xml:space="preserve">There is a need to move more quickly than Parliamentary processes allow </w:t>
      </w:r>
      <w:r w:rsidR="00DE3033">
        <w:t>due to the timeline of the CBDC Pilot.</w:t>
      </w:r>
    </w:p>
    <w:p w14:paraId="571B3F5A" w14:textId="77777777" w:rsidR="005D1770" w:rsidRDefault="00F61A66" w:rsidP="00F61A66">
      <w:pPr>
        <w:pStyle w:val="LI-BodyTextParaa"/>
        <w:keepNext/>
        <w:ind w:left="567"/>
        <w:rPr>
          <w:u w:val="single"/>
        </w:rPr>
      </w:pPr>
      <w:r w:rsidRPr="006D6079">
        <w:rPr>
          <w:b/>
          <w:bCs/>
        </w:rPr>
        <w:t>Duration</w:t>
      </w:r>
      <w:r w:rsidR="009A2319" w:rsidRPr="006D6079">
        <w:rPr>
          <w:b/>
          <w:bCs/>
        </w:rPr>
        <w:t xml:space="preserve"> of the instrument</w:t>
      </w:r>
      <w:r>
        <w:rPr>
          <w:u w:val="single"/>
        </w:rPr>
        <w:t xml:space="preserve"> </w:t>
      </w:r>
    </w:p>
    <w:p w14:paraId="4B5A3B42" w14:textId="5B2FABD9" w:rsidR="00F61A66" w:rsidRPr="0063486C" w:rsidRDefault="0063486C" w:rsidP="000269D3">
      <w:pPr>
        <w:pStyle w:val="LI-BodyTextParaa"/>
        <w:numPr>
          <w:ilvl w:val="0"/>
          <w:numId w:val="21"/>
        </w:numPr>
      </w:pPr>
      <w:r>
        <w:t xml:space="preserve">The Instrument is repealed at the start of 1 June 2023, by section 8 of the Instrument. </w:t>
      </w:r>
    </w:p>
    <w:p w14:paraId="69A0DE53" w14:textId="77777777" w:rsidR="00281E6C" w:rsidRDefault="00B3464E" w:rsidP="000269D3">
      <w:pPr>
        <w:pStyle w:val="LI-BodyTextParaa"/>
        <w:numPr>
          <w:ilvl w:val="0"/>
          <w:numId w:val="21"/>
        </w:numPr>
      </w:pPr>
      <w:r>
        <w:t xml:space="preserve">ASIC considers that the short duration of the Instrument is appropriate as the Instrument is intended to provide relief for the duration of the CBDC Pilot. </w:t>
      </w:r>
    </w:p>
    <w:p w14:paraId="5FA02B77" w14:textId="5B99E4AF" w:rsidR="009A2319" w:rsidRPr="00B3464E" w:rsidRDefault="00281E6C" w:rsidP="000269D3">
      <w:pPr>
        <w:pStyle w:val="LI-BodyTextParaa"/>
        <w:numPr>
          <w:ilvl w:val="0"/>
          <w:numId w:val="21"/>
        </w:numPr>
      </w:pPr>
      <w:r>
        <w:t xml:space="preserve">ASIC will consider </w:t>
      </w:r>
      <w:r w:rsidR="001E167D">
        <w:t xml:space="preserve">whether to extend the operation of the </w:t>
      </w:r>
      <w:r w:rsidR="00794470">
        <w:t>I</w:t>
      </w:r>
      <w:r w:rsidR="001E167D">
        <w:t>nstrument</w:t>
      </w:r>
      <w:r w:rsidR="004C2399">
        <w:t xml:space="preserve"> if ASIC is advised of changes to the duration of the CBDC Pilot</w:t>
      </w:r>
      <w:r w:rsidR="001E167D">
        <w:t xml:space="preserve">. </w:t>
      </w:r>
      <w:r w:rsidR="00717A4B">
        <w:tab/>
      </w:r>
    </w:p>
    <w:bookmarkEnd w:id="1"/>
    <w:p w14:paraId="1EB061EE" w14:textId="77777777" w:rsidR="00F03BB5" w:rsidRDefault="00474B52" w:rsidP="006D6079">
      <w:pPr>
        <w:pStyle w:val="LI-BodyTextNumbered"/>
        <w:keepNext/>
        <w:ind w:left="0" w:firstLine="0"/>
        <w:rPr>
          <w:b/>
        </w:rPr>
      </w:pPr>
      <w:r>
        <w:rPr>
          <w:b/>
        </w:rPr>
        <w:t>Legislative authority</w:t>
      </w:r>
    </w:p>
    <w:p w14:paraId="47E7F319" w14:textId="7336BDEC" w:rsidR="00EC3EA3" w:rsidRDefault="003A7639" w:rsidP="00EC3EA3">
      <w:pPr>
        <w:pStyle w:val="LI-BodyTextParaa"/>
        <w:numPr>
          <w:ilvl w:val="0"/>
          <w:numId w:val="21"/>
        </w:numPr>
      </w:pPr>
      <w:r>
        <w:t>The delegate of the Minister</w:t>
      </w:r>
      <w:r w:rsidR="0057349B">
        <w:t xml:space="preserve"> makes the Instrument under subsection 820C(1) of the Act. Under subsection 820C(1) of the Act, the Minister may exempt a particular clearing and settlement facility, or class of clearing and settlement facilities, from all or specified provisions of Part 7.3 of the Act. </w:t>
      </w:r>
    </w:p>
    <w:p w14:paraId="4771D7D6" w14:textId="06ACEE30" w:rsidR="00314E7C" w:rsidRPr="000269D3" w:rsidRDefault="00314E7C" w:rsidP="000269D3">
      <w:pPr>
        <w:pStyle w:val="NormalWeb"/>
        <w:numPr>
          <w:ilvl w:val="0"/>
          <w:numId w:val="21"/>
        </w:numPr>
        <w:rPr>
          <w:color w:val="000000"/>
        </w:rPr>
      </w:pPr>
      <w:r w:rsidRPr="000269D3">
        <w:rPr>
          <w:color w:val="000000"/>
        </w:rPr>
        <w:t>An exemption may apply unconditionally or subject to specified conditions, and a person to whom a condition specified in an exemption applies must comply with the condition (see subsection 992B(3) of the Act).</w:t>
      </w:r>
    </w:p>
    <w:p w14:paraId="7571F9EA" w14:textId="333A646E" w:rsidR="00435EEF" w:rsidRPr="00D01DB9" w:rsidRDefault="00D01DB9" w:rsidP="000269D3">
      <w:pPr>
        <w:pStyle w:val="LI-BodyTextParaa"/>
        <w:numPr>
          <w:ilvl w:val="0"/>
          <w:numId w:val="21"/>
        </w:numPr>
      </w:pPr>
      <w:r>
        <w:t xml:space="preserve">This legislative instrument is disallowable under section 42 of the </w:t>
      </w:r>
      <w:r>
        <w:rPr>
          <w:i/>
          <w:iCs/>
        </w:rPr>
        <w:t>Legislation Act 2003</w:t>
      </w:r>
      <w:r>
        <w:t>.</w:t>
      </w:r>
    </w:p>
    <w:p w14:paraId="308D89A8" w14:textId="77777777" w:rsidR="00EA17A6" w:rsidRPr="00EA17A6" w:rsidRDefault="00EA17A6" w:rsidP="006D6079">
      <w:pPr>
        <w:pStyle w:val="LI-BodyTextNumbered"/>
        <w:keepNext/>
        <w:ind w:left="0" w:firstLine="0"/>
        <w:rPr>
          <w:b/>
        </w:rPr>
      </w:pPr>
      <w:r w:rsidRPr="00EA17A6">
        <w:rPr>
          <w:b/>
        </w:rPr>
        <w:lastRenderedPageBreak/>
        <w:t xml:space="preserve">Statement of Compatibility with Human Rights  </w:t>
      </w:r>
    </w:p>
    <w:p w14:paraId="40E6D16A" w14:textId="77119BEB" w:rsidR="00223DCF" w:rsidRPr="00EA17A6" w:rsidRDefault="00223DCF" w:rsidP="000269D3">
      <w:pPr>
        <w:pStyle w:val="LI-BodyTextParaa"/>
        <w:numPr>
          <w:ilvl w:val="0"/>
          <w:numId w:val="21"/>
        </w:numPr>
      </w:pPr>
      <w:r w:rsidRPr="00EA17A6">
        <w:t xml:space="preserve">The Explanatory Statement for a disallowable legislative instrument must contain a Statement of Compatibility with Human Rights under subsection 9(1) of the </w:t>
      </w:r>
      <w:r w:rsidRPr="00EA17A6">
        <w:rPr>
          <w:i/>
          <w:iCs/>
        </w:rPr>
        <w:t>Human Rights (Parliamentary Scrutiny) Act 2011.</w:t>
      </w:r>
      <w:r w:rsidRPr="00EA17A6">
        <w:rPr>
          <w:iCs/>
        </w:rPr>
        <w:t xml:space="preserve"> </w:t>
      </w:r>
      <w:r w:rsidRPr="00EA17A6">
        <w:t xml:space="preserve">A Statement of Compatibility with Human Rights is in the </w:t>
      </w:r>
      <w:r w:rsidRPr="00EA17A6">
        <w:rPr>
          <w:u w:val="single"/>
        </w:rPr>
        <w:t>Attachment</w:t>
      </w:r>
      <w:r w:rsidRPr="00EA17A6">
        <w:t xml:space="preserve">. </w:t>
      </w:r>
    </w:p>
    <w:p w14:paraId="71FCB21C" w14:textId="77777777" w:rsidR="00223DCF" w:rsidRPr="00EA17A6" w:rsidRDefault="00223DCF" w:rsidP="00223DCF">
      <w:pPr>
        <w:pStyle w:val="LI-BodyTextParaa"/>
        <w:ind w:left="567"/>
        <w:jc w:val="right"/>
        <w:rPr>
          <w:u w:val="single"/>
        </w:rPr>
      </w:pPr>
      <w:r>
        <w:rPr>
          <w:color w:val="FF0000"/>
        </w:rPr>
        <w:br w:type="page"/>
      </w:r>
      <w:r w:rsidRPr="00EA17A6">
        <w:rPr>
          <w:u w:val="single"/>
        </w:rPr>
        <w:lastRenderedPageBreak/>
        <w:t xml:space="preserve">Attachment </w:t>
      </w:r>
    </w:p>
    <w:p w14:paraId="0649DDE0" w14:textId="77777777" w:rsidR="00A15512" w:rsidRPr="00EA17A6" w:rsidRDefault="001E77ED" w:rsidP="00223DCF">
      <w:pPr>
        <w:pStyle w:val="LI-BodyTextParaa"/>
        <w:ind w:left="567"/>
        <w:jc w:val="center"/>
        <w:rPr>
          <w:b/>
          <w:sz w:val="28"/>
          <w:szCs w:val="28"/>
        </w:rPr>
      </w:pPr>
      <w:r w:rsidRPr="00EA17A6">
        <w:rPr>
          <w:b/>
          <w:sz w:val="28"/>
          <w:szCs w:val="28"/>
        </w:rPr>
        <w:t xml:space="preserve">Statement of </w:t>
      </w:r>
      <w:r w:rsidR="00223DCF" w:rsidRPr="00EA17A6">
        <w:rPr>
          <w:b/>
          <w:sz w:val="28"/>
          <w:szCs w:val="28"/>
        </w:rPr>
        <w:t>C</w:t>
      </w:r>
      <w:r w:rsidRPr="00EA17A6">
        <w:rPr>
          <w:b/>
          <w:sz w:val="28"/>
          <w:szCs w:val="28"/>
        </w:rPr>
        <w:t xml:space="preserve">ompatibility with </w:t>
      </w:r>
      <w:r w:rsidR="00223DCF" w:rsidRPr="00EA17A6">
        <w:rPr>
          <w:b/>
          <w:sz w:val="28"/>
          <w:szCs w:val="28"/>
        </w:rPr>
        <w:t>H</w:t>
      </w:r>
      <w:r w:rsidRPr="00EA17A6">
        <w:rPr>
          <w:b/>
          <w:sz w:val="28"/>
          <w:szCs w:val="28"/>
        </w:rPr>
        <w:t xml:space="preserve">uman </w:t>
      </w:r>
      <w:r w:rsidR="00223DCF" w:rsidRPr="00EA17A6">
        <w:rPr>
          <w:b/>
          <w:sz w:val="28"/>
          <w:szCs w:val="28"/>
        </w:rPr>
        <w:t>R</w:t>
      </w:r>
      <w:r w:rsidRPr="00EA17A6">
        <w:rPr>
          <w:b/>
          <w:sz w:val="28"/>
          <w:szCs w:val="28"/>
        </w:rPr>
        <w:t>ights</w:t>
      </w:r>
    </w:p>
    <w:p w14:paraId="5AD19E09" w14:textId="77777777" w:rsidR="00AE787B" w:rsidRPr="00EA17A6" w:rsidRDefault="00AE787B" w:rsidP="00223DCF">
      <w:pPr>
        <w:pStyle w:val="LI-BodyTextNumbered"/>
        <w:ind w:left="0" w:firstLine="0"/>
        <w:rPr>
          <w:iCs/>
        </w:rPr>
      </w:pPr>
      <w:bookmarkStart w:id="2" w:name="_Hlk534286677"/>
    </w:p>
    <w:p w14:paraId="36A899EF" w14:textId="77777777" w:rsidR="00223DCF" w:rsidRPr="00EA17A6" w:rsidRDefault="00223DCF" w:rsidP="00223DCF">
      <w:pPr>
        <w:pStyle w:val="LI-BodyTextNumbered"/>
        <w:ind w:left="0" w:firstLine="0"/>
        <w:rPr>
          <w:iCs/>
        </w:rPr>
      </w:pPr>
      <w:r w:rsidRPr="00EA17A6">
        <w:rPr>
          <w:iCs/>
        </w:rPr>
        <w:t xml:space="preserve">This Statement of Compatibility with Human Rights is prepared in accordance with Part 3 of </w:t>
      </w:r>
      <w:bookmarkStart w:id="3" w:name="_Hlk4054932"/>
      <w:r w:rsidRPr="00EA17A6">
        <w:rPr>
          <w:iCs/>
        </w:rPr>
        <w:t xml:space="preserve">the </w:t>
      </w:r>
      <w:r w:rsidRPr="00EA17A6">
        <w:rPr>
          <w:i/>
          <w:iCs/>
        </w:rPr>
        <w:t>Human Rights (Parliamentary Scrutiny) Act 2011</w:t>
      </w:r>
      <w:bookmarkEnd w:id="3"/>
      <w:r w:rsidRPr="00EA17A6">
        <w:rPr>
          <w:iCs/>
        </w:rPr>
        <w:t xml:space="preserve">.   </w:t>
      </w:r>
    </w:p>
    <w:p w14:paraId="7D26376B" w14:textId="77777777" w:rsidR="00223DCF" w:rsidRPr="00EA17A6" w:rsidRDefault="00854100" w:rsidP="00223DCF">
      <w:pPr>
        <w:pStyle w:val="LI-BodyTextNumbered"/>
        <w:ind w:left="0" w:firstLine="0"/>
        <w:rPr>
          <w:b/>
          <w:i/>
        </w:rPr>
      </w:pPr>
      <w:r w:rsidRPr="00854100">
        <w:rPr>
          <w:b/>
          <w:i/>
        </w:rPr>
        <w:t>Corporations (CS Facility Exemption) Instrument 2023/18</w:t>
      </w:r>
    </w:p>
    <w:p w14:paraId="3E28FCA8" w14:textId="77777777" w:rsidR="00223DCF" w:rsidRPr="00EA17A6" w:rsidRDefault="00223DCF" w:rsidP="001872DC">
      <w:pPr>
        <w:pStyle w:val="LI-BodyTextNumbered"/>
        <w:ind w:left="567"/>
        <w:rPr>
          <w:u w:val="single"/>
        </w:rPr>
      </w:pPr>
      <w:r w:rsidRPr="00EA17A6">
        <w:rPr>
          <w:u w:val="single"/>
        </w:rPr>
        <w:t>Overview</w:t>
      </w:r>
    </w:p>
    <w:p w14:paraId="45718B61" w14:textId="77777777" w:rsidR="00CB2D96" w:rsidRDefault="00CB2D96" w:rsidP="00CB2D96">
      <w:pPr>
        <w:spacing w:before="240" w:line="240" w:lineRule="auto"/>
        <w:ind w:left="567" w:hanging="567"/>
        <w:rPr>
          <w:rFonts w:eastAsia="Times New Roman"/>
          <w:sz w:val="24"/>
          <w:szCs w:val="24"/>
          <w:lang w:eastAsia="en-AU"/>
        </w:rPr>
      </w:pPr>
      <w:r w:rsidRPr="00EA17A6">
        <w:rPr>
          <w:rFonts w:eastAsia="Times New Roman"/>
          <w:sz w:val="24"/>
          <w:szCs w:val="24"/>
          <w:lang w:eastAsia="en-AU"/>
        </w:rPr>
        <w:t>1.</w:t>
      </w:r>
      <w:r w:rsidRPr="00EA17A6">
        <w:rPr>
          <w:rFonts w:eastAsia="Times New Roman"/>
          <w:sz w:val="24"/>
          <w:szCs w:val="24"/>
          <w:lang w:eastAsia="en-AU"/>
        </w:rPr>
        <w:tab/>
      </w:r>
      <w:r w:rsidR="00854100" w:rsidRPr="00854100">
        <w:rPr>
          <w:rFonts w:eastAsia="Times New Roman"/>
          <w:sz w:val="24"/>
          <w:szCs w:val="24"/>
          <w:lang w:eastAsia="en-AU"/>
        </w:rPr>
        <w:t xml:space="preserve">The </w:t>
      </w:r>
      <w:r w:rsidR="00854100">
        <w:rPr>
          <w:rFonts w:eastAsia="Times New Roman"/>
          <w:i/>
          <w:iCs/>
          <w:sz w:val="24"/>
          <w:szCs w:val="24"/>
          <w:lang w:eastAsia="en-AU"/>
        </w:rPr>
        <w:t xml:space="preserve">Corporations (CS Facility Exemption) Instrument 2023/18 </w:t>
      </w:r>
      <w:r w:rsidR="00854100">
        <w:rPr>
          <w:rFonts w:eastAsia="Times New Roman"/>
          <w:sz w:val="24"/>
          <w:szCs w:val="24"/>
          <w:lang w:eastAsia="en-AU"/>
        </w:rPr>
        <w:t xml:space="preserve">(the </w:t>
      </w:r>
      <w:r w:rsidR="00854100" w:rsidRPr="000269D3">
        <w:rPr>
          <w:rFonts w:eastAsia="Times New Roman"/>
          <w:b/>
          <w:bCs/>
          <w:i/>
          <w:iCs/>
          <w:sz w:val="24"/>
          <w:szCs w:val="24"/>
          <w:lang w:eastAsia="en-AU"/>
        </w:rPr>
        <w:t>Instrument</w:t>
      </w:r>
      <w:r w:rsidR="00854100">
        <w:rPr>
          <w:rFonts w:eastAsia="Times New Roman"/>
          <w:sz w:val="24"/>
          <w:szCs w:val="24"/>
          <w:lang w:eastAsia="en-AU"/>
        </w:rPr>
        <w:t xml:space="preserve">) </w:t>
      </w:r>
      <w:r w:rsidR="00854100" w:rsidRPr="00854100">
        <w:rPr>
          <w:rFonts w:eastAsia="Times New Roman"/>
          <w:sz w:val="24"/>
          <w:szCs w:val="24"/>
          <w:lang w:eastAsia="en-AU"/>
        </w:rPr>
        <w:t xml:space="preserve">provides conditional class exemptive relief from the </w:t>
      </w:r>
      <w:r w:rsidR="00854100" w:rsidRPr="000269D3">
        <w:rPr>
          <w:rFonts w:eastAsia="Times New Roman"/>
          <w:i/>
          <w:iCs/>
          <w:sz w:val="24"/>
          <w:szCs w:val="24"/>
          <w:lang w:eastAsia="en-AU"/>
        </w:rPr>
        <w:t>Corporations Act 2001</w:t>
      </w:r>
      <w:r w:rsidR="00854100" w:rsidRPr="00854100">
        <w:rPr>
          <w:rFonts w:eastAsia="Times New Roman"/>
          <w:sz w:val="24"/>
          <w:szCs w:val="24"/>
          <w:lang w:eastAsia="en-AU"/>
        </w:rPr>
        <w:t xml:space="preserve"> (the </w:t>
      </w:r>
      <w:r w:rsidR="00854100" w:rsidRPr="000269D3">
        <w:rPr>
          <w:rFonts w:eastAsia="Times New Roman"/>
          <w:b/>
          <w:bCs/>
          <w:i/>
          <w:iCs/>
          <w:sz w:val="24"/>
          <w:szCs w:val="24"/>
          <w:lang w:eastAsia="en-AU"/>
        </w:rPr>
        <w:t>Act</w:t>
      </w:r>
      <w:r w:rsidR="00854100" w:rsidRPr="00854100">
        <w:rPr>
          <w:rFonts w:eastAsia="Times New Roman"/>
          <w:sz w:val="24"/>
          <w:szCs w:val="24"/>
          <w:lang w:eastAsia="en-AU"/>
        </w:rPr>
        <w:t>) with respect to the requirement to hold an Australian CS facility licence under Part 7.3 of the Act, for pilot participants operating a use case platform in the central bank digital currency pilot project (</w:t>
      </w:r>
      <w:r w:rsidR="00854100" w:rsidRPr="000269D3">
        <w:rPr>
          <w:rFonts w:eastAsia="Times New Roman"/>
          <w:b/>
          <w:bCs/>
          <w:i/>
          <w:iCs/>
          <w:sz w:val="24"/>
          <w:szCs w:val="24"/>
          <w:lang w:eastAsia="en-AU"/>
        </w:rPr>
        <w:t>CBDC Pilot</w:t>
      </w:r>
      <w:r w:rsidR="00854100" w:rsidRPr="00854100">
        <w:rPr>
          <w:rFonts w:eastAsia="Times New Roman"/>
          <w:sz w:val="24"/>
          <w:szCs w:val="24"/>
          <w:lang w:eastAsia="en-AU"/>
        </w:rPr>
        <w:t>) administered by the Reserve Bank of Australia (</w:t>
      </w:r>
      <w:r w:rsidR="00854100" w:rsidRPr="000269D3">
        <w:rPr>
          <w:rFonts w:eastAsia="Times New Roman"/>
          <w:b/>
          <w:bCs/>
          <w:i/>
          <w:iCs/>
          <w:sz w:val="24"/>
          <w:szCs w:val="24"/>
          <w:lang w:eastAsia="en-AU"/>
        </w:rPr>
        <w:t>RBA</w:t>
      </w:r>
      <w:r w:rsidR="00854100" w:rsidRPr="00854100">
        <w:rPr>
          <w:rFonts w:eastAsia="Times New Roman"/>
          <w:sz w:val="24"/>
          <w:szCs w:val="24"/>
          <w:lang w:eastAsia="en-AU"/>
        </w:rPr>
        <w:t>) and the Digital Finance Cooperative Research Centre (</w:t>
      </w:r>
      <w:r w:rsidR="00854100" w:rsidRPr="000269D3">
        <w:rPr>
          <w:rFonts w:eastAsia="Times New Roman"/>
          <w:b/>
          <w:bCs/>
          <w:i/>
          <w:iCs/>
          <w:sz w:val="24"/>
          <w:szCs w:val="24"/>
          <w:lang w:eastAsia="en-AU"/>
        </w:rPr>
        <w:t>DFCRC</w:t>
      </w:r>
      <w:r w:rsidR="00854100" w:rsidRPr="00854100">
        <w:rPr>
          <w:rFonts w:eastAsia="Times New Roman"/>
          <w:sz w:val="24"/>
          <w:szCs w:val="24"/>
          <w:lang w:eastAsia="en-AU"/>
        </w:rPr>
        <w:t>).</w:t>
      </w:r>
    </w:p>
    <w:p w14:paraId="2FFCD39E" w14:textId="77777777" w:rsidR="00854100" w:rsidRPr="00854100" w:rsidRDefault="00854100" w:rsidP="00854100">
      <w:pPr>
        <w:spacing w:before="240" w:line="240" w:lineRule="auto"/>
        <w:ind w:left="567" w:hanging="567"/>
        <w:rPr>
          <w:rFonts w:eastAsia="Times New Roman"/>
          <w:sz w:val="24"/>
          <w:szCs w:val="24"/>
          <w:lang w:eastAsia="en-AU"/>
        </w:rPr>
      </w:pPr>
      <w:r w:rsidRPr="00854100">
        <w:rPr>
          <w:rFonts w:eastAsia="Times New Roman"/>
          <w:sz w:val="24"/>
          <w:szCs w:val="24"/>
          <w:lang w:eastAsia="en-AU"/>
        </w:rPr>
        <w:t>2.</w:t>
      </w:r>
      <w:r w:rsidRPr="00854100">
        <w:rPr>
          <w:rFonts w:eastAsia="Times New Roman"/>
          <w:sz w:val="24"/>
          <w:szCs w:val="24"/>
          <w:lang w:eastAsia="en-AU"/>
        </w:rPr>
        <w:tab/>
        <w:t>The Act requires that a person must only operate a clearing and settlement facility in this jurisdiction if the person has an Australian CS facility licence that authorises the person to operate the facility in this jurisdiction or the facility is exempt from the operation of Part 7.3 of the Act.</w:t>
      </w:r>
    </w:p>
    <w:p w14:paraId="114F23E7" w14:textId="77777777" w:rsidR="00854100" w:rsidRPr="00854100" w:rsidRDefault="00854100" w:rsidP="00854100">
      <w:pPr>
        <w:spacing w:before="240" w:line="240" w:lineRule="auto"/>
        <w:ind w:left="567" w:hanging="567"/>
        <w:rPr>
          <w:rFonts w:eastAsia="Times New Roman"/>
          <w:sz w:val="24"/>
          <w:szCs w:val="24"/>
          <w:lang w:eastAsia="en-AU"/>
        </w:rPr>
      </w:pPr>
      <w:r w:rsidRPr="00854100">
        <w:rPr>
          <w:rFonts w:eastAsia="Times New Roman"/>
          <w:sz w:val="24"/>
          <w:szCs w:val="24"/>
          <w:lang w:eastAsia="en-AU"/>
        </w:rPr>
        <w:t>3.</w:t>
      </w:r>
      <w:r w:rsidRPr="00854100">
        <w:rPr>
          <w:rFonts w:eastAsia="Times New Roman"/>
          <w:sz w:val="24"/>
          <w:szCs w:val="24"/>
          <w:lang w:eastAsia="en-AU"/>
        </w:rPr>
        <w:tab/>
        <w:t>The purpose of the Instrument is to exempt use case platforms involving the operation of a clearing and settlement facility from the requirement to hold an Australian CS facility licence by exempting them from the operation of Part 7.3 of the Act.</w:t>
      </w:r>
    </w:p>
    <w:p w14:paraId="2420FDAE" w14:textId="77777777" w:rsidR="00854100" w:rsidRPr="00EA17A6" w:rsidRDefault="00854100" w:rsidP="00854100">
      <w:pPr>
        <w:spacing w:before="240" w:line="240" w:lineRule="auto"/>
        <w:ind w:left="567" w:hanging="567"/>
        <w:rPr>
          <w:rFonts w:eastAsia="Times New Roman"/>
          <w:sz w:val="24"/>
          <w:szCs w:val="24"/>
          <w:lang w:eastAsia="en-AU"/>
        </w:rPr>
      </w:pPr>
      <w:r w:rsidRPr="00854100">
        <w:rPr>
          <w:rFonts w:eastAsia="Times New Roman"/>
          <w:sz w:val="24"/>
          <w:szCs w:val="24"/>
          <w:lang w:eastAsia="en-AU"/>
        </w:rPr>
        <w:t>4.</w:t>
      </w:r>
      <w:r w:rsidRPr="00854100">
        <w:rPr>
          <w:rFonts w:eastAsia="Times New Roman"/>
          <w:sz w:val="24"/>
          <w:szCs w:val="24"/>
          <w:lang w:eastAsia="en-AU"/>
        </w:rPr>
        <w:tab/>
        <w:t xml:space="preserve">To rely on the relief, a </w:t>
      </w:r>
      <w:r w:rsidR="00314E7C">
        <w:rPr>
          <w:rFonts w:eastAsia="Times New Roman"/>
          <w:sz w:val="24"/>
          <w:szCs w:val="24"/>
          <w:lang w:eastAsia="en-AU"/>
        </w:rPr>
        <w:t>pilot participant in the CBDC Pilot (</w:t>
      </w:r>
      <w:r w:rsidRPr="000269D3">
        <w:rPr>
          <w:rFonts w:eastAsia="Times New Roman"/>
          <w:b/>
          <w:bCs/>
          <w:i/>
          <w:iCs/>
          <w:sz w:val="24"/>
          <w:szCs w:val="24"/>
          <w:lang w:eastAsia="en-AU"/>
        </w:rPr>
        <w:t>Pilot Participant</w:t>
      </w:r>
      <w:r w:rsidR="00314E7C">
        <w:rPr>
          <w:rFonts w:eastAsia="Times New Roman"/>
          <w:sz w:val="24"/>
          <w:szCs w:val="24"/>
          <w:lang w:eastAsia="en-AU"/>
        </w:rPr>
        <w:t>)</w:t>
      </w:r>
      <w:r w:rsidRPr="00854100">
        <w:rPr>
          <w:rFonts w:eastAsia="Times New Roman"/>
          <w:sz w:val="24"/>
          <w:szCs w:val="24"/>
          <w:lang w:eastAsia="en-AU"/>
        </w:rPr>
        <w:t xml:space="preserve"> is required to provide ASIC with a written notice (</w:t>
      </w:r>
      <w:r w:rsidRPr="000269D3">
        <w:rPr>
          <w:rFonts w:eastAsia="Times New Roman"/>
          <w:b/>
          <w:bCs/>
          <w:i/>
          <w:iCs/>
          <w:sz w:val="24"/>
          <w:szCs w:val="24"/>
          <w:lang w:eastAsia="en-AU"/>
        </w:rPr>
        <w:t>Opt-In Notice</w:t>
      </w:r>
      <w:r w:rsidRPr="00854100">
        <w:rPr>
          <w:rFonts w:eastAsia="Times New Roman"/>
          <w:sz w:val="24"/>
          <w:szCs w:val="24"/>
          <w:lang w:eastAsia="en-AU"/>
        </w:rPr>
        <w:t>) that meets the requirements set out in the Instrument. The Opt-In Notice is intended to provide certainty to ASIC and the Pilot Participant as to when a Pilot Participant is relying on the exemption in section 5 of the Instrument, and when the Pilot Participant is required to comply with the conditions in section 7 of the Instrument.</w:t>
      </w:r>
    </w:p>
    <w:p w14:paraId="20B0CEDC" w14:textId="77777777" w:rsidR="001872DC" w:rsidRPr="00EA17A6" w:rsidRDefault="001872DC" w:rsidP="001872DC">
      <w:pPr>
        <w:pStyle w:val="LI-BodyTextNumbered"/>
        <w:ind w:left="567"/>
        <w:rPr>
          <w:u w:val="single"/>
        </w:rPr>
      </w:pPr>
      <w:bookmarkStart w:id="4" w:name="_Hlk534286807"/>
      <w:bookmarkEnd w:id="2"/>
      <w:r w:rsidRPr="00EA17A6">
        <w:rPr>
          <w:u w:val="single"/>
        </w:rPr>
        <w:t>Assessment of human rights implications</w:t>
      </w:r>
    </w:p>
    <w:p w14:paraId="39FC8ECF" w14:textId="609A2D96" w:rsidR="00946759" w:rsidRPr="00EA17A6" w:rsidRDefault="008552BC" w:rsidP="00D306F8">
      <w:pPr>
        <w:pStyle w:val="LI-BodyTextNumbered"/>
        <w:ind w:left="567"/>
      </w:pPr>
      <w:r>
        <w:t>5</w:t>
      </w:r>
      <w:r w:rsidR="001872DC" w:rsidRPr="00EA17A6">
        <w:t>.</w:t>
      </w:r>
      <w:r w:rsidR="001872DC" w:rsidRPr="00EA17A6">
        <w:tab/>
      </w:r>
      <w:bookmarkEnd w:id="4"/>
      <w:r w:rsidR="001872DC" w:rsidRPr="00EA17A6">
        <w:t xml:space="preserve">This instrument </w:t>
      </w:r>
      <w:r w:rsidR="00D306F8" w:rsidRPr="00EA17A6">
        <w:t>does not engage any of the applicable rights or freedoms</w:t>
      </w:r>
      <w:r w:rsidR="00854100">
        <w:t>.</w:t>
      </w:r>
      <w:r w:rsidR="00946759" w:rsidRPr="00EA17A6">
        <w:t xml:space="preserve"> </w:t>
      </w:r>
    </w:p>
    <w:p w14:paraId="28FF8094" w14:textId="77777777" w:rsidR="00CB2D96" w:rsidRPr="00EA17A6" w:rsidRDefault="00CB2D96" w:rsidP="00D306F8">
      <w:pPr>
        <w:pStyle w:val="LI-BodyTextNumbered"/>
        <w:ind w:left="567"/>
        <w:rPr>
          <w:u w:val="single"/>
        </w:rPr>
      </w:pPr>
      <w:r w:rsidRPr="00EA17A6">
        <w:rPr>
          <w:u w:val="single"/>
        </w:rPr>
        <w:t>Conclusion</w:t>
      </w:r>
    </w:p>
    <w:p w14:paraId="6CF47E63" w14:textId="7542E0D3" w:rsidR="00CB2D96" w:rsidRPr="00EA17A6" w:rsidRDefault="008552BC" w:rsidP="00CB2D96">
      <w:pPr>
        <w:pStyle w:val="LI-BodyTextNumbered"/>
        <w:ind w:left="567"/>
      </w:pPr>
      <w:r>
        <w:t>6</w:t>
      </w:r>
      <w:r w:rsidR="00CB2D96" w:rsidRPr="00EA17A6">
        <w:t>.</w:t>
      </w:r>
      <w:r w:rsidR="00CB2D96" w:rsidRPr="00EA17A6">
        <w:tab/>
        <w:t xml:space="preserve">This instrument is compatible with the human rights and freedoms recognised or declared in the international instruments listed in section 3 of </w:t>
      </w:r>
      <w:r w:rsidR="00CB2D96" w:rsidRPr="00EA17A6">
        <w:rPr>
          <w:iCs/>
        </w:rPr>
        <w:t xml:space="preserve">the </w:t>
      </w:r>
      <w:r w:rsidR="00CB2D96" w:rsidRPr="00EA17A6">
        <w:rPr>
          <w:i/>
          <w:iCs/>
        </w:rPr>
        <w:t>Human Rights (Parliamentary Scrutiny) Act 2011</w:t>
      </w:r>
      <w:r w:rsidR="00CB2D96" w:rsidRPr="00EA17A6">
        <w:t>.</w:t>
      </w:r>
    </w:p>
    <w:p w14:paraId="7AA186E2" w14:textId="77777777" w:rsidR="00CB2D96" w:rsidRPr="00EA17A6" w:rsidRDefault="00CB2D96" w:rsidP="00D306F8">
      <w:pPr>
        <w:pStyle w:val="LI-BodyTextNumbered"/>
        <w:ind w:left="567"/>
      </w:pPr>
    </w:p>
    <w:sectPr w:rsidR="00CB2D96" w:rsidRPr="00EA17A6" w:rsidSect="00863657">
      <w:headerReference w:type="even" r:id="rId15"/>
      <w:headerReference w:type="default" r:id="rId16"/>
      <w:footerReference w:type="default" r:id="rId17"/>
      <w:pgSz w:w="11907" w:h="16839" w:code="9"/>
      <w:pgMar w:top="1537" w:right="1797" w:bottom="1440" w:left="1797"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6BBC0" w14:textId="77777777" w:rsidR="00D57CEE" w:rsidRDefault="00D57CEE" w:rsidP="00715914">
      <w:pPr>
        <w:spacing w:line="240" w:lineRule="auto"/>
      </w:pPr>
      <w:r>
        <w:separator/>
      </w:r>
    </w:p>
  </w:endnote>
  <w:endnote w:type="continuationSeparator" w:id="0">
    <w:p w14:paraId="25D6258E" w14:textId="77777777" w:rsidR="00D57CEE" w:rsidRDefault="00D57CEE" w:rsidP="00715914">
      <w:pPr>
        <w:spacing w:line="240" w:lineRule="auto"/>
      </w:pPr>
      <w:r>
        <w:continuationSeparator/>
      </w:r>
    </w:p>
  </w:endnote>
  <w:endnote w:type="continuationNotice" w:id="1">
    <w:p w14:paraId="6E173136" w14:textId="77777777" w:rsidR="00D57CEE" w:rsidRDefault="00D57CE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44264" w14:textId="77777777" w:rsidR="00863657" w:rsidRDefault="00863657">
    <w:pPr>
      <w:pStyle w:val="Footer"/>
      <w:jc w:val="center"/>
    </w:pPr>
    <w:r>
      <w:fldChar w:fldCharType="begin"/>
    </w:r>
    <w:r>
      <w:instrText xml:space="preserve"> PAGE   \* MERGEFORMAT </w:instrText>
    </w:r>
    <w:r>
      <w:fldChar w:fldCharType="separate"/>
    </w:r>
    <w:r>
      <w:rPr>
        <w:noProof/>
      </w:rPr>
      <w:t>2</w:t>
    </w:r>
    <w:r>
      <w:rPr>
        <w:noProof/>
      </w:rPr>
      <w:fldChar w:fldCharType="end"/>
    </w:r>
  </w:p>
  <w:p w14:paraId="7473C167" w14:textId="77777777" w:rsidR="00863657" w:rsidRDefault="00863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56C63" w14:textId="77777777" w:rsidR="00D57CEE" w:rsidRDefault="00D57CEE" w:rsidP="00715914">
      <w:pPr>
        <w:spacing w:line="240" w:lineRule="auto"/>
      </w:pPr>
      <w:r>
        <w:separator/>
      </w:r>
    </w:p>
  </w:footnote>
  <w:footnote w:type="continuationSeparator" w:id="0">
    <w:p w14:paraId="31BC13B4" w14:textId="77777777" w:rsidR="00D57CEE" w:rsidRDefault="00D57CEE" w:rsidP="00715914">
      <w:pPr>
        <w:spacing w:line="240" w:lineRule="auto"/>
      </w:pPr>
      <w:r>
        <w:continuationSeparator/>
      </w:r>
    </w:p>
  </w:footnote>
  <w:footnote w:type="continuationNotice" w:id="1">
    <w:p w14:paraId="74F32237" w14:textId="77777777" w:rsidR="00D57CEE" w:rsidRDefault="00D57CE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9A8FC" w14:textId="77777777" w:rsidR="00E2168B" w:rsidRPr="00243EC0" w:rsidRDefault="00E2168B"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4253"/>
      <w:gridCol w:w="4060"/>
    </w:tblGrid>
    <w:tr w:rsidR="00F4215A" w:rsidRPr="00E40FF8" w14:paraId="2B86D4E0" w14:textId="77777777" w:rsidTr="001E77ED">
      <w:tc>
        <w:tcPr>
          <w:tcW w:w="4253" w:type="dxa"/>
          <w:shd w:val="clear" w:color="auto" w:fill="auto"/>
        </w:tcPr>
        <w:p w14:paraId="565CE63B" w14:textId="77777777" w:rsidR="00F4215A" w:rsidRDefault="00F4215A" w:rsidP="00E40FF8">
          <w:pPr>
            <w:pStyle w:val="LI-Header"/>
            <w:pBdr>
              <w:bottom w:val="none" w:sz="0" w:space="0" w:color="auto"/>
            </w:pBdr>
            <w:jc w:val="left"/>
          </w:pPr>
        </w:p>
      </w:tc>
      <w:tc>
        <w:tcPr>
          <w:tcW w:w="4060" w:type="dxa"/>
          <w:shd w:val="clear" w:color="auto" w:fill="auto"/>
        </w:tcPr>
        <w:p w14:paraId="44F95035" w14:textId="77777777" w:rsidR="00F4215A" w:rsidRDefault="00F4215A" w:rsidP="00F03BB5">
          <w:pPr>
            <w:pStyle w:val="LI-BodyTextNumbered"/>
          </w:pPr>
        </w:p>
      </w:tc>
    </w:tr>
  </w:tbl>
  <w:p w14:paraId="6EA1641F" w14:textId="77777777" w:rsidR="0040053F" w:rsidRPr="00F4215A" w:rsidRDefault="0040053F" w:rsidP="00F421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AAC6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1AFA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D087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D637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CED8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A8C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24B3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E6C7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6A4D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7C02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266B82"/>
    <w:multiLevelType w:val="hybridMultilevel"/>
    <w:tmpl w:val="8A1E49B4"/>
    <w:lvl w:ilvl="0" w:tplc="69EAD68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466CB"/>
    <w:multiLevelType w:val="multilevel"/>
    <w:tmpl w:val="B3C2A716"/>
    <w:lvl w:ilvl="0">
      <w:start w:val="1"/>
      <w:numFmt w:val="decimal"/>
      <w:lvlText w:val="%1."/>
      <w:lvlJc w:val="left"/>
      <w:pPr>
        <w:ind w:left="567" w:hanging="567"/>
      </w:pPr>
      <w:rPr>
        <w:rFonts w:hint="default"/>
        <w:b w:val="0"/>
        <w:i w:val="0"/>
      </w:rPr>
    </w:lvl>
    <w:lvl w:ilvl="1">
      <w:start w:val="1"/>
      <w:numFmt w:val="lowerLetter"/>
      <w:lvlText w:val="(%2)"/>
      <w:lvlJc w:val="left"/>
      <w:pPr>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5067F0F"/>
    <w:multiLevelType w:val="multilevel"/>
    <w:tmpl w:val="8A2C34D6"/>
    <w:lvl w:ilvl="0">
      <w:start w:val="8"/>
      <w:numFmt w:val="decimal"/>
      <w:lvlText w:val="%1."/>
      <w:lvlJc w:val="left"/>
      <w:pPr>
        <w:ind w:left="567" w:hanging="567"/>
      </w:pPr>
      <w:rPr>
        <w:rFonts w:hint="default"/>
        <w:b w:val="0"/>
        <w:i w:val="0"/>
      </w:rPr>
    </w:lvl>
    <w:lvl w:ilvl="1">
      <w:start w:val="1"/>
      <w:numFmt w:val="lowerLetter"/>
      <w:lvlText w:val="(%2)"/>
      <w:lvlJc w:val="left"/>
      <w:pPr>
        <w:ind w:left="1134" w:hanging="567"/>
      </w:pPr>
      <w:rPr>
        <w:rFonts w:hint="default"/>
        <w:b w:val="0"/>
        <w:bCs/>
        <w:i w:val="0"/>
        <w:iCs w:val="0"/>
      </w:rPr>
    </w:lvl>
    <w:lvl w:ilvl="2">
      <w:start w:val="1"/>
      <w:numFmt w:val="lowerRoman"/>
      <w:lvlText w:val="(%3)"/>
      <w:lvlJc w:val="left"/>
      <w:pPr>
        <w:tabs>
          <w:tab w:val="num" w:pos="1701"/>
        </w:tabs>
        <w:ind w:left="1701" w:hanging="567"/>
      </w:pPr>
      <w:rPr>
        <w:rFonts w:hint="default"/>
        <w:b w:val="0"/>
        <w:bCs/>
        <w:i w:val="0"/>
        <w:iCs w:val="0"/>
      </w:rPr>
    </w:lvl>
    <w:lvl w:ilvl="3">
      <w:start w:val="1"/>
      <w:numFmt w:val="upperLetter"/>
      <w:lvlText w:val="(%4)"/>
      <w:lvlJc w:val="left"/>
      <w:pPr>
        <w:tabs>
          <w:tab w:val="num" w:pos="2268"/>
        </w:tabs>
        <w:ind w:left="2268" w:hanging="62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66C46C7"/>
    <w:multiLevelType w:val="hybridMultilevel"/>
    <w:tmpl w:val="2C74D7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FE6043"/>
    <w:multiLevelType w:val="hybridMultilevel"/>
    <w:tmpl w:val="1352A8A0"/>
    <w:lvl w:ilvl="0" w:tplc="9E743126">
      <w:start w:val="1"/>
      <w:numFmt w:val="decimal"/>
      <w:lvlText w:val="%1."/>
      <w:lvlJc w:val="left"/>
      <w:pPr>
        <w:ind w:left="360" w:hanging="360"/>
      </w:pPr>
      <w:rPr>
        <w:b w:val="0"/>
        <w:bCs/>
        <w:i w:val="0"/>
        <w:i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3AD1505"/>
    <w:multiLevelType w:val="multilevel"/>
    <w:tmpl w:val="B3C2A716"/>
    <w:lvl w:ilvl="0">
      <w:start w:val="1"/>
      <w:numFmt w:val="decimal"/>
      <w:lvlText w:val="%1."/>
      <w:lvlJc w:val="left"/>
      <w:pPr>
        <w:ind w:left="567" w:hanging="567"/>
      </w:pPr>
      <w:rPr>
        <w:rFonts w:hint="default"/>
        <w:b w:val="0"/>
        <w:i w:val="0"/>
      </w:rPr>
    </w:lvl>
    <w:lvl w:ilvl="1">
      <w:start w:val="1"/>
      <w:numFmt w:val="lowerLetter"/>
      <w:lvlText w:val="(%2)"/>
      <w:lvlJc w:val="left"/>
      <w:pPr>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7AD0A5D"/>
    <w:multiLevelType w:val="hybridMultilevel"/>
    <w:tmpl w:val="B512F326"/>
    <w:lvl w:ilvl="0" w:tplc="1C62428E">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9" w15:restartNumberingAfterBreak="0">
    <w:nsid w:val="49B13F44"/>
    <w:multiLevelType w:val="hybridMultilevel"/>
    <w:tmpl w:val="0E4CB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AA3067"/>
    <w:multiLevelType w:val="hybridMultilevel"/>
    <w:tmpl w:val="1ED2D816"/>
    <w:lvl w:ilvl="0" w:tplc="5176A3CC">
      <w:start w:val="1"/>
      <w:numFmt w:val="decimal"/>
      <w:lvlText w:val="%1."/>
      <w:lvlJc w:val="left"/>
      <w:pPr>
        <w:ind w:left="570" w:hanging="57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5001C89"/>
    <w:multiLevelType w:val="multilevel"/>
    <w:tmpl w:val="206055C2"/>
    <w:lvl w:ilvl="0">
      <w:start w:val="7"/>
      <w:numFmt w:val="decimal"/>
      <w:lvlText w:val="%1."/>
      <w:lvlJc w:val="left"/>
      <w:pPr>
        <w:ind w:left="567" w:hanging="567"/>
      </w:pPr>
      <w:rPr>
        <w:rFonts w:hint="default"/>
        <w:b w:val="0"/>
        <w:i w:val="0"/>
      </w:rPr>
    </w:lvl>
    <w:lvl w:ilvl="1">
      <w:start w:val="1"/>
      <w:numFmt w:val="lowerLetter"/>
      <w:lvlText w:val="(%2)"/>
      <w:lvlJc w:val="left"/>
      <w:pPr>
        <w:ind w:left="1134" w:hanging="567"/>
      </w:pPr>
      <w:rPr>
        <w:rFonts w:hint="default"/>
        <w:b w:val="0"/>
        <w:bCs/>
        <w:i w:val="0"/>
        <w:iCs w:val="0"/>
      </w:rPr>
    </w:lvl>
    <w:lvl w:ilvl="2">
      <w:start w:val="1"/>
      <w:numFmt w:val="lowerRoman"/>
      <w:lvlText w:val="(%3)"/>
      <w:lvlJc w:val="left"/>
      <w:pPr>
        <w:tabs>
          <w:tab w:val="num" w:pos="1701"/>
        </w:tabs>
        <w:ind w:left="1701" w:hanging="567"/>
      </w:pPr>
      <w:rPr>
        <w:rFonts w:hint="default"/>
        <w:b w:val="0"/>
        <w:bCs/>
        <w:i w:val="0"/>
        <w:iCs w:val="0"/>
      </w:rPr>
    </w:lvl>
    <w:lvl w:ilvl="3">
      <w:start w:val="1"/>
      <w:numFmt w:val="upperLetter"/>
      <w:lvlText w:val="(%4)"/>
      <w:lvlJc w:val="left"/>
      <w:pPr>
        <w:tabs>
          <w:tab w:val="num" w:pos="2268"/>
        </w:tabs>
        <w:ind w:left="2268" w:hanging="62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D1D741D"/>
    <w:multiLevelType w:val="hybridMultilevel"/>
    <w:tmpl w:val="B67076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5F0017F"/>
    <w:multiLevelType w:val="hybridMultilevel"/>
    <w:tmpl w:val="86AE6C1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75DD7D4F"/>
    <w:multiLevelType w:val="multilevel"/>
    <w:tmpl w:val="F24037BC"/>
    <w:lvl w:ilvl="0">
      <w:start w:val="1"/>
      <w:numFmt w:val="decimal"/>
      <w:lvlText w:val="%1."/>
      <w:lvlJc w:val="left"/>
      <w:pPr>
        <w:ind w:left="567" w:hanging="567"/>
      </w:pPr>
      <w:rPr>
        <w:rFonts w:hint="default"/>
        <w:b w:val="0"/>
        <w:i w:val="0"/>
      </w:rPr>
    </w:lvl>
    <w:lvl w:ilvl="1">
      <w:start w:val="1"/>
      <w:numFmt w:val="lowerLetter"/>
      <w:lvlText w:val="(%2)"/>
      <w:lvlJc w:val="left"/>
      <w:pPr>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CD000C1"/>
    <w:multiLevelType w:val="multilevel"/>
    <w:tmpl w:val="206055C2"/>
    <w:lvl w:ilvl="0">
      <w:start w:val="7"/>
      <w:numFmt w:val="decimal"/>
      <w:lvlText w:val="%1."/>
      <w:lvlJc w:val="left"/>
      <w:pPr>
        <w:ind w:left="567" w:hanging="567"/>
      </w:pPr>
      <w:rPr>
        <w:rFonts w:hint="default"/>
        <w:b w:val="0"/>
        <w:i w:val="0"/>
      </w:rPr>
    </w:lvl>
    <w:lvl w:ilvl="1">
      <w:start w:val="1"/>
      <w:numFmt w:val="lowerLetter"/>
      <w:lvlText w:val="(%2)"/>
      <w:lvlJc w:val="left"/>
      <w:pPr>
        <w:ind w:left="1134" w:hanging="567"/>
      </w:pPr>
      <w:rPr>
        <w:rFonts w:hint="default"/>
        <w:b w:val="0"/>
        <w:bCs/>
        <w:i w:val="0"/>
        <w:iCs w:val="0"/>
      </w:rPr>
    </w:lvl>
    <w:lvl w:ilvl="2">
      <w:start w:val="1"/>
      <w:numFmt w:val="lowerRoman"/>
      <w:lvlText w:val="(%3)"/>
      <w:lvlJc w:val="left"/>
      <w:pPr>
        <w:tabs>
          <w:tab w:val="num" w:pos="1701"/>
        </w:tabs>
        <w:ind w:left="1701" w:hanging="567"/>
      </w:pPr>
      <w:rPr>
        <w:rFonts w:hint="default"/>
        <w:b w:val="0"/>
        <w:bCs/>
        <w:i w:val="0"/>
        <w:iCs w:val="0"/>
      </w:rPr>
    </w:lvl>
    <w:lvl w:ilvl="3">
      <w:start w:val="1"/>
      <w:numFmt w:val="upperLetter"/>
      <w:lvlText w:val="(%4)"/>
      <w:lvlJc w:val="left"/>
      <w:pPr>
        <w:tabs>
          <w:tab w:val="num" w:pos="2268"/>
        </w:tabs>
        <w:ind w:left="2268" w:hanging="62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E8D47BF"/>
    <w:multiLevelType w:val="multilevel"/>
    <w:tmpl w:val="95C41288"/>
    <w:lvl w:ilvl="0">
      <w:start w:val="7"/>
      <w:numFmt w:val="decimal"/>
      <w:lvlText w:val="%1."/>
      <w:lvlJc w:val="left"/>
      <w:pPr>
        <w:ind w:left="567" w:hanging="567"/>
      </w:pPr>
      <w:rPr>
        <w:rFonts w:hint="default"/>
        <w:b w:val="0"/>
        <w:i w:val="0"/>
      </w:rPr>
    </w:lvl>
    <w:lvl w:ilvl="1">
      <w:start w:val="1"/>
      <w:numFmt w:val="lowerLetter"/>
      <w:lvlText w:val="(%2)"/>
      <w:lvlJc w:val="left"/>
      <w:pPr>
        <w:ind w:left="1134" w:hanging="567"/>
      </w:pPr>
      <w:rPr>
        <w:rFonts w:hint="default"/>
        <w:b w:val="0"/>
        <w:bCs/>
        <w:i w:val="0"/>
        <w:iCs w:val="0"/>
      </w:rPr>
    </w:lvl>
    <w:lvl w:ilvl="2">
      <w:start w:val="1"/>
      <w:numFmt w:val="lowerRoman"/>
      <w:suff w:val="space"/>
      <w:lvlText w:val="(%3)"/>
      <w:lvlJc w:val="left"/>
      <w:pPr>
        <w:ind w:left="1080" w:hanging="360"/>
      </w:pPr>
      <w:rPr>
        <w:rFonts w:hint="default"/>
        <w:b w:val="0"/>
        <w:bCs/>
        <w:i w:val="0"/>
        <w:iCs w:val="0"/>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0"/>
  </w:num>
  <w:num w:numId="13">
    <w:abstractNumId w:val="11"/>
  </w:num>
  <w:num w:numId="14">
    <w:abstractNumId w:val="19"/>
  </w:num>
  <w:num w:numId="15">
    <w:abstractNumId w:val="18"/>
  </w:num>
  <w:num w:numId="16">
    <w:abstractNumId w:val="12"/>
  </w:num>
  <w:num w:numId="17">
    <w:abstractNumId w:val="17"/>
  </w:num>
  <w:num w:numId="18">
    <w:abstractNumId w:val="20"/>
  </w:num>
  <w:num w:numId="19">
    <w:abstractNumId w:val="22"/>
  </w:num>
  <w:num w:numId="20">
    <w:abstractNumId w:val="24"/>
  </w:num>
  <w:num w:numId="21">
    <w:abstractNumId w:val="13"/>
  </w:num>
  <w:num w:numId="22">
    <w:abstractNumId w:val="16"/>
  </w:num>
  <w:num w:numId="23">
    <w:abstractNumId w:val="26"/>
  </w:num>
  <w:num w:numId="24">
    <w:abstractNumId w:val="23"/>
  </w:num>
  <w:num w:numId="25">
    <w:abstractNumId w:val="14"/>
  </w:num>
  <w:num w:numId="26">
    <w:abstractNumId w:val="25"/>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TrueTypeFonts/>
  <w:saveSubsetFonts/>
  <w:proofState w:spelling="clean" w:grammar="clean"/>
  <w:attachedTemplate r:id="rId1"/>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A1"/>
    <w:rsid w:val="00002856"/>
    <w:rsid w:val="00004470"/>
    <w:rsid w:val="00005446"/>
    <w:rsid w:val="00006E90"/>
    <w:rsid w:val="00012AB5"/>
    <w:rsid w:val="00012B73"/>
    <w:rsid w:val="000136AF"/>
    <w:rsid w:val="00013B8D"/>
    <w:rsid w:val="00015719"/>
    <w:rsid w:val="00023D53"/>
    <w:rsid w:val="00024D81"/>
    <w:rsid w:val="000269D3"/>
    <w:rsid w:val="000437C1"/>
    <w:rsid w:val="000438E9"/>
    <w:rsid w:val="0005365D"/>
    <w:rsid w:val="000614BF"/>
    <w:rsid w:val="0006250C"/>
    <w:rsid w:val="00065C72"/>
    <w:rsid w:val="00072DA8"/>
    <w:rsid w:val="000806FF"/>
    <w:rsid w:val="00081794"/>
    <w:rsid w:val="00084FF4"/>
    <w:rsid w:val="0009113E"/>
    <w:rsid w:val="000A03CE"/>
    <w:rsid w:val="000A0C21"/>
    <w:rsid w:val="000A142F"/>
    <w:rsid w:val="000A15D0"/>
    <w:rsid w:val="000A1B2D"/>
    <w:rsid w:val="000A6C39"/>
    <w:rsid w:val="000B58FA"/>
    <w:rsid w:val="000C17AB"/>
    <w:rsid w:val="000C55A0"/>
    <w:rsid w:val="000D041F"/>
    <w:rsid w:val="000D05EF"/>
    <w:rsid w:val="000D3EAD"/>
    <w:rsid w:val="000E2261"/>
    <w:rsid w:val="000E3C2E"/>
    <w:rsid w:val="000E5FAD"/>
    <w:rsid w:val="000E7D2D"/>
    <w:rsid w:val="000F21C1"/>
    <w:rsid w:val="00102CA6"/>
    <w:rsid w:val="0010745C"/>
    <w:rsid w:val="00125141"/>
    <w:rsid w:val="00132CEB"/>
    <w:rsid w:val="001343C5"/>
    <w:rsid w:val="00142B62"/>
    <w:rsid w:val="00153B32"/>
    <w:rsid w:val="00157B8B"/>
    <w:rsid w:val="001612CA"/>
    <w:rsid w:val="001624E1"/>
    <w:rsid w:val="00166342"/>
    <w:rsid w:val="00166C2F"/>
    <w:rsid w:val="00171A6E"/>
    <w:rsid w:val="00172FF3"/>
    <w:rsid w:val="00175518"/>
    <w:rsid w:val="0017769C"/>
    <w:rsid w:val="001809D7"/>
    <w:rsid w:val="00185D4F"/>
    <w:rsid w:val="001863C3"/>
    <w:rsid w:val="0018659E"/>
    <w:rsid w:val="001872DC"/>
    <w:rsid w:val="001939E1"/>
    <w:rsid w:val="00194C3E"/>
    <w:rsid w:val="00195382"/>
    <w:rsid w:val="00195BD4"/>
    <w:rsid w:val="0019627A"/>
    <w:rsid w:val="001A625D"/>
    <w:rsid w:val="001C61C5"/>
    <w:rsid w:val="001C69C4"/>
    <w:rsid w:val="001D37EF"/>
    <w:rsid w:val="001D7DAF"/>
    <w:rsid w:val="001E167D"/>
    <w:rsid w:val="001E3590"/>
    <w:rsid w:val="001E7407"/>
    <w:rsid w:val="001E77ED"/>
    <w:rsid w:val="001E7E2B"/>
    <w:rsid w:val="001F02B1"/>
    <w:rsid w:val="001F5D5E"/>
    <w:rsid w:val="001F60A2"/>
    <w:rsid w:val="001F6219"/>
    <w:rsid w:val="001F6CD4"/>
    <w:rsid w:val="002005C4"/>
    <w:rsid w:val="00200FB6"/>
    <w:rsid w:val="00206C4D"/>
    <w:rsid w:val="0021053C"/>
    <w:rsid w:val="00215AF1"/>
    <w:rsid w:val="0022087F"/>
    <w:rsid w:val="00220A36"/>
    <w:rsid w:val="00223DCF"/>
    <w:rsid w:val="002321E8"/>
    <w:rsid w:val="00232F91"/>
    <w:rsid w:val="00236EEC"/>
    <w:rsid w:val="0023721F"/>
    <w:rsid w:val="002379B4"/>
    <w:rsid w:val="0024010F"/>
    <w:rsid w:val="00240749"/>
    <w:rsid w:val="00240769"/>
    <w:rsid w:val="00243018"/>
    <w:rsid w:val="00243EC0"/>
    <w:rsid w:val="00244742"/>
    <w:rsid w:val="002564A4"/>
    <w:rsid w:val="00260A1A"/>
    <w:rsid w:val="0026736C"/>
    <w:rsid w:val="00276BFD"/>
    <w:rsid w:val="00281308"/>
    <w:rsid w:val="00281813"/>
    <w:rsid w:val="00281E6C"/>
    <w:rsid w:val="00284719"/>
    <w:rsid w:val="00297ECB"/>
    <w:rsid w:val="002A1FA6"/>
    <w:rsid w:val="002A2C45"/>
    <w:rsid w:val="002A7328"/>
    <w:rsid w:val="002A7BCF"/>
    <w:rsid w:val="002B0A7F"/>
    <w:rsid w:val="002B19F3"/>
    <w:rsid w:val="002B1A91"/>
    <w:rsid w:val="002B1EDF"/>
    <w:rsid w:val="002B4A0D"/>
    <w:rsid w:val="002C7B6F"/>
    <w:rsid w:val="002D043A"/>
    <w:rsid w:val="002D6224"/>
    <w:rsid w:val="002D7146"/>
    <w:rsid w:val="002E3F4B"/>
    <w:rsid w:val="002F0085"/>
    <w:rsid w:val="002F498A"/>
    <w:rsid w:val="002F71C8"/>
    <w:rsid w:val="0030053F"/>
    <w:rsid w:val="00304F8B"/>
    <w:rsid w:val="00314E7C"/>
    <w:rsid w:val="00315295"/>
    <w:rsid w:val="003205E3"/>
    <w:rsid w:val="00325793"/>
    <w:rsid w:val="00327DDF"/>
    <w:rsid w:val="00333836"/>
    <w:rsid w:val="0033466E"/>
    <w:rsid w:val="003354D2"/>
    <w:rsid w:val="00335BC6"/>
    <w:rsid w:val="003415D3"/>
    <w:rsid w:val="00344701"/>
    <w:rsid w:val="003528DA"/>
    <w:rsid w:val="00352B0F"/>
    <w:rsid w:val="00355426"/>
    <w:rsid w:val="00356690"/>
    <w:rsid w:val="00357DD0"/>
    <w:rsid w:val="00360459"/>
    <w:rsid w:val="00365497"/>
    <w:rsid w:val="00367C78"/>
    <w:rsid w:val="00377871"/>
    <w:rsid w:val="00387A96"/>
    <w:rsid w:val="003912A6"/>
    <w:rsid w:val="0039240D"/>
    <w:rsid w:val="003A2178"/>
    <w:rsid w:val="003A2A48"/>
    <w:rsid w:val="003A7639"/>
    <w:rsid w:val="003A793B"/>
    <w:rsid w:val="003B28C3"/>
    <w:rsid w:val="003B732F"/>
    <w:rsid w:val="003C24F8"/>
    <w:rsid w:val="003C6231"/>
    <w:rsid w:val="003D0BFE"/>
    <w:rsid w:val="003D5700"/>
    <w:rsid w:val="003D7214"/>
    <w:rsid w:val="003E0F99"/>
    <w:rsid w:val="003E341B"/>
    <w:rsid w:val="003E526C"/>
    <w:rsid w:val="003F066B"/>
    <w:rsid w:val="003F3EFD"/>
    <w:rsid w:val="003F759B"/>
    <w:rsid w:val="0040053F"/>
    <w:rsid w:val="00401345"/>
    <w:rsid w:val="004116CD"/>
    <w:rsid w:val="004144EC"/>
    <w:rsid w:val="00416438"/>
    <w:rsid w:val="00417EB9"/>
    <w:rsid w:val="00424CA9"/>
    <w:rsid w:val="00431E9B"/>
    <w:rsid w:val="00435EEF"/>
    <w:rsid w:val="004379E3"/>
    <w:rsid w:val="0044015E"/>
    <w:rsid w:val="0044291A"/>
    <w:rsid w:val="00443356"/>
    <w:rsid w:val="00444ABD"/>
    <w:rsid w:val="00447DB4"/>
    <w:rsid w:val="0045007F"/>
    <w:rsid w:val="004527DE"/>
    <w:rsid w:val="00460F1D"/>
    <w:rsid w:val="00464545"/>
    <w:rsid w:val="00465DC1"/>
    <w:rsid w:val="00467661"/>
    <w:rsid w:val="004705B7"/>
    <w:rsid w:val="00472DBE"/>
    <w:rsid w:val="00474A19"/>
    <w:rsid w:val="00474B52"/>
    <w:rsid w:val="00481C24"/>
    <w:rsid w:val="004823C0"/>
    <w:rsid w:val="0048276B"/>
    <w:rsid w:val="00491135"/>
    <w:rsid w:val="00495D4D"/>
    <w:rsid w:val="00496B5F"/>
    <w:rsid w:val="00496F97"/>
    <w:rsid w:val="004A44FC"/>
    <w:rsid w:val="004B5B44"/>
    <w:rsid w:val="004C04FE"/>
    <w:rsid w:val="004C1CB1"/>
    <w:rsid w:val="004C2399"/>
    <w:rsid w:val="004D0BBE"/>
    <w:rsid w:val="004D7E7F"/>
    <w:rsid w:val="004E063A"/>
    <w:rsid w:val="004E7BEC"/>
    <w:rsid w:val="004F4D00"/>
    <w:rsid w:val="0050044F"/>
    <w:rsid w:val="00505D3D"/>
    <w:rsid w:val="00506AF6"/>
    <w:rsid w:val="00507335"/>
    <w:rsid w:val="005132A4"/>
    <w:rsid w:val="00516B8D"/>
    <w:rsid w:val="00517E56"/>
    <w:rsid w:val="00520C84"/>
    <w:rsid w:val="00532049"/>
    <w:rsid w:val="005326C3"/>
    <w:rsid w:val="005356A7"/>
    <w:rsid w:val="00536184"/>
    <w:rsid w:val="00537FBC"/>
    <w:rsid w:val="00540355"/>
    <w:rsid w:val="00541A86"/>
    <w:rsid w:val="0054365A"/>
    <w:rsid w:val="00555A78"/>
    <w:rsid w:val="0055723A"/>
    <w:rsid w:val="005574D1"/>
    <w:rsid w:val="00561ABB"/>
    <w:rsid w:val="005657FE"/>
    <w:rsid w:val="00572BB1"/>
    <w:rsid w:val="0057349B"/>
    <w:rsid w:val="0057670F"/>
    <w:rsid w:val="00584811"/>
    <w:rsid w:val="00585784"/>
    <w:rsid w:val="00593AA6"/>
    <w:rsid w:val="00594161"/>
    <w:rsid w:val="00594749"/>
    <w:rsid w:val="005A21E0"/>
    <w:rsid w:val="005B4067"/>
    <w:rsid w:val="005B780C"/>
    <w:rsid w:val="005C3F41"/>
    <w:rsid w:val="005D0489"/>
    <w:rsid w:val="005D1770"/>
    <w:rsid w:val="005D1FEA"/>
    <w:rsid w:val="005D2D09"/>
    <w:rsid w:val="005D3D41"/>
    <w:rsid w:val="005D5451"/>
    <w:rsid w:val="005E4810"/>
    <w:rsid w:val="005E5777"/>
    <w:rsid w:val="005F1DB6"/>
    <w:rsid w:val="005F4140"/>
    <w:rsid w:val="005F65CD"/>
    <w:rsid w:val="00600219"/>
    <w:rsid w:val="00601955"/>
    <w:rsid w:val="006036A7"/>
    <w:rsid w:val="00603DC4"/>
    <w:rsid w:val="00607A71"/>
    <w:rsid w:val="00610709"/>
    <w:rsid w:val="006117CB"/>
    <w:rsid w:val="0061438A"/>
    <w:rsid w:val="00620076"/>
    <w:rsid w:val="00634044"/>
    <w:rsid w:val="0063486C"/>
    <w:rsid w:val="00640161"/>
    <w:rsid w:val="006442B4"/>
    <w:rsid w:val="0064771F"/>
    <w:rsid w:val="00652769"/>
    <w:rsid w:val="00654915"/>
    <w:rsid w:val="0065542F"/>
    <w:rsid w:val="006554FF"/>
    <w:rsid w:val="00665D6F"/>
    <w:rsid w:val="00670752"/>
    <w:rsid w:val="00670EA1"/>
    <w:rsid w:val="00677CC2"/>
    <w:rsid w:val="006905DE"/>
    <w:rsid w:val="0069207B"/>
    <w:rsid w:val="00693F29"/>
    <w:rsid w:val="00694188"/>
    <w:rsid w:val="006A72AB"/>
    <w:rsid w:val="006B5789"/>
    <w:rsid w:val="006C30C5"/>
    <w:rsid w:val="006C48FA"/>
    <w:rsid w:val="006C57A3"/>
    <w:rsid w:val="006C7F8C"/>
    <w:rsid w:val="006D6079"/>
    <w:rsid w:val="006E5320"/>
    <w:rsid w:val="006E6246"/>
    <w:rsid w:val="006F2E86"/>
    <w:rsid w:val="006F318F"/>
    <w:rsid w:val="006F4226"/>
    <w:rsid w:val="0070017E"/>
    <w:rsid w:val="00700237"/>
    <w:rsid w:val="00700B2C"/>
    <w:rsid w:val="00702EFD"/>
    <w:rsid w:val="007050A2"/>
    <w:rsid w:val="00710CA1"/>
    <w:rsid w:val="00713084"/>
    <w:rsid w:val="0071399B"/>
    <w:rsid w:val="00714773"/>
    <w:rsid w:val="00714F20"/>
    <w:rsid w:val="0071590F"/>
    <w:rsid w:val="00715914"/>
    <w:rsid w:val="00717A4B"/>
    <w:rsid w:val="00726D85"/>
    <w:rsid w:val="007319C9"/>
    <w:rsid w:val="00731E00"/>
    <w:rsid w:val="0073346B"/>
    <w:rsid w:val="00741EE8"/>
    <w:rsid w:val="007440B7"/>
    <w:rsid w:val="007500C8"/>
    <w:rsid w:val="00756272"/>
    <w:rsid w:val="007624B3"/>
    <w:rsid w:val="00764D76"/>
    <w:rsid w:val="00765001"/>
    <w:rsid w:val="00765227"/>
    <w:rsid w:val="007662B5"/>
    <w:rsid w:val="0076681A"/>
    <w:rsid w:val="007700E2"/>
    <w:rsid w:val="007715C9"/>
    <w:rsid w:val="00771613"/>
    <w:rsid w:val="00772881"/>
    <w:rsid w:val="00774EDD"/>
    <w:rsid w:val="0077506D"/>
    <w:rsid w:val="007757EC"/>
    <w:rsid w:val="00783E89"/>
    <w:rsid w:val="007842CE"/>
    <w:rsid w:val="00785A9E"/>
    <w:rsid w:val="00791FA0"/>
    <w:rsid w:val="00793915"/>
    <w:rsid w:val="00794470"/>
    <w:rsid w:val="007A2873"/>
    <w:rsid w:val="007B0471"/>
    <w:rsid w:val="007B4C4F"/>
    <w:rsid w:val="007C2253"/>
    <w:rsid w:val="007C4149"/>
    <w:rsid w:val="007D230B"/>
    <w:rsid w:val="007D429B"/>
    <w:rsid w:val="007E163D"/>
    <w:rsid w:val="007E667A"/>
    <w:rsid w:val="007E6FE0"/>
    <w:rsid w:val="007F28C9"/>
    <w:rsid w:val="0080312D"/>
    <w:rsid w:val="00803587"/>
    <w:rsid w:val="00804094"/>
    <w:rsid w:val="008117E9"/>
    <w:rsid w:val="008132DE"/>
    <w:rsid w:val="00824498"/>
    <w:rsid w:val="008346A0"/>
    <w:rsid w:val="00835179"/>
    <w:rsid w:val="008356AC"/>
    <w:rsid w:val="00840442"/>
    <w:rsid w:val="00840816"/>
    <w:rsid w:val="008434B0"/>
    <w:rsid w:val="008527C0"/>
    <w:rsid w:val="00854100"/>
    <w:rsid w:val="008552BC"/>
    <w:rsid w:val="00856A31"/>
    <w:rsid w:val="00860B58"/>
    <w:rsid w:val="008624A0"/>
    <w:rsid w:val="00863657"/>
    <w:rsid w:val="00867B37"/>
    <w:rsid w:val="008718DD"/>
    <w:rsid w:val="008754D0"/>
    <w:rsid w:val="008855C9"/>
    <w:rsid w:val="00886456"/>
    <w:rsid w:val="00892C18"/>
    <w:rsid w:val="008945E0"/>
    <w:rsid w:val="0089527F"/>
    <w:rsid w:val="008A362B"/>
    <w:rsid w:val="008A4659"/>
    <w:rsid w:val="008A46E1"/>
    <w:rsid w:val="008A4F43"/>
    <w:rsid w:val="008B2706"/>
    <w:rsid w:val="008B415F"/>
    <w:rsid w:val="008C0F29"/>
    <w:rsid w:val="008C271A"/>
    <w:rsid w:val="008C6395"/>
    <w:rsid w:val="008C6D83"/>
    <w:rsid w:val="008D0EE0"/>
    <w:rsid w:val="008D3422"/>
    <w:rsid w:val="008D6412"/>
    <w:rsid w:val="008E30E4"/>
    <w:rsid w:val="008E6067"/>
    <w:rsid w:val="008F54E7"/>
    <w:rsid w:val="008F6A1C"/>
    <w:rsid w:val="009016BE"/>
    <w:rsid w:val="00903422"/>
    <w:rsid w:val="00912A58"/>
    <w:rsid w:val="009157B9"/>
    <w:rsid w:val="00915DF9"/>
    <w:rsid w:val="00920AB0"/>
    <w:rsid w:val="00921412"/>
    <w:rsid w:val="009254C3"/>
    <w:rsid w:val="00926940"/>
    <w:rsid w:val="00930A0A"/>
    <w:rsid w:val="00931ECE"/>
    <w:rsid w:val="00932377"/>
    <w:rsid w:val="00932C53"/>
    <w:rsid w:val="009375D9"/>
    <w:rsid w:val="009460DC"/>
    <w:rsid w:val="00946759"/>
    <w:rsid w:val="009477BA"/>
    <w:rsid w:val="00947D5A"/>
    <w:rsid w:val="0095249A"/>
    <w:rsid w:val="009532A5"/>
    <w:rsid w:val="00955175"/>
    <w:rsid w:val="0095528E"/>
    <w:rsid w:val="00961499"/>
    <w:rsid w:val="0096753E"/>
    <w:rsid w:val="00982242"/>
    <w:rsid w:val="009868E9"/>
    <w:rsid w:val="00986FEA"/>
    <w:rsid w:val="00994289"/>
    <w:rsid w:val="009944E6"/>
    <w:rsid w:val="009A174C"/>
    <w:rsid w:val="009A2319"/>
    <w:rsid w:val="009A3A6F"/>
    <w:rsid w:val="009A3F74"/>
    <w:rsid w:val="009A49C9"/>
    <w:rsid w:val="009A7DAF"/>
    <w:rsid w:val="009B7EF1"/>
    <w:rsid w:val="009C2791"/>
    <w:rsid w:val="009D1818"/>
    <w:rsid w:val="009D195A"/>
    <w:rsid w:val="009D7993"/>
    <w:rsid w:val="009E5CFC"/>
    <w:rsid w:val="009E75A7"/>
    <w:rsid w:val="00A03AF1"/>
    <w:rsid w:val="00A079CB"/>
    <w:rsid w:val="00A12128"/>
    <w:rsid w:val="00A12F48"/>
    <w:rsid w:val="00A14F6A"/>
    <w:rsid w:val="00A15512"/>
    <w:rsid w:val="00A21534"/>
    <w:rsid w:val="00A22C98"/>
    <w:rsid w:val="00A231E2"/>
    <w:rsid w:val="00A25D0D"/>
    <w:rsid w:val="00A33D55"/>
    <w:rsid w:val="00A34412"/>
    <w:rsid w:val="00A40424"/>
    <w:rsid w:val="00A4478D"/>
    <w:rsid w:val="00A44C99"/>
    <w:rsid w:val="00A44DC3"/>
    <w:rsid w:val="00A5060D"/>
    <w:rsid w:val="00A52B0F"/>
    <w:rsid w:val="00A559B3"/>
    <w:rsid w:val="00A5632E"/>
    <w:rsid w:val="00A600BB"/>
    <w:rsid w:val="00A64912"/>
    <w:rsid w:val="00A70A74"/>
    <w:rsid w:val="00A75371"/>
    <w:rsid w:val="00A81C17"/>
    <w:rsid w:val="00A81C8E"/>
    <w:rsid w:val="00A91966"/>
    <w:rsid w:val="00A943D6"/>
    <w:rsid w:val="00AA66AC"/>
    <w:rsid w:val="00AB1DE8"/>
    <w:rsid w:val="00AB69D9"/>
    <w:rsid w:val="00AC0886"/>
    <w:rsid w:val="00AC4BC0"/>
    <w:rsid w:val="00AC7DC1"/>
    <w:rsid w:val="00AD02B8"/>
    <w:rsid w:val="00AD1F73"/>
    <w:rsid w:val="00AD2842"/>
    <w:rsid w:val="00AD5315"/>
    <w:rsid w:val="00AD5641"/>
    <w:rsid w:val="00AD57D1"/>
    <w:rsid w:val="00AD7889"/>
    <w:rsid w:val="00AE022C"/>
    <w:rsid w:val="00AE1FE2"/>
    <w:rsid w:val="00AE787B"/>
    <w:rsid w:val="00AF021B"/>
    <w:rsid w:val="00AF06CF"/>
    <w:rsid w:val="00AF5942"/>
    <w:rsid w:val="00B0328C"/>
    <w:rsid w:val="00B04305"/>
    <w:rsid w:val="00B07CDB"/>
    <w:rsid w:val="00B07DFC"/>
    <w:rsid w:val="00B16A31"/>
    <w:rsid w:val="00B17DFD"/>
    <w:rsid w:val="00B237AA"/>
    <w:rsid w:val="00B25E15"/>
    <w:rsid w:val="00B2697D"/>
    <w:rsid w:val="00B2799D"/>
    <w:rsid w:val="00B30079"/>
    <w:rsid w:val="00B308FE"/>
    <w:rsid w:val="00B33709"/>
    <w:rsid w:val="00B33B3C"/>
    <w:rsid w:val="00B33BD1"/>
    <w:rsid w:val="00B3464E"/>
    <w:rsid w:val="00B436FB"/>
    <w:rsid w:val="00B50ADC"/>
    <w:rsid w:val="00B552DE"/>
    <w:rsid w:val="00B56230"/>
    <w:rsid w:val="00B566B1"/>
    <w:rsid w:val="00B577C8"/>
    <w:rsid w:val="00B63834"/>
    <w:rsid w:val="00B72734"/>
    <w:rsid w:val="00B7622F"/>
    <w:rsid w:val="00B80199"/>
    <w:rsid w:val="00B82D81"/>
    <w:rsid w:val="00B83204"/>
    <w:rsid w:val="00B9126E"/>
    <w:rsid w:val="00BA220B"/>
    <w:rsid w:val="00BA3A57"/>
    <w:rsid w:val="00BA55DE"/>
    <w:rsid w:val="00BB1C49"/>
    <w:rsid w:val="00BB4DB6"/>
    <w:rsid w:val="00BB4E1A"/>
    <w:rsid w:val="00BB5C17"/>
    <w:rsid w:val="00BC015E"/>
    <w:rsid w:val="00BC5335"/>
    <w:rsid w:val="00BC5ECF"/>
    <w:rsid w:val="00BC7183"/>
    <w:rsid w:val="00BC76AC"/>
    <w:rsid w:val="00BD0ECB"/>
    <w:rsid w:val="00BE12BE"/>
    <w:rsid w:val="00BE2155"/>
    <w:rsid w:val="00BE2213"/>
    <w:rsid w:val="00BE6EF9"/>
    <w:rsid w:val="00BE719A"/>
    <w:rsid w:val="00BE720A"/>
    <w:rsid w:val="00BF0D73"/>
    <w:rsid w:val="00BF2465"/>
    <w:rsid w:val="00BF75C9"/>
    <w:rsid w:val="00C0544A"/>
    <w:rsid w:val="00C06AC9"/>
    <w:rsid w:val="00C11452"/>
    <w:rsid w:val="00C17457"/>
    <w:rsid w:val="00C17EEB"/>
    <w:rsid w:val="00C25E7F"/>
    <w:rsid w:val="00C2746F"/>
    <w:rsid w:val="00C324A0"/>
    <w:rsid w:val="00C3300F"/>
    <w:rsid w:val="00C34E77"/>
    <w:rsid w:val="00C35875"/>
    <w:rsid w:val="00C35DAF"/>
    <w:rsid w:val="00C36FF6"/>
    <w:rsid w:val="00C4170B"/>
    <w:rsid w:val="00C42BF8"/>
    <w:rsid w:val="00C43084"/>
    <w:rsid w:val="00C45171"/>
    <w:rsid w:val="00C47D01"/>
    <w:rsid w:val="00C50043"/>
    <w:rsid w:val="00C50B97"/>
    <w:rsid w:val="00C52E7C"/>
    <w:rsid w:val="00C6434E"/>
    <w:rsid w:val="00C64804"/>
    <w:rsid w:val="00C6505A"/>
    <w:rsid w:val="00C70CA8"/>
    <w:rsid w:val="00C7573B"/>
    <w:rsid w:val="00C7761F"/>
    <w:rsid w:val="00C82E9B"/>
    <w:rsid w:val="00C86B1B"/>
    <w:rsid w:val="00C86B32"/>
    <w:rsid w:val="00C92D62"/>
    <w:rsid w:val="00C93C03"/>
    <w:rsid w:val="00CA37B9"/>
    <w:rsid w:val="00CA66DC"/>
    <w:rsid w:val="00CB2C8E"/>
    <w:rsid w:val="00CB2D96"/>
    <w:rsid w:val="00CB602E"/>
    <w:rsid w:val="00CB6C4B"/>
    <w:rsid w:val="00CC3AEC"/>
    <w:rsid w:val="00CD2E90"/>
    <w:rsid w:val="00CD4A3E"/>
    <w:rsid w:val="00CE0149"/>
    <w:rsid w:val="00CE051D"/>
    <w:rsid w:val="00CE1335"/>
    <w:rsid w:val="00CE2FC0"/>
    <w:rsid w:val="00CE3D2A"/>
    <w:rsid w:val="00CE44F5"/>
    <w:rsid w:val="00CE493D"/>
    <w:rsid w:val="00CE541A"/>
    <w:rsid w:val="00CE6D42"/>
    <w:rsid w:val="00CF07FA"/>
    <w:rsid w:val="00CF0BB2"/>
    <w:rsid w:val="00CF3EE8"/>
    <w:rsid w:val="00CF5313"/>
    <w:rsid w:val="00CF7B0B"/>
    <w:rsid w:val="00D01DB9"/>
    <w:rsid w:val="00D031F1"/>
    <w:rsid w:val="00D050E6"/>
    <w:rsid w:val="00D10DC8"/>
    <w:rsid w:val="00D13441"/>
    <w:rsid w:val="00D150E7"/>
    <w:rsid w:val="00D20A4B"/>
    <w:rsid w:val="00D306F8"/>
    <w:rsid w:val="00D32F65"/>
    <w:rsid w:val="00D341C4"/>
    <w:rsid w:val="00D37001"/>
    <w:rsid w:val="00D41A47"/>
    <w:rsid w:val="00D442A2"/>
    <w:rsid w:val="00D5137B"/>
    <w:rsid w:val="00D52DC2"/>
    <w:rsid w:val="00D53BCC"/>
    <w:rsid w:val="00D57CEE"/>
    <w:rsid w:val="00D648BB"/>
    <w:rsid w:val="00D702DE"/>
    <w:rsid w:val="00D70DFB"/>
    <w:rsid w:val="00D732EC"/>
    <w:rsid w:val="00D73C22"/>
    <w:rsid w:val="00D766DF"/>
    <w:rsid w:val="00D80CDF"/>
    <w:rsid w:val="00D90972"/>
    <w:rsid w:val="00DA186E"/>
    <w:rsid w:val="00DA4116"/>
    <w:rsid w:val="00DB1952"/>
    <w:rsid w:val="00DB251C"/>
    <w:rsid w:val="00DB38AD"/>
    <w:rsid w:val="00DB4630"/>
    <w:rsid w:val="00DB51FD"/>
    <w:rsid w:val="00DB60A1"/>
    <w:rsid w:val="00DC1135"/>
    <w:rsid w:val="00DC4445"/>
    <w:rsid w:val="00DC4F88"/>
    <w:rsid w:val="00DD0136"/>
    <w:rsid w:val="00DD54CC"/>
    <w:rsid w:val="00DE0A85"/>
    <w:rsid w:val="00DE0BA4"/>
    <w:rsid w:val="00DE3033"/>
    <w:rsid w:val="00DE68B2"/>
    <w:rsid w:val="00DE79F9"/>
    <w:rsid w:val="00E01BE0"/>
    <w:rsid w:val="00E05704"/>
    <w:rsid w:val="00E06CC3"/>
    <w:rsid w:val="00E11E44"/>
    <w:rsid w:val="00E13AFA"/>
    <w:rsid w:val="00E2168B"/>
    <w:rsid w:val="00E21F03"/>
    <w:rsid w:val="00E31CD1"/>
    <w:rsid w:val="00E338EF"/>
    <w:rsid w:val="00E40FF8"/>
    <w:rsid w:val="00E544BB"/>
    <w:rsid w:val="00E578EC"/>
    <w:rsid w:val="00E60423"/>
    <w:rsid w:val="00E649D7"/>
    <w:rsid w:val="00E662CB"/>
    <w:rsid w:val="00E66923"/>
    <w:rsid w:val="00E671A8"/>
    <w:rsid w:val="00E74DC7"/>
    <w:rsid w:val="00E8075A"/>
    <w:rsid w:val="00E818A6"/>
    <w:rsid w:val="00E856FD"/>
    <w:rsid w:val="00E85A91"/>
    <w:rsid w:val="00E87718"/>
    <w:rsid w:val="00E94D5E"/>
    <w:rsid w:val="00EA0BF6"/>
    <w:rsid w:val="00EA17A6"/>
    <w:rsid w:val="00EA7100"/>
    <w:rsid w:val="00EA7F9F"/>
    <w:rsid w:val="00EB0E70"/>
    <w:rsid w:val="00EB1274"/>
    <w:rsid w:val="00EC0167"/>
    <w:rsid w:val="00EC3EA3"/>
    <w:rsid w:val="00EC4757"/>
    <w:rsid w:val="00EC7EDB"/>
    <w:rsid w:val="00ED14FB"/>
    <w:rsid w:val="00ED2BB6"/>
    <w:rsid w:val="00ED34E1"/>
    <w:rsid w:val="00ED3B8D"/>
    <w:rsid w:val="00ED796D"/>
    <w:rsid w:val="00EE7746"/>
    <w:rsid w:val="00EF15D3"/>
    <w:rsid w:val="00EF2E3A"/>
    <w:rsid w:val="00EF7583"/>
    <w:rsid w:val="00F02EF9"/>
    <w:rsid w:val="00F03BB5"/>
    <w:rsid w:val="00F047D8"/>
    <w:rsid w:val="00F072A7"/>
    <w:rsid w:val="00F078DC"/>
    <w:rsid w:val="00F11202"/>
    <w:rsid w:val="00F14593"/>
    <w:rsid w:val="00F171A1"/>
    <w:rsid w:val="00F32BA8"/>
    <w:rsid w:val="00F349F1"/>
    <w:rsid w:val="00F4215A"/>
    <w:rsid w:val="00F4350D"/>
    <w:rsid w:val="00F4504D"/>
    <w:rsid w:val="00F45C97"/>
    <w:rsid w:val="00F46947"/>
    <w:rsid w:val="00F50532"/>
    <w:rsid w:val="00F52CA6"/>
    <w:rsid w:val="00F567F7"/>
    <w:rsid w:val="00F61A66"/>
    <w:rsid w:val="00F61B09"/>
    <w:rsid w:val="00F62036"/>
    <w:rsid w:val="00F65B52"/>
    <w:rsid w:val="00F67BCA"/>
    <w:rsid w:val="00F73BD6"/>
    <w:rsid w:val="00F800C9"/>
    <w:rsid w:val="00F83989"/>
    <w:rsid w:val="00F83E99"/>
    <w:rsid w:val="00F85099"/>
    <w:rsid w:val="00F87D0F"/>
    <w:rsid w:val="00F87E83"/>
    <w:rsid w:val="00F9379C"/>
    <w:rsid w:val="00F9595C"/>
    <w:rsid w:val="00F9632C"/>
    <w:rsid w:val="00FA13A8"/>
    <w:rsid w:val="00FA1E52"/>
    <w:rsid w:val="00FA31DE"/>
    <w:rsid w:val="00FA47D1"/>
    <w:rsid w:val="00FA7D17"/>
    <w:rsid w:val="00FB451B"/>
    <w:rsid w:val="00FC3EB8"/>
    <w:rsid w:val="00FC7C93"/>
    <w:rsid w:val="00FC7D25"/>
    <w:rsid w:val="00FD13CC"/>
    <w:rsid w:val="00FD2E53"/>
    <w:rsid w:val="00FE2FB8"/>
    <w:rsid w:val="00FE4688"/>
    <w:rsid w:val="00FE72D6"/>
    <w:rsid w:val="00FE79D0"/>
    <w:rsid w:val="00FF38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33D00"/>
  <w15:chartTrackingRefBased/>
  <w15:docId w15:val="{FD0ABF85-BB85-4AC9-8E20-10A62CD3C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65CD"/>
    <w:pPr>
      <w:spacing w:line="260" w:lineRule="atLeast"/>
    </w:pPr>
    <w:rPr>
      <w:sz w:val="22"/>
      <w:lang w:eastAsia="en-US"/>
    </w:rPr>
  </w:style>
  <w:style w:type="paragraph" w:styleId="Heading1">
    <w:name w:val="heading 1"/>
    <w:basedOn w:val="Normal"/>
    <w:next w:val="Normal"/>
    <w:link w:val="Heading1Char"/>
    <w:uiPriority w:val="9"/>
    <w:qFormat/>
    <w:rsid w:val="008945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8945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8945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8945E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8945E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8945E0"/>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semiHidden/>
    <w:unhideWhenUsed/>
    <w:qFormat/>
    <w:rsid w:val="008945E0"/>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8945E0"/>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8945E0"/>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61B09"/>
  </w:style>
  <w:style w:type="paragraph" w:customStyle="1" w:styleId="OPCParaBase">
    <w:name w:val="OPCParaBase"/>
    <w:link w:val="OPCParaBaseChar"/>
    <w:semiHidden/>
    <w:qFormat/>
    <w:rsid w:val="00F61B09"/>
    <w:pPr>
      <w:spacing w:line="260" w:lineRule="atLeast"/>
    </w:pPr>
    <w:rPr>
      <w:rFonts w:eastAsia="Times New Roman"/>
      <w:sz w:val="22"/>
    </w:rPr>
  </w:style>
  <w:style w:type="paragraph" w:customStyle="1" w:styleId="LI-Title">
    <w:name w:val="LI - Title"/>
    <w:basedOn w:val="OPCParaBase"/>
    <w:next w:val="Normal"/>
    <w:qFormat/>
    <w:rsid w:val="00243EC0"/>
    <w:pPr>
      <w:pBdr>
        <w:top w:val="single" w:sz="4" w:space="1" w:color="auto"/>
      </w:pBdr>
      <w:spacing w:line="240" w:lineRule="auto"/>
    </w:pPr>
    <w:rPr>
      <w:b/>
      <w:sz w:val="40"/>
    </w:rPr>
  </w:style>
  <w:style w:type="paragraph" w:customStyle="1" w:styleId="ActHead1">
    <w:name w:val="ActHead 1"/>
    <w:aliases w:val="c"/>
    <w:basedOn w:val="OPCParaBase"/>
    <w:next w:val="Normal"/>
    <w:semiHidden/>
    <w:rsid w:val="00F61B09"/>
    <w:pPr>
      <w:keepNext/>
      <w:keepLines/>
      <w:spacing w:line="240" w:lineRule="auto"/>
      <w:ind w:left="1134" w:hanging="1134"/>
      <w:outlineLvl w:val="0"/>
    </w:pPr>
    <w:rPr>
      <w:b/>
      <w:kern w:val="28"/>
      <w:sz w:val="36"/>
    </w:rPr>
  </w:style>
  <w:style w:type="paragraph" w:customStyle="1" w:styleId="LI-Heading1">
    <w:name w:val="LI - Heading 1"/>
    <w:basedOn w:val="OPCParaBase"/>
    <w:next w:val="ActHead3"/>
    <w:qFormat/>
    <w:rsid w:val="0040053F"/>
    <w:pPr>
      <w:keepNext/>
      <w:keepLines/>
      <w:spacing w:before="280" w:line="240" w:lineRule="auto"/>
      <w:ind w:left="1134" w:hanging="1134"/>
      <w:outlineLvl w:val="0"/>
    </w:pPr>
    <w:rPr>
      <w:b/>
      <w:kern w:val="28"/>
      <w:sz w:val="32"/>
    </w:rPr>
  </w:style>
  <w:style w:type="paragraph" w:customStyle="1" w:styleId="ActHead3">
    <w:name w:val="ActHead 3"/>
    <w:aliases w:val="d"/>
    <w:basedOn w:val="OPCParaBase"/>
    <w:next w:val="ActHead4"/>
    <w:semiHidden/>
    <w:qFormat/>
    <w:rsid w:val="00F61B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LI-Heading2"/>
    <w:semiHidden/>
    <w:qFormat/>
    <w:rsid w:val="00F61B09"/>
    <w:pPr>
      <w:keepNext/>
      <w:keepLines/>
      <w:spacing w:before="220" w:line="240" w:lineRule="auto"/>
      <w:ind w:left="1134" w:hanging="1134"/>
      <w:outlineLvl w:val="3"/>
    </w:pPr>
    <w:rPr>
      <w:b/>
      <w:kern w:val="28"/>
      <w:sz w:val="26"/>
    </w:rPr>
  </w:style>
  <w:style w:type="paragraph" w:customStyle="1" w:styleId="LI-Heading2">
    <w:name w:val="LI - Heading 2"/>
    <w:basedOn w:val="OPCParaBase"/>
    <w:next w:val="LI-BodyTextUnnumbered"/>
    <w:qFormat/>
    <w:rsid w:val="000E3C2E"/>
    <w:pPr>
      <w:keepNext/>
      <w:keepLines/>
      <w:spacing w:before="360" w:line="240" w:lineRule="auto"/>
      <w:ind w:left="567" w:hanging="567"/>
      <w:outlineLvl w:val="1"/>
    </w:pPr>
    <w:rPr>
      <w:b/>
      <w:kern w:val="28"/>
      <w:sz w:val="24"/>
    </w:rPr>
  </w:style>
  <w:style w:type="paragraph" w:customStyle="1" w:styleId="ActHead6">
    <w:name w:val="ActHead 6"/>
    <w:aliases w:val="as"/>
    <w:basedOn w:val="OPCParaBase"/>
    <w:next w:val="ActHead7"/>
    <w:semiHidden/>
    <w:qFormat/>
    <w:rsid w:val="00F61B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semiHidden/>
    <w:qFormat/>
    <w:rsid w:val="00F61B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semiHidden/>
    <w:qFormat/>
    <w:rsid w:val="00F61B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semiHidden/>
    <w:qFormat/>
    <w:rsid w:val="00F61B09"/>
    <w:pPr>
      <w:keepNext/>
      <w:keepLines/>
      <w:spacing w:before="280" w:line="240" w:lineRule="auto"/>
      <w:ind w:left="1134" w:hanging="1134"/>
      <w:outlineLvl w:val="8"/>
    </w:pPr>
    <w:rPr>
      <w:b/>
      <w:i/>
      <w:kern w:val="28"/>
      <w:sz w:val="28"/>
    </w:rPr>
  </w:style>
  <w:style w:type="paragraph" w:customStyle="1" w:styleId="Actno">
    <w:name w:val="Actno"/>
    <w:basedOn w:val="LI-Title"/>
    <w:next w:val="Normal"/>
    <w:semiHidden/>
    <w:qFormat/>
    <w:rsid w:val="00F61B09"/>
  </w:style>
  <w:style w:type="paragraph" w:customStyle="1" w:styleId="Blocks">
    <w:name w:val="Blocks"/>
    <w:aliases w:val="bb"/>
    <w:basedOn w:val="OPCParaBase"/>
    <w:semiHidden/>
    <w:qFormat/>
    <w:rsid w:val="00F61B09"/>
    <w:pPr>
      <w:spacing w:line="240" w:lineRule="auto"/>
    </w:pPr>
    <w:rPr>
      <w:sz w:val="24"/>
    </w:rPr>
  </w:style>
  <w:style w:type="paragraph" w:customStyle="1" w:styleId="BoxText">
    <w:name w:val="BoxText"/>
    <w:aliases w:val="bt"/>
    <w:basedOn w:val="OPCParaBase"/>
    <w:semiHidden/>
    <w:qFormat/>
    <w:rsid w:val="00F61B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semiHidden/>
    <w:qFormat/>
    <w:rsid w:val="00F61B09"/>
    <w:rPr>
      <w:b/>
    </w:rPr>
  </w:style>
  <w:style w:type="paragraph" w:customStyle="1" w:styleId="BoxHeadItalic">
    <w:name w:val="BoxHeadItalic"/>
    <w:aliases w:val="bhi"/>
    <w:basedOn w:val="BoxText"/>
    <w:next w:val="BoxStep"/>
    <w:semiHidden/>
    <w:qFormat/>
    <w:rsid w:val="00F61B09"/>
    <w:rPr>
      <w:i/>
    </w:rPr>
  </w:style>
  <w:style w:type="paragraph" w:customStyle="1" w:styleId="BoxList">
    <w:name w:val="BoxList"/>
    <w:aliases w:val="bl"/>
    <w:basedOn w:val="BoxText"/>
    <w:semiHidden/>
    <w:qFormat/>
    <w:rsid w:val="00F61B09"/>
    <w:pPr>
      <w:ind w:left="1559" w:hanging="425"/>
    </w:pPr>
  </w:style>
  <w:style w:type="paragraph" w:customStyle="1" w:styleId="BoxNote">
    <w:name w:val="BoxNote"/>
    <w:aliases w:val="bn"/>
    <w:basedOn w:val="BoxText"/>
    <w:semiHidden/>
    <w:qFormat/>
    <w:rsid w:val="00F61B09"/>
    <w:pPr>
      <w:tabs>
        <w:tab w:val="left" w:pos="1985"/>
      </w:tabs>
      <w:spacing w:before="122" w:line="198" w:lineRule="exact"/>
      <w:ind w:left="2948" w:hanging="1814"/>
    </w:pPr>
    <w:rPr>
      <w:sz w:val="18"/>
    </w:rPr>
  </w:style>
  <w:style w:type="paragraph" w:customStyle="1" w:styleId="BoxPara">
    <w:name w:val="BoxPara"/>
    <w:aliases w:val="bp"/>
    <w:basedOn w:val="BoxText"/>
    <w:semiHidden/>
    <w:qFormat/>
    <w:rsid w:val="00F61B09"/>
    <w:pPr>
      <w:tabs>
        <w:tab w:val="right" w:pos="2268"/>
      </w:tabs>
      <w:ind w:left="2552" w:hanging="1418"/>
    </w:pPr>
  </w:style>
  <w:style w:type="paragraph" w:customStyle="1" w:styleId="BoxStep">
    <w:name w:val="BoxStep"/>
    <w:aliases w:val="bs"/>
    <w:basedOn w:val="BoxText"/>
    <w:semiHidden/>
    <w:qFormat/>
    <w:rsid w:val="00F61B09"/>
    <w:pPr>
      <w:ind w:left="1985" w:hanging="851"/>
    </w:pPr>
  </w:style>
  <w:style w:type="character" w:customStyle="1" w:styleId="CharAmPartNo">
    <w:name w:val="CharAmPartNo"/>
    <w:basedOn w:val="OPCCharBase"/>
    <w:uiPriority w:val="1"/>
    <w:semiHidden/>
    <w:qFormat/>
    <w:rsid w:val="00F61B09"/>
  </w:style>
  <w:style w:type="character" w:customStyle="1" w:styleId="CharAmPartText">
    <w:name w:val="CharAmPartText"/>
    <w:basedOn w:val="OPCCharBase"/>
    <w:uiPriority w:val="1"/>
    <w:semiHidden/>
    <w:qFormat/>
    <w:rsid w:val="00F61B09"/>
  </w:style>
  <w:style w:type="character" w:customStyle="1" w:styleId="CharAmSchNo">
    <w:name w:val="CharAmSchNo"/>
    <w:basedOn w:val="OPCCharBase"/>
    <w:uiPriority w:val="1"/>
    <w:semiHidden/>
    <w:qFormat/>
    <w:rsid w:val="00F61B09"/>
  </w:style>
  <w:style w:type="character" w:customStyle="1" w:styleId="CharAmSchText">
    <w:name w:val="CharAmSchText"/>
    <w:basedOn w:val="OPCCharBase"/>
    <w:uiPriority w:val="1"/>
    <w:semiHidden/>
    <w:qFormat/>
    <w:rsid w:val="00F61B09"/>
  </w:style>
  <w:style w:type="character" w:customStyle="1" w:styleId="CharBoldItalic">
    <w:name w:val="CharBoldItalic"/>
    <w:uiPriority w:val="1"/>
    <w:semiHidden/>
    <w:qFormat/>
    <w:rsid w:val="00F61B09"/>
    <w:rPr>
      <w:b/>
      <w:i/>
    </w:rPr>
  </w:style>
  <w:style w:type="character" w:customStyle="1" w:styleId="CharChapNo">
    <w:name w:val="CharChapNo"/>
    <w:basedOn w:val="OPCCharBase"/>
    <w:semiHidden/>
    <w:qFormat/>
    <w:rsid w:val="00F61B09"/>
  </w:style>
  <w:style w:type="character" w:customStyle="1" w:styleId="CharChapText">
    <w:name w:val="CharChapText"/>
    <w:basedOn w:val="OPCCharBase"/>
    <w:semiHidden/>
    <w:qFormat/>
    <w:rsid w:val="00F61B09"/>
  </w:style>
  <w:style w:type="character" w:customStyle="1" w:styleId="CharDivNo">
    <w:name w:val="CharDivNo"/>
    <w:basedOn w:val="OPCCharBase"/>
    <w:semiHidden/>
    <w:qFormat/>
    <w:rsid w:val="00F61B09"/>
  </w:style>
  <w:style w:type="character" w:customStyle="1" w:styleId="CharDivText">
    <w:name w:val="CharDivText"/>
    <w:basedOn w:val="OPCCharBase"/>
    <w:semiHidden/>
    <w:qFormat/>
    <w:rsid w:val="00F61B09"/>
  </w:style>
  <w:style w:type="character" w:customStyle="1" w:styleId="CharItalic">
    <w:name w:val="CharItalic"/>
    <w:uiPriority w:val="1"/>
    <w:semiHidden/>
    <w:qFormat/>
    <w:rsid w:val="00F61B09"/>
    <w:rPr>
      <w:i/>
    </w:rPr>
  </w:style>
  <w:style w:type="character" w:customStyle="1" w:styleId="CharPartNo">
    <w:name w:val="CharPartNo"/>
    <w:basedOn w:val="OPCCharBase"/>
    <w:semiHidden/>
    <w:qFormat/>
    <w:rsid w:val="00F61B09"/>
  </w:style>
  <w:style w:type="character" w:customStyle="1" w:styleId="CharPartText">
    <w:name w:val="CharPartText"/>
    <w:basedOn w:val="OPCCharBase"/>
    <w:semiHidden/>
    <w:qFormat/>
    <w:rsid w:val="00F61B09"/>
  </w:style>
  <w:style w:type="character" w:customStyle="1" w:styleId="CharSectno">
    <w:name w:val="CharSectno"/>
    <w:basedOn w:val="OPCCharBase"/>
    <w:semiHidden/>
    <w:qFormat/>
    <w:rsid w:val="00F61B09"/>
  </w:style>
  <w:style w:type="character" w:customStyle="1" w:styleId="CharSubdNo">
    <w:name w:val="CharSubdNo"/>
    <w:basedOn w:val="OPCCharBase"/>
    <w:uiPriority w:val="1"/>
    <w:semiHidden/>
    <w:qFormat/>
    <w:rsid w:val="00F61B09"/>
  </w:style>
  <w:style w:type="character" w:customStyle="1" w:styleId="CharSubdText">
    <w:name w:val="CharSubdText"/>
    <w:basedOn w:val="OPCCharBase"/>
    <w:uiPriority w:val="1"/>
    <w:semiHidden/>
    <w:qFormat/>
    <w:rsid w:val="00F61B09"/>
  </w:style>
  <w:style w:type="paragraph" w:customStyle="1" w:styleId="CTA--">
    <w:name w:val="CTA --"/>
    <w:basedOn w:val="OPCParaBase"/>
    <w:next w:val="Normal"/>
    <w:semiHidden/>
    <w:rsid w:val="00F61B09"/>
    <w:pPr>
      <w:spacing w:before="60" w:line="240" w:lineRule="atLeast"/>
      <w:ind w:left="142" w:hanging="142"/>
    </w:pPr>
    <w:rPr>
      <w:sz w:val="20"/>
    </w:rPr>
  </w:style>
  <w:style w:type="paragraph" w:customStyle="1" w:styleId="CTA-">
    <w:name w:val="CTA -"/>
    <w:basedOn w:val="OPCParaBase"/>
    <w:semiHidden/>
    <w:rsid w:val="00F61B09"/>
    <w:pPr>
      <w:spacing w:before="60" w:line="240" w:lineRule="atLeast"/>
      <w:ind w:left="85" w:hanging="85"/>
    </w:pPr>
    <w:rPr>
      <w:sz w:val="20"/>
    </w:rPr>
  </w:style>
  <w:style w:type="paragraph" w:customStyle="1" w:styleId="CTA---">
    <w:name w:val="CTA ---"/>
    <w:basedOn w:val="OPCParaBase"/>
    <w:next w:val="Normal"/>
    <w:semiHidden/>
    <w:rsid w:val="00F61B09"/>
    <w:pPr>
      <w:spacing w:before="60" w:line="240" w:lineRule="atLeast"/>
      <w:ind w:left="198" w:hanging="198"/>
    </w:pPr>
    <w:rPr>
      <w:sz w:val="20"/>
    </w:rPr>
  </w:style>
  <w:style w:type="paragraph" w:customStyle="1" w:styleId="CTA----">
    <w:name w:val="CTA ----"/>
    <w:basedOn w:val="OPCParaBase"/>
    <w:next w:val="Normal"/>
    <w:semiHidden/>
    <w:rsid w:val="00F61B09"/>
    <w:pPr>
      <w:spacing w:before="60" w:line="240" w:lineRule="atLeast"/>
      <w:ind w:left="255" w:hanging="255"/>
    </w:pPr>
    <w:rPr>
      <w:sz w:val="20"/>
    </w:rPr>
  </w:style>
  <w:style w:type="paragraph" w:customStyle="1" w:styleId="CTA1a">
    <w:name w:val="CTA 1(a)"/>
    <w:basedOn w:val="OPCParaBase"/>
    <w:semiHidden/>
    <w:rsid w:val="00F61B09"/>
    <w:pPr>
      <w:tabs>
        <w:tab w:val="right" w:pos="414"/>
      </w:tabs>
      <w:spacing w:before="40" w:line="240" w:lineRule="atLeast"/>
      <w:ind w:left="675" w:hanging="675"/>
    </w:pPr>
    <w:rPr>
      <w:sz w:val="20"/>
    </w:rPr>
  </w:style>
  <w:style w:type="paragraph" w:customStyle="1" w:styleId="CTA1ai">
    <w:name w:val="CTA 1(a)(i)"/>
    <w:basedOn w:val="OPCParaBase"/>
    <w:semiHidden/>
    <w:rsid w:val="00F61B09"/>
    <w:pPr>
      <w:tabs>
        <w:tab w:val="right" w:pos="1004"/>
      </w:tabs>
      <w:spacing w:before="40" w:line="240" w:lineRule="atLeast"/>
      <w:ind w:left="1253" w:hanging="1253"/>
    </w:pPr>
    <w:rPr>
      <w:sz w:val="20"/>
    </w:rPr>
  </w:style>
  <w:style w:type="paragraph" w:customStyle="1" w:styleId="CTA2a">
    <w:name w:val="CTA 2(a)"/>
    <w:basedOn w:val="OPCParaBase"/>
    <w:semiHidden/>
    <w:rsid w:val="00F61B09"/>
    <w:pPr>
      <w:tabs>
        <w:tab w:val="right" w:pos="482"/>
      </w:tabs>
      <w:spacing w:before="40" w:line="240" w:lineRule="atLeast"/>
      <w:ind w:left="748" w:hanging="748"/>
    </w:pPr>
    <w:rPr>
      <w:sz w:val="20"/>
    </w:rPr>
  </w:style>
  <w:style w:type="paragraph" w:customStyle="1" w:styleId="CTA2ai">
    <w:name w:val="CTA 2(a)(i)"/>
    <w:basedOn w:val="OPCParaBase"/>
    <w:semiHidden/>
    <w:rsid w:val="00F61B09"/>
    <w:pPr>
      <w:tabs>
        <w:tab w:val="right" w:pos="1089"/>
      </w:tabs>
      <w:spacing w:before="40" w:line="240" w:lineRule="atLeast"/>
      <w:ind w:left="1327" w:hanging="1327"/>
    </w:pPr>
    <w:rPr>
      <w:sz w:val="20"/>
    </w:rPr>
  </w:style>
  <w:style w:type="paragraph" w:customStyle="1" w:styleId="CTA3a">
    <w:name w:val="CTA 3(a)"/>
    <w:basedOn w:val="OPCParaBase"/>
    <w:semiHidden/>
    <w:rsid w:val="00F61B09"/>
    <w:pPr>
      <w:tabs>
        <w:tab w:val="right" w:pos="556"/>
      </w:tabs>
      <w:spacing w:before="40" w:line="240" w:lineRule="atLeast"/>
      <w:ind w:left="805" w:hanging="805"/>
    </w:pPr>
    <w:rPr>
      <w:sz w:val="20"/>
    </w:rPr>
  </w:style>
  <w:style w:type="paragraph" w:customStyle="1" w:styleId="CTA3ai">
    <w:name w:val="CTA 3(a)(i)"/>
    <w:basedOn w:val="OPCParaBase"/>
    <w:semiHidden/>
    <w:rsid w:val="00F61B09"/>
    <w:pPr>
      <w:tabs>
        <w:tab w:val="right" w:pos="1140"/>
      </w:tabs>
      <w:spacing w:before="40" w:line="240" w:lineRule="atLeast"/>
      <w:ind w:left="1361" w:hanging="1361"/>
    </w:pPr>
    <w:rPr>
      <w:sz w:val="20"/>
    </w:rPr>
  </w:style>
  <w:style w:type="paragraph" w:customStyle="1" w:styleId="CTA4a">
    <w:name w:val="CTA 4(a)"/>
    <w:basedOn w:val="OPCParaBase"/>
    <w:semiHidden/>
    <w:rsid w:val="00F61B09"/>
    <w:pPr>
      <w:tabs>
        <w:tab w:val="right" w:pos="624"/>
      </w:tabs>
      <w:spacing w:before="40" w:line="240" w:lineRule="atLeast"/>
      <w:ind w:left="873" w:hanging="873"/>
    </w:pPr>
    <w:rPr>
      <w:sz w:val="20"/>
    </w:rPr>
  </w:style>
  <w:style w:type="paragraph" w:customStyle="1" w:styleId="CTA4ai">
    <w:name w:val="CTA 4(a)(i)"/>
    <w:basedOn w:val="OPCParaBase"/>
    <w:semiHidden/>
    <w:rsid w:val="00F61B09"/>
    <w:pPr>
      <w:tabs>
        <w:tab w:val="right" w:pos="1213"/>
      </w:tabs>
      <w:spacing w:before="40" w:line="240" w:lineRule="atLeast"/>
      <w:ind w:left="1452" w:hanging="1452"/>
    </w:pPr>
    <w:rPr>
      <w:sz w:val="20"/>
    </w:rPr>
  </w:style>
  <w:style w:type="paragraph" w:customStyle="1" w:styleId="CTACAPS">
    <w:name w:val="CTA CAPS"/>
    <w:basedOn w:val="OPCParaBase"/>
    <w:semiHidden/>
    <w:rsid w:val="00F61B09"/>
    <w:pPr>
      <w:spacing w:before="60" w:line="240" w:lineRule="atLeast"/>
    </w:pPr>
    <w:rPr>
      <w:sz w:val="20"/>
    </w:rPr>
  </w:style>
  <w:style w:type="paragraph" w:customStyle="1" w:styleId="CTAright">
    <w:name w:val="CTA right"/>
    <w:basedOn w:val="OPCParaBase"/>
    <w:semiHidden/>
    <w:rsid w:val="00F61B09"/>
    <w:pPr>
      <w:spacing w:before="60" w:line="240" w:lineRule="auto"/>
      <w:jc w:val="right"/>
    </w:pPr>
    <w:rPr>
      <w:sz w:val="20"/>
    </w:rPr>
  </w:style>
  <w:style w:type="paragraph" w:customStyle="1" w:styleId="LI-BodyTextUnnumbered">
    <w:name w:val="LI - Body Text Unnumbered"/>
    <w:basedOn w:val="OPCParaBase"/>
    <w:link w:val="LI-BodyTextUnnumberedChar"/>
    <w:rsid w:val="006E5320"/>
    <w:pPr>
      <w:spacing w:before="240" w:line="240" w:lineRule="auto"/>
      <w:ind w:left="1134"/>
    </w:pPr>
    <w:rPr>
      <w:sz w:val="24"/>
    </w:rPr>
  </w:style>
  <w:style w:type="paragraph" w:customStyle="1" w:styleId="Definition">
    <w:name w:val="Definition"/>
    <w:aliases w:val="dd"/>
    <w:basedOn w:val="OPCParaBase"/>
    <w:semiHidden/>
    <w:rsid w:val="00F61B09"/>
    <w:pPr>
      <w:spacing w:before="180" w:line="240" w:lineRule="auto"/>
      <w:ind w:left="1134"/>
    </w:pPr>
  </w:style>
  <w:style w:type="paragraph" w:customStyle="1" w:styleId="EndNotespara">
    <w:name w:val="EndNotes(para)"/>
    <w:aliases w:val="eta"/>
    <w:basedOn w:val="OPCParaBase"/>
    <w:next w:val="EndNotessubpara"/>
    <w:semiHidden/>
    <w:rsid w:val="00F61B09"/>
    <w:pPr>
      <w:tabs>
        <w:tab w:val="right" w:pos="1985"/>
      </w:tabs>
      <w:spacing w:before="40" w:line="240" w:lineRule="auto"/>
      <w:ind w:left="828" w:hanging="828"/>
    </w:pPr>
    <w:rPr>
      <w:sz w:val="20"/>
    </w:rPr>
  </w:style>
  <w:style w:type="paragraph" w:customStyle="1" w:styleId="EndNotessubitem">
    <w:name w:val="EndNotes(subitem)"/>
    <w:aliases w:val="ens"/>
    <w:basedOn w:val="OPCParaBase"/>
    <w:semiHidden/>
    <w:rsid w:val="00F61B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semiHidden/>
    <w:rsid w:val="00F61B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semiHidden/>
    <w:rsid w:val="00F61B09"/>
    <w:pPr>
      <w:tabs>
        <w:tab w:val="right" w:pos="1412"/>
      </w:tabs>
      <w:spacing w:before="60" w:line="240" w:lineRule="auto"/>
      <w:ind w:left="1525" w:hanging="1525"/>
    </w:pPr>
    <w:rPr>
      <w:sz w:val="20"/>
    </w:rPr>
  </w:style>
  <w:style w:type="paragraph" w:customStyle="1" w:styleId="Formula">
    <w:name w:val="Formula"/>
    <w:basedOn w:val="OPCParaBase"/>
    <w:rsid w:val="00F61B09"/>
    <w:pPr>
      <w:spacing w:line="240" w:lineRule="auto"/>
      <w:ind w:left="1134"/>
    </w:pPr>
    <w:rPr>
      <w:sz w:val="20"/>
    </w:rPr>
  </w:style>
  <w:style w:type="paragraph" w:styleId="Header">
    <w:name w:val="header"/>
    <w:basedOn w:val="OPCParaBase"/>
    <w:link w:val="HeaderChar"/>
    <w:unhideWhenUsed/>
    <w:rsid w:val="00F61B09"/>
    <w:pPr>
      <w:keepNext/>
      <w:keepLines/>
      <w:tabs>
        <w:tab w:val="center" w:pos="4150"/>
        <w:tab w:val="right" w:pos="8307"/>
      </w:tabs>
      <w:spacing w:line="160" w:lineRule="exact"/>
    </w:pPr>
    <w:rPr>
      <w:sz w:val="16"/>
    </w:rPr>
  </w:style>
  <w:style w:type="character" w:customStyle="1" w:styleId="HeaderChar">
    <w:name w:val="Header Char"/>
    <w:link w:val="Header"/>
    <w:rsid w:val="00F61B09"/>
    <w:rPr>
      <w:rFonts w:eastAsia="Times New Roman" w:cs="Times New Roman"/>
      <w:sz w:val="16"/>
      <w:lang w:eastAsia="en-AU"/>
    </w:rPr>
  </w:style>
  <w:style w:type="paragraph" w:customStyle="1" w:styleId="House">
    <w:name w:val="House"/>
    <w:basedOn w:val="OPCParaBase"/>
    <w:semiHidden/>
    <w:rsid w:val="00F61B09"/>
    <w:pPr>
      <w:spacing w:line="240" w:lineRule="auto"/>
    </w:pPr>
    <w:rPr>
      <w:sz w:val="28"/>
    </w:rPr>
  </w:style>
  <w:style w:type="paragraph" w:customStyle="1" w:styleId="Item">
    <w:name w:val="Item"/>
    <w:aliases w:val="i"/>
    <w:basedOn w:val="OPCParaBase"/>
    <w:next w:val="ItemHead"/>
    <w:semiHidden/>
    <w:rsid w:val="00F61B09"/>
    <w:pPr>
      <w:keepLines/>
      <w:spacing w:before="80" w:line="240" w:lineRule="auto"/>
      <w:ind w:left="709"/>
    </w:pPr>
  </w:style>
  <w:style w:type="paragraph" w:customStyle="1" w:styleId="ItemHead">
    <w:name w:val="ItemHead"/>
    <w:aliases w:val="ih"/>
    <w:basedOn w:val="OPCParaBase"/>
    <w:next w:val="Item"/>
    <w:semiHidden/>
    <w:rsid w:val="00F61B09"/>
    <w:pPr>
      <w:keepNext/>
      <w:keepLines/>
      <w:spacing w:before="220" w:line="240" w:lineRule="auto"/>
      <w:ind w:left="709" w:hanging="709"/>
    </w:pPr>
    <w:rPr>
      <w:rFonts w:ascii="Arial" w:hAnsi="Arial"/>
      <w:b/>
      <w:kern w:val="28"/>
      <w:sz w:val="24"/>
    </w:rPr>
  </w:style>
  <w:style w:type="paragraph" w:customStyle="1" w:styleId="LongT">
    <w:name w:val="LongT"/>
    <w:basedOn w:val="OPCParaBase"/>
    <w:semiHidden/>
    <w:rsid w:val="00F61B09"/>
    <w:pPr>
      <w:spacing w:line="240" w:lineRule="auto"/>
    </w:pPr>
    <w:rPr>
      <w:b/>
      <w:sz w:val="32"/>
    </w:rPr>
  </w:style>
  <w:style w:type="paragraph" w:customStyle="1" w:styleId="notedraft">
    <w:name w:val="note(draft)"/>
    <w:aliases w:val="nd"/>
    <w:basedOn w:val="OPCParaBase"/>
    <w:semiHidden/>
    <w:rsid w:val="00F61B09"/>
    <w:pPr>
      <w:spacing w:before="240" w:line="240" w:lineRule="auto"/>
      <w:ind w:left="284" w:hanging="284"/>
    </w:pPr>
    <w:rPr>
      <w:i/>
      <w:sz w:val="24"/>
    </w:rPr>
  </w:style>
  <w:style w:type="paragraph" w:customStyle="1" w:styleId="notemargin">
    <w:name w:val="note(margin)"/>
    <w:aliases w:val="nm"/>
    <w:basedOn w:val="OPCParaBase"/>
    <w:semiHidden/>
    <w:rsid w:val="00F61B09"/>
    <w:pPr>
      <w:tabs>
        <w:tab w:val="left" w:pos="709"/>
      </w:tabs>
      <w:spacing w:before="122" w:line="198" w:lineRule="exact"/>
      <w:ind w:left="709" w:hanging="709"/>
    </w:pPr>
    <w:rPr>
      <w:sz w:val="18"/>
    </w:rPr>
  </w:style>
  <w:style w:type="paragraph" w:customStyle="1" w:styleId="noteToPara">
    <w:name w:val="noteToPara"/>
    <w:aliases w:val="ntp"/>
    <w:basedOn w:val="OPCParaBase"/>
    <w:semiHidden/>
    <w:rsid w:val="00F61B09"/>
    <w:pPr>
      <w:spacing w:before="122" w:line="198" w:lineRule="exact"/>
      <w:ind w:left="2353" w:hanging="709"/>
    </w:pPr>
    <w:rPr>
      <w:sz w:val="18"/>
    </w:rPr>
  </w:style>
  <w:style w:type="paragraph" w:customStyle="1" w:styleId="noteParlAmend">
    <w:name w:val="note(ParlAmend)"/>
    <w:aliases w:val="npp"/>
    <w:basedOn w:val="OPCParaBase"/>
    <w:next w:val="ParlAmend"/>
    <w:semiHidden/>
    <w:rsid w:val="00F61B09"/>
    <w:pPr>
      <w:spacing w:line="240" w:lineRule="auto"/>
      <w:jc w:val="right"/>
    </w:pPr>
    <w:rPr>
      <w:rFonts w:ascii="Arial" w:hAnsi="Arial"/>
      <w:b/>
      <w:i/>
    </w:rPr>
  </w:style>
  <w:style w:type="paragraph" w:customStyle="1" w:styleId="Page1">
    <w:name w:val="Page1"/>
    <w:basedOn w:val="OPCParaBase"/>
    <w:semiHidden/>
    <w:rsid w:val="00F61B09"/>
    <w:pPr>
      <w:spacing w:before="5600" w:line="240" w:lineRule="auto"/>
    </w:pPr>
    <w:rPr>
      <w:b/>
      <w:sz w:val="32"/>
    </w:rPr>
  </w:style>
  <w:style w:type="paragraph" w:customStyle="1" w:styleId="PageBreak">
    <w:name w:val="PageBreak"/>
    <w:aliases w:val="pb"/>
    <w:basedOn w:val="OPCParaBase"/>
    <w:semiHidden/>
    <w:rsid w:val="00F61B09"/>
    <w:pPr>
      <w:spacing w:line="240" w:lineRule="auto"/>
    </w:pPr>
    <w:rPr>
      <w:sz w:val="20"/>
    </w:rPr>
  </w:style>
  <w:style w:type="paragraph" w:customStyle="1" w:styleId="paragraphsub">
    <w:name w:val="paragraph(sub)"/>
    <w:aliases w:val="aa"/>
    <w:basedOn w:val="OPCParaBase"/>
    <w:semiHidden/>
    <w:rsid w:val="00F61B09"/>
    <w:pPr>
      <w:tabs>
        <w:tab w:val="right" w:pos="1985"/>
      </w:tabs>
      <w:spacing w:before="40" w:line="240" w:lineRule="auto"/>
      <w:ind w:left="2098" w:hanging="2098"/>
    </w:pPr>
  </w:style>
  <w:style w:type="paragraph" w:customStyle="1" w:styleId="paragraphsub-sub">
    <w:name w:val="paragraph(sub-sub)"/>
    <w:aliases w:val="aaa"/>
    <w:basedOn w:val="OPCParaBase"/>
    <w:semiHidden/>
    <w:rsid w:val="00F61B09"/>
    <w:pPr>
      <w:tabs>
        <w:tab w:val="right" w:pos="2722"/>
      </w:tabs>
      <w:spacing w:before="40" w:line="240" w:lineRule="auto"/>
      <w:ind w:left="2835" w:hanging="2835"/>
    </w:pPr>
  </w:style>
  <w:style w:type="paragraph" w:customStyle="1" w:styleId="LI-BodyTextParaa">
    <w:name w:val="LI - Body Text Para (a)"/>
    <w:basedOn w:val="OPCParaBase"/>
    <w:link w:val="LI-BodyTextParaaChar"/>
    <w:rsid w:val="00FC3EB8"/>
    <w:pPr>
      <w:spacing w:before="240" w:line="240" w:lineRule="auto"/>
      <w:ind w:left="1701" w:hanging="567"/>
    </w:pPr>
    <w:rPr>
      <w:sz w:val="24"/>
      <w:szCs w:val="24"/>
    </w:rPr>
  </w:style>
  <w:style w:type="paragraph" w:customStyle="1" w:styleId="ParlAmend">
    <w:name w:val="ParlAmend"/>
    <w:aliases w:val="pp"/>
    <w:basedOn w:val="OPCParaBase"/>
    <w:semiHidden/>
    <w:rsid w:val="00F61B09"/>
    <w:pPr>
      <w:spacing w:before="240" w:line="240" w:lineRule="atLeast"/>
      <w:ind w:hanging="567"/>
    </w:pPr>
    <w:rPr>
      <w:sz w:val="24"/>
    </w:rPr>
  </w:style>
  <w:style w:type="paragraph" w:customStyle="1" w:styleId="Penalty">
    <w:name w:val="Penalty"/>
    <w:basedOn w:val="OPCParaBase"/>
    <w:semiHidden/>
    <w:rsid w:val="00F61B09"/>
    <w:pPr>
      <w:tabs>
        <w:tab w:val="left" w:pos="2977"/>
      </w:tabs>
      <w:spacing w:before="180" w:line="240" w:lineRule="auto"/>
      <w:ind w:left="1985" w:hanging="851"/>
    </w:pPr>
  </w:style>
  <w:style w:type="paragraph" w:customStyle="1" w:styleId="Portfolio">
    <w:name w:val="Portfolio"/>
    <w:basedOn w:val="OPCParaBase"/>
    <w:semiHidden/>
    <w:rsid w:val="00F61B09"/>
    <w:pPr>
      <w:spacing w:line="240" w:lineRule="auto"/>
    </w:pPr>
    <w:rPr>
      <w:i/>
      <w:sz w:val="20"/>
    </w:rPr>
  </w:style>
  <w:style w:type="paragraph" w:customStyle="1" w:styleId="Preamble">
    <w:name w:val="Preamble"/>
    <w:basedOn w:val="OPCParaBase"/>
    <w:next w:val="Normal"/>
    <w:semiHidden/>
    <w:rsid w:val="00F61B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semiHidden/>
    <w:rsid w:val="00F61B09"/>
    <w:pPr>
      <w:spacing w:line="240" w:lineRule="auto"/>
    </w:pPr>
    <w:rPr>
      <w:i/>
      <w:sz w:val="20"/>
    </w:rPr>
  </w:style>
  <w:style w:type="paragraph" w:customStyle="1" w:styleId="Session">
    <w:name w:val="Session"/>
    <w:basedOn w:val="OPCParaBase"/>
    <w:semiHidden/>
    <w:rsid w:val="00F61B09"/>
    <w:pPr>
      <w:spacing w:line="240" w:lineRule="auto"/>
    </w:pPr>
    <w:rPr>
      <w:sz w:val="28"/>
    </w:rPr>
  </w:style>
  <w:style w:type="paragraph" w:customStyle="1" w:styleId="Sponsor">
    <w:name w:val="Sponsor"/>
    <w:basedOn w:val="OPCParaBase"/>
    <w:semiHidden/>
    <w:rsid w:val="00F61B09"/>
    <w:pPr>
      <w:spacing w:line="240" w:lineRule="auto"/>
    </w:pPr>
    <w:rPr>
      <w:i/>
    </w:rPr>
  </w:style>
  <w:style w:type="paragraph" w:customStyle="1" w:styleId="Subitem">
    <w:name w:val="Subitem"/>
    <w:aliases w:val="iss"/>
    <w:basedOn w:val="OPCParaBase"/>
    <w:semiHidden/>
    <w:rsid w:val="00F61B09"/>
    <w:pPr>
      <w:spacing w:before="180" w:line="240" w:lineRule="auto"/>
      <w:ind w:left="709" w:hanging="709"/>
    </w:pPr>
  </w:style>
  <w:style w:type="paragraph" w:customStyle="1" w:styleId="SubitemHead">
    <w:name w:val="SubitemHead"/>
    <w:aliases w:val="issh"/>
    <w:basedOn w:val="OPCParaBase"/>
    <w:semiHidden/>
    <w:rsid w:val="00F61B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LI-BodyTextUnnumbered"/>
    <w:semiHidden/>
    <w:rsid w:val="00F61B09"/>
    <w:pPr>
      <w:spacing w:before="40" w:line="240" w:lineRule="auto"/>
      <w:ind w:left="1134"/>
    </w:pPr>
  </w:style>
  <w:style w:type="paragraph" w:customStyle="1" w:styleId="LI-Heading3">
    <w:name w:val="LI - Heading 3"/>
    <w:basedOn w:val="OPCParaBase"/>
    <w:next w:val="LI-BodyTextUnnumbered"/>
    <w:rsid w:val="00005446"/>
    <w:pPr>
      <w:keepNext/>
      <w:keepLines/>
      <w:spacing w:before="240" w:line="240" w:lineRule="auto"/>
      <w:ind w:left="567"/>
      <w:outlineLvl w:val="2"/>
    </w:pPr>
    <w:rPr>
      <w:i/>
    </w:rPr>
  </w:style>
  <w:style w:type="paragraph" w:customStyle="1" w:styleId="Tablea">
    <w:name w:val="Table(a)"/>
    <w:aliases w:val="ta"/>
    <w:basedOn w:val="OPCParaBase"/>
    <w:semiHidden/>
    <w:rsid w:val="00F61B09"/>
    <w:pPr>
      <w:spacing w:before="60" w:line="240" w:lineRule="auto"/>
      <w:ind w:left="284" w:hanging="284"/>
    </w:pPr>
    <w:rPr>
      <w:sz w:val="20"/>
    </w:rPr>
  </w:style>
  <w:style w:type="paragraph" w:customStyle="1" w:styleId="TableAA">
    <w:name w:val="Table(AA)"/>
    <w:aliases w:val="taaa"/>
    <w:basedOn w:val="OPCParaBase"/>
    <w:semiHidden/>
    <w:rsid w:val="00F61B09"/>
    <w:pPr>
      <w:tabs>
        <w:tab w:val="left" w:pos="-6543"/>
        <w:tab w:val="left" w:pos="-6260"/>
      </w:tabs>
      <w:spacing w:line="240" w:lineRule="exact"/>
      <w:ind w:left="1055" w:hanging="284"/>
    </w:pPr>
    <w:rPr>
      <w:sz w:val="20"/>
    </w:rPr>
  </w:style>
  <w:style w:type="paragraph" w:customStyle="1" w:styleId="Tablei">
    <w:name w:val="Table(i)"/>
    <w:aliases w:val="taa"/>
    <w:basedOn w:val="OPCParaBase"/>
    <w:semiHidden/>
    <w:rsid w:val="00F61B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semiHidden/>
    <w:rsid w:val="00F61B09"/>
    <w:pPr>
      <w:spacing w:before="60" w:line="240" w:lineRule="atLeast"/>
    </w:pPr>
    <w:rPr>
      <w:sz w:val="20"/>
    </w:rPr>
  </w:style>
  <w:style w:type="paragraph" w:customStyle="1" w:styleId="TLPBoxTextnote">
    <w:name w:val="TLPBoxText(note"/>
    <w:aliases w:val="right)"/>
    <w:basedOn w:val="OPCParaBase"/>
    <w:semiHidden/>
    <w:rsid w:val="00F61B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semiHidden/>
    <w:rsid w:val="00F61B0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semiHidden/>
    <w:rsid w:val="00F61B09"/>
    <w:pPr>
      <w:spacing w:before="122" w:line="198" w:lineRule="exact"/>
      <w:ind w:left="1985" w:hanging="851"/>
      <w:jc w:val="right"/>
    </w:pPr>
    <w:rPr>
      <w:sz w:val="18"/>
    </w:rPr>
  </w:style>
  <w:style w:type="paragraph" w:customStyle="1" w:styleId="TLPTableBullet">
    <w:name w:val="TLPTableBullet"/>
    <w:aliases w:val="ttb"/>
    <w:basedOn w:val="OPCParaBase"/>
    <w:semiHidden/>
    <w:rsid w:val="00F61B09"/>
    <w:pPr>
      <w:spacing w:line="240" w:lineRule="exact"/>
      <w:ind w:left="284" w:hanging="284"/>
    </w:pPr>
    <w:rPr>
      <w:sz w:val="20"/>
    </w:rPr>
  </w:style>
  <w:style w:type="paragraph" w:styleId="TOC1">
    <w:name w:val="toc 1"/>
    <w:basedOn w:val="OPCParaBase"/>
    <w:next w:val="Normal"/>
    <w:uiPriority w:val="39"/>
    <w:unhideWhenUsed/>
    <w:rsid w:val="006E5320"/>
    <w:pPr>
      <w:keepNext/>
      <w:keepLines/>
      <w:tabs>
        <w:tab w:val="right" w:pos="8278"/>
      </w:tabs>
      <w:spacing w:before="120" w:line="240" w:lineRule="auto"/>
      <w:ind w:left="1474" w:right="567" w:hanging="1474"/>
    </w:pPr>
    <w:rPr>
      <w:b/>
      <w:kern w:val="28"/>
      <w:sz w:val="24"/>
    </w:rPr>
  </w:style>
  <w:style w:type="paragraph" w:styleId="TOC2">
    <w:name w:val="toc 2"/>
    <w:basedOn w:val="OPCParaBase"/>
    <w:next w:val="Normal"/>
    <w:uiPriority w:val="39"/>
    <w:unhideWhenUsed/>
    <w:rsid w:val="006E5320"/>
    <w:pPr>
      <w:keepNext/>
      <w:keepLines/>
      <w:tabs>
        <w:tab w:val="right" w:leader="dot" w:pos="8278"/>
      </w:tabs>
      <w:spacing w:before="120" w:line="240" w:lineRule="auto"/>
      <w:ind w:left="851" w:hanging="284"/>
    </w:pPr>
    <w:rPr>
      <w:kern w:val="28"/>
      <w:sz w:val="24"/>
    </w:rPr>
  </w:style>
  <w:style w:type="paragraph" w:styleId="TOC3">
    <w:name w:val="toc 3"/>
    <w:basedOn w:val="OPCParaBase"/>
    <w:next w:val="Normal"/>
    <w:uiPriority w:val="39"/>
    <w:unhideWhenUsed/>
    <w:rsid w:val="00F61B0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61B0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61B0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61B0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61B0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61B0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61B0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semiHidden/>
    <w:rsid w:val="00F61B09"/>
    <w:pPr>
      <w:keepLines/>
      <w:spacing w:before="240" w:after="120" w:line="240" w:lineRule="auto"/>
      <w:ind w:left="794"/>
    </w:pPr>
    <w:rPr>
      <w:b/>
      <w:kern w:val="28"/>
      <w:sz w:val="20"/>
    </w:rPr>
  </w:style>
  <w:style w:type="paragraph" w:customStyle="1" w:styleId="TofSectsHeading">
    <w:name w:val="TofSects(Heading)"/>
    <w:basedOn w:val="OPCParaBase"/>
    <w:semiHidden/>
    <w:rsid w:val="00F61B09"/>
    <w:pPr>
      <w:spacing w:before="240" w:after="120" w:line="240" w:lineRule="auto"/>
    </w:pPr>
    <w:rPr>
      <w:b/>
      <w:sz w:val="24"/>
    </w:rPr>
  </w:style>
  <w:style w:type="paragraph" w:customStyle="1" w:styleId="TofSectsSection">
    <w:name w:val="TofSects(Section)"/>
    <w:basedOn w:val="OPCParaBase"/>
    <w:semiHidden/>
    <w:rsid w:val="00F61B09"/>
    <w:pPr>
      <w:keepLines/>
      <w:spacing w:before="40" w:line="240" w:lineRule="auto"/>
      <w:ind w:left="1588" w:hanging="794"/>
    </w:pPr>
    <w:rPr>
      <w:kern w:val="28"/>
      <w:sz w:val="18"/>
    </w:rPr>
  </w:style>
  <w:style w:type="paragraph" w:customStyle="1" w:styleId="TofSectsSubdiv">
    <w:name w:val="TofSects(Subdiv)"/>
    <w:basedOn w:val="OPCParaBase"/>
    <w:semiHidden/>
    <w:rsid w:val="00F61B09"/>
    <w:pPr>
      <w:keepLines/>
      <w:spacing w:before="80" w:line="240" w:lineRule="auto"/>
      <w:ind w:left="1588" w:hanging="794"/>
    </w:pPr>
    <w:rPr>
      <w:kern w:val="28"/>
    </w:rPr>
  </w:style>
  <w:style w:type="paragraph" w:customStyle="1" w:styleId="WRStyle">
    <w:name w:val="WR Style"/>
    <w:aliases w:val="WR"/>
    <w:basedOn w:val="OPCParaBase"/>
    <w:semiHidden/>
    <w:rsid w:val="00F61B09"/>
    <w:pPr>
      <w:spacing w:before="240" w:line="240" w:lineRule="auto"/>
      <w:ind w:left="284" w:hanging="284"/>
    </w:pPr>
    <w:rPr>
      <w:b/>
      <w:i/>
      <w:kern w:val="28"/>
      <w:sz w:val="24"/>
    </w:rPr>
  </w:style>
  <w:style w:type="paragraph" w:customStyle="1" w:styleId="notepara">
    <w:name w:val="note(para)"/>
    <w:aliases w:val="na"/>
    <w:basedOn w:val="OPCParaBase"/>
    <w:semiHidden/>
    <w:rsid w:val="00F61B09"/>
    <w:pPr>
      <w:spacing w:before="40" w:line="198" w:lineRule="exact"/>
      <w:ind w:left="2354" w:hanging="369"/>
    </w:pPr>
    <w:rPr>
      <w:sz w:val="18"/>
    </w:rPr>
  </w:style>
  <w:style w:type="paragraph" w:styleId="Footer">
    <w:name w:val="footer"/>
    <w:link w:val="FooterChar"/>
    <w:uiPriority w:val="99"/>
    <w:rsid w:val="00F61B09"/>
    <w:pPr>
      <w:tabs>
        <w:tab w:val="center" w:pos="4153"/>
        <w:tab w:val="right" w:pos="8306"/>
      </w:tabs>
    </w:pPr>
    <w:rPr>
      <w:rFonts w:eastAsia="Times New Roman"/>
      <w:sz w:val="22"/>
      <w:szCs w:val="24"/>
    </w:rPr>
  </w:style>
  <w:style w:type="character" w:customStyle="1" w:styleId="FooterChar">
    <w:name w:val="Footer Char"/>
    <w:link w:val="Footer"/>
    <w:uiPriority w:val="99"/>
    <w:rsid w:val="00F61B09"/>
    <w:rPr>
      <w:rFonts w:eastAsia="Times New Roman" w:cs="Times New Roman"/>
      <w:sz w:val="22"/>
      <w:szCs w:val="24"/>
      <w:lang w:eastAsia="en-AU"/>
    </w:rPr>
  </w:style>
  <w:style w:type="character" w:styleId="LineNumber">
    <w:name w:val="line number"/>
    <w:uiPriority w:val="99"/>
    <w:semiHidden/>
    <w:unhideWhenUsed/>
    <w:rsid w:val="00F61B09"/>
    <w:rPr>
      <w:sz w:val="16"/>
    </w:rPr>
  </w:style>
  <w:style w:type="table" w:customStyle="1" w:styleId="CFlag">
    <w:name w:val="CFlag"/>
    <w:basedOn w:val="TableNormal"/>
    <w:uiPriority w:val="99"/>
    <w:rsid w:val="00F61B09"/>
    <w:rPr>
      <w:rFonts w:eastAsia="Times New Roman"/>
    </w:rPr>
    <w:tblPr/>
  </w:style>
  <w:style w:type="paragraph" w:styleId="BalloonText">
    <w:name w:val="Balloon Text"/>
    <w:basedOn w:val="Normal"/>
    <w:link w:val="BalloonTextChar"/>
    <w:uiPriority w:val="99"/>
    <w:semiHidden/>
    <w:unhideWhenUsed/>
    <w:rsid w:val="00F61B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61B09"/>
    <w:rPr>
      <w:rFonts w:ascii="Tahoma" w:hAnsi="Tahoma" w:cs="Tahoma"/>
      <w:sz w:val="16"/>
      <w:szCs w:val="16"/>
    </w:rPr>
  </w:style>
  <w:style w:type="table" w:styleId="TableGrid">
    <w:name w:val="Table Grid"/>
    <w:basedOn w:val="TableNormal"/>
    <w:uiPriority w:val="59"/>
    <w:rsid w:val="00F61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semiHidden/>
    <w:rsid w:val="00F61B09"/>
    <w:rPr>
      <w:b/>
      <w:sz w:val="28"/>
      <w:szCs w:val="32"/>
    </w:rPr>
  </w:style>
  <w:style w:type="paragraph" w:customStyle="1" w:styleId="LegislationMadeUnder">
    <w:name w:val="LegislationMadeUnder"/>
    <w:basedOn w:val="OPCParaBase"/>
    <w:next w:val="Normal"/>
    <w:semiHidden/>
    <w:rsid w:val="00F61B09"/>
    <w:rPr>
      <w:i/>
      <w:sz w:val="32"/>
      <w:szCs w:val="32"/>
    </w:rPr>
  </w:style>
  <w:style w:type="paragraph" w:customStyle="1" w:styleId="SignCoverPageEnd">
    <w:name w:val="SignCoverPageEnd"/>
    <w:basedOn w:val="OPCParaBase"/>
    <w:next w:val="Normal"/>
    <w:semiHidden/>
    <w:rsid w:val="00F61B09"/>
    <w:pPr>
      <w:keepNext/>
      <w:pBdr>
        <w:bottom w:val="single" w:sz="4" w:space="12" w:color="auto"/>
      </w:pBdr>
      <w:tabs>
        <w:tab w:val="left" w:pos="3402"/>
      </w:tabs>
      <w:spacing w:line="300" w:lineRule="atLeast"/>
      <w:ind w:right="397"/>
    </w:pPr>
  </w:style>
  <w:style w:type="paragraph" w:customStyle="1" w:styleId="LI-Fronttext">
    <w:name w:val="LI - Front text"/>
    <w:basedOn w:val="OPCParaBase"/>
    <w:next w:val="Normal"/>
    <w:rsid w:val="00572BB1"/>
    <w:pPr>
      <w:spacing w:before="240"/>
      <w:ind w:right="397"/>
    </w:pPr>
  </w:style>
  <w:style w:type="paragraph" w:customStyle="1" w:styleId="NotesHeading1">
    <w:name w:val="NotesHeading 1"/>
    <w:basedOn w:val="OPCParaBase"/>
    <w:next w:val="Normal"/>
    <w:semiHidden/>
    <w:rsid w:val="00F61B09"/>
    <w:pPr>
      <w:outlineLvl w:val="0"/>
    </w:pPr>
    <w:rPr>
      <w:b/>
      <w:sz w:val="28"/>
      <w:szCs w:val="28"/>
    </w:rPr>
  </w:style>
  <w:style w:type="paragraph" w:customStyle="1" w:styleId="NotesHeading2">
    <w:name w:val="NotesHeading 2"/>
    <w:basedOn w:val="OPCParaBase"/>
    <w:next w:val="Normal"/>
    <w:semiHidden/>
    <w:rsid w:val="00F61B09"/>
    <w:rPr>
      <w:b/>
      <w:sz w:val="28"/>
      <w:szCs w:val="28"/>
    </w:rPr>
  </w:style>
  <w:style w:type="paragraph" w:customStyle="1" w:styleId="CompiledActNo">
    <w:name w:val="CompiledActNo"/>
    <w:basedOn w:val="OPCParaBase"/>
    <w:next w:val="Normal"/>
    <w:semiHidden/>
    <w:rsid w:val="00F61B09"/>
    <w:rPr>
      <w:b/>
      <w:sz w:val="24"/>
      <w:szCs w:val="24"/>
    </w:rPr>
  </w:style>
  <w:style w:type="paragraph" w:customStyle="1" w:styleId="ENotesText">
    <w:name w:val="ENotesText"/>
    <w:aliases w:val="Ent"/>
    <w:basedOn w:val="OPCParaBase"/>
    <w:next w:val="Normal"/>
    <w:semiHidden/>
    <w:rsid w:val="00F61B09"/>
    <w:pPr>
      <w:spacing w:before="120"/>
    </w:pPr>
  </w:style>
  <w:style w:type="paragraph" w:customStyle="1" w:styleId="CompiledMadeUnder">
    <w:name w:val="CompiledMadeUnder"/>
    <w:basedOn w:val="OPCParaBase"/>
    <w:next w:val="Normal"/>
    <w:semiHidden/>
    <w:rsid w:val="00F61B09"/>
    <w:rPr>
      <w:i/>
      <w:sz w:val="24"/>
      <w:szCs w:val="24"/>
    </w:rPr>
  </w:style>
  <w:style w:type="paragraph" w:customStyle="1" w:styleId="Paragraphsub-sub-sub">
    <w:name w:val="Paragraph(sub-sub-sub)"/>
    <w:aliases w:val="aaaa"/>
    <w:basedOn w:val="OPCParaBase"/>
    <w:semiHidden/>
    <w:rsid w:val="00F61B09"/>
    <w:pPr>
      <w:tabs>
        <w:tab w:val="right" w:pos="3402"/>
      </w:tabs>
      <w:spacing w:before="40" w:line="240" w:lineRule="auto"/>
      <w:ind w:left="3402" w:hanging="3402"/>
    </w:pPr>
  </w:style>
  <w:style w:type="paragraph" w:customStyle="1" w:styleId="TableTextEndNotes">
    <w:name w:val="TableTextEndNotes"/>
    <w:aliases w:val="Tten"/>
    <w:basedOn w:val="Normal"/>
    <w:semiHidden/>
    <w:rsid w:val="00F61B09"/>
    <w:pPr>
      <w:spacing w:before="60" w:line="240" w:lineRule="auto"/>
    </w:pPr>
    <w:rPr>
      <w:rFonts w:cs="Arial"/>
      <w:sz w:val="20"/>
      <w:szCs w:val="22"/>
    </w:rPr>
  </w:style>
  <w:style w:type="paragraph" w:customStyle="1" w:styleId="NoteToSubpara">
    <w:name w:val="NoteToSubpara"/>
    <w:aliases w:val="nts"/>
    <w:basedOn w:val="OPCParaBase"/>
    <w:semiHidden/>
    <w:rsid w:val="00F61B09"/>
    <w:pPr>
      <w:spacing w:before="40" w:line="198" w:lineRule="exact"/>
      <w:ind w:left="2835" w:hanging="709"/>
    </w:pPr>
    <w:rPr>
      <w:sz w:val="18"/>
    </w:rPr>
  </w:style>
  <w:style w:type="paragraph" w:customStyle="1" w:styleId="ENoteTableHeading">
    <w:name w:val="ENoteTableHeading"/>
    <w:aliases w:val="enth"/>
    <w:basedOn w:val="OPCParaBase"/>
    <w:semiHidden/>
    <w:rsid w:val="00F61B09"/>
    <w:pPr>
      <w:keepNext/>
      <w:spacing w:before="60" w:line="240" w:lineRule="atLeast"/>
    </w:pPr>
    <w:rPr>
      <w:rFonts w:ascii="Arial" w:hAnsi="Arial"/>
      <w:b/>
      <w:sz w:val="16"/>
    </w:rPr>
  </w:style>
  <w:style w:type="paragraph" w:customStyle="1" w:styleId="ENoteTTi">
    <w:name w:val="ENoteTTi"/>
    <w:aliases w:val="entti"/>
    <w:basedOn w:val="OPCParaBase"/>
    <w:semiHidden/>
    <w:rsid w:val="00F61B09"/>
    <w:pPr>
      <w:keepNext/>
      <w:spacing w:before="60" w:line="240" w:lineRule="atLeast"/>
      <w:ind w:left="170"/>
    </w:pPr>
    <w:rPr>
      <w:sz w:val="16"/>
    </w:rPr>
  </w:style>
  <w:style w:type="paragraph" w:customStyle="1" w:styleId="ENotesHeading1">
    <w:name w:val="ENotesHeading 1"/>
    <w:aliases w:val="Enh1"/>
    <w:basedOn w:val="OPCParaBase"/>
    <w:next w:val="Normal"/>
    <w:semiHidden/>
    <w:rsid w:val="00F61B09"/>
    <w:pPr>
      <w:spacing w:before="120"/>
      <w:outlineLvl w:val="1"/>
    </w:pPr>
    <w:rPr>
      <w:b/>
      <w:sz w:val="28"/>
      <w:szCs w:val="28"/>
    </w:rPr>
  </w:style>
  <w:style w:type="paragraph" w:customStyle="1" w:styleId="ENotesHeading2">
    <w:name w:val="ENotesHeading 2"/>
    <w:aliases w:val="Enh2"/>
    <w:basedOn w:val="OPCParaBase"/>
    <w:next w:val="Normal"/>
    <w:semiHidden/>
    <w:rsid w:val="00F61B09"/>
    <w:pPr>
      <w:spacing w:before="120" w:after="120"/>
      <w:outlineLvl w:val="2"/>
    </w:pPr>
    <w:rPr>
      <w:b/>
      <w:sz w:val="24"/>
      <w:szCs w:val="28"/>
    </w:rPr>
  </w:style>
  <w:style w:type="paragraph" w:customStyle="1" w:styleId="ENoteTTIndentHeading">
    <w:name w:val="ENoteTTIndentHeading"/>
    <w:aliases w:val="enTTHi"/>
    <w:basedOn w:val="OPCParaBase"/>
    <w:semiHidden/>
    <w:rsid w:val="00F61B09"/>
    <w:pPr>
      <w:keepNext/>
      <w:spacing w:before="60" w:line="240" w:lineRule="atLeast"/>
      <w:ind w:left="170"/>
    </w:pPr>
    <w:rPr>
      <w:rFonts w:cs="Arial"/>
      <w:b/>
      <w:sz w:val="16"/>
      <w:szCs w:val="16"/>
    </w:rPr>
  </w:style>
  <w:style w:type="paragraph" w:customStyle="1" w:styleId="ENoteTableText">
    <w:name w:val="ENoteTableText"/>
    <w:aliases w:val="entt"/>
    <w:basedOn w:val="OPCParaBase"/>
    <w:semiHidden/>
    <w:rsid w:val="00F61B09"/>
    <w:pPr>
      <w:spacing w:before="60" w:line="240" w:lineRule="atLeast"/>
    </w:pPr>
    <w:rPr>
      <w:sz w:val="16"/>
    </w:rPr>
  </w:style>
  <w:style w:type="paragraph" w:customStyle="1" w:styleId="MadeunderText">
    <w:name w:val="MadeunderText"/>
    <w:basedOn w:val="OPCParaBase"/>
    <w:next w:val="CompiledMadeUnder"/>
    <w:semiHidden/>
    <w:rsid w:val="00F61B09"/>
    <w:pPr>
      <w:spacing w:before="240"/>
    </w:pPr>
    <w:rPr>
      <w:sz w:val="24"/>
      <w:szCs w:val="24"/>
    </w:rPr>
  </w:style>
  <w:style w:type="paragraph" w:customStyle="1" w:styleId="ENotesHeading3">
    <w:name w:val="ENotesHeading 3"/>
    <w:aliases w:val="Enh3"/>
    <w:basedOn w:val="OPCParaBase"/>
    <w:next w:val="Normal"/>
    <w:semiHidden/>
    <w:rsid w:val="00F61B09"/>
    <w:pPr>
      <w:keepNext/>
      <w:spacing w:before="120" w:line="240" w:lineRule="auto"/>
      <w:outlineLvl w:val="4"/>
    </w:pPr>
    <w:rPr>
      <w:b/>
      <w:szCs w:val="24"/>
    </w:rPr>
  </w:style>
  <w:style w:type="paragraph" w:customStyle="1" w:styleId="SubPartCASA">
    <w:name w:val="SubPart(CASA)"/>
    <w:aliases w:val="csp"/>
    <w:basedOn w:val="OPCParaBase"/>
    <w:next w:val="ActHead3"/>
    <w:semiHidden/>
    <w:rsid w:val="00F61B09"/>
    <w:pPr>
      <w:keepNext/>
      <w:keepLines/>
      <w:spacing w:before="280"/>
      <w:outlineLvl w:val="1"/>
    </w:pPr>
    <w:rPr>
      <w:b/>
      <w:kern w:val="28"/>
      <w:sz w:val="32"/>
    </w:rPr>
  </w:style>
  <w:style w:type="character" w:customStyle="1" w:styleId="CharSubPartTextCASA">
    <w:name w:val="CharSubPartText(CASA)"/>
    <w:basedOn w:val="OPCCharBase"/>
    <w:uiPriority w:val="1"/>
    <w:semiHidden/>
    <w:rsid w:val="00F61B09"/>
  </w:style>
  <w:style w:type="character" w:customStyle="1" w:styleId="CharSubPartNoCASA">
    <w:name w:val="CharSubPartNo(CASA)"/>
    <w:basedOn w:val="OPCCharBase"/>
    <w:uiPriority w:val="1"/>
    <w:semiHidden/>
    <w:rsid w:val="00F61B09"/>
  </w:style>
  <w:style w:type="paragraph" w:customStyle="1" w:styleId="ENoteTTIndentHeadingSub">
    <w:name w:val="ENoteTTIndentHeadingSub"/>
    <w:aliases w:val="enTTHis"/>
    <w:basedOn w:val="OPCParaBase"/>
    <w:semiHidden/>
    <w:rsid w:val="00F61B09"/>
    <w:pPr>
      <w:keepNext/>
      <w:spacing w:before="60" w:line="240" w:lineRule="atLeast"/>
      <w:ind w:left="340"/>
    </w:pPr>
    <w:rPr>
      <w:b/>
      <w:sz w:val="16"/>
    </w:rPr>
  </w:style>
  <w:style w:type="paragraph" w:customStyle="1" w:styleId="ENoteTTiSub">
    <w:name w:val="ENoteTTiSub"/>
    <w:aliases w:val="enttis"/>
    <w:basedOn w:val="OPCParaBase"/>
    <w:semiHidden/>
    <w:rsid w:val="00F61B09"/>
    <w:pPr>
      <w:keepNext/>
      <w:spacing w:before="60" w:line="240" w:lineRule="atLeast"/>
      <w:ind w:left="340"/>
    </w:pPr>
    <w:rPr>
      <w:sz w:val="16"/>
    </w:rPr>
  </w:style>
  <w:style w:type="paragraph" w:customStyle="1" w:styleId="SubDivisionMigration">
    <w:name w:val="SubDivisionMigration"/>
    <w:aliases w:val="sdm"/>
    <w:basedOn w:val="OPCParaBase"/>
    <w:semiHidden/>
    <w:rsid w:val="00F61B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semiHidden/>
    <w:rsid w:val="00F61B09"/>
    <w:pPr>
      <w:keepNext/>
      <w:keepLines/>
      <w:spacing w:before="240" w:line="240" w:lineRule="auto"/>
      <w:ind w:left="1134" w:hanging="1134"/>
    </w:pPr>
    <w:rPr>
      <w:b/>
      <w:sz w:val="28"/>
    </w:rPr>
  </w:style>
  <w:style w:type="paragraph" w:customStyle="1" w:styleId="LI-BodyTextNote">
    <w:name w:val="LI - Body Text Note"/>
    <w:basedOn w:val="OPCParaBase"/>
    <w:link w:val="LI-BodyTextNoteChar"/>
    <w:rsid w:val="00572BB1"/>
    <w:pPr>
      <w:spacing w:before="200" w:line="240" w:lineRule="auto"/>
      <w:ind w:left="1701" w:hanging="567"/>
    </w:pPr>
    <w:rPr>
      <w:sz w:val="18"/>
    </w:rPr>
  </w:style>
  <w:style w:type="paragraph" w:customStyle="1" w:styleId="FreeForm">
    <w:name w:val="FreeForm"/>
    <w:rsid w:val="00E11E44"/>
    <w:rPr>
      <w:rFonts w:ascii="Arial" w:hAnsi="Arial"/>
      <w:sz w:val="22"/>
      <w:lang w:eastAsia="en-US"/>
    </w:rPr>
  </w:style>
  <w:style w:type="paragraph" w:customStyle="1" w:styleId="SOText">
    <w:name w:val="SO Text"/>
    <w:aliases w:val="sot"/>
    <w:link w:val="SOTextChar"/>
    <w:semiHidden/>
    <w:rsid w:val="00F61B09"/>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semiHidden/>
    <w:rsid w:val="005F65CD"/>
    <w:rPr>
      <w:sz w:val="22"/>
      <w:lang w:eastAsia="en-US"/>
    </w:rPr>
  </w:style>
  <w:style w:type="paragraph" w:customStyle="1" w:styleId="SOTextNote">
    <w:name w:val="SO TextNote"/>
    <w:aliases w:val="sont"/>
    <w:basedOn w:val="SOText"/>
    <w:semiHidden/>
    <w:qFormat/>
    <w:rsid w:val="00F61B09"/>
    <w:pPr>
      <w:spacing w:before="122" w:line="198" w:lineRule="exact"/>
      <w:ind w:left="1843" w:hanging="709"/>
    </w:pPr>
    <w:rPr>
      <w:sz w:val="18"/>
    </w:rPr>
  </w:style>
  <w:style w:type="paragraph" w:customStyle="1" w:styleId="SOPara">
    <w:name w:val="SO Para"/>
    <w:aliases w:val="soa"/>
    <w:basedOn w:val="SOText"/>
    <w:link w:val="SOParaChar"/>
    <w:semiHidden/>
    <w:qFormat/>
    <w:rsid w:val="00F61B09"/>
    <w:pPr>
      <w:tabs>
        <w:tab w:val="right" w:pos="1786"/>
      </w:tabs>
      <w:spacing w:before="40"/>
      <w:ind w:left="2070" w:hanging="936"/>
    </w:pPr>
  </w:style>
  <w:style w:type="character" w:customStyle="1" w:styleId="SOParaChar">
    <w:name w:val="SO Para Char"/>
    <w:aliases w:val="soa Char"/>
    <w:link w:val="SOPara"/>
    <w:semiHidden/>
    <w:rsid w:val="005F65CD"/>
    <w:rPr>
      <w:sz w:val="22"/>
      <w:lang w:eastAsia="en-US"/>
    </w:rPr>
  </w:style>
  <w:style w:type="paragraph" w:customStyle="1" w:styleId="FileName">
    <w:name w:val="FileName"/>
    <w:basedOn w:val="Normal"/>
    <w:semiHidden/>
    <w:rsid w:val="00F61B09"/>
  </w:style>
  <w:style w:type="paragraph" w:customStyle="1" w:styleId="TableHeading">
    <w:name w:val="TableHeading"/>
    <w:aliases w:val="th"/>
    <w:basedOn w:val="OPCParaBase"/>
    <w:next w:val="Tabletext"/>
    <w:semiHidden/>
    <w:rsid w:val="00F61B09"/>
    <w:pPr>
      <w:keepNext/>
      <w:spacing w:before="60" w:line="240" w:lineRule="atLeast"/>
    </w:pPr>
    <w:rPr>
      <w:b/>
      <w:sz w:val="20"/>
    </w:rPr>
  </w:style>
  <w:style w:type="paragraph" w:customStyle="1" w:styleId="SOHeadBold">
    <w:name w:val="SO HeadBold"/>
    <w:aliases w:val="sohb"/>
    <w:basedOn w:val="SOText"/>
    <w:next w:val="SOText"/>
    <w:link w:val="SOHeadBoldChar"/>
    <w:semiHidden/>
    <w:qFormat/>
    <w:rsid w:val="00F61B09"/>
    <w:rPr>
      <w:b/>
    </w:rPr>
  </w:style>
  <w:style w:type="character" w:customStyle="1" w:styleId="SOHeadBoldChar">
    <w:name w:val="SO HeadBold Char"/>
    <w:aliases w:val="sohb Char"/>
    <w:link w:val="SOHeadBold"/>
    <w:semiHidden/>
    <w:rsid w:val="005F65CD"/>
    <w:rPr>
      <w:b/>
      <w:sz w:val="22"/>
      <w:lang w:eastAsia="en-US"/>
    </w:rPr>
  </w:style>
  <w:style w:type="paragraph" w:customStyle="1" w:styleId="SOHeadItalic">
    <w:name w:val="SO HeadItalic"/>
    <w:aliases w:val="sohi"/>
    <w:basedOn w:val="SOText"/>
    <w:next w:val="SOText"/>
    <w:link w:val="SOHeadItalicChar"/>
    <w:semiHidden/>
    <w:qFormat/>
    <w:rsid w:val="00F61B09"/>
    <w:rPr>
      <w:i/>
    </w:rPr>
  </w:style>
  <w:style w:type="character" w:customStyle="1" w:styleId="SOHeadItalicChar">
    <w:name w:val="SO HeadItalic Char"/>
    <w:aliases w:val="sohi Char"/>
    <w:link w:val="SOHeadItalic"/>
    <w:semiHidden/>
    <w:rsid w:val="005F65CD"/>
    <w:rPr>
      <w:i/>
      <w:sz w:val="22"/>
      <w:lang w:eastAsia="en-US"/>
    </w:rPr>
  </w:style>
  <w:style w:type="paragraph" w:customStyle="1" w:styleId="SOBullet">
    <w:name w:val="SO Bullet"/>
    <w:aliases w:val="sotb"/>
    <w:basedOn w:val="SOText"/>
    <w:link w:val="SOBulletChar"/>
    <w:semiHidden/>
    <w:qFormat/>
    <w:rsid w:val="00F61B09"/>
    <w:pPr>
      <w:ind w:left="1559" w:hanging="425"/>
    </w:pPr>
  </w:style>
  <w:style w:type="character" w:customStyle="1" w:styleId="SOBulletChar">
    <w:name w:val="SO Bullet Char"/>
    <w:aliases w:val="sotb Char"/>
    <w:link w:val="SOBullet"/>
    <w:semiHidden/>
    <w:rsid w:val="005F65CD"/>
    <w:rPr>
      <w:sz w:val="22"/>
      <w:lang w:eastAsia="en-US"/>
    </w:rPr>
  </w:style>
  <w:style w:type="paragraph" w:customStyle="1" w:styleId="SOBulletNote">
    <w:name w:val="SO BulletNote"/>
    <w:aliases w:val="sonb"/>
    <w:basedOn w:val="SOTextNote"/>
    <w:link w:val="SOBulletNoteChar"/>
    <w:semiHidden/>
    <w:qFormat/>
    <w:rsid w:val="00F61B09"/>
    <w:pPr>
      <w:tabs>
        <w:tab w:val="left" w:pos="1560"/>
      </w:tabs>
      <w:ind w:left="2268" w:hanging="1134"/>
    </w:pPr>
  </w:style>
  <w:style w:type="character" w:customStyle="1" w:styleId="SOBulletNoteChar">
    <w:name w:val="SO BulletNote Char"/>
    <w:aliases w:val="sonb Char"/>
    <w:link w:val="SOBulletNote"/>
    <w:semiHidden/>
    <w:rsid w:val="005F65CD"/>
    <w:rPr>
      <w:sz w:val="18"/>
      <w:lang w:eastAsia="en-US"/>
    </w:rPr>
  </w:style>
  <w:style w:type="paragraph" w:customStyle="1" w:styleId="SOText2">
    <w:name w:val="SO Text2"/>
    <w:aliases w:val="sot2"/>
    <w:basedOn w:val="Normal"/>
    <w:next w:val="SOText"/>
    <w:link w:val="SOText2Char"/>
    <w:semiHidden/>
    <w:rsid w:val="00F61B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semiHidden/>
    <w:rsid w:val="005F65CD"/>
    <w:rPr>
      <w:sz w:val="22"/>
      <w:lang w:eastAsia="en-US"/>
    </w:rPr>
  </w:style>
  <w:style w:type="paragraph" w:styleId="BodyText">
    <w:name w:val="Body Text"/>
    <w:link w:val="BodyTextChar"/>
    <w:semiHidden/>
    <w:rsid w:val="00F02EF9"/>
    <w:pPr>
      <w:overflowPunct w:val="0"/>
      <w:autoSpaceDE w:val="0"/>
      <w:autoSpaceDN w:val="0"/>
      <w:adjustRightInd w:val="0"/>
      <w:spacing w:before="40" w:after="160" w:line="300" w:lineRule="atLeast"/>
    </w:pPr>
    <w:rPr>
      <w:rFonts w:eastAsia="Times New Roman"/>
      <w:color w:val="000000"/>
      <w:sz w:val="24"/>
      <w:lang w:eastAsia="en-US"/>
    </w:rPr>
  </w:style>
  <w:style w:type="character" w:customStyle="1" w:styleId="BodyTextChar">
    <w:name w:val="Body Text Char"/>
    <w:link w:val="BodyText"/>
    <w:semiHidden/>
    <w:rsid w:val="00F02EF9"/>
    <w:rPr>
      <w:rFonts w:eastAsia="Times New Roman" w:cs="Times New Roman"/>
      <w:color w:val="000000"/>
      <w:sz w:val="24"/>
    </w:rPr>
  </w:style>
  <w:style w:type="paragraph" w:styleId="BodyTextIndent">
    <w:name w:val="Body Text Indent"/>
    <w:basedOn w:val="Normal"/>
    <w:link w:val="BodyTextIndentChar"/>
    <w:semiHidden/>
    <w:unhideWhenUsed/>
    <w:rsid w:val="00840442"/>
    <w:pPr>
      <w:spacing w:after="120"/>
      <w:ind w:left="283"/>
    </w:pPr>
  </w:style>
  <w:style w:type="character" w:customStyle="1" w:styleId="BodyTextIndentChar">
    <w:name w:val="Body Text Indent Char"/>
    <w:link w:val="BodyTextIndent"/>
    <w:uiPriority w:val="99"/>
    <w:semiHidden/>
    <w:rsid w:val="00840442"/>
    <w:rPr>
      <w:sz w:val="22"/>
    </w:rPr>
  </w:style>
  <w:style w:type="character" w:styleId="Hyperlink">
    <w:name w:val="Hyperlink"/>
    <w:uiPriority w:val="99"/>
    <w:rsid w:val="00840442"/>
    <w:rPr>
      <w:color w:val="0000FF"/>
      <w:u w:val="single"/>
    </w:rPr>
  </w:style>
  <w:style w:type="character" w:styleId="PageNumber">
    <w:name w:val="page number"/>
    <w:basedOn w:val="DefaultParagraphFont"/>
    <w:semiHidden/>
    <w:rsid w:val="00840442"/>
  </w:style>
  <w:style w:type="character" w:customStyle="1" w:styleId="Heading1Char">
    <w:name w:val="Heading 1 Char"/>
    <w:link w:val="Heading1"/>
    <w:uiPriority w:val="9"/>
    <w:rsid w:val="008945E0"/>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8945E0"/>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8945E0"/>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8945E0"/>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8945E0"/>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945E0"/>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945E0"/>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945E0"/>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8945E0"/>
    <w:rPr>
      <w:rFonts w:ascii="Cambria" w:eastAsia="Times New Roman" w:hAnsi="Cambria" w:cs="Times New Roman"/>
      <w:sz w:val="22"/>
      <w:szCs w:val="22"/>
      <w:lang w:eastAsia="en-US"/>
    </w:rPr>
  </w:style>
  <w:style w:type="paragraph" w:customStyle="1" w:styleId="LI-BodyTextSubparai">
    <w:name w:val="LI - Body Text Subpara (i)"/>
    <w:basedOn w:val="LI-BodyTextParaa"/>
    <w:link w:val="LI-BodyTextSubparaiChar"/>
    <w:qFormat/>
    <w:rsid w:val="00FC3EB8"/>
    <w:pPr>
      <w:ind w:left="2268"/>
    </w:pPr>
  </w:style>
  <w:style w:type="paragraph" w:customStyle="1" w:styleId="LI-BodyTextSubsubparaA">
    <w:name w:val="LI - Body Text Subsubpara (A)"/>
    <w:basedOn w:val="LI-BodyTextParaa"/>
    <w:link w:val="LI-BodyTextSubsubparaAChar"/>
    <w:qFormat/>
    <w:rsid w:val="00FC3EB8"/>
    <w:pPr>
      <w:ind w:left="2835"/>
    </w:pPr>
  </w:style>
  <w:style w:type="character" w:customStyle="1" w:styleId="OPCParaBaseChar">
    <w:name w:val="OPCParaBase Char"/>
    <w:link w:val="OPCParaBase"/>
    <w:semiHidden/>
    <w:rsid w:val="005F65CD"/>
    <w:rPr>
      <w:rFonts w:eastAsia="Times New Roman"/>
      <w:sz w:val="22"/>
    </w:rPr>
  </w:style>
  <w:style w:type="character" w:customStyle="1" w:styleId="LI-BodyTextParaaChar">
    <w:name w:val="LI - Body Text Para (a) Char"/>
    <w:link w:val="LI-BodyTextParaa"/>
    <w:rsid w:val="00FC3EB8"/>
    <w:rPr>
      <w:rFonts w:eastAsia="Times New Roman"/>
      <w:sz w:val="24"/>
      <w:szCs w:val="24"/>
    </w:rPr>
  </w:style>
  <w:style w:type="character" w:customStyle="1" w:styleId="LI-BodyTextSubparaiChar">
    <w:name w:val="LI - Body Text Subpara (i) Char"/>
    <w:basedOn w:val="LI-BodyTextParaaChar"/>
    <w:link w:val="LI-BodyTextSubparai"/>
    <w:rsid w:val="00FC3EB8"/>
    <w:rPr>
      <w:rFonts w:eastAsia="Times New Roman"/>
      <w:sz w:val="24"/>
      <w:szCs w:val="24"/>
    </w:rPr>
  </w:style>
  <w:style w:type="paragraph" w:customStyle="1" w:styleId="LI-BodyTextNumbered">
    <w:name w:val="LI - Body Text Numbered"/>
    <w:basedOn w:val="LI-BodyTextUnnumbered"/>
    <w:link w:val="LI-BodyTextNumberedChar"/>
    <w:qFormat/>
    <w:rsid w:val="00005446"/>
    <w:pPr>
      <w:ind w:hanging="567"/>
    </w:pPr>
    <w:rPr>
      <w:szCs w:val="24"/>
    </w:rPr>
  </w:style>
  <w:style w:type="character" w:customStyle="1" w:styleId="LI-BodyTextSubsubparaAChar">
    <w:name w:val="LI - Body Text Subsubpara (A) Char"/>
    <w:basedOn w:val="LI-BodyTextParaaChar"/>
    <w:link w:val="LI-BodyTextSubsubparaA"/>
    <w:rsid w:val="00FC3EB8"/>
    <w:rPr>
      <w:rFonts w:eastAsia="Times New Roman"/>
      <w:sz w:val="24"/>
      <w:szCs w:val="24"/>
    </w:rPr>
  </w:style>
  <w:style w:type="paragraph" w:customStyle="1" w:styleId="LI-Footer">
    <w:name w:val="LI - Footer"/>
    <w:basedOn w:val="Normal"/>
    <w:link w:val="LI-FooterChar"/>
    <w:qFormat/>
    <w:rsid w:val="002B4A0D"/>
    <w:pPr>
      <w:pBdr>
        <w:top w:val="single" w:sz="6" w:space="1" w:color="auto"/>
      </w:pBdr>
      <w:tabs>
        <w:tab w:val="right" w:pos="8313"/>
      </w:tabs>
      <w:spacing w:before="120" w:line="0" w:lineRule="atLeast"/>
    </w:pPr>
    <w:rPr>
      <w:i/>
      <w:sz w:val="18"/>
    </w:rPr>
  </w:style>
  <w:style w:type="character" w:customStyle="1" w:styleId="LI-BodyTextUnnumberedChar">
    <w:name w:val="LI - Body Text Unnumbered Char"/>
    <w:link w:val="LI-BodyTextUnnumbered"/>
    <w:rsid w:val="006E5320"/>
    <w:rPr>
      <w:rFonts w:eastAsia="Times New Roman"/>
      <w:sz w:val="24"/>
    </w:rPr>
  </w:style>
  <w:style w:type="character" w:customStyle="1" w:styleId="LI-BodyTextNumberedChar">
    <w:name w:val="LI - Body Text Numbered Char"/>
    <w:link w:val="LI-BodyTextNumbered"/>
    <w:rsid w:val="00005446"/>
    <w:rPr>
      <w:rFonts w:eastAsia="Times New Roman"/>
      <w:sz w:val="24"/>
      <w:szCs w:val="24"/>
    </w:rPr>
  </w:style>
  <w:style w:type="paragraph" w:customStyle="1" w:styleId="LI-SectionHeading">
    <w:name w:val="LI - Section Heading"/>
    <w:basedOn w:val="LI-BodyTextUnnumbered"/>
    <w:link w:val="LI-SectionHeadingChar"/>
    <w:qFormat/>
    <w:rsid w:val="002B4A0D"/>
    <w:pPr>
      <w:ind w:left="2268" w:hanging="567"/>
    </w:pPr>
    <w:rPr>
      <w:b/>
      <w:szCs w:val="24"/>
    </w:rPr>
  </w:style>
  <w:style w:type="character" w:customStyle="1" w:styleId="LI-FooterChar">
    <w:name w:val="LI - Footer Char"/>
    <w:link w:val="LI-Footer"/>
    <w:rsid w:val="002B4A0D"/>
    <w:rPr>
      <w:i/>
      <w:sz w:val="18"/>
      <w:lang w:eastAsia="en-US"/>
    </w:rPr>
  </w:style>
  <w:style w:type="paragraph" w:customStyle="1" w:styleId="LI-SectionSubsectionText">
    <w:name w:val="LI - Section Subsection Text"/>
    <w:basedOn w:val="LI-BodyTextUnnumbered"/>
    <w:link w:val="LI-SectionSubsectionTextChar"/>
    <w:qFormat/>
    <w:rsid w:val="006554FF"/>
    <w:pPr>
      <w:ind w:left="2268" w:hanging="567"/>
    </w:pPr>
    <w:rPr>
      <w:szCs w:val="24"/>
    </w:rPr>
  </w:style>
  <w:style w:type="character" w:customStyle="1" w:styleId="LI-SectionHeadingChar">
    <w:name w:val="LI - Section Heading Char"/>
    <w:link w:val="LI-SectionHeading"/>
    <w:rsid w:val="002B4A0D"/>
    <w:rPr>
      <w:rFonts w:eastAsia="Times New Roman"/>
      <w:b/>
      <w:sz w:val="24"/>
      <w:szCs w:val="24"/>
    </w:rPr>
  </w:style>
  <w:style w:type="paragraph" w:customStyle="1" w:styleId="LI-SectionNote">
    <w:name w:val="LI - Section Note"/>
    <w:basedOn w:val="LI-BodyTextNote"/>
    <w:link w:val="LI-SectionNoteChar"/>
    <w:qFormat/>
    <w:rsid w:val="006554FF"/>
    <w:pPr>
      <w:spacing w:before="240"/>
      <w:ind w:left="2835"/>
    </w:pPr>
  </w:style>
  <w:style w:type="character" w:customStyle="1" w:styleId="LI-SectionSubsectionTextChar">
    <w:name w:val="LI - Section Subsection Text Char"/>
    <w:link w:val="LI-SectionSubsectionText"/>
    <w:rsid w:val="006554FF"/>
    <w:rPr>
      <w:rFonts w:eastAsia="Times New Roman"/>
      <w:sz w:val="24"/>
      <w:szCs w:val="24"/>
    </w:rPr>
  </w:style>
  <w:style w:type="paragraph" w:customStyle="1" w:styleId="LI-Sectionparaa">
    <w:name w:val="LI - Section para (a)"/>
    <w:basedOn w:val="LI-BodyTextUnnumbered"/>
    <w:link w:val="LI-SectionparaaChar"/>
    <w:qFormat/>
    <w:rsid w:val="006554FF"/>
    <w:pPr>
      <w:ind w:left="2835" w:hanging="567"/>
    </w:pPr>
    <w:rPr>
      <w:szCs w:val="24"/>
    </w:rPr>
  </w:style>
  <w:style w:type="character" w:customStyle="1" w:styleId="LI-BodyTextNoteChar">
    <w:name w:val="LI - Body Text Note Char"/>
    <w:link w:val="LI-BodyTextNote"/>
    <w:rsid w:val="00572BB1"/>
    <w:rPr>
      <w:rFonts w:eastAsia="Times New Roman"/>
      <w:sz w:val="18"/>
    </w:rPr>
  </w:style>
  <w:style w:type="character" w:customStyle="1" w:styleId="LI-SectionNoteChar">
    <w:name w:val="LI - Section Note Char"/>
    <w:basedOn w:val="LI-BodyTextNoteChar"/>
    <w:link w:val="LI-SectionNote"/>
    <w:rsid w:val="006554FF"/>
    <w:rPr>
      <w:rFonts w:eastAsia="Times New Roman"/>
      <w:sz w:val="18"/>
    </w:rPr>
  </w:style>
  <w:style w:type="paragraph" w:customStyle="1" w:styleId="LI-Sectionsubparai">
    <w:name w:val="LI - Section subpara (i)"/>
    <w:basedOn w:val="LI-BodyTextUnnumbered"/>
    <w:link w:val="LI-SectionsubparaiChar"/>
    <w:qFormat/>
    <w:rsid w:val="006554FF"/>
    <w:pPr>
      <w:ind w:left="3402" w:hanging="567"/>
    </w:pPr>
    <w:rPr>
      <w:szCs w:val="24"/>
    </w:rPr>
  </w:style>
  <w:style w:type="character" w:customStyle="1" w:styleId="LI-SectionparaaChar">
    <w:name w:val="LI - Section para (a) Char"/>
    <w:link w:val="LI-Sectionparaa"/>
    <w:rsid w:val="006554FF"/>
    <w:rPr>
      <w:rFonts w:eastAsia="Times New Roman"/>
      <w:sz w:val="24"/>
      <w:szCs w:val="24"/>
    </w:rPr>
  </w:style>
  <w:style w:type="paragraph" w:customStyle="1" w:styleId="LI-SectionsubsubparaA">
    <w:name w:val="LI - Section subsubpara (A)"/>
    <w:basedOn w:val="LI-BodyTextUnnumbered"/>
    <w:link w:val="LI-SectionsubsubparaAChar"/>
    <w:qFormat/>
    <w:rsid w:val="006554FF"/>
    <w:pPr>
      <w:ind w:left="3969" w:hanging="567"/>
    </w:pPr>
    <w:rPr>
      <w:szCs w:val="24"/>
    </w:rPr>
  </w:style>
  <w:style w:type="character" w:customStyle="1" w:styleId="LI-SectionsubparaiChar">
    <w:name w:val="LI - Section subpara (i) Char"/>
    <w:link w:val="LI-Sectionsubparai"/>
    <w:rsid w:val="006554FF"/>
    <w:rPr>
      <w:rFonts w:eastAsia="Times New Roman"/>
      <w:sz w:val="24"/>
      <w:szCs w:val="24"/>
    </w:rPr>
  </w:style>
  <w:style w:type="paragraph" w:styleId="NormalWeb">
    <w:name w:val="Normal (Web)"/>
    <w:basedOn w:val="Normal"/>
    <w:uiPriority w:val="99"/>
    <w:semiHidden/>
    <w:unhideWhenUsed/>
    <w:rsid w:val="00314E7C"/>
    <w:pPr>
      <w:spacing w:before="100" w:beforeAutospacing="1" w:after="100" w:afterAutospacing="1" w:line="240" w:lineRule="auto"/>
    </w:pPr>
    <w:rPr>
      <w:rFonts w:eastAsia="Times New Roman"/>
      <w:sz w:val="24"/>
      <w:szCs w:val="24"/>
      <w:lang w:eastAsia="en-AU"/>
    </w:rPr>
  </w:style>
  <w:style w:type="character" w:customStyle="1" w:styleId="LI-SectionsubsubparaAChar">
    <w:name w:val="LI - Section subsubpara (A) Char"/>
    <w:link w:val="LI-SectionsubsubparaA"/>
    <w:rsid w:val="006554FF"/>
    <w:rPr>
      <w:rFonts w:eastAsia="Times New Roman"/>
      <w:sz w:val="24"/>
      <w:szCs w:val="24"/>
    </w:rPr>
  </w:style>
  <w:style w:type="paragraph" w:customStyle="1" w:styleId="LI-SectionsubsubsubparaI">
    <w:name w:val="LI - Section subsubsubpara (I)"/>
    <w:basedOn w:val="LI-SectionsubsubparaA"/>
    <w:link w:val="LI-SectionsubsubsubparaIChar"/>
    <w:qFormat/>
    <w:rsid w:val="003528DA"/>
    <w:pPr>
      <w:ind w:left="4536"/>
    </w:pPr>
  </w:style>
  <w:style w:type="character" w:customStyle="1" w:styleId="LI-SectionsubsubsubparaIChar">
    <w:name w:val="LI - Section subsubsubpara (I) Char"/>
    <w:basedOn w:val="LI-SectionsubsubparaAChar"/>
    <w:link w:val="LI-SectionsubsubsubparaI"/>
    <w:rsid w:val="003528DA"/>
    <w:rPr>
      <w:rFonts w:eastAsia="Times New Roman"/>
      <w:sz w:val="24"/>
      <w:szCs w:val="24"/>
    </w:rPr>
  </w:style>
  <w:style w:type="character" w:styleId="CommentReference">
    <w:name w:val="annotation reference"/>
    <w:uiPriority w:val="99"/>
    <w:semiHidden/>
    <w:unhideWhenUsed/>
    <w:rsid w:val="00D702DE"/>
    <w:rPr>
      <w:sz w:val="16"/>
      <w:szCs w:val="16"/>
    </w:rPr>
  </w:style>
  <w:style w:type="paragraph" w:styleId="CommentText">
    <w:name w:val="annotation text"/>
    <w:basedOn w:val="Normal"/>
    <w:link w:val="CommentTextChar"/>
    <w:uiPriority w:val="99"/>
    <w:semiHidden/>
    <w:unhideWhenUsed/>
    <w:rsid w:val="00D702DE"/>
    <w:rPr>
      <w:sz w:val="20"/>
    </w:rPr>
  </w:style>
  <w:style w:type="character" w:customStyle="1" w:styleId="CommentTextChar">
    <w:name w:val="Comment Text Char"/>
    <w:link w:val="CommentText"/>
    <w:uiPriority w:val="99"/>
    <w:semiHidden/>
    <w:rsid w:val="00D702DE"/>
    <w:rPr>
      <w:lang w:eastAsia="en-US"/>
    </w:rPr>
  </w:style>
  <w:style w:type="paragraph" w:styleId="CommentSubject">
    <w:name w:val="annotation subject"/>
    <w:basedOn w:val="CommentText"/>
    <w:next w:val="CommentText"/>
    <w:link w:val="CommentSubjectChar"/>
    <w:uiPriority w:val="99"/>
    <w:semiHidden/>
    <w:unhideWhenUsed/>
    <w:rsid w:val="00D702DE"/>
    <w:rPr>
      <w:b/>
      <w:bCs/>
    </w:rPr>
  </w:style>
  <w:style w:type="character" w:customStyle="1" w:styleId="CommentSubjectChar">
    <w:name w:val="Comment Subject Char"/>
    <w:link w:val="CommentSubject"/>
    <w:uiPriority w:val="99"/>
    <w:semiHidden/>
    <w:rsid w:val="00D702DE"/>
    <w:rPr>
      <w:b/>
      <w:bCs/>
      <w:lang w:eastAsia="en-US"/>
    </w:rPr>
  </w:style>
  <w:style w:type="paragraph" w:customStyle="1" w:styleId="LI-Header">
    <w:name w:val="LI - Header"/>
    <w:basedOn w:val="LI-Footer"/>
    <w:link w:val="LI-HeaderChar"/>
    <w:qFormat/>
    <w:rsid w:val="0040053F"/>
    <w:pPr>
      <w:pBdr>
        <w:top w:val="none" w:sz="0" w:space="0" w:color="auto"/>
        <w:bottom w:val="single" w:sz="4" w:space="1" w:color="auto"/>
      </w:pBdr>
      <w:jc w:val="right"/>
    </w:pPr>
  </w:style>
  <w:style w:type="paragraph" w:customStyle="1" w:styleId="LI-Subtitle">
    <w:name w:val="LI - Subtitle"/>
    <w:basedOn w:val="Normal"/>
    <w:link w:val="LI-SubtitleChar"/>
    <w:qFormat/>
    <w:rsid w:val="00243EC0"/>
    <w:pPr>
      <w:pBdr>
        <w:bottom w:val="single" w:sz="4" w:space="1" w:color="auto"/>
      </w:pBdr>
      <w:spacing w:before="240"/>
    </w:pPr>
    <w:rPr>
      <w:b/>
      <w:sz w:val="28"/>
      <w:szCs w:val="28"/>
      <w:lang w:eastAsia="en-AU"/>
    </w:rPr>
  </w:style>
  <w:style w:type="character" w:customStyle="1" w:styleId="LI-HeaderChar">
    <w:name w:val="LI - Header Char"/>
    <w:basedOn w:val="LI-FooterChar"/>
    <w:link w:val="LI-Header"/>
    <w:rsid w:val="0040053F"/>
    <w:rPr>
      <w:i/>
      <w:sz w:val="18"/>
      <w:lang w:eastAsia="en-US"/>
    </w:rPr>
  </w:style>
  <w:style w:type="character" w:customStyle="1" w:styleId="LI-SubtitleChar">
    <w:name w:val="LI - Subtitle Char"/>
    <w:link w:val="LI-Subtitle"/>
    <w:rsid w:val="00243EC0"/>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87055">
      <w:bodyDiv w:val="1"/>
      <w:marLeft w:val="0"/>
      <w:marRight w:val="0"/>
      <w:marTop w:val="0"/>
      <w:marBottom w:val="0"/>
      <w:divBdr>
        <w:top w:val="none" w:sz="0" w:space="0" w:color="auto"/>
        <w:left w:val="none" w:sz="0" w:space="0" w:color="auto"/>
        <w:bottom w:val="none" w:sz="0" w:space="0" w:color="auto"/>
        <w:right w:val="none" w:sz="0" w:space="0" w:color="auto"/>
      </w:divBdr>
    </w:div>
    <w:div w:id="256138385">
      <w:bodyDiv w:val="1"/>
      <w:marLeft w:val="0"/>
      <w:marRight w:val="0"/>
      <w:marTop w:val="0"/>
      <w:marBottom w:val="0"/>
      <w:divBdr>
        <w:top w:val="none" w:sz="0" w:space="0" w:color="auto"/>
        <w:left w:val="none" w:sz="0" w:space="0" w:color="auto"/>
        <w:bottom w:val="none" w:sz="0" w:space="0" w:color="auto"/>
        <w:right w:val="none" w:sz="0" w:space="0" w:color="auto"/>
      </w:divBdr>
    </w:div>
    <w:div w:id="442578538">
      <w:bodyDiv w:val="1"/>
      <w:marLeft w:val="0"/>
      <w:marRight w:val="0"/>
      <w:marTop w:val="0"/>
      <w:marBottom w:val="0"/>
      <w:divBdr>
        <w:top w:val="none" w:sz="0" w:space="0" w:color="auto"/>
        <w:left w:val="none" w:sz="0" w:space="0" w:color="auto"/>
        <w:bottom w:val="none" w:sz="0" w:space="0" w:color="auto"/>
        <w:right w:val="none" w:sz="0" w:space="0" w:color="auto"/>
      </w:divBdr>
    </w:div>
    <w:div w:id="501706349">
      <w:bodyDiv w:val="1"/>
      <w:marLeft w:val="0"/>
      <w:marRight w:val="0"/>
      <w:marTop w:val="0"/>
      <w:marBottom w:val="0"/>
      <w:divBdr>
        <w:top w:val="none" w:sz="0" w:space="0" w:color="auto"/>
        <w:left w:val="none" w:sz="0" w:space="0" w:color="auto"/>
        <w:bottom w:val="none" w:sz="0" w:space="0" w:color="auto"/>
        <w:right w:val="none" w:sz="0" w:space="0" w:color="auto"/>
      </w:divBdr>
    </w:div>
    <w:div w:id="648247979">
      <w:bodyDiv w:val="1"/>
      <w:marLeft w:val="0"/>
      <w:marRight w:val="0"/>
      <w:marTop w:val="0"/>
      <w:marBottom w:val="0"/>
      <w:divBdr>
        <w:top w:val="none" w:sz="0" w:space="0" w:color="auto"/>
        <w:left w:val="none" w:sz="0" w:space="0" w:color="auto"/>
        <w:bottom w:val="none" w:sz="0" w:space="0" w:color="auto"/>
        <w:right w:val="none" w:sz="0" w:space="0" w:color="auto"/>
      </w:divBdr>
    </w:div>
    <w:div w:id="692731220">
      <w:bodyDiv w:val="1"/>
      <w:marLeft w:val="0"/>
      <w:marRight w:val="0"/>
      <w:marTop w:val="0"/>
      <w:marBottom w:val="0"/>
      <w:divBdr>
        <w:top w:val="none" w:sz="0" w:space="0" w:color="auto"/>
        <w:left w:val="none" w:sz="0" w:space="0" w:color="auto"/>
        <w:bottom w:val="none" w:sz="0" w:space="0" w:color="auto"/>
        <w:right w:val="none" w:sz="0" w:space="0" w:color="auto"/>
      </w:divBdr>
    </w:div>
    <w:div w:id="882474341">
      <w:bodyDiv w:val="1"/>
      <w:marLeft w:val="0"/>
      <w:marRight w:val="0"/>
      <w:marTop w:val="0"/>
      <w:marBottom w:val="0"/>
      <w:divBdr>
        <w:top w:val="none" w:sz="0" w:space="0" w:color="auto"/>
        <w:left w:val="none" w:sz="0" w:space="0" w:color="auto"/>
        <w:bottom w:val="none" w:sz="0" w:space="0" w:color="auto"/>
        <w:right w:val="none" w:sz="0" w:space="0" w:color="auto"/>
      </w:divBdr>
    </w:div>
    <w:div w:id="1208104315">
      <w:bodyDiv w:val="1"/>
      <w:marLeft w:val="0"/>
      <w:marRight w:val="0"/>
      <w:marTop w:val="0"/>
      <w:marBottom w:val="0"/>
      <w:divBdr>
        <w:top w:val="none" w:sz="0" w:space="0" w:color="auto"/>
        <w:left w:val="none" w:sz="0" w:space="0" w:color="auto"/>
        <w:bottom w:val="none" w:sz="0" w:space="0" w:color="auto"/>
        <w:right w:val="none" w:sz="0" w:space="0" w:color="auto"/>
      </w:divBdr>
    </w:div>
    <w:div w:id="1277981005">
      <w:bodyDiv w:val="1"/>
      <w:marLeft w:val="0"/>
      <w:marRight w:val="0"/>
      <w:marTop w:val="0"/>
      <w:marBottom w:val="0"/>
      <w:divBdr>
        <w:top w:val="none" w:sz="0" w:space="0" w:color="auto"/>
        <w:left w:val="none" w:sz="0" w:space="0" w:color="auto"/>
        <w:bottom w:val="none" w:sz="0" w:space="0" w:color="auto"/>
        <w:right w:val="none" w:sz="0" w:space="0" w:color="auto"/>
      </w:divBdr>
    </w:div>
    <w:div w:id="1297416932">
      <w:bodyDiv w:val="1"/>
      <w:marLeft w:val="0"/>
      <w:marRight w:val="0"/>
      <w:marTop w:val="0"/>
      <w:marBottom w:val="0"/>
      <w:divBdr>
        <w:top w:val="none" w:sz="0" w:space="0" w:color="auto"/>
        <w:left w:val="none" w:sz="0" w:space="0" w:color="auto"/>
        <w:bottom w:val="none" w:sz="0" w:space="0" w:color="auto"/>
        <w:right w:val="none" w:sz="0" w:space="0" w:color="auto"/>
      </w:divBdr>
    </w:div>
    <w:div w:id="1731154637">
      <w:bodyDiv w:val="1"/>
      <w:marLeft w:val="0"/>
      <w:marRight w:val="0"/>
      <w:marTop w:val="0"/>
      <w:marBottom w:val="0"/>
      <w:divBdr>
        <w:top w:val="none" w:sz="0" w:space="0" w:color="auto"/>
        <w:left w:val="none" w:sz="0" w:space="0" w:color="auto"/>
        <w:bottom w:val="none" w:sz="0" w:space="0" w:color="auto"/>
        <w:right w:val="none" w:sz="0" w:space="0" w:color="auto"/>
      </w:divBdr>
    </w:div>
    <w:div w:id="184832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af302855-5de3-48f9-83c2-fc1acc0f760b" ContentTypeId="0x010100B5F685A1365F544391EF8C813B164F3A" PreviousValue="false"/>
</file>

<file path=customXml/item2.xml><?xml version="1.0" encoding="utf-8"?>
<p:properties xmlns:p="http://schemas.microsoft.com/office/2006/metadata/properties" xmlns:xsi="http://www.w3.org/2001/XMLSchema-instance" xmlns:pc="http://schemas.microsoft.com/office/infopath/2007/PartnerControls">
  <documentManagement>
    <MailTo xmlns="db2b92ca-6ed0-4085-802d-4c686a2e8c3f" xsi:nil="true"/>
    <p1abb5e704a84578aa4b8ef0390c3b25 xmlns="db2b92ca-6ed0-4085-802d-4c686a2e8c3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cffd3088-7a74-4edb-8c9e-fbf79371a422</TermId>
        </TermInfo>
      </Terms>
    </p1abb5e704a84578aa4b8ef0390c3b25>
    <MailFrom xmlns="db2b92ca-6ed0-4085-802d-4c686a2e8c3f" xsi:nil="true"/>
    <MailOriginalSubject xmlns="db2b92ca-6ed0-4085-802d-4c686a2e8c3f" xsi:nil="true"/>
    <TaxCatchAll xmlns="db2b92ca-6ed0-4085-802d-4c686a2e8c3f">
      <Value>3</Value>
    </TaxCatchAll>
    <MailReferences xmlns="db2b92ca-6ed0-4085-802d-4c686a2e8c3f" xsi:nil="true"/>
    <MailDate xmlns="db2b92ca-6ed0-4085-802d-4c686a2e8c3f" xsi:nil="true"/>
    <MailIn-Reply-To xmlns="db2b92ca-6ed0-4085-802d-4c686a2e8c3f" xsi:nil="true"/>
    <MailSubject xmlns="db2b92ca-6ed0-4085-802d-4c686a2e8c3f" xsi:nil="true"/>
    <DocumentNotes xmlns="db2b92ca-6ed0-4085-802d-4c686a2e8c3f" xsi:nil="true"/>
    <NAPReason xmlns="db2b92ca-6ed0-4085-802d-4c686a2e8c3f" xsi:nil="true"/>
    <MailReply-To xmlns="db2b92ca-6ed0-4085-802d-4c686a2e8c3f" xsi:nil="true"/>
    <MailCc xmlns="db2b92ca-6ed0-4085-802d-4c686a2e8c3f" xsi:nil="true"/>
    <_dlc_DocId xmlns="eb44715b-cd74-4c79-92c4-f0e9f1a86440">001029-1948038060-381</_dlc_DocId>
    <_dlc_DocIdUrl xmlns="eb44715b-cd74-4c79-92c4-f0e9f1a86440">
      <Url>https://asiclink.sharepoint.com/teams/001029/_layouts/15/DocIdRedir.aspx?ID=001029-1948038060-381</Url>
      <Description>001029-1948038060-381</Description>
    </_dlc_DocIdUrl>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ASIC Email" ma:contentTypeID="0x010100B5F685A1365F544391EF8C813B164F3A0A0029FDDBED0E78804AAE9F6FBADD223523" ma:contentTypeVersion="8" ma:contentTypeDescription="Create a new document." ma:contentTypeScope="" ma:versionID="708103638be251a3dbe64178a41dab08">
  <xsd:schema xmlns:xsd="http://www.w3.org/2001/XMLSchema" xmlns:xs="http://www.w3.org/2001/XMLSchema" xmlns:p="http://schemas.microsoft.com/office/2006/metadata/properties" xmlns:ns2="db2b92ca-6ed0-4085-802d-4c686a2e8c3f" xmlns:ns3="eb44715b-cd74-4c79-92c4-f0e9f1a86440" targetNamespace="http://schemas.microsoft.com/office/2006/metadata/properties" ma:root="true" ma:fieldsID="31a7829afbc7a546a34e37bdb7306511" ns2:_="" ns3:_="">
    <xsd:import namespace="db2b92ca-6ed0-4085-802d-4c686a2e8c3f"/>
    <xsd:import namespace="eb44715b-cd74-4c79-92c4-f0e9f1a86440"/>
    <xsd:element name="properties">
      <xsd:complexType>
        <xsd:sequence>
          <xsd:element name="documentManagement">
            <xsd:complexType>
              <xsd:all>
                <xsd:element ref="ns2:NAPReason" minOccurs="0"/>
                <xsd:element ref="ns2:p1abb5e704a84578aa4b8ef0390c3b25" minOccurs="0"/>
                <xsd:element ref="ns2:TaxCatchAll" minOccurs="0"/>
                <xsd:element ref="ns2:TaxCatchAllLabel" minOccurs="0"/>
                <xsd:element ref="ns2:DocumentNotes" minOccurs="0"/>
                <xsd:element ref="ns2:MailReply-To" minOccurs="0"/>
                <xsd:element ref="ns2:MailSubject" minOccurs="0"/>
                <xsd:element ref="ns2:MailTo" minOccurs="0"/>
                <xsd:element ref="ns2:MailCc" minOccurs="0"/>
                <xsd:element ref="ns2:MailFrom" minOccurs="0"/>
                <xsd:element ref="ns2:MailIn-Reply-To" minOccurs="0"/>
                <xsd:element ref="ns2:MailReferences" minOccurs="0"/>
                <xsd:element ref="ns2:MailDate" minOccurs="0"/>
                <xsd:element ref="ns2:MailOriginalSubject"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b92ca-6ed0-4085-802d-4c686a2e8c3f" elementFormDefault="qualified">
    <xsd:import namespace="http://schemas.microsoft.com/office/2006/documentManagement/types"/>
    <xsd:import namespace="http://schemas.microsoft.com/office/infopath/2007/PartnerControls"/>
    <xsd:element name="NAPReason" ma:index="8" nillable="true" ma:displayName="NAP Reason" ma:internalName="NAPReason">
      <xsd:simpleType>
        <xsd:restriction base="dms:Choice">
          <xsd:enumeration value="Created in error"/>
          <xsd:enumeration value="Low risk email, calendar entry or alert"/>
          <xsd:enumeration value="Copy kept for reference only"/>
          <xsd:enumeration value="Duplicate"/>
          <xsd:enumeration value="Rough working paper or calculations"/>
          <xsd:enumeration value="Draft not intended for further use"/>
          <xsd:enumeration value="Externally published material"/>
          <xsd:enumeration value="Unofficial information"/>
        </xsd:restriction>
      </xsd:simpleType>
    </xsd:element>
    <xsd:element name="p1abb5e704a84578aa4b8ef0390c3b25" ma:index="9" ma:taxonomy="true" ma:internalName="p1abb5e704a84578aa4b8ef0390c3b25" ma:taxonomyFieldName="SecurityClassification" ma:displayName="Security Classification" ma:readOnly="false" ma:fieldId="{91abb5e7-04a8-4578-aa4b-8ef0390c3b25}" ma:sspId="af302855-5de3-48f9-83c2-fc1acc0f760b" ma:termSetId="1d2f2699-c9ac-44b7-aa84-d64945e6f0b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7e81710-c2b0-4baf-b4f9-5c22eaea1a1e}" ma:internalName="TaxCatchAll" ma:showField="CatchAllData" ma:web="eb44715b-cd74-4c79-92c4-f0e9f1a8644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7e81710-c2b0-4baf-b4f9-5c22eaea1a1e}" ma:internalName="TaxCatchAllLabel" ma:readOnly="true" ma:showField="CatchAllDataLabel" ma:web="eb44715b-cd74-4c79-92c4-f0e9f1a86440">
      <xsd:complexType>
        <xsd:complexContent>
          <xsd:extension base="dms:MultiChoiceLookup">
            <xsd:sequence>
              <xsd:element name="Value" type="dms:Lookup" maxOccurs="unbounded" minOccurs="0" nillable="true"/>
            </xsd:sequence>
          </xsd:extension>
        </xsd:complexContent>
      </xsd:complexType>
    </xsd:element>
    <xsd:element name="DocumentNotes" ma:index="13" nillable="true" ma:displayName="Document Notes" ma:internalName="DocumentNotes">
      <xsd:simpleType>
        <xsd:restriction base="dms:Note">
          <xsd:maxLength value="255"/>
        </xsd:restriction>
      </xsd:simpleType>
    </xsd:element>
    <xsd:element name="MailReply-To" ma:index="14" nillable="true" ma:displayName="Reply-To" ma:internalName="MailReply_x002d_To0">
      <xsd:simpleType>
        <xsd:restriction base="dms:Text"/>
      </xsd:simpleType>
    </xsd:element>
    <xsd:element name="MailSubject" ma:index="15" nillable="true" ma:displayName="Subject" ma:description="A summary of the message." ma:internalName="MailSubject" ma:readOnly="false">
      <xsd:simpleType>
        <xsd:restriction base="dms:Text">
          <xsd:maxLength value="255"/>
        </xsd:restriction>
      </xsd:simpleType>
    </xsd:element>
    <xsd:element name="MailTo" ma:index="16" nillable="true" ma:displayName="To" ma:description="The identity of the primary recipients of the message." ma:internalName="MailTo" ma:readOnly="false">
      <xsd:simpleType>
        <xsd:restriction base="dms:Note">
          <xsd:maxLength value="255"/>
        </xsd:restriction>
      </xsd:simpleType>
    </xsd:element>
    <xsd:element name="MailCc" ma:index="17" nillable="true" ma:displayName="Cc" ma:description="The identity of the secondary recipients of the message." ma:internalName="MailCc" ma:readOnly="false">
      <xsd:simpleType>
        <xsd:restriction base="dms:Note">
          <xsd:maxLength value="255"/>
        </xsd:restriction>
      </xsd:simpleType>
    </xsd:element>
    <xsd:element name="MailFrom" ma:index="18" nillable="true" ma:displayName="From" ma:description="The identity of the person who sent the message." ma:internalName="MailFrom" ma:readOnly="false">
      <xsd:simpleType>
        <xsd:restriction base="dms:Text">
          <xsd:maxLength value="255"/>
        </xsd:restriction>
      </xsd:simpleType>
    </xsd:element>
    <xsd:element name="MailIn-Reply-To" ma:index="19" nillable="true" ma:displayName="In-Reply-To" ma:internalName="MailIn_x002d_Reply_x002d_To0">
      <xsd:simpleType>
        <xsd:restriction base="dms:Text"/>
      </xsd:simpleType>
    </xsd:element>
    <xsd:element name="MailReferences" ma:index="20" nillable="true" ma:displayName="References" ma:description="The contents of this field identify other correspondence that this message answers." ma:internalName="MailReferences" ma:readOnly="false">
      <xsd:simpleType>
        <xsd:restriction base="dms:Text">
          <xsd:maxLength value="255"/>
        </xsd:restriction>
      </xsd:simpleType>
    </xsd:element>
    <xsd:element name="MailDate" ma:index="21" nillable="true" ma:displayName="Date" ma:description="The date and time when the message was sent." ma:format="DateTime" ma:internalName="MailDate" ma:readOnly="false">
      <xsd:simpleType>
        <xsd:restriction base="dms:DateTime"/>
      </xsd:simpleType>
    </xsd:element>
    <xsd:element name="MailOriginalSubject" ma:index="22" nillable="true" ma:displayName="OriginalSubject" ma:description="A summary of the message." ma:internalName="MailOriginalSubjec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4715b-cd74-4c79-92c4-f0e9f1a86440" elementFormDefault="qualified">
    <xsd:import namespace="http://schemas.microsoft.com/office/2006/documentManagement/types"/>
    <xsd:import namespace="http://schemas.microsoft.com/office/infopath/2007/PartnerControls"/>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9C471-2ACB-4118-B64C-D1D9D438A6E6}">
  <ds:schemaRefs>
    <ds:schemaRef ds:uri="Microsoft.SharePoint.Taxonomy.ContentTypeSync"/>
  </ds:schemaRefs>
</ds:datastoreItem>
</file>

<file path=customXml/itemProps2.xml><?xml version="1.0" encoding="utf-8"?>
<ds:datastoreItem xmlns:ds="http://schemas.openxmlformats.org/officeDocument/2006/customXml" ds:itemID="{AF24634B-27D8-4CBC-9AF8-A26F4F09786D}">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b44715b-cd74-4c79-92c4-f0e9f1a86440"/>
    <ds:schemaRef ds:uri="http://purl.org/dc/terms/"/>
    <ds:schemaRef ds:uri="db2b92ca-6ed0-4085-802d-4c686a2e8c3f"/>
    <ds:schemaRef ds:uri="http://www.w3.org/XML/1998/namespace"/>
    <ds:schemaRef ds:uri="http://purl.org/dc/dcmitype/"/>
  </ds:schemaRefs>
</ds:datastoreItem>
</file>

<file path=customXml/itemProps3.xml><?xml version="1.0" encoding="utf-8"?>
<ds:datastoreItem xmlns:ds="http://schemas.openxmlformats.org/officeDocument/2006/customXml" ds:itemID="{1CE079A0-3927-4D6A-A576-895EDA53AE7A}">
  <ds:schemaRefs>
    <ds:schemaRef ds:uri="http://schemas.microsoft.com/office/2006/metadata/longProperties"/>
  </ds:schemaRefs>
</ds:datastoreItem>
</file>

<file path=customXml/itemProps4.xml><?xml version="1.0" encoding="utf-8"?>
<ds:datastoreItem xmlns:ds="http://schemas.openxmlformats.org/officeDocument/2006/customXml" ds:itemID="{E5819D5C-49C9-4ADD-9253-D8D1A0E09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b92ca-6ed0-4085-802d-4c686a2e8c3f"/>
    <ds:schemaRef ds:uri="eb44715b-cd74-4c79-92c4-f0e9f1a86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C96965-D4D1-43B4-9A94-C0F374479C34}">
  <ds:schemaRefs>
    <ds:schemaRef ds:uri="http://schemas.microsoft.com/sharepoint/events"/>
  </ds:schemaRefs>
</ds:datastoreItem>
</file>

<file path=customXml/itemProps6.xml><?xml version="1.0" encoding="utf-8"?>
<ds:datastoreItem xmlns:ds="http://schemas.openxmlformats.org/officeDocument/2006/customXml" ds:itemID="{BB0025FC-1A17-4DAC-8160-625AD2E7E70E}">
  <ds:schemaRefs>
    <ds:schemaRef ds:uri="http://schemas.microsoft.com/sharepoint/v3/contenttype/forms"/>
  </ds:schemaRefs>
</ds:datastoreItem>
</file>

<file path=customXml/itemProps7.xml><?xml version="1.0" encoding="utf-8"?>
<ds:datastoreItem xmlns:ds="http://schemas.openxmlformats.org/officeDocument/2006/customXml" ds:itemID="{22A82B68-12EC-4B0B-A60E-19214BD92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1</TotalTime>
  <Pages>8</Pages>
  <Words>2188</Words>
  <Characters>12472</Characters>
  <Application>Microsoft Office Word</Application>
  <DocSecurity>0</DocSecurity>
  <PresentationFormat/>
  <Lines>103</Lines>
  <Paragraphs>29</Paragraphs>
  <ScaleCrop>false</ScaleCrop>
  <HeadingPairs>
    <vt:vector size="2" baseType="variant">
      <vt:variant>
        <vt:lpstr>Title</vt:lpstr>
      </vt:variant>
      <vt:variant>
        <vt:i4>1</vt:i4>
      </vt:variant>
    </vt:vector>
  </HeadingPairs>
  <TitlesOfParts>
    <vt:vector size="1" baseType="lpstr">
      <vt:lpstr>ASIC Template (Explanatory Statement - Jan 2019).docx</vt:lpstr>
    </vt:vector>
  </TitlesOfParts>
  <Company>ASIC</Company>
  <LinksUpToDate>false</LinksUpToDate>
  <CharactersWithSpaces>14631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Template (Explanatory Statement - Jan 2019).docx</dc:title>
  <dc:subject/>
  <dc:creator>ASIC</dc:creator>
  <cp:keywords/>
  <cp:lastModifiedBy>Liang Chen</cp:lastModifiedBy>
  <cp:revision>2</cp:revision>
  <cp:lastPrinted>2019-01-03T02:56:00Z</cp:lastPrinted>
  <dcterms:created xsi:type="dcterms:W3CDTF">2023-02-23T04:10:00Z</dcterms:created>
  <dcterms:modified xsi:type="dcterms:W3CDTF">2023-02-23T04:10:00Z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Australian Securities and Investments Commission Class Order 13/1050</vt:lpwstr>
  </property>
  <property fmtid="{D5CDD505-2E9C-101B-9397-08002B2CF9AE}" pid="4" name="Header">
    <vt:lpwstr>Section</vt:lpwstr>
  </property>
  <property fmtid="{D5CDD505-2E9C-101B-9397-08002B2CF9AE}" pid="5" name="Class">
    <vt:lpwstr>Order</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2014</vt:lpwstr>
  </property>
  <property fmtid="{D5CDD505-2E9C-101B-9397-08002B2CF9AE}" pid="10" name="Authority">
    <vt:lpwstr>Unk</vt:lpwstr>
  </property>
  <property fmtid="{D5CDD505-2E9C-101B-9397-08002B2CF9AE}" pid="11" name="ID">
    <vt:lpwstr>OPC60621</vt:lpwstr>
  </property>
  <property fmtid="{D5CDD505-2E9C-101B-9397-08002B2CF9AE}" pid="12" name="Classification">
    <vt:lpwstr>UNCLASSIFIED</vt:lpwstr>
  </property>
  <property fmtid="{D5CDD505-2E9C-101B-9397-08002B2CF9AE}" pid="13" name="DLM">
    <vt:lpwstr>Sensitive: Legal</vt:lpwstr>
  </property>
  <property fmtid="{D5CDD505-2E9C-101B-9397-08002B2CF9AE}" pid="14" name="ActMadeUnder">
    <vt:lpwstr>Corporations Act 2001</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TrimID">
    <vt:lpwstr>PC:D14/8969</vt:lpwstr>
  </property>
  <property fmtid="{D5CDD505-2E9C-101B-9397-08002B2CF9AE}" pid="19" name="Objective-Id">
    <vt:lpwstr>A4330949</vt:lpwstr>
  </property>
  <property fmtid="{D5CDD505-2E9C-101B-9397-08002B2CF9AE}" pid="20" name="Objective-Title">
    <vt:lpwstr>ASIC Template (Principal Legislative Instruments - May 2015)</vt:lpwstr>
  </property>
  <property fmtid="{D5CDD505-2E9C-101B-9397-08002B2CF9AE}" pid="21" name="Objective-Comment">
    <vt:lpwstr/>
  </property>
  <property fmtid="{D5CDD505-2E9C-101B-9397-08002B2CF9AE}" pid="22" name="Objective-CreationStamp">
    <vt:filetime>2014-11-19T05:20:39Z</vt:filetime>
  </property>
  <property fmtid="{D5CDD505-2E9C-101B-9397-08002B2CF9AE}" pid="23" name="Objective-IsApproved">
    <vt:bool>false</vt:bool>
  </property>
  <property fmtid="{D5CDD505-2E9C-101B-9397-08002B2CF9AE}" pid="24" name="Objective-IsPublished">
    <vt:bool>false</vt:bool>
  </property>
  <property fmtid="{D5CDD505-2E9C-101B-9397-08002B2CF9AE}" pid="25" name="Objective-DatePublished">
    <vt:lpwstr/>
  </property>
  <property fmtid="{D5CDD505-2E9C-101B-9397-08002B2CF9AE}" pid="26" name="Objective-ModificationStamp">
    <vt:filetime>2015-09-03T05:00:51Z</vt:filetime>
  </property>
  <property fmtid="{D5CDD505-2E9C-101B-9397-08002B2CF9AE}" pid="27" name="Objective-Owner">
    <vt:lpwstr>Grant Moodie</vt:lpwstr>
  </property>
  <property fmtid="{D5CDD505-2E9C-101B-9397-08002B2CF9AE}" pid="28" name="Objective-Path">
    <vt:lpwstr>BCS:ASIC:LEGAL SERVICES:Advice:Legislative Instruments:Legislative Instrument Templates:</vt:lpwstr>
  </property>
  <property fmtid="{D5CDD505-2E9C-101B-9397-08002B2CF9AE}" pid="29" name="Objective-Parent">
    <vt:lpwstr>Legislative Instrument Templates</vt:lpwstr>
  </property>
  <property fmtid="{D5CDD505-2E9C-101B-9397-08002B2CF9AE}" pid="30" name="Objective-State">
    <vt:lpwstr>Being Drafted</vt:lpwstr>
  </property>
  <property fmtid="{D5CDD505-2E9C-101B-9397-08002B2CF9AE}" pid="31" name="Objective-Version">
    <vt:lpwstr>3.1</vt:lpwstr>
  </property>
  <property fmtid="{D5CDD505-2E9C-101B-9397-08002B2CF9AE}" pid="32" name="Objective-VersionNumber">
    <vt:i4>15</vt:i4>
  </property>
  <property fmtid="{D5CDD505-2E9C-101B-9397-08002B2CF9AE}" pid="33" name="Objective-VersionComment">
    <vt:lpwstr/>
  </property>
  <property fmtid="{D5CDD505-2E9C-101B-9397-08002B2CF9AE}" pid="34" name="Objective-FileNumber">
    <vt:lpwstr>2014 - 005986</vt:lpwstr>
  </property>
  <property fmtid="{D5CDD505-2E9C-101B-9397-08002B2CF9AE}" pid="35" name="Objective-Classification">
    <vt:lpwstr>[Inherited - IN-CONFIDENCE]</vt:lpwstr>
  </property>
  <property fmtid="{D5CDD505-2E9C-101B-9397-08002B2CF9AE}" pid="36" name="Objective-Caveats">
    <vt:lpwstr/>
  </property>
  <property fmtid="{D5CDD505-2E9C-101B-9397-08002B2CF9AE}" pid="37" name="Objective-Category [system]">
    <vt:lpwstr/>
  </property>
  <property fmtid="{D5CDD505-2E9C-101B-9397-08002B2CF9AE}" pid="38" name="k274875fb6994245bc6e4e8c07243a23">
    <vt:lpwstr>Sensitive|19fd2cb8-3e97-4464-ae71-8c2c2095d028</vt:lpwstr>
  </property>
  <property fmtid="{D5CDD505-2E9C-101B-9397-08002B2CF9AE}" pid="39" name="RecordPoint_WorkflowType">
    <vt:lpwstr>ActiveSubmitStub</vt:lpwstr>
  </property>
  <property fmtid="{D5CDD505-2E9C-101B-9397-08002B2CF9AE}" pid="40" name="RecordPoint_ActiveItemSiteId">
    <vt:lpwstr>{fa96e6fb-4129-44b7-b105-10ec3844cb78}</vt:lpwstr>
  </property>
  <property fmtid="{D5CDD505-2E9C-101B-9397-08002B2CF9AE}" pid="41" name="RecordPoint_ActiveItemListId">
    <vt:lpwstr>{e8634c1b-1868-4a02-8de8-ef4b1316a551}</vt:lpwstr>
  </property>
  <property fmtid="{D5CDD505-2E9C-101B-9397-08002B2CF9AE}" pid="42" name="RecordPoint_ActiveItemUniqueId">
    <vt:lpwstr>{0f4c5c6f-0dad-4deb-a834-375fa2501599}</vt:lpwstr>
  </property>
  <property fmtid="{D5CDD505-2E9C-101B-9397-08002B2CF9AE}" pid="43" name="RecordPoint_ActiveItemWebId">
    <vt:lpwstr>{6fdf923d-1605-456d-9034-49e4c2a6593d}</vt:lpwstr>
  </property>
  <property fmtid="{D5CDD505-2E9C-101B-9397-08002B2CF9AE}" pid="44" name="IconOverlay">
    <vt:lpwstr/>
  </property>
  <property fmtid="{D5CDD505-2E9C-101B-9397-08002B2CF9AE}" pid="45" name="RecordNumber">
    <vt:lpwstr>R20210000583158</vt:lpwstr>
  </property>
  <property fmtid="{D5CDD505-2E9C-101B-9397-08002B2CF9AE}" pid="46" name="RecordPoint_SubmissionCompleted">
    <vt:lpwstr>2021-09-14T18:42:49.7315500+10:00</vt:lpwstr>
  </property>
  <property fmtid="{D5CDD505-2E9C-101B-9397-08002B2CF9AE}" pid="47" name="RecordPoint_RecordNumberSubmitted">
    <vt:lpwstr>R20210000583158</vt:lpwstr>
  </property>
  <property fmtid="{D5CDD505-2E9C-101B-9397-08002B2CF9AE}" pid="48" name="Reviewers">
    <vt:lpwstr/>
  </property>
  <property fmtid="{D5CDD505-2E9C-101B-9397-08002B2CF9AE}" pid="49" name="NotesLinks">
    <vt:lpwstr/>
  </property>
  <property fmtid="{D5CDD505-2E9C-101B-9397-08002B2CF9AE}" pid="50" name="Approvers">
    <vt:lpwstr/>
  </property>
  <property fmtid="{D5CDD505-2E9C-101B-9397-08002B2CF9AE}" pid="51" name="SecurityClassification">
    <vt:lpwstr>3;#OFFICIAL|cffd3088-7a74-4edb-8c9e-fbf79371a422</vt:lpwstr>
  </property>
  <property fmtid="{D5CDD505-2E9C-101B-9397-08002B2CF9AE}" pid="52" name="ObjectiveID">
    <vt:lpwstr/>
  </property>
  <property fmtid="{D5CDD505-2E9C-101B-9397-08002B2CF9AE}" pid="53" name="SignificantFlag">
    <vt:lpwstr>0</vt:lpwstr>
  </property>
  <property fmtid="{D5CDD505-2E9C-101B-9397-08002B2CF9AE}" pid="54" name="SenateOrder12">
    <vt:lpwstr>0</vt:lpwstr>
  </property>
  <property fmtid="{D5CDD505-2E9C-101B-9397-08002B2CF9AE}" pid="55" name="ded95d7ab059406991d558011d18c177">
    <vt:lpwstr/>
  </property>
  <property fmtid="{D5CDD505-2E9C-101B-9397-08002B2CF9AE}" pid="56" name="SignificantReason">
    <vt:lpwstr/>
  </property>
  <property fmtid="{D5CDD505-2E9C-101B-9397-08002B2CF9AE}" pid="57" name="Order">
    <vt:lpwstr>71900.0000000000</vt:lpwstr>
  </property>
  <property fmtid="{D5CDD505-2E9C-101B-9397-08002B2CF9AE}" pid="58" name="RecordPoint_SubmissionDate">
    <vt:lpwstr/>
  </property>
  <property fmtid="{D5CDD505-2E9C-101B-9397-08002B2CF9AE}" pid="59" name="RecordPoint_RecordFormat">
    <vt:lpwstr/>
  </property>
  <property fmtid="{D5CDD505-2E9C-101B-9397-08002B2CF9AE}" pid="60" name="_dlc_DocId">
    <vt:lpwstr>001029-1948038060-314</vt:lpwstr>
  </property>
  <property fmtid="{D5CDD505-2E9C-101B-9397-08002B2CF9AE}" pid="61" name="_dlc_DocIdItemGuid">
    <vt:lpwstr>52fad558-f379-4813-b771-af7dd9dc352c</vt:lpwstr>
  </property>
  <property fmtid="{D5CDD505-2E9C-101B-9397-08002B2CF9AE}" pid="62" name="_dlc_DocIdUrl">
    <vt:lpwstr>https://asiclink.sharepoint.com/teams/001029/_layouts/15/DocIdRedir.aspx?ID=001029-1948038060-314, 001029-1948038060-314</vt:lpwstr>
  </property>
  <property fmtid="{D5CDD505-2E9C-101B-9397-08002B2CF9AE}" pid="63" name="MediaServiceImageTags">
    <vt:lpwstr/>
  </property>
  <property fmtid="{D5CDD505-2E9C-101B-9397-08002B2CF9AE}" pid="64" name="lcf76f155ced4ddcb4097134ff3c332f">
    <vt:lpwstr/>
  </property>
  <property fmtid="{D5CDD505-2E9C-101B-9397-08002B2CF9AE}" pid="65" name="MarketEntity">
    <vt:lpwstr/>
  </property>
  <property fmtid="{D5CDD505-2E9C-101B-9397-08002B2CF9AE}" pid="66" name="hb5cf2776cb244fb86c547dd8da508c2">
    <vt:lpwstr/>
  </property>
  <property fmtid="{D5CDD505-2E9C-101B-9397-08002B2CF9AE}" pid="67" name="gf4a8c3070f44bdaa4b7c781e9258adf">
    <vt:lpwstr/>
  </property>
  <property fmtid="{D5CDD505-2E9C-101B-9397-08002B2CF9AE}" pid="68" name="CategoryofSupervision">
    <vt:lpwstr/>
  </property>
  <property fmtid="{D5CDD505-2E9C-101B-9397-08002B2CF9AE}" pid="69" name="ContentTypeId">
    <vt:lpwstr>0x010100B5F685A1365F544391EF8C813B164F3A0A0029FDDBED0E78804AAE9F6FBADD223523</vt:lpwstr>
  </property>
  <property fmtid="{D5CDD505-2E9C-101B-9397-08002B2CF9AE}" pid="70" name="MSIP_Label_a6aead41-07f8-4767-ac8e-ef1c9c793766_Enabled">
    <vt:lpwstr>true</vt:lpwstr>
  </property>
  <property fmtid="{D5CDD505-2E9C-101B-9397-08002B2CF9AE}" pid="71" name="MSIP_Label_a6aead41-07f8-4767-ac8e-ef1c9c793766_SetDate">
    <vt:lpwstr>2023-02-23T01:09:57Z</vt:lpwstr>
  </property>
  <property fmtid="{D5CDD505-2E9C-101B-9397-08002B2CF9AE}" pid="72" name="MSIP_Label_a6aead41-07f8-4767-ac8e-ef1c9c793766_Method">
    <vt:lpwstr>Standard</vt:lpwstr>
  </property>
  <property fmtid="{D5CDD505-2E9C-101B-9397-08002B2CF9AE}" pid="73" name="MSIP_Label_a6aead41-07f8-4767-ac8e-ef1c9c793766_Name">
    <vt:lpwstr>OFFICIAL</vt:lpwstr>
  </property>
  <property fmtid="{D5CDD505-2E9C-101B-9397-08002B2CF9AE}" pid="74" name="MSIP_Label_a6aead41-07f8-4767-ac8e-ef1c9c793766_SiteId">
    <vt:lpwstr>5f1de7c6-55cd-4bb2-902d-514c78cf10f4</vt:lpwstr>
  </property>
  <property fmtid="{D5CDD505-2E9C-101B-9397-08002B2CF9AE}" pid="75" name="MSIP_Label_a6aead41-07f8-4767-ac8e-ef1c9c793766_ActionId">
    <vt:lpwstr>4848dc34-f732-4c6f-9987-4f935030cd18</vt:lpwstr>
  </property>
  <property fmtid="{D5CDD505-2E9C-101B-9397-08002B2CF9AE}" pid="76" name="MSIP_Label_a6aead41-07f8-4767-ac8e-ef1c9c793766_ContentBits">
    <vt:lpwstr>0</vt:lpwstr>
  </property>
</Properties>
</file>