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3DD" w:rsidRPr="00BC76EB" w:rsidRDefault="002533F0" w:rsidP="004A593B">
      <w:pPr>
        <w:spacing w:before="0" w:after="120"/>
        <w:ind w:right="91"/>
        <w:jc w:val="center"/>
        <w:rPr>
          <w:rFonts w:ascii="Arial" w:hAnsi="Arial" w:cs="Arial"/>
          <w:color w:val="0070C0"/>
          <w:szCs w:val="24"/>
        </w:rPr>
      </w:pPr>
      <w:bookmarkStart w:id="0" w:name="_GoBack"/>
      <w:bookmarkEnd w:id="0"/>
      <w:r w:rsidRPr="00BC76EB">
        <w:rPr>
          <w:rFonts w:ascii="Arial" w:hAnsi="Arial" w:cs="Arial"/>
          <w:b/>
          <w:szCs w:val="24"/>
          <w:u w:val="single"/>
        </w:rPr>
        <w:t>EXPLANATORY STATEMENT</w:t>
      </w:r>
    </w:p>
    <w:p w:rsidR="002533F0" w:rsidRPr="00BC76EB" w:rsidRDefault="002533F0" w:rsidP="002533F0">
      <w:pPr>
        <w:spacing w:before="0"/>
        <w:ind w:right="91"/>
        <w:jc w:val="center"/>
        <w:rPr>
          <w:rFonts w:ascii="Arial" w:hAnsi="Arial" w:cs="Arial"/>
          <w:szCs w:val="24"/>
        </w:rPr>
      </w:pPr>
    </w:p>
    <w:p w:rsidR="00EC0C59" w:rsidRPr="00BC76EB" w:rsidRDefault="00EC0C59" w:rsidP="002533F0">
      <w:pPr>
        <w:spacing w:before="0"/>
        <w:ind w:right="91"/>
        <w:jc w:val="center"/>
        <w:rPr>
          <w:rFonts w:ascii="Arial" w:hAnsi="Arial" w:cs="Arial"/>
          <w:b/>
          <w:szCs w:val="24"/>
          <w:u w:val="single"/>
        </w:rPr>
      </w:pPr>
    </w:p>
    <w:p w:rsidR="00007EC3" w:rsidRPr="00BC76EB" w:rsidRDefault="004A593B" w:rsidP="00007EC3">
      <w:pPr>
        <w:spacing w:before="0"/>
        <w:ind w:right="91"/>
        <w:jc w:val="center"/>
        <w:rPr>
          <w:rFonts w:ascii="Arial" w:hAnsi="Arial" w:cs="Arial"/>
          <w:szCs w:val="24"/>
        </w:rPr>
      </w:pPr>
      <w:r w:rsidRPr="00BC76EB">
        <w:rPr>
          <w:rFonts w:ascii="Arial" w:hAnsi="Arial" w:cs="Arial"/>
          <w:szCs w:val="24"/>
        </w:rPr>
        <w:t xml:space="preserve">Issued by the authority of the </w:t>
      </w:r>
      <w:r w:rsidR="004167BC">
        <w:rPr>
          <w:rFonts w:ascii="Arial" w:hAnsi="Arial" w:cs="Arial"/>
          <w:szCs w:val="24"/>
        </w:rPr>
        <w:t>Secretary of the</w:t>
      </w:r>
      <w:r w:rsidR="00007EC3">
        <w:rPr>
          <w:rFonts w:ascii="Arial" w:hAnsi="Arial" w:cs="Arial"/>
          <w:szCs w:val="24"/>
        </w:rPr>
        <w:t xml:space="preserve"> Department of Social Services</w:t>
      </w:r>
    </w:p>
    <w:p w:rsidR="004A593B" w:rsidRPr="00BC76EB" w:rsidRDefault="004A593B" w:rsidP="00EE0F91">
      <w:pPr>
        <w:spacing w:before="0"/>
        <w:ind w:right="91"/>
        <w:rPr>
          <w:rFonts w:ascii="Arial" w:hAnsi="Arial" w:cs="Arial"/>
          <w:i/>
          <w:szCs w:val="24"/>
        </w:rPr>
      </w:pPr>
    </w:p>
    <w:p w:rsidR="004A593B" w:rsidRPr="004E6680" w:rsidRDefault="004A593B" w:rsidP="004A593B">
      <w:pPr>
        <w:spacing w:before="0"/>
        <w:ind w:right="91"/>
        <w:jc w:val="center"/>
        <w:rPr>
          <w:rFonts w:ascii="Arial" w:hAnsi="Arial" w:cs="Arial"/>
          <w:szCs w:val="24"/>
        </w:rPr>
      </w:pPr>
      <w:r>
        <w:rPr>
          <w:rFonts w:ascii="Arial" w:hAnsi="Arial" w:cs="Arial"/>
          <w:i/>
          <w:szCs w:val="24"/>
        </w:rPr>
        <w:t>Social Security Act 1991</w:t>
      </w:r>
    </w:p>
    <w:p w:rsidR="004A593B" w:rsidRPr="00BC76EB" w:rsidRDefault="004A593B" w:rsidP="004A593B">
      <w:pPr>
        <w:spacing w:before="0"/>
        <w:ind w:right="91"/>
        <w:jc w:val="center"/>
        <w:rPr>
          <w:rFonts w:ascii="Arial" w:hAnsi="Arial" w:cs="Arial"/>
          <w:szCs w:val="24"/>
        </w:rPr>
      </w:pPr>
    </w:p>
    <w:p w:rsidR="002533F0" w:rsidRPr="00A4606E" w:rsidRDefault="004A593B" w:rsidP="00A4606E">
      <w:pPr>
        <w:spacing w:before="0"/>
        <w:ind w:right="91"/>
        <w:jc w:val="center"/>
        <w:rPr>
          <w:rFonts w:ascii="Arial" w:hAnsi="Arial" w:cs="Arial"/>
          <w:i/>
          <w:szCs w:val="24"/>
        </w:rPr>
      </w:pPr>
      <w:r>
        <w:rPr>
          <w:rFonts w:ascii="Arial" w:hAnsi="Arial" w:cs="Arial"/>
          <w:i/>
          <w:szCs w:val="24"/>
        </w:rPr>
        <w:t xml:space="preserve">Social Security (Exempt Lump Sum – </w:t>
      </w:r>
      <w:r w:rsidR="009A3377" w:rsidRPr="009A3377">
        <w:rPr>
          <w:rFonts w:ascii="Arial" w:hAnsi="Arial" w:cs="Arial"/>
          <w:i/>
          <w:szCs w:val="24"/>
        </w:rPr>
        <w:t>NSW Taxi Licence Deregulation</w:t>
      </w:r>
      <w:r w:rsidR="003303F6">
        <w:rPr>
          <w:rFonts w:ascii="Arial" w:hAnsi="Arial" w:cs="Arial"/>
          <w:i/>
          <w:szCs w:val="24"/>
        </w:rPr>
        <w:t>) Determination 2023</w:t>
      </w:r>
    </w:p>
    <w:p w:rsidR="002533F0" w:rsidRPr="00BC76EB" w:rsidRDefault="0083135C" w:rsidP="00A4606E">
      <w:pPr>
        <w:keepNext/>
        <w:ind w:right="91"/>
        <w:rPr>
          <w:rFonts w:ascii="Arial" w:hAnsi="Arial" w:cs="Arial"/>
          <w:b/>
          <w:szCs w:val="24"/>
        </w:rPr>
      </w:pPr>
      <w:r w:rsidRPr="00BC76EB">
        <w:rPr>
          <w:rFonts w:ascii="Arial" w:hAnsi="Arial" w:cs="Arial"/>
          <w:b/>
          <w:szCs w:val="24"/>
        </w:rPr>
        <w:t>Purpose</w:t>
      </w:r>
    </w:p>
    <w:p w:rsidR="006972CC" w:rsidRPr="006972CC" w:rsidRDefault="006972CC" w:rsidP="003C448C">
      <w:pPr>
        <w:rPr>
          <w:rFonts w:ascii="Arial" w:hAnsi="Arial" w:cs="Arial"/>
          <w:color w:val="000000"/>
          <w:shd w:val="clear" w:color="auto" w:fill="FFFFFF"/>
        </w:rPr>
      </w:pPr>
      <w:r>
        <w:rPr>
          <w:rFonts w:ascii="Arial" w:hAnsi="Arial" w:cs="Arial"/>
          <w:color w:val="000000"/>
          <w:shd w:val="clear" w:color="auto" w:fill="FFFFFF"/>
        </w:rPr>
        <w:t xml:space="preserve">Paragraph 8(11)(d) of the </w:t>
      </w:r>
      <w:r>
        <w:rPr>
          <w:rFonts w:ascii="Arial" w:hAnsi="Arial" w:cs="Arial"/>
          <w:i/>
          <w:color w:val="000000"/>
          <w:shd w:val="clear" w:color="auto" w:fill="FFFFFF"/>
        </w:rPr>
        <w:t>Social Security Act 1991</w:t>
      </w:r>
      <w:r>
        <w:rPr>
          <w:rFonts w:ascii="Arial" w:hAnsi="Arial" w:cs="Arial"/>
          <w:color w:val="000000"/>
          <w:shd w:val="clear" w:color="auto" w:fill="FFFFFF"/>
        </w:rPr>
        <w:t xml:space="preserve"> (</w:t>
      </w:r>
      <w:r w:rsidRPr="0052654C">
        <w:rPr>
          <w:rFonts w:ascii="Arial" w:hAnsi="Arial" w:cs="Arial"/>
          <w:b/>
          <w:color w:val="000000"/>
          <w:shd w:val="clear" w:color="auto" w:fill="FFFFFF"/>
        </w:rPr>
        <w:t>Act</w:t>
      </w:r>
      <w:r>
        <w:rPr>
          <w:rFonts w:ascii="Arial" w:hAnsi="Arial" w:cs="Arial"/>
          <w:color w:val="000000"/>
          <w:shd w:val="clear" w:color="auto" w:fill="FFFFFF"/>
        </w:rPr>
        <w:t>) allows the Secretary of the Department of Social Services</w:t>
      </w:r>
      <w:r w:rsidR="00EE3A56">
        <w:rPr>
          <w:rFonts w:ascii="Arial" w:hAnsi="Arial" w:cs="Arial"/>
          <w:color w:val="000000"/>
          <w:shd w:val="clear" w:color="auto" w:fill="FFFFFF"/>
        </w:rPr>
        <w:t>, or their delegate,</w:t>
      </w:r>
      <w:r>
        <w:rPr>
          <w:rFonts w:ascii="Arial" w:hAnsi="Arial" w:cs="Arial"/>
          <w:color w:val="000000"/>
          <w:shd w:val="clear" w:color="auto" w:fill="FFFFFF"/>
        </w:rPr>
        <w:t xml:space="preserve"> to determine by legislative instrument that an amount, or class of amounts, received by a person is an exempt lump sum under social security law</w:t>
      </w:r>
      <w:r w:rsidR="006114DA">
        <w:rPr>
          <w:rFonts w:ascii="Arial" w:hAnsi="Arial" w:cs="Arial"/>
          <w:color w:val="000000"/>
          <w:shd w:val="clear" w:color="auto" w:fill="FFFFFF"/>
        </w:rPr>
        <w:t>, and do not count under the income test</w:t>
      </w:r>
      <w:r>
        <w:rPr>
          <w:rFonts w:ascii="Arial" w:hAnsi="Arial" w:cs="Arial"/>
          <w:color w:val="000000"/>
          <w:shd w:val="clear" w:color="auto" w:fill="FFFFFF"/>
        </w:rPr>
        <w:t xml:space="preserve">. </w:t>
      </w:r>
    </w:p>
    <w:p w:rsidR="003C448C" w:rsidRDefault="003C448C" w:rsidP="003C448C">
      <w:pPr>
        <w:rPr>
          <w:rFonts w:ascii="Arial" w:hAnsi="Arial" w:cs="Arial"/>
          <w:color w:val="000000"/>
          <w:shd w:val="clear" w:color="auto" w:fill="FFFFFF"/>
        </w:rPr>
      </w:pPr>
      <w:r>
        <w:rPr>
          <w:rFonts w:ascii="Arial" w:hAnsi="Arial" w:cs="Arial"/>
          <w:color w:val="000000"/>
          <w:shd w:val="clear" w:color="auto" w:fill="FFFFFF"/>
        </w:rPr>
        <w:t xml:space="preserve">The </w:t>
      </w:r>
      <w:r w:rsidRPr="00E96E18">
        <w:rPr>
          <w:rFonts w:ascii="Arial" w:hAnsi="Arial" w:cs="Arial"/>
          <w:i/>
          <w:color w:val="000000"/>
          <w:shd w:val="clear" w:color="auto" w:fill="FFFFFF"/>
        </w:rPr>
        <w:t xml:space="preserve">Social Security (Exempt Lump Sum – </w:t>
      </w:r>
      <w:r w:rsidR="009A3377" w:rsidRPr="009A3377">
        <w:rPr>
          <w:rFonts w:ascii="Arial" w:hAnsi="Arial" w:cs="Arial"/>
          <w:i/>
          <w:szCs w:val="24"/>
        </w:rPr>
        <w:t>NSW Taxi Licence Deregulation</w:t>
      </w:r>
      <w:r w:rsidRPr="00E96E18">
        <w:rPr>
          <w:rFonts w:ascii="Arial" w:hAnsi="Arial" w:cs="Arial"/>
          <w:i/>
          <w:color w:val="000000"/>
          <w:shd w:val="clear" w:color="auto" w:fill="FFFFFF"/>
        </w:rPr>
        <w:t>) Determination 202</w:t>
      </w:r>
      <w:r w:rsidR="003303F6">
        <w:rPr>
          <w:rFonts w:ascii="Arial" w:hAnsi="Arial" w:cs="Arial"/>
          <w:i/>
          <w:color w:val="000000"/>
          <w:shd w:val="clear" w:color="auto" w:fill="FFFFFF"/>
        </w:rPr>
        <w:t>3</w:t>
      </w:r>
      <w:r>
        <w:rPr>
          <w:rFonts w:ascii="Arial" w:hAnsi="Arial" w:cs="Arial"/>
          <w:color w:val="000000"/>
          <w:shd w:val="clear" w:color="auto" w:fill="FFFFFF"/>
        </w:rPr>
        <w:t xml:space="preserve"> (</w:t>
      </w:r>
      <w:r w:rsidRPr="0052654C">
        <w:rPr>
          <w:rFonts w:ascii="Arial" w:hAnsi="Arial" w:cs="Arial"/>
          <w:b/>
          <w:color w:val="000000"/>
          <w:shd w:val="clear" w:color="auto" w:fill="FFFFFF"/>
        </w:rPr>
        <w:t>Determination</w:t>
      </w:r>
      <w:r w:rsidR="00925E41">
        <w:rPr>
          <w:rFonts w:ascii="Arial" w:hAnsi="Arial" w:cs="Arial"/>
          <w:color w:val="000000"/>
          <w:shd w:val="clear" w:color="auto" w:fill="FFFFFF"/>
        </w:rPr>
        <w:t xml:space="preserve">) provides that </w:t>
      </w:r>
      <w:r w:rsidR="005B6A7C">
        <w:rPr>
          <w:rFonts w:ascii="Arial" w:hAnsi="Arial" w:cs="Arial"/>
          <w:color w:val="000000"/>
          <w:shd w:val="clear" w:color="auto" w:fill="FFFFFF"/>
        </w:rPr>
        <w:t xml:space="preserve">a </w:t>
      </w:r>
      <w:r w:rsidR="00925E41">
        <w:rPr>
          <w:rFonts w:ascii="Arial" w:hAnsi="Arial" w:cs="Arial"/>
          <w:color w:val="000000"/>
          <w:shd w:val="clear" w:color="auto" w:fill="FFFFFF"/>
        </w:rPr>
        <w:t>payment</w:t>
      </w:r>
      <w:r w:rsidR="005B6A7C">
        <w:rPr>
          <w:rFonts w:ascii="Arial" w:hAnsi="Arial" w:cs="Arial"/>
          <w:color w:val="000000"/>
          <w:shd w:val="clear" w:color="auto" w:fill="FFFFFF"/>
        </w:rPr>
        <w:t xml:space="preserve"> of a NSW taxi transitional assistance payment is an</w:t>
      </w:r>
      <w:r w:rsidR="00925E41">
        <w:rPr>
          <w:rFonts w:ascii="Arial" w:hAnsi="Arial" w:cs="Arial"/>
          <w:color w:val="000000"/>
          <w:shd w:val="clear" w:color="auto" w:fill="FFFFFF"/>
        </w:rPr>
        <w:t xml:space="preserve"> </w:t>
      </w:r>
      <w:r>
        <w:rPr>
          <w:rFonts w:ascii="Arial" w:hAnsi="Arial" w:cs="Arial"/>
          <w:color w:val="000000"/>
          <w:shd w:val="clear" w:color="auto" w:fill="FFFFFF"/>
        </w:rPr>
        <w:t xml:space="preserve">exempt lump sum for the purposes of paragraph 8(11)(d) of the Act. </w:t>
      </w:r>
    </w:p>
    <w:p w:rsidR="0015134A" w:rsidRPr="00BC76EB" w:rsidRDefault="0015134A" w:rsidP="00A4606E">
      <w:pPr>
        <w:keepNext/>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Background</w:t>
      </w:r>
    </w:p>
    <w:p w:rsidR="00CB58F9" w:rsidRDefault="00D80A0E" w:rsidP="006972CC">
      <w:pPr>
        <w:rPr>
          <w:rFonts w:ascii="Arial" w:hAnsi="Arial" w:cs="Arial"/>
          <w:color w:val="000000"/>
          <w:shd w:val="clear" w:color="auto" w:fill="FFFFFF"/>
        </w:rPr>
      </w:pPr>
      <w:r>
        <w:rPr>
          <w:rFonts w:ascii="Arial" w:hAnsi="Arial" w:cs="Arial"/>
          <w:color w:val="000000"/>
          <w:shd w:val="clear" w:color="auto" w:fill="FFFFFF"/>
        </w:rPr>
        <w:t xml:space="preserve">Income earned, derived or received for a person’s own use or benefit is generally assessable as income under social security law. </w:t>
      </w:r>
      <w:r w:rsidR="006972CC">
        <w:rPr>
          <w:rFonts w:ascii="Arial" w:hAnsi="Arial" w:cs="Arial"/>
          <w:color w:val="000000"/>
          <w:shd w:val="clear" w:color="auto" w:fill="FFFFFF"/>
        </w:rPr>
        <w:t xml:space="preserve">An amount, or class of amounts, received by a person may be specifically exempt under paragraph 8(11)(d) of the Act. </w:t>
      </w:r>
      <w:r w:rsidR="0046435D">
        <w:rPr>
          <w:rFonts w:ascii="Arial" w:hAnsi="Arial" w:cs="Arial"/>
          <w:color w:val="000000"/>
          <w:shd w:val="clear" w:color="auto" w:fill="FFFFFF"/>
        </w:rPr>
        <w:t>This paragraph</w:t>
      </w:r>
      <w:r w:rsidR="006972CC">
        <w:rPr>
          <w:rFonts w:ascii="Arial" w:hAnsi="Arial" w:cs="Arial"/>
          <w:color w:val="000000"/>
          <w:shd w:val="clear" w:color="auto" w:fill="FFFFFF"/>
        </w:rPr>
        <w:t xml:space="preserve"> allows the Secretary </w:t>
      </w:r>
      <w:r w:rsidR="00EE3A56">
        <w:rPr>
          <w:rFonts w:ascii="Arial" w:hAnsi="Arial" w:cs="Arial"/>
          <w:color w:val="000000"/>
          <w:shd w:val="clear" w:color="auto" w:fill="FFFFFF"/>
        </w:rPr>
        <w:t xml:space="preserve">or their delegate </w:t>
      </w:r>
      <w:r w:rsidR="006972CC">
        <w:rPr>
          <w:rFonts w:ascii="Arial" w:hAnsi="Arial" w:cs="Arial"/>
          <w:color w:val="000000"/>
          <w:shd w:val="clear" w:color="auto" w:fill="FFFFFF"/>
        </w:rPr>
        <w:t>to determine that an amount or class of amounts is an exempt lump sum.</w:t>
      </w:r>
    </w:p>
    <w:p w:rsidR="006972CC" w:rsidRDefault="006972CC" w:rsidP="006972CC">
      <w:pPr>
        <w:rPr>
          <w:rFonts w:ascii="Arial" w:hAnsi="Arial" w:cs="Arial"/>
          <w:color w:val="000000"/>
          <w:shd w:val="clear" w:color="auto" w:fill="FFFFFF"/>
        </w:rPr>
      </w:pPr>
      <w:r>
        <w:rPr>
          <w:rFonts w:ascii="Arial" w:hAnsi="Arial" w:cs="Arial"/>
          <w:color w:val="000000"/>
          <w:shd w:val="clear" w:color="auto" w:fill="FFFFFF"/>
        </w:rPr>
        <w:t>An exempt lump sum is excluded from the definition of ‘ordinary income’ under subsection 8(1) of the Act, meaning the exempt lump sum amount is not taken into account as part of the social security income test.</w:t>
      </w:r>
    </w:p>
    <w:p w:rsidR="00370E35" w:rsidRDefault="00370E35" w:rsidP="004B54CA">
      <w:pPr>
        <w:rPr>
          <w:rFonts w:ascii="Arial" w:hAnsi="Arial" w:cs="Arial"/>
          <w:szCs w:val="24"/>
        </w:rPr>
      </w:pPr>
      <w:r>
        <w:rPr>
          <w:rFonts w:ascii="Arial" w:hAnsi="Arial" w:cs="Arial"/>
          <w:szCs w:val="24"/>
        </w:rPr>
        <w:t xml:space="preserve">The exemption of a lump sum payment from the income test does not alter the fact that any ongoing income generated, or any assessable asset produced, by the lump sum is counted under the social security income or assets tests. </w:t>
      </w:r>
    </w:p>
    <w:p w:rsidR="0052654C" w:rsidRDefault="0052654C" w:rsidP="004B54CA">
      <w:pPr>
        <w:rPr>
          <w:rFonts w:ascii="Arial" w:hAnsi="Arial" w:cs="Arial"/>
          <w:i/>
          <w:szCs w:val="24"/>
        </w:rPr>
      </w:pPr>
      <w:r w:rsidRPr="0052654C">
        <w:rPr>
          <w:rFonts w:ascii="Arial" w:hAnsi="Arial" w:cs="Arial"/>
          <w:i/>
          <w:szCs w:val="24"/>
        </w:rPr>
        <w:t xml:space="preserve">NSW Government further financial assistance scheme </w:t>
      </w:r>
      <w:r>
        <w:rPr>
          <w:rFonts w:ascii="Arial" w:hAnsi="Arial" w:cs="Arial"/>
          <w:i/>
          <w:szCs w:val="24"/>
        </w:rPr>
        <w:t>for taxi licence owners</w:t>
      </w:r>
    </w:p>
    <w:p w:rsidR="006B2583" w:rsidRDefault="00123029" w:rsidP="004B54CA">
      <w:pPr>
        <w:rPr>
          <w:rFonts w:ascii="Arial" w:hAnsi="Arial" w:cs="Arial"/>
          <w:szCs w:val="24"/>
        </w:rPr>
      </w:pPr>
      <w:r w:rsidRPr="00123029">
        <w:rPr>
          <w:rFonts w:ascii="Arial" w:hAnsi="Arial" w:cs="Arial"/>
          <w:szCs w:val="24"/>
        </w:rPr>
        <w:t>On</w:t>
      </w:r>
      <w:r w:rsidR="005B6A7C">
        <w:rPr>
          <w:rFonts w:ascii="Arial" w:hAnsi="Arial" w:cs="Arial"/>
          <w:szCs w:val="24"/>
        </w:rPr>
        <w:t xml:space="preserve"> 16</w:t>
      </w:r>
      <w:r w:rsidRPr="00123029">
        <w:rPr>
          <w:rFonts w:ascii="Arial" w:hAnsi="Arial" w:cs="Arial"/>
          <w:szCs w:val="24"/>
        </w:rPr>
        <w:t xml:space="preserve"> December 2022, the NSW Government published the </w:t>
      </w:r>
      <w:r w:rsidRPr="00123029">
        <w:rPr>
          <w:rFonts w:ascii="Arial" w:hAnsi="Arial" w:cs="Arial"/>
          <w:i/>
          <w:szCs w:val="24"/>
        </w:rPr>
        <w:t>Point to Point Transport (Taxis and Hire Vehicles) Amendment Regulation 2022</w:t>
      </w:r>
      <w:r w:rsidRPr="00123029">
        <w:rPr>
          <w:rFonts w:ascii="Arial" w:hAnsi="Arial" w:cs="Arial"/>
          <w:szCs w:val="24"/>
        </w:rPr>
        <w:t xml:space="preserve">. The </w:t>
      </w:r>
      <w:r>
        <w:rPr>
          <w:rFonts w:ascii="Arial" w:hAnsi="Arial" w:cs="Arial"/>
          <w:szCs w:val="24"/>
        </w:rPr>
        <w:t xml:space="preserve">amendment </w:t>
      </w:r>
      <w:r w:rsidRPr="00123029">
        <w:rPr>
          <w:rFonts w:ascii="Arial" w:hAnsi="Arial" w:cs="Arial"/>
          <w:szCs w:val="24"/>
        </w:rPr>
        <w:t xml:space="preserve">regulation </w:t>
      </w:r>
      <w:r>
        <w:rPr>
          <w:rFonts w:ascii="Arial" w:hAnsi="Arial" w:cs="Arial"/>
          <w:szCs w:val="24"/>
        </w:rPr>
        <w:t xml:space="preserve">amends the </w:t>
      </w:r>
      <w:r w:rsidRPr="00D57DC5">
        <w:rPr>
          <w:rFonts w:ascii="Arial" w:hAnsi="Arial" w:cs="Arial"/>
          <w:i/>
          <w:szCs w:val="24"/>
        </w:rPr>
        <w:t xml:space="preserve">Point to Point Transport (Taxis and Hire Vehicles) Regulation 2017 </w:t>
      </w:r>
      <w:r w:rsidRPr="00D57DC5">
        <w:rPr>
          <w:rFonts w:ascii="Arial" w:hAnsi="Arial" w:cs="Arial"/>
          <w:szCs w:val="24"/>
        </w:rPr>
        <w:t>(NSW) (</w:t>
      </w:r>
      <w:r w:rsidR="005B6A7C">
        <w:rPr>
          <w:rFonts w:ascii="Arial" w:hAnsi="Arial" w:cs="Arial"/>
          <w:b/>
          <w:szCs w:val="24"/>
        </w:rPr>
        <w:t xml:space="preserve">the </w:t>
      </w:r>
      <w:r w:rsidRPr="00D57DC5">
        <w:rPr>
          <w:rFonts w:ascii="Arial" w:hAnsi="Arial" w:cs="Arial"/>
          <w:b/>
          <w:szCs w:val="24"/>
        </w:rPr>
        <w:t>Regulations</w:t>
      </w:r>
      <w:r>
        <w:rPr>
          <w:rFonts w:ascii="Arial" w:hAnsi="Arial" w:cs="Arial"/>
          <w:szCs w:val="24"/>
        </w:rPr>
        <w:t xml:space="preserve">), and </w:t>
      </w:r>
      <w:r w:rsidRPr="00123029">
        <w:rPr>
          <w:rFonts w:ascii="Arial" w:hAnsi="Arial" w:cs="Arial"/>
          <w:szCs w:val="24"/>
        </w:rPr>
        <w:t xml:space="preserve">establishes the detail of </w:t>
      </w:r>
      <w:r>
        <w:rPr>
          <w:rFonts w:ascii="Arial" w:hAnsi="Arial" w:cs="Arial"/>
          <w:szCs w:val="24"/>
        </w:rPr>
        <w:t>a</w:t>
      </w:r>
      <w:r w:rsidRPr="00123029">
        <w:rPr>
          <w:rFonts w:ascii="Arial" w:hAnsi="Arial" w:cs="Arial"/>
          <w:szCs w:val="24"/>
        </w:rPr>
        <w:t xml:space="preserve"> financial assistance scheme for eligible taxi licence owners</w:t>
      </w:r>
      <w:r w:rsidR="00DD5DAC">
        <w:rPr>
          <w:rFonts w:ascii="Arial" w:hAnsi="Arial" w:cs="Arial"/>
          <w:szCs w:val="24"/>
        </w:rPr>
        <w:t xml:space="preserve"> to</w:t>
      </w:r>
      <w:r>
        <w:rPr>
          <w:rFonts w:ascii="Arial" w:hAnsi="Arial" w:cs="Arial"/>
          <w:szCs w:val="24"/>
        </w:rPr>
        <w:t xml:space="preserve"> </w:t>
      </w:r>
      <w:r w:rsidRPr="00123029">
        <w:rPr>
          <w:rFonts w:ascii="Arial" w:hAnsi="Arial" w:cs="Arial"/>
          <w:szCs w:val="24"/>
        </w:rPr>
        <w:t>adapt to the deregulation of taxi licence supply</w:t>
      </w:r>
      <w:r w:rsidR="00A84A51">
        <w:rPr>
          <w:rFonts w:ascii="Arial" w:hAnsi="Arial" w:cs="Arial"/>
          <w:szCs w:val="24"/>
        </w:rPr>
        <w:t>.</w:t>
      </w:r>
    </w:p>
    <w:p w:rsidR="00F866CE" w:rsidRDefault="00A84A51" w:rsidP="0097752E">
      <w:pPr>
        <w:keepNext/>
        <w:rPr>
          <w:rFonts w:ascii="Arial" w:hAnsi="Arial" w:cs="Arial"/>
          <w:szCs w:val="24"/>
        </w:rPr>
      </w:pPr>
      <w:r>
        <w:rPr>
          <w:rFonts w:ascii="Arial" w:hAnsi="Arial" w:cs="Arial"/>
          <w:szCs w:val="24"/>
        </w:rPr>
        <w:lastRenderedPageBreak/>
        <w:t xml:space="preserve">Under the </w:t>
      </w:r>
      <w:r w:rsidR="000F2861">
        <w:rPr>
          <w:rFonts w:ascii="Arial" w:hAnsi="Arial" w:cs="Arial"/>
          <w:szCs w:val="24"/>
        </w:rPr>
        <w:t>financial assistance scheme</w:t>
      </w:r>
      <w:r w:rsidR="00F866CE">
        <w:rPr>
          <w:rFonts w:ascii="Arial" w:hAnsi="Arial" w:cs="Arial"/>
          <w:szCs w:val="24"/>
        </w:rPr>
        <w:t xml:space="preserve">, </w:t>
      </w:r>
      <w:r w:rsidR="007627F1">
        <w:rPr>
          <w:rFonts w:ascii="Arial" w:hAnsi="Arial" w:cs="Arial"/>
          <w:szCs w:val="24"/>
        </w:rPr>
        <w:t xml:space="preserve">persons eligible for </w:t>
      </w:r>
      <w:r w:rsidR="00F866CE">
        <w:rPr>
          <w:rFonts w:ascii="Arial" w:hAnsi="Arial" w:cs="Arial"/>
          <w:szCs w:val="24"/>
        </w:rPr>
        <w:t>payments are</w:t>
      </w:r>
      <w:r w:rsidR="00CB58F9">
        <w:rPr>
          <w:rFonts w:ascii="Arial" w:hAnsi="Arial" w:cs="Arial"/>
          <w:szCs w:val="24"/>
        </w:rPr>
        <w:t xml:space="preserve"> owners</w:t>
      </w:r>
      <w:r w:rsidR="00F866CE">
        <w:rPr>
          <w:rFonts w:ascii="Arial" w:hAnsi="Arial" w:cs="Arial"/>
          <w:szCs w:val="24"/>
        </w:rPr>
        <w:t>:</w:t>
      </w:r>
    </w:p>
    <w:p w:rsidR="00F866CE" w:rsidRPr="00F866CE" w:rsidRDefault="000F2861" w:rsidP="000F2861">
      <w:pPr>
        <w:pStyle w:val="ListParagraph"/>
        <w:numPr>
          <w:ilvl w:val="0"/>
          <w:numId w:val="22"/>
        </w:numPr>
        <w:rPr>
          <w:rFonts w:ascii="Arial" w:hAnsi="Arial" w:cs="Arial"/>
          <w:szCs w:val="24"/>
        </w:rPr>
      </w:pPr>
      <w:r w:rsidRPr="000F2861">
        <w:rPr>
          <w:rFonts w:ascii="Arial" w:hAnsi="Arial" w:cs="Arial"/>
          <w:szCs w:val="24"/>
        </w:rPr>
        <w:t xml:space="preserve">of a NSW ordinary taxi licence as defined in the </w:t>
      </w:r>
      <w:r w:rsidRPr="000F2861">
        <w:rPr>
          <w:rFonts w:ascii="Arial" w:hAnsi="Arial" w:cs="Arial"/>
          <w:i/>
          <w:szCs w:val="24"/>
        </w:rPr>
        <w:t>Point to Point Transport (Taxis and Hire Vehicles) Act 2016</w:t>
      </w:r>
      <w:r>
        <w:rPr>
          <w:rFonts w:ascii="Arial" w:hAnsi="Arial" w:cs="Arial"/>
          <w:szCs w:val="24"/>
        </w:rPr>
        <w:t xml:space="preserve"> (NSW) </w:t>
      </w:r>
      <w:r w:rsidRPr="000F2861">
        <w:rPr>
          <w:rFonts w:ascii="Arial" w:hAnsi="Arial" w:cs="Arial"/>
          <w:szCs w:val="24"/>
        </w:rPr>
        <w:t>except for owners of short-term, nexus, paired (wheelchair accessible taxi), or annual licences</w:t>
      </w:r>
      <w:r w:rsidR="00F866CE" w:rsidRPr="00F866CE">
        <w:rPr>
          <w:rFonts w:ascii="Arial" w:hAnsi="Arial" w:cs="Arial"/>
          <w:szCs w:val="24"/>
        </w:rPr>
        <w:t xml:space="preserve">; </w:t>
      </w:r>
      <w:r>
        <w:rPr>
          <w:rFonts w:ascii="Arial" w:hAnsi="Arial" w:cs="Arial"/>
          <w:szCs w:val="24"/>
        </w:rPr>
        <w:t>and</w:t>
      </w:r>
    </w:p>
    <w:p w:rsidR="00A84A51" w:rsidRPr="00F866CE" w:rsidRDefault="007434B1" w:rsidP="000F2861">
      <w:pPr>
        <w:pStyle w:val="ListParagraph"/>
        <w:numPr>
          <w:ilvl w:val="0"/>
          <w:numId w:val="22"/>
        </w:numPr>
        <w:rPr>
          <w:rFonts w:ascii="Arial" w:hAnsi="Arial" w:cs="Arial"/>
          <w:szCs w:val="24"/>
        </w:rPr>
      </w:pPr>
      <w:r>
        <w:rPr>
          <w:rFonts w:ascii="Arial" w:hAnsi="Arial" w:cs="Arial"/>
          <w:szCs w:val="24"/>
        </w:rPr>
        <w:t xml:space="preserve">who </w:t>
      </w:r>
      <w:r w:rsidR="000F2861">
        <w:rPr>
          <w:rFonts w:ascii="Arial" w:hAnsi="Arial" w:cs="Arial"/>
          <w:szCs w:val="24"/>
        </w:rPr>
        <w:t>h</w:t>
      </w:r>
      <w:r w:rsidR="000F2861" w:rsidRPr="000F2861">
        <w:rPr>
          <w:rFonts w:ascii="Arial" w:hAnsi="Arial" w:cs="Arial"/>
          <w:szCs w:val="24"/>
        </w:rPr>
        <w:t>ave owned an eligible licence on 21 September 2022 and continue to own that licence at the start of the transition period</w:t>
      </w:r>
      <w:r w:rsidR="000F2861">
        <w:rPr>
          <w:rFonts w:ascii="Arial" w:hAnsi="Arial" w:cs="Arial"/>
          <w:szCs w:val="24"/>
        </w:rPr>
        <w:t>, being 1 February 2023</w:t>
      </w:r>
      <w:r w:rsidR="00F866CE" w:rsidRPr="00F866CE">
        <w:rPr>
          <w:rFonts w:ascii="Arial" w:hAnsi="Arial" w:cs="Arial"/>
          <w:szCs w:val="24"/>
        </w:rPr>
        <w:t>.</w:t>
      </w:r>
    </w:p>
    <w:p w:rsidR="000F2861" w:rsidRDefault="000F2861" w:rsidP="00A4606E">
      <w:pPr>
        <w:rPr>
          <w:rFonts w:ascii="Arial" w:hAnsi="Arial" w:cs="Arial"/>
          <w:szCs w:val="24"/>
        </w:rPr>
      </w:pPr>
      <w:r w:rsidRPr="000F2861">
        <w:rPr>
          <w:rFonts w:ascii="Arial" w:hAnsi="Arial" w:cs="Arial"/>
          <w:szCs w:val="24"/>
        </w:rPr>
        <w:t xml:space="preserve">Eligible licence owners will be able to submit applications for </w:t>
      </w:r>
      <w:r>
        <w:rPr>
          <w:rFonts w:ascii="Arial" w:hAnsi="Arial" w:cs="Arial"/>
          <w:szCs w:val="24"/>
        </w:rPr>
        <w:t>further transitional</w:t>
      </w:r>
      <w:r w:rsidRPr="000F2861">
        <w:rPr>
          <w:rFonts w:ascii="Arial" w:hAnsi="Arial" w:cs="Arial"/>
          <w:szCs w:val="24"/>
        </w:rPr>
        <w:t xml:space="preserve"> assistance through the Transport for NSW website</w:t>
      </w:r>
      <w:r>
        <w:rPr>
          <w:rFonts w:ascii="Arial" w:hAnsi="Arial" w:cs="Arial"/>
          <w:szCs w:val="24"/>
        </w:rPr>
        <w:t xml:space="preserve">, and receive payments </w:t>
      </w:r>
      <w:r w:rsidR="00C65BCB">
        <w:rPr>
          <w:rFonts w:ascii="Arial" w:hAnsi="Arial" w:cs="Arial"/>
          <w:szCs w:val="24"/>
        </w:rPr>
        <w:t xml:space="preserve">in connection with the cancellation of their ordinary taxi licences.  Payments will be between </w:t>
      </w:r>
      <w:r w:rsidR="00C65BCB">
        <w:rPr>
          <w:rFonts w:ascii="Arial" w:hAnsi="Arial" w:cs="Arial"/>
          <w:color w:val="222222"/>
          <w:spacing w:val="5"/>
          <w:shd w:val="clear" w:color="auto" w:fill="FFFFFF"/>
        </w:rPr>
        <w:t>$40,000 and $195,000 for each licence, depending on the operating area for the licence.</w:t>
      </w:r>
    </w:p>
    <w:p w:rsidR="00A84A51" w:rsidRDefault="00A84A51" w:rsidP="00A4606E">
      <w:pPr>
        <w:rPr>
          <w:rFonts w:ascii="Arial" w:hAnsi="Arial" w:cs="Arial"/>
          <w:szCs w:val="24"/>
        </w:rPr>
      </w:pPr>
      <w:r>
        <w:rPr>
          <w:rFonts w:ascii="Arial" w:hAnsi="Arial" w:cs="Arial"/>
          <w:szCs w:val="24"/>
        </w:rPr>
        <w:t xml:space="preserve">The Determination provides that amounts paid in relation to </w:t>
      </w:r>
      <w:r w:rsidR="00C65BCB">
        <w:rPr>
          <w:rFonts w:ascii="Arial" w:hAnsi="Arial" w:cs="Arial"/>
          <w:szCs w:val="24"/>
        </w:rPr>
        <w:t xml:space="preserve">this financial assistance scheme </w:t>
      </w:r>
      <w:r>
        <w:rPr>
          <w:rFonts w:ascii="Arial" w:hAnsi="Arial" w:cs="Arial"/>
          <w:szCs w:val="24"/>
        </w:rPr>
        <w:t>are exempt lump sums for the purposes o</w:t>
      </w:r>
      <w:r w:rsidR="00F866CE">
        <w:rPr>
          <w:rFonts w:ascii="Arial" w:hAnsi="Arial" w:cs="Arial"/>
          <w:szCs w:val="24"/>
        </w:rPr>
        <w:t>f paragraph 8(11)(d) of the Act</w:t>
      </w:r>
    </w:p>
    <w:p w:rsidR="00346A79" w:rsidRPr="00346A79" w:rsidRDefault="00346A79" w:rsidP="00A4606E">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sidR="00C65BCB">
        <w:rPr>
          <w:rStyle w:val="BookTitle"/>
          <w:rFonts w:ascii="Arial" w:hAnsi="Arial" w:cs="Arial"/>
          <w:i w:val="0"/>
          <w:iCs w:val="0"/>
          <w:smallCaps w:val="0"/>
          <w:spacing w:val="0"/>
          <w:szCs w:val="24"/>
        </w:rPr>
        <w:t xml:space="preserve">eligibility requirements and detail on the payments can be found </w:t>
      </w:r>
      <w:r w:rsidR="00C13D98">
        <w:rPr>
          <w:rStyle w:val="BookTitle"/>
          <w:rFonts w:ascii="Arial" w:hAnsi="Arial" w:cs="Arial"/>
          <w:i w:val="0"/>
          <w:iCs w:val="0"/>
          <w:smallCaps w:val="0"/>
          <w:spacing w:val="0"/>
          <w:szCs w:val="24"/>
        </w:rPr>
        <w:t xml:space="preserve">in the amendment regulation on the Legislation NSW website – </w:t>
      </w:r>
      <w:r w:rsidR="00707A09" w:rsidRPr="00707A09">
        <w:rPr>
          <w:rStyle w:val="Hyperlink"/>
          <w:rFonts w:ascii="Arial" w:hAnsi="Arial" w:cs="Arial"/>
          <w:szCs w:val="24"/>
        </w:rPr>
        <w:t>https://legislation.nsw.gov.au/view/pdf/asmade/sl-2022-807</w:t>
      </w:r>
      <w:r w:rsidR="00C13D98">
        <w:rPr>
          <w:rStyle w:val="BookTitle"/>
          <w:rFonts w:ascii="Arial" w:hAnsi="Arial" w:cs="Arial"/>
          <w:i w:val="0"/>
          <w:iCs w:val="0"/>
          <w:smallCaps w:val="0"/>
          <w:spacing w:val="0"/>
          <w:szCs w:val="24"/>
        </w:rPr>
        <w:t>.</w:t>
      </w:r>
    </w:p>
    <w:p w:rsidR="000B4130" w:rsidRPr="00BC76EB" w:rsidRDefault="000B4130" w:rsidP="00A4606E">
      <w:pPr>
        <w:keepNext/>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rsidR="000B4130" w:rsidRDefault="00DB2E31" w:rsidP="00A4606E">
      <w:pPr>
        <w:keepNext/>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Determination </w:t>
      </w:r>
      <w:r w:rsidR="000B4130" w:rsidRPr="00BC76EB">
        <w:rPr>
          <w:rStyle w:val="BookTitle"/>
          <w:rFonts w:ascii="Arial" w:hAnsi="Arial" w:cs="Arial"/>
          <w:i w:val="0"/>
          <w:iCs w:val="0"/>
          <w:smallCaps w:val="0"/>
          <w:spacing w:val="0"/>
          <w:szCs w:val="24"/>
        </w:rPr>
        <w:t xml:space="preserve">commences on </w:t>
      </w:r>
      <w:r w:rsidR="000B4130" w:rsidRPr="00B56A92">
        <w:rPr>
          <w:rStyle w:val="BookTitle"/>
          <w:rFonts w:ascii="Arial" w:hAnsi="Arial" w:cs="Arial"/>
          <w:i w:val="0"/>
          <w:iCs w:val="0"/>
          <w:smallCaps w:val="0"/>
          <w:spacing w:val="0"/>
          <w:szCs w:val="24"/>
        </w:rPr>
        <w:t xml:space="preserve">the day </w:t>
      </w:r>
      <w:r w:rsidR="00005851" w:rsidRPr="00005851">
        <w:rPr>
          <w:rStyle w:val="BookTitle"/>
          <w:rFonts w:ascii="Arial" w:hAnsi="Arial" w:cs="Arial"/>
          <w:i w:val="0"/>
          <w:iCs w:val="0"/>
          <w:smallCaps w:val="0"/>
          <w:spacing w:val="0"/>
          <w:szCs w:val="24"/>
        </w:rPr>
        <w:t xml:space="preserve">after </w:t>
      </w:r>
      <w:r w:rsidR="000B4130" w:rsidRPr="00B56A92">
        <w:rPr>
          <w:rStyle w:val="BookTitle"/>
          <w:rFonts w:ascii="Arial" w:hAnsi="Arial" w:cs="Arial"/>
          <w:i w:val="0"/>
          <w:iCs w:val="0"/>
          <w:smallCaps w:val="0"/>
          <w:spacing w:val="0"/>
          <w:szCs w:val="24"/>
        </w:rPr>
        <w:t xml:space="preserve">it is </w:t>
      </w:r>
      <w:r w:rsidR="00005851" w:rsidRPr="00005851">
        <w:rPr>
          <w:rStyle w:val="BookTitle"/>
          <w:rFonts w:ascii="Arial" w:hAnsi="Arial" w:cs="Arial"/>
          <w:i w:val="0"/>
          <w:iCs w:val="0"/>
          <w:smallCaps w:val="0"/>
          <w:spacing w:val="0"/>
          <w:szCs w:val="24"/>
        </w:rPr>
        <w:t>registered</w:t>
      </w:r>
      <w:r w:rsidRPr="00B56A92">
        <w:rPr>
          <w:rStyle w:val="BookTitle"/>
          <w:rFonts w:ascii="Arial" w:hAnsi="Arial" w:cs="Arial"/>
          <w:i w:val="0"/>
          <w:iCs w:val="0"/>
          <w:smallCaps w:val="0"/>
          <w:spacing w:val="0"/>
          <w:szCs w:val="24"/>
        </w:rPr>
        <w:t>.</w:t>
      </w:r>
    </w:p>
    <w:p w:rsidR="006A6D51" w:rsidRPr="0046435D" w:rsidRDefault="006A6D51" w:rsidP="00A4606E">
      <w:pPr>
        <w:keepNext/>
        <w:rPr>
          <w:rStyle w:val="BookTitle"/>
          <w:rFonts w:ascii="Arial" w:hAnsi="Arial" w:cs="Arial"/>
          <w:b/>
          <w:i w:val="0"/>
          <w:iCs w:val="0"/>
          <w:smallCaps w:val="0"/>
          <w:spacing w:val="0"/>
          <w:szCs w:val="24"/>
        </w:rPr>
      </w:pPr>
      <w:r w:rsidRPr="0046435D">
        <w:rPr>
          <w:rStyle w:val="BookTitle"/>
          <w:rFonts w:ascii="Arial" w:hAnsi="Arial" w:cs="Arial"/>
          <w:b/>
          <w:i w:val="0"/>
          <w:iCs w:val="0"/>
          <w:smallCaps w:val="0"/>
          <w:spacing w:val="0"/>
          <w:szCs w:val="24"/>
        </w:rPr>
        <w:t>Consultation</w:t>
      </w:r>
    </w:p>
    <w:p w:rsidR="00CC4CB0" w:rsidRDefault="00CC4CB0" w:rsidP="00A4606E">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The Department of Social Services consulted the following agencies on the intention to make this legislative instrument:</w:t>
      </w:r>
    </w:p>
    <w:p w:rsidR="002B7467" w:rsidRPr="00E03C09" w:rsidRDefault="002B7467" w:rsidP="002B7467">
      <w:pPr>
        <w:pStyle w:val="ListParagraph"/>
        <w:numPr>
          <w:ilvl w:val="0"/>
          <w:numId w:val="27"/>
        </w:numPr>
        <w:rPr>
          <w:rStyle w:val="BookTitle"/>
          <w:rFonts w:ascii="Arial" w:hAnsi="Arial" w:cs="Arial"/>
          <w:i w:val="0"/>
          <w:iCs w:val="0"/>
          <w:smallCaps w:val="0"/>
          <w:spacing w:val="0"/>
          <w:szCs w:val="24"/>
        </w:rPr>
      </w:pPr>
      <w:r w:rsidRPr="00E03C09">
        <w:rPr>
          <w:rStyle w:val="BookTitle"/>
          <w:rFonts w:ascii="Arial" w:hAnsi="Arial" w:cs="Arial"/>
          <w:i w:val="0"/>
          <w:iCs w:val="0"/>
          <w:smallCaps w:val="0"/>
          <w:spacing w:val="0"/>
          <w:szCs w:val="24"/>
        </w:rPr>
        <w:t>The Government of New South Wales, Transport for New South Wales</w:t>
      </w:r>
      <w:r w:rsidR="00E03C09">
        <w:rPr>
          <w:rStyle w:val="BookTitle"/>
          <w:rFonts w:ascii="Arial" w:hAnsi="Arial" w:cs="Arial"/>
          <w:i w:val="0"/>
          <w:iCs w:val="0"/>
          <w:smallCaps w:val="0"/>
          <w:spacing w:val="0"/>
          <w:szCs w:val="24"/>
        </w:rPr>
        <w:t>;</w:t>
      </w:r>
      <w:r w:rsidRPr="00E03C09">
        <w:rPr>
          <w:rStyle w:val="BookTitle"/>
          <w:rFonts w:ascii="Arial" w:hAnsi="Arial" w:cs="Arial"/>
          <w:i w:val="0"/>
          <w:iCs w:val="0"/>
          <w:smallCaps w:val="0"/>
          <w:spacing w:val="0"/>
          <w:szCs w:val="24"/>
        </w:rPr>
        <w:br/>
      </w:r>
    </w:p>
    <w:p w:rsidR="002B7467" w:rsidRPr="00E03C09" w:rsidRDefault="002B7467" w:rsidP="002B7467">
      <w:pPr>
        <w:pStyle w:val="ListParagraph"/>
        <w:numPr>
          <w:ilvl w:val="0"/>
          <w:numId w:val="27"/>
        </w:numPr>
        <w:rPr>
          <w:rStyle w:val="BookTitle"/>
          <w:rFonts w:ascii="Arial" w:hAnsi="Arial" w:cs="Arial"/>
          <w:i w:val="0"/>
          <w:iCs w:val="0"/>
          <w:smallCaps w:val="0"/>
          <w:spacing w:val="0"/>
          <w:szCs w:val="24"/>
        </w:rPr>
      </w:pPr>
      <w:r w:rsidRPr="00E03C09">
        <w:rPr>
          <w:rStyle w:val="BookTitle"/>
          <w:rFonts w:ascii="Arial" w:hAnsi="Arial" w:cs="Arial"/>
          <w:i w:val="0"/>
          <w:iCs w:val="0"/>
          <w:smallCaps w:val="0"/>
          <w:spacing w:val="0"/>
          <w:szCs w:val="24"/>
        </w:rPr>
        <w:t>The Department of Agriculture, Fisheries and Forestry; and</w:t>
      </w:r>
      <w:r w:rsidRPr="00E03C09">
        <w:rPr>
          <w:rStyle w:val="BookTitle"/>
          <w:rFonts w:ascii="Arial" w:hAnsi="Arial" w:cs="Arial"/>
          <w:i w:val="0"/>
          <w:iCs w:val="0"/>
          <w:smallCaps w:val="0"/>
          <w:spacing w:val="0"/>
          <w:szCs w:val="24"/>
        </w:rPr>
        <w:br/>
      </w:r>
    </w:p>
    <w:p w:rsidR="001A0433" w:rsidRPr="00E03C09" w:rsidRDefault="002B7467" w:rsidP="00936454">
      <w:pPr>
        <w:pStyle w:val="ListParagraph"/>
        <w:numPr>
          <w:ilvl w:val="0"/>
          <w:numId w:val="27"/>
        </w:numPr>
        <w:rPr>
          <w:rStyle w:val="BookTitle"/>
          <w:rFonts w:ascii="Arial" w:hAnsi="Arial" w:cs="Arial"/>
          <w:iCs w:val="0"/>
          <w:smallCaps w:val="0"/>
          <w:spacing w:val="0"/>
          <w:szCs w:val="24"/>
        </w:rPr>
      </w:pPr>
      <w:r w:rsidRPr="00E03C09">
        <w:rPr>
          <w:rStyle w:val="BookTitle"/>
          <w:rFonts w:ascii="Arial" w:hAnsi="Arial" w:cs="Arial"/>
          <w:i w:val="0"/>
          <w:iCs w:val="0"/>
          <w:smallCaps w:val="0"/>
          <w:spacing w:val="0"/>
          <w:szCs w:val="24"/>
        </w:rPr>
        <w:t>The Department of Veterans’ Affairs</w:t>
      </w:r>
      <w:r w:rsidRPr="00E03C09">
        <w:rPr>
          <w:rStyle w:val="BookTitle"/>
          <w:rFonts w:ascii="Arial" w:hAnsi="Arial" w:cs="Arial"/>
          <w:iCs w:val="0"/>
          <w:smallCaps w:val="0"/>
          <w:spacing w:val="0"/>
          <w:szCs w:val="24"/>
        </w:rPr>
        <w:t>.</w:t>
      </w:r>
    </w:p>
    <w:p w:rsidR="002B7467" w:rsidRPr="00F31BA3" w:rsidRDefault="001A0433" w:rsidP="00E03C09">
      <w:pPr>
        <w:rPr>
          <w:rStyle w:val="BookTitle"/>
          <w:rFonts w:ascii="Arial" w:hAnsi="Arial" w:cs="Arial"/>
          <w:iCs w:val="0"/>
          <w:smallCaps w:val="0"/>
          <w:spacing w:val="0"/>
          <w:szCs w:val="24"/>
        </w:rPr>
      </w:pPr>
      <w:r w:rsidRPr="00E03C09">
        <w:rPr>
          <w:rStyle w:val="BookTitle"/>
          <w:rFonts w:ascii="Arial" w:hAnsi="Arial" w:cs="Arial"/>
          <w:i w:val="0"/>
          <w:iCs w:val="0"/>
          <w:smallCaps w:val="0"/>
          <w:spacing w:val="0"/>
          <w:szCs w:val="24"/>
        </w:rPr>
        <w:t>The Government of New South Wales, Transport for New South</w:t>
      </w:r>
      <w:r w:rsidR="0018392F" w:rsidRPr="00E03C09">
        <w:rPr>
          <w:rStyle w:val="BookTitle"/>
          <w:rFonts w:ascii="Arial" w:hAnsi="Arial" w:cs="Arial"/>
          <w:i w:val="0"/>
          <w:iCs w:val="0"/>
          <w:smallCaps w:val="0"/>
          <w:spacing w:val="0"/>
          <w:szCs w:val="24"/>
        </w:rPr>
        <w:t xml:space="preserve"> Wales were </w:t>
      </w:r>
      <w:r w:rsidR="00BD2351">
        <w:rPr>
          <w:rStyle w:val="BookTitle"/>
          <w:rFonts w:ascii="Arial" w:hAnsi="Arial" w:cs="Arial"/>
          <w:i w:val="0"/>
          <w:iCs w:val="0"/>
          <w:smallCaps w:val="0"/>
          <w:spacing w:val="0"/>
          <w:szCs w:val="24"/>
        </w:rPr>
        <w:t xml:space="preserve">also </w:t>
      </w:r>
      <w:r w:rsidR="0018392F" w:rsidRPr="00E03C09">
        <w:rPr>
          <w:rStyle w:val="BookTitle"/>
          <w:rFonts w:ascii="Arial" w:hAnsi="Arial" w:cs="Arial"/>
          <w:i w:val="0"/>
          <w:iCs w:val="0"/>
          <w:smallCaps w:val="0"/>
          <w:spacing w:val="0"/>
          <w:szCs w:val="24"/>
        </w:rPr>
        <w:t>consulted on the tex</w:t>
      </w:r>
      <w:r w:rsidR="00BD2351">
        <w:rPr>
          <w:rStyle w:val="BookTitle"/>
          <w:rFonts w:ascii="Arial" w:hAnsi="Arial" w:cs="Arial"/>
          <w:i w:val="0"/>
          <w:iCs w:val="0"/>
          <w:smallCaps w:val="0"/>
          <w:spacing w:val="0"/>
          <w:szCs w:val="24"/>
        </w:rPr>
        <w:t>t of the instrument</w:t>
      </w:r>
      <w:r w:rsidRPr="00E03C09">
        <w:rPr>
          <w:rStyle w:val="BookTitle"/>
          <w:rFonts w:ascii="Arial" w:hAnsi="Arial" w:cs="Arial"/>
          <w:i w:val="0"/>
          <w:iCs w:val="0"/>
          <w:smallCaps w:val="0"/>
          <w:spacing w:val="0"/>
          <w:szCs w:val="24"/>
        </w:rPr>
        <w:t>.</w:t>
      </w:r>
    </w:p>
    <w:p w:rsidR="002329E1" w:rsidRPr="00BC76EB" w:rsidRDefault="002329E1" w:rsidP="00A4606E">
      <w:pPr>
        <w:keepNext/>
        <w:jc w:val="both"/>
        <w:rPr>
          <w:rFonts w:ascii="Arial" w:hAnsi="Arial" w:cs="Arial"/>
          <w:b/>
          <w:szCs w:val="24"/>
        </w:rPr>
      </w:pPr>
      <w:r w:rsidRPr="0046435D">
        <w:rPr>
          <w:rFonts w:ascii="Arial" w:hAnsi="Arial" w:cs="Arial"/>
          <w:b/>
          <w:szCs w:val="24"/>
        </w:rPr>
        <w:t>Regulat</w:t>
      </w:r>
      <w:r w:rsidR="00D459E0" w:rsidRPr="0046435D">
        <w:rPr>
          <w:rFonts w:ascii="Arial" w:hAnsi="Arial" w:cs="Arial"/>
          <w:b/>
          <w:szCs w:val="24"/>
        </w:rPr>
        <w:t>ion</w:t>
      </w:r>
      <w:r w:rsidRPr="0046435D">
        <w:rPr>
          <w:rFonts w:ascii="Arial" w:hAnsi="Arial" w:cs="Arial"/>
          <w:b/>
          <w:szCs w:val="24"/>
        </w:rPr>
        <w:t xml:space="preserve"> Impact </w:t>
      </w:r>
      <w:r w:rsidR="00D459E0" w:rsidRPr="0046435D">
        <w:rPr>
          <w:rFonts w:ascii="Arial" w:hAnsi="Arial" w:cs="Arial"/>
          <w:b/>
          <w:szCs w:val="24"/>
        </w:rPr>
        <w:t>Statement</w:t>
      </w:r>
      <w:r w:rsidR="00F52853" w:rsidRPr="0046435D">
        <w:rPr>
          <w:rFonts w:ascii="Arial" w:hAnsi="Arial" w:cs="Arial"/>
          <w:b/>
          <w:szCs w:val="24"/>
        </w:rPr>
        <w:t xml:space="preserve"> (RIS)</w:t>
      </w:r>
    </w:p>
    <w:p w:rsidR="00D367AA" w:rsidRPr="005820F4" w:rsidRDefault="005820F4" w:rsidP="00A4606E">
      <w:pPr>
        <w:rPr>
          <w:rFonts w:ascii="Arial" w:hAnsi="Arial" w:cs="Arial"/>
          <w:szCs w:val="24"/>
        </w:rPr>
      </w:pPr>
      <w:r w:rsidRPr="00BD2351">
        <w:rPr>
          <w:rFonts w:ascii="Arial" w:hAnsi="Arial" w:cs="Arial"/>
          <w:szCs w:val="24"/>
        </w:rPr>
        <w:t>T</w:t>
      </w:r>
      <w:r w:rsidR="00605063" w:rsidRPr="00BD2351">
        <w:rPr>
          <w:rFonts w:ascii="Arial" w:hAnsi="Arial" w:cs="Arial"/>
          <w:szCs w:val="24"/>
        </w:rPr>
        <w:t xml:space="preserve">he Office of </w:t>
      </w:r>
      <w:r w:rsidR="00707A09" w:rsidRPr="00BD2351">
        <w:rPr>
          <w:rFonts w:ascii="Arial" w:hAnsi="Arial" w:cs="Arial"/>
          <w:szCs w:val="24"/>
        </w:rPr>
        <w:t>Impact Analysis</w:t>
      </w:r>
      <w:r w:rsidR="00605063" w:rsidRPr="00BD2351">
        <w:rPr>
          <w:rFonts w:ascii="Arial" w:hAnsi="Arial" w:cs="Arial"/>
          <w:szCs w:val="24"/>
        </w:rPr>
        <w:t xml:space="preserve"> (</w:t>
      </w:r>
      <w:r w:rsidR="00707A09" w:rsidRPr="00BD2351">
        <w:rPr>
          <w:rFonts w:ascii="Arial" w:hAnsi="Arial" w:cs="Arial"/>
          <w:b/>
          <w:szCs w:val="24"/>
        </w:rPr>
        <w:t>OIA</w:t>
      </w:r>
      <w:r w:rsidR="00605063" w:rsidRPr="00BD2351">
        <w:rPr>
          <w:rFonts w:ascii="Arial" w:hAnsi="Arial" w:cs="Arial"/>
          <w:szCs w:val="24"/>
        </w:rPr>
        <w:t xml:space="preserve">) has advised that the Determination does not require a </w:t>
      </w:r>
      <w:r w:rsidR="002B7467" w:rsidRPr="00BD2351">
        <w:rPr>
          <w:rFonts w:ascii="Arial" w:hAnsi="Arial" w:cs="Arial"/>
          <w:szCs w:val="24"/>
        </w:rPr>
        <w:t xml:space="preserve">Regulation Impact </w:t>
      </w:r>
      <w:r w:rsidR="00C13D98" w:rsidRPr="00BD2351">
        <w:rPr>
          <w:rFonts w:ascii="Arial" w:hAnsi="Arial" w:cs="Arial"/>
          <w:szCs w:val="24"/>
        </w:rPr>
        <w:t>S</w:t>
      </w:r>
      <w:r w:rsidR="002B7467" w:rsidRPr="00BD2351">
        <w:rPr>
          <w:rFonts w:ascii="Arial" w:hAnsi="Arial" w:cs="Arial"/>
          <w:szCs w:val="24"/>
        </w:rPr>
        <w:t>tatement</w:t>
      </w:r>
      <w:r w:rsidR="00605063" w:rsidRPr="00BD2351">
        <w:rPr>
          <w:rFonts w:ascii="Arial" w:hAnsi="Arial" w:cs="Arial"/>
          <w:szCs w:val="24"/>
        </w:rPr>
        <w:t xml:space="preserve"> (O</w:t>
      </w:r>
      <w:r w:rsidR="00707A09" w:rsidRPr="00BD2351">
        <w:rPr>
          <w:rFonts w:ascii="Arial" w:hAnsi="Arial" w:cs="Arial"/>
          <w:szCs w:val="24"/>
        </w:rPr>
        <w:t>IA</w:t>
      </w:r>
      <w:r w:rsidR="00605063" w:rsidRPr="00BD2351">
        <w:rPr>
          <w:rFonts w:ascii="Arial" w:hAnsi="Arial" w:cs="Arial"/>
          <w:szCs w:val="24"/>
        </w:rPr>
        <w:t> Reference</w:t>
      </w:r>
      <w:r w:rsidRPr="00BD2351">
        <w:rPr>
          <w:rFonts w:ascii="Arial" w:hAnsi="Arial" w:cs="Arial"/>
          <w:szCs w:val="24"/>
        </w:rPr>
        <w:t>:</w:t>
      </w:r>
      <w:r w:rsidR="00605063" w:rsidRPr="00BD2351">
        <w:rPr>
          <w:rFonts w:ascii="Arial" w:hAnsi="Arial" w:cs="Arial"/>
          <w:szCs w:val="24"/>
        </w:rPr>
        <w:t> </w:t>
      </w:r>
      <w:r w:rsidR="004D631B" w:rsidRPr="00BD2351">
        <w:rPr>
          <w:rFonts w:ascii="Arial" w:hAnsi="Arial" w:cs="Arial"/>
          <w:szCs w:val="24"/>
        </w:rPr>
        <w:t>OBPR23-04165</w:t>
      </w:r>
      <w:r w:rsidR="005D1C89" w:rsidRPr="00BD2351">
        <w:rPr>
          <w:rFonts w:ascii="Arial" w:hAnsi="Arial" w:cs="Arial"/>
          <w:szCs w:val="24"/>
        </w:rPr>
        <w:t>)</w:t>
      </w:r>
      <w:r w:rsidR="008151FE" w:rsidRPr="00BD2351">
        <w:rPr>
          <w:rFonts w:ascii="Arial" w:hAnsi="Arial" w:cs="Arial"/>
          <w:szCs w:val="24"/>
        </w:rPr>
        <w:t xml:space="preserve"> as it </w:t>
      </w:r>
      <w:r w:rsidR="004800E6" w:rsidRPr="00BD2351">
        <w:rPr>
          <w:rFonts w:ascii="Arial" w:hAnsi="Arial" w:cs="Arial"/>
          <w:color w:val="000000"/>
          <w:szCs w:val="24"/>
        </w:rPr>
        <w:t>considers the proposal is unlikely to have a more than minor regulatory impact</w:t>
      </w:r>
      <w:r w:rsidR="004800E6" w:rsidRPr="00BD2351">
        <w:rPr>
          <w:rFonts w:ascii="Arial" w:hAnsi="Arial" w:cs="Arial"/>
          <w:szCs w:val="24"/>
        </w:rPr>
        <w:t>.</w:t>
      </w:r>
    </w:p>
    <w:p w:rsidR="00946E6D" w:rsidRDefault="0006693F" w:rsidP="00A4606E">
      <w:pPr>
        <w:keepNext/>
        <w:rPr>
          <w:rFonts w:ascii="Arial" w:hAnsi="Arial" w:cs="Arial"/>
          <w:b/>
          <w:szCs w:val="24"/>
        </w:rPr>
      </w:pPr>
      <w:r>
        <w:rPr>
          <w:rFonts w:ascii="Arial" w:hAnsi="Arial" w:cs="Arial"/>
          <w:b/>
          <w:szCs w:val="24"/>
        </w:rPr>
        <w:t>Availability of independent review</w:t>
      </w:r>
    </w:p>
    <w:p w:rsidR="00E77A27" w:rsidRDefault="00E77A27" w:rsidP="00A4606E">
      <w:pPr>
        <w:rPr>
          <w:rFonts w:ascii="Arial" w:hAnsi="Arial" w:cs="Arial"/>
          <w:szCs w:val="24"/>
        </w:rPr>
      </w:pPr>
      <w:r>
        <w:rPr>
          <w:rFonts w:ascii="Arial" w:hAnsi="Arial" w:cs="Arial"/>
          <w:szCs w:val="24"/>
        </w:rPr>
        <w:t xml:space="preserve">The Determination specifies that lump sum payments made under the </w:t>
      </w:r>
      <w:r w:rsidR="00A4606E">
        <w:rPr>
          <w:rFonts w:ascii="Arial" w:hAnsi="Arial" w:cs="Arial"/>
          <w:szCs w:val="24"/>
        </w:rPr>
        <w:t>Guidelines</w:t>
      </w:r>
      <w:r>
        <w:rPr>
          <w:rFonts w:ascii="Arial" w:hAnsi="Arial" w:cs="Arial"/>
          <w:szCs w:val="24"/>
        </w:rPr>
        <w:t xml:space="preserve"> are exempt from the social security income test. </w:t>
      </w:r>
    </w:p>
    <w:p w:rsidR="00E77A27" w:rsidRDefault="00E77A27" w:rsidP="00A4606E">
      <w:pPr>
        <w:rPr>
          <w:rFonts w:ascii="Arial" w:hAnsi="Arial" w:cs="Arial"/>
          <w:szCs w:val="24"/>
        </w:rPr>
      </w:pPr>
      <w:r>
        <w:rPr>
          <w:rFonts w:ascii="Arial" w:hAnsi="Arial" w:cs="Arial"/>
          <w:szCs w:val="24"/>
        </w:rPr>
        <w:t>A decision on the assessment of an individual’s income</w:t>
      </w:r>
      <w:r w:rsidR="00920788">
        <w:rPr>
          <w:rFonts w:ascii="Arial" w:hAnsi="Arial" w:cs="Arial"/>
          <w:szCs w:val="24"/>
        </w:rPr>
        <w:t xml:space="preserve"> as part of the social security income test, which may involve a</w:t>
      </w:r>
      <w:r>
        <w:rPr>
          <w:rFonts w:ascii="Arial" w:hAnsi="Arial" w:cs="Arial"/>
          <w:szCs w:val="24"/>
        </w:rPr>
        <w:t xml:space="preserve"> payment covered by this Determination, </w:t>
      </w:r>
      <w:r w:rsidR="00920788">
        <w:rPr>
          <w:rFonts w:ascii="Arial" w:hAnsi="Arial" w:cs="Arial"/>
          <w:szCs w:val="24"/>
        </w:rPr>
        <w:t xml:space="preserve">is subject </w:t>
      </w:r>
      <w:r w:rsidR="00920788">
        <w:rPr>
          <w:rFonts w:ascii="Arial" w:hAnsi="Arial" w:cs="Arial"/>
          <w:szCs w:val="24"/>
        </w:rPr>
        <w:lastRenderedPageBreak/>
        <w:t xml:space="preserve">to internal and external review under the Act and Parts 4 and 4A of the </w:t>
      </w:r>
      <w:r w:rsidR="00920788">
        <w:rPr>
          <w:rFonts w:ascii="Arial" w:hAnsi="Arial" w:cs="Arial"/>
          <w:i/>
          <w:szCs w:val="24"/>
        </w:rPr>
        <w:t>Social Security (Administration) Act 1999</w:t>
      </w:r>
      <w:r w:rsidR="00920788">
        <w:rPr>
          <w:rFonts w:ascii="Arial" w:hAnsi="Arial" w:cs="Arial"/>
          <w:szCs w:val="24"/>
        </w:rPr>
        <w:t>.</w:t>
      </w:r>
    </w:p>
    <w:p w:rsidR="007434B1" w:rsidRDefault="00DB2E31" w:rsidP="00C13D9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Determination is a legislative instrument for the purposes of the </w:t>
      </w:r>
      <w:r>
        <w:rPr>
          <w:rStyle w:val="BookTitle"/>
          <w:rFonts w:ascii="Arial" w:hAnsi="Arial" w:cs="Arial"/>
          <w:iCs w:val="0"/>
          <w:smallCaps w:val="0"/>
          <w:spacing w:val="0"/>
          <w:szCs w:val="24"/>
        </w:rPr>
        <w:t>Legislation Act</w:t>
      </w:r>
      <w:r w:rsidR="00DD7A24">
        <w:rPr>
          <w:rStyle w:val="BookTitle"/>
          <w:rFonts w:ascii="Arial" w:hAnsi="Arial" w:cs="Arial"/>
          <w:iCs w:val="0"/>
          <w:smallCaps w:val="0"/>
          <w:spacing w:val="0"/>
          <w:szCs w:val="24"/>
        </w:rPr>
        <w:t> </w:t>
      </w:r>
      <w:r>
        <w:rPr>
          <w:rStyle w:val="BookTitle"/>
          <w:rFonts w:ascii="Arial" w:hAnsi="Arial" w:cs="Arial"/>
          <w:iCs w:val="0"/>
          <w:smallCaps w:val="0"/>
          <w:spacing w:val="0"/>
          <w:szCs w:val="24"/>
        </w:rPr>
        <w:t>2003</w:t>
      </w:r>
      <w:r>
        <w:rPr>
          <w:rStyle w:val="BookTitle"/>
          <w:rFonts w:ascii="Arial" w:hAnsi="Arial" w:cs="Arial"/>
          <w:i w:val="0"/>
          <w:iCs w:val="0"/>
          <w:smallCaps w:val="0"/>
          <w:spacing w:val="0"/>
          <w:szCs w:val="24"/>
        </w:rPr>
        <w:t xml:space="preserve"> and is subject to disallowance.</w:t>
      </w:r>
    </w:p>
    <w:p w:rsidR="006A6D51" w:rsidRPr="00BC76EB" w:rsidRDefault="006A6D51" w:rsidP="00A4606E">
      <w:pPr>
        <w:keepNext/>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rsidR="00732E65" w:rsidRDefault="00365424" w:rsidP="00A4606E">
      <w:pPr>
        <w:rPr>
          <w:rStyle w:val="BookTitle"/>
          <w:rFonts w:ascii="Arial" w:hAnsi="Arial" w:cs="Arial"/>
          <w:i w:val="0"/>
          <w:iCs w:val="0"/>
          <w:smallCaps w:val="0"/>
          <w:spacing w:val="0"/>
          <w:szCs w:val="24"/>
        </w:rPr>
      </w:pPr>
      <w:r w:rsidRPr="00732E65">
        <w:rPr>
          <w:rStyle w:val="BookTitle"/>
          <w:rFonts w:ascii="Arial" w:hAnsi="Arial" w:cs="Arial"/>
          <w:b/>
          <w:i w:val="0"/>
          <w:iCs w:val="0"/>
          <w:smallCaps w:val="0"/>
          <w:spacing w:val="0"/>
          <w:szCs w:val="24"/>
        </w:rPr>
        <w:t>Section</w:t>
      </w:r>
      <w:r w:rsidR="00871F28" w:rsidRPr="00732E65">
        <w:rPr>
          <w:rStyle w:val="BookTitle"/>
          <w:rFonts w:ascii="Arial" w:hAnsi="Arial" w:cs="Arial"/>
          <w:b/>
          <w:i w:val="0"/>
          <w:iCs w:val="0"/>
          <w:smallCaps w:val="0"/>
          <w:spacing w:val="0"/>
          <w:szCs w:val="24"/>
        </w:rPr>
        <w:t xml:space="preserve"> 1 </w:t>
      </w:r>
      <w:r w:rsidR="00732E65">
        <w:rPr>
          <w:rStyle w:val="BookTitle"/>
          <w:rFonts w:ascii="Arial" w:hAnsi="Arial" w:cs="Arial"/>
          <w:i w:val="0"/>
          <w:iCs w:val="0"/>
          <w:smallCaps w:val="0"/>
          <w:spacing w:val="0"/>
          <w:szCs w:val="24"/>
        </w:rPr>
        <w:t xml:space="preserve">states that the name of the Determination is the </w:t>
      </w:r>
      <w:r w:rsidR="00732E65" w:rsidRPr="00F42552">
        <w:rPr>
          <w:rStyle w:val="BookTitle"/>
          <w:rFonts w:ascii="Arial" w:hAnsi="Arial" w:cs="Arial"/>
          <w:iCs w:val="0"/>
          <w:smallCaps w:val="0"/>
          <w:spacing w:val="0"/>
          <w:szCs w:val="24"/>
        </w:rPr>
        <w:t xml:space="preserve">Social Security (Exempt Lump Sum – </w:t>
      </w:r>
      <w:r w:rsidR="003303F6" w:rsidRPr="009A3377">
        <w:rPr>
          <w:rFonts w:ascii="Arial" w:hAnsi="Arial" w:cs="Arial"/>
          <w:i/>
          <w:szCs w:val="24"/>
        </w:rPr>
        <w:t>NSW Taxi Licence Deregulation</w:t>
      </w:r>
      <w:r w:rsidR="00732E65" w:rsidRPr="00F42552">
        <w:rPr>
          <w:rStyle w:val="BookTitle"/>
          <w:rFonts w:ascii="Arial" w:hAnsi="Arial" w:cs="Arial"/>
          <w:iCs w:val="0"/>
          <w:smallCaps w:val="0"/>
          <w:spacing w:val="0"/>
          <w:szCs w:val="24"/>
        </w:rPr>
        <w:t xml:space="preserve">) Determination </w:t>
      </w:r>
      <w:r w:rsidR="003303F6">
        <w:rPr>
          <w:rStyle w:val="BookTitle"/>
          <w:rFonts w:ascii="Arial" w:hAnsi="Arial" w:cs="Arial"/>
          <w:iCs w:val="0"/>
          <w:smallCaps w:val="0"/>
          <w:spacing w:val="0"/>
          <w:szCs w:val="24"/>
        </w:rPr>
        <w:t>2023</w:t>
      </w:r>
      <w:r w:rsidR="00C51BFC">
        <w:rPr>
          <w:rStyle w:val="BookTitle"/>
          <w:rFonts w:ascii="Arial" w:hAnsi="Arial" w:cs="Arial"/>
          <w:i w:val="0"/>
          <w:iCs w:val="0"/>
          <w:smallCaps w:val="0"/>
          <w:spacing w:val="0"/>
          <w:szCs w:val="24"/>
        </w:rPr>
        <w:t>.</w:t>
      </w:r>
      <w:bookmarkStart w:id="1" w:name="_Toc290210739"/>
    </w:p>
    <w:p w:rsidR="00732E65" w:rsidRDefault="00732E65" w:rsidP="00732E65">
      <w:pPr>
        <w:spacing w:before="0"/>
        <w:rPr>
          <w:rStyle w:val="BookTitle"/>
          <w:rFonts w:ascii="Arial" w:hAnsi="Arial" w:cs="Arial"/>
          <w:i w:val="0"/>
          <w:iCs w:val="0"/>
          <w:smallCaps w:val="0"/>
          <w:spacing w:val="0"/>
          <w:szCs w:val="24"/>
        </w:rPr>
      </w:pPr>
    </w:p>
    <w:p w:rsidR="00732E65" w:rsidRDefault="00732E65" w:rsidP="00732E65">
      <w:pPr>
        <w:spacing w:before="0"/>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2</w:t>
      </w:r>
      <w:r>
        <w:rPr>
          <w:rStyle w:val="BookTitle"/>
          <w:rFonts w:ascii="Arial" w:hAnsi="Arial" w:cs="Arial"/>
          <w:i w:val="0"/>
          <w:iCs w:val="0"/>
          <w:smallCaps w:val="0"/>
          <w:spacing w:val="0"/>
          <w:szCs w:val="24"/>
        </w:rPr>
        <w:t xml:space="preserve"> sets out that the Determination commences on the day </w:t>
      </w:r>
      <w:r w:rsidR="00265EA8">
        <w:rPr>
          <w:rStyle w:val="BookTitle"/>
          <w:rFonts w:ascii="Arial" w:hAnsi="Arial" w:cs="Arial"/>
          <w:i w:val="0"/>
          <w:iCs w:val="0"/>
          <w:smallCaps w:val="0"/>
          <w:spacing w:val="0"/>
          <w:szCs w:val="24"/>
        </w:rPr>
        <w:t xml:space="preserve">after </w:t>
      </w:r>
      <w:r>
        <w:rPr>
          <w:rStyle w:val="BookTitle"/>
          <w:rFonts w:ascii="Arial" w:hAnsi="Arial" w:cs="Arial"/>
          <w:i w:val="0"/>
          <w:iCs w:val="0"/>
          <w:smallCaps w:val="0"/>
          <w:spacing w:val="0"/>
          <w:szCs w:val="24"/>
        </w:rPr>
        <w:t xml:space="preserve">it is </w:t>
      </w:r>
      <w:r w:rsidR="00265EA8">
        <w:rPr>
          <w:rStyle w:val="BookTitle"/>
          <w:rFonts w:ascii="Arial" w:hAnsi="Arial" w:cs="Arial"/>
          <w:i w:val="0"/>
          <w:iCs w:val="0"/>
          <w:smallCaps w:val="0"/>
          <w:spacing w:val="0"/>
          <w:szCs w:val="24"/>
        </w:rPr>
        <w:t>registered on the Federal Register of Legis</w:t>
      </w:r>
      <w:r w:rsidR="0097752E">
        <w:rPr>
          <w:rStyle w:val="BookTitle"/>
          <w:rFonts w:ascii="Arial" w:hAnsi="Arial" w:cs="Arial"/>
          <w:i w:val="0"/>
          <w:iCs w:val="0"/>
          <w:smallCaps w:val="0"/>
          <w:spacing w:val="0"/>
          <w:szCs w:val="24"/>
        </w:rPr>
        <w:t>l</w:t>
      </w:r>
      <w:r w:rsidR="00265EA8">
        <w:rPr>
          <w:rStyle w:val="BookTitle"/>
          <w:rFonts w:ascii="Arial" w:hAnsi="Arial" w:cs="Arial"/>
          <w:i w:val="0"/>
          <w:iCs w:val="0"/>
          <w:smallCaps w:val="0"/>
          <w:spacing w:val="0"/>
          <w:szCs w:val="24"/>
        </w:rPr>
        <w:t>ation</w:t>
      </w:r>
      <w:r>
        <w:rPr>
          <w:rStyle w:val="BookTitle"/>
          <w:rFonts w:ascii="Arial" w:hAnsi="Arial" w:cs="Arial"/>
          <w:i w:val="0"/>
          <w:iCs w:val="0"/>
          <w:smallCaps w:val="0"/>
          <w:spacing w:val="0"/>
          <w:szCs w:val="24"/>
        </w:rPr>
        <w:t>.</w:t>
      </w:r>
    </w:p>
    <w:p w:rsidR="00732E65" w:rsidRDefault="00732E65" w:rsidP="00732E65">
      <w:pPr>
        <w:spacing w:before="0"/>
        <w:rPr>
          <w:rStyle w:val="BookTitle"/>
          <w:rFonts w:ascii="Arial" w:hAnsi="Arial" w:cs="Arial"/>
          <w:i w:val="0"/>
          <w:iCs w:val="0"/>
          <w:smallCaps w:val="0"/>
          <w:spacing w:val="0"/>
          <w:szCs w:val="24"/>
        </w:rPr>
      </w:pPr>
    </w:p>
    <w:p w:rsidR="00732E65" w:rsidRDefault="00732E65" w:rsidP="00732E65">
      <w:pPr>
        <w:spacing w:before="0"/>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3</w:t>
      </w:r>
      <w:r>
        <w:rPr>
          <w:rStyle w:val="BookTitle"/>
          <w:rFonts w:ascii="Arial" w:hAnsi="Arial" w:cs="Arial"/>
          <w:i w:val="0"/>
          <w:iCs w:val="0"/>
          <w:smallCaps w:val="0"/>
          <w:spacing w:val="0"/>
          <w:szCs w:val="24"/>
        </w:rPr>
        <w:t xml:space="preserve"> provides that the </w:t>
      </w:r>
      <w:r w:rsidR="00417C14">
        <w:rPr>
          <w:rStyle w:val="BookTitle"/>
          <w:rFonts w:ascii="Arial" w:hAnsi="Arial" w:cs="Arial"/>
          <w:i w:val="0"/>
          <w:iCs w:val="0"/>
          <w:smallCaps w:val="0"/>
          <w:spacing w:val="0"/>
          <w:szCs w:val="24"/>
        </w:rPr>
        <w:t xml:space="preserve">authority for making the </w:t>
      </w:r>
      <w:r>
        <w:rPr>
          <w:rStyle w:val="BookTitle"/>
          <w:rFonts w:ascii="Arial" w:hAnsi="Arial" w:cs="Arial"/>
          <w:i w:val="0"/>
          <w:iCs w:val="0"/>
          <w:smallCaps w:val="0"/>
          <w:spacing w:val="0"/>
          <w:szCs w:val="24"/>
        </w:rPr>
        <w:t xml:space="preserve">Determination is </w:t>
      </w:r>
      <w:r w:rsidR="008402D9">
        <w:rPr>
          <w:rStyle w:val="BookTitle"/>
          <w:rFonts w:ascii="Arial" w:hAnsi="Arial" w:cs="Arial"/>
          <w:i w:val="0"/>
          <w:iCs w:val="0"/>
          <w:smallCaps w:val="0"/>
          <w:spacing w:val="0"/>
          <w:szCs w:val="24"/>
        </w:rPr>
        <w:t>paragraph 8</w:t>
      </w:r>
      <w:r>
        <w:rPr>
          <w:rStyle w:val="BookTitle"/>
          <w:rFonts w:ascii="Arial" w:hAnsi="Arial" w:cs="Arial"/>
          <w:i w:val="0"/>
          <w:iCs w:val="0"/>
          <w:smallCaps w:val="0"/>
          <w:spacing w:val="0"/>
          <w:szCs w:val="24"/>
        </w:rPr>
        <w:t xml:space="preserve">(11)(d) of the Act. </w:t>
      </w:r>
    </w:p>
    <w:p w:rsidR="00732E65" w:rsidRDefault="00732E65" w:rsidP="00732E65">
      <w:pPr>
        <w:spacing w:before="0"/>
        <w:rPr>
          <w:rStyle w:val="BookTitle"/>
          <w:rFonts w:ascii="Arial" w:hAnsi="Arial" w:cs="Arial"/>
          <w:i w:val="0"/>
          <w:iCs w:val="0"/>
          <w:smallCaps w:val="0"/>
          <w:spacing w:val="0"/>
          <w:szCs w:val="24"/>
        </w:rPr>
      </w:pPr>
    </w:p>
    <w:p w:rsidR="00732E65" w:rsidRDefault="00732E65" w:rsidP="00732E65">
      <w:pPr>
        <w:spacing w:before="0"/>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4</w:t>
      </w:r>
      <w:r>
        <w:rPr>
          <w:rStyle w:val="BookTitle"/>
          <w:rFonts w:ascii="Arial" w:hAnsi="Arial" w:cs="Arial"/>
          <w:i w:val="0"/>
          <w:iCs w:val="0"/>
          <w:smallCaps w:val="0"/>
          <w:spacing w:val="0"/>
          <w:szCs w:val="24"/>
        </w:rPr>
        <w:t xml:space="preserve"> lists definitions of terms used in the Determination.</w:t>
      </w:r>
      <w:r w:rsidR="000A6204">
        <w:rPr>
          <w:rStyle w:val="BookTitle"/>
          <w:rFonts w:ascii="Arial" w:hAnsi="Arial" w:cs="Arial"/>
          <w:i w:val="0"/>
          <w:iCs w:val="0"/>
          <w:smallCaps w:val="0"/>
          <w:spacing w:val="0"/>
          <w:szCs w:val="24"/>
        </w:rPr>
        <w:t xml:space="preserve"> </w:t>
      </w:r>
    </w:p>
    <w:p w:rsidR="00417C14" w:rsidRDefault="00417C14" w:rsidP="00732E65">
      <w:pPr>
        <w:spacing w:before="0"/>
        <w:rPr>
          <w:rStyle w:val="BookTitle"/>
          <w:rFonts w:ascii="Arial" w:hAnsi="Arial" w:cs="Arial"/>
          <w:i w:val="0"/>
          <w:iCs w:val="0"/>
          <w:smallCaps w:val="0"/>
          <w:spacing w:val="0"/>
          <w:szCs w:val="24"/>
        </w:rPr>
      </w:pPr>
    </w:p>
    <w:p w:rsidR="00D57DC5" w:rsidRDefault="00D57DC5" w:rsidP="00D57DC5">
      <w:pPr>
        <w:spacing w:before="0"/>
        <w:rPr>
          <w:rFonts w:ascii="Arial" w:hAnsi="Arial" w:cs="Arial"/>
          <w:szCs w:val="24"/>
        </w:rPr>
      </w:pPr>
      <w:r w:rsidRPr="00C40F3B">
        <w:rPr>
          <w:rFonts w:ascii="Arial" w:hAnsi="Arial" w:cs="Arial"/>
          <w:b/>
          <w:i/>
          <w:szCs w:val="24"/>
        </w:rPr>
        <w:t>NSW taxi transitional assistance payment</w:t>
      </w:r>
      <w:r w:rsidRPr="00D57DC5">
        <w:rPr>
          <w:rFonts w:ascii="Arial" w:hAnsi="Arial" w:cs="Arial"/>
          <w:b/>
          <w:szCs w:val="24"/>
        </w:rPr>
        <w:t xml:space="preserve"> </w:t>
      </w:r>
      <w:r w:rsidRPr="00D57DC5">
        <w:rPr>
          <w:rFonts w:ascii="Arial" w:hAnsi="Arial" w:cs="Arial"/>
          <w:szCs w:val="24"/>
        </w:rPr>
        <w:t xml:space="preserve">means a lump sum payment made to a person in accordance with the </w:t>
      </w:r>
      <w:r w:rsidRPr="00D57DC5">
        <w:rPr>
          <w:rFonts w:ascii="Arial" w:hAnsi="Arial" w:cs="Arial"/>
          <w:i/>
          <w:szCs w:val="24"/>
        </w:rPr>
        <w:t xml:space="preserve">Point to Point Transport (Taxis and Hire Vehicles) Regulation 2017 </w:t>
      </w:r>
      <w:r w:rsidRPr="00D57DC5">
        <w:rPr>
          <w:rFonts w:ascii="Arial" w:hAnsi="Arial" w:cs="Arial"/>
          <w:szCs w:val="24"/>
        </w:rPr>
        <w:t>(NSW) for further transitional assistance</w:t>
      </w:r>
      <w:r w:rsidR="00707A09">
        <w:rPr>
          <w:rFonts w:ascii="Arial" w:hAnsi="Arial" w:cs="Arial"/>
          <w:szCs w:val="24"/>
        </w:rPr>
        <w:t xml:space="preserve"> funds</w:t>
      </w:r>
      <w:r w:rsidRPr="00D57DC5">
        <w:rPr>
          <w:rFonts w:ascii="Arial" w:hAnsi="Arial" w:cs="Arial"/>
          <w:szCs w:val="24"/>
        </w:rPr>
        <w:t>.</w:t>
      </w:r>
    </w:p>
    <w:p w:rsidR="00D57DC5" w:rsidRPr="00D57DC5" w:rsidRDefault="00D57DC5" w:rsidP="00D57DC5">
      <w:pPr>
        <w:spacing w:before="0"/>
        <w:rPr>
          <w:rFonts w:ascii="Arial" w:hAnsi="Arial" w:cs="Arial"/>
          <w:szCs w:val="24"/>
        </w:rPr>
      </w:pPr>
    </w:p>
    <w:p w:rsidR="00732E65" w:rsidRPr="00827E89" w:rsidRDefault="00CB58F9" w:rsidP="00D57DC5">
      <w:pPr>
        <w:spacing w:before="0"/>
        <w:rPr>
          <w:rStyle w:val="BookTitle"/>
          <w:rFonts w:ascii="Arial" w:hAnsi="Arial" w:cs="Arial"/>
          <w:i w:val="0"/>
          <w:iCs w:val="0"/>
          <w:smallCaps w:val="0"/>
          <w:spacing w:val="0"/>
          <w:szCs w:val="24"/>
        </w:rPr>
      </w:pPr>
      <w:r w:rsidRPr="00C40F3B">
        <w:rPr>
          <w:rFonts w:ascii="Arial" w:hAnsi="Arial" w:cs="Arial"/>
          <w:b/>
          <w:i/>
          <w:szCs w:val="24"/>
        </w:rPr>
        <w:t>f</w:t>
      </w:r>
      <w:r w:rsidR="00D57DC5" w:rsidRPr="00C40F3B">
        <w:rPr>
          <w:rFonts w:ascii="Arial" w:hAnsi="Arial" w:cs="Arial"/>
          <w:b/>
          <w:i/>
          <w:szCs w:val="24"/>
        </w:rPr>
        <w:t>urther transitional assistance</w:t>
      </w:r>
      <w:r w:rsidR="00707A09" w:rsidRPr="00C40F3B">
        <w:rPr>
          <w:rFonts w:ascii="Arial" w:hAnsi="Arial" w:cs="Arial"/>
          <w:b/>
          <w:i/>
          <w:szCs w:val="24"/>
        </w:rPr>
        <w:t xml:space="preserve"> funds</w:t>
      </w:r>
      <w:r w:rsidR="00D57DC5" w:rsidRPr="00D57DC5">
        <w:rPr>
          <w:rFonts w:ascii="Arial" w:hAnsi="Arial" w:cs="Arial"/>
          <w:szCs w:val="24"/>
        </w:rPr>
        <w:t xml:space="preserve"> has the same meaning as </w:t>
      </w:r>
      <w:r>
        <w:rPr>
          <w:rFonts w:ascii="Arial" w:hAnsi="Arial" w:cs="Arial"/>
          <w:szCs w:val="24"/>
        </w:rPr>
        <w:t>in Schedule 3 to</w:t>
      </w:r>
      <w:r w:rsidRPr="00D57DC5">
        <w:rPr>
          <w:rFonts w:ascii="Arial" w:hAnsi="Arial" w:cs="Arial"/>
          <w:szCs w:val="24"/>
        </w:rPr>
        <w:t xml:space="preserve"> </w:t>
      </w:r>
      <w:r w:rsidR="00D57DC5" w:rsidRPr="00D57DC5">
        <w:rPr>
          <w:rFonts w:ascii="Arial" w:hAnsi="Arial" w:cs="Arial"/>
          <w:szCs w:val="24"/>
        </w:rPr>
        <w:t xml:space="preserve">the </w:t>
      </w:r>
      <w:r w:rsidR="00D57DC5" w:rsidRPr="00D57DC5">
        <w:rPr>
          <w:rFonts w:ascii="Arial" w:hAnsi="Arial" w:cs="Arial"/>
          <w:i/>
          <w:szCs w:val="24"/>
        </w:rPr>
        <w:t>Point to Point Transport (Taxis and Hire Vehicles) Act 2016</w:t>
      </w:r>
      <w:r w:rsidR="00D57DC5" w:rsidRPr="00D57DC5">
        <w:rPr>
          <w:rFonts w:ascii="Arial" w:hAnsi="Arial" w:cs="Arial"/>
          <w:szCs w:val="24"/>
        </w:rPr>
        <w:t xml:space="preserve"> (NSW), which is money for the purposes of payments, in connection with the cancellation of ordinary taxi licences, to persons who meet the criteria for eligibility established under Schedule 3 </w:t>
      </w:r>
      <w:r w:rsidR="007434B1">
        <w:rPr>
          <w:rFonts w:ascii="Arial" w:hAnsi="Arial" w:cs="Arial"/>
          <w:szCs w:val="24"/>
        </w:rPr>
        <w:t>to</w:t>
      </w:r>
      <w:r w:rsidR="00D57DC5" w:rsidRPr="00D57DC5">
        <w:rPr>
          <w:rFonts w:ascii="Arial" w:hAnsi="Arial" w:cs="Arial"/>
          <w:szCs w:val="24"/>
        </w:rPr>
        <w:t xml:space="preserve"> the Act</w:t>
      </w:r>
      <w:r w:rsidR="00F42552" w:rsidRPr="00827E89">
        <w:rPr>
          <w:rFonts w:ascii="Arial" w:hAnsi="Arial" w:cs="Arial"/>
          <w:szCs w:val="24"/>
        </w:rPr>
        <w:t>.</w:t>
      </w:r>
    </w:p>
    <w:p w:rsidR="00F42552" w:rsidRDefault="00F42552" w:rsidP="007C5C50">
      <w:pPr>
        <w:spacing w:before="0"/>
        <w:rPr>
          <w:rStyle w:val="BookTitle"/>
          <w:rFonts w:ascii="Arial" w:hAnsi="Arial" w:cs="Arial"/>
          <w:b/>
          <w:i w:val="0"/>
          <w:iCs w:val="0"/>
          <w:smallCaps w:val="0"/>
          <w:spacing w:val="0"/>
          <w:szCs w:val="24"/>
        </w:rPr>
      </w:pPr>
    </w:p>
    <w:p w:rsidR="00D45D74" w:rsidRDefault="00732E65" w:rsidP="007C5C50">
      <w:pPr>
        <w:spacing w:before="0"/>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5</w:t>
      </w:r>
      <w:r w:rsidR="0024227E">
        <w:rPr>
          <w:rStyle w:val="BookTitle"/>
          <w:rFonts w:ascii="Arial" w:hAnsi="Arial" w:cs="Arial"/>
          <w:i w:val="0"/>
          <w:iCs w:val="0"/>
          <w:smallCaps w:val="0"/>
          <w:spacing w:val="0"/>
          <w:szCs w:val="24"/>
        </w:rPr>
        <w:t xml:space="preserve"> </w:t>
      </w:r>
      <w:r w:rsidR="00880652">
        <w:rPr>
          <w:rStyle w:val="BookTitle"/>
          <w:rFonts w:ascii="Arial" w:hAnsi="Arial" w:cs="Arial"/>
          <w:i w:val="0"/>
          <w:iCs w:val="0"/>
          <w:smallCaps w:val="0"/>
          <w:spacing w:val="0"/>
          <w:szCs w:val="24"/>
        </w:rPr>
        <w:t xml:space="preserve">states that </w:t>
      </w:r>
      <w:r w:rsidR="000A6204">
        <w:rPr>
          <w:rStyle w:val="BookTitle"/>
          <w:rFonts w:ascii="Arial" w:hAnsi="Arial" w:cs="Arial"/>
          <w:i w:val="0"/>
          <w:iCs w:val="0"/>
          <w:smallCaps w:val="0"/>
          <w:spacing w:val="0"/>
          <w:szCs w:val="24"/>
        </w:rPr>
        <w:t xml:space="preserve">for the purposes of paragraph 8(11)(d) of the Act, </w:t>
      </w:r>
      <w:r w:rsidR="007434B1">
        <w:rPr>
          <w:rStyle w:val="BookTitle"/>
          <w:rFonts w:ascii="Arial" w:hAnsi="Arial" w:cs="Arial"/>
          <w:i w:val="0"/>
          <w:iCs w:val="0"/>
          <w:smallCaps w:val="0"/>
          <w:spacing w:val="0"/>
          <w:szCs w:val="24"/>
        </w:rPr>
        <w:t xml:space="preserve">the gross amount of a </w:t>
      </w:r>
      <w:r w:rsidR="00D57DC5" w:rsidRPr="00D57DC5">
        <w:rPr>
          <w:rStyle w:val="BookTitle"/>
          <w:rFonts w:ascii="Arial" w:hAnsi="Arial" w:cs="Arial"/>
          <w:i w:val="0"/>
          <w:iCs w:val="0"/>
          <w:smallCaps w:val="0"/>
          <w:spacing w:val="0"/>
          <w:szCs w:val="24"/>
        </w:rPr>
        <w:t xml:space="preserve">NSW taxi transitional assistance payment </w:t>
      </w:r>
      <w:r w:rsidR="000A6204">
        <w:rPr>
          <w:rStyle w:val="BookTitle"/>
          <w:rFonts w:ascii="Arial" w:hAnsi="Arial" w:cs="Arial"/>
          <w:i w:val="0"/>
          <w:iCs w:val="0"/>
          <w:smallCaps w:val="0"/>
          <w:spacing w:val="0"/>
          <w:szCs w:val="24"/>
        </w:rPr>
        <w:t xml:space="preserve">made under the </w:t>
      </w:r>
      <w:r w:rsidR="00D57DC5">
        <w:rPr>
          <w:rStyle w:val="BookTitle"/>
          <w:rFonts w:ascii="Arial" w:hAnsi="Arial" w:cs="Arial"/>
          <w:i w:val="0"/>
          <w:iCs w:val="0"/>
          <w:smallCaps w:val="0"/>
          <w:spacing w:val="0"/>
          <w:szCs w:val="24"/>
        </w:rPr>
        <w:t>Regulations</w:t>
      </w:r>
      <w:r w:rsidR="000A6204">
        <w:rPr>
          <w:rStyle w:val="BookTitle"/>
          <w:rFonts w:ascii="Arial" w:hAnsi="Arial" w:cs="Arial"/>
          <w:i w:val="0"/>
          <w:iCs w:val="0"/>
          <w:smallCaps w:val="0"/>
          <w:spacing w:val="0"/>
          <w:szCs w:val="24"/>
        </w:rPr>
        <w:t xml:space="preserve"> </w:t>
      </w:r>
      <w:r w:rsidR="007434B1">
        <w:rPr>
          <w:rStyle w:val="BookTitle"/>
          <w:rFonts w:ascii="Arial" w:hAnsi="Arial" w:cs="Arial"/>
          <w:i w:val="0"/>
          <w:iCs w:val="0"/>
          <w:smallCaps w:val="0"/>
          <w:spacing w:val="0"/>
          <w:szCs w:val="24"/>
        </w:rPr>
        <w:t xml:space="preserve">is an </w:t>
      </w:r>
      <w:r w:rsidR="000A6204">
        <w:rPr>
          <w:rStyle w:val="BookTitle"/>
          <w:rFonts w:ascii="Arial" w:hAnsi="Arial" w:cs="Arial"/>
          <w:i w:val="0"/>
          <w:iCs w:val="0"/>
          <w:smallCaps w:val="0"/>
          <w:spacing w:val="0"/>
          <w:szCs w:val="24"/>
        </w:rPr>
        <w:t xml:space="preserve">exempt lump sum. </w:t>
      </w:r>
    </w:p>
    <w:p w:rsidR="002D03F0" w:rsidRDefault="002D03F0" w:rsidP="007C5C50">
      <w:pPr>
        <w:spacing w:before="0"/>
        <w:rPr>
          <w:rStyle w:val="BookTitle"/>
          <w:rFonts w:ascii="Arial" w:hAnsi="Arial" w:cs="Arial"/>
          <w:i w:val="0"/>
          <w:iCs w:val="0"/>
          <w:smallCaps w:val="0"/>
          <w:spacing w:val="0"/>
          <w:szCs w:val="24"/>
        </w:rPr>
      </w:pPr>
    </w:p>
    <w:p w:rsidR="002D03F0" w:rsidRPr="002D03F0" w:rsidRDefault="002D03F0" w:rsidP="007C5C50">
      <w:pPr>
        <w:spacing w:before="0"/>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6</w:t>
      </w:r>
      <w:r>
        <w:rPr>
          <w:rStyle w:val="BookTitle"/>
          <w:rFonts w:ascii="Arial" w:hAnsi="Arial" w:cs="Arial"/>
          <w:i w:val="0"/>
          <w:iCs w:val="0"/>
          <w:smallCaps w:val="0"/>
          <w:spacing w:val="0"/>
          <w:szCs w:val="24"/>
        </w:rPr>
        <w:t xml:space="preserve"> means that the determination will apply </w:t>
      </w:r>
      <w:r w:rsidR="00D853AE" w:rsidRPr="00D853AE">
        <w:rPr>
          <w:rStyle w:val="BookTitle"/>
          <w:rFonts w:ascii="Arial" w:hAnsi="Arial" w:cs="Arial"/>
          <w:i w:val="0"/>
          <w:iCs w:val="0"/>
          <w:smallCaps w:val="0"/>
          <w:spacing w:val="0"/>
          <w:szCs w:val="24"/>
        </w:rPr>
        <w:t xml:space="preserve">to the calculation of the rate of social security payment payable for days on or after </w:t>
      </w:r>
      <w:r w:rsidR="003303F6">
        <w:rPr>
          <w:rStyle w:val="BookTitle"/>
          <w:rFonts w:ascii="Arial" w:hAnsi="Arial" w:cs="Arial"/>
          <w:i w:val="0"/>
          <w:iCs w:val="0"/>
          <w:smallCaps w:val="0"/>
          <w:spacing w:val="0"/>
          <w:szCs w:val="24"/>
        </w:rPr>
        <w:t>1 February 2023</w:t>
      </w:r>
      <w:r w:rsidR="00D853AE">
        <w:rPr>
          <w:rStyle w:val="BookTitle"/>
          <w:rFonts w:ascii="Arial" w:hAnsi="Arial" w:cs="Arial"/>
          <w:i w:val="0"/>
          <w:iCs w:val="0"/>
          <w:smallCaps w:val="0"/>
          <w:spacing w:val="0"/>
          <w:szCs w:val="24"/>
        </w:rPr>
        <w:t xml:space="preserve">. </w:t>
      </w:r>
      <w:r w:rsidR="00E313E7" w:rsidRPr="00E313E7">
        <w:rPr>
          <w:rStyle w:val="BookTitle"/>
          <w:rFonts w:ascii="Arial" w:hAnsi="Arial" w:cs="Arial"/>
          <w:i w:val="0"/>
          <w:iCs w:val="0"/>
          <w:smallCaps w:val="0"/>
          <w:spacing w:val="0"/>
          <w:szCs w:val="24"/>
        </w:rPr>
        <w:t xml:space="preserve">Together with section 5, this provision has some beneficial prospective operation. As the retrospectivity is only beneficial, it is consistent with </w:t>
      </w:r>
      <w:r w:rsidR="00E313E7">
        <w:rPr>
          <w:rStyle w:val="BookTitle"/>
          <w:rFonts w:ascii="Arial" w:hAnsi="Arial" w:cs="Arial"/>
          <w:i w:val="0"/>
          <w:iCs w:val="0"/>
          <w:smallCaps w:val="0"/>
          <w:spacing w:val="0"/>
          <w:szCs w:val="24"/>
        </w:rPr>
        <w:t>sub</w:t>
      </w:r>
      <w:r w:rsidR="00E313E7" w:rsidRPr="00E313E7">
        <w:rPr>
          <w:rStyle w:val="BookTitle"/>
          <w:rFonts w:ascii="Arial" w:hAnsi="Arial" w:cs="Arial"/>
          <w:i w:val="0"/>
          <w:iCs w:val="0"/>
          <w:smallCaps w:val="0"/>
          <w:spacing w:val="0"/>
          <w:szCs w:val="24"/>
        </w:rPr>
        <w:t xml:space="preserve">section 12(2) of the </w:t>
      </w:r>
      <w:r w:rsidR="00E313E7" w:rsidRPr="001D1299">
        <w:rPr>
          <w:rStyle w:val="BookTitle"/>
          <w:rFonts w:ascii="Arial" w:hAnsi="Arial" w:cs="Arial"/>
          <w:iCs w:val="0"/>
          <w:smallCaps w:val="0"/>
          <w:spacing w:val="0"/>
          <w:szCs w:val="24"/>
        </w:rPr>
        <w:t>Legislation Act 2003</w:t>
      </w:r>
      <w:r w:rsidR="00E313E7" w:rsidRPr="00E313E7">
        <w:rPr>
          <w:rStyle w:val="BookTitle"/>
          <w:rFonts w:ascii="Arial" w:hAnsi="Arial" w:cs="Arial"/>
          <w:i w:val="0"/>
          <w:iCs w:val="0"/>
          <w:smallCaps w:val="0"/>
          <w:spacing w:val="0"/>
          <w:szCs w:val="24"/>
        </w:rPr>
        <w:t>.</w:t>
      </w:r>
    </w:p>
    <w:p w:rsidR="00265EA8" w:rsidRDefault="00265EA8">
      <w:pPr>
        <w:spacing w:before="0" w:after="200" w:line="276" w:lineRule="auto"/>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br w:type="page"/>
      </w:r>
    </w:p>
    <w:p w:rsidR="00D45D74" w:rsidRDefault="00D45D74" w:rsidP="007C5C50">
      <w:pPr>
        <w:spacing w:before="0"/>
        <w:rPr>
          <w:rStyle w:val="BookTitle"/>
          <w:rFonts w:ascii="Arial" w:hAnsi="Arial" w:cs="Arial"/>
          <w:i w:val="0"/>
          <w:iCs w:val="0"/>
          <w:smallCaps w:val="0"/>
          <w:spacing w:val="0"/>
          <w:szCs w:val="24"/>
        </w:rPr>
      </w:pPr>
    </w:p>
    <w:p w:rsidR="006546B7" w:rsidRPr="00BC76EB" w:rsidRDefault="006546B7" w:rsidP="006546B7">
      <w:pPr>
        <w:spacing w:before="360" w:after="120"/>
        <w:jc w:val="center"/>
        <w:rPr>
          <w:rFonts w:ascii="Arial" w:hAnsi="Arial" w:cs="Arial"/>
          <w:b/>
          <w:szCs w:val="24"/>
        </w:rPr>
      </w:pPr>
      <w:r w:rsidRPr="00BC76EB">
        <w:rPr>
          <w:rFonts w:ascii="Arial" w:hAnsi="Arial" w:cs="Arial"/>
          <w:b/>
          <w:szCs w:val="24"/>
        </w:rPr>
        <w:t>Statement of Compatibility with Human Rights</w:t>
      </w:r>
    </w:p>
    <w:p w:rsidR="006546B7" w:rsidRPr="00BC76EB" w:rsidRDefault="006546B7" w:rsidP="006546B7">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rsidR="006546B7" w:rsidRPr="00BC76EB" w:rsidRDefault="006546B7" w:rsidP="006546B7">
      <w:pPr>
        <w:spacing w:before="120" w:after="120"/>
        <w:jc w:val="center"/>
        <w:rPr>
          <w:rFonts w:ascii="Arial" w:hAnsi="Arial" w:cs="Arial"/>
          <w:szCs w:val="24"/>
        </w:rPr>
      </w:pPr>
    </w:p>
    <w:p w:rsidR="006546B7" w:rsidRPr="00BC76EB" w:rsidRDefault="00ED78FC" w:rsidP="0024694D">
      <w:pPr>
        <w:jc w:val="center"/>
        <w:rPr>
          <w:rFonts w:ascii="Arial" w:hAnsi="Arial" w:cs="Arial"/>
          <w:b/>
          <w:szCs w:val="24"/>
        </w:rPr>
      </w:pPr>
      <w:r w:rsidRPr="0046435D">
        <w:rPr>
          <w:rFonts w:ascii="Arial" w:hAnsi="Arial" w:cs="Arial"/>
          <w:b/>
        </w:rPr>
        <w:t xml:space="preserve">Social Security (Exempt Lump Sum – </w:t>
      </w:r>
      <w:r w:rsidR="003303F6" w:rsidRPr="003303F6">
        <w:rPr>
          <w:rFonts w:ascii="Arial" w:hAnsi="Arial" w:cs="Arial"/>
          <w:b/>
        </w:rPr>
        <w:t>NSW Taxi Licence Deregulation</w:t>
      </w:r>
      <w:r w:rsidRPr="0046435D">
        <w:rPr>
          <w:rFonts w:ascii="Arial" w:hAnsi="Arial" w:cs="Arial"/>
          <w:b/>
        </w:rPr>
        <w:t>) Determination 202</w:t>
      </w:r>
      <w:r w:rsidR="003303F6">
        <w:rPr>
          <w:rFonts w:ascii="Arial" w:hAnsi="Arial" w:cs="Arial"/>
          <w:b/>
        </w:rPr>
        <w:t>3</w:t>
      </w:r>
    </w:p>
    <w:p w:rsidR="006546B7" w:rsidRPr="00BC76EB" w:rsidRDefault="006546B7" w:rsidP="0024694D">
      <w:pPr>
        <w:jc w:val="center"/>
        <w:rPr>
          <w:rFonts w:ascii="Arial" w:hAnsi="Arial" w:cs="Arial"/>
          <w:szCs w:val="24"/>
        </w:rPr>
      </w:pPr>
    </w:p>
    <w:p w:rsidR="006546B7" w:rsidRPr="00BC76EB" w:rsidRDefault="00ED78FC" w:rsidP="0024694D">
      <w:pPr>
        <w:jc w:val="center"/>
        <w:rPr>
          <w:rFonts w:ascii="Arial" w:hAnsi="Arial" w:cs="Arial"/>
          <w:szCs w:val="24"/>
        </w:rPr>
      </w:pPr>
      <w:r>
        <w:rPr>
          <w:rFonts w:ascii="Arial" w:hAnsi="Arial" w:cs="Arial"/>
          <w:szCs w:val="24"/>
        </w:rPr>
        <w:t xml:space="preserve">The Determination is </w:t>
      </w:r>
      <w:r w:rsidR="006546B7" w:rsidRPr="00BC76EB">
        <w:rPr>
          <w:rFonts w:ascii="Arial" w:hAnsi="Arial" w:cs="Arial"/>
          <w:szCs w:val="24"/>
        </w:rPr>
        <w:t>compatible with the human rights and freedoms recognised or declared in the internationa</w:t>
      </w:r>
      <w:r w:rsidR="006C5E5E">
        <w:rPr>
          <w:rFonts w:ascii="Arial" w:hAnsi="Arial" w:cs="Arial"/>
          <w:szCs w:val="24"/>
        </w:rPr>
        <w:t>l instruments listed in section </w:t>
      </w:r>
      <w:r w:rsidR="006546B7" w:rsidRPr="00BC76EB">
        <w:rPr>
          <w:rFonts w:ascii="Arial" w:hAnsi="Arial" w:cs="Arial"/>
          <w:szCs w:val="24"/>
        </w:rPr>
        <w:t xml:space="preserve">3 of the </w:t>
      </w:r>
      <w:r w:rsidR="006546B7" w:rsidRPr="00BC76EB">
        <w:rPr>
          <w:rFonts w:ascii="Arial" w:hAnsi="Arial" w:cs="Arial"/>
          <w:i/>
          <w:szCs w:val="24"/>
        </w:rPr>
        <w:t>Human Rights (Parliamentary Scrutiny) Act 2011</w:t>
      </w:r>
      <w:r w:rsidR="006546B7" w:rsidRPr="00BC76EB">
        <w:rPr>
          <w:rFonts w:ascii="Arial" w:hAnsi="Arial" w:cs="Arial"/>
          <w:szCs w:val="24"/>
        </w:rPr>
        <w:t>.</w:t>
      </w:r>
    </w:p>
    <w:p w:rsidR="006546B7" w:rsidRPr="00BC76EB" w:rsidRDefault="002A63EA" w:rsidP="0024694D">
      <w:pPr>
        <w:jc w:val="both"/>
        <w:rPr>
          <w:rFonts w:ascii="Arial" w:hAnsi="Arial" w:cs="Arial"/>
          <w:b/>
          <w:szCs w:val="24"/>
        </w:rPr>
      </w:pPr>
      <w:r w:rsidRPr="00BC76EB">
        <w:rPr>
          <w:rFonts w:ascii="Arial" w:hAnsi="Arial" w:cs="Arial"/>
          <w:b/>
          <w:szCs w:val="24"/>
        </w:rPr>
        <w:t>Overview of the legislative i</w:t>
      </w:r>
      <w:r w:rsidR="006546B7" w:rsidRPr="00BC76EB">
        <w:rPr>
          <w:rFonts w:ascii="Arial" w:hAnsi="Arial" w:cs="Arial"/>
          <w:b/>
          <w:szCs w:val="24"/>
        </w:rPr>
        <w:t>nstrument</w:t>
      </w:r>
    </w:p>
    <w:p w:rsidR="00ED78FC" w:rsidRPr="00FD51C6" w:rsidRDefault="00FD51C6" w:rsidP="0024694D">
      <w:pPr>
        <w:rPr>
          <w:rFonts w:ascii="Arial" w:hAnsi="Arial" w:cs="Arial"/>
          <w:szCs w:val="24"/>
        </w:rPr>
      </w:pPr>
      <w:r w:rsidRPr="00FD51C6">
        <w:rPr>
          <w:rFonts w:ascii="Arial" w:hAnsi="Arial" w:cs="Arial"/>
          <w:szCs w:val="24"/>
        </w:rPr>
        <w:t>The effect of</w:t>
      </w:r>
      <w:r w:rsidR="00ED78FC" w:rsidRPr="00FD51C6">
        <w:rPr>
          <w:rFonts w:ascii="Arial" w:hAnsi="Arial" w:cs="Arial"/>
          <w:szCs w:val="24"/>
        </w:rPr>
        <w:t xml:space="preserve"> the </w:t>
      </w:r>
      <w:r w:rsidR="00EB17E7" w:rsidRPr="000660A6">
        <w:rPr>
          <w:rFonts w:ascii="Arial" w:hAnsi="Arial" w:cs="Arial"/>
          <w:i/>
          <w:szCs w:val="24"/>
        </w:rPr>
        <w:t xml:space="preserve">Social Security (Exempt Lump Sum – </w:t>
      </w:r>
      <w:r w:rsidR="003303F6" w:rsidRPr="009A3377">
        <w:rPr>
          <w:rFonts w:ascii="Arial" w:hAnsi="Arial" w:cs="Arial"/>
          <w:i/>
          <w:szCs w:val="24"/>
        </w:rPr>
        <w:t>NSW Taxi Licence Deregulation</w:t>
      </w:r>
      <w:r w:rsidR="00EB17E7" w:rsidRPr="000660A6">
        <w:rPr>
          <w:rFonts w:ascii="Arial" w:hAnsi="Arial" w:cs="Arial"/>
          <w:i/>
          <w:szCs w:val="24"/>
        </w:rPr>
        <w:t xml:space="preserve">) </w:t>
      </w:r>
      <w:r w:rsidR="00ED78FC" w:rsidRPr="000660A6">
        <w:rPr>
          <w:rFonts w:ascii="Arial" w:hAnsi="Arial" w:cs="Arial"/>
          <w:i/>
          <w:szCs w:val="24"/>
        </w:rPr>
        <w:t xml:space="preserve">Determination </w:t>
      </w:r>
      <w:r w:rsidR="00EB17E7" w:rsidRPr="000660A6">
        <w:rPr>
          <w:rFonts w:ascii="Arial" w:hAnsi="Arial" w:cs="Arial"/>
          <w:i/>
          <w:szCs w:val="24"/>
        </w:rPr>
        <w:t>202</w:t>
      </w:r>
      <w:r w:rsidR="003303F6">
        <w:rPr>
          <w:rFonts w:ascii="Arial" w:hAnsi="Arial" w:cs="Arial"/>
          <w:i/>
          <w:szCs w:val="24"/>
        </w:rPr>
        <w:t>3</w:t>
      </w:r>
      <w:r w:rsidR="00EB17E7">
        <w:rPr>
          <w:rFonts w:ascii="Arial" w:hAnsi="Arial" w:cs="Arial"/>
          <w:szCs w:val="24"/>
        </w:rPr>
        <w:t xml:space="preserve"> (</w:t>
      </w:r>
      <w:r w:rsidR="00EB17E7" w:rsidRPr="000660A6">
        <w:rPr>
          <w:rFonts w:ascii="Arial" w:hAnsi="Arial" w:cs="Arial"/>
          <w:b/>
          <w:szCs w:val="24"/>
        </w:rPr>
        <w:t>Determination</w:t>
      </w:r>
      <w:r w:rsidR="00EB17E7">
        <w:rPr>
          <w:rFonts w:ascii="Arial" w:hAnsi="Arial" w:cs="Arial"/>
          <w:szCs w:val="24"/>
        </w:rPr>
        <w:t xml:space="preserve">) </w:t>
      </w:r>
      <w:r w:rsidR="00ED78FC" w:rsidRPr="00FD51C6">
        <w:rPr>
          <w:rFonts w:ascii="Arial" w:hAnsi="Arial" w:cs="Arial"/>
          <w:szCs w:val="24"/>
        </w:rPr>
        <w:t xml:space="preserve">is that </w:t>
      </w:r>
      <w:r w:rsidR="00EE0F91">
        <w:rPr>
          <w:rFonts w:ascii="Arial" w:hAnsi="Arial" w:cs="Arial"/>
          <w:szCs w:val="24"/>
        </w:rPr>
        <w:t>a person</w:t>
      </w:r>
      <w:r w:rsidRPr="00FD51C6">
        <w:rPr>
          <w:rFonts w:ascii="Arial" w:hAnsi="Arial" w:cs="Arial"/>
          <w:szCs w:val="24"/>
        </w:rPr>
        <w:t xml:space="preserve"> who receives </w:t>
      </w:r>
      <w:r w:rsidR="00303B44">
        <w:rPr>
          <w:rFonts w:ascii="Arial" w:hAnsi="Arial" w:cs="Arial"/>
          <w:szCs w:val="24"/>
        </w:rPr>
        <w:t xml:space="preserve">a </w:t>
      </w:r>
      <w:r w:rsidRPr="00FD51C6">
        <w:rPr>
          <w:rFonts w:ascii="Arial" w:hAnsi="Arial" w:cs="Arial"/>
          <w:szCs w:val="24"/>
        </w:rPr>
        <w:t xml:space="preserve">payment under the </w:t>
      </w:r>
      <w:r w:rsidR="003303F6" w:rsidRPr="003303F6">
        <w:rPr>
          <w:rFonts w:ascii="Arial" w:hAnsi="Arial" w:cs="Arial"/>
          <w:i/>
          <w:szCs w:val="24"/>
        </w:rPr>
        <w:t>Point to Point Transport (Taxis and Hire Vehicles) Regulation 2017</w:t>
      </w:r>
      <w:r w:rsidR="003303F6" w:rsidRPr="003303F6">
        <w:rPr>
          <w:rFonts w:ascii="Arial" w:hAnsi="Arial" w:cs="Arial"/>
          <w:szCs w:val="24"/>
        </w:rPr>
        <w:t xml:space="preserve"> (NSW) </w:t>
      </w:r>
      <w:r w:rsidR="00E966FA">
        <w:rPr>
          <w:rFonts w:ascii="Arial" w:hAnsi="Arial" w:cs="Arial"/>
          <w:szCs w:val="24"/>
        </w:rPr>
        <w:t>(</w:t>
      </w:r>
      <w:r w:rsidR="00E966FA">
        <w:rPr>
          <w:rFonts w:ascii="Arial" w:hAnsi="Arial" w:cs="Arial"/>
          <w:b/>
          <w:szCs w:val="24"/>
        </w:rPr>
        <w:t>Regulations</w:t>
      </w:r>
      <w:r w:rsidR="00E966FA">
        <w:rPr>
          <w:rFonts w:ascii="Arial" w:hAnsi="Arial" w:cs="Arial"/>
          <w:szCs w:val="24"/>
        </w:rPr>
        <w:t xml:space="preserve">) </w:t>
      </w:r>
      <w:r w:rsidR="00E966FA" w:rsidRPr="00E966FA">
        <w:rPr>
          <w:rFonts w:ascii="Arial" w:hAnsi="Arial" w:cs="Arial"/>
          <w:szCs w:val="24"/>
        </w:rPr>
        <w:t xml:space="preserve">for further transitional assistance </w:t>
      </w:r>
      <w:r w:rsidRPr="00FD51C6">
        <w:rPr>
          <w:rFonts w:ascii="Arial" w:hAnsi="Arial" w:cs="Arial"/>
          <w:szCs w:val="24"/>
        </w:rPr>
        <w:t>will not hav</w:t>
      </w:r>
      <w:r w:rsidR="00ED78FC" w:rsidRPr="00FD51C6">
        <w:rPr>
          <w:rFonts w:ascii="Arial" w:hAnsi="Arial" w:cs="Arial"/>
          <w:szCs w:val="24"/>
        </w:rPr>
        <w:t>e that payment assessed as income under the social security law.</w:t>
      </w:r>
    </w:p>
    <w:p w:rsidR="006546B7" w:rsidRPr="00BC76EB" w:rsidRDefault="006546B7" w:rsidP="0024694D">
      <w:pPr>
        <w:rPr>
          <w:rFonts w:ascii="Arial" w:hAnsi="Arial" w:cs="Arial"/>
          <w:b/>
          <w:szCs w:val="24"/>
        </w:rPr>
      </w:pPr>
      <w:r w:rsidRPr="00BC76EB">
        <w:rPr>
          <w:rFonts w:ascii="Arial" w:hAnsi="Arial" w:cs="Arial"/>
          <w:b/>
          <w:szCs w:val="24"/>
        </w:rPr>
        <w:t>Human rights implications</w:t>
      </w:r>
    </w:p>
    <w:p w:rsidR="00C00D82" w:rsidRDefault="00C00D82" w:rsidP="0024694D">
      <w:pPr>
        <w:rPr>
          <w:rFonts w:ascii="Arial" w:hAnsi="Arial" w:cs="Arial"/>
          <w:szCs w:val="24"/>
        </w:rPr>
      </w:pPr>
      <w:r>
        <w:rPr>
          <w:rFonts w:ascii="Arial" w:hAnsi="Arial" w:cs="Arial"/>
          <w:szCs w:val="24"/>
        </w:rPr>
        <w:t>The Determination engages the right to social security under Article 9 of the International Covenant on Economic, Social and Cultural Rights. The right to social security requires that a system be established under domestic law, and that public authorities must take responsibility for the effective administration of the system. The social security scheme must provide a minimum essential level of benefits to all individuals and families that will</w:t>
      </w:r>
      <w:r w:rsidR="00F871C3">
        <w:rPr>
          <w:rFonts w:ascii="Arial" w:hAnsi="Arial" w:cs="Arial"/>
          <w:szCs w:val="24"/>
        </w:rPr>
        <w:t xml:space="preserve"> enable them to acquire at least</w:t>
      </w:r>
      <w:r>
        <w:rPr>
          <w:rFonts w:ascii="Arial" w:hAnsi="Arial" w:cs="Arial"/>
          <w:szCs w:val="24"/>
        </w:rPr>
        <w:t xml:space="preserve"> essential health care, basic shelter and housing, water and sanitation, foodstuff, and the most basic forms of education.</w:t>
      </w:r>
    </w:p>
    <w:p w:rsidR="00C00D82" w:rsidRDefault="00C00D82" w:rsidP="0024694D">
      <w:pPr>
        <w:rPr>
          <w:rFonts w:ascii="Arial" w:hAnsi="Arial" w:cs="Arial"/>
        </w:rPr>
      </w:pPr>
      <w:r>
        <w:rPr>
          <w:rFonts w:ascii="Arial" w:hAnsi="Arial" w:cs="Arial"/>
          <w:szCs w:val="24"/>
        </w:rPr>
        <w:t xml:space="preserve">The Determination will operate beneficially as payments under the </w:t>
      </w:r>
      <w:r w:rsidR="00E966FA">
        <w:rPr>
          <w:rFonts w:ascii="Arial" w:hAnsi="Arial" w:cs="Arial"/>
        </w:rPr>
        <w:t>Regulations</w:t>
      </w:r>
      <w:r>
        <w:rPr>
          <w:rFonts w:ascii="Arial" w:hAnsi="Arial" w:cs="Arial"/>
        </w:rPr>
        <w:t xml:space="preserve"> will not be taken into account when assessing a person’s eligibility</w:t>
      </w:r>
      <w:r w:rsidR="003F2630">
        <w:rPr>
          <w:rFonts w:ascii="Arial" w:hAnsi="Arial" w:cs="Arial"/>
        </w:rPr>
        <w:t xml:space="preserve"> for</w:t>
      </w:r>
      <w:r>
        <w:rPr>
          <w:rFonts w:ascii="Arial" w:hAnsi="Arial" w:cs="Arial"/>
        </w:rPr>
        <w:t xml:space="preserve"> or rate of social security entitlements under the social security income test. If payments under the </w:t>
      </w:r>
      <w:r w:rsidR="00E966FA">
        <w:rPr>
          <w:rFonts w:ascii="Arial" w:hAnsi="Arial" w:cs="Arial"/>
        </w:rPr>
        <w:t>Regulations</w:t>
      </w:r>
      <w:r>
        <w:rPr>
          <w:rFonts w:ascii="Arial" w:hAnsi="Arial" w:cs="Arial"/>
        </w:rPr>
        <w:t xml:space="preserve"> are not exempted, a person in receipt of that payment may not be eligible for a social security payment or, if they are eligible, their rate of payment might be reduced. The Determination is therefore consistent with the promotion of the right to social security.</w:t>
      </w:r>
    </w:p>
    <w:p w:rsidR="00C00D82" w:rsidRDefault="00C00D82" w:rsidP="0024694D">
      <w:pPr>
        <w:rPr>
          <w:rFonts w:ascii="Arial" w:hAnsi="Arial" w:cs="Arial"/>
          <w:szCs w:val="24"/>
        </w:rPr>
      </w:pPr>
      <w:r>
        <w:rPr>
          <w:rFonts w:ascii="Arial" w:hAnsi="Arial" w:cs="Arial"/>
        </w:rPr>
        <w:t xml:space="preserve">The exemption of </w:t>
      </w:r>
      <w:r>
        <w:rPr>
          <w:rFonts w:ascii="Arial" w:hAnsi="Arial" w:cs="Arial"/>
          <w:szCs w:val="24"/>
        </w:rPr>
        <w:t xml:space="preserve">payments under the </w:t>
      </w:r>
      <w:r w:rsidR="00E966FA">
        <w:rPr>
          <w:rFonts w:ascii="Arial" w:hAnsi="Arial" w:cs="Arial"/>
        </w:rPr>
        <w:t>Regulations</w:t>
      </w:r>
      <w:r>
        <w:rPr>
          <w:rFonts w:ascii="Arial" w:hAnsi="Arial" w:cs="Arial"/>
        </w:rPr>
        <w:t xml:space="preserve"> from the income test on receipt does not alter the fact that any ongoing income generated by the lump sum is not exempt from the income test, and any assessable asset produced from the lump sum is counted under the social security assets test. This is consistent with the treatment of other lump sum payments under paragraph 8(11)(d) of the </w:t>
      </w:r>
      <w:r w:rsidR="00EB17E7">
        <w:rPr>
          <w:rFonts w:ascii="Arial" w:hAnsi="Arial" w:cs="Arial"/>
          <w:i/>
        </w:rPr>
        <w:t>Social Security Act 1991</w:t>
      </w:r>
      <w:r>
        <w:rPr>
          <w:rFonts w:ascii="Arial" w:hAnsi="Arial" w:cs="Arial"/>
        </w:rPr>
        <w:t>.</w:t>
      </w:r>
    </w:p>
    <w:p w:rsidR="006546B7" w:rsidRPr="00BC76EB" w:rsidRDefault="006546B7" w:rsidP="0024694D">
      <w:pPr>
        <w:keepNext/>
        <w:spacing w:after="120"/>
        <w:rPr>
          <w:rFonts w:ascii="Arial" w:hAnsi="Arial" w:cs="Arial"/>
          <w:b/>
          <w:szCs w:val="24"/>
        </w:rPr>
      </w:pPr>
      <w:r w:rsidRPr="00BC76EB">
        <w:rPr>
          <w:rFonts w:ascii="Arial" w:hAnsi="Arial" w:cs="Arial"/>
          <w:b/>
          <w:szCs w:val="24"/>
        </w:rPr>
        <w:t xml:space="preserve">Conclusion </w:t>
      </w:r>
    </w:p>
    <w:p w:rsidR="00C00D82" w:rsidRDefault="00C00D82" w:rsidP="0024694D">
      <w:pPr>
        <w:keepNext/>
        <w:spacing w:after="120"/>
        <w:rPr>
          <w:rFonts w:ascii="Arial" w:hAnsi="Arial" w:cs="Arial"/>
          <w:szCs w:val="24"/>
        </w:rPr>
      </w:pPr>
      <w:r>
        <w:rPr>
          <w:rFonts w:ascii="Arial" w:hAnsi="Arial" w:cs="Arial"/>
          <w:szCs w:val="24"/>
        </w:rPr>
        <w:t>The Determination is compatible with human rights as it supports a person’s right to social security.</w:t>
      </w:r>
    </w:p>
    <w:p w:rsidR="006546B7" w:rsidRPr="00BC76EB" w:rsidRDefault="006546B7" w:rsidP="00007EC3">
      <w:pPr>
        <w:keepNext/>
        <w:spacing w:before="120" w:after="120"/>
        <w:rPr>
          <w:rFonts w:ascii="Arial" w:hAnsi="Arial" w:cs="Arial"/>
          <w:szCs w:val="24"/>
        </w:rPr>
      </w:pPr>
    </w:p>
    <w:p w:rsidR="006546B7" w:rsidRPr="00BC76EB" w:rsidRDefault="006546B7" w:rsidP="00007EC3">
      <w:pPr>
        <w:keepNext/>
        <w:spacing w:before="120" w:after="120"/>
        <w:rPr>
          <w:rFonts w:ascii="Arial" w:hAnsi="Arial" w:cs="Arial"/>
          <w:szCs w:val="24"/>
        </w:rPr>
      </w:pPr>
    </w:p>
    <w:p w:rsidR="002810A5" w:rsidRPr="00BC76EB" w:rsidRDefault="00105CA3" w:rsidP="0024694D">
      <w:pPr>
        <w:keepNext/>
        <w:spacing w:before="0"/>
        <w:ind w:right="91"/>
        <w:jc w:val="center"/>
        <w:rPr>
          <w:rStyle w:val="BookTitle"/>
          <w:rFonts w:ascii="Arial" w:hAnsi="Arial" w:cs="Arial"/>
          <w:i w:val="0"/>
          <w:iCs w:val="0"/>
          <w:smallCaps w:val="0"/>
          <w:spacing w:val="0"/>
          <w:szCs w:val="24"/>
        </w:rPr>
      </w:pPr>
      <w:r w:rsidRPr="0013323A">
        <w:rPr>
          <w:rFonts w:ascii="Arial" w:hAnsi="Arial" w:cs="Arial"/>
          <w:b/>
          <w:szCs w:val="24"/>
        </w:rPr>
        <w:t>Gillian Beer</w:t>
      </w:r>
      <w:r>
        <w:rPr>
          <w:rFonts w:ascii="Arial" w:hAnsi="Arial" w:cs="Arial"/>
          <w:b/>
          <w:szCs w:val="24"/>
        </w:rPr>
        <w:t xml:space="preserve">, </w:t>
      </w:r>
      <w:r w:rsidRPr="0024694D">
        <w:rPr>
          <w:rFonts w:ascii="Arial" w:hAnsi="Arial" w:cs="Arial"/>
          <w:b/>
          <w:szCs w:val="24"/>
        </w:rPr>
        <w:t>Branch Manager, Payment Structures and Seniors Branch</w:t>
      </w:r>
      <w:r>
        <w:rPr>
          <w:rFonts w:ascii="Arial" w:hAnsi="Arial" w:cs="Arial"/>
          <w:b/>
          <w:szCs w:val="24"/>
        </w:rPr>
        <w:t xml:space="preserve">, </w:t>
      </w:r>
      <w:r w:rsidR="00007EC3">
        <w:rPr>
          <w:rFonts w:ascii="Arial" w:hAnsi="Arial" w:cs="Arial"/>
          <w:b/>
          <w:szCs w:val="24"/>
        </w:rPr>
        <w:t>Department of Social Services</w:t>
      </w:r>
      <w:bookmarkEnd w:id="1"/>
    </w:p>
    <w:sectPr w:rsidR="002810A5" w:rsidRPr="00BC76EB">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C5D284" w16cex:dateUtc="2022-09-09T04:56:00Z"/>
  <w16cex:commentExtensible w16cex:durableId="26C5DCFC" w16cex:dateUtc="2022-09-09T05:40:00Z"/>
  <w16cex:commentExtensible w16cex:durableId="26C5DE7C" w16cex:dateUtc="2022-09-09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10BE37" w16cid:durableId="26C5D284"/>
  <w16cid:commentId w16cid:paraId="64CE016B" w16cid:durableId="26C5DCFC"/>
  <w16cid:commentId w16cid:paraId="570C5A0E" w16cid:durableId="26C5DE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8F0" w:rsidRDefault="006928F0" w:rsidP="00AD1645">
      <w:pPr>
        <w:spacing w:before="0"/>
      </w:pPr>
      <w:r>
        <w:separator/>
      </w:r>
    </w:p>
  </w:endnote>
  <w:endnote w:type="continuationSeparator" w:id="0">
    <w:p w:rsidR="006928F0" w:rsidRDefault="006928F0"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8F0" w:rsidRDefault="006928F0" w:rsidP="00AD1645">
      <w:pPr>
        <w:spacing w:before="0"/>
      </w:pPr>
      <w:r>
        <w:separator/>
      </w:r>
    </w:p>
  </w:footnote>
  <w:footnote w:type="continuationSeparator" w:id="0">
    <w:p w:rsidR="006928F0" w:rsidRDefault="006928F0"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7DF"/>
    <w:multiLevelType w:val="hybridMultilevel"/>
    <w:tmpl w:val="4628D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EE02DB"/>
    <w:multiLevelType w:val="hybridMultilevel"/>
    <w:tmpl w:val="6E064B54"/>
    <w:lvl w:ilvl="0" w:tplc="423ED5AA">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0012D8"/>
    <w:multiLevelType w:val="hybridMultilevel"/>
    <w:tmpl w:val="3958316E"/>
    <w:lvl w:ilvl="0" w:tplc="0F8A60A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4B61BF"/>
    <w:multiLevelType w:val="hybridMultilevel"/>
    <w:tmpl w:val="32AA0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800E62"/>
    <w:multiLevelType w:val="hybridMultilevel"/>
    <w:tmpl w:val="F174A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DE0D42"/>
    <w:multiLevelType w:val="multilevel"/>
    <w:tmpl w:val="A53E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861883"/>
    <w:multiLevelType w:val="hybridMultilevel"/>
    <w:tmpl w:val="3932B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731071"/>
    <w:multiLevelType w:val="hybridMultilevel"/>
    <w:tmpl w:val="00ECC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BF5520"/>
    <w:multiLevelType w:val="hybridMultilevel"/>
    <w:tmpl w:val="D682D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2"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E37958"/>
    <w:multiLevelType w:val="hybridMultilevel"/>
    <w:tmpl w:val="CCC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DF7577"/>
    <w:multiLevelType w:val="hybridMultilevel"/>
    <w:tmpl w:val="3FE0C110"/>
    <w:lvl w:ilvl="0" w:tplc="E85817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4"/>
  </w:num>
  <w:num w:numId="4">
    <w:abstractNumId w:val="19"/>
  </w:num>
  <w:num w:numId="5">
    <w:abstractNumId w:val="17"/>
  </w:num>
  <w:num w:numId="6">
    <w:abstractNumId w:val="3"/>
  </w:num>
  <w:num w:numId="7">
    <w:abstractNumId w:val="13"/>
  </w:num>
  <w:num w:numId="8">
    <w:abstractNumId w:val="21"/>
  </w:num>
  <w:num w:numId="9">
    <w:abstractNumId w:val="10"/>
  </w:num>
  <w:num w:numId="10">
    <w:abstractNumId w:val="22"/>
  </w:num>
  <w:num w:numId="11">
    <w:abstractNumId w:val="4"/>
  </w:num>
  <w:num w:numId="12">
    <w:abstractNumId w:val="7"/>
  </w:num>
  <w:num w:numId="13">
    <w:abstractNumId w:val="1"/>
  </w:num>
  <w:num w:numId="14">
    <w:abstractNumId w:val="11"/>
  </w:num>
  <w:num w:numId="15">
    <w:abstractNumId w:val="9"/>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5"/>
  </w:num>
  <w:num w:numId="19">
    <w:abstractNumId w:val="12"/>
  </w:num>
  <w:num w:numId="20">
    <w:abstractNumId w:val="0"/>
  </w:num>
  <w:num w:numId="21">
    <w:abstractNumId w:val="8"/>
  </w:num>
  <w:num w:numId="22">
    <w:abstractNumId w:val="24"/>
  </w:num>
  <w:num w:numId="23">
    <w:abstractNumId w:val="18"/>
  </w:num>
  <w:num w:numId="24">
    <w:abstractNumId w:val="2"/>
  </w:num>
  <w:num w:numId="25">
    <w:abstractNumId w:val="20"/>
  </w:num>
  <w:num w:numId="26">
    <w:abstractNumId w:val="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5851"/>
    <w:rsid w:val="0000668E"/>
    <w:rsid w:val="00007EC3"/>
    <w:rsid w:val="00021ED2"/>
    <w:rsid w:val="000236EA"/>
    <w:rsid w:val="00030B79"/>
    <w:rsid w:val="00031D0B"/>
    <w:rsid w:val="00043B6D"/>
    <w:rsid w:val="0004440A"/>
    <w:rsid w:val="00045BF2"/>
    <w:rsid w:val="00051C3F"/>
    <w:rsid w:val="000528C6"/>
    <w:rsid w:val="000530C4"/>
    <w:rsid w:val="000575B2"/>
    <w:rsid w:val="000660A6"/>
    <w:rsid w:val="0006693F"/>
    <w:rsid w:val="00066DAE"/>
    <w:rsid w:val="00067233"/>
    <w:rsid w:val="00074C1A"/>
    <w:rsid w:val="000760DC"/>
    <w:rsid w:val="000844AF"/>
    <w:rsid w:val="00084B46"/>
    <w:rsid w:val="00085730"/>
    <w:rsid w:val="00096B8D"/>
    <w:rsid w:val="000A3595"/>
    <w:rsid w:val="000A6204"/>
    <w:rsid w:val="000A772F"/>
    <w:rsid w:val="000B4130"/>
    <w:rsid w:val="000C2DDB"/>
    <w:rsid w:val="000C5204"/>
    <w:rsid w:val="000D365F"/>
    <w:rsid w:val="000D44A6"/>
    <w:rsid w:val="000E02A0"/>
    <w:rsid w:val="000E0A1D"/>
    <w:rsid w:val="000E3915"/>
    <w:rsid w:val="000F2861"/>
    <w:rsid w:val="00105CA3"/>
    <w:rsid w:val="0011719D"/>
    <w:rsid w:val="00123029"/>
    <w:rsid w:val="001249D6"/>
    <w:rsid w:val="00126429"/>
    <w:rsid w:val="001310C6"/>
    <w:rsid w:val="0013323A"/>
    <w:rsid w:val="00140359"/>
    <w:rsid w:val="001502F9"/>
    <w:rsid w:val="0015134A"/>
    <w:rsid w:val="00152472"/>
    <w:rsid w:val="00163809"/>
    <w:rsid w:val="0016653C"/>
    <w:rsid w:val="00167D0F"/>
    <w:rsid w:val="00170D96"/>
    <w:rsid w:val="00175BC6"/>
    <w:rsid w:val="0018392F"/>
    <w:rsid w:val="00191AEC"/>
    <w:rsid w:val="001920F3"/>
    <w:rsid w:val="001A0433"/>
    <w:rsid w:val="001A6EB5"/>
    <w:rsid w:val="001A737C"/>
    <w:rsid w:val="001B4005"/>
    <w:rsid w:val="001B5379"/>
    <w:rsid w:val="001B6F43"/>
    <w:rsid w:val="001C64F9"/>
    <w:rsid w:val="001C699E"/>
    <w:rsid w:val="001D1299"/>
    <w:rsid w:val="001D4BEE"/>
    <w:rsid w:val="001D69AF"/>
    <w:rsid w:val="001E5B72"/>
    <w:rsid w:val="001E5D12"/>
    <w:rsid w:val="001E630D"/>
    <w:rsid w:val="001E7422"/>
    <w:rsid w:val="001F4805"/>
    <w:rsid w:val="001F4C51"/>
    <w:rsid w:val="001F4E3C"/>
    <w:rsid w:val="00214BE8"/>
    <w:rsid w:val="002154EE"/>
    <w:rsid w:val="00224887"/>
    <w:rsid w:val="002329E1"/>
    <w:rsid w:val="002334D9"/>
    <w:rsid w:val="00234F9E"/>
    <w:rsid w:val="0024227E"/>
    <w:rsid w:val="0024465E"/>
    <w:rsid w:val="0024694D"/>
    <w:rsid w:val="0024760C"/>
    <w:rsid w:val="002512D5"/>
    <w:rsid w:val="002533F0"/>
    <w:rsid w:val="002642C7"/>
    <w:rsid w:val="00264C31"/>
    <w:rsid w:val="00265EA8"/>
    <w:rsid w:val="002741BD"/>
    <w:rsid w:val="00274CAF"/>
    <w:rsid w:val="00276D06"/>
    <w:rsid w:val="00276F09"/>
    <w:rsid w:val="002810A5"/>
    <w:rsid w:val="00281ABB"/>
    <w:rsid w:val="00283079"/>
    <w:rsid w:val="00285926"/>
    <w:rsid w:val="002865E4"/>
    <w:rsid w:val="002926E3"/>
    <w:rsid w:val="00293277"/>
    <w:rsid w:val="002A0E63"/>
    <w:rsid w:val="002A1F38"/>
    <w:rsid w:val="002A2A71"/>
    <w:rsid w:val="002A523B"/>
    <w:rsid w:val="002A5BDB"/>
    <w:rsid w:val="002A6007"/>
    <w:rsid w:val="002A63EA"/>
    <w:rsid w:val="002B0175"/>
    <w:rsid w:val="002B5019"/>
    <w:rsid w:val="002B7467"/>
    <w:rsid w:val="002C0F57"/>
    <w:rsid w:val="002C1403"/>
    <w:rsid w:val="002C1938"/>
    <w:rsid w:val="002C2252"/>
    <w:rsid w:val="002C6177"/>
    <w:rsid w:val="002D03F0"/>
    <w:rsid w:val="002D0F1C"/>
    <w:rsid w:val="002D1B54"/>
    <w:rsid w:val="002D35D8"/>
    <w:rsid w:val="002D4522"/>
    <w:rsid w:val="002D5AD5"/>
    <w:rsid w:val="002E0BB1"/>
    <w:rsid w:val="002E45E2"/>
    <w:rsid w:val="002F0EB1"/>
    <w:rsid w:val="002F14D4"/>
    <w:rsid w:val="002F59A5"/>
    <w:rsid w:val="00300D8B"/>
    <w:rsid w:val="00302555"/>
    <w:rsid w:val="00303B44"/>
    <w:rsid w:val="003043ED"/>
    <w:rsid w:val="003119FD"/>
    <w:rsid w:val="003303F6"/>
    <w:rsid w:val="00330BDA"/>
    <w:rsid w:val="003323D0"/>
    <w:rsid w:val="00333A9C"/>
    <w:rsid w:val="00334F9D"/>
    <w:rsid w:val="00337065"/>
    <w:rsid w:val="00340699"/>
    <w:rsid w:val="003430FC"/>
    <w:rsid w:val="003434E2"/>
    <w:rsid w:val="00345FFE"/>
    <w:rsid w:val="00346A79"/>
    <w:rsid w:val="00351E79"/>
    <w:rsid w:val="0035378F"/>
    <w:rsid w:val="003606C5"/>
    <w:rsid w:val="00365424"/>
    <w:rsid w:val="00366264"/>
    <w:rsid w:val="00370E35"/>
    <w:rsid w:val="00374620"/>
    <w:rsid w:val="00374A77"/>
    <w:rsid w:val="003779D7"/>
    <w:rsid w:val="00380666"/>
    <w:rsid w:val="0038556C"/>
    <w:rsid w:val="0038574F"/>
    <w:rsid w:val="00385DD4"/>
    <w:rsid w:val="00387D89"/>
    <w:rsid w:val="00392EB6"/>
    <w:rsid w:val="00393D4E"/>
    <w:rsid w:val="00394743"/>
    <w:rsid w:val="003A04AD"/>
    <w:rsid w:val="003A7661"/>
    <w:rsid w:val="003B2BB8"/>
    <w:rsid w:val="003B335D"/>
    <w:rsid w:val="003B44E1"/>
    <w:rsid w:val="003C3368"/>
    <w:rsid w:val="003C3A25"/>
    <w:rsid w:val="003C448C"/>
    <w:rsid w:val="003C54B6"/>
    <w:rsid w:val="003D34FF"/>
    <w:rsid w:val="003D3931"/>
    <w:rsid w:val="003D71F6"/>
    <w:rsid w:val="003E1784"/>
    <w:rsid w:val="003F0D68"/>
    <w:rsid w:val="003F0FD9"/>
    <w:rsid w:val="003F2630"/>
    <w:rsid w:val="003F66C9"/>
    <w:rsid w:val="00400273"/>
    <w:rsid w:val="00415554"/>
    <w:rsid w:val="004167BC"/>
    <w:rsid w:val="00417C14"/>
    <w:rsid w:val="00420387"/>
    <w:rsid w:val="0042132E"/>
    <w:rsid w:val="004331ED"/>
    <w:rsid w:val="00441F03"/>
    <w:rsid w:val="00446D6C"/>
    <w:rsid w:val="0045240C"/>
    <w:rsid w:val="0045242A"/>
    <w:rsid w:val="00453FC9"/>
    <w:rsid w:val="00454405"/>
    <w:rsid w:val="00456FBD"/>
    <w:rsid w:val="00457792"/>
    <w:rsid w:val="0046435D"/>
    <w:rsid w:val="004646E1"/>
    <w:rsid w:val="00470C3D"/>
    <w:rsid w:val="004726FF"/>
    <w:rsid w:val="004800E6"/>
    <w:rsid w:val="004814F1"/>
    <w:rsid w:val="00482411"/>
    <w:rsid w:val="00490474"/>
    <w:rsid w:val="00490A18"/>
    <w:rsid w:val="004956ED"/>
    <w:rsid w:val="0049646F"/>
    <w:rsid w:val="00497768"/>
    <w:rsid w:val="004A0C19"/>
    <w:rsid w:val="004A126A"/>
    <w:rsid w:val="004A24AF"/>
    <w:rsid w:val="004A593B"/>
    <w:rsid w:val="004B3147"/>
    <w:rsid w:val="004B31DD"/>
    <w:rsid w:val="004B54CA"/>
    <w:rsid w:val="004C163F"/>
    <w:rsid w:val="004C3836"/>
    <w:rsid w:val="004D336A"/>
    <w:rsid w:val="004D631B"/>
    <w:rsid w:val="004E3A61"/>
    <w:rsid w:val="004E5CBF"/>
    <w:rsid w:val="004F1CD0"/>
    <w:rsid w:val="004F264A"/>
    <w:rsid w:val="004F29D1"/>
    <w:rsid w:val="004F345E"/>
    <w:rsid w:val="004F5308"/>
    <w:rsid w:val="004F69ED"/>
    <w:rsid w:val="00511520"/>
    <w:rsid w:val="00523DE8"/>
    <w:rsid w:val="0052654C"/>
    <w:rsid w:val="00527238"/>
    <w:rsid w:val="005332C8"/>
    <w:rsid w:val="00536060"/>
    <w:rsid w:val="00536200"/>
    <w:rsid w:val="00540BD8"/>
    <w:rsid w:val="00546EFB"/>
    <w:rsid w:val="00553E24"/>
    <w:rsid w:val="0055503B"/>
    <w:rsid w:val="00556EAD"/>
    <w:rsid w:val="00562CBC"/>
    <w:rsid w:val="00566538"/>
    <w:rsid w:val="00566BF6"/>
    <w:rsid w:val="00570884"/>
    <w:rsid w:val="00575C7D"/>
    <w:rsid w:val="00576330"/>
    <w:rsid w:val="0057641C"/>
    <w:rsid w:val="005766D2"/>
    <w:rsid w:val="005820F4"/>
    <w:rsid w:val="00591D1A"/>
    <w:rsid w:val="005940E4"/>
    <w:rsid w:val="00594251"/>
    <w:rsid w:val="005948D1"/>
    <w:rsid w:val="005B6A7C"/>
    <w:rsid w:val="005B6C3D"/>
    <w:rsid w:val="005C390A"/>
    <w:rsid w:val="005C3AA9"/>
    <w:rsid w:val="005C54B4"/>
    <w:rsid w:val="005C78B2"/>
    <w:rsid w:val="005D1C89"/>
    <w:rsid w:val="005D7F81"/>
    <w:rsid w:val="005E4167"/>
    <w:rsid w:val="005E4362"/>
    <w:rsid w:val="005E4607"/>
    <w:rsid w:val="005E7B26"/>
    <w:rsid w:val="005F41C9"/>
    <w:rsid w:val="005F5E17"/>
    <w:rsid w:val="0060476C"/>
    <w:rsid w:val="00605063"/>
    <w:rsid w:val="006055C6"/>
    <w:rsid w:val="00610BCE"/>
    <w:rsid w:val="006114DA"/>
    <w:rsid w:val="00614C63"/>
    <w:rsid w:val="00620404"/>
    <w:rsid w:val="00622668"/>
    <w:rsid w:val="00622B71"/>
    <w:rsid w:val="00622D63"/>
    <w:rsid w:val="00624E34"/>
    <w:rsid w:val="00632393"/>
    <w:rsid w:val="00632F44"/>
    <w:rsid w:val="006376E0"/>
    <w:rsid w:val="006402A6"/>
    <w:rsid w:val="006407D3"/>
    <w:rsid w:val="0064167D"/>
    <w:rsid w:val="00650B9C"/>
    <w:rsid w:val="00650C1C"/>
    <w:rsid w:val="00651A55"/>
    <w:rsid w:val="006546B7"/>
    <w:rsid w:val="00656F1B"/>
    <w:rsid w:val="006625A2"/>
    <w:rsid w:val="006643AB"/>
    <w:rsid w:val="0067070B"/>
    <w:rsid w:val="00674470"/>
    <w:rsid w:val="00681C7F"/>
    <w:rsid w:val="00683FF5"/>
    <w:rsid w:val="00687351"/>
    <w:rsid w:val="006874A8"/>
    <w:rsid w:val="006928F0"/>
    <w:rsid w:val="006972CC"/>
    <w:rsid w:val="006A1F70"/>
    <w:rsid w:val="006A4CE7"/>
    <w:rsid w:val="006A5D55"/>
    <w:rsid w:val="006A6D51"/>
    <w:rsid w:val="006B2583"/>
    <w:rsid w:val="006B5A6B"/>
    <w:rsid w:val="006C5E5E"/>
    <w:rsid w:val="006D7E0F"/>
    <w:rsid w:val="006E0F32"/>
    <w:rsid w:val="006E1B19"/>
    <w:rsid w:val="006E1D88"/>
    <w:rsid w:val="006E479F"/>
    <w:rsid w:val="006F0769"/>
    <w:rsid w:val="006F536B"/>
    <w:rsid w:val="006F7AC4"/>
    <w:rsid w:val="00701486"/>
    <w:rsid w:val="007076A5"/>
    <w:rsid w:val="00707A09"/>
    <w:rsid w:val="007153C4"/>
    <w:rsid w:val="00716B0D"/>
    <w:rsid w:val="00720E42"/>
    <w:rsid w:val="007241C4"/>
    <w:rsid w:val="00731766"/>
    <w:rsid w:val="00732E65"/>
    <w:rsid w:val="0073766B"/>
    <w:rsid w:val="007434B1"/>
    <w:rsid w:val="007518F4"/>
    <w:rsid w:val="007627F1"/>
    <w:rsid w:val="00762A05"/>
    <w:rsid w:val="0076503A"/>
    <w:rsid w:val="00771003"/>
    <w:rsid w:val="0077461F"/>
    <w:rsid w:val="0078126B"/>
    <w:rsid w:val="00785261"/>
    <w:rsid w:val="007907A8"/>
    <w:rsid w:val="007938F3"/>
    <w:rsid w:val="0079557B"/>
    <w:rsid w:val="007A53DD"/>
    <w:rsid w:val="007B0256"/>
    <w:rsid w:val="007B156B"/>
    <w:rsid w:val="007B69DD"/>
    <w:rsid w:val="007C4060"/>
    <w:rsid w:val="007C5234"/>
    <w:rsid w:val="007C5C50"/>
    <w:rsid w:val="007D6273"/>
    <w:rsid w:val="007E4FAD"/>
    <w:rsid w:val="007F2B41"/>
    <w:rsid w:val="007F44F6"/>
    <w:rsid w:val="00807CD7"/>
    <w:rsid w:val="008151FE"/>
    <w:rsid w:val="00816CFA"/>
    <w:rsid w:val="00825C13"/>
    <w:rsid w:val="00827E89"/>
    <w:rsid w:val="0083135C"/>
    <w:rsid w:val="00832BD5"/>
    <w:rsid w:val="008402D9"/>
    <w:rsid w:val="00841C22"/>
    <w:rsid w:val="00860BE9"/>
    <w:rsid w:val="00864716"/>
    <w:rsid w:val="008669B7"/>
    <w:rsid w:val="008707FE"/>
    <w:rsid w:val="00871F28"/>
    <w:rsid w:val="008761FF"/>
    <w:rsid w:val="00880652"/>
    <w:rsid w:val="00880A48"/>
    <w:rsid w:val="00880E92"/>
    <w:rsid w:val="008829D0"/>
    <w:rsid w:val="0088633E"/>
    <w:rsid w:val="008954BF"/>
    <w:rsid w:val="00896466"/>
    <w:rsid w:val="008B026E"/>
    <w:rsid w:val="008B1AA5"/>
    <w:rsid w:val="008B4CF1"/>
    <w:rsid w:val="008C0759"/>
    <w:rsid w:val="008C0839"/>
    <w:rsid w:val="008C3982"/>
    <w:rsid w:val="008C5A9D"/>
    <w:rsid w:val="008D14F6"/>
    <w:rsid w:val="008D2D41"/>
    <w:rsid w:val="008D2FC2"/>
    <w:rsid w:val="008D59CA"/>
    <w:rsid w:val="008D5B2E"/>
    <w:rsid w:val="008D68B6"/>
    <w:rsid w:val="008D7A97"/>
    <w:rsid w:val="008E1D0E"/>
    <w:rsid w:val="008E320A"/>
    <w:rsid w:val="008F5702"/>
    <w:rsid w:val="0090001F"/>
    <w:rsid w:val="0090021C"/>
    <w:rsid w:val="00902B2E"/>
    <w:rsid w:val="0090702B"/>
    <w:rsid w:val="00907AEC"/>
    <w:rsid w:val="009140F6"/>
    <w:rsid w:val="00915A96"/>
    <w:rsid w:val="00920788"/>
    <w:rsid w:val="009225F0"/>
    <w:rsid w:val="00925633"/>
    <w:rsid w:val="00925E41"/>
    <w:rsid w:val="009301B1"/>
    <w:rsid w:val="00930624"/>
    <w:rsid w:val="00932E80"/>
    <w:rsid w:val="009332B3"/>
    <w:rsid w:val="00933701"/>
    <w:rsid w:val="00935A03"/>
    <w:rsid w:val="00936454"/>
    <w:rsid w:val="009426E4"/>
    <w:rsid w:val="00946730"/>
    <w:rsid w:val="00946E6D"/>
    <w:rsid w:val="00950ACB"/>
    <w:rsid w:val="0095196E"/>
    <w:rsid w:val="00956519"/>
    <w:rsid w:val="00966756"/>
    <w:rsid w:val="00966F79"/>
    <w:rsid w:val="00970C88"/>
    <w:rsid w:val="009759FC"/>
    <w:rsid w:val="0097752E"/>
    <w:rsid w:val="00985038"/>
    <w:rsid w:val="00990936"/>
    <w:rsid w:val="0099649B"/>
    <w:rsid w:val="009A3377"/>
    <w:rsid w:val="009A4EAB"/>
    <w:rsid w:val="009A5D3E"/>
    <w:rsid w:val="009B4E0E"/>
    <w:rsid w:val="009B71A9"/>
    <w:rsid w:val="009C07CD"/>
    <w:rsid w:val="009C63A9"/>
    <w:rsid w:val="009C63B6"/>
    <w:rsid w:val="009D0B79"/>
    <w:rsid w:val="009D1BE5"/>
    <w:rsid w:val="009D7C5B"/>
    <w:rsid w:val="009F3A8A"/>
    <w:rsid w:val="009F3C43"/>
    <w:rsid w:val="00A06B72"/>
    <w:rsid w:val="00A22E25"/>
    <w:rsid w:val="00A27E85"/>
    <w:rsid w:val="00A366F3"/>
    <w:rsid w:val="00A375D4"/>
    <w:rsid w:val="00A37984"/>
    <w:rsid w:val="00A41491"/>
    <w:rsid w:val="00A42690"/>
    <w:rsid w:val="00A4606E"/>
    <w:rsid w:val="00A4616D"/>
    <w:rsid w:val="00A6045B"/>
    <w:rsid w:val="00A622A9"/>
    <w:rsid w:val="00A63D74"/>
    <w:rsid w:val="00A66DD0"/>
    <w:rsid w:val="00A719D2"/>
    <w:rsid w:val="00A763EC"/>
    <w:rsid w:val="00A84A51"/>
    <w:rsid w:val="00A8767B"/>
    <w:rsid w:val="00A94C22"/>
    <w:rsid w:val="00AA0964"/>
    <w:rsid w:val="00AA0F80"/>
    <w:rsid w:val="00AA37AC"/>
    <w:rsid w:val="00AA45C6"/>
    <w:rsid w:val="00AA51E7"/>
    <w:rsid w:val="00AA6D2B"/>
    <w:rsid w:val="00AB7356"/>
    <w:rsid w:val="00AC271F"/>
    <w:rsid w:val="00AC635D"/>
    <w:rsid w:val="00AD0379"/>
    <w:rsid w:val="00AD1347"/>
    <w:rsid w:val="00AD1645"/>
    <w:rsid w:val="00AD69FE"/>
    <w:rsid w:val="00AE11F6"/>
    <w:rsid w:val="00AE3176"/>
    <w:rsid w:val="00AF0E6A"/>
    <w:rsid w:val="00AF3BCE"/>
    <w:rsid w:val="00B01538"/>
    <w:rsid w:val="00B04EB0"/>
    <w:rsid w:val="00B11683"/>
    <w:rsid w:val="00B12D23"/>
    <w:rsid w:val="00B261D5"/>
    <w:rsid w:val="00B261D9"/>
    <w:rsid w:val="00B33E33"/>
    <w:rsid w:val="00B376E6"/>
    <w:rsid w:val="00B52652"/>
    <w:rsid w:val="00B52B87"/>
    <w:rsid w:val="00B54C30"/>
    <w:rsid w:val="00B56A92"/>
    <w:rsid w:val="00B57278"/>
    <w:rsid w:val="00B6472A"/>
    <w:rsid w:val="00B73680"/>
    <w:rsid w:val="00B74531"/>
    <w:rsid w:val="00B7723F"/>
    <w:rsid w:val="00B777D9"/>
    <w:rsid w:val="00B81757"/>
    <w:rsid w:val="00B821A0"/>
    <w:rsid w:val="00B92C11"/>
    <w:rsid w:val="00B9485F"/>
    <w:rsid w:val="00BA0202"/>
    <w:rsid w:val="00BA0569"/>
    <w:rsid w:val="00BA2DB9"/>
    <w:rsid w:val="00BB0D37"/>
    <w:rsid w:val="00BB1213"/>
    <w:rsid w:val="00BC35F6"/>
    <w:rsid w:val="00BC63BE"/>
    <w:rsid w:val="00BC72C5"/>
    <w:rsid w:val="00BC76EB"/>
    <w:rsid w:val="00BD2351"/>
    <w:rsid w:val="00BD25AE"/>
    <w:rsid w:val="00BD7E9D"/>
    <w:rsid w:val="00BE56A0"/>
    <w:rsid w:val="00BE66E1"/>
    <w:rsid w:val="00BE7148"/>
    <w:rsid w:val="00BF2FB3"/>
    <w:rsid w:val="00C00D82"/>
    <w:rsid w:val="00C01AFD"/>
    <w:rsid w:val="00C06E47"/>
    <w:rsid w:val="00C13D98"/>
    <w:rsid w:val="00C21C68"/>
    <w:rsid w:val="00C24167"/>
    <w:rsid w:val="00C2733D"/>
    <w:rsid w:val="00C31B32"/>
    <w:rsid w:val="00C3204C"/>
    <w:rsid w:val="00C3470C"/>
    <w:rsid w:val="00C374B8"/>
    <w:rsid w:val="00C37944"/>
    <w:rsid w:val="00C37BA8"/>
    <w:rsid w:val="00C40F3B"/>
    <w:rsid w:val="00C4511C"/>
    <w:rsid w:val="00C455A2"/>
    <w:rsid w:val="00C474E1"/>
    <w:rsid w:val="00C51BFC"/>
    <w:rsid w:val="00C559BF"/>
    <w:rsid w:val="00C60509"/>
    <w:rsid w:val="00C65BCB"/>
    <w:rsid w:val="00C66CFA"/>
    <w:rsid w:val="00C7238E"/>
    <w:rsid w:val="00C77B41"/>
    <w:rsid w:val="00C82E7A"/>
    <w:rsid w:val="00C96E58"/>
    <w:rsid w:val="00CA33B2"/>
    <w:rsid w:val="00CA3D78"/>
    <w:rsid w:val="00CA43C4"/>
    <w:rsid w:val="00CA6F15"/>
    <w:rsid w:val="00CB344C"/>
    <w:rsid w:val="00CB42CE"/>
    <w:rsid w:val="00CB58F9"/>
    <w:rsid w:val="00CB6EB6"/>
    <w:rsid w:val="00CC4CB0"/>
    <w:rsid w:val="00CC7EC4"/>
    <w:rsid w:val="00CD0DDB"/>
    <w:rsid w:val="00CD4536"/>
    <w:rsid w:val="00CE1802"/>
    <w:rsid w:val="00CE6CC4"/>
    <w:rsid w:val="00CF0527"/>
    <w:rsid w:val="00CF1373"/>
    <w:rsid w:val="00CF1F7E"/>
    <w:rsid w:val="00D01DEA"/>
    <w:rsid w:val="00D07FF5"/>
    <w:rsid w:val="00D1638C"/>
    <w:rsid w:val="00D1706F"/>
    <w:rsid w:val="00D2075E"/>
    <w:rsid w:val="00D21C7A"/>
    <w:rsid w:val="00D21D83"/>
    <w:rsid w:val="00D23073"/>
    <w:rsid w:val="00D243C5"/>
    <w:rsid w:val="00D3071D"/>
    <w:rsid w:val="00D31C51"/>
    <w:rsid w:val="00D367AA"/>
    <w:rsid w:val="00D37C2C"/>
    <w:rsid w:val="00D459E0"/>
    <w:rsid w:val="00D45D74"/>
    <w:rsid w:val="00D47A97"/>
    <w:rsid w:val="00D520A1"/>
    <w:rsid w:val="00D535FA"/>
    <w:rsid w:val="00D57DC5"/>
    <w:rsid w:val="00D61C4B"/>
    <w:rsid w:val="00D708CA"/>
    <w:rsid w:val="00D72F4B"/>
    <w:rsid w:val="00D80A0E"/>
    <w:rsid w:val="00D849AE"/>
    <w:rsid w:val="00D853AE"/>
    <w:rsid w:val="00DB2E31"/>
    <w:rsid w:val="00DB6E7A"/>
    <w:rsid w:val="00DC341C"/>
    <w:rsid w:val="00DC765C"/>
    <w:rsid w:val="00DD3BC1"/>
    <w:rsid w:val="00DD5DAC"/>
    <w:rsid w:val="00DD7A24"/>
    <w:rsid w:val="00DE0717"/>
    <w:rsid w:val="00DE3A1F"/>
    <w:rsid w:val="00E01E71"/>
    <w:rsid w:val="00E027AF"/>
    <w:rsid w:val="00E030D3"/>
    <w:rsid w:val="00E03C09"/>
    <w:rsid w:val="00E053BA"/>
    <w:rsid w:val="00E15CFF"/>
    <w:rsid w:val="00E230ED"/>
    <w:rsid w:val="00E23C53"/>
    <w:rsid w:val="00E313E7"/>
    <w:rsid w:val="00E32139"/>
    <w:rsid w:val="00E44FD4"/>
    <w:rsid w:val="00E55AC8"/>
    <w:rsid w:val="00E630AD"/>
    <w:rsid w:val="00E64591"/>
    <w:rsid w:val="00E708B1"/>
    <w:rsid w:val="00E72DC6"/>
    <w:rsid w:val="00E745BB"/>
    <w:rsid w:val="00E75579"/>
    <w:rsid w:val="00E7675B"/>
    <w:rsid w:val="00E77A27"/>
    <w:rsid w:val="00E77D25"/>
    <w:rsid w:val="00E87016"/>
    <w:rsid w:val="00E907A4"/>
    <w:rsid w:val="00E9213D"/>
    <w:rsid w:val="00E966FA"/>
    <w:rsid w:val="00E96E18"/>
    <w:rsid w:val="00E9738E"/>
    <w:rsid w:val="00EA11A3"/>
    <w:rsid w:val="00EA16F9"/>
    <w:rsid w:val="00EA1DC0"/>
    <w:rsid w:val="00EA2DDC"/>
    <w:rsid w:val="00EA3666"/>
    <w:rsid w:val="00EA677D"/>
    <w:rsid w:val="00EA6829"/>
    <w:rsid w:val="00EA76C2"/>
    <w:rsid w:val="00EB17E7"/>
    <w:rsid w:val="00EB51BC"/>
    <w:rsid w:val="00EC0C59"/>
    <w:rsid w:val="00EC0DE0"/>
    <w:rsid w:val="00EC1386"/>
    <w:rsid w:val="00EC25F5"/>
    <w:rsid w:val="00EC47F6"/>
    <w:rsid w:val="00ED1D5E"/>
    <w:rsid w:val="00ED6613"/>
    <w:rsid w:val="00ED78FC"/>
    <w:rsid w:val="00ED7B96"/>
    <w:rsid w:val="00EE0F91"/>
    <w:rsid w:val="00EE2764"/>
    <w:rsid w:val="00EE36FB"/>
    <w:rsid w:val="00EE3A56"/>
    <w:rsid w:val="00EF183B"/>
    <w:rsid w:val="00EF54F0"/>
    <w:rsid w:val="00EF71BF"/>
    <w:rsid w:val="00F0576D"/>
    <w:rsid w:val="00F0733A"/>
    <w:rsid w:val="00F0760F"/>
    <w:rsid w:val="00F10791"/>
    <w:rsid w:val="00F108ED"/>
    <w:rsid w:val="00F227A4"/>
    <w:rsid w:val="00F31BA3"/>
    <w:rsid w:val="00F328DA"/>
    <w:rsid w:val="00F35271"/>
    <w:rsid w:val="00F35580"/>
    <w:rsid w:val="00F36BC2"/>
    <w:rsid w:val="00F42552"/>
    <w:rsid w:val="00F437AF"/>
    <w:rsid w:val="00F4703D"/>
    <w:rsid w:val="00F502A9"/>
    <w:rsid w:val="00F52853"/>
    <w:rsid w:val="00F61A88"/>
    <w:rsid w:val="00F61E62"/>
    <w:rsid w:val="00F71188"/>
    <w:rsid w:val="00F7404A"/>
    <w:rsid w:val="00F754A3"/>
    <w:rsid w:val="00F80BFD"/>
    <w:rsid w:val="00F866CE"/>
    <w:rsid w:val="00F871C3"/>
    <w:rsid w:val="00F925B9"/>
    <w:rsid w:val="00FA0FA0"/>
    <w:rsid w:val="00FA6F53"/>
    <w:rsid w:val="00FA7196"/>
    <w:rsid w:val="00FB030F"/>
    <w:rsid w:val="00FB13DA"/>
    <w:rsid w:val="00FB7BE3"/>
    <w:rsid w:val="00FD2F20"/>
    <w:rsid w:val="00FD368E"/>
    <w:rsid w:val="00FD4954"/>
    <w:rsid w:val="00FD51C6"/>
    <w:rsid w:val="00FD6BF4"/>
    <w:rsid w:val="00FD7A80"/>
    <w:rsid w:val="00FE2339"/>
    <w:rsid w:val="00FE5C69"/>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3C6395B-EC5F-4841-89EE-5D33C3EA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styleId="Revision">
    <w:name w:val="Revision"/>
    <w:hidden/>
    <w:uiPriority w:val="99"/>
    <w:semiHidden/>
    <w:rsid w:val="00EF71BF"/>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57859">
      <w:bodyDiv w:val="1"/>
      <w:marLeft w:val="0"/>
      <w:marRight w:val="0"/>
      <w:marTop w:val="0"/>
      <w:marBottom w:val="0"/>
      <w:divBdr>
        <w:top w:val="none" w:sz="0" w:space="0" w:color="auto"/>
        <w:left w:val="none" w:sz="0" w:space="0" w:color="auto"/>
        <w:bottom w:val="none" w:sz="0" w:space="0" w:color="auto"/>
        <w:right w:val="none" w:sz="0" w:space="0" w:color="auto"/>
      </w:divBdr>
      <w:divsChild>
        <w:div w:id="1161191611">
          <w:marLeft w:val="0"/>
          <w:marRight w:val="0"/>
          <w:marTop w:val="0"/>
          <w:marBottom w:val="0"/>
          <w:divBdr>
            <w:top w:val="none" w:sz="0" w:space="0" w:color="auto"/>
            <w:left w:val="none" w:sz="0" w:space="0" w:color="auto"/>
            <w:bottom w:val="none" w:sz="0" w:space="0" w:color="auto"/>
            <w:right w:val="none" w:sz="0" w:space="0" w:color="auto"/>
          </w:divBdr>
        </w:div>
      </w:divsChild>
    </w:div>
    <w:div w:id="501317028">
      <w:bodyDiv w:val="1"/>
      <w:marLeft w:val="0"/>
      <w:marRight w:val="0"/>
      <w:marTop w:val="0"/>
      <w:marBottom w:val="0"/>
      <w:divBdr>
        <w:top w:val="none" w:sz="0" w:space="0" w:color="auto"/>
        <w:left w:val="none" w:sz="0" w:space="0" w:color="auto"/>
        <w:bottom w:val="none" w:sz="0" w:space="0" w:color="auto"/>
        <w:right w:val="none" w:sz="0" w:space="0" w:color="auto"/>
      </w:divBdr>
    </w:div>
    <w:div w:id="589824366">
      <w:bodyDiv w:val="1"/>
      <w:marLeft w:val="0"/>
      <w:marRight w:val="0"/>
      <w:marTop w:val="0"/>
      <w:marBottom w:val="0"/>
      <w:divBdr>
        <w:top w:val="none" w:sz="0" w:space="0" w:color="auto"/>
        <w:left w:val="none" w:sz="0" w:space="0" w:color="auto"/>
        <w:bottom w:val="none" w:sz="0" w:space="0" w:color="auto"/>
        <w:right w:val="none" w:sz="0" w:space="0" w:color="auto"/>
      </w:divBdr>
      <w:divsChild>
        <w:div w:id="1874532471">
          <w:marLeft w:val="0"/>
          <w:marRight w:val="0"/>
          <w:marTop w:val="0"/>
          <w:marBottom w:val="0"/>
          <w:divBdr>
            <w:top w:val="none" w:sz="0" w:space="0" w:color="auto"/>
            <w:left w:val="none" w:sz="0" w:space="0" w:color="auto"/>
            <w:bottom w:val="none" w:sz="0" w:space="0" w:color="auto"/>
            <w:right w:val="none" w:sz="0" w:space="0" w:color="auto"/>
          </w:divBdr>
          <w:divsChild>
            <w:div w:id="1395153522">
              <w:marLeft w:val="0"/>
              <w:marRight w:val="0"/>
              <w:marTop w:val="0"/>
              <w:marBottom w:val="0"/>
              <w:divBdr>
                <w:top w:val="none" w:sz="0" w:space="0" w:color="auto"/>
                <w:left w:val="none" w:sz="0" w:space="0" w:color="auto"/>
                <w:bottom w:val="none" w:sz="0" w:space="0" w:color="auto"/>
                <w:right w:val="none" w:sz="0" w:space="0" w:color="auto"/>
              </w:divBdr>
              <w:divsChild>
                <w:div w:id="1532455929">
                  <w:marLeft w:val="0"/>
                  <w:marRight w:val="0"/>
                  <w:marTop w:val="0"/>
                  <w:marBottom w:val="0"/>
                  <w:divBdr>
                    <w:top w:val="none" w:sz="0" w:space="0" w:color="auto"/>
                    <w:left w:val="none" w:sz="0" w:space="0" w:color="auto"/>
                    <w:bottom w:val="none" w:sz="0" w:space="0" w:color="auto"/>
                    <w:right w:val="none" w:sz="0" w:space="0" w:color="auto"/>
                  </w:divBdr>
                  <w:divsChild>
                    <w:div w:id="1844978142">
                      <w:marLeft w:val="0"/>
                      <w:marRight w:val="0"/>
                      <w:marTop w:val="0"/>
                      <w:marBottom w:val="0"/>
                      <w:divBdr>
                        <w:top w:val="none" w:sz="0" w:space="0" w:color="auto"/>
                        <w:left w:val="none" w:sz="0" w:space="0" w:color="auto"/>
                        <w:bottom w:val="none" w:sz="0" w:space="0" w:color="auto"/>
                        <w:right w:val="none" w:sz="0" w:space="0" w:color="auto"/>
                      </w:divBdr>
                      <w:divsChild>
                        <w:div w:id="1700012678">
                          <w:marLeft w:val="0"/>
                          <w:marRight w:val="0"/>
                          <w:marTop w:val="0"/>
                          <w:marBottom w:val="0"/>
                          <w:divBdr>
                            <w:top w:val="none" w:sz="0" w:space="0" w:color="auto"/>
                            <w:left w:val="none" w:sz="0" w:space="0" w:color="auto"/>
                            <w:bottom w:val="none" w:sz="0" w:space="0" w:color="auto"/>
                            <w:right w:val="none" w:sz="0" w:space="0" w:color="auto"/>
                          </w:divBdr>
                          <w:divsChild>
                            <w:div w:id="1876312792">
                              <w:marLeft w:val="0"/>
                              <w:marRight w:val="0"/>
                              <w:marTop w:val="0"/>
                              <w:marBottom w:val="0"/>
                              <w:divBdr>
                                <w:top w:val="none" w:sz="0" w:space="0" w:color="auto"/>
                                <w:left w:val="none" w:sz="0" w:space="0" w:color="auto"/>
                                <w:bottom w:val="none" w:sz="0" w:space="0" w:color="auto"/>
                                <w:right w:val="none" w:sz="0" w:space="0" w:color="auto"/>
                              </w:divBdr>
                              <w:divsChild>
                                <w:div w:id="1858275245">
                                  <w:marLeft w:val="0"/>
                                  <w:marRight w:val="0"/>
                                  <w:marTop w:val="0"/>
                                  <w:marBottom w:val="0"/>
                                  <w:divBdr>
                                    <w:top w:val="none" w:sz="0" w:space="0" w:color="auto"/>
                                    <w:left w:val="none" w:sz="0" w:space="0" w:color="auto"/>
                                    <w:bottom w:val="none" w:sz="0" w:space="0" w:color="auto"/>
                                    <w:right w:val="none" w:sz="0" w:space="0" w:color="auto"/>
                                  </w:divBdr>
                                  <w:divsChild>
                                    <w:div w:id="5352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829861287">
      <w:bodyDiv w:val="1"/>
      <w:marLeft w:val="0"/>
      <w:marRight w:val="0"/>
      <w:marTop w:val="0"/>
      <w:marBottom w:val="0"/>
      <w:divBdr>
        <w:top w:val="none" w:sz="0" w:space="0" w:color="auto"/>
        <w:left w:val="none" w:sz="0" w:space="0" w:color="auto"/>
        <w:bottom w:val="none" w:sz="0" w:space="0" w:color="auto"/>
        <w:right w:val="none" w:sz="0" w:space="0" w:color="auto"/>
      </w:divBdr>
      <w:divsChild>
        <w:div w:id="1659578023">
          <w:marLeft w:val="0"/>
          <w:marRight w:val="0"/>
          <w:marTop w:val="0"/>
          <w:marBottom w:val="0"/>
          <w:divBdr>
            <w:top w:val="none" w:sz="0" w:space="0" w:color="auto"/>
            <w:left w:val="none" w:sz="0" w:space="0" w:color="auto"/>
            <w:bottom w:val="none" w:sz="0" w:space="0" w:color="auto"/>
            <w:right w:val="none" w:sz="0" w:space="0" w:color="auto"/>
          </w:divBdr>
          <w:divsChild>
            <w:div w:id="2115133292">
              <w:marLeft w:val="0"/>
              <w:marRight w:val="0"/>
              <w:marTop w:val="0"/>
              <w:marBottom w:val="0"/>
              <w:divBdr>
                <w:top w:val="none" w:sz="0" w:space="0" w:color="auto"/>
                <w:left w:val="none" w:sz="0" w:space="0" w:color="auto"/>
                <w:bottom w:val="none" w:sz="0" w:space="0" w:color="auto"/>
                <w:right w:val="none" w:sz="0" w:space="0" w:color="auto"/>
              </w:divBdr>
              <w:divsChild>
                <w:div w:id="1392001275">
                  <w:marLeft w:val="0"/>
                  <w:marRight w:val="0"/>
                  <w:marTop w:val="0"/>
                  <w:marBottom w:val="0"/>
                  <w:divBdr>
                    <w:top w:val="none" w:sz="0" w:space="0" w:color="auto"/>
                    <w:left w:val="none" w:sz="0" w:space="0" w:color="auto"/>
                    <w:bottom w:val="none" w:sz="0" w:space="0" w:color="auto"/>
                    <w:right w:val="none" w:sz="0" w:space="0" w:color="auto"/>
                  </w:divBdr>
                  <w:divsChild>
                    <w:div w:id="1089621723">
                      <w:marLeft w:val="0"/>
                      <w:marRight w:val="0"/>
                      <w:marTop w:val="0"/>
                      <w:marBottom w:val="0"/>
                      <w:divBdr>
                        <w:top w:val="none" w:sz="0" w:space="0" w:color="auto"/>
                        <w:left w:val="none" w:sz="0" w:space="0" w:color="auto"/>
                        <w:bottom w:val="none" w:sz="0" w:space="0" w:color="auto"/>
                        <w:right w:val="none" w:sz="0" w:space="0" w:color="auto"/>
                      </w:divBdr>
                      <w:divsChild>
                        <w:div w:id="1386103004">
                          <w:marLeft w:val="0"/>
                          <w:marRight w:val="0"/>
                          <w:marTop w:val="0"/>
                          <w:marBottom w:val="0"/>
                          <w:divBdr>
                            <w:top w:val="none" w:sz="0" w:space="0" w:color="auto"/>
                            <w:left w:val="none" w:sz="0" w:space="0" w:color="auto"/>
                            <w:bottom w:val="none" w:sz="0" w:space="0" w:color="auto"/>
                            <w:right w:val="none" w:sz="0" w:space="0" w:color="auto"/>
                          </w:divBdr>
                          <w:divsChild>
                            <w:div w:id="1679186248">
                              <w:marLeft w:val="0"/>
                              <w:marRight w:val="0"/>
                              <w:marTop w:val="0"/>
                              <w:marBottom w:val="0"/>
                              <w:divBdr>
                                <w:top w:val="none" w:sz="0" w:space="0" w:color="auto"/>
                                <w:left w:val="none" w:sz="0" w:space="0" w:color="auto"/>
                                <w:bottom w:val="none" w:sz="0" w:space="0" w:color="auto"/>
                                <w:right w:val="none" w:sz="0" w:space="0" w:color="auto"/>
                              </w:divBdr>
                              <w:divsChild>
                                <w:div w:id="28654549">
                                  <w:marLeft w:val="0"/>
                                  <w:marRight w:val="0"/>
                                  <w:marTop w:val="0"/>
                                  <w:marBottom w:val="0"/>
                                  <w:divBdr>
                                    <w:top w:val="none" w:sz="0" w:space="0" w:color="auto"/>
                                    <w:left w:val="none" w:sz="0" w:space="0" w:color="auto"/>
                                    <w:bottom w:val="none" w:sz="0" w:space="0" w:color="auto"/>
                                    <w:right w:val="none" w:sz="0" w:space="0" w:color="auto"/>
                                  </w:divBdr>
                                  <w:divsChild>
                                    <w:div w:id="1517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13DE1-6BF6-4D57-9AFB-30D827417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7377</Characters>
  <Application>Microsoft Office Word</Application>
  <DocSecurity>4</DocSecurity>
  <Lines>156</Lines>
  <Paragraphs>55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keywords>[SEC=OFFICIAL]</cp:keywords>
  <cp:lastModifiedBy>HOCKING, Lauren</cp:lastModifiedBy>
  <cp:revision>2</cp:revision>
  <cp:lastPrinted>2016-04-08T01:41:00Z</cp:lastPrinted>
  <dcterms:created xsi:type="dcterms:W3CDTF">2023-02-14T22:38:00Z</dcterms:created>
  <dcterms:modified xsi:type="dcterms:W3CDTF">2023-02-14T22:38:00Z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6D3A9D89BDB44A4FBB24664BCE2CA9E6</vt:lpwstr>
  </property>
  <property fmtid="{D5CDD505-2E9C-101B-9397-08002B2CF9AE}" pid="9" name="PM_ProtectiveMarkingValue_Footer">
    <vt:lpwstr>OFFICIAL</vt:lpwstr>
  </property>
  <property fmtid="{D5CDD505-2E9C-101B-9397-08002B2CF9AE}" pid="10" name="PM_Originator_Hash_SHA1">
    <vt:lpwstr>86C09F4EE8A0CFB185A5C27B47969725282CE7E6</vt:lpwstr>
  </property>
  <property fmtid="{D5CDD505-2E9C-101B-9397-08002B2CF9AE}" pid="11" name="PM_OriginationTimeStamp">
    <vt:lpwstr>2023-02-14T22:38:11Z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66E1B5398EA67A57A4A498A24E6E9F57</vt:lpwstr>
  </property>
  <property fmtid="{D5CDD505-2E9C-101B-9397-08002B2CF9AE}" pid="20" name="PM_Hash_Salt">
    <vt:lpwstr>7C19A37701F9EEFC615A6F9A3174DD2C</vt:lpwstr>
  </property>
  <property fmtid="{D5CDD505-2E9C-101B-9397-08002B2CF9AE}" pid="21" name="PM_Hash_SHA1">
    <vt:lpwstr>6C4861FB30F78075E7D74479622FF7AED5FFD4F1</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A98D2C4B3E9660696E5975BE50876FE048CD271EE39734E12301A563101CCA62</vt:lpwstr>
  </property>
  <property fmtid="{D5CDD505-2E9C-101B-9397-08002B2CF9AE}" pid="26" name="PM_OriginatorDomainName_SHA256">
    <vt:lpwstr>E83A2A66C4061446A7E3732E8D44762184B6B377D962B96C83DC624302585857</vt:lpwstr>
  </property>
</Properties>
</file>