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D4F9" w14:textId="77777777" w:rsidR="00BE1BAD" w:rsidRPr="00A25AC7" w:rsidRDefault="00BE1BAD" w:rsidP="0052392E">
      <w:pPr>
        <w:spacing w:before="0" w:after="0"/>
        <w:jc w:val="center"/>
        <w:rPr>
          <w:b/>
          <w:sz w:val="22"/>
          <w:szCs w:val="22"/>
          <w:u w:val="single"/>
        </w:rPr>
      </w:pPr>
      <w:r w:rsidRPr="00A25AC7">
        <w:rPr>
          <w:b/>
          <w:sz w:val="22"/>
          <w:szCs w:val="22"/>
          <w:u w:val="single"/>
        </w:rPr>
        <w:t>EXPLANATORY STATEMENT</w:t>
      </w:r>
    </w:p>
    <w:p w14:paraId="2C1D0024" w14:textId="77777777" w:rsidR="0052392E" w:rsidRPr="00A25AC7" w:rsidRDefault="0052392E" w:rsidP="0052392E">
      <w:pPr>
        <w:spacing w:before="0" w:after="0"/>
        <w:jc w:val="center"/>
        <w:rPr>
          <w:i/>
          <w:sz w:val="22"/>
          <w:szCs w:val="22"/>
        </w:rPr>
      </w:pPr>
    </w:p>
    <w:p w14:paraId="6F9B3AF2" w14:textId="77777777" w:rsidR="00BE1BAD" w:rsidRPr="00A25AC7" w:rsidRDefault="00BE1BAD" w:rsidP="0052392E">
      <w:pPr>
        <w:spacing w:before="0" w:after="0"/>
        <w:jc w:val="center"/>
        <w:rPr>
          <w:i/>
          <w:sz w:val="22"/>
          <w:szCs w:val="22"/>
        </w:rPr>
      </w:pPr>
      <w:r w:rsidRPr="00A25AC7">
        <w:rPr>
          <w:i/>
          <w:sz w:val="22"/>
          <w:szCs w:val="22"/>
        </w:rPr>
        <w:t>Therapeutic Goods Act 1989</w:t>
      </w:r>
    </w:p>
    <w:p w14:paraId="313135E6" w14:textId="77777777" w:rsidR="0052392E" w:rsidRPr="00A25AC7" w:rsidRDefault="0052392E" w:rsidP="0052392E">
      <w:pPr>
        <w:spacing w:before="0" w:after="0"/>
        <w:jc w:val="center"/>
        <w:rPr>
          <w:i/>
          <w:sz w:val="22"/>
          <w:szCs w:val="22"/>
        </w:rPr>
      </w:pPr>
    </w:p>
    <w:p w14:paraId="47ED8641" w14:textId="2FBBF26B" w:rsidR="00BE1BAD" w:rsidRPr="00A25AC7" w:rsidRDefault="00650496" w:rsidP="0052392E">
      <w:pPr>
        <w:spacing w:before="0" w:after="0"/>
        <w:jc w:val="center"/>
        <w:rPr>
          <w:i/>
          <w:sz w:val="22"/>
          <w:szCs w:val="22"/>
        </w:rPr>
      </w:pPr>
      <w:r>
        <w:rPr>
          <w:i/>
          <w:sz w:val="22"/>
          <w:szCs w:val="22"/>
        </w:rPr>
        <w:t>Therapeutic Goods (</w:t>
      </w:r>
      <w:r w:rsidR="00BE1BAD" w:rsidRPr="00A25AC7">
        <w:rPr>
          <w:i/>
          <w:sz w:val="22"/>
          <w:szCs w:val="22"/>
        </w:rPr>
        <w:t>Poisons Standard</w:t>
      </w:r>
      <w:r w:rsidR="000D284A" w:rsidRPr="00026FF3">
        <w:t>—</w:t>
      </w:r>
      <w:r w:rsidR="00F125F9">
        <w:rPr>
          <w:i/>
          <w:sz w:val="22"/>
          <w:szCs w:val="22"/>
        </w:rPr>
        <w:t>February</w:t>
      </w:r>
      <w:r w:rsidR="00265F28">
        <w:rPr>
          <w:i/>
          <w:sz w:val="22"/>
          <w:szCs w:val="22"/>
        </w:rPr>
        <w:t xml:space="preserve"> 2023</w:t>
      </w:r>
      <w:r>
        <w:rPr>
          <w:i/>
          <w:sz w:val="22"/>
          <w:szCs w:val="22"/>
        </w:rPr>
        <w:t>) Instrument</w:t>
      </w:r>
      <w:r w:rsidR="00C42365" w:rsidRPr="00A25AC7">
        <w:rPr>
          <w:i/>
          <w:sz w:val="22"/>
          <w:szCs w:val="22"/>
        </w:rPr>
        <w:t xml:space="preserve"> </w:t>
      </w:r>
      <w:r w:rsidR="00E94104" w:rsidRPr="00A25AC7">
        <w:rPr>
          <w:i/>
          <w:sz w:val="22"/>
          <w:szCs w:val="22"/>
        </w:rPr>
        <w:t>202</w:t>
      </w:r>
      <w:r w:rsidR="00F125F9">
        <w:rPr>
          <w:i/>
          <w:sz w:val="22"/>
          <w:szCs w:val="22"/>
        </w:rPr>
        <w:t>3</w:t>
      </w:r>
    </w:p>
    <w:p w14:paraId="7E445350" w14:textId="77777777" w:rsidR="0052392E" w:rsidRPr="00A25AC7" w:rsidRDefault="0052392E" w:rsidP="0052392E">
      <w:pPr>
        <w:spacing w:before="0" w:after="0"/>
        <w:jc w:val="center"/>
        <w:rPr>
          <w:sz w:val="22"/>
          <w:szCs w:val="22"/>
        </w:rPr>
      </w:pPr>
    </w:p>
    <w:p w14:paraId="1E3D0CE4" w14:textId="3D593F54" w:rsidR="00BE1BAD" w:rsidRPr="00A25AC7" w:rsidRDefault="00BE1BAD" w:rsidP="004813C1">
      <w:pPr>
        <w:spacing w:before="0" w:after="0"/>
        <w:rPr>
          <w:sz w:val="22"/>
          <w:szCs w:val="22"/>
        </w:rPr>
      </w:pPr>
      <w:r w:rsidRPr="00A25AC7">
        <w:rPr>
          <w:sz w:val="22"/>
          <w:szCs w:val="22"/>
        </w:rPr>
        <w:t xml:space="preserve">The </w:t>
      </w:r>
      <w:r w:rsidRPr="00A25AC7">
        <w:rPr>
          <w:i/>
          <w:sz w:val="22"/>
          <w:szCs w:val="22"/>
        </w:rPr>
        <w:t>Therapeutic Goods Act 1989</w:t>
      </w:r>
      <w:r w:rsidRPr="00A25AC7">
        <w:rPr>
          <w:sz w:val="22"/>
          <w:szCs w:val="22"/>
        </w:rPr>
        <w:t xml:space="preserve"> (“the Act”) provides for the establishment and maintenance of a national system of controls for the quality, safety, efficacy</w:t>
      </w:r>
      <w:r w:rsidR="000D284A">
        <w:rPr>
          <w:sz w:val="22"/>
          <w:szCs w:val="22"/>
        </w:rPr>
        <w:t>,</w:t>
      </w:r>
      <w:r w:rsidRPr="00A25AC7">
        <w:rPr>
          <w:sz w:val="22"/>
          <w:szCs w:val="22"/>
        </w:rPr>
        <w:t xml:space="preserve"> and timely availability of therapeutic goods that are used in, or exported from, Australia.</w:t>
      </w:r>
      <w:r w:rsidR="0052392E" w:rsidRPr="00A25AC7">
        <w:rPr>
          <w:sz w:val="22"/>
          <w:szCs w:val="22"/>
        </w:rPr>
        <w:t xml:space="preserve"> </w:t>
      </w:r>
      <w:r w:rsidR="0062233C">
        <w:rPr>
          <w:sz w:val="22"/>
          <w:szCs w:val="22"/>
        </w:rPr>
        <w:t xml:space="preserve"> </w:t>
      </w:r>
      <w:r w:rsidRPr="00A25AC7">
        <w:rPr>
          <w:sz w:val="22"/>
          <w:szCs w:val="22"/>
        </w:rPr>
        <w:t xml:space="preserve">The Act also provides a framework for State and Territory governments to adopt a uniform approach to control the availability and accessibility, and to ensure the safe handling, of medicines and poisons in Australia. </w:t>
      </w:r>
      <w:r w:rsidR="0062233C">
        <w:rPr>
          <w:sz w:val="22"/>
          <w:szCs w:val="22"/>
        </w:rPr>
        <w:t xml:space="preserve"> </w:t>
      </w:r>
      <w:r w:rsidRPr="00A25AC7">
        <w:rPr>
          <w:sz w:val="22"/>
          <w:szCs w:val="22"/>
        </w:rPr>
        <w:t>The Act is administered by the Therapeutic Goods Administration (“the TGA”)</w:t>
      </w:r>
      <w:r w:rsidR="00622BC3" w:rsidRPr="00A25AC7">
        <w:rPr>
          <w:sz w:val="22"/>
          <w:szCs w:val="22"/>
        </w:rPr>
        <w:t xml:space="preserve"> </w:t>
      </w:r>
      <w:r w:rsidRPr="00A25AC7">
        <w:rPr>
          <w:sz w:val="22"/>
          <w:szCs w:val="22"/>
        </w:rPr>
        <w:t>within the Australian Government Department of Health</w:t>
      </w:r>
      <w:r w:rsidR="00C17006">
        <w:rPr>
          <w:sz w:val="22"/>
          <w:szCs w:val="22"/>
        </w:rPr>
        <w:t xml:space="preserve"> and Aged Care</w:t>
      </w:r>
      <w:r w:rsidRPr="00A25AC7">
        <w:rPr>
          <w:sz w:val="22"/>
          <w:szCs w:val="22"/>
        </w:rPr>
        <w:t>.</w:t>
      </w:r>
    </w:p>
    <w:p w14:paraId="27243ECD"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348A0C40" w14:textId="2ADEAB5C"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 xml:space="preserve">Part 6-3 of the Act (sections 52AA to 52EC) provides the basis for a uniform system of access controls for goods containing scheduled substances. </w:t>
      </w:r>
      <w:r w:rsidR="0062233C">
        <w:rPr>
          <w:rFonts w:eastAsiaTheme="minorHAnsi"/>
          <w:color w:val="000000"/>
          <w:sz w:val="22"/>
          <w:szCs w:val="22"/>
          <w:lang w:val="en-AU"/>
        </w:rPr>
        <w:t xml:space="preserve"> </w:t>
      </w:r>
      <w:r w:rsidRPr="00A25AC7">
        <w:rPr>
          <w:rFonts w:eastAsiaTheme="minorHAnsi"/>
          <w:color w:val="000000"/>
          <w:sz w:val="22"/>
          <w:szCs w:val="22"/>
          <w:lang w:val="en-AU"/>
        </w:rPr>
        <w:t xml:space="preserve">The scheduling of substances allows restrictions to be placed on their supply to the public, in the interests of public health and safety. </w:t>
      </w:r>
      <w:r w:rsidR="0062233C">
        <w:rPr>
          <w:rFonts w:eastAsiaTheme="minorHAnsi"/>
          <w:color w:val="000000"/>
          <w:sz w:val="22"/>
          <w:szCs w:val="22"/>
          <w:lang w:val="en-AU"/>
        </w:rPr>
        <w:t xml:space="preserve"> </w:t>
      </w:r>
      <w:r w:rsidRPr="00A25AC7">
        <w:rPr>
          <w:rFonts w:eastAsiaTheme="minorHAnsi"/>
          <w:color w:val="000000"/>
          <w:sz w:val="22"/>
          <w:szCs w:val="22"/>
          <w:lang w:val="en-AU"/>
        </w:rPr>
        <w:t>The scheduling of substances is aimed at minimising the risks of poisoning from, and the misuse or abuse of, scheduled substances.</w:t>
      </w:r>
    </w:p>
    <w:p w14:paraId="2F04BB8F"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639C1B4A" w14:textId="0EA88E7B" w:rsidR="00BE1BAD"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Subsection 52</w:t>
      </w:r>
      <w:proofErr w:type="gramStart"/>
      <w:r w:rsidRPr="00A25AC7">
        <w:rPr>
          <w:rFonts w:eastAsiaTheme="minorHAnsi"/>
          <w:color w:val="000000"/>
          <w:sz w:val="22"/>
          <w:szCs w:val="22"/>
          <w:lang w:val="en-AU"/>
        </w:rPr>
        <w:t>D(</w:t>
      </w:r>
      <w:proofErr w:type="gramEnd"/>
      <w:r w:rsidRPr="00A25AC7">
        <w:rPr>
          <w:rFonts w:eastAsiaTheme="minorHAnsi"/>
          <w:color w:val="000000"/>
          <w:sz w:val="22"/>
          <w:szCs w:val="22"/>
          <w:lang w:val="en-AU"/>
        </w:rPr>
        <w:t xml:space="preserve">2) of the Act empowers the Secretary to amend the current Poisons Standard or to prepare a document </w:t>
      </w:r>
      <w:r w:rsidR="008F3AB3">
        <w:rPr>
          <w:rFonts w:eastAsiaTheme="minorHAnsi"/>
          <w:color w:val="000000"/>
          <w:sz w:val="22"/>
          <w:szCs w:val="22"/>
          <w:lang w:val="en-AU"/>
        </w:rPr>
        <w:t>in substitution for the current Poisons Standard.</w:t>
      </w:r>
      <w:r w:rsidRPr="00A25AC7">
        <w:rPr>
          <w:rFonts w:eastAsiaTheme="minorHAnsi"/>
          <w:color w:val="000000"/>
          <w:sz w:val="22"/>
          <w:szCs w:val="22"/>
          <w:lang w:val="en-AU"/>
        </w:rPr>
        <w:t xml:space="preserve"> </w:t>
      </w:r>
      <w:r w:rsidR="008F3AB3">
        <w:rPr>
          <w:rFonts w:eastAsiaTheme="minorHAnsi"/>
          <w:color w:val="000000"/>
          <w:sz w:val="22"/>
          <w:szCs w:val="22"/>
          <w:lang w:val="en-AU"/>
        </w:rPr>
        <w:t xml:space="preserve"> The current Poisons Standard</w:t>
      </w:r>
      <w:r w:rsidRPr="00A25AC7">
        <w:rPr>
          <w:rFonts w:eastAsiaTheme="minorHAnsi"/>
          <w:color w:val="000000"/>
          <w:sz w:val="22"/>
          <w:szCs w:val="22"/>
          <w:lang w:val="en-AU"/>
        </w:rPr>
        <w:t xml:space="preserve"> includes </w:t>
      </w:r>
      <w:r w:rsidR="008F3AB3">
        <w:rPr>
          <w:rFonts w:eastAsiaTheme="minorHAnsi"/>
          <w:color w:val="000000"/>
          <w:sz w:val="22"/>
          <w:szCs w:val="22"/>
          <w:lang w:val="en-AU"/>
        </w:rPr>
        <w:t>S</w:t>
      </w:r>
      <w:r w:rsidRPr="00A25AC7">
        <w:rPr>
          <w:rFonts w:eastAsiaTheme="minorHAnsi"/>
          <w:color w:val="000000"/>
          <w:sz w:val="22"/>
          <w:szCs w:val="22"/>
          <w:lang w:val="en-AU"/>
        </w:rPr>
        <w:t xml:space="preserve">chedules containing the names or descriptions of substances, </w:t>
      </w:r>
      <w:r w:rsidR="008F3AB3">
        <w:rPr>
          <w:rFonts w:eastAsiaTheme="minorHAnsi"/>
          <w:color w:val="000000"/>
          <w:sz w:val="22"/>
          <w:szCs w:val="22"/>
          <w:lang w:val="en-AU"/>
        </w:rPr>
        <w:t>with certain levels of control applying to each Schedule in accordance with the risk associated with the substances in a Schedule</w:t>
      </w:r>
      <w:r w:rsidRPr="00A25AC7">
        <w:rPr>
          <w:rFonts w:eastAsiaTheme="minorHAnsi"/>
          <w:color w:val="000000"/>
          <w:sz w:val="22"/>
          <w:szCs w:val="22"/>
          <w:lang w:val="en-AU"/>
        </w:rPr>
        <w:t>.</w:t>
      </w:r>
    </w:p>
    <w:p w14:paraId="6EB7319F" w14:textId="04F78744" w:rsidR="008F3AB3" w:rsidRDefault="008F3AB3" w:rsidP="004813C1">
      <w:pPr>
        <w:autoSpaceDE w:val="0"/>
        <w:autoSpaceDN w:val="0"/>
        <w:adjustRightInd w:val="0"/>
        <w:spacing w:before="0" w:after="0"/>
        <w:rPr>
          <w:rFonts w:eastAsiaTheme="minorHAnsi"/>
          <w:color w:val="000000"/>
          <w:sz w:val="22"/>
          <w:szCs w:val="22"/>
          <w:lang w:val="en-AU"/>
        </w:rPr>
      </w:pPr>
    </w:p>
    <w:p w14:paraId="1687D970" w14:textId="4535F291" w:rsidR="00CA1563" w:rsidRPr="00CA1563" w:rsidRDefault="008F3AB3" w:rsidP="00E36BCC">
      <w:pPr>
        <w:autoSpaceDE w:val="0"/>
        <w:autoSpaceDN w:val="0"/>
        <w:adjustRightInd w:val="0"/>
        <w:spacing w:before="0" w:after="0"/>
        <w:rPr>
          <w:iCs/>
          <w:sz w:val="22"/>
          <w:szCs w:val="22"/>
        </w:rPr>
      </w:pPr>
      <w:r>
        <w:rPr>
          <w:rFonts w:eastAsiaTheme="minorHAnsi"/>
          <w:color w:val="000000"/>
          <w:sz w:val="22"/>
          <w:szCs w:val="22"/>
          <w:lang w:val="en-AU"/>
        </w:rPr>
        <w:t xml:space="preserve">The </w:t>
      </w:r>
      <w:r>
        <w:rPr>
          <w:i/>
          <w:sz w:val="22"/>
          <w:szCs w:val="22"/>
        </w:rPr>
        <w:t>Therapeutic Goods (</w:t>
      </w:r>
      <w:r w:rsidRPr="00A25AC7">
        <w:rPr>
          <w:i/>
          <w:sz w:val="22"/>
          <w:szCs w:val="22"/>
        </w:rPr>
        <w:t>Poisons Standard</w:t>
      </w:r>
      <w:r w:rsidRPr="00026FF3">
        <w:t>—</w:t>
      </w:r>
      <w:r>
        <w:rPr>
          <w:i/>
          <w:sz w:val="22"/>
          <w:szCs w:val="22"/>
        </w:rPr>
        <w:t>February</w:t>
      </w:r>
      <w:r w:rsidR="00265F28">
        <w:rPr>
          <w:i/>
          <w:sz w:val="22"/>
          <w:szCs w:val="22"/>
        </w:rPr>
        <w:t xml:space="preserve"> 2023</w:t>
      </w:r>
      <w:r>
        <w:rPr>
          <w:i/>
          <w:sz w:val="22"/>
          <w:szCs w:val="22"/>
        </w:rPr>
        <w:t>) Instrument</w:t>
      </w:r>
      <w:r w:rsidRPr="00A25AC7">
        <w:rPr>
          <w:i/>
          <w:sz w:val="22"/>
          <w:szCs w:val="22"/>
        </w:rPr>
        <w:t xml:space="preserve"> 202</w:t>
      </w:r>
      <w:r>
        <w:rPr>
          <w:i/>
          <w:sz w:val="22"/>
          <w:szCs w:val="22"/>
        </w:rPr>
        <w:t xml:space="preserve">3 </w:t>
      </w:r>
      <w:r>
        <w:rPr>
          <w:iCs/>
          <w:sz w:val="22"/>
          <w:szCs w:val="22"/>
        </w:rPr>
        <w:t xml:space="preserve">(“the </w:t>
      </w:r>
      <w:r w:rsidR="00D835A1">
        <w:rPr>
          <w:iCs/>
          <w:sz w:val="22"/>
          <w:szCs w:val="22"/>
        </w:rPr>
        <w:t>Instrument</w:t>
      </w:r>
      <w:r>
        <w:rPr>
          <w:iCs/>
          <w:sz w:val="22"/>
          <w:szCs w:val="22"/>
        </w:rPr>
        <w:t xml:space="preserve">”) repeals </w:t>
      </w:r>
      <w:r w:rsidR="00267253">
        <w:rPr>
          <w:iCs/>
          <w:sz w:val="22"/>
          <w:szCs w:val="22"/>
        </w:rPr>
        <w:t xml:space="preserve">and replaces </w:t>
      </w:r>
      <w:r w:rsidR="00345F4D">
        <w:rPr>
          <w:iCs/>
          <w:sz w:val="22"/>
          <w:szCs w:val="22"/>
        </w:rPr>
        <w:t xml:space="preserve">both </w:t>
      </w:r>
      <w:r>
        <w:rPr>
          <w:iCs/>
          <w:sz w:val="22"/>
          <w:szCs w:val="22"/>
        </w:rPr>
        <w:t xml:space="preserve">the </w:t>
      </w:r>
      <w:r w:rsidR="00E36BCC">
        <w:rPr>
          <w:i/>
          <w:sz w:val="22"/>
          <w:szCs w:val="22"/>
        </w:rPr>
        <w:t>Therapeutic Goods (Poisons Standard</w:t>
      </w:r>
      <w:r w:rsidR="00E36BCC" w:rsidRPr="00026FF3">
        <w:t>—</w:t>
      </w:r>
      <w:r w:rsidR="00E36BCC">
        <w:rPr>
          <w:i/>
          <w:sz w:val="22"/>
          <w:szCs w:val="22"/>
        </w:rPr>
        <w:t>February 2023) Instrument 2022</w:t>
      </w:r>
      <w:r w:rsidR="00D835A1">
        <w:rPr>
          <w:iCs/>
          <w:sz w:val="22"/>
          <w:szCs w:val="22"/>
        </w:rPr>
        <w:t xml:space="preserve"> (“the Former Instrument”)</w:t>
      </w:r>
      <w:r w:rsidR="00E36BCC">
        <w:rPr>
          <w:iCs/>
          <w:sz w:val="22"/>
          <w:szCs w:val="22"/>
        </w:rPr>
        <w:t>, which was due to commence on 1 February 2023</w:t>
      </w:r>
      <w:r w:rsidR="00D835A1">
        <w:rPr>
          <w:iCs/>
          <w:sz w:val="22"/>
          <w:szCs w:val="22"/>
        </w:rPr>
        <w:t xml:space="preserve"> </w:t>
      </w:r>
      <w:r w:rsidR="00CA1563">
        <w:rPr>
          <w:iCs/>
          <w:sz w:val="22"/>
          <w:szCs w:val="22"/>
        </w:rPr>
        <w:t xml:space="preserve">and will therefore not take effect, </w:t>
      </w:r>
      <w:r w:rsidR="00267253">
        <w:rPr>
          <w:iCs/>
          <w:sz w:val="22"/>
          <w:szCs w:val="22"/>
        </w:rPr>
        <w:t>and</w:t>
      </w:r>
      <w:r w:rsidR="00CA1563">
        <w:rPr>
          <w:iCs/>
          <w:sz w:val="22"/>
          <w:szCs w:val="22"/>
        </w:rPr>
        <w:t xml:space="preserve"> </w:t>
      </w:r>
      <w:r w:rsidR="00D835A1">
        <w:rPr>
          <w:iCs/>
          <w:sz w:val="22"/>
          <w:szCs w:val="22"/>
        </w:rPr>
        <w:t xml:space="preserve">the </w:t>
      </w:r>
      <w:r w:rsidR="00D835A1">
        <w:rPr>
          <w:i/>
          <w:sz w:val="22"/>
          <w:szCs w:val="22"/>
        </w:rPr>
        <w:t>Poisons Standard October 2022</w:t>
      </w:r>
      <w:r w:rsidR="00D835A1">
        <w:rPr>
          <w:iCs/>
          <w:sz w:val="22"/>
          <w:szCs w:val="22"/>
        </w:rPr>
        <w:t xml:space="preserve">, which </w:t>
      </w:r>
      <w:r w:rsidR="00CA1563">
        <w:rPr>
          <w:iCs/>
          <w:sz w:val="22"/>
          <w:szCs w:val="22"/>
        </w:rPr>
        <w:t>had been in effect since 1 October 2022</w:t>
      </w:r>
      <w:r w:rsidR="00D835A1">
        <w:rPr>
          <w:rFonts w:eastAsiaTheme="minorHAnsi"/>
          <w:sz w:val="22"/>
          <w:szCs w:val="22"/>
          <w:lang w:val="en-AU"/>
        </w:rPr>
        <w:t>.</w:t>
      </w:r>
      <w:r w:rsidR="00D4752D">
        <w:rPr>
          <w:rFonts w:eastAsiaTheme="minorHAnsi"/>
          <w:sz w:val="22"/>
          <w:szCs w:val="22"/>
          <w:lang w:val="en-AU"/>
        </w:rPr>
        <w:t xml:space="preserve"> </w:t>
      </w:r>
    </w:p>
    <w:p w14:paraId="3BCF9EBC" w14:textId="77777777" w:rsidR="00CA1563" w:rsidRDefault="00CA1563" w:rsidP="00E36BCC">
      <w:pPr>
        <w:autoSpaceDE w:val="0"/>
        <w:autoSpaceDN w:val="0"/>
        <w:adjustRightInd w:val="0"/>
        <w:spacing w:before="0" w:after="0"/>
        <w:rPr>
          <w:rFonts w:eastAsiaTheme="minorHAnsi"/>
          <w:sz w:val="22"/>
          <w:szCs w:val="22"/>
          <w:lang w:val="en-AU"/>
        </w:rPr>
      </w:pPr>
    </w:p>
    <w:p w14:paraId="1B2523FD" w14:textId="32BC581F" w:rsidR="00E36BCC" w:rsidRDefault="00D835A1" w:rsidP="00E36BCC">
      <w:pPr>
        <w:autoSpaceDE w:val="0"/>
        <w:autoSpaceDN w:val="0"/>
        <w:adjustRightInd w:val="0"/>
        <w:spacing w:before="0" w:after="0"/>
        <w:rPr>
          <w:iCs/>
          <w:sz w:val="22"/>
          <w:szCs w:val="22"/>
        </w:rPr>
      </w:pPr>
      <w:r>
        <w:rPr>
          <w:iCs/>
          <w:sz w:val="22"/>
          <w:szCs w:val="22"/>
        </w:rPr>
        <w:t xml:space="preserve">The purpose of the Instrument </w:t>
      </w:r>
      <w:r w:rsidR="00D4752D">
        <w:rPr>
          <w:iCs/>
          <w:sz w:val="22"/>
          <w:szCs w:val="22"/>
        </w:rPr>
        <w:t xml:space="preserve">is principally to incorporate </w:t>
      </w:r>
      <w:proofErr w:type="gramStart"/>
      <w:r w:rsidR="00D4752D">
        <w:rPr>
          <w:iCs/>
          <w:sz w:val="22"/>
          <w:szCs w:val="22"/>
        </w:rPr>
        <w:t>a number of</w:t>
      </w:r>
      <w:proofErr w:type="gramEnd"/>
      <w:r w:rsidR="00D4752D">
        <w:rPr>
          <w:iCs/>
          <w:sz w:val="22"/>
          <w:szCs w:val="22"/>
        </w:rPr>
        <w:t xml:space="preserve"> changes to existing entries and to include a number of specified substances in the current Poisons Standard for the first time. </w:t>
      </w:r>
      <w:r w:rsidR="00AF1310">
        <w:rPr>
          <w:iCs/>
          <w:sz w:val="22"/>
          <w:szCs w:val="22"/>
        </w:rPr>
        <w:t xml:space="preserve"> </w:t>
      </w:r>
      <w:r w:rsidR="00CA1563">
        <w:rPr>
          <w:iCs/>
          <w:sz w:val="22"/>
          <w:szCs w:val="22"/>
        </w:rPr>
        <w:t xml:space="preserve">The Instrument retains the changes to the structure and formatting that the Former Instrument would have introduced, which were designed to improve the readability and clarity of the current Poisons Standard without making substantive changes to the content. </w:t>
      </w:r>
    </w:p>
    <w:p w14:paraId="45BA41A1" w14:textId="77777777" w:rsidR="00B345B2" w:rsidRDefault="00B345B2" w:rsidP="004813C1">
      <w:pPr>
        <w:autoSpaceDE w:val="0"/>
        <w:autoSpaceDN w:val="0"/>
        <w:adjustRightInd w:val="0"/>
        <w:spacing w:before="0" w:after="0"/>
        <w:rPr>
          <w:iCs/>
          <w:sz w:val="22"/>
          <w:szCs w:val="22"/>
        </w:rPr>
      </w:pPr>
    </w:p>
    <w:p w14:paraId="0F47E9B8" w14:textId="264C4DD9" w:rsidR="00433D97" w:rsidRPr="00433D97" w:rsidRDefault="00433D97" w:rsidP="004813C1">
      <w:pPr>
        <w:autoSpaceDE w:val="0"/>
        <w:autoSpaceDN w:val="0"/>
        <w:adjustRightInd w:val="0"/>
        <w:spacing w:before="0" w:after="0"/>
        <w:rPr>
          <w:rFonts w:eastAsiaTheme="minorHAnsi"/>
          <w:b/>
          <w:bCs/>
          <w:color w:val="000000"/>
          <w:sz w:val="22"/>
          <w:szCs w:val="22"/>
          <w:lang w:val="en-AU"/>
        </w:rPr>
      </w:pPr>
      <w:r>
        <w:rPr>
          <w:rFonts w:eastAsiaTheme="minorHAnsi"/>
          <w:b/>
          <w:bCs/>
          <w:color w:val="000000"/>
          <w:sz w:val="22"/>
          <w:szCs w:val="22"/>
          <w:lang w:val="en-AU"/>
        </w:rPr>
        <w:t>Background</w:t>
      </w:r>
    </w:p>
    <w:p w14:paraId="5FFB6192" w14:textId="77777777" w:rsidR="00433D97" w:rsidRDefault="00433D97" w:rsidP="004813C1">
      <w:pPr>
        <w:autoSpaceDE w:val="0"/>
        <w:autoSpaceDN w:val="0"/>
        <w:adjustRightInd w:val="0"/>
        <w:spacing w:before="0" w:after="0"/>
        <w:rPr>
          <w:rFonts w:eastAsiaTheme="minorHAnsi"/>
          <w:color w:val="000000"/>
          <w:sz w:val="22"/>
          <w:szCs w:val="22"/>
          <w:lang w:val="en-AU"/>
        </w:rPr>
      </w:pPr>
    </w:p>
    <w:p w14:paraId="1BB2E59B" w14:textId="50B45F64"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The Poisons Standard reflects decisions of the Secretary or a delegate of the Secretary regarding the classification of medicines and poisons into the different Schedules, signifying the degree of risk and the control recommended to be exercised over their availability to the public.</w:t>
      </w:r>
      <w:r w:rsidR="0054321E">
        <w:rPr>
          <w:rFonts w:eastAsiaTheme="minorHAnsi"/>
          <w:color w:val="000000"/>
          <w:sz w:val="22"/>
          <w:szCs w:val="22"/>
          <w:lang w:val="en-AU"/>
        </w:rPr>
        <w:t xml:space="preserve"> </w:t>
      </w:r>
      <w:r w:rsidR="00AF1310">
        <w:rPr>
          <w:rFonts w:eastAsiaTheme="minorHAnsi"/>
          <w:color w:val="000000"/>
          <w:sz w:val="22"/>
          <w:szCs w:val="22"/>
          <w:lang w:val="en-AU"/>
        </w:rPr>
        <w:t xml:space="preserve"> </w:t>
      </w:r>
      <w:r w:rsidR="0054321E">
        <w:rPr>
          <w:rFonts w:eastAsiaTheme="minorHAnsi"/>
          <w:color w:val="000000"/>
          <w:sz w:val="22"/>
          <w:szCs w:val="22"/>
          <w:lang w:val="en-AU"/>
        </w:rPr>
        <w:t xml:space="preserve">These decisions are published on the TGA website. </w:t>
      </w:r>
    </w:p>
    <w:p w14:paraId="391F2348"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7A994EEE" w14:textId="53B14FCB"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The Act establishes two expert advisory committees, the Advisory Committee on Medicines Scheduling (“</w:t>
      </w:r>
      <w:r w:rsidR="00CA7292">
        <w:rPr>
          <w:rFonts w:eastAsiaTheme="minorHAnsi"/>
          <w:color w:val="000000"/>
          <w:sz w:val="22"/>
          <w:szCs w:val="22"/>
          <w:lang w:val="en-AU"/>
        </w:rPr>
        <w:t xml:space="preserve">the </w:t>
      </w:r>
      <w:r w:rsidRPr="00A25AC7">
        <w:rPr>
          <w:rFonts w:eastAsiaTheme="minorHAnsi"/>
          <w:color w:val="000000"/>
          <w:sz w:val="22"/>
          <w:szCs w:val="22"/>
          <w:lang w:val="en-AU"/>
        </w:rPr>
        <w:t>ACMS”) (section 52B of the Act refers) and the Advisory Committee on Chemicals Scheduling (“</w:t>
      </w:r>
      <w:r w:rsidR="00CA7292">
        <w:rPr>
          <w:rFonts w:eastAsiaTheme="minorHAnsi"/>
          <w:color w:val="000000"/>
          <w:sz w:val="22"/>
          <w:szCs w:val="22"/>
          <w:lang w:val="en-AU"/>
        </w:rPr>
        <w:t xml:space="preserve">the </w:t>
      </w:r>
      <w:r w:rsidRPr="00A25AC7">
        <w:rPr>
          <w:rFonts w:eastAsiaTheme="minorHAnsi"/>
          <w:color w:val="000000"/>
          <w:sz w:val="22"/>
          <w:szCs w:val="22"/>
          <w:lang w:val="en-AU"/>
        </w:rPr>
        <w:t>ACCS”) (section 52C of the Act refers), which provide advice and make recommendations to the Secretary on matters relating to medicines and chemicals scheduling decisions.</w:t>
      </w:r>
    </w:p>
    <w:p w14:paraId="1203C5B6" w14:textId="77777777" w:rsidR="009737DD" w:rsidRDefault="009737DD" w:rsidP="00590E00">
      <w:pPr>
        <w:keepLines/>
        <w:autoSpaceDE w:val="0"/>
        <w:autoSpaceDN w:val="0"/>
        <w:adjustRightInd w:val="0"/>
        <w:spacing w:before="0" w:after="0"/>
        <w:rPr>
          <w:rFonts w:eastAsiaTheme="minorHAnsi"/>
          <w:color w:val="000000"/>
          <w:sz w:val="22"/>
          <w:szCs w:val="22"/>
          <w:lang w:val="en-AU"/>
        </w:rPr>
      </w:pPr>
    </w:p>
    <w:p w14:paraId="2857E92C" w14:textId="01DA932F" w:rsidR="00590E00" w:rsidRPr="00590E00" w:rsidRDefault="00590E00" w:rsidP="00590E00">
      <w:pPr>
        <w:keepLines/>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lastRenderedPageBreak/>
        <w:t xml:space="preserve">The Scheduling Policy Framework (“the SPF”) provides guidance on whether a decision concerning the scheduling of substances would benefit from being referred to ACMS or ACCS for advice. </w:t>
      </w:r>
      <w:r>
        <w:rPr>
          <w:rFonts w:eastAsiaTheme="minorHAnsi"/>
          <w:color w:val="000000"/>
          <w:sz w:val="22"/>
          <w:szCs w:val="22"/>
          <w:lang w:val="en-AU"/>
        </w:rPr>
        <w:t xml:space="preserve"> </w:t>
      </w:r>
      <w:r w:rsidRPr="00A25AC7">
        <w:rPr>
          <w:rFonts w:eastAsiaTheme="minorHAnsi"/>
          <w:color w:val="000000"/>
          <w:sz w:val="22"/>
          <w:szCs w:val="22"/>
          <w:lang w:val="en-AU"/>
        </w:rPr>
        <w:t xml:space="preserve">A copy of the SPF can be found at: </w:t>
      </w:r>
      <w:r w:rsidRPr="00590E00">
        <w:rPr>
          <w:rFonts w:eastAsiaTheme="minorHAnsi"/>
          <w:sz w:val="22"/>
          <w:szCs w:val="22"/>
          <w:lang w:val="en-AU"/>
        </w:rPr>
        <w:t>https://www.tga.gov.au/publication/ahmac-scheduling-policy-framework-medicines-and-chemicals</w:t>
      </w:r>
      <w:r w:rsidRPr="00A25AC7">
        <w:rPr>
          <w:rFonts w:eastAsiaTheme="minorHAnsi"/>
          <w:color w:val="000000"/>
          <w:sz w:val="22"/>
          <w:szCs w:val="22"/>
          <w:lang w:val="en-AU"/>
        </w:rPr>
        <w:t>.</w:t>
      </w:r>
      <w:r>
        <w:rPr>
          <w:rFonts w:eastAsiaTheme="minorHAnsi"/>
          <w:color w:val="000000"/>
          <w:sz w:val="22"/>
          <w:szCs w:val="22"/>
          <w:lang w:val="en-AU"/>
        </w:rPr>
        <w:t xml:space="preserve">  </w:t>
      </w:r>
    </w:p>
    <w:p w14:paraId="17C07828" w14:textId="77777777" w:rsidR="004D3E46" w:rsidRDefault="004D3E46" w:rsidP="004813C1">
      <w:pPr>
        <w:autoSpaceDE w:val="0"/>
        <w:autoSpaceDN w:val="0"/>
        <w:adjustRightInd w:val="0"/>
        <w:spacing w:before="0" w:after="0"/>
        <w:rPr>
          <w:rFonts w:eastAsiaTheme="minorHAnsi"/>
          <w:color w:val="000000"/>
          <w:sz w:val="22"/>
          <w:szCs w:val="22"/>
          <w:lang w:val="en-AU"/>
        </w:rPr>
      </w:pPr>
    </w:p>
    <w:p w14:paraId="5563A9C4" w14:textId="5F86C551" w:rsidR="00BE1BAD" w:rsidRPr="00A25AC7" w:rsidRDefault="00BE1BAD"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 xml:space="preserve">The Schedules </w:t>
      </w:r>
      <w:r w:rsidR="00D4752D">
        <w:rPr>
          <w:rFonts w:eastAsiaTheme="minorHAnsi"/>
          <w:color w:val="000000"/>
          <w:sz w:val="22"/>
          <w:szCs w:val="22"/>
          <w:lang w:val="en-AU"/>
        </w:rPr>
        <w:t>to</w:t>
      </w:r>
      <w:r w:rsidR="0054321E">
        <w:rPr>
          <w:rFonts w:eastAsiaTheme="minorHAnsi"/>
          <w:color w:val="000000"/>
          <w:sz w:val="22"/>
          <w:szCs w:val="22"/>
          <w:lang w:val="en-AU"/>
        </w:rPr>
        <w:t xml:space="preserve"> </w:t>
      </w:r>
      <w:r w:rsidRPr="00A25AC7">
        <w:rPr>
          <w:rFonts w:eastAsiaTheme="minorHAnsi"/>
          <w:color w:val="000000"/>
          <w:sz w:val="22"/>
          <w:szCs w:val="22"/>
          <w:lang w:val="en-AU"/>
        </w:rPr>
        <w:t xml:space="preserve">the Poisons Standard are </w:t>
      </w:r>
      <w:r w:rsidR="00DC0937" w:rsidRPr="00A25AC7">
        <w:rPr>
          <w:rFonts w:eastAsiaTheme="minorHAnsi"/>
          <w:color w:val="000000"/>
          <w:sz w:val="22"/>
          <w:szCs w:val="22"/>
          <w:lang w:val="en-AU"/>
        </w:rPr>
        <w:t xml:space="preserve">incorporated by reference </w:t>
      </w:r>
      <w:r w:rsidR="00372861">
        <w:rPr>
          <w:rFonts w:eastAsiaTheme="minorHAnsi"/>
          <w:color w:val="000000"/>
          <w:sz w:val="22"/>
          <w:szCs w:val="22"/>
          <w:lang w:val="en-AU"/>
        </w:rPr>
        <w:t>in</w:t>
      </w:r>
      <w:r w:rsidR="00372861" w:rsidRPr="00A25AC7">
        <w:rPr>
          <w:rFonts w:eastAsiaTheme="minorHAnsi"/>
          <w:color w:val="000000"/>
          <w:sz w:val="22"/>
          <w:szCs w:val="22"/>
          <w:lang w:val="en-AU"/>
        </w:rPr>
        <w:t xml:space="preserve"> </w:t>
      </w:r>
      <w:r w:rsidRPr="00A25AC7">
        <w:rPr>
          <w:rFonts w:eastAsiaTheme="minorHAnsi"/>
          <w:color w:val="000000"/>
          <w:sz w:val="22"/>
          <w:szCs w:val="22"/>
          <w:lang w:val="en-AU"/>
        </w:rPr>
        <w:t xml:space="preserve">State and Territory legislation for regulatory purposes. </w:t>
      </w:r>
      <w:r w:rsidR="0062233C">
        <w:rPr>
          <w:rFonts w:eastAsiaTheme="minorHAnsi"/>
          <w:color w:val="000000"/>
          <w:sz w:val="22"/>
          <w:szCs w:val="22"/>
          <w:lang w:val="en-AU"/>
        </w:rPr>
        <w:t xml:space="preserve"> </w:t>
      </w:r>
      <w:r w:rsidRPr="00A25AC7">
        <w:rPr>
          <w:rFonts w:eastAsiaTheme="minorHAnsi"/>
          <w:color w:val="000000"/>
          <w:sz w:val="22"/>
          <w:szCs w:val="22"/>
          <w:lang w:val="en-AU"/>
        </w:rPr>
        <w:t>This enables restrictions to be placed on the supply of scheduled substances to the public, according to the degree of risk associated with the substances and the level of control recommended over their availability, in the interest of public health and safety.</w:t>
      </w:r>
    </w:p>
    <w:p w14:paraId="6B74A9CE"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75A3295C" w14:textId="504CABC9" w:rsidR="00BE1BAD" w:rsidRPr="00A25AC7" w:rsidRDefault="00DC0937" w:rsidP="004813C1">
      <w:pPr>
        <w:autoSpaceDE w:val="0"/>
        <w:autoSpaceDN w:val="0"/>
        <w:adjustRightInd w:val="0"/>
        <w:spacing w:before="0" w:after="0"/>
        <w:rPr>
          <w:rFonts w:eastAsiaTheme="minorHAnsi"/>
          <w:color w:val="000000"/>
          <w:sz w:val="22"/>
          <w:szCs w:val="22"/>
          <w:lang w:val="en-AU"/>
        </w:rPr>
      </w:pPr>
      <w:r w:rsidRPr="00A25AC7">
        <w:rPr>
          <w:rFonts w:eastAsiaTheme="minorHAnsi"/>
          <w:color w:val="000000"/>
          <w:sz w:val="22"/>
          <w:szCs w:val="22"/>
          <w:lang w:val="en-AU"/>
        </w:rPr>
        <w:t>Similarly, t</w:t>
      </w:r>
      <w:r w:rsidR="00BE1BAD" w:rsidRPr="00A25AC7">
        <w:rPr>
          <w:rFonts w:eastAsiaTheme="minorHAnsi"/>
          <w:color w:val="000000"/>
          <w:sz w:val="22"/>
          <w:szCs w:val="22"/>
          <w:lang w:val="en-AU"/>
        </w:rPr>
        <w:t xml:space="preserve">he Commonwealth </w:t>
      </w:r>
      <w:r w:rsidR="00791877">
        <w:rPr>
          <w:rFonts w:eastAsiaTheme="minorHAnsi"/>
          <w:color w:val="000000"/>
          <w:sz w:val="22"/>
          <w:szCs w:val="22"/>
          <w:lang w:val="en-AU"/>
        </w:rPr>
        <w:t>utilises</w:t>
      </w:r>
      <w:r w:rsidR="00BE1BAD" w:rsidRPr="00A25AC7">
        <w:rPr>
          <w:rFonts w:eastAsiaTheme="minorHAnsi"/>
          <w:color w:val="000000"/>
          <w:sz w:val="22"/>
          <w:szCs w:val="22"/>
          <w:lang w:val="en-AU"/>
        </w:rPr>
        <w:t xml:space="preserve"> the scheduling and classification of substances in the </w:t>
      </w:r>
      <w:r w:rsidR="00D244BF">
        <w:rPr>
          <w:rFonts w:eastAsiaTheme="minorHAnsi"/>
          <w:color w:val="000000"/>
          <w:sz w:val="22"/>
          <w:szCs w:val="22"/>
          <w:lang w:val="en-AU"/>
        </w:rPr>
        <w:t xml:space="preserve">current </w:t>
      </w:r>
      <w:r w:rsidR="00BE1BAD" w:rsidRPr="00A25AC7">
        <w:rPr>
          <w:rFonts w:eastAsiaTheme="minorHAnsi"/>
          <w:color w:val="000000"/>
          <w:sz w:val="22"/>
          <w:szCs w:val="22"/>
          <w:lang w:val="en-AU"/>
        </w:rPr>
        <w:t xml:space="preserve">Poisons Standard for </w:t>
      </w:r>
      <w:r w:rsidR="00791877">
        <w:rPr>
          <w:rFonts w:eastAsiaTheme="minorHAnsi"/>
          <w:color w:val="000000"/>
          <w:sz w:val="22"/>
          <w:szCs w:val="22"/>
          <w:lang w:val="en-AU"/>
        </w:rPr>
        <w:t xml:space="preserve">some </w:t>
      </w:r>
      <w:r w:rsidR="00BE1BAD" w:rsidRPr="00A25AC7">
        <w:rPr>
          <w:rFonts w:eastAsiaTheme="minorHAnsi"/>
          <w:color w:val="000000"/>
          <w:sz w:val="22"/>
          <w:szCs w:val="22"/>
          <w:lang w:val="en-AU"/>
        </w:rPr>
        <w:t xml:space="preserve">regulatory and enforcement purposes under the Act. </w:t>
      </w:r>
      <w:r w:rsidR="00791877">
        <w:rPr>
          <w:rFonts w:eastAsiaTheme="minorHAnsi"/>
          <w:color w:val="000000"/>
          <w:sz w:val="22"/>
          <w:szCs w:val="22"/>
          <w:lang w:val="en-AU"/>
        </w:rPr>
        <w:t xml:space="preserve"> </w:t>
      </w:r>
      <w:r w:rsidR="00BE1BAD" w:rsidRPr="00A25AC7">
        <w:rPr>
          <w:rFonts w:eastAsiaTheme="minorHAnsi"/>
          <w:color w:val="000000"/>
          <w:sz w:val="22"/>
          <w:szCs w:val="22"/>
          <w:lang w:val="en-AU"/>
        </w:rPr>
        <w:t>For example, the Act prohibits the publication or broadcasting of advertisements to consumers about prescription medicines containing substances included in Schedule 4 or Schedule 8 to the</w:t>
      </w:r>
      <w:r w:rsidR="00D244BF">
        <w:rPr>
          <w:rFonts w:eastAsiaTheme="minorHAnsi"/>
          <w:color w:val="000000"/>
          <w:sz w:val="22"/>
          <w:szCs w:val="22"/>
          <w:lang w:val="en-AU"/>
        </w:rPr>
        <w:t xml:space="preserve"> current</w:t>
      </w:r>
      <w:r w:rsidR="00BE1BAD" w:rsidRPr="00A25AC7">
        <w:rPr>
          <w:rFonts w:eastAsiaTheme="minorHAnsi"/>
          <w:color w:val="000000"/>
          <w:sz w:val="22"/>
          <w:szCs w:val="22"/>
          <w:lang w:val="en-AU"/>
        </w:rPr>
        <w:t xml:space="preserve"> Poisons Standard, or over-the-counter medicines containing substances included in Schedule 3 and not included in Appendix H of the</w:t>
      </w:r>
      <w:r w:rsidR="00D244BF">
        <w:rPr>
          <w:rFonts w:eastAsiaTheme="minorHAnsi"/>
          <w:color w:val="000000"/>
          <w:sz w:val="22"/>
          <w:szCs w:val="22"/>
          <w:lang w:val="en-AU"/>
        </w:rPr>
        <w:t xml:space="preserve"> current</w:t>
      </w:r>
      <w:r w:rsidR="00BE1BAD" w:rsidRPr="00A25AC7">
        <w:rPr>
          <w:rFonts w:eastAsiaTheme="minorHAnsi"/>
          <w:color w:val="000000"/>
          <w:sz w:val="22"/>
          <w:szCs w:val="22"/>
          <w:lang w:val="en-AU"/>
        </w:rPr>
        <w:t xml:space="preserve"> Poisons Standard. </w:t>
      </w:r>
      <w:r w:rsidR="0062233C">
        <w:rPr>
          <w:rFonts w:eastAsiaTheme="minorHAnsi"/>
          <w:color w:val="000000"/>
          <w:sz w:val="22"/>
          <w:szCs w:val="22"/>
          <w:lang w:val="en-AU"/>
        </w:rPr>
        <w:t xml:space="preserve"> </w:t>
      </w:r>
      <w:r w:rsidR="00BE1BAD" w:rsidRPr="00A25AC7">
        <w:rPr>
          <w:rFonts w:eastAsiaTheme="minorHAnsi"/>
          <w:color w:val="000000"/>
          <w:sz w:val="22"/>
          <w:szCs w:val="22"/>
          <w:lang w:val="en-AU"/>
        </w:rPr>
        <w:t xml:space="preserve">The advertising of substances included in Schedule 9 or Schedule 10 </w:t>
      </w:r>
      <w:r w:rsidR="00CF2FA8" w:rsidRPr="00A25AC7">
        <w:rPr>
          <w:rFonts w:eastAsiaTheme="minorHAnsi"/>
          <w:color w:val="000000"/>
          <w:sz w:val="22"/>
          <w:szCs w:val="22"/>
          <w:lang w:val="en-AU"/>
        </w:rPr>
        <w:t xml:space="preserve">to </w:t>
      </w:r>
      <w:r w:rsidR="00BE1BAD" w:rsidRPr="00A25AC7">
        <w:rPr>
          <w:rFonts w:eastAsiaTheme="minorHAnsi"/>
          <w:color w:val="000000"/>
          <w:sz w:val="22"/>
          <w:szCs w:val="22"/>
          <w:lang w:val="en-AU"/>
        </w:rPr>
        <w:t>the Poisons Standard is also prohibited.</w:t>
      </w:r>
    </w:p>
    <w:p w14:paraId="0F76B36C" w14:textId="77777777" w:rsidR="004813C1" w:rsidRPr="00A25AC7" w:rsidRDefault="004813C1" w:rsidP="004813C1">
      <w:pPr>
        <w:autoSpaceDE w:val="0"/>
        <w:autoSpaceDN w:val="0"/>
        <w:adjustRightInd w:val="0"/>
        <w:spacing w:before="0" w:after="0"/>
        <w:rPr>
          <w:rFonts w:eastAsiaTheme="minorHAnsi"/>
          <w:color w:val="000000"/>
          <w:sz w:val="22"/>
          <w:szCs w:val="22"/>
          <w:lang w:val="en-AU"/>
        </w:rPr>
      </w:pPr>
    </w:p>
    <w:p w14:paraId="59AC4C48" w14:textId="322EC067" w:rsidR="00D244BF" w:rsidRPr="00D244BF" w:rsidDel="00590E00" w:rsidRDefault="00D244BF" w:rsidP="003C3F2B">
      <w:pPr>
        <w:keepLines/>
        <w:autoSpaceDE w:val="0"/>
        <w:autoSpaceDN w:val="0"/>
        <w:adjustRightInd w:val="0"/>
        <w:spacing w:before="0" w:after="0"/>
        <w:rPr>
          <w:rFonts w:eastAsiaTheme="minorHAnsi"/>
          <w:b/>
          <w:bCs/>
          <w:color w:val="000000"/>
          <w:sz w:val="22"/>
          <w:szCs w:val="22"/>
          <w:lang w:val="en-AU"/>
        </w:rPr>
      </w:pPr>
      <w:r>
        <w:rPr>
          <w:rFonts w:eastAsiaTheme="minorHAnsi"/>
          <w:b/>
          <w:bCs/>
          <w:color w:val="000000"/>
          <w:sz w:val="22"/>
          <w:szCs w:val="22"/>
          <w:lang w:val="en-AU"/>
        </w:rPr>
        <w:t>Purpose</w:t>
      </w:r>
    </w:p>
    <w:p w14:paraId="13ED2160" w14:textId="097DC417" w:rsidR="004813C1" w:rsidRDefault="004813C1" w:rsidP="003C3F2B">
      <w:pPr>
        <w:autoSpaceDE w:val="0"/>
        <w:autoSpaceDN w:val="0"/>
        <w:adjustRightInd w:val="0"/>
        <w:spacing w:before="0" w:after="0"/>
        <w:rPr>
          <w:rFonts w:eastAsiaTheme="minorHAnsi"/>
          <w:color w:val="000000"/>
          <w:sz w:val="22"/>
          <w:szCs w:val="22"/>
          <w:lang w:val="en-AU"/>
        </w:rPr>
      </w:pPr>
    </w:p>
    <w:p w14:paraId="3F81FD68" w14:textId="1424141F" w:rsidR="00BB34B1" w:rsidRPr="00BB34B1" w:rsidRDefault="00372861" w:rsidP="003C3F2B">
      <w:pPr>
        <w:spacing w:before="0" w:after="0"/>
        <w:rPr>
          <w:rFonts w:eastAsiaTheme="minorHAnsi"/>
          <w:b/>
          <w:bCs/>
          <w:sz w:val="22"/>
          <w:szCs w:val="22"/>
          <w:lang w:val="en-AU"/>
        </w:rPr>
      </w:pPr>
      <w:r>
        <w:rPr>
          <w:iCs/>
          <w:sz w:val="22"/>
          <w:szCs w:val="22"/>
        </w:rPr>
        <w:t>Th</w:t>
      </w:r>
      <w:r w:rsidR="00ED6474">
        <w:rPr>
          <w:iCs/>
          <w:sz w:val="22"/>
          <w:szCs w:val="22"/>
        </w:rPr>
        <w:t>e</w:t>
      </w:r>
      <w:r>
        <w:rPr>
          <w:iCs/>
          <w:sz w:val="22"/>
          <w:szCs w:val="22"/>
        </w:rPr>
        <w:t xml:space="preserve"> Instrument </w:t>
      </w:r>
      <w:r w:rsidR="009737DD">
        <w:rPr>
          <w:iCs/>
          <w:sz w:val="22"/>
          <w:szCs w:val="22"/>
        </w:rPr>
        <w:t>incorporate</w:t>
      </w:r>
      <w:r>
        <w:rPr>
          <w:iCs/>
          <w:sz w:val="22"/>
          <w:szCs w:val="22"/>
        </w:rPr>
        <w:t>s</w:t>
      </w:r>
      <w:r w:rsidR="009737DD">
        <w:rPr>
          <w:iCs/>
          <w:sz w:val="22"/>
          <w:szCs w:val="22"/>
        </w:rPr>
        <w:t xml:space="preserve"> a number of changes to existing entries</w:t>
      </w:r>
      <w:r>
        <w:rPr>
          <w:iCs/>
          <w:sz w:val="22"/>
          <w:szCs w:val="22"/>
        </w:rPr>
        <w:t xml:space="preserve"> in the current Poisons </w:t>
      </w:r>
      <w:proofErr w:type="gramStart"/>
      <w:r>
        <w:rPr>
          <w:iCs/>
          <w:sz w:val="22"/>
          <w:szCs w:val="22"/>
        </w:rPr>
        <w:t>Standard</w:t>
      </w:r>
      <w:r w:rsidR="009737DD">
        <w:rPr>
          <w:iCs/>
          <w:sz w:val="22"/>
          <w:szCs w:val="22"/>
        </w:rPr>
        <w:t>, and</w:t>
      </w:r>
      <w:proofErr w:type="gramEnd"/>
      <w:r w:rsidR="009737DD">
        <w:rPr>
          <w:iCs/>
          <w:sz w:val="22"/>
          <w:szCs w:val="22"/>
        </w:rPr>
        <w:t xml:space="preserve"> include</w:t>
      </w:r>
      <w:r>
        <w:rPr>
          <w:iCs/>
          <w:sz w:val="22"/>
          <w:szCs w:val="22"/>
        </w:rPr>
        <w:t>s</w:t>
      </w:r>
      <w:r w:rsidR="009737DD">
        <w:rPr>
          <w:iCs/>
          <w:sz w:val="22"/>
          <w:szCs w:val="22"/>
        </w:rPr>
        <w:t xml:space="preserve"> a number of specified substances in the </w:t>
      </w:r>
      <w:r>
        <w:rPr>
          <w:iCs/>
          <w:sz w:val="22"/>
          <w:szCs w:val="22"/>
        </w:rPr>
        <w:t xml:space="preserve">current </w:t>
      </w:r>
      <w:r w:rsidR="009737DD">
        <w:rPr>
          <w:iCs/>
          <w:sz w:val="22"/>
          <w:szCs w:val="22"/>
        </w:rPr>
        <w:t xml:space="preserve">Poisons Standard for the first time. </w:t>
      </w:r>
      <w:r w:rsidR="00DF5A5C">
        <w:rPr>
          <w:iCs/>
          <w:sz w:val="22"/>
          <w:szCs w:val="22"/>
        </w:rPr>
        <w:t xml:space="preserve"> </w:t>
      </w:r>
      <w:r w:rsidR="004E66A4">
        <w:rPr>
          <w:rFonts w:eastAsiaTheme="minorHAnsi"/>
          <w:sz w:val="22"/>
          <w:szCs w:val="22"/>
          <w:lang w:val="en-AU"/>
        </w:rPr>
        <w:t xml:space="preserve">A number </w:t>
      </w:r>
      <w:r w:rsidR="004176FC" w:rsidRPr="00A25AC7">
        <w:rPr>
          <w:rFonts w:eastAsiaTheme="minorHAnsi"/>
          <w:sz w:val="22"/>
          <w:szCs w:val="22"/>
          <w:lang w:val="en-AU"/>
        </w:rPr>
        <w:t xml:space="preserve">of these changes were made following the provision of advice from the ACCS or the ACMS, in accordance with the procedures set out in Subdivision 3D.2 of Part 6 of the </w:t>
      </w:r>
      <w:r w:rsidR="004176FC" w:rsidRPr="00A25AC7">
        <w:rPr>
          <w:rFonts w:eastAsiaTheme="minorHAnsi"/>
          <w:i/>
          <w:sz w:val="22"/>
          <w:szCs w:val="22"/>
          <w:lang w:val="en-AU"/>
        </w:rPr>
        <w:t>Therapeutic Goods Regulations 1990</w:t>
      </w:r>
      <w:r w:rsidR="004176FC" w:rsidRPr="00A25AC7">
        <w:rPr>
          <w:rFonts w:eastAsiaTheme="minorHAnsi"/>
          <w:sz w:val="22"/>
          <w:szCs w:val="22"/>
          <w:lang w:val="en-AU"/>
        </w:rPr>
        <w:t xml:space="preserve"> for amending the Poisons Standard when a proposed amendment is referred to an expert advisory committee.</w:t>
      </w:r>
    </w:p>
    <w:p w14:paraId="44E85C24" w14:textId="17CB6C9D" w:rsidR="00BB34B1" w:rsidRDefault="00BB34B1" w:rsidP="003C3F2B">
      <w:pPr>
        <w:spacing w:before="0" w:after="0"/>
        <w:rPr>
          <w:rFonts w:eastAsiaTheme="minorHAnsi"/>
          <w:sz w:val="22"/>
          <w:szCs w:val="22"/>
          <w:lang w:val="en-AU"/>
        </w:rPr>
      </w:pPr>
    </w:p>
    <w:p w14:paraId="72127BE7" w14:textId="7C9B37F1" w:rsidR="00ED6474" w:rsidRPr="00ED6474" w:rsidRDefault="00ED6474" w:rsidP="003C3F2B">
      <w:pPr>
        <w:spacing w:before="0" w:after="0"/>
        <w:rPr>
          <w:rFonts w:eastAsiaTheme="minorHAnsi"/>
          <w:i/>
          <w:iCs/>
          <w:sz w:val="22"/>
          <w:szCs w:val="22"/>
          <w:lang w:val="en-AU"/>
        </w:rPr>
      </w:pPr>
      <w:r w:rsidRPr="00ED6474">
        <w:rPr>
          <w:rFonts w:eastAsiaTheme="minorHAnsi"/>
          <w:i/>
          <w:iCs/>
          <w:sz w:val="22"/>
          <w:szCs w:val="22"/>
          <w:lang w:val="en-AU"/>
        </w:rPr>
        <w:t xml:space="preserve">New </w:t>
      </w:r>
      <w:r w:rsidR="00FB4931">
        <w:rPr>
          <w:rFonts w:eastAsiaTheme="minorHAnsi"/>
          <w:i/>
          <w:iCs/>
          <w:sz w:val="22"/>
          <w:szCs w:val="22"/>
          <w:lang w:val="en-AU"/>
        </w:rPr>
        <w:t>schedule entries</w:t>
      </w:r>
    </w:p>
    <w:p w14:paraId="70B5248E" w14:textId="77777777" w:rsidR="00ED6474" w:rsidRDefault="00ED6474" w:rsidP="003C3F2B">
      <w:pPr>
        <w:spacing w:before="0" w:after="0"/>
        <w:rPr>
          <w:rFonts w:eastAsiaTheme="minorHAnsi"/>
          <w:sz w:val="22"/>
          <w:szCs w:val="22"/>
          <w:lang w:val="en-AU"/>
        </w:rPr>
      </w:pPr>
    </w:p>
    <w:p w14:paraId="674EC9B4" w14:textId="7F8092FF" w:rsidR="00FB4931" w:rsidRDefault="00ED6474" w:rsidP="003C3F2B">
      <w:pPr>
        <w:spacing w:before="0" w:after="0"/>
        <w:rPr>
          <w:rFonts w:eastAsiaTheme="minorHAnsi"/>
          <w:sz w:val="22"/>
          <w:szCs w:val="22"/>
          <w:lang w:val="en-AU"/>
        </w:rPr>
      </w:pPr>
      <w:r>
        <w:rPr>
          <w:rFonts w:eastAsiaTheme="minorHAnsi"/>
          <w:sz w:val="22"/>
          <w:szCs w:val="22"/>
          <w:lang w:val="en-AU"/>
        </w:rPr>
        <w:t>The Instrument</w:t>
      </w:r>
      <w:r w:rsidR="00FB4931">
        <w:rPr>
          <w:rFonts w:eastAsiaTheme="minorHAnsi"/>
          <w:sz w:val="22"/>
          <w:szCs w:val="22"/>
          <w:lang w:val="en-AU"/>
        </w:rPr>
        <w:t xml:space="preserve"> provides for the inclusion of a number of new substances (</w:t>
      </w:r>
      <w:proofErr w:type="gramStart"/>
      <w:r w:rsidR="00FB4931">
        <w:rPr>
          <w:rFonts w:eastAsiaTheme="minorHAnsi"/>
          <w:sz w:val="22"/>
          <w:szCs w:val="22"/>
          <w:lang w:val="en-AU"/>
        </w:rPr>
        <w:t>i.e.</w:t>
      </w:r>
      <w:proofErr w:type="gramEnd"/>
      <w:r w:rsidR="00FB4931">
        <w:rPr>
          <w:rFonts w:eastAsiaTheme="minorHAnsi"/>
          <w:sz w:val="22"/>
          <w:szCs w:val="22"/>
          <w:lang w:val="en-AU"/>
        </w:rPr>
        <w:t xml:space="preserve"> new chemical </w:t>
      </w:r>
      <w:r w:rsidR="00832E5C">
        <w:rPr>
          <w:rFonts w:eastAsiaTheme="minorHAnsi"/>
          <w:sz w:val="22"/>
          <w:szCs w:val="22"/>
          <w:lang w:val="en-AU"/>
        </w:rPr>
        <w:t>entities</w:t>
      </w:r>
      <w:r w:rsidR="00FB4931">
        <w:rPr>
          <w:rFonts w:eastAsiaTheme="minorHAnsi"/>
          <w:sz w:val="22"/>
          <w:szCs w:val="22"/>
          <w:lang w:val="en-AU"/>
        </w:rPr>
        <w:t>) in the Poisons Standard for the first time, including</w:t>
      </w:r>
      <w:r w:rsidR="001E296C">
        <w:rPr>
          <w:rFonts w:eastAsiaTheme="minorHAnsi"/>
          <w:sz w:val="22"/>
          <w:szCs w:val="22"/>
          <w:lang w:val="en-AU"/>
        </w:rPr>
        <w:t xml:space="preserve"> the following</w:t>
      </w:r>
      <w:r w:rsidR="00FB4931">
        <w:rPr>
          <w:rFonts w:eastAsiaTheme="minorHAnsi"/>
          <w:sz w:val="22"/>
          <w:szCs w:val="22"/>
          <w:lang w:val="en-AU"/>
        </w:rPr>
        <w:t>:</w:t>
      </w:r>
    </w:p>
    <w:p w14:paraId="0D68E168" w14:textId="2B651002" w:rsidR="00FB4931" w:rsidRDefault="000C6505" w:rsidP="00FB4931">
      <w:pPr>
        <w:pStyle w:val="ListParagraph"/>
        <w:numPr>
          <w:ilvl w:val="0"/>
          <w:numId w:val="4"/>
        </w:numPr>
        <w:spacing w:before="0" w:after="0"/>
        <w:rPr>
          <w:rFonts w:eastAsiaTheme="minorHAnsi"/>
          <w:sz w:val="22"/>
          <w:szCs w:val="22"/>
          <w:lang w:val="en-AU"/>
        </w:rPr>
      </w:pPr>
      <w:proofErr w:type="spellStart"/>
      <w:r>
        <w:rPr>
          <w:rFonts w:eastAsiaTheme="minorHAnsi"/>
          <w:sz w:val="22"/>
          <w:szCs w:val="22"/>
          <w:lang w:val="en-AU"/>
        </w:rPr>
        <w:t>A</w:t>
      </w:r>
      <w:r w:rsidR="00FB4931">
        <w:rPr>
          <w:rFonts w:eastAsiaTheme="minorHAnsi"/>
          <w:sz w:val="22"/>
          <w:szCs w:val="22"/>
          <w:lang w:val="en-AU"/>
        </w:rPr>
        <w:t>vacopan</w:t>
      </w:r>
      <w:proofErr w:type="spellEnd"/>
      <w:r>
        <w:rPr>
          <w:rFonts w:eastAsiaTheme="minorHAnsi"/>
          <w:sz w:val="22"/>
          <w:szCs w:val="22"/>
          <w:lang w:val="en-AU"/>
        </w:rPr>
        <w:t>,</w:t>
      </w:r>
      <w:r w:rsidR="00FB4931" w:rsidRPr="00FB4931">
        <w:rPr>
          <w:rFonts w:eastAsiaTheme="minorHAnsi"/>
          <w:sz w:val="22"/>
          <w:szCs w:val="22"/>
          <w:lang w:val="en-AU"/>
        </w:rPr>
        <w:t xml:space="preserve"> </w:t>
      </w:r>
      <w:r w:rsidR="00FB4931">
        <w:rPr>
          <w:rFonts w:eastAsiaTheme="minorHAnsi"/>
          <w:sz w:val="22"/>
          <w:szCs w:val="22"/>
          <w:lang w:val="en-AU"/>
        </w:rPr>
        <w:t xml:space="preserve">in Schedule 4 to the Poisons </w:t>
      </w:r>
      <w:proofErr w:type="gramStart"/>
      <w:r w:rsidR="00FB4931">
        <w:rPr>
          <w:rFonts w:eastAsiaTheme="minorHAnsi"/>
          <w:sz w:val="22"/>
          <w:szCs w:val="22"/>
          <w:lang w:val="en-AU"/>
        </w:rPr>
        <w:t>Standard</w:t>
      </w:r>
      <w:r w:rsidR="0054321E">
        <w:rPr>
          <w:rFonts w:eastAsiaTheme="minorHAnsi"/>
          <w:sz w:val="22"/>
          <w:szCs w:val="22"/>
          <w:lang w:val="en-AU"/>
        </w:rPr>
        <w:t>;</w:t>
      </w:r>
      <w:proofErr w:type="gramEnd"/>
    </w:p>
    <w:p w14:paraId="7A66F221" w14:textId="05770C96" w:rsidR="00FB4931" w:rsidRDefault="000C6505" w:rsidP="00FB4931">
      <w:pPr>
        <w:pStyle w:val="ListParagraph"/>
        <w:numPr>
          <w:ilvl w:val="0"/>
          <w:numId w:val="4"/>
        </w:numPr>
        <w:spacing w:before="0" w:after="0"/>
        <w:rPr>
          <w:rFonts w:eastAsiaTheme="minorHAnsi"/>
          <w:sz w:val="22"/>
          <w:szCs w:val="22"/>
          <w:lang w:val="en-AU"/>
        </w:rPr>
      </w:pPr>
      <w:proofErr w:type="spellStart"/>
      <w:r>
        <w:rPr>
          <w:rFonts w:eastAsiaTheme="minorHAnsi"/>
          <w:sz w:val="22"/>
          <w:szCs w:val="22"/>
          <w:lang w:val="en-AU"/>
        </w:rPr>
        <w:t>D</w:t>
      </w:r>
      <w:r w:rsidR="00FB4931">
        <w:rPr>
          <w:rFonts w:eastAsiaTheme="minorHAnsi"/>
          <w:sz w:val="22"/>
          <w:szCs w:val="22"/>
          <w:lang w:val="en-AU"/>
        </w:rPr>
        <w:t>eucravacitinib</w:t>
      </w:r>
      <w:proofErr w:type="spellEnd"/>
      <w:r>
        <w:rPr>
          <w:rFonts w:eastAsiaTheme="minorHAnsi"/>
          <w:sz w:val="22"/>
          <w:szCs w:val="22"/>
          <w:lang w:val="en-AU"/>
        </w:rPr>
        <w:t>,</w:t>
      </w:r>
      <w:r w:rsidR="00FB4931" w:rsidRPr="00FB4931">
        <w:rPr>
          <w:rFonts w:eastAsiaTheme="minorHAnsi"/>
          <w:sz w:val="22"/>
          <w:szCs w:val="22"/>
          <w:lang w:val="en-AU"/>
        </w:rPr>
        <w:t xml:space="preserve"> </w:t>
      </w:r>
      <w:r w:rsidR="00FB4931">
        <w:rPr>
          <w:rFonts w:eastAsiaTheme="minorHAnsi"/>
          <w:sz w:val="22"/>
          <w:szCs w:val="22"/>
          <w:lang w:val="en-AU"/>
        </w:rPr>
        <w:t xml:space="preserve">in Schedule 4 to the Poisons </w:t>
      </w:r>
      <w:proofErr w:type="gramStart"/>
      <w:r w:rsidR="00FB4931">
        <w:rPr>
          <w:rFonts w:eastAsiaTheme="minorHAnsi"/>
          <w:sz w:val="22"/>
          <w:szCs w:val="22"/>
          <w:lang w:val="en-AU"/>
        </w:rPr>
        <w:t>Standard</w:t>
      </w:r>
      <w:r w:rsidR="0054321E">
        <w:rPr>
          <w:rFonts w:eastAsiaTheme="minorHAnsi"/>
          <w:sz w:val="22"/>
          <w:szCs w:val="22"/>
          <w:lang w:val="en-AU"/>
        </w:rPr>
        <w:t>;</w:t>
      </w:r>
      <w:proofErr w:type="gramEnd"/>
    </w:p>
    <w:p w14:paraId="441FD441" w14:textId="53F7ABCF" w:rsidR="00FB4931" w:rsidRDefault="000C6505" w:rsidP="00FB4931">
      <w:pPr>
        <w:pStyle w:val="ListParagraph"/>
        <w:numPr>
          <w:ilvl w:val="0"/>
          <w:numId w:val="4"/>
        </w:numPr>
        <w:spacing w:before="0" w:after="0"/>
        <w:rPr>
          <w:rFonts w:eastAsiaTheme="minorHAnsi"/>
          <w:sz w:val="22"/>
          <w:szCs w:val="22"/>
          <w:lang w:val="en-AU"/>
        </w:rPr>
      </w:pPr>
      <w:proofErr w:type="spellStart"/>
      <w:r>
        <w:rPr>
          <w:rFonts w:eastAsiaTheme="minorHAnsi"/>
          <w:sz w:val="22"/>
          <w:szCs w:val="22"/>
          <w:lang w:val="en-AU"/>
        </w:rPr>
        <w:t>E</w:t>
      </w:r>
      <w:r w:rsidR="00FB4931">
        <w:rPr>
          <w:rFonts w:eastAsiaTheme="minorHAnsi"/>
          <w:sz w:val="22"/>
          <w:szCs w:val="22"/>
          <w:lang w:val="en-AU"/>
        </w:rPr>
        <w:t>daravone</w:t>
      </w:r>
      <w:proofErr w:type="spellEnd"/>
      <w:r>
        <w:rPr>
          <w:rFonts w:eastAsiaTheme="minorHAnsi"/>
          <w:sz w:val="22"/>
          <w:szCs w:val="22"/>
          <w:lang w:val="en-AU"/>
        </w:rPr>
        <w:t>,</w:t>
      </w:r>
      <w:r w:rsidR="00FB4931" w:rsidRPr="00FB4931">
        <w:rPr>
          <w:rFonts w:eastAsiaTheme="minorHAnsi"/>
          <w:sz w:val="22"/>
          <w:szCs w:val="22"/>
          <w:lang w:val="en-AU"/>
        </w:rPr>
        <w:t xml:space="preserve"> </w:t>
      </w:r>
      <w:r w:rsidR="00FB4931">
        <w:rPr>
          <w:rFonts w:eastAsiaTheme="minorHAnsi"/>
          <w:sz w:val="22"/>
          <w:szCs w:val="22"/>
          <w:lang w:val="en-AU"/>
        </w:rPr>
        <w:t xml:space="preserve">in Schedule 4 to the Poisons </w:t>
      </w:r>
      <w:proofErr w:type="gramStart"/>
      <w:r w:rsidR="00FB4931">
        <w:rPr>
          <w:rFonts w:eastAsiaTheme="minorHAnsi"/>
          <w:sz w:val="22"/>
          <w:szCs w:val="22"/>
          <w:lang w:val="en-AU"/>
        </w:rPr>
        <w:t>Standard</w:t>
      </w:r>
      <w:r w:rsidR="0054321E">
        <w:rPr>
          <w:rFonts w:eastAsiaTheme="minorHAnsi"/>
          <w:sz w:val="22"/>
          <w:szCs w:val="22"/>
          <w:lang w:val="en-AU"/>
        </w:rPr>
        <w:t>;</w:t>
      </w:r>
      <w:proofErr w:type="gramEnd"/>
    </w:p>
    <w:p w14:paraId="47AFCA3B" w14:textId="5D428FC6" w:rsidR="0054321E" w:rsidRPr="0054321E" w:rsidRDefault="000C6505" w:rsidP="0054321E">
      <w:pPr>
        <w:pStyle w:val="ListParagraph"/>
        <w:numPr>
          <w:ilvl w:val="0"/>
          <w:numId w:val="4"/>
        </w:numPr>
        <w:spacing w:before="0" w:after="0"/>
        <w:rPr>
          <w:rFonts w:eastAsiaTheme="minorHAnsi"/>
          <w:sz w:val="22"/>
          <w:szCs w:val="22"/>
          <w:lang w:val="en-AU"/>
        </w:rPr>
      </w:pPr>
      <w:r>
        <w:rPr>
          <w:rFonts w:eastAsiaTheme="minorHAnsi"/>
          <w:sz w:val="22"/>
          <w:szCs w:val="22"/>
          <w:lang w:val="en-AU"/>
        </w:rPr>
        <w:t>F</w:t>
      </w:r>
      <w:r w:rsidR="0054321E">
        <w:rPr>
          <w:rFonts w:eastAsiaTheme="minorHAnsi"/>
          <w:sz w:val="22"/>
          <w:szCs w:val="22"/>
          <w:lang w:val="en-AU"/>
        </w:rPr>
        <w:t>enpropidin</w:t>
      </w:r>
      <w:r>
        <w:rPr>
          <w:rFonts w:eastAsiaTheme="minorHAnsi"/>
          <w:sz w:val="22"/>
          <w:szCs w:val="22"/>
          <w:lang w:val="en-AU"/>
        </w:rPr>
        <w:t>,</w:t>
      </w:r>
      <w:r w:rsidR="0054321E">
        <w:rPr>
          <w:rFonts w:eastAsiaTheme="minorHAnsi"/>
          <w:sz w:val="22"/>
          <w:szCs w:val="22"/>
          <w:lang w:val="en-AU"/>
        </w:rPr>
        <w:t xml:space="preserve"> in Schedule 6</w:t>
      </w:r>
      <w:r w:rsidR="00D1229A">
        <w:rPr>
          <w:rFonts w:eastAsiaTheme="minorHAnsi"/>
          <w:sz w:val="22"/>
          <w:szCs w:val="22"/>
          <w:lang w:val="en-AU"/>
        </w:rPr>
        <w:t xml:space="preserve"> </w:t>
      </w:r>
      <w:r w:rsidR="00B42BEB">
        <w:rPr>
          <w:rFonts w:eastAsiaTheme="minorHAnsi"/>
          <w:sz w:val="22"/>
          <w:szCs w:val="22"/>
          <w:lang w:val="en-AU"/>
        </w:rPr>
        <w:t>to</w:t>
      </w:r>
      <w:r w:rsidR="00D1229A">
        <w:rPr>
          <w:rFonts w:eastAsiaTheme="minorHAnsi"/>
          <w:sz w:val="22"/>
          <w:szCs w:val="22"/>
          <w:lang w:val="en-AU"/>
        </w:rPr>
        <w:t xml:space="preserve"> the Poisons </w:t>
      </w:r>
      <w:proofErr w:type="gramStart"/>
      <w:r w:rsidR="00D1229A">
        <w:rPr>
          <w:rFonts w:eastAsiaTheme="minorHAnsi"/>
          <w:sz w:val="22"/>
          <w:szCs w:val="22"/>
          <w:lang w:val="en-AU"/>
        </w:rPr>
        <w:t>Standard</w:t>
      </w:r>
      <w:r w:rsidR="0054321E">
        <w:rPr>
          <w:rFonts w:eastAsiaTheme="minorHAnsi"/>
          <w:sz w:val="22"/>
          <w:szCs w:val="22"/>
          <w:lang w:val="en-AU"/>
        </w:rPr>
        <w:t>;</w:t>
      </w:r>
      <w:proofErr w:type="gramEnd"/>
    </w:p>
    <w:p w14:paraId="75CB5C79" w14:textId="47798ABC" w:rsidR="00FB4931" w:rsidRDefault="000C6505" w:rsidP="00FB4931">
      <w:pPr>
        <w:pStyle w:val="ListParagraph"/>
        <w:numPr>
          <w:ilvl w:val="0"/>
          <w:numId w:val="4"/>
        </w:numPr>
        <w:spacing w:before="0" w:after="0"/>
        <w:rPr>
          <w:rFonts w:eastAsiaTheme="minorHAnsi"/>
          <w:sz w:val="22"/>
          <w:szCs w:val="22"/>
          <w:lang w:val="en-AU"/>
        </w:rPr>
      </w:pPr>
      <w:proofErr w:type="spellStart"/>
      <w:r>
        <w:rPr>
          <w:rFonts w:eastAsiaTheme="minorHAnsi"/>
          <w:sz w:val="22"/>
          <w:szCs w:val="22"/>
          <w:lang w:val="en-AU"/>
        </w:rPr>
        <w:t>L</w:t>
      </w:r>
      <w:r w:rsidR="00FB4931">
        <w:rPr>
          <w:rFonts w:eastAsiaTheme="minorHAnsi"/>
          <w:sz w:val="22"/>
          <w:szCs w:val="22"/>
          <w:lang w:val="en-AU"/>
        </w:rPr>
        <w:t>enacapavir</w:t>
      </w:r>
      <w:proofErr w:type="spellEnd"/>
      <w:r>
        <w:rPr>
          <w:rFonts w:eastAsiaTheme="minorHAnsi"/>
          <w:sz w:val="22"/>
          <w:szCs w:val="22"/>
          <w:lang w:val="en-AU"/>
        </w:rPr>
        <w:t>,</w:t>
      </w:r>
      <w:r w:rsidR="00FB4931" w:rsidRPr="00FB4931">
        <w:rPr>
          <w:rFonts w:eastAsiaTheme="minorHAnsi"/>
          <w:sz w:val="22"/>
          <w:szCs w:val="22"/>
          <w:lang w:val="en-AU"/>
        </w:rPr>
        <w:t xml:space="preserve"> </w:t>
      </w:r>
      <w:r w:rsidR="00FB4931">
        <w:rPr>
          <w:rFonts w:eastAsiaTheme="minorHAnsi"/>
          <w:sz w:val="22"/>
          <w:szCs w:val="22"/>
          <w:lang w:val="en-AU"/>
        </w:rPr>
        <w:t xml:space="preserve">in Schedule 4 to the Poisons </w:t>
      </w:r>
      <w:proofErr w:type="gramStart"/>
      <w:r w:rsidR="00FB4931">
        <w:rPr>
          <w:rFonts w:eastAsiaTheme="minorHAnsi"/>
          <w:sz w:val="22"/>
          <w:szCs w:val="22"/>
          <w:lang w:val="en-AU"/>
        </w:rPr>
        <w:t>Standard</w:t>
      </w:r>
      <w:r w:rsidR="0054321E">
        <w:rPr>
          <w:rFonts w:eastAsiaTheme="minorHAnsi"/>
          <w:sz w:val="22"/>
          <w:szCs w:val="22"/>
          <w:lang w:val="en-AU"/>
        </w:rPr>
        <w:t>;</w:t>
      </w:r>
      <w:proofErr w:type="gramEnd"/>
    </w:p>
    <w:p w14:paraId="56703EF3" w14:textId="018F3542" w:rsidR="00FB4931" w:rsidRDefault="000C6505" w:rsidP="00FB4931">
      <w:pPr>
        <w:pStyle w:val="ListParagraph"/>
        <w:numPr>
          <w:ilvl w:val="0"/>
          <w:numId w:val="4"/>
        </w:numPr>
        <w:spacing w:before="0" w:after="0"/>
        <w:rPr>
          <w:rFonts w:eastAsiaTheme="minorHAnsi"/>
          <w:sz w:val="22"/>
          <w:szCs w:val="22"/>
          <w:lang w:val="en-AU"/>
        </w:rPr>
      </w:pPr>
      <w:proofErr w:type="spellStart"/>
      <w:r>
        <w:rPr>
          <w:rFonts w:eastAsiaTheme="minorHAnsi"/>
          <w:sz w:val="22"/>
          <w:szCs w:val="22"/>
          <w:lang w:val="en-AU"/>
        </w:rPr>
        <w:t>P</w:t>
      </w:r>
      <w:r w:rsidR="00FB4931">
        <w:rPr>
          <w:rFonts w:eastAsiaTheme="minorHAnsi"/>
          <w:sz w:val="22"/>
          <w:szCs w:val="22"/>
          <w:lang w:val="en-AU"/>
        </w:rPr>
        <w:t>atisiran</w:t>
      </w:r>
      <w:proofErr w:type="spellEnd"/>
      <w:r>
        <w:rPr>
          <w:rFonts w:eastAsiaTheme="minorHAnsi"/>
          <w:sz w:val="22"/>
          <w:szCs w:val="22"/>
          <w:lang w:val="en-AU"/>
        </w:rPr>
        <w:t>,</w:t>
      </w:r>
      <w:r w:rsidR="00FB4931">
        <w:rPr>
          <w:rFonts w:eastAsiaTheme="minorHAnsi"/>
          <w:sz w:val="22"/>
          <w:szCs w:val="22"/>
          <w:lang w:val="en-AU"/>
        </w:rPr>
        <w:t xml:space="preserve"> in Schedule 4 to the Poisons </w:t>
      </w:r>
      <w:proofErr w:type="gramStart"/>
      <w:r w:rsidR="00FB4931">
        <w:rPr>
          <w:rFonts w:eastAsiaTheme="minorHAnsi"/>
          <w:sz w:val="22"/>
          <w:szCs w:val="22"/>
          <w:lang w:val="en-AU"/>
        </w:rPr>
        <w:t>Standard;</w:t>
      </w:r>
      <w:proofErr w:type="gramEnd"/>
    </w:p>
    <w:p w14:paraId="38061E2C" w14:textId="3B846115" w:rsidR="00FB4931" w:rsidRPr="00FB4931" w:rsidRDefault="000C6505" w:rsidP="00FB4931">
      <w:pPr>
        <w:pStyle w:val="ListParagraph"/>
        <w:numPr>
          <w:ilvl w:val="0"/>
          <w:numId w:val="4"/>
        </w:numPr>
        <w:spacing w:before="0" w:after="0"/>
        <w:rPr>
          <w:rFonts w:eastAsiaTheme="minorHAnsi"/>
          <w:sz w:val="22"/>
          <w:szCs w:val="22"/>
          <w:lang w:val="en-AU"/>
        </w:rPr>
      </w:pPr>
      <w:proofErr w:type="spellStart"/>
      <w:r>
        <w:rPr>
          <w:rFonts w:eastAsiaTheme="minorHAnsi"/>
          <w:sz w:val="22"/>
          <w:szCs w:val="22"/>
          <w:lang w:val="en-AU"/>
        </w:rPr>
        <w:t>T</w:t>
      </w:r>
      <w:r w:rsidR="00FB4931">
        <w:rPr>
          <w:rFonts w:eastAsiaTheme="minorHAnsi"/>
          <w:sz w:val="22"/>
          <w:szCs w:val="22"/>
          <w:lang w:val="en-AU"/>
        </w:rPr>
        <w:t>irzepatide</w:t>
      </w:r>
      <w:proofErr w:type="spellEnd"/>
      <w:r>
        <w:rPr>
          <w:rFonts w:eastAsiaTheme="minorHAnsi"/>
          <w:sz w:val="22"/>
          <w:szCs w:val="22"/>
          <w:lang w:val="en-AU"/>
        </w:rPr>
        <w:t>,</w:t>
      </w:r>
      <w:r w:rsidR="00FB4931">
        <w:rPr>
          <w:rFonts w:eastAsiaTheme="minorHAnsi"/>
          <w:sz w:val="22"/>
          <w:szCs w:val="22"/>
          <w:lang w:val="en-AU"/>
        </w:rPr>
        <w:t xml:space="preserve"> in Schedule 4</w:t>
      </w:r>
      <w:r>
        <w:rPr>
          <w:rFonts w:eastAsiaTheme="minorHAnsi"/>
          <w:sz w:val="22"/>
          <w:szCs w:val="22"/>
          <w:lang w:val="en-AU"/>
        </w:rPr>
        <w:t>, and Appendix L,</w:t>
      </w:r>
      <w:r w:rsidR="00FB4931">
        <w:rPr>
          <w:rFonts w:eastAsiaTheme="minorHAnsi"/>
          <w:sz w:val="22"/>
          <w:szCs w:val="22"/>
          <w:lang w:val="en-AU"/>
        </w:rPr>
        <w:t xml:space="preserve"> to the Poisons Standard </w:t>
      </w:r>
      <w:r>
        <w:rPr>
          <w:rFonts w:eastAsiaTheme="minorHAnsi"/>
          <w:sz w:val="22"/>
          <w:szCs w:val="22"/>
          <w:lang w:val="en-AU"/>
        </w:rPr>
        <w:t>(</w:t>
      </w:r>
      <w:r w:rsidR="00FB4931">
        <w:rPr>
          <w:sz w:val="22"/>
          <w:szCs w:val="22"/>
        </w:rPr>
        <w:t>Appendix L sets out requirements that apply in relation to the dispensing labels of specified medicines</w:t>
      </w:r>
      <w:r>
        <w:rPr>
          <w:sz w:val="22"/>
          <w:szCs w:val="22"/>
        </w:rPr>
        <w:t>)</w:t>
      </w:r>
      <w:r w:rsidR="0054321E">
        <w:rPr>
          <w:sz w:val="22"/>
          <w:szCs w:val="22"/>
        </w:rPr>
        <w:t>.</w:t>
      </w:r>
    </w:p>
    <w:p w14:paraId="7C274FF9" w14:textId="77777777" w:rsidR="00FB4931" w:rsidRDefault="00FB4931" w:rsidP="00FB4931">
      <w:pPr>
        <w:spacing w:before="0" w:after="0"/>
        <w:rPr>
          <w:rFonts w:eastAsiaTheme="minorHAnsi"/>
          <w:sz w:val="22"/>
          <w:szCs w:val="22"/>
          <w:lang w:val="en-AU"/>
        </w:rPr>
      </w:pPr>
    </w:p>
    <w:p w14:paraId="05F87779" w14:textId="03008302" w:rsidR="00FB4931" w:rsidRDefault="00FB4931" w:rsidP="00FB4931">
      <w:pPr>
        <w:spacing w:before="0" w:after="0"/>
        <w:rPr>
          <w:rFonts w:eastAsiaTheme="minorHAnsi"/>
          <w:sz w:val="22"/>
          <w:szCs w:val="22"/>
          <w:lang w:val="en-AU"/>
        </w:rPr>
      </w:pPr>
      <w:r>
        <w:rPr>
          <w:rFonts w:eastAsiaTheme="minorHAnsi"/>
          <w:sz w:val="22"/>
          <w:szCs w:val="22"/>
          <w:lang w:val="en-AU"/>
        </w:rPr>
        <w:t xml:space="preserve">The Instrument </w:t>
      </w:r>
      <w:r w:rsidRPr="00FB4931">
        <w:rPr>
          <w:rFonts w:eastAsiaTheme="minorHAnsi"/>
          <w:sz w:val="22"/>
          <w:szCs w:val="22"/>
          <w:lang w:val="en-AU"/>
        </w:rPr>
        <w:t>also</w:t>
      </w:r>
      <w:r>
        <w:rPr>
          <w:rFonts w:eastAsiaTheme="minorHAnsi"/>
          <w:sz w:val="22"/>
          <w:szCs w:val="22"/>
          <w:lang w:val="en-AU"/>
        </w:rPr>
        <w:t xml:space="preserve"> introduces new schedule entries for existing substances, including a </w:t>
      </w:r>
      <w:r w:rsidR="000C6505">
        <w:rPr>
          <w:rFonts w:eastAsiaTheme="minorHAnsi"/>
          <w:sz w:val="22"/>
          <w:szCs w:val="22"/>
          <w:lang w:val="en-AU"/>
        </w:rPr>
        <w:t xml:space="preserve">new </w:t>
      </w:r>
      <w:r>
        <w:rPr>
          <w:rFonts w:eastAsiaTheme="minorHAnsi"/>
          <w:sz w:val="22"/>
          <w:szCs w:val="22"/>
          <w:lang w:val="en-AU"/>
        </w:rPr>
        <w:t>schedule entry for:</w:t>
      </w:r>
    </w:p>
    <w:p w14:paraId="6EDC30F6" w14:textId="45AE9448" w:rsidR="00FB4931" w:rsidRDefault="00FB4931" w:rsidP="00FB4931">
      <w:pPr>
        <w:pStyle w:val="ListParagraph"/>
        <w:numPr>
          <w:ilvl w:val="0"/>
          <w:numId w:val="4"/>
        </w:numPr>
        <w:spacing w:before="0" w:after="0"/>
        <w:rPr>
          <w:rFonts w:eastAsiaTheme="minorHAnsi"/>
          <w:sz w:val="22"/>
          <w:szCs w:val="22"/>
          <w:lang w:val="en-AU"/>
        </w:rPr>
      </w:pPr>
      <w:r>
        <w:rPr>
          <w:rFonts w:eastAsiaTheme="minorHAnsi"/>
          <w:sz w:val="22"/>
          <w:szCs w:val="22"/>
          <w:lang w:val="en-AU"/>
        </w:rPr>
        <w:t>meloxicam</w:t>
      </w:r>
      <w:r w:rsidR="000C6505">
        <w:rPr>
          <w:rFonts w:eastAsiaTheme="minorHAnsi"/>
          <w:sz w:val="22"/>
          <w:szCs w:val="22"/>
          <w:lang w:val="en-AU"/>
        </w:rPr>
        <w:t>,</w:t>
      </w:r>
      <w:r>
        <w:rPr>
          <w:rFonts w:eastAsiaTheme="minorHAnsi"/>
          <w:sz w:val="22"/>
          <w:szCs w:val="22"/>
          <w:lang w:val="en-AU"/>
        </w:rPr>
        <w:t xml:space="preserve"> in Schedule 6 to the Poisons Standard; and </w:t>
      </w:r>
    </w:p>
    <w:p w14:paraId="548C5A26" w14:textId="608D32BA" w:rsidR="00FB4931" w:rsidRPr="00FB4931" w:rsidRDefault="00FB4931" w:rsidP="00FB4931">
      <w:pPr>
        <w:pStyle w:val="ListParagraph"/>
        <w:numPr>
          <w:ilvl w:val="0"/>
          <w:numId w:val="4"/>
        </w:numPr>
        <w:spacing w:before="0" w:after="0"/>
        <w:rPr>
          <w:rFonts w:eastAsiaTheme="minorHAnsi"/>
          <w:sz w:val="22"/>
          <w:szCs w:val="22"/>
          <w:lang w:val="en-AU"/>
        </w:rPr>
      </w:pPr>
      <w:r w:rsidRPr="00FB4931">
        <w:rPr>
          <w:rFonts w:eastAsiaTheme="minorHAnsi"/>
          <w:sz w:val="22"/>
          <w:szCs w:val="22"/>
          <w:lang w:val="en-AU"/>
        </w:rPr>
        <w:t>fluralaner</w:t>
      </w:r>
      <w:r w:rsidR="000C6505">
        <w:rPr>
          <w:rFonts w:eastAsiaTheme="minorHAnsi"/>
          <w:sz w:val="22"/>
          <w:szCs w:val="22"/>
          <w:lang w:val="en-AU"/>
        </w:rPr>
        <w:t>,</w:t>
      </w:r>
      <w:r w:rsidRPr="00FB4931">
        <w:rPr>
          <w:rFonts w:eastAsiaTheme="minorHAnsi"/>
          <w:sz w:val="22"/>
          <w:szCs w:val="22"/>
          <w:lang w:val="en-AU"/>
        </w:rPr>
        <w:t xml:space="preserve"> </w:t>
      </w:r>
      <w:r>
        <w:rPr>
          <w:rFonts w:eastAsiaTheme="minorHAnsi"/>
          <w:sz w:val="22"/>
          <w:szCs w:val="22"/>
          <w:lang w:val="en-AU"/>
        </w:rPr>
        <w:t xml:space="preserve">in </w:t>
      </w:r>
      <w:r w:rsidRPr="00FB4931">
        <w:rPr>
          <w:rFonts w:eastAsiaTheme="minorHAnsi"/>
          <w:sz w:val="22"/>
          <w:szCs w:val="22"/>
          <w:lang w:val="en-AU"/>
        </w:rPr>
        <w:t xml:space="preserve">Schedule 4 </w:t>
      </w:r>
      <w:r>
        <w:rPr>
          <w:rFonts w:eastAsiaTheme="minorHAnsi"/>
          <w:sz w:val="22"/>
          <w:szCs w:val="22"/>
          <w:lang w:val="en-AU"/>
        </w:rPr>
        <w:t>to the Poisons Standard</w:t>
      </w:r>
      <w:r w:rsidRPr="00FB4931">
        <w:rPr>
          <w:rFonts w:eastAsiaTheme="minorHAnsi"/>
          <w:sz w:val="22"/>
          <w:szCs w:val="22"/>
          <w:lang w:val="en-AU"/>
        </w:rPr>
        <w:t xml:space="preserve">, </w:t>
      </w:r>
      <w:r w:rsidR="000C6505">
        <w:rPr>
          <w:rFonts w:eastAsiaTheme="minorHAnsi"/>
          <w:sz w:val="22"/>
          <w:szCs w:val="22"/>
          <w:lang w:val="en-AU"/>
        </w:rPr>
        <w:t>with</w:t>
      </w:r>
      <w:r w:rsidRPr="00FB4931">
        <w:rPr>
          <w:rFonts w:eastAsiaTheme="minorHAnsi"/>
          <w:sz w:val="22"/>
          <w:szCs w:val="22"/>
          <w:lang w:val="en-AU"/>
        </w:rPr>
        <w:t xml:space="preserve"> a consequential amendment to the Schedule 5 entry for </w:t>
      </w:r>
      <w:r w:rsidR="00CB7F62" w:rsidRPr="00FB4931">
        <w:rPr>
          <w:rFonts w:eastAsiaTheme="minorHAnsi"/>
          <w:sz w:val="22"/>
          <w:szCs w:val="22"/>
          <w:lang w:val="en-AU"/>
        </w:rPr>
        <w:t>fluralaner</w:t>
      </w:r>
      <w:r w:rsidRPr="00FB4931">
        <w:rPr>
          <w:rFonts w:eastAsiaTheme="minorHAnsi"/>
          <w:sz w:val="22"/>
          <w:szCs w:val="22"/>
          <w:lang w:val="en-AU"/>
        </w:rPr>
        <w:t>.</w:t>
      </w:r>
    </w:p>
    <w:p w14:paraId="3AE151F4" w14:textId="432187C4" w:rsidR="00ED6474" w:rsidRDefault="00ED6474" w:rsidP="003C3F2B">
      <w:pPr>
        <w:spacing w:before="0" w:after="0"/>
        <w:rPr>
          <w:rFonts w:eastAsiaTheme="minorHAnsi"/>
          <w:sz w:val="22"/>
          <w:szCs w:val="22"/>
          <w:lang w:val="en-AU"/>
        </w:rPr>
      </w:pPr>
    </w:p>
    <w:p w14:paraId="59B11B6F" w14:textId="77777777" w:rsidR="00E95B66" w:rsidRDefault="00E95B66">
      <w:pPr>
        <w:spacing w:before="0" w:after="200" w:line="276" w:lineRule="auto"/>
        <w:rPr>
          <w:rFonts w:eastAsiaTheme="minorHAnsi"/>
          <w:i/>
          <w:iCs/>
          <w:sz w:val="22"/>
          <w:szCs w:val="22"/>
          <w:lang w:val="en-AU"/>
        </w:rPr>
      </w:pPr>
      <w:r>
        <w:rPr>
          <w:rFonts w:eastAsiaTheme="minorHAnsi"/>
          <w:i/>
          <w:iCs/>
          <w:sz w:val="22"/>
          <w:szCs w:val="22"/>
          <w:lang w:val="en-AU"/>
        </w:rPr>
        <w:br w:type="page"/>
      </w:r>
    </w:p>
    <w:p w14:paraId="7862325B" w14:textId="775D8480" w:rsidR="00FB4931" w:rsidRPr="00FB4931" w:rsidRDefault="00FB4931" w:rsidP="003C3F2B">
      <w:pPr>
        <w:spacing w:before="0" w:after="0"/>
        <w:rPr>
          <w:rFonts w:eastAsiaTheme="minorHAnsi"/>
          <w:i/>
          <w:iCs/>
          <w:sz w:val="22"/>
          <w:szCs w:val="22"/>
          <w:lang w:val="en-AU"/>
        </w:rPr>
      </w:pPr>
      <w:r w:rsidRPr="00FB4931">
        <w:rPr>
          <w:rFonts w:eastAsiaTheme="minorHAnsi"/>
          <w:i/>
          <w:iCs/>
          <w:sz w:val="22"/>
          <w:szCs w:val="22"/>
          <w:lang w:val="en-AU"/>
        </w:rPr>
        <w:lastRenderedPageBreak/>
        <w:t>Amendments to schedule entries</w:t>
      </w:r>
    </w:p>
    <w:p w14:paraId="2B51EBD8" w14:textId="51A4CE11" w:rsidR="00FB4931" w:rsidRDefault="00FB4931" w:rsidP="00FB4931">
      <w:pPr>
        <w:spacing w:before="0" w:after="0"/>
        <w:ind w:left="360" w:hanging="360"/>
        <w:rPr>
          <w:rFonts w:eastAsiaTheme="minorHAnsi"/>
          <w:sz w:val="22"/>
          <w:szCs w:val="22"/>
          <w:lang w:val="en-AU"/>
        </w:rPr>
      </w:pPr>
    </w:p>
    <w:p w14:paraId="3A8254F7" w14:textId="5B8A119E" w:rsidR="00FB4931" w:rsidRPr="00FB4931" w:rsidRDefault="00FB4931" w:rsidP="0054321E">
      <w:pPr>
        <w:spacing w:before="0" w:after="0"/>
        <w:rPr>
          <w:rFonts w:eastAsiaTheme="minorHAnsi"/>
          <w:sz w:val="22"/>
          <w:szCs w:val="22"/>
          <w:lang w:val="en-AU"/>
        </w:rPr>
      </w:pPr>
      <w:r>
        <w:rPr>
          <w:rFonts w:eastAsiaTheme="minorHAnsi"/>
          <w:sz w:val="22"/>
          <w:szCs w:val="22"/>
          <w:lang w:val="en-AU"/>
        </w:rPr>
        <w:t xml:space="preserve">The Instrument includes amendments to existing schedule entries for </w:t>
      </w:r>
      <w:proofErr w:type="gramStart"/>
      <w:r>
        <w:rPr>
          <w:rFonts w:eastAsiaTheme="minorHAnsi"/>
          <w:sz w:val="22"/>
          <w:szCs w:val="22"/>
          <w:lang w:val="en-AU"/>
        </w:rPr>
        <w:t>a number of</w:t>
      </w:r>
      <w:proofErr w:type="gramEnd"/>
      <w:r>
        <w:rPr>
          <w:rFonts w:eastAsiaTheme="minorHAnsi"/>
          <w:sz w:val="22"/>
          <w:szCs w:val="22"/>
          <w:lang w:val="en-AU"/>
        </w:rPr>
        <w:t xml:space="preserve"> substances, including the following:</w:t>
      </w:r>
    </w:p>
    <w:p w14:paraId="19C6C2EA" w14:textId="46E1E518" w:rsidR="00ED6474" w:rsidRDefault="00ED6474" w:rsidP="00ED6474">
      <w:pPr>
        <w:pStyle w:val="ListParagraph"/>
        <w:numPr>
          <w:ilvl w:val="0"/>
          <w:numId w:val="4"/>
        </w:numPr>
        <w:spacing w:before="0" w:after="0"/>
        <w:rPr>
          <w:rFonts w:eastAsiaTheme="minorHAnsi"/>
          <w:sz w:val="22"/>
          <w:szCs w:val="22"/>
          <w:lang w:val="en-AU"/>
        </w:rPr>
      </w:pPr>
      <w:r w:rsidRPr="007B5F97">
        <w:rPr>
          <w:rFonts w:eastAsiaTheme="minorHAnsi"/>
          <w:sz w:val="22"/>
          <w:szCs w:val="22"/>
          <w:lang w:val="en-AU"/>
        </w:rPr>
        <w:t>amendments to the</w:t>
      </w:r>
      <w:r>
        <w:rPr>
          <w:rFonts w:eastAsiaTheme="minorHAnsi"/>
          <w:sz w:val="22"/>
          <w:szCs w:val="22"/>
          <w:lang w:val="en-AU"/>
        </w:rPr>
        <w:t xml:space="preserve"> Schedule</w:t>
      </w:r>
      <w:r w:rsidRPr="007B5F97">
        <w:rPr>
          <w:rFonts w:eastAsiaTheme="minorHAnsi"/>
          <w:sz w:val="22"/>
          <w:szCs w:val="22"/>
          <w:lang w:val="en-AU"/>
        </w:rPr>
        <w:t xml:space="preserve"> entries for cetirizine, </w:t>
      </w:r>
      <w:proofErr w:type="spellStart"/>
      <w:r w:rsidRPr="007B5F97">
        <w:rPr>
          <w:rFonts w:eastAsiaTheme="minorHAnsi"/>
          <w:sz w:val="22"/>
          <w:szCs w:val="22"/>
          <w:lang w:val="en-AU"/>
        </w:rPr>
        <w:t>apronal</w:t>
      </w:r>
      <w:proofErr w:type="spellEnd"/>
      <w:r w:rsidRPr="007B5F97">
        <w:rPr>
          <w:rFonts w:eastAsiaTheme="minorHAnsi"/>
          <w:sz w:val="22"/>
          <w:szCs w:val="22"/>
          <w:lang w:val="en-AU"/>
        </w:rPr>
        <w:t xml:space="preserve">, </w:t>
      </w:r>
      <w:r w:rsidR="00D1229A">
        <w:rPr>
          <w:rFonts w:eastAsiaTheme="minorHAnsi"/>
          <w:sz w:val="22"/>
          <w:szCs w:val="22"/>
          <w:lang w:val="en-AU"/>
        </w:rPr>
        <w:t>tretino</w:t>
      </w:r>
      <w:r w:rsidR="00DD127C">
        <w:rPr>
          <w:rFonts w:eastAsiaTheme="minorHAnsi"/>
          <w:sz w:val="22"/>
          <w:szCs w:val="22"/>
          <w:lang w:val="en-AU"/>
        </w:rPr>
        <w:t>i</w:t>
      </w:r>
      <w:r w:rsidR="00D1229A">
        <w:rPr>
          <w:rFonts w:eastAsiaTheme="minorHAnsi"/>
          <w:sz w:val="22"/>
          <w:szCs w:val="22"/>
          <w:lang w:val="en-AU"/>
        </w:rPr>
        <w:t>n</w:t>
      </w:r>
      <w:r w:rsidRPr="007B5F97">
        <w:rPr>
          <w:rFonts w:eastAsiaTheme="minorHAnsi"/>
          <w:sz w:val="22"/>
          <w:szCs w:val="22"/>
          <w:lang w:val="en-AU"/>
        </w:rPr>
        <w:t xml:space="preserve">, and </w:t>
      </w:r>
      <w:proofErr w:type="gramStart"/>
      <w:r w:rsidRPr="007B5F97">
        <w:rPr>
          <w:rFonts w:eastAsiaTheme="minorHAnsi"/>
          <w:sz w:val="22"/>
          <w:szCs w:val="22"/>
          <w:lang w:val="en-AU"/>
        </w:rPr>
        <w:t>dichloromethane</w:t>
      </w:r>
      <w:r>
        <w:rPr>
          <w:rFonts w:eastAsiaTheme="minorHAnsi"/>
          <w:sz w:val="22"/>
          <w:szCs w:val="22"/>
          <w:lang w:val="en-AU"/>
        </w:rPr>
        <w:t>;</w:t>
      </w:r>
      <w:proofErr w:type="gramEnd"/>
    </w:p>
    <w:p w14:paraId="79305D33" w14:textId="73D2F1A2" w:rsidR="00ED6474" w:rsidRDefault="00ED6474" w:rsidP="00ED6474">
      <w:pPr>
        <w:pStyle w:val="ListParagraph"/>
        <w:numPr>
          <w:ilvl w:val="0"/>
          <w:numId w:val="4"/>
        </w:numPr>
        <w:spacing w:before="0" w:after="0"/>
        <w:rPr>
          <w:rFonts w:eastAsiaTheme="minorHAnsi"/>
          <w:sz w:val="22"/>
          <w:szCs w:val="22"/>
          <w:lang w:val="en-AU"/>
        </w:rPr>
      </w:pPr>
      <w:r>
        <w:rPr>
          <w:rFonts w:eastAsiaTheme="minorHAnsi"/>
          <w:sz w:val="22"/>
          <w:szCs w:val="22"/>
          <w:lang w:val="en-AU"/>
        </w:rPr>
        <w:t>amendments to</w:t>
      </w:r>
      <w:r w:rsidRPr="007B5F97">
        <w:rPr>
          <w:rFonts w:eastAsiaTheme="minorHAnsi"/>
          <w:sz w:val="22"/>
          <w:szCs w:val="22"/>
          <w:lang w:val="en-AU"/>
        </w:rPr>
        <w:t xml:space="preserve"> the nomenclature for MDMA and MDA</w:t>
      </w:r>
      <w:r>
        <w:rPr>
          <w:rFonts w:eastAsiaTheme="minorHAnsi"/>
          <w:sz w:val="22"/>
          <w:szCs w:val="22"/>
          <w:lang w:val="en-AU"/>
        </w:rPr>
        <w:t>; and</w:t>
      </w:r>
    </w:p>
    <w:p w14:paraId="4F7477B2" w14:textId="4BF76ECD" w:rsidR="00ED6474" w:rsidRDefault="00FB4931" w:rsidP="00ED6474">
      <w:pPr>
        <w:pStyle w:val="ListParagraph"/>
        <w:numPr>
          <w:ilvl w:val="0"/>
          <w:numId w:val="4"/>
        </w:numPr>
        <w:spacing w:before="0" w:after="0"/>
        <w:rPr>
          <w:rFonts w:eastAsiaTheme="minorHAnsi"/>
          <w:sz w:val="22"/>
          <w:szCs w:val="22"/>
          <w:lang w:val="en-AU"/>
        </w:rPr>
      </w:pPr>
      <w:r>
        <w:rPr>
          <w:rFonts w:eastAsiaTheme="minorHAnsi"/>
          <w:sz w:val="22"/>
          <w:szCs w:val="22"/>
          <w:lang w:val="en-AU"/>
        </w:rPr>
        <w:t xml:space="preserve">the </w:t>
      </w:r>
      <w:r w:rsidR="00ED6474">
        <w:rPr>
          <w:rFonts w:eastAsiaTheme="minorHAnsi"/>
          <w:sz w:val="22"/>
          <w:szCs w:val="22"/>
          <w:lang w:val="en-AU"/>
        </w:rPr>
        <w:t>inclusion</w:t>
      </w:r>
      <w:r w:rsidR="00ED6474" w:rsidRPr="007B5F97">
        <w:rPr>
          <w:rFonts w:eastAsiaTheme="minorHAnsi"/>
          <w:sz w:val="22"/>
          <w:szCs w:val="22"/>
          <w:lang w:val="en-AU"/>
        </w:rPr>
        <w:t xml:space="preserve"> </w:t>
      </w:r>
      <w:r w:rsidR="00ED6474">
        <w:rPr>
          <w:rFonts w:eastAsiaTheme="minorHAnsi"/>
          <w:sz w:val="22"/>
          <w:szCs w:val="22"/>
          <w:lang w:val="en-AU"/>
        </w:rPr>
        <w:t>of</w:t>
      </w:r>
      <w:r w:rsidR="00ED6474" w:rsidRPr="007B5F97">
        <w:rPr>
          <w:rFonts w:eastAsiaTheme="minorHAnsi"/>
          <w:sz w:val="22"/>
          <w:szCs w:val="22"/>
          <w:lang w:val="en-AU"/>
        </w:rPr>
        <w:t xml:space="preserve"> helional and </w:t>
      </w:r>
      <w:proofErr w:type="spellStart"/>
      <w:r w:rsidR="00ED6474" w:rsidRPr="007B5F97">
        <w:rPr>
          <w:rFonts w:eastAsiaTheme="minorHAnsi"/>
          <w:sz w:val="22"/>
          <w:szCs w:val="22"/>
          <w:lang w:val="en-AU"/>
        </w:rPr>
        <w:t>ipflufenoquin</w:t>
      </w:r>
      <w:proofErr w:type="spellEnd"/>
      <w:r w:rsidR="00ED6474" w:rsidRPr="007B5F97">
        <w:rPr>
          <w:rFonts w:eastAsiaTheme="minorHAnsi"/>
          <w:sz w:val="22"/>
          <w:szCs w:val="22"/>
          <w:lang w:val="en-AU"/>
        </w:rPr>
        <w:t xml:space="preserve"> in Appendix B of the Poisons Standard</w:t>
      </w:r>
      <w:r w:rsidR="00ED6474">
        <w:rPr>
          <w:rFonts w:eastAsiaTheme="minorHAnsi"/>
          <w:sz w:val="22"/>
          <w:szCs w:val="22"/>
          <w:lang w:val="en-AU"/>
        </w:rPr>
        <w:t>, which contains a list of substances for which the available information indicates that inclusion in the Poisons Standard is either unnecessary or not the most appropriate means of controlling the risk to public health</w:t>
      </w:r>
      <w:r w:rsidR="00ED6474" w:rsidRPr="007B5F97">
        <w:rPr>
          <w:rFonts w:eastAsiaTheme="minorHAnsi"/>
          <w:sz w:val="22"/>
          <w:szCs w:val="22"/>
          <w:lang w:val="en-AU"/>
        </w:rPr>
        <w:t xml:space="preserve">.  </w:t>
      </w:r>
    </w:p>
    <w:p w14:paraId="3EFA0CB8" w14:textId="23B761A7" w:rsidR="00ED6474" w:rsidRDefault="00ED6474" w:rsidP="003C3F2B">
      <w:pPr>
        <w:spacing w:before="0" w:after="0"/>
        <w:rPr>
          <w:rFonts w:eastAsiaTheme="minorHAnsi"/>
          <w:sz w:val="22"/>
          <w:szCs w:val="22"/>
          <w:lang w:val="en-AU"/>
        </w:rPr>
      </w:pPr>
    </w:p>
    <w:p w14:paraId="4B13D938" w14:textId="5A546F95" w:rsidR="00ED6474" w:rsidRDefault="00ED6474" w:rsidP="003C3F2B">
      <w:pPr>
        <w:spacing w:before="0" w:after="0"/>
        <w:rPr>
          <w:rFonts w:eastAsiaTheme="minorHAnsi"/>
          <w:iCs/>
          <w:sz w:val="22"/>
          <w:szCs w:val="22"/>
          <w:lang w:val="en-AU"/>
        </w:rPr>
      </w:pPr>
      <w:r>
        <w:rPr>
          <w:rFonts w:eastAsiaTheme="minorHAnsi"/>
          <w:sz w:val="22"/>
          <w:szCs w:val="22"/>
        </w:rPr>
        <w:t xml:space="preserve">The </w:t>
      </w:r>
      <w:r w:rsidR="00CA7292">
        <w:rPr>
          <w:rFonts w:eastAsiaTheme="minorHAnsi"/>
          <w:sz w:val="22"/>
          <w:szCs w:val="22"/>
          <w:lang w:val="en-AU"/>
        </w:rPr>
        <w:t>Instrument</w:t>
      </w:r>
      <w:r>
        <w:rPr>
          <w:rFonts w:eastAsiaTheme="minorHAnsi"/>
          <w:i/>
          <w:sz w:val="22"/>
          <w:szCs w:val="22"/>
          <w:lang w:val="en-AU"/>
        </w:rPr>
        <w:t xml:space="preserve"> </w:t>
      </w:r>
      <w:r>
        <w:rPr>
          <w:rFonts w:eastAsiaTheme="minorHAnsi"/>
          <w:iCs/>
          <w:sz w:val="22"/>
          <w:szCs w:val="22"/>
          <w:lang w:val="en-AU"/>
        </w:rPr>
        <w:t xml:space="preserve">also </w:t>
      </w:r>
      <w:r w:rsidR="00CA7292">
        <w:rPr>
          <w:rFonts w:eastAsiaTheme="minorHAnsi"/>
          <w:iCs/>
          <w:sz w:val="22"/>
          <w:szCs w:val="22"/>
          <w:lang w:val="en-AU"/>
        </w:rPr>
        <w:t xml:space="preserve">includes </w:t>
      </w:r>
      <w:r>
        <w:rPr>
          <w:rFonts w:eastAsiaTheme="minorHAnsi"/>
          <w:iCs/>
          <w:sz w:val="22"/>
          <w:szCs w:val="22"/>
          <w:lang w:val="en-AU"/>
        </w:rPr>
        <w:t xml:space="preserve">amendments to various </w:t>
      </w:r>
      <w:r w:rsidR="00FB4931">
        <w:rPr>
          <w:rFonts w:eastAsiaTheme="minorHAnsi"/>
          <w:iCs/>
          <w:sz w:val="22"/>
          <w:szCs w:val="22"/>
          <w:lang w:val="en-AU"/>
        </w:rPr>
        <w:t>s</w:t>
      </w:r>
      <w:r>
        <w:rPr>
          <w:rFonts w:eastAsiaTheme="minorHAnsi"/>
          <w:iCs/>
          <w:sz w:val="22"/>
          <w:szCs w:val="22"/>
          <w:lang w:val="en-AU"/>
        </w:rPr>
        <w:t xml:space="preserve">chedule entries for aspirin, flurbiprofen, and ibuprofen.  </w:t>
      </w:r>
      <w:r w:rsidR="00AF1310">
        <w:rPr>
          <w:rFonts w:eastAsiaTheme="minorHAnsi"/>
          <w:iCs/>
          <w:sz w:val="22"/>
          <w:szCs w:val="22"/>
          <w:lang w:val="en-AU"/>
        </w:rPr>
        <w:t>I</w:t>
      </w:r>
      <w:r w:rsidR="000C6505">
        <w:rPr>
          <w:rFonts w:eastAsiaTheme="minorHAnsi"/>
          <w:iCs/>
          <w:sz w:val="22"/>
          <w:szCs w:val="22"/>
          <w:lang w:val="en-AU"/>
        </w:rPr>
        <w:t>t is important to note that t</w:t>
      </w:r>
      <w:r>
        <w:rPr>
          <w:rFonts w:eastAsiaTheme="minorHAnsi"/>
          <w:iCs/>
          <w:sz w:val="22"/>
          <w:szCs w:val="22"/>
          <w:lang w:val="en-AU"/>
        </w:rPr>
        <w:t xml:space="preserve">hese amendments are designed </w:t>
      </w:r>
      <w:r w:rsidR="000C6505">
        <w:rPr>
          <w:rFonts w:eastAsiaTheme="minorHAnsi"/>
          <w:iCs/>
          <w:sz w:val="22"/>
          <w:szCs w:val="22"/>
          <w:lang w:val="en-AU"/>
        </w:rPr>
        <w:t xml:space="preserve">solely </w:t>
      </w:r>
      <w:r>
        <w:rPr>
          <w:rFonts w:eastAsiaTheme="minorHAnsi"/>
          <w:iCs/>
          <w:sz w:val="22"/>
          <w:szCs w:val="22"/>
          <w:lang w:val="en-AU"/>
        </w:rPr>
        <w:t xml:space="preserve">to </w:t>
      </w:r>
      <w:r w:rsidR="0054321E">
        <w:rPr>
          <w:rFonts w:eastAsiaTheme="minorHAnsi"/>
          <w:iCs/>
          <w:sz w:val="22"/>
          <w:szCs w:val="22"/>
          <w:lang w:val="en-AU"/>
        </w:rPr>
        <w:t>improve</w:t>
      </w:r>
      <w:r>
        <w:rPr>
          <w:rFonts w:eastAsiaTheme="minorHAnsi"/>
          <w:iCs/>
          <w:sz w:val="22"/>
          <w:szCs w:val="22"/>
          <w:lang w:val="en-AU"/>
        </w:rPr>
        <w:t xml:space="preserve"> the readability and clarity of the </w:t>
      </w:r>
      <w:r w:rsidR="00FB4931">
        <w:rPr>
          <w:rFonts w:eastAsiaTheme="minorHAnsi"/>
          <w:iCs/>
          <w:sz w:val="22"/>
          <w:szCs w:val="22"/>
          <w:lang w:val="en-AU"/>
        </w:rPr>
        <w:t>s</w:t>
      </w:r>
      <w:r>
        <w:rPr>
          <w:rFonts w:eastAsiaTheme="minorHAnsi"/>
          <w:iCs/>
          <w:sz w:val="22"/>
          <w:szCs w:val="22"/>
          <w:lang w:val="en-AU"/>
        </w:rPr>
        <w:t xml:space="preserve">chedule entries for these </w:t>
      </w:r>
      <w:r w:rsidR="00FB4931">
        <w:rPr>
          <w:rFonts w:eastAsiaTheme="minorHAnsi"/>
          <w:iCs/>
          <w:sz w:val="22"/>
          <w:szCs w:val="22"/>
          <w:lang w:val="en-AU"/>
        </w:rPr>
        <w:t>substances</w:t>
      </w:r>
      <w:r>
        <w:rPr>
          <w:rFonts w:eastAsiaTheme="minorHAnsi"/>
          <w:iCs/>
          <w:sz w:val="22"/>
          <w:szCs w:val="22"/>
          <w:lang w:val="en-AU"/>
        </w:rPr>
        <w:t xml:space="preserve">, and do not alter the </w:t>
      </w:r>
      <w:r w:rsidR="00FB4931">
        <w:rPr>
          <w:rFonts w:eastAsiaTheme="minorHAnsi"/>
          <w:iCs/>
          <w:sz w:val="22"/>
          <w:szCs w:val="22"/>
          <w:lang w:val="en-AU"/>
        </w:rPr>
        <w:t>substantive content or effect</w:t>
      </w:r>
      <w:r>
        <w:rPr>
          <w:rFonts w:eastAsiaTheme="minorHAnsi"/>
          <w:iCs/>
          <w:sz w:val="22"/>
          <w:szCs w:val="22"/>
          <w:lang w:val="en-AU"/>
        </w:rPr>
        <w:t xml:space="preserve"> of those </w:t>
      </w:r>
      <w:r w:rsidR="00FB4931">
        <w:rPr>
          <w:rFonts w:eastAsiaTheme="minorHAnsi"/>
          <w:iCs/>
          <w:sz w:val="22"/>
          <w:szCs w:val="22"/>
          <w:lang w:val="en-AU"/>
        </w:rPr>
        <w:t xml:space="preserve">schedule </w:t>
      </w:r>
      <w:r>
        <w:rPr>
          <w:rFonts w:eastAsiaTheme="minorHAnsi"/>
          <w:iCs/>
          <w:sz w:val="22"/>
          <w:szCs w:val="22"/>
          <w:lang w:val="en-AU"/>
        </w:rPr>
        <w:t>entries.</w:t>
      </w:r>
    </w:p>
    <w:p w14:paraId="4C2861A4" w14:textId="4E3BD2EC" w:rsidR="00ED6474" w:rsidRDefault="00ED6474" w:rsidP="003C3F2B">
      <w:pPr>
        <w:spacing w:before="0" w:after="0"/>
        <w:rPr>
          <w:rFonts w:eastAsiaTheme="minorHAnsi"/>
          <w:sz w:val="22"/>
          <w:szCs w:val="22"/>
          <w:lang w:val="en-AU"/>
        </w:rPr>
      </w:pPr>
    </w:p>
    <w:p w14:paraId="6817992D" w14:textId="4E8638F3" w:rsidR="00ED6474" w:rsidRDefault="000C6505" w:rsidP="003C3F2B">
      <w:pPr>
        <w:spacing w:before="0" w:after="0"/>
        <w:rPr>
          <w:rFonts w:eastAsiaTheme="minorHAnsi"/>
          <w:sz w:val="22"/>
          <w:szCs w:val="22"/>
        </w:rPr>
      </w:pPr>
      <w:r>
        <w:rPr>
          <w:rFonts w:eastAsiaTheme="minorHAnsi"/>
          <w:sz w:val="22"/>
          <w:szCs w:val="22"/>
        </w:rPr>
        <w:t>The Instrument also includes m</w:t>
      </w:r>
      <w:r w:rsidR="00ED6474">
        <w:rPr>
          <w:rFonts w:eastAsiaTheme="minorHAnsi"/>
          <w:sz w:val="22"/>
          <w:szCs w:val="22"/>
        </w:rPr>
        <w:t>inor amendments to</w:t>
      </w:r>
      <w:r w:rsidR="00CA7292">
        <w:rPr>
          <w:rFonts w:eastAsiaTheme="minorHAnsi"/>
          <w:sz w:val="22"/>
          <w:szCs w:val="22"/>
        </w:rPr>
        <w:t xml:space="preserve"> </w:t>
      </w:r>
      <w:r>
        <w:rPr>
          <w:rFonts w:eastAsiaTheme="minorHAnsi"/>
          <w:sz w:val="22"/>
          <w:szCs w:val="22"/>
        </w:rPr>
        <w:t xml:space="preserve">the </w:t>
      </w:r>
      <w:r w:rsidR="00CA7292">
        <w:rPr>
          <w:rFonts w:eastAsiaTheme="minorHAnsi"/>
          <w:sz w:val="22"/>
          <w:szCs w:val="22"/>
        </w:rPr>
        <w:t>schedule entries for</w:t>
      </w:r>
      <w:r w:rsidR="00ED6474">
        <w:rPr>
          <w:rFonts w:eastAsiaTheme="minorHAnsi"/>
          <w:sz w:val="22"/>
          <w:szCs w:val="22"/>
        </w:rPr>
        <w:t xml:space="preserve"> </w:t>
      </w:r>
      <w:proofErr w:type="spellStart"/>
      <w:r w:rsidR="00ED6474">
        <w:rPr>
          <w:rFonts w:eastAsiaTheme="minorHAnsi"/>
          <w:sz w:val="22"/>
          <w:szCs w:val="22"/>
        </w:rPr>
        <w:t>afamelanotide</w:t>
      </w:r>
      <w:proofErr w:type="spellEnd"/>
      <w:r w:rsidR="00ED6474">
        <w:rPr>
          <w:rFonts w:eastAsiaTheme="minorHAnsi"/>
          <w:sz w:val="22"/>
          <w:szCs w:val="22"/>
        </w:rPr>
        <w:t xml:space="preserve">, </w:t>
      </w:r>
      <w:proofErr w:type="spellStart"/>
      <w:r w:rsidR="00ED6474">
        <w:rPr>
          <w:rFonts w:eastAsiaTheme="minorHAnsi"/>
          <w:sz w:val="22"/>
          <w:szCs w:val="22"/>
        </w:rPr>
        <w:t>diethylhexyl</w:t>
      </w:r>
      <w:proofErr w:type="spellEnd"/>
      <w:r w:rsidR="00ED6474">
        <w:rPr>
          <w:rFonts w:eastAsiaTheme="minorHAnsi"/>
          <w:sz w:val="22"/>
          <w:szCs w:val="22"/>
        </w:rPr>
        <w:t xml:space="preserve"> phthalate, and phosphonic acid</w:t>
      </w:r>
      <w:r>
        <w:rPr>
          <w:rFonts w:eastAsiaTheme="minorHAnsi"/>
          <w:sz w:val="22"/>
          <w:szCs w:val="22"/>
        </w:rPr>
        <w:t>, principally</w:t>
      </w:r>
      <w:r w:rsidR="00ED6474">
        <w:rPr>
          <w:rFonts w:eastAsiaTheme="minorHAnsi"/>
          <w:sz w:val="22"/>
          <w:szCs w:val="22"/>
        </w:rPr>
        <w:t xml:space="preserve"> to add clarity and correct typographical errors.  For example, </w:t>
      </w:r>
      <w:r w:rsidR="00E95B66">
        <w:rPr>
          <w:rFonts w:eastAsiaTheme="minorHAnsi"/>
          <w:sz w:val="22"/>
          <w:szCs w:val="22"/>
        </w:rPr>
        <w:t xml:space="preserve">the Index entry for </w:t>
      </w:r>
      <w:proofErr w:type="spellStart"/>
      <w:r w:rsidR="00E95B66">
        <w:rPr>
          <w:rFonts w:eastAsiaTheme="minorHAnsi"/>
          <w:sz w:val="22"/>
          <w:szCs w:val="22"/>
        </w:rPr>
        <w:t>diethylhexyl</w:t>
      </w:r>
      <w:proofErr w:type="spellEnd"/>
      <w:r w:rsidR="00E95B66">
        <w:rPr>
          <w:rFonts w:eastAsiaTheme="minorHAnsi"/>
          <w:sz w:val="22"/>
          <w:szCs w:val="22"/>
        </w:rPr>
        <w:t xml:space="preserve"> phthalate has been amended to include the cross-reference “DEHP”</w:t>
      </w:r>
      <w:r w:rsidR="00ED6474">
        <w:rPr>
          <w:rFonts w:eastAsiaTheme="minorHAnsi"/>
          <w:sz w:val="22"/>
          <w:szCs w:val="22"/>
        </w:rPr>
        <w:t xml:space="preserve">.  </w:t>
      </w:r>
    </w:p>
    <w:p w14:paraId="1FB7DD38" w14:textId="77777777" w:rsidR="00ED6474" w:rsidRDefault="00ED6474" w:rsidP="003C3F2B">
      <w:pPr>
        <w:spacing w:before="0" w:after="0"/>
        <w:rPr>
          <w:rFonts w:eastAsiaTheme="minorHAnsi"/>
          <w:sz w:val="22"/>
          <w:szCs w:val="22"/>
          <w:lang w:val="en-AU"/>
        </w:rPr>
      </w:pPr>
    </w:p>
    <w:p w14:paraId="274BA972" w14:textId="77777777" w:rsidR="00891690" w:rsidRPr="00891690" w:rsidRDefault="00891690" w:rsidP="00891690">
      <w:pPr>
        <w:spacing w:before="0" w:after="0"/>
        <w:rPr>
          <w:b/>
          <w:bCs/>
          <w:iCs/>
          <w:sz w:val="22"/>
          <w:szCs w:val="22"/>
        </w:rPr>
      </w:pPr>
      <w:r w:rsidRPr="00891690">
        <w:rPr>
          <w:b/>
          <w:bCs/>
          <w:iCs/>
          <w:sz w:val="22"/>
          <w:szCs w:val="22"/>
        </w:rPr>
        <w:t xml:space="preserve">Consultation </w:t>
      </w:r>
    </w:p>
    <w:p w14:paraId="722F9A9F" w14:textId="77777777" w:rsidR="00891690" w:rsidRDefault="00891690" w:rsidP="003C3F2B">
      <w:pPr>
        <w:spacing w:before="0" w:after="0"/>
        <w:rPr>
          <w:rFonts w:eastAsiaTheme="minorHAnsi"/>
          <w:sz w:val="22"/>
          <w:szCs w:val="22"/>
          <w:lang w:val="en-AU"/>
        </w:rPr>
      </w:pPr>
    </w:p>
    <w:p w14:paraId="2FE8E1B8" w14:textId="7F7103FF" w:rsidR="00FD2E34" w:rsidRPr="00FD2E34" w:rsidRDefault="00FD2E34" w:rsidP="003C3F2B">
      <w:pPr>
        <w:spacing w:before="0" w:after="0"/>
        <w:rPr>
          <w:rFonts w:eastAsiaTheme="minorHAnsi"/>
          <w:i/>
          <w:iCs/>
          <w:sz w:val="22"/>
          <w:szCs w:val="22"/>
          <w:lang w:val="en-AU"/>
        </w:rPr>
      </w:pPr>
      <w:r>
        <w:rPr>
          <w:rFonts w:eastAsiaTheme="minorHAnsi"/>
          <w:i/>
          <w:iCs/>
          <w:sz w:val="22"/>
          <w:szCs w:val="22"/>
          <w:lang w:val="en-AU"/>
        </w:rPr>
        <w:t>Proposed amendments referred to an expert advisory committee</w:t>
      </w:r>
    </w:p>
    <w:p w14:paraId="360BDAB7" w14:textId="77777777" w:rsidR="006B01F5" w:rsidRDefault="006B01F5" w:rsidP="003C3F2B">
      <w:pPr>
        <w:spacing w:before="0" w:after="0"/>
        <w:rPr>
          <w:rFonts w:eastAsiaTheme="minorHAnsi"/>
          <w:sz w:val="22"/>
          <w:szCs w:val="22"/>
          <w:lang w:val="en-AU"/>
        </w:rPr>
      </w:pPr>
    </w:p>
    <w:p w14:paraId="76C0CAFB" w14:textId="35225B19" w:rsidR="004F2E81" w:rsidRDefault="00D71A4F" w:rsidP="003C3F2B">
      <w:pPr>
        <w:spacing w:before="0" w:after="0"/>
        <w:rPr>
          <w:rFonts w:eastAsiaTheme="minorHAnsi"/>
          <w:sz w:val="22"/>
          <w:szCs w:val="22"/>
          <w:lang w:val="en-AU"/>
        </w:rPr>
      </w:pPr>
      <w:r w:rsidRPr="00A25AC7">
        <w:rPr>
          <w:rFonts w:eastAsiaTheme="minorHAnsi"/>
          <w:sz w:val="22"/>
          <w:szCs w:val="22"/>
          <w:lang w:val="en-AU"/>
        </w:rPr>
        <w:t xml:space="preserve">Public comment was invited in relation to the proposed amendments that were </w:t>
      </w:r>
      <w:r w:rsidR="00957A23" w:rsidRPr="00A25AC7">
        <w:rPr>
          <w:rFonts w:eastAsiaTheme="minorHAnsi"/>
          <w:sz w:val="22"/>
          <w:szCs w:val="22"/>
          <w:lang w:val="en-AU"/>
        </w:rPr>
        <w:t xml:space="preserve">referred to the </w:t>
      </w:r>
      <w:r w:rsidR="00513A3F" w:rsidRPr="007B235B">
        <w:rPr>
          <w:rFonts w:eastAsiaTheme="minorHAnsi"/>
          <w:sz w:val="22"/>
          <w:szCs w:val="22"/>
          <w:lang w:val="en-AU"/>
        </w:rPr>
        <w:t>March</w:t>
      </w:r>
      <w:r w:rsidR="00C9796C" w:rsidRPr="007B235B">
        <w:rPr>
          <w:rFonts w:eastAsiaTheme="minorHAnsi"/>
          <w:sz w:val="22"/>
          <w:szCs w:val="22"/>
          <w:lang w:val="en-AU"/>
        </w:rPr>
        <w:t xml:space="preserve"> </w:t>
      </w:r>
      <w:r w:rsidR="00AB5748" w:rsidRPr="007B235B">
        <w:rPr>
          <w:rFonts w:eastAsiaTheme="minorHAnsi"/>
          <w:sz w:val="22"/>
          <w:szCs w:val="22"/>
          <w:lang w:val="en-AU"/>
        </w:rPr>
        <w:t>202</w:t>
      </w:r>
      <w:r w:rsidR="00AF6CC0">
        <w:rPr>
          <w:rFonts w:eastAsiaTheme="minorHAnsi"/>
          <w:sz w:val="22"/>
          <w:szCs w:val="22"/>
          <w:lang w:val="en-AU"/>
        </w:rPr>
        <w:t>2</w:t>
      </w:r>
      <w:r w:rsidR="00AB5748" w:rsidRPr="007B235B">
        <w:rPr>
          <w:rFonts w:eastAsiaTheme="minorHAnsi"/>
          <w:sz w:val="22"/>
          <w:szCs w:val="22"/>
          <w:lang w:val="en-AU"/>
        </w:rPr>
        <w:t xml:space="preserve"> </w:t>
      </w:r>
      <w:r w:rsidR="003D5C69">
        <w:rPr>
          <w:rFonts w:eastAsiaTheme="minorHAnsi"/>
          <w:sz w:val="22"/>
          <w:szCs w:val="22"/>
          <w:lang w:val="en-AU"/>
        </w:rPr>
        <w:t xml:space="preserve">meeting of the </w:t>
      </w:r>
      <w:r w:rsidR="007319B6" w:rsidRPr="00A25AC7">
        <w:rPr>
          <w:rFonts w:eastAsiaTheme="minorHAnsi"/>
          <w:sz w:val="22"/>
          <w:szCs w:val="22"/>
          <w:lang w:val="en-AU"/>
        </w:rPr>
        <w:t>ACMS</w:t>
      </w:r>
      <w:r w:rsidR="003D5C69">
        <w:rPr>
          <w:rFonts w:eastAsiaTheme="minorHAnsi"/>
          <w:sz w:val="22"/>
          <w:szCs w:val="22"/>
          <w:lang w:val="en-AU"/>
        </w:rPr>
        <w:t xml:space="preserve"> and </w:t>
      </w:r>
      <w:r w:rsidR="00CA7292">
        <w:rPr>
          <w:rFonts w:eastAsiaTheme="minorHAnsi"/>
          <w:sz w:val="22"/>
          <w:szCs w:val="22"/>
          <w:lang w:val="en-AU"/>
        </w:rPr>
        <w:t xml:space="preserve">the </w:t>
      </w:r>
      <w:r w:rsidR="007319B6" w:rsidRPr="00A25AC7">
        <w:rPr>
          <w:rFonts w:eastAsiaTheme="minorHAnsi"/>
          <w:sz w:val="22"/>
          <w:szCs w:val="22"/>
          <w:lang w:val="en-AU"/>
        </w:rPr>
        <w:t>ACCS</w:t>
      </w:r>
      <w:r w:rsidR="008D3DA2" w:rsidRPr="00A25AC7">
        <w:rPr>
          <w:rFonts w:eastAsiaTheme="minorHAnsi"/>
          <w:sz w:val="22"/>
          <w:szCs w:val="22"/>
          <w:lang w:val="en-AU"/>
        </w:rPr>
        <w:t xml:space="preserve"> </w:t>
      </w:r>
      <w:r w:rsidR="003D5C69">
        <w:rPr>
          <w:rFonts w:eastAsiaTheme="minorHAnsi"/>
          <w:sz w:val="22"/>
          <w:szCs w:val="22"/>
          <w:lang w:val="en-AU"/>
        </w:rPr>
        <w:t>in joint session</w:t>
      </w:r>
      <w:r w:rsidR="00994193">
        <w:rPr>
          <w:rFonts w:eastAsiaTheme="minorHAnsi"/>
          <w:sz w:val="22"/>
          <w:szCs w:val="22"/>
          <w:lang w:val="en-AU"/>
        </w:rPr>
        <w:t xml:space="preserve"> (“Joint ACMS-ACCS”)</w:t>
      </w:r>
      <w:r w:rsidR="004F2E81">
        <w:rPr>
          <w:rFonts w:eastAsiaTheme="minorHAnsi"/>
          <w:sz w:val="22"/>
          <w:szCs w:val="22"/>
          <w:lang w:val="en-AU"/>
        </w:rPr>
        <w:t xml:space="preserve">. </w:t>
      </w:r>
      <w:r w:rsidR="0062233C">
        <w:rPr>
          <w:rFonts w:eastAsiaTheme="minorHAnsi"/>
          <w:sz w:val="22"/>
          <w:szCs w:val="22"/>
          <w:lang w:val="en-AU"/>
        </w:rPr>
        <w:t xml:space="preserve"> </w:t>
      </w:r>
      <w:proofErr w:type="gramStart"/>
      <w:r w:rsidR="004F2E81">
        <w:rPr>
          <w:rFonts w:eastAsiaTheme="minorHAnsi"/>
          <w:sz w:val="22"/>
          <w:szCs w:val="22"/>
          <w:lang w:val="en-AU"/>
        </w:rPr>
        <w:t>In particular, invitation</w:t>
      </w:r>
      <w:proofErr w:type="gramEnd"/>
      <w:r w:rsidR="004F2E81">
        <w:rPr>
          <w:rFonts w:eastAsiaTheme="minorHAnsi"/>
          <w:sz w:val="22"/>
          <w:szCs w:val="22"/>
          <w:lang w:val="en-AU"/>
        </w:rPr>
        <w:t xml:space="preserve"> to comment </w:t>
      </w:r>
      <w:r w:rsidR="00936064">
        <w:rPr>
          <w:rFonts w:eastAsiaTheme="minorHAnsi"/>
          <w:sz w:val="22"/>
          <w:szCs w:val="22"/>
          <w:lang w:val="en-AU"/>
        </w:rPr>
        <w:t>on</w:t>
      </w:r>
      <w:r w:rsidR="004F2E81">
        <w:rPr>
          <w:rFonts w:eastAsiaTheme="minorHAnsi"/>
          <w:sz w:val="22"/>
          <w:szCs w:val="22"/>
          <w:lang w:val="en-AU"/>
        </w:rPr>
        <w:t xml:space="preserve"> the propos</w:t>
      </w:r>
      <w:r w:rsidR="00936064">
        <w:rPr>
          <w:rFonts w:eastAsiaTheme="minorHAnsi"/>
          <w:sz w:val="22"/>
          <w:szCs w:val="22"/>
          <w:lang w:val="en-AU"/>
        </w:rPr>
        <w:t>ed</w:t>
      </w:r>
      <w:r w:rsidR="004F2E81">
        <w:rPr>
          <w:rFonts w:eastAsiaTheme="minorHAnsi"/>
          <w:sz w:val="22"/>
          <w:szCs w:val="22"/>
          <w:lang w:val="en-AU"/>
        </w:rPr>
        <w:t xml:space="preserve"> </w:t>
      </w:r>
      <w:r w:rsidR="00CA1DE4">
        <w:rPr>
          <w:rFonts w:eastAsiaTheme="minorHAnsi"/>
          <w:sz w:val="22"/>
          <w:szCs w:val="22"/>
          <w:lang w:val="en-AU"/>
        </w:rPr>
        <w:t>inclusion of</w:t>
      </w:r>
      <w:r w:rsidR="004F2E81">
        <w:rPr>
          <w:rFonts w:eastAsiaTheme="minorHAnsi"/>
          <w:sz w:val="22"/>
          <w:szCs w:val="22"/>
          <w:lang w:val="en-AU"/>
        </w:rPr>
        <w:t xml:space="preserve"> a new entry for meloxicam in Schedule 6 to the Poisons Standard was published on the TGA website on 20 December 2021</w:t>
      </w:r>
      <w:r w:rsidR="00936064">
        <w:rPr>
          <w:rFonts w:eastAsiaTheme="minorHAnsi"/>
          <w:sz w:val="22"/>
          <w:szCs w:val="22"/>
          <w:lang w:val="en-AU"/>
        </w:rPr>
        <w:t xml:space="preserve">, with a closing date of 31 January 2022. </w:t>
      </w:r>
      <w:r w:rsidR="0062233C">
        <w:rPr>
          <w:rFonts w:eastAsiaTheme="minorHAnsi"/>
          <w:sz w:val="22"/>
          <w:szCs w:val="22"/>
          <w:lang w:val="en-AU"/>
        </w:rPr>
        <w:t xml:space="preserve"> </w:t>
      </w:r>
      <w:r w:rsidR="00936064">
        <w:rPr>
          <w:rFonts w:eastAsiaTheme="minorHAnsi"/>
          <w:sz w:val="22"/>
          <w:szCs w:val="22"/>
          <w:lang w:val="en-AU"/>
        </w:rPr>
        <w:t>A further invitation to comment on this proposal was published on 19 August 2022, with a closing date of 15 September 2022.</w:t>
      </w:r>
      <w:r w:rsidR="00F90D50" w:rsidRPr="00F90D50">
        <w:rPr>
          <w:rFonts w:eastAsiaTheme="minorHAnsi"/>
          <w:sz w:val="22"/>
          <w:szCs w:val="22"/>
          <w:lang w:val="en-AU"/>
        </w:rPr>
        <w:t xml:space="preserve"> </w:t>
      </w:r>
      <w:r w:rsidR="0062233C">
        <w:rPr>
          <w:rFonts w:eastAsiaTheme="minorHAnsi"/>
          <w:sz w:val="22"/>
          <w:szCs w:val="22"/>
          <w:lang w:val="en-AU"/>
        </w:rPr>
        <w:t xml:space="preserve"> </w:t>
      </w:r>
      <w:r w:rsidR="00F90D50" w:rsidRPr="00EB3194">
        <w:rPr>
          <w:rFonts w:eastAsiaTheme="minorHAnsi"/>
          <w:sz w:val="22"/>
          <w:szCs w:val="22"/>
          <w:lang w:val="en-AU"/>
        </w:rPr>
        <w:t>The final decision in relation to meloxicam was published on the TGA website on 18 November 2022</w:t>
      </w:r>
      <w:r w:rsidR="003A24B6">
        <w:rPr>
          <w:rFonts w:eastAsiaTheme="minorHAnsi"/>
          <w:sz w:val="22"/>
          <w:szCs w:val="22"/>
          <w:lang w:val="en-AU"/>
        </w:rPr>
        <w:t>.</w:t>
      </w:r>
    </w:p>
    <w:p w14:paraId="499704E1" w14:textId="77777777" w:rsidR="003C3F2B" w:rsidRDefault="003C3F2B" w:rsidP="003C3F2B">
      <w:pPr>
        <w:spacing w:before="0" w:after="0"/>
        <w:rPr>
          <w:rFonts w:eastAsiaTheme="minorHAnsi"/>
          <w:sz w:val="22"/>
          <w:szCs w:val="22"/>
          <w:lang w:val="en-AU"/>
        </w:rPr>
      </w:pPr>
    </w:p>
    <w:p w14:paraId="395350CB" w14:textId="631E959F" w:rsidR="007B5F97" w:rsidRDefault="007B5F97" w:rsidP="00ED6474">
      <w:pPr>
        <w:spacing w:before="0" w:after="0"/>
        <w:rPr>
          <w:rFonts w:eastAsiaTheme="minorHAnsi"/>
          <w:sz w:val="22"/>
          <w:szCs w:val="22"/>
          <w:lang w:val="en-AU"/>
        </w:rPr>
      </w:pPr>
      <w:r>
        <w:rPr>
          <w:rFonts w:eastAsiaTheme="minorHAnsi"/>
          <w:sz w:val="22"/>
          <w:szCs w:val="22"/>
          <w:lang w:val="en-AU"/>
        </w:rPr>
        <w:t xml:space="preserve">Public comment was also invited in relation to the proposed amendments that were referred to the June 2022 meetings of the ACMS, ACCS and Joint ACMS-ACCS.  </w:t>
      </w:r>
      <w:proofErr w:type="gramStart"/>
      <w:r>
        <w:rPr>
          <w:rFonts w:eastAsiaTheme="minorHAnsi"/>
          <w:sz w:val="22"/>
          <w:szCs w:val="22"/>
          <w:lang w:val="en-AU"/>
        </w:rPr>
        <w:t xml:space="preserve">In particular, </w:t>
      </w:r>
      <w:r w:rsidR="00A34DC0">
        <w:rPr>
          <w:rFonts w:eastAsiaTheme="minorHAnsi"/>
          <w:sz w:val="22"/>
          <w:szCs w:val="22"/>
          <w:lang w:val="en-AU"/>
        </w:rPr>
        <w:t>public</w:t>
      </w:r>
      <w:proofErr w:type="gramEnd"/>
      <w:r w:rsidR="00A34DC0">
        <w:rPr>
          <w:rFonts w:eastAsiaTheme="minorHAnsi"/>
          <w:sz w:val="22"/>
          <w:szCs w:val="22"/>
          <w:lang w:val="en-AU"/>
        </w:rPr>
        <w:t xml:space="preserve"> comment was invited </w:t>
      </w:r>
      <w:r w:rsidR="00ED6474">
        <w:rPr>
          <w:rFonts w:eastAsiaTheme="minorHAnsi"/>
          <w:sz w:val="22"/>
          <w:szCs w:val="22"/>
          <w:lang w:val="en-AU"/>
        </w:rPr>
        <w:t xml:space="preserve">on the amendments </w:t>
      </w:r>
      <w:r w:rsidR="00A34DC0">
        <w:rPr>
          <w:rFonts w:eastAsiaTheme="minorHAnsi"/>
          <w:sz w:val="22"/>
          <w:szCs w:val="22"/>
          <w:lang w:val="en-AU"/>
        </w:rPr>
        <w:t>in relation to</w:t>
      </w:r>
      <w:r w:rsidR="00ED6474">
        <w:rPr>
          <w:rFonts w:eastAsiaTheme="minorHAnsi"/>
          <w:sz w:val="22"/>
          <w:szCs w:val="22"/>
          <w:lang w:val="en-AU"/>
        </w:rPr>
        <w:t xml:space="preserve"> </w:t>
      </w:r>
      <w:r w:rsidR="00ED6474" w:rsidRPr="007B5F97">
        <w:rPr>
          <w:rFonts w:eastAsiaTheme="minorHAnsi"/>
          <w:sz w:val="22"/>
          <w:szCs w:val="22"/>
          <w:lang w:val="en-AU"/>
        </w:rPr>
        <w:t xml:space="preserve">cetirizine, </w:t>
      </w:r>
      <w:proofErr w:type="spellStart"/>
      <w:r w:rsidR="00ED6474" w:rsidRPr="007B5F97">
        <w:rPr>
          <w:rFonts w:eastAsiaTheme="minorHAnsi"/>
          <w:sz w:val="22"/>
          <w:szCs w:val="22"/>
          <w:lang w:val="en-AU"/>
        </w:rPr>
        <w:t>apronal</w:t>
      </w:r>
      <w:proofErr w:type="spellEnd"/>
      <w:r w:rsidR="00ED6474" w:rsidRPr="007B5F97">
        <w:rPr>
          <w:rFonts w:eastAsiaTheme="minorHAnsi"/>
          <w:sz w:val="22"/>
          <w:szCs w:val="22"/>
          <w:lang w:val="en-AU"/>
        </w:rPr>
        <w:t xml:space="preserve">, </w:t>
      </w:r>
      <w:r w:rsidR="00DD127C">
        <w:rPr>
          <w:rFonts w:eastAsiaTheme="minorHAnsi"/>
          <w:sz w:val="22"/>
          <w:szCs w:val="22"/>
          <w:lang w:val="en-AU"/>
        </w:rPr>
        <w:t>tretinoin</w:t>
      </w:r>
      <w:r w:rsidR="00ED6474" w:rsidRPr="007B5F97">
        <w:rPr>
          <w:rFonts w:eastAsiaTheme="minorHAnsi"/>
          <w:sz w:val="22"/>
          <w:szCs w:val="22"/>
          <w:lang w:val="en-AU"/>
        </w:rPr>
        <w:t>, dichloromethane</w:t>
      </w:r>
      <w:r w:rsidR="00ED6474">
        <w:rPr>
          <w:rFonts w:eastAsiaTheme="minorHAnsi"/>
          <w:sz w:val="22"/>
          <w:szCs w:val="22"/>
          <w:lang w:val="en-AU"/>
        </w:rPr>
        <w:t xml:space="preserve">, </w:t>
      </w:r>
      <w:r w:rsidR="00ED6474" w:rsidRPr="007B5F97">
        <w:rPr>
          <w:rFonts w:eastAsiaTheme="minorHAnsi"/>
          <w:sz w:val="22"/>
          <w:szCs w:val="22"/>
          <w:lang w:val="en-AU"/>
        </w:rPr>
        <w:t>MDMA</w:t>
      </w:r>
      <w:r w:rsidR="00ED6474">
        <w:rPr>
          <w:rFonts w:eastAsiaTheme="minorHAnsi"/>
          <w:sz w:val="22"/>
          <w:szCs w:val="22"/>
          <w:lang w:val="en-AU"/>
        </w:rPr>
        <w:t xml:space="preserve">, </w:t>
      </w:r>
      <w:r w:rsidR="00ED6474" w:rsidRPr="007B5F97">
        <w:rPr>
          <w:rFonts w:eastAsiaTheme="minorHAnsi"/>
          <w:sz w:val="22"/>
          <w:szCs w:val="22"/>
          <w:lang w:val="en-AU"/>
        </w:rPr>
        <w:t>MDA</w:t>
      </w:r>
      <w:r w:rsidR="00ED6474">
        <w:rPr>
          <w:rFonts w:eastAsiaTheme="minorHAnsi"/>
          <w:sz w:val="22"/>
          <w:szCs w:val="22"/>
          <w:lang w:val="en-AU"/>
        </w:rPr>
        <w:t xml:space="preserve">, </w:t>
      </w:r>
      <w:r w:rsidR="00ED6474" w:rsidRPr="007B5F97">
        <w:rPr>
          <w:rFonts w:eastAsiaTheme="minorHAnsi"/>
          <w:sz w:val="22"/>
          <w:szCs w:val="22"/>
          <w:lang w:val="en-AU"/>
        </w:rPr>
        <w:t xml:space="preserve">helional and </w:t>
      </w:r>
      <w:proofErr w:type="spellStart"/>
      <w:r w:rsidR="00ED6474" w:rsidRPr="007B5F97">
        <w:rPr>
          <w:rFonts w:eastAsiaTheme="minorHAnsi"/>
          <w:sz w:val="22"/>
          <w:szCs w:val="22"/>
          <w:lang w:val="en-AU"/>
        </w:rPr>
        <w:t>ipflufenoquin</w:t>
      </w:r>
      <w:proofErr w:type="spellEnd"/>
      <w:r w:rsidR="00ED6474">
        <w:rPr>
          <w:rFonts w:eastAsiaTheme="minorHAnsi"/>
          <w:sz w:val="22"/>
          <w:szCs w:val="22"/>
          <w:lang w:val="en-AU"/>
        </w:rPr>
        <w:t xml:space="preserve">. </w:t>
      </w:r>
    </w:p>
    <w:p w14:paraId="5091C1B6" w14:textId="77777777" w:rsidR="007B5F97" w:rsidRDefault="007B5F97" w:rsidP="007B5F97">
      <w:pPr>
        <w:spacing w:before="0" w:after="0"/>
        <w:rPr>
          <w:rFonts w:eastAsiaTheme="minorHAnsi"/>
          <w:sz w:val="22"/>
          <w:szCs w:val="22"/>
          <w:lang w:val="en-AU"/>
        </w:rPr>
      </w:pPr>
    </w:p>
    <w:p w14:paraId="6EB62346" w14:textId="6FD0BD42" w:rsidR="00891690" w:rsidRDefault="007B5F97" w:rsidP="00891690">
      <w:pPr>
        <w:spacing w:before="0" w:after="0"/>
        <w:rPr>
          <w:rFonts w:eastAsiaTheme="minorHAnsi"/>
          <w:i/>
          <w:iCs/>
          <w:sz w:val="22"/>
          <w:szCs w:val="22"/>
          <w:lang w:val="en-AU"/>
        </w:rPr>
      </w:pPr>
      <w:r w:rsidRPr="007B5F97">
        <w:rPr>
          <w:rFonts w:eastAsiaTheme="minorHAnsi"/>
          <w:sz w:val="22"/>
          <w:szCs w:val="22"/>
          <w:lang w:val="en-AU"/>
        </w:rPr>
        <w:t>Invitation to comment on the proposals</w:t>
      </w:r>
      <w:r w:rsidR="00F04935">
        <w:rPr>
          <w:rFonts w:eastAsiaTheme="minorHAnsi"/>
          <w:sz w:val="22"/>
          <w:szCs w:val="22"/>
          <w:lang w:val="en-AU"/>
        </w:rPr>
        <w:t xml:space="preserve"> outlined abo</w:t>
      </w:r>
      <w:r w:rsidR="005E0966">
        <w:rPr>
          <w:rFonts w:eastAsiaTheme="minorHAnsi"/>
          <w:sz w:val="22"/>
          <w:szCs w:val="22"/>
          <w:lang w:val="en-AU"/>
        </w:rPr>
        <w:t>v</w:t>
      </w:r>
      <w:r w:rsidR="00F04935">
        <w:rPr>
          <w:rFonts w:eastAsiaTheme="minorHAnsi"/>
          <w:sz w:val="22"/>
          <w:szCs w:val="22"/>
          <w:lang w:val="en-AU"/>
        </w:rPr>
        <w:t>e</w:t>
      </w:r>
      <w:r w:rsidRPr="007B5F97">
        <w:rPr>
          <w:rFonts w:eastAsiaTheme="minorHAnsi"/>
          <w:sz w:val="22"/>
          <w:szCs w:val="22"/>
          <w:lang w:val="en-AU"/>
        </w:rPr>
        <w:t xml:space="preserve"> was published on the TGA website on 29 April 2022, with a closing date of 27 May 2022.  A further invitation to comment on these proposals was published on 21 October 2022, with a closing date of 24 November 2022.  Notification of the final decisions made in relation to these substances was published on the TGA website on </w:t>
      </w:r>
      <w:r w:rsidR="007A6F54">
        <w:rPr>
          <w:rFonts w:eastAsiaTheme="minorHAnsi"/>
          <w:sz w:val="22"/>
          <w:szCs w:val="22"/>
          <w:lang w:val="en-AU"/>
        </w:rPr>
        <w:t>20 January 2023</w:t>
      </w:r>
      <w:r w:rsidRPr="007B5F97">
        <w:rPr>
          <w:rFonts w:eastAsiaTheme="minorHAnsi"/>
          <w:sz w:val="22"/>
          <w:szCs w:val="22"/>
          <w:lang w:val="en-AU"/>
        </w:rPr>
        <w:t xml:space="preserve">. </w:t>
      </w:r>
    </w:p>
    <w:p w14:paraId="708CE299" w14:textId="77777777" w:rsidR="00891690" w:rsidRDefault="00891690" w:rsidP="003C3F2B">
      <w:pPr>
        <w:spacing w:before="0" w:after="0"/>
        <w:rPr>
          <w:rFonts w:eastAsiaTheme="minorHAnsi"/>
          <w:i/>
          <w:iCs/>
          <w:sz w:val="22"/>
          <w:szCs w:val="22"/>
          <w:lang w:val="en-AU"/>
        </w:rPr>
      </w:pPr>
    </w:p>
    <w:p w14:paraId="43C876F7" w14:textId="5C74311C" w:rsidR="00FD2E34" w:rsidRPr="00FD2E34" w:rsidRDefault="00FD2E34" w:rsidP="003C3F2B">
      <w:pPr>
        <w:spacing w:before="0" w:after="0"/>
        <w:rPr>
          <w:rFonts w:eastAsiaTheme="minorHAnsi"/>
          <w:i/>
          <w:iCs/>
          <w:sz w:val="22"/>
          <w:szCs w:val="22"/>
          <w:lang w:val="en-AU"/>
        </w:rPr>
      </w:pPr>
      <w:r>
        <w:rPr>
          <w:rFonts w:eastAsiaTheme="minorHAnsi"/>
          <w:i/>
          <w:iCs/>
          <w:sz w:val="22"/>
          <w:szCs w:val="22"/>
          <w:lang w:val="en-AU"/>
        </w:rPr>
        <w:t>Delegate-only decisions</w:t>
      </w:r>
    </w:p>
    <w:p w14:paraId="273CC2EF" w14:textId="77777777" w:rsidR="00FD2E34" w:rsidRDefault="00FD2E34" w:rsidP="003C3F2B">
      <w:pPr>
        <w:spacing w:before="0" w:after="0"/>
        <w:rPr>
          <w:rFonts w:eastAsiaTheme="minorHAnsi"/>
          <w:sz w:val="22"/>
          <w:szCs w:val="22"/>
          <w:lang w:val="en-AU"/>
        </w:rPr>
      </w:pPr>
    </w:p>
    <w:p w14:paraId="429BD4F6" w14:textId="01EAEB90" w:rsidR="003C3F2B" w:rsidRDefault="009C32D0" w:rsidP="003C3F2B">
      <w:pPr>
        <w:spacing w:before="0" w:after="0"/>
        <w:rPr>
          <w:sz w:val="22"/>
          <w:szCs w:val="22"/>
        </w:rPr>
      </w:pPr>
      <w:r>
        <w:rPr>
          <w:sz w:val="22"/>
          <w:szCs w:val="22"/>
        </w:rPr>
        <w:t xml:space="preserve">The decisions to </w:t>
      </w:r>
      <w:r w:rsidR="00CA7292">
        <w:rPr>
          <w:sz w:val="22"/>
          <w:szCs w:val="22"/>
        </w:rPr>
        <w:t xml:space="preserve">include </w:t>
      </w:r>
      <w:proofErr w:type="spellStart"/>
      <w:r w:rsidR="00ED6474">
        <w:rPr>
          <w:rFonts w:eastAsiaTheme="minorHAnsi"/>
          <w:sz w:val="22"/>
          <w:szCs w:val="22"/>
          <w:lang w:val="en-AU"/>
        </w:rPr>
        <w:t>avacopan</w:t>
      </w:r>
      <w:proofErr w:type="spellEnd"/>
      <w:r w:rsidR="00ED6474">
        <w:rPr>
          <w:rFonts w:eastAsiaTheme="minorHAnsi"/>
          <w:sz w:val="22"/>
          <w:szCs w:val="22"/>
          <w:lang w:val="en-AU"/>
        </w:rPr>
        <w:t xml:space="preserve">, </w:t>
      </w:r>
      <w:proofErr w:type="spellStart"/>
      <w:r w:rsidR="00ED6474">
        <w:rPr>
          <w:rFonts w:eastAsiaTheme="minorHAnsi"/>
          <w:sz w:val="22"/>
          <w:szCs w:val="22"/>
          <w:lang w:val="en-AU"/>
        </w:rPr>
        <w:t>deucravacitinib</w:t>
      </w:r>
      <w:proofErr w:type="spellEnd"/>
      <w:r w:rsidR="00ED6474">
        <w:rPr>
          <w:rFonts w:eastAsiaTheme="minorHAnsi"/>
          <w:sz w:val="22"/>
          <w:szCs w:val="22"/>
          <w:lang w:val="en-AU"/>
        </w:rPr>
        <w:t xml:space="preserve">, </w:t>
      </w:r>
      <w:proofErr w:type="spellStart"/>
      <w:r w:rsidR="00ED6474">
        <w:rPr>
          <w:rFonts w:eastAsiaTheme="minorHAnsi"/>
          <w:sz w:val="22"/>
          <w:szCs w:val="22"/>
          <w:lang w:val="en-AU"/>
        </w:rPr>
        <w:t>edaravone</w:t>
      </w:r>
      <w:proofErr w:type="spellEnd"/>
      <w:r w:rsidR="00ED6474">
        <w:rPr>
          <w:rFonts w:eastAsiaTheme="minorHAnsi"/>
          <w:sz w:val="22"/>
          <w:szCs w:val="22"/>
          <w:lang w:val="en-AU"/>
        </w:rPr>
        <w:t xml:space="preserve">, </w:t>
      </w:r>
      <w:proofErr w:type="spellStart"/>
      <w:r w:rsidR="00ED6474">
        <w:rPr>
          <w:rFonts w:eastAsiaTheme="minorHAnsi"/>
          <w:sz w:val="22"/>
          <w:szCs w:val="22"/>
          <w:lang w:val="en-AU"/>
        </w:rPr>
        <w:t>lenacapavir</w:t>
      </w:r>
      <w:proofErr w:type="spellEnd"/>
      <w:r w:rsidR="00ED6474">
        <w:rPr>
          <w:rFonts w:eastAsiaTheme="minorHAnsi"/>
          <w:sz w:val="22"/>
          <w:szCs w:val="22"/>
          <w:lang w:val="en-AU"/>
        </w:rPr>
        <w:t xml:space="preserve">, </w:t>
      </w:r>
      <w:proofErr w:type="spellStart"/>
      <w:r w:rsidR="00ED6474">
        <w:rPr>
          <w:rFonts w:eastAsiaTheme="minorHAnsi"/>
          <w:sz w:val="22"/>
          <w:szCs w:val="22"/>
          <w:lang w:val="en-AU"/>
        </w:rPr>
        <w:t>patisiran</w:t>
      </w:r>
      <w:proofErr w:type="spellEnd"/>
      <w:r w:rsidR="00ED6474">
        <w:rPr>
          <w:rFonts w:eastAsiaTheme="minorHAnsi"/>
          <w:sz w:val="22"/>
          <w:szCs w:val="22"/>
          <w:lang w:val="en-AU"/>
        </w:rPr>
        <w:t xml:space="preserve"> and </w:t>
      </w:r>
      <w:proofErr w:type="spellStart"/>
      <w:r w:rsidR="00ED6474">
        <w:rPr>
          <w:rFonts w:eastAsiaTheme="minorHAnsi"/>
          <w:sz w:val="22"/>
          <w:szCs w:val="22"/>
          <w:lang w:val="en-AU"/>
        </w:rPr>
        <w:t>tirzepatide</w:t>
      </w:r>
      <w:proofErr w:type="spellEnd"/>
      <w:r w:rsidR="00ED6474" w:rsidDel="00ED6474">
        <w:rPr>
          <w:sz w:val="22"/>
          <w:szCs w:val="22"/>
        </w:rPr>
        <w:t xml:space="preserve"> </w:t>
      </w:r>
      <w:r>
        <w:rPr>
          <w:sz w:val="22"/>
          <w:szCs w:val="22"/>
        </w:rPr>
        <w:t xml:space="preserve">in the Poisons Standard were made as delegate-only decisions, in accordance with the SPF, and were considered sufficiently straightforward as to not require public consultation. </w:t>
      </w:r>
      <w:r w:rsidR="0062233C">
        <w:rPr>
          <w:sz w:val="22"/>
          <w:szCs w:val="22"/>
        </w:rPr>
        <w:t xml:space="preserve"> </w:t>
      </w:r>
      <w:r w:rsidR="002A0DE6">
        <w:rPr>
          <w:sz w:val="22"/>
          <w:szCs w:val="22"/>
        </w:rPr>
        <w:t>Notification of these decisions w</w:t>
      </w:r>
      <w:r w:rsidR="00AE3E15">
        <w:rPr>
          <w:sz w:val="22"/>
          <w:szCs w:val="22"/>
        </w:rPr>
        <w:t>as</w:t>
      </w:r>
      <w:r w:rsidR="002A0DE6">
        <w:rPr>
          <w:sz w:val="22"/>
          <w:szCs w:val="22"/>
        </w:rPr>
        <w:t xml:space="preserve"> published on the TGA website on </w:t>
      </w:r>
      <w:r w:rsidR="00832E5C">
        <w:rPr>
          <w:sz w:val="22"/>
          <w:szCs w:val="22"/>
        </w:rPr>
        <w:t>20 January 2023</w:t>
      </w:r>
      <w:r w:rsidR="002A0DE6">
        <w:rPr>
          <w:sz w:val="22"/>
          <w:szCs w:val="22"/>
        </w:rPr>
        <w:t>.</w:t>
      </w:r>
    </w:p>
    <w:p w14:paraId="213790A8" w14:textId="77777777" w:rsidR="003C3F2B" w:rsidRDefault="003C3F2B" w:rsidP="003C3F2B">
      <w:pPr>
        <w:spacing w:before="0" w:after="0"/>
        <w:rPr>
          <w:sz w:val="22"/>
          <w:szCs w:val="22"/>
        </w:rPr>
      </w:pPr>
    </w:p>
    <w:p w14:paraId="5AC5CD7C" w14:textId="783758C8" w:rsidR="008C3F1B" w:rsidRDefault="0098177A" w:rsidP="005C0EA3">
      <w:pPr>
        <w:spacing w:before="0" w:after="0"/>
        <w:rPr>
          <w:sz w:val="22"/>
          <w:szCs w:val="22"/>
        </w:rPr>
      </w:pPr>
      <w:r>
        <w:rPr>
          <w:sz w:val="22"/>
          <w:szCs w:val="22"/>
        </w:rPr>
        <w:lastRenderedPageBreak/>
        <w:t xml:space="preserve">The decisions made in relation to fenpropidin and fluralaner were made as delegate-only decisions, pursuant to Subdivision 3D.3 of Part 6 of the </w:t>
      </w:r>
      <w:r>
        <w:rPr>
          <w:i/>
          <w:iCs/>
          <w:sz w:val="22"/>
          <w:szCs w:val="22"/>
        </w:rPr>
        <w:t>Therapeutic Goods Regulations 1990</w:t>
      </w:r>
      <w:r w:rsidR="0042149A">
        <w:rPr>
          <w:sz w:val="22"/>
          <w:szCs w:val="22"/>
        </w:rPr>
        <w:t>, and</w:t>
      </w:r>
      <w:r w:rsidR="0062233C">
        <w:rPr>
          <w:sz w:val="22"/>
          <w:szCs w:val="22"/>
        </w:rPr>
        <w:t xml:space="preserve"> </w:t>
      </w:r>
      <w:r w:rsidR="0042149A">
        <w:rPr>
          <w:sz w:val="22"/>
          <w:szCs w:val="22"/>
        </w:rPr>
        <w:t>n</w:t>
      </w:r>
      <w:r>
        <w:rPr>
          <w:sz w:val="22"/>
          <w:szCs w:val="22"/>
        </w:rPr>
        <w:t>otification of these decisions w</w:t>
      </w:r>
      <w:r w:rsidR="00AE3E15">
        <w:rPr>
          <w:sz w:val="22"/>
          <w:szCs w:val="22"/>
        </w:rPr>
        <w:t>as</w:t>
      </w:r>
      <w:r>
        <w:rPr>
          <w:sz w:val="22"/>
          <w:szCs w:val="22"/>
        </w:rPr>
        <w:t xml:space="preserve"> published on the TGA website on </w:t>
      </w:r>
      <w:r w:rsidR="00832E5C">
        <w:rPr>
          <w:sz w:val="22"/>
          <w:szCs w:val="22"/>
        </w:rPr>
        <w:t>20 January 2023.</w:t>
      </w:r>
    </w:p>
    <w:p w14:paraId="59588E25" w14:textId="77777777" w:rsidR="006B0883" w:rsidRDefault="006B0883" w:rsidP="005A47BE">
      <w:pPr>
        <w:spacing w:before="0" w:after="0"/>
        <w:rPr>
          <w:rFonts w:eastAsiaTheme="minorHAnsi"/>
          <w:sz w:val="22"/>
          <w:szCs w:val="22"/>
        </w:rPr>
      </w:pPr>
    </w:p>
    <w:p w14:paraId="79A5EA31" w14:textId="2663B05C" w:rsidR="00E91E3D" w:rsidRDefault="005245AF" w:rsidP="0012599F">
      <w:pPr>
        <w:spacing w:before="0" w:after="0"/>
        <w:rPr>
          <w:rFonts w:eastAsiaTheme="minorHAnsi"/>
          <w:iCs/>
          <w:sz w:val="22"/>
          <w:szCs w:val="22"/>
          <w:lang w:val="en-AU"/>
        </w:rPr>
      </w:pPr>
      <w:r>
        <w:rPr>
          <w:rFonts w:eastAsiaTheme="minorHAnsi"/>
          <w:iCs/>
          <w:sz w:val="22"/>
          <w:szCs w:val="22"/>
          <w:lang w:val="en-AU"/>
        </w:rPr>
        <w:t xml:space="preserve">The decisions in relation to improving the readability and clarity of the various schedule entries for </w:t>
      </w:r>
      <w:r w:rsidR="0012599F">
        <w:rPr>
          <w:rFonts w:eastAsiaTheme="minorHAnsi"/>
          <w:iCs/>
          <w:sz w:val="22"/>
          <w:szCs w:val="22"/>
          <w:lang w:val="en-AU"/>
        </w:rPr>
        <w:t xml:space="preserve">aspirin, ibuprofen and flurbiprofen were made as delegate-only decisions, in accordance with the SPF, but the </w:t>
      </w:r>
      <w:r w:rsidR="00167657">
        <w:rPr>
          <w:rFonts w:eastAsiaTheme="minorHAnsi"/>
          <w:iCs/>
          <w:sz w:val="22"/>
          <w:szCs w:val="22"/>
          <w:lang w:val="en-AU"/>
        </w:rPr>
        <w:t xml:space="preserve">TGA </w:t>
      </w:r>
      <w:r w:rsidR="000B1C2D">
        <w:rPr>
          <w:rFonts w:eastAsiaTheme="minorHAnsi"/>
          <w:iCs/>
          <w:sz w:val="22"/>
          <w:szCs w:val="22"/>
          <w:lang w:val="en-AU"/>
        </w:rPr>
        <w:t>engaged in targeted consultation</w:t>
      </w:r>
      <w:r w:rsidR="00167657">
        <w:rPr>
          <w:rFonts w:eastAsiaTheme="minorHAnsi"/>
          <w:iCs/>
          <w:sz w:val="22"/>
          <w:szCs w:val="22"/>
          <w:lang w:val="en-AU"/>
        </w:rPr>
        <w:t xml:space="preserve"> </w:t>
      </w:r>
      <w:r w:rsidR="0012599F">
        <w:rPr>
          <w:rFonts w:eastAsiaTheme="minorHAnsi"/>
          <w:iCs/>
          <w:sz w:val="22"/>
          <w:szCs w:val="22"/>
          <w:lang w:val="en-AU"/>
        </w:rPr>
        <w:t xml:space="preserve">on these </w:t>
      </w:r>
      <w:r w:rsidR="00167657">
        <w:rPr>
          <w:rFonts w:eastAsiaTheme="minorHAnsi"/>
          <w:iCs/>
          <w:sz w:val="22"/>
          <w:szCs w:val="22"/>
          <w:lang w:val="en-AU"/>
        </w:rPr>
        <w:t xml:space="preserve">with </w:t>
      </w:r>
      <w:r w:rsidR="00D45751">
        <w:rPr>
          <w:rFonts w:eastAsiaTheme="minorHAnsi"/>
          <w:iCs/>
          <w:sz w:val="22"/>
          <w:szCs w:val="22"/>
          <w:lang w:val="en-AU"/>
        </w:rPr>
        <w:t>13</w:t>
      </w:r>
      <w:r w:rsidR="006B0883">
        <w:rPr>
          <w:rFonts w:eastAsiaTheme="minorHAnsi"/>
          <w:iCs/>
          <w:sz w:val="22"/>
          <w:szCs w:val="22"/>
          <w:lang w:val="en-AU"/>
        </w:rPr>
        <w:t xml:space="preserve"> </w:t>
      </w:r>
      <w:r w:rsidR="00167657">
        <w:rPr>
          <w:rFonts w:eastAsiaTheme="minorHAnsi"/>
          <w:iCs/>
          <w:sz w:val="22"/>
          <w:szCs w:val="22"/>
          <w:lang w:val="en-AU"/>
        </w:rPr>
        <w:t xml:space="preserve">stakeholders, including </w:t>
      </w:r>
      <w:r w:rsidR="00D45751">
        <w:rPr>
          <w:rFonts w:eastAsiaTheme="minorHAnsi"/>
          <w:iCs/>
          <w:sz w:val="22"/>
          <w:szCs w:val="22"/>
          <w:lang w:val="en-AU"/>
        </w:rPr>
        <w:t xml:space="preserve">State and Territory Health Departments, the Pharmacy Guild of Australia, </w:t>
      </w:r>
      <w:r w:rsidR="000D1BB4">
        <w:rPr>
          <w:rFonts w:eastAsiaTheme="minorHAnsi"/>
          <w:iCs/>
          <w:sz w:val="22"/>
          <w:szCs w:val="22"/>
          <w:lang w:val="en-AU"/>
        </w:rPr>
        <w:t xml:space="preserve">the Pharmaceutical Society of Australia, </w:t>
      </w:r>
      <w:r w:rsidR="00D45751">
        <w:rPr>
          <w:rFonts w:eastAsiaTheme="minorHAnsi"/>
          <w:iCs/>
          <w:sz w:val="22"/>
          <w:szCs w:val="22"/>
          <w:lang w:val="en-AU"/>
        </w:rPr>
        <w:t>Consumer Health</w:t>
      </w:r>
      <w:r w:rsidR="000D1BB4">
        <w:rPr>
          <w:rFonts w:eastAsiaTheme="minorHAnsi"/>
          <w:iCs/>
          <w:sz w:val="22"/>
          <w:szCs w:val="22"/>
          <w:lang w:val="en-AU"/>
        </w:rPr>
        <w:t>care</w:t>
      </w:r>
      <w:r w:rsidR="00D45751">
        <w:rPr>
          <w:rFonts w:eastAsiaTheme="minorHAnsi"/>
          <w:iCs/>
          <w:sz w:val="22"/>
          <w:szCs w:val="22"/>
          <w:lang w:val="en-AU"/>
        </w:rPr>
        <w:t xml:space="preserve"> Products Australia, Accord</w:t>
      </w:r>
      <w:r w:rsidR="000D1BB4">
        <w:rPr>
          <w:rFonts w:eastAsiaTheme="minorHAnsi"/>
          <w:iCs/>
          <w:sz w:val="22"/>
          <w:szCs w:val="22"/>
          <w:lang w:val="en-AU"/>
        </w:rPr>
        <w:t xml:space="preserve"> Australasia</w:t>
      </w:r>
      <w:r w:rsidR="00D45751">
        <w:rPr>
          <w:rFonts w:eastAsiaTheme="minorHAnsi"/>
          <w:iCs/>
          <w:sz w:val="22"/>
          <w:szCs w:val="22"/>
          <w:lang w:val="en-AU"/>
        </w:rPr>
        <w:t>, the Australian Medical Association, and the Royal Australian College of General Practitioners</w:t>
      </w:r>
      <w:r w:rsidR="00167657">
        <w:rPr>
          <w:rFonts w:eastAsiaTheme="minorHAnsi"/>
          <w:iCs/>
          <w:sz w:val="22"/>
          <w:szCs w:val="22"/>
          <w:lang w:val="en-AU"/>
        </w:rPr>
        <w:t xml:space="preserve">, to ensure that the amendments </w:t>
      </w:r>
      <w:r w:rsidR="0012599F">
        <w:rPr>
          <w:rFonts w:eastAsiaTheme="minorHAnsi"/>
          <w:iCs/>
          <w:sz w:val="22"/>
          <w:szCs w:val="22"/>
          <w:lang w:val="en-AU"/>
        </w:rPr>
        <w:t>we</w:t>
      </w:r>
      <w:r w:rsidR="00167657">
        <w:rPr>
          <w:rFonts w:eastAsiaTheme="minorHAnsi"/>
          <w:iCs/>
          <w:sz w:val="22"/>
          <w:szCs w:val="22"/>
          <w:lang w:val="en-AU"/>
        </w:rPr>
        <w:t xml:space="preserve">re appropriate and </w:t>
      </w:r>
      <w:r w:rsidR="0012599F">
        <w:rPr>
          <w:rFonts w:eastAsiaTheme="minorHAnsi"/>
          <w:iCs/>
          <w:sz w:val="22"/>
          <w:szCs w:val="22"/>
          <w:lang w:val="en-AU"/>
        </w:rPr>
        <w:t>would</w:t>
      </w:r>
      <w:r w:rsidR="00347916">
        <w:rPr>
          <w:rFonts w:eastAsiaTheme="minorHAnsi"/>
          <w:iCs/>
          <w:sz w:val="22"/>
          <w:szCs w:val="22"/>
          <w:lang w:val="en-AU"/>
        </w:rPr>
        <w:t xml:space="preserve"> not change the effect of the </w:t>
      </w:r>
      <w:r w:rsidR="0012599F">
        <w:rPr>
          <w:rFonts w:eastAsiaTheme="minorHAnsi"/>
          <w:iCs/>
          <w:sz w:val="22"/>
          <w:szCs w:val="22"/>
          <w:lang w:val="en-AU"/>
        </w:rPr>
        <w:t xml:space="preserve">relevant </w:t>
      </w:r>
      <w:r w:rsidR="00347916">
        <w:rPr>
          <w:rFonts w:eastAsiaTheme="minorHAnsi"/>
          <w:iCs/>
          <w:sz w:val="22"/>
          <w:szCs w:val="22"/>
          <w:lang w:val="en-AU"/>
        </w:rPr>
        <w:t>schedule entries</w:t>
      </w:r>
      <w:r w:rsidR="00167657">
        <w:rPr>
          <w:rFonts w:eastAsiaTheme="minorHAnsi"/>
          <w:iCs/>
          <w:sz w:val="22"/>
          <w:szCs w:val="22"/>
          <w:lang w:val="en-AU"/>
        </w:rPr>
        <w:t>.</w:t>
      </w:r>
      <w:r w:rsidR="007710CA">
        <w:rPr>
          <w:rFonts w:eastAsiaTheme="minorHAnsi"/>
          <w:iCs/>
          <w:sz w:val="22"/>
          <w:szCs w:val="22"/>
          <w:lang w:val="en-AU"/>
        </w:rPr>
        <w:t xml:space="preserve">  The TGA received </w:t>
      </w:r>
      <w:r w:rsidR="005F20D4">
        <w:rPr>
          <w:rFonts w:eastAsiaTheme="minorHAnsi"/>
          <w:iCs/>
          <w:sz w:val="22"/>
          <w:szCs w:val="22"/>
          <w:lang w:val="en-AU"/>
        </w:rPr>
        <w:t>seven</w:t>
      </w:r>
      <w:r w:rsidR="00167657">
        <w:rPr>
          <w:rFonts w:eastAsiaTheme="minorHAnsi"/>
          <w:iCs/>
          <w:sz w:val="22"/>
          <w:szCs w:val="22"/>
          <w:lang w:val="en-AU"/>
        </w:rPr>
        <w:t xml:space="preserve"> </w:t>
      </w:r>
      <w:r w:rsidR="007710CA">
        <w:rPr>
          <w:rFonts w:eastAsiaTheme="minorHAnsi"/>
          <w:iCs/>
          <w:sz w:val="22"/>
          <w:szCs w:val="22"/>
          <w:lang w:val="en-AU"/>
        </w:rPr>
        <w:t>responses</w:t>
      </w:r>
      <w:r w:rsidR="005F20D4">
        <w:rPr>
          <w:rFonts w:eastAsiaTheme="minorHAnsi"/>
          <w:iCs/>
          <w:sz w:val="22"/>
          <w:szCs w:val="22"/>
          <w:lang w:val="en-AU"/>
        </w:rPr>
        <w:t xml:space="preserve"> in total</w:t>
      </w:r>
      <w:r w:rsidR="007710CA">
        <w:rPr>
          <w:rFonts w:eastAsiaTheme="minorHAnsi"/>
          <w:iCs/>
          <w:sz w:val="22"/>
          <w:szCs w:val="22"/>
          <w:lang w:val="en-AU"/>
        </w:rPr>
        <w:t xml:space="preserve"> that were all supportive of </w:t>
      </w:r>
      <w:r w:rsidR="0012599F">
        <w:rPr>
          <w:rFonts w:eastAsiaTheme="minorHAnsi"/>
          <w:iCs/>
          <w:sz w:val="22"/>
          <w:szCs w:val="22"/>
          <w:lang w:val="en-AU"/>
        </w:rPr>
        <w:t>the proposed</w:t>
      </w:r>
      <w:r w:rsidR="00D71B85">
        <w:rPr>
          <w:rFonts w:eastAsiaTheme="minorHAnsi"/>
          <w:iCs/>
          <w:sz w:val="22"/>
          <w:szCs w:val="22"/>
          <w:lang w:val="en-AU"/>
        </w:rPr>
        <w:t xml:space="preserve"> amendments</w:t>
      </w:r>
      <w:r w:rsidR="0012599F">
        <w:rPr>
          <w:rFonts w:eastAsiaTheme="minorHAnsi"/>
          <w:iCs/>
          <w:sz w:val="22"/>
          <w:szCs w:val="22"/>
          <w:lang w:val="en-AU"/>
        </w:rPr>
        <w:t>.</w:t>
      </w:r>
      <w:r w:rsidR="00AF1310">
        <w:rPr>
          <w:rFonts w:eastAsiaTheme="minorHAnsi"/>
          <w:iCs/>
          <w:sz w:val="22"/>
          <w:szCs w:val="22"/>
          <w:lang w:val="en-AU"/>
        </w:rPr>
        <w:t xml:space="preserve"> </w:t>
      </w:r>
      <w:r w:rsidR="002B5E72">
        <w:rPr>
          <w:rFonts w:eastAsiaTheme="minorHAnsi"/>
          <w:iCs/>
          <w:sz w:val="22"/>
          <w:szCs w:val="22"/>
          <w:lang w:val="en-AU"/>
        </w:rPr>
        <w:t xml:space="preserve"> </w:t>
      </w:r>
      <w:r w:rsidR="0012599F">
        <w:rPr>
          <w:rFonts w:eastAsiaTheme="minorHAnsi"/>
          <w:iCs/>
          <w:sz w:val="22"/>
          <w:szCs w:val="22"/>
          <w:lang w:val="en-AU"/>
        </w:rPr>
        <w:t>Some f</w:t>
      </w:r>
      <w:r w:rsidR="005F20D4">
        <w:rPr>
          <w:rFonts w:eastAsiaTheme="minorHAnsi"/>
          <w:iCs/>
          <w:sz w:val="22"/>
          <w:szCs w:val="22"/>
          <w:lang w:val="en-AU"/>
        </w:rPr>
        <w:t>eedback provided by these stakeholders was incorporated into the final amendments</w:t>
      </w:r>
      <w:r w:rsidR="0012599F">
        <w:rPr>
          <w:rFonts w:eastAsiaTheme="minorHAnsi"/>
          <w:iCs/>
          <w:sz w:val="22"/>
          <w:szCs w:val="22"/>
          <w:lang w:val="en-AU"/>
        </w:rPr>
        <w:t>,</w:t>
      </w:r>
      <w:r w:rsidR="00347916">
        <w:rPr>
          <w:rFonts w:eastAsiaTheme="minorHAnsi"/>
          <w:iCs/>
          <w:sz w:val="22"/>
          <w:szCs w:val="22"/>
          <w:lang w:val="en-AU"/>
        </w:rPr>
        <w:t xml:space="preserve"> where it did not result in a change to the substantive content</w:t>
      </w:r>
      <w:r w:rsidR="0012599F">
        <w:rPr>
          <w:rFonts w:eastAsiaTheme="minorHAnsi"/>
          <w:iCs/>
          <w:sz w:val="22"/>
          <w:szCs w:val="22"/>
          <w:lang w:val="en-AU"/>
        </w:rPr>
        <w:t xml:space="preserve"> or effect</w:t>
      </w:r>
      <w:r w:rsidR="00347916">
        <w:rPr>
          <w:rFonts w:eastAsiaTheme="minorHAnsi"/>
          <w:iCs/>
          <w:sz w:val="22"/>
          <w:szCs w:val="22"/>
          <w:lang w:val="en-AU"/>
        </w:rPr>
        <w:t xml:space="preserve"> of the schedule entries</w:t>
      </w:r>
      <w:r w:rsidR="007710CA">
        <w:rPr>
          <w:rFonts w:eastAsiaTheme="minorHAnsi"/>
          <w:iCs/>
          <w:sz w:val="22"/>
          <w:szCs w:val="22"/>
          <w:lang w:val="en-AU"/>
        </w:rPr>
        <w:t>.</w:t>
      </w:r>
      <w:r w:rsidR="00347916">
        <w:rPr>
          <w:rFonts w:eastAsiaTheme="minorHAnsi"/>
          <w:iCs/>
          <w:sz w:val="22"/>
          <w:szCs w:val="22"/>
          <w:lang w:val="en-AU"/>
        </w:rPr>
        <w:t xml:space="preserve"> </w:t>
      </w:r>
    </w:p>
    <w:p w14:paraId="0AB90A72" w14:textId="77777777" w:rsidR="00E91E3D" w:rsidRDefault="00E91E3D" w:rsidP="005A47BE">
      <w:pPr>
        <w:spacing w:before="0" w:after="0"/>
        <w:rPr>
          <w:rFonts w:eastAsiaTheme="minorHAnsi"/>
          <w:iCs/>
          <w:sz w:val="22"/>
          <w:szCs w:val="22"/>
          <w:lang w:val="en-AU"/>
        </w:rPr>
      </w:pPr>
    </w:p>
    <w:p w14:paraId="43BC8F73" w14:textId="5D48178F" w:rsidR="00E36BCC" w:rsidRPr="001F7885" w:rsidRDefault="000B1C2D" w:rsidP="003C3F2B">
      <w:pPr>
        <w:spacing w:before="0" w:after="0"/>
        <w:rPr>
          <w:rFonts w:eastAsiaTheme="minorHAnsi"/>
          <w:sz w:val="22"/>
          <w:szCs w:val="22"/>
        </w:rPr>
      </w:pPr>
      <w:r>
        <w:rPr>
          <w:rFonts w:eastAsiaTheme="minorHAnsi"/>
          <w:sz w:val="22"/>
          <w:szCs w:val="22"/>
        </w:rPr>
        <w:t>The</w:t>
      </w:r>
      <w:r w:rsidR="00ED6474">
        <w:rPr>
          <w:rFonts w:eastAsiaTheme="minorHAnsi"/>
          <w:sz w:val="22"/>
          <w:szCs w:val="22"/>
        </w:rPr>
        <w:t xml:space="preserve"> minor amendments with respect to </w:t>
      </w:r>
      <w:proofErr w:type="spellStart"/>
      <w:r w:rsidR="00ED6474">
        <w:rPr>
          <w:rFonts w:eastAsiaTheme="minorHAnsi"/>
          <w:sz w:val="22"/>
          <w:szCs w:val="22"/>
        </w:rPr>
        <w:t>afamelanotide</w:t>
      </w:r>
      <w:proofErr w:type="spellEnd"/>
      <w:r w:rsidR="00ED6474">
        <w:rPr>
          <w:rFonts w:eastAsiaTheme="minorHAnsi"/>
          <w:sz w:val="22"/>
          <w:szCs w:val="22"/>
        </w:rPr>
        <w:t xml:space="preserve">, </w:t>
      </w:r>
      <w:proofErr w:type="spellStart"/>
      <w:r w:rsidR="00ED6474">
        <w:rPr>
          <w:rFonts w:eastAsiaTheme="minorHAnsi"/>
          <w:sz w:val="22"/>
          <w:szCs w:val="22"/>
        </w:rPr>
        <w:t>diethylhexyl</w:t>
      </w:r>
      <w:proofErr w:type="spellEnd"/>
      <w:r w:rsidR="00ED6474">
        <w:rPr>
          <w:rFonts w:eastAsiaTheme="minorHAnsi"/>
          <w:sz w:val="22"/>
          <w:szCs w:val="22"/>
        </w:rPr>
        <w:t xml:space="preserve"> phthalate, and phosphonic acid </w:t>
      </w:r>
      <w:r>
        <w:rPr>
          <w:rFonts w:eastAsiaTheme="minorHAnsi"/>
          <w:sz w:val="22"/>
          <w:szCs w:val="22"/>
        </w:rPr>
        <w:t xml:space="preserve">were considered sufficiently </w:t>
      </w:r>
      <w:r w:rsidR="00ED6474">
        <w:rPr>
          <w:rFonts w:eastAsiaTheme="minorHAnsi"/>
          <w:sz w:val="22"/>
          <w:szCs w:val="22"/>
        </w:rPr>
        <w:t>minor</w:t>
      </w:r>
      <w:r>
        <w:rPr>
          <w:rFonts w:eastAsiaTheme="minorHAnsi"/>
          <w:sz w:val="22"/>
          <w:szCs w:val="22"/>
        </w:rPr>
        <w:t xml:space="preserve"> as not to require public consultation.</w:t>
      </w:r>
    </w:p>
    <w:p w14:paraId="7B9679EA" w14:textId="77777777" w:rsidR="00891690" w:rsidRPr="00891690" w:rsidRDefault="00891690" w:rsidP="00B540B5">
      <w:pPr>
        <w:spacing w:before="0" w:after="0"/>
        <w:rPr>
          <w:iCs/>
          <w:sz w:val="22"/>
          <w:szCs w:val="22"/>
        </w:rPr>
      </w:pPr>
    </w:p>
    <w:p w14:paraId="55C4FDBC" w14:textId="5D19B98F" w:rsidR="00BC648F" w:rsidRDefault="00BC648F" w:rsidP="00B540B5">
      <w:pPr>
        <w:spacing w:before="0" w:after="0"/>
        <w:rPr>
          <w:rFonts w:eastAsiaTheme="minorHAnsi"/>
          <w:sz w:val="22"/>
          <w:szCs w:val="22"/>
          <w:lang w:val="en-AU"/>
        </w:rPr>
      </w:pPr>
      <w:r w:rsidRPr="00A25AC7">
        <w:rPr>
          <w:rFonts w:eastAsiaTheme="minorHAnsi"/>
          <w:sz w:val="22"/>
          <w:szCs w:val="22"/>
          <w:lang w:val="en-AU"/>
        </w:rPr>
        <w:t>Th</w:t>
      </w:r>
      <w:r w:rsidR="00ED6474">
        <w:rPr>
          <w:rFonts w:eastAsiaTheme="minorHAnsi"/>
          <w:sz w:val="22"/>
          <w:szCs w:val="22"/>
          <w:lang w:val="en-AU"/>
        </w:rPr>
        <w:t>e Instrument</w:t>
      </w:r>
      <w:r w:rsidR="00DA6D2F" w:rsidRPr="00A25AC7">
        <w:rPr>
          <w:rFonts w:eastAsiaTheme="minorHAnsi"/>
          <w:i/>
          <w:sz w:val="22"/>
          <w:szCs w:val="22"/>
          <w:lang w:val="en-AU"/>
        </w:rPr>
        <w:t xml:space="preserve"> </w:t>
      </w:r>
      <w:r w:rsidRPr="00A25AC7">
        <w:rPr>
          <w:rFonts w:eastAsiaTheme="minorHAnsi"/>
          <w:sz w:val="22"/>
          <w:szCs w:val="22"/>
          <w:lang w:val="en-AU"/>
        </w:rPr>
        <w:t xml:space="preserve">is a legislative instrument for the purposes of the </w:t>
      </w:r>
      <w:r w:rsidRPr="00A25AC7">
        <w:rPr>
          <w:rFonts w:eastAsiaTheme="minorHAnsi"/>
          <w:i/>
          <w:sz w:val="22"/>
          <w:szCs w:val="22"/>
          <w:lang w:val="en-AU"/>
        </w:rPr>
        <w:t>Legislation Act 2003</w:t>
      </w:r>
      <w:r w:rsidR="0012599F">
        <w:rPr>
          <w:rFonts w:eastAsiaTheme="minorHAnsi"/>
          <w:iCs/>
          <w:sz w:val="22"/>
          <w:szCs w:val="22"/>
          <w:lang w:val="en-AU"/>
        </w:rPr>
        <w:t xml:space="preserve"> (“the Legislation Act”)</w:t>
      </w:r>
      <w:r w:rsidRPr="00A25AC7">
        <w:rPr>
          <w:rFonts w:eastAsiaTheme="minorHAnsi"/>
          <w:sz w:val="22"/>
          <w:szCs w:val="22"/>
          <w:lang w:val="en-AU"/>
        </w:rPr>
        <w:t>.</w:t>
      </w:r>
      <w:r w:rsidR="0072604D" w:rsidRPr="00A25AC7">
        <w:rPr>
          <w:rFonts w:eastAsiaTheme="minorHAnsi"/>
          <w:sz w:val="22"/>
          <w:szCs w:val="22"/>
          <w:lang w:val="en-AU"/>
        </w:rPr>
        <w:t xml:space="preserve"> </w:t>
      </w:r>
      <w:r w:rsidR="0062233C">
        <w:rPr>
          <w:rFonts w:eastAsiaTheme="minorHAnsi"/>
          <w:sz w:val="22"/>
          <w:szCs w:val="22"/>
          <w:lang w:val="en-AU"/>
        </w:rPr>
        <w:t xml:space="preserve"> </w:t>
      </w:r>
      <w:r w:rsidRPr="00A25AC7">
        <w:rPr>
          <w:rFonts w:eastAsiaTheme="minorHAnsi"/>
          <w:sz w:val="22"/>
          <w:szCs w:val="22"/>
          <w:lang w:val="en-AU"/>
        </w:rPr>
        <w:t xml:space="preserve">However, section 42 of the </w:t>
      </w:r>
      <w:r w:rsidR="00D77902">
        <w:rPr>
          <w:rFonts w:eastAsiaTheme="minorHAnsi"/>
          <w:iCs/>
          <w:sz w:val="22"/>
          <w:szCs w:val="22"/>
          <w:lang w:val="en-AU"/>
        </w:rPr>
        <w:t>Legislation Act</w:t>
      </w:r>
      <w:r w:rsidRPr="00A25AC7">
        <w:rPr>
          <w:rFonts w:eastAsiaTheme="minorHAnsi"/>
          <w:sz w:val="22"/>
          <w:szCs w:val="22"/>
          <w:lang w:val="en-AU"/>
        </w:rPr>
        <w:t xml:space="preserve"> </w:t>
      </w:r>
      <w:r w:rsidR="004B672A" w:rsidRPr="00A25AC7">
        <w:rPr>
          <w:rFonts w:eastAsiaTheme="minorHAnsi"/>
          <w:sz w:val="22"/>
          <w:szCs w:val="22"/>
          <w:lang w:val="en-AU"/>
        </w:rPr>
        <w:t xml:space="preserve">relating to </w:t>
      </w:r>
      <w:r w:rsidR="00E774B6" w:rsidRPr="00A25AC7">
        <w:rPr>
          <w:rFonts w:eastAsiaTheme="minorHAnsi"/>
          <w:sz w:val="22"/>
          <w:szCs w:val="22"/>
          <w:lang w:val="en-AU"/>
        </w:rPr>
        <w:t xml:space="preserve">disallowance </w:t>
      </w:r>
      <w:r w:rsidRPr="00A25AC7">
        <w:rPr>
          <w:rFonts w:eastAsiaTheme="minorHAnsi"/>
          <w:sz w:val="22"/>
          <w:szCs w:val="22"/>
          <w:lang w:val="en-AU"/>
        </w:rPr>
        <w:t>does not apply (</w:t>
      </w:r>
      <w:r w:rsidR="00E80292" w:rsidRPr="00A25AC7">
        <w:rPr>
          <w:rFonts w:eastAsiaTheme="minorHAnsi"/>
          <w:sz w:val="22"/>
          <w:szCs w:val="22"/>
          <w:lang w:val="en-AU"/>
        </w:rPr>
        <w:t>s</w:t>
      </w:r>
      <w:r w:rsidRPr="00A25AC7">
        <w:rPr>
          <w:rFonts w:eastAsiaTheme="minorHAnsi"/>
          <w:sz w:val="22"/>
          <w:szCs w:val="22"/>
          <w:lang w:val="en-AU"/>
        </w:rPr>
        <w:t>ubsection 52D(4A) of the Act</w:t>
      </w:r>
      <w:r w:rsidR="00C1609C" w:rsidRPr="00A25AC7">
        <w:rPr>
          <w:rFonts w:eastAsiaTheme="minorHAnsi"/>
          <w:sz w:val="22"/>
          <w:szCs w:val="22"/>
          <w:lang w:val="en-AU"/>
        </w:rPr>
        <w:t xml:space="preserve"> refers</w:t>
      </w:r>
      <w:r w:rsidRPr="00A25AC7">
        <w:rPr>
          <w:rFonts w:eastAsiaTheme="minorHAnsi"/>
          <w:sz w:val="22"/>
          <w:szCs w:val="22"/>
          <w:lang w:val="en-AU"/>
        </w:rPr>
        <w:t xml:space="preserve">). </w:t>
      </w:r>
      <w:r w:rsidR="0062233C">
        <w:rPr>
          <w:rFonts w:eastAsiaTheme="minorHAnsi"/>
          <w:sz w:val="22"/>
          <w:szCs w:val="22"/>
          <w:lang w:val="en-AU"/>
        </w:rPr>
        <w:t xml:space="preserve"> </w:t>
      </w:r>
      <w:r w:rsidRPr="00A25AC7">
        <w:rPr>
          <w:rFonts w:eastAsiaTheme="minorHAnsi"/>
          <w:sz w:val="22"/>
          <w:szCs w:val="22"/>
          <w:lang w:val="en-AU"/>
        </w:rPr>
        <w:t xml:space="preserve">As </w:t>
      </w:r>
      <w:r w:rsidR="00C1609C" w:rsidRPr="00A25AC7">
        <w:rPr>
          <w:rFonts w:eastAsiaTheme="minorHAnsi"/>
          <w:sz w:val="22"/>
          <w:szCs w:val="22"/>
          <w:lang w:val="en-AU"/>
        </w:rPr>
        <w:t xml:space="preserve">the </w:t>
      </w:r>
      <w:r w:rsidR="002722D5">
        <w:rPr>
          <w:rFonts w:eastAsiaTheme="minorHAnsi"/>
          <w:sz w:val="22"/>
          <w:szCs w:val="22"/>
        </w:rPr>
        <w:t>new Poisons Standard</w:t>
      </w:r>
      <w:r w:rsidR="00C1609C" w:rsidRPr="00A25AC7">
        <w:rPr>
          <w:rFonts w:eastAsiaTheme="minorHAnsi"/>
          <w:sz w:val="22"/>
          <w:szCs w:val="22"/>
          <w:lang w:val="en-AU"/>
        </w:rPr>
        <w:t xml:space="preserve"> is not disallowable</w:t>
      </w:r>
      <w:r w:rsidRPr="00A25AC7">
        <w:rPr>
          <w:rFonts w:eastAsiaTheme="minorHAnsi"/>
          <w:sz w:val="22"/>
          <w:szCs w:val="22"/>
          <w:lang w:val="en-AU"/>
        </w:rPr>
        <w:t xml:space="preserve">, subsection 9(1) of the </w:t>
      </w:r>
      <w:r w:rsidRPr="00A25AC7">
        <w:rPr>
          <w:rFonts w:eastAsiaTheme="minorHAnsi"/>
          <w:i/>
          <w:sz w:val="22"/>
          <w:szCs w:val="22"/>
          <w:lang w:val="en-AU"/>
        </w:rPr>
        <w:t>Human Rights (Parliamentary Scrutiny) Act 2011</w:t>
      </w:r>
      <w:r w:rsidRPr="00A25AC7">
        <w:rPr>
          <w:rFonts w:eastAsiaTheme="minorHAnsi"/>
          <w:sz w:val="22"/>
          <w:szCs w:val="22"/>
          <w:lang w:val="en-AU"/>
        </w:rPr>
        <w:t xml:space="preserve"> does not require that </w:t>
      </w:r>
      <w:r w:rsidR="00E774B6" w:rsidRPr="00A25AC7">
        <w:rPr>
          <w:rFonts w:eastAsiaTheme="minorHAnsi"/>
          <w:sz w:val="22"/>
          <w:szCs w:val="22"/>
          <w:lang w:val="en-AU"/>
        </w:rPr>
        <w:t xml:space="preserve">the instrument </w:t>
      </w:r>
      <w:r w:rsidRPr="00A25AC7">
        <w:rPr>
          <w:rFonts w:eastAsiaTheme="minorHAnsi"/>
          <w:sz w:val="22"/>
          <w:szCs w:val="22"/>
          <w:lang w:val="en-AU"/>
        </w:rPr>
        <w:t>be accompanied by a statement of compatibility with the human rights recognised under that Act.</w:t>
      </w:r>
    </w:p>
    <w:p w14:paraId="58FB62A7" w14:textId="77777777" w:rsidR="003C3F2B" w:rsidRPr="00A25AC7" w:rsidRDefault="003C3F2B" w:rsidP="003C3F2B">
      <w:pPr>
        <w:spacing w:before="0" w:after="0"/>
        <w:rPr>
          <w:rFonts w:eastAsiaTheme="minorHAnsi"/>
          <w:sz w:val="22"/>
          <w:szCs w:val="22"/>
          <w:lang w:val="en-AU"/>
        </w:rPr>
      </w:pPr>
    </w:p>
    <w:p w14:paraId="6335599B" w14:textId="724B641E" w:rsidR="00C1609C" w:rsidRDefault="00C1609C" w:rsidP="003C3F2B">
      <w:pPr>
        <w:spacing w:before="0" w:after="0"/>
        <w:rPr>
          <w:sz w:val="22"/>
          <w:szCs w:val="22"/>
        </w:rPr>
      </w:pPr>
      <w:r w:rsidRPr="00A25AC7">
        <w:rPr>
          <w:sz w:val="22"/>
          <w:szCs w:val="22"/>
        </w:rPr>
        <w:t>In providing that disallowance does not apply to an instrument made under paragraphs 52D(2)(a) or (b) of the Act, subsection 52D(4A) of the Act appropriately recognises that instruments made under these paragraphs form part of an intergovernmental scheme, which should not be subject to unilateral disallowance by the Commonwealth Parliament, consistent with section 44 of the Legislation Act.</w:t>
      </w:r>
      <w:r w:rsidR="0062233C">
        <w:rPr>
          <w:sz w:val="22"/>
          <w:szCs w:val="22"/>
        </w:rPr>
        <w:t xml:space="preserve"> </w:t>
      </w:r>
      <w:r w:rsidRPr="00A25AC7">
        <w:rPr>
          <w:sz w:val="22"/>
          <w:szCs w:val="22"/>
        </w:rPr>
        <w:t xml:space="preserve"> Under this scheme, the current Poisons Standard principally provides a set of recommendations to the </w:t>
      </w:r>
      <w:r w:rsidR="00904EAD">
        <w:rPr>
          <w:sz w:val="22"/>
          <w:szCs w:val="22"/>
        </w:rPr>
        <w:t>S</w:t>
      </w:r>
      <w:r w:rsidRPr="00A25AC7">
        <w:rPr>
          <w:sz w:val="22"/>
          <w:szCs w:val="22"/>
        </w:rPr>
        <w:t xml:space="preserve">tates and </w:t>
      </w:r>
      <w:r w:rsidR="00904EAD">
        <w:rPr>
          <w:sz w:val="22"/>
          <w:szCs w:val="22"/>
        </w:rPr>
        <w:t>T</w:t>
      </w:r>
      <w:r w:rsidRPr="00A25AC7">
        <w:rPr>
          <w:sz w:val="22"/>
          <w:szCs w:val="22"/>
        </w:rPr>
        <w:t xml:space="preserve">erritories as to the appropriate level of controls that should apply to medicines and poisons. </w:t>
      </w:r>
    </w:p>
    <w:p w14:paraId="2A1BDC0E" w14:textId="77777777" w:rsidR="003C3F2B" w:rsidRPr="00A25AC7" w:rsidRDefault="003C3F2B" w:rsidP="003C3F2B">
      <w:pPr>
        <w:spacing w:before="0" w:after="0"/>
        <w:rPr>
          <w:sz w:val="22"/>
          <w:szCs w:val="22"/>
        </w:rPr>
      </w:pPr>
    </w:p>
    <w:p w14:paraId="5FCF6E0F" w14:textId="3633FFE0" w:rsidR="00C1609C" w:rsidRDefault="00C1609C" w:rsidP="003C3F2B">
      <w:pPr>
        <w:spacing w:before="0" w:after="0"/>
        <w:rPr>
          <w:sz w:val="22"/>
          <w:szCs w:val="22"/>
        </w:rPr>
      </w:pPr>
      <w:r w:rsidRPr="00A25AC7">
        <w:rPr>
          <w:sz w:val="22"/>
          <w:szCs w:val="22"/>
        </w:rPr>
        <w:t xml:space="preserve">The </w:t>
      </w:r>
      <w:r w:rsidR="00904EAD">
        <w:rPr>
          <w:sz w:val="22"/>
          <w:szCs w:val="22"/>
        </w:rPr>
        <w:t>S</w:t>
      </w:r>
      <w:r w:rsidR="00347916" w:rsidRPr="00A25AC7">
        <w:rPr>
          <w:sz w:val="22"/>
          <w:szCs w:val="22"/>
        </w:rPr>
        <w:t xml:space="preserve">tates </w:t>
      </w:r>
      <w:r w:rsidRPr="00A25AC7">
        <w:rPr>
          <w:sz w:val="22"/>
          <w:szCs w:val="22"/>
        </w:rPr>
        <w:t xml:space="preserve">and </w:t>
      </w:r>
      <w:r w:rsidR="00904EAD">
        <w:rPr>
          <w:sz w:val="22"/>
          <w:szCs w:val="22"/>
        </w:rPr>
        <w:t>T</w:t>
      </w:r>
      <w:r w:rsidR="00347916" w:rsidRPr="00A25AC7">
        <w:rPr>
          <w:sz w:val="22"/>
          <w:szCs w:val="22"/>
        </w:rPr>
        <w:t xml:space="preserve">erritories </w:t>
      </w:r>
      <w:r w:rsidRPr="00A25AC7">
        <w:rPr>
          <w:sz w:val="22"/>
          <w:szCs w:val="22"/>
        </w:rPr>
        <w:t>regulate such substances by electing to apply the current Poisons Standard as a law within their own jurisdiction.</w:t>
      </w:r>
      <w:r w:rsidR="008F17B2" w:rsidRPr="00A25AC7">
        <w:rPr>
          <w:sz w:val="22"/>
          <w:szCs w:val="22"/>
        </w:rPr>
        <w:t xml:space="preserve"> </w:t>
      </w:r>
      <w:r w:rsidR="0062233C">
        <w:rPr>
          <w:sz w:val="22"/>
          <w:szCs w:val="22"/>
        </w:rPr>
        <w:t xml:space="preserve"> </w:t>
      </w:r>
      <w:r w:rsidRPr="00A25AC7">
        <w:rPr>
          <w:sz w:val="22"/>
          <w:szCs w:val="22"/>
        </w:rPr>
        <w:t xml:space="preserve">In this way, the current Poisons Standard does not have direct </w:t>
      </w:r>
      <w:proofErr w:type="gramStart"/>
      <w:r w:rsidRPr="00A25AC7">
        <w:rPr>
          <w:sz w:val="22"/>
          <w:szCs w:val="22"/>
        </w:rPr>
        <w:t>application in its own right</w:t>
      </w:r>
      <w:proofErr w:type="gramEnd"/>
      <w:r w:rsidRPr="00A25AC7">
        <w:rPr>
          <w:sz w:val="22"/>
          <w:szCs w:val="22"/>
        </w:rPr>
        <w:t>.</w:t>
      </w:r>
      <w:r w:rsidR="0062233C">
        <w:rPr>
          <w:sz w:val="22"/>
          <w:szCs w:val="22"/>
        </w:rPr>
        <w:t xml:space="preserve"> </w:t>
      </w:r>
      <w:r w:rsidRPr="00A25AC7">
        <w:rPr>
          <w:sz w:val="22"/>
          <w:szCs w:val="22"/>
        </w:rPr>
        <w:t xml:space="preserve"> If the current Poisons Standard was to be subject to disallowance, this would impact the current uniform system of restrictions in Australia relating to the supply of scheduled </w:t>
      </w:r>
      <w:proofErr w:type="gramStart"/>
      <w:r w:rsidRPr="00A25AC7">
        <w:rPr>
          <w:sz w:val="22"/>
          <w:szCs w:val="22"/>
        </w:rPr>
        <w:t>substances, and</w:t>
      </w:r>
      <w:proofErr w:type="gramEnd"/>
      <w:r w:rsidR="008F17B2" w:rsidRPr="00A25AC7">
        <w:rPr>
          <w:sz w:val="22"/>
          <w:szCs w:val="22"/>
        </w:rPr>
        <w:t xml:space="preserve"> would</w:t>
      </w:r>
      <w:r w:rsidRPr="00A25AC7">
        <w:rPr>
          <w:sz w:val="22"/>
          <w:szCs w:val="22"/>
        </w:rPr>
        <w:t xml:space="preserve"> lead to confusion and different approaches across different </w:t>
      </w:r>
      <w:r w:rsidR="00904EAD">
        <w:rPr>
          <w:sz w:val="22"/>
          <w:szCs w:val="22"/>
        </w:rPr>
        <w:t>S</w:t>
      </w:r>
      <w:r w:rsidR="00347916" w:rsidRPr="00A25AC7">
        <w:rPr>
          <w:sz w:val="22"/>
          <w:szCs w:val="22"/>
        </w:rPr>
        <w:t xml:space="preserve">tates </w:t>
      </w:r>
      <w:r w:rsidRPr="00A25AC7">
        <w:rPr>
          <w:sz w:val="22"/>
          <w:szCs w:val="22"/>
        </w:rPr>
        <w:t xml:space="preserve">and </w:t>
      </w:r>
      <w:r w:rsidR="00904EAD">
        <w:rPr>
          <w:sz w:val="22"/>
          <w:szCs w:val="22"/>
        </w:rPr>
        <w:t>T</w:t>
      </w:r>
      <w:r w:rsidR="00347916" w:rsidRPr="00A25AC7">
        <w:rPr>
          <w:sz w:val="22"/>
          <w:szCs w:val="22"/>
        </w:rPr>
        <w:t xml:space="preserve">erritories </w:t>
      </w:r>
      <w:r w:rsidRPr="00A25AC7">
        <w:rPr>
          <w:sz w:val="22"/>
          <w:szCs w:val="22"/>
        </w:rPr>
        <w:t>with respect to their handling, storage, possession and supply</w:t>
      </w:r>
      <w:r w:rsidR="008F17B2" w:rsidRPr="00A25AC7">
        <w:rPr>
          <w:sz w:val="22"/>
          <w:szCs w:val="22"/>
        </w:rPr>
        <w:t xml:space="preserve"> of scheduled substances</w:t>
      </w:r>
      <w:r w:rsidRPr="00A25AC7">
        <w:rPr>
          <w:sz w:val="22"/>
          <w:szCs w:val="22"/>
        </w:rPr>
        <w:t>.</w:t>
      </w:r>
    </w:p>
    <w:p w14:paraId="6AAE1499" w14:textId="77777777" w:rsidR="003C3F2B" w:rsidRPr="00A25AC7" w:rsidRDefault="003C3F2B" w:rsidP="003C3F2B">
      <w:pPr>
        <w:spacing w:before="0" w:after="0"/>
        <w:rPr>
          <w:sz w:val="22"/>
          <w:szCs w:val="22"/>
        </w:rPr>
      </w:pPr>
    </w:p>
    <w:p w14:paraId="21C428DC" w14:textId="335922F3" w:rsidR="00C1609C" w:rsidRDefault="00C1609C" w:rsidP="003C3F2B">
      <w:pPr>
        <w:spacing w:before="0" w:after="0"/>
        <w:rPr>
          <w:sz w:val="22"/>
          <w:szCs w:val="22"/>
        </w:rPr>
      </w:pPr>
      <w:r w:rsidRPr="00A25AC7">
        <w:rPr>
          <w:sz w:val="22"/>
          <w:szCs w:val="22"/>
        </w:rPr>
        <w:t>Further, as inclusion of new medicines in the current Poisons Standard is often a consequence of the granting of marketing approval of new medicines under the Act, it is likely that disallowance would also lead to delays for Australian patients in accessing new and effective treatments.</w:t>
      </w:r>
    </w:p>
    <w:p w14:paraId="7D9E974B" w14:textId="77777777" w:rsidR="003C3F2B" w:rsidRPr="00A25AC7" w:rsidRDefault="003C3F2B" w:rsidP="003C3F2B">
      <w:pPr>
        <w:spacing w:before="0" w:after="0"/>
        <w:rPr>
          <w:rFonts w:eastAsiaTheme="minorHAnsi"/>
          <w:sz w:val="22"/>
          <w:szCs w:val="22"/>
          <w:lang w:val="en-AU"/>
        </w:rPr>
      </w:pPr>
    </w:p>
    <w:p w14:paraId="014702FF" w14:textId="38BDB392" w:rsidR="00BE1BAD" w:rsidRPr="00130AA6" w:rsidRDefault="00BC648F" w:rsidP="003C3F2B">
      <w:pPr>
        <w:spacing w:before="0" w:after="0"/>
        <w:rPr>
          <w:sz w:val="22"/>
          <w:szCs w:val="22"/>
        </w:rPr>
      </w:pPr>
      <w:r w:rsidRPr="00A25AC7">
        <w:rPr>
          <w:rFonts w:eastAsiaTheme="minorHAnsi"/>
          <w:sz w:val="22"/>
          <w:szCs w:val="22"/>
          <w:lang w:val="en-AU"/>
        </w:rPr>
        <w:t xml:space="preserve">The </w:t>
      </w:r>
      <w:r w:rsidR="001E296C">
        <w:rPr>
          <w:rFonts w:eastAsiaTheme="minorHAnsi"/>
          <w:sz w:val="22"/>
          <w:szCs w:val="22"/>
        </w:rPr>
        <w:t>Instrument</w:t>
      </w:r>
      <w:r w:rsidRPr="00A25AC7">
        <w:rPr>
          <w:rFonts w:eastAsiaTheme="minorHAnsi"/>
          <w:sz w:val="22"/>
          <w:szCs w:val="22"/>
          <w:lang w:val="en-AU"/>
        </w:rPr>
        <w:t xml:space="preserve"> commences on 1 </w:t>
      </w:r>
      <w:r w:rsidR="005C6548">
        <w:rPr>
          <w:rFonts w:eastAsiaTheme="minorHAnsi"/>
          <w:sz w:val="22"/>
          <w:szCs w:val="22"/>
          <w:lang w:val="en-AU"/>
        </w:rPr>
        <w:t>February</w:t>
      </w:r>
      <w:r w:rsidR="00DA6D2F" w:rsidRPr="00A25AC7">
        <w:rPr>
          <w:rFonts w:eastAsiaTheme="minorHAnsi"/>
          <w:sz w:val="22"/>
          <w:szCs w:val="22"/>
          <w:lang w:val="en-AU"/>
        </w:rPr>
        <w:t xml:space="preserve"> 202</w:t>
      </w:r>
      <w:r w:rsidR="005C6548">
        <w:rPr>
          <w:rFonts w:eastAsiaTheme="minorHAnsi"/>
          <w:sz w:val="22"/>
          <w:szCs w:val="22"/>
          <w:lang w:val="en-AU"/>
        </w:rPr>
        <w:t>3</w:t>
      </w:r>
      <w:r w:rsidRPr="00A25AC7">
        <w:rPr>
          <w:rFonts w:eastAsiaTheme="minorHAnsi"/>
          <w:sz w:val="22"/>
          <w:szCs w:val="22"/>
          <w:lang w:val="en-AU"/>
        </w:rPr>
        <w:t>.</w:t>
      </w:r>
    </w:p>
    <w:sectPr w:rsidR="00BE1BAD" w:rsidRPr="00130AA6" w:rsidSect="00872BB1">
      <w:footerReference w:type="default" r:id="rId8"/>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8527" w14:textId="77777777" w:rsidR="00DB7DF6" w:rsidRDefault="00DB7DF6" w:rsidP="00002885">
      <w:r>
        <w:separator/>
      </w:r>
    </w:p>
  </w:endnote>
  <w:endnote w:type="continuationSeparator" w:id="0">
    <w:p w14:paraId="69158721" w14:textId="77777777" w:rsidR="00DB7DF6" w:rsidRDefault="00DB7DF6"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240664"/>
      <w:docPartObj>
        <w:docPartGallery w:val="Page Numbers (Bottom of Page)"/>
        <w:docPartUnique/>
      </w:docPartObj>
    </w:sdtPr>
    <w:sdtEndPr>
      <w:rPr>
        <w:noProof/>
        <w:sz w:val="22"/>
        <w:szCs w:val="22"/>
      </w:rPr>
    </w:sdtEndPr>
    <w:sdtContent>
      <w:p w14:paraId="66A852E3" w14:textId="31FB1EE3" w:rsidR="001D49AC" w:rsidRPr="00B041B3" w:rsidRDefault="001D49AC">
        <w:pPr>
          <w:pStyle w:val="Footer"/>
          <w:jc w:val="right"/>
          <w:rPr>
            <w:sz w:val="22"/>
            <w:szCs w:val="22"/>
          </w:rPr>
        </w:pPr>
        <w:r w:rsidRPr="00B041B3">
          <w:rPr>
            <w:sz w:val="22"/>
            <w:szCs w:val="22"/>
          </w:rPr>
          <w:fldChar w:fldCharType="begin"/>
        </w:r>
        <w:r w:rsidRPr="00B041B3">
          <w:rPr>
            <w:sz w:val="22"/>
            <w:szCs w:val="22"/>
          </w:rPr>
          <w:instrText xml:space="preserve"> PAGE   \* MERGEFORMAT </w:instrText>
        </w:r>
        <w:r w:rsidRPr="00B041B3">
          <w:rPr>
            <w:sz w:val="22"/>
            <w:szCs w:val="22"/>
          </w:rPr>
          <w:fldChar w:fldCharType="separate"/>
        </w:r>
        <w:r w:rsidR="00FF79C8">
          <w:rPr>
            <w:noProof/>
            <w:sz w:val="22"/>
            <w:szCs w:val="22"/>
          </w:rPr>
          <w:t>1</w:t>
        </w:r>
        <w:r w:rsidRPr="00B041B3">
          <w:rPr>
            <w:noProof/>
            <w:sz w:val="22"/>
            <w:szCs w:val="22"/>
          </w:rPr>
          <w:fldChar w:fldCharType="end"/>
        </w:r>
      </w:p>
    </w:sdtContent>
  </w:sdt>
  <w:p w14:paraId="6280C8BF"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BAD2" w14:textId="77777777" w:rsidR="00DB7DF6" w:rsidRDefault="00DB7DF6" w:rsidP="00002885">
      <w:r>
        <w:separator/>
      </w:r>
    </w:p>
  </w:footnote>
  <w:footnote w:type="continuationSeparator" w:id="0">
    <w:p w14:paraId="49E23840" w14:textId="77777777" w:rsidR="00DB7DF6" w:rsidRDefault="00DB7DF6"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84E"/>
    <w:multiLevelType w:val="hybridMultilevel"/>
    <w:tmpl w:val="40D2371A"/>
    <w:lvl w:ilvl="0" w:tplc="5A12FAF2">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924211"/>
    <w:multiLevelType w:val="hybridMultilevel"/>
    <w:tmpl w:val="34C493BE"/>
    <w:lvl w:ilvl="0" w:tplc="5E685644">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5B1746F5"/>
    <w:multiLevelType w:val="hybridMultilevel"/>
    <w:tmpl w:val="E5627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A611DDF"/>
    <w:multiLevelType w:val="hybridMultilevel"/>
    <w:tmpl w:val="6D608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CD"/>
    <w:rsid w:val="000014DC"/>
    <w:rsid w:val="00002787"/>
    <w:rsid w:val="00002885"/>
    <w:rsid w:val="000031D3"/>
    <w:rsid w:val="00003F40"/>
    <w:rsid w:val="0000449D"/>
    <w:rsid w:val="00004B55"/>
    <w:rsid w:val="00006B14"/>
    <w:rsid w:val="00007D7E"/>
    <w:rsid w:val="000104DC"/>
    <w:rsid w:val="00011147"/>
    <w:rsid w:val="00011923"/>
    <w:rsid w:val="00013101"/>
    <w:rsid w:val="0001344B"/>
    <w:rsid w:val="0001557A"/>
    <w:rsid w:val="00015D91"/>
    <w:rsid w:val="00015F7D"/>
    <w:rsid w:val="000163D5"/>
    <w:rsid w:val="00016497"/>
    <w:rsid w:val="00020B01"/>
    <w:rsid w:val="0002378A"/>
    <w:rsid w:val="000239E4"/>
    <w:rsid w:val="000245BC"/>
    <w:rsid w:val="00024635"/>
    <w:rsid w:val="00024DBC"/>
    <w:rsid w:val="000257F5"/>
    <w:rsid w:val="00031606"/>
    <w:rsid w:val="00035E1C"/>
    <w:rsid w:val="000408EE"/>
    <w:rsid w:val="00040E21"/>
    <w:rsid w:val="000410C1"/>
    <w:rsid w:val="000416AC"/>
    <w:rsid w:val="00044A0E"/>
    <w:rsid w:val="00045C74"/>
    <w:rsid w:val="000461D2"/>
    <w:rsid w:val="00046350"/>
    <w:rsid w:val="0004679E"/>
    <w:rsid w:val="00046B6D"/>
    <w:rsid w:val="00047A51"/>
    <w:rsid w:val="00050AFE"/>
    <w:rsid w:val="00050EB5"/>
    <w:rsid w:val="000547AB"/>
    <w:rsid w:val="000549E7"/>
    <w:rsid w:val="00057A65"/>
    <w:rsid w:val="0006096A"/>
    <w:rsid w:val="00060D54"/>
    <w:rsid w:val="00060F25"/>
    <w:rsid w:val="000611B6"/>
    <w:rsid w:val="00061FF7"/>
    <w:rsid w:val="00062513"/>
    <w:rsid w:val="0006454C"/>
    <w:rsid w:val="00065A55"/>
    <w:rsid w:val="00067854"/>
    <w:rsid w:val="000723FA"/>
    <w:rsid w:val="00074F2A"/>
    <w:rsid w:val="000810CF"/>
    <w:rsid w:val="00083426"/>
    <w:rsid w:val="00083B34"/>
    <w:rsid w:val="000856CE"/>
    <w:rsid w:val="00085CAB"/>
    <w:rsid w:val="00085F57"/>
    <w:rsid w:val="0008693E"/>
    <w:rsid w:val="00086A92"/>
    <w:rsid w:val="0009060C"/>
    <w:rsid w:val="00090731"/>
    <w:rsid w:val="0009240B"/>
    <w:rsid w:val="00094186"/>
    <w:rsid w:val="00096CF4"/>
    <w:rsid w:val="00097388"/>
    <w:rsid w:val="000A0ED5"/>
    <w:rsid w:val="000A1AE9"/>
    <w:rsid w:val="000A26F2"/>
    <w:rsid w:val="000A30D2"/>
    <w:rsid w:val="000A3F79"/>
    <w:rsid w:val="000A433D"/>
    <w:rsid w:val="000A54E1"/>
    <w:rsid w:val="000A6132"/>
    <w:rsid w:val="000A665B"/>
    <w:rsid w:val="000B1021"/>
    <w:rsid w:val="000B1C2D"/>
    <w:rsid w:val="000B5294"/>
    <w:rsid w:val="000B7E21"/>
    <w:rsid w:val="000C0B6E"/>
    <w:rsid w:val="000C1920"/>
    <w:rsid w:val="000C1F50"/>
    <w:rsid w:val="000C2018"/>
    <w:rsid w:val="000C2B11"/>
    <w:rsid w:val="000C5E7F"/>
    <w:rsid w:val="000C6505"/>
    <w:rsid w:val="000C6AC7"/>
    <w:rsid w:val="000C7419"/>
    <w:rsid w:val="000D0790"/>
    <w:rsid w:val="000D07F2"/>
    <w:rsid w:val="000D084B"/>
    <w:rsid w:val="000D1217"/>
    <w:rsid w:val="000D1BB4"/>
    <w:rsid w:val="000D22AD"/>
    <w:rsid w:val="000D284A"/>
    <w:rsid w:val="000D5884"/>
    <w:rsid w:val="000D589B"/>
    <w:rsid w:val="000D5B0D"/>
    <w:rsid w:val="000D5C26"/>
    <w:rsid w:val="000D6E73"/>
    <w:rsid w:val="000D7D58"/>
    <w:rsid w:val="000E065B"/>
    <w:rsid w:val="000E10D0"/>
    <w:rsid w:val="000E1A37"/>
    <w:rsid w:val="000E1CF6"/>
    <w:rsid w:val="000E1D7F"/>
    <w:rsid w:val="000E2752"/>
    <w:rsid w:val="000E3A76"/>
    <w:rsid w:val="000E4994"/>
    <w:rsid w:val="000E4F33"/>
    <w:rsid w:val="000F0360"/>
    <w:rsid w:val="000F10CF"/>
    <w:rsid w:val="000F4187"/>
    <w:rsid w:val="000F46C6"/>
    <w:rsid w:val="000F4941"/>
    <w:rsid w:val="000F4DCD"/>
    <w:rsid w:val="000F5B73"/>
    <w:rsid w:val="000F66E3"/>
    <w:rsid w:val="000F7064"/>
    <w:rsid w:val="00101113"/>
    <w:rsid w:val="00103637"/>
    <w:rsid w:val="00105B3D"/>
    <w:rsid w:val="00107427"/>
    <w:rsid w:val="001075FB"/>
    <w:rsid w:val="00107A47"/>
    <w:rsid w:val="001100E5"/>
    <w:rsid w:val="0011193B"/>
    <w:rsid w:val="00112C17"/>
    <w:rsid w:val="001147B1"/>
    <w:rsid w:val="0011569B"/>
    <w:rsid w:val="00115C3B"/>
    <w:rsid w:val="00115C62"/>
    <w:rsid w:val="00117231"/>
    <w:rsid w:val="001178E6"/>
    <w:rsid w:val="00121869"/>
    <w:rsid w:val="00121FBA"/>
    <w:rsid w:val="001226D3"/>
    <w:rsid w:val="001247BF"/>
    <w:rsid w:val="00124BDD"/>
    <w:rsid w:val="00125761"/>
    <w:rsid w:val="0012599F"/>
    <w:rsid w:val="001263E3"/>
    <w:rsid w:val="00130AA6"/>
    <w:rsid w:val="00130D2A"/>
    <w:rsid w:val="00131841"/>
    <w:rsid w:val="00133E6E"/>
    <w:rsid w:val="00136ECD"/>
    <w:rsid w:val="0013744B"/>
    <w:rsid w:val="00137A4D"/>
    <w:rsid w:val="0014023B"/>
    <w:rsid w:val="00140CDD"/>
    <w:rsid w:val="001467F6"/>
    <w:rsid w:val="0015058D"/>
    <w:rsid w:val="00150B6E"/>
    <w:rsid w:val="00150E5B"/>
    <w:rsid w:val="0015115A"/>
    <w:rsid w:val="00152DCA"/>
    <w:rsid w:val="00154877"/>
    <w:rsid w:val="00154F69"/>
    <w:rsid w:val="001602EA"/>
    <w:rsid w:val="00160B52"/>
    <w:rsid w:val="00160DD7"/>
    <w:rsid w:val="00161FAA"/>
    <w:rsid w:val="0016323D"/>
    <w:rsid w:val="0016378E"/>
    <w:rsid w:val="00164241"/>
    <w:rsid w:val="001642AC"/>
    <w:rsid w:val="00164EBF"/>
    <w:rsid w:val="00165B12"/>
    <w:rsid w:val="00166DC2"/>
    <w:rsid w:val="001671AC"/>
    <w:rsid w:val="00167657"/>
    <w:rsid w:val="00172349"/>
    <w:rsid w:val="001723CD"/>
    <w:rsid w:val="00172990"/>
    <w:rsid w:val="0017322A"/>
    <w:rsid w:val="0017679F"/>
    <w:rsid w:val="00177A6A"/>
    <w:rsid w:val="00177D93"/>
    <w:rsid w:val="001816D7"/>
    <w:rsid w:val="00182A66"/>
    <w:rsid w:val="0018373F"/>
    <w:rsid w:val="00183FD0"/>
    <w:rsid w:val="0018447A"/>
    <w:rsid w:val="00184ED7"/>
    <w:rsid w:val="00186AD4"/>
    <w:rsid w:val="0018702E"/>
    <w:rsid w:val="001903C0"/>
    <w:rsid w:val="00190733"/>
    <w:rsid w:val="0019081A"/>
    <w:rsid w:val="00192452"/>
    <w:rsid w:val="00192D23"/>
    <w:rsid w:val="00195B6C"/>
    <w:rsid w:val="001963A6"/>
    <w:rsid w:val="001A0B13"/>
    <w:rsid w:val="001A14BD"/>
    <w:rsid w:val="001A153E"/>
    <w:rsid w:val="001A19B6"/>
    <w:rsid w:val="001A1BAA"/>
    <w:rsid w:val="001A1DA8"/>
    <w:rsid w:val="001A2F53"/>
    <w:rsid w:val="001A7ABF"/>
    <w:rsid w:val="001B16FE"/>
    <w:rsid w:val="001B1A51"/>
    <w:rsid w:val="001B25B0"/>
    <w:rsid w:val="001B2819"/>
    <w:rsid w:val="001B3EB8"/>
    <w:rsid w:val="001B75A2"/>
    <w:rsid w:val="001B79E5"/>
    <w:rsid w:val="001C0CF6"/>
    <w:rsid w:val="001C2836"/>
    <w:rsid w:val="001C28B3"/>
    <w:rsid w:val="001C57FA"/>
    <w:rsid w:val="001C5946"/>
    <w:rsid w:val="001C5ED4"/>
    <w:rsid w:val="001C6BB5"/>
    <w:rsid w:val="001C6EF9"/>
    <w:rsid w:val="001D0B9A"/>
    <w:rsid w:val="001D29E7"/>
    <w:rsid w:val="001D49AC"/>
    <w:rsid w:val="001D5F61"/>
    <w:rsid w:val="001E0522"/>
    <w:rsid w:val="001E16D6"/>
    <w:rsid w:val="001E205A"/>
    <w:rsid w:val="001E296C"/>
    <w:rsid w:val="001E298A"/>
    <w:rsid w:val="001E2BA3"/>
    <w:rsid w:val="001E3F97"/>
    <w:rsid w:val="001E5AF0"/>
    <w:rsid w:val="001E7A9B"/>
    <w:rsid w:val="001F27E3"/>
    <w:rsid w:val="001F2A71"/>
    <w:rsid w:val="001F35EE"/>
    <w:rsid w:val="001F75C8"/>
    <w:rsid w:val="001F7885"/>
    <w:rsid w:val="00200784"/>
    <w:rsid w:val="00200F2D"/>
    <w:rsid w:val="002021F7"/>
    <w:rsid w:val="00202E44"/>
    <w:rsid w:val="00202F89"/>
    <w:rsid w:val="00203D86"/>
    <w:rsid w:val="00204AB8"/>
    <w:rsid w:val="00204EE1"/>
    <w:rsid w:val="0020549C"/>
    <w:rsid w:val="00206991"/>
    <w:rsid w:val="002112E6"/>
    <w:rsid w:val="002124BD"/>
    <w:rsid w:val="00213C33"/>
    <w:rsid w:val="00214730"/>
    <w:rsid w:val="00215813"/>
    <w:rsid w:val="00215AA8"/>
    <w:rsid w:val="00215C67"/>
    <w:rsid w:val="002167F3"/>
    <w:rsid w:val="002173F5"/>
    <w:rsid w:val="002176A8"/>
    <w:rsid w:val="0021794A"/>
    <w:rsid w:val="00220C09"/>
    <w:rsid w:val="00220D4B"/>
    <w:rsid w:val="002244F4"/>
    <w:rsid w:val="00226360"/>
    <w:rsid w:val="00227CFA"/>
    <w:rsid w:val="002305C1"/>
    <w:rsid w:val="00231DF6"/>
    <w:rsid w:val="0023235D"/>
    <w:rsid w:val="00235B34"/>
    <w:rsid w:val="00237639"/>
    <w:rsid w:val="00240A4C"/>
    <w:rsid w:val="00240DB3"/>
    <w:rsid w:val="00243C25"/>
    <w:rsid w:val="00245C64"/>
    <w:rsid w:val="002472DF"/>
    <w:rsid w:val="00250856"/>
    <w:rsid w:val="0025421D"/>
    <w:rsid w:val="00255241"/>
    <w:rsid w:val="00257038"/>
    <w:rsid w:val="00260771"/>
    <w:rsid w:val="00260B7A"/>
    <w:rsid w:val="002617D0"/>
    <w:rsid w:val="0026204F"/>
    <w:rsid w:val="0026226E"/>
    <w:rsid w:val="00262A88"/>
    <w:rsid w:val="00265F28"/>
    <w:rsid w:val="00267253"/>
    <w:rsid w:val="00272213"/>
    <w:rsid w:val="002722D5"/>
    <w:rsid w:val="00272528"/>
    <w:rsid w:val="00273A55"/>
    <w:rsid w:val="0027480B"/>
    <w:rsid w:val="00274950"/>
    <w:rsid w:val="00277672"/>
    <w:rsid w:val="00280FDD"/>
    <w:rsid w:val="00281B78"/>
    <w:rsid w:val="00281CCF"/>
    <w:rsid w:val="00283416"/>
    <w:rsid w:val="00283679"/>
    <w:rsid w:val="00283C62"/>
    <w:rsid w:val="00285BC5"/>
    <w:rsid w:val="00286EC0"/>
    <w:rsid w:val="00290C61"/>
    <w:rsid w:val="00290E42"/>
    <w:rsid w:val="00291283"/>
    <w:rsid w:val="0029179C"/>
    <w:rsid w:val="00292805"/>
    <w:rsid w:val="00294AC9"/>
    <w:rsid w:val="0029630A"/>
    <w:rsid w:val="00296A3C"/>
    <w:rsid w:val="002A0DE6"/>
    <w:rsid w:val="002A1999"/>
    <w:rsid w:val="002A1A5D"/>
    <w:rsid w:val="002A39A8"/>
    <w:rsid w:val="002A39B3"/>
    <w:rsid w:val="002A4059"/>
    <w:rsid w:val="002A5D82"/>
    <w:rsid w:val="002B1352"/>
    <w:rsid w:val="002B1B8E"/>
    <w:rsid w:val="002B33D0"/>
    <w:rsid w:val="002B3DF4"/>
    <w:rsid w:val="002B4993"/>
    <w:rsid w:val="002B4E31"/>
    <w:rsid w:val="002B5E72"/>
    <w:rsid w:val="002B61BD"/>
    <w:rsid w:val="002C1F13"/>
    <w:rsid w:val="002C290C"/>
    <w:rsid w:val="002C2A05"/>
    <w:rsid w:val="002C3696"/>
    <w:rsid w:val="002C3D2F"/>
    <w:rsid w:val="002C6882"/>
    <w:rsid w:val="002C7B90"/>
    <w:rsid w:val="002C7D01"/>
    <w:rsid w:val="002D1B66"/>
    <w:rsid w:val="002D3F55"/>
    <w:rsid w:val="002D4673"/>
    <w:rsid w:val="002D7553"/>
    <w:rsid w:val="002D7839"/>
    <w:rsid w:val="002E232E"/>
    <w:rsid w:val="002E2BD8"/>
    <w:rsid w:val="002E420B"/>
    <w:rsid w:val="002E491C"/>
    <w:rsid w:val="002E4A7A"/>
    <w:rsid w:val="002E7354"/>
    <w:rsid w:val="002F3F6D"/>
    <w:rsid w:val="002F73CA"/>
    <w:rsid w:val="002F74C7"/>
    <w:rsid w:val="002F7A29"/>
    <w:rsid w:val="00300AA5"/>
    <w:rsid w:val="00300D5F"/>
    <w:rsid w:val="00303365"/>
    <w:rsid w:val="003034DA"/>
    <w:rsid w:val="0030383A"/>
    <w:rsid w:val="003040BB"/>
    <w:rsid w:val="00304309"/>
    <w:rsid w:val="003053BD"/>
    <w:rsid w:val="00305CB9"/>
    <w:rsid w:val="003101C1"/>
    <w:rsid w:val="00313AAD"/>
    <w:rsid w:val="00317537"/>
    <w:rsid w:val="0032031E"/>
    <w:rsid w:val="00321DB4"/>
    <w:rsid w:val="00321EB9"/>
    <w:rsid w:val="003300BD"/>
    <w:rsid w:val="00330DF9"/>
    <w:rsid w:val="0033255C"/>
    <w:rsid w:val="00333056"/>
    <w:rsid w:val="00334356"/>
    <w:rsid w:val="00335590"/>
    <w:rsid w:val="00337BC6"/>
    <w:rsid w:val="003404D7"/>
    <w:rsid w:val="00341179"/>
    <w:rsid w:val="00341482"/>
    <w:rsid w:val="003415EF"/>
    <w:rsid w:val="00342BEE"/>
    <w:rsid w:val="003431F9"/>
    <w:rsid w:val="0034329C"/>
    <w:rsid w:val="003456FB"/>
    <w:rsid w:val="00345F4D"/>
    <w:rsid w:val="003466A5"/>
    <w:rsid w:val="00346FBD"/>
    <w:rsid w:val="00347916"/>
    <w:rsid w:val="00350A18"/>
    <w:rsid w:val="00350AD4"/>
    <w:rsid w:val="00351233"/>
    <w:rsid w:val="0035375C"/>
    <w:rsid w:val="00354012"/>
    <w:rsid w:val="00357276"/>
    <w:rsid w:val="003572D8"/>
    <w:rsid w:val="00357B5C"/>
    <w:rsid w:val="00361BEB"/>
    <w:rsid w:val="00362F90"/>
    <w:rsid w:val="00366B0C"/>
    <w:rsid w:val="0036743D"/>
    <w:rsid w:val="00370882"/>
    <w:rsid w:val="003715A7"/>
    <w:rsid w:val="00372064"/>
    <w:rsid w:val="00372861"/>
    <w:rsid w:val="00373423"/>
    <w:rsid w:val="00374974"/>
    <w:rsid w:val="00377830"/>
    <w:rsid w:val="00377F14"/>
    <w:rsid w:val="003806A8"/>
    <w:rsid w:val="003829DB"/>
    <w:rsid w:val="00383160"/>
    <w:rsid w:val="00384D93"/>
    <w:rsid w:val="003855C2"/>
    <w:rsid w:val="00385F15"/>
    <w:rsid w:val="00390011"/>
    <w:rsid w:val="00391669"/>
    <w:rsid w:val="00391AB4"/>
    <w:rsid w:val="00395482"/>
    <w:rsid w:val="00396C63"/>
    <w:rsid w:val="0039705F"/>
    <w:rsid w:val="003A0B49"/>
    <w:rsid w:val="003A1300"/>
    <w:rsid w:val="003A1DE0"/>
    <w:rsid w:val="003A24B6"/>
    <w:rsid w:val="003A2DB0"/>
    <w:rsid w:val="003A342F"/>
    <w:rsid w:val="003A3C28"/>
    <w:rsid w:val="003A7270"/>
    <w:rsid w:val="003B2E72"/>
    <w:rsid w:val="003B4519"/>
    <w:rsid w:val="003B5A6F"/>
    <w:rsid w:val="003B704E"/>
    <w:rsid w:val="003C083C"/>
    <w:rsid w:val="003C0849"/>
    <w:rsid w:val="003C176C"/>
    <w:rsid w:val="003C2E82"/>
    <w:rsid w:val="003C33DB"/>
    <w:rsid w:val="003C3801"/>
    <w:rsid w:val="003C3B05"/>
    <w:rsid w:val="003C3F2B"/>
    <w:rsid w:val="003C493F"/>
    <w:rsid w:val="003C5E79"/>
    <w:rsid w:val="003C68EC"/>
    <w:rsid w:val="003C761E"/>
    <w:rsid w:val="003C777B"/>
    <w:rsid w:val="003D2207"/>
    <w:rsid w:val="003D2B5B"/>
    <w:rsid w:val="003D2EFB"/>
    <w:rsid w:val="003D34C8"/>
    <w:rsid w:val="003D3A8B"/>
    <w:rsid w:val="003D5B66"/>
    <w:rsid w:val="003D5C29"/>
    <w:rsid w:val="003D5C69"/>
    <w:rsid w:val="003D6ADB"/>
    <w:rsid w:val="003E1ECD"/>
    <w:rsid w:val="003E3086"/>
    <w:rsid w:val="003E3876"/>
    <w:rsid w:val="003E3BFC"/>
    <w:rsid w:val="003E7057"/>
    <w:rsid w:val="003E7B33"/>
    <w:rsid w:val="003F08D4"/>
    <w:rsid w:val="003F1C1C"/>
    <w:rsid w:val="003F4B87"/>
    <w:rsid w:val="003F596A"/>
    <w:rsid w:val="003F6727"/>
    <w:rsid w:val="003F68EB"/>
    <w:rsid w:val="003F692D"/>
    <w:rsid w:val="003F73B6"/>
    <w:rsid w:val="003F7446"/>
    <w:rsid w:val="004022F0"/>
    <w:rsid w:val="00403C13"/>
    <w:rsid w:val="00405296"/>
    <w:rsid w:val="00406039"/>
    <w:rsid w:val="00410E46"/>
    <w:rsid w:val="0041139F"/>
    <w:rsid w:val="00414125"/>
    <w:rsid w:val="004148D3"/>
    <w:rsid w:val="0041679E"/>
    <w:rsid w:val="00417260"/>
    <w:rsid w:val="004176E8"/>
    <w:rsid w:val="004176FC"/>
    <w:rsid w:val="00420580"/>
    <w:rsid w:val="0042149A"/>
    <w:rsid w:val="004215C5"/>
    <w:rsid w:val="00421ACA"/>
    <w:rsid w:val="0042243B"/>
    <w:rsid w:val="004252A3"/>
    <w:rsid w:val="0042581B"/>
    <w:rsid w:val="00426846"/>
    <w:rsid w:val="00426FB6"/>
    <w:rsid w:val="00427401"/>
    <w:rsid w:val="00431392"/>
    <w:rsid w:val="004320B6"/>
    <w:rsid w:val="004329E0"/>
    <w:rsid w:val="00433C18"/>
    <w:rsid w:val="00433D97"/>
    <w:rsid w:val="00435D1D"/>
    <w:rsid w:val="00436BE5"/>
    <w:rsid w:val="00436D9A"/>
    <w:rsid w:val="00436FDA"/>
    <w:rsid w:val="004414F1"/>
    <w:rsid w:val="00441682"/>
    <w:rsid w:val="0044168C"/>
    <w:rsid w:val="004422DD"/>
    <w:rsid w:val="0044300D"/>
    <w:rsid w:val="004444EF"/>
    <w:rsid w:val="00445A54"/>
    <w:rsid w:val="00445AED"/>
    <w:rsid w:val="00445E7E"/>
    <w:rsid w:val="004478F7"/>
    <w:rsid w:val="00447F08"/>
    <w:rsid w:val="00452B29"/>
    <w:rsid w:val="0045372C"/>
    <w:rsid w:val="00454A9A"/>
    <w:rsid w:val="0045536F"/>
    <w:rsid w:val="00455694"/>
    <w:rsid w:val="0045683A"/>
    <w:rsid w:val="004606E2"/>
    <w:rsid w:val="0046332D"/>
    <w:rsid w:val="004658E5"/>
    <w:rsid w:val="00467B32"/>
    <w:rsid w:val="004725C5"/>
    <w:rsid w:val="00472B86"/>
    <w:rsid w:val="00473EA2"/>
    <w:rsid w:val="0047404B"/>
    <w:rsid w:val="00474A00"/>
    <w:rsid w:val="00474C57"/>
    <w:rsid w:val="00474D0F"/>
    <w:rsid w:val="004810C1"/>
    <w:rsid w:val="004813C1"/>
    <w:rsid w:val="004819F8"/>
    <w:rsid w:val="00481CFC"/>
    <w:rsid w:val="00483395"/>
    <w:rsid w:val="00483783"/>
    <w:rsid w:val="00483982"/>
    <w:rsid w:val="00484116"/>
    <w:rsid w:val="00484CED"/>
    <w:rsid w:val="004873F2"/>
    <w:rsid w:val="00487859"/>
    <w:rsid w:val="00490962"/>
    <w:rsid w:val="00492DE4"/>
    <w:rsid w:val="00494D06"/>
    <w:rsid w:val="004952FA"/>
    <w:rsid w:val="004A031A"/>
    <w:rsid w:val="004A0446"/>
    <w:rsid w:val="004A07F9"/>
    <w:rsid w:val="004A3596"/>
    <w:rsid w:val="004A465D"/>
    <w:rsid w:val="004A4C08"/>
    <w:rsid w:val="004A5607"/>
    <w:rsid w:val="004A5FB1"/>
    <w:rsid w:val="004A696F"/>
    <w:rsid w:val="004B209D"/>
    <w:rsid w:val="004B5EB7"/>
    <w:rsid w:val="004B5F4D"/>
    <w:rsid w:val="004B672A"/>
    <w:rsid w:val="004B7029"/>
    <w:rsid w:val="004C252D"/>
    <w:rsid w:val="004C39ED"/>
    <w:rsid w:val="004C4F67"/>
    <w:rsid w:val="004C56A2"/>
    <w:rsid w:val="004C6F14"/>
    <w:rsid w:val="004D3E46"/>
    <w:rsid w:val="004D3F55"/>
    <w:rsid w:val="004D6629"/>
    <w:rsid w:val="004D69B3"/>
    <w:rsid w:val="004E19E1"/>
    <w:rsid w:val="004E2835"/>
    <w:rsid w:val="004E2B2A"/>
    <w:rsid w:val="004E3EF7"/>
    <w:rsid w:val="004E43B8"/>
    <w:rsid w:val="004E4891"/>
    <w:rsid w:val="004E4ABE"/>
    <w:rsid w:val="004E661C"/>
    <w:rsid w:val="004E66A4"/>
    <w:rsid w:val="004E6EDE"/>
    <w:rsid w:val="004E70F4"/>
    <w:rsid w:val="004F03F3"/>
    <w:rsid w:val="004F2852"/>
    <w:rsid w:val="004F2AAE"/>
    <w:rsid w:val="004F2DF2"/>
    <w:rsid w:val="004F2E81"/>
    <w:rsid w:val="004F3884"/>
    <w:rsid w:val="004F47AC"/>
    <w:rsid w:val="004F5620"/>
    <w:rsid w:val="004F6243"/>
    <w:rsid w:val="004F70AF"/>
    <w:rsid w:val="00500BCA"/>
    <w:rsid w:val="00501333"/>
    <w:rsid w:val="00502625"/>
    <w:rsid w:val="00503FCA"/>
    <w:rsid w:val="0050504B"/>
    <w:rsid w:val="0050787F"/>
    <w:rsid w:val="00507EF5"/>
    <w:rsid w:val="00510AE8"/>
    <w:rsid w:val="00510AF0"/>
    <w:rsid w:val="00513A3F"/>
    <w:rsid w:val="00513ADE"/>
    <w:rsid w:val="0051444C"/>
    <w:rsid w:val="005166A2"/>
    <w:rsid w:val="005177AA"/>
    <w:rsid w:val="005219A0"/>
    <w:rsid w:val="00522854"/>
    <w:rsid w:val="0052392E"/>
    <w:rsid w:val="005245AF"/>
    <w:rsid w:val="005275E7"/>
    <w:rsid w:val="00527CF7"/>
    <w:rsid w:val="0053185D"/>
    <w:rsid w:val="00532734"/>
    <w:rsid w:val="005329BF"/>
    <w:rsid w:val="00533303"/>
    <w:rsid w:val="0053481F"/>
    <w:rsid w:val="00535D66"/>
    <w:rsid w:val="00541816"/>
    <w:rsid w:val="00541F83"/>
    <w:rsid w:val="005428DF"/>
    <w:rsid w:val="0054321E"/>
    <w:rsid w:val="005442AA"/>
    <w:rsid w:val="00544A86"/>
    <w:rsid w:val="0054577E"/>
    <w:rsid w:val="0054616D"/>
    <w:rsid w:val="00546A59"/>
    <w:rsid w:val="00547C35"/>
    <w:rsid w:val="00555DAA"/>
    <w:rsid w:val="00556156"/>
    <w:rsid w:val="0055736A"/>
    <w:rsid w:val="00562CF6"/>
    <w:rsid w:val="005633F0"/>
    <w:rsid w:val="005640CE"/>
    <w:rsid w:val="005648B1"/>
    <w:rsid w:val="0056728C"/>
    <w:rsid w:val="005708F5"/>
    <w:rsid w:val="00570C9D"/>
    <w:rsid w:val="00571A7E"/>
    <w:rsid w:val="00571CFB"/>
    <w:rsid w:val="00571FE7"/>
    <w:rsid w:val="00573390"/>
    <w:rsid w:val="0057652A"/>
    <w:rsid w:val="00577341"/>
    <w:rsid w:val="00577AB0"/>
    <w:rsid w:val="0058128A"/>
    <w:rsid w:val="0058183B"/>
    <w:rsid w:val="00581F00"/>
    <w:rsid w:val="00582C07"/>
    <w:rsid w:val="00583271"/>
    <w:rsid w:val="005834A3"/>
    <w:rsid w:val="005841EF"/>
    <w:rsid w:val="0058536F"/>
    <w:rsid w:val="005856C2"/>
    <w:rsid w:val="005859B8"/>
    <w:rsid w:val="00585A4E"/>
    <w:rsid w:val="005863AE"/>
    <w:rsid w:val="00586D23"/>
    <w:rsid w:val="00590E00"/>
    <w:rsid w:val="005A0235"/>
    <w:rsid w:val="005A0442"/>
    <w:rsid w:val="005A108E"/>
    <w:rsid w:val="005A3441"/>
    <w:rsid w:val="005A47BE"/>
    <w:rsid w:val="005A48DF"/>
    <w:rsid w:val="005A5956"/>
    <w:rsid w:val="005A6755"/>
    <w:rsid w:val="005B105A"/>
    <w:rsid w:val="005B4DF8"/>
    <w:rsid w:val="005B740C"/>
    <w:rsid w:val="005B78B8"/>
    <w:rsid w:val="005C0632"/>
    <w:rsid w:val="005C0EA3"/>
    <w:rsid w:val="005C14D8"/>
    <w:rsid w:val="005C2846"/>
    <w:rsid w:val="005C291D"/>
    <w:rsid w:val="005C5A61"/>
    <w:rsid w:val="005C5F22"/>
    <w:rsid w:val="005C63C4"/>
    <w:rsid w:val="005C6548"/>
    <w:rsid w:val="005D1D1A"/>
    <w:rsid w:val="005D31AD"/>
    <w:rsid w:val="005D5CC9"/>
    <w:rsid w:val="005E0966"/>
    <w:rsid w:val="005E1EEC"/>
    <w:rsid w:val="005E407F"/>
    <w:rsid w:val="005E781E"/>
    <w:rsid w:val="005F03F6"/>
    <w:rsid w:val="005F11D2"/>
    <w:rsid w:val="005F18DC"/>
    <w:rsid w:val="005F19BF"/>
    <w:rsid w:val="005F20D4"/>
    <w:rsid w:val="005F28D9"/>
    <w:rsid w:val="005F2BCF"/>
    <w:rsid w:val="005F329C"/>
    <w:rsid w:val="005F3E4F"/>
    <w:rsid w:val="005F5BB1"/>
    <w:rsid w:val="005F6EB5"/>
    <w:rsid w:val="005F7CD3"/>
    <w:rsid w:val="006027E8"/>
    <w:rsid w:val="00602BC0"/>
    <w:rsid w:val="00602F6C"/>
    <w:rsid w:val="0060378F"/>
    <w:rsid w:val="0060398B"/>
    <w:rsid w:val="00606156"/>
    <w:rsid w:val="00610662"/>
    <w:rsid w:val="00610B80"/>
    <w:rsid w:val="00610B92"/>
    <w:rsid w:val="00613493"/>
    <w:rsid w:val="006168B4"/>
    <w:rsid w:val="00617BC2"/>
    <w:rsid w:val="006208B0"/>
    <w:rsid w:val="0062233C"/>
    <w:rsid w:val="00622BC3"/>
    <w:rsid w:val="00624509"/>
    <w:rsid w:val="00626D35"/>
    <w:rsid w:val="00633E42"/>
    <w:rsid w:val="00635828"/>
    <w:rsid w:val="00637558"/>
    <w:rsid w:val="00641497"/>
    <w:rsid w:val="00642AAD"/>
    <w:rsid w:val="006449FF"/>
    <w:rsid w:val="00646A14"/>
    <w:rsid w:val="00647CCB"/>
    <w:rsid w:val="00650496"/>
    <w:rsid w:val="006516DC"/>
    <w:rsid w:val="00651CA4"/>
    <w:rsid w:val="00652C3D"/>
    <w:rsid w:val="00652DD6"/>
    <w:rsid w:val="00653930"/>
    <w:rsid w:val="00654054"/>
    <w:rsid w:val="006540F8"/>
    <w:rsid w:val="00654789"/>
    <w:rsid w:val="0065490C"/>
    <w:rsid w:val="00656296"/>
    <w:rsid w:val="00656D45"/>
    <w:rsid w:val="0066197A"/>
    <w:rsid w:val="006619F5"/>
    <w:rsid w:val="006625B0"/>
    <w:rsid w:val="00662680"/>
    <w:rsid w:val="006627BE"/>
    <w:rsid w:val="006634B6"/>
    <w:rsid w:val="00667343"/>
    <w:rsid w:val="006675BC"/>
    <w:rsid w:val="00667949"/>
    <w:rsid w:val="00671009"/>
    <w:rsid w:val="006710C0"/>
    <w:rsid w:val="0067367E"/>
    <w:rsid w:val="00677858"/>
    <w:rsid w:val="0068178C"/>
    <w:rsid w:val="00683B5D"/>
    <w:rsid w:val="00684FFC"/>
    <w:rsid w:val="00685771"/>
    <w:rsid w:val="00686402"/>
    <w:rsid w:val="006905DE"/>
    <w:rsid w:val="00690EE6"/>
    <w:rsid w:val="00691169"/>
    <w:rsid w:val="00691AC4"/>
    <w:rsid w:val="00692F5F"/>
    <w:rsid w:val="006930BB"/>
    <w:rsid w:val="00695182"/>
    <w:rsid w:val="00695B5A"/>
    <w:rsid w:val="00695CBE"/>
    <w:rsid w:val="0069607D"/>
    <w:rsid w:val="006970F8"/>
    <w:rsid w:val="006A1710"/>
    <w:rsid w:val="006A17A3"/>
    <w:rsid w:val="006A5826"/>
    <w:rsid w:val="006A5A26"/>
    <w:rsid w:val="006A713F"/>
    <w:rsid w:val="006B01F5"/>
    <w:rsid w:val="006B061E"/>
    <w:rsid w:val="006B0883"/>
    <w:rsid w:val="006B19FA"/>
    <w:rsid w:val="006B2294"/>
    <w:rsid w:val="006B277A"/>
    <w:rsid w:val="006B4940"/>
    <w:rsid w:val="006B6955"/>
    <w:rsid w:val="006B7E6E"/>
    <w:rsid w:val="006B7EBA"/>
    <w:rsid w:val="006C079A"/>
    <w:rsid w:val="006C08A2"/>
    <w:rsid w:val="006C1E8F"/>
    <w:rsid w:val="006C4875"/>
    <w:rsid w:val="006C5047"/>
    <w:rsid w:val="006C5FB1"/>
    <w:rsid w:val="006C7F3A"/>
    <w:rsid w:val="006D0CA2"/>
    <w:rsid w:val="006D0E55"/>
    <w:rsid w:val="006D2DC2"/>
    <w:rsid w:val="006D5BBC"/>
    <w:rsid w:val="006E0D8F"/>
    <w:rsid w:val="006E0EC4"/>
    <w:rsid w:val="006E2B2B"/>
    <w:rsid w:val="006E2CB7"/>
    <w:rsid w:val="006E5047"/>
    <w:rsid w:val="006E5277"/>
    <w:rsid w:val="006E6A28"/>
    <w:rsid w:val="006F0BDB"/>
    <w:rsid w:val="006F3284"/>
    <w:rsid w:val="006F3D65"/>
    <w:rsid w:val="006F6B94"/>
    <w:rsid w:val="00701DAD"/>
    <w:rsid w:val="0070361B"/>
    <w:rsid w:val="00703C22"/>
    <w:rsid w:val="00705A13"/>
    <w:rsid w:val="00705C26"/>
    <w:rsid w:val="00706D4D"/>
    <w:rsid w:val="007105C1"/>
    <w:rsid w:val="00712B43"/>
    <w:rsid w:val="0071553E"/>
    <w:rsid w:val="00716C96"/>
    <w:rsid w:val="00716CBF"/>
    <w:rsid w:val="00716F32"/>
    <w:rsid w:val="00717271"/>
    <w:rsid w:val="00717E89"/>
    <w:rsid w:val="0072074A"/>
    <w:rsid w:val="00721624"/>
    <w:rsid w:val="00722370"/>
    <w:rsid w:val="00724A06"/>
    <w:rsid w:val="0072604D"/>
    <w:rsid w:val="007264AE"/>
    <w:rsid w:val="0072684E"/>
    <w:rsid w:val="007270B2"/>
    <w:rsid w:val="0073060A"/>
    <w:rsid w:val="00731991"/>
    <w:rsid w:val="007319B6"/>
    <w:rsid w:val="00731D65"/>
    <w:rsid w:val="007325EE"/>
    <w:rsid w:val="007347C7"/>
    <w:rsid w:val="00735687"/>
    <w:rsid w:val="00735FBD"/>
    <w:rsid w:val="007363BC"/>
    <w:rsid w:val="0073750C"/>
    <w:rsid w:val="00741A10"/>
    <w:rsid w:val="00741A40"/>
    <w:rsid w:val="00742626"/>
    <w:rsid w:val="00743018"/>
    <w:rsid w:val="00751790"/>
    <w:rsid w:val="007523CC"/>
    <w:rsid w:val="00752865"/>
    <w:rsid w:val="00754033"/>
    <w:rsid w:val="00754F99"/>
    <w:rsid w:val="007558A1"/>
    <w:rsid w:val="007601B2"/>
    <w:rsid w:val="00766E05"/>
    <w:rsid w:val="00767D63"/>
    <w:rsid w:val="00770349"/>
    <w:rsid w:val="007710CA"/>
    <w:rsid w:val="00774020"/>
    <w:rsid w:val="007764BA"/>
    <w:rsid w:val="007773F8"/>
    <w:rsid w:val="007812DD"/>
    <w:rsid w:val="00783772"/>
    <w:rsid w:val="007865F2"/>
    <w:rsid w:val="00786F66"/>
    <w:rsid w:val="00790061"/>
    <w:rsid w:val="007905DA"/>
    <w:rsid w:val="00790B6A"/>
    <w:rsid w:val="00791877"/>
    <w:rsid w:val="007945BD"/>
    <w:rsid w:val="007A12FB"/>
    <w:rsid w:val="007A1CE0"/>
    <w:rsid w:val="007A241F"/>
    <w:rsid w:val="007A2F37"/>
    <w:rsid w:val="007A5CFE"/>
    <w:rsid w:val="007A6088"/>
    <w:rsid w:val="007A6F54"/>
    <w:rsid w:val="007A7E1A"/>
    <w:rsid w:val="007B0E29"/>
    <w:rsid w:val="007B1199"/>
    <w:rsid w:val="007B1BDF"/>
    <w:rsid w:val="007B235B"/>
    <w:rsid w:val="007B5F97"/>
    <w:rsid w:val="007B739B"/>
    <w:rsid w:val="007B7932"/>
    <w:rsid w:val="007C116E"/>
    <w:rsid w:val="007C21EE"/>
    <w:rsid w:val="007C3B63"/>
    <w:rsid w:val="007C4624"/>
    <w:rsid w:val="007C4E7D"/>
    <w:rsid w:val="007C4FD6"/>
    <w:rsid w:val="007C618D"/>
    <w:rsid w:val="007C61F5"/>
    <w:rsid w:val="007C7B86"/>
    <w:rsid w:val="007D1171"/>
    <w:rsid w:val="007D2DAE"/>
    <w:rsid w:val="007D592B"/>
    <w:rsid w:val="007D7863"/>
    <w:rsid w:val="007E000E"/>
    <w:rsid w:val="007E0D0A"/>
    <w:rsid w:val="007E10C5"/>
    <w:rsid w:val="007E171B"/>
    <w:rsid w:val="007E3722"/>
    <w:rsid w:val="007E37CC"/>
    <w:rsid w:val="007E542E"/>
    <w:rsid w:val="007E76EB"/>
    <w:rsid w:val="007E78F5"/>
    <w:rsid w:val="007E79C6"/>
    <w:rsid w:val="007F05BA"/>
    <w:rsid w:val="007F0B79"/>
    <w:rsid w:val="007F0F8D"/>
    <w:rsid w:val="007F2131"/>
    <w:rsid w:val="007F2B19"/>
    <w:rsid w:val="007F408B"/>
    <w:rsid w:val="007F499A"/>
    <w:rsid w:val="007F4E20"/>
    <w:rsid w:val="007F5859"/>
    <w:rsid w:val="007F5B3D"/>
    <w:rsid w:val="008006B0"/>
    <w:rsid w:val="008037F0"/>
    <w:rsid w:val="008068F0"/>
    <w:rsid w:val="00807F12"/>
    <w:rsid w:val="00810B6E"/>
    <w:rsid w:val="008114DC"/>
    <w:rsid w:val="008137C2"/>
    <w:rsid w:val="00815138"/>
    <w:rsid w:val="0081650B"/>
    <w:rsid w:val="00816F19"/>
    <w:rsid w:val="008201C1"/>
    <w:rsid w:val="00820F33"/>
    <w:rsid w:val="00822447"/>
    <w:rsid w:val="0082407F"/>
    <w:rsid w:val="008245CD"/>
    <w:rsid w:val="00824745"/>
    <w:rsid w:val="0082509D"/>
    <w:rsid w:val="008262D6"/>
    <w:rsid w:val="0082778B"/>
    <w:rsid w:val="00830731"/>
    <w:rsid w:val="0083123D"/>
    <w:rsid w:val="008312A8"/>
    <w:rsid w:val="00832E5C"/>
    <w:rsid w:val="00833D23"/>
    <w:rsid w:val="00835112"/>
    <w:rsid w:val="00835916"/>
    <w:rsid w:val="00837091"/>
    <w:rsid w:val="008373D9"/>
    <w:rsid w:val="00840E77"/>
    <w:rsid w:val="00841ED0"/>
    <w:rsid w:val="0084263E"/>
    <w:rsid w:val="00844FE2"/>
    <w:rsid w:val="00845076"/>
    <w:rsid w:val="00845A49"/>
    <w:rsid w:val="00845AC2"/>
    <w:rsid w:val="0084642E"/>
    <w:rsid w:val="0085088D"/>
    <w:rsid w:val="00851C12"/>
    <w:rsid w:val="00854598"/>
    <w:rsid w:val="00854D98"/>
    <w:rsid w:val="00857707"/>
    <w:rsid w:val="00861D2B"/>
    <w:rsid w:val="0086453E"/>
    <w:rsid w:val="008656F5"/>
    <w:rsid w:val="0086586C"/>
    <w:rsid w:val="00865A56"/>
    <w:rsid w:val="00870648"/>
    <w:rsid w:val="0087140C"/>
    <w:rsid w:val="00871A22"/>
    <w:rsid w:val="008727FA"/>
    <w:rsid w:val="00872BB1"/>
    <w:rsid w:val="008736FD"/>
    <w:rsid w:val="00873E9D"/>
    <w:rsid w:val="008745CB"/>
    <w:rsid w:val="00875363"/>
    <w:rsid w:val="00876201"/>
    <w:rsid w:val="00881F00"/>
    <w:rsid w:val="00884E9E"/>
    <w:rsid w:val="00884F67"/>
    <w:rsid w:val="008850E3"/>
    <w:rsid w:val="0088614A"/>
    <w:rsid w:val="00887CE2"/>
    <w:rsid w:val="00891014"/>
    <w:rsid w:val="00891690"/>
    <w:rsid w:val="00894F11"/>
    <w:rsid w:val="008957C7"/>
    <w:rsid w:val="00896121"/>
    <w:rsid w:val="00896BD9"/>
    <w:rsid w:val="00897C3E"/>
    <w:rsid w:val="008A04B5"/>
    <w:rsid w:val="008A0C55"/>
    <w:rsid w:val="008A2541"/>
    <w:rsid w:val="008A407C"/>
    <w:rsid w:val="008A5DAD"/>
    <w:rsid w:val="008A7AAB"/>
    <w:rsid w:val="008B45FD"/>
    <w:rsid w:val="008B674D"/>
    <w:rsid w:val="008B6C25"/>
    <w:rsid w:val="008C018C"/>
    <w:rsid w:val="008C10EC"/>
    <w:rsid w:val="008C17E6"/>
    <w:rsid w:val="008C3C3D"/>
    <w:rsid w:val="008C3F1B"/>
    <w:rsid w:val="008C5740"/>
    <w:rsid w:val="008D02D1"/>
    <w:rsid w:val="008D22F6"/>
    <w:rsid w:val="008D28A9"/>
    <w:rsid w:val="008D2D5D"/>
    <w:rsid w:val="008D3A8C"/>
    <w:rsid w:val="008D3C37"/>
    <w:rsid w:val="008D3DA2"/>
    <w:rsid w:val="008D543F"/>
    <w:rsid w:val="008D73F1"/>
    <w:rsid w:val="008E0492"/>
    <w:rsid w:val="008E2B60"/>
    <w:rsid w:val="008E45A8"/>
    <w:rsid w:val="008E4A1A"/>
    <w:rsid w:val="008E5AE6"/>
    <w:rsid w:val="008F0EF8"/>
    <w:rsid w:val="008F0FEE"/>
    <w:rsid w:val="008F17B2"/>
    <w:rsid w:val="008F1C3D"/>
    <w:rsid w:val="008F2166"/>
    <w:rsid w:val="008F286C"/>
    <w:rsid w:val="008F3AB3"/>
    <w:rsid w:val="008F4CC4"/>
    <w:rsid w:val="008F6969"/>
    <w:rsid w:val="00901014"/>
    <w:rsid w:val="00904EAD"/>
    <w:rsid w:val="00906B0F"/>
    <w:rsid w:val="0091081B"/>
    <w:rsid w:val="00910872"/>
    <w:rsid w:val="00913421"/>
    <w:rsid w:val="00916BAB"/>
    <w:rsid w:val="00925AEA"/>
    <w:rsid w:val="009314DC"/>
    <w:rsid w:val="00931C29"/>
    <w:rsid w:val="00931D18"/>
    <w:rsid w:val="00932ED1"/>
    <w:rsid w:val="009345CC"/>
    <w:rsid w:val="00934F3D"/>
    <w:rsid w:val="00936064"/>
    <w:rsid w:val="00941B78"/>
    <w:rsid w:val="00941F86"/>
    <w:rsid w:val="00942C8E"/>
    <w:rsid w:val="00944E53"/>
    <w:rsid w:val="009454E9"/>
    <w:rsid w:val="009466E7"/>
    <w:rsid w:val="00951EF4"/>
    <w:rsid w:val="00953019"/>
    <w:rsid w:val="009536A9"/>
    <w:rsid w:val="009536FA"/>
    <w:rsid w:val="0095670F"/>
    <w:rsid w:val="0095778D"/>
    <w:rsid w:val="00957A23"/>
    <w:rsid w:val="00957D58"/>
    <w:rsid w:val="0096156F"/>
    <w:rsid w:val="00963E74"/>
    <w:rsid w:val="009640DD"/>
    <w:rsid w:val="009701C7"/>
    <w:rsid w:val="00971403"/>
    <w:rsid w:val="00971D37"/>
    <w:rsid w:val="00972DC4"/>
    <w:rsid w:val="0097365A"/>
    <w:rsid w:val="009737DD"/>
    <w:rsid w:val="00974E0D"/>
    <w:rsid w:val="009752FF"/>
    <w:rsid w:val="00975799"/>
    <w:rsid w:val="00975E7E"/>
    <w:rsid w:val="00976823"/>
    <w:rsid w:val="00976B25"/>
    <w:rsid w:val="009772DA"/>
    <w:rsid w:val="00977DE7"/>
    <w:rsid w:val="00980DDF"/>
    <w:rsid w:val="0098177A"/>
    <w:rsid w:val="0098198A"/>
    <w:rsid w:val="009844AE"/>
    <w:rsid w:val="0098658A"/>
    <w:rsid w:val="00987018"/>
    <w:rsid w:val="00987D93"/>
    <w:rsid w:val="00992167"/>
    <w:rsid w:val="0099353E"/>
    <w:rsid w:val="0099359D"/>
    <w:rsid w:val="00994193"/>
    <w:rsid w:val="009955B3"/>
    <w:rsid w:val="00997B7D"/>
    <w:rsid w:val="009A09FA"/>
    <w:rsid w:val="009A0C5C"/>
    <w:rsid w:val="009A1164"/>
    <w:rsid w:val="009A19DE"/>
    <w:rsid w:val="009A3F38"/>
    <w:rsid w:val="009A4070"/>
    <w:rsid w:val="009A5873"/>
    <w:rsid w:val="009B0616"/>
    <w:rsid w:val="009B06E4"/>
    <w:rsid w:val="009B31E1"/>
    <w:rsid w:val="009B382C"/>
    <w:rsid w:val="009B3927"/>
    <w:rsid w:val="009B4CAD"/>
    <w:rsid w:val="009C0FFC"/>
    <w:rsid w:val="009C1EA0"/>
    <w:rsid w:val="009C32D0"/>
    <w:rsid w:val="009C5BCF"/>
    <w:rsid w:val="009C691B"/>
    <w:rsid w:val="009C6D2D"/>
    <w:rsid w:val="009C6FD8"/>
    <w:rsid w:val="009C7D27"/>
    <w:rsid w:val="009D00A7"/>
    <w:rsid w:val="009D032D"/>
    <w:rsid w:val="009D09A6"/>
    <w:rsid w:val="009D12ED"/>
    <w:rsid w:val="009D1BAB"/>
    <w:rsid w:val="009D3CF9"/>
    <w:rsid w:val="009D3F95"/>
    <w:rsid w:val="009D4397"/>
    <w:rsid w:val="009E081B"/>
    <w:rsid w:val="009E0D0D"/>
    <w:rsid w:val="009E3E4C"/>
    <w:rsid w:val="009E4F47"/>
    <w:rsid w:val="009E71A8"/>
    <w:rsid w:val="009F098A"/>
    <w:rsid w:val="009F155A"/>
    <w:rsid w:val="009F2D80"/>
    <w:rsid w:val="009F37AA"/>
    <w:rsid w:val="009F4C3D"/>
    <w:rsid w:val="00A01AD4"/>
    <w:rsid w:val="00A02ADD"/>
    <w:rsid w:val="00A0380A"/>
    <w:rsid w:val="00A04082"/>
    <w:rsid w:val="00A04832"/>
    <w:rsid w:val="00A0521D"/>
    <w:rsid w:val="00A06898"/>
    <w:rsid w:val="00A07769"/>
    <w:rsid w:val="00A10F60"/>
    <w:rsid w:val="00A11262"/>
    <w:rsid w:val="00A11302"/>
    <w:rsid w:val="00A14B3A"/>
    <w:rsid w:val="00A152AC"/>
    <w:rsid w:val="00A15577"/>
    <w:rsid w:val="00A15A43"/>
    <w:rsid w:val="00A16144"/>
    <w:rsid w:val="00A17A67"/>
    <w:rsid w:val="00A21AD4"/>
    <w:rsid w:val="00A23DF3"/>
    <w:rsid w:val="00A25937"/>
    <w:rsid w:val="00A25A85"/>
    <w:rsid w:val="00A25AC7"/>
    <w:rsid w:val="00A3074B"/>
    <w:rsid w:val="00A311AA"/>
    <w:rsid w:val="00A31E23"/>
    <w:rsid w:val="00A346DA"/>
    <w:rsid w:val="00A34DC0"/>
    <w:rsid w:val="00A34F15"/>
    <w:rsid w:val="00A3775D"/>
    <w:rsid w:val="00A3794D"/>
    <w:rsid w:val="00A37D4C"/>
    <w:rsid w:val="00A40129"/>
    <w:rsid w:val="00A40290"/>
    <w:rsid w:val="00A41B89"/>
    <w:rsid w:val="00A45D17"/>
    <w:rsid w:val="00A45F20"/>
    <w:rsid w:val="00A46295"/>
    <w:rsid w:val="00A503DB"/>
    <w:rsid w:val="00A505AF"/>
    <w:rsid w:val="00A5277E"/>
    <w:rsid w:val="00A55271"/>
    <w:rsid w:val="00A55809"/>
    <w:rsid w:val="00A56047"/>
    <w:rsid w:val="00A561CC"/>
    <w:rsid w:val="00A62109"/>
    <w:rsid w:val="00A63D13"/>
    <w:rsid w:val="00A64083"/>
    <w:rsid w:val="00A66966"/>
    <w:rsid w:val="00A669E6"/>
    <w:rsid w:val="00A673ED"/>
    <w:rsid w:val="00A67B2D"/>
    <w:rsid w:val="00A70C7F"/>
    <w:rsid w:val="00A70D69"/>
    <w:rsid w:val="00A72D44"/>
    <w:rsid w:val="00A7379F"/>
    <w:rsid w:val="00A739CD"/>
    <w:rsid w:val="00A73D19"/>
    <w:rsid w:val="00A742FD"/>
    <w:rsid w:val="00A74D60"/>
    <w:rsid w:val="00A752CC"/>
    <w:rsid w:val="00A83B2B"/>
    <w:rsid w:val="00A86DB7"/>
    <w:rsid w:val="00A87888"/>
    <w:rsid w:val="00A933EE"/>
    <w:rsid w:val="00A93AE5"/>
    <w:rsid w:val="00A93D87"/>
    <w:rsid w:val="00A95B55"/>
    <w:rsid w:val="00A96765"/>
    <w:rsid w:val="00A97C8E"/>
    <w:rsid w:val="00AA015E"/>
    <w:rsid w:val="00AA184B"/>
    <w:rsid w:val="00AA24BD"/>
    <w:rsid w:val="00AA2CD0"/>
    <w:rsid w:val="00AA2FAB"/>
    <w:rsid w:val="00AA41BA"/>
    <w:rsid w:val="00AA512E"/>
    <w:rsid w:val="00AA6D39"/>
    <w:rsid w:val="00AB21E2"/>
    <w:rsid w:val="00AB2902"/>
    <w:rsid w:val="00AB2971"/>
    <w:rsid w:val="00AB2A3F"/>
    <w:rsid w:val="00AB5748"/>
    <w:rsid w:val="00AB70C7"/>
    <w:rsid w:val="00AB742C"/>
    <w:rsid w:val="00AB759E"/>
    <w:rsid w:val="00AB7BEE"/>
    <w:rsid w:val="00AC4C20"/>
    <w:rsid w:val="00AC68E0"/>
    <w:rsid w:val="00AC799E"/>
    <w:rsid w:val="00AD0D97"/>
    <w:rsid w:val="00AD0F2A"/>
    <w:rsid w:val="00AD4080"/>
    <w:rsid w:val="00AD4AED"/>
    <w:rsid w:val="00AD5706"/>
    <w:rsid w:val="00AE3E15"/>
    <w:rsid w:val="00AE511D"/>
    <w:rsid w:val="00AE5A2F"/>
    <w:rsid w:val="00AE5AAE"/>
    <w:rsid w:val="00AE5D2E"/>
    <w:rsid w:val="00AE5E6C"/>
    <w:rsid w:val="00AE6F29"/>
    <w:rsid w:val="00AE769C"/>
    <w:rsid w:val="00AF0581"/>
    <w:rsid w:val="00AF08DE"/>
    <w:rsid w:val="00AF0986"/>
    <w:rsid w:val="00AF11E9"/>
    <w:rsid w:val="00AF1310"/>
    <w:rsid w:val="00AF2751"/>
    <w:rsid w:val="00AF4F78"/>
    <w:rsid w:val="00AF678D"/>
    <w:rsid w:val="00AF6CC0"/>
    <w:rsid w:val="00AF7ED4"/>
    <w:rsid w:val="00B01BF2"/>
    <w:rsid w:val="00B03BC0"/>
    <w:rsid w:val="00B03D28"/>
    <w:rsid w:val="00B04122"/>
    <w:rsid w:val="00B041B3"/>
    <w:rsid w:val="00B04B79"/>
    <w:rsid w:val="00B04DCD"/>
    <w:rsid w:val="00B07029"/>
    <w:rsid w:val="00B070F8"/>
    <w:rsid w:val="00B12ACE"/>
    <w:rsid w:val="00B1398E"/>
    <w:rsid w:val="00B14675"/>
    <w:rsid w:val="00B1468C"/>
    <w:rsid w:val="00B147AF"/>
    <w:rsid w:val="00B14BDC"/>
    <w:rsid w:val="00B14F7C"/>
    <w:rsid w:val="00B2083B"/>
    <w:rsid w:val="00B21732"/>
    <w:rsid w:val="00B2406E"/>
    <w:rsid w:val="00B26F74"/>
    <w:rsid w:val="00B31770"/>
    <w:rsid w:val="00B31F31"/>
    <w:rsid w:val="00B32E0B"/>
    <w:rsid w:val="00B3433A"/>
    <w:rsid w:val="00B343C1"/>
    <w:rsid w:val="00B345B2"/>
    <w:rsid w:val="00B349EE"/>
    <w:rsid w:val="00B350FA"/>
    <w:rsid w:val="00B35A14"/>
    <w:rsid w:val="00B400C8"/>
    <w:rsid w:val="00B40F3E"/>
    <w:rsid w:val="00B42556"/>
    <w:rsid w:val="00B42BEB"/>
    <w:rsid w:val="00B43E10"/>
    <w:rsid w:val="00B47D2D"/>
    <w:rsid w:val="00B517AB"/>
    <w:rsid w:val="00B51989"/>
    <w:rsid w:val="00B52F5D"/>
    <w:rsid w:val="00B53817"/>
    <w:rsid w:val="00B540B5"/>
    <w:rsid w:val="00B55E28"/>
    <w:rsid w:val="00B55FA4"/>
    <w:rsid w:val="00B57924"/>
    <w:rsid w:val="00B60F34"/>
    <w:rsid w:val="00B612C5"/>
    <w:rsid w:val="00B61E27"/>
    <w:rsid w:val="00B65036"/>
    <w:rsid w:val="00B65624"/>
    <w:rsid w:val="00B65A54"/>
    <w:rsid w:val="00B66709"/>
    <w:rsid w:val="00B67DB3"/>
    <w:rsid w:val="00B67F11"/>
    <w:rsid w:val="00B71566"/>
    <w:rsid w:val="00B716DF"/>
    <w:rsid w:val="00B7255E"/>
    <w:rsid w:val="00B73222"/>
    <w:rsid w:val="00B73FA6"/>
    <w:rsid w:val="00B744FA"/>
    <w:rsid w:val="00B74DB2"/>
    <w:rsid w:val="00B8213A"/>
    <w:rsid w:val="00B8369D"/>
    <w:rsid w:val="00B83D7D"/>
    <w:rsid w:val="00B846D4"/>
    <w:rsid w:val="00B84C7F"/>
    <w:rsid w:val="00B85810"/>
    <w:rsid w:val="00B9062C"/>
    <w:rsid w:val="00B90ED1"/>
    <w:rsid w:val="00B914EF"/>
    <w:rsid w:val="00B91DCF"/>
    <w:rsid w:val="00B922C5"/>
    <w:rsid w:val="00B92384"/>
    <w:rsid w:val="00B9269D"/>
    <w:rsid w:val="00B93877"/>
    <w:rsid w:val="00B95B78"/>
    <w:rsid w:val="00B97687"/>
    <w:rsid w:val="00B97A05"/>
    <w:rsid w:val="00BA0A9C"/>
    <w:rsid w:val="00BA1809"/>
    <w:rsid w:val="00BA427A"/>
    <w:rsid w:val="00BA481C"/>
    <w:rsid w:val="00BA7B0F"/>
    <w:rsid w:val="00BB061C"/>
    <w:rsid w:val="00BB1719"/>
    <w:rsid w:val="00BB2A8F"/>
    <w:rsid w:val="00BB34B1"/>
    <w:rsid w:val="00BB37F5"/>
    <w:rsid w:val="00BB3EC1"/>
    <w:rsid w:val="00BB5C25"/>
    <w:rsid w:val="00BB6CE0"/>
    <w:rsid w:val="00BB770B"/>
    <w:rsid w:val="00BC0581"/>
    <w:rsid w:val="00BC211B"/>
    <w:rsid w:val="00BC3E69"/>
    <w:rsid w:val="00BC5FAD"/>
    <w:rsid w:val="00BC6257"/>
    <w:rsid w:val="00BC648F"/>
    <w:rsid w:val="00BC6C9E"/>
    <w:rsid w:val="00BC7D0A"/>
    <w:rsid w:val="00BD08E3"/>
    <w:rsid w:val="00BD25C3"/>
    <w:rsid w:val="00BD3350"/>
    <w:rsid w:val="00BD5174"/>
    <w:rsid w:val="00BD70E4"/>
    <w:rsid w:val="00BD7292"/>
    <w:rsid w:val="00BE1BAD"/>
    <w:rsid w:val="00BE2C22"/>
    <w:rsid w:val="00BE3859"/>
    <w:rsid w:val="00BE4750"/>
    <w:rsid w:val="00BE4B04"/>
    <w:rsid w:val="00BE64EA"/>
    <w:rsid w:val="00BE6C5A"/>
    <w:rsid w:val="00BE7D9A"/>
    <w:rsid w:val="00BF02AC"/>
    <w:rsid w:val="00BF0358"/>
    <w:rsid w:val="00BF12D8"/>
    <w:rsid w:val="00BF2E43"/>
    <w:rsid w:val="00BF5186"/>
    <w:rsid w:val="00BF51CE"/>
    <w:rsid w:val="00BF5B86"/>
    <w:rsid w:val="00C00573"/>
    <w:rsid w:val="00C01184"/>
    <w:rsid w:val="00C03383"/>
    <w:rsid w:val="00C05015"/>
    <w:rsid w:val="00C0681E"/>
    <w:rsid w:val="00C06E4C"/>
    <w:rsid w:val="00C07BCB"/>
    <w:rsid w:val="00C07F29"/>
    <w:rsid w:val="00C122E7"/>
    <w:rsid w:val="00C1277C"/>
    <w:rsid w:val="00C130B0"/>
    <w:rsid w:val="00C15631"/>
    <w:rsid w:val="00C1609C"/>
    <w:rsid w:val="00C17006"/>
    <w:rsid w:val="00C1765E"/>
    <w:rsid w:val="00C21B5F"/>
    <w:rsid w:val="00C22B83"/>
    <w:rsid w:val="00C23676"/>
    <w:rsid w:val="00C268A7"/>
    <w:rsid w:val="00C27263"/>
    <w:rsid w:val="00C3451D"/>
    <w:rsid w:val="00C35036"/>
    <w:rsid w:val="00C37534"/>
    <w:rsid w:val="00C41CB7"/>
    <w:rsid w:val="00C422FE"/>
    <w:rsid w:val="00C42365"/>
    <w:rsid w:val="00C42E97"/>
    <w:rsid w:val="00C439EC"/>
    <w:rsid w:val="00C44B89"/>
    <w:rsid w:val="00C46096"/>
    <w:rsid w:val="00C5094E"/>
    <w:rsid w:val="00C51863"/>
    <w:rsid w:val="00C55D64"/>
    <w:rsid w:val="00C5697D"/>
    <w:rsid w:val="00C5761D"/>
    <w:rsid w:val="00C57A06"/>
    <w:rsid w:val="00C6035A"/>
    <w:rsid w:val="00C614B5"/>
    <w:rsid w:val="00C62668"/>
    <w:rsid w:val="00C62E4A"/>
    <w:rsid w:val="00C6436A"/>
    <w:rsid w:val="00C643FC"/>
    <w:rsid w:val="00C645BC"/>
    <w:rsid w:val="00C67E84"/>
    <w:rsid w:val="00C731D6"/>
    <w:rsid w:val="00C73228"/>
    <w:rsid w:val="00C76084"/>
    <w:rsid w:val="00C80322"/>
    <w:rsid w:val="00C81086"/>
    <w:rsid w:val="00C81712"/>
    <w:rsid w:val="00C849E9"/>
    <w:rsid w:val="00C87FE7"/>
    <w:rsid w:val="00C90ACB"/>
    <w:rsid w:val="00C91ADA"/>
    <w:rsid w:val="00C91FAA"/>
    <w:rsid w:val="00C9204A"/>
    <w:rsid w:val="00C9448C"/>
    <w:rsid w:val="00C94C5D"/>
    <w:rsid w:val="00C95A45"/>
    <w:rsid w:val="00C9796C"/>
    <w:rsid w:val="00CA004A"/>
    <w:rsid w:val="00CA1563"/>
    <w:rsid w:val="00CA1DE4"/>
    <w:rsid w:val="00CA200C"/>
    <w:rsid w:val="00CA35D9"/>
    <w:rsid w:val="00CA3B73"/>
    <w:rsid w:val="00CA5D73"/>
    <w:rsid w:val="00CA7292"/>
    <w:rsid w:val="00CA7590"/>
    <w:rsid w:val="00CA786D"/>
    <w:rsid w:val="00CB053D"/>
    <w:rsid w:val="00CB1879"/>
    <w:rsid w:val="00CB2767"/>
    <w:rsid w:val="00CB2C04"/>
    <w:rsid w:val="00CB46EF"/>
    <w:rsid w:val="00CB4ECE"/>
    <w:rsid w:val="00CB69F3"/>
    <w:rsid w:val="00CB7E24"/>
    <w:rsid w:val="00CB7F62"/>
    <w:rsid w:val="00CC013C"/>
    <w:rsid w:val="00CC3465"/>
    <w:rsid w:val="00CC391B"/>
    <w:rsid w:val="00CC3DD4"/>
    <w:rsid w:val="00CC4206"/>
    <w:rsid w:val="00CC51AA"/>
    <w:rsid w:val="00CC76E0"/>
    <w:rsid w:val="00CD116B"/>
    <w:rsid w:val="00CD15B8"/>
    <w:rsid w:val="00CD213A"/>
    <w:rsid w:val="00CD7DDE"/>
    <w:rsid w:val="00CE19E3"/>
    <w:rsid w:val="00CE2276"/>
    <w:rsid w:val="00CE23C1"/>
    <w:rsid w:val="00CE3BFF"/>
    <w:rsid w:val="00CE4FD2"/>
    <w:rsid w:val="00CE5E3E"/>
    <w:rsid w:val="00CE7CE9"/>
    <w:rsid w:val="00CF004A"/>
    <w:rsid w:val="00CF08F8"/>
    <w:rsid w:val="00CF2137"/>
    <w:rsid w:val="00CF2FA8"/>
    <w:rsid w:val="00CF30D4"/>
    <w:rsid w:val="00CF3212"/>
    <w:rsid w:val="00CF46CD"/>
    <w:rsid w:val="00CF53E0"/>
    <w:rsid w:val="00CF763E"/>
    <w:rsid w:val="00D00159"/>
    <w:rsid w:val="00D01F8F"/>
    <w:rsid w:val="00D0429E"/>
    <w:rsid w:val="00D04864"/>
    <w:rsid w:val="00D055BE"/>
    <w:rsid w:val="00D05716"/>
    <w:rsid w:val="00D115AD"/>
    <w:rsid w:val="00D11BCB"/>
    <w:rsid w:val="00D1229A"/>
    <w:rsid w:val="00D12DE6"/>
    <w:rsid w:val="00D134F3"/>
    <w:rsid w:val="00D142C6"/>
    <w:rsid w:val="00D14ABC"/>
    <w:rsid w:val="00D15560"/>
    <w:rsid w:val="00D16A1C"/>
    <w:rsid w:val="00D17162"/>
    <w:rsid w:val="00D17AEF"/>
    <w:rsid w:val="00D20DAC"/>
    <w:rsid w:val="00D217F3"/>
    <w:rsid w:val="00D21E56"/>
    <w:rsid w:val="00D21EF3"/>
    <w:rsid w:val="00D21F88"/>
    <w:rsid w:val="00D244BF"/>
    <w:rsid w:val="00D2671C"/>
    <w:rsid w:val="00D26DAA"/>
    <w:rsid w:val="00D27BDA"/>
    <w:rsid w:val="00D308CE"/>
    <w:rsid w:val="00D320D7"/>
    <w:rsid w:val="00D36DE0"/>
    <w:rsid w:val="00D4011B"/>
    <w:rsid w:val="00D414FA"/>
    <w:rsid w:val="00D41FF8"/>
    <w:rsid w:val="00D430D5"/>
    <w:rsid w:val="00D45751"/>
    <w:rsid w:val="00D45EC3"/>
    <w:rsid w:val="00D46429"/>
    <w:rsid w:val="00D4703A"/>
    <w:rsid w:val="00D4752D"/>
    <w:rsid w:val="00D476B4"/>
    <w:rsid w:val="00D47DB6"/>
    <w:rsid w:val="00D51092"/>
    <w:rsid w:val="00D5187C"/>
    <w:rsid w:val="00D519FA"/>
    <w:rsid w:val="00D51DE7"/>
    <w:rsid w:val="00D52C10"/>
    <w:rsid w:val="00D54FCC"/>
    <w:rsid w:val="00D551E7"/>
    <w:rsid w:val="00D558AC"/>
    <w:rsid w:val="00D55F68"/>
    <w:rsid w:val="00D5607F"/>
    <w:rsid w:val="00D60302"/>
    <w:rsid w:val="00D61187"/>
    <w:rsid w:val="00D62A78"/>
    <w:rsid w:val="00D63D34"/>
    <w:rsid w:val="00D64106"/>
    <w:rsid w:val="00D6470C"/>
    <w:rsid w:val="00D64960"/>
    <w:rsid w:val="00D70E18"/>
    <w:rsid w:val="00D71601"/>
    <w:rsid w:val="00D71A4F"/>
    <w:rsid w:val="00D71B85"/>
    <w:rsid w:val="00D72E47"/>
    <w:rsid w:val="00D73DC3"/>
    <w:rsid w:val="00D746C8"/>
    <w:rsid w:val="00D74E66"/>
    <w:rsid w:val="00D74EC5"/>
    <w:rsid w:val="00D772C3"/>
    <w:rsid w:val="00D772CB"/>
    <w:rsid w:val="00D77902"/>
    <w:rsid w:val="00D80BCB"/>
    <w:rsid w:val="00D80CB9"/>
    <w:rsid w:val="00D81969"/>
    <w:rsid w:val="00D835A1"/>
    <w:rsid w:val="00D87A99"/>
    <w:rsid w:val="00D905DC"/>
    <w:rsid w:val="00D9082D"/>
    <w:rsid w:val="00D910A4"/>
    <w:rsid w:val="00D9364C"/>
    <w:rsid w:val="00D93FF8"/>
    <w:rsid w:val="00D9412B"/>
    <w:rsid w:val="00D95079"/>
    <w:rsid w:val="00D95B60"/>
    <w:rsid w:val="00D95F25"/>
    <w:rsid w:val="00D9666F"/>
    <w:rsid w:val="00D967AC"/>
    <w:rsid w:val="00DA44CD"/>
    <w:rsid w:val="00DA4825"/>
    <w:rsid w:val="00DA6D2F"/>
    <w:rsid w:val="00DA73DF"/>
    <w:rsid w:val="00DB24C5"/>
    <w:rsid w:val="00DB25D2"/>
    <w:rsid w:val="00DB2B36"/>
    <w:rsid w:val="00DB7345"/>
    <w:rsid w:val="00DB7DF6"/>
    <w:rsid w:val="00DB7F06"/>
    <w:rsid w:val="00DC05AF"/>
    <w:rsid w:val="00DC0937"/>
    <w:rsid w:val="00DC0D00"/>
    <w:rsid w:val="00DC141F"/>
    <w:rsid w:val="00DC2E45"/>
    <w:rsid w:val="00DC4984"/>
    <w:rsid w:val="00DC4BA9"/>
    <w:rsid w:val="00DD0506"/>
    <w:rsid w:val="00DD127C"/>
    <w:rsid w:val="00DD288C"/>
    <w:rsid w:val="00DD392C"/>
    <w:rsid w:val="00DD5528"/>
    <w:rsid w:val="00DD5B84"/>
    <w:rsid w:val="00DD769D"/>
    <w:rsid w:val="00DE08F0"/>
    <w:rsid w:val="00DE0A79"/>
    <w:rsid w:val="00DE1363"/>
    <w:rsid w:val="00DE1713"/>
    <w:rsid w:val="00DE508A"/>
    <w:rsid w:val="00DE5858"/>
    <w:rsid w:val="00DE7E47"/>
    <w:rsid w:val="00DF0A80"/>
    <w:rsid w:val="00DF11F0"/>
    <w:rsid w:val="00DF3F6E"/>
    <w:rsid w:val="00DF4564"/>
    <w:rsid w:val="00DF5A5C"/>
    <w:rsid w:val="00DF5D8D"/>
    <w:rsid w:val="00DF70A4"/>
    <w:rsid w:val="00E00574"/>
    <w:rsid w:val="00E011F8"/>
    <w:rsid w:val="00E01223"/>
    <w:rsid w:val="00E01B71"/>
    <w:rsid w:val="00E01C7A"/>
    <w:rsid w:val="00E03815"/>
    <w:rsid w:val="00E046EC"/>
    <w:rsid w:val="00E04D54"/>
    <w:rsid w:val="00E05A0A"/>
    <w:rsid w:val="00E05E02"/>
    <w:rsid w:val="00E06DC2"/>
    <w:rsid w:val="00E10EE3"/>
    <w:rsid w:val="00E16607"/>
    <w:rsid w:val="00E172FE"/>
    <w:rsid w:val="00E17C39"/>
    <w:rsid w:val="00E20BDE"/>
    <w:rsid w:val="00E24610"/>
    <w:rsid w:val="00E24C18"/>
    <w:rsid w:val="00E26C01"/>
    <w:rsid w:val="00E27834"/>
    <w:rsid w:val="00E303FB"/>
    <w:rsid w:val="00E32B5E"/>
    <w:rsid w:val="00E344E2"/>
    <w:rsid w:val="00E356ED"/>
    <w:rsid w:val="00E36723"/>
    <w:rsid w:val="00E36BCC"/>
    <w:rsid w:val="00E374B7"/>
    <w:rsid w:val="00E4331C"/>
    <w:rsid w:val="00E43AFC"/>
    <w:rsid w:val="00E44823"/>
    <w:rsid w:val="00E4549E"/>
    <w:rsid w:val="00E45955"/>
    <w:rsid w:val="00E514D4"/>
    <w:rsid w:val="00E51EC9"/>
    <w:rsid w:val="00E5263A"/>
    <w:rsid w:val="00E53D6D"/>
    <w:rsid w:val="00E54684"/>
    <w:rsid w:val="00E56164"/>
    <w:rsid w:val="00E562EA"/>
    <w:rsid w:val="00E56DEF"/>
    <w:rsid w:val="00E5782F"/>
    <w:rsid w:val="00E64E0D"/>
    <w:rsid w:val="00E65C42"/>
    <w:rsid w:val="00E663CF"/>
    <w:rsid w:val="00E70991"/>
    <w:rsid w:val="00E715EB"/>
    <w:rsid w:val="00E71819"/>
    <w:rsid w:val="00E71ABD"/>
    <w:rsid w:val="00E71B69"/>
    <w:rsid w:val="00E71EB8"/>
    <w:rsid w:val="00E73C48"/>
    <w:rsid w:val="00E74E20"/>
    <w:rsid w:val="00E74E9D"/>
    <w:rsid w:val="00E75D40"/>
    <w:rsid w:val="00E7619F"/>
    <w:rsid w:val="00E767BF"/>
    <w:rsid w:val="00E76F77"/>
    <w:rsid w:val="00E774B6"/>
    <w:rsid w:val="00E800CA"/>
    <w:rsid w:val="00E80292"/>
    <w:rsid w:val="00E80D6C"/>
    <w:rsid w:val="00E812D4"/>
    <w:rsid w:val="00E84809"/>
    <w:rsid w:val="00E84DE8"/>
    <w:rsid w:val="00E86933"/>
    <w:rsid w:val="00E87AA0"/>
    <w:rsid w:val="00E90B1F"/>
    <w:rsid w:val="00E91E3D"/>
    <w:rsid w:val="00E9250B"/>
    <w:rsid w:val="00E925D0"/>
    <w:rsid w:val="00E92DCA"/>
    <w:rsid w:val="00E93155"/>
    <w:rsid w:val="00E939F5"/>
    <w:rsid w:val="00E94104"/>
    <w:rsid w:val="00E95B66"/>
    <w:rsid w:val="00E96CA2"/>
    <w:rsid w:val="00E96F43"/>
    <w:rsid w:val="00E9736D"/>
    <w:rsid w:val="00E97424"/>
    <w:rsid w:val="00EA065A"/>
    <w:rsid w:val="00EA296E"/>
    <w:rsid w:val="00EA3EB9"/>
    <w:rsid w:val="00EA4ACC"/>
    <w:rsid w:val="00EA5236"/>
    <w:rsid w:val="00EA59C7"/>
    <w:rsid w:val="00EA69F9"/>
    <w:rsid w:val="00EA7920"/>
    <w:rsid w:val="00EA797E"/>
    <w:rsid w:val="00EB0B37"/>
    <w:rsid w:val="00EB25FB"/>
    <w:rsid w:val="00EB3194"/>
    <w:rsid w:val="00EB573E"/>
    <w:rsid w:val="00EB69DE"/>
    <w:rsid w:val="00EB6A7F"/>
    <w:rsid w:val="00EB6EA7"/>
    <w:rsid w:val="00EC0AAA"/>
    <w:rsid w:val="00EC2144"/>
    <w:rsid w:val="00EC5D63"/>
    <w:rsid w:val="00EC7C04"/>
    <w:rsid w:val="00ED3C23"/>
    <w:rsid w:val="00ED3DD7"/>
    <w:rsid w:val="00ED4603"/>
    <w:rsid w:val="00ED46A4"/>
    <w:rsid w:val="00ED6474"/>
    <w:rsid w:val="00ED7CA0"/>
    <w:rsid w:val="00EE35A4"/>
    <w:rsid w:val="00EE5E9B"/>
    <w:rsid w:val="00EF0A4D"/>
    <w:rsid w:val="00EF2557"/>
    <w:rsid w:val="00EF4B08"/>
    <w:rsid w:val="00EF4C3B"/>
    <w:rsid w:val="00EF68C1"/>
    <w:rsid w:val="00EF6D47"/>
    <w:rsid w:val="00EF6DC9"/>
    <w:rsid w:val="00EF7158"/>
    <w:rsid w:val="00F005FD"/>
    <w:rsid w:val="00F04935"/>
    <w:rsid w:val="00F06843"/>
    <w:rsid w:val="00F10F62"/>
    <w:rsid w:val="00F125F9"/>
    <w:rsid w:val="00F12898"/>
    <w:rsid w:val="00F14136"/>
    <w:rsid w:val="00F148D3"/>
    <w:rsid w:val="00F14E11"/>
    <w:rsid w:val="00F15F2D"/>
    <w:rsid w:val="00F16CEA"/>
    <w:rsid w:val="00F172C7"/>
    <w:rsid w:val="00F178D3"/>
    <w:rsid w:val="00F22B96"/>
    <w:rsid w:val="00F248D6"/>
    <w:rsid w:val="00F25789"/>
    <w:rsid w:val="00F268AF"/>
    <w:rsid w:val="00F43C9D"/>
    <w:rsid w:val="00F44088"/>
    <w:rsid w:val="00F45316"/>
    <w:rsid w:val="00F461CE"/>
    <w:rsid w:val="00F46EEC"/>
    <w:rsid w:val="00F47DA1"/>
    <w:rsid w:val="00F5028D"/>
    <w:rsid w:val="00F50F84"/>
    <w:rsid w:val="00F514A6"/>
    <w:rsid w:val="00F52208"/>
    <w:rsid w:val="00F53CEB"/>
    <w:rsid w:val="00F553A9"/>
    <w:rsid w:val="00F562D3"/>
    <w:rsid w:val="00F63C7A"/>
    <w:rsid w:val="00F64F80"/>
    <w:rsid w:val="00F700C6"/>
    <w:rsid w:val="00F7033A"/>
    <w:rsid w:val="00F716F9"/>
    <w:rsid w:val="00F71948"/>
    <w:rsid w:val="00F721AC"/>
    <w:rsid w:val="00F72CDE"/>
    <w:rsid w:val="00F743AC"/>
    <w:rsid w:val="00F7539B"/>
    <w:rsid w:val="00F772D9"/>
    <w:rsid w:val="00F8056E"/>
    <w:rsid w:val="00F8140B"/>
    <w:rsid w:val="00F81E5C"/>
    <w:rsid w:val="00F826B8"/>
    <w:rsid w:val="00F84A17"/>
    <w:rsid w:val="00F870FA"/>
    <w:rsid w:val="00F874A3"/>
    <w:rsid w:val="00F90D50"/>
    <w:rsid w:val="00F90D94"/>
    <w:rsid w:val="00F94C31"/>
    <w:rsid w:val="00F9518D"/>
    <w:rsid w:val="00F95F17"/>
    <w:rsid w:val="00FA2906"/>
    <w:rsid w:val="00FA3FF9"/>
    <w:rsid w:val="00FA41FC"/>
    <w:rsid w:val="00FA5900"/>
    <w:rsid w:val="00FA7893"/>
    <w:rsid w:val="00FB0777"/>
    <w:rsid w:val="00FB1B8B"/>
    <w:rsid w:val="00FB1BCD"/>
    <w:rsid w:val="00FB394B"/>
    <w:rsid w:val="00FB3FA0"/>
    <w:rsid w:val="00FB4931"/>
    <w:rsid w:val="00FB7236"/>
    <w:rsid w:val="00FC116A"/>
    <w:rsid w:val="00FC312C"/>
    <w:rsid w:val="00FC3BA0"/>
    <w:rsid w:val="00FC51D8"/>
    <w:rsid w:val="00FC60F7"/>
    <w:rsid w:val="00FC6700"/>
    <w:rsid w:val="00FD00DD"/>
    <w:rsid w:val="00FD04C0"/>
    <w:rsid w:val="00FD0C58"/>
    <w:rsid w:val="00FD2129"/>
    <w:rsid w:val="00FD2E34"/>
    <w:rsid w:val="00FD490F"/>
    <w:rsid w:val="00FD49A5"/>
    <w:rsid w:val="00FD4F3B"/>
    <w:rsid w:val="00FD76BB"/>
    <w:rsid w:val="00FE19ED"/>
    <w:rsid w:val="00FE44DB"/>
    <w:rsid w:val="00FE5B25"/>
    <w:rsid w:val="00FE5C82"/>
    <w:rsid w:val="00FE6846"/>
    <w:rsid w:val="00FE6E00"/>
    <w:rsid w:val="00FF09BF"/>
    <w:rsid w:val="00FF18D5"/>
    <w:rsid w:val="00FF2658"/>
    <w:rsid w:val="00FF2736"/>
    <w:rsid w:val="00FF52FB"/>
    <w:rsid w:val="00FF5948"/>
    <w:rsid w:val="00FF6B3F"/>
    <w:rsid w:val="00FF755C"/>
    <w:rsid w:val="00FF75C1"/>
    <w:rsid w:val="00FF75DF"/>
    <w:rsid w:val="00FF79C8"/>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E16A9F"/>
  <w15:docId w15:val="{592FB6E7-E11E-49C5-BD2C-B6BD4693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1"/>
      </w:numPr>
      <w:autoSpaceDE w:val="0"/>
      <w:autoSpaceDN w:val="0"/>
      <w:adjustRightInd w:val="0"/>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unhideWhenUsed/>
    <w:rsid w:val="00DB7345"/>
    <w:rPr>
      <w:sz w:val="20"/>
      <w:szCs w:val="20"/>
    </w:rPr>
  </w:style>
  <w:style w:type="character" w:customStyle="1" w:styleId="CommentTextChar">
    <w:name w:val="Comment Text Char"/>
    <w:basedOn w:val="DefaultParagraphFont"/>
    <w:link w:val="CommentText"/>
    <w:uiPriority w:val="99"/>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 w:type="character" w:styleId="UnresolvedMention">
    <w:name w:val="Unresolved Mention"/>
    <w:basedOn w:val="DefaultParagraphFont"/>
    <w:uiPriority w:val="99"/>
    <w:semiHidden/>
    <w:unhideWhenUsed/>
    <w:rsid w:val="000E1CF6"/>
    <w:rPr>
      <w:color w:val="605E5C"/>
      <w:shd w:val="clear" w:color="auto" w:fill="E1DFDD"/>
    </w:rPr>
  </w:style>
  <w:style w:type="paragraph" w:customStyle="1" w:styleId="ListBulleta">
    <w:name w:val="List Bullet a)"/>
    <w:basedOn w:val="ListBullet"/>
    <w:uiPriority w:val="1"/>
    <w:qFormat/>
    <w:rsid w:val="00C9796C"/>
    <w:pPr>
      <w:spacing w:before="120" w:after="180" w:line="240" w:lineRule="atLeast"/>
      <w:contextualSpacing w:val="0"/>
    </w:pPr>
    <w:rPr>
      <w:rFonts w:ascii="Cambria" w:eastAsia="Cambria" w:hAnsi="Cambria"/>
      <w:sz w:val="22"/>
      <w:szCs w:val="20"/>
      <w:lang w:val="en-AU"/>
    </w:rPr>
  </w:style>
  <w:style w:type="paragraph" w:styleId="ListBullet">
    <w:name w:val="List Bullet"/>
    <w:basedOn w:val="Normal"/>
    <w:uiPriority w:val="99"/>
    <w:semiHidden/>
    <w:unhideWhenUsed/>
    <w:rsid w:val="00C9796C"/>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3912">
      <w:bodyDiv w:val="1"/>
      <w:marLeft w:val="0"/>
      <w:marRight w:val="0"/>
      <w:marTop w:val="0"/>
      <w:marBottom w:val="0"/>
      <w:divBdr>
        <w:top w:val="none" w:sz="0" w:space="0" w:color="auto"/>
        <w:left w:val="none" w:sz="0" w:space="0" w:color="auto"/>
        <w:bottom w:val="none" w:sz="0" w:space="0" w:color="auto"/>
        <w:right w:val="none" w:sz="0" w:space="0" w:color="auto"/>
      </w:divBdr>
    </w:div>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4C537A7-F6E7-4DD7-AED2-253013DE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Muhunthan</dc:creator>
  <cp:keywords/>
  <dc:description/>
  <cp:lastModifiedBy>Trent Newman</cp:lastModifiedBy>
  <cp:revision>4</cp:revision>
  <cp:lastPrinted>2022-08-22T06:11:00Z</cp:lastPrinted>
  <dcterms:created xsi:type="dcterms:W3CDTF">2023-01-24T21:41:00Z</dcterms:created>
  <dcterms:modified xsi:type="dcterms:W3CDTF">2023-01-24T21:54:00Z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