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234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2A6D8DA" wp14:editId="65D9FC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C7C4" w14:textId="77777777" w:rsidR="005E317F" w:rsidRDefault="005E317F" w:rsidP="005E317F">
      <w:pPr>
        <w:rPr>
          <w:sz w:val="19"/>
        </w:rPr>
      </w:pPr>
    </w:p>
    <w:p w14:paraId="06F15870" w14:textId="43DA9350" w:rsidR="005E317F" w:rsidRPr="00E500D4" w:rsidRDefault="00D051C8" w:rsidP="005E317F">
      <w:pPr>
        <w:pStyle w:val="ShortT"/>
      </w:pPr>
      <w:r>
        <w:t xml:space="preserve">Higher Education Support </w:t>
      </w:r>
      <w:r w:rsidR="005E317F">
        <w:t>Amendment (</w:t>
      </w:r>
      <w:proofErr w:type="spellStart"/>
      <w:r w:rsidR="00FE4A6B">
        <w:t>Microcredential</w:t>
      </w:r>
      <w:proofErr w:type="spellEnd"/>
      <w:r w:rsidR="00FE4A6B">
        <w:t xml:space="preserve"> Courses</w:t>
      </w:r>
      <w:r w:rsidR="00831C03">
        <w:t xml:space="preserve"> and Other Matters</w:t>
      </w:r>
      <w:r w:rsidR="005E317F">
        <w:t>)</w:t>
      </w:r>
      <w:r>
        <w:t xml:space="preserve"> </w:t>
      </w:r>
      <w:r w:rsidR="00141588">
        <w:t xml:space="preserve">Guidelines </w:t>
      </w:r>
      <w:r w:rsidR="00A94889">
        <w:t>2023</w:t>
      </w:r>
    </w:p>
    <w:p w14:paraId="73DA76EF" w14:textId="42A62834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E4A6B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FE4A6B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141588">
        <w:rPr>
          <w:szCs w:val="22"/>
        </w:rPr>
        <w:t>Guidelines</w:t>
      </w:r>
      <w:r w:rsidRPr="00DA182D">
        <w:rPr>
          <w:szCs w:val="22"/>
        </w:rPr>
        <w:t>.</w:t>
      </w:r>
    </w:p>
    <w:p w14:paraId="1F119C26" w14:textId="7D4D9684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EC1179">
        <w:rPr>
          <w:szCs w:val="22"/>
        </w:rPr>
        <w:t>24 January 2023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1A011E2" w14:textId="5B6AE32E" w:rsidR="005E317F" w:rsidRDefault="00FE4A6B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74DAC7CA" w14:textId="52EC2BDB" w:rsidR="005E317F" w:rsidRPr="000D3FB9" w:rsidRDefault="00FE4A6B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082F9589" w14:textId="77777777" w:rsidR="00B20990" w:rsidRDefault="00B20990" w:rsidP="00B20990"/>
    <w:p w14:paraId="24885F3F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EBAA96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63B7043" w14:textId="3F96327D" w:rsidR="0014158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41588">
        <w:rPr>
          <w:noProof/>
        </w:rPr>
        <w:t>1  Name</w:t>
      </w:r>
      <w:r w:rsidR="00141588">
        <w:rPr>
          <w:noProof/>
        </w:rPr>
        <w:tab/>
      </w:r>
      <w:r w:rsidR="00141588">
        <w:rPr>
          <w:noProof/>
        </w:rPr>
        <w:fldChar w:fldCharType="begin"/>
      </w:r>
      <w:r w:rsidR="00141588">
        <w:rPr>
          <w:noProof/>
        </w:rPr>
        <w:instrText xml:space="preserve"> PAGEREF _Toc124931852 \h </w:instrText>
      </w:r>
      <w:r w:rsidR="00141588">
        <w:rPr>
          <w:noProof/>
        </w:rPr>
      </w:r>
      <w:r w:rsidR="00141588">
        <w:rPr>
          <w:noProof/>
        </w:rPr>
        <w:fldChar w:fldCharType="separate"/>
      </w:r>
      <w:r w:rsidR="00141588">
        <w:rPr>
          <w:noProof/>
        </w:rPr>
        <w:t>1</w:t>
      </w:r>
      <w:r w:rsidR="00141588">
        <w:rPr>
          <w:noProof/>
        </w:rPr>
        <w:fldChar w:fldCharType="end"/>
      </w:r>
    </w:p>
    <w:p w14:paraId="114E9AB3" w14:textId="511382FA" w:rsidR="00141588" w:rsidRDefault="001415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_Toc124931853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F918F22" w14:textId="2E51CEF8" w:rsidR="00141588" w:rsidRDefault="001415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_Toc124931854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E2CD77A" w14:textId="1901B6AB" w:rsidR="00141588" w:rsidRDefault="001415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_Toc124931855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9535223" w14:textId="2F0FB424" w:rsidR="00141588" w:rsidRDefault="0014158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Schedule 1—Amendments to the </w:t>
      </w:r>
      <w:r w:rsidRPr="00CF00AB">
        <w:rPr>
          <w:i/>
          <w:iCs/>
          <w:noProof/>
        </w:rPr>
        <w:t>FEE-HELP Guidelines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_Toc124931856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C82FB5C" w14:textId="72BE3665" w:rsidR="00141588" w:rsidRDefault="0014158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FEE-HELP Guidelines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_Toc124931857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7F1A89B" w14:textId="6F8EB05C" w:rsidR="00141588" w:rsidRDefault="0014158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Schedule 2—Amendments to the </w:t>
      </w:r>
      <w:r w:rsidRPr="00CF00AB">
        <w:rPr>
          <w:i/>
          <w:iCs/>
          <w:noProof/>
        </w:rPr>
        <w:t>Higher Education Support (Other Grants Guidelines)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_Toc124931858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CDDEDEB" w14:textId="6FE0342B" w:rsidR="00141588" w:rsidRDefault="0014158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(Other Grants) Guidelines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_Toc124931859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0B759E4" w14:textId="0BDBBB19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35004224" w14:textId="77777777" w:rsidR="00B20990" w:rsidRDefault="00B20990" w:rsidP="00B20990"/>
    <w:p w14:paraId="65F62F66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0855178" w14:textId="20E94094" w:rsidR="005E317F" w:rsidRPr="009C2562" w:rsidRDefault="005E317F" w:rsidP="005E317F">
      <w:pPr>
        <w:pStyle w:val="ActHead5"/>
      </w:pPr>
      <w:bookmarkStart w:id="1" w:name="_Toc122422253"/>
      <w:bookmarkStart w:id="2" w:name="_Toc122423100"/>
      <w:bookmarkStart w:id="3" w:name="_Toc122423247"/>
      <w:bookmarkStart w:id="4" w:name="_Toc122423294"/>
      <w:bookmarkStart w:id="5" w:name="_Toc122423423"/>
      <w:bookmarkStart w:id="6" w:name="_Toc12493185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bookmarkEnd w:id="2"/>
      <w:bookmarkEnd w:id="3"/>
      <w:bookmarkEnd w:id="4"/>
      <w:bookmarkEnd w:id="5"/>
      <w:bookmarkEnd w:id="6"/>
      <w:proofErr w:type="gramEnd"/>
    </w:p>
    <w:p w14:paraId="05933446" w14:textId="210243E5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7" w:name="BKCheck15B_3"/>
      <w:bookmarkEnd w:id="7"/>
      <w:r w:rsidR="00D051C8">
        <w:rPr>
          <w:i/>
        </w:rPr>
        <w:t xml:space="preserve">Higher Education Support </w:t>
      </w:r>
      <w:r w:rsidR="00FE4A6B">
        <w:rPr>
          <w:i/>
        </w:rPr>
        <w:t>Amendment (</w:t>
      </w:r>
      <w:proofErr w:type="spellStart"/>
      <w:r w:rsidR="00FE4A6B">
        <w:rPr>
          <w:i/>
        </w:rPr>
        <w:t>Microcredential</w:t>
      </w:r>
      <w:proofErr w:type="spellEnd"/>
      <w:r w:rsidR="00FE4A6B">
        <w:rPr>
          <w:i/>
        </w:rPr>
        <w:t xml:space="preserve"> Courses</w:t>
      </w:r>
      <w:r w:rsidR="00831C03">
        <w:rPr>
          <w:i/>
        </w:rPr>
        <w:t xml:space="preserve"> and Other Matters</w:t>
      </w:r>
      <w:r w:rsidR="00FE4A6B">
        <w:rPr>
          <w:i/>
        </w:rPr>
        <w:t>)</w:t>
      </w:r>
      <w:r w:rsidR="00D051C8">
        <w:rPr>
          <w:i/>
        </w:rPr>
        <w:t xml:space="preserve"> </w:t>
      </w:r>
      <w:r w:rsidR="00141588">
        <w:rPr>
          <w:i/>
        </w:rPr>
        <w:t xml:space="preserve">Guidelines </w:t>
      </w:r>
      <w:r w:rsidR="00FE4A6B">
        <w:rPr>
          <w:i/>
        </w:rPr>
        <w:t>202</w:t>
      </w:r>
      <w:r w:rsidR="00A94889">
        <w:rPr>
          <w:i/>
        </w:rPr>
        <w:t>3</w:t>
      </w:r>
      <w:r w:rsidRPr="009C2562">
        <w:t>.</w:t>
      </w:r>
    </w:p>
    <w:p w14:paraId="7B49266F" w14:textId="4EFAFF58" w:rsidR="005E317F" w:rsidRDefault="005E317F" w:rsidP="005E317F">
      <w:pPr>
        <w:pStyle w:val="ActHead5"/>
      </w:pPr>
      <w:bookmarkStart w:id="8" w:name="_Toc122422254"/>
      <w:bookmarkStart w:id="9" w:name="_Toc122423101"/>
      <w:bookmarkStart w:id="10" w:name="_Toc122423248"/>
      <w:bookmarkStart w:id="11" w:name="_Toc122423295"/>
      <w:bookmarkStart w:id="12" w:name="_Toc122423424"/>
      <w:bookmarkStart w:id="13" w:name="_Toc12493185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8"/>
      <w:bookmarkEnd w:id="9"/>
      <w:bookmarkEnd w:id="10"/>
      <w:bookmarkEnd w:id="11"/>
      <w:bookmarkEnd w:id="12"/>
      <w:bookmarkEnd w:id="13"/>
      <w:proofErr w:type="gramEnd"/>
    </w:p>
    <w:p w14:paraId="40547BB1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1A0973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0E6C947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5E93393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4583073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87D7F7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7516EA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FCF656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28E3ED0F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B90892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8AB457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352548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3FECA0A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0A313E" w14:textId="23F0DE83" w:rsidR="00002BCC" w:rsidRPr="003A6229" w:rsidRDefault="00002BCC" w:rsidP="00A02135">
            <w:pPr>
              <w:pStyle w:val="Tabletext"/>
              <w:rPr>
                <w:i/>
              </w:rPr>
            </w:pPr>
            <w:r w:rsidRPr="003422B4">
              <w:t xml:space="preserve">1. </w:t>
            </w:r>
            <w:r w:rsidR="0037394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0FEB5E" w14:textId="1E70A5BC" w:rsidR="00002BCC" w:rsidRPr="0037394F" w:rsidRDefault="00411C5F" w:rsidP="00A02135">
            <w:pPr>
              <w:pStyle w:val="Tabletext"/>
              <w:rPr>
                <w:iCs/>
              </w:rPr>
            </w:pPr>
            <w:r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C558CE" w14:textId="7039BCA9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73DB8A31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851791B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89FCBA9" w14:textId="2D04E97D" w:rsidR="005E317F" w:rsidRPr="009C2562" w:rsidRDefault="005E317F" w:rsidP="005E317F">
      <w:pPr>
        <w:pStyle w:val="ActHead5"/>
      </w:pPr>
      <w:bookmarkStart w:id="14" w:name="_Toc122422255"/>
      <w:bookmarkStart w:id="15" w:name="_Toc122423102"/>
      <w:bookmarkStart w:id="16" w:name="_Toc122423249"/>
      <w:bookmarkStart w:id="17" w:name="_Toc122423296"/>
      <w:bookmarkStart w:id="18" w:name="_Toc122423425"/>
      <w:bookmarkStart w:id="19" w:name="_Toc12493185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14"/>
      <w:bookmarkEnd w:id="15"/>
      <w:bookmarkEnd w:id="16"/>
      <w:bookmarkEnd w:id="17"/>
      <w:bookmarkEnd w:id="18"/>
      <w:bookmarkEnd w:id="19"/>
      <w:proofErr w:type="gramEnd"/>
    </w:p>
    <w:p w14:paraId="2554FDD8" w14:textId="66BFE37B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D526B6">
        <w:t xml:space="preserve">section 238-10 of the </w:t>
      </w:r>
      <w:r w:rsidR="004C1DF0" w:rsidRPr="004C1DF0">
        <w:rPr>
          <w:i/>
          <w:iCs/>
        </w:rPr>
        <w:t xml:space="preserve">Higher Education Support </w:t>
      </w:r>
      <w:r w:rsidR="00D526B6" w:rsidRPr="004C1DF0">
        <w:rPr>
          <w:i/>
          <w:iCs/>
        </w:rPr>
        <w:t>Act</w:t>
      </w:r>
      <w:r w:rsidR="004C1DF0" w:rsidRPr="004C1DF0">
        <w:rPr>
          <w:i/>
          <w:iCs/>
        </w:rPr>
        <w:t xml:space="preserve"> 2003</w:t>
      </w:r>
      <w:r w:rsidRPr="009C2562">
        <w:t>.</w:t>
      </w:r>
    </w:p>
    <w:p w14:paraId="489B0D3A" w14:textId="75026895" w:rsidR="005E317F" w:rsidRPr="006065DA" w:rsidRDefault="005E317F" w:rsidP="005E317F">
      <w:pPr>
        <w:pStyle w:val="ActHead5"/>
      </w:pPr>
      <w:bookmarkStart w:id="20" w:name="_Toc122422256"/>
      <w:bookmarkStart w:id="21" w:name="_Toc122423103"/>
      <w:bookmarkStart w:id="22" w:name="_Toc122423250"/>
      <w:bookmarkStart w:id="23" w:name="_Toc122423297"/>
      <w:bookmarkStart w:id="24" w:name="_Toc122423426"/>
      <w:bookmarkStart w:id="25" w:name="_Toc124931855"/>
      <w:proofErr w:type="gramStart"/>
      <w:r w:rsidRPr="006065DA">
        <w:t>4  Schedules</w:t>
      </w:r>
      <w:bookmarkEnd w:id="20"/>
      <w:bookmarkEnd w:id="21"/>
      <w:bookmarkEnd w:id="22"/>
      <w:bookmarkEnd w:id="23"/>
      <w:bookmarkEnd w:id="24"/>
      <w:bookmarkEnd w:id="25"/>
      <w:proofErr w:type="gramEnd"/>
    </w:p>
    <w:p w14:paraId="7F574807" w14:textId="4F4BEF21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D5B4CBC" w14:textId="77777777" w:rsidR="00B60A93" w:rsidRPr="00B60A93" w:rsidRDefault="00B60A93" w:rsidP="00B60A93">
      <w:pPr>
        <w:pStyle w:val="subsection"/>
      </w:pPr>
    </w:p>
    <w:p w14:paraId="52732C34" w14:textId="1A7F6495" w:rsidR="005E317F" w:rsidRPr="00D526B6" w:rsidRDefault="005E317F" w:rsidP="005E317F">
      <w:pPr>
        <w:pStyle w:val="ActHead6"/>
        <w:pageBreakBefore/>
      </w:pPr>
      <w:bookmarkStart w:id="26" w:name="_Toc122422257"/>
      <w:bookmarkStart w:id="27" w:name="_Toc122423104"/>
      <w:bookmarkStart w:id="28" w:name="_Toc122423251"/>
      <w:bookmarkStart w:id="29" w:name="_Toc122423298"/>
      <w:bookmarkStart w:id="30" w:name="_Toc122423427"/>
      <w:bookmarkStart w:id="31" w:name="_Toc12493185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r w:rsidR="00D526B6">
        <w:rPr>
          <w:rStyle w:val="CharAmSchText"/>
        </w:rPr>
        <w:t xml:space="preserve"> to the </w:t>
      </w:r>
      <w:r w:rsidR="00D526B6">
        <w:rPr>
          <w:rStyle w:val="CharAmSchText"/>
          <w:i/>
          <w:iCs/>
        </w:rPr>
        <w:t>FEE-HELP Guidelines 2017</w:t>
      </w:r>
      <w:bookmarkEnd w:id="26"/>
      <w:bookmarkEnd w:id="27"/>
      <w:bookmarkEnd w:id="28"/>
      <w:bookmarkEnd w:id="29"/>
      <w:bookmarkEnd w:id="30"/>
      <w:bookmarkEnd w:id="31"/>
    </w:p>
    <w:p w14:paraId="2773A3E1" w14:textId="41DEEB64" w:rsidR="005E317F" w:rsidRDefault="00D526B6" w:rsidP="005E317F">
      <w:pPr>
        <w:pStyle w:val="ActHead9"/>
      </w:pPr>
      <w:bookmarkStart w:id="32" w:name="_Toc122422258"/>
      <w:bookmarkStart w:id="33" w:name="_Toc122423105"/>
      <w:bookmarkStart w:id="34" w:name="_Toc122423252"/>
      <w:bookmarkStart w:id="35" w:name="_Toc122423299"/>
      <w:bookmarkStart w:id="36" w:name="_Toc122423428"/>
      <w:bookmarkStart w:id="37" w:name="_Toc124931857"/>
      <w:r>
        <w:t>FEE-HELP Guidelines 2017</w:t>
      </w:r>
      <w:bookmarkEnd w:id="32"/>
      <w:bookmarkEnd w:id="33"/>
      <w:bookmarkEnd w:id="34"/>
      <w:bookmarkEnd w:id="35"/>
      <w:bookmarkEnd w:id="36"/>
      <w:bookmarkEnd w:id="37"/>
    </w:p>
    <w:p w14:paraId="571652CB" w14:textId="6C082917" w:rsidR="005E317F" w:rsidRDefault="00F46B17" w:rsidP="005E317F">
      <w:pPr>
        <w:pStyle w:val="ItemHead"/>
      </w:pPr>
      <w:proofErr w:type="gramStart"/>
      <w:r>
        <w:t>1</w:t>
      </w:r>
      <w:r w:rsidR="005E317F">
        <w:t xml:space="preserve">  </w:t>
      </w:r>
      <w:r w:rsidR="005831F8">
        <w:t>In</w:t>
      </w:r>
      <w:proofErr w:type="gramEnd"/>
      <w:r w:rsidR="005831F8">
        <w:t xml:space="preserve"> paragraph 1.1.5</w:t>
      </w:r>
    </w:p>
    <w:p w14:paraId="0E7316B5" w14:textId="2B8AFA1A" w:rsidR="005E317F" w:rsidRDefault="005831F8" w:rsidP="005E317F">
      <w:pPr>
        <w:pStyle w:val="Item"/>
      </w:pPr>
      <w:r>
        <w:t>I</w:t>
      </w:r>
      <w:r w:rsidR="005E317F">
        <w:t>nsert</w:t>
      </w:r>
      <w:r>
        <w:t>:</w:t>
      </w:r>
    </w:p>
    <w:p w14:paraId="0DA98FB7" w14:textId="1167D982" w:rsidR="005831F8" w:rsidRPr="005831F8" w:rsidRDefault="005831F8" w:rsidP="005831F8">
      <w:pPr>
        <w:keepLines/>
        <w:spacing w:before="120" w:after="120" w:line="240" w:lineRule="auto"/>
        <w:ind w:left="900"/>
        <w:rPr>
          <w:rFonts w:ascii="Arial" w:eastAsia="Times New Roman" w:hAnsi="Arial" w:cs="Arial"/>
          <w:bCs/>
          <w:szCs w:val="22"/>
          <w:lang w:eastAsia="en-AU"/>
        </w:rPr>
      </w:pPr>
      <w:r>
        <w:rPr>
          <w:rFonts w:ascii="Arial" w:eastAsia="Times New Roman" w:hAnsi="Arial" w:cs="Arial"/>
          <w:b/>
          <w:bCs/>
          <w:szCs w:val="22"/>
          <w:lang w:eastAsia="en-AU"/>
        </w:rPr>
        <w:t>Digital badge</w:t>
      </w:r>
      <w:r w:rsidRPr="005831F8">
        <w:rPr>
          <w:rFonts w:ascii="Arial" w:eastAsia="Times New Roman" w:hAnsi="Arial" w:cs="Arial"/>
          <w:bCs/>
          <w:szCs w:val="22"/>
          <w:lang w:eastAsia="en-AU"/>
        </w:rPr>
        <w:t xml:space="preserve"> </w:t>
      </w:r>
      <w:r>
        <w:rPr>
          <w:rFonts w:ascii="Arial" w:eastAsia="Times New Roman" w:hAnsi="Arial" w:cs="Arial"/>
          <w:bCs/>
          <w:szCs w:val="22"/>
          <w:lang w:eastAsia="en-AU"/>
        </w:rPr>
        <w:t xml:space="preserve">means an icon that is linked to an individual and recognises their completion of a </w:t>
      </w:r>
      <w:proofErr w:type="spellStart"/>
      <w:r>
        <w:rPr>
          <w:rFonts w:ascii="Arial" w:eastAsia="Times New Roman" w:hAnsi="Arial" w:cs="Arial"/>
          <w:bCs/>
          <w:szCs w:val="22"/>
          <w:lang w:eastAsia="en-AU"/>
        </w:rPr>
        <w:t>microcredential</w:t>
      </w:r>
      <w:proofErr w:type="spellEnd"/>
      <w:r>
        <w:rPr>
          <w:rFonts w:ascii="Arial" w:eastAsia="Times New Roman" w:hAnsi="Arial" w:cs="Arial"/>
          <w:bCs/>
          <w:szCs w:val="22"/>
          <w:lang w:eastAsia="en-AU"/>
        </w:rPr>
        <w:t xml:space="preserve"> course.</w:t>
      </w:r>
    </w:p>
    <w:p w14:paraId="703AD2E0" w14:textId="06C88115" w:rsidR="005E317F" w:rsidRDefault="00F46B17" w:rsidP="005E317F">
      <w:pPr>
        <w:pStyle w:val="ItemHead"/>
      </w:pPr>
      <w:proofErr w:type="gramStart"/>
      <w:r>
        <w:t>2</w:t>
      </w:r>
      <w:r w:rsidR="005E317F">
        <w:t xml:space="preserve">  After</w:t>
      </w:r>
      <w:proofErr w:type="gramEnd"/>
      <w:r w:rsidR="005E317F">
        <w:t xml:space="preserve"> </w:t>
      </w:r>
      <w:r w:rsidR="00D051C8">
        <w:t>section 3.30</w:t>
      </w:r>
    </w:p>
    <w:p w14:paraId="4EA1406D" w14:textId="49EBED9A" w:rsidR="00FB4182" w:rsidRPr="00FB4182" w:rsidRDefault="005E317F" w:rsidP="00FB4182">
      <w:pPr>
        <w:pStyle w:val="Item"/>
      </w:pPr>
      <w:r>
        <w:t>Insert:</w:t>
      </w:r>
      <w:r w:rsidR="00FB4182">
        <w:br/>
      </w:r>
    </w:p>
    <w:p w14:paraId="096CF9FD" w14:textId="78F63575" w:rsidR="000A7B5C" w:rsidRPr="000A7B5C" w:rsidRDefault="000A7B5C" w:rsidP="00FB4182">
      <w:pPr>
        <w:keepLines/>
        <w:tabs>
          <w:tab w:val="left" w:pos="900"/>
          <w:tab w:val="left" w:pos="1200"/>
        </w:tabs>
        <w:spacing w:line="240" w:lineRule="auto"/>
        <w:ind w:left="1701" w:hanging="1701"/>
        <w:rPr>
          <w:rFonts w:ascii="Arial" w:eastAsia="Times New Roman" w:hAnsi="Arial" w:cs="Arial"/>
          <w:b/>
          <w:bCs/>
          <w:szCs w:val="22"/>
        </w:rPr>
      </w:pPr>
      <w:r w:rsidRPr="000A7B5C">
        <w:rPr>
          <w:rFonts w:ascii="Arial" w:eastAsia="Times New Roman" w:hAnsi="Arial" w:cs="Arial"/>
          <w:b/>
          <w:bCs/>
          <w:szCs w:val="22"/>
        </w:rPr>
        <w:t xml:space="preserve">CHAPTER </w:t>
      </w:r>
      <w:r w:rsidRPr="00FB4182">
        <w:rPr>
          <w:rFonts w:ascii="Arial" w:eastAsia="Times New Roman" w:hAnsi="Arial" w:cs="Arial"/>
          <w:b/>
          <w:bCs/>
          <w:szCs w:val="22"/>
        </w:rPr>
        <w:t>4</w:t>
      </w:r>
      <w:r w:rsidRPr="000A7B5C">
        <w:rPr>
          <w:rFonts w:ascii="Arial" w:eastAsia="Times New Roman" w:hAnsi="Arial" w:cs="Arial"/>
          <w:b/>
          <w:bCs/>
          <w:szCs w:val="22"/>
        </w:rPr>
        <w:tab/>
        <w:t xml:space="preserve">REQUIREMENTS FOR </w:t>
      </w:r>
      <w:r w:rsidR="00FB4182" w:rsidRPr="00FB4182">
        <w:rPr>
          <w:rFonts w:ascii="Arial" w:eastAsia="Times New Roman" w:hAnsi="Arial" w:cs="Arial"/>
          <w:b/>
          <w:bCs/>
          <w:szCs w:val="22"/>
        </w:rPr>
        <w:t>MICROCREDENTIAL COURSES</w:t>
      </w:r>
    </w:p>
    <w:p w14:paraId="39083295" w14:textId="2402C038" w:rsidR="00FB4182" w:rsidRPr="00FB4182" w:rsidRDefault="00FB4182" w:rsidP="00FB4182">
      <w:pPr>
        <w:keepLines/>
        <w:tabs>
          <w:tab w:val="left" w:pos="900"/>
        </w:tabs>
        <w:spacing w:before="240" w:after="120" w:line="240" w:lineRule="auto"/>
        <w:ind w:left="900" w:hanging="900"/>
        <w:rPr>
          <w:rFonts w:ascii="Arial" w:eastAsia="Times New Roman" w:hAnsi="Arial" w:cs="Arial"/>
          <w:b/>
          <w:bCs/>
          <w:szCs w:val="22"/>
        </w:rPr>
      </w:pPr>
      <w:r>
        <w:rPr>
          <w:rFonts w:ascii="Arial" w:eastAsia="Times New Roman" w:hAnsi="Arial" w:cs="Arial"/>
          <w:b/>
          <w:bCs/>
          <w:szCs w:val="22"/>
        </w:rPr>
        <w:t>4</w:t>
      </w:r>
      <w:r w:rsidRPr="00FB4182">
        <w:rPr>
          <w:rFonts w:ascii="Arial" w:eastAsia="Times New Roman" w:hAnsi="Arial" w:cs="Arial"/>
          <w:b/>
          <w:bCs/>
          <w:szCs w:val="22"/>
        </w:rPr>
        <w:t>.1</w:t>
      </w:r>
      <w:r w:rsidRPr="00FB4182">
        <w:rPr>
          <w:rFonts w:ascii="Arial" w:eastAsia="Times New Roman" w:hAnsi="Arial" w:cs="Arial"/>
          <w:b/>
          <w:bCs/>
          <w:szCs w:val="22"/>
        </w:rPr>
        <w:tab/>
        <w:t>PURPOSE</w:t>
      </w:r>
    </w:p>
    <w:p w14:paraId="0A89416B" w14:textId="3E689BD1" w:rsidR="00FB4182" w:rsidRDefault="00FB4182" w:rsidP="00FB4182">
      <w:pPr>
        <w:keepLines/>
        <w:tabs>
          <w:tab w:val="left" w:pos="900"/>
        </w:tabs>
        <w:spacing w:before="120" w:after="120" w:line="240" w:lineRule="auto"/>
        <w:ind w:left="900" w:hanging="90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4</w:t>
      </w:r>
      <w:r w:rsidRPr="00FB4182">
        <w:rPr>
          <w:rFonts w:ascii="Arial" w:eastAsia="Times New Roman" w:hAnsi="Arial" w:cs="Arial"/>
          <w:szCs w:val="22"/>
        </w:rPr>
        <w:t>.1.1</w:t>
      </w:r>
      <w:r w:rsidRPr="00FB4182">
        <w:rPr>
          <w:rFonts w:ascii="Arial" w:eastAsia="Times New Roman" w:hAnsi="Arial" w:cs="Arial"/>
          <w:szCs w:val="22"/>
        </w:rPr>
        <w:tab/>
        <w:t xml:space="preserve">The purpose of this chapter is to set out requirements </w:t>
      </w:r>
      <w:r>
        <w:rPr>
          <w:rFonts w:ascii="Arial" w:eastAsia="Times New Roman" w:hAnsi="Arial" w:cs="Arial"/>
          <w:szCs w:val="22"/>
        </w:rPr>
        <w:t xml:space="preserve">that a course of instruction must meet to be a </w:t>
      </w:r>
      <w:proofErr w:type="spellStart"/>
      <w:r>
        <w:rPr>
          <w:rFonts w:ascii="Arial" w:eastAsia="Times New Roman" w:hAnsi="Arial" w:cs="Arial"/>
          <w:szCs w:val="22"/>
        </w:rPr>
        <w:t>microcredential</w:t>
      </w:r>
      <w:proofErr w:type="spellEnd"/>
      <w:r>
        <w:rPr>
          <w:rFonts w:ascii="Arial" w:eastAsia="Times New Roman" w:hAnsi="Arial" w:cs="Arial"/>
          <w:szCs w:val="22"/>
        </w:rPr>
        <w:t xml:space="preserve"> course for the purpose</w:t>
      </w:r>
      <w:r w:rsidR="00BE1477">
        <w:rPr>
          <w:rFonts w:ascii="Arial" w:eastAsia="Times New Roman" w:hAnsi="Arial" w:cs="Arial"/>
          <w:szCs w:val="22"/>
        </w:rPr>
        <w:t>s</w:t>
      </w:r>
      <w:r>
        <w:rPr>
          <w:rFonts w:ascii="Arial" w:eastAsia="Times New Roman" w:hAnsi="Arial" w:cs="Arial"/>
          <w:szCs w:val="22"/>
        </w:rPr>
        <w:t xml:space="preserve"> of subclause 1(1) of Schedule 1 </w:t>
      </w:r>
      <w:r w:rsidR="00141588">
        <w:rPr>
          <w:rFonts w:ascii="Arial" w:eastAsia="Times New Roman" w:hAnsi="Arial" w:cs="Arial"/>
          <w:szCs w:val="22"/>
        </w:rPr>
        <w:t xml:space="preserve">to </w:t>
      </w:r>
      <w:r>
        <w:rPr>
          <w:rFonts w:ascii="Arial" w:eastAsia="Times New Roman" w:hAnsi="Arial" w:cs="Arial"/>
          <w:szCs w:val="22"/>
        </w:rPr>
        <w:t xml:space="preserve">the Act. </w:t>
      </w:r>
    </w:p>
    <w:p w14:paraId="047E54F4" w14:textId="150879E1" w:rsidR="00FB4182" w:rsidRPr="00FB4182" w:rsidRDefault="00FB4182" w:rsidP="00FB4182">
      <w:pPr>
        <w:keepLines/>
        <w:tabs>
          <w:tab w:val="left" w:pos="900"/>
        </w:tabs>
        <w:spacing w:before="240" w:after="120" w:line="240" w:lineRule="auto"/>
        <w:ind w:left="900" w:hanging="900"/>
        <w:rPr>
          <w:rFonts w:ascii="Arial" w:eastAsia="Times New Roman" w:hAnsi="Arial" w:cs="Arial"/>
          <w:b/>
          <w:bCs/>
          <w:szCs w:val="22"/>
        </w:rPr>
      </w:pPr>
      <w:r>
        <w:rPr>
          <w:rFonts w:ascii="Arial" w:eastAsia="Times New Roman" w:hAnsi="Arial" w:cs="Arial"/>
          <w:b/>
          <w:bCs/>
          <w:szCs w:val="22"/>
        </w:rPr>
        <w:t>4</w:t>
      </w:r>
      <w:r w:rsidRPr="00FB4182">
        <w:rPr>
          <w:rFonts w:ascii="Arial" w:eastAsia="Times New Roman" w:hAnsi="Arial" w:cs="Arial"/>
          <w:b/>
          <w:bCs/>
          <w:szCs w:val="22"/>
        </w:rPr>
        <w:t>.</w:t>
      </w:r>
      <w:r>
        <w:rPr>
          <w:rFonts w:ascii="Arial" w:eastAsia="Times New Roman" w:hAnsi="Arial" w:cs="Arial"/>
          <w:b/>
          <w:bCs/>
          <w:szCs w:val="22"/>
        </w:rPr>
        <w:t>2</w:t>
      </w:r>
      <w:r w:rsidRPr="00FB4182">
        <w:rPr>
          <w:rFonts w:ascii="Arial" w:eastAsia="Times New Roman" w:hAnsi="Arial" w:cs="Arial"/>
          <w:b/>
          <w:bCs/>
          <w:szCs w:val="22"/>
        </w:rPr>
        <w:tab/>
      </w:r>
      <w:r>
        <w:rPr>
          <w:rFonts w:ascii="Arial" w:eastAsia="Times New Roman" w:hAnsi="Arial" w:cs="Arial"/>
          <w:b/>
          <w:bCs/>
          <w:szCs w:val="22"/>
        </w:rPr>
        <w:t>REQUIREMENTS FOR A MICROCREDENTIAL COURSE</w:t>
      </w:r>
    </w:p>
    <w:p w14:paraId="6FB44470" w14:textId="5A64E718" w:rsidR="00FB4182" w:rsidRDefault="00FB4182" w:rsidP="00FB4182">
      <w:pPr>
        <w:keepLines/>
        <w:tabs>
          <w:tab w:val="left" w:pos="900"/>
        </w:tabs>
        <w:spacing w:before="120" w:after="120" w:line="240" w:lineRule="auto"/>
        <w:ind w:left="900" w:hanging="90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4</w:t>
      </w:r>
      <w:r w:rsidRPr="00FB4182">
        <w:rPr>
          <w:rFonts w:ascii="Arial" w:eastAsia="Times New Roman" w:hAnsi="Arial" w:cs="Arial"/>
          <w:szCs w:val="22"/>
        </w:rPr>
        <w:t>.</w:t>
      </w:r>
      <w:r w:rsidR="00BE1477">
        <w:rPr>
          <w:rFonts w:ascii="Arial" w:eastAsia="Times New Roman" w:hAnsi="Arial" w:cs="Arial"/>
          <w:szCs w:val="22"/>
        </w:rPr>
        <w:t>2</w:t>
      </w:r>
      <w:r w:rsidRPr="00FB4182">
        <w:rPr>
          <w:rFonts w:ascii="Arial" w:eastAsia="Times New Roman" w:hAnsi="Arial" w:cs="Arial"/>
          <w:szCs w:val="22"/>
        </w:rPr>
        <w:t>.1</w:t>
      </w:r>
      <w:r w:rsidRPr="00FB4182"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 xml:space="preserve">For the purposes of subclause 1(1) of Schedule 1 </w:t>
      </w:r>
      <w:r w:rsidR="00141588">
        <w:rPr>
          <w:rFonts w:ascii="Arial" w:eastAsia="Times New Roman" w:hAnsi="Arial" w:cs="Arial"/>
          <w:szCs w:val="22"/>
        </w:rPr>
        <w:t xml:space="preserve">to </w:t>
      </w:r>
      <w:r>
        <w:rPr>
          <w:rFonts w:ascii="Arial" w:eastAsia="Times New Roman" w:hAnsi="Arial" w:cs="Arial"/>
          <w:szCs w:val="22"/>
        </w:rPr>
        <w:t>the Act</w:t>
      </w:r>
      <w:r w:rsidR="00BE1477">
        <w:rPr>
          <w:rFonts w:ascii="Arial" w:eastAsia="Times New Roman" w:hAnsi="Arial" w:cs="Arial"/>
          <w:szCs w:val="22"/>
        </w:rPr>
        <w:t xml:space="preserve">, a course of instruction is a </w:t>
      </w:r>
      <w:proofErr w:type="spellStart"/>
      <w:r w:rsidR="00BE1477" w:rsidRPr="00510827">
        <w:rPr>
          <w:rFonts w:ascii="Arial" w:eastAsia="Times New Roman" w:hAnsi="Arial" w:cs="Arial"/>
          <w:b/>
          <w:bCs/>
          <w:szCs w:val="22"/>
        </w:rPr>
        <w:t>microcredential</w:t>
      </w:r>
      <w:proofErr w:type="spellEnd"/>
      <w:r w:rsidR="00BE1477" w:rsidRPr="00510827">
        <w:rPr>
          <w:rFonts w:ascii="Arial" w:eastAsia="Times New Roman" w:hAnsi="Arial" w:cs="Arial"/>
          <w:b/>
          <w:bCs/>
          <w:szCs w:val="22"/>
        </w:rPr>
        <w:t xml:space="preserve"> course</w:t>
      </w:r>
      <w:r w:rsidR="00BE1477">
        <w:rPr>
          <w:rFonts w:ascii="Arial" w:eastAsia="Times New Roman" w:hAnsi="Arial" w:cs="Arial"/>
          <w:szCs w:val="22"/>
        </w:rPr>
        <w:t xml:space="preserve"> where the course of instruction: </w:t>
      </w:r>
    </w:p>
    <w:p w14:paraId="7739EBCD" w14:textId="34E67E26" w:rsidR="00BE1477" w:rsidRDefault="00BE1477" w:rsidP="00BE1477">
      <w:pPr>
        <w:keepLines/>
        <w:tabs>
          <w:tab w:val="left" w:pos="1300"/>
          <w:tab w:val="left" w:pos="1400"/>
        </w:tabs>
        <w:spacing w:after="120" w:line="240" w:lineRule="auto"/>
        <w:ind w:left="1305" w:hanging="403"/>
        <w:rPr>
          <w:rFonts w:ascii="Arial" w:eastAsia="Times New Roman" w:hAnsi="Arial" w:cs="Arial"/>
          <w:szCs w:val="22"/>
        </w:rPr>
      </w:pPr>
      <w:r w:rsidRPr="00BE1477">
        <w:rPr>
          <w:rFonts w:ascii="Arial" w:eastAsia="Times New Roman" w:hAnsi="Arial" w:cs="Arial"/>
          <w:szCs w:val="22"/>
        </w:rPr>
        <w:t>a)</w:t>
      </w:r>
      <w:r w:rsidRPr="00BE1477"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 xml:space="preserve">has the value of 0.25 to 0.49 EFTSL; and </w:t>
      </w:r>
    </w:p>
    <w:p w14:paraId="098245F5" w14:textId="5E584680" w:rsidR="00BE1477" w:rsidRDefault="00BE1477" w:rsidP="00BE1477">
      <w:pPr>
        <w:keepLines/>
        <w:tabs>
          <w:tab w:val="left" w:pos="1300"/>
          <w:tab w:val="left" w:pos="1400"/>
        </w:tabs>
        <w:spacing w:after="120" w:line="240" w:lineRule="auto"/>
        <w:ind w:left="1305" w:hanging="403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b)</w:t>
      </w:r>
      <w:r>
        <w:rPr>
          <w:rFonts w:ascii="Arial" w:eastAsia="Times New Roman" w:hAnsi="Arial" w:cs="Arial"/>
          <w:szCs w:val="22"/>
        </w:rPr>
        <w:tab/>
        <w:t>is assessable for credit towards an Australian Qualifications Framework qualification; and</w:t>
      </w:r>
    </w:p>
    <w:p w14:paraId="7B95743D" w14:textId="3AB1E00A" w:rsidR="00BE1477" w:rsidRDefault="00BE1477" w:rsidP="00BE1477">
      <w:pPr>
        <w:keepLines/>
        <w:tabs>
          <w:tab w:val="left" w:pos="1300"/>
          <w:tab w:val="left" w:pos="1400"/>
        </w:tabs>
        <w:spacing w:after="120" w:line="240" w:lineRule="auto"/>
        <w:ind w:left="1305" w:hanging="403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c)</w:t>
      </w:r>
      <w:r>
        <w:rPr>
          <w:rFonts w:ascii="Arial" w:eastAsia="Times New Roman" w:hAnsi="Arial" w:cs="Arial"/>
          <w:szCs w:val="22"/>
        </w:rPr>
        <w:tab/>
        <w:t xml:space="preserve">will lead to the award of a digital badge upon successful completion; and </w:t>
      </w:r>
    </w:p>
    <w:p w14:paraId="54ECBF3E" w14:textId="5BE5A7D6" w:rsidR="00BE1477" w:rsidRDefault="00BE1477" w:rsidP="00BE1477">
      <w:pPr>
        <w:keepLines/>
        <w:tabs>
          <w:tab w:val="left" w:pos="1300"/>
          <w:tab w:val="left" w:pos="1400"/>
        </w:tabs>
        <w:spacing w:after="120" w:line="240" w:lineRule="auto"/>
        <w:ind w:left="1305" w:hanging="403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d)</w:t>
      </w:r>
      <w:r>
        <w:rPr>
          <w:rFonts w:ascii="Arial" w:eastAsia="Times New Roman" w:hAnsi="Arial" w:cs="Arial"/>
          <w:szCs w:val="22"/>
        </w:rPr>
        <w:tab/>
        <w:t>ha</w:t>
      </w:r>
      <w:r w:rsidR="000E101D">
        <w:rPr>
          <w:rFonts w:ascii="Arial" w:eastAsia="Times New Roman" w:hAnsi="Arial" w:cs="Arial"/>
          <w:szCs w:val="22"/>
        </w:rPr>
        <w:t>s</w:t>
      </w:r>
      <w:r>
        <w:rPr>
          <w:rFonts w:ascii="Arial" w:eastAsia="Times New Roman" w:hAnsi="Arial" w:cs="Arial"/>
          <w:szCs w:val="22"/>
        </w:rPr>
        <w:t xml:space="preserve"> a census date; and </w:t>
      </w:r>
    </w:p>
    <w:p w14:paraId="2FFFAF43" w14:textId="77B54837" w:rsidR="00BE1477" w:rsidRPr="00BE1477" w:rsidRDefault="00BE1477" w:rsidP="00BE1477">
      <w:pPr>
        <w:keepLines/>
        <w:tabs>
          <w:tab w:val="left" w:pos="1300"/>
          <w:tab w:val="left" w:pos="1400"/>
        </w:tabs>
        <w:spacing w:after="120" w:line="240" w:lineRule="auto"/>
        <w:ind w:left="1305" w:hanging="403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e)</w:t>
      </w:r>
      <w:r>
        <w:rPr>
          <w:rFonts w:ascii="Arial" w:eastAsia="Times New Roman" w:hAnsi="Arial" w:cs="Arial"/>
          <w:szCs w:val="22"/>
        </w:rPr>
        <w:tab/>
      </w:r>
      <w:r w:rsidR="005831F8" w:rsidRPr="00510827">
        <w:rPr>
          <w:rFonts w:ascii="Arial" w:eastAsia="Times New Roman" w:hAnsi="Arial" w:cs="Arial"/>
          <w:szCs w:val="22"/>
        </w:rPr>
        <w:t xml:space="preserve">is delivered </w:t>
      </w:r>
      <w:r w:rsidR="00A504E0" w:rsidRPr="00510827">
        <w:rPr>
          <w:rFonts w:ascii="Arial" w:eastAsia="Times New Roman" w:hAnsi="Arial" w:cs="Arial"/>
          <w:szCs w:val="22"/>
        </w:rPr>
        <w:t xml:space="preserve">to </w:t>
      </w:r>
      <w:r w:rsidR="00E95205" w:rsidRPr="00510827">
        <w:rPr>
          <w:rFonts w:ascii="Arial" w:eastAsia="Times New Roman" w:hAnsi="Arial" w:cs="Arial"/>
          <w:szCs w:val="22"/>
        </w:rPr>
        <w:t>a</w:t>
      </w:r>
      <w:r w:rsidR="00A504E0" w:rsidRPr="00510827">
        <w:rPr>
          <w:rFonts w:ascii="Arial" w:eastAsia="Times New Roman" w:hAnsi="Arial" w:cs="Arial"/>
          <w:szCs w:val="22"/>
        </w:rPr>
        <w:t xml:space="preserve"> student </w:t>
      </w:r>
      <w:r w:rsidR="005831F8" w:rsidRPr="00510827">
        <w:rPr>
          <w:rFonts w:ascii="Arial" w:eastAsia="Times New Roman" w:hAnsi="Arial" w:cs="Arial"/>
          <w:szCs w:val="22"/>
        </w:rPr>
        <w:t xml:space="preserve">using funding </w:t>
      </w:r>
      <w:r w:rsidR="00A504E0" w:rsidRPr="00510827">
        <w:rPr>
          <w:rFonts w:ascii="Arial" w:eastAsia="Times New Roman" w:hAnsi="Arial" w:cs="Arial"/>
          <w:szCs w:val="22"/>
        </w:rPr>
        <w:t>the provider receive</w:t>
      </w:r>
      <w:r w:rsidR="009B48B9" w:rsidRPr="00510827">
        <w:rPr>
          <w:rFonts w:ascii="Arial" w:eastAsia="Times New Roman" w:hAnsi="Arial" w:cs="Arial"/>
          <w:szCs w:val="22"/>
        </w:rPr>
        <w:t>d</w:t>
      </w:r>
      <w:r w:rsidR="00A504E0" w:rsidRPr="00510827">
        <w:rPr>
          <w:rFonts w:ascii="Arial" w:eastAsia="Times New Roman" w:hAnsi="Arial" w:cs="Arial"/>
          <w:szCs w:val="22"/>
        </w:rPr>
        <w:t xml:space="preserve"> for the delivery of the </w:t>
      </w:r>
      <w:proofErr w:type="spellStart"/>
      <w:r w:rsidR="00A504E0" w:rsidRPr="00510827">
        <w:rPr>
          <w:rFonts w:ascii="Arial" w:eastAsia="Times New Roman" w:hAnsi="Arial" w:cs="Arial"/>
          <w:szCs w:val="22"/>
        </w:rPr>
        <w:t>microcredential</w:t>
      </w:r>
      <w:proofErr w:type="spellEnd"/>
      <w:r w:rsidR="00A504E0" w:rsidRPr="00510827">
        <w:rPr>
          <w:rFonts w:ascii="Arial" w:eastAsia="Times New Roman" w:hAnsi="Arial" w:cs="Arial"/>
          <w:szCs w:val="22"/>
        </w:rPr>
        <w:t xml:space="preserve"> course</w:t>
      </w:r>
      <w:r w:rsidR="001E5DF3" w:rsidRPr="00510827">
        <w:rPr>
          <w:rFonts w:ascii="Arial" w:eastAsia="Times New Roman" w:hAnsi="Arial" w:cs="Arial"/>
          <w:szCs w:val="22"/>
        </w:rPr>
        <w:t xml:space="preserve"> to the student</w:t>
      </w:r>
      <w:r w:rsidR="00A504E0" w:rsidRPr="00510827">
        <w:rPr>
          <w:rFonts w:ascii="Arial" w:eastAsia="Times New Roman" w:hAnsi="Arial" w:cs="Arial"/>
          <w:szCs w:val="22"/>
        </w:rPr>
        <w:t xml:space="preserve"> </w:t>
      </w:r>
      <w:r w:rsidR="004C1DF0" w:rsidRPr="00510827">
        <w:rPr>
          <w:rFonts w:ascii="Arial" w:eastAsia="Times New Roman" w:hAnsi="Arial" w:cs="Arial"/>
          <w:szCs w:val="22"/>
        </w:rPr>
        <w:t>under</w:t>
      </w:r>
      <w:r w:rsidR="005831F8" w:rsidRPr="00510827">
        <w:rPr>
          <w:rFonts w:ascii="Arial" w:eastAsia="Times New Roman" w:hAnsi="Arial" w:cs="Arial"/>
          <w:szCs w:val="22"/>
        </w:rPr>
        <w:t xml:space="preserve"> </w:t>
      </w:r>
      <w:r w:rsidR="00A504E0" w:rsidRPr="00510827">
        <w:rPr>
          <w:rFonts w:ascii="Arial" w:eastAsia="Times New Roman" w:hAnsi="Arial" w:cs="Arial"/>
          <w:szCs w:val="22"/>
        </w:rPr>
        <w:t xml:space="preserve">subsection 77(2) in </w:t>
      </w:r>
      <w:r w:rsidR="005831F8" w:rsidRPr="00510827">
        <w:rPr>
          <w:rFonts w:ascii="Arial" w:eastAsia="Times New Roman" w:hAnsi="Arial" w:cs="Arial"/>
          <w:szCs w:val="22"/>
        </w:rPr>
        <w:t xml:space="preserve">Part 12 of the </w:t>
      </w:r>
      <w:r w:rsidR="005831F8" w:rsidRPr="00510827">
        <w:rPr>
          <w:rFonts w:ascii="Arial" w:eastAsia="Times New Roman" w:hAnsi="Arial" w:cs="Arial"/>
          <w:i/>
          <w:iCs/>
          <w:szCs w:val="22"/>
        </w:rPr>
        <w:t>Higher Education Support (Other Grants Guidelines) 2022</w:t>
      </w:r>
      <w:r w:rsidRPr="00510827">
        <w:rPr>
          <w:rFonts w:ascii="Arial" w:eastAsia="Times New Roman" w:hAnsi="Arial" w:cs="Arial"/>
          <w:szCs w:val="22"/>
        </w:rPr>
        <w:t>.</w:t>
      </w:r>
      <w:r>
        <w:rPr>
          <w:rFonts w:ascii="Arial" w:eastAsia="Times New Roman" w:hAnsi="Arial" w:cs="Arial"/>
          <w:szCs w:val="22"/>
        </w:rPr>
        <w:t xml:space="preserve"> </w:t>
      </w:r>
    </w:p>
    <w:p w14:paraId="493A5EFC" w14:textId="00A630EC" w:rsidR="00DB64FC" w:rsidRPr="00D526B6" w:rsidRDefault="00DB64FC" w:rsidP="00AC767C">
      <w:pPr>
        <w:pStyle w:val="ActHead6"/>
        <w:pageBreakBefore/>
        <w:rPr>
          <w:i/>
          <w:iCs/>
        </w:rPr>
      </w:pPr>
      <w:bookmarkStart w:id="38" w:name="_Toc122422259"/>
      <w:bookmarkStart w:id="39" w:name="_Toc122423106"/>
      <w:bookmarkStart w:id="40" w:name="_Toc122423253"/>
      <w:bookmarkStart w:id="41" w:name="_Toc122423300"/>
      <w:bookmarkStart w:id="42" w:name="_Toc122423429"/>
      <w:bookmarkStart w:id="43" w:name="_Toc124931858"/>
      <w:r w:rsidRPr="00DB64FC">
        <w:rPr>
          <w:rStyle w:val="CharAmSchNo"/>
        </w:rPr>
        <w:lastRenderedPageBreak/>
        <w:t>Schedule 2</w:t>
      </w:r>
      <w:r w:rsidRPr="00B1728A">
        <w:t>—</w:t>
      </w:r>
      <w:r w:rsidR="00D526B6">
        <w:rPr>
          <w:rStyle w:val="CharAmSchText"/>
        </w:rPr>
        <w:t xml:space="preserve">Amendments to the </w:t>
      </w:r>
      <w:r w:rsidR="00D526B6">
        <w:rPr>
          <w:rStyle w:val="CharAmSchText"/>
          <w:i/>
          <w:iCs/>
        </w:rPr>
        <w:t>Higher Education Support (Other Grants Guidelines) 2022</w:t>
      </w:r>
      <w:bookmarkEnd w:id="38"/>
      <w:bookmarkEnd w:id="39"/>
      <w:bookmarkEnd w:id="40"/>
      <w:bookmarkEnd w:id="41"/>
      <w:bookmarkEnd w:id="42"/>
      <w:bookmarkEnd w:id="43"/>
    </w:p>
    <w:p w14:paraId="0EEFA952" w14:textId="73408305" w:rsidR="00D051C8" w:rsidRDefault="00D051C8" w:rsidP="00D051C8">
      <w:pPr>
        <w:pStyle w:val="ActHead9"/>
      </w:pPr>
      <w:bookmarkStart w:id="44" w:name="_Toc122422260"/>
      <w:bookmarkStart w:id="45" w:name="_Toc122423107"/>
      <w:bookmarkStart w:id="46" w:name="_Toc122423254"/>
      <w:bookmarkStart w:id="47" w:name="_Toc122423301"/>
      <w:bookmarkStart w:id="48" w:name="_Toc122423430"/>
      <w:bookmarkStart w:id="49" w:name="_Toc124931859"/>
      <w:r>
        <w:t>Higher Education Support (Other Grants) Guidelines 2022</w:t>
      </w:r>
      <w:bookmarkEnd w:id="44"/>
      <w:bookmarkEnd w:id="45"/>
      <w:bookmarkEnd w:id="46"/>
      <w:bookmarkEnd w:id="47"/>
      <w:bookmarkEnd w:id="48"/>
      <w:bookmarkEnd w:id="49"/>
    </w:p>
    <w:p w14:paraId="61CA852C" w14:textId="32AFA12A" w:rsidR="005831F8" w:rsidRPr="005831F8" w:rsidRDefault="005831F8" w:rsidP="005831F8">
      <w:pPr>
        <w:pStyle w:val="ItemHead"/>
      </w:pPr>
      <w:proofErr w:type="gramStart"/>
      <w:r>
        <w:t>1  Section</w:t>
      </w:r>
      <w:proofErr w:type="gramEnd"/>
      <w:r>
        <w:t xml:space="preserve"> 4 (definition of </w:t>
      </w:r>
      <w:r>
        <w:rPr>
          <w:i/>
          <w:iCs/>
        </w:rPr>
        <w:t>digital badge</w:t>
      </w:r>
      <w:r>
        <w:t>)</w:t>
      </w:r>
    </w:p>
    <w:p w14:paraId="1F2BC39D" w14:textId="1A1B1BA5" w:rsidR="00F46B17" w:rsidRPr="00F46B17" w:rsidRDefault="005831F8" w:rsidP="00F46B17">
      <w:pPr>
        <w:pStyle w:val="Item"/>
      </w:pPr>
      <w:r>
        <w:t>Repeal the definition.</w:t>
      </w:r>
    </w:p>
    <w:p w14:paraId="620274DC" w14:textId="38EB74A4" w:rsidR="00F46B17" w:rsidRPr="005831F8" w:rsidRDefault="00F46B17" w:rsidP="00F46B17">
      <w:pPr>
        <w:pStyle w:val="ItemHead"/>
      </w:pPr>
      <w:proofErr w:type="gramStart"/>
      <w:r>
        <w:t>2  Subparagraph</w:t>
      </w:r>
      <w:proofErr w:type="gramEnd"/>
      <w:r>
        <w:t xml:space="preserve"> 73(2)(a)(</w:t>
      </w:r>
      <w:proofErr w:type="spellStart"/>
      <w:r>
        <w:t>i</w:t>
      </w:r>
      <w:proofErr w:type="spellEnd"/>
      <w:r>
        <w:t xml:space="preserve">) </w:t>
      </w:r>
    </w:p>
    <w:p w14:paraId="134A0C05" w14:textId="1597D439" w:rsidR="00F46B17" w:rsidRPr="00F46B17" w:rsidRDefault="00F46B17" w:rsidP="00F46B17">
      <w:pPr>
        <w:pStyle w:val="Item"/>
      </w:pPr>
      <w:r>
        <w:t>Omit “that meet the requirements in subsection 76(8) (</w:t>
      </w:r>
      <w:proofErr w:type="spellStart"/>
      <w:r>
        <w:rPr>
          <w:b/>
          <w:bCs/>
          <w:i/>
          <w:iCs/>
        </w:rPr>
        <w:t>microcredential</w:t>
      </w:r>
      <w:proofErr w:type="spellEnd"/>
      <w:r>
        <w:rPr>
          <w:b/>
          <w:bCs/>
          <w:i/>
          <w:iCs/>
        </w:rPr>
        <w:t xml:space="preserve"> courses</w:t>
      </w:r>
      <w:r>
        <w:t xml:space="preserve">)”. </w:t>
      </w:r>
    </w:p>
    <w:p w14:paraId="636F2F42" w14:textId="4B560CF3" w:rsidR="00F46B17" w:rsidRPr="005831F8" w:rsidRDefault="00F46B17" w:rsidP="00F46B17">
      <w:pPr>
        <w:pStyle w:val="ItemHead"/>
      </w:pPr>
      <w:proofErr w:type="gramStart"/>
      <w:r>
        <w:t>3  Subparagraph</w:t>
      </w:r>
      <w:proofErr w:type="gramEnd"/>
      <w:r>
        <w:t xml:space="preserve"> 73(2)(a)(ii) </w:t>
      </w:r>
    </w:p>
    <w:p w14:paraId="3B74D503" w14:textId="6C41FD6E" w:rsidR="00F46B17" w:rsidRPr="00F46B17" w:rsidRDefault="00F46B17" w:rsidP="00F46B17">
      <w:pPr>
        <w:pStyle w:val="Item"/>
      </w:pPr>
      <w:r>
        <w:t>Omit “that meet the requirements in subsection 76(8) (</w:t>
      </w:r>
      <w:proofErr w:type="spellStart"/>
      <w:r>
        <w:t>microcredential</w:t>
      </w:r>
      <w:proofErr w:type="spellEnd"/>
      <w:r>
        <w:t xml:space="preserve"> courses)”. </w:t>
      </w:r>
    </w:p>
    <w:p w14:paraId="433CB23B" w14:textId="3F3B9CAC" w:rsidR="00F46B17" w:rsidRPr="005831F8" w:rsidRDefault="00F46B17" w:rsidP="00F46B17">
      <w:pPr>
        <w:pStyle w:val="ItemHead"/>
      </w:pPr>
      <w:proofErr w:type="gramStart"/>
      <w:r>
        <w:t>4  Paragraph</w:t>
      </w:r>
      <w:proofErr w:type="gramEnd"/>
      <w:r>
        <w:t xml:space="preserve"> 74(1)(c) </w:t>
      </w:r>
    </w:p>
    <w:p w14:paraId="11AB137F" w14:textId="59788CA5" w:rsidR="00F46B17" w:rsidRPr="00F46B17" w:rsidRDefault="00F46B17" w:rsidP="00F46B17">
      <w:pPr>
        <w:pStyle w:val="Item"/>
      </w:pPr>
      <w:r>
        <w:t xml:space="preserve">Omit </w:t>
      </w:r>
      <w:proofErr w:type="gramStart"/>
      <w:r>
        <w:t>“, and</w:t>
      </w:r>
      <w:proofErr w:type="gramEnd"/>
      <w:r>
        <w:t xml:space="preserve"> meets the requirements of a </w:t>
      </w:r>
      <w:proofErr w:type="spellStart"/>
      <w:r>
        <w:t>microcredential</w:t>
      </w:r>
      <w:proofErr w:type="spellEnd"/>
      <w:r>
        <w:t xml:space="preserve"> course set out in subsection 76(8)”. </w:t>
      </w:r>
    </w:p>
    <w:p w14:paraId="672C1906" w14:textId="2BB57FA6" w:rsidR="00CD15A4" w:rsidRPr="005831F8" w:rsidRDefault="00D57292" w:rsidP="00CD15A4">
      <w:pPr>
        <w:pStyle w:val="ItemHead"/>
      </w:pPr>
      <w:proofErr w:type="gramStart"/>
      <w:r>
        <w:t>5</w:t>
      </w:r>
      <w:r w:rsidR="00CD15A4">
        <w:t xml:space="preserve">  Subsections</w:t>
      </w:r>
      <w:proofErr w:type="gramEnd"/>
      <w:r w:rsidR="00CD15A4">
        <w:t xml:space="preserve"> 76(2) and (3) </w:t>
      </w:r>
    </w:p>
    <w:p w14:paraId="0BDE1BB3" w14:textId="429DAF27" w:rsidR="00CD15A4" w:rsidRPr="00F46B17" w:rsidRDefault="00CD15A4" w:rsidP="00CD15A4">
      <w:pPr>
        <w:pStyle w:val="Item"/>
      </w:pPr>
      <w:r>
        <w:t>Repeal subsection</w:t>
      </w:r>
      <w:r w:rsidR="00BE1B0B">
        <w:t>s</w:t>
      </w:r>
      <w:r>
        <w:t xml:space="preserve"> 76(2) and (3). </w:t>
      </w:r>
    </w:p>
    <w:p w14:paraId="5989E113" w14:textId="78A62ADC" w:rsidR="00F46B17" w:rsidRPr="005831F8" w:rsidRDefault="00E00F3A" w:rsidP="00F46B17">
      <w:pPr>
        <w:pStyle w:val="ItemHead"/>
      </w:pPr>
      <w:proofErr w:type="gramStart"/>
      <w:r>
        <w:t>6</w:t>
      </w:r>
      <w:r w:rsidR="00F46B17">
        <w:t xml:space="preserve">  Subsection</w:t>
      </w:r>
      <w:proofErr w:type="gramEnd"/>
      <w:r w:rsidR="00F46B17">
        <w:t xml:space="preserve"> 76(8) </w:t>
      </w:r>
    </w:p>
    <w:p w14:paraId="73632CDB" w14:textId="1AE13ACA" w:rsidR="00F46B17" w:rsidRPr="00F46B17" w:rsidRDefault="00F46B17" w:rsidP="00F46B17">
      <w:pPr>
        <w:pStyle w:val="Item"/>
      </w:pPr>
      <w:r>
        <w:t>Repeal subsection 76(8), substitute:</w:t>
      </w:r>
    </w:p>
    <w:p w14:paraId="6D95144E" w14:textId="5D4D179C" w:rsidR="00F46B17" w:rsidRPr="00276338" w:rsidRDefault="00F46B17" w:rsidP="00F46B17">
      <w:pPr>
        <w:pStyle w:val="subsection"/>
      </w:pPr>
      <w:r>
        <w:tab/>
        <w:t>(8)</w:t>
      </w:r>
      <w:r>
        <w:tab/>
      </w:r>
      <w:proofErr w:type="spellStart"/>
      <w:r>
        <w:t>Microcredential</w:t>
      </w:r>
      <w:proofErr w:type="spellEnd"/>
      <w:r>
        <w:t xml:space="preserve"> courses designed and delivered under this program must be in a national priority field of education outlined in the conditions of grant determined by the Minister in writing under subsection 41-25(2) of the Act.</w:t>
      </w:r>
    </w:p>
    <w:p w14:paraId="48902428" w14:textId="7CE70532" w:rsidR="00A9319F" w:rsidRPr="005831F8" w:rsidRDefault="00E00F3A" w:rsidP="00A9319F">
      <w:pPr>
        <w:pStyle w:val="ItemHead"/>
      </w:pPr>
      <w:proofErr w:type="gramStart"/>
      <w:r>
        <w:t>7</w:t>
      </w:r>
      <w:r w:rsidR="00A9319F">
        <w:t xml:space="preserve">  Subsection</w:t>
      </w:r>
      <w:proofErr w:type="gramEnd"/>
      <w:r w:rsidR="00A9319F">
        <w:t xml:space="preserve"> 76(9) </w:t>
      </w:r>
    </w:p>
    <w:p w14:paraId="5CC7EA0C" w14:textId="28819393" w:rsidR="00A9319F" w:rsidRDefault="00A9319F" w:rsidP="00A9319F">
      <w:pPr>
        <w:pStyle w:val="Item"/>
      </w:pPr>
      <w:r>
        <w:t>Repeal subsection 76(9), substitute:</w:t>
      </w:r>
    </w:p>
    <w:p w14:paraId="01F0C88D" w14:textId="53D0ACB7" w:rsidR="003D55F8" w:rsidRDefault="003D55F8" w:rsidP="00A9319F">
      <w:pPr>
        <w:pStyle w:val="subsection"/>
      </w:pPr>
      <w:r>
        <w:tab/>
        <w:t>(9)</w:t>
      </w:r>
      <w:r>
        <w:tab/>
        <w:t xml:space="preserve">A higher education provider must not charge a student in a </w:t>
      </w:r>
      <w:proofErr w:type="spellStart"/>
      <w:r>
        <w:t>microcredential</w:t>
      </w:r>
      <w:proofErr w:type="spellEnd"/>
      <w:r>
        <w:t xml:space="preserve"> course more than an amount determined in the following formula:</w:t>
      </w:r>
    </w:p>
    <w:p w14:paraId="077ED2E2" w14:textId="2D478802" w:rsidR="00FE5E2E" w:rsidRDefault="00FE5E2E" w:rsidP="00510827">
      <w:pPr>
        <w:pStyle w:val="subsection"/>
        <w:jc w:val="center"/>
      </w:pPr>
      <w:r w:rsidRPr="00FE5E2E">
        <w:rPr>
          <w:noProof/>
        </w:rPr>
        <w:drawing>
          <wp:inline distT="0" distB="0" distL="0" distR="0" wp14:anchorId="174679DB" wp14:editId="1EEA0173">
            <wp:extent cx="961200" cy="280800"/>
            <wp:effectExtent l="0" t="0" r="0" b="0"/>
            <wp:docPr id="2" name="Picture 2" descr="start formula A equals P times EV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t formula A equals P times EV end formula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72867"/>
                    <a:stretch/>
                  </pic:blipFill>
                  <pic:spPr bwMode="auto">
                    <a:xfrm>
                      <a:off x="0" y="0"/>
                      <a:ext cx="9612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0009B6" w14:textId="3A790028" w:rsidR="00A9319F" w:rsidRDefault="00FE5E2E" w:rsidP="00A9319F">
      <w:pPr>
        <w:pStyle w:val="subsection"/>
      </w:pPr>
      <w:r>
        <w:tab/>
      </w:r>
      <w:r>
        <w:tab/>
        <w:t xml:space="preserve">Where: </w:t>
      </w:r>
    </w:p>
    <w:p w14:paraId="4F07D8E5" w14:textId="3C2EFB4F" w:rsidR="00FE5E2E" w:rsidRDefault="00FE5E2E" w:rsidP="00A9319F">
      <w:pPr>
        <w:pStyle w:val="subsection"/>
      </w:pPr>
      <w:r>
        <w:tab/>
      </w:r>
      <w:r>
        <w:tab/>
      </w:r>
      <w:r>
        <w:rPr>
          <w:b/>
          <w:bCs/>
          <w:i/>
          <w:iCs/>
        </w:rPr>
        <w:t>A</w:t>
      </w:r>
      <w:r>
        <w:t xml:space="preserve"> is the maximum amount a higher education provider can charge a student in a </w:t>
      </w:r>
      <w:proofErr w:type="spellStart"/>
      <w:r>
        <w:t>microcredential</w:t>
      </w:r>
      <w:proofErr w:type="spellEnd"/>
      <w:r>
        <w:t xml:space="preserve"> </w:t>
      </w:r>
      <w:proofErr w:type="gramStart"/>
      <w:r>
        <w:t>course;</w:t>
      </w:r>
      <w:proofErr w:type="gramEnd"/>
      <w:r>
        <w:t xml:space="preserve"> </w:t>
      </w:r>
    </w:p>
    <w:p w14:paraId="716BCA1B" w14:textId="33A3D827" w:rsidR="00FE5E2E" w:rsidRDefault="00FE5E2E" w:rsidP="00A9319F">
      <w:pPr>
        <w:pStyle w:val="subsection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P </w:t>
      </w:r>
      <w:r>
        <w:t xml:space="preserve">is the amount set out in the third column of the following table for a </w:t>
      </w:r>
      <w:proofErr w:type="spellStart"/>
      <w:r>
        <w:t>microcredential</w:t>
      </w:r>
      <w:proofErr w:type="spellEnd"/>
      <w:r>
        <w:t xml:space="preserve"> course in the part of the funding cluster specified in the second column of the </w:t>
      </w:r>
      <w:proofErr w:type="gramStart"/>
      <w:r>
        <w:t>table;</w:t>
      </w:r>
      <w:proofErr w:type="gramEnd"/>
      <w:r>
        <w:t xml:space="preserve"> </w:t>
      </w:r>
    </w:p>
    <w:p w14:paraId="2FA8176D" w14:textId="654DF616" w:rsidR="00FE5E2E" w:rsidRDefault="00FE5E2E" w:rsidP="00A9319F">
      <w:pPr>
        <w:pStyle w:val="subsection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EV </w:t>
      </w:r>
      <w:r>
        <w:t xml:space="preserve">is the EFTSL value of the </w:t>
      </w:r>
      <w:proofErr w:type="spellStart"/>
      <w:r>
        <w:t>microcredential</w:t>
      </w:r>
      <w:proofErr w:type="spellEnd"/>
      <w:r>
        <w:t xml:space="preserve"> course. </w:t>
      </w:r>
    </w:p>
    <w:p w14:paraId="7AE6876D" w14:textId="77777777" w:rsidR="00FE5E2E" w:rsidRPr="00FE5E2E" w:rsidRDefault="00FE5E2E" w:rsidP="00A9319F">
      <w:pPr>
        <w:pStyle w:val="subsection"/>
      </w:pPr>
    </w:p>
    <w:tbl>
      <w:tblPr>
        <w:tblW w:w="0" w:type="auto"/>
        <w:tblInd w:w="113" w:type="dxa"/>
        <w:tblBorders>
          <w:top w:val="single" w:sz="1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568"/>
        <w:gridCol w:w="3827"/>
      </w:tblGrid>
      <w:tr w:rsidR="00A9319F" w:rsidRPr="00C22FA8" w14:paraId="79EF9561" w14:textId="77777777" w:rsidTr="00E12FD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816853" w14:textId="77777777" w:rsidR="00A9319F" w:rsidRPr="00C22FA8" w:rsidRDefault="00A9319F" w:rsidP="00E12FDF">
            <w:pPr>
              <w:pStyle w:val="TableHeading"/>
            </w:pPr>
            <w:r w:rsidRPr="00C22FA8">
              <w:lastRenderedPageBreak/>
              <w:t>Item</w:t>
            </w:r>
          </w:p>
        </w:tc>
        <w:tc>
          <w:tcPr>
            <w:tcW w:w="35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8C36DC" w14:textId="77777777" w:rsidR="00A9319F" w:rsidRPr="00C22FA8" w:rsidRDefault="00A9319F" w:rsidP="00E12FDF">
            <w:pPr>
              <w:pStyle w:val="TableHeading"/>
            </w:pPr>
            <w:r>
              <w:t>Funding clusters</w:t>
            </w:r>
            <w:r w:rsidRPr="00C22FA8">
              <w:t>: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214F64" w14:textId="05B77C9F" w:rsidR="00A9319F" w:rsidRPr="00C22FA8" w:rsidRDefault="00A9319F" w:rsidP="00E12FDF">
            <w:pPr>
              <w:pStyle w:val="TableHeading"/>
            </w:pPr>
            <w:r w:rsidRPr="00C22FA8">
              <w:t>The amount in respect of a student</w:t>
            </w:r>
            <w:r w:rsidR="003D55F8">
              <w:t xml:space="preserve"> </w:t>
            </w:r>
            <w:r w:rsidRPr="00C22FA8">
              <w:t>is:</w:t>
            </w:r>
          </w:p>
        </w:tc>
      </w:tr>
      <w:tr w:rsidR="00A9319F" w:rsidRPr="00C22FA8" w14:paraId="76A602B5" w14:textId="77777777" w:rsidTr="00E12FD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77429336" w14:textId="77777777" w:rsidR="00A9319F" w:rsidRPr="00C22FA8" w:rsidRDefault="00A9319F" w:rsidP="00E12FDF">
            <w:pPr>
              <w:pStyle w:val="Tabletext"/>
            </w:pPr>
            <w:r w:rsidRPr="00C22FA8">
              <w:t>1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</w:tcPr>
          <w:p w14:paraId="50166AE3" w14:textId="77777777" w:rsidR="00A9319F" w:rsidRPr="00C22FA8" w:rsidRDefault="00A9319F" w:rsidP="00E12FDF">
            <w:pPr>
              <w:pStyle w:val="Tabletext"/>
            </w:pPr>
            <w:r w:rsidRPr="00C22FA8">
              <w:t>Law, Accounting, Administration, Economics, Commerce, Communications, Society and Culture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</w:tcPr>
          <w:p w14:paraId="070F7271" w14:textId="77777777" w:rsidR="00A9319F" w:rsidRPr="00C22FA8" w:rsidRDefault="00A9319F" w:rsidP="00E12FDF">
            <w:pPr>
              <w:pStyle w:val="Tablea"/>
            </w:pPr>
            <w:r w:rsidRPr="00C22FA8">
              <w:t>$1</w:t>
            </w:r>
            <w:r>
              <w:t>5,142</w:t>
            </w:r>
            <w:r w:rsidRPr="00C22FA8">
              <w:t>.</w:t>
            </w:r>
          </w:p>
        </w:tc>
      </w:tr>
      <w:tr w:rsidR="00A9319F" w:rsidRPr="00C22FA8" w14:paraId="6802C571" w14:textId="77777777" w:rsidTr="00E12FDF">
        <w:tc>
          <w:tcPr>
            <w:tcW w:w="714" w:type="dxa"/>
            <w:shd w:val="clear" w:color="auto" w:fill="auto"/>
          </w:tcPr>
          <w:p w14:paraId="59C2D9A8" w14:textId="77777777" w:rsidR="00A9319F" w:rsidRPr="00C22FA8" w:rsidRDefault="00A9319F" w:rsidP="00E12FDF">
            <w:pPr>
              <w:pStyle w:val="Tabletext"/>
            </w:pPr>
            <w:r w:rsidRPr="00C22FA8">
              <w:t>2</w:t>
            </w:r>
          </w:p>
        </w:tc>
        <w:tc>
          <w:tcPr>
            <w:tcW w:w="3568" w:type="dxa"/>
            <w:shd w:val="clear" w:color="auto" w:fill="auto"/>
          </w:tcPr>
          <w:p w14:paraId="2324DE45" w14:textId="77777777" w:rsidR="00A9319F" w:rsidRPr="00C22FA8" w:rsidRDefault="00A9319F" w:rsidP="00E12FDF">
            <w:pPr>
              <w:pStyle w:val="Tabletext"/>
            </w:pPr>
            <w:r w:rsidRPr="00C22FA8">
              <w:t>Education, Clinical Psychology, English, Mathematics, Statistics, Allied Health, Other Health, Built Environment, Computing, Visual and Performing Arts, Professional Pathway Psychology or Professional Pathway Social Work</w:t>
            </w:r>
          </w:p>
        </w:tc>
        <w:tc>
          <w:tcPr>
            <w:tcW w:w="3827" w:type="dxa"/>
            <w:shd w:val="clear" w:color="auto" w:fill="auto"/>
          </w:tcPr>
          <w:p w14:paraId="586FC78B" w14:textId="46D40D66" w:rsidR="00A9319F" w:rsidRPr="00C22FA8" w:rsidRDefault="00A9319F" w:rsidP="00E12FDF">
            <w:pPr>
              <w:pStyle w:val="Tablea"/>
            </w:pPr>
            <w:r w:rsidRPr="00C22FA8">
              <w:t xml:space="preserve">(a) for a </w:t>
            </w:r>
            <w:proofErr w:type="spellStart"/>
            <w:r>
              <w:t>microcredential</w:t>
            </w:r>
            <w:proofErr w:type="spellEnd"/>
            <w:r>
              <w:t xml:space="preserve"> course</w:t>
            </w:r>
            <w:r w:rsidRPr="00C22FA8">
              <w:t xml:space="preserve"> in Education, Clinical Psychology, English, Mathematics or Statistics—$</w:t>
            </w:r>
            <w:r>
              <w:t>4,124</w:t>
            </w:r>
            <w:r w:rsidRPr="00C22FA8">
              <w:t>; or</w:t>
            </w:r>
          </w:p>
          <w:p w14:paraId="53470E77" w14:textId="5D4865EA" w:rsidR="00A9319F" w:rsidRPr="00C22FA8" w:rsidRDefault="00A9319F" w:rsidP="00E12FDF">
            <w:pPr>
              <w:pStyle w:val="Tablea"/>
            </w:pPr>
            <w:r w:rsidRPr="00C22FA8">
              <w:t xml:space="preserve">(b) for a </w:t>
            </w:r>
            <w:proofErr w:type="spellStart"/>
            <w:r>
              <w:t>microcredential</w:t>
            </w:r>
            <w:proofErr w:type="spellEnd"/>
            <w:r>
              <w:t xml:space="preserve"> course</w:t>
            </w:r>
            <w:r w:rsidRPr="00C22FA8">
              <w:t xml:space="preserve"> in Allied Health, Other Health, Built Environment, Computing, Visual and Performing Arts, Professional Pathway Psychology or Professional Pathway Social Work—$</w:t>
            </w:r>
            <w:r>
              <w:t>8,301</w:t>
            </w:r>
            <w:r w:rsidRPr="00C22FA8">
              <w:t>.</w:t>
            </w:r>
          </w:p>
        </w:tc>
      </w:tr>
      <w:tr w:rsidR="00A9319F" w:rsidRPr="00C22FA8" w14:paraId="1EE0ED34" w14:textId="77777777" w:rsidTr="00E12FD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D5D7490" w14:textId="77777777" w:rsidR="00A9319F" w:rsidRPr="00C22FA8" w:rsidRDefault="00A9319F" w:rsidP="00E12FDF">
            <w:pPr>
              <w:pStyle w:val="Tabletext"/>
            </w:pPr>
            <w:r w:rsidRPr="00C22FA8">
              <w:t>3</w:t>
            </w:r>
          </w:p>
        </w:tc>
        <w:tc>
          <w:tcPr>
            <w:tcW w:w="3568" w:type="dxa"/>
            <w:tcBorders>
              <w:bottom w:val="single" w:sz="2" w:space="0" w:color="auto"/>
            </w:tcBorders>
            <w:shd w:val="clear" w:color="auto" w:fill="auto"/>
          </w:tcPr>
          <w:p w14:paraId="154DA376" w14:textId="77777777" w:rsidR="00A9319F" w:rsidRPr="00C22FA8" w:rsidRDefault="00A9319F" w:rsidP="00E12FDF">
            <w:pPr>
              <w:pStyle w:val="Tabletext"/>
            </w:pPr>
            <w:r w:rsidRPr="00C22FA8">
              <w:t>Nursing, Foreign Languages, Engineering, Surveying, Environmental Studies, Science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auto"/>
          </w:tcPr>
          <w:p w14:paraId="5E84B5F7" w14:textId="361A6F47" w:rsidR="00A9319F" w:rsidRPr="00C22FA8" w:rsidRDefault="00A9319F" w:rsidP="00E12FDF">
            <w:pPr>
              <w:pStyle w:val="Tablea"/>
            </w:pPr>
            <w:r w:rsidRPr="00C22FA8">
              <w:t xml:space="preserve">(a) for a </w:t>
            </w:r>
            <w:proofErr w:type="spellStart"/>
            <w:r>
              <w:t>microcredential</w:t>
            </w:r>
            <w:proofErr w:type="spellEnd"/>
            <w:r>
              <w:t xml:space="preserve"> course</w:t>
            </w:r>
            <w:r w:rsidRPr="00C22FA8">
              <w:t xml:space="preserve"> in Nursing or Foreign Languages—$</w:t>
            </w:r>
            <w:r>
              <w:t>4,124</w:t>
            </w:r>
            <w:r w:rsidRPr="00C22FA8">
              <w:t>; or</w:t>
            </w:r>
          </w:p>
          <w:p w14:paraId="2445A53D" w14:textId="23985C23" w:rsidR="00A9319F" w:rsidRPr="00C22FA8" w:rsidRDefault="00A9319F" w:rsidP="00E12FDF">
            <w:pPr>
              <w:pStyle w:val="Tablea"/>
            </w:pPr>
            <w:r w:rsidRPr="00C22FA8">
              <w:t xml:space="preserve">(b) for a </w:t>
            </w:r>
            <w:proofErr w:type="spellStart"/>
            <w:r>
              <w:t>microcredential</w:t>
            </w:r>
            <w:proofErr w:type="spellEnd"/>
            <w:r>
              <w:t xml:space="preserve"> course</w:t>
            </w:r>
            <w:r w:rsidRPr="00C22FA8">
              <w:t xml:space="preserve"> in Engineering, Surveying, Environmental </w:t>
            </w:r>
            <w:proofErr w:type="gramStart"/>
            <w:r w:rsidRPr="00C22FA8">
              <w:t>Studies</w:t>
            </w:r>
            <w:proofErr w:type="gramEnd"/>
            <w:r w:rsidRPr="00C22FA8">
              <w:t xml:space="preserve"> or Science—$</w:t>
            </w:r>
            <w:r>
              <w:t>8,301</w:t>
            </w:r>
            <w:r w:rsidRPr="00C22FA8">
              <w:t>.</w:t>
            </w:r>
          </w:p>
        </w:tc>
      </w:tr>
      <w:tr w:rsidR="00A9319F" w:rsidRPr="00C22FA8" w14:paraId="13085B8B" w14:textId="77777777" w:rsidTr="00E12FD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F8A7C7" w14:textId="77777777" w:rsidR="00A9319F" w:rsidRPr="00C22FA8" w:rsidRDefault="00A9319F" w:rsidP="00E12FDF">
            <w:pPr>
              <w:pStyle w:val="Tabletext"/>
            </w:pPr>
            <w:r w:rsidRPr="00C22FA8">
              <w:t>4</w:t>
            </w:r>
          </w:p>
        </w:tc>
        <w:tc>
          <w:tcPr>
            <w:tcW w:w="35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F494680" w14:textId="77777777" w:rsidR="00A9319F" w:rsidRPr="00C22FA8" w:rsidRDefault="00A9319F" w:rsidP="00E12FDF">
            <w:pPr>
              <w:pStyle w:val="Tabletext"/>
            </w:pPr>
            <w:r w:rsidRPr="00C22FA8">
              <w:t>Agriculture, Medicine, Dentistry, Veterinary Science, Pathology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2261BC" w14:textId="3A9B75E2" w:rsidR="00A9319F" w:rsidRPr="00C22FA8" w:rsidRDefault="00A9319F" w:rsidP="00E12FDF">
            <w:pPr>
              <w:pStyle w:val="Tablea"/>
            </w:pPr>
            <w:r w:rsidRPr="00C22FA8">
              <w:t xml:space="preserve">(a) for a </w:t>
            </w:r>
            <w:proofErr w:type="spellStart"/>
            <w:r>
              <w:t>microcredential</w:t>
            </w:r>
            <w:proofErr w:type="spellEnd"/>
            <w:r>
              <w:t xml:space="preserve"> course</w:t>
            </w:r>
            <w:r w:rsidRPr="00C22FA8">
              <w:t xml:space="preserve"> in Agriculture—$</w:t>
            </w:r>
            <w:r>
              <w:t>4,124</w:t>
            </w:r>
            <w:r w:rsidRPr="00C22FA8">
              <w:t>; or</w:t>
            </w:r>
          </w:p>
          <w:p w14:paraId="170C3CD8" w14:textId="117A01B9" w:rsidR="00A9319F" w:rsidRPr="00C22FA8" w:rsidRDefault="00A9319F" w:rsidP="00E12FDF">
            <w:pPr>
              <w:pStyle w:val="Tablea"/>
            </w:pPr>
            <w:r w:rsidRPr="00C22FA8">
              <w:t xml:space="preserve">(b) for a </w:t>
            </w:r>
            <w:proofErr w:type="spellStart"/>
            <w:r>
              <w:t>microcredential</w:t>
            </w:r>
            <w:proofErr w:type="spellEnd"/>
            <w:r>
              <w:t xml:space="preserve"> course</w:t>
            </w:r>
            <w:r w:rsidRPr="00C22FA8">
              <w:t xml:space="preserve"> in Medicine, Dentistry or Veterinary Science—$11,</w:t>
            </w:r>
            <w:r>
              <w:t>800</w:t>
            </w:r>
            <w:r w:rsidRPr="00C22FA8">
              <w:t>; or</w:t>
            </w:r>
          </w:p>
          <w:p w14:paraId="4B86F240" w14:textId="4841D6DF" w:rsidR="00A9319F" w:rsidRPr="00C22FA8" w:rsidRDefault="00A9319F" w:rsidP="00E12FDF">
            <w:pPr>
              <w:pStyle w:val="Tablea"/>
            </w:pPr>
            <w:r w:rsidRPr="00C22FA8">
              <w:t xml:space="preserve">(c) for a </w:t>
            </w:r>
            <w:proofErr w:type="spellStart"/>
            <w:r>
              <w:t>microcredential</w:t>
            </w:r>
            <w:proofErr w:type="spellEnd"/>
            <w:r>
              <w:t xml:space="preserve"> course</w:t>
            </w:r>
            <w:r w:rsidRPr="00C22FA8">
              <w:t xml:space="preserve"> in Pathology—$</w:t>
            </w:r>
            <w:r>
              <w:t>8,301</w:t>
            </w:r>
            <w:r w:rsidRPr="00C22FA8">
              <w:t>.</w:t>
            </w:r>
          </w:p>
        </w:tc>
      </w:tr>
    </w:tbl>
    <w:p w14:paraId="4C9F0199" w14:textId="7F516BA0" w:rsidR="00FE5E2E" w:rsidRPr="005831F8" w:rsidRDefault="00E00F3A" w:rsidP="00FE5E2E">
      <w:pPr>
        <w:pStyle w:val="ItemHead"/>
      </w:pPr>
      <w:proofErr w:type="gramStart"/>
      <w:r>
        <w:t>8</w:t>
      </w:r>
      <w:r w:rsidR="00FE5E2E">
        <w:t xml:space="preserve">  Subsection</w:t>
      </w:r>
      <w:proofErr w:type="gramEnd"/>
      <w:r w:rsidR="00FE5E2E">
        <w:t xml:space="preserve"> 77(2) </w:t>
      </w:r>
    </w:p>
    <w:p w14:paraId="0B0D1EF4" w14:textId="4E7EE3D5" w:rsidR="00FE5E2E" w:rsidRDefault="00FE5E2E" w:rsidP="00FE5E2E">
      <w:pPr>
        <w:pStyle w:val="Item"/>
      </w:pPr>
      <w:r>
        <w:t>Repeal subsection 77(2), substitute:</w:t>
      </w:r>
    </w:p>
    <w:p w14:paraId="71F1CF60" w14:textId="77777777" w:rsidR="00FE5E2E" w:rsidRDefault="00FE5E2E" w:rsidP="00FE5E2E">
      <w:pPr>
        <w:pStyle w:val="subsection"/>
      </w:pPr>
      <w:r>
        <w:tab/>
        <w:t>(2)</w:t>
      </w:r>
      <w:r>
        <w:tab/>
        <w:t xml:space="preserve">A grant to a higher education provider for Stage 2 and Stage 3 of the program is to be calculated by applying the following formula: </w:t>
      </w:r>
    </w:p>
    <w:p w14:paraId="64AD84D8" w14:textId="77777777" w:rsidR="00FE5E2E" w:rsidRPr="00E354E2" w:rsidRDefault="00FE5E2E" w:rsidP="00FE5E2E">
      <w:pPr>
        <w:pStyle w:val="subsection"/>
        <w:tabs>
          <w:tab w:val="clear" w:pos="1021"/>
        </w:tabs>
        <w:ind w:firstLine="2410"/>
      </w:pPr>
      <w:bookmarkStart w:id="50" w:name="_Hlk114134450"/>
      <w:r w:rsidRPr="002662E4">
        <w:rPr>
          <w:noProof/>
        </w:rPr>
        <w:drawing>
          <wp:inline distT="0" distB="0" distL="0" distR="0" wp14:anchorId="2E0255B6" wp14:editId="2A9EE89B">
            <wp:extent cx="1543050" cy="304800"/>
            <wp:effectExtent l="0" t="0" r="0" b="0"/>
            <wp:docPr id="4" name="Picture 4" descr="Start formula G equals CP times EV times EN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rt formula G equals CP times EV times EN end formul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6FCE2CC1" w14:textId="77777777" w:rsidR="00FE5E2E" w:rsidRDefault="00FE5E2E" w:rsidP="00FE5E2E">
      <w:pPr>
        <w:pStyle w:val="subsection"/>
      </w:pPr>
      <w:r>
        <w:tab/>
      </w:r>
      <w:r>
        <w:tab/>
        <w:t xml:space="preserve">Where: </w:t>
      </w:r>
    </w:p>
    <w:p w14:paraId="5397E398" w14:textId="77777777" w:rsidR="00FE5E2E" w:rsidRDefault="00FE5E2E" w:rsidP="00FE5E2E">
      <w:pPr>
        <w:pStyle w:val="subsection"/>
      </w:pPr>
      <w:r>
        <w:tab/>
      </w:r>
      <w:r>
        <w:tab/>
      </w:r>
      <w:r>
        <w:rPr>
          <w:b/>
          <w:bCs/>
          <w:i/>
          <w:iCs/>
        </w:rPr>
        <w:t xml:space="preserve">G </w:t>
      </w:r>
      <w:r>
        <w:t xml:space="preserve">is the grant amount for providers in Stage 2 or Stage </w:t>
      </w:r>
      <w:proofErr w:type="gramStart"/>
      <w:r>
        <w:t>3;</w:t>
      </w:r>
      <w:proofErr w:type="gramEnd"/>
    </w:p>
    <w:p w14:paraId="05032540" w14:textId="77777777" w:rsidR="00FE5E2E" w:rsidRDefault="00FE5E2E" w:rsidP="00FE5E2E">
      <w:pPr>
        <w:pStyle w:val="subsection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CP </w:t>
      </w:r>
      <w:r>
        <w:t xml:space="preserve">is the Commonwealth payment set out in the third column of the following table for a </w:t>
      </w:r>
      <w:proofErr w:type="spellStart"/>
      <w:r>
        <w:t>microcredential</w:t>
      </w:r>
      <w:proofErr w:type="spellEnd"/>
      <w:r>
        <w:t xml:space="preserve"> course in the part of the funding cluster specified in the second column of the </w:t>
      </w:r>
      <w:proofErr w:type="gramStart"/>
      <w:r>
        <w:t>table;</w:t>
      </w:r>
      <w:proofErr w:type="gramEnd"/>
    </w:p>
    <w:p w14:paraId="64B8B25C" w14:textId="77777777" w:rsidR="00FE5E2E" w:rsidRDefault="00FE5E2E" w:rsidP="00FE5E2E">
      <w:pPr>
        <w:pStyle w:val="subsection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EV</w:t>
      </w:r>
      <w:r>
        <w:t xml:space="preserve"> is the EFTSL value of the </w:t>
      </w:r>
      <w:proofErr w:type="spellStart"/>
      <w:r>
        <w:t>microcredential</w:t>
      </w:r>
      <w:proofErr w:type="spellEnd"/>
      <w:r>
        <w:t xml:space="preserve"> </w:t>
      </w:r>
      <w:proofErr w:type="gramStart"/>
      <w:r>
        <w:t>course;</w:t>
      </w:r>
      <w:proofErr w:type="gramEnd"/>
      <w:r>
        <w:t xml:space="preserve"> </w:t>
      </w:r>
    </w:p>
    <w:p w14:paraId="56E7291C" w14:textId="5ED99CD2" w:rsidR="008C5726" w:rsidRPr="00510827" w:rsidRDefault="00FE5E2E" w:rsidP="00FE5E2E">
      <w:pPr>
        <w:pStyle w:val="subsection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10827">
        <w:rPr>
          <w:b/>
          <w:bCs/>
          <w:i/>
          <w:iCs/>
        </w:rPr>
        <w:t xml:space="preserve">EN </w:t>
      </w:r>
      <w:r w:rsidRPr="00510827">
        <w:t xml:space="preserve">is </w:t>
      </w:r>
      <w:r w:rsidR="00F2297D" w:rsidRPr="00510827">
        <w:t>either</w:t>
      </w:r>
      <w:r w:rsidR="008C5726" w:rsidRPr="00510827">
        <w:t>:</w:t>
      </w:r>
      <w:r w:rsidRPr="00510827">
        <w:t xml:space="preserve"> </w:t>
      </w:r>
    </w:p>
    <w:p w14:paraId="1C9F5069" w14:textId="5B3D0504" w:rsidR="00FE5E2E" w:rsidRPr="00510827" w:rsidRDefault="00D06EDC" w:rsidP="00510827">
      <w:pPr>
        <w:pStyle w:val="paragraph"/>
        <w:keepNext/>
      </w:pPr>
      <w:r w:rsidRPr="00510827">
        <w:tab/>
        <w:t>(a)</w:t>
      </w:r>
      <w:r w:rsidRPr="00510827">
        <w:tab/>
        <w:t xml:space="preserve">the number of </w:t>
      </w:r>
      <w:r w:rsidR="001E5DF3" w:rsidRPr="00510827">
        <w:t xml:space="preserve">students </w:t>
      </w:r>
      <w:proofErr w:type="gramStart"/>
      <w:r w:rsidR="001E5DF3" w:rsidRPr="00510827">
        <w:t>actually enrolled</w:t>
      </w:r>
      <w:proofErr w:type="gramEnd"/>
      <w:r w:rsidR="001E5DF3" w:rsidRPr="00510827">
        <w:t xml:space="preserve"> </w:t>
      </w:r>
      <w:r w:rsidRPr="00510827">
        <w:t xml:space="preserve">in </w:t>
      </w:r>
      <w:proofErr w:type="spellStart"/>
      <w:r w:rsidRPr="00510827">
        <w:t>microcredential</w:t>
      </w:r>
      <w:proofErr w:type="spellEnd"/>
      <w:r w:rsidRPr="00510827">
        <w:t xml:space="preserve"> courses</w:t>
      </w:r>
      <w:r w:rsidR="00F2297D" w:rsidRPr="00510827">
        <w:t xml:space="preserve"> </w:t>
      </w:r>
      <w:r w:rsidR="00CA5234" w:rsidRPr="00510827">
        <w:t xml:space="preserve">with the provider </w:t>
      </w:r>
      <w:r w:rsidR="00F2297D" w:rsidRPr="00510827">
        <w:t>immediately after the census date</w:t>
      </w:r>
      <w:r w:rsidRPr="00510827">
        <w:t xml:space="preserve">; </w:t>
      </w:r>
      <w:r w:rsidR="000A0D2F" w:rsidRPr="00510827">
        <w:t>or</w:t>
      </w:r>
      <w:r w:rsidRPr="00510827">
        <w:t xml:space="preserve"> </w:t>
      </w:r>
    </w:p>
    <w:p w14:paraId="6B9C617E" w14:textId="77777777" w:rsidR="00F2297D" w:rsidRPr="00510827" w:rsidRDefault="00D06EDC" w:rsidP="00D06EDC">
      <w:pPr>
        <w:pStyle w:val="paragraph"/>
        <w:keepNext/>
      </w:pPr>
      <w:r w:rsidRPr="00510827">
        <w:tab/>
        <w:t>(b)</w:t>
      </w:r>
      <w:r w:rsidRPr="00510827">
        <w:tab/>
      </w:r>
      <w:r w:rsidR="00F2297D" w:rsidRPr="00510827">
        <w:t xml:space="preserve">if the Minister has specified a maximum number of students for which the provider can receive funding under Stage 2 and Stage 3 in writing under subsection 41-25(2) of the Act, the lesser of: </w:t>
      </w:r>
    </w:p>
    <w:p w14:paraId="0C82B96A" w14:textId="578D3C56" w:rsidR="00D06EDC" w:rsidRPr="00510827" w:rsidRDefault="00CA5234" w:rsidP="00CA5234">
      <w:pPr>
        <w:pStyle w:val="paragraphsub"/>
      </w:pPr>
      <w:r w:rsidRPr="00510827">
        <w:tab/>
        <w:t>(</w:t>
      </w:r>
      <w:proofErr w:type="spellStart"/>
      <w:r w:rsidRPr="00510827">
        <w:t>i</w:t>
      </w:r>
      <w:proofErr w:type="spellEnd"/>
      <w:r w:rsidRPr="00510827">
        <w:t>)</w:t>
      </w:r>
      <w:r w:rsidRPr="00510827">
        <w:tab/>
      </w:r>
      <w:r w:rsidR="00D06EDC" w:rsidRPr="00510827">
        <w:t xml:space="preserve">the number of </w:t>
      </w:r>
      <w:r w:rsidRPr="00510827">
        <w:t xml:space="preserve">students </w:t>
      </w:r>
      <w:proofErr w:type="gramStart"/>
      <w:r w:rsidRPr="00510827">
        <w:t>actually enrolled</w:t>
      </w:r>
      <w:proofErr w:type="gramEnd"/>
      <w:r w:rsidRPr="00510827">
        <w:t xml:space="preserve"> in </w:t>
      </w:r>
      <w:proofErr w:type="spellStart"/>
      <w:r w:rsidRPr="00510827">
        <w:t>microcredential</w:t>
      </w:r>
      <w:proofErr w:type="spellEnd"/>
      <w:r w:rsidRPr="00510827">
        <w:t xml:space="preserve"> courses with the provider immediately after the census date; and </w:t>
      </w:r>
    </w:p>
    <w:p w14:paraId="605090CC" w14:textId="219F6EDA" w:rsidR="00CA5234" w:rsidRPr="00E354E2" w:rsidRDefault="00CA5234" w:rsidP="00510827">
      <w:pPr>
        <w:pStyle w:val="paragraphsub"/>
      </w:pPr>
      <w:r w:rsidRPr="00510827">
        <w:lastRenderedPageBreak/>
        <w:tab/>
        <w:t>(ii)</w:t>
      </w:r>
      <w:r w:rsidRPr="00510827">
        <w:tab/>
        <w:t>the maximum number of students specified by the Minister in writing for which the provider can receive funding under Stage 2 and Stage 3.</w:t>
      </w:r>
    </w:p>
    <w:p w14:paraId="26DC8F95" w14:textId="77777777" w:rsidR="00FE5E2E" w:rsidRDefault="00FE5E2E" w:rsidP="00FE5E2E">
      <w:pPr>
        <w:pStyle w:val="subsection"/>
      </w:pPr>
    </w:p>
    <w:tbl>
      <w:tblPr>
        <w:tblW w:w="0" w:type="auto"/>
        <w:tblInd w:w="113" w:type="dxa"/>
        <w:tblBorders>
          <w:top w:val="single" w:sz="1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568"/>
        <w:gridCol w:w="3827"/>
      </w:tblGrid>
      <w:tr w:rsidR="00FE5E2E" w:rsidRPr="00C22FA8" w14:paraId="40EA69D8" w14:textId="77777777" w:rsidTr="00E12FD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7D0CE2" w14:textId="77777777" w:rsidR="00FE5E2E" w:rsidRPr="00C22FA8" w:rsidRDefault="00FE5E2E" w:rsidP="00E12FDF">
            <w:pPr>
              <w:pStyle w:val="TableHeading"/>
            </w:pPr>
            <w:r w:rsidRPr="00C22FA8">
              <w:t>Item</w:t>
            </w:r>
          </w:p>
        </w:tc>
        <w:tc>
          <w:tcPr>
            <w:tcW w:w="35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643E6D" w14:textId="77777777" w:rsidR="00FE5E2E" w:rsidRPr="00C22FA8" w:rsidRDefault="00FE5E2E" w:rsidP="00E12FDF">
            <w:pPr>
              <w:pStyle w:val="TableHeading"/>
            </w:pPr>
            <w:r>
              <w:t>F</w:t>
            </w:r>
            <w:r w:rsidRPr="00C22FA8">
              <w:t>unding cluster: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BBAD0C" w14:textId="77777777" w:rsidR="00FE5E2E" w:rsidRPr="00C22FA8" w:rsidRDefault="00FE5E2E" w:rsidP="00E12FDF">
            <w:pPr>
              <w:pStyle w:val="TableHeading"/>
            </w:pPr>
            <w:r>
              <w:t>Commonwealth payment</w:t>
            </w:r>
          </w:p>
        </w:tc>
      </w:tr>
      <w:tr w:rsidR="00FE5E2E" w:rsidRPr="00C22FA8" w14:paraId="5FC3E82B" w14:textId="77777777" w:rsidTr="00E12FD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7BEB5E0E" w14:textId="77777777" w:rsidR="00FE5E2E" w:rsidRPr="00C22FA8" w:rsidRDefault="00FE5E2E" w:rsidP="00E12FDF">
            <w:pPr>
              <w:pStyle w:val="Tabletext"/>
            </w:pPr>
            <w:r w:rsidRPr="00C22FA8">
              <w:t>1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</w:tcPr>
          <w:p w14:paraId="0F843015" w14:textId="77777777" w:rsidR="00FE5E2E" w:rsidRPr="00C22FA8" w:rsidRDefault="00FE5E2E" w:rsidP="00E12FDF">
            <w:pPr>
              <w:pStyle w:val="Tabletext"/>
            </w:pPr>
            <w:r w:rsidRPr="00C22FA8">
              <w:t>Law, Accounting, Administration, Economics, Commerce, Communications, Society and Culture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</w:tcPr>
          <w:p w14:paraId="5D3545CE" w14:textId="77777777" w:rsidR="00FE5E2E" w:rsidRPr="00C22FA8" w:rsidRDefault="00FE5E2E" w:rsidP="00E12FDF">
            <w:pPr>
              <w:pStyle w:val="Tablea"/>
            </w:pPr>
            <w:r>
              <w:t>$1,147</w:t>
            </w:r>
          </w:p>
        </w:tc>
      </w:tr>
      <w:tr w:rsidR="00FE5E2E" w:rsidRPr="00C22FA8" w14:paraId="6326F71E" w14:textId="77777777" w:rsidTr="00E12FDF">
        <w:tc>
          <w:tcPr>
            <w:tcW w:w="714" w:type="dxa"/>
            <w:shd w:val="clear" w:color="auto" w:fill="auto"/>
          </w:tcPr>
          <w:p w14:paraId="79AEAEE1" w14:textId="77777777" w:rsidR="00FE5E2E" w:rsidRPr="00C22FA8" w:rsidRDefault="00FE5E2E" w:rsidP="00E12FDF">
            <w:pPr>
              <w:pStyle w:val="Tabletext"/>
            </w:pPr>
            <w:r w:rsidRPr="00C22FA8">
              <w:t>2</w:t>
            </w:r>
          </w:p>
        </w:tc>
        <w:tc>
          <w:tcPr>
            <w:tcW w:w="3568" w:type="dxa"/>
            <w:shd w:val="clear" w:color="auto" w:fill="auto"/>
          </w:tcPr>
          <w:p w14:paraId="3D77F835" w14:textId="77777777" w:rsidR="00FE5E2E" w:rsidRPr="00C22FA8" w:rsidRDefault="00FE5E2E" w:rsidP="00E12FDF">
            <w:pPr>
              <w:pStyle w:val="Tabletext"/>
            </w:pPr>
            <w:r w:rsidRPr="00C22FA8">
              <w:t>Education, Clinical Psychology, English, Mathematics, Statistics, Allied Health, Other Health, Built Environment, Computing, Visual and Performing Arts, Professional Pathway Psychology or Professional Pathway Social Work</w:t>
            </w:r>
          </w:p>
        </w:tc>
        <w:tc>
          <w:tcPr>
            <w:tcW w:w="3827" w:type="dxa"/>
            <w:shd w:val="clear" w:color="auto" w:fill="auto"/>
          </w:tcPr>
          <w:p w14:paraId="3E79D681" w14:textId="77777777" w:rsidR="00FE5E2E" w:rsidRPr="00C22FA8" w:rsidRDefault="00FE5E2E" w:rsidP="00E12FDF">
            <w:pPr>
              <w:pStyle w:val="Tablea"/>
            </w:pPr>
            <w:r>
              <w:t>$13,836</w:t>
            </w:r>
          </w:p>
        </w:tc>
      </w:tr>
      <w:tr w:rsidR="00FE5E2E" w:rsidRPr="00C22FA8" w14:paraId="262CE9F1" w14:textId="77777777" w:rsidTr="00E12FD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8E31516" w14:textId="77777777" w:rsidR="00FE5E2E" w:rsidRPr="00C22FA8" w:rsidRDefault="00FE5E2E" w:rsidP="00E12FDF">
            <w:pPr>
              <w:pStyle w:val="Tabletext"/>
            </w:pPr>
            <w:r w:rsidRPr="00C22FA8">
              <w:t>3</w:t>
            </w:r>
          </w:p>
        </w:tc>
        <w:tc>
          <w:tcPr>
            <w:tcW w:w="3568" w:type="dxa"/>
            <w:tcBorders>
              <w:bottom w:val="single" w:sz="2" w:space="0" w:color="auto"/>
            </w:tcBorders>
            <w:shd w:val="clear" w:color="auto" w:fill="auto"/>
          </w:tcPr>
          <w:p w14:paraId="6AACC900" w14:textId="77777777" w:rsidR="00FE5E2E" w:rsidRPr="00C22FA8" w:rsidRDefault="00FE5E2E" w:rsidP="00E12FDF">
            <w:pPr>
              <w:pStyle w:val="Tabletext"/>
            </w:pPr>
            <w:r w:rsidRPr="00C22FA8">
              <w:t>Nursing, Foreign Languages, Engineering, Surveying, Environmental Studies, Science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auto"/>
          </w:tcPr>
          <w:p w14:paraId="01A8074E" w14:textId="77777777" w:rsidR="00FE5E2E" w:rsidRPr="00C22FA8" w:rsidRDefault="00FE5E2E" w:rsidP="00E12FDF">
            <w:pPr>
              <w:pStyle w:val="Tablea"/>
            </w:pPr>
            <w:r>
              <w:t>$16,969</w:t>
            </w:r>
          </w:p>
        </w:tc>
      </w:tr>
      <w:tr w:rsidR="00FE5E2E" w:rsidRPr="00C22FA8" w14:paraId="117AC5C8" w14:textId="77777777" w:rsidTr="00E12FD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179BA5" w14:textId="77777777" w:rsidR="00FE5E2E" w:rsidRPr="00C22FA8" w:rsidRDefault="00FE5E2E" w:rsidP="00E12FDF">
            <w:pPr>
              <w:pStyle w:val="Tabletext"/>
            </w:pPr>
            <w:r w:rsidRPr="00C22FA8">
              <w:t>4</w:t>
            </w:r>
          </w:p>
        </w:tc>
        <w:tc>
          <w:tcPr>
            <w:tcW w:w="35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8BAC6CC" w14:textId="77777777" w:rsidR="00FE5E2E" w:rsidRPr="00C22FA8" w:rsidRDefault="00FE5E2E" w:rsidP="00E12FDF">
            <w:pPr>
              <w:pStyle w:val="Tabletext"/>
            </w:pPr>
            <w:r w:rsidRPr="00C22FA8">
              <w:t>Agriculture, Medicine, Dentistry, Veterinary Science, Pathology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06944A1" w14:textId="77777777" w:rsidR="00FE5E2E" w:rsidRPr="00C22FA8" w:rsidRDefault="00FE5E2E" w:rsidP="00E12FDF">
            <w:pPr>
              <w:pStyle w:val="Tablea"/>
            </w:pPr>
            <w:r>
              <w:t>$28,196</w:t>
            </w:r>
          </w:p>
        </w:tc>
      </w:tr>
    </w:tbl>
    <w:p w14:paraId="1ED24CB8" w14:textId="4B550769" w:rsidR="00831C03" w:rsidRPr="005831F8" w:rsidRDefault="00E00F3A" w:rsidP="00831C03">
      <w:pPr>
        <w:pStyle w:val="ItemHead"/>
      </w:pPr>
      <w:proofErr w:type="gramStart"/>
      <w:r>
        <w:t>9</w:t>
      </w:r>
      <w:r w:rsidR="00831C03">
        <w:t xml:space="preserve">  After</w:t>
      </w:r>
      <w:proofErr w:type="gramEnd"/>
      <w:r w:rsidR="00831C03">
        <w:t xml:space="preserve"> section 77 </w:t>
      </w:r>
    </w:p>
    <w:p w14:paraId="04D5F1D5" w14:textId="5AD27274" w:rsidR="00831C03" w:rsidRDefault="00831C03" w:rsidP="00831C03">
      <w:pPr>
        <w:pStyle w:val="Item"/>
      </w:pPr>
      <w:r>
        <w:t>Insert:</w:t>
      </w:r>
    </w:p>
    <w:p w14:paraId="0F0C37DA" w14:textId="51AFBB13" w:rsidR="00831C03" w:rsidRPr="00B11897" w:rsidRDefault="00831C03" w:rsidP="00141588">
      <w:pPr>
        <w:pStyle w:val="ActHead5"/>
        <w:keepNext w:val="0"/>
        <w:keepLines w:val="0"/>
        <w:spacing w:after="240"/>
        <w:rPr>
          <w:bCs/>
          <w:szCs w:val="24"/>
        </w:rPr>
      </w:pPr>
      <w:bookmarkStart w:id="51" w:name="_Toc115768174"/>
      <w:bookmarkStart w:id="52" w:name="_Toc122422264"/>
      <w:bookmarkStart w:id="53" w:name="_Toc122423111"/>
      <w:bookmarkStart w:id="54" w:name="_Toc122423258"/>
      <w:bookmarkStart w:id="55" w:name="_Toc122423304"/>
      <w:bookmarkStart w:id="56" w:name="_Toc122423433"/>
      <w:bookmarkStart w:id="57" w:name="_Toc124931860"/>
      <w:proofErr w:type="gramStart"/>
      <w:r w:rsidRPr="00C31E7E">
        <w:rPr>
          <w:bCs/>
          <w:szCs w:val="24"/>
        </w:rPr>
        <w:t xml:space="preserve">78  </w:t>
      </w:r>
      <w:bookmarkEnd w:id="51"/>
      <w:r w:rsidRPr="00B11897">
        <w:t>Indexation</w:t>
      </w:r>
      <w:bookmarkEnd w:id="52"/>
      <w:bookmarkEnd w:id="53"/>
      <w:bookmarkEnd w:id="54"/>
      <w:bookmarkEnd w:id="55"/>
      <w:bookmarkEnd w:id="56"/>
      <w:bookmarkEnd w:id="57"/>
      <w:proofErr w:type="gramEnd"/>
    </w:p>
    <w:p w14:paraId="62C753E6" w14:textId="745A54C6" w:rsidR="00831C03" w:rsidRDefault="00831C03" w:rsidP="00C31E7E">
      <w:pPr>
        <w:pStyle w:val="subsection"/>
      </w:pPr>
      <w:r>
        <w:tab/>
      </w:r>
      <w:r>
        <w:tab/>
        <w:t xml:space="preserve">The amounts </w:t>
      </w:r>
      <w:r w:rsidR="00141588">
        <w:t>specified</w:t>
      </w:r>
      <w:r>
        <w:t xml:space="preserve"> in </w:t>
      </w:r>
      <w:r w:rsidR="00141588">
        <w:t xml:space="preserve">the third column of </w:t>
      </w:r>
      <w:r w:rsidR="00A94889">
        <w:t xml:space="preserve">the tables in </w:t>
      </w:r>
      <w:r w:rsidR="00141588">
        <w:t>sub</w:t>
      </w:r>
      <w:r>
        <w:t>sections 76</w:t>
      </w:r>
      <w:r w:rsidR="00141588">
        <w:t>(9)</w:t>
      </w:r>
      <w:r>
        <w:t xml:space="preserve"> and 77</w:t>
      </w:r>
      <w:r w:rsidR="00141588">
        <w:t>(2)</w:t>
      </w:r>
      <w:r>
        <w:t xml:space="preserve"> are </w:t>
      </w:r>
      <w:r w:rsidR="00141588">
        <w:t>specified</w:t>
      </w:r>
      <w:r>
        <w:t xml:space="preserve"> for the year 202</w:t>
      </w:r>
      <w:r w:rsidR="00A9319F">
        <w:t>3</w:t>
      </w:r>
      <w:r>
        <w:t xml:space="preserve"> and indexed for subsequent years using the method of indexation set out in Part 5-6 of the Act. </w:t>
      </w:r>
    </w:p>
    <w:p w14:paraId="215D3249" w14:textId="60527785" w:rsidR="00DB64FC" w:rsidRDefault="00DB64FC" w:rsidP="006065DA">
      <w:pPr>
        <w:pStyle w:val="subsection"/>
      </w:pPr>
    </w:p>
    <w:sectPr w:rsidR="00DB64F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5358" w14:textId="77777777" w:rsidR="00B77B81" w:rsidRDefault="00B77B81" w:rsidP="0048364F">
      <w:pPr>
        <w:spacing w:line="240" w:lineRule="auto"/>
      </w:pPr>
      <w:r>
        <w:separator/>
      </w:r>
    </w:p>
  </w:endnote>
  <w:endnote w:type="continuationSeparator" w:id="0">
    <w:p w14:paraId="77F163C8" w14:textId="77777777" w:rsidR="00B77B81" w:rsidRDefault="00B77B8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219C640" w14:textId="77777777" w:rsidTr="0001176A">
      <w:tc>
        <w:tcPr>
          <w:tcW w:w="5000" w:type="pct"/>
        </w:tcPr>
        <w:p w14:paraId="6AD46B00" w14:textId="77777777" w:rsidR="009278C1" w:rsidRDefault="009278C1" w:rsidP="0001176A">
          <w:pPr>
            <w:rPr>
              <w:sz w:val="18"/>
            </w:rPr>
          </w:pPr>
        </w:p>
      </w:tc>
    </w:tr>
  </w:tbl>
  <w:p w14:paraId="61D76AC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6685892" w14:textId="77777777" w:rsidTr="00C160A1">
      <w:tc>
        <w:tcPr>
          <w:tcW w:w="5000" w:type="pct"/>
        </w:tcPr>
        <w:p w14:paraId="413697BF" w14:textId="77777777" w:rsidR="00B20990" w:rsidRDefault="00B20990" w:rsidP="007946FE">
          <w:pPr>
            <w:rPr>
              <w:sz w:val="18"/>
            </w:rPr>
          </w:pPr>
        </w:p>
      </w:tc>
    </w:tr>
  </w:tbl>
  <w:p w14:paraId="4C1ABF3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AF46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B0A29B4" w14:textId="77777777" w:rsidTr="00C160A1">
      <w:tc>
        <w:tcPr>
          <w:tcW w:w="5000" w:type="pct"/>
        </w:tcPr>
        <w:p w14:paraId="4D47EADE" w14:textId="77777777" w:rsidR="00B20990" w:rsidRDefault="00B20990" w:rsidP="00465764">
          <w:pPr>
            <w:rPr>
              <w:sz w:val="18"/>
            </w:rPr>
          </w:pPr>
        </w:p>
      </w:tc>
    </w:tr>
  </w:tbl>
  <w:p w14:paraId="2FEEBD2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D06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4C17B5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48AEB8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07AEB1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E4A6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699C90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7C7544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A6819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4F9056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1D9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4AF58C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DBE7DE7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FF0E267" w14:textId="78CB727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620FC">
            <w:rPr>
              <w:i/>
              <w:noProof/>
              <w:sz w:val="18"/>
            </w:rPr>
            <w:t>Higher Education Support Amendment (Microcredential Courses and Other Matters)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2A814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97C5D3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EE13D9" w14:textId="77777777" w:rsidR="00B20990" w:rsidRDefault="00B20990" w:rsidP="007946FE">
          <w:pPr>
            <w:rPr>
              <w:sz w:val="18"/>
            </w:rPr>
          </w:pPr>
        </w:p>
      </w:tc>
    </w:tr>
  </w:tbl>
  <w:p w14:paraId="2310408D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5DE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1EAE73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C1B3F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231D40" w14:textId="78EBBEB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620FC">
            <w:rPr>
              <w:i/>
              <w:noProof/>
              <w:sz w:val="18"/>
            </w:rPr>
            <w:t>Higher Education Support Amendment (Microcredential Courses and Other Matters)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25CB0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50D56B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B6209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BC468B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C37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64C5B8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46969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0BBBD9" w14:textId="250BD39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620FC">
            <w:rPr>
              <w:i/>
              <w:noProof/>
              <w:sz w:val="18"/>
            </w:rPr>
            <w:t>Higher Education Support Amendment (Microcredential Courses and Other Matters)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327F5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9CBAA5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61822B" w14:textId="77777777" w:rsidR="00EE57E8" w:rsidRDefault="00EE57E8" w:rsidP="00EE57E8">
          <w:pPr>
            <w:rPr>
              <w:sz w:val="18"/>
            </w:rPr>
          </w:pPr>
        </w:p>
      </w:tc>
    </w:tr>
  </w:tbl>
  <w:p w14:paraId="555211E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2AA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8F1E04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0CA79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85C138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4A6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523CC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2BB893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34E82C" w14:textId="0BDF9D7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E4A6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620FC">
            <w:rPr>
              <w:i/>
              <w:noProof/>
              <w:sz w:val="18"/>
            </w:rPr>
            <w:t>27/1/2023 10:24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8B194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CEB9" w14:textId="77777777" w:rsidR="00B77B81" w:rsidRDefault="00B77B81" w:rsidP="0048364F">
      <w:pPr>
        <w:spacing w:line="240" w:lineRule="auto"/>
      </w:pPr>
      <w:r>
        <w:separator/>
      </w:r>
    </w:p>
  </w:footnote>
  <w:footnote w:type="continuationSeparator" w:id="0">
    <w:p w14:paraId="44A4E22F" w14:textId="77777777" w:rsidR="00B77B81" w:rsidRDefault="00B77B8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237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0D6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5C7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0EF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DA1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57A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D5DC" w14:textId="77777777" w:rsidR="00EE57E8" w:rsidRPr="00A961C4" w:rsidRDefault="00EE57E8" w:rsidP="0048364F">
    <w:pPr>
      <w:rPr>
        <w:b/>
        <w:sz w:val="20"/>
      </w:rPr>
    </w:pPr>
  </w:p>
  <w:p w14:paraId="6B61468A" w14:textId="77777777" w:rsidR="00EE57E8" w:rsidRPr="00A961C4" w:rsidRDefault="00EE57E8" w:rsidP="0048364F">
    <w:pPr>
      <w:rPr>
        <w:b/>
        <w:sz w:val="20"/>
      </w:rPr>
    </w:pPr>
  </w:p>
  <w:p w14:paraId="0DDC126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06AE" w14:textId="77777777" w:rsidR="00EE57E8" w:rsidRPr="00A961C4" w:rsidRDefault="00EE57E8" w:rsidP="0048364F">
    <w:pPr>
      <w:jc w:val="right"/>
      <w:rPr>
        <w:sz w:val="20"/>
      </w:rPr>
    </w:pPr>
  </w:p>
  <w:p w14:paraId="1A662219" w14:textId="77777777" w:rsidR="00EE57E8" w:rsidRPr="00A961C4" w:rsidRDefault="00EE57E8" w:rsidP="0048364F">
    <w:pPr>
      <w:jc w:val="right"/>
      <w:rPr>
        <w:b/>
        <w:sz w:val="20"/>
      </w:rPr>
    </w:pPr>
  </w:p>
  <w:p w14:paraId="5B36C73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C1A5EA3"/>
    <w:multiLevelType w:val="hybridMultilevel"/>
    <w:tmpl w:val="BFBE6790"/>
    <w:lvl w:ilvl="0" w:tplc="4AAC33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6B"/>
    <w:rsid w:val="00000263"/>
    <w:rsid w:val="00002BCC"/>
    <w:rsid w:val="000113BC"/>
    <w:rsid w:val="000136AF"/>
    <w:rsid w:val="0004044E"/>
    <w:rsid w:val="00040650"/>
    <w:rsid w:val="000431F5"/>
    <w:rsid w:val="0005120E"/>
    <w:rsid w:val="00054577"/>
    <w:rsid w:val="000614BF"/>
    <w:rsid w:val="0006294B"/>
    <w:rsid w:val="0007169C"/>
    <w:rsid w:val="00077593"/>
    <w:rsid w:val="00083F48"/>
    <w:rsid w:val="000A0D2F"/>
    <w:rsid w:val="000A479A"/>
    <w:rsid w:val="000A7B5C"/>
    <w:rsid w:val="000A7DF9"/>
    <w:rsid w:val="000D05EF"/>
    <w:rsid w:val="000D3FB9"/>
    <w:rsid w:val="000D5485"/>
    <w:rsid w:val="000E101D"/>
    <w:rsid w:val="000E598E"/>
    <w:rsid w:val="000E5A3D"/>
    <w:rsid w:val="000F0ADA"/>
    <w:rsid w:val="000F21C1"/>
    <w:rsid w:val="0010745C"/>
    <w:rsid w:val="001122FF"/>
    <w:rsid w:val="00141588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5DF3"/>
    <w:rsid w:val="001E7407"/>
    <w:rsid w:val="001F1A46"/>
    <w:rsid w:val="00201D27"/>
    <w:rsid w:val="0020484B"/>
    <w:rsid w:val="0021153A"/>
    <w:rsid w:val="002245A6"/>
    <w:rsid w:val="002302EA"/>
    <w:rsid w:val="00230A94"/>
    <w:rsid w:val="00237614"/>
    <w:rsid w:val="00240749"/>
    <w:rsid w:val="002468D7"/>
    <w:rsid w:val="00247E97"/>
    <w:rsid w:val="00252715"/>
    <w:rsid w:val="00256C81"/>
    <w:rsid w:val="00285CDD"/>
    <w:rsid w:val="00291167"/>
    <w:rsid w:val="0029489E"/>
    <w:rsid w:val="00297ECB"/>
    <w:rsid w:val="002B3184"/>
    <w:rsid w:val="002C152A"/>
    <w:rsid w:val="002D043A"/>
    <w:rsid w:val="002D5132"/>
    <w:rsid w:val="002E777B"/>
    <w:rsid w:val="003056F3"/>
    <w:rsid w:val="0031713F"/>
    <w:rsid w:val="003222D1"/>
    <w:rsid w:val="0032750F"/>
    <w:rsid w:val="003415D3"/>
    <w:rsid w:val="003442F6"/>
    <w:rsid w:val="00346335"/>
    <w:rsid w:val="00352B0F"/>
    <w:rsid w:val="003561B0"/>
    <w:rsid w:val="0037394F"/>
    <w:rsid w:val="00397893"/>
    <w:rsid w:val="003A0F7D"/>
    <w:rsid w:val="003A15AC"/>
    <w:rsid w:val="003A1E13"/>
    <w:rsid w:val="003B0627"/>
    <w:rsid w:val="003C5F2B"/>
    <w:rsid w:val="003C7D35"/>
    <w:rsid w:val="003D0BFE"/>
    <w:rsid w:val="003D55F8"/>
    <w:rsid w:val="003D5700"/>
    <w:rsid w:val="003F6F52"/>
    <w:rsid w:val="004022CA"/>
    <w:rsid w:val="004116CD"/>
    <w:rsid w:val="00411C5F"/>
    <w:rsid w:val="00414ADE"/>
    <w:rsid w:val="00416523"/>
    <w:rsid w:val="00416819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457F"/>
    <w:rsid w:val="004A53EA"/>
    <w:rsid w:val="004B35E7"/>
    <w:rsid w:val="004C1DF0"/>
    <w:rsid w:val="004F1FAC"/>
    <w:rsid w:val="004F676E"/>
    <w:rsid w:val="004F71C0"/>
    <w:rsid w:val="00510827"/>
    <w:rsid w:val="00516B8D"/>
    <w:rsid w:val="0052245C"/>
    <w:rsid w:val="00523F57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31F8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12A"/>
    <w:rsid w:val="00600219"/>
    <w:rsid w:val="006065DA"/>
    <w:rsid w:val="00606AA4"/>
    <w:rsid w:val="00633BAD"/>
    <w:rsid w:val="00640402"/>
    <w:rsid w:val="00640F78"/>
    <w:rsid w:val="0064510F"/>
    <w:rsid w:val="00655D6A"/>
    <w:rsid w:val="00656DE9"/>
    <w:rsid w:val="00672876"/>
    <w:rsid w:val="00677CC2"/>
    <w:rsid w:val="00685F42"/>
    <w:rsid w:val="0069207B"/>
    <w:rsid w:val="006A1445"/>
    <w:rsid w:val="006A304E"/>
    <w:rsid w:val="006B7006"/>
    <w:rsid w:val="006C7F8C"/>
    <w:rsid w:val="006D7AB9"/>
    <w:rsid w:val="006F448E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21C8"/>
    <w:rsid w:val="007A6863"/>
    <w:rsid w:val="007C78B4"/>
    <w:rsid w:val="007E32B6"/>
    <w:rsid w:val="007E486B"/>
    <w:rsid w:val="007E7D4A"/>
    <w:rsid w:val="007F48ED"/>
    <w:rsid w:val="007F5E3F"/>
    <w:rsid w:val="00812F45"/>
    <w:rsid w:val="0082042A"/>
    <w:rsid w:val="008277AB"/>
    <w:rsid w:val="00831C03"/>
    <w:rsid w:val="0083470F"/>
    <w:rsid w:val="00836FE9"/>
    <w:rsid w:val="0084172C"/>
    <w:rsid w:val="0085175E"/>
    <w:rsid w:val="00856A31"/>
    <w:rsid w:val="008620FC"/>
    <w:rsid w:val="008754D0"/>
    <w:rsid w:val="00877C69"/>
    <w:rsid w:val="00877D48"/>
    <w:rsid w:val="0088345B"/>
    <w:rsid w:val="008A16A5"/>
    <w:rsid w:val="008A5C57"/>
    <w:rsid w:val="008C0629"/>
    <w:rsid w:val="008C1B39"/>
    <w:rsid w:val="008C5726"/>
    <w:rsid w:val="008D0EE0"/>
    <w:rsid w:val="008D63C0"/>
    <w:rsid w:val="008D7A27"/>
    <w:rsid w:val="008E4702"/>
    <w:rsid w:val="008E69AA"/>
    <w:rsid w:val="008F4F1C"/>
    <w:rsid w:val="009069AD"/>
    <w:rsid w:val="00910E64"/>
    <w:rsid w:val="00913EE2"/>
    <w:rsid w:val="00922764"/>
    <w:rsid w:val="009278C1"/>
    <w:rsid w:val="00932377"/>
    <w:rsid w:val="009346E3"/>
    <w:rsid w:val="0094523D"/>
    <w:rsid w:val="00976A63"/>
    <w:rsid w:val="009B2490"/>
    <w:rsid w:val="009B48B9"/>
    <w:rsid w:val="009B50E5"/>
    <w:rsid w:val="009C3431"/>
    <w:rsid w:val="009C5989"/>
    <w:rsid w:val="009C6A32"/>
    <w:rsid w:val="009D08DA"/>
    <w:rsid w:val="009D5EF9"/>
    <w:rsid w:val="00A06860"/>
    <w:rsid w:val="00A136F5"/>
    <w:rsid w:val="00A231E2"/>
    <w:rsid w:val="00A2550D"/>
    <w:rsid w:val="00A379BB"/>
    <w:rsid w:val="00A4169B"/>
    <w:rsid w:val="00A504E0"/>
    <w:rsid w:val="00A50D55"/>
    <w:rsid w:val="00A52FDA"/>
    <w:rsid w:val="00A64912"/>
    <w:rsid w:val="00A70A74"/>
    <w:rsid w:val="00A77A3A"/>
    <w:rsid w:val="00A9231A"/>
    <w:rsid w:val="00A9319F"/>
    <w:rsid w:val="00A94889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1897"/>
    <w:rsid w:val="00B14945"/>
    <w:rsid w:val="00B20990"/>
    <w:rsid w:val="00B23FAF"/>
    <w:rsid w:val="00B33B3C"/>
    <w:rsid w:val="00B40D74"/>
    <w:rsid w:val="00B42649"/>
    <w:rsid w:val="00B46467"/>
    <w:rsid w:val="00B52663"/>
    <w:rsid w:val="00B53353"/>
    <w:rsid w:val="00B56DCB"/>
    <w:rsid w:val="00B60A93"/>
    <w:rsid w:val="00B61728"/>
    <w:rsid w:val="00B770D2"/>
    <w:rsid w:val="00B77B81"/>
    <w:rsid w:val="00B93516"/>
    <w:rsid w:val="00B96776"/>
    <w:rsid w:val="00B973E5"/>
    <w:rsid w:val="00BA47A3"/>
    <w:rsid w:val="00BA5026"/>
    <w:rsid w:val="00BA7B5B"/>
    <w:rsid w:val="00BB6E79"/>
    <w:rsid w:val="00BC3EB4"/>
    <w:rsid w:val="00BE1477"/>
    <w:rsid w:val="00BE1B0B"/>
    <w:rsid w:val="00BE42C5"/>
    <w:rsid w:val="00BE719A"/>
    <w:rsid w:val="00BE720A"/>
    <w:rsid w:val="00BF0723"/>
    <w:rsid w:val="00BF58DC"/>
    <w:rsid w:val="00BF6650"/>
    <w:rsid w:val="00C067E5"/>
    <w:rsid w:val="00C164CA"/>
    <w:rsid w:val="00C25FFB"/>
    <w:rsid w:val="00C26051"/>
    <w:rsid w:val="00C31E7E"/>
    <w:rsid w:val="00C42BF8"/>
    <w:rsid w:val="00C460AE"/>
    <w:rsid w:val="00C50043"/>
    <w:rsid w:val="00C5015F"/>
    <w:rsid w:val="00C50A0F"/>
    <w:rsid w:val="00C50F4A"/>
    <w:rsid w:val="00C66449"/>
    <w:rsid w:val="00C72D10"/>
    <w:rsid w:val="00C7573B"/>
    <w:rsid w:val="00C76CF3"/>
    <w:rsid w:val="00C93205"/>
    <w:rsid w:val="00C945DC"/>
    <w:rsid w:val="00CA5234"/>
    <w:rsid w:val="00CA7844"/>
    <w:rsid w:val="00CB58EF"/>
    <w:rsid w:val="00CC059F"/>
    <w:rsid w:val="00CD15A4"/>
    <w:rsid w:val="00CE0A93"/>
    <w:rsid w:val="00CF0BB2"/>
    <w:rsid w:val="00D051C8"/>
    <w:rsid w:val="00D06EDC"/>
    <w:rsid w:val="00D12B0D"/>
    <w:rsid w:val="00D13441"/>
    <w:rsid w:val="00D153CF"/>
    <w:rsid w:val="00D243A3"/>
    <w:rsid w:val="00D33440"/>
    <w:rsid w:val="00D526B6"/>
    <w:rsid w:val="00D52EFE"/>
    <w:rsid w:val="00D56A0D"/>
    <w:rsid w:val="00D57292"/>
    <w:rsid w:val="00D63EF6"/>
    <w:rsid w:val="00D65060"/>
    <w:rsid w:val="00D66518"/>
    <w:rsid w:val="00D70DFB"/>
    <w:rsid w:val="00D71EEA"/>
    <w:rsid w:val="00D735CD"/>
    <w:rsid w:val="00D766DF"/>
    <w:rsid w:val="00D7695A"/>
    <w:rsid w:val="00D90841"/>
    <w:rsid w:val="00DA2439"/>
    <w:rsid w:val="00DA6F05"/>
    <w:rsid w:val="00DB64FC"/>
    <w:rsid w:val="00DE149E"/>
    <w:rsid w:val="00E00F3A"/>
    <w:rsid w:val="00E034DB"/>
    <w:rsid w:val="00E05704"/>
    <w:rsid w:val="00E10252"/>
    <w:rsid w:val="00E12F1A"/>
    <w:rsid w:val="00E20F19"/>
    <w:rsid w:val="00E22935"/>
    <w:rsid w:val="00E54292"/>
    <w:rsid w:val="00E60191"/>
    <w:rsid w:val="00E74DC7"/>
    <w:rsid w:val="00E87699"/>
    <w:rsid w:val="00E92E27"/>
    <w:rsid w:val="00E95205"/>
    <w:rsid w:val="00E9586B"/>
    <w:rsid w:val="00E97334"/>
    <w:rsid w:val="00EB3A99"/>
    <w:rsid w:val="00EB65F8"/>
    <w:rsid w:val="00EC0D5D"/>
    <w:rsid w:val="00EC1179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297D"/>
    <w:rsid w:val="00F26DF7"/>
    <w:rsid w:val="00F32FCB"/>
    <w:rsid w:val="00F33523"/>
    <w:rsid w:val="00F46B17"/>
    <w:rsid w:val="00F677A9"/>
    <w:rsid w:val="00F8121C"/>
    <w:rsid w:val="00F823EB"/>
    <w:rsid w:val="00F84CF5"/>
    <w:rsid w:val="00F8612E"/>
    <w:rsid w:val="00F94583"/>
    <w:rsid w:val="00FA420B"/>
    <w:rsid w:val="00FB4182"/>
    <w:rsid w:val="00FB6AEE"/>
    <w:rsid w:val="00FC3EAC"/>
    <w:rsid w:val="00FE4A6B"/>
    <w:rsid w:val="00FE5E2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C8151"/>
  <w15:docId w15:val="{198A7F29-124D-42A6-AC10-9FC56595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52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B6"/>
    <w:rPr>
      <w:b/>
      <w:bCs/>
    </w:rPr>
  </w:style>
  <w:style w:type="paragraph" w:styleId="Revision">
    <w:name w:val="Revision"/>
    <w:hidden/>
    <w:uiPriority w:val="99"/>
    <w:semiHidden/>
    <w:rsid w:val="00B53353"/>
    <w:rPr>
      <w:sz w:val="22"/>
    </w:rPr>
  </w:style>
  <w:style w:type="character" w:styleId="Hyperlink">
    <w:name w:val="Hyperlink"/>
    <w:basedOn w:val="DefaultParagraphFont"/>
    <w:uiPriority w:val="99"/>
    <w:unhideWhenUsed/>
    <w:rsid w:val="009D5EF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55F8"/>
    <w:rPr>
      <w:color w:val="808080"/>
    </w:rPr>
  </w:style>
  <w:style w:type="character" w:customStyle="1" w:styleId="paragraphChar">
    <w:name w:val="paragraph Char"/>
    <w:aliases w:val="a Char"/>
    <w:basedOn w:val="DefaultParagraphFont"/>
    <w:link w:val="paragraph"/>
    <w:rsid w:val="00D06ED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image" Target="media/image3.jp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amending_instrument_0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BCD0-9CFD-4831-B3EB-8CC2B377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(8).dotx</Template>
  <TotalTime>57</TotalTime>
  <Pages>9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NORRIS,Myles</cp:lastModifiedBy>
  <cp:revision>11</cp:revision>
  <dcterms:created xsi:type="dcterms:W3CDTF">2023-01-19T03:01:00Z</dcterms:created>
  <dcterms:modified xsi:type="dcterms:W3CDTF">2023-01-26T23:27:00Z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2022-10-31T03:25:38Z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d51ef5c2-d433-4c93-9e4d-43e6c84cf329</vt:lpwstr>
  </property>
  <property fmtid="{D5CDD505-2E9C-101B-9397-08002B2CF9AE}" pid="8" name="MSIP_Label_79d889eb-932f-4752-8739-64d25806ef64_ContentBits">
    <vt:lpwstr>0</vt:lpwstr>
  </property>
</Properties>
</file>