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5E0B" w14:textId="77777777" w:rsidR="000D0B16" w:rsidRPr="00A7162B" w:rsidRDefault="000D0B16" w:rsidP="000D0B16">
      <w:pPr>
        <w:pStyle w:val="Heading11"/>
        <w:keepNext w:val="0"/>
        <w:spacing w:before="0" w:after="0"/>
        <w:rPr>
          <w:rFonts w:ascii="Arial" w:hAnsi="Arial" w:cs="Arial"/>
          <w:b/>
          <w:caps w:val="0"/>
          <w:szCs w:val="24"/>
          <w:lang w:val="en-AU"/>
        </w:rPr>
      </w:pPr>
      <w:r w:rsidRPr="00A7162B">
        <w:rPr>
          <w:rFonts w:ascii="Arial" w:hAnsi="Arial" w:cs="Arial"/>
          <w:b/>
          <w:caps w:val="0"/>
          <w:szCs w:val="24"/>
          <w:lang w:val="en-AU"/>
        </w:rPr>
        <w:t>EXPLANATORY STATEMENT</w:t>
      </w:r>
    </w:p>
    <w:p w14:paraId="6A168491" w14:textId="77777777" w:rsidR="000D0B16" w:rsidRPr="00A7162B" w:rsidRDefault="000D0B16" w:rsidP="000D0B16">
      <w:pPr>
        <w:jc w:val="center"/>
        <w:rPr>
          <w:rFonts w:ascii="Arial" w:hAnsi="Arial" w:cs="Arial"/>
          <w:b/>
        </w:rPr>
      </w:pPr>
    </w:p>
    <w:p w14:paraId="7CE88DD5" w14:textId="442A6F57" w:rsidR="000D0B16" w:rsidRPr="00A7162B" w:rsidRDefault="000D0B16" w:rsidP="000D0B16">
      <w:pPr>
        <w:jc w:val="center"/>
        <w:rPr>
          <w:rFonts w:ascii="Arial" w:hAnsi="Arial" w:cs="Arial"/>
          <w:b/>
        </w:rPr>
      </w:pPr>
      <w:r w:rsidRPr="00A7162B">
        <w:rPr>
          <w:rFonts w:ascii="Arial" w:hAnsi="Arial" w:cs="Arial"/>
          <w:b/>
        </w:rPr>
        <w:t>(Issued under the Authority of the Minister for the Environment</w:t>
      </w:r>
      <w:r w:rsidR="00B54B57">
        <w:rPr>
          <w:rFonts w:ascii="Arial" w:hAnsi="Arial" w:cs="Arial"/>
          <w:b/>
        </w:rPr>
        <w:t xml:space="preserve"> and Water</w:t>
      </w:r>
      <w:r w:rsidRPr="00A7162B">
        <w:rPr>
          <w:rFonts w:ascii="Arial" w:hAnsi="Arial" w:cs="Arial"/>
          <w:b/>
        </w:rPr>
        <w:t>)</w:t>
      </w:r>
    </w:p>
    <w:p w14:paraId="00961872" w14:textId="77777777" w:rsidR="000D0B16" w:rsidRPr="00A7162B" w:rsidRDefault="000D0B16" w:rsidP="000D0B16">
      <w:pPr>
        <w:jc w:val="center"/>
        <w:rPr>
          <w:rFonts w:ascii="Arial" w:hAnsi="Arial" w:cs="Arial"/>
          <w:b/>
        </w:rPr>
      </w:pPr>
    </w:p>
    <w:p w14:paraId="10582473" w14:textId="685D9EAB" w:rsidR="000D0B16" w:rsidRPr="00C00055" w:rsidRDefault="000D0B16" w:rsidP="00C00055">
      <w:pPr>
        <w:pStyle w:val="Heading1"/>
        <w:rPr>
          <w:rFonts w:ascii="Arial" w:hAnsi="Arial" w:cs="Arial"/>
          <w:sz w:val="24"/>
          <w:szCs w:val="24"/>
        </w:rPr>
      </w:pPr>
      <w:r w:rsidRPr="00A7162B">
        <w:rPr>
          <w:rFonts w:ascii="Arial" w:hAnsi="Arial" w:cs="Arial"/>
          <w:sz w:val="24"/>
          <w:szCs w:val="24"/>
        </w:rPr>
        <w:t>Environment Protection and Biodiversity Conservation Act 1999</w:t>
      </w:r>
    </w:p>
    <w:p w14:paraId="7FAD9E7F" w14:textId="59D21C04" w:rsidR="002C542A" w:rsidRDefault="002C542A" w:rsidP="000D0B16">
      <w:pPr>
        <w:rPr>
          <w:rFonts w:ascii="Arial" w:hAnsi="Arial" w:cs="Arial"/>
          <w:b/>
          <w:sz w:val="22"/>
          <w:szCs w:val="22"/>
        </w:rPr>
      </w:pPr>
    </w:p>
    <w:p w14:paraId="613941FD" w14:textId="701ED18D" w:rsidR="008859A5" w:rsidRPr="000C034A" w:rsidRDefault="008859A5" w:rsidP="008859A5">
      <w:pPr>
        <w:widowControl w:val="0"/>
        <w:tabs>
          <w:tab w:val="left" w:pos="567"/>
        </w:tabs>
        <w:spacing w:line="264" w:lineRule="auto"/>
        <w:jc w:val="center"/>
        <w:rPr>
          <w:rFonts w:ascii="Arial" w:hAnsi="Arial" w:cs="Arial"/>
          <w:bCs/>
        </w:rPr>
      </w:pPr>
      <w:r w:rsidRPr="00955F7E">
        <w:rPr>
          <w:rFonts w:ascii="Arial" w:hAnsi="Arial" w:cs="Arial"/>
          <w:snapToGrid w:val="0"/>
        </w:rPr>
        <w:t>Environment Protection and Biodiversity Conserva</w:t>
      </w:r>
      <w:r w:rsidRPr="008A4885">
        <w:rPr>
          <w:rFonts w:ascii="Arial" w:hAnsi="Arial" w:cs="Arial"/>
          <w:snapToGrid w:val="0"/>
        </w:rPr>
        <w:t xml:space="preserve">tion </w:t>
      </w:r>
      <w:r w:rsidR="00FD1348" w:rsidRPr="00FD1348">
        <w:rPr>
          <w:rFonts w:ascii="Arial" w:hAnsi="Arial" w:cs="Arial"/>
          <w:snapToGrid w:val="0"/>
        </w:rPr>
        <w:t>(202</w:t>
      </w:r>
      <w:r w:rsidR="00FD1348">
        <w:rPr>
          <w:rFonts w:ascii="Arial" w:hAnsi="Arial" w:cs="Arial"/>
          <w:snapToGrid w:val="0"/>
        </w:rPr>
        <w:t>3</w:t>
      </w:r>
      <w:r w:rsidR="00FD1348" w:rsidRPr="00FD1348">
        <w:rPr>
          <w:rFonts w:ascii="Arial" w:hAnsi="Arial" w:cs="Arial"/>
          <w:snapToGrid w:val="0"/>
        </w:rPr>
        <w:t xml:space="preserve"> conservation theme for prioritising nominations of threatened species, threatened ecological communities and key threatening processes)</w:t>
      </w:r>
      <w:r w:rsidRPr="008A4885">
        <w:rPr>
          <w:rFonts w:ascii="Arial" w:hAnsi="Arial" w:cs="Arial"/>
        </w:rPr>
        <w:t xml:space="preserve"> Determination </w:t>
      </w:r>
      <w:r w:rsidRPr="008A4885">
        <w:rPr>
          <w:rFonts w:ascii="Arial" w:hAnsi="Arial" w:cs="Arial"/>
          <w:bCs/>
        </w:rPr>
        <w:t>202</w:t>
      </w:r>
      <w:r w:rsidR="001C5FC8">
        <w:rPr>
          <w:rFonts w:ascii="Arial" w:hAnsi="Arial" w:cs="Arial"/>
          <w:bCs/>
        </w:rPr>
        <w:t>2</w:t>
      </w:r>
    </w:p>
    <w:p w14:paraId="2BFBBA57" w14:textId="77777777" w:rsidR="008859A5" w:rsidRPr="007B790B" w:rsidRDefault="008859A5" w:rsidP="000D0B16">
      <w:pPr>
        <w:rPr>
          <w:rFonts w:ascii="Arial" w:hAnsi="Arial" w:cs="Arial"/>
          <w:b/>
          <w:sz w:val="22"/>
          <w:szCs w:val="22"/>
        </w:rPr>
      </w:pPr>
    </w:p>
    <w:p w14:paraId="2A6D57CD" w14:textId="77777777" w:rsidR="008B0A5C" w:rsidRDefault="008B0A5C" w:rsidP="002B3148">
      <w:pPr>
        <w:rPr>
          <w:rFonts w:ascii="Arial" w:hAnsi="Arial" w:cs="Arial"/>
          <w:b/>
          <w:bCs/>
          <w:sz w:val="22"/>
          <w:szCs w:val="22"/>
        </w:rPr>
      </w:pPr>
    </w:p>
    <w:p w14:paraId="0C320416" w14:textId="0D8E62B4" w:rsidR="002B3148" w:rsidRPr="00D12A2B" w:rsidRDefault="002B3148" w:rsidP="002B31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Background</w:t>
      </w:r>
    </w:p>
    <w:p w14:paraId="75D36BF9" w14:textId="77777777" w:rsidR="002B3148" w:rsidRDefault="002B3148" w:rsidP="002B3148">
      <w:pPr>
        <w:rPr>
          <w:rFonts w:ascii="Arial" w:hAnsi="Arial" w:cs="Arial"/>
          <w:bCs/>
          <w:sz w:val="22"/>
          <w:szCs w:val="22"/>
        </w:rPr>
      </w:pPr>
    </w:p>
    <w:p w14:paraId="4AE22133" w14:textId="77777777" w:rsidR="002B3148" w:rsidRPr="00DD34C1" w:rsidRDefault="002B3148" w:rsidP="002B3148">
      <w:pPr>
        <w:rPr>
          <w:rFonts w:ascii="Arial" w:hAnsi="Arial" w:cs="Arial"/>
          <w:bCs/>
          <w:sz w:val="22"/>
          <w:szCs w:val="22"/>
        </w:rPr>
      </w:pPr>
      <w:r w:rsidRPr="007B790B">
        <w:rPr>
          <w:rFonts w:ascii="Arial" w:hAnsi="Arial" w:cs="Arial"/>
          <w:bCs/>
          <w:sz w:val="22"/>
          <w:szCs w:val="22"/>
        </w:rPr>
        <w:t xml:space="preserve">The </w:t>
      </w:r>
      <w:r w:rsidRPr="007B790B">
        <w:rPr>
          <w:rFonts w:ascii="Arial" w:hAnsi="Arial" w:cs="Arial"/>
          <w:bCs/>
          <w:i/>
          <w:sz w:val="22"/>
          <w:szCs w:val="22"/>
        </w:rPr>
        <w:t>Environment Protection and Biodiversity Conservation Act 1999</w:t>
      </w:r>
      <w:r w:rsidRPr="007B790B">
        <w:rPr>
          <w:rFonts w:ascii="Arial" w:hAnsi="Arial" w:cs="Arial"/>
          <w:bCs/>
          <w:sz w:val="22"/>
          <w:szCs w:val="22"/>
        </w:rPr>
        <w:t xml:space="preserve"> (</w:t>
      </w:r>
      <w:r w:rsidRPr="007B790B">
        <w:rPr>
          <w:rFonts w:ascii="Arial" w:hAnsi="Arial" w:cs="Arial"/>
          <w:b/>
          <w:bCs/>
          <w:sz w:val="22"/>
          <w:szCs w:val="22"/>
        </w:rPr>
        <w:t>Act</w:t>
      </w:r>
      <w:r w:rsidRPr="007B790B">
        <w:rPr>
          <w:rFonts w:ascii="Arial" w:hAnsi="Arial" w:cs="Arial"/>
          <w:bCs/>
          <w:sz w:val="22"/>
          <w:szCs w:val="22"/>
        </w:rPr>
        <w:t xml:space="preserve">) provides for the protection of the environment and </w:t>
      </w:r>
      <w:r w:rsidRPr="00DD34C1">
        <w:rPr>
          <w:rFonts w:ascii="Arial" w:hAnsi="Arial" w:cs="Arial"/>
          <w:bCs/>
          <w:sz w:val="22"/>
          <w:szCs w:val="22"/>
        </w:rPr>
        <w:t>conservation of biodiversity, including the protection and conservation of threatened species</w:t>
      </w:r>
      <w:r>
        <w:rPr>
          <w:rFonts w:ascii="Arial" w:hAnsi="Arial" w:cs="Arial"/>
          <w:bCs/>
          <w:sz w:val="22"/>
          <w:szCs w:val="22"/>
        </w:rPr>
        <w:t xml:space="preserve"> and ecological communities and the abatement of key threatening processes</w:t>
      </w:r>
      <w:r w:rsidRPr="00DD34C1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The Act requires the responsible Minister </w:t>
      </w:r>
      <w:r w:rsidRPr="00DD34C1">
        <w:rPr>
          <w:rFonts w:ascii="Arial" w:hAnsi="Arial" w:cs="Arial"/>
          <w:bCs/>
          <w:sz w:val="22"/>
          <w:szCs w:val="22"/>
        </w:rPr>
        <w:t>to establish and</w:t>
      </w:r>
      <w:r>
        <w:rPr>
          <w:rFonts w:ascii="Arial" w:hAnsi="Arial" w:cs="Arial"/>
          <w:bCs/>
          <w:sz w:val="22"/>
          <w:szCs w:val="22"/>
        </w:rPr>
        <w:t>, where warranted,</w:t>
      </w:r>
      <w:r w:rsidRPr="00DD34C1">
        <w:rPr>
          <w:rFonts w:ascii="Arial" w:hAnsi="Arial" w:cs="Arial"/>
          <w:bCs/>
          <w:sz w:val="22"/>
          <w:szCs w:val="22"/>
        </w:rPr>
        <w:t xml:space="preserve"> amend lists of threatened species, threatened ecological communities and key threatening processes.</w:t>
      </w:r>
    </w:p>
    <w:p w14:paraId="6020712D" w14:textId="77777777" w:rsidR="002B3148" w:rsidRPr="007B790B" w:rsidRDefault="002B3148" w:rsidP="002B3148">
      <w:pPr>
        <w:rPr>
          <w:rFonts w:ascii="Arial" w:hAnsi="Arial" w:cs="Arial"/>
          <w:bCs/>
          <w:sz w:val="22"/>
          <w:szCs w:val="22"/>
        </w:rPr>
      </w:pPr>
    </w:p>
    <w:p w14:paraId="57A2A868" w14:textId="659EF7AA" w:rsidR="002B3148" w:rsidRDefault="00033844" w:rsidP="002B31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 13, Division 1, s</w:t>
      </w:r>
      <w:r w:rsidR="002B3148">
        <w:rPr>
          <w:rFonts w:ascii="Arial" w:hAnsi="Arial" w:cs="Arial"/>
          <w:bCs/>
          <w:sz w:val="22"/>
          <w:szCs w:val="22"/>
        </w:rPr>
        <w:t xml:space="preserve">ubdivision AA of the Act outlines the nomination and listing process for threatened species, ecological communities and key threatening processes. </w:t>
      </w:r>
      <w:r w:rsidR="002B3148" w:rsidRPr="00DD34C1">
        <w:rPr>
          <w:rFonts w:ascii="Arial" w:hAnsi="Arial" w:cs="Arial"/>
          <w:bCs/>
          <w:sz w:val="22"/>
          <w:szCs w:val="22"/>
        </w:rPr>
        <w:t>Section 194D of the Act provides that</w:t>
      </w:r>
      <w:r w:rsidR="002B3148">
        <w:rPr>
          <w:rFonts w:ascii="Arial" w:hAnsi="Arial" w:cs="Arial"/>
          <w:bCs/>
          <w:sz w:val="22"/>
          <w:szCs w:val="22"/>
        </w:rPr>
        <w:t xml:space="preserve"> prior to inviting nominations for a 12</w:t>
      </w:r>
      <w:r w:rsidR="003B1C38">
        <w:rPr>
          <w:rFonts w:ascii="Arial" w:hAnsi="Arial" w:cs="Arial"/>
          <w:bCs/>
          <w:sz w:val="22"/>
          <w:szCs w:val="22"/>
        </w:rPr>
        <w:t>-</w:t>
      </w:r>
      <w:r w:rsidR="002B3148">
        <w:rPr>
          <w:rFonts w:ascii="Arial" w:hAnsi="Arial" w:cs="Arial"/>
          <w:bCs/>
          <w:sz w:val="22"/>
          <w:szCs w:val="22"/>
        </w:rPr>
        <w:t>month assessment period for a Subsection A list under section 194E,</w:t>
      </w:r>
      <w:r w:rsidR="002B3148" w:rsidRPr="00DD34C1">
        <w:rPr>
          <w:rFonts w:ascii="Arial" w:hAnsi="Arial" w:cs="Arial"/>
          <w:bCs/>
          <w:sz w:val="22"/>
          <w:szCs w:val="22"/>
        </w:rPr>
        <w:t xml:space="preserve"> the Minister may determine one or more conservation themes that the Minister considers should be given priority in relation to an assessment period. </w:t>
      </w:r>
    </w:p>
    <w:p w14:paraId="16238E8D" w14:textId="77777777" w:rsidR="002B3148" w:rsidRDefault="002B3148" w:rsidP="002B3148">
      <w:pPr>
        <w:rPr>
          <w:rFonts w:ascii="Arial" w:hAnsi="Arial" w:cs="Arial"/>
          <w:bCs/>
          <w:sz w:val="22"/>
          <w:szCs w:val="22"/>
        </w:rPr>
      </w:pPr>
    </w:p>
    <w:p w14:paraId="6D2078DB" w14:textId="28526447" w:rsidR="002B3148" w:rsidRPr="00DD34C1" w:rsidRDefault="002B3148" w:rsidP="002B31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Conservation themes are also a discretionary consideration for the preparation of a proposed priority assessment list by the </w:t>
      </w:r>
      <w:r w:rsidRPr="00B91E00">
        <w:rPr>
          <w:rFonts w:ascii="Arial" w:hAnsi="Arial" w:cs="Arial"/>
          <w:iCs/>
          <w:sz w:val="22"/>
          <w:szCs w:val="22"/>
        </w:rPr>
        <w:t xml:space="preserve">Threatened </w:t>
      </w:r>
      <w:r w:rsidRPr="00BE2028">
        <w:rPr>
          <w:rFonts w:ascii="Arial" w:hAnsi="Arial" w:cs="Arial"/>
          <w:iCs/>
          <w:sz w:val="22"/>
          <w:szCs w:val="22"/>
        </w:rPr>
        <w:t xml:space="preserve">Species Scientific Committee </w:t>
      </w:r>
      <w:r>
        <w:rPr>
          <w:rFonts w:ascii="Arial" w:hAnsi="Arial" w:cs="Arial"/>
          <w:iCs/>
          <w:sz w:val="22"/>
          <w:szCs w:val="22"/>
        </w:rPr>
        <w:t xml:space="preserve">under </w:t>
      </w:r>
      <w:r w:rsidR="00B54B57">
        <w:rPr>
          <w:rFonts w:ascii="Arial" w:hAnsi="Arial" w:cs="Arial"/>
          <w:iCs/>
          <w:sz w:val="22"/>
          <w:szCs w:val="22"/>
        </w:rPr>
        <w:t>sub</w:t>
      </w:r>
      <w:r>
        <w:rPr>
          <w:rFonts w:ascii="Arial" w:hAnsi="Arial" w:cs="Arial"/>
          <w:iCs/>
          <w:sz w:val="22"/>
          <w:szCs w:val="22"/>
        </w:rPr>
        <w:t>s</w:t>
      </w:r>
      <w:r w:rsidR="003B1C38">
        <w:rPr>
          <w:rFonts w:ascii="Arial" w:hAnsi="Arial" w:cs="Arial"/>
          <w:iCs/>
          <w:sz w:val="22"/>
          <w:szCs w:val="22"/>
        </w:rPr>
        <w:t>ection</w:t>
      </w:r>
      <w:r>
        <w:rPr>
          <w:rFonts w:ascii="Arial" w:hAnsi="Arial" w:cs="Arial"/>
          <w:iCs/>
          <w:sz w:val="22"/>
          <w:szCs w:val="22"/>
        </w:rPr>
        <w:t xml:space="preserve"> 194G(2) of the Act. </w:t>
      </w:r>
    </w:p>
    <w:p w14:paraId="11C96E42" w14:textId="77777777" w:rsidR="002B3148" w:rsidRDefault="002B3148" w:rsidP="002B3148">
      <w:pPr>
        <w:rPr>
          <w:rFonts w:ascii="Arial" w:hAnsi="Arial" w:cs="Arial"/>
          <w:bCs/>
          <w:sz w:val="22"/>
          <w:szCs w:val="22"/>
        </w:rPr>
      </w:pPr>
    </w:p>
    <w:p w14:paraId="7797A7D3" w14:textId="77777777" w:rsidR="002B3148" w:rsidRPr="003F3D9E" w:rsidRDefault="002B3148" w:rsidP="002B31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the instrument</w:t>
      </w:r>
    </w:p>
    <w:p w14:paraId="100E3F4B" w14:textId="77777777" w:rsidR="002B3148" w:rsidRDefault="002B3148" w:rsidP="002B3148">
      <w:pPr>
        <w:rPr>
          <w:rFonts w:ascii="Arial" w:hAnsi="Arial" w:cs="Arial"/>
          <w:bCs/>
          <w:sz w:val="22"/>
          <w:szCs w:val="22"/>
        </w:rPr>
      </w:pPr>
    </w:p>
    <w:p w14:paraId="0D9EDA9E" w14:textId="3A0994D1" w:rsidR="002B3148" w:rsidRPr="00D95A38" w:rsidRDefault="002B3148" w:rsidP="002B3148">
      <w:pPr>
        <w:widowControl w:val="0"/>
        <w:tabs>
          <w:tab w:val="left" w:pos="567"/>
        </w:tabs>
        <w:rPr>
          <w:rFonts w:ascii="Arial" w:hAnsi="Arial" w:cs="Arial"/>
          <w:b/>
          <w:i/>
          <w:color w:val="000000" w:themeColor="text1"/>
          <w:highlight w:val="yellow"/>
          <w:lang w:val="en-AU"/>
        </w:rPr>
      </w:pPr>
      <w:r w:rsidRPr="007B790B"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AU"/>
        </w:rPr>
        <w:t>i</w:t>
      </w:r>
      <w:r w:rsidRPr="007B790B">
        <w:rPr>
          <w:rFonts w:ascii="Arial" w:hAnsi="Arial" w:cs="Arial"/>
          <w:bCs/>
          <w:sz w:val="22"/>
          <w:szCs w:val="22"/>
          <w:lang w:val="en-AU"/>
        </w:rPr>
        <w:t xml:space="preserve">nstrument </w:t>
      </w:r>
      <w:r w:rsidRPr="00DD34C1">
        <w:rPr>
          <w:rFonts w:ascii="Arial" w:hAnsi="Arial" w:cs="Arial"/>
          <w:bCs/>
          <w:sz w:val="22"/>
          <w:szCs w:val="22"/>
        </w:rPr>
        <w:t xml:space="preserve">determines </w:t>
      </w:r>
      <w:r w:rsidR="00743A35">
        <w:rPr>
          <w:rFonts w:ascii="Arial" w:hAnsi="Arial" w:cs="Arial"/>
          <w:b/>
          <w:iCs/>
          <w:color w:val="000000" w:themeColor="text1"/>
          <w:sz w:val="22"/>
          <w:szCs w:val="22"/>
          <w:lang w:val="en-AU"/>
        </w:rPr>
        <w:t>‘</w:t>
      </w:r>
      <w:r w:rsidR="0024262C" w:rsidRPr="0024262C">
        <w:rPr>
          <w:rFonts w:ascii="Arial" w:hAnsi="Arial" w:cs="Arial"/>
          <w:b/>
          <w:i/>
          <w:color w:val="000000" w:themeColor="text1"/>
          <w:sz w:val="22"/>
          <w:szCs w:val="22"/>
          <w:lang w:val="en-AU"/>
        </w:rPr>
        <w:t xml:space="preserve">species and ecological communities </w:t>
      </w:r>
      <w:r w:rsidR="00BF16A6">
        <w:rPr>
          <w:rFonts w:ascii="Arial" w:hAnsi="Arial" w:cs="Arial"/>
          <w:b/>
          <w:i/>
          <w:color w:val="000000" w:themeColor="text1"/>
          <w:sz w:val="22"/>
          <w:szCs w:val="22"/>
          <w:lang w:val="en-AU"/>
        </w:rPr>
        <w:t xml:space="preserve">threatened by extreme weather events’ </w:t>
      </w:r>
      <w:r w:rsidRPr="002C3EB4">
        <w:rPr>
          <w:rFonts w:ascii="Arial" w:hAnsi="Arial" w:cs="Arial"/>
          <w:sz w:val="22"/>
          <w:szCs w:val="22"/>
        </w:rPr>
        <w:t xml:space="preserve">as </w:t>
      </w:r>
      <w:r w:rsidRPr="00DD34C1">
        <w:rPr>
          <w:rFonts w:ascii="Arial" w:hAnsi="Arial" w:cs="Arial"/>
          <w:sz w:val="22"/>
          <w:szCs w:val="22"/>
        </w:rPr>
        <w:t>the conservation theme</w:t>
      </w:r>
      <w:r>
        <w:rPr>
          <w:rFonts w:ascii="Arial" w:hAnsi="Arial" w:cs="Arial"/>
          <w:sz w:val="22"/>
          <w:szCs w:val="22"/>
        </w:rPr>
        <w:t xml:space="preserve"> that the Minister has determined</w:t>
      </w:r>
      <w:r w:rsidRPr="00DD34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</w:t>
      </w:r>
      <w:r w:rsidRPr="00DD34C1">
        <w:rPr>
          <w:rFonts w:ascii="Arial" w:hAnsi="Arial" w:cs="Arial"/>
          <w:sz w:val="22"/>
          <w:szCs w:val="22"/>
        </w:rPr>
        <w:t>be given priority for the assessment</w:t>
      </w:r>
      <w:r>
        <w:rPr>
          <w:rFonts w:ascii="Arial" w:hAnsi="Arial" w:cs="Arial"/>
          <w:sz w:val="22"/>
          <w:szCs w:val="22"/>
        </w:rPr>
        <w:t xml:space="preserve"> period commencing 1 October 202</w:t>
      </w:r>
      <w:r w:rsidR="0024262C">
        <w:rPr>
          <w:rFonts w:ascii="Arial" w:hAnsi="Arial" w:cs="Arial"/>
          <w:sz w:val="22"/>
          <w:szCs w:val="22"/>
        </w:rPr>
        <w:t>3</w:t>
      </w:r>
      <w:r w:rsidRPr="00DD34C1">
        <w:rPr>
          <w:rFonts w:ascii="Arial" w:hAnsi="Arial" w:cs="Arial"/>
          <w:sz w:val="22"/>
          <w:szCs w:val="22"/>
        </w:rPr>
        <w:t>.</w:t>
      </w:r>
    </w:p>
    <w:p w14:paraId="44FD3E2C" w14:textId="77777777" w:rsidR="000D0B16" w:rsidRPr="00676FA8" w:rsidRDefault="000D0B16" w:rsidP="000D0B16">
      <w:pPr>
        <w:rPr>
          <w:rFonts w:ascii="Arial" w:hAnsi="Arial" w:cs="Arial"/>
          <w:bCs/>
          <w:sz w:val="22"/>
          <w:szCs w:val="22"/>
          <w:lang w:val="en-AU"/>
        </w:rPr>
      </w:pPr>
    </w:p>
    <w:p w14:paraId="7AB360D4" w14:textId="77777777" w:rsidR="0073394C" w:rsidRPr="00676FA8" w:rsidRDefault="0073394C" w:rsidP="0073394C">
      <w:pPr>
        <w:rPr>
          <w:rFonts w:ascii="Arial" w:hAnsi="Arial" w:cs="Arial"/>
          <w:b/>
          <w:bCs/>
          <w:sz w:val="22"/>
          <w:szCs w:val="22"/>
        </w:rPr>
      </w:pPr>
      <w:r w:rsidRPr="00676FA8">
        <w:rPr>
          <w:rFonts w:ascii="Arial" w:hAnsi="Arial" w:cs="Arial"/>
          <w:b/>
          <w:bCs/>
          <w:sz w:val="22"/>
          <w:szCs w:val="22"/>
        </w:rPr>
        <w:t>Consultation</w:t>
      </w:r>
    </w:p>
    <w:p w14:paraId="4E96AD4F" w14:textId="77777777" w:rsidR="0073394C" w:rsidRPr="00676FA8" w:rsidRDefault="0073394C" w:rsidP="0073394C">
      <w:pPr>
        <w:rPr>
          <w:rFonts w:ascii="Arial" w:hAnsi="Arial" w:cs="Arial"/>
          <w:iCs/>
          <w:sz w:val="22"/>
          <w:szCs w:val="22"/>
        </w:rPr>
      </w:pPr>
    </w:p>
    <w:p w14:paraId="4C520388" w14:textId="77777777" w:rsidR="00897F7C" w:rsidRDefault="00897F7C" w:rsidP="00897F7C">
      <w:pPr>
        <w:pStyle w:val="BodyText"/>
        <w:rPr>
          <w:rFonts w:ascii="Arial" w:hAnsi="Arial" w:cs="Arial"/>
          <w:i w:val="0"/>
          <w:iCs/>
          <w:sz w:val="22"/>
          <w:szCs w:val="22"/>
        </w:rPr>
      </w:pPr>
      <w:r w:rsidRPr="00AF1422">
        <w:rPr>
          <w:rFonts w:ascii="Arial" w:hAnsi="Arial" w:cs="Arial"/>
          <w:i w:val="0"/>
          <w:iCs/>
          <w:sz w:val="22"/>
          <w:szCs w:val="22"/>
        </w:rPr>
        <w:t>Section 1</w:t>
      </w:r>
      <w:r>
        <w:rPr>
          <w:rFonts w:ascii="Arial" w:hAnsi="Arial" w:cs="Arial"/>
          <w:i w:val="0"/>
          <w:iCs/>
          <w:sz w:val="22"/>
          <w:szCs w:val="22"/>
        </w:rPr>
        <w:t>94D(3</w:t>
      </w:r>
      <w:r w:rsidRPr="00AF1422">
        <w:rPr>
          <w:rFonts w:ascii="Arial" w:hAnsi="Arial" w:cs="Arial"/>
          <w:i w:val="0"/>
          <w:iCs/>
          <w:sz w:val="22"/>
          <w:szCs w:val="22"/>
        </w:rPr>
        <w:t xml:space="preserve">) of the Act </w:t>
      </w:r>
      <w:r>
        <w:rPr>
          <w:rFonts w:ascii="Arial" w:hAnsi="Arial" w:cs="Arial"/>
          <w:i w:val="0"/>
          <w:iCs/>
          <w:sz w:val="22"/>
          <w:szCs w:val="22"/>
        </w:rPr>
        <w:t>states that</w:t>
      </w:r>
      <w:r w:rsidRPr="00AF1422">
        <w:rPr>
          <w:rFonts w:ascii="Arial" w:hAnsi="Arial" w:cs="Arial"/>
          <w:i w:val="0"/>
          <w:iCs/>
          <w:sz w:val="22"/>
          <w:szCs w:val="22"/>
        </w:rPr>
        <w:t xml:space="preserve"> the rule-maker, when deciding whether to</w:t>
      </w:r>
      <w:r w:rsidRPr="00B91E00">
        <w:rPr>
          <w:rFonts w:ascii="Arial" w:hAnsi="Arial" w:cs="Arial"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sz w:val="22"/>
          <w:szCs w:val="22"/>
        </w:rPr>
        <w:t xml:space="preserve">establish a conservation theme </w:t>
      </w:r>
      <w:r w:rsidRPr="00B91E00">
        <w:rPr>
          <w:rFonts w:ascii="Arial" w:hAnsi="Arial" w:cs="Arial"/>
          <w:i w:val="0"/>
          <w:iCs/>
          <w:sz w:val="22"/>
          <w:szCs w:val="22"/>
        </w:rPr>
        <w:t xml:space="preserve">under section </w:t>
      </w:r>
      <w:r>
        <w:rPr>
          <w:rFonts w:ascii="Arial" w:hAnsi="Arial" w:cs="Arial"/>
          <w:i w:val="0"/>
          <w:iCs/>
          <w:sz w:val="22"/>
          <w:szCs w:val="22"/>
        </w:rPr>
        <w:t>194D(1) of the Act, may</w:t>
      </w:r>
      <w:r w:rsidRPr="00B91E00">
        <w:rPr>
          <w:rFonts w:ascii="Arial" w:hAnsi="Arial" w:cs="Arial"/>
          <w:i w:val="0"/>
          <w:iCs/>
          <w:sz w:val="22"/>
          <w:szCs w:val="22"/>
        </w:rPr>
        <w:t xml:space="preserve"> obtain and consider advice from the Threatened </w:t>
      </w:r>
      <w:r w:rsidRPr="00BE2028">
        <w:rPr>
          <w:rFonts w:ascii="Arial" w:hAnsi="Arial" w:cs="Arial"/>
          <w:i w:val="0"/>
          <w:iCs/>
          <w:sz w:val="22"/>
          <w:szCs w:val="22"/>
        </w:rPr>
        <w:t xml:space="preserve">Species Scientific Committee </w:t>
      </w:r>
      <w:r>
        <w:rPr>
          <w:rFonts w:ascii="Arial" w:hAnsi="Arial" w:cs="Arial"/>
          <w:i w:val="0"/>
          <w:iCs/>
          <w:sz w:val="22"/>
          <w:szCs w:val="22"/>
        </w:rPr>
        <w:t>for the purposes of making the determination</w:t>
      </w:r>
      <w:r w:rsidRPr="00BE2028">
        <w:rPr>
          <w:rFonts w:ascii="Arial" w:hAnsi="Arial" w:cs="Arial"/>
          <w:i w:val="0"/>
          <w:iCs/>
          <w:sz w:val="22"/>
          <w:szCs w:val="22"/>
        </w:rPr>
        <w:t xml:space="preserve">. That advice was </w:t>
      </w:r>
      <w:r>
        <w:rPr>
          <w:rFonts w:ascii="Arial" w:hAnsi="Arial" w:cs="Arial"/>
          <w:i w:val="0"/>
          <w:iCs/>
          <w:sz w:val="22"/>
          <w:szCs w:val="22"/>
        </w:rPr>
        <w:t xml:space="preserve">obtained and </w:t>
      </w:r>
      <w:r w:rsidRPr="00BE2028">
        <w:rPr>
          <w:rFonts w:ascii="Arial" w:hAnsi="Arial" w:cs="Arial"/>
          <w:i w:val="0"/>
          <w:iCs/>
          <w:sz w:val="22"/>
          <w:szCs w:val="22"/>
        </w:rPr>
        <w:t xml:space="preserve">considered </w:t>
      </w:r>
      <w:r>
        <w:rPr>
          <w:rFonts w:ascii="Arial" w:hAnsi="Arial" w:cs="Arial"/>
          <w:i w:val="0"/>
          <w:iCs/>
          <w:sz w:val="22"/>
          <w:szCs w:val="22"/>
        </w:rPr>
        <w:t xml:space="preserve">by the Minister </w:t>
      </w:r>
      <w:r w:rsidRPr="00BE2028">
        <w:rPr>
          <w:rFonts w:ascii="Arial" w:hAnsi="Arial" w:cs="Arial"/>
          <w:i w:val="0"/>
          <w:iCs/>
          <w:sz w:val="22"/>
          <w:szCs w:val="22"/>
        </w:rPr>
        <w:t>prior to the making of th</w:t>
      </w:r>
      <w:r>
        <w:rPr>
          <w:rFonts w:ascii="Arial" w:hAnsi="Arial" w:cs="Arial"/>
          <w:i w:val="0"/>
          <w:iCs/>
          <w:sz w:val="22"/>
          <w:szCs w:val="22"/>
        </w:rPr>
        <w:t>is</w:t>
      </w:r>
      <w:r w:rsidRPr="00BE2028">
        <w:rPr>
          <w:rFonts w:ascii="Arial" w:hAnsi="Arial" w:cs="Arial"/>
          <w:i w:val="0"/>
          <w:iCs/>
          <w:sz w:val="22"/>
          <w:szCs w:val="22"/>
        </w:rPr>
        <w:t xml:space="preserve"> Instrument.</w:t>
      </w:r>
    </w:p>
    <w:p w14:paraId="015E5014" w14:textId="77777777" w:rsidR="00897F7C" w:rsidRDefault="00897F7C" w:rsidP="00897F7C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1A32B050" w14:textId="1E900F6C" w:rsidR="00897F7C" w:rsidRDefault="00B54B57" w:rsidP="00897F7C">
      <w:pPr>
        <w:pStyle w:val="BodyText"/>
        <w:keepNext/>
        <w:keepLines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Paragraph</w:t>
      </w:r>
      <w:r w:rsidRPr="003C1913">
        <w:rPr>
          <w:rFonts w:ascii="Arial" w:hAnsi="Arial" w:cs="Arial"/>
          <w:i w:val="0"/>
          <w:sz w:val="22"/>
          <w:szCs w:val="22"/>
        </w:rPr>
        <w:t> </w:t>
      </w:r>
      <w:r w:rsidR="00897F7C" w:rsidRPr="003C1913">
        <w:rPr>
          <w:rFonts w:ascii="Arial" w:hAnsi="Arial" w:cs="Arial"/>
          <w:i w:val="0"/>
          <w:sz w:val="22"/>
          <w:szCs w:val="22"/>
        </w:rPr>
        <w:t xml:space="preserve">17(1)(a) 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 xml:space="preserve">of the </w:t>
      </w:r>
      <w:r w:rsidR="00897F7C" w:rsidRPr="003C1913">
        <w:rPr>
          <w:rFonts w:ascii="Arial" w:hAnsi="Arial" w:cs="Arial"/>
          <w:noProof/>
          <w:sz w:val="22"/>
          <w:szCs w:val="22"/>
        </w:rPr>
        <w:t>Legislation Act 2003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 xml:space="preserve"> states that before the legislative instrument is made</w:t>
      </w:r>
      <w:r w:rsidR="00897F7C">
        <w:rPr>
          <w:rFonts w:ascii="Arial" w:hAnsi="Arial" w:cs="Arial"/>
          <w:i w:val="0"/>
          <w:noProof/>
          <w:sz w:val="22"/>
          <w:szCs w:val="22"/>
        </w:rPr>
        <w:t>,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 xml:space="preserve"> the</w:t>
      </w:r>
      <w:r w:rsidR="00897F7C">
        <w:rPr>
          <w:rFonts w:ascii="Arial" w:hAnsi="Arial" w:cs="Arial"/>
          <w:i w:val="0"/>
          <w:noProof/>
          <w:sz w:val="22"/>
          <w:szCs w:val="22"/>
        </w:rPr>
        <w:t xml:space="preserve"> 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>rule</w:t>
      </w:r>
      <w:r w:rsidR="00897F7C">
        <w:rPr>
          <w:rFonts w:ascii="Arial" w:hAnsi="Arial" w:cs="Arial"/>
          <w:i w:val="0"/>
          <w:noProof/>
          <w:sz w:val="22"/>
          <w:szCs w:val="22"/>
        </w:rPr>
        <w:t>-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 xml:space="preserve">maker must be satisfied that there has been </w:t>
      </w:r>
      <w:r w:rsidR="00897F7C">
        <w:rPr>
          <w:rFonts w:ascii="Arial" w:hAnsi="Arial" w:cs="Arial"/>
          <w:i w:val="0"/>
          <w:noProof/>
          <w:sz w:val="22"/>
          <w:szCs w:val="22"/>
        </w:rPr>
        <w:t>undertaken any consultation that</w:t>
      </w:r>
      <w:r w:rsidR="00897F7C" w:rsidRPr="003C1913">
        <w:rPr>
          <w:rFonts w:ascii="Arial" w:hAnsi="Arial" w:cs="Arial"/>
          <w:i w:val="0"/>
          <w:noProof/>
          <w:sz w:val="22"/>
          <w:szCs w:val="22"/>
        </w:rPr>
        <w:t xml:space="preserve"> is considered by the rule-maker to be appropriate. </w:t>
      </w:r>
    </w:p>
    <w:p w14:paraId="25A2A483" w14:textId="77777777" w:rsidR="00897F7C" w:rsidRDefault="00897F7C" w:rsidP="00897F7C">
      <w:pPr>
        <w:pStyle w:val="BodyText"/>
        <w:keepNext/>
        <w:keepLines/>
        <w:rPr>
          <w:rFonts w:ascii="Arial" w:hAnsi="Arial" w:cs="Arial"/>
          <w:i w:val="0"/>
          <w:noProof/>
          <w:sz w:val="22"/>
          <w:szCs w:val="22"/>
        </w:rPr>
      </w:pPr>
    </w:p>
    <w:p w14:paraId="6B8E0473" w14:textId="77777777" w:rsidR="00897F7C" w:rsidRDefault="00897F7C" w:rsidP="00897F7C">
      <w:pPr>
        <w:pStyle w:val="BodyText"/>
        <w:keepNext/>
        <w:keepLines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t>T</w:t>
      </w:r>
      <w:r w:rsidRPr="00945A05">
        <w:rPr>
          <w:rFonts w:ascii="Arial" w:hAnsi="Arial" w:cs="Arial"/>
          <w:i w:val="0"/>
          <w:iCs/>
          <w:sz w:val="22"/>
          <w:szCs w:val="22"/>
        </w:rPr>
        <w:t xml:space="preserve">his Instrument sets a conservation theme for nominations and the setting of the theme does not preclude nominations of any species, ecological community or key threatening </w:t>
      </w:r>
      <w:r>
        <w:rPr>
          <w:rFonts w:ascii="Arial" w:hAnsi="Arial" w:cs="Arial"/>
          <w:i w:val="0"/>
          <w:iCs/>
          <w:sz w:val="22"/>
          <w:szCs w:val="22"/>
        </w:rPr>
        <w:t xml:space="preserve">process, </w:t>
      </w:r>
      <w:r w:rsidRPr="00945A05">
        <w:rPr>
          <w:rFonts w:ascii="Arial" w:hAnsi="Arial" w:cs="Arial"/>
          <w:i w:val="0"/>
          <w:iCs/>
          <w:sz w:val="22"/>
          <w:szCs w:val="22"/>
        </w:rPr>
        <w:t>public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945A05">
        <w:rPr>
          <w:rFonts w:ascii="Arial" w:hAnsi="Arial" w:cs="Arial"/>
          <w:i w:val="0"/>
          <w:iCs/>
          <w:sz w:val="22"/>
          <w:szCs w:val="22"/>
        </w:rPr>
        <w:t>consultation was not undertaken.</w:t>
      </w:r>
      <w:r>
        <w:rPr>
          <w:rFonts w:ascii="Arial" w:hAnsi="Arial" w:cs="Arial"/>
          <w:i w:val="0"/>
          <w:iCs/>
          <w:sz w:val="22"/>
          <w:szCs w:val="22"/>
        </w:rPr>
        <w:t xml:space="preserve"> Since this instrument does not apply additional restrictions, impose obligations or preclude the rights of any person, the rule-maker was satisfied that further consultation was not required. </w:t>
      </w:r>
    </w:p>
    <w:p w14:paraId="424DA394" w14:textId="77777777" w:rsidR="00897F7C" w:rsidRDefault="00897F7C" w:rsidP="00897F7C">
      <w:pPr>
        <w:pStyle w:val="BodyText"/>
        <w:keepNext/>
        <w:keepLines/>
        <w:rPr>
          <w:rFonts w:ascii="Arial" w:hAnsi="Arial" w:cs="Arial"/>
          <w:i w:val="0"/>
          <w:iCs/>
          <w:sz w:val="22"/>
          <w:szCs w:val="22"/>
        </w:rPr>
      </w:pPr>
    </w:p>
    <w:p w14:paraId="3789474C" w14:textId="77777777" w:rsidR="00897F7C" w:rsidRPr="00AF1422" w:rsidRDefault="00897F7C" w:rsidP="00897F7C">
      <w:pPr>
        <w:pStyle w:val="BodyText"/>
        <w:keepNext/>
        <w:keepLines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The Act provides that determination of a conservation theme is an optional step in the process for nomination and listing. </w:t>
      </w:r>
    </w:p>
    <w:p w14:paraId="02F9B6DA" w14:textId="77777777" w:rsidR="0073394C" w:rsidRPr="00676FA8" w:rsidRDefault="0073394C" w:rsidP="0073394C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04E50FA" w14:textId="7CFD7559" w:rsidR="00236CEC" w:rsidRPr="00676FA8" w:rsidRDefault="00087B09" w:rsidP="001B1749">
      <w:pPr>
        <w:pStyle w:val="BodyText"/>
        <w:keepNext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676FA8">
        <w:rPr>
          <w:rFonts w:ascii="Arial" w:hAnsi="Arial" w:cs="Arial"/>
          <w:b/>
          <w:bCs/>
          <w:i w:val="0"/>
          <w:iCs/>
          <w:sz w:val="22"/>
          <w:szCs w:val="22"/>
        </w:rPr>
        <w:lastRenderedPageBreak/>
        <w:t>Commencement</w:t>
      </w:r>
      <w:r w:rsidR="001C0154">
        <w:rPr>
          <w:rFonts w:ascii="Arial" w:hAnsi="Arial" w:cs="Arial"/>
          <w:b/>
          <w:bCs/>
          <w:i w:val="0"/>
          <w:iCs/>
          <w:sz w:val="22"/>
          <w:szCs w:val="22"/>
        </w:rPr>
        <w:t>/ Operation</w:t>
      </w:r>
    </w:p>
    <w:p w14:paraId="7C5BCB7F" w14:textId="77777777" w:rsidR="00236CEC" w:rsidRPr="00676FA8" w:rsidRDefault="00236CEC" w:rsidP="001B1749">
      <w:pPr>
        <w:pStyle w:val="BodyText"/>
        <w:keepNext/>
        <w:rPr>
          <w:rFonts w:ascii="Arial" w:hAnsi="Arial" w:cs="Arial"/>
          <w:b/>
          <w:bCs/>
          <w:i w:val="0"/>
          <w:iCs/>
          <w:sz w:val="22"/>
          <w:szCs w:val="22"/>
        </w:rPr>
      </w:pPr>
    </w:p>
    <w:p w14:paraId="73A38C32" w14:textId="77777777" w:rsidR="006C656B" w:rsidRPr="007B790B" w:rsidRDefault="006C656B" w:rsidP="006C656B">
      <w:pPr>
        <w:pStyle w:val="BodyText"/>
        <w:rPr>
          <w:rFonts w:ascii="Arial" w:hAnsi="Arial" w:cs="Arial"/>
          <w:i w:val="0"/>
          <w:iCs/>
          <w:sz w:val="22"/>
          <w:szCs w:val="22"/>
        </w:rPr>
      </w:pPr>
      <w:r w:rsidRPr="007B790B">
        <w:rPr>
          <w:rFonts w:ascii="Arial" w:hAnsi="Arial" w:cs="Arial"/>
          <w:i w:val="0"/>
          <w:iCs/>
          <w:sz w:val="22"/>
          <w:szCs w:val="22"/>
        </w:rPr>
        <w:t xml:space="preserve">This </w:t>
      </w:r>
      <w:r>
        <w:rPr>
          <w:rFonts w:ascii="Arial" w:hAnsi="Arial" w:cs="Arial"/>
          <w:i w:val="0"/>
          <w:iCs/>
          <w:sz w:val="22"/>
          <w:szCs w:val="22"/>
        </w:rPr>
        <w:t>i</w:t>
      </w:r>
      <w:r w:rsidRPr="007B790B">
        <w:rPr>
          <w:rFonts w:ascii="Arial" w:hAnsi="Arial" w:cs="Arial"/>
          <w:i w:val="0"/>
          <w:iCs/>
          <w:sz w:val="22"/>
          <w:szCs w:val="22"/>
        </w:rPr>
        <w:t>nstrument is a legislative instrument for the purposes of the</w:t>
      </w:r>
      <w:r w:rsidRPr="007B7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Legislation</w:t>
      </w:r>
      <w:r w:rsidRPr="007B790B">
        <w:rPr>
          <w:rFonts w:ascii="Arial" w:hAnsi="Arial" w:cs="Arial"/>
          <w:sz w:val="22"/>
          <w:szCs w:val="22"/>
        </w:rPr>
        <w:t xml:space="preserve"> Act 2003.</w:t>
      </w:r>
    </w:p>
    <w:p w14:paraId="6446544C" w14:textId="77777777" w:rsidR="006C656B" w:rsidRPr="007B790B" w:rsidRDefault="006C656B" w:rsidP="006C656B">
      <w:pPr>
        <w:pStyle w:val="BodyText"/>
        <w:rPr>
          <w:rFonts w:ascii="Arial" w:hAnsi="Arial" w:cs="Arial"/>
          <w:i w:val="0"/>
          <w:iCs/>
          <w:sz w:val="22"/>
          <w:szCs w:val="22"/>
        </w:rPr>
      </w:pPr>
    </w:p>
    <w:p w14:paraId="791CC471" w14:textId="77777777" w:rsidR="006C656B" w:rsidRDefault="006C656B" w:rsidP="006C656B">
      <w:pPr>
        <w:ind w:right="509"/>
        <w:rPr>
          <w:rFonts w:ascii="Arial" w:hAnsi="Arial" w:cs="Arial"/>
          <w:sz w:val="22"/>
          <w:szCs w:val="22"/>
        </w:rPr>
      </w:pPr>
      <w:r w:rsidRPr="001636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</w:t>
      </w:r>
      <w:r w:rsidRPr="0016363A">
        <w:rPr>
          <w:rFonts w:ascii="Arial" w:hAnsi="Arial" w:cs="Arial"/>
          <w:sz w:val="22"/>
          <w:szCs w:val="22"/>
        </w:rPr>
        <w:t>nstrument commence</w:t>
      </w:r>
      <w:r>
        <w:rPr>
          <w:rFonts w:ascii="Arial" w:hAnsi="Arial" w:cs="Arial"/>
          <w:sz w:val="22"/>
          <w:szCs w:val="22"/>
        </w:rPr>
        <w:t>s</w:t>
      </w:r>
      <w:r w:rsidRPr="0016363A">
        <w:rPr>
          <w:rFonts w:ascii="Arial" w:hAnsi="Arial" w:cs="Arial"/>
          <w:sz w:val="22"/>
          <w:szCs w:val="22"/>
        </w:rPr>
        <w:t xml:space="preserve"> on the day after regist</w:t>
      </w:r>
      <w:r>
        <w:rPr>
          <w:rFonts w:ascii="Arial" w:hAnsi="Arial" w:cs="Arial"/>
          <w:sz w:val="22"/>
          <w:szCs w:val="22"/>
        </w:rPr>
        <w:t>ration</w:t>
      </w:r>
      <w:r w:rsidRPr="0016363A">
        <w:rPr>
          <w:rFonts w:ascii="Arial" w:hAnsi="Arial" w:cs="Arial"/>
          <w:sz w:val="22"/>
          <w:szCs w:val="22"/>
        </w:rPr>
        <w:t xml:space="preserve"> on the Federal Register of </w:t>
      </w:r>
      <w:r>
        <w:rPr>
          <w:rFonts w:ascii="Arial" w:hAnsi="Arial" w:cs="Arial"/>
          <w:sz w:val="22"/>
          <w:szCs w:val="22"/>
        </w:rPr>
        <w:t>Legislation</w:t>
      </w:r>
      <w:r w:rsidRPr="0016363A">
        <w:rPr>
          <w:rFonts w:ascii="Arial" w:hAnsi="Arial" w:cs="Arial"/>
          <w:sz w:val="22"/>
          <w:szCs w:val="22"/>
        </w:rPr>
        <w:t>.</w:t>
      </w:r>
      <w:r w:rsidRPr="00DD34C1">
        <w:rPr>
          <w:rFonts w:ascii="Arial" w:hAnsi="Arial" w:cs="Arial"/>
          <w:sz w:val="22"/>
          <w:szCs w:val="22"/>
        </w:rPr>
        <w:t xml:space="preserve"> As provided in s</w:t>
      </w:r>
      <w:r>
        <w:rPr>
          <w:rFonts w:ascii="Arial" w:hAnsi="Arial" w:cs="Arial"/>
          <w:sz w:val="22"/>
          <w:szCs w:val="22"/>
        </w:rPr>
        <w:t>ubs</w:t>
      </w:r>
      <w:r w:rsidRPr="00DD34C1">
        <w:rPr>
          <w:rFonts w:ascii="Arial" w:hAnsi="Arial" w:cs="Arial"/>
          <w:sz w:val="22"/>
          <w:szCs w:val="22"/>
        </w:rPr>
        <w:t xml:space="preserve">ection 194D(4) of the Act, section 42 of the </w:t>
      </w:r>
      <w:r>
        <w:rPr>
          <w:rFonts w:ascii="Arial" w:hAnsi="Arial" w:cs="Arial"/>
          <w:i/>
          <w:sz w:val="22"/>
          <w:szCs w:val="22"/>
        </w:rPr>
        <w:t>Legislation</w:t>
      </w:r>
      <w:r w:rsidRPr="00DD34C1">
        <w:rPr>
          <w:rFonts w:ascii="Arial" w:hAnsi="Arial" w:cs="Arial"/>
          <w:i/>
          <w:sz w:val="22"/>
          <w:szCs w:val="22"/>
        </w:rPr>
        <w:t xml:space="preserve"> Act 2003</w:t>
      </w:r>
      <w:r w:rsidRPr="00DD34C1">
        <w:rPr>
          <w:rFonts w:ascii="Arial" w:hAnsi="Arial" w:cs="Arial"/>
          <w:sz w:val="22"/>
          <w:szCs w:val="22"/>
        </w:rPr>
        <w:t xml:space="preserve"> (disallowance)</w:t>
      </w:r>
      <w:r>
        <w:rPr>
          <w:rFonts w:ascii="Arial" w:hAnsi="Arial" w:cs="Arial"/>
          <w:sz w:val="22"/>
          <w:szCs w:val="22"/>
        </w:rPr>
        <w:t xml:space="preserve"> </w:t>
      </w:r>
      <w:r w:rsidRPr="00DD34C1">
        <w:rPr>
          <w:rFonts w:ascii="Arial" w:hAnsi="Arial" w:cs="Arial"/>
          <w:sz w:val="22"/>
          <w:szCs w:val="22"/>
        </w:rPr>
        <w:t>does not apply to this instrument.</w:t>
      </w:r>
    </w:p>
    <w:p w14:paraId="5FA92546" w14:textId="77777777" w:rsidR="006C656B" w:rsidRDefault="006C656B" w:rsidP="006C656B">
      <w:pPr>
        <w:ind w:right="509"/>
        <w:rPr>
          <w:rFonts w:ascii="Arial" w:hAnsi="Arial" w:cs="Arial"/>
          <w:bCs/>
          <w:sz w:val="22"/>
          <w:szCs w:val="22"/>
          <w:lang w:val="en-AU"/>
        </w:rPr>
      </w:pPr>
    </w:p>
    <w:p w14:paraId="7707E2F1" w14:textId="77777777" w:rsidR="006C656B" w:rsidRDefault="006C656B" w:rsidP="006C656B">
      <w:pPr>
        <w:ind w:right="509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With respect to the statutory exemption from the disallowance process; a conservation theme determined under this instrument is a discretionary consideration in the statutory process for nominating items to be listed. T</w:t>
      </w:r>
      <w:r w:rsidRPr="005E35B0">
        <w:rPr>
          <w:rFonts w:ascii="Arial" w:hAnsi="Arial" w:cs="Arial"/>
          <w:bCs/>
          <w:sz w:val="22"/>
          <w:szCs w:val="22"/>
          <w:lang w:val="en-AU"/>
        </w:rPr>
        <w:t xml:space="preserve">his </w:t>
      </w:r>
      <w:r>
        <w:rPr>
          <w:rFonts w:ascii="Arial" w:hAnsi="Arial" w:cs="Arial"/>
          <w:bCs/>
          <w:sz w:val="22"/>
          <w:szCs w:val="22"/>
          <w:lang w:val="en-AU"/>
        </w:rPr>
        <w:t>determination itself</w:t>
      </w:r>
      <w:r w:rsidRPr="005E35B0">
        <w:rPr>
          <w:rFonts w:ascii="Arial" w:hAnsi="Arial" w:cs="Arial"/>
          <w:bCs/>
          <w:sz w:val="22"/>
          <w:szCs w:val="22"/>
          <w:lang w:val="en-AU"/>
        </w:rPr>
        <w:t xml:space="preserve"> does not apply additional restrictions, impose obligations or preclude the rights of any person</w:t>
      </w:r>
      <w:r>
        <w:rPr>
          <w:rFonts w:ascii="Arial" w:hAnsi="Arial" w:cs="Arial"/>
          <w:bCs/>
          <w:sz w:val="22"/>
          <w:szCs w:val="22"/>
          <w:lang w:val="en-AU"/>
        </w:rPr>
        <w:t xml:space="preserve">. The application of a conservation theme to the decision making process is technical and scientific. </w:t>
      </w:r>
    </w:p>
    <w:p w14:paraId="049A22B4" w14:textId="77777777" w:rsidR="006C656B" w:rsidRDefault="006C656B" w:rsidP="006C656B">
      <w:pPr>
        <w:ind w:right="509"/>
        <w:rPr>
          <w:rFonts w:ascii="Arial" w:hAnsi="Arial" w:cs="Arial"/>
          <w:bCs/>
          <w:sz w:val="22"/>
          <w:szCs w:val="22"/>
          <w:lang w:val="en-AU"/>
        </w:rPr>
      </w:pPr>
    </w:p>
    <w:p w14:paraId="2831FD47" w14:textId="77777777" w:rsidR="006C656B" w:rsidRPr="00B94E5A" w:rsidRDefault="006C656B" w:rsidP="006C656B">
      <w:pPr>
        <w:ind w:right="509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As the instrument is not a disallowable instrument, in accordance with paragraph </w:t>
      </w:r>
      <w:r w:rsidRPr="00B94E5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B94E5A">
        <w:rPr>
          <w:rFonts w:ascii="Arial" w:hAnsi="Arial" w:cs="Arial"/>
          <w:sz w:val="22"/>
          <w:szCs w:val="22"/>
        </w:rPr>
        <w:t xml:space="preserve">15J(2)(f) </w:t>
      </w:r>
      <w:r w:rsidRPr="00B94E5A">
        <w:rPr>
          <w:rFonts w:ascii="Arial" w:hAnsi="Arial" w:cs="Arial"/>
          <w:noProof/>
          <w:sz w:val="22"/>
          <w:szCs w:val="22"/>
        </w:rPr>
        <w:t xml:space="preserve">of the </w:t>
      </w:r>
      <w:r w:rsidRPr="00B94E5A">
        <w:rPr>
          <w:rFonts w:ascii="Arial" w:hAnsi="Arial" w:cs="Arial"/>
          <w:i/>
          <w:noProof/>
          <w:sz w:val="22"/>
          <w:szCs w:val="22"/>
        </w:rPr>
        <w:t>Legislation Act 2003</w:t>
      </w:r>
      <w:r>
        <w:rPr>
          <w:rFonts w:ascii="Arial" w:hAnsi="Arial" w:cs="Arial"/>
          <w:i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a </w:t>
      </w:r>
      <w:r w:rsidRPr="00B94E5A">
        <w:rPr>
          <w:rFonts w:ascii="Arial" w:hAnsi="Arial" w:cs="Arial"/>
          <w:sz w:val="22"/>
          <w:szCs w:val="22"/>
        </w:rPr>
        <w:t xml:space="preserve">statement of compatibility </w:t>
      </w:r>
      <w:r>
        <w:rPr>
          <w:rFonts w:ascii="Arial" w:hAnsi="Arial" w:cs="Arial"/>
          <w:sz w:val="22"/>
          <w:szCs w:val="22"/>
        </w:rPr>
        <w:t xml:space="preserve">is not required to be </w:t>
      </w:r>
      <w:r w:rsidRPr="00B94E5A">
        <w:rPr>
          <w:rFonts w:ascii="Arial" w:hAnsi="Arial" w:cs="Arial"/>
          <w:sz w:val="22"/>
          <w:szCs w:val="22"/>
        </w:rPr>
        <w:t xml:space="preserve">prepared under subsection 9(1) of the </w:t>
      </w:r>
      <w:r w:rsidRPr="00B94E5A">
        <w:rPr>
          <w:rFonts w:ascii="Arial" w:hAnsi="Arial" w:cs="Arial"/>
          <w:i/>
          <w:iCs/>
          <w:sz w:val="22"/>
          <w:szCs w:val="22"/>
        </w:rPr>
        <w:t>Human Rights (Parliamentary Scrutiny) Act 2011</w:t>
      </w:r>
      <w:r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20CE54E0" w14:textId="77777777" w:rsidR="006C656B" w:rsidRDefault="006C656B" w:rsidP="006C656B">
      <w:pPr>
        <w:rPr>
          <w:rFonts w:ascii="Arial" w:hAnsi="Arial" w:cs="Arial"/>
          <w:iCs/>
          <w:sz w:val="22"/>
          <w:szCs w:val="22"/>
        </w:rPr>
      </w:pPr>
    </w:p>
    <w:p w14:paraId="269AE52D" w14:textId="77777777" w:rsidR="006C656B" w:rsidRPr="007B790B" w:rsidRDefault="006C656B" w:rsidP="006C656B">
      <w:pPr>
        <w:ind w:right="509"/>
        <w:rPr>
          <w:rFonts w:ascii="Arial" w:hAnsi="Arial" w:cs="Arial"/>
          <w:bCs/>
          <w:sz w:val="22"/>
          <w:szCs w:val="22"/>
        </w:rPr>
      </w:pPr>
      <w:r w:rsidRPr="007B790B">
        <w:rPr>
          <w:rFonts w:ascii="Arial" w:hAnsi="Arial" w:cs="Arial"/>
          <w:sz w:val="22"/>
          <w:szCs w:val="22"/>
          <w:u w:val="single"/>
        </w:rPr>
        <w:t>Authority</w:t>
      </w:r>
      <w:r w:rsidRPr="004C2A58">
        <w:rPr>
          <w:rFonts w:ascii="Arial" w:hAnsi="Arial" w:cs="Arial"/>
          <w:sz w:val="22"/>
          <w:szCs w:val="22"/>
        </w:rPr>
        <w:t>:</w:t>
      </w:r>
      <w:r w:rsidRPr="004476BB">
        <w:rPr>
          <w:rFonts w:ascii="Arial" w:hAnsi="Arial" w:cs="Arial"/>
          <w:sz w:val="22"/>
          <w:szCs w:val="22"/>
        </w:rPr>
        <w:t xml:space="preserve"> </w:t>
      </w:r>
      <w:r w:rsidRPr="007B790B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194D</w:t>
      </w:r>
      <w:r w:rsidRPr="007B790B">
        <w:rPr>
          <w:rFonts w:ascii="Arial" w:hAnsi="Arial" w:cs="Arial"/>
          <w:sz w:val="22"/>
          <w:szCs w:val="22"/>
        </w:rPr>
        <w:t xml:space="preserve"> of the </w:t>
      </w:r>
      <w:r w:rsidRPr="007B790B">
        <w:rPr>
          <w:rFonts w:ascii="Arial" w:hAnsi="Arial" w:cs="Arial"/>
          <w:i/>
          <w:sz w:val="22"/>
          <w:szCs w:val="22"/>
        </w:rPr>
        <w:t>Environment Protection and Biodiversity Conservation Act 1999</w:t>
      </w:r>
      <w:r w:rsidRPr="007B790B">
        <w:rPr>
          <w:rFonts w:ascii="Arial" w:hAnsi="Arial" w:cs="Arial"/>
          <w:sz w:val="22"/>
          <w:szCs w:val="22"/>
        </w:rPr>
        <w:t>.</w:t>
      </w:r>
    </w:p>
    <w:sectPr w:rsidR="006C656B" w:rsidRPr="007B790B" w:rsidSect="00A73B6B">
      <w:pgSz w:w="11906" w:h="16838"/>
      <w:pgMar w:top="90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BF2"/>
    <w:multiLevelType w:val="hybridMultilevel"/>
    <w:tmpl w:val="376A5C0A"/>
    <w:lvl w:ilvl="0" w:tplc="0DA8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65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E1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0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29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F20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6D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6B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0C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3BB"/>
    <w:multiLevelType w:val="hybridMultilevel"/>
    <w:tmpl w:val="5732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5CA7"/>
    <w:multiLevelType w:val="hybridMultilevel"/>
    <w:tmpl w:val="6F581A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9911899">
    <w:abstractNumId w:val="2"/>
  </w:num>
  <w:num w:numId="2" w16cid:durableId="1904900774">
    <w:abstractNumId w:val="0"/>
  </w:num>
  <w:num w:numId="3" w16cid:durableId="88483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16"/>
    <w:rsid w:val="00033844"/>
    <w:rsid w:val="000473F5"/>
    <w:rsid w:val="00062EF7"/>
    <w:rsid w:val="00087B09"/>
    <w:rsid w:val="000B1D5A"/>
    <w:rsid w:val="000D0B16"/>
    <w:rsid w:val="0010328D"/>
    <w:rsid w:val="0011577A"/>
    <w:rsid w:val="00147F67"/>
    <w:rsid w:val="001566CF"/>
    <w:rsid w:val="0016212B"/>
    <w:rsid w:val="001621E5"/>
    <w:rsid w:val="0016403B"/>
    <w:rsid w:val="0018194F"/>
    <w:rsid w:val="001A1AE0"/>
    <w:rsid w:val="001A7158"/>
    <w:rsid w:val="001B1749"/>
    <w:rsid w:val="001C0154"/>
    <w:rsid w:val="001C5FC8"/>
    <w:rsid w:val="002013D7"/>
    <w:rsid w:val="002160B5"/>
    <w:rsid w:val="00236CEC"/>
    <w:rsid w:val="0024262C"/>
    <w:rsid w:val="00252913"/>
    <w:rsid w:val="002566D0"/>
    <w:rsid w:val="00284F11"/>
    <w:rsid w:val="00296EBC"/>
    <w:rsid w:val="002971AC"/>
    <w:rsid w:val="0029784A"/>
    <w:rsid w:val="002A28D3"/>
    <w:rsid w:val="002B3148"/>
    <w:rsid w:val="002C542A"/>
    <w:rsid w:val="003556A2"/>
    <w:rsid w:val="00380ED0"/>
    <w:rsid w:val="00383308"/>
    <w:rsid w:val="003B1C38"/>
    <w:rsid w:val="003F12CA"/>
    <w:rsid w:val="003F5856"/>
    <w:rsid w:val="00417F0E"/>
    <w:rsid w:val="00424D2D"/>
    <w:rsid w:val="004512CB"/>
    <w:rsid w:val="00457BC2"/>
    <w:rsid w:val="004734DF"/>
    <w:rsid w:val="0048171C"/>
    <w:rsid w:val="004847F9"/>
    <w:rsid w:val="004C6CCF"/>
    <w:rsid w:val="00560182"/>
    <w:rsid w:val="00597C6A"/>
    <w:rsid w:val="005B1F2A"/>
    <w:rsid w:val="005D2B12"/>
    <w:rsid w:val="005E6B87"/>
    <w:rsid w:val="00612872"/>
    <w:rsid w:val="0061445C"/>
    <w:rsid w:val="006333CA"/>
    <w:rsid w:val="00655D74"/>
    <w:rsid w:val="00675645"/>
    <w:rsid w:val="00676FA8"/>
    <w:rsid w:val="00696130"/>
    <w:rsid w:val="006B20CC"/>
    <w:rsid w:val="006C291F"/>
    <w:rsid w:val="006C656B"/>
    <w:rsid w:val="006F68F2"/>
    <w:rsid w:val="0073394C"/>
    <w:rsid w:val="00743A35"/>
    <w:rsid w:val="007A52D2"/>
    <w:rsid w:val="007E20DB"/>
    <w:rsid w:val="00803800"/>
    <w:rsid w:val="008504FF"/>
    <w:rsid w:val="008654EC"/>
    <w:rsid w:val="00874F03"/>
    <w:rsid w:val="008859A5"/>
    <w:rsid w:val="00897F7C"/>
    <w:rsid w:val="008A4885"/>
    <w:rsid w:val="008B0A5C"/>
    <w:rsid w:val="008C615E"/>
    <w:rsid w:val="00942437"/>
    <w:rsid w:val="00961EA7"/>
    <w:rsid w:val="009858E6"/>
    <w:rsid w:val="009C1474"/>
    <w:rsid w:val="009D4DF4"/>
    <w:rsid w:val="00A42EF8"/>
    <w:rsid w:val="00A73B6B"/>
    <w:rsid w:val="00A937EE"/>
    <w:rsid w:val="00A94962"/>
    <w:rsid w:val="00AF0468"/>
    <w:rsid w:val="00B1310A"/>
    <w:rsid w:val="00B337E6"/>
    <w:rsid w:val="00B3500B"/>
    <w:rsid w:val="00B41656"/>
    <w:rsid w:val="00B54B57"/>
    <w:rsid w:val="00B63C91"/>
    <w:rsid w:val="00B769C8"/>
    <w:rsid w:val="00BF16A6"/>
    <w:rsid w:val="00C00055"/>
    <w:rsid w:val="00C04D53"/>
    <w:rsid w:val="00C10066"/>
    <w:rsid w:val="00C27D3E"/>
    <w:rsid w:val="00C37EF1"/>
    <w:rsid w:val="00C43A6A"/>
    <w:rsid w:val="00C7056C"/>
    <w:rsid w:val="00C827CE"/>
    <w:rsid w:val="00D13572"/>
    <w:rsid w:val="00D22477"/>
    <w:rsid w:val="00D46E2D"/>
    <w:rsid w:val="00D86501"/>
    <w:rsid w:val="00D97052"/>
    <w:rsid w:val="00DB733C"/>
    <w:rsid w:val="00DC0877"/>
    <w:rsid w:val="00DE1C1D"/>
    <w:rsid w:val="00E313D2"/>
    <w:rsid w:val="00E33EA3"/>
    <w:rsid w:val="00EB0019"/>
    <w:rsid w:val="00EB652F"/>
    <w:rsid w:val="00EC46C1"/>
    <w:rsid w:val="00EC7393"/>
    <w:rsid w:val="00EE39B6"/>
    <w:rsid w:val="00EF115D"/>
    <w:rsid w:val="00F160E6"/>
    <w:rsid w:val="00F3674E"/>
    <w:rsid w:val="00F81342"/>
    <w:rsid w:val="00FA71AE"/>
    <w:rsid w:val="00FB02A0"/>
    <w:rsid w:val="00FB7917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88CF"/>
  <w15:chartTrackingRefBased/>
  <w15:docId w15:val="{EF0182B2-ED67-4FC2-A6E6-1CB4F8E3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0B16"/>
    <w:pPr>
      <w:keepNext/>
      <w:widowControl w:val="0"/>
      <w:jc w:val="center"/>
      <w:outlineLvl w:val="0"/>
    </w:pPr>
    <w:rPr>
      <w:rFonts w:ascii="Times" w:hAnsi="Times"/>
      <w:i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16"/>
    <w:rPr>
      <w:rFonts w:ascii="Times" w:eastAsia="Times New Roman" w:hAnsi="Times" w:cs="Times New Roman"/>
      <w:i/>
      <w:snapToGrid w:val="0"/>
      <w:sz w:val="28"/>
      <w:szCs w:val="20"/>
      <w:lang w:val="en-GB"/>
    </w:rPr>
  </w:style>
  <w:style w:type="paragraph" w:customStyle="1" w:styleId="Heading11">
    <w:name w:val="Heading 11"/>
    <w:basedOn w:val="Normal"/>
    <w:next w:val="Normal"/>
    <w:rsid w:val="000D0B16"/>
    <w:pPr>
      <w:keepNext/>
      <w:widowControl w:val="0"/>
      <w:spacing w:before="200" w:after="200"/>
      <w:jc w:val="center"/>
    </w:pPr>
    <w:rPr>
      <w:caps/>
      <w:snapToGrid w:val="0"/>
      <w:szCs w:val="20"/>
    </w:rPr>
  </w:style>
  <w:style w:type="paragraph" w:customStyle="1" w:styleId="Normal12pt">
    <w:name w:val="Normal 12 pt"/>
    <w:basedOn w:val="Normal"/>
    <w:rsid w:val="000D0B16"/>
    <w:pPr>
      <w:spacing w:after="120"/>
    </w:pPr>
    <w:rPr>
      <w:szCs w:val="20"/>
      <w:lang w:val="en-AU"/>
    </w:rPr>
  </w:style>
  <w:style w:type="paragraph" w:styleId="BodyText">
    <w:name w:val="Body Text"/>
    <w:basedOn w:val="Normal"/>
    <w:link w:val="BodyTextChar"/>
    <w:rsid w:val="000D0B16"/>
    <w:pPr>
      <w:widowControl w:val="0"/>
    </w:pPr>
    <w:rPr>
      <w:i/>
      <w:snapToGrid w:val="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D0B16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styleId="TableGrid">
    <w:name w:val="Table Grid"/>
    <w:basedOn w:val="TableNormal"/>
    <w:rsid w:val="000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3E"/>
    <w:rPr>
      <w:rFonts w:ascii="Segoe UI" w:eastAsia="Times New Roman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8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9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9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0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FA1AC76BCED6C24B879C8E153004F436" ma:contentTypeVersion="10" ma:contentTypeDescription="SPIRE Document" ma:contentTypeScope="" ma:versionID="b23ac914c923350bdf7e731702eb0c88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080871f1848cac6354d1a5ae987fcc27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5B21DF7C67B949BF39A787400F4418" ma:contentTypeVersion="" ma:contentTypeDescription="PDMS Document Site Content Type" ma:contentTypeScope="" ma:versionID="302f2141c85a1fb92d8a327585224e30">
  <xsd:schema xmlns:xsd="http://www.w3.org/2001/XMLSchema" xmlns:xs="http://www.w3.org/2001/XMLSchema" xmlns:p="http://schemas.microsoft.com/office/2006/metadata/properties" xmlns:ns2="33793A28-4B36-4A53-B8B3-9364F9508333" targetNamespace="http://schemas.microsoft.com/office/2006/metadata/properties" ma:root="true" ma:fieldsID="9229f6401ee56690a38939517838fa57" ns2:_="">
    <xsd:import namespace="33793A28-4B36-4A53-B8B3-9364F950833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93A28-4B36-4A53-B8B3-9364F950833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3793A28-4B36-4A53-B8B3-9364F9508333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2AA8842-A356-4904-BED7-0B0235E4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294C5-E4B8-41E2-A93C-8B1E0032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48F12-A6FF-4047-B816-A27F338EEBB4}"/>
</file>

<file path=customXml/itemProps4.xml><?xml version="1.0" encoding="utf-8"?>
<ds:datastoreItem xmlns:ds="http://schemas.openxmlformats.org/officeDocument/2006/customXml" ds:itemID="{89B33489-65DE-44E8-AF12-920D7024CA30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8B686C63-AD8F-47DE-BD17-2A7366DE9E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Template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E - Explanatory Statement - 517 Determination - template</dc:title>
  <dc:subject/>
  <dc:creator>Anthony Coggan</dc:creator>
  <cp:keywords/>
  <dc:description/>
  <cp:lastModifiedBy>Svedin, Nina</cp:lastModifiedBy>
  <cp:revision>112</cp:revision>
  <dcterms:created xsi:type="dcterms:W3CDTF">2021-05-07T02:14:00Z</dcterms:created>
  <dcterms:modified xsi:type="dcterms:W3CDTF">2022-12-13T04:44:00Z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0x010100266966F133664895A6EE3632470D45F5003A5B21DF7C67B949BF39A787400F4418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{89fa0c3a-0377-4fa1-814a-b753bf6fc998}</vt:lpwstr>
  </property>
  <property fmtid="{D5CDD505-2E9C-101B-9397-08002B2CF9AE}" pid="6" name="RecordPoint_ActiveItemUniqueId">
    <vt:lpwstr>{e75f00b7-81f6-4e33-a8b2-09008f175c8a}</vt:lpwstr>
  </property>
  <property fmtid="{D5CDD505-2E9C-101B-9397-08002B2CF9AE}" pid="7" name="RecordPoint_ActiveItemWebId">
    <vt:lpwstr>{ce0940a8-fbdd-4d61-aa5f-5fccf7e3a693}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